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7"/>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非专门面向中小企业采购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汉中市中心医院立体车库视频监控采购项目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汉采HW【2023】26号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9"/>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3</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8</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29</w:t>
      </w:r>
      <w:r>
        <w:rPr>
          <w:rFonts w:hint="eastAsia" w:ascii="仿宋_GB2312" w:hAnsi="仿宋_GB2312" w:eastAsia="仿宋_GB2312" w:cs="仿宋_GB2312"/>
          <w:b w:val="0"/>
          <w:bCs w:val="0"/>
          <w:color w:val="auto"/>
          <w:sz w:val="44"/>
          <w:szCs w:val="44"/>
        </w:rPr>
        <w:t>日</w:t>
      </w:r>
      <w:bookmarkStart w:id="0" w:name="_Toc30102_WPSOffice_Level1"/>
      <w:bookmarkStart w:id="1" w:name="_Toc30340_WPSOffice_Level1"/>
      <w:bookmarkStart w:id="2" w:name="_Toc10222_WPSOffice_Level1"/>
    </w:p>
    <w:p>
      <w:pPr>
        <w:pStyle w:val="9"/>
        <w:rPr>
          <w:rFonts w:hint="eastAsia"/>
          <w:color w:val="auto"/>
        </w:rPr>
      </w:pPr>
    </w:p>
    <w:p>
      <w:pPr>
        <w:pStyle w:val="16"/>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4"/>
        <w:rPr>
          <w:color w:val="auto"/>
          <w:highlight w:val="yellow"/>
        </w:rPr>
      </w:pP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52</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59</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3"/>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5655"/>
      <w:bookmarkStart w:id="4" w:name="_Toc2623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汉中市中心医院立体车库视频监控</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15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35393629"/>
      <w:bookmarkStart w:id="8" w:name="_Toc35393798"/>
      <w:bookmarkStart w:id="9" w:name="_Toc28359089"/>
      <w:bookmarkStart w:id="10" w:name="_Toc28840"/>
      <w:bookmarkStart w:id="11" w:name="_Toc28359012"/>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汉中市中心医院立体车库视频监控采购项目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95万元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高清枪式摄像机76个等（详见第三章）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签订合同后45天内。</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28359090"/>
      <w:bookmarkStart w:id="13" w:name="_Toc35393630"/>
      <w:bookmarkStart w:id="14" w:name="_Toc3608"/>
      <w:bookmarkStart w:id="15" w:name="_Toc28359013"/>
      <w:bookmarkStart w:id="16" w:name="_Toc35393799"/>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14"/>
      <w:bookmarkStart w:id="18"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29259"/>
      <w:bookmarkStart w:id="20" w:name="_Toc35393631"/>
      <w:bookmarkStart w:id="21" w:name="_Toc35393800"/>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Lines w:val="0"/>
        <w:pageBreakBefore w:val="0"/>
        <w:widowControl w:val="0"/>
        <w:kinsoku/>
        <w:wordWrap/>
        <w:overflowPunct/>
        <w:topLinePunct w:val="0"/>
        <w:bidi w:val="0"/>
        <w:snapToGrid/>
        <w:spacing w:line="560" w:lineRule="exact"/>
        <w:ind w:left="376" w:leftChars="133" w:firstLine="443" w:firstLineChars="15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23</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8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30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9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5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35393632"/>
      <w:bookmarkStart w:id="23" w:name="_Toc859"/>
      <w:bookmarkStart w:id="24" w:name="_Toc28359015"/>
      <w:bookmarkStart w:id="25" w:name="_Toc35393801"/>
      <w:bookmarkStart w:id="26" w:name="_Toc2835909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9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15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2165"/>
      <w:bookmarkStart w:id="28" w:name="_Toc35393633"/>
      <w:bookmarkStart w:id="29" w:name="_Toc28359093"/>
      <w:bookmarkStart w:id="30" w:name="_Toc35393802"/>
      <w:bookmarkStart w:id="31" w:name="_Toc28359016"/>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9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15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bookmarkStart w:id="442" w:name="_GoBack"/>
      <w:bookmarkEnd w:id="442"/>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35393803"/>
      <w:bookmarkStart w:id="33" w:name="_Toc4869"/>
      <w:bookmarkStart w:id="34" w:name="_Toc28359017"/>
      <w:bookmarkStart w:id="35" w:name="_Toc28359094"/>
      <w:bookmarkStart w:id="36" w:name="_Toc35393634"/>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635"/>
      <w:bookmarkStart w:id="38" w:name="_Toc35393804"/>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28359018"/>
      <w:bookmarkStart w:id="41" w:name="_Toc28359095"/>
      <w:bookmarkStart w:id="42" w:name="_Toc35393805"/>
      <w:bookmarkStart w:id="43" w:name="_Toc35393636"/>
      <w:bookmarkStart w:id="44" w:name="_Toc17247"/>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28359096"/>
      <w:bookmarkStart w:id="46" w:name="_Toc35393637"/>
      <w:bookmarkStart w:id="47" w:name="_Toc35393806"/>
      <w:bookmarkStart w:id="48" w:name="_Toc28359019"/>
      <w:bookmarkStart w:id="49" w:name="_Toc9063"/>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28359020"/>
      <w:bookmarkStart w:id="51" w:name="_Toc35393807"/>
      <w:bookmarkStart w:id="52" w:name="_Toc35393638"/>
      <w:bookmarkStart w:id="53" w:name="_Toc28359097"/>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汉中市中心医院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汉中市汉台区康复路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0916-2682065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808"/>
      <w:bookmarkStart w:id="56" w:name="_Toc6426"/>
      <w:bookmarkStart w:id="57" w:name="_Toc28359098"/>
      <w:bookmarkStart w:id="58" w:name="_Toc28359021"/>
      <w:bookmarkStart w:id="59" w:name="_Toc35393639"/>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1"/>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3"/>
        <w:rPr>
          <w:rFonts w:ascii="黑体" w:hAnsi="黑体" w:eastAsia="黑体"/>
          <w:color w:val="auto"/>
          <w:sz w:val="32"/>
          <w:szCs w:val="32"/>
        </w:rPr>
      </w:pPr>
      <w:r>
        <w:rPr>
          <w:color w:val="auto"/>
          <w:sz w:val="28"/>
          <w:szCs w:val="28"/>
        </w:rPr>
        <w:br w:type="page"/>
      </w:r>
      <w:bookmarkStart w:id="60" w:name="_Toc495014648"/>
      <w:bookmarkStart w:id="61" w:name="_Toc15046_WPSOffice_Level1"/>
      <w:bookmarkStart w:id="62" w:name="_Toc9601"/>
      <w:bookmarkStart w:id="63" w:name="_Toc7814"/>
      <w:bookmarkStart w:id="64" w:name="_Toc22804_WPSOffice_Level1"/>
      <w:bookmarkStart w:id="65" w:name="_Toc495014919"/>
      <w:bookmarkStart w:id="66" w:name="_Toc495014953"/>
      <w:bookmarkStart w:id="67" w:name="_Toc495014610"/>
      <w:bookmarkStart w:id="68" w:name="_Toc495012820"/>
      <w:bookmarkStart w:id="69" w:name="_Toc19337_WPSOffice_Level1"/>
      <w:bookmarkStart w:id="70" w:name="_Toc4326"/>
      <w:bookmarkStart w:id="71" w:name="_Toc445306492"/>
      <w:bookmarkStart w:id="72" w:name="_Toc495012770"/>
      <w:bookmarkStart w:id="73" w:name="_Toc10140"/>
      <w:bookmarkStart w:id="74" w:name="_Toc495014584"/>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24451_WPSOffice_Level2"/>
      <w:bookmarkStart w:id="76" w:name="_Toc23184"/>
      <w:bookmarkStart w:id="77" w:name="_Toc18466_WPSOffice_Level2"/>
      <w:bookmarkStart w:id="78" w:name="_Toc16238"/>
      <w:bookmarkStart w:id="79" w:name="_Toc3062"/>
      <w:bookmarkStart w:id="80" w:name="_Toc12337"/>
      <w:bookmarkStart w:id="81" w:name="_Toc3858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汉中市中心医院</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4"/>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24646"/>
      <w:bookmarkStart w:id="87" w:name="_Toc11745_WPSOffice_Level2"/>
      <w:bookmarkStart w:id="88" w:name="_Toc9291"/>
      <w:bookmarkStart w:id="89" w:name="_Toc27278_WPSOffice_Level2"/>
      <w:bookmarkStart w:id="90" w:name="_Toc4606"/>
      <w:bookmarkStart w:id="91" w:name="_Toc13654"/>
      <w:bookmarkStart w:id="92" w:name="_Toc20906_WPSOffice_Level2"/>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本项目价格扣除比例为：</w:t>
      </w:r>
      <w:r>
        <w:rPr>
          <w:rFonts w:hint="eastAsia" w:ascii="仿宋_GB2312" w:hAnsi="仿宋_GB2312" w:eastAsia="仿宋_GB2312" w:cs="仿宋_GB2312"/>
          <w:b/>
          <w:bCs/>
          <w:color w:val="auto"/>
          <w:sz w:val="28"/>
          <w:szCs w:val="28"/>
          <w:u w:val="single"/>
        </w:rPr>
        <w:t xml:space="preserve">  10%  </w:t>
      </w:r>
      <w:r>
        <w:rPr>
          <w:rFonts w:hint="eastAsia" w:ascii="仿宋_GB2312" w:hAnsi="仿宋_GB2312" w:eastAsia="仿宋_GB2312" w:cs="仿宋_GB2312"/>
          <w:b/>
          <w:bCs/>
          <w:color w:val="auto"/>
          <w:sz w:val="28"/>
          <w:szCs w:val="28"/>
        </w:rPr>
        <w:t>；本项目采购标的对应的中小企业划分标准所属行业为：工业。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98"/>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9976"/>
      <w:bookmarkStart w:id="100" w:name="_Toc17868_WPSOffice_Level2"/>
      <w:bookmarkStart w:id="101" w:name="_Toc3130"/>
      <w:bookmarkStart w:id="102" w:name="_Toc2960"/>
      <w:bookmarkStart w:id="103" w:name="_Toc8798_WPSOffice_Level2"/>
      <w:bookmarkStart w:id="104" w:name="_Toc10768_WPSOffice_Level2"/>
      <w:bookmarkStart w:id="105" w:name="_Toc3043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汉中市政府采购中心</w:t>
      </w:r>
      <w:r>
        <w:rPr>
          <w:rFonts w:hint="eastAsia" w:ascii="仿宋_GB2312" w:hAnsi="仿宋_GB2312" w:eastAsia="仿宋_GB2312" w:cs="仿宋_GB2312"/>
          <w:color w:val="auto"/>
          <w:sz w:val="28"/>
          <w:szCs w:val="28"/>
        </w:rPr>
        <w:t>（hzcg.hanzhong.gov.cn/）】中的〖首页·〉</w:t>
      </w:r>
      <w:r>
        <w:rPr>
          <w:rFonts w:hint="eastAsia" w:ascii="仿宋_GB2312" w:hAnsi="仿宋_GB2312" w:eastAsia="仿宋_GB2312" w:cs="仿宋_GB2312"/>
          <w:color w:val="auto"/>
          <w:sz w:val="28"/>
          <w:szCs w:val="28"/>
          <w:lang w:val="en-US" w:eastAsia="zh-CN"/>
        </w:rPr>
        <w:t>采购公告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30415"/>
      <w:bookmarkStart w:id="111" w:name="_Toc13064"/>
      <w:bookmarkStart w:id="112" w:name="_Toc19768_WPSOffice_Level2"/>
      <w:bookmarkStart w:id="113" w:name="_Toc20873_WPSOffice_Level2"/>
      <w:bookmarkStart w:id="114" w:name="_Toc30095"/>
      <w:bookmarkStart w:id="115" w:name="_Toc3559"/>
      <w:bookmarkStart w:id="116" w:name="_Toc22501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11009"/>
      <w:bookmarkStart w:id="118" w:name="_Toc12154"/>
      <w:bookmarkStart w:id="119" w:name="_Toc14979"/>
      <w:bookmarkStart w:id="120" w:name="_Toc666"/>
      <w:bookmarkStart w:id="121" w:name="_Toc14959_WPSOffice_Level2"/>
      <w:bookmarkStart w:id="122" w:name="_Toc29669_WPSOffice_Level2"/>
      <w:bookmarkStart w:id="123" w:name="_Toc20041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30535_WPSOffice_Level2"/>
      <w:bookmarkStart w:id="125" w:name="_Toc18733_WPSOffice_Level2"/>
      <w:bookmarkStart w:id="126" w:name="_Toc7898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8427_WPSOffice_Level3"/>
      <w:bookmarkStart w:id="129" w:name="_Toc11164"/>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15608"/>
      <w:bookmarkStart w:id="131" w:name="_Toc24468"/>
      <w:bookmarkStart w:id="132" w:name="_Toc6095"/>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7022"/>
      <w:bookmarkStart w:id="134" w:name="_Toc28054"/>
      <w:bookmarkStart w:id="135" w:name="_Toc10744"/>
      <w:bookmarkStart w:id="136" w:name="_Toc595"/>
      <w:bookmarkStart w:id="137" w:name="_Toc6837"/>
      <w:bookmarkStart w:id="138" w:name="_Toc8003"/>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9"/>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9"/>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31720"/>
      <w:bookmarkStart w:id="142" w:name="_Toc8460"/>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2"/>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9"/>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pStyle w:val="14"/>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公共资源交易平台（以下简称“平台”）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电子交易平台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49" w:name="_Toc27797"/>
      <w:bookmarkStart w:id="150" w:name="_Toc9626"/>
      <w:bookmarkStart w:id="151" w:name="_Toc27187"/>
      <w:bookmarkStart w:id="152" w:name="_Toc2392"/>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91"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91" w:type="dxa"/>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3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791"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w:t>
            </w:r>
          </w:p>
        </w:tc>
        <w:tc>
          <w:tcPr>
            <w:tcW w:w="826"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4840" w:type="dxa"/>
            <w:vAlign w:val="center"/>
          </w:tcPr>
          <w:p>
            <w:pPr>
              <w:pStyle w:val="9"/>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根据响应人所报产品技术参数进行综合打分：</w:t>
            </w:r>
          </w:p>
          <w:p>
            <w:pPr>
              <w:pStyle w:val="9"/>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完全符合第三章要求，得基础分35分；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技术参数优于第三章要求的，每条加1分，最多加5分；</w:t>
            </w:r>
          </w:p>
          <w:p>
            <w:pPr>
              <w:keepNext w:val="0"/>
              <w:keepLines w:val="0"/>
              <w:pageBreakBefore w:val="0"/>
              <w:widowControl/>
              <w:kinsoku/>
              <w:wordWrap/>
              <w:overflowPunct/>
              <w:topLinePunct w:val="0"/>
              <w:bidi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技术参数出现负偏离的，每条扣1分，扣至0分为止。</w:t>
            </w:r>
          </w:p>
        </w:tc>
        <w:tc>
          <w:tcPr>
            <w:tcW w:w="1323" w:type="dxa"/>
            <w:vMerge w:val="restart"/>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技术分不得赋满分。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质量保证</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所报产品应性能稳定，符合国际、国内相关标准，对响应人产品质量保证措施进行综合打分：</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措施全面、具体，能够有效保证产品质量，得3-4分；</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措施较粗略，产品质量难以保证，得1-2分。</w:t>
            </w:r>
          </w:p>
        </w:tc>
        <w:tc>
          <w:tcPr>
            <w:tcW w:w="1323" w:type="dxa"/>
            <w:vMerge w:val="continue"/>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791" w:type="dxa"/>
            <w:vMerge w:val="continue"/>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安全文明施工措施</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结合本项目实际情况编写安全文明施工措施及垃圾清运措施，对其措施进行综合打分：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1、措施切合项目实际情况，全面科学，针对性、可实施性强，得3-4分；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2、措施未考虑实际情况，不够全面合理，针对性、可实施性不足，得1-2分。</w:t>
            </w:r>
          </w:p>
        </w:tc>
        <w:tc>
          <w:tcPr>
            <w:tcW w:w="1323" w:type="dxa"/>
            <w:vMerge w:val="continue"/>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9" w:hRule="atLeast"/>
          <w:jc w:val="center"/>
        </w:trPr>
        <w:tc>
          <w:tcPr>
            <w:tcW w:w="791" w:type="dxa"/>
            <w:vMerge w:val="continue"/>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3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4840" w:type="dxa"/>
            <w:vAlign w:val="center"/>
          </w:tcPr>
          <w:p>
            <w:pPr>
              <w:keepNext w:val="0"/>
              <w:keepLines w:val="0"/>
              <w:pageBreakBefore w:val="0"/>
              <w:widowControl/>
              <w:numPr>
                <w:ilvl w:val="0"/>
                <w:numId w:val="0"/>
              </w:numPr>
              <w:kinsoku/>
              <w:wordWrap/>
              <w:overflowPunct/>
              <w:topLinePunct w:val="0"/>
              <w:bidi w:val="0"/>
              <w:spacing w:line="3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val="en-US" w:eastAsia="zh-CN"/>
              </w:rPr>
              <w:t>完整的项目实施方案，包括备货方案、运输及应急保障措施、安装实施方案、项目进度计划、拟派人员情况等。</w:t>
            </w:r>
            <w:r>
              <w:rPr>
                <w:rFonts w:hint="eastAsia" w:ascii="仿宋_GB2312" w:hAnsi="仿宋_GB2312" w:eastAsia="仿宋_GB2312" w:cs="仿宋_GB2312"/>
                <w:sz w:val="28"/>
                <w:szCs w:val="28"/>
              </w:rPr>
              <w:t>根据供应商的响应情况</w:t>
            </w:r>
            <w:r>
              <w:rPr>
                <w:rFonts w:hint="eastAsia" w:ascii="仿宋_GB2312" w:hAnsi="仿宋_GB2312" w:eastAsia="仿宋_GB2312" w:cs="仿宋_GB2312"/>
                <w:sz w:val="28"/>
                <w:szCs w:val="28"/>
                <w:lang w:val="en-US" w:eastAsia="zh-CN"/>
              </w:rPr>
              <w:t>进行综合打分</w:t>
            </w:r>
            <w:r>
              <w:rPr>
                <w:rFonts w:hint="eastAsia" w:ascii="仿宋_GB2312" w:hAnsi="仿宋_GB2312" w:eastAsia="仿宋_GB2312" w:cs="仿宋_GB2312"/>
                <w:sz w:val="28"/>
                <w:szCs w:val="28"/>
                <w:lang w:eastAsia="zh-CN"/>
              </w:rPr>
              <w:t>：</w:t>
            </w:r>
          </w:p>
          <w:p>
            <w:pPr>
              <w:pStyle w:val="2"/>
              <w:keepNext w:val="0"/>
              <w:keepLines w:val="0"/>
              <w:pageBreakBefore w:val="0"/>
              <w:widowControl/>
              <w:kinsoku/>
              <w:wordWrap/>
              <w:overflowPunct/>
              <w:topLinePunct w:val="0"/>
              <w:bidi w:val="0"/>
              <w:spacing w:line="3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1、实施方案包含上述全部内容，得2分，否则不得分。</w:t>
            </w:r>
          </w:p>
          <w:p>
            <w:pPr>
              <w:keepNext w:val="0"/>
              <w:keepLines w:val="0"/>
              <w:pageBreakBefore w:val="0"/>
              <w:widowControl/>
              <w:numPr>
                <w:ilvl w:val="0"/>
                <w:numId w:val="0"/>
              </w:numPr>
              <w:kinsoku/>
              <w:wordWrap/>
              <w:overflowPunct/>
              <w:topLinePunct w:val="0"/>
              <w:bidi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2、（1）方案</w:t>
            </w:r>
            <w:r>
              <w:rPr>
                <w:rFonts w:hint="eastAsia" w:ascii="仿宋_GB2312" w:hAnsi="仿宋_GB2312" w:eastAsia="仿宋_GB2312" w:cs="仿宋_GB2312"/>
                <w:sz w:val="28"/>
                <w:szCs w:val="28"/>
              </w:rPr>
              <w:t>内容</w:t>
            </w:r>
            <w:r>
              <w:rPr>
                <w:rFonts w:hint="eastAsia" w:ascii="仿宋_GB2312" w:hAnsi="仿宋_GB2312" w:eastAsia="仿宋_GB2312" w:cs="仿宋_GB2312"/>
                <w:sz w:val="28"/>
                <w:szCs w:val="28"/>
                <w:lang w:val="en-US" w:eastAsia="zh-CN"/>
              </w:rPr>
              <w:t>详细</w:t>
            </w:r>
            <w:r>
              <w:rPr>
                <w:rFonts w:hint="eastAsia" w:ascii="仿宋_GB2312" w:hAnsi="仿宋_GB2312" w:eastAsia="仿宋_GB2312" w:cs="仿宋_GB2312"/>
                <w:sz w:val="28"/>
                <w:szCs w:val="28"/>
              </w:rPr>
              <w:t>，描述清晰，针对性</w:t>
            </w:r>
            <w:r>
              <w:rPr>
                <w:rFonts w:hint="eastAsia" w:ascii="仿宋_GB2312" w:hAnsi="仿宋_GB2312" w:eastAsia="仿宋_GB2312" w:cs="仿宋_GB2312"/>
                <w:sz w:val="28"/>
                <w:szCs w:val="28"/>
                <w:lang w:val="en-US" w:eastAsia="zh-CN"/>
              </w:rPr>
              <w:t>强，完全</w:t>
            </w:r>
            <w:r>
              <w:rPr>
                <w:rFonts w:hint="eastAsia" w:ascii="仿宋_GB2312" w:hAnsi="仿宋_GB2312" w:eastAsia="仿宋_GB2312" w:cs="仿宋_GB2312"/>
                <w:sz w:val="28"/>
                <w:szCs w:val="28"/>
              </w:rPr>
              <w:t>满足项目需求，得</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分；</w:t>
            </w:r>
          </w:p>
          <w:p>
            <w:pPr>
              <w:keepNext w:val="0"/>
              <w:keepLines w:val="0"/>
              <w:pageBreakBefore w:val="0"/>
              <w:widowControl/>
              <w:numPr>
                <w:ilvl w:val="0"/>
                <w:numId w:val="0"/>
              </w:numPr>
              <w:kinsoku/>
              <w:wordWrap/>
              <w:overflowPunct/>
              <w:topLinePunct w:val="0"/>
              <w:bidi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内容</w:t>
            </w:r>
            <w:r>
              <w:rPr>
                <w:rFonts w:hint="eastAsia" w:ascii="仿宋_GB2312" w:hAnsi="仿宋_GB2312" w:eastAsia="仿宋_GB2312" w:cs="仿宋_GB2312"/>
                <w:sz w:val="28"/>
                <w:szCs w:val="28"/>
                <w:lang w:val="en-US" w:eastAsia="zh-CN"/>
              </w:rPr>
              <w:t>较详细</w:t>
            </w:r>
            <w:r>
              <w:rPr>
                <w:rFonts w:hint="eastAsia" w:ascii="仿宋_GB2312" w:hAnsi="仿宋_GB2312" w:eastAsia="仿宋_GB2312" w:cs="仿宋_GB2312"/>
                <w:sz w:val="28"/>
                <w:szCs w:val="28"/>
              </w:rPr>
              <w:t>，描述</w:t>
            </w:r>
            <w:r>
              <w:rPr>
                <w:rFonts w:hint="eastAsia" w:ascii="仿宋_GB2312" w:hAnsi="仿宋_GB2312" w:eastAsia="仿宋_GB2312" w:cs="仿宋_GB2312"/>
                <w:sz w:val="28"/>
                <w:szCs w:val="28"/>
                <w:lang w:val="en-US" w:eastAsia="zh-CN"/>
              </w:rPr>
              <w:t>较</w:t>
            </w:r>
            <w:r>
              <w:rPr>
                <w:rFonts w:hint="eastAsia" w:ascii="仿宋_GB2312" w:hAnsi="仿宋_GB2312" w:eastAsia="仿宋_GB2312" w:cs="仿宋_GB2312"/>
                <w:sz w:val="28"/>
                <w:szCs w:val="28"/>
              </w:rPr>
              <w:t>清晰，针对性</w:t>
            </w:r>
            <w:r>
              <w:rPr>
                <w:rFonts w:hint="eastAsia" w:ascii="仿宋_GB2312" w:hAnsi="仿宋_GB2312" w:eastAsia="仿宋_GB2312" w:cs="仿宋_GB2312"/>
                <w:sz w:val="28"/>
                <w:szCs w:val="28"/>
                <w:lang w:val="en-US" w:eastAsia="zh-CN"/>
              </w:rPr>
              <w:t>较强，基本</w:t>
            </w:r>
            <w:r>
              <w:rPr>
                <w:rFonts w:hint="eastAsia" w:ascii="仿宋_GB2312" w:hAnsi="仿宋_GB2312" w:eastAsia="仿宋_GB2312" w:cs="仿宋_GB2312"/>
                <w:sz w:val="28"/>
                <w:szCs w:val="28"/>
              </w:rPr>
              <w:t>满足项目需求，得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p>
            <w:pPr>
              <w:keepNext w:val="0"/>
              <w:keepLines w:val="0"/>
              <w:pageBreakBefore w:val="0"/>
              <w:widowControl/>
              <w:numPr>
                <w:ilvl w:val="0"/>
                <w:numId w:val="0"/>
              </w:numPr>
              <w:kinsoku/>
              <w:wordWrap/>
              <w:overflowPunct/>
              <w:topLinePunct w:val="0"/>
              <w:bidi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内容有缺项，描述简单，可行性一般，基本满足项目需要，得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w:t>
            </w:r>
          </w:p>
          <w:p>
            <w:pPr>
              <w:pStyle w:val="2"/>
              <w:keepNext w:val="0"/>
              <w:keepLines w:val="0"/>
              <w:pageBreakBefore w:val="0"/>
              <w:widowControl/>
              <w:kinsoku/>
              <w:wordWrap/>
              <w:overflowPunct/>
              <w:topLinePunct w:val="0"/>
              <w:bidi w:val="0"/>
              <w:spacing w:line="30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不提供不得分。</w:t>
            </w:r>
          </w:p>
        </w:tc>
        <w:tc>
          <w:tcPr>
            <w:tcW w:w="1323" w:type="dxa"/>
            <w:vMerge w:val="continue"/>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3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26"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3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3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3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8</w:t>
            </w:r>
          </w:p>
        </w:tc>
        <w:tc>
          <w:tcPr>
            <w:tcW w:w="4840" w:type="dxa"/>
            <w:vAlign w:val="center"/>
          </w:tcPr>
          <w:p>
            <w:pPr>
              <w:keepNext w:val="0"/>
              <w:keepLines w:val="0"/>
              <w:pageBreakBefore w:val="0"/>
              <w:widowControl/>
              <w:kinsoku/>
              <w:wordWrap/>
              <w:overflowPunct/>
              <w:topLinePunct w:val="0"/>
              <w:bidi w:val="0"/>
              <w:adjustRightInd w:val="0"/>
              <w:snapToGrid w:val="0"/>
              <w:spacing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本项目及采购人实际需求提供具体可行的售后服务方案，包括服务措施、故障维修响应及应对措施、质量保证范围、服务网点、拟投入售后服务人员配置情况、日常维护、应急预案等，对其售后服务方案进行综合打分：</w:t>
            </w:r>
          </w:p>
          <w:p>
            <w:pPr>
              <w:keepNext w:val="0"/>
              <w:keepLines w:val="0"/>
              <w:pageBreakBefore w:val="0"/>
              <w:widowControl/>
              <w:kinsoku/>
              <w:wordWrap/>
              <w:overflowPunct/>
              <w:topLinePunct w:val="0"/>
              <w:bidi w:val="0"/>
              <w:adjustRightInd w:val="0"/>
              <w:snapToGrid w:val="0"/>
              <w:spacing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1、售后服务方案内容详细、科学，可行性强，故障解决措施有效且响应迅速，得7-8分；</w:t>
            </w:r>
          </w:p>
          <w:p>
            <w:pPr>
              <w:keepNext w:val="0"/>
              <w:keepLines w:val="0"/>
              <w:pageBreakBefore w:val="0"/>
              <w:widowControl/>
              <w:kinsoku/>
              <w:wordWrap/>
              <w:overflowPunct/>
              <w:topLinePunct w:val="0"/>
              <w:bidi w:val="0"/>
              <w:adjustRightInd w:val="0"/>
              <w:snapToGrid w:val="0"/>
              <w:spacing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2、售后服务方案内容较详细、较科学，可行性较强，故障解决措施较有效，响应较迅速，得5-6分；</w:t>
            </w:r>
          </w:p>
          <w:p>
            <w:pPr>
              <w:keepNext w:val="0"/>
              <w:keepLines w:val="0"/>
              <w:pageBreakBefore w:val="0"/>
              <w:widowControl/>
              <w:numPr>
                <w:ilvl w:val="0"/>
                <w:numId w:val="0"/>
              </w:numPr>
              <w:kinsoku/>
              <w:wordWrap/>
              <w:overflowPunct/>
              <w:topLinePunct w:val="0"/>
              <w:bidi w:val="0"/>
              <w:adjustRightInd w:val="0"/>
              <w:snapToGrid w:val="0"/>
              <w:spacing w:line="3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3、售后服务方案内容笼统、措施不够全面，可行性不强，响应较慢，得3-4分。</w:t>
            </w:r>
          </w:p>
        </w:tc>
        <w:tc>
          <w:tcPr>
            <w:tcW w:w="1323"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91" w:type="dxa"/>
            <w:vAlign w:val="center"/>
          </w:tcPr>
          <w:p>
            <w:pPr>
              <w:keepNext w:val="0"/>
              <w:keepLines w:val="0"/>
              <w:pageBreakBefore w:val="0"/>
              <w:widowControl/>
              <w:kinsoku/>
              <w:wordWrap/>
              <w:overflowPunct/>
              <w:topLinePunct w:val="0"/>
              <w:bidi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3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25855"/>
      <w:bookmarkStart w:id="154" w:name="_Toc3023"/>
      <w:bookmarkStart w:id="155" w:name="_Toc22712"/>
      <w:bookmarkStart w:id="156" w:name="_Toc28384"/>
      <w:bookmarkStart w:id="157" w:name="_Toc4670"/>
      <w:bookmarkStart w:id="158" w:name="_Toc17612"/>
      <w:bookmarkStart w:id="159" w:name="_Toc28287"/>
      <w:bookmarkStart w:id="160" w:name="_Toc28286_WPSOffice_Level1"/>
      <w:bookmarkStart w:id="161" w:name="_Toc495014611"/>
      <w:bookmarkStart w:id="162" w:name="_Toc495014585"/>
      <w:bookmarkStart w:id="163" w:name="_Toc495014920"/>
      <w:bookmarkStart w:id="164" w:name="_Toc495014649"/>
      <w:bookmarkStart w:id="165" w:name="_Toc495012821"/>
      <w:bookmarkStart w:id="166" w:name="_Toc424636365"/>
      <w:bookmarkStart w:id="167" w:name="_Toc495012771"/>
      <w:bookmarkStart w:id="168" w:name="_Toc619_WPSOffice_Level1"/>
      <w:bookmarkStart w:id="169" w:name="_Toc495014954"/>
      <w:bookmarkStart w:id="170" w:name="_Toc445306493"/>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【汉中市政府采购中心（hzcg.hanzhong.gov.cn/）】中的〖首页·〉</w:t>
      </w:r>
      <w:r>
        <w:rPr>
          <w:rFonts w:hint="eastAsia" w:ascii="仿宋_GB2312" w:hAnsi="仿宋_GB2312" w:eastAsia="仿宋_GB2312" w:cs="仿宋_GB2312"/>
          <w:color w:val="auto"/>
          <w:sz w:val="28"/>
          <w:szCs w:val="28"/>
          <w:lang w:val="en-US" w:eastAsia="zh-CN"/>
        </w:rPr>
        <w:t>采购结果</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磋商成交/废标公告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23938"/>
      <w:bookmarkStart w:id="172" w:name="_Toc18233"/>
      <w:bookmarkStart w:id="173" w:name="_Toc10386"/>
      <w:bookmarkStart w:id="174" w:name="_Toc3100"/>
      <w:bookmarkStart w:id="175" w:name="_Toc14009"/>
      <w:bookmarkStart w:id="176" w:name="_Toc28870"/>
      <w:bookmarkStart w:id="177" w:name="_Toc2004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4"/>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1780"/>
      <w:bookmarkStart w:id="179" w:name="_Toc8426"/>
      <w:bookmarkStart w:id="180" w:name="_Toc14560"/>
      <w:bookmarkStart w:id="181" w:name="_Toc17324"/>
      <w:bookmarkStart w:id="182" w:name="_Toc10336"/>
      <w:bookmarkStart w:id="183" w:name="_Toc5278"/>
      <w:bookmarkStart w:id="184" w:name="_Toc23303"/>
      <w:bookmarkStart w:id="185" w:name="_Toc11584"/>
      <w:bookmarkStart w:id="186" w:name="_Toc4764"/>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3"/>
        <w:rPr>
          <w:color w:val="auto"/>
        </w:rPr>
      </w:pPr>
      <w:bookmarkStart w:id="187" w:name="_Toc10476_WPSOffice_Level1"/>
      <w:bookmarkStart w:id="188" w:name="_Toc6345"/>
      <w:bookmarkStart w:id="189" w:name="_Toc2772"/>
      <w:bookmarkStart w:id="190" w:name="_Toc22915"/>
      <w:bookmarkStart w:id="191" w:name="_Toc31517"/>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tbl>
      <w:tblPr>
        <w:tblStyle w:val="21"/>
        <w:tblW w:w="910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068"/>
        <w:gridCol w:w="639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9102" w:type="dxa"/>
            <w:gridSpan w:val="4"/>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32"/>
                <w:szCs w:val="32"/>
                <w:u w:val="none"/>
                <w:lang w:val="en-US" w:eastAsia="zh-CN" w:bidi="ar"/>
              </w:rPr>
              <w:t>中心医院立体车库安防监控系统工程量清单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产品名称</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参数规格</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高清枪式摄像机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传感器类型：1/3"  CMOS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2、像素≥400万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3、支持≥2路码流，主码流2560*1440@25fps，子码流640×480@25fps。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4、支持越界侦测，区域入侵侦测</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5、1个内置麦克风，1个RJ45 10 M/100 M自适应以太网口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6、最低照度彩色≤0.005lx。</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7、补光灯类型:支持白光、红外补光</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8、红外开启可识别距设备≥50m处的人体轮廓。</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9、在彩色模式下，当照度降低至一定值时，可自动开启补光灯补光，在白天夜晚均可输出彩色视频图像。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10、支持DC12V或POE供电</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11、外壳防护能力应符合IP67要求。</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智能球机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传感器类型：1/2.8＂ CMOS</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像素≥400万</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信噪比不小于52dB</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视频输出支持2560×1440@25fps，分辨力不小于1400TVL，红外距离≥150米</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支持≥23倍光学变倍，≥16倍数字变倍，最大焦距≥135mm</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支持超低照度，0.005 Lux @F1.5（彩色），0.001 Lux @F1.5（黑白），0 Lux with IR</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支持水平手控速度不小于160°/S，垂直速度不小于120°/S，云台定位精度为±0.1°</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支持区域入侵侦测、越界侦测、进入区域侦测和离开区域侦等智能侦测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水平旋转范围为360°连续旋转，垂直旋转范围为-15°~90°</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支持3D定位，可通过鼠标框选目标以实现目标的快速定位与捕捉</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支持3D数字降噪、强光抑制、SmartIR</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内置GPU芯片，支持人脸抓拍设置，具有最佳抓拍和快速抓拍两种模式设置选项，最大同时抓拍5张人脸</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需具备智能分析抗干扰功能，当篮球、小狗、树叶等非人或车辆目标经过检测区域时，不会触发报警</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支持快捷配置功能，可在预览画面开启/关闭“快捷配置”页面，对曝光参数、OSD、智能资源分配模式等参数进行配置，并可一键恢复为默认设置</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支持对镜头前盖玻璃加热，去除玻璃上的冰状和水状附着物</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具备较好的防护性能环境适应性，支持IP66，6kV防浪涌，工作温度范围可达-30℃-65℃</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支持定时抓图与事件抓图功能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双目超广角摄像机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传感器类型：1/2.7＂ CMOS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像素≥400万</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主码流视频分辨率与帧率为3840×1080@25fps，子码流视频分辨率与帧率为1920×540@25fps。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内置麦克风、扬声器，支持双向语音对讲</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最低照度彩色0.0005lx。</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白光灯开启时，可识别距离设备≥30米处的人体轮廓。</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支持背光补偿，强光抑制，3D数字降噪，120dB宽动态，适应不同监控环境</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在彩色模式下，当照度降低至一定值时，可自动开启白光灯进行补光，在白天、夜晚均可输出彩色视频图像。</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水平视场角不小于180°，垂直视场角不小于47°。</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内置GPU芯片。</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支持区域入侵、越界入侵、进入区域、离开区域智能行为分析功能，当智能分析行为达到设定的阈值时，可通过客户端软件或IE浏览器给出报警提示，报警检测目标可设置为人体、车辆、人体和车辆3种。</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具备智能报警防干扰功能，当在设定的检测区域内出现光线明暗变化、篮球滚动、狗行走、树摇晃时，不触发报警。</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具备目标过滤功能，可对目标大小范围进行设置，设备只对预设大小范围内的人员及机动车辆进行检测。</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支持DC12V或POE供电</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外壳防护能力应符合IP67要求。</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通道占用摄像机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传感器类型：1/2.7"  CMOS</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像素≥400万</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支持2688x1440@ 25fps，分辨力不小于1500TVL。</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内置GPU芯片。</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支持室内消防通道占用检测</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支持一对报警输入输出；支持一对音频输入输出</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支持宽动态范围达120dB，适合逆光环境监控</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可添加、修改、删除算法库，可支持不少于4个算法库。</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支持离线算法或在线加载和升级等操作，升级过程中样机输出的视频画面应连续稳定，升级完成后样机不应重启</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最低照度彩色：0.005 lx，黑白:0.001 lx，最大亮度鉴别等级不小于11级。</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红外补光距离不小于30米。</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需支持三码流技术。</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支持防水防尘等级不小于IP67。</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支持电源电压DC12V±20%的范围内正常工作，支持防反接保护和PoE供电。</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支持消防通道占用状态检测，可在设定时间和检测区域内实时分析是否存在占用消防通道的情况，并对符合条件的目标进行筛选、抓拍、统计、上报等处理。</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支持内置≥2个麦克风，≥1个扬声器，1个RS-485接口，1个电源反送接口</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智能摄像机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内置4个镜头，2个靶面尺寸为1/1.2"CMOS传感器，2个靶面尺寸为1/1.8"CMOS传感器。</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像素≥400万</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最大图像尺寸：通道1：3840×2160 通道2：2560×1440 通道3：3840×2160 通道4：2560×1440</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双镜头云台水平方向支持0°～180°旋转，垂直方向支持-5°～30°旋转。</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支持同步采集4路视频流，2路为全景通道，2路为细节通道，组成2组视频采集组，每组均由1路全景通道和1路细节通道组成</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内置不少于2颗GPU芯片，2个麦克风，1个扬声器。</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设备具有10颗混合补光灯，细节通道可识别距离设备150m处的人体轮廓。</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内置鳞镜式补光灯，补光灯开启后，灯光均匀无波纹、圆环状、麻点状、条纹状和不规则亮斑</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2个细节采集镜头均支持手动和电动变焦，自动调节光圈功能，支持一键聚焦</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设备具有2种模式：卡口模式和多镜头协同模式。卡口模式下支持4种预设场景：多向卡口-Y型、多向卡口-L型、多向卡口-一型、同向卡口、可实现一键布防。多镜头协同模式具有3种协同分析模式：关联去重、目标关联、轨迹关联。</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2个视频采集组均具有轨迹关联功能，细节镜头可抓拍、分析检测区域内的行人和非机动车，并在全景画面中叠加目标跟踪框、行进轨迹和方向。</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个细节通道均支持混合目标检测，可分别对检测区域中的行人、非机动车、机动车进行检测、跟踪、抓拍，支持抓拍人脸、车牌、非机动车车牌小图并上传，可在客户端将人脸与人体、车牌与车辆图片关联显示。</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具有BDS和GPS定位功能，可在画面上叠加设备所在位置的经纬度信息，支持定时上传设备的位置信息，定时周期可手动配置。</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支持智能资源模式切换：a)细节通道1和3支持全结构化（默认）、人脸抓拍、人脸比对、道路监控、Smart事件（深度学习）多种智能模式可按需切换；b)全景通道2和4支持Smart事件（深度学习）</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人脸抓拍模式：a)支持对运动人脸进行抓拍，支持性别、年龄、戴眼镜、戴口罩等9个人脸属性；b)支持人脸去误报、快速抓拍人脸；c)支持快速抓拍和最佳抓拍两种模式；d)支持人脸去重</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支持人脸比对模式：a)支持前端人脸比对；b)支持最多10个人脸库的管理，最多15万张人脸的导入；c)支持合计人脸库的存储空间最大3 GB，单张人脸不超过300 KB；d)支持不同人脸库不同时间布防；e)支持非授权名单比对成功报警输出；f)支持人脸瞳距20像素以上的人脸检测；g)支持人脸快速比对，最佳比对方式设置</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Smart事件模式：支持深度学习（越界侦测，区域入侵侦测，进入区域侦测，离开区域侦测，徘徊侦测，人员聚集侦测，快速运动侦测，停车侦测，物品遗留侦测，物品拿取侦测）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通道占用扬声器</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与通道占用摄像机联动配套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视频光电感应烟火灾探测报警器</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1、设备内置视频传感器和烟雾探测器</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2、传感器类型：1/3"  CMOS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3、烟雾和视频二合一，可探测烟雾进行报警，并通过视频复核</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4、设备应具有烟雾探测功能，当探测到的烟雾参数超过预定的阈值时，设备应自动产生烟雾报警。当发生断电时，设备应自动切换到采用电池供电，应仍能探测到烟雾进行报警。</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5、当探测到烟雾触发报警时，设备应支持在视频画面中叠加“烟雾报警”进行报警提示。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6、当探测到烟雾触发报警时，设备应联动摄像机自动抓图和录像，并保存报警图片和报警视频。</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7、设备应支持有线通讯与无线通讯两种通讯方式，其中有线通讯方式优先；当有线通讯网络切断时，应自动切换到无线通讯方式。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8、设备应支持采用4G运营商网络方式进行通信。</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9、设备应支持通过4G无线传输视频和烟雾报警信息。</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10、设备的镜头视场角应符合以下要求：水平视场角: 170°；垂直视场角: 160°。</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11、烟雾探测报警电流≤150 mA</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12、内置蜂鸣器，高分贝报警，烟雾探测报警音量≥85dB@3m </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13、支持烟感远程消音</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14、支持日夜两套参数独立配置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15、支持报警事件和设备状态信息上报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16、支持1路报警输出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17、本地报警方式：声、光报警</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18、支持外部DC 12 V供电，停电时切换到电池供电，烟雾探测报警器仍可正常工作。</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枪机支架</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壁装支架/白色/铝合金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球机支架</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壁装支架/白色/铝合金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球机电源</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24V</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传输系统(设备)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网线</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六类非屏蔽网线, (含隐蔽桥架阻燃管线施工）。无氧铜，直径：0.530，绝缘外径0.95,防火等级:CM，tr特性阻抗:100欧，时延差：≤45，直流电阻：9.38,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电源线</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RVV2*1.0(含隐蔽桥架防火管线施工）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光缆</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24芯单模万兆(含隐蔽地埋施工,深度0.8米、并设置防护层和防啮咬措施）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光纤收发器</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千兆单模，SC接口，20KM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光纤熔接终端盒</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12芯SC接口</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光纤跳线</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SC-SC，3米</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光纤熔接</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国标熔接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光纤ODF配线架</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24芯ODF光纤配线架，SC接口单模满配，19英寸机架式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监控专用设备箱</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定制</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16口接入交换机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1、配置：可用千兆PoE电接口数量≥16,千兆光口数量≥2</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2、交换容量：≥56Gbps，包转发率：≥41.67Mpps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3、支持IEEE 802.3at/af标准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4、支持IEEE 802.3、IEEE 802.3u、IEEE 802.3x、IEEE 802.3ab、IEEE 802.3z标准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5、支持安防网络拓扑管理、端口管理，支持远程升级</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6、支持6KV防浪涌（PoE口）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7、支持PoE输出功率管理，整机最大PoE输出功率≥230W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8、支持通过管理平台对交换机间不同的连接方式进行系统拓扑识别，包括网线连接、光纤连接、无线连接；支持通过管理平台展示链路详情，包括传输速率、链路两端设备信息和链路带宽告警。</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9、为保证整体系统稳定性，投标产品必须与摄像机、存储服务器为同一品牌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24口接入交换机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1、配置：配置：可用千兆PoE电接口数量≥24，千兆光口数量≥2</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2、交换容量：≥56Gbps，包转发率：≥41.67Mpps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3、支持IEEE 802.3at/af标准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4、支持IEEE 802.3、IEEE 802.3u、IEEE 802.3x、IEEE 802.3ab、IEEE 802.3z标准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5、支持安防网络拓扑管理、端口管理，支持远程升级</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6、支持6KV防浪涌（PoE口）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7、支持PoE输出功率管理，整机最大PoE输出功率≥370W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8、支持自适应802.3af/at供电标准，整机最大输出功率≥370W，支持POE过载保护/过压保护功能，支持POE上电/下电功率管理功能，支持POE看门狗功能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9、支持链路聚合、QoS、STP/RSTP、端口镜像、端口隔离、风暴抑制功能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10、为保证整体系统稳定性，投标产品必须与摄像机、存储服务器为同一品牌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汇聚交换机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1、配置：可用千兆电接口数量≥24，可用千兆光接口数量≥4</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2、交换容量：≥336Gbps/3.36Tbps,包转发率≥42Mpps/96Mpps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3、支持所有端口线速转发，满足了用户对高带宽的需求</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4、支持不同端口设备的混合堆叠，最大32台设备混合堆叠</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5、支持特有的ARP入侵检测功能，可有效防止黑客或攻击者通过ARP报文实施日趋盛行的“ARP欺骗攻击”</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6、支持端口安全特性族，可以有效防范基于MAC地址的攻击，实现基于MAC地址允许/限制流量。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7、支持端口限速以及流限速功能，防止恶意侵占网络带宽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8、支持端口7KV防雷</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9、支持802.3ad规定的链路聚合功能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10、支持按端口划分VLAN，支持VLAN TRUNK</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11、为保证整体系统稳定性，投标产品必须与摄像机、存储服务器为同一品牌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区域核心交换机</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1、配置：可用千兆电接口数量≥24，复用的千兆光口数量≥8，非复用万兆光接口数量≥4，支持1个扩展槽位，支持40G（QSFP+）端口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2、支持独立的console管理串口，≥1个带外管理口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3、交换容量：≥756Gbps/7.56Tbps，转发性能：≥222Mpps/396Mpps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4、设备内存容量≥2048Mbytes，端口平均转发时延≤3us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5、支持BFD for VRRP，BFD for IPv4路由，BFD for IPv6路由，策略路由，等价路由</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6、支持基于端口的VLAN；支持基于MAC的VLAN；支持基于协议的VLAN；支持QinQ；支持MVRP</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7、支持集中式MAC地址认证、802.1x认证、PORTAL认证，支持用户帐号、IP、MAC、VLAN、端口等用户标识元素的动态或静态绑定，同时实现用户策略（VLAN、QoS、ACL）的动态下发</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8、具备设备级和链路级的多重可靠性保护</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9、支持STP/RSTP/MSTP，支持RRPP快速环网保护协议，支持G.8032以太网环网协议ERPS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10、支持在平台上实现对接入的交换机和终端设备进行系统拓扑展示及管理，支持以不同图标展示接入设备间的连接方式，包括网线、光纤和无线连接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11、支持10KV业务端口防雷能力</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12、为保证整体系统稳定性，投标产品必须与摄像机、存储服务器为同一品牌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机房设备及软件模块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视频存储服务器</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1、单设备配置≥64位多核处理器，≥8GB内存，内存支持扩展到≥128GB，内置SSD固态硬盘和企业级硬盘</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2、标配≥2个千兆网口，2个USB3.0接口；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3、提供RAID0、1、3、5、6、10、50，60、JBOD、VRAID、iRAID模式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4、应能可对视音频、图片、智能数据流进行混合直存，无须存储服务器和图片服务器的参与，平台服务器宕机时，存储业务正常；</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5、应能接入并存储800Mbps视频图像，同时转发800Mbps的视频图像；同时回放128Mbps的视频图像；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6、可支持视频质量诊断功能，对图像的亮度、偏色、对比度、清晰度、视频丢失、条纹干扰、视频噪声、视频虚焦等特征进行实时分析，并以日志、报表和图形化方式显示结果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7、应能支持报警预录功能，应能预录报警触发前1-40min的视频录像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8、可在视频画面上绘制区域或界线，检索指定范围内的报警录像；输入车牌号码可检索出相关图片和视频；可按照报警事件进行检索。</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9、支持视频矫正功能，可将接入的鱼眼摄像机、双目摄像机和全景自拼接摄像机、智能相机、热成像摄像机的图像以多画面分割方式显示并进行调整；支持画中画通道视频显示和存储</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10、可对指定的录像段或指定事件的1个或多个前端的不同时间段的录像段添加标签，并自动备份到存档卷中，使之不会被覆盖删除。</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11、可根据事件名称查询所有相关联的不同前端或时间的录像段并进行回放和下载。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12、可通过IE浏览器对一台、多台样机或扩展柜中的磁盘进行定位，使对应的磁盘指示灯闪烁，闪烁的时长可设。</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13、在UI界面实时显示磁盘体检状态，对异常状态磁盘，可查看处理建议信息</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14、在冗余范围内元数据丢失时，可自动进行数据恢复，并保持业务不中断。</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存储硬盘</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20TB企业级AI盘</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通道占用喊话器</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联动前端通道占用摄像机与扬声器配套使用，坐式鹅颈话筒</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9"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视频接入模块</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1、支持编码设备通过协议接入平台，实现视频预览、录像回放、视频上墙、视频事件监控服务能力。</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2、支持视频实时预览能力，实现预览窗口布局切换、预览画面自适应及全屏切换；</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3、支持云台控制、实时抓图、紧急录像、即时回放、主子码流切换、声音开启\关闭、辅屏预览、对讲、广播、报警输出控制的能力；</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4、支持资源视图管理能力，以视图形式管理监控点、视频预览轮巡等自定义资源组，其中视图类型包含公有视图和私有视图；</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5、支持全景视频监控预览能力，支持球型鹰眼、全景摄像机的全景模式；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6、支持录像计划管理能力，支持实时录像计划、录像回传计划；</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7、支持录像回放能力，支持多画面同步回放和异步回放切换、超高倍速回放、分段回放、录像下载、录像剪辑、录像标签、录像锁定、录像抓图；</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8、支持视频预览与图片实时监控模式切换能力，实现图片监控模式；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9、支持图片查询回放能力，实现按监控点、时间段展示抓拍图片；</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10、支持图片自动播放能力，支持图片自动播放速度可设置；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11、支持图片下载能力；</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12、支持电视墙场景管理能力，实现场景窗口配置、场景切换计划配置以及轮巡计划的管理；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13、支持上墙控制能力，实现场景一键上墙、场景切换、电视墙切换、监控点上下墙、轮巡控制操作；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14、支持视频事件布撤防能力，可按计划模版进行布防，事件类型包括移动侦测、视频丢失、视频遮挡、报警输入、报警输出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15、与现有安防管理平台完全兼容，无缝接入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运维诊断模块</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1、支持图像模糊、图像过亮、图像偏色、图像过暗、图像过亮、视频抖动、视频丢帧、场景变换、视频遮挡、对比度、条纹干扰、噪声干扰、信号丢失、黑白图像指标诊断。</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2、支持码流分辨率、编码格式指标采集。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3、支持诊断对比图查看和诊断结果矫正功能。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4、支持巡检计划配置，可以按照类型和资源以及自定义的巡检周期进行巡检计划配置。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5、支持监控点图像质量统计报表，展现各类诊断故障数量。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6、支持GB28181、部标808等协议。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7、与现有安防管理平台完全兼容，无缝接入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智慧安防消防综合管理平台</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1、支持人员及组织管理、用户管理、安保区域管理、设备管理、图上监控、事件联动等功能。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2、与现有安防管理平台完全兼容，无缝接入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安消融合模块</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1、支持安消智能相机，支持通过视频监控对环境的温升异常报警、火点方位识别定位、人形识别、火焰图像识别、本地声光报警、视频中叠加报警信息、视频复合等功能，可实现离岗动火报警功能。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支持安消联动相机，具备无线外设管理功能，可对消防外设（烟感、燃气等）进行管理，当外设发生警情时可进行视频复核、事件及位置OSD叠加、遥控器紧急求助/消音等功能。可实现早起的火灾的报警及现场警情可视化复核管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3、支持可视化烟雾探测器，融合烟感探测、视频感知的同时支持视频智能分析。当感知到高温和烟雾时，可辅助视频智能分析，发出声光报警。</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4、支持智能分析仪，采用深度学习，通过AI智能识别，实现消控室值班人员在离岗检测、值班室人员持证上岗检测、消防通道占用检测、电瓶车违规停放检测以及烟雾检测等。</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5、与现有安防管理平台完全兼容，无缝接入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辅材及施工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壁挂机柜</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9U</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光纤收发器机架</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14槽收发器机架，19寸机架式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阻燃线管及辅材</w:t>
            </w:r>
          </w:p>
        </w:tc>
        <w:tc>
          <w:tcPr>
            <w:tcW w:w="6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适配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bl>
    <w:p>
      <w:pPr>
        <w:pStyle w:val="2"/>
        <w:pageBreakBefore w:val="0"/>
        <w:kinsoku/>
        <w:wordWrap/>
        <w:overflowPunct/>
        <w:topLinePunct w:val="0"/>
        <w:bidi w:val="0"/>
        <w:adjustRightInd/>
        <w:snapToGrid/>
        <w:spacing w:line="400" w:lineRule="exact"/>
        <w:ind w:left="0" w:leftChars="0" w:firstLine="0" w:firstLineChars="0"/>
        <w:rPr>
          <w:rFonts w:hint="eastAsia" w:ascii="仿宋_GB2312" w:hAnsi="仿宋_GB2312" w:eastAsia="仿宋_GB2312" w:cs="仿宋_GB2312"/>
          <w:sz w:val="28"/>
          <w:szCs w:val="28"/>
        </w:rPr>
      </w:pPr>
    </w:p>
    <w:p>
      <w:pPr>
        <w:pageBreakBefore w:val="0"/>
        <w:kinsoku/>
        <w:wordWrap/>
        <w:overflowPunct/>
        <w:topLinePunct w:val="0"/>
        <w:bidi w:val="0"/>
        <w:adjustRightInd/>
        <w:snapToGrid/>
        <w:spacing w:line="400" w:lineRule="exact"/>
        <w:ind w:firstLine="0" w:firstLineChars="0"/>
        <w:rPr>
          <w:rFonts w:hint="eastAsia" w:ascii="仿宋_GB2312" w:hAnsi="仿宋_GB2312" w:eastAsia="仿宋_GB2312" w:cs="仿宋_GB2312"/>
          <w:sz w:val="28"/>
          <w:szCs w:val="28"/>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8"/>
          <w:szCs w:val="28"/>
          <w:lang w:val="en-US" w:eastAsia="zh-CN"/>
        </w:rPr>
      </w:pPr>
      <w:r>
        <w:rPr>
          <w:rFonts w:hint="eastAsia" w:ascii="仿宋_GB2312" w:hAnsi="仿宋_GB2312" w:eastAsia="仿宋_GB2312" w:cs="仿宋_GB2312"/>
          <w:b/>
          <w:bCs/>
          <w:color w:val="auto"/>
          <w:sz w:val="28"/>
          <w:szCs w:val="28"/>
          <w:lang w:eastAsia="zh-CN"/>
        </w:rPr>
        <w:t>备注：1、</w:t>
      </w:r>
      <w:r>
        <w:rPr>
          <w:rFonts w:hint="eastAsia" w:ascii="仿宋_GB2312" w:hAnsi="仿宋_GB2312" w:eastAsia="仿宋_GB2312" w:cs="仿宋_GB2312"/>
          <w:b/>
          <w:bCs/>
          <w:color w:val="auto"/>
          <w:sz w:val="28"/>
          <w:szCs w:val="28"/>
          <w:lang w:val="en-US" w:eastAsia="zh-CN"/>
        </w:rPr>
        <w:t>以上技术参数均接受负偏离</w:t>
      </w:r>
      <w:r>
        <w:rPr>
          <w:rFonts w:hint="eastAsia" w:ascii="仿宋_GB2312" w:hAnsi="仿宋_GB2312" w:eastAsia="仿宋_GB2312" w:cs="仿宋_GB2312"/>
          <w:b/>
          <w:bCs/>
          <w:color w:val="auto"/>
          <w:sz w:val="28"/>
          <w:szCs w:val="28"/>
          <w:lang w:eastAsia="zh-CN"/>
        </w:rPr>
        <w:t>；2、核心产品为</w:t>
      </w:r>
      <w:r>
        <w:rPr>
          <w:rFonts w:hint="eastAsia" w:ascii="仿宋_GB2312" w:hAnsi="仿宋_GB2312" w:eastAsia="仿宋_GB2312" w:cs="仿宋_GB2312"/>
          <w:b/>
          <w:bCs/>
          <w:color w:val="auto"/>
          <w:sz w:val="28"/>
          <w:szCs w:val="28"/>
          <w:lang w:val="en-US" w:eastAsia="zh-CN"/>
        </w:rPr>
        <w:t>高清枪式摄像机</w:t>
      </w:r>
      <w:r>
        <w:rPr>
          <w:rFonts w:hint="eastAsia" w:ascii="仿宋_GB2312" w:hAnsi="仿宋_GB2312" w:eastAsia="仿宋_GB2312" w:cs="仿宋_GB2312"/>
          <w:b/>
          <w:bCs/>
          <w:color w:val="auto"/>
          <w:sz w:val="28"/>
          <w:szCs w:val="28"/>
          <w:lang w:eastAsia="zh-CN"/>
        </w:rPr>
        <w:t>。</w:t>
      </w:r>
    </w:p>
    <w:p>
      <w:pPr>
        <w:pStyle w:val="3"/>
        <w:jc w:val="center"/>
        <w:rPr>
          <w:rFonts w:hint="eastAsia" w:ascii="华文仿宋" w:hAnsi="华文仿宋" w:cs="华文仿宋"/>
          <w:color w:val="auto"/>
        </w:rPr>
      </w:pPr>
      <w:r>
        <w:rPr>
          <w:rFonts w:ascii="宋体" w:hAnsi="宋体" w:eastAsia="宋体" w:cs="宋体"/>
          <w:color w:val="auto"/>
          <w:sz w:val="21"/>
          <w:szCs w:val="21"/>
        </w:rPr>
        <w:br w:type="page"/>
      </w:r>
      <w:bookmarkStart w:id="192" w:name="_Toc10371"/>
      <w:bookmarkStart w:id="193" w:name="_Toc35871571"/>
      <w:bookmarkStart w:id="194" w:name="_Toc19317"/>
      <w:bookmarkStart w:id="195" w:name="_Toc12628"/>
      <w:bookmarkStart w:id="196" w:name="_Toc14089"/>
      <w:bookmarkStart w:id="197" w:name="_Toc18466_WPSOffice_Level1"/>
      <w:bookmarkStart w:id="198" w:name="_Toc495012773"/>
      <w:bookmarkStart w:id="199" w:name="_Toc445306495"/>
      <w:bookmarkStart w:id="200" w:name="_Toc784_WPSOffice_Level1"/>
      <w:bookmarkStart w:id="201" w:name="_Toc495014922"/>
      <w:bookmarkStart w:id="202" w:name="_Toc495014651"/>
      <w:bookmarkStart w:id="203" w:name="_Toc495012823"/>
      <w:bookmarkStart w:id="204" w:name="_Toc495014587"/>
      <w:bookmarkStart w:id="205" w:name="_Toc495014956"/>
      <w:bookmarkStart w:id="206" w:name="_Toc18484_WPSOffice_Level1"/>
      <w:bookmarkStart w:id="207" w:name="_Toc495014613"/>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一、</w:t>
      </w:r>
      <w:r>
        <w:rPr>
          <w:rFonts w:hint="eastAsia" w:ascii="华文仿宋" w:hAnsi="华文仿宋" w:cs="华文仿宋"/>
          <w:b/>
          <w:bCs/>
          <w:color w:val="000000"/>
          <w:kern w:val="0"/>
          <w:sz w:val="28"/>
          <w:szCs w:val="28"/>
          <w:lang w:val="en-US" w:eastAsia="zh-CN" w:bidi="ar"/>
        </w:rPr>
        <w:t>基本条件</w:t>
      </w:r>
      <w:r>
        <w:rPr>
          <w:rFonts w:hint="eastAsia" w:ascii="华文仿宋" w:hAnsi="华文仿宋" w:eastAsia="华文仿宋" w:cs="华文仿宋"/>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color w:val="000000"/>
          <w:kern w:val="0"/>
          <w:sz w:val="28"/>
          <w:szCs w:val="28"/>
          <w:lang w:val="en-US" w:eastAsia="zh-CN" w:bidi="ar"/>
        </w:rPr>
        <w:t>（一）</w:t>
      </w:r>
      <w:r>
        <w:rPr>
          <w:rFonts w:hint="eastAsia" w:ascii="华文仿宋" w:hAnsi="华文仿宋" w:cs="华文仿宋"/>
          <w:color w:val="000000"/>
          <w:kern w:val="0"/>
          <w:sz w:val="28"/>
          <w:szCs w:val="28"/>
          <w:lang w:val="en-US" w:eastAsia="zh-CN" w:bidi="ar"/>
        </w:rPr>
        <w:t>交货</w:t>
      </w:r>
      <w:r>
        <w:rPr>
          <w:rFonts w:hint="eastAsia" w:ascii="华文仿宋" w:hAnsi="华文仿宋" w:eastAsia="华文仿宋" w:cs="华文仿宋"/>
          <w:color w:val="000000"/>
          <w:kern w:val="0"/>
          <w:sz w:val="28"/>
          <w:szCs w:val="28"/>
          <w:lang w:val="en-US" w:eastAsia="zh-CN" w:bidi="ar"/>
        </w:rPr>
        <w:t>地点</w:t>
      </w:r>
      <w:r>
        <w:rPr>
          <w:rFonts w:hint="eastAsia" w:ascii="华文仿宋" w:hAnsi="华文仿宋" w:eastAsia="华文仿宋" w:cs="华文仿宋"/>
          <w:color w:val="000000"/>
          <w:kern w:val="0"/>
          <w:sz w:val="28"/>
          <w:szCs w:val="28"/>
          <w:highlight w:val="none"/>
          <w:lang w:val="en-US" w:eastAsia="zh-CN" w:bidi="ar"/>
        </w:rPr>
        <w:t>：</w:t>
      </w:r>
      <w:r>
        <w:rPr>
          <w:rFonts w:hint="eastAsia" w:ascii="华文仿宋" w:hAnsi="华文仿宋" w:cs="华文仿宋"/>
          <w:color w:val="000000"/>
          <w:kern w:val="0"/>
          <w:sz w:val="28"/>
          <w:szCs w:val="28"/>
          <w:highlight w:val="none"/>
          <w:lang w:val="en-US" w:eastAsia="zh-CN" w:bidi="ar"/>
        </w:rPr>
        <w:t>汉中市中心医院</w:t>
      </w:r>
      <w:r>
        <w:rPr>
          <w:rFonts w:hint="eastAsia" w:ascii="华文仿宋" w:hAnsi="华文仿宋" w:eastAsia="华文仿宋" w:cs="华文仿宋"/>
          <w:color w:val="000000"/>
          <w:kern w:val="0"/>
          <w:sz w:val="28"/>
          <w:szCs w:val="28"/>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华文仿宋" w:hAnsi="华文仿宋" w:eastAsia="华文仿宋" w:cs="华文仿宋"/>
          <w:sz w:val="28"/>
          <w:szCs w:val="28"/>
          <w:highlight w:val="none"/>
          <w:lang w:val="en-US"/>
        </w:rPr>
      </w:pPr>
      <w:r>
        <w:rPr>
          <w:rFonts w:hint="eastAsia" w:ascii="华文仿宋" w:hAnsi="华文仿宋" w:eastAsia="华文仿宋" w:cs="华文仿宋"/>
          <w:color w:val="000000"/>
          <w:kern w:val="0"/>
          <w:sz w:val="28"/>
          <w:szCs w:val="28"/>
          <w:highlight w:val="none"/>
          <w:lang w:val="en-US" w:eastAsia="zh-CN" w:bidi="ar"/>
        </w:rPr>
        <w:t>（二）交货期：</w:t>
      </w:r>
      <w:r>
        <w:rPr>
          <w:rFonts w:hint="eastAsia" w:ascii="华文仿宋" w:hAnsi="华文仿宋" w:cs="华文仿宋"/>
          <w:color w:val="000000"/>
          <w:kern w:val="0"/>
          <w:sz w:val="28"/>
          <w:szCs w:val="28"/>
          <w:highlight w:val="none"/>
          <w:lang w:val="en-US" w:eastAsia="zh-CN" w:bidi="ar"/>
        </w:rPr>
        <w:t>签订合同后45天内。</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color w:val="000000"/>
          <w:kern w:val="0"/>
          <w:sz w:val="28"/>
          <w:szCs w:val="28"/>
          <w:highlight w:val="none"/>
          <w:lang w:val="en-US" w:eastAsia="zh-CN" w:bidi="ar"/>
        </w:rPr>
        <w:t>（三）质保期：</w:t>
      </w:r>
      <w:r>
        <w:rPr>
          <w:rFonts w:hint="eastAsia" w:ascii="华文仿宋" w:hAnsi="华文仿宋" w:cs="华文仿宋"/>
          <w:color w:val="000000"/>
          <w:kern w:val="0"/>
          <w:sz w:val="28"/>
          <w:szCs w:val="28"/>
          <w:highlight w:val="none"/>
          <w:lang w:val="en-US" w:eastAsia="zh-CN" w:bidi="ar"/>
        </w:rPr>
        <w:t>三</w:t>
      </w:r>
      <w:r>
        <w:rPr>
          <w:rFonts w:hint="eastAsia" w:ascii="华文仿宋" w:hAnsi="华文仿宋" w:eastAsia="华文仿宋" w:cs="华文仿宋"/>
          <w:color w:val="000000"/>
          <w:kern w:val="0"/>
          <w:sz w:val="28"/>
          <w:szCs w:val="28"/>
          <w:highlight w:val="none"/>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（三）</w:t>
      </w:r>
      <w:r>
        <w:rPr>
          <w:rFonts w:hint="eastAsia" w:ascii="华文仿宋" w:hAnsi="华文仿宋" w:eastAsia="华文仿宋" w:cs="华文仿宋"/>
          <w:color w:val="000000"/>
          <w:kern w:val="0"/>
          <w:sz w:val="28"/>
          <w:szCs w:val="28"/>
          <w:highlight w:val="none"/>
          <w:lang w:val="en-US" w:eastAsia="zh-CN" w:bidi="ar"/>
        </w:rPr>
        <w:t>结算方式：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color w:val="000000"/>
          <w:kern w:val="0"/>
          <w:sz w:val="28"/>
          <w:szCs w:val="28"/>
          <w:highlight w:val="none"/>
          <w:lang w:val="en-US" w:eastAsia="zh-CN" w:bidi="ar"/>
        </w:rPr>
      </w:pPr>
      <w:r>
        <w:rPr>
          <w:rFonts w:hint="eastAsia" w:ascii="华文仿宋" w:hAnsi="华文仿宋" w:cs="华文仿宋"/>
          <w:color w:val="000000"/>
          <w:kern w:val="0"/>
          <w:sz w:val="28"/>
          <w:szCs w:val="28"/>
          <w:highlight w:val="none"/>
          <w:lang w:val="en-US" w:eastAsia="zh-CN" w:bidi="ar"/>
        </w:rPr>
        <w:t>项目</w:t>
      </w:r>
      <w:r>
        <w:rPr>
          <w:rFonts w:hint="eastAsia" w:ascii="华文仿宋" w:hAnsi="华文仿宋" w:eastAsia="华文仿宋" w:cs="华文仿宋"/>
          <w:color w:val="000000"/>
          <w:kern w:val="0"/>
          <w:sz w:val="28"/>
          <w:szCs w:val="28"/>
          <w:highlight w:val="none"/>
          <w:lang w:val="en-US" w:eastAsia="zh-CN" w:bidi="ar"/>
        </w:rPr>
        <w:t>验收合格</w:t>
      </w:r>
      <w:r>
        <w:rPr>
          <w:rFonts w:hint="eastAsia" w:ascii="华文仿宋" w:hAnsi="华文仿宋" w:cs="华文仿宋"/>
          <w:color w:val="000000"/>
          <w:kern w:val="0"/>
          <w:sz w:val="28"/>
          <w:szCs w:val="28"/>
          <w:highlight w:val="none"/>
          <w:lang w:val="en-US" w:eastAsia="zh-CN" w:bidi="ar"/>
        </w:rPr>
        <w:t>后60天内</w:t>
      </w:r>
      <w:r>
        <w:rPr>
          <w:rFonts w:hint="eastAsia" w:ascii="华文仿宋" w:hAnsi="华文仿宋" w:eastAsia="华文仿宋" w:cs="华文仿宋"/>
          <w:color w:val="000000"/>
          <w:kern w:val="0"/>
          <w:sz w:val="28"/>
          <w:szCs w:val="28"/>
          <w:highlight w:val="none"/>
          <w:lang w:val="en-US" w:eastAsia="zh-CN" w:bidi="ar"/>
        </w:rPr>
        <w:t>采购人</w:t>
      </w:r>
      <w:r>
        <w:rPr>
          <w:rFonts w:hint="eastAsia" w:ascii="华文仿宋" w:hAnsi="华文仿宋" w:cs="华文仿宋"/>
          <w:color w:val="000000"/>
          <w:kern w:val="0"/>
          <w:sz w:val="28"/>
          <w:szCs w:val="28"/>
          <w:highlight w:val="none"/>
          <w:lang w:val="en-US" w:eastAsia="zh-CN" w:bidi="ar"/>
        </w:rPr>
        <w:t>支付全部合同金额</w:t>
      </w:r>
      <w:r>
        <w:rPr>
          <w:rFonts w:hint="eastAsia" w:ascii="华文仿宋" w:hAnsi="华文仿宋" w:eastAsia="华文仿宋" w:cs="华文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四、包装运输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1、运输由成交供应商负责，运杂费已包含在合同总价内。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2、运输方式由成交供应商自行选择，但必须保证按期交付。不得断货，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因断货造成的损失由成交供货商负责赔偿。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3、产品及其备附件的包装必须是制造商原厂包装，其包装均应有良好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的防湿、防锈、防潮、防雨、防腐及防碰撞的措施。包装内应附有详细的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装箱清单、出厂合格证明及其他相关资料。凡由于包装不良造成的损失和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由此产生的费用均由成交供应商承担。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4、成交供应商负责将货物材料货到现场过程中的全部运输，包括装卸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车、货物现场的搬运、安装、调试。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5、各种货物必须提供装箱清单，按装箱清单验收货物。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ascii="华文仿宋" w:hAnsi="华文仿宋" w:eastAsia="华文仿宋" w:cs="华文仿宋"/>
          <w:color w:val="000000"/>
          <w:kern w:val="0"/>
          <w:sz w:val="28"/>
          <w:szCs w:val="28"/>
          <w:lang w:val="en-US" w:eastAsia="zh-CN" w:bidi="ar"/>
        </w:rPr>
        <w:t xml:space="preserve">6、货物在现场的保管由成交供应商负责，直至项目安装、验收完毕。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7、货物至采购人指定的使用现场的包装、保险及发运等环节和费用均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由成交供应商负责。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8、施工期间，成交供应商必须保护采购人的场地及各类设施，并做好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场地的卫生保洁工作。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9、本项目投标总报价包括项目所需软件、硬件、配件、包装、运杂、安装调试、基础施工、管理费、人工、材料、机械及利润、税金、各项规 费等从项目成交起到项目验收合格并正式交付使用以及质保期内所发生的 一切费用。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五、质量保障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1.保证所供产品的设计、制造、产品性能、材料的选择和材料的检验及产品的测试等，均应按国家的现行标准和相应的技术规范执行，这些标</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准和技术规范应为合同签订日为止最新公布发行的标准和技术规范。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2.保证所供产品进货渠道正规，无假货、水货或翻新货，并能按期交付。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3.保证所供产品在装卸、运输和仓储过程中有足够的包装保护，防止产品受潮、锈蚀、遭受冲撞及其他不可预见的损坏。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4.供应商所供产品因侵权而产生的一切后果由供应商负责，采购人保</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留索赔权力。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六、验收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1.现场验收：产品及其备附件到达指定地点后，采购人根据合同要求，</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在双方相关负责人双方同时在场的情况下，进行外观验收，确认产地、规 格、型号和数量。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2.最终验收：产品安装调试和运行后，经采购人确认后，组织供应商进行系统验收，</w:t>
      </w:r>
      <w:r>
        <w:rPr>
          <w:rFonts w:hint="eastAsia" w:ascii="华文仿宋" w:hAnsi="华文仿宋" w:cs="华文仿宋"/>
          <w:color w:val="000000"/>
          <w:kern w:val="0"/>
          <w:sz w:val="28"/>
          <w:szCs w:val="28"/>
          <w:lang w:val="en-US" w:eastAsia="zh-CN" w:bidi="ar"/>
        </w:rPr>
        <w:t>必要时</w:t>
      </w:r>
      <w:r>
        <w:rPr>
          <w:rFonts w:hint="eastAsia" w:ascii="华文仿宋" w:hAnsi="华文仿宋" w:eastAsia="华文仿宋" w:cs="华文仿宋"/>
          <w:color w:val="000000"/>
          <w:kern w:val="0"/>
          <w:sz w:val="28"/>
          <w:szCs w:val="28"/>
          <w:lang w:val="en-US" w:eastAsia="zh-CN" w:bidi="ar"/>
        </w:rPr>
        <w:t xml:space="preserve">采购人将委托具有相关资质的第三方检测机构/技术专家对产品进行系统验收。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产品经采购人根据合同要求，进行验收，确认规格、质量和数量。验</w:t>
      </w:r>
      <w:r>
        <w:rPr>
          <w:rFonts w:ascii="华文仿宋" w:hAnsi="华文仿宋" w:eastAsia="华文仿宋" w:cs="华文仿宋"/>
          <w:color w:val="000000"/>
          <w:kern w:val="0"/>
          <w:sz w:val="28"/>
          <w:szCs w:val="28"/>
          <w:lang w:val="en-US" w:eastAsia="zh-CN" w:bidi="ar"/>
        </w:rPr>
        <w:t xml:space="preserve">收依据：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3、验收依据及交付标准和方法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（1）</w:t>
      </w:r>
      <w:r>
        <w:rPr>
          <w:rFonts w:hint="eastAsia" w:ascii="华文仿宋" w:hAnsi="华文仿宋" w:cs="华文仿宋"/>
          <w:color w:val="000000"/>
          <w:kern w:val="0"/>
          <w:sz w:val="28"/>
          <w:szCs w:val="28"/>
          <w:lang w:val="en-US" w:eastAsia="zh-CN" w:bidi="ar"/>
        </w:rPr>
        <w:t>磋商</w:t>
      </w:r>
      <w:r>
        <w:rPr>
          <w:rFonts w:hint="eastAsia" w:ascii="华文仿宋" w:hAnsi="华文仿宋" w:eastAsia="华文仿宋" w:cs="华文仿宋"/>
          <w:color w:val="000000"/>
          <w:kern w:val="0"/>
          <w:sz w:val="28"/>
          <w:szCs w:val="28"/>
          <w:lang w:val="en-US" w:eastAsia="zh-CN" w:bidi="ar"/>
        </w:rPr>
        <w:t xml:space="preserve">文件、响应文件、澄清表（函）；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（2）本合同及附件文本；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（3）合同签订时国家及行业现行的标准和技术规范。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（4）供应商应向采购人提交项目实施过程中的所有资料，以便采购人日后管理和维护。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八、争议解决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九、合同生效及其他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3、未尽事宜由双方在签订合同时具体明确。</w:t>
      </w:r>
    </w:p>
    <w:p>
      <w:pPr>
        <w:spacing w:line="240" w:lineRule="auto"/>
        <w:jc w:val="left"/>
        <w:rPr>
          <w:rFonts w:ascii="黑体" w:hAnsi="黑体" w:eastAsia="黑体"/>
          <w:b/>
          <w:bCs/>
          <w:color w:val="auto"/>
          <w:kern w:val="44"/>
          <w:sz w:val="32"/>
          <w:szCs w:val="32"/>
        </w:rPr>
      </w:pPr>
      <w:r>
        <w:rPr>
          <w:rFonts w:ascii="黑体" w:hAnsi="黑体" w:eastAsia="黑体"/>
          <w:bCs/>
          <w:color w:val="auto"/>
          <w:sz w:val="32"/>
          <w:szCs w:val="32"/>
        </w:rPr>
        <w:br w:type="page"/>
      </w:r>
    </w:p>
    <w:p>
      <w:pPr>
        <w:pStyle w:val="3"/>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1"/>
        <w:rPr>
          <w:color w:val="auto"/>
        </w:rPr>
      </w:pPr>
    </w:p>
    <w:p>
      <w:pPr>
        <w:pStyle w:val="41"/>
        <w:rPr>
          <w:color w:val="auto"/>
        </w:rPr>
      </w:pPr>
    </w:p>
    <w:p>
      <w:pPr>
        <w:pStyle w:val="41"/>
        <w:rPr>
          <w:color w:val="auto"/>
        </w:rPr>
      </w:pPr>
    </w:p>
    <w:p>
      <w:pPr>
        <w:pStyle w:val="41"/>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1"/>
        <w:rPr>
          <w:color w:val="auto"/>
          <w:sz w:val="20"/>
        </w:rPr>
      </w:pPr>
    </w:p>
    <w:p>
      <w:pPr>
        <w:pStyle w:val="38"/>
        <w:spacing w:line="240" w:lineRule="auto"/>
        <w:ind w:firstLine="253" w:firstLineChars="70"/>
        <w:jc w:val="center"/>
        <w:rPr>
          <w:rFonts w:ascii="宋体" w:hAnsi="宋体" w:eastAsia="宋体"/>
          <w:color w:val="auto"/>
          <w:sz w:val="36"/>
          <w:szCs w:val="36"/>
        </w:rPr>
      </w:pPr>
    </w:p>
    <w:p>
      <w:pPr>
        <w:pStyle w:val="38"/>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6293"/>
      <w:bookmarkStart w:id="210" w:name="_Toc257"/>
      <w:bookmarkStart w:id="211" w:name="_Toc24786"/>
      <w:bookmarkStart w:id="212" w:name="_Toc23235"/>
      <w:bookmarkStart w:id="213" w:name="_Toc10248"/>
      <w:bookmarkStart w:id="214" w:name="_Toc6132"/>
      <w:bookmarkStart w:id="215" w:name="_Toc26349"/>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8"/>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6733"/>
      <w:bookmarkStart w:id="218" w:name="_Toc76"/>
      <w:bookmarkStart w:id="219" w:name="_Toc17700"/>
      <w:bookmarkStart w:id="220" w:name="_Toc20481"/>
      <w:bookmarkStart w:id="221" w:name="_Toc19569"/>
      <w:bookmarkStart w:id="222" w:name="_Toc8257"/>
      <w:bookmarkStart w:id="223" w:name="_Toc13950"/>
      <w:bookmarkStart w:id="224" w:name="_Toc26378"/>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8"/>
        <w:spacing w:line="240" w:lineRule="auto"/>
        <w:ind w:firstLine="0" w:firstLineChars="0"/>
        <w:jc w:val="center"/>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hint="eastAsia" w:ascii="仿宋_GB2312" w:hAnsi="仿宋_GB2312" w:eastAsia="仿宋_GB2312" w:cs="仿宋_GB2312"/>
          <w:color w:val="auto"/>
          <w:sz w:val="36"/>
        </w:rPr>
      </w:pPr>
    </w:p>
    <w:p>
      <w:pPr>
        <w:pStyle w:val="38"/>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24486"/>
      <w:bookmarkStart w:id="226" w:name="_Toc22280"/>
      <w:bookmarkStart w:id="227" w:name="_Toc2030"/>
      <w:bookmarkStart w:id="228" w:name="_Toc24457"/>
      <w:bookmarkStart w:id="229" w:name="_Toc23171"/>
      <w:bookmarkStart w:id="230" w:name="_Toc12627"/>
      <w:bookmarkStart w:id="231" w:name="_Toc15913"/>
      <w:bookmarkStart w:id="232" w:name="_Toc15354"/>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29966"/>
      <w:bookmarkStart w:id="235" w:name="_Toc15987"/>
      <w:bookmarkStart w:id="236" w:name="_Toc5428"/>
      <w:bookmarkStart w:id="237" w:name="_Toc11267"/>
      <w:bookmarkStart w:id="238" w:name="_Toc1120"/>
      <w:bookmarkStart w:id="239" w:name="_Toc21054"/>
      <w:bookmarkStart w:id="240" w:name="_Toc22519"/>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8"/>
        <w:spacing w:line="240" w:lineRule="auto"/>
        <w:ind w:firstLine="1452" w:firstLineChars="400"/>
        <w:jc w:val="left"/>
        <w:outlineLvl w:val="0"/>
        <w:rPr>
          <w:rFonts w:hint="eastAsia" w:ascii="仿宋" w:hAnsi="仿宋" w:eastAsia="仿宋" w:cs="仿宋"/>
          <w:color w:val="auto"/>
          <w:sz w:val="36"/>
          <w:szCs w:val="36"/>
          <w:u w:val="single"/>
        </w:rPr>
      </w:pPr>
      <w:bookmarkStart w:id="242" w:name="_Toc7734"/>
      <w:bookmarkStart w:id="243" w:name="_Toc21702"/>
      <w:bookmarkStart w:id="244" w:name="_Toc9715"/>
      <w:bookmarkStart w:id="245" w:name="_Toc26250"/>
      <w:bookmarkStart w:id="246" w:name="_Toc24294"/>
      <w:bookmarkStart w:id="247" w:name="_Toc880"/>
      <w:bookmarkStart w:id="248" w:name="_Toc15429"/>
      <w:bookmarkStart w:id="249" w:name="_Toc5243"/>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8"/>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1571_WPSOffice_Level1"/>
      <w:bookmarkStart w:id="251" w:name="_Toc22476_WPSOffice_Level1"/>
      <w:bookmarkStart w:id="252" w:name="_Toc2071_WPSOffice_Level1"/>
      <w:bookmarkStart w:id="253" w:name="_Toc31082_WPSOffice_Level1"/>
      <w:r>
        <w:rPr>
          <w:rFonts w:ascii="华文仿宋" w:hAnsi="华文仿宋" w:cs="华文仿宋"/>
          <w:color w:val="auto"/>
          <w:sz w:val="36"/>
        </w:rPr>
        <w:br w:type="page"/>
      </w:r>
    </w:p>
    <w:p>
      <w:pPr>
        <w:pStyle w:val="42"/>
        <w:rPr>
          <w:rFonts w:hint="eastAsia" w:ascii="黑体" w:hAnsi="黑体" w:eastAsia="黑体" w:cs="黑体"/>
          <w:b w:val="0"/>
          <w:bCs w:val="0"/>
          <w:color w:val="auto"/>
          <w:sz w:val="36"/>
          <w:szCs w:val="36"/>
        </w:rPr>
      </w:pPr>
      <w:bookmarkStart w:id="254" w:name="_Toc23450"/>
      <w:bookmarkStart w:id="255" w:name="_Toc27037"/>
      <w:bookmarkStart w:id="256" w:name="_Toc11156"/>
      <w:bookmarkStart w:id="257" w:name="_Toc10193"/>
      <w:bookmarkStart w:id="258" w:name="_Toc24906"/>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19993_WPSOffice_Level1"/>
      <w:bookmarkStart w:id="260" w:name="_Toc26192_WPSOffice_Level1"/>
      <w:bookmarkStart w:id="261" w:name="_Toc25537_WPSOffice_Level1"/>
      <w:bookmarkStart w:id="262" w:name="_Toc8294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14464_WPSOffice_Level2"/>
      <w:bookmarkStart w:id="264" w:name="_Toc19993_WPSOffice_Level2"/>
      <w:bookmarkStart w:id="265" w:name="_Toc25969_WPSOffice_Level2"/>
      <w:bookmarkStart w:id="266" w:name="_Toc31082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27026_WPSOffice_Level2"/>
      <w:bookmarkStart w:id="268" w:name="_Toc25537_WPSOffice_Level2"/>
      <w:bookmarkStart w:id="269" w:name="_Toc10078_WPSOffice_Level2"/>
      <w:bookmarkStart w:id="270" w:name="_Toc5830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22808_WPSOffice_Level2"/>
      <w:bookmarkStart w:id="272" w:name="_Toc6392_WPSOffice_Level2"/>
      <w:bookmarkStart w:id="273" w:name="_Toc30252_WPSOffice_Level2"/>
      <w:bookmarkStart w:id="274" w:name="_Toc17853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27464_WPSOffice_Level2"/>
      <w:bookmarkStart w:id="276" w:name="_Toc25958_WPSOffice_Level2"/>
      <w:bookmarkStart w:id="277" w:name="_Toc26939_WPSOffice_Level2"/>
      <w:bookmarkStart w:id="278" w:name="_Toc6376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25801_WPSOffice_Level2"/>
      <w:bookmarkStart w:id="280" w:name="_Toc17511_WPSOffice_Level2"/>
      <w:bookmarkStart w:id="281" w:name="_Toc3534_WPSOffice_Level2"/>
      <w:bookmarkStart w:id="282" w:name="_Toc10792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5115_WPSOffice_Level2"/>
      <w:bookmarkStart w:id="284" w:name="_Toc17236_WPSOffice_Level2"/>
      <w:bookmarkStart w:id="285" w:name="_Toc12145_WPSOffice_Level2"/>
      <w:bookmarkStart w:id="286" w:name="_Toc2119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87" w:name="_Toc28184_WPSOffice_Level1"/>
      <w:bookmarkStart w:id="288" w:name="_Toc22849_WPSOffice_Level1"/>
      <w:bookmarkStart w:id="289" w:name="_Toc30252_WPSOffice_Level1"/>
      <w:bookmarkStart w:id="290"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5795_WPSOffice_Level2"/>
      <w:bookmarkStart w:id="292" w:name="_Toc28631_WPSOffice_Level2"/>
      <w:bookmarkStart w:id="293" w:name="_Toc7348_WPSOffice_Level2"/>
      <w:bookmarkStart w:id="294" w:name="_Toc183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1168_WPSOffice_Level2"/>
      <w:bookmarkStart w:id="296" w:name="_Toc8116_WPSOffice_Level2"/>
      <w:bookmarkStart w:id="297" w:name="_Toc27223_WPSOffice_Level2"/>
      <w:bookmarkStart w:id="298" w:name="_Toc9021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3525_WPSOffice_Level2"/>
      <w:bookmarkStart w:id="300" w:name="_Toc29414_WPSOffice_Level2"/>
      <w:bookmarkStart w:id="301" w:name="_Toc27170_WPSOffice_Level2"/>
      <w:bookmarkStart w:id="302" w:name="_Toc1163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18811_WPSOffice_Level2"/>
      <w:bookmarkStart w:id="304" w:name="_Toc1782_WPSOffice_Level2"/>
      <w:bookmarkStart w:id="305" w:name="_Toc20504_WPSOffice_Level2"/>
      <w:bookmarkStart w:id="306" w:name="_Toc31457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13258_WPSOffice_Level2"/>
      <w:bookmarkStart w:id="308" w:name="_Toc28279_WPSOffice_Level2"/>
      <w:bookmarkStart w:id="309" w:name="_Toc17428_WPSOffice_Level2"/>
      <w:bookmarkStart w:id="310" w:name="_Toc19486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7464_WPSOffice_Level1"/>
      <w:bookmarkStart w:id="312" w:name="_Toc21905_WPSOffice_Level1"/>
      <w:bookmarkStart w:id="313" w:name="_Toc22808_WPSOffice_Level1"/>
      <w:bookmarkStart w:id="314" w:name="_Toc23092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980_WPSOffice_Level2"/>
      <w:bookmarkStart w:id="317" w:name="_Toc8316_WPSOffice_Level2"/>
      <w:bookmarkStart w:id="318" w:name="_Toc7544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2999_WPSOffice_Level2"/>
      <w:bookmarkStart w:id="320" w:name="_Toc15474_WPSOffice_Level2"/>
      <w:bookmarkStart w:id="321" w:name="_Toc10127_WPSOffice_Level2"/>
      <w:bookmarkStart w:id="322" w:name="_Toc298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15492_WPSOffice_Level2"/>
      <w:bookmarkStart w:id="324" w:name="_Toc28542_WPSOffice_Level2"/>
      <w:bookmarkStart w:id="325" w:name="_Toc22913_WPSOffice_Level2"/>
      <w:bookmarkStart w:id="326"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14670_WPSOffice_Level1"/>
      <w:bookmarkStart w:id="328" w:name="_Toc6199"/>
      <w:bookmarkStart w:id="329" w:name="_Toc5115_WPSOffice_Level1"/>
      <w:bookmarkStart w:id="330" w:name="_Toc23478"/>
      <w:bookmarkStart w:id="331" w:name="_Toc3534_WPSOffice_Level1"/>
      <w:bookmarkStart w:id="332" w:name="_Toc8079"/>
      <w:bookmarkStart w:id="333" w:name="_Toc16498"/>
      <w:r>
        <w:rPr>
          <w:rStyle w:val="43"/>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4" w:name="_Toc26041_WPSOffice_Level2"/>
      <w:bookmarkStart w:id="335" w:name="_Toc19075_WPSOffice_Level2"/>
      <w:bookmarkStart w:id="336" w:name="_Toc9954_WPSOffice_Level2"/>
      <w:bookmarkStart w:id="337" w:name="_Toc6967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8" w:name="_Toc8228_WPSOffice_Level2"/>
      <w:bookmarkStart w:id="339" w:name="_Toc24324_WPSOffice_Level2"/>
      <w:bookmarkStart w:id="340" w:name="_Toc6228_WPSOffice_Level2"/>
      <w:bookmarkStart w:id="341" w:name="_Toc18116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2" w:name="_Toc25438_WPSOffice_Level2"/>
      <w:bookmarkStart w:id="343" w:name="_Toc9514_WPSOffice_Level2"/>
      <w:bookmarkStart w:id="344" w:name="_Toc29597_WPSOffice_Level2"/>
      <w:bookmarkStart w:id="345" w:name="_Toc8724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6" w:name="_Toc960_WPSOffice_Level2"/>
      <w:bookmarkStart w:id="347" w:name="_Toc26260_WPSOffice_Level2"/>
      <w:bookmarkStart w:id="348" w:name="_Toc22563_WPSOffice_Level2"/>
      <w:bookmarkStart w:id="349" w:name="_Toc18154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spacing w:line="500" w:lineRule="exact"/>
        <w:ind w:firstLine="566" w:firstLineChars="200"/>
        <w:rPr>
          <w:rFonts w:hint="eastAsia" w:ascii="仿宋" w:hAnsi="仿宋" w:eastAsia="仿宋"/>
          <w:b/>
          <w:color w:val="auto"/>
          <w:sz w:val="28"/>
          <w:szCs w:val="28"/>
        </w:rPr>
      </w:pPr>
      <w:bookmarkStart w:id="350" w:name="_Toc32533_WPSOffice_Level2"/>
      <w:bookmarkStart w:id="351" w:name="_Toc30636_WPSOffice_Level2"/>
      <w:bookmarkStart w:id="352" w:name="_Toc10483_WPSOffice_Level2"/>
      <w:bookmarkStart w:id="353" w:name="_Toc1079_WPSOffice_Level2"/>
    </w:p>
    <w:p>
      <w:pPr>
        <w:spacing w:line="500" w:lineRule="exact"/>
        <w:ind w:firstLine="566" w:firstLineChars="200"/>
        <w:rPr>
          <w:rFonts w:hint="eastAsia" w:ascii="仿宋" w:hAnsi="仿宋" w:eastAsia="仿宋"/>
          <w:b/>
          <w:color w:val="auto"/>
          <w:sz w:val="28"/>
          <w:szCs w:val="28"/>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4"/>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4"/>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我方作为</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在参加本次政府采购活动前3年内的经营活动中____（填“没有”或“有”）重大违法记录。</w:t>
      </w:r>
    </w:p>
    <w:p>
      <w:pPr>
        <w:pStyle w:val="2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如有不实，我方将无条件地退出本项目的采购活动，并遵照《</w:t>
      </w:r>
      <w:r>
        <w:rPr>
          <w:rFonts w:hint="eastAsia" w:ascii="仿宋_GB2312" w:hAnsi="仿宋_GB2312" w:eastAsia="仿宋_GB2312" w:cs="仿宋_GB2312"/>
          <w:color w:val="auto"/>
          <w:sz w:val="28"/>
          <w:szCs w:val="28"/>
          <w:lang w:val="en-US" w:eastAsia="zh-CN"/>
        </w:rPr>
        <w:t>中华人民共和国</w:t>
      </w:r>
      <w:r>
        <w:rPr>
          <w:rFonts w:hint="eastAsia" w:ascii="仿宋_GB2312" w:hAnsi="仿宋_GB2312" w:eastAsia="仿宋_GB2312" w:cs="仿宋_GB2312"/>
          <w:color w:val="auto"/>
          <w:sz w:val="28"/>
          <w:szCs w:val="28"/>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20"/>
        <w:ind w:firstLine="304"/>
        <w:rPr>
          <w:b/>
          <w:bCs/>
          <w:color w:val="auto"/>
          <w:sz w:val="30"/>
          <w:szCs w:val="30"/>
        </w:rPr>
      </w:pPr>
    </w:p>
    <w:p>
      <w:pPr>
        <w:pStyle w:val="20"/>
        <w:ind w:firstLine="304"/>
        <w:rPr>
          <w:b/>
          <w:bCs/>
          <w:color w:val="auto"/>
          <w:sz w:val="30"/>
          <w:szCs w:val="30"/>
        </w:rPr>
      </w:pPr>
    </w:p>
    <w:p>
      <w:pPr>
        <w:rPr>
          <w:b/>
          <w:bCs/>
          <w:color w:val="auto"/>
          <w:sz w:val="30"/>
          <w:szCs w:val="30"/>
        </w:rPr>
      </w:pPr>
      <w:r>
        <w:rPr>
          <w:b/>
          <w:bCs/>
          <w:color w:val="auto"/>
          <w:sz w:val="30"/>
          <w:szCs w:val="30"/>
        </w:rPr>
        <w:br w:type="page"/>
      </w: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4" w:name="_Toc14516_WPSOffice_Level2"/>
      <w:bookmarkStart w:id="355" w:name="_Toc23486_WPSOffice_Level2"/>
      <w:bookmarkStart w:id="356" w:name="_Toc13298_WPSOffice_Level2"/>
      <w:bookmarkStart w:id="357" w:name="_Toc24625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4"/>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现委派</w:t>
      </w:r>
      <w:r>
        <w:rPr>
          <w:rFonts w:hint="eastAsia" w:ascii="仿宋_GB2312" w:hAnsi="仿宋_GB2312" w:eastAsia="仿宋_GB2312" w:cs="仿宋_GB2312"/>
          <w:color w:val="auto"/>
          <w:sz w:val="28"/>
          <w:szCs w:val="28"/>
          <w:u w:val="single"/>
        </w:rPr>
        <w:t>（授权代表姓名）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身份证号：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为本公司的授权代表，参加贵方组织的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项目名称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）第___标段政府采购活动，就该项目的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授权代表姓名：_______________</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性别：_____</w:t>
      </w:r>
      <w:r>
        <w:rPr>
          <w:rFonts w:hint="eastAsia" w:ascii="仿宋_GB2312" w:hAnsi="仿宋_GB2312" w:eastAsia="仿宋_GB2312" w:cs="仿宋_GB2312"/>
          <w:color w:val="auto"/>
          <w:sz w:val="28"/>
          <w:szCs w:val="28"/>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2"/>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59" w:name="_Toc2083"/>
      <w:bookmarkStart w:id="360" w:name="_Toc9751"/>
      <w:bookmarkStart w:id="361" w:name="_Toc28770"/>
      <w:bookmarkStart w:id="362" w:name="_Toc1034"/>
      <w:bookmarkStart w:id="363" w:name="_Toc29866"/>
      <w:bookmarkStart w:id="364" w:name="_Toc18829"/>
      <w:bookmarkStart w:id="365" w:name="_Toc29102_WPSOffice_Level2"/>
      <w:bookmarkStart w:id="366" w:name="_Toc29990_WPSOffice_Level2"/>
      <w:bookmarkStart w:id="367" w:name="_Toc17773_WPSOffice_Level2"/>
      <w:bookmarkStart w:id="368" w:name="_Toc20137"/>
      <w:bookmarkStart w:id="369" w:name="_Toc9519_WPSOffice_Level2"/>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4"/>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70" w:name="_Toc28961"/>
      <w:bookmarkStart w:id="371" w:name="_Toc26585"/>
      <w:bookmarkStart w:id="372" w:name="_Toc7047"/>
      <w:bookmarkStart w:id="373" w:name="_Toc19788"/>
      <w:bookmarkStart w:id="374" w:name="_Toc3857"/>
      <w:bookmarkStart w:id="375" w:name="_Toc26623"/>
      <w:bookmarkStart w:id="376" w:name="_Toc14262"/>
      <w:bookmarkStart w:id="377" w:name="_Toc2230"/>
      <w:bookmarkStart w:id="378" w:name="_Toc22486"/>
      <w:r>
        <w:rPr>
          <w:rFonts w:hint="eastAsia" w:ascii="仿宋_GB2312" w:hAnsi="仿宋_GB2312" w:eastAsia="仿宋_GB2312" w:cs="仿宋_GB2312"/>
          <w:bCs w:val="0"/>
          <w:color w:val="auto"/>
          <w:sz w:val="28"/>
          <w:szCs w:val="28"/>
        </w:rPr>
        <w:t>一、响应函格式</w:t>
      </w:r>
      <w:bookmarkEnd w:id="370"/>
      <w:bookmarkEnd w:id="371"/>
      <w:bookmarkEnd w:id="372"/>
      <w:bookmarkEnd w:id="373"/>
      <w:bookmarkEnd w:id="374"/>
      <w:bookmarkEnd w:id="375"/>
      <w:bookmarkEnd w:id="376"/>
      <w:bookmarkEnd w:id="377"/>
      <w:bookmarkEnd w:id="378"/>
    </w:p>
    <w:p>
      <w:pPr>
        <w:pStyle w:val="38"/>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79" w:name="_Toc22777"/>
      <w:bookmarkStart w:id="380" w:name="_Toc23334"/>
      <w:bookmarkStart w:id="381" w:name="_Toc10617"/>
      <w:r>
        <w:rPr>
          <w:rFonts w:hint="eastAsia" w:ascii="仿宋_GB2312" w:hAnsi="仿宋_GB2312" w:eastAsia="仿宋_GB2312" w:cs="仿宋_GB2312"/>
          <w:b/>
          <w:bCs/>
          <w:color w:val="auto"/>
          <w:sz w:val="28"/>
          <w:szCs w:val="28"/>
        </w:rPr>
        <w:t>响应函</w:t>
      </w:r>
      <w:bookmarkEnd w:id="379"/>
      <w:bookmarkEnd w:id="380"/>
      <w:bookmarkEnd w:id="381"/>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8"/>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8"/>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8"/>
        <w:ind w:firstLine="639" w:firstLineChars="300"/>
        <w:rPr>
          <w:rFonts w:hint="eastAsia" w:ascii="宋体" w:hAnsi="宋体" w:eastAsia="宋体" w:cs="宋体"/>
          <w:b/>
          <w:bCs/>
          <w:color w:val="auto"/>
          <w:sz w:val="21"/>
          <w:szCs w:val="21"/>
        </w:rPr>
      </w:pPr>
    </w:p>
    <w:p>
      <w:pPr>
        <w:pStyle w:val="38"/>
        <w:ind w:firstLine="639" w:firstLineChars="300"/>
        <w:rPr>
          <w:rFonts w:hint="eastAsia" w:ascii="宋体" w:hAnsi="宋体" w:eastAsia="宋体" w:cs="宋体"/>
          <w:b/>
          <w:bCs/>
          <w:color w:val="auto"/>
          <w:sz w:val="21"/>
          <w:szCs w:val="21"/>
        </w:rPr>
      </w:pPr>
    </w:p>
    <w:p>
      <w:pPr>
        <w:pStyle w:val="38"/>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5"/>
    <w:bookmarkEnd w:id="366"/>
    <w:bookmarkEnd w:id="367"/>
    <w:bookmarkEnd w:id="368"/>
    <w:bookmarkEnd w:id="369"/>
    <w:p>
      <w:pPr>
        <w:pStyle w:val="42"/>
        <w:jc w:val="both"/>
        <w:rPr>
          <w:rFonts w:ascii="仿宋" w:hAnsi="仿宋" w:eastAsia="仿宋"/>
          <w:color w:val="auto"/>
          <w:sz w:val="28"/>
          <w:szCs w:val="28"/>
        </w:rPr>
      </w:pPr>
      <w:bookmarkStart w:id="382" w:name="_Toc15883"/>
      <w:bookmarkStart w:id="383" w:name="_Toc8175"/>
      <w:bookmarkStart w:id="384" w:name="_Toc6921"/>
      <w:bookmarkStart w:id="385" w:name="_Toc6154"/>
      <w:bookmarkStart w:id="386" w:name="_Toc24876"/>
      <w:bookmarkStart w:id="387" w:name="_Toc30525"/>
      <w:bookmarkStart w:id="388" w:name="_Toc13216"/>
      <w:bookmarkStart w:id="389" w:name="_Toc23660"/>
      <w:bookmarkStart w:id="390" w:name="_Toc23955"/>
      <w:bookmarkStart w:id="391" w:name="_Toc17656_WPSOffice_Level2"/>
      <w:r>
        <w:rPr>
          <w:rFonts w:hint="eastAsia" w:ascii="仿宋" w:hAnsi="仿宋" w:eastAsia="仿宋" w:cs="仿宋"/>
          <w:bCs w:val="0"/>
          <w:color w:val="auto"/>
          <w:sz w:val="28"/>
          <w:szCs w:val="28"/>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8"/>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4"/>
        <w:rPr>
          <w:rFonts w:hint="eastAsia" w:ascii="仿宋_GB2312" w:hAnsi="仿宋_GB2312" w:eastAsia="仿宋_GB2312" w:cs="仿宋_GB2312"/>
          <w:color w:val="auto"/>
          <w:sz w:val="28"/>
          <w:szCs w:val="28"/>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4"/>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66"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2"/>
              <w:widowControl w:val="0"/>
              <w:rPr>
                <w:rFonts w:hint="eastAsia" w:ascii="仿宋_GB2312" w:hAnsi="仿宋_GB2312" w:eastAsia="仿宋_GB2312" w:cs="仿宋_GB2312"/>
                <w:bCs w:val="0"/>
                <w:sz w:val="28"/>
                <w:szCs w:val="28"/>
              </w:rPr>
            </w:pPr>
            <w:bookmarkStart w:id="392" w:name="_Toc18433"/>
            <w:bookmarkStart w:id="393" w:name="_Toc11855"/>
            <w:bookmarkStart w:id="394" w:name="_Toc1934"/>
            <w:bookmarkStart w:id="395" w:name="_Toc22090"/>
            <w:bookmarkStart w:id="396" w:name="_Toc28408"/>
            <w:bookmarkStart w:id="397" w:name="_Toc32361"/>
            <w:bookmarkStart w:id="398" w:name="_Toc11534"/>
            <w:bookmarkStart w:id="399" w:name="_Toc16723"/>
            <w:bookmarkStart w:id="400" w:name="_Toc26257"/>
            <w:r>
              <w:rPr>
                <w:rFonts w:hint="eastAsia" w:ascii="仿宋_GB2312" w:hAnsi="仿宋_GB2312" w:eastAsia="仿宋_GB2312" w:cs="仿宋_GB2312"/>
                <w:bCs w:val="0"/>
                <w:sz w:val="28"/>
                <w:szCs w:val="28"/>
              </w:rPr>
              <w:t>序号</w:t>
            </w:r>
            <w:bookmarkEnd w:id="392"/>
            <w:bookmarkEnd w:id="393"/>
            <w:bookmarkEnd w:id="394"/>
            <w:bookmarkEnd w:id="395"/>
            <w:bookmarkEnd w:id="396"/>
            <w:bookmarkEnd w:id="397"/>
            <w:bookmarkEnd w:id="398"/>
            <w:bookmarkEnd w:id="399"/>
            <w:bookmarkEnd w:id="400"/>
          </w:p>
        </w:tc>
        <w:tc>
          <w:tcPr>
            <w:tcW w:w="1379" w:type="dxa"/>
            <w:vAlign w:val="center"/>
          </w:tcPr>
          <w:p>
            <w:pPr>
              <w:pStyle w:val="42"/>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2"/>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2"/>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2"/>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2"/>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2"/>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2"/>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sz w:val="28"/>
                <w:szCs w:val="28"/>
              </w:rPr>
            </w:pPr>
          </w:p>
        </w:tc>
        <w:tc>
          <w:tcPr>
            <w:tcW w:w="1379" w:type="dxa"/>
          </w:tcPr>
          <w:p>
            <w:pPr>
              <w:pStyle w:val="42"/>
              <w:widowControl w:val="0"/>
              <w:jc w:val="left"/>
              <w:rPr>
                <w:rFonts w:hint="eastAsia" w:ascii="仿宋_GB2312" w:hAnsi="仿宋_GB2312" w:eastAsia="仿宋_GB2312" w:cs="仿宋_GB2312"/>
                <w:bCs w:val="0"/>
                <w:sz w:val="28"/>
                <w:szCs w:val="28"/>
              </w:rPr>
            </w:pPr>
          </w:p>
        </w:tc>
        <w:tc>
          <w:tcPr>
            <w:tcW w:w="966" w:type="dxa"/>
          </w:tcPr>
          <w:p>
            <w:pPr>
              <w:pStyle w:val="42"/>
              <w:widowControl w:val="0"/>
              <w:jc w:val="left"/>
              <w:rPr>
                <w:rFonts w:hint="eastAsia" w:ascii="仿宋_GB2312" w:hAnsi="仿宋_GB2312" w:eastAsia="仿宋_GB2312" w:cs="仿宋_GB2312"/>
                <w:bCs w:val="0"/>
                <w:sz w:val="28"/>
                <w:szCs w:val="28"/>
              </w:rPr>
            </w:pPr>
          </w:p>
        </w:tc>
        <w:tc>
          <w:tcPr>
            <w:tcW w:w="1555" w:type="dxa"/>
          </w:tcPr>
          <w:p>
            <w:pPr>
              <w:pStyle w:val="42"/>
              <w:widowControl w:val="0"/>
              <w:jc w:val="left"/>
              <w:rPr>
                <w:rFonts w:hint="eastAsia" w:ascii="仿宋_GB2312" w:hAnsi="仿宋_GB2312" w:eastAsia="仿宋_GB2312" w:cs="仿宋_GB2312"/>
                <w:bCs w:val="0"/>
                <w:sz w:val="28"/>
                <w:szCs w:val="28"/>
              </w:rPr>
            </w:pPr>
          </w:p>
        </w:tc>
        <w:tc>
          <w:tcPr>
            <w:tcW w:w="1240" w:type="dxa"/>
          </w:tcPr>
          <w:p>
            <w:pPr>
              <w:pStyle w:val="42"/>
              <w:widowControl w:val="0"/>
              <w:jc w:val="left"/>
              <w:rPr>
                <w:rFonts w:hint="eastAsia" w:ascii="仿宋_GB2312" w:hAnsi="仿宋_GB2312" w:eastAsia="仿宋_GB2312" w:cs="仿宋_GB2312"/>
                <w:bCs w:val="0"/>
                <w:sz w:val="28"/>
                <w:szCs w:val="28"/>
              </w:rPr>
            </w:pPr>
          </w:p>
        </w:tc>
        <w:tc>
          <w:tcPr>
            <w:tcW w:w="870" w:type="dxa"/>
          </w:tcPr>
          <w:p>
            <w:pPr>
              <w:pStyle w:val="42"/>
              <w:widowControl w:val="0"/>
              <w:jc w:val="left"/>
              <w:rPr>
                <w:rFonts w:hint="eastAsia" w:ascii="仿宋_GB2312" w:hAnsi="仿宋_GB2312" w:eastAsia="仿宋_GB2312" w:cs="仿宋_GB2312"/>
                <w:bCs w:val="0"/>
                <w:sz w:val="28"/>
                <w:szCs w:val="28"/>
              </w:rPr>
            </w:pPr>
          </w:p>
        </w:tc>
        <w:tc>
          <w:tcPr>
            <w:tcW w:w="1037" w:type="dxa"/>
          </w:tcPr>
          <w:p>
            <w:pPr>
              <w:pStyle w:val="42"/>
              <w:widowControl w:val="0"/>
              <w:jc w:val="left"/>
              <w:rPr>
                <w:rFonts w:hint="eastAsia" w:ascii="仿宋_GB2312" w:hAnsi="仿宋_GB2312" w:eastAsia="仿宋_GB2312" w:cs="仿宋_GB2312"/>
                <w:bCs w:val="0"/>
                <w:sz w:val="28"/>
                <w:szCs w:val="28"/>
              </w:rPr>
            </w:pPr>
          </w:p>
        </w:tc>
        <w:tc>
          <w:tcPr>
            <w:tcW w:w="1352" w:type="dxa"/>
          </w:tcPr>
          <w:p>
            <w:pPr>
              <w:pStyle w:val="42"/>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sz w:val="28"/>
                <w:szCs w:val="28"/>
              </w:rPr>
            </w:pPr>
            <w:bookmarkStart w:id="401" w:name="_Toc31519"/>
          </w:p>
        </w:tc>
        <w:tc>
          <w:tcPr>
            <w:tcW w:w="1379" w:type="dxa"/>
          </w:tcPr>
          <w:p>
            <w:pPr>
              <w:pStyle w:val="42"/>
              <w:widowControl w:val="0"/>
              <w:jc w:val="left"/>
              <w:rPr>
                <w:rFonts w:hint="eastAsia" w:ascii="仿宋_GB2312" w:hAnsi="仿宋_GB2312" w:eastAsia="仿宋_GB2312" w:cs="仿宋_GB2312"/>
                <w:bCs w:val="0"/>
                <w:sz w:val="28"/>
                <w:szCs w:val="28"/>
              </w:rPr>
            </w:pPr>
          </w:p>
        </w:tc>
        <w:tc>
          <w:tcPr>
            <w:tcW w:w="966" w:type="dxa"/>
          </w:tcPr>
          <w:p>
            <w:pPr>
              <w:pStyle w:val="42"/>
              <w:widowControl w:val="0"/>
              <w:jc w:val="left"/>
              <w:rPr>
                <w:rFonts w:hint="eastAsia" w:ascii="仿宋_GB2312" w:hAnsi="仿宋_GB2312" w:eastAsia="仿宋_GB2312" w:cs="仿宋_GB2312"/>
                <w:bCs w:val="0"/>
                <w:sz w:val="28"/>
                <w:szCs w:val="28"/>
              </w:rPr>
            </w:pPr>
          </w:p>
        </w:tc>
        <w:tc>
          <w:tcPr>
            <w:tcW w:w="1555" w:type="dxa"/>
          </w:tcPr>
          <w:p>
            <w:pPr>
              <w:pStyle w:val="42"/>
              <w:widowControl w:val="0"/>
              <w:jc w:val="left"/>
              <w:rPr>
                <w:rFonts w:hint="eastAsia" w:ascii="仿宋_GB2312" w:hAnsi="仿宋_GB2312" w:eastAsia="仿宋_GB2312" w:cs="仿宋_GB2312"/>
                <w:bCs w:val="0"/>
                <w:sz w:val="28"/>
                <w:szCs w:val="28"/>
              </w:rPr>
            </w:pPr>
          </w:p>
        </w:tc>
        <w:tc>
          <w:tcPr>
            <w:tcW w:w="1240" w:type="dxa"/>
          </w:tcPr>
          <w:p>
            <w:pPr>
              <w:pStyle w:val="42"/>
              <w:widowControl w:val="0"/>
              <w:jc w:val="left"/>
              <w:rPr>
                <w:rFonts w:hint="eastAsia" w:ascii="仿宋_GB2312" w:hAnsi="仿宋_GB2312" w:eastAsia="仿宋_GB2312" w:cs="仿宋_GB2312"/>
                <w:bCs w:val="0"/>
                <w:sz w:val="28"/>
                <w:szCs w:val="28"/>
              </w:rPr>
            </w:pPr>
          </w:p>
        </w:tc>
        <w:tc>
          <w:tcPr>
            <w:tcW w:w="870" w:type="dxa"/>
          </w:tcPr>
          <w:p>
            <w:pPr>
              <w:pStyle w:val="42"/>
              <w:widowControl w:val="0"/>
              <w:jc w:val="left"/>
              <w:rPr>
                <w:rFonts w:hint="eastAsia" w:ascii="仿宋_GB2312" w:hAnsi="仿宋_GB2312" w:eastAsia="仿宋_GB2312" w:cs="仿宋_GB2312"/>
                <w:bCs w:val="0"/>
                <w:sz w:val="28"/>
                <w:szCs w:val="28"/>
              </w:rPr>
            </w:pPr>
          </w:p>
        </w:tc>
        <w:tc>
          <w:tcPr>
            <w:tcW w:w="1037" w:type="dxa"/>
          </w:tcPr>
          <w:p>
            <w:pPr>
              <w:pStyle w:val="42"/>
              <w:widowControl w:val="0"/>
              <w:jc w:val="left"/>
              <w:rPr>
                <w:rFonts w:hint="eastAsia" w:ascii="仿宋_GB2312" w:hAnsi="仿宋_GB2312" w:eastAsia="仿宋_GB2312" w:cs="仿宋_GB2312"/>
                <w:bCs w:val="0"/>
                <w:sz w:val="28"/>
                <w:szCs w:val="28"/>
              </w:rPr>
            </w:pPr>
          </w:p>
        </w:tc>
        <w:tc>
          <w:tcPr>
            <w:tcW w:w="1352" w:type="dxa"/>
          </w:tcPr>
          <w:p>
            <w:pPr>
              <w:pStyle w:val="42"/>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sz w:val="28"/>
                <w:szCs w:val="28"/>
              </w:rPr>
            </w:pPr>
          </w:p>
        </w:tc>
        <w:tc>
          <w:tcPr>
            <w:tcW w:w="1379" w:type="dxa"/>
          </w:tcPr>
          <w:p>
            <w:pPr>
              <w:pStyle w:val="42"/>
              <w:widowControl w:val="0"/>
              <w:jc w:val="left"/>
              <w:rPr>
                <w:rFonts w:hint="eastAsia" w:ascii="仿宋_GB2312" w:hAnsi="仿宋_GB2312" w:eastAsia="仿宋_GB2312" w:cs="仿宋_GB2312"/>
                <w:bCs w:val="0"/>
                <w:sz w:val="28"/>
                <w:szCs w:val="28"/>
              </w:rPr>
            </w:pPr>
          </w:p>
        </w:tc>
        <w:tc>
          <w:tcPr>
            <w:tcW w:w="966" w:type="dxa"/>
          </w:tcPr>
          <w:p>
            <w:pPr>
              <w:pStyle w:val="42"/>
              <w:widowControl w:val="0"/>
              <w:jc w:val="left"/>
              <w:rPr>
                <w:rFonts w:hint="eastAsia" w:ascii="仿宋_GB2312" w:hAnsi="仿宋_GB2312" w:eastAsia="仿宋_GB2312" w:cs="仿宋_GB2312"/>
                <w:bCs w:val="0"/>
                <w:sz w:val="28"/>
                <w:szCs w:val="28"/>
              </w:rPr>
            </w:pPr>
          </w:p>
        </w:tc>
        <w:tc>
          <w:tcPr>
            <w:tcW w:w="1555" w:type="dxa"/>
          </w:tcPr>
          <w:p>
            <w:pPr>
              <w:pStyle w:val="42"/>
              <w:widowControl w:val="0"/>
              <w:jc w:val="left"/>
              <w:rPr>
                <w:rFonts w:hint="eastAsia" w:ascii="仿宋_GB2312" w:hAnsi="仿宋_GB2312" w:eastAsia="仿宋_GB2312" w:cs="仿宋_GB2312"/>
                <w:bCs w:val="0"/>
                <w:sz w:val="28"/>
                <w:szCs w:val="28"/>
              </w:rPr>
            </w:pPr>
          </w:p>
        </w:tc>
        <w:tc>
          <w:tcPr>
            <w:tcW w:w="1240" w:type="dxa"/>
          </w:tcPr>
          <w:p>
            <w:pPr>
              <w:pStyle w:val="42"/>
              <w:widowControl w:val="0"/>
              <w:jc w:val="left"/>
              <w:rPr>
                <w:rFonts w:hint="eastAsia" w:ascii="仿宋_GB2312" w:hAnsi="仿宋_GB2312" w:eastAsia="仿宋_GB2312" w:cs="仿宋_GB2312"/>
                <w:bCs w:val="0"/>
                <w:sz w:val="28"/>
                <w:szCs w:val="28"/>
              </w:rPr>
            </w:pPr>
          </w:p>
        </w:tc>
        <w:tc>
          <w:tcPr>
            <w:tcW w:w="870" w:type="dxa"/>
          </w:tcPr>
          <w:p>
            <w:pPr>
              <w:pStyle w:val="42"/>
              <w:widowControl w:val="0"/>
              <w:jc w:val="left"/>
              <w:rPr>
                <w:rFonts w:hint="eastAsia" w:ascii="仿宋_GB2312" w:hAnsi="仿宋_GB2312" w:eastAsia="仿宋_GB2312" w:cs="仿宋_GB2312"/>
                <w:bCs w:val="0"/>
                <w:sz w:val="28"/>
                <w:szCs w:val="28"/>
              </w:rPr>
            </w:pPr>
          </w:p>
        </w:tc>
        <w:tc>
          <w:tcPr>
            <w:tcW w:w="1037" w:type="dxa"/>
          </w:tcPr>
          <w:p>
            <w:pPr>
              <w:pStyle w:val="42"/>
              <w:widowControl w:val="0"/>
              <w:jc w:val="left"/>
              <w:rPr>
                <w:rFonts w:hint="eastAsia" w:ascii="仿宋_GB2312" w:hAnsi="仿宋_GB2312" w:eastAsia="仿宋_GB2312" w:cs="仿宋_GB2312"/>
                <w:bCs w:val="0"/>
                <w:sz w:val="28"/>
                <w:szCs w:val="28"/>
              </w:rPr>
            </w:pPr>
          </w:p>
        </w:tc>
        <w:tc>
          <w:tcPr>
            <w:tcW w:w="1352" w:type="dxa"/>
          </w:tcPr>
          <w:p>
            <w:pPr>
              <w:pStyle w:val="42"/>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sz w:val="28"/>
                <w:szCs w:val="28"/>
              </w:rPr>
            </w:pPr>
          </w:p>
        </w:tc>
        <w:tc>
          <w:tcPr>
            <w:tcW w:w="1379" w:type="dxa"/>
          </w:tcPr>
          <w:p>
            <w:pPr>
              <w:pStyle w:val="42"/>
              <w:widowControl w:val="0"/>
              <w:jc w:val="left"/>
              <w:rPr>
                <w:rFonts w:hint="eastAsia" w:ascii="仿宋_GB2312" w:hAnsi="仿宋_GB2312" w:eastAsia="仿宋_GB2312" w:cs="仿宋_GB2312"/>
                <w:bCs w:val="0"/>
                <w:sz w:val="28"/>
                <w:szCs w:val="28"/>
              </w:rPr>
            </w:pPr>
          </w:p>
        </w:tc>
        <w:tc>
          <w:tcPr>
            <w:tcW w:w="966" w:type="dxa"/>
          </w:tcPr>
          <w:p>
            <w:pPr>
              <w:pStyle w:val="42"/>
              <w:widowControl w:val="0"/>
              <w:jc w:val="left"/>
              <w:rPr>
                <w:rFonts w:hint="eastAsia" w:ascii="仿宋_GB2312" w:hAnsi="仿宋_GB2312" w:eastAsia="仿宋_GB2312" w:cs="仿宋_GB2312"/>
                <w:bCs w:val="0"/>
                <w:sz w:val="28"/>
                <w:szCs w:val="28"/>
              </w:rPr>
            </w:pPr>
          </w:p>
        </w:tc>
        <w:tc>
          <w:tcPr>
            <w:tcW w:w="1555" w:type="dxa"/>
          </w:tcPr>
          <w:p>
            <w:pPr>
              <w:pStyle w:val="42"/>
              <w:widowControl w:val="0"/>
              <w:jc w:val="left"/>
              <w:rPr>
                <w:rFonts w:hint="eastAsia" w:ascii="仿宋_GB2312" w:hAnsi="仿宋_GB2312" w:eastAsia="仿宋_GB2312" w:cs="仿宋_GB2312"/>
                <w:bCs w:val="0"/>
                <w:sz w:val="28"/>
                <w:szCs w:val="28"/>
              </w:rPr>
            </w:pPr>
          </w:p>
        </w:tc>
        <w:tc>
          <w:tcPr>
            <w:tcW w:w="1240" w:type="dxa"/>
          </w:tcPr>
          <w:p>
            <w:pPr>
              <w:pStyle w:val="42"/>
              <w:widowControl w:val="0"/>
              <w:jc w:val="left"/>
              <w:rPr>
                <w:rFonts w:hint="eastAsia" w:ascii="仿宋_GB2312" w:hAnsi="仿宋_GB2312" w:eastAsia="仿宋_GB2312" w:cs="仿宋_GB2312"/>
                <w:bCs w:val="0"/>
                <w:sz w:val="28"/>
                <w:szCs w:val="28"/>
              </w:rPr>
            </w:pPr>
          </w:p>
        </w:tc>
        <w:tc>
          <w:tcPr>
            <w:tcW w:w="870" w:type="dxa"/>
          </w:tcPr>
          <w:p>
            <w:pPr>
              <w:pStyle w:val="42"/>
              <w:widowControl w:val="0"/>
              <w:jc w:val="left"/>
              <w:rPr>
                <w:rFonts w:hint="eastAsia" w:ascii="仿宋_GB2312" w:hAnsi="仿宋_GB2312" w:eastAsia="仿宋_GB2312" w:cs="仿宋_GB2312"/>
                <w:bCs w:val="0"/>
                <w:sz w:val="28"/>
                <w:szCs w:val="28"/>
              </w:rPr>
            </w:pPr>
          </w:p>
        </w:tc>
        <w:tc>
          <w:tcPr>
            <w:tcW w:w="1037" w:type="dxa"/>
          </w:tcPr>
          <w:p>
            <w:pPr>
              <w:pStyle w:val="42"/>
              <w:widowControl w:val="0"/>
              <w:jc w:val="left"/>
              <w:rPr>
                <w:rFonts w:hint="eastAsia" w:ascii="仿宋_GB2312" w:hAnsi="仿宋_GB2312" w:eastAsia="仿宋_GB2312" w:cs="仿宋_GB2312"/>
                <w:bCs w:val="0"/>
                <w:sz w:val="28"/>
                <w:szCs w:val="28"/>
              </w:rPr>
            </w:pPr>
          </w:p>
        </w:tc>
        <w:tc>
          <w:tcPr>
            <w:tcW w:w="1352" w:type="dxa"/>
          </w:tcPr>
          <w:p>
            <w:pPr>
              <w:pStyle w:val="42"/>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sz w:val="28"/>
                <w:szCs w:val="28"/>
              </w:rPr>
            </w:pPr>
          </w:p>
        </w:tc>
        <w:tc>
          <w:tcPr>
            <w:tcW w:w="1379" w:type="dxa"/>
          </w:tcPr>
          <w:p>
            <w:pPr>
              <w:pStyle w:val="42"/>
              <w:widowControl w:val="0"/>
              <w:jc w:val="left"/>
              <w:rPr>
                <w:rFonts w:hint="eastAsia" w:ascii="仿宋_GB2312" w:hAnsi="仿宋_GB2312" w:eastAsia="仿宋_GB2312" w:cs="仿宋_GB2312"/>
                <w:bCs w:val="0"/>
                <w:sz w:val="28"/>
                <w:szCs w:val="28"/>
              </w:rPr>
            </w:pPr>
          </w:p>
        </w:tc>
        <w:tc>
          <w:tcPr>
            <w:tcW w:w="966" w:type="dxa"/>
          </w:tcPr>
          <w:p>
            <w:pPr>
              <w:pStyle w:val="42"/>
              <w:widowControl w:val="0"/>
              <w:jc w:val="left"/>
              <w:rPr>
                <w:rFonts w:hint="eastAsia" w:ascii="仿宋_GB2312" w:hAnsi="仿宋_GB2312" w:eastAsia="仿宋_GB2312" w:cs="仿宋_GB2312"/>
                <w:bCs w:val="0"/>
                <w:sz w:val="28"/>
                <w:szCs w:val="28"/>
              </w:rPr>
            </w:pPr>
          </w:p>
        </w:tc>
        <w:tc>
          <w:tcPr>
            <w:tcW w:w="1555" w:type="dxa"/>
          </w:tcPr>
          <w:p>
            <w:pPr>
              <w:pStyle w:val="42"/>
              <w:widowControl w:val="0"/>
              <w:jc w:val="left"/>
              <w:rPr>
                <w:rFonts w:hint="eastAsia" w:ascii="仿宋_GB2312" w:hAnsi="仿宋_GB2312" w:eastAsia="仿宋_GB2312" w:cs="仿宋_GB2312"/>
                <w:bCs w:val="0"/>
                <w:sz w:val="28"/>
                <w:szCs w:val="28"/>
              </w:rPr>
            </w:pPr>
          </w:p>
        </w:tc>
        <w:tc>
          <w:tcPr>
            <w:tcW w:w="1240" w:type="dxa"/>
          </w:tcPr>
          <w:p>
            <w:pPr>
              <w:pStyle w:val="42"/>
              <w:widowControl w:val="0"/>
              <w:jc w:val="left"/>
              <w:rPr>
                <w:rFonts w:hint="eastAsia" w:ascii="仿宋_GB2312" w:hAnsi="仿宋_GB2312" w:eastAsia="仿宋_GB2312" w:cs="仿宋_GB2312"/>
                <w:bCs w:val="0"/>
                <w:sz w:val="28"/>
                <w:szCs w:val="28"/>
              </w:rPr>
            </w:pPr>
          </w:p>
        </w:tc>
        <w:tc>
          <w:tcPr>
            <w:tcW w:w="870" w:type="dxa"/>
          </w:tcPr>
          <w:p>
            <w:pPr>
              <w:pStyle w:val="42"/>
              <w:widowControl w:val="0"/>
              <w:jc w:val="left"/>
              <w:rPr>
                <w:rFonts w:hint="eastAsia" w:ascii="仿宋_GB2312" w:hAnsi="仿宋_GB2312" w:eastAsia="仿宋_GB2312" w:cs="仿宋_GB2312"/>
                <w:bCs w:val="0"/>
                <w:sz w:val="28"/>
                <w:szCs w:val="28"/>
              </w:rPr>
            </w:pPr>
          </w:p>
        </w:tc>
        <w:tc>
          <w:tcPr>
            <w:tcW w:w="1037" w:type="dxa"/>
          </w:tcPr>
          <w:p>
            <w:pPr>
              <w:pStyle w:val="42"/>
              <w:widowControl w:val="0"/>
              <w:jc w:val="left"/>
              <w:rPr>
                <w:rFonts w:hint="eastAsia" w:ascii="仿宋_GB2312" w:hAnsi="仿宋_GB2312" w:eastAsia="仿宋_GB2312" w:cs="仿宋_GB2312"/>
                <w:bCs w:val="0"/>
                <w:sz w:val="28"/>
                <w:szCs w:val="28"/>
              </w:rPr>
            </w:pPr>
          </w:p>
        </w:tc>
        <w:tc>
          <w:tcPr>
            <w:tcW w:w="1352" w:type="dxa"/>
          </w:tcPr>
          <w:p>
            <w:pPr>
              <w:pStyle w:val="42"/>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2"/>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401"/>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2"/>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402" w:name="_Toc31429"/>
            <w:bookmarkStart w:id="403" w:name="_Toc7253"/>
            <w:bookmarkStart w:id="404" w:name="_Toc10552"/>
            <w:bookmarkStart w:id="405" w:name="_Toc17991"/>
            <w:bookmarkStart w:id="406" w:name="_Toc8004"/>
            <w:bookmarkStart w:id="407" w:name="_Toc28010"/>
            <w:bookmarkStart w:id="408" w:name="_Toc22162"/>
            <w:r>
              <w:rPr>
                <w:rFonts w:hint="eastAsia" w:ascii="仿宋_GB2312" w:hAnsi="仿宋_GB2312" w:eastAsia="仿宋_GB2312" w:cs="仿宋_GB2312"/>
                <w:b w:val="0"/>
                <w:bCs w:val="0"/>
                <w:sz w:val="28"/>
                <w:szCs w:val="28"/>
              </w:rPr>
              <w:t>单位：元（保留到元）</w:t>
            </w:r>
            <w:bookmarkEnd w:id="402"/>
            <w:bookmarkEnd w:id="403"/>
            <w:bookmarkEnd w:id="404"/>
            <w:bookmarkEnd w:id="405"/>
            <w:bookmarkEnd w:id="406"/>
            <w:bookmarkEnd w:id="407"/>
            <w:bookmarkEnd w:id="408"/>
          </w:p>
        </w:tc>
      </w:tr>
    </w:tbl>
    <w:p>
      <w:pPr>
        <w:tabs>
          <w:tab w:val="right" w:pos="9072"/>
        </w:tabs>
        <w:spacing w:line="240" w:lineRule="auto"/>
        <w:ind w:firstLine="213" w:firstLineChars="100"/>
        <w:rPr>
          <w:rFonts w:hint="eastAsia" w:ascii="宋体" w:hAnsi="宋体" w:eastAsia="宋体" w:cs="华文仿宋"/>
          <w:color w:val="auto"/>
          <w:sz w:val="21"/>
          <w:szCs w:val="21"/>
        </w:rPr>
      </w:pPr>
    </w:p>
    <w:p>
      <w:pPr>
        <w:tabs>
          <w:tab w:val="right" w:pos="9072"/>
        </w:tabs>
        <w:spacing w:line="240" w:lineRule="auto"/>
        <w:ind w:firstLine="213"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52"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566" w:firstLineChars="200"/>
        <w:rPr>
          <w:rFonts w:ascii="华文仿宋" w:hAnsi="华文仿宋" w:cs="华文仿宋"/>
          <w:color w:val="auto"/>
          <w:sz w:val="28"/>
          <w:szCs w:val="28"/>
        </w:rPr>
      </w:pPr>
    </w:p>
    <w:p>
      <w:pPr>
        <w:tabs>
          <w:tab w:val="right" w:pos="9072"/>
        </w:tabs>
        <w:spacing w:line="500" w:lineRule="exact"/>
        <w:ind w:firstLine="566" w:firstLineChars="200"/>
        <w:rPr>
          <w:rFonts w:ascii="华文仿宋" w:hAnsi="华文仿宋" w:cs="华文仿宋"/>
          <w:b/>
          <w:color w:val="auto"/>
          <w:sz w:val="28"/>
          <w:szCs w:val="28"/>
        </w:rPr>
      </w:pPr>
    </w:p>
    <w:p>
      <w:pPr>
        <w:spacing w:line="500" w:lineRule="exact"/>
        <w:ind w:firstLine="4811"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81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2393"/>
      <w:bookmarkStart w:id="410" w:name="_Toc13309_WPSOffice_Level2"/>
      <w:bookmarkStart w:id="411" w:name="_Toc20416"/>
      <w:bookmarkStart w:id="412" w:name="_Toc1823_WPSOffice_Level2"/>
      <w:bookmarkStart w:id="413" w:name="_Toc26668"/>
      <w:bookmarkStart w:id="414" w:name="_Toc9727_WPSOffice_Level2"/>
      <w:bookmarkStart w:id="415" w:name="_Toc18036_WPSOffice_Level2"/>
      <w:bookmarkStart w:id="416" w:name="_Toc13794"/>
      <w:bookmarkStart w:id="417" w:name="_Toc26536_WPSOffice_Level2"/>
      <w:r>
        <w:rPr>
          <w:rFonts w:hint="eastAsia" w:ascii="仿宋_GB2312" w:hAnsi="仿宋_GB2312" w:eastAsia="仿宋_GB2312" w:cs="仿宋_GB2312"/>
          <w:bCs w:val="0"/>
          <w:color w:val="auto"/>
          <w:sz w:val="32"/>
          <w:szCs w:val="32"/>
        </w:rPr>
        <w:t>三、</w:t>
      </w:r>
      <w:bookmarkEnd w:id="409"/>
      <w:bookmarkEnd w:id="410"/>
      <w:bookmarkStart w:id="418" w:name="_Toc31081"/>
      <w:bookmarkStart w:id="419" w:name="_Toc4322"/>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20"/>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420" w:name="_Toc16564_WPSOffice_Level2"/>
      <w:bookmarkStart w:id="421" w:name="_Toc16442_WPSOffice_Level2"/>
      <w:bookmarkStart w:id="422" w:name="_Toc10928_WPSOffice_Level2"/>
      <w:bookmarkStart w:id="423" w:name="_Toc27976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420"/>
      <w:bookmarkEnd w:id="421"/>
      <w:bookmarkEnd w:id="422"/>
      <w:bookmarkEnd w:id="423"/>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4" w:name="_Toc31624_WPSOffice_Level1"/>
      <w:bookmarkStart w:id="425" w:name="_Toc9021_WPSOffice_Level1"/>
      <w:bookmarkStart w:id="426"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20"/>
        <w:ind w:firstLine="183"/>
        <w:rPr>
          <w:rFonts w:hint="eastAsia" w:ascii="仿宋_GB2312" w:hAnsi="仿宋_GB2312" w:eastAsia="仿宋_GB2312" w:cs="仿宋_GB2312"/>
          <w:color w:val="auto"/>
          <w:sz w:val="28"/>
          <w:szCs w:val="28"/>
        </w:rPr>
      </w:pPr>
    </w:p>
    <w:p>
      <w:pPr>
        <w:pStyle w:val="20"/>
        <w:ind w:firstLine="183"/>
        <w:rPr>
          <w:rFonts w:hint="eastAsia" w:ascii="仿宋_GB2312" w:hAnsi="仿宋_GB2312" w:eastAsia="仿宋_GB2312" w:cs="仿宋_GB2312"/>
          <w:color w:val="auto"/>
          <w:sz w:val="28"/>
          <w:szCs w:val="28"/>
        </w:rPr>
      </w:pPr>
    </w:p>
    <w:p>
      <w:pPr>
        <w:pStyle w:val="20"/>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rPr>
          <w:color w:val="auto"/>
        </w:rPr>
      </w:pPr>
      <w:r>
        <w:rPr>
          <w:color w:val="auto"/>
        </w:rPr>
        <w:br w:type="page"/>
      </w:r>
    </w:p>
    <w:p>
      <w:pPr>
        <w:pStyle w:val="42"/>
        <w:spacing w:line="500" w:lineRule="exact"/>
        <w:rPr>
          <w:rFonts w:ascii="黑体" w:hAnsi="黑体" w:eastAsia="黑体"/>
          <w:b w:val="0"/>
          <w:color w:val="auto"/>
        </w:rPr>
      </w:pPr>
      <w:bookmarkStart w:id="427" w:name="_Toc17248"/>
      <w:bookmarkStart w:id="428" w:name="_Toc28832"/>
      <w:bookmarkStart w:id="429" w:name="_Toc30940"/>
      <w:bookmarkStart w:id="430" w:name="_Toc19912"/>
      <w:r>
        <w:rPr>
          <w:rStyle w:val="43"/>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2"/>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31" w:name="_Toc9337_WPSOffice_Level2"/>
      <w:bookmarkStart w:id="432" w:name="_Toc11555"/>
      <w:bookmarkStart w:id="433" w:name="_Toc27817"/>
      <w:bookmarkStart w:id="434" w:name="_Toc17062_WPSOffice_Level2"/>
      <w:bookmarkStart w:id="435" w:name="_Toc11401"/>
      <w:bookmarkStart w:id="436" w:name="_Toc29975_WPSOffice_Level2"/>
      <w:bookmarkStart w:id="437" w:name="_Toc1481"/>
      <w:bookmarkStart w:id="438" w:name="_Toc15660_WPSOffice_Level2"/>
      <w:bookmarkStart w:id="439" w:name="_Toc9079"/>
      <w:r>
        <w:rPr>
          <w:rFonts w:hint="eastAsia" w:ascii="仿宋_GB2312" w:hAnsi="仿宋_GB2312" w:eastAsia="仿宋_GB2312" w:cs="仿宋_GB2312"/>
          <w:bCs w:val="0"/>
          <w:color w:val="auto"/>
          <w:sz w:val="28"/>
          <w:szCs w:val="28"/>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66" w:firstLineChars="200"/>
        <w:rPr>
          <w:rFonts w:ascii="仿宋" w:hAnsi="仿宋" w:eastAsia="仿宋" w:cs="仿宋"/>
          <w:b/>
          <w:color w:val="auto"/>
          <w:sz w:val="28"/>
          <w:szCs w:val="28"/>
        </w:rPr>
      </w:pPr>
      <w:bookmarkStart w:id="440"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40"/>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pStyle w:val="20"/>
        <w:keepNext w:val="0"/>
        <w:keepLines w:val="0"/>
        <w:pageBreakBefore w:val="0"/>
        <w:widowControl/>
        <w:kinsoku/>
        <w:wordWrap/>
        <w:overflowPunct/>
        <w:topLinePunct w:val="0"/>
        <w:autoSpaceDE/>
        <w:autoSpaceDN/>
        <w:bidi w:val="0"/>
        <w:adjustRightInd/>
        <w:snapToGrid/>
        <w:ind w:firstLine="606" w:firstLineChars="200"/>
        <w:textAlignment w:val="auto"/>
        <w:outlineLvl w:val="2"/>
        <w:rPr>
          <w:rFonts w:hint="default" w:ascii="Calibri Light" w:hAnsi="Calibri Light" w:eastAsia="华文仿宋"/>
          <w:b/>
          <w:bCs/>
          <w:sz w:val="30"/>
          <w:szCs w:val="30"/>
          <w:highlight w:val="none"/>
          <w:lang w:val="en-US" w:eastAsia="zh-CN"/>
        </w:rPr>
      </w:pPr>
      <w:r>
        <w:rPr>
          <w:rFonts w:hint="eastAsia" w:ascii="Calibri Light" w:hAnsi="Calibri Light"/>
          <w:b/>
          <w:bCs/>
          <w:sz w:val="30"/>
          <w:szCs w:val="30"/>
          <w:highlight w:val="none"/>
          <w:lang w:val="en-US" w:eastAsia="zh-CN"/>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 序（http://202.106.120.146/baosong/appweb/orgScale.html）进行测算。</w:t>
      </w:r>
    </w:p>
    <w:p>
      <w:pPr>
        <w:pStyle w:val="9"/>
        <w:keepNext w:val="0"/>
        <w:keepLines w:val="0"/>
        <w:pageBreakBefore w:val="0"/>
        <w:widowControl/>
        <w:kinsoku/>
        <w:wordWrap/>
        <w:overflowPunct/>
        <w:topLinePunct w:val="0"/>
        <w:autoSpaceDE/>
        <w:autoSpaceDN/>
        <w:bidi w:val="0"/>
        <w:adjustRightInd/>
        <w:snapToGrid/>
        <w:ind w:firstLine="426" w:firstLineChars="200"/>
        <w:textAlignment w:val="auto"/>
        <w:rPr>
          <w:rFonts w:hint="default"/>
          <w:lang w:val="en-US"/>
        </w:rPr>
      </w:pPr>
      <w:r>
        <w:rPr>
          <w:rFonts w:hint="eastAsia" w:ascii="宋体" w:hAnsi="宋体" w:eastAsia="宋体" w:cs="宋体"/>
          <w:sz w:val="21"/>
          <w:szCs w:val="21"/>
          <w:lang w:val="en-US" w:eastAsia="zh-CN"/>
        </w:rPr>
        <w:t>4、各供应商如非中小企业，则无需填写。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质量保证</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color w:val="auto"/>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color w:val="auto"/>
        </w:rPr>
        <w:t>安全文明施工措施</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（六）售后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color w:val="auto"/>
        </w:rPr>
      </w:pPr>
      <w:r>
        <w:rPr>
          <w:color w:val="auto"/>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9"/>
        <w:rPr>
          <w:color w:val="auto"/>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63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63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63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63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F5CAE"/>
    <w:multiLevelType w:val="singleLevel"/>
    <w:tmpl w:val="A13F5CAE"/>
    <w:lvl w:ilvl="0" w:tentative="0">
      <w:start w:val="1"/>
      <w:numFmt w:val="decimal"/>
      <w:suff w:val="nothing"/>
      <w:lvlText w:val="%1、"/>
      <w:lvlJc w:val="left"/>
    </w:lvl>
  </w:abstractNum>
  <w:abstractNum w:abstractNumId="1">
    <w:nsid w:val="A74E1480"/>
    <w:multiLevelType w:val="singleLevel"/>
    <w:tmpl w:val="A74E1480"/>
    <w:lvl w:ilvl="0" w:tentative="0">
      <w:start w:val="1"/>
      <w:numFmt w:val="decimal"/>
      <w:suff w:val="nothing"/>
      <w:lvlText w:val="%1、"/>
      <w:lvlJc w:val="left"/>
    </w:lvl>
  </w:abstractNum>
  <w:abstractNum w:abstractNumId="2">
    <w:nsid w:val="AD35C96B"/>
    <w:multiLevelType w:val="singleLevel"/>
    <w:tmpl w:val="AD35C96B"/>
    <w:lvl w:ilvl="0" w:tentative="0">
      <w:start w:val="1"/>
      <w:numFmt w:val="decimal"/>
      <w:suff w:val="nothing"/>
      <w:lvlText w:val="%1、"/>
      <w:lvlJc w:val="left"/>
    </w:lvl>
  </w:abstractNum>
  <w:abstractNum w:abstractNumId="3">
    <w:nsid w:val="D7BA63B9"/>
    <w:multiLevelType w:val="singleLevel"/>
    <w:tmpl w:val="D7BA63B9"/>
    <w:lvl w:ilvl="0" w:tentative="0">
      <w:start w:val="1"/>
      <w:numFmt w:val="chineseCounting"/>
      <w:suff w:val="space"/>
      <w:lvlText w:val="第%1章"/>
      <w:lvlJc w:val="left"/>
      <w:rPr>
        <w:rFonts w:hint="eastAsia"/>
      </w:rPr>
    </w:lvl>
  </w:abstractNum>
  <w:abstractNum w:abstractNumId="4">
    <w:nsid w:val="0053208E"/>
    <w:multiLevelType w:val="singleLevel"/>
    <w:tmpl w:val="0053208E"/>
    <w:lvl w:ilvl="0" w:tentative="0">
      <w:start w:val="1"/>
      <w:numFmt w:val="chineseCounting"/>
      <w:suff w:val="nothing"/>
      <w:lvlText w:val="（%1）"/>
      <w:lvlJc w:val="left"/>
      <w:rPr>
        <w:rFonts w:hint="eastAsia"/>
      </w:rPr>
    </w:lvl>
  </w:abstractNum>
  <w:abstractNum w:abstractNumId="5">
    <w:nsid w:val="09FDDEB7"/>
    <w:multiLevelType w:val="singleLevel"/>
    <w:tmpl w:val="09FDDEB7"/>
    <w:lvl w:ilvl="0" w:tentative="0">
      <w:start w:val="1"/>
      <w:numFmt w:val="decimal"/>
      <w:suff w:val="nothing"/>
      <w:lvlText w:val="%1、"/>
      <w:lvlJc w:val="left"/>
    </w:lvl>
  </w:abstractNum>
  <w:abstractNum w:abstractNumId="6">
    <w:nsid w:val="2324D8AB"/>
    <w:multiLevelType w:val="singleLevel"/>
    <w:tmpl w:val="2324D8AB"/>
    <w:lvl w:ilvl="0" w:tentative="0">
      <w:start w:val="1"/>
      <w:numFmt w:val="decimal"/>
      <w:suff w:val="nothing"/>
      <w:lvlText w:val="%1、"/>
      <w:lvlJc w:val="left"/>
    </w:lvl>
  </w:abstractNum>
  <w:abstractNum w:abstractNumId="7">
    <w:nsid w:val="7664AD60"/>
    <w:multiLevelType w:val="singleLevel"/>
    <w:tmpl w:val="7664AD60"/>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BD7E6C"/>
    <w:rsid w:val="01C82D28"/>
    <w:rsid w:val="01CD6A8A"/>
    <w:rsid w:val="01CE3474"/>
    <w:rsid w:val="01D515BB"/>
    <w:rsid w:val="01FA3AC8"/>
    <w:rsid w:val="0204742C"/>
    <w:rsid w:val="02343D5B"/>
    <w:rsid w:val="023E3EED"/>
    <w:rsid w:val="02557B87"/>
    <w:rsid w:val="025A0286"/>
    <w:rsid w:val="02891DCB"/>
    <w:rsid w:val="02BA36FE"/>
    <w:rsid w:val="02BD0EE2"/>
    <w:rsid w:val="02C11391"/>
    <w:rsid w:val="02C4205E"/>
    <w:rsid w:val="02D15085"/>
    <w:rsid w:val="02E307E4"/>
    <w:rsid w:val="02FC284D"/>
    <w:rsid w:val="032A6C20"/>
    <w:rsid w:val="03427B4F"/>
    <w:rsid w:val="03460878"/>
    <w:rsid w:val="034B3DA3"/>
    <w:rsid w:val="03526AB2"/>
    <w:rsid w:val="03531D00"/>
    <w:rsid w:val="036C3D74"/>
    <w:rsid w:val="036E21FF"/>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394E5E"/>
    <w:rsid w:val="0A4214E6"/>
    <w:rsid w:val="0A622F41"/>
    <w:rsid w:val="0A7A446C"/>
    <w:rsid w:val="0A7D5CED"/>
    <w:rsid w:val="0A7F7130"/>
    <w:rsid w:val="0A870BFA"/>
    <w:rsid w:val="0A9B2547"/>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BE1B9E"/>
    <w:rsid w:val="0CC20327"/>
    <w:rsid w:val="0CC24884"/>
    <w:rsid w:val="0CE86762"/>
    <w:rsid w:val="0CEC4544"/>
    <w:rsid w:val="0D085996"/>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B7766"/>
    <w:rsid w:val="0EED3D24"/>
    <w:rsid w:val="0F1B578D"/>
    <w:rsid w:val="0F1D03EF"/>
    <w:rsid w:val="0F3533CF"/>
    <w:rsid w:val="0F461A45"/>
    <w:rsid w:val="0F684453"/>
    <w:rsid w:val="0F7165DD"/>
    <w:rsid w:val="0F8A6E5B"/>
    <w:rsid w:val="0F8B2DA9"/>
    <w:rsid w:val="0FB15E33"/>
    <w:rsid w:val="0FDA797C"/>
    <w:rsid w:val="0FE75496"/>
    <w:rsid w:val="0FF86D48"/>
    <w:rsid w:val="100C563E"/>
    <w:rsid w:val="10292C44"/>
    <w:rsid w:val="10841837"/>
    <w:rsid w:val="10883FD1"/>
    <w:rsid w:val="109A142C"/>
    <w:rsid w:val="109F5877"/>
    <w:rsid w:val="10BB57F6"/>
    <w:rsid w:val="10BC00C6"/>
    <w:rsid w:val="10E13394"/>
    <w:rsid w:val="10FD2B76"/>
    <w:rsid w:val="110C102F"/>
    <w:rsid w:val="11181B40"/>
    <w:rsid w:val="114A462A"/>
    <w:rsid w:val="1169081A"/>
    <w:rsid w:val="118249C0"/>
    <w:rsid w:val="11B03DAF"/>
    <w:rsid w:val="11DE655A"/>
    <w:rsid w:val="12303C06"/>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2B68D6"/>
    <w:rsid w:val="1A50307B"/>
    <w:rsid w:val="1A810701"/>
    <w:rsid w:val="1A9D590B"/>
    <w:rsid w:val="1AA441E5"/>
    <w:rsid w:val="1AC85D1B"/>
    <w:rsid w:val="1ACC5E1B"/>
    <w:rsid w:val="1AD304B8"/>
    <w:rsid w:val="1AD532A6"/>
    <w:rsid w:val="1AE006FC"/>
    <w:rsid w:val="1AE21AC3"/>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458DE"/>
    <w:rsid w:val="1D1B4F27"/>
    <w:rsid w:val="1D20081E"/>
    <w:rsid w:val="1D335514"/>
    <w:rsid w:val="1D356CC0"/>
    <w:rsid w:val="1D501181"/>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21C14"/>
    <w:rsid w:val="1F346CA0"/>
    <w:rsid w:val="1F4C66FE"/>
    <w:rsid w:val="1F77014D"/>
    <w:rsid w:val="1F827198"/>
    <w:rsid w:val="1F876088"/>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50A773C"/>
    <w:rsid w:val="25136D8E"/>
    <w:rsid w:val="25384B48"/>
    <w:rsid w:val="25471D43"/>
    <w:rsid w:val="254D418D"/>
    <w:rsid w:val="255179ED"/>
    <w:rsid w:val="256B6EB4"/>
    <w:rsid w:val="2571095A"/>
    <w:rsid w:val="258549DE"/>
    <w:rsid w:val="259326F1"/>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3F53A6"/>
    <w:rsid w:val="28424EE2"/>
    <w:rsid w:val="28453086"/>
    <w:rsid w:val="285E08D0"/>
    <w:rsid w:val="28637E3D"/>
    <w:rsid w:val="28651224"/>
    <w:rsid w:val="287B7B56"/>
    <w:rsid w:val="288D49B8"/>
    <w:rsid w:val="288D78CB"/>
    <w:rsid w:val="28A15125"/>
    <w:rsid w:val="28CB1F56"/>
    <w:rsid w:val="28D30D37"/>
    <w:rsid w:val="28DF504B"/>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290297"/>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B53831"/>
    <w:rsid w:val="2DCE3C7D"/>
    <w:rsid w:val="2DCF0D38"/>
    <w:rsid w:val="2DDB0505"/>
    <w:rsid w:val="2DF77CC5"/>
    <w:rsid w:val="2DFF70AD"/>
    <w:rsid w:val="2E197228"/>
    <w:rsid w:val="2E490CF6"/>
    <w:rsid w:val="2E616693"/>
    <w:rsid w:val="2E640E80"/>
    <w:rsid w:val="2E685A4D"/>
    <w:rsid w:val="2E6D421C"/>
    <w:rsid w:val="2E85670C"/>
    <w:rsid w:val="2E93683E"/>
    <w:rsid w:val="2EAE51C5"/>
    <w:rsid w:val="2ECE0FF5"/>
    <w:rsid w:val="2EDB35F4"/>
    <w:rsid w:val="2EE80E9D"/>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41C9C"/>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232779"/>
    <w:rsid w:val="354E7917"/>
    <w:rsid w:val="35533564"/>
    <w:rsid w:val="357F3C0D"/>
    <w:rsid w:val="359C482A"/>
    <w:rsid w:val="35A2648D"/>
    <w:rsid w:val="35EE3F20"/>
    <w:rsid w:val="3603321B"/>
    <w:rsid w:val="363A1A40"/>
    <w:rsid w:val="365057CB"/>
    <w:rsid w:val="366F05D1"/>
    <w:rsid w:val="36707E4B"/>
    <w:rsid w:val="36C06D6C"/>
    <w:rsid w:val="36C0742F"/>
    <w:rsid w:val="36C848DD"/>
    <w:rsid w:val="36CB72FE"/>
    <w:rsid w:val="370B22B6"/>
    <w:rsid w:val="3720617D"/>
    <w:rsid w:val="375A115E"/>
    <w:rsid w:val="37786996"/>
    <w:rsid w:val="37AB7604"/>
    <w:rsid w:val="38152477"/>
    <w:rsid w:val="381A3FBC"/>
    <w:rsid w:val="383115F5"/>
    <w:rsid w:val="386A4D8B"/>
    <w:rsid w:val="387060FE"/>
    <w:rsid w:val="38780152"/>
    <w:rsid w:val="387D2978"/>
    <w:rsid w:val="388242C0"/>
    <w:rsid w:val="388D490B"/>
    <w:rsid w:val="38A35CBB"/>
    <w:rsid w:val="38AA19BF"/>
    <w:rsid w:val="38B3195E"/>
    <w:rsid w:val="38C53CA2"/>
    <w:rsid w:val="38CA274D"/>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1D23B3"/>
    <w:rsid w:val="3A3620BE"/>
    <w:rsid w:val="3A3932E5"/>
    <w:rsid w:val="3A3F327A"/>
    <w:rsid w:val="3A402C8E"/>
    <w:rsid w:val="3A57294E"/>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0B0664"/>
    <w:rsid w:val="3E102F58"/>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87306"/>
    <w:rsid w:val="3FAE024D"/>
    <w:rsid w:val="3FF033EE"/>
    <w:rsid w:val="3FF67573"/>
    <w:rsid w:val="40213BB3"/>
    <w:rsid w:val="40275EA5"/>
    <w:rsid w:val="40546C4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C51A2C"/>
    <w:rsid w:val="41E24A0A"/>
    <w:rsid w:val="41E54201"/>
    <w:rsid w:val="41EA0EFE"/>
    <w:rsid w:val="42517364"/>
    <w:rsid w:val="4262363F"/>
    <w:rsid w:val="42866E0B"/>
    <w:rsid w:val="42887741"/>
    <w:rsid w:val="42A10A0B"/>
    <w:rsid w:val="42A82704"/>
    <w:rsid w:val="42AF630A"/>
    <w:rsid w:val="42CE76C5"/>
    <w:rsid w:val="4305085A"/>
    <w:rsid w:val="431742E7"/>
    <w:rsid w:val="43312BDE"/>
    <w:rsid w:val="433862B6"/>
    <w:rsid w:val="43457D5C"/>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4546E2"/>
    <w:rsid w:val="4B5F5FC3"/>
    <w:rsid w:val="4B6549DC"/>
    <w:rsid w:val="4B6E06DF"/>
    <w:rsid w:val="4B937C35"/>
    <w:rsid w:val="4B9F2EFD"/>
    <w:rsid w:val="4BAF63DD"/>
    <w:rsid w:val="4BB57285"/>
    <w:rsid w:val="4BBD1489"/>
    <w:rsid w:val="4BDB0C2D"/>
    <w:rsid w:val="4C0478A6"/>
    <w:rsid w:val="4C3A380D"/>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C7FA5"/>
    <w:rsid w:val="4E143766"/>
    <w:rsid w:val="4E4906EE"/>
    <w:rsid w:val="4E5C0BF1"/>
    <w:rsid w:val="4E692982"/>
    <w:rsid w:val="4E81128D"/>
    <w:rsid w:val="4EAA2B9B"/>
    <w:rsid w:val="4EAC63A7"/>
    <w:rsid w:val="4EB44450"/>
    <w:rsid w:val="4EBE06E2"/>
    <w:rsid w:val="4ED211D4"/>
    <w:rsid w:val="4EF018DD"/>
    <w:rsid w:val="4F04640B"/>
    <w:rsid w:val="4F0E3BBD"/>
    <w:rsid w:val="4F144EEE"/>
    <w:rsid w:val="4F4C2A01"/>
    <w:rsid w:val="4F6B7BB9"/>
    <w:rsid w:val="4F8D0EEC"/>
    <w:rsid w:val="4F981B6D"/>
    <w:rsid w:val="4FA6654E"/>
    <w:rsid w:val="4FCC7BD9"/>
    <w:rsid w:val="4FD51E77"/>
    <w:rsid w:val="4FEF0962"/>
    <w:rsid w:val="4FF51ACA"/>
    <w:rsid w:val="4FF659D3"/>
    <w:rsid w:val="4FFB6AF8"/>
    <w:rsid w:val="502D6990"/>
    <w:rsid w:val="503A7C33"/>
    <w:rsid w:val="503B7503"/>
    <w:rsid w:val="505408EF"/>
    <w:rsid w:val="50626FEC"/>
    <w:rsid w:val="50802698"/>
    <w:rsid w:val="50B62460"/>
    <w:rsid w:val="50DF4E67"/>
    <w:rsid w:val="50E15827"/>
    <w:rsid w:val="51002F0E"/>
    <w:rsid w:val="51071B0C"/>
    <w:rsid w:val="51753008"/>
    <w:rsid w:val="517D7903"/>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410069F"/>
    <w:rsid w:val="5428422D"/>
    <w:rsid w:val="542850CE"/>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473CE"/>
    <w:rsid w:val="55273084"/>
    <w:rsid w:val="553918DB"/>
    <w:rsid w:val="554F3566"/>
    <w:rsid w:val="55694C7A"/>
    <w:rsid w:val="557A1F24"/>
    <w:rsid w:val="557B277B"/>
    <w:rsid w:val="558A40D4"/>
    <w:rsid w:val="55A939CC"/>
    <w:rsid w:val="55AA7895"/>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D5052"/>
    <w:rsid w:val="56D33E1D"/>
    <w:rsid w:val="56EB5C17"/>
    <w:rsid w:val="56F67432"/>
    <w:rsid w:val="56FC10C4"/>
    <w:rsid w:val="570C2AAA"/>
    <w:rsid w:val="570F06B1"/>
    <w:rsid w:val="57196811"/>
    <w:rsid w:val="57230876"/>
    <w:rsid w:val="5725461D"/>
    <w:rsid w:val="57440F69"/>
    <w:rsid w:val="5754503F"/>
    <w:rsid w:val="576378C6"/>
    <w:rsid w:val="57645644"/>
    <w:rsid w:val="578C51EE"/>
    <w:rsid w:val="57AC7CFA"/>
    <w:rsid w:val="57C2639A"/>
    <w:rsid w:val="57E27D6D"/>
    <w:rsid w:val="58135902"/>
    <w:rsid w:val="581D05D2"/>
    <w:rsid w:val="581E7B89"/>
    <w:rsid w:val="58203E2B"/>
    <w:rsid w:val="58363A1E"/>
    <w:rsid w:val="583B5B55"/>
    <w:rsid w:val="583E7652"/>
    <w:rsid w:val="586C0F12"/>
    <w:rsid w:val="586E0CF8"/>
    <w:rsid w:val="587F7675"/>
    <w:rsid w:val="58AA2D4B"/>
    <w:rsid w:val="58B0376F"/>
    <w:rsid w:val="58D24194"/>
    <w:rsid w:val="58E72DE9"/>
    <w:rsid w:val="590251D7"/>
    <w:rsid w:val="59075246"/>
    <w:rsid w:val="590810D4"/>
    <w:rsid w:val="592B1BE2"/>
    <w:rsid w:val="592D2065"/>
    <w:rsid w:val="593E07E2"/>
    <w:rsid w:val="59517920"/>
    <w:rsid w:val="59617A34"/>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429EA"/>
    <w:rsid w:val="5C78121F"/>
    <w:rsid w:val="5C7E3B46"/>
    <w:rsid w:val="5C8E6AD3"/>
    <w:rsid w:val="5C962A0F"/>
    <w:rsid w:val="5C9C63C8"/>
    <w:rsid w:val="5CA04BF9"/>
    <w:rsid w:val="5CBA15A3"/>
    <w:rsid w:val="5CD82D18"/>
    <w:rsid w:val="5CDC0BDD"/>
    <w:rsid w:val="5CE96DCA"/>
    <w:rsid w:val="5CFB0D0E"/>
    <w:rsid w:val="5D077EF5"/>
    <w:rsid w:val="5D0D570F"/>
    <w:rsid w:val="5D5061F6"/>
    <w:rsid w:val="5D590772"/>
    <w:rsid w:val="5D670BC7"/>
    <w:rsid w:val="5D6F385A"/>
    <w:rsid w:val="5D8E4CA8"/>
    <w:rsid w:val="5D920685"/>
    <w:rsid w:val="5DB86D54"/>
    <w:rsid w:val="5DBE6255"/>
    <w:rsid w:val="5DCA043A"/>
    <w:rsid w:val="5DDC5EE5"/>
    <w:rsid w:val="5DE06080"/>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6F33"/>
    <w:rsid w:val="655834E5"/>
    <w:rsid w:val="65774DE2"/>
    <w:rsid w:val="658F6A2D"/>
    <w:rsid w:val="65A9123D"/>
    <w:rsid w:val="65AF7C90"/>
    <w:rsid w:val="65B124D6"/>
    <w:rsid w:val="65BD2414"/>
    <w:rsid w:val="65FB194F"/>
    <w:rsid w:val="661208FC"/>
    <w:rsid w:val="661C3008"/>
    <w:rsid w:val="6626043C"/>
    <w:rsid w:val="662D301C"/>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72245"/>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C28DB"/>
    <w:rsid w:val="68907DEF"/>
    <w:rsid w:val="68976136"/>
    <w:rsid w:val="68A0278A"/>
    <w:rsid w:val="68C812E7"/>
    <w:rsid w:val="68CE0B86"/>
    <w:rsid w:val="68F540D3"/>
    <w:rsid w:val="69082643"/>
    <w:rsid w:val="69256E15"/>
    <w:rsid w:val="692764EA"/>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B327AFB"/>
    <w:rsid w:val="6B336006"/>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D3169F"/>
    <w:rsid w:val="70DC4E9C"/>
    <w:rsid w:val="70FB50CB"/>
    <w:rsid w:val="71103E0A"/>
    <w:rsid w:val="711F45B9"/>
    <w:rsid w:val="712802B3"/>
    <w:rsid w:val="713B1222"/>
    <w:rsid w:val="714E63D6"/>
    <w:rsid w:val="71756349"/>
    <w:rsid w:val="71905F74"/>
    <w:rsid w:val="71AC3EEB"/>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EC7BCD"/>
    <w:rsid w:val="740A43A4"/>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EE01F5"/>
    <w:rsid w:val="7709593C"/>
    <w:rsid w:val="770F4A0E"/>
    <w:rsid w:val="771B662C"/>
    <w:rsid w:val="771C23B1"/>
    <w:rsid w:val="772E2BF6"/>
    <w:rsid w:val="774804CC"/>
    <w:rsid w:val="77547927"/>
    <w:rsid w:val="77722EAD"/>
    <w:rsid w:val="777C270F"/>
    <w:rsid w:val="777C39DF"/>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AA212A"/>
    <w:rsid w:val="78B47E62"/>
    <w:rsid w:val="78BD3A19"/>
    <w:rsid w:val="78CA743F"/>
    <w:rsid w:val="78FC723E"/>
    <w:rsid w:val="7903576C"/>
    <w:rsid w:val="790B2A62"/>
    <w:rsid w:val="791059C4"/>
    <w:rsid w:val="79471A66"/>
    <w:rsid w:val="794B4FBB"/>
    <w:rsid w:val="79715F03"/>
    <w:rsid w:val="79832C90"/>
    <w:rsid w:val="79B34D12"/>
    <w:rsid w:val="79BA09EE"/>
    <w:rsid w:val="79CD40FA"/>
    <w:rsid w:val="79EA60FA"/>
    <w:rsid w:val="7A1376CB"/>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505C2F"/>
    <w:rsid w:val="7B590514"/>
    <w:rsid w:val="7B631BC2"/>
    <w:rsid w:val="7B66424C"/>
    <w:rsid w:val="7BAB783C"/>
    <w:rsid w:val="7BAC3148"/>
    <w:rsid w:val="7BBC0F77"/>
    <w:rsid w:val="7BBF003E"/>
    <w:rsid w:val="7BC86099"/>
    <w:rsid w:val="7BCF61EF"/>
    <w:rsid w:val="7BDE4FC2"/>
    <w:rsid w:val="7C251BB9"/>
    <w:rsid w:val="7C270A47"/>
    <w:rsid w:val="7C420169"/>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E0064D6"/>
    <w:rsid w:val="7E032F24"/>
    <w:rsid w:val="7E113552"/>
    <w:rsid w:val="7E34384C"/>
    <w:rsid w:val="7E3D470A"/>
    <w:rsid w:val="7E3E2ED1"/>
    <w:rsid w:val="7E481050"/>
    <w:rsid w:val="7E4F112B"/>
    <w:rsid w:val="7E5132C5"/>
    <w:rsid w:val="7E725143"/>
    <w:rsid w:val="7E7722A2"/>
    <w:rsid w:val="7E8D040A"/>
    <w:rsid w:val="7EB75211"/>
    <w:rsid w:val="7ED17784"/>
    <w:rsid w:val="7EDA761A"/>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3"/>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qFormat/>
    <w:uiPriority w:val="9"/>
    <w:pPr>
      <w:keepNext/>
      <w:keepLines/>
      <w:spacing w:line="400" w:lineRule="atLeast"/>
      <w:jc w:val="center"/>
      <w:outlineLvl w:val="2"/>
    </w:pPr>
    <w:rPr>
      <w:b/>
      <w:bCs/>
      <w:sz w:val="32"/>
      <w:szCs w:val="32"/>
      <w:u w:val="doub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styleId="7">
    <w:name w:val="Normal Indent"/>
    <w:basedOn w:val="1"/>
    <w:qFormat/>
    <w:uiPriority w:val="99"/>
    <w:pPr>
      <w:ind w:firstLine="420"/>
    </w:pPr>
  </w:style>
  <w:style w:type="paragraph" w:styleId="8">
    <w:name w:val="annotation text"/>
    <w:basedOn w:val="1"/>
    <w:link w:val="47"/>
    <w:qFormat/>
    <w:uiPriority w:val="0"/>
    <w:pPr>
      <w:jc w:val="left"/>
    </w:pPr>
  </w:style>
  <w:style w:type="paragraph" w:styleId="9">
    <w:name w:val="Body Text"/>
    <w:basedOn w:val="1"/>
    <w:next w:val="1"/>
    <w:qFormat/>
    <w:uiPriority w:val="99"/>
    <w:pPr>
      <w:spacing w:after="120"/>
    </w:pPr>
  </w:style>
  <w:style w:type="paragraph" w:styleId="10">
    <w:name w:val="Body Text Indent"/>
    <w:basedOn w:val="1"/>
    <w:qFormat/>
    <w:uiPriority w:val="0"/>
    <w:pPr>
      <w:spacing w:after="120"/>
      <w:ind w:left="420" w:leftChars="200"/>
    </w:pPr>
  </w:style>
  <w:style w:type="paragraph" w:styleId="11">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49"/>
    <w:qFormat/>
    <w:uiPriority w:val="0"/>
    <w:pPr>
      <w:spacing w:line="240" w:lineRule="auto"/>
    </w:pPr>
    <w:rPr>
      <w:sz w:val="18"/>
      <w:szCs w:val="18"/>
    </w:rPr>
  </w:style>
  <w:style w:type="paragraph" w:styleId="14">
    <w:name w:val="footer"/>
    <w:basedOn w:val="1"/>
    <w:qFormat/>
    <w:uiPriority w:val="99"/>
    <w:pPr>
      <w:widowControl w:val="0"/>
      <w:tabs>
        <w:tab w:val="center" w:pos="4153"/>
        <w:tab w:val="right" w:pos="8306"/>
      </w:tabs>
      <w:snapToGrid w:val="0"/>
      <w:spacing w:line="240" w:lineRule="auto"/>
      <w:jc w:val="left"/>
    </w:pPr>
    <w:rPr>
      <w:sz w:val="18"/>
    </w:rPr>
  </w:style>
  <w:style w:type="paragraph" w:styleId="15">
    <w:name w:val="header"/>
    <w:basedOn w:val="1"/>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99"/>
    <w:pPr>
      <w:spacing w:beforeAutospacing="1" w:afterAutospacing="1"/>
      <w:jc w:val="left"/>
    </w:pPr>
    <w:rPr>
      <w:rFonts w:cs="Times New Roman"/>
      <w:kern w:val="0"/>
      <w:sz w:val="24"/>
    </w:rPr>
  </w:style>
  <w:style w:type="paragraph" w:styleId="19">
    <w:name w:val="annotation subject"/>
    <w:basedOn w:val="8"/>
    <w:next w:val="8"/>
    <w:link w:val="48"/>
    <w:qFormat/>
    <w:uiPriority w:val="0"/>
    <w:rPr>
      <w:b/>
      <w:bCs/>
    </w:rPr>
  </w:style>
  <w:style w:type="paragraph" w:styleId="20">
    <w:name w:val="Body Text First Indent"/>
    <w:basedOn w:val="9"/>
    <w:unhideWhenUsed/>
    <w:qFormat/>
    <w:uiPriority w:val="0"/>
    <w:pPr>
      <w:spacing w:line="240" w:lineRule="auto"/>
      <w:ind w:firstLine="420" w:firstLineChars="100"/>
    </w:pPr>
    <w:rPr>
      <w:rFonts w:ascii="Times New Roman" w:hAnsi="Times New Roman"/>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semiHidden/>
    <w:unhideWhenUsed/>
    <w:qFormat/>
    <w:uiPriority w:val="0"/>
    <w:rPr>
      <w:color w:val="800080"/>
      <w:u w:val="none"/>
    </w:rPr>
  </w:style>
  <w:style w:type="character" w:styleId="26">
    <w:name w:val="Emphasis"/>
    <w:basedOn w:val="23"/>
    <w:qFormat/>
    <w:uiPriority w:val="0"/>
    <w:rPr>
      <w:b/>
    </w:rPr>
  </w:style>
  <w:style w:type="character" w:styleId="27">
    <w:name w:val="HTML Definition"/>
    <w:basedOn w:val="23"/>
    <w:semiHidden/>
    <w:unhideWhenUsed/>
    <w:qFormat/>
    <w:uiPriority w:val="0"/>
  </w:style>
  <w:style w:type="character" w:styleId="28">
    <w:name w:val="HTML Typewriter"/>
    <w:basedOn w:val="23"/>
    <w:semiHidden/>
    <w:unhideWhenUsed/>
    <w:qFormat/>
    <w:uiPriority w:val="0"/>
    <w:rPr>
      <w:rFonts w:ascii="monospace" w:hAnsi="monospace" w:eastAsia="monospace" w:cs="monospace"/>
      <w:sz w:val="20"/>
    </w:rPr>
  </w:style>
  <w:style w:type="character" w:styleId="29">
    <w:name w:val="HTML Acronym"/>
    <w:basedOn w:val="23"/>
    <w:semiHidden/>
    <w:unhideWhenUsed/>
    <w:qFormat/>
    <w:uiPriority w:val="0"/>
  </w:style>
  <w:style w:type="character" w:styleId="30">
    <w:name w:val="HTML Variable"/>
    <w:basedOn w:val="23"/>
    <w:semiHidden/>
    <w:unhideWhenUsed/>
    <w:qFormat/>
    <w:uiPriority w:val="0"/>
  </w:style>
  <w:style w:type="character" w:styleId="31">
    <w:name w:val="Hyperlink"/>
    <w:qFormat/>
    <w:uiPriority w:val="99"/>
    <w:rPr>
      <w:color w:val="000000"/>
      <w:sz w:val="18"/>
      <w:szCs w:val="18"/>
      <w:u w:val="none"/>
    </w:rPr>
  </w:style>
  <w:style w:type="character" w:styleId="32">
    <w:name w:val="HTML Code"/>
    <w:basedOn w:val="23"/>
    <w:semiHidden/>
    <w:unhideWhenUsed/>
    <w:qFormat/>
    <w:uiPriority w:val="0"/>
    <w:rPr>
      <w:rFonts w:hint="default" w:ascii="monospace" w:hAnsi="monospace" w:eastAsia="monospace" w:cs="monospace"/>
      <w:sz w:val="20"/>
    </w:rPr>
  </w:style>
  <w:style w:type="character" w:styleId="33">
    <w:name w:val="annotation reference"/>
    <w:basedOn w:val="23"/>
    <w:qFormat/>
    <w:uiPriority w:val="0"/>
    <w:rPr>
      <w:sz w:val="21"/>
      <w:szCs w:val="21"/>
    </w:rPr>
  </w:style>
  <w:style w:type="character" w:styleId="34">
    <w:name w:val="HTML Cite"/>
    <w:basedOn w:val="23"/>
    <w:semiHidden/>
    <w:unhideWhenUsed/>
    <w:qFormat/>
    <w:uiPriority w:val="0"/>
  </w:style>
  <w:style w:type="character" w:styleId="35">
    <w:name w:val="HTML Keyboard"/>
    <w:basedOn w:val="23"/>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semiHidden/>
    <w:unhideWhenUsed/>
    <w:qFormat/>
    <w:uiPriority w:val="0"/>
    <w:rPr>
      <w:rFonts w:hint="default" w:ascii="monospace" w:hAnsi="monospace" w:eastAsia="monospace" w:cs="monospace"/>
    </w:rPr>
  </w:style>
  <w:style w:type="paragraph" w:customStyle="1" w:styleId="37">
    <w:name w:val="正文缩进1"/>
    <w:basedOn w:val="1"/>
    <w:qFormat/>
    <w:uiPriority w:val="0"/>
    <w:pPr>
      <w:ind w:firstLine="420" w:firstLineChars="200"/>
    </w:pPr>
  </w:style>
  <w:style w:type="paragraph" w:customStyle="1" w:styleId="38">
    <w:name w:val="正文（缩进 2 字符）"/>
    <w:basedOn w:val="1"/>
    <w:qFormat/>
    <w:uiPriority w:val="0"/>
    <w:pPr>
      <w:ind w:firstLine="200" w:firstLineChars="200"/>
    </w:pPr>
  </w:style>
  <w:style w:type="paragraph" w:customStyle="1" w:styleId="39">
    <w:name w:val="正文（缩进 4 字符）"/>
    <w:basedOn w:val="1"/>
    <w:qFormat/>
    <w:uiPriority w:val="0"/>
    <w:pPr>
      <w:ind w:firstLine="1134" w:firstLineChars="400"/>
    </w:pPr>
  </w:style>
  <w:style w:type="paragraph" w:customStyle="1" w:styleId="40">
    <w:name w:val="列出段落1"/>
    <w:basedOn w:val="1"/>
    <w:qFormat/>
    <w:uiPriority w:val="99"/>
    <w:pPr>
      <w:ind w:firstLine="420" w:firstLineChars="200"/>
    </w:pPr>
  </w:style>
  <w:style w:type="paragraph" w:customStyle="1" w:styleId="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标题 2（投标文件）"/>
    <w:basedOn w:val="4"/>
    <w:qFormat/>
    <w:uiPriority w:val="0"/>
    <w:pPr>
      <w:jc w:val="center"/>
    </w:pPr>
  </w:style>
  <w:style w:type="character" w:customStyle="1" w:styleId="43">
    <w:name w:val="标题 1 字符"/>
    <w:link w:val="3"/>
    <w:qFormat/>
    <w:uiPriority w:val="9"/>
    <w:rPr>
      <w:rFonts w:eastAsia="仿宋"/>
      <w:b/>
      <w:color w:val="000000"/>
      <w:kern w:val="44"/>
      <w:sz w:val="36"/>
      <w:szCs w:val="44"/>
    </w:rPr>
  </w:style>
  <w:style w:type="paragraph" w:customStyle="1" w:styleId="44">
    <w:name w:val="标题 3（投标文件）"/>
    <w:basedOn w:val="5"/>
    <w:qFormat/>
    <w:uiPriority w:val="0"/>
    <w:pPr>
      <w:jc w:val="left"/>
    </w:pPr>
    <w:rPr>
      <w:u w:val="none"/>
    </w:rPr>
  </w:style>
  <w:style w:type="character" w:customStyle="1" w:styleId="45">
    <w:name w:val="font21"/>
    <w:basedOn w:val="23"/>
    <w:qFormat/>
    <w:uiPriority w:val="0"/>
    <w:rPr>
      <w:rFonts w:hint="default" w:ascii="Tahoma" w:hAnsi="Tahoma" w:eastAsia="Tahoma" w:cs="Tahoma"/>
      <w:color w:val="000000"/>
      <w:sz w:val="22"/>
      <w:szCs w:val="22"/>
      <w:u w:val="none"/>
    </w:rPr>
  </w:style>
  <w:style w:type="character" w:customStyle="1" w:styleId="46">
    <w:name w:val="font01"/>
    <w:basedOn w:val="23"/>
    <w:qFormat/>
    <w:uiPriority w:val="0"/>
    <w:rPr>
      <w:rFonts w:hint="eastAsia" w:ascii="宋体" w:hAnsi="宋体" w:eastAsia="宋体" w:cs="宋体"/>
      <w:color w:val="000000"/>
      <w:sz w:val="22"/>
      <w:szCs w:val="22"/>
      <w:u w:val="none"/>
    </w:rPr>
  </w:style>
  <w:style w:type="character" w:customStyle="1" w:styleId="47">
    <w:name w:val="批注文字 字符"/>
    <w:basedOn w:val="23"/>
    <w:link w:val="8"/>
    <w:qFormat/>
    <w:uiPriority w:val="0"/>
    <w:rPr>
      <w:rFonts w:ascii="Calibri Light" w:hAnsi="Calibri Light" w:eastAsia="华文仿宋" w:cs="Calibri Light"/>
      <w:kern w:val="2"/>
      <w:sz w:val="28"/>
      <w:szCs w:val="28"/>
    </w:rPr>
  </w:style>
  <w:style w:type="character" w:customStyle="1" w:styleId="48">
    <w:name w:val="批注主题 字符"/>
    <w:basedOn w:val="47"/>
    <w:link w:val="19"/>
    <w:qFormat/>
    <w:uiPriority w:val="0"/>
    <w:rPr>
      <w:rFonts w:ascii="Calibri Light" w:hAnsi="Calibri Light" w:eastAsia="华文仿宋" w:cs="Calibri Light"/>
      <w:b/>
      <w:bCs/>
      <w:kern w:val="2"/>
      <w:sz w:val="28"/>
      <w:szCs w:val="28"/>
    </w:rPr>
  </w:style>
  <w:style w:type="character" w:customStyle="1" w:styleId="49">
    <w:name w:val="批注框文本 字符"/>
    <w:basedOn w:val="23"/>
    <w:link w:val="13"/>
    <w:qFormat/>
    <w:uiPriority w:val="0"/>
    <w:rPr>
      <w:rFonts w:ascii="Calibri Light" w:hAnsi="Calibri Light" w:eastAsia="华文仿宋" w:cs="Calibri Light"/>
      <w:kern w:val="2"/>
      <w:sz w:val="18"/>
      <w:szCs w:val="18"/>
    </w:rPr>
  </w:style>
  <w:style w:type="paragraph" w:styleId="50">
    <w:name w:val="List Paragraph"/>
    <w:basedOn w:val="1"/>
    <w:qFormat/>
    <w:uiPriority w:val="34"/>
    <w:pPr>
      <w:ind w:firstLine="420" w:firstLineChars="200"/>
    </w:pPr>
  </w:style>
  <w:style w:type="table" w:customStyle="1" w:styleId="51">
    <w:name w:val="Table Normal"/>
    <w:unhideWhenUsed/>
    <w:qFormat/>
    <w:uiPriority w:val="0"/>
    <w:tblPr>
      <w:tblCellMar>
        <w:top w:w="0" w:type="dxa"/>
        <w:left w:w="0" w:type="dxa"/>
        <w:bottom w:w="0" w:type="dxa"/>
        <w:right w:w="0" w:type="dxa"/>
      </w:tblCellMar>
    </w:tblPr>
  </w:style>
  <w:style w:type="character" w:customStyle="1" w:styleId="52">
    <w:name w:val="font11"/>
    <w:basedOn w:val="23"/>
    <w:qFormat/>
    <w:uiPriority w:val="0"/>
    <w:rPr>
      <w:rFonts w:hint="eastAsia" w:ascii="宋体" w:hAnsi="宋体" w:eastAsia="宋体" w:cs="宋体"/>
      <w:color w:val="000000"/>
      <w:sz w:val="24"/>
      <w:szCs w:val="24"/>
      <w:u w:val="none"/>
    </w:rPr>
  </w:style>
  <w:style w:type="character" w:customStyle="1" w:styleId="53">
    <w:name w:val="font31"/>
    <w:basedOn w:val="23"/>
    <w:qFormat/>
    <w:uiPriority w:val="0"/>
    <w:rPr>
      <w:rFonts w:ascii="Arial Unicode MS" w:hAnsi="Arial Unicode MS" w:eastAsia="Arial Unicode MS" w:cs="Arial Unicode MS"/>
      <w:color w:val="000000"/>
      <w:sz w:val="24"/>
      <w:szCs w:val="24"/>
      <w:u w:val="none"/>
    </w:rPr>
  </w:style>
  <w:style w:type="character" w:customStyle="1" w:styleId="54">
    <w:name w:val="font61"/>
    <w:basedOn w:val="2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28073</Words>
  <Characters>30034</Characters>
  <Lines>245</Lines>
  <Paragraphs>68</Paragraphs>
  <TotalTime>17</TotalTime>
  <ScaleCrop>false</ScaleCrop>
  <LinksUpToDate>false</LinksUpToDate>
  <CharactersWithSpaces>30721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lenovo</cp:lastModifiedBy>
  <cp:lastPrinted>2023-08-11T02:37:00Z</cp:lastPrinted>
  <dcterms:modified xsi:type="dcterms:W3CDTF">2023-08-29T03:10:05Z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C1863EAD3B154342B8010F7CF7AB9BA7</vt:lpwstr>
  </property>
</Properties>
</file>