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hAnsi="宋体" w:eastAsia="宋体" w:cs="宋体"/>
          <w:b/>
          <w:color w:val="auto"/>
          <w:sz w:val="32"/>
          <w:szCs w:val="18"/>
          <w:highlight w:val="none"/>
          <w:lang w:eastAsia="zh-CN"/>
        </w:rPr>
      </w:pPr>
      <w:bookmarkStart w:id="0" w:name="_Toc11213"/>
      <w:r>
        <w:rPr>
          <w:rFonts w:hint="eastAsia" w:hAnsi="宋体" w:cs="宋体"/>
          <w:b/>
          <w:bCs/>
          <w:color w:val="auto"/>
          <w:sz w:val="32"/>
          <w:szCs w:val="32"/>
          <w:highlight w:val="none"/>
        </w:rPr>
        <w:t>项目编号:</w:t>
      </w:r>
      <w:r>
        <w:rPr>
          <w:rFonts w:hint="eastAsia" w:hAnsi="宋体" w:cs="宋体"/>
          <w:b/>
          <w:bCs/>
          <w:color w:val="auto"/>
          <w:sz w:val="32"/>
          <w:szCs w:val="32"/>
          <w:highlight w:val="none"/>
          <w:lang w:val="en-US" w:eastAsia="zh-CN"/>
        </w:rPr>
        <w:tab/>
      </w:r>
      <w:bookmarkEnd w:id="0"/>
      <w:r>
        <w:rPr>
          <w:rFonts w:hint="eastAsia" w:hAnsi="宋体" w:cs="宋体"/>
          <w:b/>
          <w:bCs/>
          <w:color w:val="auto"/>
          <w:sz w:val="32"/>
          <w:szCs w:val="32"/>
          <w:highlight w:val="none"/>
          <w:lang w:val="en-US" w:eastAsia="zh-CN"/>
        </w:rPr>
        <w:t>SXZCZB2022-ZCGK-1021</w:t>
      </w:r>
    </w:p>
    <w:p>
      <w:pPr>
        <w:bidi w:val="0"/>
      </w:pPr>
    </w:p>
    <w:p>
      <w:pPr>
        <w:bidi w:val="0"/>
      </w:pPr>
      <w:r>
        <w:rPr>
          <w:rFonts w:hint="eastAsia"/>
        </w:rPr>
        <w:tab/>
      </w:r>
    </w:p>
    <w:p>
      <w:pPr>
        <w:bidi w:val="0"/>
      </w:pPr>
    </w:p>
    <w:p>
      <w:pPr>
        <w:bidi w:val="0"/>
        <w:rPr>
          <w:rFonts w:hAnsi="宋体" w:cs="宋体"/>
          <w:b/>
          <w:color w:val="auto"/>
          <w:sz w:val="56"/>
          <w:szCs w:val="56"/>
          <w:highlight w:val="none"/>
        </w:rPr>
      </w:pPr>
    </w:p>
    <w:p>
      <w:pPr>
        <w:bidi w:val="0"/>
        <w:jc w:val="center"/>
        <w:rPr>
          <w:rStyle w:val="25"/>
          <w:rFonts w:hint="eastAsia" w:ascii="宋体" w:hAnsi="宋体" w:eastAsia="宋体" w:cs="宋体"/>
          <w:b/>
          <w:bCs/>
          <w:i w:val="0"/>
          <w:iCs w:val="0"/>
          <w:caps w:val="0"/>
          <w:color w:val="auto"/>
          <w:spacing w:val="0"/>
          <w:sz w:val="72"/>
          <w:szCs w:val="72"/>
          <w:shd w:val="clear" w:fill="FFFFFF"/>
          <w:lang w:eastAsia="zh-CN"/>
        </w:rPr>
      </w:pPr>
      <w:bookmarkStart w:id="1" w:name="_Toc320"/>
      <w:r>
        <w:rPr>
          <w:rStyle w:val="25"/>
          <w:rFonts w:hint="eastAsia" w:ascii="宋体" w:hAnsi="宋体" w:eastAsia="宋体" w:cs="宋体"/>
          <w:b/>
          <w:bCs/>
          <w:i w:val="0"/>
          <w:iCs w:val="0"/>
          <w:caps w:val="0"/>
          <w:color w:val="auto"/>
          <w:spacing w:val="0"/>
          <w:sz w:val="72"/>
          <w:szCs w:val="72"/>
          <w:shd w:val="clear" w:fill="FFFFFF"/>
          <w:lang w:eastAsia="zh-CN"/>
        </w:rPr>
        <w:t>汉中市人民医院虚拟化扩容采购项目</w:t>
      </w:r>
      <w:bookmarkEnd w:id="1"/>
    </w:p>
    <w:p>
      <w:pPr>
        <w:bidi w:val="0"/>
      </w:pPr>
    </w:p>
    <w:p>
      <w:pPr>
        <w:bidi w:val="0"/>
        <w:rPr>
          <w:color w:val="auto"/>
          <w:highlight w:val="none"/>
        </w:rPr>
      </w:pPr>
    </w:p>
    <w:p>
      <w:pPr>
        <w:bidi w:val="0"/>
        <w:jc w:val="center"/>
        <w:rPr>
          <w:rFonts w:hint="eastAsia" w:hAnsi="宋体" w:cs="宋体"/>
          <w:b/>
          <w:color w:val="auto"/>
          <w:sz w:val="72"/>
          <w:szCs w:val="72"/>
          <w:highlight w:val="none"/>
        </w:rPr>
      </w:pPr>
    </w:p>
    <w:p>
      <w:pPr>
        <w:bidi w:val="0"/>
        <w:jc w:val="center"/>
        <w:rPr>
          <w:rFonts w:hint="eastAsia" w:hAnsi="宋体" w:cs="宋体"/>
          <w:b/>
          <w:color w:val="auto"/>
          <w:sz w:val="72"/>
          <w:szCs w:val="72"/>
          <w:highlight w:val="none"/>
        </w:rPr>
      </w:pPr>
    </w:p>
    <w:p>
      <w:pPr>
        <w:bidi w:val="0"/>
        <w:jc w:val="center"/>
        <w:rPr>
          <w:rFonts w:hAnsi="宋体" w:cs="宋体"/>
          <w:b/>
          <w:color w:val="auto"/>
          <w:sz w:val="72"/>
          <w:szCs w:val="72"/>
          <w:highlight w:val="none"/>
        </w:rPr>
      </w:pPr>
      <w:r>
        <w:rPr>
          <w:rFonts w:hint="eastAsia" w:hAnsi="宋体" w:cs="宋体"/>
          <w:b/>
          <w:color w:val="auto"/>
          <w:sz w:val="72"/>
          <w:szCs w:val="72"/>
          <w:highlight w:val="none"/>
        </w:rPr>
        <w:t>招 标 文 件</w:t>
      </w:r>
    </w:p>
    <w:p>
      <w:pPr>
        <w:bidi w:val="0"/>
        <w:rPr>
          <w:rFonts w:ascii="宋体" w:hAnsi="Times New Roman" w:eastAsia="宋体" w:cs="Times New Roman"/>
        </w:rPr>
      </w:pPr>
      <w:bookmarkStart w:id="2" w:name="_Toc363463325"/>
    </w:p>
    <w:p>
      <w:pPr>
        <w:bidi w:val="0"/>
        <w:rPr>
          <w:rFonts w:ascii="宋体" w:hAnsi="Times New Roman" w:eastAsia="宋体" w:cs="Times New Roman"/>
        </w:rPr>
      </w:pPr>
    </w:p>
    <w:p>
      <w:pPr>
        <w:bidi w:val="0"/>
        <w:rPr>
          <w:rFonts w:ascii="宋体" w:hAnsi="Times New Roman" w:eastAsia="宋体" w:cs="Times New Roman"/>
        </w:rPr>
      </w:pPr>
    </w:p>
    <w:bookmarkEnd w:id="2"/>
    <w:p>
      <w:pPr>
        <w:bidi w:val="0"/>
        <w:rPr>
          <w:rFonts w:ascii="宋体" w:hAnsi="Times New Roman" w:eastAsia="宋体" w:cs="Times New Roman"/>
        </w:rPr>
      </w:pPr>
    </w:p>
    <w:p>
      <w:pPr>
        <w:bidi w:val="0"/>
        <w:rPr>
          <w:rFonts w:ascii="宋体" w:hAnsi="Times New Roman" w:eastAsia="宋体" w:cs="Times New Roman"/>
        </w:rPr>
      </w:pPr>
    </w:p>
    <w:p>
      <w:pPr>
        <w:bidi w:val="0"/>
        <w:rPr>
          <w:rFonts w:ascii="宋体" w:hAnsi="Times New Roman" w:eastAsia="宋体" w:cs="Times New Roman"/>
        </w:rPr>
      </w:pPr>
    </w:p>
    <w:p>
      <w:pPr>
        <w:bidi w:val="0"/>
        <w:rPr>
          <w:rFonts w:ascii="宋体" w:hAnsi="Times New Roman" w:eastAsia="宋体" w:cs="Times New Roman"/>
        </w:rPr>
      </w:pPr>
    </w:p>
    <w:p>
      <w:pPr>
        <w:bidi w:val="0"/>
        <w:jc w:val="center"/>
        <w:rPr>
          <w:rFonts w:hint="eastAsia"/>
          <w:b/>
          <w:bCs/>
          <w:sz w:val="32"/>
          <w:szCs w:val="22"/>
        </w:rPr>
      </w:pPr>
      <w:bookmarkStart w:id="3" w:name="_Toc20824"/>
      <w:r>
        <w:rPr>
          <w:rFonts w:hint="eastAsia"/>
          <w:b/>
          <w:bCs/>
          <w:sz w:val="32"/>
          <w:szCs w:val="22"/>
        </w:rPr>
        <w:t>陕西至诚招标咨询有限公司</w:t>
      </w:r>
      <w:bookmarkEnd w:id="3"/>
    </w:p>
    <w:p>
      <w:pPr>
        <w:bidi w:val="0"/>
        <w:jc w:val="center"/>
        <w:rPr>
          <w:rFonts w:hint="eastAsia" w:ascii="宋体" w:hAnsi="宋体" w:eastAsia="宋体" w:cs="宋体"/>
          <w:b/>
          <w:color w:val="auto"/>
          <w:sz w:val="32"/>
          <w:szCs w:val="32"/>
          <w:highlight w:val="none"/>
        </w:rPr>
        <w:sectPr>
          <w:headerReference r:id="rId4" w:type="first"/>
          <w:footerReference r:id="rId6" w:type="first"/>
          <w:headerReference r:id="rId3" w:type="default"/>
          <w:footerReference r:id="rId5" w:type="default"/>
          <w:pgSz w:w="11906" w:h="16838"/>
          <w:pgMar w:top="1417" w:right="1134" w:bottom="1417" w:left="1417" w:header="1134" w:footer="992" w:gutter="0"/>
          <w:pgNumType w:start="1"/>
          <w:cols w:space="720" w:num="1"/>
          <w:titlePg/>
          <w:docGrid w:type="lines" w:linePitch="333" w:charSpace="0"/>
        </w:sectPr>
      </w:pPr>
      <w:r>
        <w:rPr>
          <w:rFonts w:hint="eastAsia" w:ascii="宋体" w:hAnsi="宋体" w:eastAsia="宋体" w:cs="宋体"/>
          <w:b/>
          <w:color w:val="auto"/>
          <w:sz w:val="32"/>
          <w:szCs w:val="32"/>
          <w:highlight w:val="none"/>
        </w:rPr>
        <w:t>二〇二</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年</w:t>
      </w:r>
      <w:r>
        <w:rPr>
          <w:rFonts w:hint="eastAsia" w:hAnsi="宋体" w:cs="宋体"/>
          <w:b/>
          <w:color w:val="auto"/>
          <w:sz w:val="32"/>
          <w:szCs w:val="32"/>
          <w:highlight w:val="none"/>
          <w:lang w:val="en-US" w:eastAsia="zh-CN"/>
        </w:rPr>
        <w:t>十</w:t>
      </w:r>
      <w:r>
        <w:rPr>
          <w:rFonts w:hint="eastAsia" w:ascii="宋体" w:hAnsi="宋体" w:eastAsia="宋体" w:cs="宋体"/>
          <w:b/>
          <w:color w:val="auto"/>
          <w:sz w:val="32"/>
          <w:szCs w:val="32"/>
          <w:highlight w:val="none"/>
        </w:rPr>
        <w:t>月</w:t>
      </w:r>
    </w:p>
    <w:p>
      <w:pPr>
        <w:bidi w:val="0"/>
        <w:jc w:val="center"/>
        <w:rPr>
          <w:rFonts w:hint="eastAsia" w:hAnsi="宋体" w:cs="宋体"/>
          <w:color w:val="auto"/>
          <w:sz w:val="52"/>
          <w:szCs w:val="56"/>
          <w:highlight w:val="none"/>
          <w:lang w:eastAsia="zh-CN"/>
        </w:rPr>
      </w:pPr>
      <w:bookmarkStart w:id="4" w:name="_Toc7061"/>
      <w:bookmarkStart w:id="5" w:name="_Toc20652"/>
      <w:bookmarkStart w:id="6" w:name="_Toc5293"/>
      <w:bookmarkStart w:id="7" w:name="_Toc16218"/>
      <w:bookmarkStart w:id="8" w:name="_Toc19886"/>
      <w:bookmarkStart w:id="9" w:name="_Toc389582033"/>
      <w:bookmarkStart w:id="10" w:name="_Toc20858"/>
      <w:bookmarkStart w:id="11" w:name="_Toc21518"/>
      <w:bookmarkStart w:id="12" w:name="_Toc426457691"/>
      <w:bookmarkStart w:id="13" w:name="_Toc363473971"/>
      <w:bookmarkStart w:id="14" w:name="_Toc363474016"/>
      <w:bookmarkStart w:id="15" w:name="_Toc403077638"/>
      <w:r>
        <w:rPr>
          <w:rFonts w:hint="eastAsia" w:hAnsi="宋体" w:cs="宋体"/>
          <w:color w:val="auto"/>
          <w:sz w:val="52"/>
          <w:szCs w:val="56"/>
          <w:highlight w:val="none"/>
          <w:lang w:eastAsia="zh-CN"/>
        </w:rPr>
        <w:t>目</w:t>
      </w:r>
      <w:r>
        <w:rPr>
          <w:rFonts w:hint="eastAsia" w:hAnsi="宋体" w:cs="宋体"/>
          <w:color w:val="auto"/>
          <w:sz w:val="52"/>
          <w:szCs w:val="56"/>
          <w:highlight w:val="none"/>
          <w:lang w:val="en-US" w:eastAsia="zh-CN"/>
        </w:rPr>
        <w:t xml:space="preserve"> </w:t>
      </w:r>
      <w:r>
        <w:rPr>
          <w:rFonts w:hint="eastAsia" w:hAnsi="宋体" w:cs="宋体"/>
          <w:color w:val="auto"/>
          <w:sz w:val="52"/>
          <w:szCs w:val="56"/>
          <w:highlight w:val="none"/>
          <w:lang w:eastAsia="zh-CN"/>
        </w:rPr>
        <w:t>录</w:t>
      </w:r>
      <w:bookmarkEnd w:id="4"/>
    </w:p>
    <w:sdt>
      <w:sdtPr>
        <w:rPr>
          <w:rFonts w:ascii="宋体" w:hAnsi="宋体" w:eastAsia="宋体" w:cs="Times New Roman"/>
          <w:sz w:val="21"/>
          <w:lang w:val="en-US" w:eastAsia="zh-CN" w:bidi="ar-SA"/>
        </w:rPr>
        <w:id w:val="147469041"/>
        <w15:color w:val="DBDBDB"/>
        <w:docPartObj>
          <w:docPartGallery w:val="Table of Contents"/>
          <w:docPartUnique/>
        </w:docPartObj>
      </w:sdtPr>
      <w:sdtEndPr>
        <w:rPr>
          <w:rFonts w:hint="eastAsia" w:ascii="宋体" w:hAnsi="宋体" w:eastAsia="宋体" w:cs="宋体"/>
          <w:b/>
          <w:sz w:val="24"/>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ind w:left="0" w:leftChars="0" w:firstLine="0" w:firstLineChars="0"/>
            <w:textAlignment w:val="auto"/>
            <w:rPr>
              <w:rFonts w:ascii="宋体" w:hAnsi="Times New Roman" w:eastAsia="宋体" w:cs="Times New Roman"/>
            </w:rPr>
          </w:pPr>
          <w:r>
            <w:fldChar w:fldCharType="begin"/>
          </w:r>
          <w:r>
            <w:instrText xml:space="preserve">TOC \o "1-4" \h \u </w:instrText>
          </w:r>
          <w:r>
            <w:fldChar w:fldCharType="separate"/>
          </w:r>
          <w:r>
            <w:rPr>
              <w:rFonts w:ascii="宋体" w:hAnsi="Times New Roman" w:eastAsia="宋体" w:cs="Times New Roman"/>
            </w:rPr>
            <w:fldChar w:fldCharType="begin"/>
          </w:r>
          <w:r>
            <w:rPr>
              <w:rFonts w:ascii="宋体" w:hAnsi="Times New Roman" w:eastAsia="宋体" w:cs="Times New Roman"/>
            </w:rPr>
            <w:instrText xml:space="preserve"> HYPERLINK \l _Toc875 </w:instrText>
          </w:r>
          <w:r>
            <w:rPr>
              <w:rFonts w:ascii="宋体" w:hAnsi="Times New Roman" w:eastAsia="宋体" w:cs="Times New Roman"/>
            </w:rPr>
            <w:fldChar w:fldCharType="separate"/>
          </w:r>
          <w:r>
            <w:rPr>
              <w:rFonts w:hint="eastAsia" w:ascii="宋体" w:hAnsi="Times New Roman" w:eastAsia="宋体" w:cs="Times New Roman"/>
            </w:rPr>
            <w:t>第一章  招标公告</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_Toc875 \h </w:instrText>
          </w:r>
          <w:r>
            <w:rPr>
              <w:rFonts w:ascii="宋体" w:hAnsi="Times New Roman" w:eastAsia="宋体" w:cs="Times New Roman"/>
            </w:rPr>
            <w:fldChar w:fldCharType="separate"/>
          </w:r>
          <w:r>
            <w:rPr>
              <w:rFonts w:ascii="宋体" w:hAnsi="Times New Roman" w:eastAsia="宋体" w:cs="Times New Roman"/>
            </w:rPr>
            <w:t>3</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ind w:left="0" w:leftChars="0" w:firstLine="0" w:firstLineChars="0"/>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_Toc205 </w:instrText>
          </w:r>
          <w:r>
            <w:rPr>
              <w:rFonts w:ascii="宋体" w:hAnsi="Times New Roman" w:eastAsia="宋体" w:cs="Times New Roman"/>
            </w:rPr>
            <w:fldChar w:fldCharType="separate"/>
          </w:r>
          <w:r>
            <w:rPr>
              <w:rFonts w:hint="eastAsia" w:ascii="宋体" w:hAnsi="Times New Roman" w:eastAsia="宋体" w:cs="Times New Roman"/>
            </w:rPr>
            <w:t xml:space="preserve">第二章  </w:t>
          </w:r>
          <w:r>
            <w:rPr>
              <w:rFonts w:hint="eastAsia" w:ascii="宋体" w:hAnsi="Times New Roman" w:eastAsia="宋体" w:cs="Times New Roman"/>
              <w:lang w:eastAsia="zh-CN"/>
            </w:rPr>
            <w:t>投标人</w:t>
          </w:r>
          <w:r>
            <w:rPr>
              <w:rFonts w:hint="eastAsia" w:ascii="宋体" w:hAnsi="Times New Roman" w:eastAsia="宋体" w:cs="Times New Roman"/>
            </w:rPr>
            <w:t>须知</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_Toc205 \h </w:instrText>
          </w:r>
          <w:r>
            <w:rPr>
              <w:rFonts w:ascii="宋体" w:hAnsi="Times New Roman" w:eastAsia="宋体" w:cs="Times New Roman"/>
            </w:rPr>
            <w:fldChar w:fldCharType="separate"/>
          </w:r>
          <w:r>
            <w:rPr>
              <w:rFonts w:ascii="宋体" w:hAnsi="Times New Roman" w:eastAsia="宋体" w:cs="Times New Roman"/>
            </w:rPr>
            <w:t>7</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_Toc22466 </w:instrText>
          </w:r>
          <w:r>
            <w:rPr>
              <w:rFonts w:ascii="宋体" w:hAnsi="Times New Roman" w:eastAsia="宋体" w:cs="Times New Roman"/>
            </w:rPr>
            <w:fldChar w:fldCharType="separate"/>
          </w:r>
          <w:r>
            <w:rPr>
              <w:rFonts w:hint="eastAsia" w:ascii="宋体" w:hAnsi="Times New Roman" w:eastAsia="宋体" w:cs="Times New Roman"/>
              <w:lang w:eastAsia="zh-CN"/>
            </w:rPr>
            <w:t>投标人</w:t>
          </w:r>
          <w:r>
            <w:rPr>
              <w:rFonts w:hint="eastAsia" w:ascii="宋体" w:hAnsi="Times New Roman" w:eastAsia="宋体" w:cs="Times New Roman"/>
            </w:rPr>
            <w:t>须知前附表</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_Toc22466 \h </w:instrText>
          </w:r>
          <w:r>
            <w:rPr>
              <w:rFonts w:ascii="宋体" w:hAnsi="Times New Roman" w:eastAsia="宋体" w:cs="Times New Roman"/>
            </w:rPr>
            <w:fldChar w:fldCharType="separate"/>
          </w:r>
          <w:r>
            <w:rPr>
              <w:rFonts w:ascii="宋体" w:hAnsi="Times New Roman" w:eastAsia="宋体" w:cs="Times New Roman"/>
            </w:rPr>
            <w:t>7</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ind w:left="0" w:leftChars="0" w:firstLine="0" w:firstLineChars="0"/>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_Toc7815 </w:instrText>
          </w:r>
          <w:r>
            <w:rPr>
              <w:rFonts w:ascii="宋体" w:hAnsi="Times New Roman" w:eastAsia="宋体" w:cs="Times New Roman"/>
            </w:rPr>
            <w:fldChar w:fldCharType="separate"/>
          </w:r>
          <w:r>
            <w:rPr>
              <w:rFonts w:hint="eastAsia" w:ascii="宋体" w:hAnsi="Times New Roman" w:eastAsia="宋体" w:cs="Times New Roman"/>
            </w:rPr>
            <w:t>第三章  评 标 方 法</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_Toc7815 \h </w:instrText>
          </w:r>
          <w:r>
            <w:rPr>
              <w:rFonts w:ascii="宋体" w:hAnsi="Times New Roman" w:eastAsia="宋体" w:cs="Times New Roman"/>
            </w:rPr>
            <w:fldChar w:fldCharType="separate"/>
          </w:r>
          <w:r>
            <w:rPr>
              <w:rFonts w:ascii="宋体" w:hAnsi="Times New Roman" w:eastAsia="宋体" w:cs="Times New Roman"/>
            </w:rPr>
            <w:t>29</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ind w:left="0" w:leftChars="0" w:firstLine="0" w:firstLineChars="0"/>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_Toc19519 </w:instrText>
          </w:r>
          <w:r>
            <w:rPr>
              <w:rFonts w:ascii="宋体" w:hAnsi="Times New Roman" w:eastAsia="宋体" w:cs="Times New Roman"/>
            </w:rPr>
            <w:fldChar w:fldCharType="separate"/>
          </w:r>
          <w:r>
            <w:rPr>
              <w:rFonts w:hint="eastAsia" w:ascii="宋体" w:hAnsi="Times New Roman" w:eastAsia="宋体" w:cs="Times New Roman"/>
            </w:rPr>
            <w:t>第四章  合同条款及格式</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_Toc19519 \h </w:instrText>
          </w:r>
          <w:r>
            <w:rPr>
              <w:rFonts w:ascii="宋体" w:hAnsi="Times New Roman" w:eastAsia="宋体" w:cs="Times New Roman"/>
            </w:rPr>
            <w:fldChar w:fldCharType="separate"/>
          </w:r>
          <w:r>
            <w:rPr>
              <w:rFonts w:ascii="宋体" w:hAnsi="Times New Roman" w:eastAsia="宋体" w:cs="Times New Roman"/>
            </w:rPr>
            <w:t>36</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ind w:left="0" w:leftChars="0" w:firstLine="0" w:firstLineChars="0"/>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_Toc24261 </w:instrText>
          </w:r>
          <w:r>
            <w:rPr>
              <w:rFonts w:ascii="宋体" w:hAnsi="Times New Roman" w:eastAsia="宋体" w:cs="Times New Roman"/>
            </w:rPr>
            <w:fldChar w:fldCharType="separate"/>
          </w:r>
          <w:r>
            <w:rPr>
              <w:rFonts w:hint="eastAsia" w:ascii="宋体" w:hAnsi="Times New Roman" w:eastAsia="宋体" w:cs="Times New Roman"/>
            </w:rPr>
            <w:t>第五章  采购内容及技术要求</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_Toc24261 \h </w:instrText>
          </w:r>
          <w:r>
            <w:rPr>
              <w:rFonts w:ascii="宋体" w:hAnsi="Times New Roman" w:eastAsia="宋体" w:cs="Times New Roman"/>
            </w:rPr>
            <w:fldChar w:fldCharType="separate"/>
          </w:r>
          <w:r>
            <w:rPr>
              <w:rFonts w:ascii="宋体" w:hAnsi="Times New Roman" w:eastAsia="宋体" w:cs="Times New Roman"/>
            </w:rPr>
            <w:t>48</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_Toc9650 </w:instrText>
          </w:r>
          <w:r>
            <w:rPr>
              <w:rFonts w:ascii="宋体" w:hAnsi="Times New Roman" w:eastAsia="宋体" w:cs="Times New Roman"/>
            </w:rPr>
            <w:fldChar w:fldCharType="separate"/>
          </w:r>
          <w:r>
            <w:rPr>
              <w:rFonts w:hint="eastAsia" w:ascii="宋体" w:hAnsi="Times New Roman" w:eastAsia="宋体" w:cs="Times New Roman"/>
              <w:lang w:val="en-US" w:eastAsia="zh-CN"/>
            </w:rPr>
            <w:t>1、产品清单</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_Toc9650 \h </w:instrText>
          </w:r>
          <w:r>
            <w:rPr>
              <w:rFonts w:ascii="宋体" w:hAnsi="Times New Roman" w:eastAsia="宋体" w:cs="Times New Roman"/>
            </w:rPr>
            <w:fldChar w:fldCharType="separate"/>
          </w:r>
          <w:r>
            <w:rPr>
              <w:rFonts w:ascii="宋体" w:hAnsi="Times New Roman" w:eastAsia="宋体" w:cs="Times New Roman"/>
            </w:rPr>
            <w:t>48</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_Toc22325 </w:instrText>
          </w:r>
          <w:r>
            <w:rPr>
              <w:rFonts w:ascii="宋体" w:hAnsi="Times New Roman" w:eastAsia="宋体" w:cs="Times New Roman"/>
            </w:rPr>
            <w:fldChar w:fldCharType="separate"/>
          </w:r>
          <w:r>
            <w:rPr>
              <w:rFonts w:hint="eastAsia" w:ascii="宋体" w:hAnsi="Times New Roman" w:eastAsia="宋体" w:cs="Times New Roman"/>
              <w:lang w:val="en-US" w:eastAsia="zh-CN"/>
            </w:rPr>
            <w:t>2、</w:t>
          </w:r>
          <w:r>
            <w:rPr>
              <w:rFonts w:hint="eastAsia" w:ascii="宋体" w:hAnsi="Times New Roman" w:eastAsia="宋体" w:cs="Times New Roman"/>
            </w:rPr>
            <w:t>技术参数</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_Toc22325 \h </w:instrText>
          </w:r>
          <w:r>
            <w:rPr>
              <w:rFonts w:ascii="宋体" w:hAnsi="Times New Roman" w:eastAsia="宋体" w:cs="Times New Roman"/>
            </w:rPr>
            <w:fldChar w:fldCharType="separate"/>
          </w:r>
          <w:r>
            <w:rPr>
              <w:rFonts w:ascii="宋体" w:hAnsi="Times New Roman" w:eastAsia="宋体" w:cs="Times New Roman"/>
            </w:rPr>
            <w:t>49</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ind w:left="0" w:leftChars="0" w:firstLine="0" w:firstLineChars="0"/>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_Toc22404 </w:instrText>
          </w:r>
          <w:r>
            <w:rPr>
              <w:rFonts w:ascii="宋体" w:hAnsi="Times New Roman" w:eastAsia="宋体" w:cs="Times New Roman"/>
            </w:rPr>
            <w:fldChar w:fldCharType="separate"/>
          </w:r>
          <w:r>
            <w:rPr>
              <w:rFonts w:hint="eastAsia" w:ascii="宋体" w:hAnsi="Times New Roman" w:eastAsia="宋体" w:cs="Times New Roman"/>
            </w:rPr>
            <w:t xml:space="preserve">第六章 </w:t>
          </w:r>
          <w:r>
            <w:rPr>
              <w:rFonts w:hint="eastAsia" w:ascii="宋体" w:hAnsi="Times New Roman" w:eastAsia="宋体" w:cs="Times New Roman"/>
              <w:lang w:val="en-US" w:eastAsia="zh-CN"/>
            </w:rPr>
            <w:t xml:space="preserve"> </w:t>
          </w:r>
          <w:r>
            <w:rPr>
              <w:rFonts w:hint="eastAsia" w:ascii="宋体" w:hAnsi="Times New Roman" w:eastAsia="宋体" w:cs="Times New Roman"/>
            </w:rPr>
            <w:t>投标文件构成及格式</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_Toc22404 \h </w:instrText>
          </w:r>
          <w:r>
            <w:rPr>
              <w:rFonts w:ascii="宋体" w:hAnsi="Times New Roman" w:eastAsia="宋体" w:cs="Times New Roman"/>
            </w:rPr>
            <w:fldChar w:fldCharType="separate"/>
          </w:r>
          <w:r>
            <w:rPr>
              <w:rFonts w:ascii="宋体" w:hAnsi="Times New Roman" w:eastAsia="宋体" w:cs="Times New Roman"/>
            </w:rPr>
            <w:t>52</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_Toc22085 </w:instrText>
          </w:r>
          <w:r>
            <w:rPr>
              <w:rFonts w:ascii="宋体" w:hAnsi="Times New Roman" w:eastAsia="宋体" w:cs="Times New Roman"/>
            </w:rPr>
            <w:fldChar w:fldCharType="separate"/>
          </w:r>
          <w:r>
            <w:rPr>
              <w:rFonts w:hint="eastAsia" w:ascii="宋体" w:hAnsi="Times New Roman" w:eastAsia="宋体" w:cs="Times New Roman"/>
            </w:rPr>
            <w:t>一、投标函</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_Toc22085 \h </w:instrText>
          </w:r>
          <w:r>
            <w:rPr>
              <w:rFonts w:ascii="宋体" w:hAnsi="Times New Roman" w:eastAsia="宋体" w:cs="Times New Roman"/>
            </w:rPr>
            <w:fldChar w:fldCharType="separate"/>
          </w:r>
          <w:r>
            <w:rPr>
              <w:rFonts w:ascii="宋体" w:hAnsi="Times New Roman" w:eastAsia="宋体" w:cs="Times New Roman"/>
            </w:rPr>
            <w:t>54</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_Toc6435 </w:instrText>
          </w:r>
          <w:r>
            <w:rPr>
              <w:rFonts w:ascii="宋体" w:hAnsi="Times New Roman" w:eastAsia="宋体" w:cs="Times New Roman"/>
            </w:rPr>
            <w:fldChar w:fldCharType="separate"/>
          </w:r>
          <w:r>
            <w:rPr>
              <w:rFonts w:hint="eastAsia" w:ascii="宋体" w:hAnsi="Times New Roman" w:eastAsia="宋体" w:cs="Times New Roman"/>
            </w:rPr>
            <w:t>二、投标报价表</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_Toc6435 \h </w:instrText>
          </w:r>
          <w:r>
            <w:rPr>
              <w:rFonts w:ascii="宋体" w:hAnsi="Times New Roman" w:eastAsia="宋体" w:cs="Times New Roman"/>
            </w:rPr>
            <w:fldChar w:fldCharType="separate"/>
          </w:r>
          <w:r>
            <w:rPr>
              <w:rFonts w:ascii="宋体" w:hAnsi="Times New Roman" w:eastAsia="宋体" w:cs="Times New Roman"/>
            </w:rPr>
            <w:t>55</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_Toc14253 </w:instrText>
          </w:r>
          <w:r>
            <w:rPr>
              <w:rFonts w:ascii="宋体" w:hAnsi="Times New Roman" w:eastAsia="宋体" w:cs="Times New Roman"/>
            </w:rPr>
            <w:fldChar w:fldCharType="separate"/>
          </w:r>
          <w:r>
            <w:rPr>
              <w:rFonts w:hint="eastAsia" w:ascii="宋体" w:hAnsi="Times New Roman" w:eastAsia="宋体" w:cs="Times New Roman"/>
            </w:rPr>
            <w:t>三、投标方案说明书（格式自拟）</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_Toc14253 \h </w:instrText>
          </w:r>
          <w:r>
            <w:rPr>
              <w:rFonts w:ascii="宋体" w:hAnsi="Times New Roman" w:eastAsia="宋体" w:cs="Times New Roman"/>
            </w:rPr>
            <w:fldChar w:fldCharType="separate"/>
          </w:r>
          <w:r>
            <w:rPr>
              <w:rFonts w:ascii="宋体" w:hAnsi="Times New Roman" w:eastAsia="宋体" w:cs="Times New Roman"/>
            </w:rPr>
            <w:t>57</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_Toc15991 </w:instrText>
          </w:r>
          <w:r>
            <w:rPr>
              <w:rFonts w:ascii="宋体" w:hAnsi="Times New Roman" w:eastAsia="宋体" w:cs="Times New Roman"/>
            </w:rPr>
            <w:fldChar w:fldCharType="separate"/>
          </w:r>
          <w:r>
            <w:rPr>
              <w:rFonts w:hint="eastAsia" w:ascii="宋体" w:hAnsi="Times New Roman" w:eastAsia="宋体" w:cs="Times New Roman"/>
            </w:rPr>
            <w:t>四、商务条款偏离表</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_Toc15991 \h </w:instrText>
          </w:r>
          <w:r>
            <w:rPr>
              <w:rFonts w:ascii="宋体" w:hAnsi="Times New Roman" w:eastAsia="宋体" w:cs="Times New Roman"/>
            </w:rPr>
            <w:fldChar w:fldCharType="separate"/>
          </w:r>
          <w:r>
            <w:rPr>
              <w:rFonts w:ascii="宋体" w:hAnsi="Times New Roman" w:eastAsia="宋体" w:cs="Times New Roman"/>
            </w:rPr>
            <w:t>59</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_Toc2251 </w:instrText>
          </w:r>
          <w:r>
            <w:rPr>
              <w:rFonts w:ascii="宋体" w:hAnsi="Times New Roman" w:eastAsia="宋体" w:cs="Times New Roman"/>
            </w:rPr>
            <w:fldChar w:fldCharType="separate"/>
          </w:r>
          <w:r>
            <w:rPr>
              <w:rFonts w:hint="eastAsia" w:ascii="宋体" w:hAnsi="Times New Roman" w:eastAsia="宋体" w:cs="Times New Roman"/>
            </w:rPr>
            <w:t>五、陕西省政府采购</w:t>
          </w:r>
          <w:r>
            <w:rPr>
              <w:rFonts w:hint="eastAsia" w:ascii="宋体" w:hAnsi="Times New Roman" w:eastAsia="宋体" w:cs="Times New Roman"/>
              <w:lang w:eastAsia="zh-CN"/>
            </w:rPr>
            <w:t>投标人</w:t>
          </w:r>
          <w:r>
            <w:rPr>
              <w:rFonts w:hint="eastAsia" w:ascii="宋体" w:hAnsi="Times New Roman" w:eastAsia="宋体" w:cs="Times New Roman"/>
            </w:rPr>
            <w:t>拒绝政府采购领域商业贿赂承诺书</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_Toc2251 \h </w:instrText>
          </w:r>
          <w:r>
            <w:rPr>
              <w:rFonts w:ascii="宋体" w:hAnsi="Times New Roman" w:eastAsia="宋体" w:cs="Times New Roman"/>
            </w:rPr>
            <w:fldChar w:fldCharType="separate"/>
          </w:r>
          <w:r>
            <w:rPr>
              <w:rFonts w:ascii="宋体" w:hAnsi="Times New Roman" w:eastAsia="宋体" w:cs="Times New Roman"/>
            </w:rPr>
            <w:t>61</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rPr>
              <w:rFonts w:ascii="宋体" w:hAnsi="Times New Roman" w:eastAsia="宋体" w:cs="Times New Roman"/>
            </w:rPr>
          </w:pPr>
          <w:r>
            <w:rPr>
              <w:rFonts w:ascii="宋体" w:hAnsi="Times New Roman" w:eastAsia="宋体" w:cs="Times New Roman"/>
            </w:rPr>
            <w:fldChar w:fldCharType="begin"/>
          </w:r>
          <w:r>
            <w:rPr>
              <w:rFonts w:ascii="宋体" w:hAnsi="Times New Roman" w:eastAsia="宋体" w:cs="Times New Roman"/>
            </w:rPr>
            <w:instrText xml:space="preserve"> HYPERLINK \l _Toc8555 </w:instrText>
          </w:r>
          <w:r>
            <w:rPr>
              <w:rFonts w:ascii="宋体" w:hAnsi="Times New Roman" w:eastAsia="宋体" w:cs="Times New Roman"/>
            </w:rPr>
            <w:fldChar w:fldCharType="separate"/>
          </w:r>
          <w:r>
            <w:rPr>
              <w:rFonts w:hint="eastAsia" w:ascii="宋体" w:hAnsi="Times New Roman" w:eastAsia="宋体" w:cs="Times New Roman"/>
            </w:rPr>
            <w:t>六、资格证明文件</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_Toc8555 \h </w:instrText>
          </w:r>
          <w:r>
            <w:rPr>
              <w:rFonts w:ascii="宋体" w:hAnsi="Times New Roman" w:eastAsia="宋体" w:cs="Times New Roman"/>
            </w:rPr>
            <w:fldChar w:fldCharType="separate"/>
          </w:r>
          <w:r>
            <w:rPr>
              <w:rFonts w:ascii="宋体" w:hAnsi="Times New Roman" w:eastAsia="宋体" w:cs="Times New Roman"/>
            </w:rPr>
            <w:t>62</w:t>
          </w:r>
          <w:r>
            <w:rPr>
              <w:rFonts w:ascii="宋体" w:hAnsi="Times New Roman" w:eastAsia="宋体" w:cs="Times New Roman"/>
            </w:rPr>
            <w:fldChar w:fldCharType="end"/>
          </w:r>
          <w:r>
            <w:rPr>
              <w:rFonts w:ascii="宋体" w:hAnsi="Times New Roman" w:eastAsia="宋体" w:cs="Times New Roman"/>
            </w:rPr>
            <w:fldChar w:fldCharType="end"/>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360" w:lineRule="auto"/>
            <w:textAlignment w:val="auto"/>
          </w:pPr>
          <w:r>
            <w:rPr>
              <w:rFonts w:ascii="宋体" w:hAnsi="Times New Roman" w:eastAsia="宋体" w:cs="Times New Roman"/>
            </w:rPr>
            <w:fldChar w:fldCharType="begin"/>
          </w:r>
          <w:r>
            <w:rPr>
              <w:rFonts w:ascii="宋体" w:hAnsi="Times New Roman" w:eastAsia="宋体" w:cs="Times New Roman"/>
            </w:rPr>
            <w:instrText xml:space="preserve"> HYPERLINK \l _Toc26883 </w:instrText>
          </w:r>
          <w:r>
            <w:rPr>
              <w:rFonts w:ascii="宋体" w:hAnsi="Times New Roman" w:eastAsia="宋体" w:cs="Times New Roman"/>
            </w:rPr>
            <w:fldChar w:fldCharType="separate"/>
          </w:r>
          <w:r>
            <w:rPr>
              <w:rFonts w:hint="eastAsia" w:ascii="宋体" w:hAnsi="Times New Roman" w:eastAsia="宋体" w:cs="Times New Roman"/>
            </w:rPr>
            <w:t>七、其他</w:t>
          </w:r>
          <w:r>
            <w:rPr>
              <w:rFonts w:ascii="宋体" w:hAnsi="Times New Roman" w:eastAsia="宋体" w:cs="Times New Roman"/>
            </w:rPr>
            <w:tab/>
          </w:r>
          <w:r>
            <w:rPr>
              <w:rFonts w:ascii="宋体" w:hAnsi="Times New Roman" w:eastAsia="宋体" w:cs="Times New Roman"/>
            </w:rPr>
            <w:fldChar w:fldCharType="begin"/>
          </w:r>
          <w:r>
            <w:rPr>
              <w:rFonts w:ascii="宋体" w:hAnsi="Times New Roman" w:eastAsia="宋体" w:cs="Times New Roman"/>
            </w:rPr>
            <w:instrText xml:space="preserve"> PAGEREF _Toc26883 \h </w:instrText>
          </w:r>
          <w:r>
            <w:rPr>
              <w:rFonts w:ascii="宋体" w:hAnsi="Times New Roman" w:eastAsia="宋体" w:cs="Times New Roman"/>
            </w:rPr>
            <w:fldChar w:fldCharType="separate"/>
          </w:r>
          <w:r>
            <w:rPr>
              <w:rFonts w:ascii="宋体" w:hAnsi="Times New Roman" w:eastAsia="宋体" w:cs="Times New Roman"/>
            </w:rPr>
            <w:t>65</w:t>
          </w:r>
          <w:r>
            <w:rPr>
              <w:rFonts w:ascii="宋体" w:hAnsi="Times New Roman" w:eastAsia="宋体" w:cs="Times New Roman"/>
            </w:rPr>
            <w:fldChar w:fldCharType="end"/>
          </w:r>
          <w:r>
            <w:rPr>
              <w:rFonts w:ascii="宋体" w:hAnsi="Times New Roman" w:eastAsia="宋体" w:cs="Times New Roman"/>
            </w:rPr>
            <w:fldChar w:fldCharType="end"/>
          </w:r>
        </w:p>
        <w:p>
          <w: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sdtContent>
    </w:sdt>
    <w:p/>
    <w:p>
      <w:pPr>
        <w:pStyle w:val="2"/>
        <w:outlineLvl w:val="9"/>
        <w:sectPr>
          <w:headerReference r:id="rId8" w:type="first"/>
          <w:footerReference r:id="rId10" w:type="first"/>
          <w:headerReference r:id="rId7" w:type="default"/>
          <w:footerReference r:id="rId9" w:type="default"/>
          <w:pgSz w:w="11906" w:h="16838"/>
          <w:pgMar w:top="1440" w:right="1803" w:bottom="1440" w:left="1803" w:header="1134" w:footer="992" w:gutter="0"/>
          <w:pgNumType w:start="1"/>
          <w:cols w:space="720" w:num="1"/>
          <w:titlePg/>
          <w:docGrid w:type="lines" w:linePitch="333" w:charSpace="0"/>
        </w:sectPr>
      </w:pPr>
    </w:p>
    <w:p>
      <w:pPr>
        <w:spacing w:line="360" w:lineRule="auto"/>
        <w:jc w:val="center"/>
        <w:outlineLvl w:val="0"/>
        <w:rPr>
          <w:rFonts w:ascii="宋体" w:eastAsia="宋体" w:cs="宋体"/>
          <w:b/>
          <w:bCs/>
          <w:color w:val="auto"/>
          <w:sz w:val="36"/>
          <w:szCs w:val="36"/>
          <w:highlight w:val="none"/>
        </w:rPr>
      </w:pPr>
      <w:bookmarkStart w:id="16" w:name="_Toc28504"/>
      <w:bookmarkStart w:id="17" w:name="_Toc875"/>
      <w:bookmarkStart w:id="18" w:name="_Toc3643"/>
      <w:bookmarkStart w:id="19" w:name="_Toc26849"/>
      <w:bookmarkStart w:id="20" w:name="_Toc31289"/>
      <w:bookmarkStart w:id="21" w:name="_Toc28305"/>
      <w:r>
        <w:rPr>
          <w:rFonts w:hint="eastAsia" w:ascii="宋体" w:eastAsia="宋体" w:cs="宋体"/>
          <w:b/>
          <w:bCs/>
          <w:color w:val="auto"/>
          <w:sz w:val="36"/>
          <w:szCs w:val="36"/>
          <w:highlight w:val="none"/>
        </w:rPr>
        <w:t xml:space="preserve">第一章  </w:t>
      </w:r>
      <w:bookmarkEnd w:id="5"/>
      <w:bookmarkEnd w:id="6"/>
      <w:bookmarkEnd w:id="7"/>
      <w:bookmarkEnd w:id="8"/>
      <w:bookmarkEnd w:id="9"/>
      <w:bookmarkEnd w:id="10"/>
      <w:bookmarkEnd w:id="11"/>
      <w:r>
        <w:rPr>
          <w:rFonts w:hint="eastAsia" w:ascii="宋体" w:eastAsia="宋体" w:cs="宋体"/>
          <w:b/>
          <w:bCs/>
          <w:color w:val="auto"/>
          <w:sz w:val="36"/>
          <w:szCs w:val="36"/>
          <w:highlight w:val="none"/>
        </w:rPr>
        <w:t>招标公告</w:t>
      </w:r>
      <w:bookmarkEnd w:id="12"/>
      <w:bookmarkEnd w:id="16"/>
      <w:bookmarkEnd w:id="17"/>
      <w:bookmarkEnd w:id="18"/>
      <w:bookmarkEnd w:id="19"/>
      <w:bookmarkEnd w:id="20"/>
      <w:bookmarkEnd w:id="21"/>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bookmarkStart w:id="22" w:name="_Toc2929"/>
      <w:bookmarkStart w:id="23" w:name="_Toc389582035"/>
      <w:bookmarkStart w:id="24" w:name="_Toc426457692"/>
      <w:bookmarkStart w:id="25" w:name="_Toc30304"/>
      <w:r>
        <w:rPr>
          <w:rStyle w:val="25"/>
          <w:rFonts w:hint="eastAsia" w:ascii="宋体" w:hAnsi="宋体" w:eastAsia="宋体" w:cs="宋体"/>
          <w:b/>
          <w:bCs/>
          <w:i w:val="0"/>
          <w:iCs w:val="0"/>
          <w:caps w:val="0"/>
          <w:color w:val="auto"/>
          <w:spacing w:val="0"/>
          <w:sz w:val="24"/>
          <w:szCs w:val="24"/>
          <w:shd w:val="clear" w:fill="FFFFFF"/>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虚拟化扩容采购项目招标项目的潜在投标人应在陕西省西安市经济技术开发区未央路171-1号银池道拉斯财富中心21楼获取招标文件，并于2022年11月</w:t>
      </w:r>
      <w:r>
        <w:rPr>
          <w:rFonts w:hint="eastAsia" w:hAnsi="宋体" w:cs="宋体"/>
          <w:i w:val="0"/>
          <w:iCs w:val="0"/>
          <w:caps w:val="0"/>
          <w:color w:val="auto"/>
          <w:spacing w:val="0"/>
          <w:sz w:val="24"/>
          <w:szCs w:val="24"/>
          <w:shd w:val="clear" w:fill="FFFFFF"/>
          <w:lang w:val="en-US" w:eastAsia="zh-CN"/>
        </w:rPr>
        <w:t>18</w:t>
      </w:r>
      <w:r>
        <w:rPr>
          <w:rFonts w:hint="eastAsia" w:ascii="宋体" w:hAnsi="宋体" w:eastAsia="宋体" w:cs="宋体"/>
          <w:i w:val="0"/>
          <w:iCs w:val="0"/>
          <w:caps w:val="0"/>
          <w:color w:val="auto"/>
          <w:spacing w:val="0"/>
          <w:sz w:val="24"/>
          <w:szCs w:val="24"/>
          <w:shd w:val="clear" w:fill="FFFFFF"/>
        </w:rPr>
        <w:t xml:space="preserve">日 </w:t>
      </w:r>
      <w:r>
        <w:rPr>
          <w:rFonts w:hint="eastAsia" w:ascii="宋体" w:hAnsi="宋体" w:eastAsia="宋体"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分 （北京时间）前递交投标文件。</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Style w:val="25"/>
          <w:rFonts w:hint="eastAsia" w:ascii="宋体" w:hAnsi="宋体" w:eastAsia="宋体" w:cs="宋体"/>
          <w:b/>
          <w:bCs/>
          <w:i w:val="0"/>
          <w:iCs w:val="0"/>
          <w:caps w:val="0"/>
          <w:color w:val="auto"/>
          <w:spacing w:val="0"/>
          <w:sz w:val="24"/>
          <w:szCs w:val="24"/>
          <w:shd w:val="clear" w:fill="FFFFFF"/>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项目编号：SXZCZB2022-ZCGK-</w:t>
      </w:r>
      <w:r>
        <w:rPr>
          <w:rFonts w:hint="eastAsia" w:ascii="宋体" w:hAnsi="宋体" w:eastAsia="宋体" w:cs="宋体"/>
          <w:i w:val="0"/>
          <w:iCs w:val="0"/>
          <w:caps w:val="0"/>
          <w:color w:val="auto"/>
          <w:spacing w:val="0"/>
          <w:sz w:val="24"/>
          <w:szCs w:val="24"/>
          <w:shd w:val="clear" w:fill="FFFFFF"/>
          <w:lang w:eastAsia="zh-CN"/>
        </w:rPr>
        <w:t>1021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项目名称：虚拟化扩容采购项目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预算金额：2,200,000.00元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合同包1(虚拟化扩容采购项目):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合同包预算金额：2,200,000.00元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合同包最高限价：2,200,000.00元</w:t>
      </w:r>
    </w:p>
    <w:tbl>
      <w:tblPr>
        <w:tblStyle w:val="22"/>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56"/>
        <w:gridCol w:w="1048"/>
        <w:gridCol w:w="967"/>
        <w:gridCol w:w="914"/>
        <w:gridCol w:w="1213"/>
        <w:gridCol w:w="1753"/>
        <w:gridCol w:w="17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6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5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5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0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0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6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网络存储设备</w:t>
            </w:r>
          </w:p>
        </w:tc>
        <w:tc>
          <w:tcPr>
            <w:tcW w:w="5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虚拟化扩容</w:t>
            </w:r>
          </w:p>
        </w:tc>
        <w:tc>
          <w:tcPr>
            <w:tcW w:w="5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0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2,200,000.00</w:t>
            </w:r>
          </w:p>
        </w:tc>
        <w:tc>
          <w:tcPr>
            <w:tcW w:w="10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2,200,000.00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Style w:val="25"/>
          <w:rFonts w:hint="eastAsia" w:ascii="宋体" w:hAnsi="宋体" w:eastAsia="宋体" w:cs="宋体"/>
          <w:b/>
          <w:bCs/>
          <w:i w:val="0"/>
          <w:iCs w:val="0"/>
          <w:caps w:val="0"/>
          <w:color w:val="auto"/>
          <w:spacing w:val="0"/>
          <w:sz w:val="24"/>
          <w:szCs w:val="24"/>
          <w:shd w:val="clear" w:fill="FFFFFF"/>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合同包1(虚拟化扩容采购项目)落实政府采购政策需满足的资格要求如下: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2.1《政府采购促进中小企业发展管理办法》（财库〔2020〕46号）； 2.2《财政部 司法部关于政府采购支持监狱企业发展有关问题的通知》（财库〔2014〕68号）； 2.3《国务院办公厅关于建立政府强制采购节能产品制度的通知》（国办发〔2007〕51号）； 2.4《节能产品政府采购实施意见》（财库[2004]185号）； 2.5《环境标志产品政府采购实施的意见》（财库[2006]90号）； 2.6《三部门联合发布关于促进残疾人就业政府采购政策的通知》（财库〔2017〕141号）； 2.7《财政部 发展改革委 生态环境部 市场监管总局关于调整优化节能产品、环境标志产品政府采购执行机制的通知》（财库〔2019〕9号） 2.8《财政部 国务院扶贫办关于运用政府采购政策支持脱贫攻坚的通知》（财库〔2019〕27号）； 2.9《陕西省中小企业政府采购信用融资办法》（陕财办采〔2018〕23号）； 2.10其他需要落实的政府采购政策。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合同包1(虚拟化扩容采购项目)特定资格要求如下: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2、提供法定代表人授权书（附法定代表人、被授权人身份证复印件）及被授权人身份证原件（法定代表人直接参加磋商，须提供法定代表人身份证明及身份证原件）；3、财务状况报告：提供2020年度或2021年度的财务审计报告（至少包括资产负债表和利润表，成立时间至提交投标文件截止时间不足一年的可提供成立后任意时段的资产负债表），或投标文件递交截止日期前6个月内其基本开户银行出具的资信证明； 4、税收缴纳证明：提供投标文件递交截止时间前一年内已缴纳的至少一个月的纳税证明或完税证明（任意税种），依法免税的单位应提供相关证明材料； 5、社会保障资金缴纳证明：提供投标文件递交截止时间前一年内已缴存的至少一个月的社会保障资金缴存单据或社保机构开具的社会保险参保缴费情况证明，依法不需要缴纳社会保障资金的单位应提供相关证明材料； 6、提供具有履行本合同所必需的设备和专业技术能力的说明及承诺书； 7、供应商应通过“信用中国”网站(www.creditchina.gov.cn)、中国政府采购网(www.ccgp.gov.cn) 查询相关主体信用记录； 8、参加政府采购活动前3年内，在经营活动中没有重大违法记录的书面声明； 9、提供投标保证金缴纳凭证或担保机构出具的保函。</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Style w:val="25"/>
          <w:rFonts w:hint="eastAsia" w:ascii="宋体" w:hAnsi="宋体" w:eastAsia="宋体" w:cs="宋体"/>
          <w:b/>
          <w:bCs/>
          <w:i w:val="0"/>
          <w:iCs w:val="0"/>
          <w:caps w:val="0"/>
          <w:color w:val="auto"/>
          <w:spacing w:val="0"/>
          <w:sz w:val="24"/>
          <w:szCs w:val="24"/>
          <w:shd w:val="clear" w:fill="FFFFFF"/>
        </w:rPr>
        <w:t>三、获取招标文件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2022年</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日 至 2022年10月</w:t>
      </w:r>
      <w:r>
        <w:rPr>
          <w:rFonts w:hint="eastAsia" w:cs="宋体"/>
          <w:i w:val="0"/>
          <w:iCs w:val="0"/>
          <w:caps w:val="0"/>
          <w:color w:val="auto"/>
          <w:spacing w:val="0"/>
          <w:sz w:val="24"/>
          <w:szCs w:val="24"/>
          <w:shd w:val="clear" w:fill="FFFFFF"/>
          <w:lang w:val="en-US" w:eastAsia="zh-CN"/>
        </w:rPr>
        <w:t>26</w:t>
      </w:r>
      <w:r>
        <w:rPr>
          <w:rFonts w:hint="eastAsia" w:ascii="宋体" w:hAnsi="宋体" w:eastAsia="宋体" w:cs="宋体"/>
          <w:i w:val="0"/>
          <w:iCs w:val="0"/>
          <w:caps w:val="0"/>
          <w:color w:val="auto"/>
          <w:spacing w:val="0"/>
          <w:sz w:val="24"/>
          <w:szCs w:val="24"/>
          <w:shd w:val="clear" w:fill="FFFFFF"/>
        </w:rPr>
        <w:t>日，每天上午 09:00:00 至 12:00:00 ，下午 14:00:00 至 17:00:00 （北京时间）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途径：陕西省西安市经济技术开发区未央路171-1号银池道拉斯财富中心21楼</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 500元</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Style w:val="25"/>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w:t>
      </w:r>
      <w:r>
        <w:rPr>
          <w:rFonts w:hint="eastAsia" w:ascii="宋体" w:hAnsi="宋体" w:eastAsia="宋体" w:cs="宋体"/>
          <w:i w:val="0"/>
          <w:iCs w:val="0"/>
          <w:caps w:val="0"/>
          <w:color w:val="auto"/>
          <w:spacing w:val="0"/>
          <w:sz w:val="24"/>
          <w:szCs w:val="24"/>
          <w:shd w:val="clear" w:fill="FFFFFF"/>
          <w:lang w:eastAsia="zh-CN"/>
        </w:rPr>
        <w:t>2022年11月</w:t>
      </w:r>
      <w:r>
        <w:rPr>
          <w:rFonts w:hint="eastAsia" w:cs="宋体"/>
          <w:i w:val="0"/>
          <w:iCs w:val="0"/>
          <w:caps w:val="0"/>
          <w:color w:val="auto"/>
          <w:spacing w:val="0"/>
          <w:sz w:val="24"/>
          <w:szCs w:val="24"/>
          <w:shd w:val="clear" w:fill="FFFFFF"/>
          <w:lang w:eastAsia="zh-CN"/>
        </w:rPr>
        <w:t>1</w:t>
      </w:r>
      <w:r>
        <w:rPr>
          <w:rFonts w:hint="eastAsia"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lang w:eastAsia="zh-CN"/>
        </w:rPr>
        <w:t>日 14时30分</w:t>
      </w:r>
      <w:r>
        <w:rPr>
          <w:rFonts w:hint="eastAsia" w:ascii="宋体" w:hAnsi="宋体" w:eastAsia="宋体" w:cs="宋体"/>
          <w:i w:val="0"/>
          <w:iCs w:val="0"/>
          <w:caps w:val="0"/>
          <w:color w:val="auto"/>
          <w:spacing w:val="0"/>
          <w:sz w:val="24"/>
          <w:szCs w:val="24"/>
          <w:shd w:val="clear" w:fill="FFFFFF"/>
        </w:rPr>
        <w:t> （北京时间）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提交投标文件地点：陕西省西安市经济技术开发区未央路171-1号银池道拉斯财富中心21楼</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开标地点：陕西省西安市经济技术开发区未央路171-1号银池道拉斯财富中心21楼</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Style w:val="25"/>
          <w:rFonts w:hint="eastAsia" w:ascii="宋体" w:hAnsi="宋体" w:eastAsia="宋体" w:cs="宋体"/>
          <w:b/>
          <w:bCs/>
          <w:i w:val="0"/>
          <w:iCs w:val="0"/>
          <w:caps w:val="0"/>
          <w:color w:val="auto"/>
          <w:spacing w:val="0"/>
          <w:sz w:val="24"/>
          <w:szCs w:val="24"/>
          <w:shd w:val="clear" w:fill="FFFFFF"/>
        </w:rPr>
        <w:t>五、公告期限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Style w:val="25"/>
          <w:rFonts w:hint="eastAsia" w:ascii="宋体" w:hAnsi="宋体" w:eastAsia="宋体" w:cs="宋体"/>
          <w:b/>
          <w:bCs/>
          <w:i w:val="0"/>
          <w:iCs w:val="0"/>
          <w:caps w:val="0"/>
          <w:color w:val="auto"/>
          <w:spacing w:val="0"/>
          <w:sz w:val="24"/>
          <w:szCs w:val="24"/>
          <w:shd w:val="clear" w:fill="FFFFFF"/>
        </w:rPr>
        <w:t>六、其他补充事宜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rPr>
      </w:pPr>
      <w:r>
        <w:rPr>
          <w:rStyle w:val="25"/>
          <w:rFonts w:hint="eastAsia" w:ascii="宋体" w:hAnsi="宋体" w:eastAsia="宋体" w:cs="宋体"/>
          <w:b/>
          <w:bCs/>
          <w:i w:val="0"/>
          <w:iCs w:val="0"/>
          <w:caps w:val="0"/>
          <w:color w:val="auto"/>
          <w:spacing w:val="0"/>
          <w:sz w:val="24"/>
          <w:szCs w:val="24"/>
          <w:shd w:val="clear" w:fill="FFFFFF"/>
        </w:rPr>
        <w:t>1、购买竞争性招标文件请携带单位介绍信原件,经办人身份证原件及加盖供应商公章的复印件。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rPr>
      </w:pPr>
      <w:r>
        <w:rPr>
          <w:rStyle w:val="25"/>
          <w:rFonts w:hint="eastAsia" w:ascii="宋体" w:hAnsi="宋体" w:eastAsia="宋体" w:cs="宋体"/>
          <w:b/>
          <w:bCs/>
          <w:i w:val="0"/>
          <w:iCs w:val="0"/>
          <w:caps w:val="0"/>
          <w:color w:val="auto"/>
          <w:spacing w:val="0"/>
          <w:sz w:val="24"/>
          <w:szCs w:val="24"/>
          <w:shd w:val="clear" w:fill="FFFFFF"/>
        </w:rPr>
        <w:t>2、请各供应商领取招标文件后，按照陕西省财政厅《关于政府采购供应商注册登记有关事项的通知》中的要求，供应商应通过陕西省政府采购网（http://www.ccgp-shaanxi.gov.cn/）注册登记，加入陕西省政府采购供应商库。</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Style w:val="25"/>
          <w:rFonts w:hint="eastAsia" w:ascii="宋体" w:hAnsi="宋体" w:eastAsia="宋体" w:cs="宋体"/>
          <w:b/>
          <w:bCs/>
          <w:i w:val="0"/>
          <w:iCs w:val="0"/>
          <w:caps w:val="0"/>
          <w:color w:val="auto"/>
          <w:spacing w:val="0"/>
          <w:sz w:val="24"/>
          <w:szCs w:val="24"/>
          <w:shd w:val="clear" w:fill="FFFFFF"/>
        </w:rPr>
        <w:t>七、对本次招标提出询问，请按以下方式联系。</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名称：汉中市人民医院</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地址：汉中市汉台区北团结街251号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联系方式：0916–</w:t>
      </w:r>
      <w:r>
        <w:rPr>
          <w:rFonts w:hint="eastAsia" w:ascii="宋体" w:hAnsi="宋体" w:eastAsia="宋体" w:cs="宋体"/>
          <w:i w:val="0"/>
          <w:iCs w:val="0"/>
          <w:caps w:val="0"/>
          <w:color w:val="auto"/>
          <w:spacing w:val="0"/>
          <w:sz w:val="24"/>
          <w:szCs w:val="24"/>
          <w:shd w:val="clear" w:fill="FFFFFF"/>
          <w:lang w:eastAsia="zh-CN"/>
        </w:rPr>
        <w:t>2709355</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名称：陕西至诚招标咨询有限公司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地址：陕西省西安市经济技术开发区未央路171-1号银池道拉斯财富中心21楼</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联系方式：029-88219779</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项目联系人：吕巧娟</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电话：029-88219779</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陕西至诚招标咨询有限公司</w:t>
      </w:r>
    </w:p>
    <w:p>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p>
    <w:p>
      <w:pPr>
        <w:bidi w:val="0"/>
        <w:rPr>
          <w:rFonts w:hAnsi="宋体" w:cs="宋体"/>
          <w:b/>
          <w:color w:val="auto"/>
          <w:kern w:val="2"/>
          <w:sz w:val="36"/>
          <w:szCs w:val="36"/>
          <w:highlight w:val="none"/>
        </w:rPr>
      </w:pPr>
      <w:r>
        <w:rPr>
          <w:rStyle w:val="39"/>
          <w:rFonts w:hint="eastAsia" w:ascii="宋体" w:eastAsia="宋体" w:cs="宋体"/>
          <w:color w:val="auto"/>
          <w:sz w:val="36"/>
          <w:szCs w:val="36"/>
          <w:highlight w:val="none"/>
        </w:rPr>
        <w:br w:type="page"/>
      </w:r>
      <w:bookmarkStart w:id="26" w:name="_Toc4093"/>
    </w:p>
    <w:p>
      <w:pPr>
        <w:spacing w:line="360" w:lineRule="auto"/>
        <w:jc w:val="center"/>
        <w:outlineLvl w:val="0"/>
        <w:rPr>
          <w:rStyle w:val="39"/>
          <w:rFonts w:ascii="宋体" w:eastAsia="宋体" w:cs="宋体"/>
          <w:color w:val="auto"/>
          <w:sz w:val="36"/>
          <w:szCs w:val="36"/>
          <w:highlight w:val="none"/>
        </w:rPr>
      </w:pPr>
      <w:bookmarkStart w:id="27" w:name="_Toc205"/>
      <w:bookmarkStart w:id="28" w:name="_Toc7470"/>
      <w:bookmarkStart w:id="29" w:name="_Toc10445"/>
      <w:r>
        <w:rPr>
          <w:rStyle w:val="39"/>
          <w:rFonts w:hint="eastAsia" w:ascii="宋体" w:eastAsia="宋体" w:cs="宋体"/>
          <w:color w:val="auto"/>
          <w:sz w:val="36"/>
          <w:szCs w:val="36"/>
          <w:highlight w:val="none"/>
        </w:rPr>
        <w:t xml:space="preserve">第二章  </w:t>
      </w:r>
      <w:bookmarkEnd w:id="22"/>
      <w:bookmarkEnd w:id="23"/>
      <w:r>
        <w:rPr>
          <w:rStyle w:val="39"/>
          <w:rFonts w:hint="eastAsia" w:cs="宋体"/>
          <w:color w:val="auto"/>
          <w:sz w:val="36"/>
          <w:szCs w:val="36"/>
          <w:highlight w:val="none"/>
          <w:lang w:eastAsia="zh-CN"/>
        </w:rPr>
        <w:t>投标人</w:t>
      </w:r>
      <w:r>
        <w:rPr>
          <w:rStyle w:val="39"/>
          <w:rFonts w:hint="eastAsia" w:ascii="宋体" w:eastAsia="宋体" w:cs="宋体"/>
          <w:color w:val="auto"/>
          <w:sz w:val="36"/>
          <w:szCs w:val="36"/>
          <w:highlight w:val="none"/>
        </w:rPr>
        <w:t>须知</w:t>
      </w:r>
      <w:bookmarkEnd w:id="24"/>
      <w:bookmarkEnd w:id="26"/>
      <w:bookmarkEnd w:id="27"/>
      <w:bookmarkEnd w:id="28"/>
      <w:bookmarkEnd w:id="29"/>
    </w:p>
    <w:bookmarkEnd w:id="25"/>
    <w:p>
      <w:pPr>
        <w:bidi w:val="0"/>
        <w:jc w:val="center"/>
        <w:outlineLvl w:val="1"/>
        <w:rPr>
          <w:rFonts w:hint="eastAsia" w:ascii="宋体" w:hAnsi="Times New Roman" w:eastAsia="宋体" w:cs="Times New Roman"/>
          <w:b/>
          <w:bCs/>
          <w:sz w:val="36"/>
          <w:szCs w:val="24"/>
        </w:rPr>
      </w:pPr>
      <w:bookmarkStart w:id="30" w:name="_Toc31730"/>
      <w:bookmarkStart w:id="31" w:name="_Toc5586"/>
      <w:bookmarkStart w:id="32" w:name="_Toc426457693"/>
      <w:bookmarkStart w:id="33" w:name="_Toc11975"/>
      <w:bookmarkStart w:id="34" w:name="_Toc20106"/>
      <w:bookmarkStart w:id="35" w:name="_Toc17455"/>
      <w:bookmarkStart w:id="36" w:name="_Toc23108"/>
      <w:bookmarkStart w:id="37" w:name="_Toc30222"/>
      <w:bookmarkStart w:id="38" w:name="_Toc22466"/>
      <w:r>
        <w:rPr>
          <w:rFonts w:hint="eastAsia" w:ascii="宋体" w:hAnsi="Times New Roman" w:eastAsia="宋体" w:cs="Times New Roman"/>
          <w:b/>
          <w:bCs/>
          <w:sz w:val="36"/>
          <w:szCs w:val="24"/>
          <w:lang w:eastAsia="zh-CN"/>
        </w:rPr>
        <w:t>投标人</w:t>
      </w:r>
      <w:r>
        <w:rPr>
          <w:rFonts w:hint="eastAsia" w:ascii="宋体" w:hAnsi="Times New Roman" w:eastAsia="宋体" w:cs="Times New Roman"/>
          <w:b/>
          <w:bCs/>
          <w:sz w:val="36"/>
          <w:szCs w:val="24"/>
        </w:rPr>
        <w:t>须知前附表</w:t>
      </w:r>
      <w:bookmarkEnd w:id="30"/>
      <w:bookmarkEnd w:id="31"/>
      <w:bookmarkEnd w:id="32"/>
      <w:bookmarkEnd w:id="33"/>
      <w:bookmarkEnd w:id="34"/>
      <w:bookmarkEnd w:id="35"/>
      <w:bookmarkEnd w:id="36"/>
      <w:bookmarkEnd w:id="37"/>
      <w:bookmarkEnd w:id="38"/>
    </w:p>
    <w:tbl>
      <w:tblPr>
        <w:tblStyle w:val="22"/>
        <w:tblW w:w="84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0"/>
        <w:gridCol w:w="1324"/>
        <w:gridCol w:w="6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590" w:type="dxa"/>
          </w:tcPr>
          <w:p>
            <w:pPr>
              <w:bidi w:val="0"/>
              <w:jc w:val="center"/>
              <w:rPr>
                <w:b/>
                <w:bCs/>
              </w:rPr>
            </w:pPr>
            <w:bookmarkStart w:id="39" w:name="_Toc26353"/>
            <w:bookmarkStart w:id="40" w:name="_Toc21695"/>
            <w:r>
              <w:rPr>
                <w:rFonts w:hint="eastAsia"/>
                <w:b/>
                <w:bCs/>
              </w:rPr>
              <w:t>序号</w:t>
            </w:r>
            <w:bookmarkEnd w:id="39"/>
            <w:bookmarkEnd w:id="40"/>
          </w:p>
        </w:tc>
        <w:tc>
          <w:tcPr>
            <w:tcW w:w="1324" w:type="dxa"/>
            <w:vAlign w:val="center"/>
          </w:tcPr>
          <w:p>
            <w:pPr>
              <w:bidi w:val="0"/>
              <w:jc w:val="center"/>
              <w:rPr>
                <w:b/>
                <w:bCs/>
              </w:rPr>
            </w:pPr>
            <w:bookmarkStart w:id="41" w:name="_Toc15084"/>
            <w:bookmarkStart w:id="42" w:name="_Toc27514"/>
            <w:r>
              <w:rPr>
                <w:rFonts w:hint="eastAsia"/>
                <w:b/>
                <w:bCs/>
              </w:rPr>
              <w:t>条款号</w:t>
            </w:r>
            <w:bookmarkEnd w:id="41"/>
            <w:bookmarkEnd w:id="42"/>
          </w:p>
        </w:tc>
        <w:tc>
          <w:tcPr>
            <w:tcW w:w="6490" w:type="dxa"/>
          </w:tcPr>
          <w:p>
            <w:pPr>
              <w:bidi w:val="0"/>
              <w:jc w:val="center"/>
              <w:rPr>
                <w:b/>
                <w:bCs/>
              </w:rPr>
            </w:pPr>
            <w:bookmarkStart w:id="43" w:name="_Toc15122"/>
            <w:bookmarkStart w:id="44" w:name="_Toc5818"/>
            <w:r>
              <w:rPr>
                <w:rFonts w:hint="eastAsia"/>
                <w:b/>
                <w:bCs/>
              </w:rPr>
              <w:t>编 列 内 容</w:t>
            </w:r>
            <w:bookmarkEnd w:id="43"/>
            <w:bookmarkEnd w:id="4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90" w:type="dxa"/>
            <w:vAlign w:val="center"/>
          </w:tcPr>
          <w:p>
            <w:pPr>
              <w:bidi w:val="0"/>
              <w:jc w:val="center"/>
            </w:pPr>
            <w:bookmarkStart w:id="45" w:name="_Toc8543"/>
            <w:bookmarkStart w:id="46" w:name="_Toc12995"/>
            <w:r>
              <w:rPr>
                <w:rFonts w:hint="eastAsia"/>
              </w:rPr>
              <w:t>1</w:t>
            </w:r>
            <w:bookmarkEnd w:id="45"/>
            <w:bookmarkEnd w:id="46"/>
          </w:p>
        </w:tc>
        <w:tc>
          <w:tcPr>
            <w:tcW w:w="1324" w:type="dxa"/>
            <w:vAlign w:val="center"/>
          </w:tcPr>
          <w:p>
            <w:pPr>
              <w:bidi w:val="0"/>
            </w:pPr>
            <w:bookmarkStart w:id="47" w:name="_Toc26920"/>
            <w:bookmarkStart w:id="48" w:name="_Toc252"/>
            <w:r>
              <w:rPr>
                <w:rFonts w:hint="eastAsia"/>
              </w:rPr>
              <w:t>2.3</w:t>
            </w:r>
            <w:bookmarkEnd w:id="47"/>
            <w:bookmarkEnd w:id="48"/>
          </w:p>
        </w:tc>
        <w:tc>
          <w:tcPr>
            <w:tcW w:w="649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bookmarkStart w:id="49" w:name="_Toc29679"/>
            <w:r>
              <w:rPr>
                <w:rFonts w:hint="eastAsia"/>
              </w:rPr>
              <w:t>采购代理机构：陕西至诚招标咨询有限公司</w:t>
            </w:r>
            <w:bookmarkEnd w:id="4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bookmarkStart w:id="50" w:name="_Toc30368"/>
            <w:r>
              <w:rPr>
                <w:rFonts w:hint="eastAsia"/>
              </w:rPr>
              <w:t>地        址：</w:t>
            </w:r>
            <w:bookmarkEnd w:id="50"/>
            <w:r>
              <w:rPr>
                <w:rFonts w:hint="eastAsia"/>
              </w:rPr>
              <w:t>陕西省西安市经济技术开发区未央路171-1号银池道拉斯财富中心21楼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bookmarkStart w:id="51" w:name="_Toc26926"/>
            <w:r>
              <w:rPr>
                <w:rFonts w:hint="eastAsia"/>
              </w:rPr>
              <w:t>邮        编：710065</w:t>
            </w:r>
            <w:bookmarkEnd w:id="5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bookmarkStart w:id="52" w:name="_Toc13971"/>
            <w:r>
              <w:rPr>
                <w:rFonts w:hint="eastAsia"/>
              </w:rPr>
              <w:t>电        话：029-88219779</w:t>
            </w:r>
            <w:bookmarkEnd w:id="5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宋体"/>
                <w:color w:val="auto"/>
                <w:szCs w:val="24"/>
                <w:highlight w:val="none"/>
              </w:rPr>
            </w:pPr>
            <w:bookmarkStart w:id="53" w:name="_Toc24681"/>
            <w:r>
              <w:rPr>
                <w:rFonts w:hint="eastAsia"/>
              </w:rPr>
              <w:t>传        真：/</w:t>
            </w:r>
            <w:bookmarkEnd w:id="5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90" w:type="dxa"/>
            <w:vAlign w:val="center"/>
          </w:tcPr>
          <w:p>
            <w:pPr>
              <w:bidi w:val="0"/>
              <w:jc w:val="center"/>
            </w:pPr>
            <w:bookmarkStart w:id="54" w:name="_Toc23881"/>
            <w:bookmarkStart w:id="55" w:name="_Toc26953"/>
            <w:r>
              <w:rPr>
                <w:rFonts w:hint="eastAsia"/>
              </w:rPr>
              <w:t>2</w:t>
            </w:r>
            <w:bookmarkEnd w:id="54"/>
            <w:bookmarkEnd w:id="55"/>
          </w:p>
        </w:tc>
        <w:tc>
          <w:tcPr>
            <w:tcW w:w="1324" w:type="dxa"/>
            <w:vAlign w:val="center"/>
          </w:tcPr>
          <w:p>
            <w:pPr>
              <w:bidi w:val="0"/>
              <w:jc w:val="center"/>
              <w:rPr>
                <w:rFonts w:hint="eastAsia" w:ascii="宋体" w:hAnsi="Times New Roman" w:eastAsia="宋体" w:cs="Times New Roman"/>
                <w:b/>
                <w:bCs/>
              </w:rPr>
            </w:pPr>
            <w:bookmarkStart w:id="56" w:name="_Toc10666"/>
            <w:bookmarkStart w:id="57" w:name="_Toc17970"/>
            <w:r>
              <w:rPr>
                <w:rFonts w:hint="eastAsia" w:ascii="宋体" w:hAnsi="Times New Roman" w:eastAsia="宋体" w:cs="Times New Roman"/>
                <w:b/>
                <w:bCs/>
              </w:rPr>
              <w:t>3.6</w:t>
            </w:r>
            <w:bookmarkEnd w:id="56"/>
            <w:bookmarkEnd w:id="57"/>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58" w:name="_Toc15901"/>
            <w:bookmarkStart w:id="59" w:name="_Toc26833"/>
            <w:r>
              <w:rPr>
                <w:rFonts w:hint="eastAsia" w:ascii="宋体" w:hAnsi="Times New Roman" w:eastAsia="宋体" w:cs="Times New Roman"/>
              </w:rPr>
              <w:t>本项目不接受联合体投标。</w:t>
            </w:r>
            <w:bookmarkEnd w:id="58"/>
            <w:bookmarkEnd w:id="5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590" w:type="dxa"/>
            <w:vAlign w:val="center"/>
          </w:tcPr>
          <w:p>
            <w:pPr>
              <w:bidi w:val="0"/>
              <w:jc w:val="center"/>
            </w:pPr>
            <w:bookmarkStart w:id="60" w:name="_Toc31666"/>
            <w:bookmarkStart w:id="61" w:name="_Toc13589"/>
            <w:r>
              <w:rPr>
                <w:rFonts w:hint="eastAsia"/>
              </w:rPr>
              <w:t>3</w:t>
            </w:r>
            <w:bookmarkEnd w:id="60"/>
            <w:bookmarkEnd w:id="61"/>
          </w:p>
        </w:tc>
        <w:tc>
          <w:tcPr>
            <w:tcW w:w="1324" w:type="dxa"/>
            <w:vAlign w:val="center"/>
          </w:tcPr>
          <w:p>
            <w:pPr>
              <w:bidi w:val="0"/>
              <w:jc w:val="center"/>
              <w:rPr>
                <w:rFonts w:hint="eastAsia" w:ascii="宋体" w:hAnsi="Times New Roman" w:eastAsia="宋体" w:cs="Times New Roman"/>
                <w:b/>
                <w:bCs/>
              </w:rPr>
            </w:pPr>
            <w:bookmarkStart w:id="62" w:name="_Toc23320"/>
            <w:bookmarkStart w:id="63" w:name="_Toc21333"/>
            <w:r>
              <w:rPr>
                <w:rFonts w:hint="eastAsia" w:ascii="宋体" w:hAnsi="Times New Roman" w:eastAsia="宋体" w:cs="Times New Roman"/>
                <w:b/>
                <w:bCs/>
              </w:rPr>
              <w:t>9.2</w:t>
            </w:r>
            <w:bookmarkEnd w:id="62"/>
            <w:bookmarkEnd w:id="63"/>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64" w:name="_Toc20766"/>
            <w:bookmarkStart w:id="65" w:name="_Toc6560"/>
            <w:r>
              <w:rPr>
                <w:rFonts w:hint="eastAsia" w:ascii="宋体" w:hAnsi="Times New Roman" w:eastAsia="宋体" w:cs="Times New Roman"/>
              </w:rPr>
              <w:t>不允许提供备选方案。</w:t>
            </w:r>
            <w:bookmarkEnd w:id="64"/>
            <w:bookmarkEnd w:id="6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90" w:type="dxa"/>
            <w:vAlign w:val="center"/>
          </w:tcPr>
          <w:p>
            <w:pPr>
              <w:bidi w:val="0"/>
              <w:jc w:val="center"/>
            </w:pPr>
            <w:bookmarkStart w:id="66" w:name="_Toc6220"/>
            <w:bookmarkStart w:id="67" w:name="_Toc26901"/>
            <w:r>
              <w:rPr>
                <w:rFonts w:hint="eastAsia"/>
              </w:rPr>
              <w:t>4</w:t>
            </w:r>
            <w:bookmarkEnd w:id="66"/>
            <w:bookmarkEnd w:id="67"/>
          </w:p>
        </w:tc>
        <w:tc>
          <w:tcPr>
            <w:tcW w:w="1324" w:type="dxa"/>
            <w:vAlign w:val="center"/>
          </w:tcPr>
          <w:p>
            <w:pPr>
              <w:bidi w:val="0"/>
              <w:jc w:val="center"/>
              <w:rPr>
                <w:rFonts w:hint="eastAsia" w:ascii="宋体" w:hAnsi="Times New Roman" w:eastAsia="宋体" w:cs="Times New Roman"/>
                <w:b/>
                <w:bCs/>
              </w:rPr>
            </w:pPr>
            <w:bookmarkStart w:id="68" w:name="_Toc23659"/>
            <w:bookmarkStart w:id="69" w:name="_Toc15405"/>
            <w:r>
              <w:rPr>
                <w:rFonts w:hint="eastAsia" w:ascii="宋体" w:hAnsi="Times New Roman" w:eastAsia="宋体" w:cs="Times New Roman"/>
                <w:b/>
                <w:bCs/>
              </w:rPr>
              <w:t>9.3</w:t>
            </w:r>
            <w:bookmarkEnd w:id="68"/>
            <w:bookmarkEnd w:id="69"/>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bookmarkStart w:id="70" w:name="_Toc17614"/>
            <w:bookmarkStart w:id="71" w:name="_Toc17194"/>
            <w:r>
              <w:rPr>
                <w:rFonts w:hint="eastAsia" w:ascii="宋体" w:hAnsi="Times New Roman" w:eastAsia="宋体" w:cs="Times New Roman"/>
              </w:rPr>
              <w:t>本次投标的最小单元为“项目”，</w:t>
            </w:r>
            <w:r>
              <w:rPr>
                <w:rFonts w:hint="eastAsia" w:ascii="宋体" w:hAnsi="Times New Roman" w:eastAsia="宋体" w:cs="Times New Roman"/>
                <w:lang w:eastAsia="zh-CN"/>
              </w:rPr>
              <w:t>投标人</w:t>
            </w:r>
            <w:r>
              <w:rPr>
                <w:rFonts w:hint="eastAsia" w:ascii="宋体" w:hAnsi="Times New Roman" w:eastAsia="宋体" w:cs="Times New Roman"/>
              </w:rPr>
              <w:t>可根据自身的资质情况和经营范围进行投标，但不得将其子目自行分解或针对该项目中的品目进行不完全投标，任何不完全的投标将按无效投标处理。</w:t>
            </w:r>
            <w:bookmarkEnd w:id="70"/>
            <w:bookmarkEnd w:id="7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590" w:type="dxa"/>
            <w:vAlign w:val="center"/>
          </w:tcPr>
          <w:p>
            <w:pPr>
              <w:bidi w:val="0"/>
              <w:jc w:val="center"/>
            </w:pPr>
            <w:bookmarkStart w:id="72" w:name="_Toc4689"/>
            <w:bookmarkStart w:id="73" w:name="_Toc13655"/>
            <w:r>
              <w:rPr>
                <w:rFonts w:hint="eastAsia"/>
              </w:rPr>
              <w:t>5</w:t>
            </w:r>
            <w:bookmarkEnd w:id="72"/>
            <w:bookmarkEnd w:id="73"/>
          </w:p>
        </w:tc>
        <w:tc>
          <w:tcPr>
            <w:tcW w:w="1324" w:type="dxa"/>
            <w:vAlign w:val="center"/>
          </w:tcPr>
          <w:p>
            <w:pPr>
              <w:bidi w:val="0"/>
              <w:jc w:val="center"/>
              <w:rPr>
                <w:rFonts w:hint="eastAsia" w:ascii="宋体" w:hAnsi="Times New Roman" w:eastAsia="宋体" w:cs="Times New Roman"/>
                <w:b/>
                <w:bCs/>
              </w:rPr>
            </w:pPr>
            <w:bookmarkStart w:id="74" w:name="_Toc29062"/>
            <w:bookmarkStart w:id="75" w:name="_Toc26374"/>
            <w:r>
              <w:rPr>
                <w:rFonts w:hint="eastAsia" w:ascii="宋体" w:hAnsi="Times New Roman" w:eastAsia="宋体" w:cs="Times New Roman"/>
                <w:b/>
                <w:bCs/>
              </w:rPr>
              <w:t>11.1</w:t>
            </w:r>
            <w:bookmarkEnd w:id="74"/>
            <w:bookmarkEnd w:id="75"/>
          </w:p>
        </w:tc>
        <w:tc>
          <w:tcPr>
            <w:tcW w:w="6490"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bookmarkStart w:id="76" w:name="_Toc5854"/>
            <w:bookmarkStart w:id="77" w:name="_Toc13062"/>
            <w:r>
              <w:rPr>
                <w:rFonts w:hint="eastAsia" w:ascii="宋体" w:hAnsi="Times New Roman" w:eastAsia="宋体" w:cs="Times New Roman"/>
              </w:rPr>
              <w:t>投标报价：</w:t>
            </w:r>
            <w:bookmarkStart w:id="78" w:name="OLE_LINK11"/>
            <w:r>
              <w:rPr>
                <w:rFonts w:hint="eastAsia" w:ascii="宋体" w:hAnsi="Times New Roman" w:eastAsia="宋体" w:cs="Times New Roman"/>
                <w:lang w:eastAsia="zh-CN"/>
              </w:rPr>
              <w:t>投标人</w:t>
            </w:r>
            <w:r>
              <w:rPr>
                <w:rFonts w:hint="eastAsia" w:ascii="宋体" w:hAnsi="Times New Roman" w:eastAsia="宋体" w:cs="Times New Roman"/>
              </w:rPr>
              <w:t>应在投标报价表中标明完成本次招标所要求的货物、服务且验收合格的所有费用，即产品到达使用地点，达到正常使用条件下的所有费用，包括但不限于产品费、软件服务费、仓储保管费、售后服务培训费、运输费、税金、招标代理服务费等其他</w:t>
            </w:r>
            <w:r>
              <w:rPr>
                <w:rFonts w:hint="eastAsia" w:ascii="宋体" w:hAnsi="Times New Roman" w:eastAsia="宋体" w:cs="Times New Roman"/>
                <w:lang w:val="en-US" w:eastAsia="zh-CN"/>
              </w:rPr>
              <w:t>与本项目实施有关的</w:t>
            </w:r>
            <w:r>
              <w:rPr>
                <w:rFonts w:hint="eastAsia" w:ascii="宋体" w:hAnsi="Times New Roman" w:eastAsia="宋体" w:cs="Times New Roman"/>
              </w:rPr>
              <w:t>一切费用。投标报价表中标明本次货物、服务的所有单项价格和总价，任何有选择的报价将不予接受，否则按无效投标处理。</w:t>
            </w:r>
            <w:bookmarkEnd w:id="76"/>
            <w:bookmarkEnd w:id="77"/>
            <w:bookmarkEnd w:id="7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0" w:type="dxa"/>
            <w:vAlign w:val="center"/>
          </w:tcPr>
          <w:p>
            <w:pPr>
              <w:bidi w:val="0"/>
              <w:jc w:val="center"/>
            </w:pPr>
            <w:bookmarkStart w:id="79" w:name="_Toc16843"/>
            <w:bookmarkStart w:id="80" w:name="_Toc3167"/>
            <w:r>
              <w:rPr>
                <w:rFonts w:hint="eastAsia"/>
              </w:rPr>
              <w:t>6</w:t>
            </w:r>
            <w:bookmarkEnd w:id="79"/>
            <w:bookmarkEnd w:id="80"/>
          </w:p>
        </w:tc>
        <w:tc>
          <w:tcPr>
            <w:tcW w:w="1324" w:type="dxa"/>
            <w:vAlign w:val="center"/>
          </w:tcPr>
          <w:p>
            <w:pPr>
              <w:bidi w:val="0"/>
              <w:jc w:val="center"/>
              <w:rPr>
                <w:rFonts w:hint="eastAsia" w:ascii="宋体" w:hAnsi="Times New Roman" w:eastAsia="宋体" w:cs="Times New Roman"/>
                <w:b/>
                <w:bCs/>
              </w:rPr>
            </w:pPr>
            <w:bookmarkStart w:id="81" w:name="_Toc12268"/>
            <w:bookmarkStart w:id="82" w:name="_Toc15200"/>
            <w:r>
              <w:rPr>
                <w:rFonts w:hint="eastAsia" w:ascii="宋体" w:hAnsi="Times New Roman" w:eastAsia="宋体" w:cs="Times New Roman"/>
                <w:b/>
                <w:bCs/>
              </w:rPr>
              <w:t>12.1</w:t>
            </w:r>
            <w:bookmarkEnd w:id="81"/>
            <w:bookmarkEnd w:id="82"/>
          </w:p>
        </w:tc>
        <w:tc>
          <w:tcPr>
            <w:tcW w:w="6490"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bookmarkStart w:id="83" w:name="_Toc15846"/>
            <w:bookmarkStart w:id="84" w:name="_Toc16264"/>
            <w:r>
              <w:rPr>
                <w:rFonts w:hint="eastAsia" w:ascii="宋体" w:hAnsi="Times New Roman" w:eastAsia="宋体" w:cs="Times New Roman"/>
                <w:lang w:eastAsia="zh-CN"/>
              </w:rPr>
              <w:t>投标人</w:t>
            </w:r>
            <w:r>
              <w:rPr>
                <w:rFonts w:hint="eastAsia" w:ascii="宋体" w:hAnsi="Times New Roman" w:eastAsia="宋体" w:cs="Times New Roman"/>
              </w:rPr>
              <w:t>资格要求：</w:t>
            </w:r>
            <w:bookmarkEnd w:id="83"/>
            <w:bookmarkEnd w:id="8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Times New Roman" w:eastAsia="宋体" w:cs="Times New Roman"/>
                <w:lang w:val="en-US" w:eastAsia="zh-CN"/>
              </w:rPr>
            </w:pPr>
            <w:bookmarkStart w:id="85" w:name="_Toc1459"/>
            <w:bookmarkStart w:id="86" w:name="_Toc20121"/>
            <w:r>
              <w:rPr>
                <w:rFonts w:hint="eastAsia" w:ascii="宋体" w:hAnsi="Times New Roman" w:eastAsia="宋体" w:cs="Times New Roman"/>
              </w:rPr>
              <w:t>1、提供合格有效的法人或者其他组织的营业执照等证明文件，自然人的身份证明。2、提供法定代表人授权书（附法定代表人、被授权人身份证复印件）及被授权人身份证原件（法定代表人直接参加磋商，须提供法定代表人身份证明及身份证原件）；3、财务状况报告：提供2020年度或2021年度的财务审计报告（至少包括资产负债表和利润表，成立时间至提交</w:t>
            </w:r>
            <w:r>
              <w:rPr>
                <w:rFonts w:hint="eastAsia" w:ascii="宋体" w:hAnsi="Times New Roman" w:eastAsia="宋体" w:cs="Times New Roman"/>
                <w:lang w:eastAsia="zh-CN"/>
              </w:rPr>
              <w:t>投标文件</w:t>
            </w:r>
            <w:r>
              <w:rPr>
                <w:rFonts w:hint="eastAsia" w:ascii="宋体" w:hAnsi="Times New Roman" w:eastAsia="宋体" w:cs="Times New Roman"/>
              </w:rPr>
              <w:t>截止时间不足一</w:t>
            </w:r>
            <w:bookmarkStart w:id="911" w:name="_GoBack"/>
            <w:bookmarkEnd w:id="911"/>
            <w:r>
              <w:rPr>
                <w:rFonts w:hint="eastAsia" w:ascii="宋体" w:hAnsi="Times New Roman" w:eastAsia="宋体" w:cs="Times New Roman"/>
              </w:rPr>
              <w:t>年的可提供成立后任意时段的资产负债表），或</w:t>
            </w:r>
            <w:r>
              <w:rPr>
                <w:rFonts w:hint="eastAsia" w:ascii="宋体" w:hAnsi="Times New Roman" w:eastAsia="宋体" w:cs="Times New Roman"/>
                <w:lang w:eastAsia="zh-CN"/>
              </w:rPr>
              <w:t>投标文件</w:t>
            </w:r>
            <w:r>
              <w:rPr>
                <w:rFonts w:hint="eastAsia" w:ascii="宋体" w:hAnsi="Times New Roman" w:eastAsia="宋体" w:cs="Times New Roman"/>
              </w:rPr>
              <w:t>递交截止日期前6个月内其基本开户银行出具的资信证明； 4、税收缴纳证明：提供</w:t>
            </w:r>
            <w:r>
              <w:rPr>
                <w:rFonts w:hint="eastAsia" w:ascii="宋体" w:hAnsi="Times New Roman" w:eastAsia="宋体" w:cs="Times New Roman"/>
                <w:lang w:eastAsia="zh-CN"/>
              </w:rPr>
              <w:t>投标文件递交截止时间前</w:t>
            </w:r>
            <w:r>
              <w:rPr>
                <w:rFonts w:hint="eastAsia" w:ascii="宋体" w:hAnsi="Times New Roman" w:eastAsia="宋体" w:cs="Times New Roman"/>
              </w:rPr>
              <w:t>一年内已缴纳的至少一个月的纳税证明或完税证明（任意税种），依法免税的单位应提供相关证明材料； 5、社会保障资金缴纳证明：提供</w:t>
            </w:r>
            <w:r>
              <w:rPr>
                <w:rFonts w:hint="eastAsia" w:ascii="宋体" w:hAnsi="Times New Roman" w:eastAsia="宋体" w:cs="Times New Roman"/>
                <w:lang w:eastAsia="zh-CN"/>
              </w:rPr>
              <w:t>投标文件递交截止时间前</w:t>
            </w:r>
            <w:r>
              <w:rPr>
                <w:rFonts w:hint="eastAsia" w:ascii="宋体" w:hAnsi="Times New Roman" w:eastAsia="宋体" w:cs="Times New Roman"/>
              </w:rPr>
              <w:t>一年内已缴存的至少一个月的社会保障资金缴存单据或社保机构开具的社会保险参保缴费情况证明，依法不需要缴纳社会保障资金的单位应提供相关证明材料； 6、提供具有履行本合同所必需的设备和专业技术能力的说明及承诺书； 7、供应商应通过“信用中国”网站(www.creditchina.gov.cn)、中国政府采购网(www.ccgp.gov.cn) 查询相关主体信用记录； 8、参加政府采购活动前3年内，在经营活动中没有重大违法记录的书面声明； 9、提供</w:t>
            </w:r>
            <w:r>
              <w:rPr>
                <w:rFonts w:hint="eastAsia" w:ascii="宋体" w:hAnsi="Times New Roman" w:eastAsia="宋体" w:cs="Times New Roman"/>
                <w:lang w:eastAsia="zh-CN"/>
              </w:rPr>
              <w:t>投标保证金</w:t>
            </w:r>
            <w:r>
              <w:rPr>
                <w:rFonts w:hint="eastAsia" w:ascii="宋体" w:hAnsi="Times New Roman" w:eastAsia="宋体" w:cs="Times New Roman"/>
              </w:rPr>
              <w:t>缴纳凭证或担保机构出具的保函。</w:t>
            </w:r>
            <w:bookmarkEnd w:id="85"/>
            <w:bookmarkEnd w:id="8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bookmarkStart w:id="87" w:name="_Toc8614"/>
            <w:bookmarkStart w:id="88" w:name="_Toc10399"/>
            <w:r>
              <w:rPr>
                <w:rFonts w:hint="eastAsia" w:ascii="宋体" w:hAnsi="Times New Roman" w:eastAsia="宋体" w:cs="Times New Roman"/>
              </w:rPr>
              <w:t>以上</w:t>
            </w:r>
            <w:r>
              <w:rPr>
                <w:rFonts w:hint="eastAsia" w:ascii="宋体" w:hAnsi="Times New Roman" w:eastAsia="宋体" w:cs="Times New Roman"/>
                <w:highlight w:val="yellow"/>
              </w:rPr>
              <w:t>（1-</w:t>
            </w:r>
            <w:r>
              <w:rPr>
                <w:rFonts w:hint="eastAsia" w:cs="Times New Roman"/>
                <w:highlight w:val="yellow"/>
                <w:lang w:val="en-US" w:eastAsia="zh-CN"/>
              </w:rPr>
              <w:t>9</w:t>
            </w:r>
            <w:r>
              <w:rPr>
                <w:rFonts w:hint="eastAsia" w:ascii="宋体" w:hAnsi="Times New Roman" w:eastAsia="宋体" w:cs="Times New Roman"/>
                <w:highlight w:val="yellow"/>
              </w:rPr>
              <w:t>项</w:t>
            </w:r>
            <w:r>
              <w:rPr>
                <w:rFonts w:hint="eastAsia" w:ascii="宋体" w:hAnsi="Times New Roman" w:eastAsia="宋体" w:cs="Times New Roman"/>
              </w:rPr>
              <w:t>）为必备资质，缺一项或某项达不到要求，按无效投标处理。以上资质在投标文件正副本中各附一套复印件加盖公章（其中投标文件正本中的法定代表人身份证明或法定代表人授权书及相关声明均为原件），资格审查时以投标文件中所附证明材料为准，原件备查。</w:t>
            </w:r>
            <w:bookmarkEnd w:id="87"/>
            <w:bookmarkEnd w:id="8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0" w:type="dxa"/>
            <w:vAlign w:val="center"/>
          </w:tcPr>
          <w:p>
            <w:pPr>
              <w:bidi w:val="0"/>
              <w:jc w:val="center"/>
            </w:pPr>
            <w:bookmarkStart w:id="89" w:name="_Toc22421"/>
            <w:bookmarkStart w:id="90" w:name="_Toc14834"/>
            <w:r>
              <w:rPr>
                <w:rFonts w:hint="eastAsia"/>
              </w:rPr>
              <w:t>7</w:t>
            </w:r>
            <w:bookmarkEnd w:id="89"/>
            <w:bookmarkEnd w:id="90"/>
          </w:p>
        </w:tc>
        <w:tc>
          <w:tcPr>
            <w:tcW w:w="1324" w:type="dxa"/>
            <w:vAlign w:val="center"/>
          </w:tcPr>
          <w:p>
            <w:pPr>
              <w:bidi w:val="0"/>
              <w:jc w:val="center"/>
              <w:rPr>
                <w:rFonts w:hint="eastAsia" w:ascii="宋体" w:hAnsi="Times New Roman" w:eastAsia="宋体" w:cs="Times New Roman"/>
                <w:b/>
                <w:bCs/>
              </w:rPr>
            </w:pPr>
            <w:bookmarkStart w:id="91" w:name="_Toc12146"/>
            <w:bookmarkStart w:id="92" w:name="_Toc17955"/>
            <w:r>
              <w:rPr>
                <w:rFonts w:hint="eastAsia" w:ascii="宋体" w:hAnsi="Times New Roman" w:eastAsia="宋体" w:cs="Times New Roman"/>
                <w:b/>
                <w:bCs/>
              </w:rPr>
              <w:t>14.4</w:t>
            </w:r>
            <w:bookmarkEnd w:id="91"/>
            <w:bookmarkEnd w:id="92"/>
          </w:p>
        </w:tc>
        <w:tc>
          <w:tcPr>
            <w:tcW w:w="649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93" w:name="_Toc17921"/>
            <w:bookmarkStart w:id="94" w:name="_Toc13768"/>
            <w:r>
              <w:rPr>
                <w:rFonts w:hint="eastAsia" w:ascii="宋体" w:hAnsi="Times New Roman" w:eastAsia="宋体" w:cs="Times New Roman"/>
              </w:rPr>
              <w:t>投标保证金</w:t>
            </w:r>
            <w:r>
              <w:rPr>
                <w:rFonts w:hint="eastAsia" w:ascii="宋体" w:hAnsi="Times New Roman" w:eastAsia="宋体" w:cs="Times New Roman"/>
                <w:lang w:eastAsia="zh-CN"/>
              </w:rPr>
              <w:t>：人民币</w:t>
            </w:r>
            <w:r>
              <w:rPr>
                <w:rFonts w:hint="eastAsia" w:ascii="宋体" w:hAnsi="Times New Roman" w:eastAsia="宋体" w:cs="Times New Roman"/>
                <w:lang w:val="en-US" w:eastAsia="zh-CN"/>
              </w:rPr>
              <w:t>肆万元整（40000.00元）</w:t>
            </w:r>
            <w:r>
              <w:rPr>
                <w:rFonts w:hint="eastAsia" w:ascii="宋体" w:hAnsi="Times New Roman" w:eastAsia="宋体" w:cs="Times New Roman"/>
              </w:rPr>
              <w:t>。</w:t>
            </w:r>
            <w:bookmarkEnd w:id="93"/>
            <w:bookmarkEnd w:id="9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lang w:eastAsia="zh-CN"/>
              </w:rPr>
            </w:pPr>
            <w:r>
              <w:rPr>
                <w:rFonts w:hint="eastAsia" w:ascii="宋体" w:hAnsi="Times New Roman" w:eastAsia="宋体" w:cs="Times New Roman"/>
                <w:lang w:val="en-US" w:eastAsia="zh-CN"/>
              </w:rPr>
              <w:t>投标</w:t>
            </w:r>
            <w:r>
              <w:rPr>
                <w:rFonts w:hint="eastAsia" w:ascii="宋体" w:hAnsi="Times New Roman" w:eastAsia="宋体" w:cs="Times New Roman"/>
              </w:rPr>
              <w:t>保证金的递交截止时间为：</w:t>
            </w:r>
            <w:r>
              <w:rPr>
                <w:rFonts w:hint="eastAsia" w:ascii="宋体" w:hAnsi="宋体" w:eastAsia="宋体" w:cs="宋体"/>
                <w:i w:val="0"/>
                <w:iCs w:val="0"/>
                <w:caps w:val="0"/>
                <w:color w:val="auto"/>
                <w:spacing w:val="0"/>
                <w:sz w:val="24"/>
                <w:szCs w:val="24"/>
                <w:shd w:val="clear" w:fill="FFFFFF"/>
                <w:lang w:eastAsia="zh-CN"/>
              </w:rPr>
              <w:t>2022年11月</w:t>
            </w:r>
            <w:r>
              <w:rPr>
                <w:rFonts w:hint="eastAsia" w:hAnsi="宋体" w:cs="宋体"/>
                <w:i w:val="0"/>
                <w:iCs w:val="0"/>
                <w:caps w:val="0"/>
                <w:color w:val="auto"/>
                <w:spacing w:val="0"/>
                <w:sz w:val="24"/>
                <w:szCs w:val="24"/>
                <w:shd w:val="clear" w:fill="FFFFFF"/>
                <w:lang w:eastAsia="zh-CN"/>
              </w:rPr>
              <w:t>1</w:t>
            </w:r>
            <w:r>
              <w:rPr>
                <w:rFonts w:hint="eastAsia" w:hAnsi="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lang w:eastAsia="zh-CN"/>
              </w:rPr>
              <w:t>日 14时30</w:t>
            </w:r>
            <w:r>
              <w:rPr>
                <w:rFonts w:hint="eastAsia" w:ascii="宋体" w:hAnsi="Times New Roman" w:eastAsia="宋体" w:cs="Times New Roman"/>
                <w:lang w:val="en-US" w:eastAsia="zh-CN"/>
              </w:rPr>
              <w:t>分</w:t>
            </w:r>
            <w:r>
              <w:rPr>
                <w:rFonts w:hint="eastAsia" w:ascii="宋体" w:hAnsi="Times New Roman" w:eastAsia="宋体" w:cs="Times New Roman"/>
              </w:rPr>
              <w:t>前</w:t>
            </w:r>
            <w:r>
              <w:rPr>
                <w:rFonts w:hint="eastAsia" w:ascii="宋体" w:hAnsi="Times New Roman" w:eastAsia="宋体" w:cs="Times New Roman"/>
                <w:lang w:eastAsia="zh-CN"/>
              </w:rPr>
              <w:t>（以到账时间为准）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r>
              <w:rPr>
                <w:rFonts w:hint="eastAsia" w:ascii="宋体" w:hAnsi="Times New Roman" w:eastAsia="宋体" w:cs="Times New Roman"/>
                <w:lang w:val="en-US" w:eastAsia="zh-CN"/>
              </w:rPr>
              <w:t>投标人</w:t>
            </w:r>
            <w:r>
              <w:rPr>
                <w:rFonts w:hint="eastAsia" w:ascii="宋体" w:hAnsi="Times New Roman" w:eastAsia="宋体" w:cs="Times New Roman"/>
              </w:rPr>
              <w:t>应向代理机构提交规定数额的投标保证金，以单位名义将投标保证金从本单位基本账户汇入以下指定账户：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户名：陕西至诚招标咨询有限公司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开户行：中国建设银行股份有限公司西安高新技术产业开发区支行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帐号：</w:t>
            </w:r>
            <w:r>
              <w:rPr>
                <w:rFonts w:hint="eastAsia" w:ascii="宋体" w:hAnsi="Times New Roman" w:eastAsia="宋体" w:cs="Times New Roman"/>
                <w:lang w:val="en-US" w:eastAsia="zh-CN"/>
              </w:rPr>
              <w:t>61050192090000002152</w:t>
            </w:r>
            <w:r>
              <w:rPr>
                <w:rFonts w:hint="eastAsia" w:ascii="宋体" w:hAnsi="Times New Roman" w:eastAsia="宋体" w:cs="Times New Roman"/>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转账事由：</w:t>
            </w:r>
            <w:r>
              <w:rPr>
                <w:rFonts w:hint="eastAsia" w:ascii="宋体" w:hAnsi="Times New Roman" w:eastAsia="宋体" w:cs="Times New Roman"/>
                <w:lang w:val="en-US" w:eastAsia="zh-CN"/>
              </w:rPr>
              <w:t xml:space="preserve"> 汉中市人民医院虚拟化扩容采购项目投标保证金或</w:t>
            </w:r>
            <w:r>
              <w:rPr>
                <w:rFonts w:hint="eastAsia" w:cs="Times New Roman"/>
                <w:lang w:val="en-US" w:eastAsia="zh-CN"/>
              </w:rPr>
              <w:t>SXZCZB2022-ZCGK-1021</w:t>
            </w:r>
            <w:r>
              <w:rPr>
                <w:rFonts w:hint="eastAsia" w:ascii="宋体" w:hAnsi="Times New Roman" w:eastAsia="宋体" w:cs="Times New Roman"/>
              </w:rPr>
              <w:t>投标保证金</w:t>
            </w:r>
            <w:r>
              <w:rPr>
                <w:rFonts w:hint="eastAsia" w:ascii="宋体" w:hAnsi="Times New Roman" w:eastAsia="宋体" w:cs="Times New Roman"/>
                <w:lang w:eastAsia="zh-CN"/>
              </w:rPr>
              <w:t>，投标人</w:t>
            </w:r>
            <w:r>
              <w:rPr>
                <w:rFonts w:hint="eastAsia" w:ascii="宋体" w:hAnsi="Times New Roman" w:eastAsia="宋体" w:cs="Times New Roman"/>
                <w:lang w:val="en-US" w:eastAsia="zh-CN"/>
              </w:rPr>
              <w:t>于开标前</w:t>
            </w:r>
            <w:r>
              <w:rPr>
                <w:rFonts w:hint="eastAsia" w:ascii="宋体" w:hAnsi="Times New Roman" w:eastAsia="宋体" w:cs="Times New Roman"/>
              </w:rPr>
              <w:t>携带银行转账凭证汇款回单（转账凭证汇款回单加盖单位公章）</w:t>
            </w:r>
            <w:r>
              <w:rPr>
                <w:rFonts w:hint="eastAsia" w:ascii="宋体" w:hAnsi="Times New Roman" w:eastAsia="宋体" w:cs="Times New Roman"/>
                <w:lang w:eastAsia="zh-CN"/>
              </w:rPr>
              <w:t>附在</w:t>
            </w:r>
            <w:r>
              <w:rPr>
                <w:rFonts w:hint="eastAsia" w:ascii="宋体" w:hAnsi="Times New Roman" w:eastAsia="宋体" w:cs="Times New Roman"/>
                <w:lang w:val="en-US" w:eastAsia="zh-CN"/>
              </w:rPr>
              <w:t>磋商响应</w:t>
            </w:r>
            <w:r>
              <w:rPr>
                <w:rFonts w:hint="eastAsia" w:ascii="宋体" w:hAnsi="Times New Roman" w:eastAsia="宋体" w:cs="Times New Roman"/>
                <w:lang w:eastAsia="zh-CN"/>
              </w:rPr>
              <w:t>文件</w:t>
            </w:r>
            <w:r>
              <w:rPr>
                <w:rFonts w:hint="eastAsia" w:ascii="宋体" w:hAnsi="Times New Roman" w:eastAsia="宋体" w:cs="Times New Roman"/>
              </w:rPr>
              <w:t>中（未按规定交纳投标保证金的视为放弃投标）</w:t>
            </w:r>
            <w:r>
              <w:rPr>
                <w:rFonts w:hint="eastAsia" w:ascii="宋体" w:hAnsi="Times New Roman" w:eastAsia="宋体" w:cs="Times New Roman"/>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590" w:type="dxa"/>
            <w:vAlign w:val="center"/>
          </w:tcPr>
          <w:p>
            <w:pPr>
              <w:bidi w:val="0"/>
              <w:jc w:val="center"/>
            </w:pPr>
            <w:bookmarkStart w:id="95" w:name="_Toc11783"/>
            <w:bookmarkStart w:id="96" w:name="_Toc1140"/>
            <w:r>
              <w:rPr>
                <w:rFonts w:hint="eastAsia"/>
              </w:rPr>
              <w:t>8</w:t>
            </w:r>
            <w:bookmarkEnd w:id="95"/>
            <w:bookmarkEnd w:id="96"/>
          </w:p>
        </w:tc>
        <w:tc>
          <w:tcPr>
            <w:tcW w:w="1324" w:type="dxa"/>
            <w:vAlign w:val="center"/>
          </w:tcPr>
          <w:p>
            <w:pPr>
              <w:bidi w:val="0"/>
              <w:jc w:val="center"/>
              <w:rPr>
                <w:rFonts w:hint="eastAsia" w:ascii="宋体" w:hAnsi="Times New Roman" w:eastAsia="宋体" w:cs="Times New Roman"/>
                <w:b/>
                <w:bCs/>
              </w:rPr>
            </w:pPr>
            <w:bookmarkStart w:id="97" w:name="_Toc72"/>
            <w:bookmarkStart w:id="98" w:name="_Toc4381"/>
            <w:r>
              <w:rPr>
                <w:rFonts w:hint="eastAsia" w:ascii="宋体" w:hAnsi="Times New Roman" w:eastAsia="宋体" w:cs="Times New Roman"/>
                <w:b/>
                <w:bCs/>
              </w:rPr>
              <w:t>15.1</w:t>
            </w:r>
            <w:bookmarkEnd w:id="97"/>
            <w:bookmarkEnd w:id="98"/>
          </w:p>
        </w:tc>
        <w:tc>
          <w:tcPr>
            <w:tcW w:w="649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99" w:name="_Toc26634"/>
            <w:bookmarkStart w:id="100" w:name="_Toc26360"/>
            <w:r>
              <w:rPr>
                <w:rFonts w:hint="eastAsia" w:ascii="宋体" w:hAnsi="Times New Roman" w:eastAsia="宋体" w:cs="Times New Roman"/>
              </w:rPr>
              <w:t>投标有效期：投标文件的截止之日起90</w:t>
            </w:r>
            <w:r>
              <w:rPr>
                <w:rFonts w:hint="eastAsia" w:ascii="宋体" w:hAnsi="Times New Roman" w:eastAsia="宋体" w:cs="Times New Roman"/>
                <w:lang w:eastAsia="zh-CN"/>
              </w:rPr>
              <w:t>日历天</w:t>
            </w:r>
            <w:r>
              <w:rPr>
                <w:rFonts w:hint="eastAsia" w:ascii="宋体" w:hAnsi="Times New Roman" w:eastAsia="宋体" w:cs="Times New Roman"/>
              </w:rPr>
              <w:t>。</w:t>
            </w:r>
            <w:bookmarkEnd w:id="99"/>
            <w:bookmarkEnd w:id="10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590" w:type="dxa"/>
            <w:vAlign w:val="center"/>
          </w:tcPr>
          <w:p>
            <w:pPr>
              <w:bidi w:val="0"/>
              <w:jc w:val="center"/>
            </w:pPr>
            <w:bookmarkStart w:id="101" w:name="_Toc30647"/>
            <w:bookmarkStart w:id="102" w:name="_Toc25920"/>
            <w:r>
              <w:rPr>
                <w:rFonts w:hint="eastAsia"/>
              </w:rPr>
              <w:t>9</w:t>
            </w:r>
            <w:bookmarkEnd w:id="101"/>
            <w:bookmarkEnd w:id="102"/>
          </w:p>
        </w:tc>
        <w:tc>
          <w:tcPr>
            <w:tcW w:w="1324" w:type="dxa"/>
            <w:vAlign w:val="center"/>
          </w:tcPr>
          <w:p>
            <w:pPr>
              <w:bidi w:val="0"/>
              <w:jc w:val="center"/>
              <w:rPr>
                <w:rFonts w:hint="eastAsia" w:ascii="宋体" w:hAnsi="Times New Roman" w:eastAsia="宋体" w:cs="Times New Roman"/>
                <w:b/>
                <w:bCs/>
              </w:rPr>
            </w:pPr>
            <w:bookmarkStart w:id="103" w:name="_Toc10691"/>
            <w:bookmarkStart w:id="104" w:name="_Toc13139"/>
            <w:r>
              <w:rPr>
                <w:rFonts w:hint="eastAsia" w:ascii="宋体" w:hAnsi="Times New Roman" w:eastAsia="宋体" w:cs="Times New Roman"/>
                <w:b/>
                <w:bCs/>
              </w:rPr>
              <w:t>16.1</w:t>
            </w:r>
            <w:bookmarkEnd w:id="103"/>
            <w:bookmarkEnd w:id="104"/>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105" w:name="_Toc21786"/>
            <w:bookmarkStart w:id="106" w:name="_Toc3723"/>
            <w:r>
              <w:rPr>
                <w:rFonts w:hint="eastAsia" w:ascii="宋体" w:hAnsi="Times New Roman" w:eastAsia="宋体" w:cs="Times New Roman"/>
              </w:rPr>
              <w:t>正本的份数：壹份；副本的份数：叁份；开标一览表：壹份；电子版（U盘或光盘）：壹份（需在盘面上标注</w:t>
            </w:r>
            <w:r>
              <w:rPr>
                <w:rFonts w:hint="eastAsia" w:ascii="宋体" w:hAnsi="Times New Roman" w:eastAsia="宋体" w:cs="Times New Roman"/>
                <w:lang w:eastAsia="zh-CN"/>
              </w:rPr>
              <w:t>投标人</w:t>
            </w:r>
            <w:r>
              <w:rPr>
                <w:rFonts w:hint="eastAsia" w:ascii="宋体" w:hAnsi="Times New Roman" w:eastAsia="宋体" w:cs="Times New Roman"/>
              </w:rPr>
              <w:t>全称、项目名称、项目编号）。</w:t>
            </w:r>
            <w:bookmarkEnd w:id="105"/>
            <w:bookmarkEnd w:id="10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590" w:type="dxa"/>
            <w:vAlign w:val="center"/>
          </w:tcPr>
          <w:p>
            <w:pPr>
              <w:bidi w:val="0"/>
              <w:jc w:val="center"/>
            </w:pPr>
            <w:bookmarkStart w:id="107" w:name="_Toc3072"/>
            <w:bookmarkStart w:id="108" w:name="_Toc8338"/>
            <w:r>
              <w:rPr>
                <w:rFonts w:hint="eastAsia"/>
              </w:rPr>
              <w:t>10</w:t>
            </w:r>
            <w:bookmarkEnd w:id="107"/>
            <w:bookmarkEnd w:id="108"/>
          </w:p>
        </w:tc>
        <w:tc>
          <w:tcPr>
            <w:tcW w:w="1324" w:type="dxa"/>
            <w:vAlign w:val="center"/>
          </w:tcPr>
          <w:p>
            <w:pPr>
              <w:bidi w:val="0"/>
              <w:jc w:val="center"/>
              <w:rPr>
                <w:rFonts w:hint="eastAsia" w:ascii="宋体" w:hAnsi="Times New Roman" w:eastAsia="宋体" w:cs="Times New Roman"/>
                <w:b/>
                <w:bCs/>
              </w:rPr>
            </w:pPr>
            <w:bookmarkStart w:id="109" w:name="_Toc24546"/>
            <w:bookmarkStart w:id="110" w:name="_Toc2043"/>
            <w:r>
              <w:rPr>
                <w:rFonts w:hint="eastAsia" w:ascii="宋体" w:hAnsi="Times New Roman" w:eastAsia="宋体" w:cs="Times New Roman"/>
                <w:b/>
                <w:bCs/>
              </w:rPr>
              <w:t>17.2</w:t>
            </w:r>
            <w:bookmarkEnd w:id="109"/>
            <w:bookmarkEnd w:id="110"/>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111" w:name="_Toc24117"/>
            <w:bookmarkStart w:id="112" w:name="_Toc4587"/>
            <w:r>
              <w:rPr>
                <w:rFonts w:hint="eastAsia" w:ascii="宋体" w:hAnsi="Times New Roman" w:eastAsia="宋体" w:cs="Times New Roman"/>
              </w:rPr>
              <w:t>投标文件正本、所有的副本、电子版本、开标一览表需分开密封装在单独的封袋中（封袋不得有破损），且在封袋正面标明“正本”“副本”“电子版本”“开标一览表”字样。封袋应加贴封条，并在封线处加盖</w:t>
            </w:r>
            <w:r>
              <w:rPr>
                <w:rFonts w:hint="eastAsia" w:ascii="宋体" w:hAnsi="Times New Roman" w:eastAsia="宋体" w:cs="Times New Roman"/>
                <w:lang w:eastAsia="zh-CN"/>
              </w:rPr>
              <w:t>投标人</w:t>
            </w:r>
            <w:r>
              <w:rPr>
                <w:rFonts w:hint="eastAsia" w:ascii="宋体" w:hAnsi="Times New Roman" w:eastAsia="宋体" w:cs="Times New Roman"/>
              </w:rPr>
              <w:t>公章，封袋正面要粘贴</w:t>
            </w:r>
            <w:r>
              <w:rPr>
                <w:rFonts w:hint="eastAsia" w:ascii="宋体" w:hAnsi="Times New Roman" w:eastAsia="宋体" w:cs="Times New Roman"/>
                <w:lang w:eastAsia="zh-CN"/>
              </w:rPr>
              <w:t>投标人</w:t>
            </w:r>
            <w:r>
              <w:rPr>
                <w:rFonts w:hint="eastAsia" w:ascii="宋体" w:hAnsi="Times New Roman" w:eastAsia="宋体" w:cs="Times New Roman"/>
              </w:rPr>
              <w:t>全称、项目名称、项目编号、包号等标识。</w:t>
            </w:r>
            <w:bookmarkEnd w:id="111"/>
            <w:bookmarkEnd w:id="11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590" w:type="dxa"/>
            <w:vAlign w:val="center"/>
          </w:tcPr>
          <w:p>
            <w:pPr>
              <w:bidi w:val="0"/>
              <w:jc w:val="center"/>
            </w:pPr>
            <w:bookmarkStart w:id="113" w:name="_Toc2594"/>
            <w:bookmarkStart w:id="114" w:name="_Toc10659"/>
            <w:r>
              <w:rPr>
                <w:rFonts w:hint="eastAsia"/>
              </w:rPr>
              <w:t>11</w:t>
            </w:r>
            <w:bookmarkEnd w:id="113"/>
            <w:bookmarkEnd w:id="114"/>
          </w:p>
        </w:tc>
        <w:tc>
          <w:tcPr>
            <w:tcW w:w="1324" w:type="dxa"/>
            <w:vAlign w:val="center"/>
          </w:tcPr>
          <w:p>
            <w:pPr>
              <w:bidi w:val="0"/>
              <w:jc w:val="center"/>
              <w:rPr>
                <w:rFonts w:hint="eastAsia" w:ascii="宋体" w:hAnsi="Times New Roman" w:eastAsia="宋体" w:cs="Times New Roman"/>
                <w:b/>
                <w:bCs/>
              </w:rPr>
            </w:pPr>
            <w:bookmarkStart w:id="115" w:name="_Toc16024"/>
            <w:bookmarkStart w:id="116" w:name="_Toc29775"/>
            <w:r>
              <w:rPr>
                <w:rFonts w:hint="eastAsia" w:ascii="宋体" w:hAnsi="Times New Roman" w:eastAsia="宋体" w:cs="Times New Roman"/>
                <w:b/>
                <w:bCs/>
              </w:rPr>
              <w:t>18.1</w:t>
            </w:r>
            <w:bookmarkEnd w:id="115"/>
            <w:bookmarkEnd w:id="116"/>
          </w:p>
        </w:tc>
        <w:tc>
          <w:tcPr>
            <w:tcW w:w="649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lang w:val="en-US" w:eastAsia="zh-CN"/>
              </w:rPr>
            </w:pPr>
            <w:bookmarkStart w:id="117" w:name="_Toc12721"/>
            <w:bookmarkStart w:id="118" w:name="_Toc1924"/>
            <w:r>
              <w:rPr>
                <w:rFonts w:hint="eastAsia" w:ascii="宋体" w:hAnsi="Times New Roman" w:eastAsia="宋体" w:cs="Times New Roman"/>
              </w:rPr>
              <w:t>投标文件递交截止时间</w:t>
            </w:r>
            <w:bookmarkStart w:id="119" w:name="OLE_LINK12"/>
            <w:r>
              <w:rPr>
                <w:rFonts w:hint="eastAsia" w:ascii="宋体" w:hAnsi="Times New Roman" w:eastAsia="宋体" w:cs="Times New Roman"/>
              </w:rPr>
              <w:t>：</w:t>
            </w:r>
            <w:bookmarkEnd w:id="119"/>
            <w:r>
              <w:rPr>
                <w:rFonts w:hint="eastAsia" w:ascii="宋体" w:hAnsi="宋体" w:eastAsia="宋体" w:cs="宋体"/>
                <w:i w:val="0"/>
                <w:iCs w:val="0"/>
                <w:caps w:val="0"/>
                <w:color w:val="auto"/>
                <w:spacing w:val="0"/>
                <w:sz w:val="24"/>
                <w:szCs w:val="24"/>
                <w:shd w:val="clear" w:fill="FFFFFF"/>
                <w:lang w:eastAsia="zh-CN"/>
              </w:rPr>
              <w:t>2022年11月</w:t>
            </w:r>
            <w:r>
              <w:rPr>
                <w:rFonts w:hint="eastAsia" w:hAnsi="宋体" w:cs="宋体"/>
                <w:i w:val="0"/>
                <w:iCs w:val="0"/>
                <w:caps w:val="0"/>
                <w:color w:val="auto"/>
                <w:spacing w:val="0"/>
                <w:sz w:val="24"/>
                <w:szCs w:val="24"/>
                <w:shd w:val="clear" w:fill="FFFFFF"/>
                <w:lang w:eastAsia="zh-CN"/>
              </w:rPr>
              <w:t>1</w:t>
            </w:r>
            <w:r>
              <w:rPr>
                <w:rFonts w:hint="eastAsia" w:hAnsi="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lang w:eastAsia="zh-CN"/>
              </w:rPr>
              <w:t>日 14时30分</w:t>
            </w:r>
            <w:r>
              <w:rPr>
                <w:rFonts w:hint="eastAsia" w:ascii="宋体" w:hAnsi="Times New Roman" w:eastAsia="宋体" w:cs="Times New Roman"/>
                <w:lang w:val="en-US" w:eastAsia="zh-CN"/>
              </w:rPr>
              <w:t>（北京时间)。</w:t>
            </w:r>
            <w:bookmarkEnd w:id="117"/>
            <w:bookmarkEnd w:id="11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lang w:val="en-US" w:eastAsia="zh-CN"/>
              </w:rPr>
            </w:pPr>
            <w:bookmarkStart w:id="120" w:name="_Toc15207"/>
            <w:bookmarkStart w:id="121" w:name="_Toc14889"/>
            <w:r>
              <w:rPr>
                <w:rFonts w:hint="eastAsia" w:ascii="宋体" w:hAnsi="Times New Roman" w:eastAsia="宋体" w:cs="Times New Roman"/>
                <w:lang w:val="en-US" w:eastAsia="zh-CN"/>
              </w:rPr>
              <w:t>投标文件递交地址：详见招标公告。</w:t>
            </w:r>
            <w:bookmarkEnd w:id="120"/>
            <w:bookmarkEnd w:id="12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122" w:name="_Toc19355"/>
            <w:bookmarkStart w:id="123" w:name="_Toc30707"/>
            <w:r>
              <w:rPr>
                <w:rFonts w:hint="eastAsia" w:ascii="宋体" w:hAnsi="Times New Roman" w:eastAsia="宋体" w:cs="Times New Roman"/>
              </w:rPr>
              <w:t>投标文件接收人：陕西至诚招标咨询有限公司。</w:t>
            </w:r>
            <w:bookmarkEnd w:id="122"/>
            <w:bookmarkEnd w:id="12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590" w:type="dxa"/>
            <w:vAlign w:val="center"/>
          </w:tcPr>
          <w:p>
            <w:pPr>
              <w:bidi w:val="0"/>
              <w:jc w:val="center"/>
            </w:pPr>
            <w:bookmarkStart w:id="124" w:name="_Toc27959"/>
            <w:bookmarkStart w:id="125" w:name="_Toc4249"/>
            <w:r>
              <w:rPr>
                <w:rFonts w:hint="eastAsia"/>
              </w:rPr>
              <w:t>12</w:t>
            </w:r>
            <w:bookmarkEnd w:id="124"/>
            <w:bookmarkEnd w:id="125"/>
          </w:p>
        </w:tc>
        <w:tc>
          <w:tcPr>
            <w:tcW w:w="1324" w:type="dxa"/>
            <w:vAlign w:val="center"/>
          </w:tcPr>
          <w:p>
            <w:pPr>
              <w:bidi w:val="0"/>
              <w:jc w:val="center"/>
              <w:rPr>
                <w:rFonts w:hint="eastAsia" w:ascii="宋体" w:hAnsi="Times New Roman" w:eastAsia="宋体" w:cs="Times New Roman"/>
                <w:b/>
                <w:bCs/>
              </w:rPr>
            </w:pPr>
            <w:bookmarkStart w:id="126" w:name="_Toc9442"/>
            <w:bookmarkStart w:id="127" w:name="_Toc13650"/>
            <w:r>
              <w:rPr>
                <w:rFonts w:hint="eastAsia" w:ascii="宋体" w:hAnsi="Times New Roman" w:eastAsia="宋体" w:cs="Times New Roman"/>
                <w:b/>
                <w:bCs/>
              </w:rPr>
              <w:t>21.1</w:t>
            </w:r>
            <w:bookmarkEnd w:id="126"/>
            <w:bookmarkEnd w:id="127"/>
          </w:p>
        </w:tc>
        <w:tc>
          <w:tcPr>
            <w:tcW w:w="649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128" w:name="_Toc3323"/>
            <w:bookmarkStart w:id="129" w:name="_Toc12010"/>
            <w:r>
              <w:rPr>
                <w:rFonts w:hint="eastAsia" w:ascii="宋体" w:hAnsi="Times New Roman" w:eastAsia="宋体" w:cs="Times New Roman"/>
              </w:rPr>
              <w:t>开标时间：：</w:t>
            </w:r>
            <w:r>
              <w:rPr>
                <w:rFonts w:hint="eastAsia" w:ascii="宋体" w:hAnsi="宋体" w:eastAsia="宋体" w:cs="宋体"/>
                <w:i w:val="0"/>
                <w:iCs w:val="0"/>
                <w:caps w:val="0"/>
                <w:color w:val="auto"/>
                <w:spacing w:val="0"/>
                <w:sz w:val="24"/>
                <w:szCs w:val="24"/>
                <w:shd w:val="clear" w:fill="FFFFFF"/>
                <w:lang w:eastAsia="zh-CN"/>
              </w:rPr>
              <w:t>2022年11月</w:t>
            </w:r>
            <w:r>
              <w:rPr>
                <w:rFonts w:hint="eastAsia" w:hAnsi="宋体" w:cs="宋体"/>
                <w:i w:val="0"/>
                <w:iCs w:val="0"/>
                <w:caps w:val="0"/>
                <w:color w:val="auto"/>
                <w:spacing w:val="0"/>
                <w:sz w:val="24"/>
                <w:szCs w:val="24"/>
                <w:shd w:val="clear" w:fill="FFFFFF"/>
                <w:lang w:eastAsia="zh-CN"/>
              </w:rPr>
              <w:t>1</w:t>
            </w:r>
            <w:r>
              <w:rPr>
                <w:rFonts w:hint="eastAsia" w:hAnsi="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lang w:eastAsia="zh-CN"/>
              </w:rPr>
              <w:t>日 14时30分</w:t>
            </w:r>
            <w:r>
              <w:rPr>
                <w:rFonts w:hint="eastAsia" w:ascii="宋体" w:hAnsi="Times New Roman" w:eastAsia="宋体" w:cs="Times New Roman"/>
                <w:lang w:val="en-US" w:eastAsia="zh-CN"/>
              </w:rPr>
              <w:t>（北京时间)</w:t>
            </w:r>
            <w:r>
              <w:rPr>
                <w:rFonts w:hint="eastAsia" w:ascii="宋体" w:hAnsi="Times New Roman" w:eastAsia="宋体" w:cs="Times New Roman"/>
              </w:rPr>
              <w:t>。</w:t>
            </w:r>
            <w:bookmarkEnd w:id="128"/>
            <w:bookmarkEnd w:id="12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130" w:name="_Toc4527"/>
            <w:bookmarkStart w:id="131" w:name="_Toc22370"/>
            <w:r>
              <w:rPr>
                <w:rFonts w:hint="eastAsia" w:ascii="宋体" w:hAnsi="Times New Roman" w:eastAsia="宋体" w:cs="Times New Roman"/>
              </w:rPr>
              <w:t>开标地点：</w:t>
            </w:r>
            <w:r>
              <w:rPr>
                <w:rFonts w:hint="eastAsia" w:ascii="宋体" w:hAnsi="Times New Roman" w:eastAsia="宋体" w:cs="Times New Roman"/>
                <w:lang w:val="en-US" w:eastAsia="zh-CN"/>
              </w:rPr>
              <w:t>详见招标公告</w:t>
            </w:r>
            <w:r>
              <w:rPr>
                <w:rFonts w:hint="eastAsia" w:ascii="宋体" w:hAnsi="Times New Roman" w:eastAsia="宋体" w:cs="Times New Roman"/>
              </w:rPr>
              <w:t>。</w:t>
            </w:r>
            <w:bookmarkEnd w:id="130"/>
            <w:bookmarkEnd w:id="13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590" w:type="dxa"/>
            <w:vAlign w:val="center"/>
          </w:tcPr>
          <w:p>
            <w:pPr>
              <w:bidi w:val="0"/>
              <w:jc w:val="center"/>
            </w:pPr>
            <w:bookmarkStart w:id="132" w:name="_Toc2293"/>
            <w:bookmarkStart w:id="133" w:name="_Toc15675"/>
            <w:r>
              <w:rPr>
                <w:rFonts w:hint="eastAsia"/>
              </w:rPr>
              <w:t>13</w:t>
            </w:r>
            <w:bookmarkEnd w:id="132"/>
            <w:bookmarkEnd w:id="133"/>
          </w:p>
        </w:tc>
        <w:tc>
          <w:tcPr>
            <w:tcW w:w="1324" w:type="dxa"/>
            <w:vAlign w:val="center"/>
          </w:tcPr>
          <w:p>
            <w:pPr>
              <w:bidi w:val="0"/>
              <w:jc w:val="center"/>
              <w:rPr>
                <w:rFonts w:hint="eastAsia" w:ascii="宋体" w:hAnsi="Times New Roman" w:eastAsia="宋体" w:cs="Times New Roman"/>
                <w:b/>
                <w:bCs/>
              </w:rPr>
            </w:pPr>
            <w:bookmarkStart w:id="134" w:name="_Toc5409"/>
            <w:bookmarkStart w:id="135" w:name="_Toc22959"/>
            <w:r>
              <w:rPr>
                <w:rFonts w:hint="eastAsia" w:ascii="宋体" w:hAnsi="Times New Roman" w:eastAsia="宋体" w:cs="Times New Roman"/>
                <w:b/>
                <w:bCs/>
              </w:rPr>
              <w:t>24.1</w:t>
            </w:r>
            <w:bookmarkEnd w:id="134"/>
            <w:bookmarkEnd w:id="135"/>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136" w:name="_Toc15247"/>
            <w:bookmarkStart w:id="137" w:name="_Toc12241"/>
            <w:r>
              <w:rPr>
                <w:rFonts w:hint="eastAsia" w:ascii="宋体" w:hAnsi="Times New Roman" w:eastAsia="宋体" w:cs="Times New Roman"/>
              </w:rPr>
              <w:t>评标方法：综合评分法（详见第三章）。</w:t>
            </w:r>
            <w:bookmarkEnd w:id="136"/>
            <w:bookmarkEnd w:id="13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42" w:hRule="atLeast"/>
          <w:jc w:val="center"/>
        </w:trPr>
        <w:tc>
          <w:tcPr>
            <w:tcW w:w="590" w:type="dxa"/>
            <w:vAlign w:val="center"/>
          </w:tcPr>
          <w:p>
            <w:pPr>
              <w:bidi w:val="0"/>
              <w:jc w:val="center"/>
            </w:pPr>
            <w:bookmarkStart w:id="138" w:name="_Toc20647"/>
            <w:bookmarkStart w:id="139" w:name="_Toc7829"/>
            <w:r>
              <w:rPr>
                <w:rFonts w:hint="eastAsia"/>
              </w:rPr>
              <w:t>14</w:t>
            </w:r>
            <w:bookmarkEnd w:id="138"/>
            <w:bookmarkEnd w:id="139"/>
          </w:p>
        </w:tc>
        <w:tc>
          <w:tcPr>
            <w:tcW w:w="1324" w:type="dxa"/>
            <w:vAlign w:val="center"/>
          </w:tcPr>
          <w:p>
            <w:pPr>
              <w:bidi w:val="0"/>
              <w:jc w:val="center"/>
              <w:rPr>
                <w:rFonts w:hint="eastAsia" w:ascii="宋体" w:hAnsi="Times New Roman" w:eastAsia="宋体" w:cs="Times New Roman"/>
                <w:b/>
                <w:bCs/>
              </w:rPr>
            </w:pPr>
            <w:bookmarkStart w:id="140" w:name="_Toc20449"/>
            <w:bookmarkStart w:id="141" w:name="_Toc4229"/>
            <w:r>
              <w:rPr>
                <w:rFonts w:hint="eastAsia" w:ascii="宋体" w:hAnsi="Times New Roman" w:eastAsia="宋体" w:cs="Times New Roman"/>
                <w:b/>
                <w:bCs/>
              </w:rPr>
              <w:t>29</w:t>
            </w:r>
            <w:bookmarkEnd w:id="140"/>
            <w:bookmarkEnd w:id="141"/>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142" w:name="_Toc2737"/>
            <w:bookmarkStart w:id="143" w:name="_Toc20441"/>
            <w:r>
              <w:rPr>
                <w:rFonts w:hint="eastAsia" w:ascii="宋体" w:hAnsi="Times New Roman" w:eastAsia="宋体" w:cs="Times New Roman"/>
              </w:rPr>
              <w:t>招标代理服务费：</w:t>
            </w:r>
            <w:bookmarkEnd w:id="142"/>
            <w:bookmarkEnd w:id="143"/>
            <w:r>
              <w:rPr>
                <w:rFonts w:hint="eastAsia" w:ascii="宋体" w:hAnsi="Times New Roman" w:eastAsia="宋体" w:cs="Times New Roma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bookmarkStart w:id="144" w:name="_Toc22458"/>
            <w:bookmarkStart w:id="145" w:name="_Toc24545"/>
            <w:r>
              <w:rPr>
                <w:rFonts w:hint="eastAsia" w:ascii="宋体" w:hAnsi="Times New Roman" w:eastAsia="宋体" w:cs="Times New Roman"/>
              </w:rPr>
              <w:t>29.1招标代理费：以中标金额为基数，参照国家计委颁发的《招标代理服务收费管理暂行办法》（计价格[2002]1980号）和国家发展改革委员会办公厅颁发的《关于招标代理服务收费有关问题的通知》（发改办价格[2003]857号）的有关规定执行，不足5000元按5000元计取。</w:t>
            </w:r>
            <w:bookmarkEnd w:id="144"/>
            <w:bookmarkEnd w:id="14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bookmarkStart w:id="146" w:name="_Toc23922"/>
            <w:bookmarkStart w:id="147" w:name="_Toc17252"/>
            <w:r>
              <w:rPr>
                <w:rFonts w:hint="eastAsia" w:ascii="宋体" w:hAnsi="Times New Roman" w:eastAsia="宋体" w:cs="Times New Roman"/>
              </w:rPr>
              <w:t>29.2中标单位在领取中标通知书前，须向采购代理机构一次性支付招标代理服务费。</w:t>
            </w:r>
            <w:bookmarkEnd w:id="146"/>
            <w:bookmarkEnd w:id="14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90" w:type="dxa"/>
            <w:vAlign w:val="center"/>
          </w:tcPr>
          <w:p>
            <w:pPr>
              <w:bidi w:val="0"/>
              <w:jc w:val="center"/>
            </w:pPr>
            <w:bookmarkStart w:id="148" w:name="_Toc21682"/>
            <w:bookmarkStart w:id="149" w:name="_Toc26246"/>
            <w:r>
              <w:rPr>
                <w:rFonts w:hint="eastAsia"/>
              </w:rPr>
              <w:t>15</w:t>
            </w:r>
            <w:bookmarkEnd w:id="148"/>
            <w:bookmarkEnd w:id="149"/>
          </w:p>
        </w:tc>
        <w:tc>
          <w:tcPr>
            <w:tcW w:w="1324" w:type="dxa"/>
            <w:vAlign w:val="center"/>
          </w:tcPr>
          <w:p>
            <w:pPr>
              <w:bidi w:val="0"/>
              <w:jc w:val="center"/>
              <w:rPr>
                <w:rFonts w:hint="eastAsia" w:ascii="宋体" w:hAnsi="Times New Roman" w:eastAsia="宋体" w:cs="Times New Roman"/>
                <w:b/>
                <w:bCs/>
              </w:rPr>
            </w:pPr>
            <w:bookmarkStart w:id="150" w:name="_Toc29769"/>
            <w:bookmarkStart w:id="151" w:name="_Toc28523"/>
            <w:r>
              <w:rPr>
                <w:rFonts w:hint="eastAsia" w:ascii="宋体" w:hAnsi="Times New Roman" w:eastAsia="宋体" w:cs="Times New Roman"/>
                <w:b/>
                <w:bCs/>
              </w:rPr>
              <w:t>银行</w:t>
            </w:r>
            <w:bookmarkEnd w:id="150"/>
            <w:bookmarkEnd w:id="151"/>
          </w:p>
          <w:p>
            <w:pPr>
              <w:bidi w:val="0"/>
              <w:jc w:val="center"/>
              <w:rPr>
                <w:rFonts w:hint="eastAsia" w:ascii="宋体" w:hAnsi="Times New Roman" w:eastAsia="宋体" w:cs="Times New Roman"/>
                <w:b/>
                <w:bCs/>
              </w:rPr>
            </w:pPr>
            <w:bookmarkStart w:id="152" w:name="_Toc17906"/>
            <w:bookmarkStart w:id="153" w:name="_Toc20425"/>
            <w:r>
              <w:rPr>
                <w:rFonts w:hint="eastAsia" w:ascii="宋体" w:hAnsi="Times New Roman" w:eastAsia="宋体" w:cs="Times New Roman"/>
                <w:b/>
                <w:bCs/>
              </w:rPr>
              <w:t>账户</w:t>
            </w:r>
            <w:bookmarkEnd w:id="152"/>
            <w:bookmarkEnd w:id="153"/>
          </w:p>
          <w:p>
            <w:pPr>
              <w:bidi w:val="0"/>
              <w:jc w:val="center"/>
              <w:rPr>
                <w:rFonts w:hint="eastAsia" w:ascii="宋体" w:hAnsi="Times New Roman" w:eastAsia="宋体" w:cs="Times New Roman"/>
                <w:b/>
                <w:bCs/>
              </w:rPr>
            </w:pPr>
            <w:bookmarkStart w:id="154" w:name="_Toc15959"/>
            <w:bookmarkStart w:id="155" w:name="_Toc1977"/>
            <w:r>
              <w:rPr>
                <w:rFonts w:hint="eastAsia" w:ascii="宋体" w:hAnsi="Times New Roman" w:eastAsia="宋体" w:cs="Times New Roman"/>
                <w:b/>
                <w:bCs/>
              </w:rPr>
              <w:t>信息</w:t>
            </w:r>
            <w:bookmarkEnd w:id="154"/>
            <w:bookmarkEnd w:id="155"/>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156" w:name="_Toc20727"/>
            <w:bookmarkStart w:id="157" w:name="_Toc16062"/>
            <w:r>
              <w:rPr>
                <w:rFonts w:hint="eastAsia" w:ascii="宋体" w:hAnsi="Times New Roman" w:eastAsia="宋体" w:cs="Times New Roman"/>
              </w:rPr>
              <w:t>代理服务费账户：</w:t>
            </w:r>
            <w:bookmarkEnd w:id="156"/>
            <w:bookmarkEnd w:id="1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bookmarkStart w:id="158" w:name="_Toc6618"/>
            <w:bookmarkStart w:id="159" w:name="_Toc23932"/>
            <w:r>
              <w:rPr>
                <w:rFonts w:hint="eastAsia" w:ascii="宋体" w:hAnsi="Times New Roman" w:eastAsia="宋体" w:cs="Times New Roman"/>
              </w:rPr>
              <w:t>采购代理机构开户名称: 陕西至诚招标咨询有限公司</w:t>
            </w:r>
            <w:bookmarkEnd w:id="158"/>
            <w:bookmarkEnd w:id="15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bookmarkStart w:id="160" w:name="_Toc8283"/>
            <w:bookmarkStart w:id="161" w:name="_Toc9044"/>
            <w:r>
              <w:rPr>
                <w:rFonts w:hint="eastAsia" w:ascii="宋体" w:hAnsi="Times New Roman" w:eastAsia="宋体" w:cs="Times New Roman"/>
              </w:rPr>
              <w:t>开户行名称：中国建设银行股份有限公司西安高新技术产业开发区支行</w:t>
            </w:r>
            <w:bookmarkEnd w:id="160"/>
            <w:bookmarkEnd w:id="16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bookmarkStart w:id="162" w:name="_Toc32524"/>
            <w:bookmarkStart w:id="163" w:name="_Toc11849"/>
            <w:r>
              <w:rPr>
                <w:rFonts w:hint="eastAsia" w:ascii="宋体" w:hAnsi="Times New Roman" w:eastAsia="宋体" w:cs="Times New Roman"/>
              </w:rPr>
              <w:t>账号：61050192090000002152。</w:t>
            </w:r>
            <w:bookmarkEnd w:id="162"/>
            <w:bookmarkEnd w:id="16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bookmarkStart w:id="164" w:name="_Toc2895"/>
            <w:bookmarkStart w:id="165" w:name="_Toc28642"/>
            <w:r>
              <w:rPr>
                <w:rFonts w:hint="eastAsia" w:ascii="宋体" w:hAnsi="Times New Roman" w:eastAsia="宋体" w:cs="Times New Roman"/>
              </w:rPr>
              <w:t>请</w:t>
            </w:r>
            <w:r>
              <w:rPr>
                <w:rFonts w:hint="eastAsia" w:ascii="宋体" w:hAnsi="Times New Roman" w:eastAsia="宋体" w:cs="Times New Roman"/>
                <w:lang w:eastAsia="zh-CN"/>
              </w:rPr>
              <w:t>中标人</w:t>
            </w:r>
            <w:r>
              <w:rPr>
                <w:rFonts w:hint="eastAsia" w:ascii="宋体" w:hAnsi="Times New Roman" w:eastAsia="宋体" w:cs="Times New Roman"/>
              </w:rPr>
              <w:t>按照要求将服务费汇入以上指定账户，如因自身原因发生错误，产生的不利后果均由</w:t>
            </w:r>
            <w:r>
              <w:rPr>
                <w:rFonts w:hint="eastAsia" w:ascii="宋体" w:hAnsi="Times New Roman" w:eastAsia="宋体" w:cs="Times New Roman"/>
                <w:lang w:eastAsia="zh-CN"/>
              </w:rPr>
              <w:t>投标人</w:t>
            </w:r>
            <w:r>
              <w:rPr>
                <w:rFonts w:hint="eastAsia" w:ascii="宋体" w:hAnsi="Times New Roman" w:eastAsia="宋体" w:cs="Times New Roman"/>
              </w:rPr>
              <w:t>自行承担。</w:t>
            </w:r>
            <w:bookmarkEnd w:id="164"/>
            <w:bookmarkEnd w:id="165"/>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590" w:type="dxa"/>
            <w:vAlign w:val="center"/>
          </w:tcPr>
          <w:p>
            <w:pPr>
              <w:bidi w:val="0"/>
              <w:jc w:val="center"/>
            </w:pPr>
            <w:bookmarkStart w:id="166" w:name="_Toc23516"/>
            <w:bookmarkStart w:id="167" w:name="_Toc12464"/>
            <w:r>
              <w:rPr>
                <w:rFonts w:hint="eastAsia"/>
              </w:rPr>
              <w:t>16</w:t>
            </w:r>
            <w:bookmarkEnd w:id="166"/>
            <w:bookmarkEnd w:id="167"/>
          </w:p>
        </w:tc>
        <w:tc>
          <w:tcPr>
            <w:tcW w:w="1324" w:type="dxa"/>
            <w:vAlign w:val="center"/>
          </w:tcPr>
          <w:p>
            <w:pPr>
              <w:bidi w:val="0"/>
              <w:jc w:val="center"/>
              <w:rPr>
                <w:rFonts w:hint="eastAsia" w:ascii="宋体" w:hAnsi="Times New Roman" w:eastAsia="宋体" w:cs="Times New Roman"/>
                <w:b/>
                <w:bCs/>
              </w:rPr>
            </w:pPr>
            <w:bookmarkStart w:id="168" w:name="_Toc22654"/>
            <w:bookmarkStart w:id="169" w:name="_Toc15627"/>
            <w:r>
              <w:rPr>
                <w:rFonts w:hint="eastAsia" w:ascii="宋体" w:hAnsi="Times New Roman" w:eastAsia="宋体" w:cs="Times New Roman"/>
                <w:b/>
                <w:bCs/>
              </w:rPr>
              <w:t>一致性</w:t>
            </w:r>
            <w:bookmarkEnd w:id="168"/>
            <w:bookmarkEnd w:id="169"/>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170" w:name="_Toc30198"/>
            <w:bookmarkStart w:id="171" w:name="_Toc17374"/>
            <w:r>
              <w:rPr>
                <w:rFonts w:hint="eastAsia" w:ascii="宋体" w:hAnsi="Times New Roman" w:eastAsia="宋体" w:cs="Times New Roman"/>
                <w:lang w:eastAsia="zh-CN"/>
              </w:rPr>
              <w:t>投标人</w:t>
            </w:r>
            <w:r>
              <w:rPr>
                <w:rFonts w:hint="eastAsia" w:ascii="宋体" w:hAnsi="Times New Roman" w:eastAsia="宋体" w:cs="Times New Roman"/>
              </w:rPr>
              <w:t>须知前附表和须知不一致的地方，以前附表为准。</w:t>
            </w:r>
            <w:bookmarkEnd w:id="170"/>
            <w:bookmarkEnd w:id="17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590" w:type="dxa"/>
            <w:vAlign w:val="center"/>
          </w:tcPr>
          <w:p>
            <w:pPr>
              <w:bidi w:val="0"/>
              <w:jc w:val="center"/>
              <w:rPr>
                <w:rFonts w:hint="eastAsia"/>
                <w:lang w:val="en-US" w:eastAsia="zh-CN"/>
              </w:rPr>
            </w:pPr>
            <w:bookmarkStart w:id="172" w:name="_Toc2265"/>
            <w:bookmarkStart w:id="173" w:name="_Toc9011"/>
            <w:r>
              <w:rPr>
                <w:rFonts w:hint="eastAsia"/>
              </w:rPr>
              <w:t>17</w:t>
            </w:r>
            <w:bookmarkEnd w:id="172"/>
            <w:bookmarkEnd w:id="173"/>
          </w:p>
        </w:tc>
        <w:tc>
          <w:tcPr>
            <w:tcW w:w="1324" w:type="dxa"/>
            <w:vAlign w:val="center"/>
          </w:tcPr>
          <w:p>
            <w:pPr>
              <w:bidi w:val="0"/>
              <w:jc w:val="center"/>
              <w:rPr>
                <w:rFonts w:hint="eastAsia" w:ascii="宋体" w:hAnsi="Times New Roman" w:eastAsia="宋体" w:cs="Times New Roman"/>
                <w:b/>
                <w:bCs/>
                <w:highlight w:val="none"/>
                <w:lang w:eastAsia="zh-CN"/>
              </w:rPr>
            </w:pPr>
            <w:bookmarkStart w:id="174" w:name="_Toc4340"/>
            <w:bookmarkStart w:id="175" w:name="_Toc20607"/>
            <w:r>
              <w:rPr>
                <w:rFonts w:hint="eastAsia" w:ascii="宋体" w:hAnsi="Times New Roman" w:eastAsia="宋体" w:cs="Times New Roman"/>
                <w:b/>
                <w:bCs/>
                <w:highlight w:val="none"/>
                <w:lang w:eastAsia="zh-CN"/>
              </w:rPr>
              <w:t>核心产品</w:t>
            </w:r>
            <w:bookmarkEnd w:id="174"/>
            <w:bookmarkEnd w:id="175"/>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highlight w:val="none"/>
                <w:lang w:eastAsia="zh-CN"/>
              </w:rPr>
            </w:pPr>
            <w:bookmarkStart w:id="176" w:name="_Toc29198"/>
            <w:bookmarkStart w:id="177" w:name="_Toc12001"/>
            <w:r>
              <w:rPr>
                <w:rFonts w:hint="eastAsia" w:ascii="宋体" w:hAnsi="Times New Roman" w:eastAsia="宋体" w:cs="Times New Roman"/>
                <w:highlight w:val="none"/>
              </w:rPr>
              <w:t>超融合服务器</w:t>
            </w:r>
            <w:bookmarkEnd w:id="176"/>
            <w:bookmarkEnd w:id="17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8" w:hRule="atLeast"/>
          <w:jc w:val="center"/>
        </w:trPr>
        <w:tc>
          <w:tcPr>
            <w:tcW w:w="590" w:type="dxa"/>
            <w:vAlign w:val="center"/>
          </w:tcPr>
          <w:p>
            <w:pPr>
              <w:bidi w:val="0"/>
              <w:jc w:val="center"/>
              <w:rPr>
                <w:rFonts w:hint="default"/>
                <w:lang w:val="en-US" w:eastAsia="zh-CN"/>
              </w:rPr>
            </w:pPr>
            <w:r>
              <w:rPr>
                <w:rFonts w:hint="eastAsia"/>
                <w:lang w:val="en-US" w:eastAsia="zh-CN"/>
              </w:rPr>
              <w:t>18</w:t>
            </w:r>
          </w:p>
        </w:tc>
        <w:tc>
          <w:tcPr>
            <w:tcW w:w="1324" w:type="dxa"/>
            <w:vAlign w:val="center"/>
          </w:tcPr>
          <w:p>
            <w:pPr>
              <w:bidi w:val="0"/>
              <w:jc w:val="center"/>
              <w:rPr>
                <w:rFonts w:hint="eastAsia" w:ascii="宋体" w:hAnsi="Times New Roman" w:eastAsia="宋体" w:cs="Times New Roman"/>
                <w:b/>
                <w:bCs/>
              </w:rPr>
            </w:pPr>
            <w:r>
              <w:rPr>
                <w:rFonts w:hint="eastAsia" w:ascii="宋体" w:hAnsi="Times New Roman" w:eastAsia="宋体" w:cs="Times New Roman"/>
                <w:b/>
                <w:bCs/>
              </w:rPr>
              <w:t>履约</w:t>
            </w:r>
          </w:p>
          <w:p>
            <w:pPr>
              <w:bidi w:val="0"/>
              <w:jc w:val="center"/>
              <w:rPr>
                <w:rFonts w:hint="eastAsia" w:ascii="宋体" w:hAnsi="Times New Roman" w:eastAsia="宋体" w:cs="Times New Roman"/>
                <w:b/>
                <w:bCs/>
                <w:lang w:val="en-US" w:eastAsia="zh-CN"/>
              </w:rPr>
            </w:pPr>
            <w:r>
              <w:rPr>
                <w:rFonts w:hint="eastAsia" w:ascii="宋体" w:hAnsi="Times New Roman" w:eastAsia="宋体" w:cs="Times New Roman"/>
                <w:b/>
                <w:bCs/>
              </w:rPr>
              <w:t>担保</w:t>
            </w:r>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r>
              <w:rPr>
                <w:rFonts w:hint="eastAsia" w:ascii="宋体" w:hAnsi="Times New Roman" w:eastAsia="宋体" w:cs="Times New Roman"/>
              </w:rPr>
              <w:t>履约担保的形式：/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lang w:val="en-US" w:eastAsia="zh-CN"/>
              </w:rPr>
            </w:pPr>
            <w:r>
              <w:rPr>
                <w:rFonts w:hint="eastAsia" w:ascii="宋体" w:hAnsi="Times New Roman" w:eastAsia="宋体" w:cs="Times New Roman"/>
              </w:rPr>
              <w:t>履约担保的金额：/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0" w:hRule="atLeast"/>
          <w:jc w:val="center"/>
        </w:trPr>
        <w:tc>
          <w:tcPr>
            <w:tcW w:w="590" w:type="dxa"/>
            <w:vAlign w:val="center"/>
          </w:tcPr>
          <w:p>
            <w:pPr>
              <w:bidi w:val="0"/>
              <w:jc w:val="center"/>
              <w:rPr>
                <w:rFonts w:hint="default"/>
                <w:lang w:val="en-US" w:eastAsia="zh-CN"/>
              </w:rPr>
            </w:pPr>
            <w:r>
              <w:rPr>
                <w:rFonts w:hint="eastAsia"/>
                <w:lang w:val="en-US" w:eastAsia="zh-CN"/>
              </w:rPr>
              <w:t>19</w:t>
            </w:r>
          </w:p>
        </w:tc>
        <w:tc>
          <w:tcPr>
            <w:tcW w:w="1324" w:type="dxa"/>
            <w:vAlign w:val="center"/>
          </w:tcPr>
          <w:p>
            <w:pPr>
              <w:bidi w:val="0"/>
              <w:jc w:val="center"/>
              <w:rPr>
                <w:rFonts w:hint="eastAsia" w:ascii="宋体" w:hAnsi="Times New Roman" w:eastAsia="宋体" w:cs="Times New Roman"/>
                <w:b/>
                <w:bCs/>
                <w:highlight w:val="none"/>
                <w:lang w:val="en-US" w:eastAsia="zh-CN"/>
              </w:rPr>
            </w:pPr>
            <w:r>
              <w:rPr>
                <w:rFonts w:hint="eastAsia" w:ascii="宋体" w:hAnsi="Times New Roman" w:eastAsia="宋体" w:cs="Times New Roman"/>
                <w:b/>
                <w:bCs/>
                <w:highlight w:val="none"/>
                <w:lang w:eastAsia="zh-CN"/>
              </w:rPr>
              <w:t>行业类别</w:t>
            </w:r>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行业：工业（制造业）。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类别：货物类。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0" w:hRule="atLeast"/>
          <w:jc w:val="center"/>
        </w:trPr>
        <w:tc>
          <w:tcPr>
            <w:tcW w:w="590" w:type="dxa"/>
            <w:vAlign w:val="center"/>
          </w:tcPr>
          <w:p>
            <w:pPr>
              <w:bidi w:val="0"/>
              <w:jc w:val="center"/>
              <w:rPr>
                <w:rFonts w:hint="default"/>
                <w:lang w:val="en-US" w:eastAsia="zh-CN"/>
              </w:rPr>
            </w:pPr>
            <w:r>
              <w:rPr>
                <w:rFonts w:hint="eastAsia"/>
                <w:lang w:val="en-US" w:eastAsia="zh-CN"/>
              </w:rPr>
              <w:t>20</w:t>
            </w:r>
          </w:p>
        </w:tc>
        <w:tc>
          <w:tcPr>
            <w:tcW w:w="1324" w:type="dxa"/>
            <w:vAlign w:val="center"/>
          </w:tcPr>
          <w:p>
            <w:pPr>
              <w:bidi w:val="0"/>
              <w:jc w:val="center"/>
              <w:rPr>
                <w:rFonts w:hint="eastAsia" w:ascii="宋体" w:hAnsi="Times New Roman" w:eastAsia="宋体" w:cs="Times New Roman"/>
                <w:b/>
                <w:bCs/>
                <w:lang w:val="en-US" w:eastAsia="zh-CN"/>
              </w:rPr>
            </w:pPr>
            <w:r>
              <w:rPr>
                <w:rFonts w:hint="eastAsia" w:ascii="宋体" w:hAnsi="Times New Roman" w:eastAsia="宋体" w:cs="Times New Roman"/>
                <w:b/>
                <w:bCs/>
                <w:lang w:eastAsia="zh-CN"/>
              </w:rPr>
              <w:t>是否允许采购进口产品</w:t>
            </w:r>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lang w:val="en-US" w:eastAsia="zh-CN"/>
              </w:rPr>
            </w:pPr>
            <w:r>
              <w:rPr>
                <w:rFonts w:hint="eastAsia" w:ascii="宋体" w:hAnsi="Times New Roman" w:eastAsia="宋体" w:cs="Times New Roman"/>
              </w:rPr>
              <w:t>本项目不允许进口产品磋商。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0" w:hRule="atLeast"/>
          <w:jc w:val="center"/>
        </w:trPr>
        <w:tc>
          <w:tcPr>
            <w:tcW w:w="590" w:type="dxa"/>
            <w:vAlign w:val="center"/>
          </w:tcPr>
          <w:p>
            <w:pPr>
              <w:bidi w:val="0"/>
              <w:jc w:val="center"/>
              <w:rPr>
                <w:rFonts w:hint="default"/>
                <w:lang w:val="en-US" w:eastAsia="zh-CN"/>
              </w:rPr>
            </w:pPr>
            <w:r>
              <w:rPr>
                <w:rFonts w:hint="eastAsia"/>
                <w:lang w:val="en-US" w:eastAsia="zh-CN"/>
              </w:rPr>
              <w:t>21</w:t>
            </w:r>
          </w:p>
        </w:tc>
        <w:tc>
          <w:tcPr>
            <w:tcW w:w="1324" w:type="dxa"/>
            <w:vAlign w:val="center"/>
          </w:tcPr>
          <w:p>
            <w:pPr>
              <w:bidi w:val="0"/>
              <w:jc w:val="center"/>
              <w:rPr>
                <w:rFonts w:hint="eastAsia" w:ascii="宋体" w:hAnsi="Times New Roman" w:eastAsia="宋体" w:cs="Times New Roman"/>
                <w:b/>
                <w:bCs/>
              </w:rPr>
            </w:pPr>
            <w:bookmarkStart w:id="178" w:name="_Toc20063"/>
            <w:bookmarkStart w:id="179" w:name="_Toc20017"/>
            <w:r>
              <w:rPr>
                <w:rFonts w:hint="eastAsia" w:ascii="宋体" w:hAnsi="Times New Roman" w:eastAsia="宋体" w:cs="Times New Roman"/>
                <w:b/>
                <w:bCs/>
              </w:rPr>
              <w:t>备注</w:t>
            </w:r>
            <w:bookmarkEnd w:id="178"/>
            <w:bookmarkEnd w:id="179"/>
          </w:p>
        </w:tc>
        <w:tc>
          <w:tcPr>
            <w:tcW w:w="649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rPr>
            </w:pPr>
            <w:bookmarkStart w:id="180" w:name="_Toc17309"/>
            <w:bookmarkStart w:id="181" w:name="_Toc15016"/>
            <w:r>
              <w:rPr>
                <w:rFonts w:hint="eastAsia" w:ascii="宋体" w:hAnsi="Times New Roman" w:eastAsia="宋体" w:cs="Times New Roman"/>
                <w:lang w:eastAsia="zh-CN"/>
              </w:rPr>
              <w:t>投标人</w:t>
            </w:r>
            <w:r>
              <w:rPr>
                <w:rFonts w:hint="eastAsia" w:ascii="宋体" w:hAnsi="Times New Roman" w:eastAsia="宋体" w:cs="Times New Roman"/>
              </w:rPr>
              <w:t>注册登记提醒：</w:t>
            </w:r>
            <w:bookmarkEnd w:id="180"/>
            <w:bookmarkEnd w:id="18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bookmarkStart w:id="182" w:name="_Toc11549"/>
            <w:bookmarkStart w:id="183" w:name="_Toc962"/>
            <w:r>
              <w:rPr>
                <w:rFonts w:hint="eastAsia" w:ascii="宋体" w:hAnsi="Times New Roman" w:eastAsia="宋体" w:cs="Times New Roman"/>
              </w:rPr>
              <w:t>根据陕西省财政厅关于政府采购</w:t>
            </w:r>
            <w:r>
              <w:rPr>
                <w:rFonts w:hint="eastAsia" w:ascii="宋体" w:hAnsi="Times New Roman" w:eastAsia="宋体" w:cs="Times New Roman"/>
                <w:lang w:eastAsia="zh-CN"/>
              </w:rPr>
              <w:t>投标人</w:t>
            </w:r>
            <w:r>
              <w:rPr>
                <w:rFonts w:hint="eastAsia" w:ascii="宋体" w:hAnsi="Times New Roman" w:eastAsia="宋体" w:cs="Times New Roman"/>
              </w:rPr>
              <w:t>注册登记有关事项的通知，如所投本项目的</w:t>
            </w:r>
            <w:r>
              <w:rPr>
                <w:rFonts w:hint="eastAsia" w:ascii="宋体" w:hAnsi="Times New Roman" w:eastAsia="宋体" w:cs="Times New Roman"/>
                <w:lang w:eastAsia="zh-CN"/>
              </w:rPr>
              <w:t>投标人</w:t>
            </w:r>
            <w:r>
              <w:rPr>
                <w:rFonts w:hint="eastAsia" w:ascii="宋体" w:hAnsi="Times New Roman" w:eastAsia="宋体" w:cs="Times New Roman"/>
              </w:rPr>
              <w:t>未在陕西省政府采购网</w:t>
            </w:r>
            <w:r>
              <w:rPr>
                <w:rFonts w:hint="eastAsia" w:ascii="宋体" w:hAnsi="Times New Roman" w:eastAsia="宋体" w:cs="Times New Roman"/>
              </w:rPr>
              <w:fldChar w:fldCharType="begin"/>
            </w:r>
            <w:r>
              <w:rPr>
                <w:rFonts w:hint="eastAsia" w:ascii="宋体" w:hAnsi="Times New Roman" w:eastAsia="宋体" w:cs="Times New Roman"/>
              </w:rPr>
              <w:instrText xml:space="preserve"> HYPERLINK "http://www.ccgpshaanxi.gov.cn/information/informationDetail.do?informationguid=8a85be3567ed23460167ed36804d0009" </w:instrText>
            </w:r>
            <w:r>
              <w:rPr>
                <w:rFonts w:hint="eastAsia" w:ascii="宋体" w:hAnsi="Times New Roman" w:eastAsia="宋体" w:cs="Times New Roman"/>
              </w:rPr>
              <w:fldChar w:fldCharType="separate"/>
            </w:r>
            <w:r>
              <w:rPr>
                <w:rFonts w:hint="default" w:ascii="宋体" w:hAnsi="Times New Roman" w:eastAsia="宋体" w:cs="Times New Roman"/>
              </w:rPr>
              <w:t>http://www.ccgpshaanxi.gov.cn/information/informationDetail.do?informationguid=8a85be3567ed23460167ed36804d0009</w:t>
            </w:r>
            <w:r>
              <w:rPr>
                <w:rFonts w:hint="default" w:ascii="宋体" w:hAnsi="Times New Roman" w:eastAsia="宋体" w:cs="Times New Roman"/>
              </w:rPr>
              <w:fldChar w:fldCharType="end"/>
            </w:r>
            <w:r>
              <w:rPr>
                <w:rFonts w:hint="eastAsia" w:ascii="宋体" w:hAnsi="Times New Roman" w:eastAsia="宋体" w:cs="Times New Roman"/>
              </w:rPr>
              <w:t>）注册登记加入陕西省政府采购</w:t>
            </w:r>
            <w:r>
              <w:rPr>
                <w:rFonts w:hint="eastAsia" w:ascii="宋体" w:hAnsi="Times New Roman" w:eastAsia="宋体" w:cs="Times New Roman"/>
                <w:lang w:eastAsia="zh-CN"/>
              </w:rPr>
              <w:t>投标人</w:t>
            </w:r>
            <w:r>
              <w:rPr>
                <w:rFonts w:hint="eastAsia" w:ascii="宋体" w:hAnsi="Times New Roman" w:eastAsia="宋体" w:cs="Times New Roman"/>
              </w:rPr>
              <w:t>库的，应按要求及时办理注册登记，并接受财政部门监督管理。</w:t>
            </w:r>
            <w:bookmarkEnd w:id="182"/>
            <w:bookmarkEnd w:id="183"/>
          </w:p>
        </w:tc>
      </w:tr>
    </w:tbl>
    <w:p>
      <w:pPr>
        <w:bidi w:val="0"/>
        <w:jc w:val="center"/>
        <w:rPr>
          <w:rFonts w:hAnsi="宋体" w:cs="宋体"/>
          <w:color w:val="auto"/>
          <w:sz w:val="32"/>
          <w:szCs w:val="32"/>
          <w:highlight w:val="none"/>
        </w:rPr>
      </w:pPr>
      <w:r>
        <w:rPr>
          <w:rFonts w:hint="eastAsia" w:hAnsi="宋体" w:cs="宋体"/>
          <w:color w:val="auto"/>
          <w:highlight w:val="none"/>
        </w:rPr>
        <w:br w:type="page"/>
      </w:r>
      <w:bookmarkEnd w:id="13"/>
      <w:bookmarkEnd w:id="14"/>
      <w:bookmarkEnd w:id="15"/>
      <w:bookmarkStart w:id="184" w:name="_Toc27296"/>
      <w:bookmarkStart w:id="185" w:name="_Toc363473972"/>
      <w:bookmarkStart w:id="186" w:name="_Toc363474017"/>
      <w:bookmarkStart w:id="187" w:name="_Toc403077639"/>
      <w:r>
        <w:rPr>
          <w:rFonts w:hint="eastAsia" w:hAnsi="宋体" w:cs="宋体"/>
          <w:b/>
          <w:color w:val="auto"/>
          <w:sz w:val="32"/>
          <w:szCs w:val="32"/>
          <w:highlight w:val="none"/>
        </w:rPr>
        <w:t>一.总  则</w:t>
      </w:r>
      <w:bookmarkEnd w:id="184"/>
      <w:bookmarkEnd w:id="185"/>
      <w:bookmarkEnd w:id="186"/>
      <w:bookmarkEnd w:id="18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1.资金来源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1.1本次招标采购所签合同使用</w:t>
      </w:r>
      <w:r>
        <w:rPr>
          <w:rFonts w:hint="eastAsia"/>
          <w:lang w:eastAsia="zh-CN"/>
        </w:rPr>
        <w:t>自筹资金</w:t>
      </w:r>
      <w:r>
        <w:rPr>
          <w:rFonts w:hint="eastAsia"/>
        </w:rPr>
        <w:t>支付，资金已落实到位。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名词解释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rPr>
        <w:t>2.1采购人：</w:t>
      </w:r>
      <w:r>
        <w:rPr>
          <w:rFonts w:hint="eastAsia"/>
          <w:lang w:eastAsia="zh-CN"/>
        </w:rPr>
        <w:t>汉中市人民医院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2.2监督机构：同级人民政府财政部门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2.3采购代理机构：陕西至诚招标咨询有限公司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2.4</w:t>
      </w:r>
      <w:r>
        <w:rPr>
          <w:rFonts w:hint="eastAsia"/>
          <w:lang w:eastAsia="zh-CN"/>
        </w:rPr>
        <w:t>投标人</w:t>
      </w:r>
      <w:r>
        <w:rPr>
          <w:rFonts w:hint="eastAsia"/>
        </w:rPr>
        <w:t>：是指响应和符合招标文件规定资格条件且参与投标竞争的法人、其他组织或者自然人。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2.5产品是指本招标文件中第五章所述所有产品。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2.6服务是指</w:t>
      </w:r>
      <w:r>
        <w:rPr>
          <w:rFonts w:hint="eastAsia"/>
          <w:lang w:eastAsia="zh-CN"/>
        </w:rPr>
        <w:t>投标人</w:t>
      </w:r>
      <w:r>
        <w:rPr>
          <w:rFonts w:hint="eastAsia"/>
        </w:rPr>
        <w:t>为满足招标文件要求而提供的服务。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2.7节能产品或者环保产品是指财政部发布的《节能产品政府采购清单》或《环境标志产品政府采购清单》的产品。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2.8进口产品是指通过中国海关报关验放进入中国境内且产自关境外的产品，详见《关于政府采购进口产品管理有关问题的通知》(财库[2007]119号)。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2.9中小企业是指符合《工业和信息化部、国家统计局、国家发展和改革委员会、财政部关于印发中小企业划型标准规定的通知》（工信部联企业[2011]300号）规定的对中小企业的划分标准的企业。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2.11残疾人福利性单位是指符合《三部门联合发布关于促进残疾人就业政府采购政策的通知》财库〔2017〕141号规定的对残疾人福利性单位划分标准的单位。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rPr>
        <w:t>3.合格的</w:t>
      </w:r>
      <w:r>
        <w:rPr>
          <w:rFonts w:hint="eastAsia"/>
          <w:lang w:eastAsia="zh-CN"/>
        </w:rPr>
        <w:t>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3.1《政府采购法》第二十二条第一款规定的</w:t>
      </w:r>
      <w:r>
        <w:rPr>
          <w:rFonts w:hint="eastAsia"/>
          <w:lang w:eastAsia="zh-CN"/>
        </w:rPr>
        <w:t>投标人</w:t>
      </w:r>
      <w:r>
        <w:rPr>
          <w:rFonts w:hint="eastAsia"/>
        </w:rPr>
        <w:t>基本资格条件: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3.2根据本次采购项目的特殊要求，规定的</w:t>
      </w:r>
      <w:r>
        <w:rPr>
          <w:rFonts w:hint="eastAsia"/>
          <w:lang w:eastAsia="zh-CN"/>
        </w:rPr>
        <w:t>投标人</w:t>
      </w:r>
      <w:r>
        <w:rPr>
          <w:rFonts w:hint="eastAsia"/>
        </w:rPr>
        <w:t>特殊条件（见</w:t>
      </w:r>
      <w:r>
        <w:rPr>
          <w:rFonts w:hint="eastAsia"/>
          <w:lang w:eastAsia="zh-CN"/>
        </w:rPr>
        <w:t>投标人</w:t>
      </w:r>
      <w:r>
        <w:rPr>
          <w:rFonts w:hint="eastAsia"/>
        </w:rPr>
        <w:t>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3.3单位负责人为同一人或者存在直接控股、管理关系的不同</w:t>
      </w:r>
      <w:r>
        <w:rPr>
          <w:rFonts w:hint="eastAsia"/>
          <w:lang w:eastAsia="zh-CN"/>
        </w:rPr>
        <w:t>投标人</w:t>
      </w:r>
      <w:r>
        <w:rPr>
          <w:rFonts w:hint="eastAsia"/>
        </w:rPr>
        <w:t>，不得参加同一合同项下的政府采购活动。除单一来源采购项目外，为采购项目提供整体设计、规范编制或者项目管理、监理、检测等服务的</w:t>
      </w:r>
      <w:r>
        <w:rPr>
          <w:rFonts w:hint="eastAsia"/>
          <w:lang w:eastAsia="zh-CN"/>
        </w:rPr>
        <w:t>投标人</w:t>
      </w:r>
      <w:r>
        <w:rPr>
          <w:rFonts w:hint="eastAsia"/>
        </w:rPr>
        <w:t>，不得再参加该采购项目的其他采购活动，否则均为无效投标。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3.4</w:t>
      </w:r>
      <w:r>
        <w:rPr>
          <w:rFonts w:hint="eastAsia"/>
          <w:lang w:eastAsia="zh-CN"/>
        </w:rPr>
        <w:t>投标人</w:t>
      </w:r>
      <w:r>
        <w:rPr>
          <w:rFonts w:hint="eastAsia"/>
        </w:rPr>
        <w:t>必须在陕西至诚招标咨询有限公司购买招标文件，方可参加投标。招标文件售后不退。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188" w:name="OLE_LINK33"/>
      <w:r>
        <w:rPr>
          <w:rFonts w:hint="eastAsia"/>
        </w:rPr>
        <w:t>3.</w:t>
      </w:r>
      <w:bookmarkEnd w:id="188"/>
      <w:r>
        <w:rPr>
          <w:rFonts w:hint="eastAsia"/>
        </w:rPr>
        <w:t>5联合体投标：本项目不接受联合体投标。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4.合格的货物及配套服务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4.1</w:t>
      </w:r>
      <w:r>
        <w:rPr>
          <w:rFonts w:hint="eastAsia"/>
          <w:lang w:eastAsia="zh-CN"/>
        </w:rPr>
        <w:t>投标人</w:t>
      </w:r>
      <w:r>
        <w:rPr>
          <w:rFonts w:hint="eastAsia"/>
        </w:rPr>
        <w:t>提供的所有货物及配套服务，必须是合法生产、合法来源，符合国家有关标准要求，并满足招标文件规定的规格、参数、质量、价格、有效期、售后服务及</w:t>
      </w:r>
      <w:r>
        <w:rPr>
          <w:rFonts w:hint="eastAsia"/>
          <w:lang w:eastAsia="zh-CN"/>
        </w:rPr>
        <w:t>投标人</w:t>
      </w:r>
      <w:r>
        <w:rPr>
          <w:rFonts w:hint="eastAsia"/>
        </w:rPr>
        <w:t>须承担的运输、技术支持、培训和招标文件规定的其它伴随服务等要求。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4.2采购人有权拒绝接受任何不合格的产品和服务，由此产生的费用及相关后果均由</w:t>
      </w:r>
      <w:r>
        <w:rPr>
          <w:rFonts w:hint="eastAsia"/>
          <w:lang w:eastAsia="zh-CN"/>
        </w:rPr>
        <w:t>投标人</w:t>
      </w:r>
      <w:r>
        <w:rPr>
          <w:rFonts w:hint="eastAsia"/>
        </w:rPr>
        <w:t>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5.投标文件内容的真实性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5.1</w:t>
      </w:r>
      <w:r>
        <w:rPr>
          <w:rFonts w:hint="eastAsia"/>
          <w:lang w:eastAsia="zh-CN"/>
        </w:rPr>
        <w:t>投标人</w:t>
      </w:r>
      <w:r>
        <w:rPr>
          <w:rFonts w:hint="eastAsia"/>
        </w:rPr>
        <w:t>应保证其投标文件中所提供的所有投标资料、信息是真实的，并且来源于合法的渠道。因投标文件中所提供的投标资料、信息不真实或者其来源不合法而导致的所有法律责任，由</w:t>
      </w:r>
      <w:r>
        <w:rPr>
          <w:rFonts w:hint="eastAsia"/>
          <w:lang w:eastAsia="zh-CN"/>
        </w:rPr>
        <w:t>投标人</w:t>
      </w:r>
      <w:r>
        <w:rPr>
          <w:rFonts w:hint="eastAsia"/>
        </w:rPr>
        <w:t>自行承担。</w:t>
      </w:r>
    </w:p>
    <w:p>
      <w:pPr>
        <w:rPr>
          <w:rFonts w:hint="eastAsia" w:hAnsi="宋体" w:cs="宋体"/>
          <w:b/>
          <w:color w:val="auto"/>
          <w:sz w:val="32"/>
          <w:szCs w:val="32"/>
          <w:highlight w:val="none"/>
        </w:rPr>
      </w:pPr>
      <w:bookmarkStart w:id="189" w:name="_Toc363473973"/>
      <w:bookmarkStart w:id="190" w:name="_Toc403077640"/>
      <w:bookmarkStart w:id="191" w:name="_Toc363474018"/>
      <w:r>
        <w:rPr>
          <w:rFonts w:hint="eastAsia" w:hAnsi="宋体" w:cs="宋体"/>
          <w:b/>
          <w:color w:val="auto"/>
          <w:sz w:val="32"/>
          <w:szCs w:val="32"/>
          <w:highlight w:val="none"/>
        </w:rPr>
        <w:br w:type="page"/>
      </w:r>
    </w:p>
    <w:p>
      <w:pPr>
        <w:bidi w:val="0"/>
        <w:jc w:val="center"/>
        <w:rPr>
          <w:rFonts w:hint="eastAsia" w:ascii="宋体" w:hAnsi="宋体" w:eastAsia="宋体" w:cs="宋体"/>
          <w:b/>
          <w:color w:val="auto"/>
          <w:sz w:val="32"/>
          <w:szCs w:val="32"/>
          <w:highlight w:val="none"/>
        </w:rPr>
      </w:pPr>
      <w:bookmarkStart w:id="192" w:name="_Toc768"/>
      <w:bookmarkStart w:id="193" w:name="_Toc21929"/>
      <w:r>
        <w:rPr>
          <w:rFonts w:hint="eastAsia" w:ascii="宋体" w:hAnsi="宋体" w:eastAsia="宋体" w:cs="宋体"/>
          <w:b/>
          <w:color w:val="auto"/>
          <w:sz w:val="32"/>
          <w:szCs w:val="32"/>
          <w:highlight w:val="none"/>
        </w:rPr>
        <w:t>二.招标文件</w:t>
      </w:r>
      <w:bookmarkEnd w:id="189"/>
      <w:bookmarkEnd w:id="190"/>
      <w:bookmarkEnd w:id="191"/>
      <w:bookmarkEnd w:id="192"/>
      <w:bookmarkEnd w:id="1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6.招标文件构成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6.1 招标文件要求提供的货物、服务，招标程序和合同条件在招标文件中均有说明。招标文件共六章，内容如下：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第一章 招标公告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 xml:space="preserve">第二章 </w:t>
      </w:r>
      <w:r>
        <w:rPr>
          <w:rFonts w:hint="eastAsia" w:ascii="宋体" w:hAnsi="Times New Roman" w:eastAsia="宋体" w:cs="Times New Roman"/>
          <w:lang w:eastAsia="zh-CN"/>
        </w:rPr>
        <w:t>投标人</w:t>
      </w:r>
      <w:r>
        <w:rPr>
          <w:rFonts w:hint="eastAsia" w:ascii="宋体" w:hAnsi="Times New Roman" w:eastAsia="宋体" w:cs="Times New Roman"/>
        </w:rPr>
        <w:t>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第三章 评标方法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第四章 合同条款及格式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第五章 采购内容及技术要求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第六章 投标文件构成及格式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6.2</w:t>
      </w:r>
      <w:r>
        <w:rPr>
          <w:rFonts w:hint="eastAsia" w:ascii="宋体" w:hAnsi="Times New Roman" w:eastAsia="宋体" w:cs="Times New Roman"/>
          <w:lang w:eastAsia="zh-CN"/>
        </w:rPr>
        <w:t>投标人</w:t>
      </w:r>
      <w:r>
        <w:rPr>
          <w:rFonts w:hint="eastAsia" w:ascii="宋体" w:hAnsi="Times New Roman" w:eastAsia="宋体" w:cs="Times New Roman"/>
        </w:rPr>
        <w:t>应认真阅读招标文件中所有的事项、格式、条款和规范等要求。如果</w:t>
      </w:r>
      <w:r>
        <w:rPr>
          <w:rFonts w:hint="eastAsia" w:ascii="宋体" w:hAnsi="Times New Roman" w:eastAsia="宋体" w:cs="Times New Roman"/>
          <w:lang w:eastAsia="zh-CN"/>
        </w:rPr>
        <w:t>投标人</w:t>
      </w:r>
      <w:r>
        <w:rPr>
          <w:rFonts w:hint="eastAsia" w:ascii="宋体" w:hAnsi="Times New Roman" w:eastAsia="宋体" w:cs="Times New Roman"/>
        </w:rPr>
        <w:t>没有按照招标文件要求提交全部资料，或者投标文件没有对招标文件在各方面都做出实质性响应，由此带来不利于</w:t>
      </w:r>
      <w:r>
        <w:rPr>
          <w:rFonts w:hint="eastAsia" w:ascii="宋体" w:hAnsi="Times New Roman" w:eastAsia="宋体" w:cs="Times New Roman"/>
          <w:lang w:eastAsia="zh-CN"/>
        </w:rPr>
        <w:t>投标人</w:t>
      </w:r>
      <w:r>
        <w:rPr>
          <w:rFonts w:hint="eastAsia" w:ascii="宋体" w:hAnsi="Times New Roman" w:eastAsia="宋体" w:cs="Times New Roman"/>
        </w:rPr>
        <w:t>的评标结果，其风险由</w:t>
      </w:r>
      <w:r>
        <w:rPr>
          <w:rFonts w:hint="eastAsia" w:ascii="宋体" w:hAnsi="Times New Roman" w:eastAsia="宋体" w:cs="Times New Roman"/>
          <w:lang w:eastAsia="zh-CN"/>
        </w:rPr>
        <w:t>投标人</w:t>
      </w:r>
      <w:r>
        <w:rPr>
          <w:rFonts w:hint="eastAsia" w:ascii="宋体" w:hAnsi="Times New Roman" w:eastAsia="宋体" w:cs="Times New Roman"/>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6.3本招标文件的解释权归陕西至诚招标咨询有限公司，如发现招标文件内容与现行法律法规不相符的情况，以现行法律法规为准。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7.招标文件的修改和澄清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7.1 在投标截止时间前，采购代理机构无论出于何种原因，均可对已发出招标文件进行必要的澄清或者修改，但不得修改采购标的和资格条件。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7.2 澄清或者修改的内容可能影响投标文件编制的，采购代理机构应当在投标文件截止时间15日前，以书面形式将澄清或者修改的内容通知所有获取招标文件的潜在</w:t>
      </w:r>
      <w:r>
        <w:rPr>
          <w:rFonts w:hint="eastAsia" w:ascii="宋体" w:hAnsi="Times New Roman" w:eastAsia="宋体" w:cs="Times New Roman"/>
          <w:lang w:eastAsia="zh-CN"/>
        </w:rPr>
        <w:t>投标人</w:t>
      </w:r>
      <w:r>
        <w:rPr>
          <w:rFonts w:hint="eastAsia" w:ascii="宋体" w:hAnsi="Times New Roman" w:eastAsia="宋体" w:cs="Times New Roman"/>
        </w:rPr>
        <w:t>，同时在原信息发布媒体上发布变更公告。该澄清或者修改的内容为招标文件的组成部分。如果澄清或者修改发出的时间距规定的投标截止时间不足15日，将相应顺延投标截止时间。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7.3在投标文件递交截止时间前，采购代理机构可以视采购具体情况，延长投标截止时间和开标时间并在财政部门指定的媒体上发布变更公告，同时将变更时间书面通知获取招标文件的潜在</w:t>
      </w:r>
      <w:r>
        <w:rPr>
          <w:rFonts w:hint="eastAsia" w:ascii="宋体" w:hAnsi="Times New Roman" w:eastAsia="宋体" w:cs="Times New Roman"/>
          <w:lang w:eastAsia="zh-CN"/>
        </w:rPr>
        <w:t>投标人</w:t>
      </w:r>
      <w:r>
        <w:rPr>
          <w:rFonts w:hint="eastAsia" w:ascii="宋体" w:hAnsi="Times New Roman" w:eastAsia="宋体" w:cs="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7.4已经购买招标文件的</w:t>
      </w:r>
      <w:r>
        <w:rPr>
          <w:rFonts w:hint="eastAsia" w:ascii="宋体" w:hAnsi="Times New Roman" w:eastAsia="宋体" w:cs="Times New Roman"/>
          <w:lang w:eastAsia="zh-CN"/>
        </w:rPr>
        <w:t>投标人</w:t>
      </w:r>
      <w:r>
        <w:rPr>
          <w:rFonts w:hint="eastAsia" w:ascii="宋体" w:hAnsi="Times New Roman" w:eastAsia="宋体" w:cs="Times New Roman"/>
        </w:rPr>
        <w:t>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w:t>
      </w:r>
      <w:r>
        <w:rPr>
          <w:rFonts w:hint="eastAsia" w:ascii="宋体" w:hAnsi="Times New Roman" w:eastAsia="宋体" w:cs="Times New Roman"/>
          <w:lang w:eastAsia="zh-CN"/>
        </w:rPr>
        <w:t>投标人</w:t>
      </w:r>
      <w:r>
        <w:rPr>
          <w:rFonts w:hint="eastAsia" w:ascii="宋体" w:hAnsi="Times New Roman" w:eastAsia="宋体" w:cs="Times New Roman"/>
        </w:rPr>
        <w:t>，且作为招标文件的组成部分。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7.5</w:t>
      </w:r>
      <w:r>
        <w:rPr>
          <w:rFonts w:hint="eastAsia" w:ascii="宋体" w:hAnsi="Times New Roman" w:eastAsia="宋体" w:cs="Times New Roman"/>
          <w:lang w:eastAsia="zh-CN"/>
        </w:rPr>
        <w:t>投标人</w:t>
      </w:r>
      <w:r>
        <w:rPr>
          <w:rFonts w:hint="eastAsia" w:ascii="宋体" w:hAnsi="Times New Roman" w:eastAsia="宋体" w:cs="Times New Roman"/>
        </w:rPr>
        <w:t>在收到上述通知后，应立即向采购代理机构回函确认。</w:t>
      </w:r>
    </w:p>
    <w:p>
      <w:pPr>
        <w:bidi w:val="0"/>
        <w:jc w:val="center"/>
        <w:rPr>
          <w:rFonts w:hint="eastAsia" w:ascii="宋体" w:hAnsi="宋体" w:eastAsia="宋体" w:cs="宋体"/>
          <w:b/>
          <w:color w:val="auto"/>
          <w:sz w:val="32"/>
          <w:szCs w:val="32"/>
          <w:highlight w:val="none"/>
        </w:rPr>
      </w:pPr>
      <w:bookmarkStart w:id="194" w:name="_Toc3654"/>
      <w:bookmarkStart w:id="195" w:name="_Toc19033"/>
      <w:bookmarkStart w:id="196" w:name="_Toc363474019"/>
      <w:bookmarkStart w:id="197" w:name="_Toc403077641"/>
      <w:bookmarkStart w:id="198" w:name="_Toc363473974"/>
      <w:r>
        <w:rPr>
          <w:rFonts w:hint="eastAsia" w:ascii="宋体" w:hAnsi="宋体" w:eastAsia="宋体" w:cs="宋体"/>
          <w:b/>
          <w:color w:val="auto"/>
          <w:sz w:val="32"/>
          <w:szCs w:val="32"/>
          <w:highlight w:val="none"/>
        </w:rPr>
        <w:t>三.投标文件的编制</w:t>
      </w:r>
      <w:bookmarkEnd w:id="194"/>
      <w:bookmarkEnd w:id="195"/>
      <w:bookmarkEnd w:id="196"/>
      <w:bookmarkEnd w:id="197"/>
      <w:bookmarkEnd w:id="19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 投标语言和投标货币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8.1</w:t>
      </w:r>
      <w:r>
        <w:rPr>
          <w:rFonts w:hint="eastAsia"/>
          <w:lang w:eastAsia="zh-CN"/>
        </w:rPr>
        <w:t>投标人</w:t>
      </w:r>
      <w:r>
        <w:rPr>
          <w:rFonts w:hint="eastAsia"/>
        </w:rPr>
        <w:t>提交的投标文件以及</w:t>
      </w:r>
      <w:r>
        <w:rPr>
          <w:rFonts w:hint="eastAsia"/>
          <w:lang w:eastAsia="zh-CN"/>
        </w:rPr>
        <w:t>投标人</w:t>
      </w:r>
      <w:r>
        <w:rPr>
          <w:rFonts w:hint="eastAsia"/>
        </w:rPr>
        <w:t>与采购代理机构就有关投标的所有来往函电均应使用中文。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8.2投标应以人民币报价。任何包含非人民币报价的投标将按无效投标处理。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9.投标文件的构成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9.1 </w:t>
      </w:r>
      <w:r>
        <w:rPr>
          <w:rFonts w:hint="eastAsia"/>
          <w:lang w:eastAsia="zh-CN"/>
        </w:rPr>
        <w:t>投标人</w:t>
      </w:r>
      <w:r>
        <w:rPr>
          <w:rFonts w:hint="eastAsia"/>
        </w:rPr>
        <w:t>提交的投标文件应包括下列部分的内容：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（1）按照</w:t>
      </w:r>
      <w:r>
        <w:rPr>
          <w:rFonts w:hint="eastAsia"/>
          <w:lang w:eastAsia="zh-CN"/>
        </w:rPr>
        <w:t>投标人</w:t>
      </w:r>
      <w:r>
        <w:rPr>
          <w:rFonts w:hint="eastAsia"/>
        </w:rPr>
        <w:t>须知的要求和招标文件规定的格式填写的投标函、投标报价表、法定代表人授权书。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按照招标文件的要求编制的投标方案说明书，内容至少应包括组织实施计划和服务的详细说明，技术规格响应表，供货（服务）一览表，相应的产品功能证明材料（包括但不限于测试报告、官网和功能截图等），质量保证，方案说明，人员配备和售后服务承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（3）按照招标文件</w:t>
      </w:r>
      <w:r>
        <w:rPr>
          <w:rFonts w:hint="eastAsia"/>
          <w:lang w:eastAsia="zh-CN"/>
        </w:rPr>
        <w:t>投标人</w:t>
      </w:r>
      <w:r>
        <w:rPr>
          <w:rFonts w:hint="eastAsia"/>
        </w:rPr>
        <w:t xml:space="preserve">须知前附表的要求提交的资格证明文件；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（4）招标文件中要求的其他证明文件。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9.2 如果在招标文件中没有允许提供备选方案，则每个</w:t>
      </w:r>
      <w:r>
        <w:rPr>
          <w:rFonts w:hint="eastAsia"/>
          <w:lang w:eastAsia="zh-CN"/>
        </w:rPr>
        <w:t>投标人</w:t>
      </w:r>
      <w:r>
        <w:rPr>
          <w:rFonts w:hint="eastAsia"/>
        </w:rPr>
        <w:t>只允许提交一个投标方案，否则，其投标将按照无效投标处理。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9.3 本次投标的最小单元为“项目”，</w:t>
      </w:r>
      <w:r>
        <w:rPr>
          <w:rFonts w:hint="eastAsia"/>
          <w:lang w:eastAsia="zh-CN"/>
        </w:rPr>
        <w:t>投标人</w:t>
      </w:r>
      <w:r>
        <w:rPr>
          <w:rFonts w:hint="eastAsia"/>
        </w:rPr>
        <w:t>可根据自身的资质情况和经营范围进行投标，但不得将其子目自行分解或针对品目进行不完全投标，任何不完全的投标将按无效投标处理。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10.投标文件格式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10.1 </w:t>
      </w:r>
      <w:r>
        <w:rPr>
          <w:rFonts w:hint="eastAsia"/>
          <w:lang w:eastAsia="zh-CN"/>
        </w:rPr>
        <w:t>投标人</w:t>
      </w:r>
      <w:r>
        <w:rPr>
          <w:rFonts w:hint="eastAsia"/>
        </w:rPr>
        <w:t>应按照招标文件中第六章所提供的格式和要求制作投标文件，明确表达投标意愿，详细说明投标方案、承诺及价格。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10.2按招标文件第9条的内容及要求和第六章提供的格式和要求编写其投标文件，</w:t>
      </w:r>
      <w:r>
        <w:rPr>
          <w:rFonts w:hint="eastAsia"/>
          <w:lang w:eastAsia="zh-CN"/>
        </w:rPr>
        <w:t>投标人</w:t>
      </w:r>
      <w:r>
        <w:rPr>
          <w:rFonts w:hint="eastAsia"/>
        </w:rPr>
        <w:t>不得缺少或留空任何招标文件要求填写的表格或提交的资料。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11.投标报价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11.1投标报价：</w:t>
      </w:r>
      <w:r>
        <w:rPr>
          <w:rFonts w:hint="eastAsia"/>
          <w:lang w:eastAsia="zh-CN"/>
        </w:rPr>
        <w:t>投标人</w:t>
      </w:r>
      <w:r>
        <w:rPr>
          <w:rFonts w:hint="eastAsia"/>
        </w:rPr>
        <w:t>应在投标报价表中标明完成本次招标所要求的货物、服务且验收合格的所有费用，即产品到达使用地点，达到正常使用条件下的所有费用，包括但不限于产品费、软件服务费、仓储保管费、售后服务培训费、运输费、税金、招标代理服务费等其他一切相关费用。投标报价表中标明本次货物、服务的所有单项价格和总价，任何有选择的报价将不予接受，否则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11.2投标报价表中标明的价格应为履行合同的固定价格，不得以任何理由予以变更。以可调整的价格提交的投标文件将按无效投标处理。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11.3投标报价：总包交钥匙价（精确到小数点后二位）。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12.证明</w:t>
      </w:r>
      <w:r>
        <w:rPr>
          <w:rFonts w:hint="eastAsia"/>
          <w:lang w:eastAsia="zh-CN"/>
        </w:rPr>
        <w:t>投标人</w:t>
      </w:r>
      <w:r>
        <w:rPr>
          <w:rFonts w:hint="eastAsia"/>
        </w:rPr>
        <w:t>合格和资格的文件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12.1</w:t>
      </w:r>
      <w:r>
        <w:rPr>
          <w:rFonts w:hint="eastAsia"/>
          <w:lang w:eastAsia="zh-CN"/>
        </w:rPr>
        <w:t>投标人</w:t>
      </w:r>
      <w:r>
        <w:rPr>
          <w:rFonts w:hint="eastAsia"/>
        </w:rPr>
        <w:t>应按照招标文件“</w:t>
      </w:r>
      <w:r>
        <w:rPr>
          <w:rFonts w:hint="eastAsia"/>
          <w:lang w:eastAsia="zh-CN"/>
        </w:rPr>
        <w:t>投标人</w:t>
      </w:r>
      <w:r>
        <w:rPr>
          <w:rFonts w:hint="eastAsia"/>
        </w:rPr>
        <w:t>须知前附表”的要求，在投标文件中提交合格的资格证明文件。如果资格证明文件不齐全或不合格的，其投标将按无效投标处理。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13.证明货物及配套服务符合招标文件规定的文件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13.1</w:t>
      </w:r>
      <w:r>
        <w:rPr>
          <w:rFonts w:hint="eastAsia"/>
          <w:lang w:eastAsia="zh-CN"/>
        </w:rPr>
        <w:t>投标人</w:t>
      </w:r>
      <w:r>
        <w:rPr>
          <w:rFonts w:hint="eastAsia"/>
        </w:rPr>
        <w:t>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13.2上述证明文件可以是文字资料、图纸、图片、数据、宣传彩页等，所有证明文件表达意思必须统一（如需</w:t>
      </w:r>
      <w:r>
        <w:rPr>
          <w:rFonts w:hint="eastAsia"/>
          <w:lang w:eastAsia="zh-CN"/>
        </w:rPr>
        <w:t>投标人</w:t>
      </w:r>
      <w:r>
        <w:rPr>
          <w:rFonts w:hint="eastAsia"/>
        </w:rPr>
        <w:t>提供样品，样品必须与投标文件的表述完全符合）。包括：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（1)产品主要技术指标和性能的详细说明；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（2）生产厂家出具的、相应的产品功能证明材料（包括但不限于测试报告、官网和功能截图等）；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（3)逐条对招标文件提出的技术要求和商务要求进行应答，说明所提供的产品和服务对招标的技术和商务要求是否做出了实质性响应并提供支持文件；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（4）供货范围和服务内容的详细说明。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rPr>
        <w:t>14.投标保证金：</w:t>
      </w:r>
      <w:r>
        <w:rPr>
          <w:rFonts w:hint="eastAsia"/>
          <w:lang w:val="en-US" w:eastAsia="zh-CN"/>
        </w:rPr>
        <w:t>详见投标人须知前附表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14.1</w:t>
      </w:r>
      <w:r>
        <w:rPr>
          <w:rFonts w:hint="eastAsia"/>
          <w:lang w:eastAsia="zh-CN"/>
        </w:rPr>
        <w:t>投标人</w:t>
      </w:r>
      <w:r>
        <w:t>在</w:t>
      </w:r>
      <w:r>
        <w:rPr>
          <w:rFonts w:hint="eastAsia"/>
          <w:lang w:val="en-US" w:eastAsia="zh-CN"/>
        </w:rPr>
        <w:t>投标</w:t>
      </w:r>
      <w:r>
        <w:t>时应向</w:t>
      </w:r>
      <w:r>
        <w:rPr>
          <w:rFonts w:hint="eastAsia"/>
        </w:rPr>
        <w:t>陕西至诚招标咨询有限公司</w:t>
      </w:r>
      <w:r>
        <w:t>提交“</w:t>
      </w:r>
      <w:r>
        <w:rPr>
          <w:rFonts w:hint="eastAsia"/>
          <w:lang w:val="en-US" w:eastAsia="zh-CN"/>
        </w:rPr>
        <w:t>投标人</w:t>
      </w:r>
      <w:r>
        <w:rPr>
          <w:rFonts w:hint="eastAsia"/>
        </w:rPr>
        <w:t>须知前附表</w:t>
      </w:r>
      <w:r>
        <w:t>”规定数额的</w:t>
      </w:r>
      <w:r>
        <w:rPr>
          <w:rFonts w:hint="eastAsia"/>
          <w:lang w:val="en-US" w:eastAsia="zh-CN"/>
        </w:rPr>
        <w:t>投标</w:t>
      </w:r>
      <w:r>
        <w:rPr>
          <w:rFonts w:hint="eastAsia"/>
        </w:rPr>
        <w:t>保证金</w:t>
      </w:r>
      <w:r>
        <w:t>,并作为其</w:t>
      </w:r>
      <w:r>
        <w:rPr>
          <w:rFonts w:hint="eastAsia"/>
          <w:lang w:val="en-US" w:eastAsia="zh-CN"/>
        </w:rPr>
        <w:t>投标</w:t>
      </w:r>
      <w:r>
        <w:t>的一部分。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14.2</w:t>
      </w:r>
      <w:r>
        <w:rPr>
          <w:rFonts w:hint="eastAsia"/>
          <w:lang w:val="en-US" w:eastAsia="zh-CN"/>
        </w:rPr>
        <w:t>投标</w:t>
      </w:r>
      <w:r>
        <w:rPr>
          <w:rFonts w:hint="eastAsia"/>
        </w:rPr>
        <w:t>保证金</w:t>
      </w:r>
      <w:r>
        <w:t>是为了保护采购单位（包括</w:t>
      </w:r>
      <w:r>
        <w:rPr>
          <w:rFonts w:hint="eastAsia"/>
        </w:rPr>
        <w:t>陕西至诚招标咨询有限公司及</w:t>
      </w:r>
      <w:r>
        <w:t>采购人）免遭因</w:t>
      </w:r>
      <w:r>
        <w:rPr>
          <w:rFonts w:hint="eastAsia"/>
          <w:lang w:eastAsia="zh-CN"/>
        </w:rPr>
        <w:t>投标人</w:t>
      </w:r>
      <w:r>
        <w:t>的行为而蒙受损失。采购单位在因</w:t>
      </w:r>
      <w:r>
        <w:rPr>
          <w:rFonts w:hint="eastAsia"/>
          <w:lang w:eastAsia="zh-CN"/>
        </w:rPr>
        <w:t>投标人</w:t>
      </w:r>
      <w:r>
        <w:t>的行为受到损害时可根据本须知的规定没收</w:t>
      </w:r>
      <w:r>
        <w:rPr>
          <w:rFonts w:hint="eastAsia"/>
          <w:lang w:eastAsia="zh-CN"/>
        </w:rPr>
        <w:t>投标人</w:t>
      </w:r>
      <w:r>
        <w:t>的</w:t>
      </w:r>
      <w:r>
        <w:rPr>
          <w:rFonts w:hint="eastAsia"/>
          <w:lang w:val="en-US" w:eastAsia="zh-CN"/>
        </w:rPr>
        <w:t>投标</w:t>
      </w:r>
      <w:r>
        <w:rPr>
          <w:rFonts w:hint="eastAsia"/>
        </w:rPr>
        <w:t>保证金</w:t>
      </w:r>
      <w: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t>14.3</w:t>
      </w:r>
      <w:r>
        <w:rPr>
          <w:rFonts w:hint="eastAsia"/>
          <w:lang w:val="en-US" w:eastAsia="zh-CN"/>
        </w:rPr>
        <w:t>投标</w:t>
      </w:r>
      <w:r>
        <w:rPr>
          <w:rFonts w:hint="eastAsia"/>
        </w:rPr>
        <w:t>保证金</w:t>
      </w:r>
      <w:r>
        <w:t>可采取</w:t>
      </w:r>
      <w:r>
        <w:rPr>
          <w:rFonts w:hint="eastAsia"/>
        </w:rPr>
        <w:t>“</w:t>
      </w:r>
      <w:r>
        <w:rPr>
          <w:rFonts w:hint="eastAsia"/>
          <w:lang w:eastAsia="zh-CN"/>
        </w:rPr>
        <w:t>投标人</w:t>
      </w:r>
      <w:r>
        <w:rPr>
          <w:rFonts w:hint="eastAsia"/>
        </w:rPr>
        <w:t>须知前附表”规定的任何一种形式。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t>14.</w:t>
      </w:r>
      <w:r>
        <w:rPr>
          <w:rFonts w:hint="eastAsia"/>
        </w:rPr>
        <w:t>4</w:t>
      </w:r>
      <w:r>
        <w:rPr>
          <w:rFonts w:hint="eastAsia"/>
          <w:lang w:val="en-US" w:eastAsia="zh-CN"/>
        </w:rPr>
        <w:t>投标</w:t>
      </w:r>
      <w:r>
        <w:t>保证金</w:t>
      </w:r>
      <w:r>
        <w:rPr>
          <w:rFonts w:hint="eastAsia"/>
        </w:rPr>
        <w:t>必须按照</w:t>
      </w:r>
      <w:r>
        <w:rPr>
          <w:rFonts w:hint="eastAsia"/>
          <w:lang w:val="en-US" w:eastAsia="zh-CN"/>
        </w:rPr>
        <w:t>招标</w:t>
      </w:r>
      <w:r>
        <w:rPr>
          <w:rFonts w:hint="eastAsia"/>
        </w:rPr>
        <w:t>文件“</w:t>
      </w:r>
      <w:r>
        <w:rPr>
          <w:rFonts w:hint="eastAsia"/>
          <w:lang w:eastAsia="zh-CN"/>
        </w:rPr>
        <w:t>投标人</w:t>
      </w:r>
      <w:r>
        <w:rPr>
          <w:rFonts w:hint="eastAsia"/>
        </w:rPr>
        <w:t>须知前附表”中规定的缴纳金额及方式办理。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14.</w:t>
      </w:r>
      <w:r>
        <w:rPr>
          <w:rFonts w:hint="eastAsia"/>
        </w:rPr>
        <w:t>5</w:t>
      </w:r>
      <w:r>
        <w:rPr>
          <w:rFonts w:hint="eastAsia"/>
          <w:lang w:val="en-US" w:eastAsia="zh-CN"/>
        </w:rPr>
        <w:t>投标</w:t>
      </w:r>
      <w:r>
        <w:t>后经审查，未提交</w:t>
      </w:r>
      <w:r>
        <w:rPr>
          <w:rFonts w:hint="eastAsia"/>
          <w:lang w:val="en-US" w:eastAsia="zh-CN"/>
        </w:rPr>
        <w:t>投标</w:t>
      </w:r>
      <w:r>
        <w:rPr>
          <w:rFonts w:hint="eastAsia"/>
        </w:rPr>
        <w:t>保证金、未按</w:t>
      </w:r>
      <w:r>
        <w:rPr>
          <w:rFonts w:hint="eastAsia"/>
          <w:lang w:val="en-US" w:eastAsia="zh-CN"/>
        </w:rPr>
        <w:t>招标</w:t>
      </w:r>
      <w:r>
        <w:rPr>
          <w:rFonts w:hint="eastAsia"/>
        </w:rPr>
        <w:t>文件规定时间提交</w:t>
      </w:r>
      <w:r>
        <w:rPr>
          <w:rFonts w:hint="eastAsia"/>
          <w:lang w:val="en-US" w:eastAsia="zh-CN"/>
        </w:rPr>
        <w:t>投标</w:t>
      </w:r>
      <w:r>
        <w:rPr>
          <w:rFonts w:hint="eastAsia"/>
        </w:rPr>
        <w:t>保证金或担保机构出具的保函正本未在采购代理机构备案的、</w:t>
      </w:r>
      <w:r>
        <w:rPr>
          <w:rFonts w:hint="eastAsia"/>
          <w:lang w:val="en-US" w:eastAsia="zh-CN"/>
        </w:rPr>
        <w:t>投标</w:t>
      </w:r>
      <w:r>
        <w:rPr>
          <w:rFonts w:hint="eastAsia"/>
        </w:rPr>
        <w:t>保证金</w:t>
      </w:r>
      <w:r>
        <w:t>金额不足</w:t>
      </w:r>
      <w:r>
        <w:rPr>
          <w:rFonts w:hint="eastAsia"/>
        </w:rPr>
        <w:t>或</w:t>
      </w:r>
      <w:r>
        <w:rPr>
          <w:rFonts w:hint="eastAsia"/>
          <w:lang w:val="en-US" w:eastAsia="zh-CN"/>
        </w:rPr>
        <w:t>投标</w:t>
      </w:r>
      <w:r>
        <w:rPr>
          <w:rFonts w:hint="eastAsia"/>
        </w:rPr>
        <w:t>保证金转账凭证</w:t>
      </w:r>
      <w:r>
        <w:t>复印件</w:t>
      </w:r>
      <w:r>
        <w:rPr>
          <w:rFonts w:hint="eastAsia"/>
        </w:rPr>
        <w:t>/担保机构出具的保函正本复印件未附在</w:t>
      </w:r>
      <w:r>
        <w:rPr>
          <w:rFonts w:hint="eastAsia"/>
          <w:lang w:val="en-US" w:eastAsia="zh-CN"/>
        </w:rPr>
        <w:t>投标</w:t>
      </w:r>
      <w:r>
        <w:rPr>
          <w:rFonts w:hint="eastAsia"/>
        </w:rPr>
        <w:t>文件内</w:t>
      </w:r>
      <w:r>
        <w:t>的将</w:t>
      </w:r>
      <w:r>
        <w:rPr>
          <w:rFonts w:hint="eastAsia"/>
        </w:rPr>
        <w:t>按无效</w:t>
      </w:r>
      <w:r>
        <w:rPr>
          <w:rFonts w:hint="eastAsia"/>
          <w:lang w:val="en-US" w:eastAsia="zh-CN"/>
        </w:rPr>
        <w:t>投标</w:t>
      </w:r>
      <w:r>
        <w:rPr>
          <w:rFonts w:hint="eastAsia"/>
        </w:rPr>
        <w:t>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 xml:space="preserve">   </w:t>
      </w:r>
      <w:r>
        <w:t>14.</w:t>
      </w:r>
      <w:r>
        <w:rPr>
          <w:rFonts w:hint="eastAsia"/>
        </w:rPr>
        <w:t>6</w:t>
      </w:r>
      <w:r>
        <w:t>未</w:t>
      </w:r>
      <w:r>
        <w:rPr>
          <w:rFonts w:hint="eastAsia"/>
        </w:rPr>
        <w:t>成交</w:t>
      </w:r>
      <w:r>
        <w:rPr>
          <w:rFonts w:hint="eastAsia"/>
          <w:lang w:eastAsia="zh-CN"/>
        </w:rPr>
        <w:t>投标人</w:t>
      </w:r>
      <w:r>
        <w:t>的</w:t>
      </w:r>
      <w:r>
        <w:rPr>
          <w:rFonts w:hint="eastAsia"/>
          <w:lang w:val="en-US" w:eastAsia="zh-CN"/>
        </w:rPr>
        <w:t>投标</w:t>
      </w:r>
      <w:r>
        <w:t>保证金，将在</w:t>
      </w:r>
      <w:r>
        <w:rPr>
          <w:rFonts w:hint="eastAsia"/>
        </w:rPr>
        <w:t>成交</w:t>
      </w:r>
      <w:r>
        <w:t>通知书发出后五个工作日内</w:t>
      </w:r>
      <w:r>
        <w:rPr>
          <w:rFonts w:hint="eastAsia"/>
        </w:rPr>
        <w:t>按原账户</w:t>
      </w:r>
      <w:r>
        <w:t>退还；</w:t>
      </w:r>
      <w:r>
        <w:rPr>
          <w:rFonts w:hint="eastAsia"/>
        </w:rPr>
        <w:t>成交</w:t>
      </w:r>
      <w:r>
        <w:rPr>
          <w:rFonts w:hint="eastAsia"/>
          <w:lang w:eastAsia="zh-CN"/>
        </w:rPr>
        <w:t>投标人</w:t>
      </w:r>
      <w:r>
        <w:t>的</w:t>
      </w:r>
      <w:r>
        <w:rPr>
          <w:rFonts w:hint="eastAsia"/>
          <w:lang w:val="en-US" w:eastAsia="zh-CN"/>
        </w:rPr>
        <w:t>投标</w:t>
      </w:r>
      <w:r>
        <w:t>保证金，在采购合同签订并按规定交纳</w:t>
      </w:r>
      <w:r>
        <w:rPr>
          <w:rFonts w:hint="eastAsia"/>
        </w:rPr>
        <w:t>成交</w:t>
      </w:r>
      <w:r>
        <w:t>代理服务费后五个工作日内退还</w:t>
      </w:r>
      <w:r>
        <w:rPr>
          <w:rFonts w:hint="eastAsia"/>
        </w:rPr>
        <w:t>（退还时，须向采购代理机构提供采购合同原件、开户许可证及转账凭证复印件壹份）</w:t>
      </w:r>
      <w: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14.7</w:t>
      </w:r>
      <w:r>
        <w:rPr>
          <w:rFonts w:hint="eastAsia"/>
          <w:lang w:eastAsia="zh-CN"/>
        </w:rPr>
        <w:t>投标人</w:t>
      </w:r>
      <w:r>
        <w:rPr>
          <w:rFonts w:hint="eastAsia"/>
        </w:rPr>
        <w:t>以担保机构保函形式缴纳</w:t>
      </w:r>
      <w:r>
        <w:rPr>
          <w:rFonts w:hint="eastAsia"/>
          <w:lang w:val="en-US" w:eastAsia="zh-CN"/>
        </w:rPr>
        <w:t>投标</w:t>
      </w:r>
      <w:r>
        <w:rPr>
          <w:rFonts w:hint="eastAsia"/>
        </w:rPr>
        <w:t>保证金的，</w:t>
      </w:r>
      <w:r>
        <w:rPr>
          <w:rFonts w:hint="eastAsia"/>
          <w:lang w:val="en-US" w:eastAsia="zh-CN"/>
        </w:rPr>
        <w:t>投标</w:t>
      </w:r>
      <w:r>
        <w:rPr>
          <w:rFonts w:hint="eastAsia"/>
        </w:rPr>
        <w:t>结束之后将担保机构保函原件退回（退还时间参照14.6条款）。</w:t>
      </w:r>
      <w:r>
        <w:rPr>
          <w:rFonts w:hint="eastAsia"/>
          <w:lang w:eastAsia="zh-CN"/>
        </w:rPr>
        <w:t>投标人</w:t>
      </w:r>
      <w:r>
        <w:rPr>
          <w:rFonts w:hint="eastAsia"/>
        </w:rPr>
        <w:t>领取担保机构保函原件时需携带法人授权委托书原件。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14</w:t>
      </w:r>
      <w:r>
        <w:rPr>
          <w:rFonts w:hint="eastAsia"/>
        </w:rPr>
        <w:t>.8</w:t>
      </w:r>
      <w:r>
        <w:t xml:space="preserve"> 下列任何情况发生时，视为</w:t>
      </w:r>
      <w:r>
        <w:rPr>
          <w:rFonts w:hint="eastAsia"/>
          <w:lang w:eastAsia="zh-CN"/>
        </w:rPr>
        <w:t>投标人</w:t>
      </w:r>
      <w:r>
        <w:t>违约，其</w:t>
      </w:r>
      <w:r>
        <w:rPr>
          <w:rFonts w:hint="eastAsia"/>
          <w:lang w:val="en-US" w:eastAsia="zh-CN"/>
        </w:rPr>
        <w:t>投标</w:t>
      </w:r>
      <w:r>
        <w:rPr>
          <w:rFonts w:hint="eastAsia"/>
        </w:rPr>
        <w:t>保证金</w:t>
      </w:r>
      <w:r>
        <w:t>将被没收：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t xml:space="preserve">1) </w:t>
      </w:r>
      <w:r>
        <w:rPr>
          <w:rFonts w:hint="eastAsia"/>
          <w:lang w:eastAsia="zh-CN"/>
        </w:rPr>
        <w:t>投标人</w:t>
      </w:r>
      <w:r>
        <w:t>在</w:t>
      </w:r>
      <w:r>
        <w:rPr>
          <w:rFonts w:hint="eastAsia"/>
          <w:lang w:val="en-US" w:eastAsia="zh-CN"/>
        </w:rPr>
        <w:t>投标</w:t>
      </w:r>
      <w:r>
        <w:t>有效期内撤回其</w:t>
      </w:r>
      <w:r>
        <w:rPr>
          <w:rFonts w:hint="eastAsia"/>
          <w:lang w:val="en-US" w:eastAsia="zh-CN"/>
        </w:rPr>
        <w:t>投标</w:t>
      </w:r>
      <w:r>
        <w:rPr>
          <w:rFonts w:hint="eastAsia"/>
        </w:rPr>
        <w:t>文件</w:t>
      </w:r>
      <w: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2）</w:t>
      </w:r>
      <w:r>
        <w:rPr>
          <w:rFonts w:hint="eastAsia"/>
          <w:lang w:eastAsia="zh-CN"/>
        </w:rPr>
        <w:t>投标人</w:t>
      </w:r>
      <w:r>
        <w:rPr>
          <w:rFonts w:hint="eastAsia"/>
        </w:rPr>
        <w:t>在响应文件中提供伪造、套改、虚假资料参加</w:t>
      </w:r>
      <w:r>
        <w:rPr>
          <w:rFonts w:hint="eastAsia"/>
          <w:lang w:val="en-US" w:eastAsia="zh-CN"/>
        </w:rPr>
        <w:t>投标</w:t>
      </w:r>
      <w:r>
        <w:rPr>
          <w:rFonts w:hint="eastAsia"/>
        </w:rPr>
        <w:t>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3</w:t>
      </w:r>
      <w:r>
        <w:t xml:space="preserve">) </w:t>
      </w:r>
      <w:r>
        <w:rPr>
          <w:rFonts w:hint="eastAsia"/>
          <w:lang w:eastAsia="zh-CN"/>
        </w:rPr>
        <w:t>投标人</w:t>
      </w:r>
      <w:r>
        <w:rPr>
          <w:rFonts w:hint="eastAsia"/>
        </w:rPr>
        <w:t>成交</w:t>
      </w:r>
      <w:r>
        <w:t>后放弃</w:t>
      </w:r>
      <w:r>
        <w:rPr>
          <w:rFonts w:hint="eastAsia"/>
        </w:rPr>
        <w:t>成交</w:t>
      </w:r>
      <w:r>
        <w:t>或未能按规定签订合同；或未能按规定交纳</w:t>
      </w:r>
      <w:r>
        <w:rPr>
          <w:rFonts w:hint="eastAsia"/>
        </w:rPr>
        <w:t>成交</w:t>
      </w:r>
      <w:r>
        <w:t>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4）</w:t>
      </w:r>
      <w:r>
        <w:rPr>
          <w:rFonts w:hint="eastAsia"/>
          <w:lang w:eastAsia="zh-CN"/>
        </w:rPr>
        <w:t>投标人</w:t>
      </w:r>
      <w:r>
        <w:rPr>
          <w:rFonts w:hint="eastAsia"/>
        </w:rPr>
        <w:t>成交后将成交项目转让给他人，或者在响应文件中未说明，且未经采购人同意，将成交项目分包给他人的。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5）</w:t>
      </w:r>
      <w:r>
        <w:rPr>
          <w:rFonts w:hint="eastAsia"/>
          <w:lang w:eastAsia="zh-CN"/>
        </w:rPr>
        <w:t>投标人</w:t>
      </w:r>
      <w:r>
        <w:rPr>
          <w:rFonts w:hint="eastAsia"/>
        </w:rPr>
        <w:t>事先未通告无故不参加</w:t>
      </w:r>
      <w:r>
        <w:rPr>
          <w:rFonts w:hint="eastAsia"/>
          <w:lang w:val="en-US" w:eastAsia="zh-CN"/>
        </w:rPr>
        <w:t>投标</w:t>
      </w:r>
      <w:r>
        <w:rPr>
          <w:rFonts w:hint="eastAsia"/>
        </w:rPr>
        <w:t>活动的。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6）</w:t>
      </w:r>
      <w:r>
        <w:rPr>
          <w:rFonts w:hint="eastAsia"/>
          <w:lang w:eastAsia="zh-CN"/>
        </w:rPr>
        <w:t>投标人</w:t>
      </w:r>
      <w:r>
        <w:rPr>
          <w:rFonts w:hint="eastAsia"/>
        </w:rPr>
        <w:t>不按法定程序进行质疑和投诉，捏造事实，查无实据，造成恶劣影响，导致采购活动无法正常进行的。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15.投标有效期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15.1投标有效期从递交投标文件的截止之日起90</w:t>
      </w:r>
      <w:r>
        <w:rPr>
          <w:rFonts w:hint="eastAsia"/>
          <w:lang w:eastAsia="zh-CN"/>
        </w:rPr>
        <w:t>日历天</w:t>
      </w:r>
      <w:r>
        <w:rPr>
          <w:rFonts w:hint="eastAsia"/>
        </w:rPr>
        <w:t>。投标文件应在投标有效期内保持有效。投标有效期不满足规定有效期的投标文件将被视为无效投标而拒绝。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15.2特殊情况下，在原投标有效期期满之前，采购代理机构可向</w:t>
      </w:r>
      <w:r>
        <w:rPr>
          <w:rFonts w:hint="eastAsia"/>
          <w:lang w:eastAsia="zh-CN"/>
        </w:rPr>
        <w:t>投标人</w:t>
      </w:r>
      <w:r>
        <w:rPr>
          <w:rFonts w:hint="eastAsia"/>
        </w:rPr>
        <w:t>提出延长投标有效期的要求。这种要求与答复均应以书面的形式。</w:t>
      </w:r>
      <w:r>
        <w:rPr>
          <w:rFonts w:hint="eastAsia"/>
          <w:lang w:eastAsia="zh-CN"/>
        </w:rPr>
        <w:t>投标人</w:t>
      </w:r>
      <w:r>
        <w:rPr>
          <w:rFonts w:hint="eastAsia"/>
        </w:rPr>
        <w:t>可以拒绝采购代理机构的这种要求,其投标保证金也不被没收。同意延长的</w:t>
      </w:r>
      <w:r>
        <w:rPr>
          <w:rFonts w:hint="eastAsia"/>
          <w:lang w:eastAsia="zh-CN"/>
        </w:rPr>
        <w:t>投标人</w:t>
      </w:r>
      <w:r>
        <w:rPr>
          <w:rFonts w:hint="eastAsia"/>
        </w:rPr>
        <w:t>既不能要求也不允许修改其投标文件，但要相应延长其投标保证金的有效期。在这种情况下，本章第14条有关投标保证金的退还和没收的规定将在延长了的有效期内继续有效。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投标文件的式样和签署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16.1</w:t>
      </w:r>
      <w:r>
        <w:rPr>
          <w:rFonts w:hint="eastAsia"/>
          <w:lang w:eastAsia="zh-CN"/>
        </w:rPr>
        <w:t>投标人</w:t>
      </w:r>
      <w:r>
        <w:rPr>
          <w:rFonts w:hint="eastAsia"/>
        </w:rPr>
        <w:t>应按照本章</w:t>
      </w:r>
      <w:r>
        <w:rPr>
          <w:rFonts w:hint="eastAsia"/>
          <w:lang w:eastAsia="zh-CN"/>
        </w:rPr>
        <w:t>投标人</w:t>
      </w:r>
      <w:r>
        <w:rPr>
          <w:rFonts w:hint="eastAsia"/>
        </w:rPr>
        <w:t>须知的要求, 提交壹份投标文件正本和“</w:t>
      </w:r>
      <w:r>
        <w:rPr>
          <w:rFonts w:hint="eastAsia"/>
          <w:lang w:eastAsia="zh-CN"/>
        </w:rPr>
        <w:t>投标人</w:t>
      </w:r>
      <w:r>
        <w:rPr>
          <w:rFonts w:hint="eastAsia"/>
        </w:rPr>
        <w:t>须知前附表”中规定数量的副本，每套投标文件封面须清楚地标明“正本”或“副本”。同时提供与投标文件正本内容一致的电子版（U盘）一份及开标一览表一份，并标注</w:t>
      </w:r>
      <w:r>
        <w:rPr>
          <w:rFonts w:hint="eastAsia"/>
          <w:lang w:eastAsia="zh-CN"/>
        </w:rPr>
        <w:t>投标人</w:t>
      </w:r>
      <w:r>
        <w:rPr>
          <w:rFonts w:hint="eastAsia"/>
        </w:rPr>
        <w:t>全称、项目名称、项目编号，与投标文件同时递交。投标文件电子版为正本签字盖章后的PDF格式扫描件，与正本具有同等法律效力。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16.2投标文件的正本和副本均需由</w:t>
      </w:r>
      <w:r>
        <w:rPr>
          <w:rFonts w:hint="eastAsia"/>
          <w:lang w:eastAsia="zh-CN"/>
        </w:rPr>
        <w:t>投标人</w:t>
      </w:r>
      <w:r>
        <w:rPr>
          <w:rFonts w:hint="eastAsia"/>
        </w:rPr>
        <w:t>的法定代表人或其授权代表在规定签章处签字和盖章（招标文件要求投标文件中法定代表人签字处由法定代表人签署，要求授权代表签字处由授权代表签署）。投标文件副本可采用正本的复印件。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16.3任何行间插字、涂改和增删，必须由</w:t>
      </w:r>
      <w:r>
        <w:rPr>
          <w:rFonts w:hint="eastAsia"/>
          <w:lang w:eastAsia="zh-CN"/>
        </w:rPr>
        <w:t>投标人</w:t>
      </w:r>
      <w:r>
        <w:rPr>
          <w:rFonts w:hint="eastAsia"/>
        </w:rPr>
        <w:t>的法定代表人或其授权代表在旁边签字方有效。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16.4</w:t>
      </w:r>
      <w:r>
        <w:rPr>
          <w:rFonts w:hint="eastAsia"/>
          <w:lang w:eastAsia="zh-CN"/>
        </w:rPr>
        <w:t>投标人</w:t>
      </w:r>
      <w:r>
        <w:rPr>
          <w:rFonts w:hint="eastAsia"/>
        </w:rPr>
        <w:t>名称应填写全称，文件中要求加盖公章处需加盖</w:t>
      </w:r>
      <w:r>
        <w:rPr>
          <w:rFonts w:hint="eastAsia"/>
          <w:lang w:eastAsia="zh-CN"/>
        </w:rPr>
        <w:t>投标人</w:t>
      </w:r>
      <w:r>
        <w:rPr>
          <w:rFonts w:hint="eastAsia"/>
        </w:rPr>
        <w:t>鲜章；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16.5 投标文件正本和副本分别</w:t>
      </w:r>
      <w:r>
        <w:rPr>
          <w:rFonts w:hint="eastAsia"/>
          <w:lang w:val="zh-CN"/>
        </w:rPr>
        <w:t>胶装成册</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16.6因字迹潦草、表述不清或不按招标文件格式编制的投标文件，所引起的对</w:t>
      </w:r>
      <w:r>
        <w:rPr>
          <w:rFonts w:hint="eastAsia"/>
          <w:lang w:eastAsia="zh-CN"/>
        </w:rPr>
        <w:t>投标人</w:t>
      </w:r>
      <w:r>
        <w:rPr>
          <w:rFonts w:hint="eastAsia"/>
        </w:rPr>
        <w:t>不利的后果，由</w:t>
      </w:r>
      <w:r>
        <w:rPr>
          <w:rFonts w:hint="eastAsia"/>
          <w:lang w:eastAsia="zh-CN"/>
        </w:rPr>
        <w:t>投标人</w:t>
      </w:r>
      <w:r>
        <w:rPr>
          <w:rFonts w:hint="eastAsia"/>
        </w:rPr>
        <w:t>自行负责。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16.7投标文件的副本、电子版须和正本保持一致。若正本、副本和电子版有不一致的内容，以正本为准。</w:t>
      </w:r>
    </w:p>
    <w:p>
      <w:pPr>
        <w:bidi w:val="0"/>
        <w:jc w:val="center"/>
        <w:rPr>
          <w:rFonts w:hint="eastAsia" w:ascii="宋体" w:hAnsi="宋体" w:eastAsia="宋体" w:cs="宋体"/>
          <w:b/>
          <w:color w:val="auto"/>
          <w:sz w:val="32"/>
          <w:szCs w:val="32"/>
          <w:highlight w:val="none"/>
        </w:rPr>
      </w:pPr>
      <w:bookmarkStart w:id="199" w:name="_Toc30633"/>
      <w:bookmarkStart w:id="200" w:name="_Toc363473975"/>
      <w:bookmarkStart w:id="201" w:name="_Toc363474020"/>
      <w:bookmarkStart w:id="202" w:name="_Toc403077642"/>
      <w:bookmarkStart w:id="203" w:name="_Toc31055"/>
      <w:r>
        <w:rPr>
          <w:rFonts w:hint="eastAsia" w:ascii="宋体" w:hAnsi="宋体" w:eastAsia="宋体" w:cs="宋体"/>
          <w:b/>
          <w:color w:val="auto"/>
          <w:sz w:val="32"/>
          <w:szCs w:val="32"/>
          <w:highlight w:val="none"/>
        </w:rPr>
        <w:t>四.投标文件的递交</w:t>
      </w:r>
      <w:bookmarkEnd w:id="199"/>
      <w:bookmarkEnd w:id="200"/>
      <w:bookmarkEnd w:id="201"/>
      <w:bookmarkEnd w:id="202"/>
      <w:bookmarkEnd w:id="20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17.投标文件的密封和标记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17.1为方便开标唱标，开标一览表除投标文件内装订外，再制作一份单独密封在封袋中。封线处加贴封条并加盖</w:t>
      </w:r>
      <w:r>
        <w:rPr>
          <w:rFonts w:hint="eastAsia"/>
          <w:lang w:eastAsia="zh-CN"/>
        </w:rPr>
        <w:t>投标人</w:t>
      </w:r>
      <w:r>
        <w:rPr>
          <w:rFonts w:hint="eastAsia"/>
        </w:rPr>
        <w:t>公章，封袋正面要粘贴标识，单独递交（该单独密封开标一览表的投标报价必须与投标文件正本中的开标一览表（报价表）的投标报价一致，若不一致，则按单独密封的开标一览表为准。）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17.2</w:t>
      </w:r>
      <w:r>
        <w:rPr>
          <w:rFonts w:hint="eastAsia"/>
          <w:lang w:eastAsia="zh-CN"/>
        </w:rPr>
        <w:t>投标人</w:t>
      </w:r>
      <w:r>
        <w:rPr>
          <w:rFonts w:hint="eastAsia"/>
        </w:rPr>
        <w:t>应将投标文件正本、所有的副本、电子版本、开标一览表分别单独密封装在封袋中（封袋不得有破损），且在封袋正面标明“正本”“副本”“电子版本”“开标一览表”字样。封袋应加贴封条，并在封线处加盖</w:t>
      </w:r>
      <w:r>
        <w:rPr>
          <w:rFonts w:hint="eastAsia"/>
          <w:lang w:eastAsia="zh-CN"/>
        </w:rPr>
        <w:t>投标人</w:t>
      </w:r>
      <w:r>
        <w:rPr>
          <w:rFonts w:hint="eastAsia"/>
        </w:rPr>
        <w:t>公章，封袋正面要粘贴</w:t>
      </w:r>
      <w:r>
        <w:rPr>
          <w:rFonts w:hint="eastAsia"/>
          <w:lang w:eastAsia="zh-CN"/>
        </w:rPr>
        <w:t>投标人</w:t>
      </w:r>
      <w:r>
        <w:rPr>
          <w:rFonts w:hint="eastAsia"/>
        </w:rPr>
        <w:t>全称、项目名称、项目编号等标识。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17.3外层包装请按以下要求标记：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（1) </w:t>
      </w:r>
      <w:r>
        <w:rPr>
          <w:rFonts w:hint="eastAsia"/>
          <w:lang w:eastAsia="zh-CN"/>
        </w:rPr>
        <w:t>投标人</w:t>
      </w:r>
      <w:r>
        <w:rPr>
          <w:rFonts w:hint="eastAsia"/>
        </w:rPr>
        <w:t>的全称；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（2) 投标项目名称、项目编号；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   （3）正本或副本、电子版本、开标一览表“请勿在＿＿＿＿(开标时间)之前启封”。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17.4如果</w:t>
      </w:r>
      <w:r>
        <w:rPr>
          <w:rFonts w:hint="eastAsia"/>
          <w:lang w:eastAsia="zh-CN"/>
        </w:rPr>
        <w:t>投标人</w:t>
      </w:r>
      <w:r>
        <w:rPr>
          <w:rFonts w:hint="eastAsia"/>
        </w:rPr>
        <w:t>未对投标文件按上述要求进行完好密封，由此产生的不利后果由</w:t>
      </w:r>
      <w:r>
        <w:rPr>
          <w:rFonts w:hint="eastAsia"/>
          <w:lang w:eastAsia="zh-CN"/>
        </w:rPr>
        <w:t>投标人</w:t>
      </w:r>
      <w:r>
        <w:rPr>
          <w:rFonts w:hint="eastAsia"/>
        </w:rPr>
        <w:t>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18．投标文件的递交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18.1</w:t>
      </w:r>
      <w:r>
        <w:rPr>
          <w:rFonts w:hint="eastAsia"/>
          <w:lang w:eastAsia="zh-CN"/>
        </w:rPr>
        <w:t>投标人</w:t>
      </w:r>
      <w:r>
        <w:rPr>
          <w:rFonts w:hint="eastAsia"/>
        </w:rPr>
        <w:t>应按照招标公告中规定的时间、地点，在规定的投标文件递交截止时间前将全部投标文件和投标资料递交至采购代理机构投标文件接收人。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18.2采购代理机构在招标文件规定的投标文件递交截止时间前，只负责投标文件的接收、清点、造册登记工作，并请递交人签字确认，对其有效性不负任何责任；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18.3采购代理机构收到投标文件后，向</w:t>
      </w:r>
      <w:r>
        <w:rPr>
          <w:rFonts w:hint="eastAsia"/>
          <w:lang w:eastAsia="zh-CN"/>
        </w:rPr>
        <w:t>投标人</w:t>
      </w:r>
      <w:r>
        <w:rPr>
          <w:rFonts w:hint="eastAsia"/>
        </w:rPr>
        <w:t>出具签收回执。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18.4无论</w:t>
      </w:r>
      <w:r>
        <w:rPr>
          <w:rFonts w:hint="eastAsia"/>
          <w:lang w:eastAsia="zh-CN"/>
        </w:rPr>
        <w:t>投标人</w:t>
      </w:r>
      <w:r>
        <w:rPr>
          <w:rFonts w:hint="eastAsia"/>
        </w:rPr>
        <w:t>中标与否，其投标文件恕不退还。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19．迟交的投标文件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19.1按照招标文件的规定，在递交投标文件的截止时间之后送达的投标文件，为无效投标文件，采购代理机构将拒绝接收。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20．投标的修改与撤回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20.1 </w:t>
      </w:r>
      <w:r>
        <w:rPr>
          <w:rFonts w:hint="eastAsia"/>
          <w:lang w:eastAsia="zh-CN"/>
        </w:rPr>
        <w:t>投标人</w:t>
      </w:r>
      <w:r>
        <w:rPr>
          <w:rFonts w:hint="eastAsia"/>
        </w:rPr>
        <w:t>在递交投标文件后，可以修改或撤回其投标文件，也可以提出价格变动声明，但</w:t>
      </w:r>
      <w:r>
        <w:rPr>
          <w:rFonts w:hint="eastAsia"/>
          <w:lang w:eastAsia="zh-CN"/>
        </w:rPr>
        <w:t>投标人</w:t>
      </w:r>
      <w:r>
        <w:rPr>
          <w:rFonts w:hint="eastAsia"/>
        </w:rPr>
        <w:t>必须在规定的投标文件递交截止时间之前将修改或撤回或变动价格的书面通知文件递交到采购代理机构。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 xml:space="preserve">20.2 </w:t>
      </w:r>
      <w:r>
        <w:rPr>
          <w:rFonts w:hint="eastAsia"/>
          <w:lang w:eastAsia="zh-CN"/>
        </w:rPr>
        <w:t>投标人</w:t>
      </w:r>
      <w:r>
        <w:rPr>
          <w:rFonts w:hint="eastAsia"/>
        </w:rPr>
        <w:t>的修改或撤回或变动价格的通知应按本须知第17条的规定编制、密封、标记和递交。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20.3 在投标文件递交截止时间之后，</w:t>
      </w:r>
      <w:r>
        <w:rPr>
          <w:rFonts w:hint="eastAsia"/>
          <w:lang w:eastAsia="zh-CN"/>
        </w:rPr>
        <w:t>投标人</w:t>
      </w:r>
      <w:r>
        <w:rPr>
          <w:rFonts w:hint="eastAsia"/>
        </w:rPr>
        <w:t>不得对其投标做任何修改或撤回。</w:t>
      </w:r>
    </w:p>
    <w:p>
      <w:pPr>
        <w:bidi w:val="0"/>
        <w:jc w:val="center"/>
        <w:rPr>
          <w:rFonts w:hint="eastAsia" w:ascii="宋体" w:hAnsi="宋体" w:eastAsia="宋体" w:cs="宋体"/>
          <w:b/>
          <w:color w:val="auto"/>
          <w:sz w:val="32"/>
          <w:szCs w:val="32"/>
          <w:highlight w:val="none"/>
        </w:rPr>
      </w:pPr>
      <w:bookmarkStart w:id="204" w:name="_Toc26430"/>
      <w:bookmarkStart w:id="205" w:name="_Toc363473976"/>
      <w:bookmarkStart w:id="206" w:name="_Toc403077643"/>
      <w:bookmarkStart w:id="207" w:name="_Toc363474021"/>
      <w:bookmarkStart w:id="208" w:name="_Toc31263"/>
      <w:r>
        <w:rPr>
          <w:rFonts w:hint="eastAsia" w:ascii="宋体" w:hAnsi="宋体" w:eastAsia="宋体" w:cs="宋体"/>
          <w:b/>
          <w:color w:val="auto"/>
          <w:sz w:val="32"/>
          <w:szCs w:val="32"/>
          <w:highlight w:val="none"/>
        </w:rPr>
        <w:t>五.开标与评标</w:t>
      </w:r>
      <w:bookmarkEnd w:id="204"/>
      <w:bookmarkEnd w:id="205"/>
      <w:bookmarkEnd w:id="206"/>
      <w:bookmarkEnd w:id="207"/>
      <w:bookmarkEnd w:id="20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21.开标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21.1 采购代理机构在规定的时间和地点组织公开开标。开标时所有</w:t>
      </w:r>
      <w:r>
        <w:rPr>
          <w:rFonts w:hint="eastAsia" w:ascii="宋体" w:hAnsi="Times New Roman" w:eastAsia="宋体" w:cs="Times New Roman"/>
          <w:lang w:eastAsia="zh-CN"/>
        </w:rPr>
        <w:t>投标人</w:t>
      </w:r>
      <w:r>
        <w:rPr>
          <w:rFonts w:hint="eastAsia" w:ascii="宋体" w:hAnsi="Times New Roman" w:eastAsia="宋体" w:cs="Times New Roman"/>
        </w:rPr>
        <w:t>代表自愿参加，参加开标的代表应签名报到以证明其出席。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21.2 开标时，由监标人和</w:t>
      </w:r>
      <w:r>
        <w:rPr>
          <w:rFonts w:hint="eastAsia" w:ascii="宋体" w:hAnsi="Times New Roman" w:eastAsia="宋体" w:cs="Times New Roman"/>
          <w:lang w:eastAsia="zh-CN"/>
        </w:rPr>
        <w:t>投标人</w:t>
      </w:r>
      <w:r>
        <w:rPr>
          <w:rFonts w:hint="eastAsia" w:ascii="宋体" w:hAnsi="Times New Roman" w:eastAsia="宋体" w:cs="Times New Roman"/>
        </w:rPr>
        <w:t>或者其推选的代表检查投标文件的密封情况。检查完毕后，采购代理机构当众宣读</w:t>
      </w:r>
      <w:r>
        <w:rPr>
          <w:rFonts w:hint="eastAsia" w:ascii="宋体" w:hAnsi="Times New Roman" w:eastAsia="宋体" w:cs="Times New Roman"/>
          <w:lang w:eastAsia="zh-CN"/>
        </w:rPr>
        <w:t>投标人</w:t>
      </w:r>
      <w:r>
        <w:rPr>
          <w:rFonts w:hint="eastAsia" w:ascii="宋体" w:hAnsi="Times New Roman" w:eastAsia="宋体" w:cs="Times New Roman"/>
        </w:rPr>
        <w:t>名称、投标价格、价格折扣、修改或撤回或变动价格的书面通知（如果有），以及采购代理机构认为合适的其他内容。未在开标时宣读的投标价格和价格折扣，评标时不予承认。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21.3只有在开标时唱出的价格和价格变动声明，评标时才能考虑。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21.4在开标时没有启封和宣读的投标文件将原封退回给</w:t>
      </w:r>
      <w:r>
        <w:rPr>
          <w:rFonts w:hint="eastAsia" w:ascii="宋体" w:hAnsi="Times New Roman" w:eastAsia="宋体" w:cs="Times New Roman"/>
          <w:lang w:eastAsia="zh-CN"/>
        </w:rPr>
        <w:t>投标人</w:t>
      </w:r>
      <w:r>
        <w:rPr>
          <w:rFonts w:hint="eastAsia" w:ascii="宋体" w:hAnsi="Times New Roman" w:eastAsia="宋体" w:cs="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21.5 采购代理机构将做开标记录，存档备查。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22．评标组织及评标原则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22.1按照《中华人民共和国政府采购法》及实施条例和中华人民共和国财政部令第87号--《政府采购货物和服务招标投标管理办法》的规定，依法组建评标委员会。评标委员会由采购人代表和评审专家组成，成员人数为5人以上单数，采购人代表须持有授权书。专家人选在省级财政部门设立的政府采购评审专家库中随机抽取，评标委员会按照招标文件规定的评标方法独立进行评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22.2 评标委员会负责具体评标事务，并独立履行下列职责：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（1）审查、评价投标文件是否符合招标文件的商务、技术、服务等实质性要求；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（2）要求</w:t>
      </w:r>
      <w:r>
        <w:rPr>
          <w:rFonts w:hint="eastAsia" w:ascii="宋体" w:hAnsi="Times New Roman" w:eastAsia="宋体" w:cs="Times New Roman"/>
          <w:lang w:eastAsia="zh-CN"/>
        </w:rPr>
        <w:t>投标人</w:t>
      </w:r>
      <w:r>
        <w:rPr>
          <w:rFonts w:hint="eastAsia" w:ascii="宋体" w:hAnsi="Times New Roman" w:eastAsia="宋体" w:cs="Times New Roman"/>
        </w:rPr>
        <w:t>对投标文件有关事项作出澄清或者说明；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（3）对投标文件进行比较和评价；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（4）确定中标候选人名单，以及根据采购人委托直接确定中标人；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（5）向采购人、采购代理机构或者有关部门报告评标中发现的违法行为。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22.3 采购代理机构负责组织评标工作并履行下列职责：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（1）核对评审专家身份和采购人代表授权函，对评审专家在政府采购活动中的职责履行情况予以记录，并及时将有关违法违规行为向财政部门报告；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（2）宣布评标纪律；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（3）公布</w:t>
      </w:r>
      <w:r>
        <w:rPr>
          <w:rFonts w:hint="eastAsia" w:ascii="宋体" w:hAnsi="Times New Roman" w:eastAsia="宋体" w:cs="Times New Roman"/>
          <w:lang w:eastAsia="zh-CN"/>
        </w:rPr>
        <w:t>投标人</w:t>
      </w:r>
      <w:r>
        <w:rPr>
          <w:rFonts w:hint="eastAsia" w:ascii="宋体" w:hAnsi="Times New Roman" w:eastAsia="宋体" w:cs="Times New Roman"/>
        </w:rPr>
        <w:t>名单，告知评标专家应当回避的情形；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（4）组织评标委员会推选评标组长，采购人代表不得担任组长；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（5）在评标期间采取必要的通讯管理措施，保证评标活动不受外界干扰；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（6）根据评标委员会的要求介绍政府采购相关政策法规、招标文件；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 xml:space="preserve">（7）维护评标秩序，监督评标委员会依照评标文件规定的评审程序、方法和标准进行独立评审，及时制止和纠正采购人代表、评审专家的倾向性言论或违法违规行为；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（8）核对评标结果，有《政府采购货物和服务招标投标管理办法》第六十四条规定情形的，要求评标委员会复核或书面说明理由，评标委员会拒绝的，应予记录并向本级财政部门报告；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（9）评审工作完成后，按照规定向评审专家支付劳务报酬和异地评审差旅费；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（10）处理与评标有关的其他事项。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22.4招标文件和投标文件是评标的依据。在评标中，不得改变招标文件中规定的评标标准、方法和中标条件。</w:t>
      </w:r>
      <w:r>
        <w:rPr>
          <w:rFonts w:hint="eastAsia" w:ascii="宋体" w:hAnsi="Times New Roman" w:eastAsia="宋体" w:cs="Times New Roman"/>
          <w:lang w:eastAsia="zh-CN"/>
        </w:rPr>
        <w:t>投标人</w:t>
      </w:r>
      <w:r>
        <w:rPr>
          <w:rFonts w:hint="eastAsia" w:ascii="宋体" w:hAnsi="Times New Roman" w:eastAsia="宋体" w:cs="Times New Roman"/>
        </w:rPr>
        <w:t>不得在开标后使用任何方式对投标文件的实质性内容做任何更改。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22.5在评标期间，对投标文件中含义不明确、同类问题表述不一致或者有明显文字和计算错误的内容，评标委员会可以书面形式（由评标委员会专家签字）要求</w:t>
      </w:r>
      <w:r>
        <w:rPr>
          <w:rFonts w:hint="eastAsia" w:ascii="宋体" w:hAnsi="Times New Roman" w:eastAsia="宋体" w:cs="Times New Roman"/>
          <w:lang w:eastAsia="zh-CN"/>
        </w:rPr>
        <w:t>投标人</w:t>
      </w:r>
      <w:r>
        <w:rPr>
          <w:rFonts w:hint="eastAsia" w:ascii="宋体" w:hAnsi="Times New Roman" w:eastAsia="宋体" w:cs="Times New Roman"/>
        </w:rPr>
        <w:t>作出必要的澄清、说明或者纠正。</w:t>
      </w:r>
      <w:r>
        <w:rPr>
          <w:rFonts w:hint="eastAsia" w:ascii="宋体" w:hAnsi="Times New Roman" w:eastAsia="宋体" w:cs="Times New Roman"/>
          <w:lang w:eastAsia="zh-CN"/>
        </w:rPr>
        <w:t>投标人</w:t>
      </w:r>
      <w:r>
        <w:rPr>
          <w:rFonts w:hint="eastAsia" w:ascii="宋体" w:hAnsi="Times New Roman" w:eastAsia="宋体" w:cs="Times New Roman"/>
        </w:rPr>
        <w:t>的澄清、说明或者补正应当采用书面形式，由其授权的代表签字，并不得超出投标文件的范围或者改变投标文件的实质性内容。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22.6如果</w:t>
      </w:r>
      <w:r>
        <w:rPr>
          <w:rFonts w:hint="eastAsia" w:ascii="宋体" w:hAnsi="Times New Roman" w:eastAsia="宋体" w:cs="Times New Roman"/>
          <w:lang w:eastAsia="zh-CN"/>
        </w:rPr>
        <w:t>投标人</w:t>
      </w:r>
      <w:r>
        <w:rPr>
          <w:rFonts w:hint="eastAsia" w:ascii="宋体" w:hAnsi="Times New Roman" w:eastAsia="宋体" w:cs="Times New Roman"/>
        </w:rPr>
        <w:t>在澄清规定期限内，未能答复或拒绝答复评委会提出的澄清要求，将由评委会根据其投标文件按最大风险进行评标。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22.7投标文件的初审（含资格性、符合性审查）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22.5.1采购人或采购代理机构将审查资格证明文件是否合格齐全，评标委员会审查投标文件是否完整等。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22.5.2投标文件报价出现前后不一致的，按照下列规定修正：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lang w:eastAsia="zh-CN"/>
        </w:rPr>
        <w:t>（</w:t>
      </w:r>
      <w:r>
        <w:rPr>
          <w:rFonts w:hint="eastAsia" w:ascii="宋体" w:hAnsi="Times New Roman" w:eastAsia="宋体" w:cs="Times New Roman"/>
          <w:lang w:val="en-US" w:eastAsia="zh-CN"/>
        </w:rPr>
        <w:t>1</w:t>
      </w:r>
      <w:r>
        <w:rPr>
          <w:rFonts w:hint="eastAsia" w:ascii="宋体" w:hAnsi="Times New Roman" w:eastAsia="宋体" w:cs="Times New Roman"/>
          <w:lang w:eastAsia="zh-CN"/>
        </w:rPr>
        <w:t>）</w:t>
      </w:r>
      <w:r>
        <w:rPr>
          <w:rFonts w:hint="eastAsia" w:ascii="宋体" w:hAnsi="Times New Roman" w:eastAsia="宋体" w:cs="Times New Roman"/>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lang w:eastAsia="zh-CN"/>
        </w:rPr>
        <w:t>（</w:t>
      </w:r>
      <w:r>
        <w:rPr>
          <w:rFonts w:hint="eastAsia" w:ascii="宋体" w:hAnsi="Times New Roman" w:eastAsia="宋体" w:cs="Times New Roman"/>
          <w:lang w:val="en-US" w:eastAsia="zh-CN"/>
        </w:rPr>
        <w:t>2</w:t>
      </w:r>
      <w:r>
        <w:rPr>
          <w:rFonts w:hint="eastAsia" w:ascii="宋体" w:hAnsi="Times New Roman" w:eastAsia="宋体" w:cs="Times New Roman"/>
          <w:lang w:eastAsia="zh-CN"/>
        </w:rPr>
        <w:t>）</w:t>
      </w:r>
      <w:r>
        <w:rPr>
          <w:rFonts w:hint="eastAsia" w:ascii="宋体" w:hAnsi="Times New Roman" w:eastAsia="宋体" w:cs="Times New Roman"/>
        </w:rPr>
        <w:t>投标文件的大写金额和小写金额不一致的，以大写金额为准；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lang w:eastAsia="zh-CN"/>
        </w:rPr>
        <w:t>（</w:t>
      </w:r>
      <w:r>
        <w:rPr>
          <w:rFonts w:hint="eastAsia" w:ascii="宋体" w:hAnsi="Times New Roman" w:eastAsia="宋体" w:cs="Times New Roman"/>
          <w:lang w:val="en-US" w:eastAsia="zh-CN"/>
        </w:rPr>
        <w:t>3</w:t>
      </w:r>
      <w:r>
        <w:rPr>
          <w:rFonts w:hint="eastAsia" w:ascii="宋体" w:hAnsi="Times New Roman" w:eastAsia="宋体" w:cs="Times New Roman"/>
          <w:lang w:eastAsia="zh-CN"/>
        </w:rPr>
        <w:t>）</w:t>
      </w:r>
      <w:r>
        <w:rPr>
          <w:rFonts w:hint="eastAsia" w:ascii="宋体" w:hAnsi="Times New Roman" w:eastAsia="宋体" w:cs="Times New Roman"/>
        </w:rPr>
        <w:t>单价金额小数点或者百分比有明显错位的，以单独密封的开标一览表的总价为准，并修改单价；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lang w:eastAsia="zh-CN"/>
        </w:rPr>
        <w:t>（</w:t>
      </w:r>
      <w:r>
        <w:rPr>
          <w:rFonts w:hint="eastAsia" w:ascii="宋体" w:hAnsi="Times New Roman" w:eastAsia="宋体" w:cs="Times New Roman"/>
          <w:lang w:val="en-US" w:eastAsia="zh-CN"/>
        </w:rPr>
        <w:t>4</w:t>
      </w:r>
      <w:r>
        <w:rPr>
          <w:rFonts w:hint="eastAsia" w:ascii="宋体" w:hAnsi="Times New Roman" w:eastAsia="宋体" w:cs="Times New Roman"/>
          <w:lang w:eastAsia="zh-CN"/>
        </w:rPr>
        <w:t>）</w:t>
      </w:r>
      <w:r>
        <w:rPr>
          <w:rFonts w:hint="eastAsia" w:ascii="宋体" w:hAnsi="Times New Roman" w:eastAsia="宋体" w:cs="Times New Roman"/>
        </w:rPr>
        <w:t>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按上述修正的顺序和方法调整的投标报价应对</w:t>
      </w:r>
      <w:r>
        <w:rPr>
          <w:rFonts w:hint="eastAsia" w:ascii="宋体" w:hAnsi="Times New Roman" w:eastAsia="宋体" w:cs="Times New Roman"/>
          <w:lang w:eastAsia="zh-CN"/>
        </w:rPr>
        <w:t>投标人</w:t>
      </w:r>
      <w:r>
        <w:rPr>
          <w:rFonts w:hint="eastAsia" w:ascii="宋体" w:hAnsi="Times New Roman" w:eastAsia="宋体" w:cs="Times New Roman"/>
        </w:rPr>
        <w:t>具有约束力。如果</w:t>
      </w:r>
      <w:r>
        <w:rPr>
          <w:rFonts w:hint="eastAsia" w:ascii="宋体" w:hAnsi="Times New Roman" w:eastAsia="宋体" w:cs="Times New Roman"/>
          <w:lang w:eastAsia="zh-CN"/>
        </w:rPr>
        <w:t>投标人</w:t>
      </w:r>
      <w:r>
        <w:rPr>
          <w:rFonts w:hint="eastAsia" w:ascii="宋体" w:hAnsi="Times New Roman" w:eastAsia="宋体" w:cs="Times New Roman"/>
        </w:rPr>
        <w:t>不接受修正后的价格，其投标将按无效投标处理。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22.5.3在详细评标之前，根据本须知第22.5.4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22.5.4实质上没有响应招标文件要求的投标将按无效投标处理。</w:t>
      </w:r>
      <w:r>
        <w:rPr>
          <w:rFonts w:hint="eastAsia" w:ascii="宋体" w:hAnsi="Times New Roman" w:eastAsia="宋体" w:cs="Times New Roman"/>
          <w:lang w:eastAsia="zh-CN"/>
        </w:rPr>
        <w:t>投标人</w:t>
      </w:r>
      <w:r>
        <w:rPr>
          <w:rFonts w:hint="eastAsia" w:ascii="宋体" w:hAnsi="Times New Roman" w:eastAsia="宋体" w:cs="Times New Roman"/>
        </w:rPr>
        <w:t>不得通过修正或撤销不合要求的偏离从而使其投标成为实质性响应的投标。如发现下列情况之一的，其投标将构成非实质性响应，按无效投标处理：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1）没有按照招标文件要求提供投标文件或投标文件构成有重大缺项；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2）投标文件未按招标文件要求签署、盖章的；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3）不具备招标文件中规定的资格要求的；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4）无投标有效期或有效期达不到招标文件要求的；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5）存在有重大缺漏项和重大技术偏离的投标货物（产品）；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6）</w:t>
      </w:r>
      <w:r>
        <w:rPr>
          <w:rFonts w:hint="eastAsia" w:ascii="宋体" w:hAnsi="Times New Roman" w:eastAsia="宋体" w:cs="Times New Roman"/>
          <w:lang w:eastAsia="zh-CN"/>
        </w:rPr>
        <w:t>投标人</w:t>
      </w:r>
      <w:r>
        <w:rPr>
          <w:rFonts w:hint="eastAsia" w:ascii="宋体" w:hAnsi="Times New Roman" w:eastAsia="宋体" w:cs="Times New Roman"/>
        </w:rPr>
        <w:t xml:space="preserve">有串通投标、以他人名义投标、弄虚作假、行贿等违法行为的；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7）投标总报价超过招标文件公布的采购预算或者最高限价的；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8）投标文件含有采购人不能接受的附加条件的；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9）</w:t>
      </w:r>
      <w:r>
        <w:rPr>
          <w:rFonts w:hint="eastAsia" w:ascii="宋体" w:hAnsi="Times New Roman" w:eastAsia="宋体" w:cs="Times New Roman"/>
          <w:lang w:eastAsia="zh-CN"/>
        </w:rPr>
        <w:t>投标人</w:t>
      </w:r>
      <w:r>
        <w:rPr>
          <w:rFonts w:hint="eastAsia" w:ascii="宋体" w:hAnsi="Times New Roman" w:eastAsia="宋体" w:cs="Times New Roman"/>
        </w:rPr>
        <w:t>被列入失信被执行人、重大税收违法案件当事人名单、政府采购严重违法失信行为记录名单的；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10）法律、法规规定的其他无效情形。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22.6投标文件的详细评审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22.6.1评标委员会将按照本须知第22.5.4条规定，只对确定为实质性响应招标文件要求的投标进行详细评审。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22.6.2详细评审按照第三章“评标方法”的评标方法进行。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22.7中标候选人的确定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评标委员会完成评标后，向采购人提出书面评标报告，并推荐三名中标候选人，标明排列顺序。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23．评标过程的保密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23.1评标委员会成员和与评标活动有关的工作人员不得泄露有关投标文件的评审和比较、中标候选人的推荐以及与评标有关的其他情况。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23.2在评标过程中，如果</w:t>
      </w:r>
      <w:r>
        <w:rPr>
          <w:rFonts w:hint="eastAsia" w:ascii="宋体" w:hAnsi="Times New Roman" w:eastAsia="宋体" w:cs="Times New Roman"/>
          <w:lang w:eastAsia="zh-CN"/>
        </w:rPr>
        <w:t>投标人</w:t>
      </w:r>
      <w:r>
        <w:rPr>
          <w:rFonts w:hint="eastAsia" w:ascii="宋体" w:hAnsi="Times New Roman" w:eastAsia="宋体" w:cs="Times New Roman"/>
        </w:rPr>
        <w:t>试图在投标文件的评审和比较、中标候选人的推荐以及与评标有关的其他方面，向评标人、采购人和采购代理机构施加任何影响，其投标应做无效投标处理。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24．评标方法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24.1按照中华人民共和国财政部令第87号--《政府采购货物和服务招标投标管理办法》的规定，本次评标采用以下评标方法中的一种：具体见“</w:t>
      </w:r>
      <w:r>
        <w:rPr>
          <w:rFonts w:hint="eastAsia" w:ascii="宋体" w:hAnsi="Times New Roman" w:eastAsia="宋体" w:cs="Times New Roman"/>
          <w:lang w:eastAsia="zh-CN"/>
        </w:rPr>
        <w:t>投标人</w:t>
      </w:r>
      <w:r>
        <w:rPr>
          <w:rFonts w:hint="eastAsia" w:ascii="宋体" w:hAnsi="Times New Roman" w:eastAsia="宋体" w:cs="Times New Roman"/>
        </w:rPr>
        <w:t>须知前附表”。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 最低评标价法，即在全部满足招标文件实质性要求前提下，且投标报价最低的</w:t>
      </w:r>
      <w:r>
        <w:rPr>
          <w:rFonts w:hint="eastAsia" w:ascii="宋体" w:hAnsi="Times New Roman" w:eastAsia="宋体" w:cs="Times New Roman"/>
          <w:lang w:eastAsia="zh-CN"/>
        </w:rPr>
        <w:t>投标人</w:t>
      </w:r>
      <w:r>
        <w:rPr>
          <w:rFonts w:hint="eastAsia" w:ascii="宋体" w:hAnsi="Times New Roman" w:eastAsia="宋体" w:cs="Times New Roman"/>
        </w:rPr>
        <w:t>为中标候选人的评标方法。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 综合评分法，即在最大限度地满足招标文件实质性要求前提下，按照招标文件中规定的各项因素（包括投标报价、技术或者服务水平、履约能力、售后服务、对招标文件的响应程度等）和相应的权重分值进行综合评审后，以总得分最高的</w:t>
      </w:r>
      <w:r>
        <w:rPr>
          <w:rFonts w:hint="eastAsia" w:ascii="宋体" w:hAnsi="Times New Roman" w:eastAsia="宋体" w:cs="Times New Roman"/>
          <w:lang w:eastAsia="zh-CN"/>
        </w:rPr>
        <w:t>投标人</w:t>
      </w:r>
      <w:r>
        <w:rPr>
          <w:rFonts w:hint="eastAsia" w:ascii="宋体" w:hAnsi="Times New Roman" w:eastAsia="宋体" w:cs="Times New Roman"/>
        </w:rPr>
        <w:t>作为中标候选人并依次排序。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25．评标程序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按照投标文件初审、澄清有关问题、比较与评价、推荐中标候选人名单的工作程序进行评标。在上一步评审中</w:t>
      </w:r>
      <w:r>
        <w:rPr>
          <w:rFonts w:hint="eastAsia" w:ascii="宋体" w:hAnsi="Times New Roman" w:eastAsia="宋体" w:cs="Times New Roman"/>
          <w:lang w:eastAsia="zh-CN"/>
        </w:rPr>
        <w:t>投标人</w:t>
      </w:r>
      <w:r>
        <w:rPr>
          <w:rFonts w:hint="eastAsia" w:ascii="宋体" w:hAnsi="Times New Roman" w:eastAsia="宋体" w:cs="Times New Roman"/>
        </w:rPr>
        <w:t>被认定无效投标者，不进入下一步的评审。</w:t>
      </w:r>
    </w:p>
    <w:p>
      <w:pPr>
        <w:bidi w:val="0"/>
        <w:jc w:val="center"/>
        <w:rPr>
          <w:rFonts w:hint="eastAsia" w:ascii="宋体" w:hAnsi="宋体" w:eastAsia="宋体" w:cs="宋体"/>
          <w:b/>
          <w:color w:val="auto"/>
          <w:sz w:val="32"/>
          <w:szCs w:val="32"/>
          <w:highlight w:val="none"/>
        </w:rPr>
      </w:pPr>
      <w:bookmarkStart w:id="209" w:name="_Toc403077644"/>
      <w:bookmarkStart w:id="210" w:name="_Toc363474022"/>
      <w:bookmarkStart w:id="211" w:name="_Toc363473977"/>
      <w:bookmarkStart w:id="212" w:name="_Toc9455"/>
      <w:bookmarkStart w:id="213" w:name="_Toc14474"/>
      <w:r>
        <w:rPr>
          <w:rFonts w:hint="eastAsia" w:ascii="宋体" w:hAnsi="宋体" w:eastAsia="宋体" w:cs="宋体"/>
          <w:b/>
          <w:color w:val="auto"/>
          <w:sz w:val="32"/>
          <w:szCs w:val="32"/>
          <w:highlight w:val="none"/>
        </w:rPr>
        <w:t>六.定标、中标通知与签约</w:t>
      </w:r>
      <w:bookmarkEnd w:id="209"/>
      <w:bookmarkEnd w:id="210"/>
      <w:bookmarkEnd w:id="211"/>
      <w:bookmarkEnd w:id="212"/>
      <w:bookmarkEnd w:id="2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26．定标程序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26.1评标委员会根据评标方法的规定对</w:t>
      </w:r>
      <w:r>
        <w:rPr>
          <w:rFonts w:hint="eastAsia" w:ascii="宋体" w:hAnsi="Times New Roman" w:eastAsia="宋体" w:cs="Times New Roman"/>
          <w:lang w:eastAsia="zh-CN"/>
        </w:rPr>
        <w:t>投标人</w:t>
      </w:r>
      <w:r>
        <w:rPr>
          <w:rFonts w:hint="eastAsia" w:ascii="宋体" w:hAnsi="Times New Roman" w:eastAsia="宋体" w:cs="Times New Roman"/>
        </w:rPr>
        <w:t>进行评审排序，推荐3名中标候选人，作为评标结果。评标结果由评标委员会成员签字确认。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26.2采购代理机构在评标结束后2个工作日内将评标报告送采购人。采购人应当在收到评标报告后5个工作日内，按照评标报告中推荐的中标候选人顺序和有关规定确定中标人。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26.3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26.4采购人也可以授权评标委员会评标后直接确定中标人。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26.5中标人确定之后，中标结果将在财政部门指定的政府采购信息发布媒体上公告。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26.6</w:t>
      </w:r>
      <w:r>
        <w:rPr>
          <w:rFonts w:hint="eastAsia" w:ascii="宋体" w:hAnsi="Times New Roman" w:eastAsia="宋体" w:cs="Times New Roman"/>
          <w:lang w:eastAsia="zh-CN"/>
        </w:rPr>
        <w:t>投标人</w:t>
      </w:r>
      <w:r>
        <w:rPr>
          <w:rFonts w:hint="eastAsia" w:ascii="宋体" w:hAnsi="Times New Roman" w:eastAsia="宋体" w:cs="Times New Roman"/>
        </w:rPr>
        <w:t>或者其他利害关系人对评标结果有异议的，应当在法律规定的时间内提出。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27．中标通知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27.1 采购代理机构在发布中标公告后，向中标人发出《中标通知书》。中标人领取中标通知书时须携带法定代表人授权书及加盖单位公章的被授权人身份证复印件。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27.2中标通知书对采购人和中标人具有同等法律效力。中标通知书发出之后，采购人改变中标结果，或者中标人放弃中标，应当承担相应的法律责任。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28. 中标合同的签订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28.2采购人自采购合同签订之日起七个工作日内，将采购合同副本报同级人民政府财政部门备案。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29．招标代理服务费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招标代理费：以中标金额为基数，参照国家计委颁发的《招标代理服务收费管理暂行办法》（计价格[2002]1980号）和国家发展改革委员会办公厅颁发的《关于招标代理服务收费有关问题的通知》（发改办价格[2003]857号）的有关规定执行，不足5000元按5000元计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 xml:space="preserve"> 30.质疑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30.1</w:t>
      </w:r>
      <w:r>
        <w:rPr>
          <w:rFonts w:hint="eastAsia" w:ascii="宋体" w:hAnsi="Times New Roman" w:eastAsia="宋体" w:cs="Times New Roman"/>
          <w:lang w:eastAsia="zh-CN"/>
        </w:rPr>
        <w:t>投标人</w:t>
      </w:r>
      <w:r>
        <w:rPr>
          <w:rFonts w:hint="eastAsia" w:ascii="宋体" w:hAnsi="Times New Roman" w:eastAsia="宋体" w:cs="Times New Roman"/>
        </w:rPr>
        <w:t>认为招标文件、招标过程、中标结果使自己的权益受到损害的，可以在知道或者应知其权益受到损害之日起7个工作日内，以书面形式向采购人、采购代理机构提出质疑。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30.2</w:t>
      </w:r>
      <w:r>
        <w:rPr>
          <w:rFonts w:hint="eastAsia" w:ascii="宋体" w:hAnsi="Times New Roman" w:eastAsia="宋体" w:cs="Times New Roman"/>
          <w:lang w:eastAsia="zh-CN"/>
        </w:rPr>
        <w:t>投标人</w:t>
      </w:r>
      <w:r>
        <w:rPr>
          <w:rFonts w:hint="eastAsia" w:ascii="宋体" w:hAnsi="Times New Roman" w:eastAsia="宋体" w:cs="Times New Roman"/>
        </w:rPr>
        <w:t>必须在法定质疑期内一次性提出针对同一采购程序环节的质疑。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30.3</w:t>
      </w:r>
      <w:r>
        <w:rPr>
          <w:rFonts w:hint="eastAsia" w:ascii="宋体" w:hAnsi="Times New Roman" w:eastAsia="宋体" w:cs="Times New Roman"/>
          <w:lang w:eastAsia="zh-CN"/>
        </w:rPr>
        <w:t>投标人</w:t>
      </w:r>
      <w:r>
        <w:rPr>
          <w:rFonts w:hint="eastAsia" w:ascii="宋体" w:hAnsi="Times New Roman" w:eastAsia="宋体" w:cs="Times New Roman"/>
        </w:rPr>
        <w:t>可以委托代理人进行质疑。代理人提出质疑的，应当提交授权委托书。授权委托书应当载明代理人的姓名或者名称、代理事项、具体权限、期限和相关事项。</w:t>
      </w:r>
      <w:r>
        <w:rPr>
          <w:rFonts w:hint="eastAsia" w:ascii="宋体" w:hAnsi="Times New Roman" w:eastAsia="宋体" w:cs="Times New Roman"/>
          <w:lang w:eastAsia="zh-CN"/>
        </w:rPr>
        <w:t>投标人</w:t>
      </w:r>
      <w:r>
        <w:rPr>
          <w:rFonts w:hint="eastAsia" w:ascii="宋体" w:hAnsi="Times New Roman" w:eastAsia="宋体" w:cs="Times New Roman"/>
        </w:rPr>
        <w:t>为自然人的，应当由本人签字；</w:t>
      </w:r>
      <w:r>
        <w:rPr>
          <w:rFonts w:hint="eastAsia" w:ascii="宋体" w:hAnsi="Times New Roman" w:eastAsia="宋体" w:cs="Times New Roman"/>
          <w:lang w:eastAsia="zh-CN"/>
        </w:rPr>
        <w:t>投标人</w:t>
      </w:r>
      <w:r>
        <w:rPr>
          <w:rFonts w:hint="eastAsia" w:ascii="宋体" w:hAnsi="Times New Roman" w:eastAsia="宋体" w:cs="Times New Roman"/>
        </w:rPr>
        <w:t>为法人或者其他组织的，应当由法定代表人、主要负责人签字或者盖章，并加盖公章。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30.4以联合体形式参加政府采购活动的，其质疑应当由组成联合体的所有</w:t>
      </w:r>
      <w:r>
        <w:rPr>
          <w:rFonts w:hint="eastAsia" w:ascii="宋体" w:hAnsi="Times New Roman" w:eastAsia="宋体" w:cs="Times New Roman"/>
          <w:lang w:eastAsia="zh-CN"/>
        </w:rPr>
        <w:t>投标人</w:t>
      </w:r>
      <w:r>
        <w:rPr>
          <w:rFonts w:hint="eastAsia" w:ascii="宋体" w:hAnsi="Times New Roman" w:eastAsia="宋体" w:cs="Times New Roman"/>
        </w:rPr>
        <w:t>共同提出。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30.5</w:t>
      </w:r>
      <w:r>
        <w:rPr>
          <w:rFonts w:hint="eastAsia" w:ascii="宋体" w:hAnsi="Times New Roman" w:eastAsia="宋体" w:cs="Times New Roman"/>
          <w:lang w:eastAsia="zh-CN"/>
        </w:rPr>
        <w:t>投标人</w:t>
      </w:r>
      <w:r>
        <w:rPr>
          <w:rFonts w:hint="eastAsia" w:ascii="宋体" w:hAnsi="Times New Roman" w:eastAsia="宋体" w:cs="Times New Roman"/>
        </w:rPr>
        <w:t>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30.5.1</w:t>
      </w:r>
      <w:r>
        <w:rPr>
          <w:rFonts w:hint="eastAsia" w:ascii="宋体" w:hAnsi="Times New Roman" w:eastAsia="宋体" w:cs="Times New Roman"/>
          <w:lang w:eastAsia="zh-CN"/>
        </w:rPr>
        <w:t>投标人</w:t>
      </w:r>
      <w:r>
        <w:rPr>
          <w:rFonts w:hint="eastAsia" w:ascii="宋体" w:hAnsi="Times New Roman" w:eastAsia="宋体" w:cs="Times New Roman"/>
        </w:rPr>
        <w:t>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30.5.2质疑项目的名称、编号；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30.5.4事实依据；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30.5.5必要的法律依据；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30.5.6提出质疑的日期。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30.6有下列情形之一的，属于无效质疑，采购代理机构和采购人不予受理：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30.6.1质疑</w:t>
      </w:r>
      <w:r>
        <w:rPr>
          <w:rFonts w:hint="eastAsia" w:ascii="宋体" w:hAnsi="Times New Roman" w:eastAsia="宋体" w:cs="Times New Roman"/>
          <w:lang w:eastAsia="zh-CN"/>
        </w:rPr>
        <w:t>投标人</w:t>
      </w:r>
      <w:r>
        <w:rPr>
          <w:rFonts w:hint="eastAsia" w:ascii="宋体" w:hAnsi="Times New Roman" w:eastAsia="宋体" w:cs="Times New Roman"/>
        </w:rPr>
        <w:t>不是参与本次政府采购项目的</w:t>
      </w:r>
      <w:r>
        <w:rPr>
          <w:rFonts w:hint="eastAsia" w:ascii="宋体" w:hAnsi="Times New Roman" w:eastAsia="宋体" w:cs="Times New Roman"/>
          <w:lang w:eastAsia="zh-CN"/>
        </w:rPr>
        <w:t>投标人</w:t>
      </w:r>
      <w:r>
        <w:rPr>
          <w:rFonts w:hint="eastAsia" w:ascii="宋体" w:hAnsi="Times New Roman" w:eastAsia="宋体" w:cs="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30.6.2质疑</w:t>
      </w:r>
      <w:r>
        <w:rPr>
          <w:rFonts w:hint="eastAsia" w:ascii="宋体" w:hAnsi="Times New Roman" w:eastAsia="宋体" w:cs="Times New Roman"/>
          <w:lang w:eastAsia="zh-CN"/>
        </w:rPr>
        <w:t>投标人</w:t>
      </w:r>
      <w:r>
        <w:rPr>
          <w:rFonts w:hint="eastAsia" w:ascii="宋体" w:hAnsi="Times New Roman" w:eastAsia="宋体" w:cs="Times New Roman"/>
        </w:rPr>
        <w:t>与质疑事项不存在利害关系的；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30.6.3未在法定期限内提出质疑的；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30.6.4质疑未以书面形式提出，或质疑函主要内容构成不完整的；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30.6.5应当提交授权书而未提交的；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30.6.6以非法手段取得证据、材料的；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30.6.7质疑答复后，同一质疑人就同一事项或同一采购程序环节再次提出质疑的；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30.6.8不符合法律、法规、规章和政府采购监管机构规定的其他条件的。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 xml:space="preserve">    30.7质疑答复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30.7.1采购人或采购代理机构在收到质疑函后7个工作日内作出答复，并以书面形式通知质疑</w:t>
      </w:r>
      <w:r>
        <w:rPr>
          <w:rFonts w:hint="eastAsia" w:ascii="宋体" w:hAnsi="Times New Roman" w:eastAsia="宋体" w:cs="Times New Roman"/>
          <w:lang w:eastAsia="zh-CN"/>
        </w:rPr>
        <w:t>投标人</w:t>
      </w:r>
      <w:r>
        <w:rPr>
          <w:rFonts w:hint="eastAsia" w:ascii="宋体" w:hAnsi="Times New Roman" w:eastAsia="宋体" w:cs="Times New Roman"/>
        </w:rPr>
        <w:t>和其他有关</w:t>
      </w:r>
      <w:r>
        <w:rPr>
          <w:rFonts w:hint="eastAsia" w:ascii="宋体" w:hAnsi="Times New Roman" w:eastAsia="宋体" w:cs="Times New Roman"/>
          <w:lang w:eastAsia="zh-CN"/>
        </w:rPr>
        <w:t>投标人</w:t>
      </w:r>
      <w:r>
        <w:rPr>
          <w:rFonts w:hint="eastAsia" w:ascii="宋体" w:hAnsi="Times New Roman" w:eastAsia="宋体" w:cs="Times New Roma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30.7.2质疑</w:t>
      </w:r>
      <w:r>
        <w:rPr>
          <w:rFonts w:hint="eastAsia" w:ascii="宋体" w:hAnsi="Times New Roman" w:eastAsia="宋体" w:cs="Times New Roman"/>
          <w:lang w:eastAsia="zh-CN"/>
        </w:rPr>
        <w:t>投标人</w:t>
      </w:r>
      <w:r>
        <w:rPr>
          <w:rFonts w:hint="eastAsia" w:ascii="宋体" w:hAnsi="Times New Roman" w:eastAsia="宋体" w:cs="Times New Roman"/>
        </w:rPr>
        <w:t>对采购人、采购代理机构的答复不满意，或者采购人、采购代理机构未在规定时间内作出答复的，可以在答复期满后15个工作日内向同级财政主管部门提起投诉。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30.8.1质疑函须按财政部《质疑函范本》给定的格式进行填写，范本下载详见【财政部国库司（gks.mof.gov.cn）】网站〖首页·政府采购管理〗栏目中的《政府采购</w:t>
      </w:r>
      <w:r>
        <w:rPr>
          <w:rFonts w:hint="eastAsia" w:ascii="宋体" w:hAnsi="Times New Roman" w:eastAsia="宋体" w:cs="Times New Roman"/>
          <w:lang w:eastAsia="zh-CN"/>
        </w:rPr>
        <w:t>投标人</w:t>
      </w:r>
      <w:r>
        <w:rPr>
          <w:rFonts w:hint="eastAsia" w:ascii="宋体" w:hAnsi="Times New Roman" w:eastAsia="宋体" w:cs="Times New Roman"/>
        </w:rPr>
        <w:t>质疑函范本》。《政府采购</w:t>
      </w:r>
      <w:r>
        <w:rPr>
          <w:rFonts w:hint="eastAsia" w:ascii="宋体" w:hAnsi="Times New Roman" w:eastAsia="宋体" w:cs="Times New Roman"/>
          <w:lang w:eastAsia="zh-CN"/>
        </w:rPr>
        <w:t>投标人</w:t>
      </w:r>
      <w:r>
        <w:rPr>
          <w:rFonts w:hint="eastAsia" w:ascii="宋体" w:hAnsi="Times New Roman" w:eastAsia="宋体" w:cs="Times New Roman"/>
        </w:rPr>
        <w:t>质疑函范本》链接地址：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http://gks.mof.gov.cn/zhengfucaigouguanli/201802/t20180201_2804589.html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30.8.2接收质疑函的方式：书面形式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30.8.3联系部门：陕西至诚招标咨询有限公司前台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30.8.4联系电话：029-88219779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30.8.5通讯地址：</w:t>
      </w:r>
      <w:r>
        <w:rPr>
          <w:rFonts w:hint="eastAsia" w:ascii="宋体" w:hAnsi="Times New Roman" w:eastAsia="宋体" w:cs="Times New Roman"/>
          <w:lang w:eastAsia="zh-CN"/>
        </w:rPr>
        <w:t>陕西省西安市经济技术开发区未央路171-1号银池道拉斯财富中心21楼</w:t>
      </w:r>
      <w:r>
        <w:rPr>
          <w:rFonts w:hint="eastAsia" w:ascii="宋体" w:hAnsi="Times New Roman" w:eastAsia="宋体" w:cs="Times New Roman"/>
        </w:rPr>
        <w:t>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31.其他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31.1 废标的情形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31.1.1招标采购中，出现下列情形之一的，应予以废标：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（1）符合专业条件的</w:t>
      </w:r>
      <w:r>
        <w:rPr>
          <w:rFonts w:hint="eastAsia" w:ascii="宋体" w:hAnsi="Times New Roman" w:eastAsia="宋体" w:cs="Times New Roman"/>
          <w:lang w:eastAsia="zh-CN"/>
        </w:rPr>
        <w:t>投标人</w:t>
      </w:r>
      <w:r>
        <w:rPr>
          <w:rFonts w:hint="eastAsia" w:ascii="宋体" w:hAnsi="Times New Roman" w:eastAsia="宋体" w:cs="Times New Roman"/>
        </w:rPr>
        <w:t>或者对招标文件作实质响应的</w:t>
      </w:r>
      <w:r>
        <w:rPr>
          <w:rFonts w:hint="eastAsia" w:ascii="宋体" w:hAnsi="Times New Roman" w:eastAsia="宋体" w:cs="Times New Roman"/>
          <w:lang w:eastAsia="zh-CN"/>
        </w:rPr>
        <w:t>投标人</w:t>
      </w:r>
      <w:r>
        <w:rPr>
          <w:rFonts w:hint="eastAsia" w:ascii="宋体" w:hAnsi="Times New Roman" w:eastAsia="宋体" w:cs="Times New Roman"/>
        </w:rPr>
        <w:t>不足3家的；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（2）出现影响采购公正的违法、违规行为的；</w:t>
      </w:r>
      <w:r>
        <w:rPr>
          <w:rFonts w:hint="eastAsia" w:ascii="宋体" w:hAnsi="Times New Roman" w:eastAsia="宋体" w:cs="Times New Roman"/>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w:t>
      </w:r>
      <w:r>
        <w:rPr>
          <w:rFonts w:hint="eastAsia" w:ascii="宋体" w:hAnsi="Times New Roman" w:eastAsia="宋体" w:cs="Times New Roman"/>
          <w:lang w:eastAsia="zh-CN"/>
        </w:rPr>
        <w:t>投标人</w:t>
      </w:r>
      <w:r>
        <w:rPr>
          <w:rFonts w:hint="eastAsia" w:ascii="宋体" w:hAnsi="Times New Roman" w:eastAsia="宋体" w:cs="Times New Roman"/>
        </w:rPr>
        <w:t>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（4）因重大变故，采购任务取消的。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31.1.2废标后，采购代理机构应在财政部门指定采购网上公告，并公告废标的详细理由。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31.2变更采购方式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31.2.1存在下列情形之一的，除采购任务取消情形外，采购人经同级财政部门同意后，可按《政府采购货物和服务招标投标管理办法》（财政部87号令）第四十三条规定的方式处理：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（1）投标截止后参加投标的人不足3家的；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（2）通过资格审查的</w:t>
      </w:r>
      <w:r>
        <w:rPr>
          <w:rFonts w:hint="eastAsia" w:ascii="宋体" w:hAnsi="Times New Roman" w:eastAsia="宋体" w:cs="Times New Roman"/>
          <w:lang w:eastAsia="zh-CN"/>
        </w:rPr>
        <w:t>投标人</w:t>
      </w:r>
      <w:r>
        <w:rPr>
          <w:rFonts w:hint="eastAsia" w:ascii="宋体" w:hAnsi="Times New Roman" w:eastAsia="宋体" w:cs="Times New Roman"/>
        </w:rPr>
        <w:t>不足3家的；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（3）通过符合性审查的</w:t>
      </w:r>
      <w:r>
        <w:rPr>
          <w:rFonts w:hint="eastAsia" w:ascii="宋体" w:hAnsi="Times New Roman" w:eastAsia="宋体" w:cs="Times New Roman"/>
          <w:lang w:eastAsia="zh-CN"/>
        </w:rPr>
        <w:t>投标人</w:t>
      </w:r>
      <w:r>
        <w:rPr>
          <w:rFonts w:hint="eastAsia" w:ascii="宋体" w:hAnsi="Times New Roman" w:eastAsia="宋体" w:cs="Times New Roman"/>
        </w:rPr>
        <w:t>不足3家的。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31.2.2通过符合性审查的</w:t>
      </w:r>
      <w:r>
        <w:rPr>
          <w:rFonts w:hint="eastAsia" w:ascii="宋体" w:hAnsi="Times New Roman" w:eastAsia="宋体" w:cs="Times New Roman"/>
          <w:lang w:eastAsia="zh-CN"/>
        </w:rPr>
        <w:t>投标人</w:t>
      </w:r>
      <w:r>
        <w:rPr>
          <w:rFonts w:hint="eastAsia" w:ascii="宋体" w:hAnsi="Times New Roman" w:eastAsia="宋体" w:cs="Times New Roman"/>
        </w:rPr>
        <w:t>只有2家时，采购人经同级财政部门同意后，可以按《政府采购非招标采购方式管理办法》（财政部第74号令）的规定与该2家</w:t>
      </w:r>
      <w:r>
        <w:rPr>
          <w:rFonts w:hint="eastAsia" w:ascii="宋体" w:hAnsi="Times New Roman" w:eastAsia="宋体" w:cs="Times New Roman"/>
          <w:lang w:eastAsia="zh-CN"/>
        </w:rPr>
        <w:t>投标人</w:t>
      </w:r>
      <w:r>
        <w:rPr>
          <w:rFonts w:hint="eastAsia" w:ascii="宋体" w:hAnsi="Times New Roman" w:eastAsia="宋体" w:cs="Times New Roman"/>
        </w:rPr>
        <w:t>进行竞争性谈判采购。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p>
    <w:p>
      <w:pPr>
        <w:spacing w:line="360" w:lineRule="auto"/>
        <w:jc w:val="center"/>
        <w:outlineLvl w:val="0"/>
        <w:rPr>
          <w:rFonts w:ascii="宋体" w:eastAsia="宋体" w:cs="宋体"/>
          <w:b w:val="0"/>
          <w:color w:val="auto"/>
          <w:sz w:val="36"/>
          <w:szCs w:val="36"/>
          <w:highlight w:val="none"/>
        </w:rPr>
      </w:pPr>
      <w:bookmarkStart w:id="214" w:name="_Toc3798"/>
      <w:bookmarkStart w:id="215" w:name="_Toc15898"/>
      <w:bookmarkStart w:id="216" w:name="_Toc426457694"/>
      <w:bookmarkStart w:id="217" w:name="_Toc11810"/>
      <w:bookmarkStart w:id="218" w:name="_Toc403077645"/>
      <w:bookmarkStart w:id="219" w:name="_Toc363474023"/>
      <w:r>
        <w:rPr>
          <w:rFonts w:hint="eastAsia" w:ascii="宋体" w:eastAsia="宋体" w:cs="宋体"/>
          <w:color w:val="auto"/>
          <w:sz w:val="36"/>
          <w:szCs w:val="36"/>
          <w:highlight w:val="none"/>
        </w:rPr>
        <w:br w:type="page"/>
      </w:r>
      <w:bookmarkStart w:id="220" w:name="_Toc6867"/>
      <w:bookmarkStart w:id="221" w:name="_Toc25607"/>
      <w:bookmarkStart w:id="222" w:name="_Toc18875"/>
      <w:bookmarkStart w:id="223" w:name="_Toc2203"/>
      <w:bookmarkStart w:id="224" w:name="_Toc22399"/>
      <w:bookmarkStart w:id="225" w:name="_Toc7815"/>
      <w:bookmarkStart w:id="226" w:name="_Toc426457697"/>
      <w:bookmarkStart w:id="227" w:name="_Toc1462"/>
      <w:r>
        <w:rPr>
          <w:rStyle w:val="39"/>
          <w:rFonts w:hint="eastAsia" w:ascii="宋体" w:hAnsi="宋体" w:eastAsia="宋体" w:cs="宋体"/>
          <w:color w:val="auto"/>
          <w:sz w:val="36"/>
          <w:szCs w:val="36"/>
          <w:highlight w:val="none"/>
        </w:rPr>
        <w:t>第三</w:t>
      </w:r>
      <w:r>
        <w:rPr>
          <w:rFonts w:hint="eastAsia" w:ascii="宋体" w:eastAsia="宋体" w:cs="宋体"/>
          <w:bCs/>
          <w:color w:val="auto"/>
          <w:sz w:val="36"/>
          <w:szCs w:val="36"/>
          <w:highlight w:val="none"/>
        </w:rPr>
        <w:t>章  评 标 方 法</w:t>
      </w:r>
      <w:bookmarkEnd w:id="220"/>
      <w:bookmarkEnd w:id="221"/>
      <w:bookmarkEnd w:id="222"/>
      <w:bookmarkEnd w:id="223"/>
      <w:bookmarkEnd w:id="224"/>
      <w:bookmarkEnd w:id="225"/>
      <w:bookmarkEnd w:id="226"/>
      <w:bookmarkEnd w:id="227"/>
    </w:p>
    <w:p>
      <w:pPr>
        <w:bidi w:val="0"/>
        <w:jc w:val="left"/>
        <w:rPr>
          <w:rFonts w:hAnsi="宋体" w:cs="宋体"/>
          <w:b/>
          <w:color w:val="auto"/>
          <w:sz w:val="28"/>
          <w:szCs w:val="28"/>
          <w:highlight w:val="none"/>
        </w:rPr>
      </w:pPr>
      <w:bookmarkStart w:id="228" w:name="_Toc10844"/>
      <w:bookmarkStart w:id="229" w:name="_Toc363463332"/>
      <w:r>
        <w:rPr>
          <w:rFonts w:hint="eastAsia" w:hAnsi="宋体" w:cs="宋体"/>
          <w:b/>
          <w:color w:val="auto"/>
          <w:sz w:val="28"/>
          <w:szCs w:val="28"/>
          <w:highlight w:val="none"/>
        </w:rPr>
        <w:t>一、</w:t>
      </w:r>
      <w:r>
        <w:rPr>
          <w:rFonts w:hint="eastAsia" w:ascii="宋体" w:hAnsi="宋体" w:eastAsia="宋体" w:cs="宋体"/>
          <w:b/>
          <w:color w:val="auto"/>
          <w:sz w:val="28"/>
          <w:szCs w:val="28"/>
          <w:highlight w:val="none"/>
        </w:rPr>
        <w:t>评标</w:t>
      </w:r>
      <w:r>
        <w:rPr>
          <w:rFonts w:hint="eastAsia" w:hAnsi="宋体" w:cs="宋体"/>
          <w:b/>
          <w:color w:val="auto"/>
          <w:sz w:val="28"/>
          <w:szCs w:val="28"/>
          <w:highlight w:val="none"/>
        </w:rPr>
        <w:t>方法</w:t>
      </w:r>
      <w:bookmarkEnd w:id="228"/>
      <w:bookmarkEnd w:id="2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按照《中华人民共和国政府采购法》及实施条例和中华人民共和国财政部令第87号--《政府采购货物和服务招标投标管理办法》的规定，本次评标采用综合评分法，即在最大限度地满足招标文件实质性要求前提下，按照招标文件中规定的各项因素和相应的权重分值进行综合评审后，以总得分最高的</w:t>
      </w:r>
      <w:r>
        <w:rPr>
          <w:rFonts w:hint="eastAsia" w:ascii="宋体" w:hAnsi="Times New Roman" w:eastAsia="宋体" w:cs="Times New Roman"/>
          <w:lang w:eastAsia="zh-CN"/>
        </w:rPr>
        <w:t>投标人</w:t>
      </w:r>
      <w:r>
        <w:rPr>
          <w:rFonts w:hint="eastAsia" w:ascii="宋体" w:hAnsi="Times New Roman" w:eastAsia="宋体" w:cs="Times New Roman"/>
        </w:rPr>
        <w:t>作为中标候选人并依次排序（最低报价不是中标的唯一标准）。</w:t>
      </w:r>
    </w:p>
    <w:p>
      <w:pPr>
        <w:bidi w:val="0"/>
        <w:jc w:val="left"/>
        <w:rPr>
          <w:rFonts w:hAnsi="宋体" w:cs="宋体"/>
          <w:b/>
          <w:color w:val="auto"/>
          <w:sz w:val="28"/>
          <w:szCs w:val="28"/>
          <w:highlight w:val="none"/>
        </w:rPr>
      </w:pPr>
      <w:bookmarkStart w:id="230" w:name="_Toc1534"/>
      <w:r>
        <w:rPr>
          <w:rFonts w:hint="eastAsia" w:hAnsi="宋体" w:cs="宋体"/>
          <w:b/>
          <w:color w:val="auto"/>
          <w:sz w:val="28"/>
          <w:szCs w:val="28"/>
          <w:highlight w:val="none"/>
        </w:rPr>
        <w:t>二、</w:t>
      </w:r>
      <w:r>
        <w:rPr>
          <w:rFonts w:hint="eastAsia" w:ascii="宋体" w:hAnsi="宋体" w:eastAsia="宋体" w:cs="宋体"/>
          <w:b/>
          <w:color w:val="auto"/>
          <w:sz w:val="28"/>
          <w:szCs w:val="28"/>
          <w:highlight w:val="none"/>
        </w:rPr>
        <w:t>评审</w:t>
      </w:r>
      <w:r>
        <w:rPr>
          <w:rFonts w:hint="eastAsia" w:hAnsi="宋体" w:cs="宋体"/>
          <w:b/>
          <w:color w:val="auto"/>
          <w:sz w:val="28"/>
          <w:szCs w:val="28"/>
          <w:highlight w:val="none"/>
        </w:rPr>
        <w:t>标准</w:t>
      </w:r>
      <w:bookmarkEnd w:id="2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2.1初步评审标准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2.1.1资格性审查标准：见附件1初步审查要素表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2.1.2符合性审查标准：见附件1初步审查要素表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2.2分值构成与评分标准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2.2.1 分值构成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（1）投标价格：见附件2评标因素及权重分值表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（2）技术评审：见附件2评标因素及权重分值表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（3）履约能力及服务承诺：见附件2评标因素及权重分值表</w:t>
      </w:r>
    </w:p>
    <w:p>
      <w:pPr>
        <w:bidi w:val="0"/>
        <w:jc w:val="left"/>
        <w:rPr>
          <w:rFonts w:hAnsi="宋体" w:cs="宋体"/>
          <w:b/>
          <w:color w:val="auto"/>
          <w:sz w:val="28"/>
          <w:szCs w:val="28"/>
          <w:highlight w:val="none"/>
        </w:rPr>
      </w:pPr>
      <w:bookmarkStart w:id="231" w:name="_Toc363463333"/>
      <w:bookmarkStart w:id="232" w:name="_Toc3091"/>
      <w:r>
        <w:rPr>
          <w:rFonts w:hint="eastAsia" w:hAnsi="宋体" w:cs="宋体"/>
          <w:b/>
          <w:color w:val="auto"/>
          <w:sz w:val="28"/>
          <w:szCs w:val="28"/>
          <w:highlight w:val="none"/>
        </w:rPr>
        <w:t>三、</w:t>
      </w:r>
      <w:r>
        <w:rPr>
          <w:rFonts w:hint="eastAsia" w:ascii="宋体" w:hAnsi="Times New Roman" w:eastAsia="宋体" w:cs="宋体"/>
          <w:b/>
          <w:bCs/>
          <w:color w:val="auto"/>
          <w:sz w:val="28"/>
          <w:szCs w:val="28"/>
          <w:highlight w:val="none"/>
        </w:rPr>
        <w:t>评标</w:t>
      </w:r>
      <w:r>
        <w:rPr>
          <w:rFonts w:hint="eastAsia" w:hAnsi="宋体" w:cs="宋体"/>
          <w:b/>
          <w:color w:val="auto"/>
          <w:sz w:val="28"/>
          <w:szCs w:val="28"/>
          <w:highlight w:val="none"/>
        </w:rPr>
        <w:t>程序</w:t>
      </w:r>
      <w:bookmarkEnd w:id="231"/>
      <w:bookmarkEnd w:id="2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1.本采购项目评标按照下列工作程序进行（在上一步评审中被认定无效投标者，不进入下一步的评审）。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（1）投标文件初审；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（2）澄清有关问题；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（3）比较与评价；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（4）推荐中标候选人名单。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2.投标文件初审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采购人或采购代理机构根据本章第 2.1.1 项规定的评审标准对投标文件进行资格性审查。有一项不符合评审标准的，将被认定为无效投标。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评标委员会根据本章第 2.1.2 项规定的评审标准对投标文件进行符合性评审。有一项不符合评审标准的，评标委员会应当否决其投标。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在资格性审查附段，不符合招标文件要求的，不得进入符合性审查，在符合性审查时未通过的，不得进入后续评审环节。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3.投标文件的澄清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3.1为有助于投标文件的审查、比较和评价，评标委员会可要求</w:t>
      </w:r>
      <w:r>
        <w:rPr>
          <w:rFonts w:hint="eastAsia" w:ascii="宋体" w:hAnsi="Times New Roman" w:eastAsia="宋体" w:cs="Times New Roman"/>
          <w:lang w:eastAsia="zh-CN"/>
        </w:rPr>
        <w:t>投标人</w:t>
      </w:r>
      <w:r>
        <w:rPr>
          <w:rFonts w:hint="eastAsia" w:ascii="宋体" w:hAnsi="Times New Roman" w:eastAsia="宋体" w:cs="Times New Roman"/>
        </w:rPr>
        <w:t>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w:t>
      </w:r>
      <w:r>
        <w:rPr>
          <w:rFonts w:hint="eastAsia" w:ascii="宋体" w:hAnsi="Times New Roman" w:eastAsia="宋体" w:cs="Times New Roman"/>
          <w:lang w:eastAsia="zh-CN"/>
        </w:rPr>
        <w:t>投标人</w:t>
      </w:r>
      <w:r>
        <w:rPr>
          <w:rFonts w:hint="eastAsia" w:ascii="宋体" w:hAnsi="Times New Roman" w:eastAsia="宋体" w:cs="Times New Roman"/>
        </w:rPr>
        <w:t>的澄清、说明或者补正不得超出投标文件的范围或者改变投标文件的实质性内容。评标委员会不接受</w:t>
      </w:r>
      <w:r>
        <w:rPr>
          <w:rFonts w:hint="eastAsia" w:ascii="宋体" w:hAnsi="Times New Roman" w:eastAsia="宋体" w:cs="Times New Roman"/>
          <w:lang w:eastAsia="zh-CN"/>
        </w:rPr>
        <w:t>投标人</w:t>
      </w:r>
      <w:r>
        <w:rPr>
          <w:rFonts w:hint="eastAsia" w:ascii="宋体" w:hAnsi="Times New Roman" w:eastAsia="宋体" w:cs="Times New Roman"/>
        </w:rPr>
        <w:t>主动提出的澄清、说明。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3.2有效的书面澄清材料，是投标文件的补充材料，成为投标文件的组成部分。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3.3评标委员会认为</w:t>
      </w:r>
      <w:r>
        <w:rPr>
          <w:rFonts w:hint="eastAsia" w:ascii="宋体" w:hAnsi="Times New Roman" w:eastAsia="宋体" w:cs="Times New Roman"/>
          <w:lang w:eastAsia="zh-CN"/>
        </w:rPr>
        <w:t>投标人</w:t>
      </w:r>
      <w:r>
        <w:rPr>
          <w:rFonts w:hint="eastAsia" w:ascii="宋体" w:hAnsi="Times New Roman" w:eastAsia="宋体" w:cs="Times New Roman"/>
        </w:rPr>
        <w:t>的报价明显低于其他通过符合性审查</w:t>
      </w:r>
      <w:r>
        <w:rPr>
          <w:rFonts w:hint="eastAsia" w:ascii="宋体" w:hAnsi="Times New Roman" w:eastAsia="宋体" w:cs="Times New Roman"/>
          <w:lang w:eastAsia="zh-CN"/>
        </w:rPr>
        <w:t>投标人</w:t>
      </w:r>
      <w:r>
        <w:rPr>
          <w:rFonts w:hint="eastAsia" w:ascii="宋体" w:hAnsi="Times New Roman" w:eastAsia="宋体" w:cs="Times New Roman"/>
        </w:rPr>
        <w:t>的报价，有可能影响产品质量或者不能诚信履约的，应当要求其在评标现场合理的时间内提供书面说明，必要时提交相关证明材料；</w:t>
      </w:r>
      <w:r>
        <w:rPr>
          <w:rFonts w:hint="eastAsia" w:ascii="宋体" w:hAnsi="Times New Roman" w:eastAsia="宋体" w:cs="Times New Roman"/>
          <w:lang w:eastAsia="zh-CN"/>
        </w:rPr>
        <w:t>投标人</w:t>
      </w:r>
      <w:r>
        <w:rPr>
          <w:rFonts w:hint="eastAsia" w:ascii="宋体" w:hAnsi="Times New Roman" w:eastAsia="宋体" w:cs="Times New Roman"/>
        </w:rPr>
        <w:t>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4.投标文件比较与评价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4.1评委会应按照招标文件中规定的评标方法和标准，对资格性检查和符合性检查合格的投标文件进行商务和技术评估，综合比较与评价。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4.2如果投标文件没有实质性响应招标文件的要求，评委会将予以拒绝。</w:t>
      </w:r>
      <w:r>
        <w:rPr>
          <w:rFonts w:hint="eastAsia" w:ascii="宋体" w:hAnsi="Times New Roman" w:eastAsia="宋体" w:cs="Times New Roman"/>
          <w:lang w:eastAsia="zh-CN"/>
        </w:rPr>
        <w:t>投标人</w:t>
      </w:r>
      <w:r>
        <w:rPr>
          <w:rFonts w:hint="eastAsia" w:ascii="宋体" w:hAnsi="Times New Roman" w:eastAsia="宋体" w:cs="Times New Roman"/>
        </w:rPr>
        <w:t>不得通过修正或撤销不合要求的偏离或保留，从而使其投标成为实质性响应的投标。</w:t>
      </w:r>
    </w:p>
    <w:p>
      <w:pPr>
        <w:bidi w:val="0"/>
        <w:jc w:val="left"/>
        <w:rPr>
          <w:rFonts w:hAnsi="宋体" w:cs="宋体"/>
          <w:b/>
          <w:color w:val="auto"/>
          <w:szCs w:val="24"/>
          <w:highlight w:val="none"/>
        </w:rPr>
      </w:pPr>
      <w:bookmarkStart w:id="233" w:name="_Toc2586"/>
      <w:bookmarkStart w:id="234" w:name="_Toc24598"/>
      <w:r>
        <w:rPr>
          <w:rFonts w:hint="eastAsia" w:hAnsi="宋体" w:cs="宋体"/>
          <w:b/>
          <w:color w:val="auto"/>
          <w:szCs w:val="24"/>
          <w:highlight w:val="none"/>
        </w:rPr>
        <w:t>三、政策性扣减</w:t>
      </w:r>
      <w:bookmarkEnd w:id="233"/>
      <w:bookmarkEnd w:id="23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lang w:eastAsia="zh-CN"/>
        </w:rPr>
      </w:pPr>
      <w:r>
        <w:rPr>
          <w:rFonts w:hint="eastAsia" w:ascii="宋体" w:hAnsi="Times New Roman" w:eastAsia="宋体" w:cs="Times New Roman"/>
        </w:rPr>
        <w:t>1、政策性扣减范围</w:t>
      </w:r>
      <w:r>
        <w:rPr>
          <w:rFonts w:hint="eastAsia" w:ascii="宋体" w:hAnsi="Times New Roman" w:eastAsia="宋体" w:cs="Times New Roman"/>
          <w:lang w:eastAsia="zh-CN"/>
        </w:rPr>
        <w:t>：本项目专门面向中小企业采购，故不进行价格扣减。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1.1</w:t>
      </w:r>
      <w:r>
        <w:rPr>
          <w:rFonts w:hint="eastAsia" w:ascii="宋体" w:hAnsi="Times New Roman" w:eastAsia="宋体" w:cs="Times New Roman"/>
          <w:lang w:eastAsia="zh-CN"/>
        </w:rPr>
        <w:t>投标人</w:t>
      </w:r>
      <w:r>
        <w:rPr>
          <w:rFonts w:hint="eastAsia" w:ascii="宋体" w:hAnsi="Times New Roman" w:eastAsia="宋体" w:cs="Times New Roman"/>
        </w:rPr>
        <w:t>符合小型、微型企业或监狱企业、残疾人福利性单位条件的，其投标报价价格评审时将按相应比例进行扣减。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1.2依照&lt;关于印发《政府采购促进中小企业发展暂行办法》的通知&gt;（财库〔2011〕181号）的规定，小型、微型企业应当同时符合以下条件：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1.2.1符合中小企业划分标准（中小企业划分标准是指国务院有关部门根据企业从业人员、营业收入、资产总额等指标制定的中小企业划型标准（工信部联企业〔2011〕300号））。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1.2.2提供本企业制造的货物、承担的工程或者服务，或者提供其他中小企业制造的货物，不包括提供或使用大型企业注册商标的货物。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1.2.3小型、微型企业提供中型企业制造的货物的，视同为中型企业；小型、微型、中型企业提供大型企业制造的货物的，视同为大型企业。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1.3.1“节能产品政府采购清单”：符合政府采购优先采购政策的，所投产品属于“节能产品政府采购清单”中品目的产品，需提供最新一期“节能产品政府采购清单”中投标产品所在清单页并加盖</w:t>
      </w:r>
      <w:r>
        <w:rPr>
          <w:rFonts w:hint="eastAsia" w:ascii="宋体" w:hAnsi="Times New Roman" w:eastAsia="宋体" w:cs="Times New Roman"/>
          <w:lang w:eastAsia="zh-CN"/>
        </w:rPr>
        <w:t>投标人</w:t>
      </w:r>
      <w:r>
        <w:rPr>
          <w:rFonts w:hint="eastAsia" w:ascii="宋体" w:hAnsi="Times New Roman" w:eastAsia="宋体" w:cs="Times New Roman"/>
        </w:rPr>
        <w:t>公章。该清单可在中国政府采购网（</w:t>
      </w:r>
      <w:r>
        <w:rPr>
          <w:rFonts w:hint="eastAsia" w:ascii="宋体" w:hAnsi="Times New Roman" w:eastAsia="宋体" w:cs="Times New Roman"/>
        </w:rPr>
        <w:fldChar w:fldCharType="begin"/>
      </w:r>
      <w:r>
        <w:rPr>
          <w:rFonts w:hint="eastAsia" w:ascii="宋体" w:hAnsi="Times New Roman" w:eastAsia="宋体" w:cs="Times New Roman"/>
        </w:rPr>
        <w:instrText xml:space="preserve"> HYPERLINK "http://www.ccgp.gov.cn/" </w:instrText>
      </w:r>
      <w:r>
        <w:rPr>
          <w:rFonts w:hint="eastAsia" w:ascii="宋体" w:hAnsi="Times New Roman" w:eastAsia="宋体" w:cs="Times New Roman"/>
        </w:rPr>
        <w:fldChar w:fldCharType="separate"/>
      </w:r>
      <w:r>
        <w:rPr>
          <w:rFonts w:hint="default" w:ascii="宋体" w:hAnsi="Times New Roman" w:eastAsia="宋体" w:cs="Times New Roman"/>
        </w:rPr>
        <w:t>http://www.ccgp.gov.cn/</w:t>
      </w:r>
      <w:r>
        <w:rPr>
          <w:rFonts w:hint="default" w:ascii="宋体" w:hAnsi="Times New Roman" w:eastAsia="宋体" w:cs="Times New Roman"/>
        </w:rPr>
        <w:fldChar w:fldCharType="end"/>
      </w:r>
      <w:r>
        <w:rPr>
          <w:rFonts w:hint="eastAsia" w:ascii="宋体" w:hAnsi="Times New Roman" w:eastAsia="宋体" w:cs="Times New Roman"/>
        </w:rPr>
        <w:t>）上查找。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1.3.2 “环境标志产品政府采购清单”：所投产品属于“环境标志产品政府采购清单”中品目的产品，需提供最新一期“环境标志产品政府采购清单”中投标产品所在清单页并加盖</w:t>
      </w:r>
      <w:r>
        <w:rPr>
          <w:rFonts w:hint="eastAsia" w:ascii="宋体" w:hAnsi="Times New Roman" w:eastAsia="宋体" w:cs="Times New Roman"/>
          <w:lang w:eastAsia="zh-CN"/>
        </w:rPr>
        <w:t>投标人</w:t>
      </w:r>
      <w:r>
        <w:rPr>
          <w:rFonts w:hint="eastAsia" w:ascii="宋体" w:hAnsi="Times New Roman" w:eastAsia="宋体" w:cs="Times New Roman"/>
        </w:rPr>
        <w:t>公章。该清单可在中国政府采购网（</w:t>
      </w:r>
      <w:r>
        <w:rPr>
          <w:rFonts w:hint="eastAsia" w:ascii="宋体" w:hAnsi="Times New Roman" w:eastAsia="宋体" w:cs="Times New Roman"/>
        </w:rPr>
        <w:fldChar w:fldCharType="begin"/>
      </w:r>
      <w:r>
        <w:rPr>
          <w:rFonts w:hint="eastAsia" w:ascii="宋体" w:hAnsi="Times New Roman" w:eastAsia="宋体" w:cs="Times New Roman"/>
        </w:rPr>
        <w:instrText xml:space="preserve"> HYPERLINK "http://www.ccgp.gov.cn/" </w:instrText>
      </w:r>
      <w:r>
        <w:rPr>
          <w:rFonts w:hint="eastAsia" w:ascii="宋体" w:hAnsi="Times New Roman" w:eastAsia="宋体" w:cs="Times New Roman"/>
        </w:rPr>
        <w:fldChar w:fldCharType="separate"/>
      </w:r>
      <w:r>
        <w:rPr>
          <w:rFonts w:hint="default" w:ascii="宋体" w:hAnsi="Times New Roman" w:eastAsia="宋体" w:cs="Times New Roman"/>
        </w:rPr>
        <w:t>http://www.ccgp.gov.cn/</w:t>
      </w:r>
      <w:r>
        <w:rPr>
          <w:rFonts w:hint="default" w:ascii="宋体" w:hAnsi="Times New Roman" w:eastAsia="宋体" w:cs="Times New Roman"/>
        </w:rPr>
        <w:fldChar w:fldCharType="end"/>
      </w:r>
      <w:r>
        <w:rPr>
          <w:rFonts w:hint="eastAsia" w:ascii="宋体" w:hAnsi="Times New Roman" w:eastAsia="宋体" w:cs="Times New Roman"/>
        </w:rPr>
        <w:t>）上查找。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1.4监狱企业参加政府采购活动时，应当提供由省级以上监狱管理局、戒毒管理局(含新疆生产建设兵团)出具的属于监狱企业的证明文件。监狱企业参加政府采购活动时，视同小型、微型企业。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Cs w:val="24"/>
          <w:highlight w:val="none"/>
        </w:rPr>
      </w:pPr>
      <w:r>
        <w:rPr>
          <w:rFonts w:hint="eastAsia" w:ascii="宋体" w:hAnsi="Times New Roman" w:eastAsia="宋体" w:cs="Times New Roman"/>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r>
        <w:rPr>
          <w:rFonts w:hint="eastAsia" w:ascii="宋体" w:hAnsi="Times New Roman" w:eastAsia="宋体" w:cs="Times New Roman"/>
        </w:rPr>
        <w:br w:type="page"/>
      </w:r>
      <w:r>
        <w:rPr>
          <w:rFonts w:hint="eastAsia" w:ascii="宋体" w:hAnsi="宋体" w:cs="宋体"/>
          <w:b/>
          <w:bCs/>
          <w:color w:val="auto"/>
          <w:sz w:val="24"/>
          <w:szCs w:val="24"/>
          <w:highlight w:val="none"/>
        </w:rPr>
        <w:t>附件1：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ascii="宋体" w:hAnsi="宋体" w:cs="宋体"/>
          <w:b/>
          <w:bCs/>
          <w:color w:val="auto"/>
          <w:sz w:val="24"/>
          <w:szCs w:val="24"/>
          <w:highlight w:val="none"/>
        </w:rPr>
      </w:pPr>
      <w:bookmarkStart w:id="235" w:name="_Toc11222"/>
      <w:r>
        <w:rPr>
          <w:rFonts w:hint="eastAsia" w:ascii="宋体" w:hAnsi="宋体" w:cs="宋体"/>
          <w:b/>
          <w:bCs/>
          <w:color w:val="auto"/>
          <w:sz w:val="24"/>
          <w:szCs w:val="24"/>
          <w:highlight w:val="none"/>
        </w:rPr>
        <w:t>初步审查要素表</w:t>
      </w:r>
      <w:bookmarkEnd w:id="235"/>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19"/>
        <w:gridCol w:w="567"/>
        <w:gridCol w:w="2005"/>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pPr>
              <w:bidi w:val="0"/>
              <w:jc w:val="center"/>
              <w:rPr>
                <w:sz w:val="22"/>
                <w:szCs w:val="18"/>
              </w:rPr>
            </w:pPr>
            <w:bookmarkStart w:id="236" w:name="_Toc4264"/>
            <w:bookmarkStart w:id="237" w:name="_Toc23996"/>
            <w:r>
              <w:rPr>
                <w:rFonts w:hint="eastAsia"/>
                <w:sz w:val="22"/>
                <w:szCs w:val="18"/>
              </w:rPr>
              <w:t>条款号</w:t>
            </w:r>
            <w:bookmarkEnd w:id="236"/>
            <w:bookmarkEnd w:id="237"/>
          </w:p>
        </w:tc>
        <w:tc>
          <w:tcPr>
            <w:tcW w:w="2572" w:type="dxa"/>
            <w:gridSpan w:val="2"/>
            <w:vAlign w:val="center"/>
          </w:tcPr>
          <w:p>
            <w:pPr>
              <w:bidi w:val="0"/>
              <w:jc w:val="center"/>
              <w:rPr>
                <w:sz w:val="22"/>
                <w:szCs w:val="18"/>
              </w:rPr>
            </w:pPr>
            <w:bookmarkStart w:id="238" w:name="_Toc24591"/>
            <w:bookmarkStart w:id="239" w:name="_Toc12908"/>
            <w:r>
              <w:rPr>
                <w:rFonts w:hint="eastAsia"/>
                <w:sz w:val="22"/>
                <w:szCs w:val="18"/>
              </w:rPr>
              <w:t>评审因素</w:t>
            </w:r>
            <w:bookmarkEnd w:id="238"/>
            <w:bookmarkEnd w:id="239"/>
          </w:p>
        </w:tc>
        <w:tc>
          <w:tcPr>
            <w:tcW w:w="5103" w:type="dxa"/>
            <w:vAlign w:val="center"/>
          </w:tcPr>
          <w:p>
            <w:pPr>
              <w:bidi w:val="0"/>
              <w:jc w:val="center"/>
              <w:rPr>
                <w:sz w:val="22"/>
                <w:szCs w:val="18"/>
              </w:rPr>
            </w:pPr>
            <w:bookmarkStart w:id="240" w:name="_Toc23393"/>
            <w:bookmarkStart w:id="241" w:name="_Toc9332"/>
            <w:r>
              <w:rPr>
                <w:rFonts w:hint="eastAsia"/>
                <w:sz w:val="22"/>
                <w:szCs w:val="18"/>
              </w:rPr>
              <w:t>评审标准</w:t>
            </w:r>
            <w:bookmarkEnd w:id="240"/>
            <w:bookmarkEnd w:id="2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restart"/>
            <w:vAlign w:val="center"/>
          </w:tcPr>
          <w:p>
            <w:pPr>
              <w:bidi w:val="0"/>
              <w:jc w:val="center"/>
              <w:rPr>
                <w:sz w:val="22"/>
                <w:szCs w:val="18"/>
              </w:rPr>
            </w:pPr>
            <w:bookmarkStart w:id="242" w:name="_Toc31649"/>
            <w:bookmarkStart w:id="243" w:name="_Toc31467"/>
            <w:r>
              <w:rPr>
                <w:rFonts w:hint="eastAsia"/>
                <w:sz w:val="22"/>
                <w:szCs w:val="18"/>
              </w:rPr>
              <w:t>2.1.1</w:t>
            </w:r>
            <w:bookmarkEnd w:id="242"/>
            <w:bookmarkEnd w:id="243"/>
          </w:p>
        </w:tc>
        <w:tc>
          <w:tcPr>
            <w:tcW w:w="419" w:type="dxa"/>
            <w:vMerge w:val="restart"/>
            <w:vAlign w:val="center"/>
          </w:tcPr>
          <w:p>
            <w:pPr>
              <w:bidi w:val="0"/>
              <w:jc w:val="center"/>
              <w:rPr>
                <w:sz w:val="22"/>
                <w:szCs w:val="18"/>
              </w:rPr>
            </w:pPr>
            <w:bookmarkStart w:id="244" w:name="_Toc6226"/>
            <w:bookmarkStart w:id="245" w:name="_Toc6719"/>
            <w:r>
              <w:rPr>
                <w:rFonts w:hint="eastAsia"/>
                <w:sz w:val="22"/>
                <w:szCs w:val="18"/>
              </w:rPr>
              <w:t>资格评审</w:t>
            </w:r>
            <w:bookmarkEnd w:id="244"/>
            <w:bookmarkEnd w:id="245"/>
          </w:p>
          <w:p>
            <w:pPr>
              <w:bidi w:val="0"/>
              <w:jc w:val="center"/>
              <w:rPr>
                <w:sz w:val="22"/>
                <w:szCs w:val="18"/>
              </w:rPr>
            </w:pPr>
            <w:bookmarkStart w:id="246" w:name="_Toc24331"/>
            <w:bookmarkStart w:id="247" w:name="_Toc27400"/>
            <w:r>
              <w:rPr>
                <w:rFonts w:hint="eastAsia"/>
                <w:sz w:val="22"/>
                <w:szCs w:val="18"/>
              </w:rPr>
              <w:t>标准</w:t>
            </w:r>
            <w:bookmarkEnd w:id="246"/>
            <w:bookmarkEnd w:id="247"/>
          </w:p>
        </w:tc>
        <w:tc>
          <w:tcPr>
            <w:tcW w:w="2572" w:type="dxa"/>
            <w:gridSpan w:val="2"/>
            <w:vAlign w:val="center"/>
          </w:tcPr>
          <w:p>
            <w:pPr>
              <w:bidi w:val="0"/>
              <w:jc w:val="center"/>
              <w:rPr>
                <w:sz w:val="22"/>
                <w:szCs w:val="18"/>
              </w:rPr>
            </w:pPr>
            <w:bookmarkStart w:id="248" w:name="_Toc7126"/>
            <w:bookmarkStart w:id="249" w:name="_Toc26510"/>
            <w:r>
              <w:rPr>
                <w:rFonts w:hint="eastAsia"/>
                <w:sz w:val="22"/>
                <w:szCs w:val="18"/>
              </w:rPr>
              <w:t>营业执照等主体资格证明文件</w:t>
            </w:r>
            <w:bookmarkEnd w:id="248"/>
            <w:bookmarkEnd w:id="249"/>
          </w:p>
        </w:tc>
        <w:tc>
          <w:tcPr>
            <w:tcW w:w="5103" w:type="dxa"/>
            <w:vAlign w:val="center"/>
          </w:tcPr>
          <w:p>
            <w:pPr>
              <w:bidi w:val="0"/>
              <w:jc w:val="center"/>
              <w:rPr>
                <w:sz w:val="22"/>
                <w:szCs w:val="18"/>
              </w:rPr>
            </w:pPr>
            <w:bookmarkStart w:id="250" w:name="_Toc5377"/>
            <w:bookmarkStart w:id="251" w:name="_Toc29643"/>
            <w:r>
              <w:rPr>
                <w:rFonts w:hint="eastAsia"/>
                <w:sz w:val="22"/>
                <w:szCs w:val="18"/>
              </w:rPr>
              <w:t>提供合格有效的法人或者其他组织的营业执照等证明文件，自然人的身份证明</w:t>
            </w:r>
            <w:bookmarkEnd w:id="250"/>
            <w:bookmarkEnd w:id="2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2572" w:type="dxa"/>
            <w:gridSpan w:val="2"/>
            <w:vAlign w:val="center"/>
          </w:tcPr>
          <w:p>
            <w:pPr>
              <w:bidi w:val="0"/>
              <w:jc w:val="center"/>
              <w:rPr>
                <w:sz w:val="22"/>
                <w:szCs w:val="18"/>
              </w:rPr>
            </w:pPr>
            <w:bookmarkStart w:id="252" w:name="_Toc7771"/>
            <w:bookmarkStart w:id="253" w:name="_Toc13189"/>
            <w:r>
              <w:rPr>
                <w:rFonts w:hint="eastAsia"/>
                <w:sz w:val="22"/>
                <w:szCs w:val="18"/>
              </w:rPr>
              <w:t>法定代表人授权书/法定代表人身份证明</w:t>
            </w:r>
            <w:bookmarkEnd w:id="252"/>
            <w:bookmarkEnd w:id="253"/>
          </w:p>
        </w:tc>
        <w:tc>
          <w:tcPr>
            <w:tcW w:w="5103" w:type="dxa"/>
            <w:vAlign w:val="center"/>
          </w:tcPr>
          <w:p>
            <w:pPr>
              <w:bidi w:val="0"/>
              <w:jc w:val="center"/>
              <w:rPr>
                <w:sz w:val="22"/>
                <w:szCs w:val="18"/>
              </w:rPr>
            </w:pPr>
            <w:bookmarkStart w:id="254" w:name="_Toc29380"/>
            <w:bookmarkStart w:id="255" w:name="_Toc4453"/>
            <w:r>
              <w:rPr>
                <w:rFonts w:hint="eastAsia"/>
                <w:sz w:val="22"/>
                <w:szCs w:val="18"/>
              </w:rPr>
              <w:t>法定代表人授权书（附法定代表人、被授权人身份证复印件）；法定代表人直接参加投标，须提供法定代表人身份证明及身份证复印件）</w:t>
            </w:r>
            <w:bookmarkEnd w:id="254"/>
            <w:bookmarkEnd w:id="2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2572" w:type="dxa"/>
            <w:gridSpan w:val="2"/>
            <w:vAlign w:val="center"/>
          </w:tcPr>
          <w:p>
            <w:pPr>
              <w:bidi w:val="0"/>
              <w:jc w:val="center"/>
              <w:rPr>
                <w:sz w:val="22"/>
                <w:szCs w:val="18"/>
              </w:rPr>
            </w:pPr>
            <w:bookmarkStart w:id="256" w:name="_Toc3735"/>
            <w:bookmarkStart w:id="257" w:name="_Toc29549"/>
            <w:r>
              <w:rPr>
                <w:rFonts w:hint="eastAsia"/>
                <w:sz w:val="22"/>
                <w:szCs w:val="18"/>
              </w:rPr>
              <w:t>财务状况报告</w:t>
            </w:r>
            <w:bookmarkEnd w:id="256"/>
            <w:bookmarkEnd w:id="257"/>
          </w:p>
        </w:tc>
        <w:tc>
          <w:tcPr>
            <w:tcW w:w="5103" w:type="dxa"/>
            <w:vAlign w:val="center"/>
          </w:tcPr>
          <w:p>
            <w:pPr>
              <w:bidi w:val="0"/>
              <w:jc w:val="center"/>
              <w:rPr>
                <w:sz w:val="22"/>
                <w:szCs w:val="18"/>
              </w:rPr>
            </w:pPr>
            <w:bookmarkStart w:id="258" w:name="_Toc15223"/>
            <w:bookmarkStart w:id="259" w:name="_Toc18738"/>
            <w:r>
              <w:rPr>
                <w:rFonts w:hint="eastAsia"/>
                <w:sz w:val="22"/>
                <w:szCs w:val="18"/>
              </w:rPr>
              <w:t>提供20</w:t>
            </w:r>
            <w:r>
              <w:rPr>
                <w:rFonts w:hint="eastAsia"/>
                <w:sz w:val="22"/>
                <w:szCs w:val="18"/>
                <w:lang w:val="en-US" w:eastAsia="zh-CN"/>
              </w:rPr>
              <w:t>20</w:t>
            </w:r>
            <w:r>
              <w:rPr>
                <w:rFonts w:hint="eastAsia"/>
                <w:sz w:val="22"/>
                <w:szCs w:val="18"/>
              </w:rPr>
              <w:t>或202</w:t>
            </w:r>
            <w:r>
              <w:rPr>
                <w:rFonts w:hint="eastAsia"/>
                <w:sz w:val="22"/>
                <w:szCs w:val="18"/>
                <w:lang w:val="en-US" w:eastAsia="zh-CN"/>
              </w:rPr>
              <w:t>1</w:t>
            </w:r>
            <w:r>
              <w:rPr>
                <w:rFonts w:hint="eastAsia"/>
                <w:sz w:val="22"/>
                <w:szCs w:val="18"/>
              </w:rPr>
              <w:t>年度经审计的完整的财务审计报告（成立时间至提交投标文件截止时间不足一年的可提供成立后任意时段的资产负债表）或开标时间前六个月内银行出具的资信证明；</w:t>
            </w:r>
            <w:bookmarkEnd w:id="258"/>
            <w:bookmarkEnd w:id="2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2572" w:type="dxa"/>
            <w:gridSpan w:val="2"/>
            <w:vAlign w:val="center"/>
          </w:tcPr>
          <w:p>
            <w:pPr>
              <w:bidi w:val="0"/>
              <w:jc w:val="center"/>
              <w:rPr>
                <w:sz w:val="22"/>
                <w:szCs w:val="18"/>
              </w:rPr>
            </w:pPr>
            <w:bookmarkStart w:id="260" w:name="_Toc9070"/>
            <w:bookmarkStart w:id="261" w:name="_Toc3157"/>
            <w:r>
              <w:rPr>
                <w:rFonts w:hint="eastAsia"/>
                <w:sz w:val="22"/>
                <w:szCs w:val="18"/>
              </w:rPr>
              <w:t>税收缴纳证明</w:t>
            </w:r>
            <w:bookmarkEnd w:id="260"/>
            <w:bookmarkEnd w:id="261"/>
          </w:p>
        </w:tc>
        <w:tc>
          <w:tcPr>
            <w:tcW w:w="5103" w:type="dxa"/>
            <w:vAlign w:val="center"/>
          </w:tcPr>
          <w:p>
            <w:pPr>
              <w:bidi w:val="0"/>
              <w:jc w:val="center"/>
              <w:rPr>
                <w:sz w:val="22"/>
                <w:szCs w:val="18"/>
              </w:rPr>
            </w:pPr>
            <w:bookmarkStart w:id="262" w:name="_Toc25297"/>
            <w:bookmarkStart w:id="263" w:name="_Toc21125"/>
            <w:r>
              <w:rPr>
                <w:rFonts w:hint="eastAsia"/>
                <w:sz w:val="22"/>
                <w:szCs w:val="18"/>
              </w:rPr>
              <w:t>税收缴纳证明：提供投标截止日前一年内已缴纳的至少一个月的纳税证明或完税证明（任意税种），依法免税的单位应提供相关证明材料</w:t>
            </w:r>
            <w:bookmarkEnd w:id="262"/>
            <w:bookmarkEnd w:id="2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2572" w:type="dxa"/>
            <w:gridSpan w:val="2"/>
            <w:vAlign w:val="center"/>
          </w:tcPr>
          <w:p>
            <w:pPr>
              <w:bidi w:val="0"/>
              <w:jc w:val="center"/>
              <w:rPr>
                <w:sz w:val="22"/>
                <w:szCs w:val="18"/>
              </w:rPr>
            </w:pPr>
            <w:bookmarkStart w:id="264" w:name="_Toc31325"/>
            <w:bookmarkStart w:id="265" w:name="_Toc27712"/>
            <w:r>
              <w:rPr>
                <w:rFonts w:hint="eastAsia"/>
                <w:sz w:val="22"/>
                <w:szCs w:val="18"/>
              </w:rPr>
              <w:t>社会保障资金缴纳证明</w:t>
            </w:r>
            <w:bookmarkEnd w:id="264"/>
            <w:bookmarkEnd w:id="265"/>
          </w:p>
        </w:tc>
        <w:tc>
          <w:tcPr>
            <w:tcW w:w="5103" w:type="dxa"/>
            <w:vAlign w:val="center"/>
          </w:tcPr>
          <w:p>
            <w:pPr>
              <w:bidi w:val="0"/>
              <w:jc w:val="center"/>
              <w:rPr>
                <w:sz w:val="22"/>
                <w:szCs w:val="18"/>
              </w:rPr>
            </w:pPr>
            <w:bookmarkStart w:id="266" w:name="_Toc22545"/>
            <w:bookmarkStart w:id="267" w:name="_Toc10203"/>
            <w:r>
              <w:rPr>
                <w:rFonts w:hint="eastAsia"/>
                <w:sz w:val="22"/>
                <w:szCs w:val="18"/>
              </w:rPr>
              <w:t>社会保障资金缴纳证明：提供投标截止日前一年内已缴存的至少一个月的社会保障资金缴存单据或社保机构开具的社会保险参保缴费情况证明，依法不需要缴纳社会保障资金的单位应提供相关证明材料</w:t>
            </w:r>
            <w:bookmarkEnd w:id="266"/>
            <w:bookmarkEnd w:id="2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2572" w:type="dxa"/>
            <w:gridSpan w:val="2"/>
            <w:vAlign w:val="center"/>
          </w:tcPr>
          <w:p>
            <w:pPr>
              <w:bidi w:val="0"/>
              <w:jc w:val="center"/>
              <w:rPr>
                <w:sz w:val="22"/>
                <w:szCs w:val="18"/>
              </w:rPr>
            </w:pPr>
            <w:bookmarkStart w:id="268" w:name="_Toc26819"/>
            <w:bookmarkStart w:id="269" w:name="_Toc12783"/>
            <w:r>
              <w:rPr>
                <w:rFonts w:hint="eastAsia"/>
                <w:sz w:val="22"/>
                <w:szCs w:val="18"/>
              </w:rPr>
              <w:t>信用记录</w:t>
            </w:r>
            <w:bookmarkEnd w:id="268"/>
            <w:bookmarkEnd w:id="269"/>
          </w:p>
        </w:tc>
        <w:tc>
          <w:tcPr>
            <w:tcW w:w="5103" w:type="dxa"/>
            <w:vAlign w:val="center"/>
          </w:tcPr>
          <w:p>
            <w:pPr>
              <w:bidi w:val="0"/>
              <w:jc w:val="center"/>
              <w:rPr>
                <w:sz w:val="22"/>
                <w:szCs w:val="18"/>
              </w:rPr>
            </w:pPr>
            <w:bookmarkStart w:id="270" w:name="_Toc13144"/>
            <w:bookmarkStart w:id="271" w:name="_Toc6290"/>
            <w:r>
              <w:rPr>
                <w:rFonts w:hint="eastAsia"/>
                <w:sz w:val="22"/>
                <w:szCs w:val="18"/>
                <w:lang w:eastAsia="zh-CN"/>
              </w:rPr>
              <w:t>投标人</w:t>
            </w:r>
            <w:r>
              <w:rPr>
                <w:rFonts w:hint="eastAsia"/>
                <w:sz w:val="22"/>
                <w:szCs w:val="18"/>
              </w:rPr>
              <w:t>通过“信用中国”网站(www.creditchina.gov.cn)、中国政府采购网(www.ccgp.gov.cn) 等查询相关主体信用记录；</w:t>
            </w:r>
            <w:bookmarkEnd w:id="270"/>
            <w:bookmarkEnd w:id="2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2572" w:type="dxa"/>
            <w:gridSpan w:val="2"/>
            <w:vAlign w:val="center"/>
          </w:tcPr>
          <w:p>
            <w:pPr>
              <w:bidi w:val="0"/>
              <w:jc w:val="center"/>
              <w:rPr>
                <w:sz w:val="22"/>
                <w:szCs w:val="18"/>
              </w:rPr>
            </w:pPr>
            <w:bookmarkStart w:id="272" w:name="_Toc2171"/>
            <w:bookmarkStart w:id="273" w:name="_Toc2624"/>
            <w:r>
              <w:rPr>
                <w:rFonts w:hint="eastAsia"/>
                <w:sz w:val="22"/>
                <w:szCs w:val="18"/>
              </w:rPr>
              <w:t>承诺书</w:t>
            </w:r>
            <w:bookmarkEnd w:id="272"/>
            <w:bookmarkEnd w:id="273"/>
          </w:p>
        </w:tc>
        <w:tc>
          <w:tcPr>
            <w:tcW w:w="5103" w:type="dxa"/>
            <w:vAlign w:val="center"/>
          </w:tcPr>
          <w:p>
            <w:pPr>
              <w:bidi w:val="0"/>
              <w:jc w:val="center"/>
              <w:rPr>
                <w:sz w:val="22"/>
                <w:szCs w:val="18"/>
              </w:rPr>
            </w:pPr>
            <w:bookmarkStart w:id="274" w:name="_Toc30194"/>
            <w:bookmarkStart w:id="275" w:name="_Toc7053"/>
            <w:r>
              <w:rPr>
                <w:rFonts w:hint="eastAsia"/>
                <w:sz w:val="22"/>
                <w:szCs w:val="18"/>
              </w:rPr>
              <w:t>提供具有履行本项目合同所必需的设备和专业技术能力的说明及承诺书</w:t>
            </w:r>
            <w:bookmarkEnd w:id="274"/>
            <w:bookmarkEnd w:id="2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2572" w:type="dxa"/>
            <w:gridSpan w:val="2"/>
            <w:vAlign w:val="center"/>
          </w:tcPr>
          <w:p>
            <w:pPr>
              <w:bidi w:val="0"/>
              <w:jc w:val="center"/>
              <w:rPr>
                <w:rFonts w:hint="eastAsia"/>
                <w:sz w:val="22"/>
                <w:szCs w:val="18"/>
              </w:rPr>
            </w:pPr>
            <w:bookmarkStart w:id="276" w:name="_Toc1129"/>
            <w:bookmarkStart w:id="277" w:name="_Toc28483"/>
            <w:r>
              <w:rPr>
                <w:rFonts w:hint="eastAsia"/>
                <w:sz w:val="22"/>
                <w:szCs w:val="18"/>
              </w:rPr>
              <w:t>书面声明</w:t>
            </w:r>
            <w:bookmarkEnd w:id="276"/>
            <w:bookmarkEnd w:id="277"/>
          </w:p>
        </w:tc>
        <w:tc>
          <w:tcPr>
            <w:tcW w:w="5103" w:type="dxa"/>
            <w:vAlign w:val="center"/>
          </w:tcPr>
          <w:p>
            <w:pPr>
              <w:bidi w:val="0"/>
              <w:jc w:val="center"/>
              <w:rPr>
                <w:rFonts w:hint="eastAsia"/>
                <w:sz w:val="22"/>
                <w:szCs w:val="18"/>
              </w:rPr>
            </w:pPr>
            <w:bookmarkStart w:id="278" w:name="_Toc26907"/>
            <w:bookmarkStart w:id="279" w:name="_Toc16447"/>
            <w:r>
              <w:rPr>
                <w:rFonts w:hint="eastAsia"/>
                <w:sz w:val="22"/>
                <w:szCs w:val="18"/>
              </w:rPr>
              <w:t>参加政府采购活动前3年内，在经营活动中没有重大违法记录的书面声明</w:t>
            </w:r>
            <w:bookmarkEnd w:id="278"/>
            <w:bookmarkEnd w:id="2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2572" w:type="dxa"/>
            <w:gridSpan w:val="2"/>
            <w:vAlign w:val="center"/>
          </w:tcPr>
          <w:p>
            <w:pPr>
              <w:bidi w:val="0"/>
              <w:jc w:val="center"/>
              <w:rPr>
                <w:rFonts w:hint="default"/>
                <w:sz w:val="22"/>
                <w:szCs w:val="18"/>
                <w:lang w:val="en-US" w:eastAsia="zh-CN"/>
              </w:rPr>
            </w:pPr>
            <w:bookmarkStart w:id="280" w:name="_Toc39"/>
            <w:bookmarkStart w:id="281" w:name="_Toc3247"/>
            <w:r>
              <w:rPr>
                <w:rFonts w:hint="eastAsia"/>
                <w:sz w:val="22"/>
                <w:szCs w:val="18"/>
                <w:lang w:val="en-US" w:eastAsia="zh-CN"/>
              </w:rPr>
              <w:t>投标保证金</w:t>
            </w:r>
            <w:bookmarkEnd w:id="280"/>
            <w:bookmarkEnd w:id="281"/>
          </w:p>
        </w:tc>
        <w:tc>
          <w:tcPr>
            <w:tcW w:w="5103" w:type="dxa"/>
            <w:vAlign w:val="center"/>
          </w:tcPr>
          <w:p>
            <w:pPr>
              <w:bidi w:val="0"/>
              <w:jc w:val="center"/>
              <w:rPr>
                <w:sz w:val="22"/>
                <w:szCs w:val="18"/>
              </w:rPr>
            </w:pPr>
            <w:bookmarkStart w:id="282" w:name="_Toc8779"/>
            <w:bookmarkStart w:id="283" w:name="_Toc26410"/>
            <w:r>
              <w:rPr>
                <w:rFonts w:hint="eastAsia"/>
                <w:sz w:val="22"/>
                <w:szCs w:val="18"/>
              </w:rPr>
              <w:t>提供</w:t>
            </w:r>
            <w:r>
              <w:rPr>
                <w:rFonts w:hint="eastAsia"/>
                <w:sz w:val="22"/>
                <w:szCs w:val="18"/>
                <w:lang w:val="en-US" w:eastAsia="zh-CN"/>
              </w:rPr>
              <w:t>投标</w:t>
            </w:r>
            <w:r>
              <w:rPr>
                <w:rFonts w:hint="eastAsia"/>
                <w:sz w:val="22"/>
                <w:szCs w:val="18"/>
              </w:rPr>
              <w:t>保证金缴纳凭证或担保机构出具的保函</w:t>
            </w:r>
            <w:bookmarkEnd w:id="282"/>
            <w:bookmarkEnd w:id="2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9" w:type="dxa"/>
            <w:gridSpan w:val="5"/>
            <w:vAlign w:val="center"/>
          </w:tcPr>
          <w:p>
            <w:pPr>
              <w:bidi w:val="0"/>
              <w:jc w:val="center"/>
              <w:rPr>
                <w:sz w:val="22"/>
                <w:szCs w:val="18"/>
              </w:rPr>
            </w:pPr>
            <w:bookmarkStart w:id="284" w:name="_Toc26361"/>
            <w:bookmarkStart w:id="285" w:name="_Toc6534"/>
            <w:r>
              <w:rPr>
                <w:rFonts w:hint="eastAsia"/>
                <w:sz w:val="22"/>
                <w:szCs w:val="18"/>
              </w:rPr>
              <w:t>注：以上为必备资质，缺一项或某项达不到要求，按无效投标处理。资格审查时以投标文件中所附证明材料为准，原件备查。</w:t>
            </w:r>
            <w:bookmarkEnd w:id="284"/>
            <w:bookmarkEnd w:id="2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restart"/>
            <w:vAlign w:val="center"/>
          </w:tcPr>
          <w:p>
            <w:pPr>
              <w:bidi w:val="0"/>
              <w:jc w:val="center"/>
              <w:rPr>
                <w:sz w:val="22"/>
                <w:szCs w:val="18"/>
              </w:rPr>
            </w:pPr>
            <w:bookmarkStart w:id="286" w:name="_Toc25998"/>
            <w:bookmarkStart w:id="287" w:name="_Toc18614"/>
            <w:r>
              <w:rPr>
                <w:rFonts w:hint="eastAsia"/>
                <w:sz w:val="22"/>
                <w:szCs w:val="18"/>
              </w:rPr>
              <w:t>2.1.2</w:t>
            </w:r>
            <w:bookmarkEnd w:id="286"/>
            <w:bookmarkEnd w:id="287"/>
          </w:p>
        </w:tc>
        <w:tc>
          <w:tcPr>
            <w:tcW w:w="419" w:type="dxa"/>
            <w:vMerge w:val="restart"/>
            <w:vAlign w:val="center"/>
          </w:tcPr>
          <w:p>
            <w:pPr>
              <w:bidi w:val="0"/>
              <w:jc w:val="center"/>
              <w:rPr>
                <w:sz w:val="22"/>
                <w:szCs w:val="18"/>
              </w:rPr>
            </w:pPr>
            <w:bookmarkStart w:id="288" w:name="_Toc23071"/>
            <w:bookmarkStart w:id="289" w:name="_Toc1357"/>
            <w:r>
              <w:rPr>
                <w:rFonts w:hint="eastAsia"/>
                <w:sz w:val="22"/>
                <w:szCs w:val="18"/>
              </w:rPr>
              <w:t>符合性评审标准</w:t>
            </w:r>
            <w:bookmarkEnd w:id="288"/>
            <w:bookmarkEnd w:id="289"/>
          </w:p>
        </w:tc>
        <w:tc>
          <w:tcPr>
            <w:tcW w:w="567" w:type="dxa"/>
            <w:vMerge w:val="restart"/>
            <w:vAlign w:val="center"/>
          </w:tcPr>
          <w:p>
            <w:pPr>
              <w:bidi w:val="0"/>
              <w:jc w:val="center"/>
              <w:rPr>
                <w:sz w:val="22"/>
                <w:szCs w:val="18"/>
              </w:rPr>
            </w:pPr>
            <w:bookmarkStart w:id="290" w:name="_Toc26859"/>
            <w:bookmarkStart w:id="291" w:name="_Toc23102"/>
            <w:r>
              <w:rPr>
                <w:rFonts w:hint="eastAsia"/>
                <w:sz w:val="22"/>
                <w:szCs w:val="18"/>
              </w:rPr>
              <w:t>有效性审查</w:t>
            </w:r>
            <w:bookmarkEnd w:id="290"/>
            <w:bookmarkEnd w:id="291"/>
          </w:p>
        </w:tc>
        <w:tc>
          <w:tcPr>
            <w:tcW w:w="2005" w:type="dxa"/>
            <w:vAlign w:val="center"/>
          </w:tcPr>
          <w:p>
            <w:pPr>
              <w:bidi w:val="0"/>
              <w:jc w:val="center"/>
              <w:rPr>
                <w:sz w:val="22"/>
                <w:szCs w:val="18"/>
              </w:rPr>
            </w:pPr>
            <w:bookmarkStart w:id="292" w:name="_Toc32445"/>
            <w:bookmarkStart w:id="293" w:name="_Toc16312"/>
            <w:r>
              <w:rPr>
                <w:rFonts w:hint="eastAsia"/>
                <w:sz w:val="22"/>
                <w:szCs w:val="18"/>
              </w:rPr>
              <w:t>投标文件的签署盖章</w:t>
            </w:r>
            <w:bookmarkEnd w:id="292"/>
            <w:bookmarkEnd w:id="293"/>
          </w:p>
        </w:tc>
        <w:tc>
          <w:tcPr>
            <w:tcW w:w="5103" w:type="dxa"/>
            <w:vAlign w:val="center"/>
          </w:tcPr>
          <w:p>
            <w:pPr>
              <w:bidi w:val="0"/>
              <w:jc w:val="center"/>
              <w:rPr>
                <w:sz w:val="22"/>
                <w:szCs w:val="18"/>
              </w:rPr>
            </w:pPr>
            <w:bookmarkStart w:id="294" w:name="_Toc8086"/>
            <w:bookmarkStart w:id="295" w:name="_Toc5396"/>
            <w:r>
              <w:rPr>
                <w:rFonts w:hint="eastAsia"/>
                <w:sz w:val="22"/>
                <w:szCs w:val="18"/>
              </w:rPr>
              <w:t>投标文件上法定代表人或其授权代表人的签字齐全并加盖公章</w:t>
            </w:r>
            <w:bookmarkEnd w:id="294"/>
            <w:bookmarkEnd w:id="2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567" w:type="dxa"/>
            <w:vMerge w:val="continue"/>
            <w:vAlign w:val="center"/>
          </w:tcPr>
          <w:p>
            <w:pPr>
              <w:bidi w:val="0"/>
              <w:jc w:val="center"/>
              <w:rPr>
                <w:sz w:val="22"/>
                <w:szCs w:val="18"/>
              </w:rPr>
            </w:pPr>
          </w:p>
        </w:tc>
        <w:tc>
          <w:tcPr>
            <w:tcW w:w="2005" w:type="dxa"/>
            <w:vAlign w:val="center"/>
          </w:tcPr>
          <w:p>
            <w:pPr>
              <w:bidi w:val="0"/>
              <w:jc w:val="center"/>
              <w:rPr>
                <w:sz w:val="22"/>
                <w:szCs w:val="18"/>
              </w:rPr>
            </w:pPr>
            <w:bookmarkStart w:id="296" w:name="_Toc23374"/>
            <w:bookmarkStart w:id="297" w:name="_Toc11158"/>
            <w:r>
              <w:rPr>
                <w:rFonts w:hint="eastAsia"/>
                <w:sz w:val="22"/>
                <w:szCs w:val="18"/>
              </w:rPr>
              <w:t>报价唯一</w:t>
            </w:r>
            <w:bookmarkEnd w:id="296"/>
            <w:bookmarkEnd w:id="297"/>
          </w:p>
        </w:tc>
        <w:tc>
          <w:tcPr>
            <w:tcW w:w="5103" w:type="dxa"/>
            <w:vAlign w:val="center"/>
          </w:tcPr>
          <w:p>
            <w:pPr>
              <w:bidi w:val="0"/>
              <w:jc w:val="center"/>
              <w:rPr>
                <w:sz w:val="22"/>
                <w:szCs w:val="18"/>
              </w:rPr>
            </w:pPr>
            <w:bookmarkStart w:id="298" w:name="_Toc15826"/>
            <w:bookmarkStart w:id="299" w:name="_Toc27777"/>
            <w:r>
              <w:rPr>
                <w:rFonts w:hint="eastAsia"/>
                <w:sz w:val="22"/>
                <w:szCs w:val="18"/>
              </w:rPr>
              <w:t>只能有一个有效报价，不得提交选择性报价，且报价不超过采购预算金额或最高限价。</w:t>
            </w:r>
            <w:bookmarkEnd w:id="298"/>
            <w:bookmarkEnd w:id="2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567" w:type="dxa"/>
            <w:vMerge w:val="continue"/>
            <w:vAlign w:val="center"/>
          </w:tcPr>
          <w:p>
            <w:pPr>
              <w:bidi w:val="0"/>
              <w:jc w:val="center"/>
              <w:rPr>
                <w:sz w:val="22"/>
                <w:szCs w:val="18"/>
              </w:rPr>
            </w:pPr>
          </w:p>
        </w:tc>
        <w:tc>
          <w:tcPr>
            <w:tcW w:w="2005" w:type="dxa"/>
            <w:vAlign w:val="center"/>
          </w:tcPr>
          <w:p>
            <w:pPr>
              <w:bidi w:val="0"/>
              <w:jc w:val="center"/>
              <w:rPr>
                <w:sz w:val="22"/>
                <w:szCs w:val="18"/>
              </w:rPr>
            </w:pPr>
            <w:bookmarkStart w:id="300" w:name="_Toc17392"/>
            <w:bookmarkStart w:id="301" w:name="_Toc984"/>
            <w:r>
              <w:rPr>
                <w:rFonts w:hint="eastAsia"/>
                <w:sz w:val="22"/>
                <w:szCs w:val="18"/>
              </w:rPr>
              <w:t>投标文件内容</w:t>
            </w:r>
            <w:bookmarkEnd w:id="300"/>
            <w:bookmarkEnd w:id="301"/>
          </w:p>
        </w:tc>
        <w:tc>
          <w:tcPr>
            <w:tcW w:w="5103" w:type="dxa"/>
            <w:vAlign w:val="center"/>
          </w:tcPr>
          <w:p>
            <w:pPr>
              <w:bidi w:val="0"/>
              <w:jc w:val="center"/>
              <w:rPr>
                <w:sz w:val="22"/>
                <w:szCs w:val="18"/>
              </w:rPr>
            </w:pPr>
            <w:bookmarkStart w:id="302" w:name="_Toc7297"/>
            <w:bookmarkStart w:id="303" w:name="_Toc14654"/>
            <w:r>
              <w:rPr>
                <w:rFonts w:hint="eastAsia"/>
                <w:sz w:val="22"/>
                <w:szCs w:val="18"/>
              </w:rPr>
              <w:t>投标文件内容无重大缺项、重大技术偏离</w:t>
            </w:r>
            <w:bookmarkEnd w:id="302"/>
            <w:bookmarkEnd w:id="3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567" w:type="dxa"/>
            <w:vMerge w:val="continue"/>
            <w:vAlign w:val="center"/>
          </w:tcPr>
          <w:p>
            <w:pPr>
              <w:bidi w:val="0"/>
              <w:jc w:val="center"/>
              <w:rPr>
                <w:sz w:val="22"/>
                <w:szCs w:val="18"/>
              </w:rPr>
            </w:pPr>
          </w:p>
        </w:tc>
        <w:tc>
          <w:tcPr>
            <w:tcW w:w="2005" w:type="dxa"/>
            <w:vAlign w:val="center"/>
          </w:tcPr>
          <w:p>
            <w:pPr>
              <w:bidi w:val="0"/>
              <w:jc w:val="center"/>
              <w:rPr>
                <w:sz w:val="22"/>
                <w:szCs w:val="18"/>
              </w:rPr>
            </w:pPr>
            <w:bookmarkStart w:id="304" w:name="_Toc18874"/>
            <w:bookmarkStart w:id="305" w:name="_Toc13886"/>
            <w:r>
              <w:rPr>
                <w:rFonts w:hint="eastAsia"/>
                <w:sz w:val="22"/>
                <w:szCs w:val="18"/>
                <w:lang w:eastAsia="zh-CN"/>
              </w:rPr>
              <w:t>项目</w:t>
            </w:r>
            <w:r>
              <w:rPr>
                <w:sz w:val="22"/>
                <w:szCs w:val="18"/>
              </w:rPr>
              <w:t>完成期</w:t>
            </w:r>
            <w:bookmarkEnd w:id="304"/>
            <w:bookmarkEnd w:id="305"/>
          </w:p>
        </w:tc>
        <w:tc>
          <w:tcPr>
            <w:tcW w:w="5103" w:type="dxa"/>
            <w:vAlign w:val="center"/>
          </w:tcPr>
          <w:p>
            <w:pPr>
              <w:bidi w:val="0"/>
              <w:jc w:val="center"/>
              <w:rPr>
                <w:sz w:val="22"/>
                <w:szCs w:val="18"/>
              </w:rPr>
            </w:pPr>
            <w:bookmarkStart w:id="306" w:name="_Toc23921"/>
            <w:bookmarkStart w:id="307" w:name="_Toc4653"/>
            <w:r>
              <w:rPr>
                <w:rFonts w:hint="eastAsia"/>
                <w:sz w:val="22"/>
                <w:szCs w:val="18"/>
              </w:rPr>
              <w:t>应满足招标文件中要求的项目完成期</w:t>
            </w:r>
            <w:bookmarkEnd w:id="306"/>
            <w:bookmarkEnd w:id="3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567" w:type="dxa"/>
            <w:vMerge w:val="continue"/>
            <w:vAlign w:val="center"/>
          </w:tcPr>
          <w:p>
            <w:pPr>
              <w:bidi w:val="0"/>
              <w:jc w:val="center"/>
              <w:rPr>
                <w:sz w:val="22"/>
                <w:szCs w:val="18"/>
              </w:rPr>
            </w:pPr>
          </w:p>
        </w:tc>
        <w:tc>
          <w:tcPr>
            <w:tcW w:w="2005" w:type="dxa"/>
            <w:vAlign w:val="center"/>
          </w:tcPr>
          <w:p>
            <w:pPr>
              <w:bidi w:val="0"/>
              <w:jc w:val="center"/>
              <w:rPr>
                <w:sz w:val="22"/>
                <w:szCs w:val="18"/>
              </w:rPr>
            </w:pPr>
            <w:bookmarkStart w:id="308" w:name="_Toc3384"/>
            <w:bookmarkStart w:id="309" w:name="_Toc2206"/>
            <w:r>
              <w:rPr>
                <w:rFonts w:hint="eastAsia"/>
                <w:sz w:val="22"/>
                <w:szCs w:val="18"/>
              </w:rPr>
              <w:t>服务地点</w:t>
            </w:r>
            <w:bookmarkEnd w:id="308"/>
            <w:bookmarkEnd w:id="309"/>
          </w:p>
        </w:tc>
        <w:tc>
          <w:tcPr>
            <w:tcW w:w="5103" w:type="dxa"/>
            <w:vAlign w:val="center"/>
          </w:tcPr>
          <w:p>
            <w:pPr>
              <w:bidi w:val="0"/>
              <w:jc w:val="center"/>
              <w:rPr>
                <w:sz w:val="22"/>
                <w:szCs w:val="18"/>
              </w:rPr>
            </w:pPr>
            <w:bookmarkStart w:id="310" w:name="_Toc19917"/>
            <w:bookmarkStart w:id="311" w:name="_Toc13693"/>
            <w:r>
              <w:rPr>
                <w:rFonts w:hint="eastAsia"/>
                <w:sz w:val="22"/>
                <w:szCs w:val="18"/>
              </w:rPr>
              <w:t>应满足招标文件中要求的服务地点</w:t>
            </w:r>
            <w:bookmarkEnd w:id="310"/>
            <w:bookmarkEnd w:id="3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567" w:type="dxa"/>
            <w:vMerge w:val="continue"/>
            <w:vAlign w:val="center"/>
          </w:tcPr>
          <w:p>
            <w:pPr>
              <w:bidi w:val="0"/>
              <w:jc w:val="center"/>
              <w:rPr>
                <w:sz w:val="22"/>
                <w:szCs w:val="18"/>
              </w:rPr>
            </w:pPr>
          </w:p>
        </w:tc>
        <w:tc>
          <w:tcPr>
            <w:tcW w:w="2005" w:type="dxa"/>
            <w:vAlign w:val="center"/>
          </w:tcPr>
          <w:p>
            <w:pPr>
              <w:bidi w:val="0"/>
              <w:jc w:val="center"/>
              <w:rPr>
                <w:sz w:val="22"/>
                <w:szCs w:val="18"/>
              </w:rPr>
            </w:pPr>
            <w:bookmarkStart w:id="312" w:name="_Toc10813"/>
            <w:bookmarkStart w:id="313" w:name="_Toc12664"/>
            <w:r>
              <w:rPr>
                <w:rFonts w:hint="eastAsia"/>
                <w:sz w:val="22"/>
                <w:szCs w:val="18"/>
              </w:rPr>
              <w:t>投标有效期</w:t>
            </w:r>
            <w:bookmarkEnd w:id="312"/>
            <w:bookmarkEnd w:id="313"/>
          </w:p>
        </w:tc>
        <w:tc>
          <w:tcPr>
            <w:tcW w:w="5103" w:type="dxa"/>
            <w:vAlign w:val="center"/>
          </w:tcPr>
          <w:p>
            <w:pPr>
              <w:bidi w:val="0"/>
              <w:jc w:val="center"/>
              <w:rPr>
                <w:sz w:val="22"/>
                <w:szCs w:val="18"/>
              </w:rPr>
            </w:pPr>
            <w:bookmarkStart w:id="314" w:name="_Toc23602"/>
            <w:bookmarkStart w:id="315" w:name="_Toc20622"/>
            <w:r>
              <w:rPr>
                <w:rFonts w:hint="eastAsia"/>
                <w:sz w:val="22"/>
                <w:szCs w:val="18"/>
              </w:rPr>
              <w:t>应满足招标文件中的规定</w:t>
            </w:r>
            <w:bookmarkEnd w:id="314"/>
            <w:bookmarkEnd w:id="3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567" w:type="dxa"/>
            <w:vMerge w:val="restart"/>
            <w:vAlign w:val="center"/>
          </w:tcPr>
          <w:p>
            <w:pPr>
              <w:bidi w:val="0"/>
              <w:jc w:val="center"/>
              <w:rPr>
                <w:sz w:val="22"/>
                <w:szCs w:val="18"/>
              </w:rPr>
            </w:pPr>
            <w:bookmarkStart w:id="316" w:name="_Toc19633"/>
            <w:bookmarkStart w:id="317" w:name="_Toc10281"/>
            <w:r>
              <w:rPr>
                <w:rFonts w:hint="eastAsia"/>
                <w:sz w:val="22"/>
                <w:szCs w:val="18"/>
              </w:rPr>
              <w:t>完整性审查</w:t>
            </w:r>
            <w:bookmarkEnd w:id="316"/>
            <w:bookmarkEnd w:id="317"/>
          </w:p>
        </w:tc>
        <w:tc>
          <w:tcPr>
            <w:tcW w:w="2005" w:type="dxa"/>
            <w:vAlign w:val="center"/>
          </w:tcPr>
          <w:p>
            <w:pPr>
              <w:bidi w:val="0"/>
              <w:jc w:val="center"/>
              <w:rPr>
                <w:rFonts w:hint="eastAsia"/>
                <w:sz w:val="22"/>
                <w:szCs w:val="18"/>
              </w:rPr>
            </w:pPr>
            <w:r>
              <w:rPr>
                <w:rFonts w:hint="eastAsia"/>
                <w:sz w:val="22"/>
                <w:szCs w:val="18"/>
              </w:rPr>
              <w:t>投标文件份数</w:t>
            </w:r>
          </w:p>
        </w:tc>
        <w:tc>
          <w:tcPr>
            <w:tcW w:w="5103" w:type="dxa"/>
            <w:vAlign w:val="center"/>
          </w:tcPr>
          <w:p>
            <w:pPr>
              <w:bidi w:val="0"/>
              <w:jc w:val="center"/>
              <w:rPr>
                <w:rFonts w:hint="eastAsia"/>
                <w:sz w:val="22"/>
                <w:szCs w:val="18"/>
              </w:rPr>
            </w:pPr>
            <w:r>
              <w:rPr>
                <w:rFonts w:hint="eastAsia"/>
                <w:sz w:val="22"/>
                <w:szCs w:val="18"/>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567" w:type="dxa"/>
            <w:vMerge w:val="continue"/>
            <w:vAlign w:val="center"/>
          </w:tcPr>
          <w:p>
            <w:pPr>
              <w:bidi w:val="0"/>
              <w:jc w:val="center"/>
              <w:rPr>
                <w:sz w:val="22"/>
                <w:szCs w:val="18"/>
              </w:rPr>
            </w:pPr>
          </w:p>
        </w:tc>
        <w:tc>
          <w:tcPr>
            <w:tcW w:w="2005" w:type="dxa"/>
            <w:vAlign w:val="center"/>
          </w:tcPr>
          <w:p>
            <w:pPr>
              <w:bidi w:val="0"/>
              <w:jc w:val="center"/>
              <w:rPr>
                <w:rFonts w:hint="eastAsia"/>
                <w:sz w:val="22"/>
                <w:szCs w:val="18"/>
              </w:rPr>
            </w:pPr>
            <w:r>
              <w:rPr>
                <w:rFonts w:hint="eastAsia"/>
                <w:sz w:val="22"/>
                <w:szCs w:val="18"/>
              </w:rPr>
              <w:t>投标文件内容</w:t>
            </w:r>
          </w:p>
        </w:tc>
        <w:tc>
          <w:tcPr>
            <w:tcW w:w="5103" w:type="dxa"/>
            <w:vAlign w:val="center"/>
          </w:tcPr>
          <w:p>
            <w:pPr>
              <w:bidi w:val="0"/>
              <w:jc w:val="center"/>
              <w:rPr>
                <w:rFonts w:hint="eastAsia"/>
                <w:sz w:val="22"/>
                <w:szCs w:val="18"/>
              </w:rPr>
            </w:pPr>
            <w:r>
              <w:rPr>
                <w:rFonts w:hint="eastAsia"/>
                <w:sz w:val="22"/>
                <w:szCs w:val="18"/>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567" w:type="dxa"/>
            <w:vMerge w:val="restart"/>
            <w:vAlign w:val="center"/>
          </w:tcPr>
          <w:p>
            <w:pPr>
              <w:bidi w:val="0"/>
              <w:jc w:val="center"/>
              <w:rPr>
                <w:sz w:val="22"/>
                <w:szCs w:val="18"/>
              </w:rPr>
            </w:pPr>
            <w:bookmarkStart w:id="318" w:name="_Toc2398"/>
            <w:bookmarkStart w:id="319" w:name="_Toc797"/>
            <w:r>
              <w:rPr>
                <w:rFonts w:hint="eastAsia"/>
                <w:sz w:val="22"/>
                <w:szCs w:val="18"/>
              </w:rPr>
              <w:t>响应性审查</w:t>
            </w:r>
            <w:bookmarkEnd w:id="318"/>
            <w:bookmarkEnd w:id="319"/>
          </w:p>
        </w:tc>
        <w:tc>
          <w:tcPr>
            <w:tcW w:w="2005" w:type="dxa"/>
            <w:vAlign w:val="center"/>
          </w:tcPr>
          <w:p>
            <w:pPr>
              <w:bidi w:val="0"/>
              <w:jc w:val="center"/>
              <w:rPr>
                <w:rFonts w:hint="eastAsia"/>
                <w:sz w:val="22"/>
                <w:szCs w:val="18"/>
              </w:rPr>
            </w:pPr>
            <w:r>
              <w:rPr>
                <w:rFonts w:hint="eastAsia"/>
                <w:sz w:val="22"/>
                <w:szCs w:val="18"/>
              </w:rPr>
              <w:t>对招标文件响应程度</w:t>
            </w:r>
          </w:p>
        </w:tc>
        <w:tc>
          <w:tcPr>
            <w:tcW w:w="5103" w:type="dxa"/>
            <w:vAlign w:val="center"/>
          </w:tcPr>
          <w:p>
            <w:pPr>
              <w:bidi w:val="0"/>
              <w:jc w:val="center"/>
              <w:rPr>
                <w:rFonts w:hint="eastAsia"/>
                <w:sz w:val="22"/>
                <w:szCs w:val="18"/>
              </w:rPr>
            </w:pPr>
            <w:r>
              <w:rPr>
                <w:rFonts w:hint="eastAsia"/>
                <w:sz w:val="22"/>
                <w:szCs w:val="18"/>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567" w:type="dxa"/>
            <w:vMerge w:val="continue"/>
            <w:vAlign w:val="center"/>
          </w:tcPr>
          <w:p>
            <w:pPr>
              <w:bidi w:val="0"/>
              <w:jc w:val="center"/>
              <w:rPr>
                <w:sz w:val="22"/>
                <w:szCs w:val="18"/>
              </w:rPr>
            </w:pPr>
          </w:p>
        </w:tc>
        <w:tc>
          <w:tcPr>
            <w:tcW w:w="2005" w:type="dxa"/>
            <w:vAlign w:val="center"/>
          </w:tcPr>
          <w:p>
            <w:pPr>
              <w:bidi w:val="0"/>
              <w:jc w:val="center"/>
              <w:rPr>
                <w:rFonts w:hint="eastAsia"/>
                <w:sz w:val="22"/>
                <w:szCs w:val="18"/>
              </w:rPr>
            </w:pPr>
            <w:r>
              <w:rPr>
                <w:rFonts w:hint="eastAsia"/>
                <w:sz w:val="22"/>
                <w:szCs w:val="18"/>
              </w:rPr>
              <w:t>完成期</w:t>
            </w:r>
          </w:p>
        </w:tc>
        <w:tc>
          <w:tcPr>
            <w:tcW w:w="5103" w:type="dxa"/>
            <w:vAlign w:val="center"/>
          </w:tcPr>
          <w:p>
            <w:pPr>
              <w:bidi w:val="0"/>
              <w:jc w:val="center"/>
              <w:rPr>
                <w:rFonts w:hint="eastAsia"/>
                <w:sz w:val="22"/>
                <w:szCs w:val="18"/>
              </w:rPr>
            </w:pPr>
            <w:r>
              <w:rPr>
                <w:rFonts w:hint="eastAsia"/>
                <w:sz w:val="22"/>
                <w:szCs w:val="18"/>
              </w:rPr>
              <w:t>应满足招标文件中要求的完成期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567" w:type="dxa"/>
            <w:vMerge w:val="continue"/>
            <w:vAlign w:val="center"/>
          </w:tcPr>
          <w:p>
            <w:pPr>
              <w:bidi w:val="0"/>
              <w:jc w:val="center"/>
              <w:rPr>
                <w:sz w:val="22"/>
                <w:szCs w:val="18"/>
              </w:rPr>
            </w:pPr>
          </w:p>
        </w:tc>
        <w:tc>
          <w:tcPr>
            <w:tcW w:w="2005" w:type="dxa"/>
            <w:vAlign w:val="center"/>
          </w:tcPr>
          <w:p>
            <w:pPr>
              <w:bidi w:val="0"/>
              <w:jc w:val="center"/>
              <w:rPr>
                <w:rFonts w:hint="default"/>
                <w:sz w:val="22"/>
                <w:szCs w:val="18"/>
                <w:lang w:val="en-US" w:eastAsia="zh-CN"/>
              </w:rPr>
            </w:pPr>
            <w:r>
              <w:rPr>
                <w:rFonts w:hint="eastAsia"/>
                <w:sz w:val="22"/>
                <w:szCs w:val="18"/>
                <w:lang w:val="en-US" w:eastAsia="zh-CN"/>
              </w:rPr>
              <w:t>质保期</w:t>
            </w:r>
          </w:p>
        </w:tc>
        <w:tc>
          <w:tcPr>
            <w:tcW w:w="5103" w:type="dxa"/>
            <w:vAlign w:val="center"/>
          </w:tcPr>
          <w:p>
            <w:pPr>
              <w:bidi w:val="0"/>
              <w:jc w:val="center"/>
              <w:rPr>
                <w:rFonts w:hint="eastAsia"/>
                <w:sz w:val="22"/>
                <w:szCs w:val="18"/>
              </w:rPr>
            </w:pPr>
            <w:r>
              <w:rPr>
                <w:rFonts w:hint="eastAsia"/>
                <w:sz w:val="22"/>
                <w:szCs w:val="18"/>
              </w:rPr>
              <w:t>应满足招标文件中要求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 w:type="dxa"/>
            <w:vMerge w:val="continue"/>
            <w:vAlign w:val="center"/>
          </w:tcPr>
          <w:p>
            <w:pPr>
              <w:bidi w:val="0"/>
              <w:jc w:val="center"/>
              <w:rPr>
                <w:sz w:val="22"/>
                <w:szCs w:val="18"/>
              </w:rPr>
            </w:pPr>
          </w:p>
        </w:tc>
        <w:tc>
          <w:tcPr>
            <w:tcW w:w="419" w:type="dxa"/>
            <w:vMerge w:val="continue"/>
            <w:vAlign w:val="center"/>
          </w:tcPr>
          <w:p>
            <w:pPr>
              <w:bidi w:val="0"/>
              <w:jc w:val="center"/>
              <w:rPr>
                <w:sz w:val="22"/>
                <w:szCs w:val="18"/>
              </w:rPr>
            </w:pPr>
          </w:p>
        </w:tc>
        <w:tc>
          <w:tcPr>
            <w:tcW w:w="567" w:type="dxa"/>
            <w:vMerge w:val="continue"/>
            <w:vAlign w:val="center"/>
          </w:tcPr>
          <w:p>
            <w:pPr>
              <w:bidi w:val="0"/>
              <w:jc w:val="center"/>
              <w:rPr>
                <w:sz w:val="22"/>
                <w:szCs w:val="18"/>
              </w:rPr>
            </w:pPr>
          </w:p>
        </w:tc>
        <w:tc>
          <w:tcPr>
            <w:tcW w:w="2005" w:type="dxa"/>
            <w:vAlign w:val="center"/>
          </w:tcPr>
          <w:p>
            <w:pPr>
              <w:bidi w:val="0"/>
              <w:jc w:val="center"/>
              <w:rPr>
                <w:rFonts w:hint="eastAsia"/>
                <w:sz w:val="22"/>
                <w:szCs w:val="18"/>
              </w:rPr>
            </w:pPr>
            <w:r>
              <w:rPr>
                <w:rFonts w:hint="eastAsia"/>
                <w:sz w:val="22"/>
                <w:szCs w:val="18"/>
              </w:rPr>
              <w:t>投标有效期</w:t>
            </w:r>
          </w:p>
        </w:tc>
        <w:tc>
          <w:tcPr>
            <w:tcW w:w="5103" w:type="dxa"/>
            <w:vAlign w:val="center"/>
          </w:tcPr>
          <w:p>
            <w:pPr>
              <w:bidi w:val="0"/>
              <w:jc w:val="center"/>
              <w:rPr>
                <w:rFonts w:hint="eastAsia"/>
                <w:sz w:val="22"/>
                <w:szCs w:val="18"/>
              </w:rPr>
            </w:pPr>
            <w:r>
              <w:rPr>
                <w:rFonts w:hint="eastAsia"/>
                <w:sz w:val="22"/>
                <w:szCs w:val="18"/>
              </w:rPr>
              <w:t>应满足招标文件中的规定</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Ansi="宋体" w:cs="宋体"/>
          <w:b/>
          <w:color w:val="auto"/>
          <w:sz w:val="28"/>
          <w:szCs w:val="28"/>
          <w:highlight w:val="none"/>
        </w:rPr>
      </w:pPr>
      <w:r>
        <w:rPr>
          <w:rFonts w:hint="eastAsia" w:hAnsi="宋体" w:cs="宋体"/>
          <w:b/>
          <w:color w:val="auto"/>
          <w:sz w:val="28"/>
          <w:szCs w:val="28"/>
          <w:highlight w:val="none"/>
        </w:rPr>
        <w:br w:type="page"/>
      </w:r>
      <w:bookmarkStart w:id="320" w:name="_Toc31317"/>
      <w:r>
        <w:rPr>
          <w:rFonts w:hint="eastAsia" w:ascii="宋体" w:hAnsi="宋体" w:eastAsia="宋体" w:cs="宋体"/>
          <w:i w:val="0"/>
          <w:iCs w:val="0"/>
          <w:caps w:val="0"/>
          <w:color w:val="auto"/>
          <w:spacing w:val="0"/>
          <w:sz w:val="24"/>
          <w:szCs w:val="24"/>
          <w:shd w:val="clear" w:fill="FFFFFF"/>
        </w:rPr>
        <w:t>附件</w:t>
      </w:r>
      <w:r>
        <w:rPr>
          <w:rFonts w:hint="eastAsia" w:hAnsi="宋体" w:cs="宋体"/>
          <w:b/>
          <w:color w:val="auto"/>
          <w:sz w:val="28"/>
          <w:szCs w:val="28"/>
          <w:highlight w:val="none"/>
        </w:rPr>
        <w:t>2：</w:t>
      </w:r>
      <w:bookmarkEnd w:id="320"/>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pPr>
      <w:r>
        <w:rPr>
          <w:rFonts w:hint="eastAsia" w:ascii="宋体" w:hAnsi="Times New Roman" w:eastAsia="宋体" w:cs="Times New Roman"/>
          <w:b/>
          <w:bCs/>
          <w:sz w:val="28"/>
          <w:szCs w:val="21"/>
        </w:rPr>
        <w:t>评标因素及权重分值表</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195"/>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53" w:type="pct"/>
            <w:gridSpan w:val="2"/>
            <w:shd w:val="clear" w:color="auto" w:fill="EEECE1"/>
            <w:vAlign w:val="center"/>
          </w:tcPr>
          <w:p>
            <w:pPr>
              <w:spacing w:line="380" w:lineRule="exact"/>
              <w:jc w:val="center"/>
              <w:rPr>
                <w:rFonts w:hint="eastAsia" w:ascii="宋体" w:hAnsi="宋体" w:eastAsia="宋体" w:cs="宋体"/>
                <w:b w:val="0"/>
                <w:bCs/>
                <w:kern w:val="2"/>
                <w:sz w:val="20"/>
                <w:szCs w:val="20"/>
                <w:highlight w:val="none"/>
              </w:rPr>
            </w:pPr>
            <w:bookmarkStart w:id="321" w:name="_Toc18276"/>
            <w:bookmarkStart w:id="322" w:name="_Toc5791"/>
            <w:r>
              <w:rPr>
                <w:rFonts w:hint="eastAsia" w:ascii="宋体" w:hAnsi="宋体" w:eastAsia="宋体" w:cs="宋体"/>
                <w:b w:val="0"/>
                <w:bCs/>
                <w:kern w:val="2"/>
                <w:sz w:val="20"/>
                <w:szCs w:val="20"/>
                <w:highlight w:val="none"/>
              </w:rPr>
              <w:t>评审类型</w:t>
            </w:r>
          </w:p>
        </w:tc>
        <w:tc>
          <w:tcPr>
            <w:tcW w:w="3846" w:type="pct"/>
            <w:shd w:val="clear" w:color="auto" w:fill="EEECE1"/>
            <w:vAlign w:val="center"/>
          </w:tcPr>
          <w:p>
            <w:pPr>
              <w:spacing w:line="380" w:lineRule="exact"/>
              <w:jc w:val="center"/>
              <w:rPr>
                <w:rFonts w:hint="eastAsia" w:ascii="宋体" w:hAnsi="宋体" w:eastAsia="宋体" w:cs="宋体"/>
                <w:b w:val="0"/>
                <w:bCs/>
                <w:kern w:val="2"/>
                <w:sz w:val="20"/>
                <w:szCs w:val="20"/>
                <w:highlight w:val="none"/>
              </w:rPr>
            </w:pPr>
            <w:r>
              <w:rPr>
                <w:rFonts w:hint="eastAsia" w:ascii="宋体" w:hAnsi="宋体" w:eastAsia="宋体" w:cs="宋体"/>
                <w:b w:val="0"/>
                <w:bCs/>
                <w:kern w:val="2"/>
                <w:sz w:val="20"/>
                <w:szCs w:val="20"/>
                <w:highlight w:val="none"/>
              </w:rPr>
              <w:t>评分要素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3" w:type="pct"/>
            <w:gridSpan w:val="2"/>
            <w:shd w:val="clear" w:color="auto" w:fill="EEECE1"/>
            <w:vAlign w:val="center"/>
          </w:tcPr>
          <w:p>
            <w:pPr>
              <w:spacing w:line="380" w:lineRule="exact"/>
              <w:jc w:val="center"/>
              <w:rPr>
                <w:rFonts w:hint="eastAsia" w:ascii="宋体" w:hAnsi="宋体" w:eastAsia="宋体" w:cs="宋体"/>
                <w:b w:val="0"/>
                <w:bCs/>
                <w:kern w:val="2"/>
                <w:sz w:val="20"/>
                <w:szCs w:val="20"/>
                <w:highlight w:val="none"/>
              </w:rPr>
            </w:pPr>
            <w:r>
              <w:rPr>
                <w:rFonts w:hint="eastAsia" w:ascii="宋体" w:hAnsi="宋体" w:eastAsia="宋体" w:cs="宋体"/>
                <w:b w:val="0"/>
                <w:bCs/>
                <w:kern w:val="2"/>
                <w:sz w:val="20"/>
                <w:szCs w:val="20"/>
                <w:highlight w:val="none"/>
              </w:rPr>
              <w:t>投标报价</w:t>
            </w:r>
          </w:p>
          <w:p>
            <w:pPr>
              <w:spacing w:line="380" w:lineRule="exact"/>
              <w:jc w:val="center"/>
              <w:rPr>
                <w:rFonts w:hint="eastAsia" w:ascii="宋体" w:hAnsi="宋体" w:eastAsia="宋体" w:cs="宋体"/>
                <w:b w:val="0"/>
                <w:bCs/>
                <w:kern w:val="2"/>
                <w:sz w:val="20"/>
                <w:szCs w:val="20"/>
                <w:highlight w:val="none"/>
              </w:rPr>
            </w:pPr>
            <w:r>
              <w:rPr>
                <w:rFonts w:hint="eastAsia" w:ascii="宋体" w:hAnsi="宋体" w:eastAsia="宋体" w:cs="宋体"/>
                <w:b w:val="0"/>
                <w:bCs/>
                <w:kern w:val="2"/>
                <w:sz w:val="20"/>
                <w:szCs w:val="20"/>
                <w:highlight w:val="none"/>
              </w:rPr>
              <w:t>（40分）</w:t>
            </w:r>
          </w:p>
        </w:tc>
        <w:tc>
          <w:tcPr>
            <w:tcW w:w="3846" w:type="pct"/>
            <w:shd w:val="clear" w:color="auto" w:fill="EEECE1"/>
            <w:vAlign w:val="center"/>
          </w:tcPr>
          <w:p>
            <w:pPr>
              <w:widowControl/>
              <w:spacing w:line="360" w:lineRule="exact"/>
              <w:rPr>
                <w:rFonts w:hint="eastAsia" w:ascii="宋体" w:hAnsi="宋体" w:eastAsia="宋体" w:cs="宋体"/>
                <w:b w:val="0"/>
                <w:bCs/>
                <w:color w:val="auto"/>
                <w:kern w:val="2"/>
                <w:sz w:val="20"/>
                <w:szCs w:val="20"/>
                <w:highlight w:val="none"/>
              </w:rPr>
            </w:pPr>
            <w:r>
              <w:rPr>
                <w:rFonts w:hint="eastAsia" w:ascii="宋体" w:hAnsi="宋体" w:eastAsia="宋体" w:cs="宋体"/>
                <w:b w:val="0"/>
                <w:bCs/>
                <w:color w:val="auto"/>
                <w:kern w:val="2"/>
                <w:sz w:val="20"/>
                <w:szCs w:val="20"/>
                <w:highlight w:val="none"/>
              </w:rPr>
              <w:t xml:space="preserve">1、价格分采用低价优先法计算，即满足招标文件要求且价格最低报价的为评标基准价，其价格分为满分。其他投标单位的价格分按照以下公式计算：投标报价得分=(评标基准价／投标报价)×价格权值×100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kern w:val="2"/>
                <w:sz w:val="20"/>
                <w:szCs w:val="20"/>
                <w:highlight w:val="none"/>
                <w:lang w:val="en-US" w:eastAsia="zh-CN" w:bidi="ar-SA"/>
              </w:rPr>
            </w:pPr>
            <w:r>
              <w:rPr>
                <w:rFonts w:hint="eastAsia" w:ascii="宋体" w:hAnsi="宋体" w:eastAsia="宋体" w:cs="宋体"/>
                <w:b w:val="0"/>
                <w:bCs/>
                <w:color w:val="auto"/>
                <w:kern w:val="2"/>
                <w:sz w:val="20"/>
                <w:szCs w:val="20"/>
                <w:highlight w:val="none"/>
                <w:lang w:val="en-US" w:eastAsia="zh-CN" w:bidi="ar-SA"/>
              </w:rPr>
              <w:t>2、非专门面向中小企业：符合竞争性招标文件规定的小微企业、监狱企业、残疾人福利性单位优惠条件的供应商，价格给予 10%的扣除，用扣除后的价格参与评审 (注：计算分数 时四舍五入取小数点后两位)</w:t>
            </w:r>
          </w:p>
          <w:p>
            <w:pPr>
              <w:widowControl/>
              <w:spacing w:line="360" w:lineRule="exact"/>
              <w:rPr>
                <w:rFonts w:hint="eastAsia" w:ascii="宋体" w:hAnsi="宋体" w:eastAsia="宋体" w:cs="宋体"/>
                <w:b w:val="0"/>
                <w:bCs/>
                <w:color w:val="auto"/>
                <w:kern w:val="2"/>
                <w:sz w:val="20"/>
                <w:szCs w:val="20"/>
                <w:highlight w:val="none"/>
                <w:lang w:val="en-US" w:eastAsia="zh-CN" w:bidi="ar-SA"/>
              </w:rPr>
            </w:pPr>
            <w:r>
              <w:rPr>
                <w:rFonts w:hint="eastAsia" w:ascii="宋体" w:hAnsi="宋体" w:eastAsia="宋体" w:cs="宋体"/>
                <w:b w:val="0"/>
                <w:bCs/>
                <w:color w:val="auto"/>
                <w:kern w:val="2"/>
                <w:sz w:val="20"/>
                <w:szCs w:val="20"/>
                <w:highlight w:val="none"/>
                <w:lang w:val="en-US" w:eastAsia="zh-CN" w:bidi="ar-SA"/>
              </w:rPr>
              <w:t>3.投标报价不完整的，不进入评标标准价的计算，本项得0分。</w:t>
            </w:r>
          </w:p>
          <w:p>
            <w:pPr>
              <w:pStyle w:val="9"/>
              <w:tabs>
                <w:tab w:val="left" w:pos="6840"/>
              </w:tabs>
              <w:spacing w:line="420" w:lineRule="exact"/>
              <w:ind w:firstLine="0" w:firstLineChars="0"/>
              <w:rPr>
                <w:rFonts w:hint="eastAsia" w:ascii="宋体" w:hAnsi="宋体" w:eastAsia="宋体" w:cs="宋体"/>
                <w:b w:val="0"/>
                <w:bCs/>
                <w:kern w:val="2"/>
                <w:sz w:val="20"/>
                <w:szCs w:val="20"/>
                <w:highlight w:val="none"/>
              </w:rPr>
            </w:pPr>
            <w:r>
              <w:rPr>
                <w:rFonts w:hint="eastAsia" w:ascii="宋体" w:hAnsi="宋体" w:eastAsia="宋体" w:cs="宋体"/>
                <w:b w:val="0"/>
                <w:bCs/>
                <w:color w:val="auto"/>
                <w:kern w:val="2"/>
                <w:sz w:val="20"/>
                <w:szCs w:val="20"/>
                <w:highlight w:val="none"/>
                <w:lang w:val="en-US" w:eastAsia="zh-CN" w:bidi="ar-SA"/>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8" w:type="pct"/>
            <w:vMerge w:val="restart"/>
            <w:vAlign w:val="center"/>
          </w:tcPr>
          <w:p>
            <w:pPr>
              <w:spacing w:line="380" w:lineRule="exact"/>
              <w:jc w:val="center"/>
              <w:rPr>
                <w:rFonts w:hint="eastAsia" w:ascii="宋体" w:hAnsi="宋体" w:eastAsia="宋体" w:cs="宋体"/>
                <w:b w:val="0"/>
                <w:bCs/>
                <w:kern w:val="2"/>
                <w:sz w:val="20"/>
                <w:szCs w:val="20"/>
                <w:highlight w:val="none"/>
              </w:rPr>
            </w:pPr>
            <w:r>
              <w:rPr>
                <w:rFonts w:hint="eastAsia" w:ascii="宋体" w:hAnsi="宋体" w:eastAsia="宋体" w:cs="宋体"/>
                <w:b w:val="0"/>
                <w:bCs/>
                <w:kern w:val="2"/>
                <w:sz w:val="20"/>
                <w:szCs w:val="20"/>
                <w:highlight w:val="none"/>
              </w:rPr>
              <w:t>技术</w:t>
            </w:r>
          </w:p>
          <w:p>
            <w:pPr>
              <w:spacing w:line="380" w:lineRule="exact"/>
              <w:jc w:val="center"/>
              <w:rPr>
                <w:rFonts w:hint="eastAsia" w:ascii="宋体" w:hAnsi="宋体" w:eastAsia="宋体" w:cs="宋体"/>
                <w:b w:val="0"/>
                <w:bCs/>
                <w:kern w:val="2"/>
                <w:sz w:val="20"/>
                <w:szCs w:val="20"/>
                <w:highlight w:val="none"/>
              </w:rPr>
            </w:pPr>
            <w:r>
              <w:rPr>
                <w:rFonts w:hint="eastAsia" w:ascii="宋体" w:hAnsi="宋体" w:eastAsia="宋体" w:cs="宋体"/>
                <w:b w:val="0"/>
                <w:bCs/>
                <w:kern w:val="2"/>
                <w:sz w:val="20"/>
                <w:szCs w:val="20"/>
                <w:highlight w:val="none"/>
              </w:rPr>
              <w:t>部分</w:t>
            </w:r>
          </w:p>
          <w:p>
            <w:pPr>
              <w:pStyle w:val="5"/>
              <w:spacing w:before="0" w:after="0" w:line="240" w:lineRule="auto"/>
              <w:outlineLvl w:val="3"/>
              <w:rPr>
                <w:rFonts w:hint="eastAsia" w:ascii="宋体" w:hAnsi="宋体" w:eastAsia="宋体" w:cs="宋体"/>
                <w:b w:val="0"/>
                <w:bCs/>
                <w:kern w:val="2"/>
                <w:sz w:val="20"/>
                <w:szCs w:val="20"/>
                <w:highlight w:val="none"/>
              </w:rPr>
            </w:pPr>
            <w:r>
              <w:rPr>
                <w:rFonts w:hint="eastAsia" w:ascii="宋体" w:hAnsi="宋体" w:eastAsia="宋体" w:cs="宋体"/>
                <w:b w:val="0"/>
                <w:bCs/>
                <w:kern w:val="2"/>
                <w:sz w:val="20"/>
                <w:szCs w:val="20"/>
                <w:highlight w:val="none"/>
              </w:rPr>
              <w:t>（</w:t>
            </w:r>
            <w:r>
              <w:rPr>
                <w:rFonts w:hint="eastAsia" w:ascii="宋体" w:hAnsi="宋体" w:eastAsia="宋体" w:cs="宋体"/>
                <w:b w:val="0"/>
                <w:bCs/>
                <w:kern w:val="2"/>
                <w:sz w:val="20"/>
                <w:szCs w:val="20"/>
                <w:highlight w:val="none"/>
                <w:lang w:val="en-US" w:eastAsia="zh-CN"/>
              </w:rPr>
              <w:t>40</w:t>
            </w:r>
            <w:r>
              <w:rPr>
                <w:rFonts w:hint="eastAsia" w:ascii="宋体" w:hAnsi="宋体" w:eastAsia="宋体" w:cs="宋体"/>
                <w:b w:val="0"/>
                <w:bCs/>
                <w:kern w:val="2"/>
                <w:sz w:val="20"/>
                <w:szCs w:val="20"/>
                <w:highlight w:val="none"/>
              </w:rPr>
              <w:t>分）</w:t>
            </w:r>
          </w:p>
        </w:tc>
        <w:tc>
          <w:tcPr>
            <w:tcW w:w="705" w:type="pct"/>
            <w:vAlign w:val="center"/>
          </w:tcPr>
          <w:p>
            <w:pPr>
              <w:spacing w:line="380" w:lineRule="exact"/>
              <w:jc w:val="center"/>
              <w:rPr>
                <w:rFonts w:hint="eastAsia" w:ascii="宋体" w:hAnsi="宋体" w:eastAsia="宋体" w:cs="宋体"/>
                <w:b w:val="0"/>
                <w:bCs/>
                <w:kern w:val="2"/>
                <w:sz w:val="20"/>
                <w:szCs w:val="20"/>
                <w:highlight w:val="none"/>
                <w:lang w:val="en-US" w:eastAsia="zh-CN" w:bidi="ar-SA"/>
              </w:rPr>
            </w:pPr>
            <w:r>
              <w:rPr>
                <w:rFonts w:hint="eastAsia" w:ascii="宋体" w:hAnsi="宋体" w:eastAsia="宋体" w:cs="宋体"/>
                <w:b w:val="0"/>
                <w:bCs/>
                <w:kern w:val="2"/>
                <w:sz w:val="20"/>
                <w:szCs w:val="20"/>
                <w:highlight w:val="none"/>
              </w:rPr>
              <w:t>技术要求（</w:t>
            </w:r>
            <w:r>
              <w:rPr>
                <w:rFonts w:hint="eastAsia" w:hAnsi="宋体" w:cs="宋体"/>
                <w:b w:val="0"/>
                <w:bCs/>
                <w:kern w:val="2"/>
                <w:sz w:val="20"/>
                <w:szCs w:val="20"/>
                <w:highlight w:val="none"/>
                <w:lang w:val="en-US" w:eastAsia="zh-CN"/>
              </w:rPr>
              <w:t>5</w:t>
            </w:r>
            <w:r>
              <w:rPr>
                <w:rFonts w:hint="eastAsia" w:ascii="宋体" w:hAnsi="宋体" w:eastAsia="宋体" w:cs="宋体"/>
                <w:b w:val="0"/>
                <w:bCs/>
                <w:kern w:val="2"/>
                <w:sz w:val="20"/>
                <w:szCs w:val="20"/>
                <w:highlight w:val="none"/>
              </w:rPr>
              <w:t>分）</w:t>
            </w:r>
          </w:p>
        </w:tc>
        <w:tc>
          <w:tcPr>
            <w:tcW w:w="3846" w:type="pc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kern w:val="0"/>
                <w:sz w:val="20"/>
                <w:szCs w:val="20"/>
                <w:highlight w:val="none"/>
                <w:lang w:val="en-US" w:eastAsia="zh-CN" w:bidi="ar"/>
              </w:rPr>
            </w:pPr>
            <w:r>
              <w:rPr>
                <w:rFonts w:hint="eastAsia" w:ascii="宋体" w:hAnsi="宋体" w:eastAsia="宋体" w:cs="宋体"/>
                <w:b w:val="0"/>
                <w:bCs/>
                <w:kern w:val="0"/>
                <w:sz w:val="20"/>
                <w:szCs w:val="20"/>
                <w:highlight w:val="none"/>
                <w:lang w:val="en-US" w:eastAsia="zh-CN" w:bidi="ar"/>
              </w:rPr>
              <w:t>根据“招标要求”中的响应情况进行打分，一般参数不符合/不响应/负偏离的，每项扣</w:t>
            </w:r>
            <w:r>
              <w:rPr>
                <w:rFonts w:hint="eastAsia" w:hAnsi="宋体" w:cs="宋体"/>
                <w:b w:val="0"/>
                <w:bCs/>
                <w:kern w:val="0"/>
                <w:sz w:val="20"/>
                <w:szCs w:val="20"/>
                <w:highlight w:val="none"/>
                <w:lang w:val="en-US" w:eastAsia="zh-CN" w:bidi="ar"/>
              </w:rPr>
              <w:t>0.5</w:t>
            </w:r>
            <w:r>
              <w:rPr>
                <w:rFonts w:hint="eastAsia" w:ascii="宋体" w:hAnsi="宋体" w:eastAsia="宋体" w:cs="宋体"/>
                <w:b w:val="0"/>
                <w:bCs/>
                <w:kern w:val="0"/>
                <w:sz w:val="20"/>
                <w:szCs w:val="20"/>
                <w:highlight w:val="none"/>
                <w:lang w:val="en-US" w:eastAsia="zh-CN" w:bidi="ar"/>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8" w:type="pct"/>
            <w:vMerge w:val="continue"/>
            <w:vAlign w:val="center"/>
          </w:tcPr>
          <w:p>
            <w:pPr>
              <w:pStyle w:val="5"/>
              <w:spacing w:before="0" w:after="0" w:line="240" w:lineRule="auto"/>
              <w:outlineLvl w:val="3"/>
              <w:rPr>
                <w:rFonts w:hint="eastAsia" w:ascii="宋体" w:hAnsi="宋体" w:eastAsia="宋体" w:cs="宋体"/>
                <w:b w:val="0"/>
                <w:bCs/>
                <w:kern w:val="2"/>
                <w:sz w:val="20"/>
                <w:szCs w:val="20"/>
                <w:highlight w:val="none"/>
              </w:rPr>
            </w:pPr>
          </w:p>
        </w:tc>
        <w:tc>
          <w:tcPr>
            <w:tcW w:w="705" w:type="pct"/>
            <w:vAlign w:val="center"/>
          </w:tcPr>
          <w:p>
            <w:pPr>
              <w:rPr>
                <w:rFonts w:hint="eastAsia" w:ascii="宋体" w:hAnsi="宋体" w:eastAsia="宋体" w:cs="宋体"/>
                <w:b w:val="0"/>
                <w:bCs/>
                <w:kern w:val="2"/>
                <w:sz w:val="20"/>
                <w:szCs w:val="20"/>
                <w:highlight w:val="none"/>
                <w:lang w:val="en-US" w:eastAsia="zh-CN" w:bidi="ar-SA"/>
              </w:rPr>
            </w:pPr>
            <w:r>
              <w:rPr>
                <w:rFonts w:hint="eastAsia" w:ascii="宋体" w:hAnsi="宋体" w:eastAsia="宋体" w:cs="宋体"/>
                <w:b w:val="0"/>
                <w:bCs/>
                <w:kern w:val="2"/>
                <w:sz w:val="20"/>
                <w:szCs w:val="20"/>
                <w:highlight w:val="none"/>
              </w:rPr>
              <w:t>技术方案（</w:t>
            </w:r>
            <w:r>
              <w:rPr>
                <w:rFonts w:hint="eastAsia" w:hAnsi="宋体" w:cs="宋体"/>
                <w:b w:val="0"/>
                <w:bCs/>
                <w:kern w:val="2"/>
                <w:sz w:val="20"/>
                <w:szCs w:val="20"/>
                <w:highlight w:val="none"/>
                <w:lang w:val="en-US" w:eastAsia="zh-CN"/>
              </w:rPr>
              <w:t>15</w:t>
            </w:r>
            <w:r>
              <w:rPr>
                <w:rFonts w:hint="eastAsia" w:ascii="宋体" w:hAnsi="宋体" w:eastAsia="宋体" w:cs="宋体"/>
                <w:b w:val="0"/>
                <w:bCs/>
                <w:kern w:val="2"/>
                <w:sz w:val="20"/>
                <w:szCs w:val="20"/>
                <w:highlight w:val="none"/>
              </w:rPr>
              <w:t>分）</w:t>
            </w:r>
          </w:p>
        </w:tc>
        <w:tc>
          <w:tcPr>
            <w:tcW w:w="3846" w:type="pct"/>
            <w:vAlign w:val="center"/>
          </w:tcPr>
          <w:p>
            <w:pPr>
              <w:spacing w:line="380" w:lineRule="exact"/>
              <w:ind w:firstLine="400" w:firstLineChars="200"/>
              <w:rPr>
                <w:rStyle w:val="44"/>
                <w:rFonts w:hint="eastAsia" w:ascii="宋体" w:hAnsi="宋体" w:eastAsia="宋体" w:cs="宋体"/>
                <w:b w:val="0"/>
                <w:bCs/>
                <w:kern w:val="2"/>
                <w:sz w:val="20"/>
                <w:szCs w:val="20"/>
                <w:highlight w:val="none"/>
                <w:lang w:eastAsia="zh-CN" w:bidi="ar"/>
              </w:rPr>
            </w:pPr>
            <w:r>
              <w:rPr>
                <w:rStyle w:val="44"/>
                <w:rFonts w:hint="eastAsia" w:ascii="宋体" w:hAnsi="宋体" w:eastAsia="宋体" w:cs="宋体"/>
                <w:b w:val="0"/>
                <w:bCs/>
                <w:kern w:val="2"/>
                <w:sz w:val="20"/>
                <w:szCs w:val="20"/>
                <w:highlight w:val="none"/>
                <w:lang w:bidi="ar"/>
              </w:rPr>
              <w:t>投标人应提供技术实施方案，项目实施规划合理、手段明确、措施得力；实施计划阶段划分合理，进度安排合理且相关保障措施得力；内容明确、层次清晰，实施可行；评标委员会根据技术方案与信息系统实际情况的贴合程度分三个档次打分。</w:t>
            </w:r>
          </w:p>
          <w:p>
            <w:pPr>
              <w:spacing w:line="380" w:lineRule="exact"/>
              <w:ind w:firstLine="400" w:firstLineChars="200"/>
              <w:rPr>
                <w:rStyle w:val="44"/>
                <w:rFonts w:hint="eastAsia" w:ascii="宋体" w:hAnsi="宋体" w:eastAsia="宋体" w:cs="宋体"/>
                <w:b w:val="0"/>
                <w:bCs/>
                <w:kern w:val="2"/>
                <w:sz w:val="20"/>
                <w:szCs w:val="20"/>
                <w:highlight w:val="none"/>
                <w:lang w:eastAsia="zh-CN" w:bidi="ar"/>
              </w:rPr>
            </w:pPr>
            <w:r>
              <w:rPr>
                <w:rStyle w:val="44"/>
                <w:rFonts w:hint="eastAsia" w:ascii="宋体" w:hAnsi="宋体" w:eastAsia="宋体" w:cs="宋体"/>
                <w:b w:val="0"/>
                <w:bCs/>
                <w:kern w:val="2"/>
                <w:sz w:val="20"/>
                <w:szCs w:val="20"/>
                <w:highlight w:val="none"/>
                <w:lang w:bidi="ar"/>
              </w:rPr>
              <w:t>1）方案具有技术先进性和科学合理性，充分满足招标人当前和未来一段时间的管理和技术需求，得</w:t>
            </w:r>
            <w:r>
              <w:rPr>
                <w:rStyle w:val="44"/>
                <w:rFonts w:hint="eastAsia" w:hAnsi="宋体" w:cs="宋体"/>
                <w:b w:val="0"/>
                <w:bCs/>
                <w:kern w:val="2"/>
                <w:sz w:val="20"/>
                <w:szCs w:val="20"/>
                <w:highlight w:val="none"/>
                <w:lang w:val="en-US" w:eastAsia="zh-CN" w:bidi="ar"/>
              </w:rPr>
              <w:t>10</w:t>
            </w:r>
            <w:r>
              <w:rPr>
                <w:rStyle w:val="44"/>
                <w:rFonts w:hint="eastAsia" w:ascii="宋体" w:hAnsi="宋体" w:eastAsia="宋体" w:cs="宋体"/>
                <w:b w:val="0"/>
                <w:bCs/>
                <w:kern w:val="2"/>
                <w:sz w:val="20"/>
                <w:szCs w:val="20"/>
                <w:highlight w:val="none"/>
                <w:lang w:bidi="ar"/>
              </w:rPr>
              <w:t>-</w:t>
            </w:r>
            <w:r>
              <w:rPr>
                <w:rStyle w:val="44"/>
                <w:rFonts w:hint="eastAsia" w:hAnsi="宋体" w:cs="宋体"/>
                <w:b w:val="0"/>
                <w:bCs/>
                <w:kern w:val="2"/>
                <w:sz w:val="20"/>
                <w:szCs w:val="20"/>
                <w:highlight w:val="none"/>
                <w:lang w:val="en-US" w:eastAsia="zh-CN" w:bidi="ar"/>
              </w:rPr>
              <w:t>15</w:t>
            </w:r>
            <w:r>
              <w:rPr>
                <w:rStyle w:val="44"/>
                <w:rFonts w:hint="eastAsia" w:ascii="宋体" w:hAnsi="宋体" w:eastAsia="宋体" w:cs="宋体"/>
                <w:b w:val="0"/>
                <w:bCs/>
                <w:kern w:val="2"/>
                <w:sz w:val="20"/>
                <w:szCs w:val="20"/>
                <w:highlight w:val="none"/>
                <w:lang w:bidi="ar"/>
              </w:rPr>
              <w:t>分；</w:t>
            </w:r>
          </w:p>
          <w:p>
            <w:pPr>
              <w:spacing w:line="380" w:lineRule="exact"/>
              <w:ind w:firstLine="400" w:firstLineChars="200"/>
              <w:rPr>
                <w:rStyle w:val="44"/>
                <w:rFonts w:hint="eastAsia" w:ascii="宋体" w:hAnsi="宋体" w:eastAsia="宋体" w:cs="宋体"/>
                <w:b w:val="0"/>
                <w:bCs/>
                <w:kern w:val="2"/>
                <w:sz w:val="20"/>
                <w:szCs w:val="20"/>
                <w:highlight w:val="none"/>
                <w:lang w:eastAsia="zh-CN" w:bidi="ar"/>
              </w:rPr>
            </w:pPr>
            <w:r>
              <w:rPr>
                <w:rStyle w:val="44"/>
                <w:rFonts w:hint="eastAsia" w:ascii="宋体" w:hAnsi="宋体" w:eastAsia="宋体" w:cs="宋体"/>
                <w:b w:val="0"/>
                <w:bCs/>
                <w:kern w:val="2"/>
                <w:sz w:val="20"/>
                <w:szCs w:val="20"/>
                <w:highlight w:val="none"/>
                <w:lang w:bidi="ar"/>
              </w:rPr>
              <w:t>2）方案基本完整、合理、可行，基本满足招标人当前的管理和技术需求，得</w:t>
            </w:r>
            <w:r>
              <w:rPr>
                <w:rStyle w:val="44"/>
                <w:rFonts w:hint="eastAsia" w:hAnsi="宋体" w:cs="宋体"/>
                <w:b w:val="0"/>
                <w:bCs/>
                <w:kern w:val="2"/>
                <w:sz w:val="20"/>
                <w:szCs w:val="20"/>
                <w:highlight w:val="none"/>
                <w:lang w:val="en-US" w:eastAsia="zh-CN" w:bidi="ar"/>
              </w:rPr>
              <w:t>5</w:t>
            </w:r>
            <w:r>
              <w:rPr>
                <w:rStyle w:val="44"/>
                <w:rFonts w:hint="eastAsia" w:ascii="宋体" w:hAnsi="宋体" w:eastAsia="宋体" w:cs="宋体"/>
                <w:b w:val="0"/>
                <w:bCs/>
                <w:kern w:val="2"/>
                <w:sz w:val="20"/>
                <w:szCs w:val="20"/>
                <w:highlight w:val="none"/>
                <w:lang w:bidi="ar"/>
              </w:rPr>
              <w:t>-</w:t>
            </w:r>
            <w:r>
              <w:rPr>
                <w:rStyle w:val="44"/>
                <w:rFonts w:hint="eastAsia" w:hAnsi="宋体" w:cs="宋体"/>
                <w:b w:val="0"/>
                <w:bCs/>
                <w:kern w:val="2"/>
                <w:sz w:val="20"/>
                <w:szCs w:val="20"/>
                <w:highlight w:val="none"/>
                <w:lang w:val="en-US" w:eastAsia="zh-CN" w:bidi="ar"/>
              </w:rPr>
              <w:t>10</w:t>
            </w:r>
            <w:r>
              <w:rPr>
                <w:rStyle w:val="44"/>
                <w:rFonts w:hint="eastAsia" w:ascii="宋体" w:hAnsi="宋体" w:eastAsia="宋体" w:cs="宋体"/>
                <w:b w:val="0"/>
                <w:bCs/>
                <w:kern w:val="2"/>
                <w:sz w:val="20"/>
                <w:szCs w:val="20"/>
                <w:highlight w:val="none"/>
                <w:lang w:bidi="ar"/>
              </w:rPr>
              <w:t>分；</w:t>
            </w:r>
          </w:p>
          <w:p>
            <w:pPr>
              <w:spacing w:line="380" w:lineRule="exact"/>
              <w:ind w:firstLine="400" w:firstLineChars="200"/>
              <w:rPr>
                <w:rFonts w:hint="eastAsia" w:ascii="宋体" w:hAnsi="宋体" w:eastAsia="宋体" w:cs="宋体"/>
                <w:b w:val="0"/>
                <w:bCs/>
                <w:color w:val="000000"/>
                <w:kern w:val="0"/>
                <w:sz w:val="20"/>
                <w:szCs w:val="20"/>
                <w:highlight w:val="none"/>
                <w:lang w:val="en-US" w:eastAsia="zh-CN" w:bidi="ar"/>
              </w:rPr>
            </w:pPr>
            <w:r>
              <w:rPr>
                <w:rStyle w:val="44"/>
                <w:rFonts w:hint="eastAsia" w:ascii="宋体" w:hAnsi="宋体" w:eastAsia="宋体" w:cs="宋体"/>
                <w:b w:val="0"/>
                <w:bCs/>
                <w:kern w:val="2"/>
                <w:sz w:val="20"/>
                <w:szCs w:val="20"/>
                <w:highlight w:val="none"/>
                <w:lang w:bidi="ar"/>
              </w:rPr>
              <w:t>3）方案不完整，合理性和可行性较差，对满足招标人管理和技术需求实现较差，得</w:t>
            </w:r>
            <w:r>
              <w:rPr>
                <w:rStyle w:val="44"/>
                <w:rFonts w:hint="eastAsia" w:hAnsi="宋体" w:cs="宋体"/>
                <w:b w:val="0"/>
                <w:bCs/>
                <w:kern w:val="2"/>
                <w:sz w:val="20"/>
                <w:szCs w:val="20"/>
                <w:highlight w:val="none"/>
                <w:lang w:val="en-US" w:eastAsia="zh-CN" w:bidi="ar"/>
              </w:rPr>
              <w:t>1</w:t>
            </w:r>
            <w:r>
              <w:rPr>
                <w:rStyle w:val="44"/>
                <w:rFonts w:hint="eastAsia" w:ascii="宋体" w:hAnsi="宋体" w:eastAsia="宋体" w:cs="宋体"/>
                <w:b w:val="0"/>
                <w:bCs/>
                <w:kern w:val="2"/>
                <w:sz w:val="20"/>
                <w:szCs w:val="20"/>
                <w:highlight w:val="none"/>
                <w:lang w:bidi="ar"/>
              </w:rPr>
              <w:t>-</w:t>
            </w:r>
            <w:r>
              <w:rPr>
                <w:rStyle w:val="44"/>
                <w:rFonts w:hint="eastAsia" w:hAnsi="宋体" w:cs="宋体"/>
                <w:b w:val="0"/>
                <w:bCs/>
                <w:kern w:val="2"/>
                <w:sz w:val="20"/>
                <w:szCs w:val="20"/>
                <w:highlight w:val="none"/>
                <w:lang w:val="en-US" w:eastAsia="zh-CN" w:bidi="ar"/>
              </w:rPr>
              <w:t>5</w:t>
            </w:r>
            <w:r>
              <w:rPr>
                <w:rStyle w:val="44"/>
                <w:rFonts w:hint="eastAsia" w:ascii="宋体" w:hAnsi="宋体" w:eastAsia="宋体" w:cs="宋体"/>
                <w:b w:val="0"/>
                <w:bCs/>
                <w:kern w:val="2"/>
                <w:sz w:val="20"/>
                <w:szCs w:val="20"/>
                <w:highlight w:val="none"/>
                <w:lang w:bidi="ar"/>
              </w:rPr>
              <w:t>分。</w:t>
            </w:r>
            <w:r>
              <w:rPr>
                <w:rStyle w:val="44"/>
                <w:rFonts w:hint="eastAsia" w:hAnsi="宋体" w:cs="宋体"/>
                <w:b w:val="0"/>
                <w:bCs/>
                <w:kern w:val="2"/>
                <w:sz w:val="20"/>
                <w:szCs w:val="20"/>
                <w:highlight w:val="none"/>
                <w:lang w:eastAsia="zh-CN" w:bidi="ar"/>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Merge w:val="continue"/>
            <w:vAlign w:val="center"/>
          </w:tcPr>
          <w:p>
            <w:pPr>
              <w:pStyle w:val="5"/>
              <w:spacing w:before="0" w:after="0" w:line="240" w:lineRule="auto"/>
              <w:outlineLvl w:val="3"/>
              <w:rPr>
                <w:rFonts w:hint="eastAsia" w:ascii="宋体" w:hAnsi="宋体" w:eastAsia="宋体" w:cs="宋体"/>
                <w:b w:val="0"/>
                <w:bCs/>
                <w:kern w:val="2"/>
                <w:sz w:val="20"/>
                <w:szCs w:val="20"/>
                <w:highlight w:val="none"/>
              </w:rPr>
            </w:pPr>
          </w:p>
        </w:tc>
        <w:tc>
          <w:tcPr>
            <w:tcW w:w="705" w:type="pct"/>
            <w:vAlign w:val="center"/>
          </w:tcPr>
          <w:p>
            <w:pPr>
              <w:widowControl/>
              <w:spacing w:line="380" w:lineRule="exact"/>
              <w:jc w:val="center"/>
              <w:rPr>
                <w:rFonts w:hint="eastAsia" w:ascii="宋体" w:hAnsi="宋体" w:eastAsia="宋体" w:cs="宋体"/>
                <w:b w:val="0"/>
                <w:bCs/>
                <w:kern w:val="2"/>
                <w:sz w:val="20"/>
                <w:szCs w:val="20"/>
                <w:highlight w:val="none"/>
                <w:lang w:val="en-US" w:eastAsia="zh-CN" w:bidi="ar-SA"/>
              </w:rPr>
            </w:pPr>
            <w:r>
              <w:rPr>
                <w:rFonts w:hint="eastAsia" w:ascii="宋体" w:hAnsi="宋体" w:eastAsia="宋体" w:cs="宋体"/>
                <w:b w:val="0"/>
                <w:bCs/>
                <w:kern w:val="2"/>
                <w:sz w:val="20"/>
                <w:szCs w:val="20"/>
                <w:highlight w:val="none"/>
              </w:rPr>
              <w:t>售后服务（</w:t>
            </w:r>
            <w:r>
              <w:rPr>
                <w:rFonts w:hint="eastAsia" w:hAnsi="宋体" w:cs="宋体"/>
                <w:b w:val="0"/>
                <w:bCs/>
                <w:kern w:val="2"/>
                <w:sz w:val="20"/>
                <w:szCs w:val="20"/>
                <w:highlight w:val="none"/>
                <w:lang w:val="en-US" w:eastAsia="zh-CN"/>
              </w:rPr>
              <w:t>15</w:t>
            </w:r>
            <w:r>
              <w:rPr>
                <w:rFonts w:hint="eastAsia" w:ascii="宋体" w:hAnsi="宋体" w:eastAsia="宋体" w:cs="宋体"/>
                <w:b w:val="0"/>
                <w:bCs/>
                <w:kern w:val="2"/>
                <w:sz w:val="20"/>
                <w:szCs w:val="20"/>
                <w:highlight w:val="none"/>
              </w:rPr>
              <w:t>分）</w:t>
            </w:r>
          </w:p>
        </w:tc>
        <w:tc>
          <w:tcPr>
            <w:tcW w:w="3846" w:type="pct"/>
            <w:vAlign w:val="center"/>
          </w:tcPr>
          <w:p>
            <w:pPr>
              <w:widowControl/>
              <w:spacing w:line="380" w:lineRule="exact"/>
              <w:jc w:val="left"/>
              <w:rPr>
                <w:rFonts w:hint="eastAsia" w:ascii="宋体" w:hAnsi="宋体" w:eastAsia="宋体" w:cs="宋体"/>
                <w:b w:val="0"/>
                <w:bCs/>
                <w:kern w:val="2"/>
                <w:sz w:val="20"/>
                <w:szCs w:val="20"/>
                <w:highlight w:val="none"/>
                <w:lang w:val="en-US" w:eastAsia="zh-CN" w:bidi="ar-SA"/>
              </w:rPr>
            </w:pPr>
            <w:r>
              <w:rPr>
                <w:rFonts w:hint="eastAsia" w:ascii="宋体" w:hAnsi="宋体" w:eastAsia="宋体" w:cs="宋体"/>
                <w:b w:val="0"/>
                <w:bCs/>
                <w:kern w:val="2"/>
                <w:sz w:val="20"/>
                <w:szCs w:val="20"/>
                <w:highlight w:val="none"/>
              </w:rPr>
              <w:t>售后服务方案全面性，服务团队组织机构、培训组织、人员配备及流程完善性、针对性，提供的设备制造产商出具的售后服务承诺或服务保障说明文件的完整性。</w:t>
            </w:r>
            <w:r>
              <w:rPr>
                <w:rFonts w:hint="eastAsia" w:hAnsi="宋体" w:cs="宋体"/>
                <w:b w:val="0"/>
                <w:bCs/>
                <w:kern w:val="2"/>
                <w:sz w:val="20"/>
                <w:szCs w:val="20"/>
                <w:highlight w:val="none"/>
                <w:lang w:eastAsia="zh-CN"/>
              </w:rPr>
              <w:t>售后服务方案完善可靠得</w:t>
            </w:r>
            <w:r>
              <w:rPr>
                <w:rFonts w:hint="eastAsia" w:hAnsi="宋体" w:cs="宋体"/>
                <w:b w:val="0"/>
                <w:bCs/>
                <w:kern w:val="2"/>
                <w:sz w:val="20"/>
                <w:szCs w:val="20"/>
                <w:highlight w:val="none"/>
                <w:lang w:val="en-US" w:eastAsia="zh-CN"/>
              </w:rPr>
              <w:t>10-15分</w:t>
            </w:r>
            <w:r>
              <w:rPr>
                <w:rFonts w:hint="eastAsia" w:hAnsi="宋体" w:cs="宋体"/>
                <w:b w:val="0"/>
                <w:bCs/>
                <w:kern w:val="2"/>
                <w:sz w:val="20"/>
                <w:szCs w:val="20"/>
                <w:highlight w:val="none"/>
                <w:lang w:eastAsia="zh-CN"/>
              </w:rPr>
              <w:t>；售后服务方案不够完善得</w:t>
            </w:r>
            <w:r>
              <w:rPr>
                <w:rFonts w:hint="eastAsia" w:hAnsi="宋体" w:cs="宋体"/>
                <w:b w:val="0"/>
                <w:bCs/>
                <w:kern w:val="2"/>
                <w:sz w:val="20"/>
                <w:szCs w:val="20"/>
                <w:highlight w:val="none"/>
                <w:lang w:val="en-US" w:eastAsia="zh-CN"/>
              </w:rPr>
              <w:t>5-10分</w:t>
            </w:r>
            <w:r>
              <w:rPr>
                <w:rFonts w:hint="eastAsia" w:ascii="宋体" w:hAnsi="宋体" w:eastAsia="宋体" w:cs="宋体"/>
                <w:b w:val="0"/>
                <w:bCs/>
                <w:kern w:val="2"/>
                <w:sz w:val="20"/>
                <w:szCs w:val="20"/>
                <w:highlight w:val="none"/>
              </w:rPr>
              <w:t>，</w:t>
            </w:r>
            <w:r>
              <w:rPr>
                <w:rFonts w:hint="eastAsia" w:hAnsi="宋体" w:cs="宋体"/>
                <w:b w:val="0"/>
                <w:bCs/>
                <w:kern w:val="2"/>
                <w:sz w:val="20"/>
                <w:szCs w:val="20"/>
                <w:highlight w:val="none"/>
                <w:lang w:eastAsia="zh-CN"/>
              </w:rPr>
              <w:t>售后服务方案较差得</w:t>
            </w:r>
            <w:r>
              <w:rPr>
                <w:rFonts w:hint="eastAsia" w:hAnsi="宋体" w:cs="宋体"/>
                <w:b w:val="0"/>
                <w:bCs/>
                <w:kern w:val="2"/>
                <w:sz w:val="20"/>
                <w:szCs w:val="20"/>
                <w:highlight w:val="none"/>
                <w:lang w:val="en-US" w:eastAsia="zh-CN"/>
              </w:rPr>
              <w:t>1-5分</w:t>
            </w:r>
            <w:r>
              <w:rPr>
                <w:rFonts w:hint="eastAsia" w:ascii="宋体" w:hAnsi="宋体" w:eastAsia="宋体" w:cs="宋体"/>
                <w:b w:val="0"/>
                <w:bCs/>
                <w:kern w:val="2"/>
                <w:sz w:val="20"/>
                <w:szCs w:val="20"/>
                <w:highlight w:val="none"/>
              </w:rPr>
              <w:t>。</w:t>
            </w:r>
            <w:r>
              <w:rPr>
                <w:rStyle w:val="44"/>
                <w:rFonts w:hint="eastAsia" w:hAnsi="宋体" w:cs="宋体"/>
                <w:b w:val="0"/>
                <w:bCs/>
                <w:kern w:val="2"/>
                <w:sz w:val="20"/>
                <w:szCs w:val="20"/>
                <w:highlight w:val="none"/>
                <w:lang w:eastAsia="zh-CN" w:bidi="ar"/>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8" w:type="pct"/>
            <w:vMerge w:val="continue"/>
            <w:vAlign w:val="center"/>
          </w:tcPr>
          <w:p>
            <w:pPr>
              <w:pStyle w:val="5"/>
              <w:spacing w:before="0" w:after="0" w:line="240" w:lineRule="auto"/>
              <w:outlineLvl w:val="3"/>
              <w:rPr>
                <w:rFonts w:hint="eastAsia" w:ascii="宋体" w:hAnsi="宋体" w:eastAsia="宋体" w:cs="宋体"/>
                <w:b w:val="0"/>
                <w:bCs/>
                <w:kern w:val="2"/>
                <w:sz w:val="20"/>
                <w:szCs w:val="20"/>
                <w:highlight w:val="none"/>
              </w:rPr>
            </w:pPr>
          </w:p>
        </w:tc>
        <w:tc>
          <w:tcPr>
            <w:tcW w:w="705" w:type="pct"/>
            <w:vAlign w:val="center"/>
          </w:tcPr>
          <w:p>
            <w:pPr>
              <w:widowControl/>
              <w:spacing w:line="380" w:lineRule="exact"/>
              <w:jc w:val="center"/>
              <w:rPr>
                <w:rFonts w:hint="eastAsia" w:ascii="宋体" w:hAnsi="宋体" w:eastAsia="宋体" w:cs="宋体"/>
                <w:b w:val="0"/>
                <w:bCs/>
                <w:kern w:val="2"/>
                <w:sz w:val="20"/>
                <w:szCs w:val="20"/>
                <w:highlight w:val="none"/>
                <w:lang w:val="en-US" w:eastAsia="zh-CN" w:bidi="ar-SA"/>
              </w:rPr>
            </w:pPr>
            <w:r>
              <w:rPr>
                <w:rFonts w:hint="eastAsia" w:ascii="宋体" w:hAnsi="宋体" w:eastAsia="宋体" w:cs="宋体"/>
                <w:b w:val="0"/>
                <w:bCs/>
                <w:kern w:val="2"/>
                <w:sz w:val="20"/>
                <w:szCs w:val="20"/>
                <w:highlight w:val="none"/>
                <w:lang w:eastAsia="zh-CN"/>
              </w:rPr>
              <w:t>产品质量保证（</w:t>
            </w:r>
            <w:r>
              <w:rPr>
                <w:rFonts w:hint="eastAsia" w:hAnsi="宋体" w:cs="宋体"/>
                <w:b w:val="0"/>
                <w:bCs/>
                <w:kern w:val="2"/>
                <w:sz w:val="20"/>
                <w:szCs w:val="20"/>
                <w:highlight w:val="none"/>
                <w:lang w:val="en-US" w:eastAsia="zh-CN"/>
              </w:rPr>
              <w:t>5</w:t>
            </w:r>
            <w:r>
              <w:rPr>
                <w:rFonts w:hint="eastAsia" w:ascii="宋体" w:hAnsi="宋体" w:eastAsia="宋体" w:cs="宋体"/>
                <w:b w:val="0"/>
                <w:bCs/>
                <w:kern w:val="2"/>
                <w:sz w:val="20"/>
                <w:szCs w:val="20"/>
                <w:highlight w:val="none"/>
                <w:lang w:val="en-US" w:eastAsia="zh-CN"/>
              </w:rPr>
              <w:t>分</w:t>
            </w:r>
            <w:r>
              <w:rPr>
                <w:rFonts w:hint="eastAsia" w:ascii="宋体" w:hAnsi="宋体" w:eastAsia="宋体" w:cs="宋体"/>
                <w:b w:val="0"/>
                <w:bCs/>
                <w:kern w:val="2"/>
                <w:sz w:val="20"/>
                <w:szCs w:val="20"/>
                <w:highlight w:val="none"/>
                <w:lang w:eastAsia="zh-CN"/>
              </w:rPr>
              <w:t>）</w:t>
            </w:r>
          </w:p>
        </w:tc>
        <w:tc>
          <w:tcPr>
            <w:tcW w:w="3846" w:type="pct"/>
            <w:vAlign w:val="center"/>
          </w:tcPr>
          <w:p>
            <w:pPr>
              <w:widowControl/>
              <w:spacing w:line="380" w:lineRule="exact"/>
              <w:jc w:val="left"/>
              <w:rPr>
                <w:rFonts w:hint="eastAsia" w:ascii="宋体" w:hAnsi="宋体" w:eastAsia="宋体" w:cs="宋体"/>
                <w:b w:val="0"/>
                <w:bCs/>
                <w:kern w:val="2"/>
                <w:sz w:val="20"/>
                <w:szCs w:val="20"/>
                <w:highlight w:val="none"/>
                <w:lang w:val="en-US" w:eastAsia="zh-CN" w:bidi="ar-SA"/>
              </w:rPr>
            </w:pPr>
            <w:r>
              <w:rPr>
                <w:rFonts w:hint="eastAsia" w:ascii="宋体" w:hAnsi="宋体" w:eastAsia="宋体" w:cs="宋体"/>
                <w:b w:val="0"/>
                <w:bCs/>
                <w:kern w:val="2"/>
                <w:sz w:val="20"/>
                <w:szCs w:val="20"/>
                <w:highlight w:val="none"/>
                <w:lang w:eastAsia="zh-CN"/>
              </w:rPr>
              <w:t>产品质量可靠，来源清楚，依据投标人提供的产品质量</w:t>
            </w:r>
            <w:r>
              <w:rPr>
                <w:rFonts w:hint="eastAsia" w:hAnsi="宋体" w:cs="宋体"/>
                <w:b w:val="0"/>
                <w:bCs/>
                <w:kern w:val="2"/>
                <w:sz w:val="20"/>
                <w:szCs w:val="20"/>
                <w:highlight w:val="none"/>
                <w:lang w:eastAsia="zh-CN"/>
              </w:rPr>
              <w:t>证明材料、保证措施</w:t>
            </w:r>
            <w:r>
              <w:rPr>
                <w:rFonts w:hint="eastAsia" w:ascii="宋体" w:hAnsi="宋体" w:eastAsia="宋体" w:cs="宋体"/>
                <w:b w:val="0"/>
                <w:bCs/>
                <w:kern w:val="2"/>
                <w:sz w:val="20"/>
                <w:szCs w:val="20"/>
                <w:highlight w:val="none"/>
                <w:lang w:eastAsia="zh-CN"/>
              </w:rPr>
              <w:t>及</w:t>
            </w:r>
            <w:r>
              <w:rPr>
                <w:rFonts w:hint="eastAsia" w:hAnsi="宋体" w:cs="宋体"/>
                <w:b w:val="0"/>
                <w:bCs/>
                <w:kern w:val="2"/>
                <w:sz w:val="20"/>
                <w:szCs w:val="20"/>
                <w:highlight w:val="none"/>
                <w:lang w:eastAsia="zh-CN"/>
              </w:rPr>
              <w:t>产品</w:t>
            </w:r>
            <w:r>
              <w:rPr>
                <w:rFonts w:hint="eastAsia" w:ascii="宋体" w:hAnsi="宋体" w:eastAsia="宋体" w:cs="宋体"/>
                <w:b w:val="0"/>
                <w:bCs/>
                <w:kern w:val="2"/>
                <w:sz w:val="20"/>
                <w:szCs w:val="20"/>
                <w:highlight w:val="none"/>
                <w:lang w:eastAsia="zh-CN"/>
              </w:rPr>
              <w:t>合法来源渠道</w:t>
            </w:r>
            <w:r>
              <w:rPr>
                <w:rFonts w:hint="eastAsia" w:hAnsi="宋体" w:cs="宋体"/>
                <w:b w:val="0"/>
                <w:bCs/>
                <w:kern w:val="2"/>
                <w:sz w:val="20"/>
                <w:szCs w:val="20"/>
                <w:highlight w:val="none"/>
                <w:lang w:eastAsia="zh-CN"/>
              </w:rPr>
              <w:t>等</w:t>
            </w:r>
            <w:r>
              <w:rPr>
                <w:rFonts w:hint="eastAsia" w:ascii="宋体" w:hAnsi="宋体" w:eastAsia="宋体" w:cs="宋体"/>
                <w:b w:val="0"/>
                <w:bCs/>
                <w:kern w:val="2"/>
                <w:sz w:val="20"/>
                <w:szCs w:val="20"/>
                <w:highlight w:val="none"/>
                <w:lang w:eastAsia="zh-CN"/>
              </w:rPr>
              <w:t>证明材料</w:t>
            </w:r>
            <w:r>
              <w:rPr>
                <w:rFonts w:hint="eastAsia" w:hAnsi="宋体" w:cs="宋体"/>
                <w:b w:val="0"/>
                <w:bCs/>
                <w:kern w:val="2"/>
                <w:sz w:val="20"/>
                <w:szCs w:val="20"/>
                <w:highlight w:val="none"/>
                <w:lang w:eastAsia="zh-CN"/>
              </w:rPr>
              <w:t>，依据响应程度</w:t>
            </w:r>
            <w:r>
              <w:rPr>
                <w:rFonts w:hint="eastAsia" w:ascii="宋体" w:hAnsi="宋体" w:eastAsia="宋体" w:cs="宋体"/>
                <w:b w:val="0"/>
                <w:bCs/>
                <w:kern w:val="2"/>
                <w:sz w:val="20"/>
                <w:szCs w:val="20"/>
                <w:highlight w:val="none"/>
                <w:lang w:eastAsia="zh-CN"/>
              </w:rPr>
              <w:t>综合赋分（</w:t>
            </w:r>
            <w:r>
              <w:rPr>
                <w:rFonts w:hint="eastAsia" w:ascii="宋体" w:hAnsi="宋体" w:eastAsia="宋体" w:cs="宋体"/>
                <w:b w:val="0"/>
                <w:bCs/>
                <w:kern w:val="2"/>
                <w:sz w:val="20"/>
                <w:szCs w:val="20"/>
                <w:highlight w:val="none"/>
                <w:lang w:val="en-US" w:eastAsia="zh-CN"/>
              </w:rPr>
              <w:t>0-</w:t>
            </w:r>
            <w:r>
              <w:rPr>
                <w:rFonts w:hint="eastAsia" w:hAnsi="宋体" w:cs="宋体"/>
                <w:b w:val="0"/>
                <w:bCs/>
                <w:kern w:val="2"/>
                <w:sz w:val="20"/>
                <w:szCs w:val="20"/>
                <w:highlight w:val="none"/>
                <w:lang w:val="en-US" w:eastAsia="zh-CN"/>
              </w:rPr>
              <w:t>5</w:t>
            </w:r>
            <w:r>
              <w:rPr>
                <w:rFonts w:hint="eastAsia" w:ascii="宋体" w:hAnsi="宋体" w:eastAsia="宋体" w:cs="宋体"/>
                <w:b w:val="0"/>
                <w:bCs/>
                <w:kern w:val="2"/>
                <w:sz w:val="20"/>
                <w:szCs w:val="20"/>
                <w:highlight w:val="none"/>
                <w:lang w:val="en-US" w:eastAsia="zh-CN"/>
              </w:rPr>
              <w:t>分</w:t>
            </w:r>
            <w:r>
              <w:rPr>
                <w:rFonts w:hint="eastAsia" w:ascii="宋体" w:hAnsi="宋体" w:eastAsia="宋体" w:cs="宋体"/>
                <w:b w:val="0"/>
                <w:bCs/>
                <w:kern w:val="2"/>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48" w:type="pct"/>
            <w:vMerge w:val="restart"/>
            <w:vAlign w:val="center"/>
          </w:tcPr>
          <w:p>
            <w:pPr>
              <w:spacing w:line="380" w:lineRule="exact"/>
              <w:jc w:val="center"/>
              <w:rPr>
                <w:rFonts w:hint="eastAsia" w:ascii="宋体" w:hAnsi="宋体" w:eastAsia="宋体" w:cs="宋体"/>
                <w:b w:val="0"/>
                <w:bCs/>
                <w:kern w:val="2"/>
                <w:sz w:val="20"/>
                <w:szCs w:val="20"/>
                <w:highlight w:val="none"/>
              </w:rPr>
            </w:pPr>
            <w:r>
              <w:rPr>
                <w:rFonts w:hint="eastAsia" w:ascii="宋体" w:hAnsi="宋体" w:eastAsia="宋体" w:cs="宋体"/>
                <w:b w:val="0"/>
                <w:bCs/>
                <w:kern w:val="2"/>
                <w:sz w:val="20"/>
                <w:szCs w:val="20"/>
                <w:highlight w:val="none"/>
              </w:rPr>
              <w:t>商务</w:t>
            </w:r>
          </w:p>
          <w:p>
            <w:pPr>
              <w:spacing w:line="380" w:lineRule="exact"/>
              <w:jc w:val="center"/>
              <w:rPr>
                <w:rFonts w:hint="eastAsia" w:ascii="宋体" w:hAnsi="宋体" w:eastAsia="宋体" w:cs="宋体"/>
                <w:b w:val="0"/>
                <w:bCs/>
                <w:kern w:val="2"/>
                <w:sz w:val="20"/>
                <w:szCs w:val="20"/>
                <w:highlight w:val="none"/>
              </w:rPr>
            </w:pPr>
            <w:r>
              <w:rPr>
                <w:rFonts w:hint="eastAsia" w:ascii="宋体" w:hAnsi="宋体" w:eastAsia="宋体" w:cs="宋体"/>
                <w:b w:val="0"/>
                <w:bCs/>
                <w:kern w:val="2"/>
                <w:sz w:val="20"/>
                <w:szCs w:val="20"/>
                <w:highlight w:val="none"/>
              </w:rPr>
              <w:t>部分</w:t>
            </w:r>
          </w:p>
          <w:p>
            <w:pPr>
              <w:pStyle w:val="5"/>
              <w:spacing w:before="0" w:after="0" w:line="240" w:lineRule="auto"/>
              <w:outlineLvl w:val="3"/>
              <w:rPr>
                <w:rFonts w:hint="eastAsia" w:ascii="宋体" w:hAnsi="宋体" w:eastAsia="宋体" w:cs="宋体"/>
                <w:b w:val="0"/>
                <w:bCs/>
                <w:kern w:val="2"/>
                <w:sz w:val="20"/>
                <w:szCs w:val="20"/>
                <w:highlight w:val="none"/>
              </w:rPr>
            </w:pPr>
            <w:bookmarkStart w:id="323" w:name="_Toc28329"/>
            <w:bookmarkStart w:id="324" w:name="_Toc31868"/>
            <w:r>
              <w:rPr>
                <w:rFonts w:hint="eastAsia" w:ascii="宋体" w:hAnsi="宋体" w:eastAsia="宋体" w:cs="宋体"/>
                <w:b w:val="0"/>
                <w:bCs/>
                <w:kern w:val="2"/>
                <w:sz w:val="20"/>
                <w:szCs w:val="20"/>
                <w:highlight w:val="none"/>
              </w:rPr>
              <w:t>（</w:t>
            </w:r>
            <w:r>
              <w:rPr>
                <w:rFonts w:hint="eastAsia" w:ascii="宋体" w:hAnsi="宋体" w:eastAsia="宋体" w:cs="宋体"/>
                <w:b w:val="0"/>
                <w:bCs/>
                <w:kern w:val="2"/>
                <w:sz w:val="20"/>
                <w:szCs w:val="20"/>
                <w:highlight w:val="none"/>
                <w:lang w:val="en-US" w:eastAsia="zh-CN"/>
              </w:rPr>
              <w:t>20</w:t>
            </w:r>
            <w:r>
              <w:rPr>
                <w:rFonts w:hint="eastAsia" w:ascii="宋体" w:hAnsi="宋体" w:eastAsia="宋体" w:cs="宋体"/>
                <w:b w:val="0"/>
                <w:bCs/>
                <w:kern w:val="2"/>
                <w:sz w:val="20"/>
                <w:szCs w:val="20"/>
                <w:highlight w:val="none"/>
              </w:rPr>
              <w:t>分）</w:t>
            </w:r>
            <w:bookmarkEnd w:id="323"/>
            <w:bookmarkEnd w:id="324"/>
          </w:p>
        </w:tc>
        <w:tc>
          <w:tcPr>
            <w:tcW w:w="705" w:type="pct"/>
            <w:vAlign w:val="center"/>
          </w:tcPr>
          <w:p>
            <w:pPr>
              <w:spacing w:line="380" w:lineRule="exact"/>
              <w:jc w:val="both"/>
              <w:rPr>
                <w:rFonts w:hint="eastAsia" w:ascii="宋体" w:hAnsi="宋体" w:eastAsia="宋体" w:cs="宋体"/>
                <w:b w:val="0"/>
                <w:bCs/>
                <w:kern w:val="2"/>
                <w:sz w:val="20"/>
                <w:szCs w:val="20"/>
                <w:highlight w:val="none"/>
                <w:lang w:val="en-US" w:eastAsia="zh-CN" w:bidi="ar-SA"/>
              </w:rPr>
            </w:pPr>
            <w:r>
              <w:rPr>
                <w:rFonts w:hint="eastAsia" w:ascii="宋体" w:hAnsi="宋体" w:eastAsia="宋体" w:cs="宋体"/>
                <w:b w:val="0"/>
                <w:bCs/>
                <w:kern w:val="2"/>
                <w:sz w:val="20"/>
                <w:szCs w:val="20"/>
                <w:highlight w:val="none"/>
              </w:rPr>
              <w:t>成功案例（5分）</w:t>
            </w:r>
          </w:p>
        </w:tc>
        <w:tc>
          <w:tcPr>
            <w:tcW w:w="3846" w:type="pct"/>
            <w:vAlign w:val="center"/>
          </w:tcPr>
          <w:p>
            <w:pPr>
              <w:widowControl/>
              <w:spacing w:line="380" w:lineRule="exact"/>
              <w:jc w:val="left"/>
              <w:rPr>
                <w:rFonts w:hint="eastAsia" w:ascii="宋体" w:hAnsi="宋体" w:eastAsia="宋体" w:cs="宋体"/>
                <w:b w:val="0"/>
                <w:bCs/>
                <w:color w:val="000000"/>
                <w:kern w:val="0"/>
                <w:sz w:val="20"/>
                <w:szCs w:val="20"/>
                <w:highlight w:val="none"/>
                <w:lang w:val="en-US" w:eastAsia="zh-CN" w:bidi="ar"/>
              </w:rPr>
            </w:pPr>
            <w:r>
              <w:rPr>
                <w:rStyle w:val="44"/>
                <w:rFonts w:hint="eastAsia" w:ascii="宋体" w:hAnsi="宋体" w:eastAsia="宋体" w:cs="宋体"/>
                <w:b w:val="0"/>
                <w:bCs/>
                <w:kern w:val="2"/>
                <w:sz w:val="20"/>
                <w:szCs w:val="20"/>
                <w:highlight w:val="none"/>
                <w:lang w:bidi="ar"/>
              </w:rPr>
              <w:t>投标人提供近三年（2019年至开标日）具有医疗行业信息化建设相关成功案例，须提供案例合同复印件或中标通知书，并加盖公章；提供1个案例1分，满分5分</w:t>
            </w:r>
            <w:r>
              <w:rPr>
                <w:rStyle w:val="44"/>
                <w:rFonts w:hint="eastAsia" w:hAnsi="宋体" w:cs="宋体"/>
                <w:b w:val="0"/>
                <w:bCs/>
                <w:kern w:val="2"/>
                <w:sz w:val="20"/>
                <w:szCs w:val="20"/>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Merge w:val="continue"/>
            <w:vAlign w:val="center"/>
          </w:tcPr>
          <w:p>
            <w:pPr>
              <w:spacing w:line="380" w:lineRule="exact"/>
              <w:jc w:val="center"/>
              <w:rPr>
                <w:rFonts w:hint="eastAsia" w:ascii="宋体" w:hAnsi="宋体" w:eastAsia="宋体" w:cs="宋体"/>
                <w:b w:val="0"/>
                <w:bCs/>
                <w:kern w:val="2"/>
                <w:sz w:val="20"/>
                <w:szCs w:val="20"/>
                <w:highlight w:val="none"/>
              </w:rPr>
            </w:pPr>
          </w:p>
        </w:tc>
        <w:tc>
          <w:tcPr>
            <w:tcW w:w="705" w:type="pct"/>
            <w:vAlign w:val="center"/>
          </w:tcPr>
          <w:p>
            <w:pPr>
              <w:widowControl/>
              <w:jc w:val="left"/>
              <w:rPr>
                <w:rFonts w:hint="eastAsia" w:ascii="宋体" w:hAnsi="宋体" w:eastAsia="宋体" w:cs="宋体"/>
                <w:b w:val="0"/>
                <w:bCs/>
                <w:kern w:val="2"/>
                <w:sz w:val="20"/>
                <w:szCs w:val="20"/>
                <w:highlight w:val="none"/>
              </w:rPr>
            </w:pPr>
            <w:r>
              <w:rPr>
                <w:rFonts w:hint="eastAsia" w:ascii="宋体" w:hAnsi="宋体" w:eastAsia="宋体" w:cs="宋体"/>
                <w:b w:val="0"/>
                <w:bCs/>
                <w:kern w:val="2"/>
                <w:sz w:val="20"/>
                <w:szCs w:val="20"/>
                <w:highlight w:val="none"/>
              </w:rPr>
              <w:t>产品成熟度（</w:t>
            </w:r>
            <w:r>
              <w:rPr>
                <w:rFonts w:hint="eastAsia" w:hAnsi="宋体" w:cs="宋体"/>
                <w:b w:val="0"/>
                <w:bCs/>
                <w:kern w:val="2"/>
                <w:sz w:val="20"/>
                <w:szCs w:val="20"/>
                <w:highlight w:val="none"/>
                <w:lang w:val="en-US" w:eastAsia="zh-CN"/>
              </w:rPr>
              <w:t>6</w:t>
            </w:r>
            <w:r>
              <w:rPr>
                <w:rFonts w:hint="eastAsia" w:ascii="宋体" w:hAnsi="宋体" w:eastAsia="宋体" w:cs="宋体"/>
                <w:b w:val="0"/>
                <w:bCs/>
                <w:kern w:val="2"/>
                <w:sz w:val="20"/>
                <w:szCs w:val="20"/>
                <w:highlight w:val="none"/>
              </w:rPr>
              <w:t>分）</w:t>
            </w:r>
          </w:p>
        </w:tc>
        <w:tc>
          <w:tcPr>
            <w:tcW w:w="3846" w:type="pct"/>
            <w:vAlign w:val="center"/>
          </w:tcPr>
          <w:p>
            <w:pPr>
              <w:pStyle w:val="2"/>
              <w:numPr>
                <w:ilvl w:val="0"/>
                <w:numId w:val="0"/>
              </w:numPr>
              <w:rPr>
                <w:rStyle w:val="44"/>
                <w:rFonts w:hint="eastAsia"/>
                <w:b w:val="0"/>
                <w:bCs/>
                <w:kern w:val="2"/>
                <w:sz w:val="20"/>
                <w:szCs w:val="20"/>
                <w:highlight w:val="none"/>
                <w:lang w:val="en-US" w:eastAsia="zh-CN" w:bidi="ar"/>
              </w:rPr>
            </w:pPr>
            <w:r>
              <w:rPr>
                <w:rStyle w:val="44"/>
                <w:rFonts w:hint="eastAsia"/>
                <w:b w:val="0"/>
                <w:bCs/>
                <w:kern w:val="2"/>
                <w:sz w:val="20"/>
                <w:szCs w:val="20"/>
                <w:highlight w:val="none"/>
                <w:lang w:val="en-US" w:eastAsia="zh-CN" w:bidi="ar"/>
              </w:rPr>
              <w:t>1、为保障超融合云平台的领先性和成熟度，所投超融合产品入围（2019-2021任意一年）Gartner《超融合基础设施软件魔力象限》，提供证明材料，加2分。不提供不得分。</w:t>
            </w:r>
          </w:p>
          <w:p>
            <w:pPr>
              <w:pStyle w:val="2"/>
              <w:numPr>
                <w:ilvl w:val="0"/>
                <w:numId w:val="0"/>
              </w:numPr>
              <w:rPr>
                <w:rStyle w:val="44"/>
                <w:rFonts w:hint="eastAsia"/>
                <w:b w:val="0"/>
                <w:bCs/>
                <w:kern w:val="2"/>
                <w:sz w:val="20"/>
                <w:szCs w:val="20"/>
                <w:highlight w:val="none"/>
                <w:lang w:val="en-US" w:eastAsia="zh-CN" w:bidi="ar"/>
              </w:rPr>
            </w:pPr>
            <w:r>
              <w:rPr>
                <w:rStyle w:val="44"/>
                <w:b w:val="0"/>
                <w:bCs/>
                <w:kern w:val="2"/>
                <w:sz w:val="20"/>
                <w:szCs w:val="20"/>
                <w:highlight w:val="none"/>
                <w:lang w:val="en-US" w:eastAsia="zh-CN" w:bidi="ar"/>
              </w:rPr>
              <w:t>2</w:t>
            </w:r>
            <w:r>
              <w:rPr>
                <w:rStyle w:val="44"/>
                <w:rFonts w:hint="eastAsia"/>
                <w:b w:val="0"/>
                <w:bCs/>
                <w:kern w:val="2"/>
                <w:sz w:val="20"/>
                <w:szCs w:val="20"/>
                <w:highlight w:val="none"/>
                <w:lang w:val="en-US" w:eastAsia="zh-CN" w:bidi="ar"/>
              </w:rPr>
              <w:t>、所投超融合产品的原厂商具备ISO9001质量管理认证证书的，加2分。不提供不得分；</w:t>
            </w:r>
          </w:p>
          <w:p>
            <w:pPr>
              <w:pStyle w:val="2"/>
              <w:ind w:left="0" w:leftChars="0" w:firstLine="0" w:firstLineChars="0"/>
              <w:rPr>
                <w:rStyle w:val="44"/>
                <w:rFonts w:hint="eastAsia"/>
                <w:b w:val="0"/>
                <w:bCs/>
                <w:kern w:val="2"/>
                <w:sz w:val="20"/>
                <w:szCs w:val="20"/>
                <w:highlight w:val="none"/>
                <w:lang w:val="en-US" w:eastAsia="zh-CN" w:bidi="ar"/>
              </w:rPr>
            </w:pPr>
            <w:r>
              <w:rPr>
                <w:rStyle w:val="44"/>
                <w:b w:val="0"/>
                <w:bCs/>
                <w:kern w:val="2"/>
                <w:sz w:val="20"/>
                <w:szCs w:val="20"/>
                <w:highlight w:val="none"/>
                <w:lang w:val="en-US" w:eastAsia="zh-CN" w:bidi="ar"/>
              </w:rPr>
              <w:t>3</w:t>
            </w:r>
            <w:r>
              <w:rPr>
                <w:rStyle w:val="44"/>
                <w:rFonts w:hint="eastAsia"/>
                <w:b w:val="0"/>
                <w:bCs/>
                <w:kern w:val="2"/>
                <w:sz w:val="20"/>
                <w:szCs w:val="20"/>
                <w:highlight w:val="none"/>
                <w:lang w:val="en-US" w:eastAsia="zh-CN" w:bidi="ar"/>
              </w:rPr>
              <w:t>、所投超融合产品的原厂商具备ISO27001信息安全管理体系认证证书的，加2分。不提供不得分。</w:t>
            </w:r>
          </w:p>
          <w:p>
            <w:pPr>
              <w:rPr>
                <w:rFonts w:hint="eastAsia"/>
                <w:kern w:val="2"/>
                <w:sz w:val="20"/>
                <w:szCs w:val="20"/>
                <w:highlight w:val="none"/>
              </w:rPr>
            </w:pPr>
            <w:r>
              <w:rPr>
                <w:rStyle w:val="44"/>
                <w:rFonts w:hint="eastAsia"/>
                <w:b w:val="0"/>
                <w:kern w:val="2"/>
                <w:sz w:val="20"/>
                <w:szCs w:val="20"/>
                <w:highlight w:val="none"/>
                <w:lang w:val="en-US" w:eastAsia="zh-CN" w:bidi="ar"/>
              </w:rPr>
              <w:t>注：以上证明材料在投标文件正本中附复印件并加盖厂家</w:t>
            </w:r>
            <w:r>
              <w:rPr>
                <w:rStyle w:val="44"/>
                <w:b w:val="0"/>
                <w:kern w:val="2"/>
                <w:sz w:val="20"/>
                <w:szCs w:val="20"/>
                <w:highlight w:val="none"/>
                <w:lang w:val="en-US" w:eastAsia="zh-CN" w:bidi="ar"/>
              </w:rPr>
              <w:t>及</w:t>
            </w:r>
            <w:r>
              <w:rPr>
                <w:rStyle w:val="44"/>
                <w:rFonts w:hint="eastAsia"/>
                <w:b w:val="0"/>
                <w:kern w:val="2"/>
                <w:sz w:val="20"/>
                <w:szCs w:val="20"/>
                <w:highlight w:val="none"/>
                <w:lang w:val="en-US" w:eastAsia="zh-CN" w:bidi="ar"/>
              </w:rPr>
              <w:t>投标单位公章，原件备查，否则不予认可。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8" w:type="pct"/>
            <w:vMerge w:val="continue"/>
            <w:vAlign w:val="center"/>
          </w:tcPr>
          <w:p>
            <w:pPr>
              <w:spacing w:line="380" w:lineRule="exact"/>
              <w:jc w:val="center"/>
              <w:rPr>
                <w:rFonts w:hint="eastAsia" w:ascii="宋体" w:hAnsi="宋体" w:eastAsia="宋体" w:cs="宋体"/>
                <w:b w:val="0"/>
                <w:bCs/>
                <w:kern w:val="2"/>
                <w:sz w:val="20"/>
                <w:szCs w:val="20"/>
                <w:highlight w:val="none"/>
              </w:rPr>
            </w:pPr>
          </w:p>
        </w:tc>
        <w:tc>
          <w:tcPr>
            <w:tcW w:w="705" w:type="pct"/>
            <w:vAlign w:val="center"/>
          </w:tcPr>
          <w:p>
            <w:pPr>
              <w:widowControl/>
              <w:jc w:val="left"/>
              <w:rPr>
                <w:rFonts w:hint="eastAsia" w:ascii="宋体" w:hAnsi="宋体" w:eastAsia="宋体" w:cs="宋体"/>
                <w:b w:val="0"/>
                <w:bCs/>
                <w:kern w:val="2"/>
                <w:sz w:val="20"/>
                <w:szCs w:val="20"/>
                <w:highlight w:val="none"/>
              </w:rPr>
            </w:pPr>
            <w:r>
              <w:rPr>
                <w:rFonts w:hint="eastAsia" w:ascii="宋体" w:hAnsi="宋体" w:eastAsia="宋体" w:cs="宋体"/>
                <w:b w:val="0"/>
                <w:bCs/>
                <w:kern w:val="2"/>
                <w:sz w:val="20"/>
                <w:szCs w:val="20"/>
                <w:highlight w:val="none"/>
              </w:rPr>
              <w:t>环保节能评审（2分）</w:t>
            </w:r>
          </w:p>
        </w:tc>
        <w:tc>
          <w:tcPr>
            <w:tcW w:w="3846" w:type="pct"/>
            <w:vAlign w:val="center"/>
          </w:tcPr>
          <w:p>
            <w:pPr>
              <w:pStyle w:val="8"/>
              <w:spacing w:line="380" w:lineRule="exact"/>
              <w:rPr>
                <w:rFonts w:hint="eastAsia" w:ascii="宋体" w:hAnsi="宋体" w:eastAsia="宋体" w:cs="宋体"/>
                <w:b w:val="0"/>
                <w:bCs/>
                <w:sz w:val="20"/>
                <w:szCs w:val="20"/>
                <w:highlight w:val="none"/>
              </w:rPr>
            </w:pPr>
            <w:r>
              <w:rPr>
                <w:rFonts w:hint="eastAsia" w:ascii="宋体" w:hAnsi="宋体" w:eastAsia="宋体" w:cs="宋体"/>
                <w:b w:val="0"/>
                <w:bCs/>
                <w:sz w:val="20"/>
                <w:szCs w:val="20"/>
                <w:highlight w:val="none"/>
              </w:rPr>
              <w:t>投标</w:t>
            </w:r>
            <w:r>
              <w:rPr>
                <w:rStyle w:val="44"/>
                <w:rFonts w:hint="eastAsia" w:ascii="宋体" w:hAnsi="宋体" w:eastAsia="宋体" w:cs="宋体"/>
                <w:b w:val="0"/>
                <w:bCs/>
                <w:sz w:val="20"/>
                <w:szCs w:val="20"/>
                <w:highlight w:val="none"/>
                <w:lang w:val="en-US" w:eastAsia="zh-CN" w:bidi="ar"/>
              </w:rPr>
              <w:t>超融合</w:t>
            </w:r>
            <w:r>
              <w:rPr>
                <w:rFonts w:hint="eastAsia" w:ascii="宋体" w:hAnsi="宋体" w:eastAsia="宋体" w:cs="宋体"/>
                <w:b w:val="0"/>
                <w:bCs/>
                <w:sz w:val="20"/>
                <w:szCs w:val="20"/>
                <w:highlight w:val="none"/>
              </w:rPr>
              <w:t>产品为节能、环保、环境标志产品清单中的产品，符合招标文件要求的，可优先采购。按其响应程度计0～2分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448" w:type="pct"/>
            <w:vMerge w:val="continue"/>
            <w:vAlign w:val="center"/>
          </w:tcPr>
          <w:p>
            <w:pPr>
              <w:spacing w:line="380" w:lineRule="exact"/>
              <w:rPr>
                <w:rFonts w:hint="eastAsia" w:ascii="宋体" w:hAnsi="宋体" w:eastAsia="宋体" w:cs="宋体"/>
                <w:b w:val="0"/>
                <w:bCs/>
                <w:kern w:val="2"/>
                <w:sz w:val="20"/>
                <w:szCs w:val="20"/>
                <w:highlight w:val="none"/>
              </w:rPr>
            </w:pPr>
          </w:p>
        </w:tc>
        <w:tc>
          <w:tcPr>
            <w:tcW w:w="705" w:type="pct"/>
            <w:vAlign w:val="center"/>
          </w:tcPr>
          <w:p>
            <w:pPr>
              <w:spacing w:line="380" w:lineRule="exact"/>
              <w:jc w:val="center"/>
              <w:rPr>
                <w:rFonts w:hint="eastAsia" w:ascii="宋体" w:hAnsi="宋体" w:eastAsia="宋体" w:cs="宋体"/>
                <w:b w:val="0"/>
                <w:bCs/>
                <w:kern w:val="2"/>
                <w:sz w:val="20"/>
                <w:szCs w:val="20"/>
                <w:highlight w:val="none"/>
              </w:rPr>
            </w:pPr>
            <w:r>
              <w:rPr>
                <w:rFonts w:hint="eastAsia" w:ascii="宋体" w:hAnsi="宋体" w:eastAsia="宋体" w:cs="宋体"/>
                <w:b w:val="0"/>
                <w:bCs/>
                <w:kern w:val="2"/>
                <w:sz w:val="20"/>
                <w:szCs w:val="20"/>
                <w:highlight w:val="none"/>
              </w:rPr>
              <w:t>项目实施团队（</w:t>
            </w:r>
            <w:r>
              <w:rPr>
                <w:rFonts w:hint="eastAsia" w:hAnsi="宋体" w:cs="宋体"/>
                <w:b w:val="0"/>
                <w:bCs/>
                <w:kern w:val="2"/>
                <w:sz w:val="20"/>
                <w:szCs w:val="20"/>
                <w:highlight w:val="none"/>
                <w:lang w:val="en-US" w:eastAsia="zh-CN"/>
              </w:rPr>
              <w:t>7</w:t>
            </w:r>
            <w:r>
              <w:rPr>
                <w:rFonts w:hint="eastAsia" w:ascii="宋体" w:hAnsi="宋体" w:eastAsia="宋体" w:cs="宋体"/>
                <w:b w:val="0"/>
                <w:bCs/>
                <w:kern w:val="2"/>
                <w:sz w:val="20"/>
                <w:szCs w:val="20"/>
                <w:highlight w:val="none"/>
              </w:rPr>
              <w:t>分）</w:t>
            </w:r>
          </w:p>
        </w:tc>
        <w:tc>
          <w:tcPr>
            <w:tcW w:w="3846" w:type="pct"/>
            <w:vAlign w:val="center"/>
          </w:tcPr>
          <w:p>
            <w:pPr>
              <w:spacing w:line="380" w:lineRule="exact"/>
              <w:jc w:val="left"/>
              <w:rPr>
                <w:rFonts w:hint="eastAsia" w:ascii="宋体" w:hAnsi="宋体" w:eastAsia="宋体" w:cs="宋体"/>
                <w:b w:val="0"/>
                <w:bCs/>
                <w:kern w:val="0"/>
                <w:sz w:val="20"/>
                <w:szCs w:val="20"/>
                <w:highlight w:val="none"/>
                <w:lang w:bidi="ar"/>
              </w:rPr>
            </w:pPr>
            <w:r>
              <w:rPr>
                <w:rFonts w:hint="eastAsia" w:ascii="宋体" w:hAnsi="宋体" w:eastAsia="宋体" w:cs="宋体"/>
                <w:b w:val="0"/>
                <w:bCs/>
                <w:kern w:val="2"/>
                <w:sz w:val="20"/>
                <w:szCs w:val="20"/>
                <w:highlight w:val="none"/>
              </w:rPr>
              <w:t>原厂商现场实施项目经理、技术工程师技术能力考察，提供项目经理及技术工程师资历及技术证明。优秀得</w:t>
            </w:r>
            <w:r>
              <w:rPr>
                <w:rFonts w:hint="eastAsia" w:hAnsi="宋体" w:cs="宋体"/>
                <w:b w:val="0"/>
                <w:bCs/>
                <w:kern w:val="2"/>
                <w:sz w:val="20"/>
                <w:szCs w:val="20"/>
                <w:highlight w:val="none"/>
                <w:lang w:val="en-US" w:eastAsia="zh-CN"/>
              </w:rPr>
              <w:t>5</w:t>
            </w:r>
            <w:r>
              <w:rPr>
                <w:rFonts w:hint="eastAsia" w:ascii="宋体" w:hAnsi="宋体" w:eastAsia="宋体" w:cs="宋体"/>
                <w:b w:val="0"/>
                <w:bCs/>
                <w:kern w:val="2"/>
                <w:sz w:val="20"/>
                <w:szCs w:val="20"/>
                <w:highlight w:val="none"/>
              </w:rPr>
              <w:t>-</w:t>
            </w:r>
            <w:r>
              <w:rPr>
                <w:rFonts w:hint="eastAsia" w:hAnsi="宋体" w:cs="宋体"/>
                <w:b w:val="0"/>
                <w:bCs/>
                <w:kern w:val="2"/>
                <w:sz w:val="20"/>
                <w:szCs w:val="20"/>
                <w:highlight w:val="none"/>
                <w:lang w:val="en-US" w:eastAsia="zh-CN"/>
              </w:rPr>
              <w:t>7</w:t>
            </w:r>
            <w:r>
              <w:rPr>
                <w:rFonts w:hint="eastAsia" w:ascii="宋体" w:hAnsi="宋体" w:eastAsia="宋体" w:cs="宋体"/>
                <w:b w:val="0"/>
                <w:bCs/>
                <w:kern w:val="2"/>
                <w:sz w:val="20"/>
                <w:szCs w:val="20"/>
                <w:highlight w:val="none"/>
              </w:rPr>
              <w:t>分，</w:t>
            </w:r>
            <w:r>
              <w:rPr>
                <w:rFonts w:hint="eastAsia" w:ascii="宋体" w:hAnsi="宋体" w:eastAsia="宋体" w:cs="宋体"/>
                <w:b w:val="0"/>
                <w:bCs/>
                <w:kern w:val="2"/>
                <w:sz w:val="20"/>
                <w:szCs w:val="20"/>
                <w:highlight w:val="none"/>
                <w:lang w:eastAsia="zh-CN"/>
              </w:rPr>
              <w:t>一般</w:t>
            </w:r>
            <w:r>
              <w:rPr>
                <w:rFonts w:hint="eastAsia" w:ascii="宋体" w:hAnsi="宋体" w:eastAsia="宋体" w:cs="宋体"/>
                <w:b w:val="0"/>
                <w:bCs/>
                <w:kern w:val="2"/>
                <w:sz w:val="20"/>
                <w:szCs w:val="20"/>
                <w:highlight w:val="none"/>
              </w:rPr>
              <w:t>得</w:t>
            </w:r>
            <w:r>
              <w:rPr>
                <w:rFonts w:hint="eastAsia" w:hAnsi="宋体" w:cs="宋体"/>
                <w:b w:val="0"/>
                <w:bCs/>
                <w:kern w:val="2"/>
                <w:sz w:val="20"/>
                <w:szCs w:val="20"/>
                <w:highlight w:val="none"/>
                <w:lang w:val="en-US" w:eastAsia="zh-CN"/>
              </w:rPr>
              <w:t>3</w:t>
            </w:r>
            <w:r>
              <w:rPr>
                <w:rFonts w:hint="eastAsia" w:ascii="宋体" w:hAnsi="宋体" w:eastAsia="宋体" w:cs="宋体"/>
                <w:b w:val="0"/>
                <w:bCs/>
                <w:kern w:val="2"/>
                <w:sz w:val="20"/>
                <w:szCs w:val="20"/>
                <w:highlight w:val="none"/>
              </w:rPr>
              <w:t>-</w:t>
            </w:r>
            <w:r>
              <w:rPr>
                <w:rFonts w:hint="eastAsia" w:hAnsi="宋体" w:cs="宋体"/>
                <w:b w:val="0"/>
                <w:bCs/>
                <w:kern w:val="2"/>
                <w:sz w:val="20"/>
                <w:szCs w:val="20"/>
                <w:highlight w:val="none"/>
                <w:lang w:val="en-US" w:eastAsia="zh-CN"/>
              </w:rPr>
              <w:t>5</w:t>
            </w:r>
            <w:r>
              <w:rPr>
                <w:rFonts w:hint="eastAsia" w:ascii="宋体" w:hAnsi="宋体" w:eastAsia="宋体" w:cs="宋体"/>
                <w:b w:val="0"/>
                <w:bCs/>
                <w:kern w:val="2"/>
                <w:sz w:val="20"/>
                <w:szCs w:val="20"/>
                <w:highlight w:val="none"/>
              </w:rPr>
              <w:t>分，</w:t>
            </w:r>
            <w:r>
              <w:rPr>
                <w:rFonts w:hint="eastAsia" w:ascii="宋体" w:hAnsi="宋体" w:eastAsia="宋体" w:cs="宋体"/>
                <w:b w:val="0"/>
                <w:bCs/>
                <w:kern w:val="2"/>
                <w:sz w:val="20"/>
                <w:szCs w:val="20"/>
                <w:highlight w:val="none"/>
                <w:lang w:eastAsia="zh-CN"/>
              </w:rPr>
              <w:t>较差</w:t>
            </w:r>
            <w:r>
              <w:rPr>
                <w:rFonts w:hint="eastAsia" w:ascii="宋体" w:hAnsi="宋体" w:eastAsia="宋体" w:cs="宋体"/>
                <w:b w:val="0"/>
                <w:bCs/>
                <w:kern w:val="2"/>
                <w:sz w:val="20"/>
                <w:szCs w:val="20"/>
                <w:highlight w:val="none"/>
              </w:rPr>
              <w:t>得</w:t>
            </w:r>
            <w:r>
              <w:rPr>
                <w:rFonts w:hint="eastAsia" w:hAnsi="宋体" w:cs="宋体"/>
                <w:b w:val="0"/>
                <w:bCs/>
                <w:kern w:val="2"/>
                <w:sz w:val="20"/>
                <w:szCs w:val="20"/>
                <w:highlight w:val="none"/>
                <w:lang w:val="en-US" w:eastAsia="zh-CN"/>
              </w:rPr>
              <w:t>1</w:t>
            </w:r>
            <w:r>
              <w:rPr>
                <w:rFonts w:hint="eastAsia" w:ascii="宋体" w:hAnsi="宋体" w:eastAsia="宋体" w:cs="宋体"/>
                <w:b w:val="0"/>
                <w:bCs/>
                <w:kern w:val="2"/>
                <w:sz w:val="20"/>
                <w:szCs w:val="20"/>
                <w:highlight w:val="none"/>
                <w:lang w:val="en-US" w:eastAsia="zh-CN"/>
              </w:rPr>
              <w:t>-</w:t>
            </w:r>
            <w:r>
              <w:rPr>
                <w:rFonts w:hint="eastAsia" w:hAnsi="宋体" w:cs="宋体"/>
                <w:b w:val="0"/>
                <w:bCs/>
                <w:kern w:val="2"/>
                <w:sz w:val="20"/>
                <w:szCs w:val="20"/>
                <w:highlight w:val="none"/>
                <w:lang w:val="en-US" w:eastAsia="zh-CN"/>
              </w:rPr>
              <w:t>3</w:t>
            </w:r>
            <w:r>
              <w:rPr>
                <w:rFonts w:hint="eastAsia" w:ascii="宋体" w:hAnsi="宋体" w:eastAsia="宋体" w:cs="宋体"/>
                <w:b w:val="0"/>
                <w:bCs/>
                <w:kern w:val="2"/>
                <w:sz w:val="20"/>
                <w:szCs w:val="20"/>
                <w:highlight w:val="none"/>
              </w:rPr>
              <w:t>分。</w:t>
            </w:r>
          </w:p>
        </w:tc>
      </w:tr>
    </w:tbl>
    <w:p>
      <w:pPr>
        <w:bidi w:val="0"/>
        <w:jc w:val="left"/>
        <w:rPr>
          <w:rFonts w:hAnsi="宋体" w:cs="宋体"/>
          <w:b/>
          <w:color w:val="auto"/>
          <w:spacing w:val="4"/>
          <w:szCs w:val="24"/>
          <w:highlight w:val="none"/>
        </w:rPr>
      </w:pPr>
      <w:r>
        <w:rPr>
          <w:rFonts w:hint="eastAsia" w:hAnsi="宋体" w:cs="宋体"/>
          <w:b/>
          <w:color w:val="auto"/>
          <w:spacing w:val="4"/>
          <w:szCs w:val="24"/>
          <w:highlight w:val="none"/>
        </w:rPr>
        <w:t>四、</w:t>
      </w:r>
      <w:r>
        <w:rPr>
          <w:rFonts w:hint="eastAsia" w:ascii="宋体" w:hAnsi="宋体" w:eastAsia="宋体" w:cs="宋体"/>
          <w:b/>
          <w:color w:val="auto"/>
          <w:sz w:val="28"/>
          <w:szCs w:val="28"/>
          <w:highlight w:val="none"/>
        </w:rPr>
        <w:t>定标</w:t>
      </w:r>
      <w:r>
        <w:rPr>
          <w:rFonts w:hint="eastAsia" w:hAnsi="宋体" w:cs="宋体"/>
          <w:b/>
          <w:color w:val="auto"/>
          <w:spacing w:val="4"/>
          <w:szCs w:val="24"/>
          <w:highlight w:val="none"/>
        </w:rPr>
        <w:t>：</w:t>
      </w:r>
      <w:bookmarkEnd w:id="321"/>
      <w:bookmarkEnd w:id="32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1、评标结果由全体评标委员会成员签字确认。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2、采购人根据评标报告中推荐的中标候选人排列顺序确定中标人，以复函通知采购代理机构。</w:t>
      </w:r>
    </w:p>
    <w:p>
      <w:pPr>
        <w:rPr>
          <w:rFonts w:hint="eastAsia" w:ascii="宋体" w:eastAsia="宋体" w:cs="宋体"/>
          <w:color w:val="auto"/>
          <w:sz w:val="36"/>
          <w:szCs w:val="36"/>
          <w:highlight w:val="none"/>
        </w:rPr>
      </w:pPr>
      <w:bookmarkStart w:id="325" w:name="_Toc20528"/>
      <w:bookmarkStart w:id="326" w:name="_Toc4347"/>
      <w:bookmarkStart w:id="327" w:name="_Toc30670"/>
      <w:bookmarkStart w:id="328" w:name="_Toc19519"/>
      <w:r>
        <w:rPr>
          <w:rFonts w:hint="eastAsia" w:ascii="宋体" w:eastAsia="宋体" w:cs="宋体"/>
          <w:color w:val="auto"/>
          <w:sz w:val="36"/>
          <w:szCs w:val="36"/>
          <w:highlight w:val="none"/>
        </w:rPr>
        <w:br w:type="page"/>
      </w:r>
    </w:p>
    <w:p>
      <w:pPr>
        <w:pStyle w:val="2"/>
        <w:rPr>
          <w:rFonts w:hint="eastAsia"/>
        </w:rPr>
      </w:pPr>
    </w:p>
    <w:p>
      <w:pPr>
        <w:spacing w:line="360" w:lineRule="auto"/>
        <w:jc w:val="center"/>
        <w:outlineLvl w:val="0"/>
        <w:rPr>
          <w:rFonts w:ascii="宋体" w:eastAsia="宋体" w:cs="宋体"/>
          <w:color w:val="auto"/>
          <w:sz w:val="36"/>
          <w:szCs w:val="36"/>
          <w:highlight w:val="none"/>
        </w:rPr>
      </w:pPr>
      <w:r>
        <w:rPr>
          <w:rStyle w:val="39"/>
          <w:rFonts w:hint="eastAsia" w:ascii="宋体" w:hAnsi="宋体" w:eastAsia="宋体" w:cs="宋体"/>
          <w:color w:val="auto"/>
          <w:sz w:val="36"/>
          <w:szCs w:val="36"/>
          <w:highlight w:val="none"/>
        </w:rPr>
        <w:t>第四章  合同条款及格式</w:t>
      </w:r>
      <w:bookmarkEnd w:id="214"/>
      <w:bookmarkEnd w:id="215"/>
      <w:bookmarkEnd w:id="216"/>
      <w:bookmarkEnd w:id="217"/>
      <w:bookmarkEnd w:id="218"/>
      <w:bookmarkEnd w:id="325"/>
      <w:bookmarkEnd w:id="326"/>
      <w:bookmarkEnd w:id="327"/>
      <w:bookmarkEnd w:id="328"/>
    </w:p>
    <w:p>
      <w:pPr>
        <w:bidi w:val="0"/>
        <w:jc w:val="left"/>
        <w:rPr>
          <w:rFonts w:ascii="宋体" w:hAnsi="宋体" w:cs="宋体"/>
          <w:color w:val="auto"/>
          <w:sz w:val="32"/>
          <w:highlight w:val="none"/>
        </w:rPr>
      </w:pPr>
      <w:bookmarkStart w:id="329" w:name="_Toc22977"/>
      <w:bookmarkStart w:id="330" w:name="_Toc1493"/>
      <w:bookmarkStart w:id="331" w:name="_Toc426457695"/>
      <w:bookmarkStart w:id="332" w:name="_Toc6673"/>
      <w:bookmarkStart w:id="333" w:name="_Toc1196"/>
      <w:bookmarkStart w:id="334" w:name="_Toc12015"/>
      <w:bookmarkStart w:id="335" w:name="_Toc25691"/>
      <w:r>
        <w:rPr>
          <w:rFonts w:hint="eastAsia" w:ascii="宋体" w:hAnsi="宋体" w:cs="宋体"/>
          <w:color w:val="auto"/>
          <w:sz w:val="32"/>
          <w:highlight w:val="none"/>
        </w:rPr>
        <w:t>合同前附表</w:t>
      </w:r>
      <w:bookmarkEnd w:id="329"/>
      <w:bookmarkEnd w:id="330"/>
      <w:bookmarkEnd w:id="331"/>
      <w:bookmarkEnd w:id="332"/>
      <w:bookmarkEnd w:id="333"/>
      <w:bookmarkEnd w:id="334"/>
      <w:bookmarkEnd w:id="33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2"/>
        <w:tblW w:w="499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255"/>
        <w:gridCol w:w="7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b/>
                <w:bCs/>
              </w:rPr>
            </w:pPr>
            <w:bookmarkStart w:id="336" w:name="_Toc27052"/>
            <w:bookmarkStart w:id="337" w:name="_Toc5441"/>
            <w:r>
              <w:rPr>
                <w:rFonts w:hint="eastAsia"/>
                <w:b/>
                <w:bCs/>
              </w:rPr>
              <w:t>序号</w:t>
            </w:r>
            <w:bookmarkEnd w:id="336"/>
            <w:bookmarkEnd w:id="337"/>
          </w:p>
        </w:tc>
        <w:tc>
          <w:tcPr>
            <w:tcW w:w="4244"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b/>
                <w:bCs/>
              </w:rPr>
            </w:pPr>
            <w:bookmarkStart w:id="338" w:name="_Toc10556"/>
            <w:bookmarkStart w:id="339" w:name="_Toc9466"/>
            <w:r>
              <w:rPr>
                <w:rFonts w:hint="eastAsia"/>
                <w:b/>
                <w:bCs/>
              </w:rPr>
              <w:t>内      容</w:t>
            </w:r>
            <w:bookmarkEnd w:id="338"/>
            <w:bookmarkEnd w:id="33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rPr>
            </w:pPr>
            <w:bookmarkStart w:id="340" w:name="_Toc24795"/>
            <w:bookmarkStart w:id="341" w:name="_Toc29859"/>
            <w:r>
              <w:rPr>
                <w:rFonts w:hint="eastAsia"/>
              </w:rPr>
              <w:t>1</w:t>
            </w:r>
            <w:bookmarkEnd w:id="340"/>
            <w:bookmarkEnd w:id="341"/>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lang w:eastAsia="zh-CN"/>
              </w:rPr>
            </w:pPr>
            <w:bookmarkStart w:id="342" w:name="_Toc16673"/>
            <w:bookmarkStart w:id="343" w:name="_Toc6769"/>
            <w:r>
              <w:rPr>
                <w:rFonts w:hint="eastAsia"/>
              </w:rPr>
              <w:t>采购人名称：</w:t>
            </w:r>
            <w:r>
              <w:rPr>
                <w:rFonts w:hint="eastAsia"/>
                <w:lang w:eastAsia="zh-CN"/>
              </w:rPr>
              <w:t>汉中市人民医院</w:t>
            </w:r>
            <w:bookmarkEnd w:id="342"/>
            <w:bookmarkEnd w:id="343"/>
          </w:p>
          <w:p>
            <w:pPr>
              <w:keepNext w:val="0"/>
              <w:keepLines w:val="0"/>
              <w:pageBreakBefore w:val="0"/>
              <w:kinsoku/>
              <w:overflowPunct/>
              <w:topLinePunct w:val="0"/>
              <w:autoSpaceDE/>
              <w:autoSpaceDN/>
              <w:bidi w:val="0"/>
              <w:adjustRightInd/>
              <w:snapToGrid/>
              <w:spacing w:line="360" w:lineRule="auto"/>
              <w:jc w:val="left"/>
              <w:textAlignment w:val="auto"/>
              <w:rPr>
                <w:rFonts w:hint="eastAsia"/>
                <w:lang w:eastAsia="zh-CN"/>
              </w:rPr>
            </w:pPr>
            <w:bookmarkStart w:id="344" w:name="_Toc10411"/>
            <w:bookmarkStart w:id="345" w:name="_Toc30321"/>
            <w:r>
              <w:rPr>
                <w:rFonts w:hint="eastAsia"/>
              </w:rPr>
              <w:t>地    址：</w:t>
            </w:r>
            <w:r>
              <w:rPr>
                <w:rFonts w:hint="eastAsia"/>
                <w:lang w:eastAsia="zh-CN"/>
              </w:rPr>
              <w:t>汉中市汉台区北团结街251号</w:t>
            </w:r>
            <w:bookmarkEnd w:id="344"/>
            <w:bookmarkEnd w:id="345"/>
          </w:p>
          <w:p>
            <w:pPr>
              <w:keepNext w:val="0"/>
              <w:keepLines w:val="0"/>
              <w:pageBreakBefore w:val="0"/>
              <w:kinsoku/>
              <w:overflowPunct/>
              <w:topLinePunct w:val="0"/>
              <w:autoSpaceDE/>
              <w:autoSpaceDN/>
              <w:bidi w:val="0"/>
              <w:adjustRightInd/>
              <w:snapToGrid/>
              <w:spacing w:line="360" w:lineRule="auto"/>
              <w:jc w:val="left"/>
              <w:textAlignment w:val="auto"/>
              <w:rPr>
                <w:rFonts w:hint="eastAsia"/>
              </w:rPr>
            </w:pPr>
            <w:bookmarkStart w:id="346" w:name="_Toc19631"/>
            <w:bookmarkStart w:id="347" w:name="_Toc15192"/>
            <w:r>
              <w:rPr>
                <w:rFonts w:hint="eastAsia"/>
              </w:rPr>
              <w:t>联系电话：</w:t>
            </w:r>
            <w:r>
              <w:rPr>
                <w:rFonts w:hint="eastAsia"/>
                <w:lang w:eastAsia="zh-CN"/>
              </w:rPr>
              <w:t>0916–2709355</w:t>
            </w:r>
            <w:bookmarkEnd w:id="346"/>
            <w:bookmarkEnd w:id="347"/>
          </w:p>
          <w:p>
            <w:pPr>
              <w:keepNext w:val="0"/>
              <w:keepLines w:val="0"/>
              <w:pageBreakBefore w:val="0"/>
              <w:kinsoku/>
              <w:overflowPunct/>
              <w:topLinePunct w:val="0"/>
              <w:autoSpaceDE/>
              <w:autoSpaceDN/>
              <w:bidi w:val="0"/>
              <w:adjustRightInd/>
              <w:snapToGrid/>
              <w:spacing w:line="360" w:lineRule="auto"/>
              <w:jc w:val="left"/>
              <w:textAlignment w:val="auto"/>
              <w:rPr>
                <w:rFonts w:hint="eastAsia"/>
                <w:lang w:eastAsia="zh-CN"/>
              </w:rPr>
            </w:pPr>
            <w:bookmarkStart w:id="348" w:name="_Toc19372"/>
            <w:bookmarkStart w:id="349" w:name="_Toc18526"/>
            <w:r>
              <w:rPr>
                <w:rFonts w:hint="eastAsia"/>
              </w:rPr>
              <w:t>联系人：</w:t>
            </w:r>
            <w:r>
              <w:rPr>
                <w:rFonts w:hint="eastAsia"/>
                <w:lang w:eastAsia="zh-CN"/>
              </w:rPr>
              <w:t>汉中市人民医院经办</w:t>
            </w:r>
            <w:bookmarkEnd w:id="348"/>
            <w:bookmarkEnd w:id="349"/>
          </w:p>
          <w:p>
            <w:pPr>
              <w:keepNext w:val="0"/>
              <w:keepLines w:val="0"/>
              <w:pageBreakBefore w:val="0"/>
              <w:kinsoku/>
              <w:overflowPunct/>
              <w:topLinePunct w:val="0"/>
              <w:autoSpaceDE/>
              <w:autoSpaceDN/>
              <w:bidi w:val="0"/>
              <w:adjustRightInd/>
              <w:snapToGrid/>
              <w:spacing w:line="360" w:lineRule="auto"/>
              <w:jc w:val="left"/>
              <w:textAlignment w:val="auto"/>
              <w:rPr>
                <w:rFonts w:hint="eastAsia"/>
                <w:lang w:eastAsia="zh-CN"/>
              </w:rPr>
            </w:pPr>
            <w:bookmarkStart w:id="350" w:name="_Toc6857"/>
            <w:bookmarkStart w:id="351" w:name="_Toc23750"/>
            <w:r>
              <w:rPr>
                <w:rFonts w:hint="eastAsia"/>
              </w:rPr>
              <w:t>项目名称：</w:t>
            </w:r>
            <w:r>
              <w:rPr>
                <w:rFonts w:hint="eastAsia"/>
                <w:lang w:eastAsia="zh-CN"/>
              </w:rPr>
              <w:t>汉中市人民医院虚拟化扩容采购项目</w:t>
            </w:r>
            <w:bookmarkEnd w:id="350"/>
            <w:bookmarkEnd w:id="351"/>
          </w:p>
          <w:p>
            <w:pPr>
              <w:keepNext w:val="0"/>
              <w:keepLines w:val="0"/>
              <w:pageBreakBefore w:val="0"/>
              <w:kinsoku/>
              <w:overflowPunct/>
              <w:topLinePunct w:val="0"/>
              <w:autoSpaceDE/>
              <w:autoSpaceDN/>
              <w:bidi w:val="0"/>
              <w:adjustRightInd/>
              <w:snapToGrid/>
              <w:spacing w:line="360" w:lineRule="auto"/>
              <w:jc w:val="left"/>
              <w:textAlignment w:val="auto"/>
              <w:rPr>
                <w:rFonts w:hint="eastAsia"/>
              </w:rPr>
            </w:pPr>
            <w:bookmarkStart w:id="352" w:name="_Toc20915"/>
            <w:bookmarkStart w:id="353" w:name="_Toc20736"/>
            <w:r>
              <w:rPr>
                <w:rFonts w:hint="eastAsia"/>
              </w:rPr>
              <w:t>资金来源：</w:t>
            </w:r>
            <w:r>
              <w:rPr>
                <w:rFonts w:hint="eastAsia"/>
                <w:lang w:eastAsia="zh-CN"/>
              </w:rPr>
              <w:t>自筹资金</w:t>
            </w:r>
            <w:r>
              <w:rPr>
                <w:rFonts w:hint="eastAsia"/>
              </w:rPr>
              <w:t>，资金已落实</w:t>
            </w:r>
            <w:bookmarkEnd w:id="352"/>
            <w:bookmarkEnd w:id="35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rPr>
            </w:pPr>
            <w:bookmarkStart w:id="354" w:name="_Toc6182"/>
            <w:bookmarkStart w:id="355" w:name="_Toc17135"/>
            <w:r>
              <w:rPr>
                <w:rFonts w:hint="eastAsia"/>
              </w:rPr>
              <w:t>3</w:t>
            </w:r>
            <w:bookmarkEnd w:id="354"/>
            <w:bookmarkEnd w:id="355"/>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356" w:name="_Toc28355"/>
            <w:bookmarkStart w:id="357" w:name="_Toc25896"/>
            <w:r>
              <w:rPr>
                <w:rFonts w:hint="eastAsia" w:ascii="宋体" w:hAnsi="Times New Roman" w:eastAsia="宋体" w:cs="Times New Roman"/>
                <w:b/>
                <w:bCs/>
              </w:rPr>
              <w:t>项目实施地点：</w:t>
            </w:r>
            <w:r>
              <w:rPr>
                <w:rFonts w:hint="eastAsia" w:ascii="宋体" w:hAnsi="Times New Roman" w:eastAsia="宋体" w:cs="Times New Roman"/>
              </w:rPr>
              <w:t>采购人指定地点</w:t>
            </w:r>
            <w:bookmarkEnd w:id="356"/>
            <w:bookmarkEnd w:id="35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highlight w:val="none"/>
              </w:rPr>
            </w:pPr>
            <w:bookmarkStart w:id="358" w:name="_Toc10979"/>
            <w:bookmarkStart w:id="359" w:name="_Toc27252"/>
            <w:r>
              <w:rPr>
                <w:rFonts w:hint="eastAsia"/>
                <w:highlight w:val="none"/>
              </w:rPr>
              <w:t>4</w:t>
            </w:r>
            <w:bookmarkEnd w:id="358"/>
            <w:bookmarkEnd w:id="359"/>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highlight w:val="none"/>
              </w:rPr>
            </w:pPr>
            <w:bookmarkStart w:id="360" w:name="_Toc27119"/>
            <w:bookmarkStart w:id="361" w:name="_Toc11702"/>
            <w:r>
              <w:rPr>
                <w:rFonts w:hint="eastAsia" w:ascii="宋体" w:hAnsi="Times New Roman" w:eastAsia="宋体" w:cs="Times New Roman"/>
                <w:b/>
                <w:bCs/>
                <w:highlight w:val="none"/>
              </w:rPr>
              <w:t>项目完成期：</w:t>
            </w:r>
            <w:r>
              <w:rPr>
                <w:rFonts w:hint="eastAsia" w:ascii="宋体" w:hAnsi="Times New Roman" w:eastAsia="宋体" w:cs="Times New Roman"/>
                <w:highlight w:val="none"/>
                <w:lang w:val="en-US" w:eastAsia="zh-CN"/>
              </w:rPr>
              <w:t>自合同签订之日起</w:t>
            </w:r>
            <w:r>
              <w:rPr>
                <w:rFonts w:hint="eastAsia" w:cs="Times New Roman"/>
                <w:highlight w:val="none"/>
                <w:lang w:val="en-US" w:eastAsia="zh-CN"/>
              </w:rPr>
              <w:t>20</w:t>
            </w:r>
            <w:r>
              <w:rPr>
                <w:rFonts w:hint="eastAsia" w:ascii="宋体" w:hAnsi="Times New Roman" w:eastAsia="宋体" w:cs="Times New Roman"/>
                <w:highlight w:val="none"/>
                <w:lang w:val="en-US" w:eastAsia="zh-CN"/>
              </w:rPr>
              <w:t>日历天</w:t>
            </w:r>
            <w:r>
              <w:rPr>
                <w:rFonts w:hint="eastAsia" w:ascii="宋体" w:hAnsi="Times New Roman" w:eastAsia="宋体" w:cs="Times New Roman"/>
                <w:highlight w:val="none"/>
              </w:rPr>
              <w:t>。</w:t>
            </w:r>
            <w:bookmarkEnd w:id="360"/>
            <w:bookmarkEnd w:id="36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rPr>
            </w:pPr>
            <w:bookmarkStart w:id="362" w:name="_Toc31686"/>
            <w:bookmarkStart w:id="363" w:name="_Toc25118"/>
            <w:r>
              <w:rPr>
                <w:rFonts w:hint="eastAsia"/>
              </w:rPr>
              <w:t>5</w:t>
            </w:r>
            <w:bookmarkEnd w:id="362"/>
            <w:bookmarkEnd w:id="363"/>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364" w:name="_Toc16396"/>
            <w:bookmarkStart w:id="365" w:name="_Toc9937"/>
            <w:r>
              <w:rPr>
                <w:rFonts w:hint="eastAsia" w:ascii="宋体" w:hAnsi="Times New Roman" w:eastAsia="宋体" w:cs="Times New Roman"/>
                <w:b/>
                <w:bCs/>
              </w:rPr>
              <w:t>质保期：</w:t>
            </w:r>
            <w:r>
              <w:rPr>
                <w:rFonts w:hint="eastAsia" w:ascii="宋体" w:hAnsi="Times New Roman" w:eastAsia="宋体" w:cs="Times New Roman"/>
              </w:rPr>
              <w:t>提供3年原厂软硬件</w:t>
            </w:r>
            <w:r>
              <w:rPr>
                <w:rFonts w:hint="eastAsia" w:ascii="宋体" w:hAnsi="Times New Roman" w:eastAsia="宋体" w:cs="Times New Roman"/>
                <w:lang w:val="en-US" w:eastAsia="zh-CN"/>
              </w:rPr>
              <w:t>质保</w:t>
            </w:r>
            <w:r>
              <w:rPr>
                <w:rFonts w:hint="eastAsia" w:ascii="宋体" w:hAnsi="Times New Roman" w:eastAsia="宋体" w:cs="Times New Roman"/>
              </w:rPr>
              <w:t>服务。</w:t>
            </w:r>
            <w:bookmarkEnd w:id="364"/>
            <w:bookmarkEnd w:id="36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rPr>
            </w:pPr>
            <w:bookmarkStart w:id="366" w:name="_Toc23974"/>
            <w:bookmarkStart w:id="367" w:name="_Toc4975"/>
            <w:r>
              <w:rPr>
                <w:rFonts w:hint="eastAsia"/>
              </w:rPr>
              <w:t>6</w:t>
            </w:r>
            <w:bookmarkEnd w:id="366"/>
            <w:bookmarkEnd w:id="367"/>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rPr>
            </w:pPr>
            <w:bookmarkStart w:id="368" w:name="_Toc12696"/>
            <w:bookmarkStart w:id="369" w:name="_Toc27211"/>
            <w:r>
              <w:rPr>
                <w:rFonts w:hint="eastAsia"/>
              </w:rPr>
              <w:t>1、</w:t>
            </w:r>
            <w:r>
              <w:rPr>
                <w:rFonts w:hint="eastAsia" w:ascii="宋体" w:hAnsi="Times New Roman" w:eastAsia="宋体" w:cs="Times New Roman"/>
              </w:rPr>
              <w:t>合同</w:t>
            </w:r>
            <w:r>
              <w:rPr>
                <w:rFonts w:hint="eastAsia"/>
              </w:rPr>
              <w:t>单价即投标单价，为一次性报价，不受市场价变化或实际工作量变化的影响。</w:t>
            </w:r>
            <w:bookmarkEnd w:id="368"/>
            <w:bookmarkEnd w:id="369"/>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370" w:name="_Toc6678"/>
            <w:bookmarkStart w:id="371" w:name="_Toc12581"/>
            <w:r>
              <w:rPr>
                <w:rFonts w:hint="eastAsia" w:ascii="宋体" w:hAnsi="Times New Roman" w:eastAsia="宋体" w:cs="Times New Roman"/>
              </w:rPr>
              <w:t>2、付款方式和程序：</w:t>
            </w:r>
            <w:bookmarkEnd w:id="370"/>
            <w:bookmarkEnd w:id="371"/>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372" w:name="_Toc13279"/>
            <w:bookmarkStart w:id="373" w:name="_Toc21931"/>
            <w:r>
              <w:rPr>
                <w:rFonts w:hint="eastAsia" w:ascii="宋体" w:hAnsi="Times New Roman" w:eastAsia="宋体" w:cs="Times New Roman"/>
              </w:rPr>
              <w:t>1）由采购人以人民币负责结算，在付款前，</w:t>
            </w:r>
            <w:r>
              <w:rPr>
                <w:rFonts w:hint="eastAsia" w:ascii="宋体" w:hAnsi="Times New Roman" w:eastAsia="宋体" w:cs="Times New Roman"/>
                <w:lang w:eastAsia="zh-CN"/>
              </w:rPr>
              <w:t>投标人</w:t>
            </w:r>
            <w:r>
              <w:rPr>
                <w:rFonts w:hint="eastAsia" w:ascii="宋体" w:hAnsi="Times New Roman" w:eastAsia="宋体" w:cs="Times New Roman"/>
              </w:rPr>
              <w:t>必须开具全额发票给采购人。（附详细清单）。</w:t>
            </w:r>
            <w:bookmarkEnd w:id="372"/>
            <w:bookmarkEnd w:id="373"/>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lang w:eastAsia="zh-CN"/>
              </w:rPr>
            </w:pPr>
            <w:bookmarkStart w:id="374" w:name="_Toc22568"/>
            <w:bookmarkStart w:id="375" w:name="_Toc32393"/>
            <w:r>
              <w:rPr>
                <w:rFonts w:hint="eastAsia" w:ascii="宋体" w:hAnsi="Times New Roman" w:eastAsia="宋体" w:cs="Times New Roman"/>
              </w:rPr>
              <w:t>2）付款方式</w:t>
            </w:r>
            <w:r>
              <w:rPr>
                <w:rFonts w:hint="eastAsia" w:ascii="宋体" w:hAnsi="Times New Roman" w:eastAsia="宋体" w:cs="Times New Roman"/>
                <w:lang w:eastAsia="zh-CN"/>
              </w:rPr>
              <w:t>（具体以合同签订为准）</w:t>
            </w:r>
            <w:bookmarkEnd w:id="374"/>
            <w:bookmarkEnd w:id="375"/>
          </w:p>
          <w:p>
            <w:pPr>
              <w:keepNext w:val="0"/>
              <w:keepLines w:val="0"/>
              <w:pageBreakBefore w:val="0"/>
              <w:kinsoku/>
              <w:overflowPunct/>
              <w:topLinePunct w:val="0"/>
              <w:autoSpaceDE/>
              <w:autoSpaceDN/>
              <w:bidi w:val="0"/>
              <w:adjustRightInd/>
              <w:snapToGrid/>
              <w:spacing w:line="360" w:lineRule="auto"/>
              <w:jc w:val="left"/>
              <w:textAlignment w:val="auto"/>
              <w:rPr>
                <w:rFonts w:hint="eastAsia"/>
              </w:rPr>
            </w:pPr>
            <w:bookmarkStart w:id="376" w:name="_Toc31625"/>
            <w:bookmarkStart w:id="377" w:name="_Toc5138"/>
            <w:r>
              <w:rPr>
                <w:rFonts w:hint="eastAsia" w:ascii="宋体" w:hAnsi="宋体" w:eastAsia="宋体" w:cs="宋体"/>
                <w:color w:val="auto"/>
                <w:sz w:val="24"/>
                <w:szCs w:val="24"/>
                <w:highlight w:val="none"/>
                <w:lang w:eastAsia="zh-CN"/>
              </w:rPr>
              <w:t>项目完成并验收合格后，运行一个月无质量问题分三年内支付完毕（最终以合同签订为准）。如因投标人责任而造成延期，每超过一天按合同总价款的2%支付采购人误期赔偿金</w:t>
            </w:r>
            <w:r>
              <w:rPr>
                <w:rFonts w:hint="eastAsia" w:cs="Times New Roman"/>
                <w:lang w:val="en-US" w:eastAsia="zh-CN"/>
              </w:rPr>
              <w:t>。</w:t>
            </w:r>
            <w:bookmarkEnd w:id="376"/>
            <w:bookmarkEnd w:id="37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rPr>
            </w:pPr>
            <w:bookmarkStart w:id="378" w:name="_Toc11500"/>
            <w:bookmarkStart w:id="379" w:name="_Toc11510"/>
            <w:r>
              <w:rPr>
                <w:rFonts w:hint="eastAsia"/>
              </w:rPr>
              <w:t>7</w:t>
            </w:r>
            <w:bookmarkEnd w:id="378"/>
            <w:bookmarkEnd w:id="379"/>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b/>
                <w:bCs/>
              </w:rPr>
            </w:pPr>
            <w:bookmarkStart w:id="380" w:name="_Toc12813"/>
            <w:bookmarkStart w:id="381" w:name="_Toc26519"/>
            <w:r>
              <w:rPr>
                <w:rFonts w:hint="eastAsia" w:ascii="宋体" w:hAnsi="Times New Roman" w:eastAsia="宋体" w:cs="Times New Roman"/>
                <w:b/>
                <w:bCs/>
              </w:rPr>
              <w:t>质量保证：</w:t>
            </w:r>
            <w:bookmarkEnd w:id="380"/>
            <w:bookmarkEnd w:id="381"/>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lang w:val="en-US" w:eastAsia="zh-CN"/>
              </w:rPr>
              <w:t>1、</w:t>
            </w:r>
            <w:r>
              <w:rPr>
                <w:rFonts w:hint="eastAsia" w:ascii="宋体" w:hAnsi="Times New Roman" w:eastAsia="宋体" w:cs="Times New Roman"/>
              </w:rPr>
              <w:t>供应商提供的产品必须保证质量可靠，渠道正常，配置合理齐全，应全面满足招标文件的要求，招标文件未明确要求的内容，供应商须按招标要求配置或以采购人的补充要求为准。所供产品工艺质量应严格按国家最新发布的规范标准执行，如发生质量问题由供应商承担全部责任。</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2、供应商应保证所有产品的完好无损包括配套包装，如有缺漏、损坏，由供应商负责调换、补齐或赔偿。</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3、采购人使用产品过程中因产品质量、产品缺陷及安装质量等造成人身伤亡、财产损失的，由供应商负责解决并承担全部责任。</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4、供应商应提供可承担维修职能的公司、全资</w:t>
            </w:r>
            <w:r>
              <w:rPr>
                <w:rFonts w:hint="eastAsia" w:ascii="宋体" w:hAnsi="Times New Roman" w:eastAsia="宋体" w:cs="Times New Roman"/>
                <w:lang w:eastAsia="zh-CN"/>
              </w:rPr>
              <w:t>子</w:t>
            </w:r>
            <w:r>
              <w:rPr>
                <w:rFonts w:hint="eastAsia" w:ascii="宋体" w:hAnsi="Times New Roman" w:eastAsia="宋体" w:cs="Times New Roman"/>
              </w:rPr>
              <w:t>公司或办事处，并驻守多名维护技术人员，并提供地点、联系人（常驻工程师）及联系电话（服务热线），随时解答各种疑问（需提供相关证明材料）。</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5、服务方式:现场及远程服务，整体验收合格后质量保证期不低于</w:t>
            </w:r>
            <w:r>
              <w:rPr>
                <w:rFonts w:hint="eastAsia" w:ascii="宋体" w:hAnsi="Times New Roman" w:eastAsia="宋体" w:cs="Times New Roman"/>
                <w:lang w:eastAsia="zh-CN"/>
              </w:rPr>
              <w:t>三</w:t>
            </w:r>
            <w:r>
              <w:rPr>
                <w:rFonts w:hint="eastAsia" w:ascii="宋体" w:hAnsi="Times New Roman" w:eastAsia="宋体" w:cs="Times New Roman"/>
              </w:rPr>
              <w:t>年(质保期自验收合格后开始计算)，质保期内维修费用含在合同总价中（中标价格），并提供终身维修（护）。在质量保证期内发生重大故障，维修工程师处理响应时间≤0.5小时。</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6、质保期内不少于1人的</w:t>
            </w:r>
            <w:r>
              <w:rPr>
                <w:rFonts w:hint="eastAsia" w:ascii="宋体" w:hAnsi="Times New Roman" w:eastAsia="宋体" w:cs="Times New Roman"/>
                <w:lang w:val="en-US" w:eastAsia="zh-CN"/>
              </w:rPr>
              <w:t>1</w:t>
            </w:r>
            <w:r>
              <w:rPr>
                <w:rFonts w:hint="eastAsia" w:ascii="宋体" w:hAnsi="Times New Roman" w:eastAsia="宋体" w:cs="Times New Roman"/>
              </w:rPr>
              <w:t>年驻场技术服务</w:t>
            </w:r>
            <w:r>
              <w:rPr>
                <w:rFonts w:hint="eastAsia" w:ascii="宋体" w:hAnsi="Times New Roman" w:eastAsia="宋体" w:cs="Times New Roman"/>
                <w:lang w:eastAsia="zh-CN"/>
              </w:rPr>
              <w:t>人员</w:t>
            </w:r>
            <w:r>
              <w:rPr>
                <w:rFonts w:hint="eastAsia" w:ascii="宋体" w:hAnsi="Times New Roman" w:eastAsia="宋体" w:cs="Times New Roman"/>
              </w:rPr>
              <w:t>。</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7、对于存在质量问题或者短少的产品，供应商应在接到采购人的通知后2个日历日内负责修复，调换、重新制作或补齐。</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8、在最终验收</w:t>
            </w:r>
            <w:r>
              <w:rPr>
                <w:rFonts w:hint="eastAsia" w:ascii="宋体" w:hAnsi="Times New Roman" w:eastAsia="宋体" w:cs="Times New Roman"/>
                <w:lang w:eastAsia="zh-CN"/>
              </w:rPr>
              <w:t>合格</w:t>
            </w:r>
            <w:r>
              <w:rPr>
                <w:rFonts w:hint="eastAsia" w:ascii="宋体" w:hAnsi="Times New Roman" w:eastAsia="宋体" w:cs="Times New Roman"/>
              </w:rPr>
              <w:t>后的质量保证期内，供应商应对要求、工艺或材料等的缺陷而产生的故障负责（负责解决并承担全部费用）。质保期满后如出现此类问题亦应负责。</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9、投标人及所投产品的生产厂商应承诺质保期、维保期的售后服务条款（包括具体的服务内容、故障响应时间、响应方式、维修措施及时限、维护响应计划等方面），未提供任何质保期、维保期的售后服务条款或提供的内容不实的以不实质性满足招标文件要求对待。</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lang w:eastAsia="zh-CN"/>
              </w:rPr>
            </w:pPr>
            <w:r>
              <w:rPr>
                <w:rFonts w:hint="eastAsia" w:ascii="宋体" w:hAnsi="Times New Roman" w:eastAsia="宋体" w:cs="Times New Roman"/>
              </w:rPr>
              <w:t>10、对于未按约定提供质保服务的供应商或违约的供应商，采购人将拒绝其参加采购人单位的政府采购项目。且采购人有权委托第三方进行维修，所产生的费用由供应商承担</w:t>
            </w:r>
            <w:r>
              <w:rPr>
                <w:rFonts w:hint="eastAsia" w:ascii="宋体" w:hAnsi="Times New Roman" w:eastAsia="宋体" w:cs="Times New Roman"/>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rPr>
            </w:pPr>
            <w:bookmarkStart w:id="382" w:name="_Toc24443"/>
            <w:bookmarkStart w:id="383" w:name="_Toc9788"/>
            <w:r>
              <w:rPr>
                <w:rFonts w:hint="eastAsia"/>
              </w:rPr>
              <w:t>8</w:t>
            </w:r>
            <w:bookmarkEnd w:id="382"/>
            <w:bookmarkEnd w:id="383"/>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b/>
                <w:bCs/>
              </w:rPr>
            </w:pPr>
            <w:bookmarkStart w:id="384" w:name="_Toc25440"/>
            <w:bookmarkStart w:id="385" w:name="_Toc18096"/>
            <w:r>
              <w:rPr>
                <w:rFonts w:hint="eastAsia" w:ascii="宋体" w:hAnsi="Times New Roman" w:eastAsia="宋体" w:cs="Times New Roman"/>
                <w:b/>
                <w:bCs/>
              </w:rPr>
              <w:t>包装及运输要求：</w:t>
            </w:r>
            <w:bookmarkEnd w:id="384"/>
            <w:bookmarkEnd w:id="385"/>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386" w:name="_Toc12970"/>
            <w:bookmarkStart w:id="387" w:name="_Toc4293"/>
            <w:r>
              <w:rPr>
                <w:rFonts w:hint="eastAsia" w:ascii="宋体" w:hAnsi="Times New Roman" w:eastAsia="宋体" w:cs="Times New Roman"/>
              </w:rPr>
              <w:t>1.</w:t>
            </w:r>
            <w:r>
              <w:rPr>
                <w:rFonts w:hint="eastAsia" w:ascii="宋体" w:hAnsi="Times New Roman" w:eastAsia="宋体" w:cs="Times New Roman"/>
                <w:lang w:eastAsia="zh-CN"/>
              </w:rPr>
              <w:t>投标人</w:t>
            </w:r>
            <w:r>
              <w:rPr>
                <w:rFonts w:hint="eastAsia" w:ascii="宋体" w:hAnsi="Times New Roman" w:eastAsia="宋体" w:cs="Times New Roman"/>
              </w:rPr>
              <w:t>根据产品特性，自行选择运输及包装方式，保证产品到达之后各项功能完好无损，且符合国家相关包装及运输要求。</w:t>
            </w:r>
            <w:r>
              <w:rPr>
                <w:rFonts w:hint="eastAsia" w:ascii="宋体" w:hAnsi="Times New Roman" w:eastAsia="宋体" w:cs="Times New Roman"/>
                <w:lang w:eastAsia="zh-CN"/>
              </w:rPr>
              <w:t>投标人</w:t>
            </w:r>
            <w:r>
              <w:rPr>
                <w:rFonts w:hint="eastAsia" w:ascii="宋体" w:hAnsi="Times New Roman" w:eastAsia="宋体" w:cs="Times New Roman"/>
              </w:rPr>
              <w:t>应在投标报价表中标明完成本次招标所要求的货物、服务且验收合格的所有费用，即产品到达使用地点，达到正常使用条件下的所有费用，包括但不限于产品费、仓储保管费、售后服务费、运输费、税金、招标代理服务费等其他一切相关费用。投标报价表中标明本次货物、服务的所有单项价格和总价，任何有选择的报价将不予接受，否则按无效投标处理。</w:t>
            </w:r>
            <w:bookmarkEnd w:id="386"/>
            <w:bookmarkEnd w:id="387"/>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388" w:name="_Toc2259"/>
            <w:bookmarkStart w:id="389" w:name="_Toc6878"/>
            <w:r>
              <w:rPr>
                <w:rFonts w:hint="eastAsia" w:ascii="宋体" w:hAnsi="Times New Roman" w:eastAsia="宋体" w:cs="Times New Roman"/>
              </w:rPr>
              <w:t>2.</w:t>
            </w:r>
            <w:r>
              <w:rPr>
                <w:rFonts w:hint="eastAsia" w:ascii="宋体" w:hAnsi="Times New Roman" w:eastAsia="宋体" w:cs="Times New Roman"/>
                <w:lang w:eastAsia="zh-CN"/>
              </w:rPr>
              <w:t>投标人</w:t>
            </w:r>
            <w:r>
              <w:rPr>
                <w:rFonts w:hint="eastAsia" w:ascii="宋体" w:hAnsi="Times New Roman" w:eastAsia="宋体" w:cs="Times New Roman"/>
              </w:rPr>
              <w:t>应在合同规定的时间内完成该项工作。如因</w:t>
            </w:r>
            <w:r>
              <w:rPr>
                <w:rFonts w:hint="eastAsia" w:ascii="宋体" w:hAnsi="Times New Roman" w:eastAsia="宋体" w:cs="Times New Roman"/>
                <w:lang w:eastAsia="zh-CN"/>
              </w:rPr>
              <w:t>投标人</w:t>
            </w:r>
            <w:r>
              <w:rPr>
                <w:rFonts w:hint="eastAsia" w:ascii="宋体" w:hAnsi="Times New Roman" w:eastAsia="宋体" w:cs="Times New Roman"/>
              </w:rPr>
              <w:t>责任而造成延期，每超过一天按合同总价款的（5‰）支付采购人误期赔偿金，直至交货或提供服务结束为止，所有因延期而产生的费用由</w:t>
            </w:r>
            <w:r>
              <w:rPr>
                <w:rFonts w:hint="eastAsia" w:ascii="宋体" w:hAnsi="Times New Roman" w:eastAsia="宋体" w:cs="Times New Roman"/>
                <w:lang w:eastAsia="zh-CN"/>
              </w:rPr>
              <w:t>投标人</w:t>
            </w:r>
            <w:r>
              <w:rPr>
                <w:rFonts w:hint="eastAsia" w:ascii="宋体" w:hAnsi="Times New Roman" w:eastAsia="宋体" w:cs="Times New Roman"/>
              </w:rPr>
              <w:t>承担。</w:t>
            </w:r>
            <w:bookmarkEnd w:id="388"/>
            <w:bookmarkEnd w:id="38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rPr>
            </w:pPr>
            <w:bookmarkStart w:id="390" w:name="_Toc23926"/>
            <w:bookmarkStart w:id="391" w:name="_Toc24956"/>
            <w:r>
              <w:rPr>
                <w:rFonts w:hint="eastAsia"/>
              </w:rPr>
              <w:t>9</w:t>
            </w:r>
            <w:bookmarkEnd w:id="390"/>
            <w:bookmarkEnd w:id="391"/>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b/>
                <w:bCs/>
              </w:rPr>
            </w:pPr>
            <w:bookmarkStart w:id="392" w:name="_Toc10778"/>
            <w:bookmarkStart w:id="393" w:name="_Toc19360"/>
            <w:r>
              <w:rPr>
                <w:rFonts w:hint="eastAsia" w:ascii="宋体" w:hAnsi="Times New Roman" w:eastAsia="宋体" w:cs="Times New Roman"/>
                <w:b/>
                <w:bCs/>
              </w:rPr>
              <w:t>安装及调试：</w:t>
            </w:r>
            <w:bookmarkEnd w:id="392"/>
            <w:bookmarkEnd w:id="393"/>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394" w:name="_Toc24616"/>
            <w:bookmarkStart w:id="395" w:name="_Toc8630"/>
            <w:r>
              <w:rPr>
                <w:rFonts w:hint="eastAsia" w:ascii="宋体" w:hAnsi="Times New Roman" w:eastAsia="宋体" w:cs="Times New Roman"/>
              </w:rPr>
              <w:t>1. 供应商根据产品特性，自行选择运输及包装方式，承担一切运输费用，包括从生产厂到采购人指定交货地点所需的装卸、运输（含保险费）及其他一切费用。</w:t>
            </w:r>
            <w:bookmarkEnd w:id="394"/>
            <w:bookmarkEnd w:id="395"/>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396" w:name="_Toc10939"/>
            <w:bookmarkStart w:id="397" w:name="_Toc17123"/>
            <w:r>
              <w:rPr>
                <w:rFonts w:hint="eastAsia" w:ascii="宋体" w:hAnsi="Times New Roman" w:eastAsia="宋体" w:cs="Times New Roman"/>
              </w:rPr>
              <w:t>2.由供应商制定安装、调试及试运行的进度计划表。</w:t>
            </w:r>
            <w:bookmarkEnd w:id="396"/>
            <w:bookmarkEnd w:id="397"/>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398" w:name="_Toc11819"/>
            <w:bookmarkStart w:id="399" w:name="_Toc26319"/>
            <w:r>
              <w:rPr>
                <w:rFonts w:hint="eastAsia" w:ascii="宋体" w:hAnsi="Times New Roman" w:eastAsia="宋体" w:cs="Times New Roman"/>
              </w:rPr>
              <w:t>3.供应商应在合同规定的工期内完成该项工作。如因供应商责任而造成延期，每超过一天按合同总价款的（1‰）支付采购人误期赔偿金，直至交货或提供服务结束为止，所有因延期而产生的费用由供应商承担。</w:t>
            </w:r>
            <w:bookmarkEnd w:id="398"/>
            <w:bookmarkEnd w:id="399"/>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400" w:name="_Toc31003"/>
            <w:bookmarkStart w:id="401" w:name="_Toc5271"/>
            <w:r>
              <w:rPr>
                <w:rFonts w:hint="eastAsia" w:ascii="宋体" w:hAnsi="Times New Roman" w:eastAsia="宋体" w:cs="Times New Roman"/>
              </w:rPr>
              <w:t>4.安装和调试期间所发生的</w:t>
            </w:r>
            <w:r>
              <w:rPr>
                <w:rFonts w:hint="eastAsia" w:ascii="宋体" w:hAnsi="Times New Roman" w:eastAsia="宋体" w:cs="Times New Roman"/>
                <w:lang w:val="en-US" w:eastAsia="zh-CN"/>
              </w:rPr>
              <w:t>所有项目实施相关</w:t>
            </w:r>
            <w:r>
              <w:rPr>
                <w:rFonts w:hint="eastAsia" w:ascii="宋体" w:hAnsi="Times New Roman" w:eastAsia="宋体" w:cs="Times New Roman"/>
              </w:rPr>
              <w:t>费用均由供应商负责。</w:t>
            </w:r>
            <w:bookmarkEnd w:id="400"/>
            <w:bookmarkEnd w:id="401"/>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402" w:name="_Toc19148"/>
            <w:bookmarkStart w:id="403" w:name="_Toc116"/>
            <w:r>
              <w:rPr>
                <w:rFonts w:hint="eastAsia" w:ascii="宋体" w:hAnsi="Times New Roman" w:eastAsia="宋体" w:cs="Times New Roman"/>
              </w:rPr>
              <w:t>5.供应商应对安装调试、整改等实施过程的安全负责，如发生人身伤亡、财产损失的由供应商负责解决并承担全部责任。</w:t>
            </w:r>
            <w:bookmarkEnd w:id="402"/>
            <w:bookmarkEnd w:id="40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rPr>
            </w:pPr>
            <w:bookmarkStart w:id="404" w:name="_Toc26475"/>
            <w:bookmarkStart w:id="405" w:name="_Toc22445"/>
            <w:r>
              <w:rPr>
                <w:rFonts w:hint="eastAsia"/>
              </w:rPr>
              <w:t>10</w:t>
            </w:r>
            <w:bookmarkEnd w:id="404"/>
            <w:bookmarkEnd w:id="405"/>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406" w:name="_Toc6692"/>
            <w:bookmarkStart w:id="407" w:name="_Toc22789"/>
            <w:r>
              <w:rPr>
                <w:rFonts w:hint="eastAsia" w:ascii="宋体" w:hAnsi="Times New Roman" w:eastAsia="宋体" w:cs="Times New Roman"/>
                <w:b/>
                <w:bCs/>
              </w:rPr>
              <w:t>技术培训：</w:t>
            </w:r>
            <w:bookmarkEnd w:id="406"/>
            <w:bookmarkEnd w:id="407"/>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408" w:name="_Toc31139"/>
            <w:bookmarkStart w:id="409" w:name="_Toc28459"/>
            <w:r>
              <w:rPr>
                <w:rFonts w:hint="eastAsia" w:ascii="宋体" w:hAnsi="Times New Roman" w:eastAsia="宋体" w:cs="Times New Roman"/>
              </w:rPr>
              <w:t>应包括产品使用操作、保养、维修等培训内容。</w:t>
            </w:r>
            <w:r>
              <w:rPr>
                <w:rFonts w:hint="eastAsia" w:ascii="宋体" w:hAnsi="Times New Roman" w:eastAsia="宋体" w:cs="Times New Roman"/>
                <w:lang w:eastAsia="zh-CN"/>
              </w:rPr>
              <w:t>中标人</w:t>
            </w:r>
            <w:r>
              <w:rPr>
                <w:rFonts w:hint="eastAsia" w:ascii="宋体" w:hAnsi="Times New Roman" w:eastAsia="宋体" w:cs="Times New Roman"/>
              </w:rPr>
              <w:t>需按采购人要求的时间为采购人免费提供培训，培训服务以受培训人员熟练掌握相应技能为原则。在产品投入使用初期进行必要的跟踪指导，保障产品的稳定运行。</w:t>
            </w:r>
            <w:bookmarkEnd w:id="408"/>
            <w:bookmarkEnd w:id="40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rPr>
            </w:pPr>
            <w:bookmarkStart w:id="410" w:name="_Toc21426"/>
            <w:bookmarkStart w:id="411" w:name="_Toc15554"/>
            <w:r>
              <w:rPr>
                <w:rFonts w:hint="eastAsia"/>
              </w:rPr>
              <w:t>11</w:t>
            </w:r>
            <w:bookmarkEnd w:id="410"/>
            <w:bookmarkEnd w:id="411"/>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b/>
                <w:bCs/>
              </w:rPr>
            </w:pPr>
            <w:bookmarkStart w:id="412" w:name="_Toc2991"/>
            <w:bookmarkStart w:id="413" w:name="_Toc14774"/>
            <w:r>
              <w:rPr>
                <w:rFonts w:hint="eastAsia" w:ascii="宋体" w:hAnsi="Times New Roman" w:eastAsia="宋体" w:cs="Times New Roman"/>
                <w:b/>
                <w:bCs/>
              </w:rPr>
              <w:t>技术资料要求：</w:t>
            </w:r>
            <w:bookmarkEnd w:id="412"/>
            <w:bookmarkEnd w:id="413"/>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供应商应向采购人提供全套中文技术资料一套，其费用包括在投标价格中：</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1.完整的产品操作使用手册、说明书和维护、修理技术文件</w:t>
            </w:r>
            <w:r>
              <w:rPr>
                <w:rFonts w:hint="eastAsia" w:ascii="宋体" w:hAnsi="Times New Roman" w:eastAsia="宋体" w:cs="Times New Roman"/>
                <w:lang w:eastAsia="zh-CN"/>
              </w:rPr>
              <w:t>、</w:t>
            </w:r>
            <w:r>
              <w:rPr>
                <w:rFonts w:hint="eastAsia" w:ascii="宋体" w:hAnsi="Times New Roman" w:eastAsia="宋体" w:cs="Times New Roman"/>
              </w:rPr>
              <w:t>图纸（线路图、原理图等）、保修卡等；</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2.制造厂的检验、测试报告、产品检验合格证书</w:t>
            </w:r>
            <w:r>
              <w:rPr>
                <w:rFonts w:hint="eastAsia" w:ascii="宋体" w:hAnsi="Times New Roman" w:eastAsia="宋体" w:cs="Times New Roman"/>
                <w:lang w:eastAsia="zh-CN"/>
              </w:rPr>
              <w:t>、</w:t>
            </w:r>
            <w:r>
              <w:rPr>
                <w:rFonts w:hint="eastAsia" w:ascii="宋体" w:hAnsi="Times New Roman" w:eastAsia="宋体" w:cs="Times New Roman"/>
              </w:rPr>
              <w:t>质量保证书等文件验收时须一并提供；</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3.产品验收标准；</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4.技术说明书及必须的其它技术资料；</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5.系统安装，调试、维修线路图及原理图；</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6.零部件目录；</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7.报关单</w:t>
            </w:r>
            <w:r>
              <w:rPr>
                <w:rFonts w:hint="eastAsia" w:ascii="宋体" w:hAnsi="Times New Roman" w:eastAsia="宋体" w:cs="Times New Roman"/>
                <w:lang w:eastAsia="zh-CN"/>
              </w:rPr>
              <w:t>（如有）</w:t>
            </w:r>
            <w:r>
              <w:rPr>
                <w:rFonts w:hint="eastAsia" w:ascii="宋体" w:hAnsi="Times New Roman" w:eastAsia="宋体" w:cs="Times New Roman"/>
              </w:rPr>
              <w:t>；</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8.备品备件、易损件清单；</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9.项目完工后提供验收报告；</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414" w:name="_Toc128"/>
            <w:bookmarkStart w:id="415" w:name="_Toc20880"/>
            <w:r>
              <w:rPr>
                <w:rFonts w:hint="eastAsia" w:ascii="宋体" w:hAnsi="Times New Roman" w:eastAsia="宋体" w:cs="Times New Roman"/>
              </w:rPr>
              <w:t>10.合同中要求的其他文件资料。</w:t>
            </w:r>
            <w:bookmarkEnd w:id="414"/>
            <w:bookmarkEnd w:id="4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rPr>
            </w:pPr>
            <w:bookmarkStart w:id="416" w:name="_Toc15857"/>
            <w:bookmarkStart w:id="417" w:name="_Toc24135"/>
            <w:r>
              <w:rPr>
                <w:rFonts w:hint="eastAsia"/>
              </w:rPr>
              <w:t>12</w:t>
            </w:r>
            <w:bookmarkEnd w:id="416"/>
            <w:bookmarkEnd w:id="417"/>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b/>
                <w:bCs/>
              </w:rPr>
            </w:pPr>
            <w:bookmarkStart w:id="418" w:name="_Toc12251"/>
            <w:bookmarkStart w:id="419" w:name="_Toc25986"/>
            <w:r>
              <w:rPr>
                <w:rFonts w:hint="eastAsia" w:ascii="宋体" w:hAnsi="Times New Roman" w:eastAsia="宋体" w:cs="Times New Roman"/>
                <w:b/>
                <w:bCs/>
              </w:rPr>
              <w:t>验收：</w:t>
            </w:r>
            <w:bookmarkEnd w:id="418"/>
            <w:bookmarkEnd w:id="419"/>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由采购人组织相关单位、部门</w:t>
            </w:r>
            <w:r>
              <w:rPr>
                <w:rFonts w:hint="eastAsia" w:ascii="宋体" w:hAnsi="Times New Roman" w:eastAsia="宋体" w:cs="Times New Roman"/>
                <w:lang w:val="en-US" w:eastAsia="zh-CN"/>
              </w:rPr>
              <w:t>以及第三方监理公司</w:t>
            </w:r>
            <w:r>
              <w:rPr>
                <w:rFonts w:hint="eastAsia" w:ascii="宋体" w:hAnsi="Times New Roman" w:eastAsia="宋体" w:cs="Times New Roman"/>
              </w:rPr>
              <w:t>共同对项目进行整体验收。其内容包括</w:t>
            </w:r>
            <w:r>
              <w:rPr>
                <w:rFonts w:hint="eastAsia" w:ascii="宋体" w:hAnsi="Times New Roman" w:eastAsia="宋体" w:cs="Times New Roman"/>
                <w:lang w:eastAsia="zh-CN"/>
              </w:rPr>
              <w:t>整体</w:t>
            </w:r>
            <w:r>
              <w:rPr>
                <w:rFonts w:hint="eastAsia" w:ascii="宋体" w:hAnsi="Times New Roman" w:eastAsia="宋体" w:cs="Times New Roman"/>
              </w:rPr>
              <w:t>功能、技术指标、性能参数、运行速度、质量、安全性、稳定性、可扩展性等各项指标是否达到设计要求和标准、是否达到现行国家有关验收规范“合格”标准、是否按照采购人要求安装到位并部署上线、是否按照采购人要求进行调试、信息安全风险评估等进行逐项检查。</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1.</w:t>
            </w:r>
            <w:r>
              <w:rPr>
                <w:rFonts w:hint="eastAsia" w:ascii="宋体" w:hAnsi="Times New Roman" w:eastAsia="宋体" w:cs="Times New Roman"/>
                <w:lang w:eastAsia="zh-CN"/>
              </w:rPr>
              <w:t>技术</w:t>
            </w:r>
            <w:r>
              <w:rPr>
                <w:rFonts w:hint="eastAsia" w:ascii="宋体" w:hAnsi="Times New Roman" w:eastAsia="宋体" w:cs="Times New Roman"/>
              </w:rPr>
              <w:t>指标、性能参数最终验收达不到招标文件要求和投标文件承诺的，或在使用中发现采购人不能容忍的缺陷等，将视为产品验收不合格，供应商应在采购人要求的时间内无条件免费更换或退货。</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2.若发现供应商有弄虚作假的，在投标阶段故意或随意夸大产品或服务技术水平和性能，供应商应无条件退货，本合同解除，供应商赔偿采购人相应的损失。</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3.验收标准：按招标文件、投标文件、采购合同、澄清函、国家相关标准及</w:t>
            </w:r>
            <w:r>
              <w:rPr>
                <w:rFonts w:hint="eastAsia" w:ascii="宋体" w:hAnsi="Times New Roman" w:eastAsia="宋体" w:cs="Times New Roman"/>
                <w:lang w:eastAsia="zh-CN"/>
              </w:rPr>
              <w:t>行业</w:t>
            </w:r>
            <w:r>
              <w:rPr>
                <w:rFonts w:hint="eastAsia" w:ascii="宋体" w:hAnsi="Times New Roman" w:eastAsia="宋体" w:cs="Times New Roman"/>
              </w:rPr>
              <w:t>相关</w:t>
            </w:r>
            <w:r>
              <w:rPr>
                <w:rFonts w:hint="eastAsia" w:ascii="宋体" w:hAnsi="Times New Roman" w:eastAsia="宋体" w:cs="Times New Roman"/>
                <w:lang w:eastAsia="zh-CN"/>
              </w:rPr>
              <w:t>标准</w:t>
            </w:r>
            <w:r>
              <w:rPr>
                <w:rFonts w:hint="eastAsia" w:ascii="宋体" w:hAnsi="Times New Roman" w:eastAsia="宋体" w:cs="Times New Roman"/>
              </w:rPr>
              <w:t>文件等技术指标进行验收。各项指标均应符合验收标准及要求。</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4.验收合格后，填写验收单，双方签字生效。</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5.验收依据：</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5.1合同文本；</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5.2投标文件及澄清函、招标文件、需求规格说明书；</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5.3国家和行业制定的相应标准和规范、公开发布的相关文件；</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420" w:name="_Toc2331"/>
            <w:bookmarkStart w:id="421" w:name="_Toc8604"/>
            <w:r>
              <w:rPr>
                <w:rFonts w:hint="eastAsia" w:ascii="宋体" w:hAnsi="Times New Roman" w:eastAsia="宋体" w:cs="Times New Roman"/>
              </w:rPr>
              <w:t>5.4验收清单（注明</w:t>
            </w:r>
            <w:r>
              <w:rPr>
                <w:rFonts w:hint="eastAsia" w:ascii="宋体" w:hAnsi="Times New Roman" w:eastAsia="宋体" w:cs="Times New Roman"/>
                <w:lang w:eastAsia="zh-CN"/>
              </w:rPr>
              <w:t>产品</w:t>
            </w:r>
            <w:r>
              <w:rPr>
                <w:rFonts w:hint="eastAsia" w:ascii="宋体" w:hAnsi="Times New Roman" w:eastAsia="宋体" w:cs="Times New Roman"/>
              </w:rPr>
              <w:t>各部分内容、详细功能、性能、指标等参数；各部件模块的品名、数量、规格型号和原产地或生产厂家）</w:t>
            </w:r>
            <w:bookmarkEnd w:id="420"/>
            <w:bookmarkEnd w:id="4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rPr>
            </w:pPr>
            <w:bookmarkStart w:id="422" w:name="_Toc25426"/>
            <w:bookmarkStart w:id="423" w:name="_Toc28192"/>
            <w:r>
              <w:rPr>
                <w:rFonts w:hint="eastAsia"/>
              </w:rPr>
              <w:t>13</w:t>
            </w:r>
            <w:bookmarkEnd w:id="422"/>
            <w:bookmarkEnd w:id="423"/>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b/>
                <w:bCs/>
              </w:rPr>
            </w:pPr>
            <w:bookmarkStart w:id="424" w:name="_Toc20720"/>
            <w:bookmarkStart w:id="425" w:name="_Toc7316"/>
            <w:r>
              <w:rPr>
                <w:rFonts w:hint="eastAsia" w:ascii="宋体" w:hAnsi="Times New Roman" w:eastAsia="宋体" w:cs="Times New Roman"/>
                <w:b/>
                <w:bCs/>
              </w:rPr>
              <w:t>知识产权：</w:t>
            </w:r>
            <w:bookmarkEnd w:id="424"/>
            <w:bookmarkEnd w:id="425"/>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bookmarkStart w:id="426" w:name="_Toc18625"/>
            <w:bookmarkStart w:id="427" w:name="_Toc9358"/>
            <w:r>
              <w:rPr>
                <w:rFonts w:hint="eastAsia" w:ascii="宋体" w:hAnsi="Times New Roman" w:eastAsia="宋体" w:cs="Times New Roman"/>
                <w:lang w:eastAsia="zh-CN"/>
              </w:rPr>
              <w:t>投标人</w:t>
            </w:r>
            <w:r>
              <w:rPr>
                <w:rFonts w:hint="eastAsia" w:ascii="宋体" w:hAnsi="Times New Roman" w:eastAsia="宋体" w:cs="Times New Roman"/>
              </w:rPr>
              <w:t>应对所供产品、服务具有或已取得合法知识产权，</w:t>
            </w:r>
            <w:r>
              <w:rPr>
                <w:rFonts w:hint="eastAsia" w:ascii="宋体" w:hAnsi="Times New Roman" w:eastAsia="宋体" w:cs="Times New Roman"/>
                <w:lang w:eastAsia="zh-CN"/>
              </w:rPr>
              <w:t>投标人</w:t>
            </w:r>
            <w:r>
              <w:rPr>
                <w:rFonts w:hint="eastAsia" w:ascii="宋体" w:hAnsi="Times New Roman" w:eastAsia="宋体" w:cs="Times New Roman"/>
              </w:rPr>
              <w:t>应保证所供产品及服务不会出现因第三方提出侵犯其专利权、商标权或其它知识产权而引发法律或经济纠纷，否则由</w:t>
            </w:r>
            <w:r>
              <w:rPr>
                <w:rFonts w:hint="eastAsia" w:ascii="宋体" w:hAnsi="Times New Roman" w:eastAsia="宋体" w:cs="Times New Roman"/>
                <w:lang w:eastAsia="zh-CN"/>
              </w:rPr>
              <w:t>投标人</w:t>
            </w:r>
            <w:r>
              <w:rPr>
                <w:rFonts w:hint="eastAsia" w:ascii="宋体" w:hAnsi="Times New Roman" w:eastAsia="宋体" w:cs="Times New Roman"/>
              </w:rPr>
              <w:t>负责解决并承担全部责任；如因此影响到采购人的正常使用，采购人有权单方解除本合同，</w:t>
            </w:r>
            <w:r>
              <w:rPr>
                <w:rFonts w:hint="eastAsia" w:ascii="宋体" w:hAnsi="Times New Roman" w:eastAsia="宋体" w:cs="Times New Roman"/>
                <w:lang w:eastAsia="zh-CN"/>
              </w:rPr>
              <w:t>投标人</w:t>
            </w:r>
            <w:r>
              <w:rPr>
                <w:rFonts w:hint="eastAsia" w:ascii="宋体" w:hAnsi="Times New Roman" w:eastAsia="宋体" w:cs="Times New Roman"/>
              </w:rPr>
              <w:t>应无条件向采购人退回已收取的全部合同价款。</w:t>
            </w:r>
            <w:bookmarkEnd w:id="426"/>
            <w:bookmarkEnd w:id="4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12</w:t>
            </w:r>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b/>
                <w:bCs/>
              </w:rPr>
            </w:pPr>
            <w:r>
              <w:rPr>
                <w:rFonts w:hint="eastAsia" w:ascii="宋体" w:hAnsi="Times New Roman" w:eastAsia="宋体" w:cs="Times New Roman"/>
                <w:b/>
                <w:bCs/>
              </w:rPr>
              <w:t>违约责任：</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1、按《</w:t>
            </w:r>
            <w:r>
              <w:rPr>
                <w:rFonts w:hint="eastAsia" w:ascii="宋体" w:hAnsi="Times New Roman" w:eastAsia="宋体" w:cs="Times New Roman"/>
                <w:lang w:eastAsia="zh-CN"/>
              </w:rPr>
              <w:t>民法通则</w:t>
            </w:r>
            <w:r>
              <w:rPr>
                <w:rFonts w:hint="eastAsia" w:ascii="宋体" w:hAnsi="Times New Roman" w:eastAsia="宋体" w:cs="Times New Roman"/>
              </w:rPr>
              <w:t>》中的相关条款执行。</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lang w:val="en-US" w:eastAsia="zh-CN"/>
              </w:rPr>
            </w:pPr>
            <w:r>
              <w:rPr>
                <w:rFonts w:hint="eastAsia" w:ascii="宋体" w:hAnsi="Times New Roman" w:eastAsia="宋体" w:cs="Times New Roman"/>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Times New Roman" w:eastAsia="宋体" w:cs="Times New Roman"/>
                <w:lang w:eastAsia="zh-CN"/>
              </w:rPr>
              <w:t>民法通则</w:t>
            </w:r>
            <w:r>
              <w:rPr>
                <w:rFonts w:hint="eastAsia" w:ascii="宋体" w:hAnsi="Times New Roman" w:eastAsia="宋体" w:cs="Times New Roman"/>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755" w:type="pct"/>
            <w:vAlign w:val="center"/>
          </w:tcPr>
          <w:p>
            <w:pPr>
              <w:keepNext w:val="0"/>
              <w:keepLines w:val="0"/>
              <w:pageBreakBefore w:val="0"/>
              <w:kinsoku/>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13</w:t>
            </w:r>
          </w:p>
        </w:tc>
        <w:tc>
          <w:tcPr>
            <w:tcW w:w="4244" w:type="pct"/>
            <w:vAlign w:val="center"/>
          </w:tcPr>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政府采购合同：</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lang w:eastAsia="zh-CN"/>
              </w:rPr>
            </w:pPr>
            <w:r>
              <w:rPr>
                <w:rFonts w:hint="eastAsia" w:ascii="宋体" w:hAnsi="Times New Roman" w:eastAsia="宋体" w:cs="Times New Roman"/>
              </w:rPr>
              <w:t>政府采购合同适用</w:t>
            </w:r>
            <w:r>
              <w:rPr>
                <w:rFonts w:hint="eastAsia" w:ascii="宋体" w:hAnsi="Times New Roman" w:eastAsia="宋体" w:cs="Times New Roman"/>
                <w:lang w:eastAsia="zh-CN"/>
              </w:rPr>
              <w:t>民法通则</w:t>
            </w:r>
            <w:r>
              <w:rPr>
                <w:rFonts w:hint="eastAsia" w:ascii="宋体" w:hAnsi="Times New Roman" w:eastAsia="宋体" w:cs="Times New Roman"/>
              </w:rPr>
              <w:t>。采购人和供应商之间的权利和义务，应当按照平等、自愿的原则以合同方式约定。</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采购人可以委托采购代理机构代表其与供应商签订政府采购合同。由采购代理机构以采购人名义签订合同的，应当提交采购人的授权委托书，作为合同附件。</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政府采购合同应当采用书面形式。</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lang w:eastAsia="zh-CN"/>
              </w:rPr>
            </w:pPr>
            <w:r>
              <w:rPr>
                <w:rFonts w:hint="eastAsia" w:ascii="宋体" w:hAnsi="Times New Roman" w:eastAsia="宋体" w:cs="Times New Roman"/>
              </w:rPr>
              <w:t>国务院政府采购监督管理部门应当会同国务院有关部门，规定政府采购合同必须具备的条款。</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lang w:eastAsia="zh-CN"/>
              </w:rPr>
            </w:pPr>
            <w:r>
              <w:rPr>
                <w:rFonts w:hint="eastAsia" w:ascii="宋体" w:hAnsi="Times New Roman" w:eastAsia="宋体" w:cs="Times New Roman"/>
              </w:rPr>
              <w:t>采购人与中标、成交供应商应当在中标、中标通知书发出之日起三十日内，按照采购文件确定的事项签订政府采购合同。</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rPr>
            </w:pPr>
            <w:r>
              <w:rPr>
                <w:rFonts w:hint="eastAsia" w:ascii="宋体" w:hAnsi="Times New Roman" w:eastAsia="宋体" w:cs="Times New Roman"/>
              </w:rPr>
              <w:t>中标、中标通知书对采购人和中标、成交供应商均具有法律效力。中标、中标通知书发出后，采购人改变中标、成交结果的，或者中标、成交供应商放弃中标、成交项目的，应当依法承担法律责任。</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lang w:eastAsia="zh-CN"/>
              </w:rPr>
            </w:pPr>
            <w:r>
              <w:rPr>
                <w:rFonts w:hint="eastAsia" w:ascii="宋体" w:hAnsi="Times New Roman" w:eastAsia="宋体" w:cs="Times New Roman"/>
              </w:rPr>
              <w:t>政府采购项目的采购合同自签订之日起七个工作日内，采购人应当将合同副本报同级政府采购监督管理部门和有关部门备案。</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lang w:eastAsia="zh-CN"/>
              </w:rPr>
            </w:pPr>
            <w:r>
              <w:rPr>
                <w:rFonts w:hint="eastAsia" w:ascii="宋体" w:hAnsi="Times New Roman" w:eastAsia="宋体" w:cs="Times New Roman"/>
              </w:rPr>
              <w:t>经采购人同意，中标、成交供应商可以依法采取分包方式履行合同。政府采购合同分包履行的，中标、成交供应商就采购项目和分包项目向采购人负责，分包供应商就分包项目承担责任。</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lang w:eastAsia="zh-CN"/>
              </w:rPr>
            </w:pPr>
            <w:r>
              <w:rPr>
                <w:rFonts w:hint="eastAsia" w:ascii="宋体" w:hAnsi="Times New Roman" w:eastAsia="宋体" w:cs="Times New Roman"/>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lang w:eastAsia="zh-CN"/>
              </w:rPr>
            </w:pPr>
            <w:r>
              <w:rPr>
                <w:rFonts w:hint="eastAsia" w:ascii="宋体" w:hAnsi="Times New Roman" w:eastAsia="宋体" w:cs="Times New Roman"/>
              </w:rPr>
              <w:t>政府采购合同的双方当事人不得擅自变更、中止或者终止合同。</w:t>
            </w:r>
          </w:p>
          <w:p>
            <w:pPr>
              <w:keepNext w:val="0"/>
              <w:keepLines w:val="0"/>
              <w:pageBreakBefore w:val="0"/>
              <w:kinsoku/>
              <w:overflowPunct/>
              <w:topLinePunct w:val="0"/>
              <w:autoSpaceDE/>
              <w:autoSpaceDN/>
              <w:bidi w:val="0"/>
              <w:adjustRightInd/>
              <w:snapToGrid/>
              <w:spacing w:line="360" w:lineRule="auto"/>
              <w:jc w:val="left"/>
              <w:textAlignment w:val="auto"/>
              <w:rPr>
                <w:rFonts w:hint="eastAsia" w:ascii="宋体" w:hAnsi="Times New Roman" w:eastAsia="宋体" w:cs="Times New Roman"/>
                <w:lang w:val="en-US" w:eastAsia="zh-CN"/>
              </w:rPr>
            </w:pPr>
            <w:r>
              <w:rPr>
                <w:rFonts w:hint="eastAsia" w:ascii="宋体" w:hAnsi="Times New Roman" w:eastAsia="宋体" w:cs="Times New Roman"/>
              </w:rPr>
              <w:t>政府采购合同继续履行将损害国家利益和社会公共利益的，双方当事人应当变更、中止或者终止合同。有过错的一方应当承担赔偿责任，双方都有过错的，各自承担相应的责任。</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center"/>
        <w:textAlignment w:val="auto"/>
        <w:rPr>
          <w:rFonts w:hAnsi="宋体" w:cs="宋体"/>
          <w:b/>
          <w:bCs/>
          <w:color w:val="auto"/>
          <w:szCs w:val="24"/>
          <w:highlight w:val="none"/>
        </w:rPr>
      </w:pPr>
      <w:r>
        <w:rPr>
          <w:rFonts w:hint="eastAsia" w:hAnsi="宋体" w:cs="宋体"/>
          <w:color w:val="auto"/>
          <w:highlight w:val="none"/>
        </w:rPr>
        <w:br w:type="page"/>
      </w:r>
      <w:bookmarkStart w:id="428" w:name="_Toc21628"/>
      <w:r>
        <w:rPr>
          <w:rFonts w:hint="eastAsia" w:ascii="黑体" w:eastAsia="黑体"/>
          <w:b/>
          <w:color w:val="auto"/>
          <w:sz w:val="32"/>
          <w:szCs w:val="32"/>
          <w:highlight w:val="none"/>
        </w:rPr>
        <w:t>政府采购项目</w:t>
      </w:r>
      <w:r>
        <w:rPr>
          <w:rFonts w:hint="eastAsia" w:hAnsi="宋体" w:cs="宋体"/>
          <w:b/>
          <w:bCs/>
          <w:color w:val="auto"/>
          <w:sz w:val="28"/>
          <w:szCs w:val="28"/>
          <w:highlight w:val="none"/>
        </w:rPr>
        <w:t>（</w:t>
      </w:r>
      <w:r>
        <w:rPr>
          <w:rFonts w:hint="eastAsia" w:ascii="黑体" w:eastAsia="黑体"/>
          <w:b/>
          <w:color w:val="auto"/>
          <w:sz w:val="32"/>
          <w:szCs w:val="32"/>
          <w:highlight w:val="none"/>
        </w:rPr>
        <w:t>仅供参考）</w:t>
      </w:r>
      <w:bookmarkEnd w:id="4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eastAsia="宋体" w:cs="宋体"/>
          <w:b/>
          <w:bCs/>
          <w:color w:val="auto"/>
          <w:sz w:val="72"/>
          <w:szCs w:val="72"/>
          <w:highlight w:val="none"/>
          <w:lang w:eastAsia="zh-CN"/>
        </w:rPr>
      </w:pPr>
      <w:r>
        <w:rPr>
          <w:rFonts w:hint="eastAsia" w:ascii="宋体" w:hAnsi="Times New Roman" w:eastAsia="宋体" w:cs="Times New Roman"/>
          <w:b/>
          <w:bCs w:val="0"/>
          <w:sz w:val="72"/>
          <w:szCs w:val="72"/>
          <w:lang w:eastAsia="zh-CN"/>
        </w:rPr>
        <w:t>汉中市</w:t>
      </w:r>
      <w:r>
        <w:rPr>
          <w:rFonts w:hint="eastAsia" w:hAnsi="宋体" w:cs="宋体"/>
          <w:b/>
          <w:bCs/>
          <w:color w:val="auto"/>
          <w:sz w:val="72"/>
          <w:szCs w:val="72"/>
          <w:highlight w:val="none"/>
          <w:lang w:eastAsia="zh-CN"/>
        </w:rPr>
        <w:t>人民医院虚拟化扩容采购项目</w:t>
      </w: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textAlignment w:val="auto"/>
        <w:rPr>
          <w:rFonts w:hAnsi="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044" w:firstLineChars="200"/>
        <w:jc w:val="center"/>
        <w:textAlignment w:val="auto"/>
        <w:rPr>
          <w:rFonts w:hAnsi="宋体" w:cs="宋体"/>
          <w:b/>
          <w:bCs/>
          <w:color w:val="auto"/>
          <w:sz w:val="52"/>
          <w:szCs w:val="52"/>
          <w:highlight w:val="none"/>
        </w:rPr>
      </w:pPr>
      <w:r>
        <w:rPr>
          <w:rFonts w:hint="eastAsia" w:ascii="宋体" w:hAnsi="Times New Roman" w:eastAsia="宋体" w:cs="Times New Roman"/>
          <w:b/>
          <w:bCs w:val="0"/>
          <w:sz w:val="52"/>
          <w:szCs w:val="52"/>
        </w:rPr>
        <w:t>供货</w:t>
      </w:r>
      <w:r>
        <w:rPr>
          <w:rFonts w:hint="eastAsia" w:hAnsi="宋体" w:cs="宋体"/>
          <w:b/>
          <w:bCs/>
          <w:color w:val="auto"/>
          <w:sz w:val="52"/>
          <w:szCs w:val="52"/>
          <w:highlight w:val="none"/>
        </w:rPr>
        <w:t>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Ansi="宋体" w:cs="宋体"/>
          <w:b/>
          <w:bCs w:val="0"/>
          <w:color w:val="auto"/>
          <w:sz w:val="32"/>
          <w:szCs w:val="32"/>
          <w:highlight w:val="none"/>
        </w:rPr>
      </w:pPr>
      <w:r>
        <w:rPr>
          <w:rFonts w:hint="eastAsia" w:hAnsi="宋体" w:cs="宋体"/>
          <w:b/>
          <w:bCs w:val="0"/>
          <w:color w:val="auto"/>
          <w:sz w:val="32"/>
          <w:szCs w:val="32"/>
          <w:highlight w:val="none"/>
        </w:rPr>
        <w:t>（</w:t>
      </w:r>
      <w:r>
        <w:rPr>
          <w:rFonts w:hint="eastAsia" w:ascii="宋体" w:hAnsi="Times New Roman" w:eastAsia="宋体" w:cs="Times New Roman"/>
          <w:b/>
          <w:bCs w:val="0"/>
          <w:sz w:val="32"/>
          <w:szCs w:val="32"/>
        </w:rPr>
        <w:t>示范</w:t>
      </w:r>
      <w:r>
        <w:rPr>
          <w:rFonts w:hint="eastAsia" w:hAnsi="宋体" w:cs="宋体"/>
          <w:b/>
          <w:bCs w:val="0"/>
          <w:color w:val="auto"/>
          <w:sz w:val="32"/>
          <w:szCs w:val="32"/>
          <w:highlight w:val="none"/>
        </w:rPr>
        <w:t>文本）</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Times New Roman" w:eastAsia="宋体" w:cs="Times New Roman"/>
          <w:b/>
          <w:bCs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Times New Roman" w:eastAsia="宋体" w:cs="Times New Roman"/>
          <w:b/>
          <w:bCs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Ansi="宋体" w:cs="宋体"/>
          <w:b/>
          <w:bCs w:val="0"/>
          <w:color w:val="auto"/>
          <w:sz w:val="32"/>
          <w:szCs w:val="32"/>
          <w:highlight w:val="none"/>
        </w:rPr>
      </w:pPr>
      <w:r>
        <w:rPr>
          <w:rFonts w:hint="eastAsia" w:ascii="宋体" w:hAnsi="Times New Roman" w:eastAsia="宋体" w:cs="Times New Roman"/>
          <w:b/>
          <w:bCs w:val="0"/>
          <w:sz w:val="32"/>
          <w:szCs w:val="32"/>
        </w:rPr>
        <w:t>采购</w:t>
      </w:r>
      <w:r>
        <w:rPr>
          <w:rFonts w:hint="eastAsia" w:hAnsi="宋体" w:cs="宋体"/>
          <w:b/>
          <w:bCs w:val="0"/>
          <w:color w:val="auto"/>
          <w:sz w:val="32"/>
          <w:szCs w:val="32"/>
          <w:highlight w:val="none"/>
        </w:rPr>
        <w:t>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Ansi="宋体" w:cs="宋体"/>
          <w:b/>
          <w:bCs w:val="0"/>
          <w:color w:val="auto"/>
          <w:sz w:val="32"/>
          <w:szCs w:val="32"/>
          <w:highlight w:val="none"/>
        </w:rPr>
      </w:pPr>
      <w:r>
        <w:rPr>
          <w:rFonts w:hint="eastAsia" w:hAnsi="宋体" w:cs="宋体"/>
          <w:b/>
          <w:bCs w:val="0"/>
          <w:color w:val="auto"/>
          <w:sz w:val="32"/>
          <w:szCs w:val="32"/>
          <w:highlight w:val="none"/>
          <w:lang w:eastAsia="zh-CN"/>
        </w:rPr>
        <w:t>投标人</w:t>
      </w:r>
      <w:r>
        <w:rPr>
          <w:rFonts w:hint="eastAsia" w:hAnsi="宋体" w:cs="宋体"/>
          <w:b/>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Ansi="宋体" w:cs="宋体"/>
          <w:b/>
          <w:bCs w:val="0"/>
          <w:color w:val="auto"/>
          <w:sz w:val="32"/>
          <w:szCs w:val="32"/>
          <w:highlight w:val="none"/>
        </w:rPr>
      </w:pPr>
      <w:r>
        <w:rPr>
          <w:rFonts w:hint="eastAsia" w:ascii="宋体" w:hAnsi="Times New Roman" w:eastAsia="宋体" w:cs="Times New Roman"/>
          <w:b/>
          <w:bCs w:val="0"/>
          <w:sz w:val="32"/>
          <w:szCs w:val="32"/>
        </w:rPr>
        <w:t>日  期</w:t>
      </w:r>
      <w:r>
        <w:rPr>
          <w:rFonts w:hint="eastAsia" w:hAnsi="宋体" w:cs="宋体"/>
          <w:b/>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黑体" w:eastAsia="黑体"/>
          <w:b/>
          <w:color w:val="auto"/>
          <w:sz w:val="36"/>
          <w:szCs w:val="36"/>
          <w:highlight w:val="none"/>
        </w:rPr>
      </w:pPr>
      <w:r>
        <w:rPr>
          <w:rFonts w:hint="eastAsia" w:ascii="宋体" w:hAnsi="Times New Roman" w:eastAsia="宋体" w:cs="Times New Roman"/>
        </w:rPr>
        <w:br w:type="page"/>
      </w:r>
      <w:bookmarkStart w:id="429" w:name="_Toc26298"/>
      <w:r>
        <w:rPr>
          <w:rFonts w:hint="eastAsia" w:ascii="黑体" w:eastAsia="黑体"/>
          <w:b/>
          <w:color w:val="auto"/>
          <w:sz w:val="36"/>
          <w:szCs w:val="36"/>
          <w:highlight w:val="none"/>
        </w:rPr>
        <w:t>供 货 合 同</w:t>
      </w:r>
      <w:bookmarkEnd w:id="4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 xml:space="preserve"> ，法定代表人为：</w:t>
      </w:r>
      <w:r>
        <w:rPr>
          <w:rFonts w:hint="eastAsia"/>
          <w:color w:val="auto"/>
          <w:highlight w:val="none"/>
          <w:u w:val="single"/>
        </w:rPr>
        <w:t xml:space="preserve">         </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，其注册登记地址为：</w:t>
      </w:r>
      <w:r>
        <w:rPr>
          <w:rFonts w:hint="eastAsia"/>
          <w:color w:val="auto"/>
          <w:highlight w:val="none"/>
          <w:u w:val="single"/>
        </w:rPr>
        <w:t xml:space="preserve">        </w:t>
      </w:r>
      <w:r>
        <w:rPr>
          <w:rFonts w:hint="eastAsia"/>
          <w:color w:val="auto"/>
          <w:highlight w:val="none"/>
        </w:rPr>
        <w:t>，法定代表人为：</w:t>
      </w:r>
      <w:r>
        <w:rPr>
          <w:rFonts w:hint="eastAsia"/>
          <w:color w:val="auto"/>
          <w:highlight w:val="none"/>
          <w:u w:val="single"/>
        </w:rPr>
        <w:t xml:space="preserve">        </w:t>
      </w:r>
      <w:r>
        <w:rPr>
          <w:rFonts w:hint="eastAsia"/>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u w:val="single"/>
        </w:rPr>
      </w:pPr>
      <w:r>
        <w:rPr>
          <w:rFonts w:hint="eastAsia"/>
          <w:color w:val="auto"/>
          <w:highlight w:val="none"/>
        </w:rPr>
        <w:t>甲、乙双方基于公平、公正、平等的原则，依据《中华人民共和国</w:t>
      </w:r>
      <w:r>
        <w:rPr>
          <w:rFonts w:hint="eastAsia"/>
          <w:color w:val="auto"/>
          <w:highlight w:val="none"/>
          <w:lang w:eastAsia="zh-CN"/>
        </w:rPr>
        <w:t>民法通则</w:t>
      </w:r>
      <w:r>
        <w:rPr>
          <w:rFonts w:hint="eastAsia"/>
          <w:color w:val="auto"/>
          <w:highlight w:val="none"/>
        </w:rPr>
        <w:t>》、《中华人民共和国民法通则》之相关规定，现经甲、乙双方友好协商，就甲方购买乙方产品设备事宜，达成以下合同条款：</w:t>
      </w:r>
    </w:p>
    <w:tbl>
      <w:tblPr>
        <w:tblStyle w:val="22"/>
        <w:tblpPr w:leftFromText="180" w:rightFromText="180" w:vertAnchor="text" w:horzAnchor="margin" w:tblpX="1" w:tblpY="9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210"/>
        <w:gridCol w:w="715"/>
        <w:gridCol w:w="715"/>
        <w:gridCol w:w="715"/>
        <w:gridCol w:w="1952"/>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14" w:type="pct"/>
          </w:tcPr>
          <w:p>
            <w:pPr>
              <w:bidi w:val="0"/>
              <w:rPr>
                <w:b/>
                <w:bCs/>
              </w:rPr>
            </w:pPr>
            <w:bookmarkStart w:id="430" w:name="_Toc30603"/>
            <w:bookmarkStart w:id="431" w:name="_Toc30771"/>
            <w:r>
              <w:rPr>
                <w:rFonts w:hint="eastAsia"/>
                <w:b/>
                <w:bCs/>
              </w:rPr>
              <w:t>产品名称</w:t>
            </w:r>
            <w:bookmarkEnd w:id="430"/>
            <w:bookmarkEnd w:id="431"/>
          </w:p>
        </w:tc>
        <w:tc>
          <w:tcPr>
            <w:tcW w:w="714" w:type="pct"/>
          </w:tcPr>
          <w:p>
            <w:pPr>
              <w:bidi w:val="0"/>
              <w:rPr>
                <w:b/>
                <w:bCs/>
              </w:rPr>
            </w:pPr>
            <w:bookmarkStart w:id="432" w:name="_Toc30022"/>
            <w:bookmarkStart w:id="433" w:name="_Toc5894"/>
            <w:r>
              <w:rPr>
                <w:rFonts w:hint="eastAsia"/>
                <w:b/>
                <w:bCs/>
              </w:rPr>
              <w:t>产品参数</w:t>
            </w:r>
            <w:bookmarkEnd w:id="432"/>
            <w:bookmarkEnd w:id="433"/>
          </w:p>
        </w:tc>
        <w:tc>
          <w:tcPr>
            <w:tcW w:w="422" w:type="pct"/>
          </w:tcPr>
          <w:p>
            <w:pPr>
              <w:bidi w:val="0"/>
              <w:rPr>
                <w:b/>
                <w:bCs/>
              </w:rPr>
            </w:pPr>
            <w:bookmarkStart w:id="434" w:name="_Toc20532"/>
            <w:bookmarkStart w:id="435" w:name="_Toc16534"/>
            <w:r>
              <w:rPr>
                <w:rFonts w:hint="eastAsia"/>
                <w:b/>
                <w:bCs/>
              </w:rPr>
              <w:t>产地</w:t>
            </w:r>
            <w:bookmarkEnd w:id="434"/>
            <w:bookmarkEnd w:id="435"/>
          </w:p>
        </w:tc>
        <w:tc>
          <w:tcPr>
            <w:tcW w:w="422" w:type="pct"/>
          </w:tcPr>
          <w:p>
            <w:pPr>
              <w:bidi w:val="0"/>
              <w:rPr>
                <w:b/>
                <w:bCs/>
              </w:rPr>
            </w:pPr>
            <w:bookmarkStart w:id="436" w:name="_Toc23164"/>
            <w:bookmarkStart w:id="437" w:name="_Toc1536"/>
            <w:r>
              <w:rPr>
                <w:rFonts w:hint="eastAsia"/>
                <w:b/>
                <w:bCs/>
              </w:rPr>
              <w:t>单位</w:t>
            </w:r>
            <w:bookmarkEnd w:id="436"/>
            <w:bookmarkEnd w:id="437"/>
          </w:p>
        </w:tc>
        <w:tc>
          <w:tcPr>
            <w:tcW w:w="422" w:type="pct"/>
          </w:tcPr>
          <w:p>
            <w:pPr>
              <w:bidi w:val="0"/>
              <w:rPr>
                <w:b/>
                <w:bCs/>
              </w:rPr>
            </w:pPr>
            <w:bookmarkStart w:id="438" w:name="_Toc25629"/>
            <w:bookmarkStart w:id="439" w:name="_Toc13028"/>
            <w:r>
              <w:rPr>
                <w:rFonts w:hint="eastAsia"/>
                <w:b/>
                <w:bCs/>
              </w:rPr>
              <w:t>数量</w:t>
            </w:r>
            <w:bookmarkEnd w:id="438"/>
            <w:bookmarkEnd w:id="439"/>
          </w:p>
        </w:tc>
        <w:tc>
          <w:tcPr>
            <w:tcW w:w="1152" w:type="pct"/>
          </w:tcPr>
          <w:p>
            <w:pPr>
              <w:bidi w:val="0"/>
              <w:rPr>
                <w:b/>
                <w:bCs/>
              </w:rPr>
            </w:pPr>
            <w:bookmarkStart w:id="440" w:name="_Toc10881"/>
            <w:bookmarkStart w:id="441" w:name="_Toc8384"/>
            <w:r>
              <w:rPr>
                <w:rFonts w:hint="eastAsia"/>
                <w:b/>
                <w:bCs/>
              </w:rPr>
              <w:t>单价（人民币）</w:t>
            </w:r>
            <w:bookmarkEnd w:id="440"/>
            <w:bookmarkEnd w:id="441"/>
          </w:p>
        </w:tc>
        <w:tc>
          <w:tcPr>
            <w:tcW w:w="1154" w:type="pct"/>
          </w:tcPr>
          <w:p>
            <w:pPr>
              <w:bidi w:val="0"/>
              <w:rPr>
                <w:b/>
                <w:bCs/>
              </w:rPr>
            </w:pPr>
            <w:bookmarkStart w:id="442" w:name="_Toc9584"/>
            <w:bookmarkStart w:id="443" w:name="_Toc10170"/>
            <w:r>
              <w:rPr>
                <w:rFonts w:hint="eastAsia"/>
                <w:b/>
                <w:bCs/>
              </w:rPr>
              <w:t>总价（人民币）</w:t>
            </w:r>
            <w:bookmarkEnd w:id="442"/>
            <w:bookmarkEnd w:id="4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4" w:type="pct"/>
          </w:tcPr>
          <w:p>
            <w:pPr>
              <w:bidi w:val="0"/>
              <w:rPr>
                <w:b/>
                <w:bCs/>
              </w:rPr>
            </w:pPr>
          </w:p>
        </w:tc>
        <w:tc>
          <w:tcPr>
            <w:tcW w:w="714" w:type="pct"/>
          </w:tcPr>
          <w:p>
            <w:pPr>
              <w:bidi w:val="0"/>
              <w:rPr>
                <w:b/>
                <w:bCs/>
              </w:rPr>
            </w:pPr>
          </w:p>
        </w:tc>
        <w:tc>
          <w:tcPr>
            <w:tcW w:w="422" w:type="pct"/>
          </w:tcPr>
          <w:p>
            <w:pPr>
              <w:bidi w:val="0"/>
              <w:rPr>
                <w:b/>
                <w:bCs/>
              </w:rPr>
            </w:pPr>
          </w:p>
        </w:tc>
        <w:tc>
          <w:tcPr>
            <w:tcW w:w="422" w:type="pct"/>
          </w:tcPr>
          <w:p>
            <w:pPr>
              <w:bidi w:val="0"/>
              <w:rPr>
                <w:b/>
                <w:bCs/>
              </w:rPr>
            </w:pPr>
          </w:p>
        </w:tc>
        <w:tc>
          <w:tcPr>
            <w:tcW w:w="422" w:type="pct"/>
          </w:tcPr>
          <w:p>
            <w:pPr>
              <w:bidi w:val="0"/>
              <w:rPr>
                <w:b/>
                <w:bCs/>
              </w:rPr>
            </w:pPr>
          </w:p>
        </w:tc>
        <w:tc>
          <w:tcPr>
            <w:tcW w:w="1152" w:type="pct"/>
            <w:vAlign w:val="center"/>
          </w:tcPr>
          <w:p>
            <w:pPr>
              <w:bidi w:val="0"/>
              <w:rPr>
                <w:b/>
                <w:bCs/>
              </w:rPr>
            </w:pPr>
            <w:bookmarkStart w:id="444" w:name="_Toc10002"/>
            <w:bookmarkStart w:id="445" w:name="_Toc21001"/>
            <w:r>
              <w:rPr>
                <w:rFonts w:hint="eastAsia"/>
                <w:b/>
                <w:bCs/>
              </w:rPr>
              <w:t>￥</w:t>
            </w:r>
            <w:bookmarkEnd w:id="444"/>
            <w:bookmarkEnd w:id="445"/>
          </w:p>
        </w:tc>
        <w:tc>
          <w:tcPr>
            <w:tcW w:w="1154" w:type="pct"/>
            <w:vAlign w:val="center"/>
          </w:tcPr>
          <w:p>
            <w:pPr>
              <w:bidi w:val="0"/>
              <w:rPr>
                <w:b/>
                <w:bCs/>
              </w:rPr>
            </w:pPr>
            <w:bookmarkStart w:id="446" w:name="_Toc6768"/>
            <w:bookmarkStart w:id="447" w:name="_Toc7413"/>
            <w:r>
              <w:rPr>
                <w:rFonts w:hint="eastAsia"/>
                <w:b/>
                <w:bCs/>
              </w:rPr>
              <w:t>￥</w:t>
            </w:r>
            <w:bookmarkEnd w:id="446"/>
            <w:bookmarkEnd w:id="4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7"/>
          </w:tcPr>
          <w:p>
            <w:pPr>
              <w:bidi w:val="0"/>
              <w:rPr>
                <w:b/>
                <w:bCs/>
              </w:rPr>
            </w:pPr>
            <w:bookmarkStart w:id="448" w:name="_Toc2044"/>
            <w:bookmarkStart w:id="449" w:name="_Toc10448"/>
            <w:r>
              <w:rPr>
                <w:rFonts w:hint="eastAsia"/>
                <w:b/>
                <w:bCs/>
              </w:rPr>
              <w:t>合计（大写）：人民币          元整；                （小写）：￥</w:t>
            </w:r>
            <w:bookmarkEnd w:id="448"/>
            <w:bookmarkEnd w:id="4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000" w:type="pct"/>
            <w:gridSpan w:val="7"/>
          </w:tcPr>
          <w:p>
            <w:pPr>
              <w:bidi w:val="0"/>
              <w:rPr>
                <w:b/>
                <w:bCs/>
              </w:rPr>
            </w:pPr>
            <w:r>
              <w:rPr>
                <w:rFonts w:hint="eastAsia"/>
                <w:b/>
                <w:bCs/>
              </w:rPr>
              <w:t xml:space="preserve"> </w:t>
            </w:r>
            <w:bookmarkStart w:id="450" w:name="_Toc27058"/>
            <w:bookmarkStart w:id="451" w:name="_Toc20020"/>
            <w:r>
              <w:rPr>
                <w:rFonts w:hint="eastAsia"/>
                <w:b/>
                <w:bCs/>
              </w:rPr>
              <w:t>备注：</w:t>
            </w:r>
            <w:bookmarkEnd w:id="450"/>
            <w:bookmarkEnd w:id="451"/>
            <w:r>
              <w:rPr>
                <w:rFonts w:hint="eastAsia"/>
                <w:b/>
                <w:bCs/>
              </w:rPr>
              <w:t xml:space="preserve">                                                               </w:t>
            </w:r>
          </w:p>
          <w:p>
            <w:pPr>
              <w:bidi w:val="0"/>
              <w:rPr>
                <w:b/>
                <w:bCs/>
              </w:rPr>
            </w:pPr>
            <w:r>
              <w:rPr>
                <w:rFonts w:hint="eastAsia"/>
                <w:b/>
                <w:bCs/>
              </w:rPr>
              <w:t xml:space="preserve">                                                                      </w:t>
            </w:r>
          </w:p>
        </w:tc>
      </w:tr>
    </w:tbl>
    <w:p>
      <w:pPr>
        <w:bidi w:val="0"/>
        <w:jc w:val="left"/>
        <w:rPr>
          <w:rFonts w:hint="eastAsia" w:ascii="宋体" w:hAnsi="宋体" w:eastAsia="宋体" w:cs="宋体"/>
          <w:b/>
          <w:color w:val="auto"/>
          <w:sz w:val="28"/>
          <w:szCs w:val="28"/>
          <w:highlight w:val="none"/>
        </w:rPr>
      </w:pPr>
      <w:bookmarkStart w:id="452" w:name="_Toc2460"/>
      <w:r>
        <w:rPr>
          <w:rFonts w:hint="eastAsia" w:ascii="宋体" w:hAnsi="宋体" w:eastAsia="宋体" w:cs="宋体"/>
          <w:b/>
          <w:color w:val="auto"/>
          <w:sz w:val="28"/>
          <w:szCs w:val="28"/>
          <w:highlight w:val="none"/>
        </w:rPr>
        <w:t>一、合同标的物：</w:t>
      </w:r>
      <w:bookmarkEnd w:id="45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auto"/>
          <w:highlight w:val="none"/>
        </w:rPr>
      </w:pPr>
      <w:r>
        <w:rPr>
          <w:rFonts w:hint="eastAsia"/>
          <w:b/>
          <w:color w:val="auto"/>
          <w:highlight w:val="none"/>
        </w:rPr>
        <w:t>产品、服务应当符合国家规范规定的标准及乙方投标文件所述和宣传的标准，设备配置详单附后。</w:t>
      </w:r>
    </w:p>
    <w:p>
      <w:pPr>
        <w:bidi w:val="0"/>
        <w:jc w:val="left"/>
        <w:rPr>
          <w:rFonts w:hint="eastAsia" w:ascii="宋体" w:hAnsi="宋体" w:eastAsia="宋体" w:cs="宋体"/>
          <w:b/>
          <w:color w:val="auto"/>
          <w:sz w:val="28"/>
          <w:szCs w:val="28"/>
          <w:highlight w:val="none"/>
        </w:rPr>
      </w:pPr>
      <w:bookmarkStart w:id="453" w:name="_Toc4720"/>
      <w:r>
        <w:rPr>
          <w:rFonts w:hint="eastAsia" w:ascii="宋体" w:hAnsi="宋体" w:eastAsia="宋体" w:cs="宋体"/>
          <w:b/>
          <w:color w:val="auto"/>
          <w:sz w:val="28"/>
          <w:szCs w:val="28"/>
          <w:highlight w:val="none"/>
        </w:rPr>
        <w:t>二、合同价款：</w:t>
      </w:r>
      <w:bookmarkEnd w:id="45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olor w:val="auto"/>
          <w:highlight w:val="none"/>
        </w:rPr>
        <w:t>1、合同总金额：</w:t>
      </w:r>
      <w:r>
        <w:rPr>
          <w:rFonts w:hint="eastAsia"/>
          <w:b/>
          <w:color w:val="auto"/>
          <w:highlight w:val="none"/>
          <w:u w:val="single"/>
        </w:rPr>
        <w:t>人民币          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eastAsia="zh-CN"/>
        </w:rPr>
      </w:pPr>
      <w:r>
        <w:rPr>
          <w:rFonts w:hint="eastAsia"/>
          <w:color w:val="auto"/>
          <w:highlight w:val="none"/>
        </w:rPr>
        <w:t>2、付款方式：</w:t>
      </w:r>
      <w:r>
        <w:rPr>
          <w:rFonts w:hint="eastAsia" w:hAnsi="宋体" w:cs="宋体"/>
          <w:color w:val="auto"/>
          <w:szCs w:val="24"/>
          <w:highlight w:val="none"/>
        </w:rPr>
        <w:t>项目</w:t>
      </w:r>
      <w:r>
        <w:rPr>
          <w:rFonts w:hint="eastAsia" w:hAnsi="宋体" w:cs="宋体"/>
          <w:color w:val="auto"/>
          <w:szCs w:val="24"/>
          <w:highlight w:val="none"/>
          <w:lang w:eastAsia="zh-CN"/>
        </w:rPr>
        <w:t>完成并</w:t>
      </w:r>
      <w:r>
        <w:rPr>
          <w:rFonts w:hint="eastAsia" w:hAnsi="宋体" w:cs="宋体"/>
          <w:color w:val="auto"/>
          <w:szCs w:val="24"/>
          <w:highlight w:val="none"/>
        </w:rPr>
        <w:t>验收</w:t>
      </w:r>
      <w:r>
        <w:rPr>
          <w:rFonts w:hint="eastAsia" w:hAnsi="宋体" w:cs="宋体"/>
          <w:color w:val="auto"/>
          <w:szCs w:val="24"/>
          <w:highlight w:val="none"/>
          <w:lang w:eastAsia="zh-CN"/>
        </w:rPr>
        <w:t>合格后，运行一个月无质量问题支付合同金额的</w:t>
      </w:r>
      <w:r>
        <w:rPr>
          <w:rFonts w:hint="eastAsia" w:hAnsi="宋体" w:cs="宋体"/>
          <w:color w:val="auto"/>
          <w:szCs w:val="24"/>
          <w:highlight w:val="none"/>
          <w:lang w:val="en-US" w:eastAsia="zh-CN"/>
        </w:rPr>
        <w:t>30</w:t>
      </w:r>
      <w:r>
        <w:rPr>
          <w:rFonts w:hint="eastAsia" w:hAnsi="宋体" w:cs="宋体"/>
          <w:color w:val="auto"/>
          <w:szCs w:val="24"/>
          <w:highlight w:val="none"/>
        </w:rPr>
        <w:t>%，</w:t>
      </w:r>
      <w:r>
        <w:rPr>
          <w:rFonts w:hint="eastAsia" w:hAnsi="宋体" w:cs="宋体"/>
          <w:color w:val="auto"/>
          <w:szCs w:val="24"/>
          <w:highlight w:val="none"/>
          <w:lang w:eastAsia="zh-CN"/>
        </w:rPr>
        <w:t>运行</w:t>
      </w:r>
      <w:r>
        <w:rPr>
          <w:rFonts w:hint="eastAsia" w:hAnsi="宋体" w:cs="宋体"/>
          <w:color w:val="auto"/>
          <w:szCs w:val="24"/>
          <w:highlight w:val="none"/>
          <w:lang w:val="en-US" w:eastAsia="zh-CN"/>
        </w:rPr>
        <w:t>6个月无质量问题支付</w:t>
      </w:r>
      <w:r>
        <w:rPr>
          <w:rFonts w:hint="eastAsia" w:hAnsi="宋体" w:cs="宋体"/>
          <w:color w:val="auto"/>
          <w:szCs w:val="24"/>
          <w:highlight w:val="none"/>
          <w:lang w:eastAsia="zh-CN"/>
        </w:rPr>
        <w:t>合同金额的</w:t>
      </w:r>
      <w:r>
        <w:rPr>
          <w:rFonts w:hint="eastAsia" w:hAnsi="宋体" w:cs="宋体"/>
          <w:color w:val="auto"/>
          <w:szCs w:val="24"/>
          <w:highlight w:val="none"/>
          <w:lang w:val="en-US" w:eastAsia="zh-CN"/>
        </w:rPr>
        <w:t>30%，</w:t>
      </w:r>
      <w:r>
        <w:rPr>
          <w:rFonts w:hint="eastAsia" w:hAnsi="宋体" w:cs="宋体"/>
          <w:color w:val="auto"/>
          <w:szCs w:val="24"/>
          <w:highlight w:val="none"/>
          <w:lang w:eastAsia="zh-CN"/>
        </w:rPr>
        <w:t>运行</w:t>
      </w:r>
      <w:r>
        <w:rPr>
          <w:rFonts w:hint="eastAsia" w:hAnsi="宋体" w:cs="宋体"/>
          <w:color w:val="auto"/>
          <w:szCs w:val="24"/>
          <w:highlight w:val="none"/>
          <w:lang w:val="en-US" w:eastAsia="zh-CN"/>
        </w:rPr>
        <w:t>12个月无质量问题支付</w:t>
      </w:r>
      <w:r>
        <w:rPr>
          <w:rFonts w:hint="eastAsia" w:hAnsi="宋体" w:cs="宋体"/>
          <w:color w:val="auto"/>
          <w:szCs w:val="24"/>
          <w:highlight w:val="none"/>
          <w:lang w:eastAsia="zh-CN"/>
        </w:rPr>
        <w:t>合同金额的</w:t>
      </w:r>
      <w:r>
        <w:rPr>
          <w:rFonts w:hint="eastAsia" w:hAnsi="宋体" w:cs="宋体"/>
          <w:color w:val="auto"/>
          <w:szCs w:val="24"/>
          <w:highlight w:val="none"/>
          <w:lang w:val="en-US" w:eastAsia="zh-CN"/>
        </w:rPr>
        <w:t>35%，,质保期满支付完毕。</w:t>
      </w:r>
      <w:r>
        <w:rPr>
          <w:rFonts w:hint="eastAsia"/>
          <w:color w:val="auto"/>
          <w:highlight w:val="none"/>
          <w:lang w:eastAsia="zh-CN"/>
        </w:rPr>
        <w:t>，</w:t>
      </w:r>
      <w:r>
        <w:rPr>
          <w:rFonts w:hint="eastAsia" w:hAnsi="宋体" w:cs="宋体"/>
          <w:bCs/>
          <w:color w:val="auto"/>
          <w:szCs w:val="24"/>
          <w:highlight w:val="none"/>
          <w:lang w:eastAsia="zh-CN"/>
        </w:rPr>
        <w:t>具体以合同签订为准</w:t>
      </w:r>
    </w:p>
    <w:p>
      <w:pPr>
        <w:bidi w:val="0"/>
        <w:jc w:val="left"/>
        <w:rPr>
          <w:rFonts w:hint="eastAsia" w:ascii="宋体" w:hAnsi="宋体" w:eastAsia="宋体" w:cs="宋体"/>
          <w:b/>
          <w:color w:val="auto"/>
          <w:sz w:val="28"/>
          <w:szCs w:val="28"/>
          <w:highlight w:val="none"/>
        </w:rPr>
      </w:pPr>
      <w:bookmarkStart w:id="454" w:name="_Toc22318"/>
      <w:r>
        <w:rPr>
          <w:rFonts w:hint="eastAsia" w:ascii="宋体" w:hAnsi="宋体" w:eastAsia="宋体" w:cs="宋体"/>
          <w:b/>
          <w:color w:val="auto"/>
          <w:sz w:val="28"/>
          <w:szCs w:val="28"/>
          <w:highlight w:val="none"/>
        </w:rPr>
        <w:t>三、交货地点：</w:t>
      </w:r>
      <w:bookmarkEnd w:id="45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Times New Roman" w:eastAsia="宋体" w:cs="Times New Roman"/>
          <w:lang w:eastAsia="zh-CN"/>
        </w:rPr>
        <w:t>汉中市</w:t>
      </w:r>
      <w:r>
        <w:rPr>
          <w:rFonts w:hint="eastAsia" w:hAnsi="宋体" w:cs="宋体"/>
          <w:color w:val="auto"/>
          <w:highlight w:val="none"/>
          <w:lang w:eastAsia="zh-CN"/>
        </w:rPr>
        <w:t>人民医院</w:t>
      </w:r>
      <w:r>
        <w:rPr>
          <w:rFonts w:hint="eastAsia"/>
          <w:color w:val="auto"/>
          <w:highlight w:val="none"/>
        </w:rPr>
        <w:t>指定地点。</w:t>
      </w:r>
    </w:p>
    <w:p>
      <w:pPr>
        <w:bidi w:val="0"/>
        <w:jc w:val="left"/>
        <w:rPr>
          <w:rFonts w:hint="eastAsia" w:ascii="宋体" w:hAnsi="宋体" w:eastAsia="宋体" w:cs="宋体"/>
          <w:b/>
          <w:color w:val="auto"/>
          <w:sz w:val="28"/>
          <w:szCs w:val="28"/>
          <w:highlight w:val="none"/>
        </w:rPr>
      </w:pPr>
      <w:bookmarkStart w:id="455" w:name="_Toc24690"/>
      <w:r>
        <w:rPr>
          <w:rFonts w:hint="eastAsia" w:ascii="宋体" w:hAnsi="宋体" w:eastAsia="宋体" w:cs="宋体"/>
          <w:b/>
          <w:color w:val="auto"/>
          <w:sz w:val="28"/>
          <w:szCs w:val="28"/>
          <w:highlight w:val="none"/>
        </w:rPr>
        <w:t>四、交货时间：</w:t>
      </w:r>
      <w:bookmarkEnd w:id="45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Times New Roman" w:eastAsia="宋体" w:cs="Times New Roman"/>
        </w:rPr>
        <w:t>合同</w:t>
      </w:r>
      <w:r>
        <w:rPr>
          <w:rFonts w:hint="eastAsia"/>
          <w:color w:val="auto"/>
          <w:highlight w:val="none"/>
        </w:rPr>
        <w:t xml:space="preserve">签订接采购人通知后 </w:t>
      </w:r>
      <w:r>
        <w:rPr>
          <w:rFonts w:hint="eastAsia"/>
          <w:color w:val="auto"/>
          <w:highlight w:val="none"/>
          <w:u w:val="single"/>
        </w:rPr>
        <w:t xml:space="preserve">     </w:t>
      </w:r>
      <w:r>
        <w:rPr>
          <w:rFonts w:hint="eastAsia"/>
          <w:color w:val="auto"/>
          <w:highlight w:val="none"/>
        </w:rPr>
        <w:t>个工作日。</w:t>
      </w:r>
    </w:p>
    <w:p>
      <w:pPr>
        <w:bidi w:val="0"/>
        <w:jc w:val="left"/>
        <w:rPr>
          <w:color w:val="auto"/>
          <w:highlight w:val="none"/>
        </w:rPr>
      </w:pPr>
      <w:bookmarkStart w:id="456" w:name="_Toc7837"/>
      <w:r>
        <w:rPr>
          <w:rFonts w:hint="eastAsia"/>
          <w:b/>
          <w:color w:val="auto"/>
          <w:highlight w:val="none"/>
        </w:rPr>
        <w:t>五、甲方指定收件人为：</w:t>
      </w:r>
      <w:r>
        <w:rPr>
          <w:rFonts w:hint="eastAsia" w:hAnsi="宋体" w:cs="宋体"/>
          <w:color w:val="auto"/>
          <w:highlight w:val="none"/>
          <w:lang w:eastAsia="zh-CN"/>
        </w:rPr>
        <w:t>汉中市人民医院</w:t>
      </w:r>
      <w:r>
        <w:rPr>
          <w:rFonts w:hint="eastAsia"/>
          <w:color w:val="auto"/>
          <w:highlight w:val="none"/>
        </w:rPr>
        <w:t>，联系电话</w:t>
      </w:r>
      <w:bookmarkEnd w:id="456"/>
      <w:r>
        <w:rPr>
          <w:rFonts w:hint="eastAsia"/>
          <w:color w:val="auto"/>
          <w:highlight w:val="none"/>
          <w:u w:val="single"/>
        </w:rPr>
        <w:t xml:space="preserve">              </w:t>
      </w:r>
      <w:r>
        <w:rPr>
          <w:rFonts w:hint="eastAsia"/>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Times New Roman" w:eastAsia="宋体" w:cs="Times New Roman"/>
        </w:rPr>
        <w:t>根据</w:t>
      </w:r>
      <w:r>
        <w:rPr>
          <w:rFonts w:hint="eastAsia"/>
          <w:color w:val="auto"/>
          <w:highlight w:val="none"/>
        </w:rPr>
        <w:t>使用需要，甲方如需提前或推迟收货，甲方应当</w:t>
      </w:r>
      <w:r>
        <w:rPr>
          <w:rFonts w:hint="eastAsia"/>
          <w:b/>
          <w:bCs/>
          <w:color w:val="auto"/>
          <w:highlight w:val="none"/>
        </w:rPr>
        <w:t>提前电话或邮箱或其他任何在本</w:t>
      </w:r>
      <w:r>
        <w:rPr>
          <w:rFonts w:hint="eastAsia" w:ascii="宋体" w:hAnsi="Times New Roman" w:eastAsia="宋体" w:cs="Times New Roman"/>
        </w:rPr>
        <w:t>合同</w:t>
      </w:r>
      <w:r>
        <w:rPr>
          <w:rFonts w:hint="eastAsia"/>
          <w:b/>
          <w:bCs/>
          <w:color w:val="auto"/>
          <w:highlight w:val="none"/>
        </w:rPr>
        <w:t>约定的方式通知乙方</w:t>
      </w:r>
      <w:r>
        <w:rPr>
          <w:rFonts w:hint="eastAsia"/>
          <w:color w:val="auto"/>
          <w:highlight w:val="none"/>
        </w:rPr>
        <w:t>，乙方应无条件配合，不得收取仓储费等任何费用。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auto"/>
          <w:highlight w:val="none"/>
        </w:rPr>
      </w:pPr>
      <w:r>
        <w:rPr>
          <w:rFonts w:hint="eastAsia"/>
          <w:b/>
          <w:color w:val="auto"/>
          <w:highlight w:val="none"/>
        </w:rPr>
        <w:t>六</w:t>
      </w:r>
      <w:r>
        <w:rPr>
          <w:rFonts w:hint="eastAsia" w:ascii="宋体" w:hAnsi="Times New Roman" w:eastAsia="宋体" w:cs="Times New Roman"/>
          <w:b/>
          <w:color w:val="auto"/>
          <w:highlight w:val="none"/>
        </w:rPr>
        <w:t>：货款结算方</w:t>
      </w:r>
      <w:r>
        <w:rPr>
          <w:rFonts w:hint="eastAsia"/>
          <w:b/>
          <w:color w:val="auto"/>
          <w:highlight w:val="none"/>
        </w:rPr>
        <w:t>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hAnsi="宋体" w:cs="宋体"/>
          <w:color w:val="auto"/>
          <w:szCs w:val="24"/>
          <w:highlight w:val="none"/>
          <w:lang w:val="en-US" w:eastAsia="zh-CN"/>
        </w:rPr>
        <w:t>付款方式：项目完成并验收合格后，运行一个月无质量问题分三年内支付完毕（最终以合同签订为准）。如因投标人责任而造成延期，每超过一天按合同总价款的2%支付采购人误期赔偿金。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olor w:val="auto"/>
          <w:highlight w:val="none"/>
        </w:rPr>
        <w:t>支付方式：甲方直接将货款通过银行转账的方式转入乙方指定的专用账号。乙方账户名：</w:t>
      </w:r>
      <w:r>
        <w:rPr>
          <w:rFonts w:hint="eastAsia"/>
          <w:color w:val="auto"/>
          <w:highlight w:val="none"/>
          <w:u w:val="single"/>
        </w:rPr>
        <w:t xml:space="preserve">               </w:t>
      </w:r>
      <w:r>
        <w:rPr>
          <w:rFonts w:hint="eastAsia"/>
          <w:color w:val="auto"/>
          <w:highlight w:val="none"/>
        </w:rPr>
        <w:t>。账号：</w:t>
      </w:r>
      <w:r>
        <w:rPr>
          <w:rFonts w:hint="eastAsia"/>
          <w:color w:val="auto"/>
          <w:highlight w:val="none"/>
          <w:u w:val="single"/>
        </w:rPr>
        <w:t xml:space="preserve">              </w:t>
      </w:r>
      <w:r>
        <w:rPr>
          <w:rFonts w:hint="eastAsia"/>
          <w:color w:val="auto"/>
          <w:highlight w:val="none"/>
        </w:rPr>
        <w:t>。开户行</w:t>
      </w:r>
      <w:r>
        <w:rPr>
          <w:rFonts w:hint="eastAsia"/>
          <w:color w:val="auto"/>
          <w:highlight w:val="none"/>
          <w:u w:val="single"/>
        </w:rPr>
        <w:t xml:space="preserve">             </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cs="宋体"/>
          <w:color w:val="auto"/>
          <w:szCs w:val="24"/>
          <w:highlight w:val="none"/>
        </w:rPr>
      </w:pPr>
      <w:r>
        <w:rPr>
          <w:rFonts w:hint="eastAsia" w:hAnsi="宋体" w:cs="宋体"/>
          <w:b/>
          <w:color w:val="auto"/>
          <w:szCs w:val="24"/>
          <w:highlight w:val="none"/>
        </w:rPr>
        <w:t>七、质量保证：</w:t>
      </w:r>
      <w:r>
        <w:rPr>
          <w:rFonts w:hint="eastAsia" w:hAnsi="宋体" w:cs="宋体"/>
          <w:color w:val="auto"/>
          <w:szCs w:val="24"/>
          <w:highlight w:val="none"/>
        </w:rPr>
        <w:t>详见“第四章合同条款及格式前附表”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cs="宋体"/>
          <w:color w:val="auto"/>
          <w:szCs w:val="24"/>
          <w:highlight w:val="none"/>
        </w:rPr>
      </w:pPr>
      <w:r>
        <w:rPr>
          <w:rFonts w:hint="eastAsia" w:hAnsi="宋体" w:cs="宋体"/>
          <w:b/>
          <w:bCs/>
          <w:color w:val="auto"/>
          <w:szCs w:val="24"/>
          <w:highlight w:val="none"/>
        </w:rPr>
        <w:t>八</w:t>
      </w:r>
      <w:r>
        <w:rPr>
          <w:rFonts w:hint="eastAsia" w:hAnsi="宋体" w:cs="宋体"/>
          <w:color w:val="auto"/>
          <w:szCs w:val="24"/>
          <w:highlight w:val="none"/>
        </w:rPr>
        <w:t>、</w:t>
      </w:r>
      <w:r>
        <w:rPr>
          <w:rFonts w:hint="eastAsia" w:hAnsi="宋体" w:cs="宋体"/>
          <w:b/>
          <w:bCs/>
          <w:color w:val="auto"/>
          <w:szCs w:val="24"/>
          <w:highlight w:val="none"/>
        </w:rPr>
        <w:t>包装及运输要求：</w:t>
      </w:r>
      <w:r>
        <w:rPr>
          <w:rFonts w:hint="eastAsia" w:hAnsi="宋体" w:cs="宋体"/>
          <w:color w:val="auto"/>
          <w:szCs w:val="24"/>
          <w:highlight w:val="none"/>
        </w:rPr>
        <w:t>详见“第四章合同条款及格式前附表”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cs="宋体"/>
          <w:b/>
          <w:color w:val="auto"/>
          <w:szCs w:val="24"/>
          <w:highlight w:val="none"/>
        </w:rPr>
      </w:pPr>
      <w:r>
        <w:rPr>
          <w:rFonts w:hint="eastAsia" w:hAnsi="宋体" w:cs="宋体"/>
          <w:b/>
          <w:color w:val="auto"/>
          <w:szCs w:val="24"/>
          <w:highlight w:val="none"/>
        </w:rPr>
        <w:t>九、</w:t>
      </w:r>
      <w:r>
        <w:rPr>
          <w:rFonts w:hint="eastAsia" w:hAnsi="宋体" w:cs="宋体"/>
          <w:b/>
          <w:bCs/>
          <w:color w:val="auto"/>
          <w:szCs w:val="24"/>
          <w:highlight w:val="none"/>
        </w:rPr>
        <w:t>技术资料要求</w:t>
      </w:r>
      <w:r>
        <w:rPr>
          <w:rFonts w:hint="eastAsia" w:hAnsi="宋体" w:cs="宋体"/>
          <w:b/>
          <w:color w:val="auto"/>
          <w:szCs w:val="24"/>
          <w:highlight w:val="none"/>
        </w:rPr>
        <w:t>：</w:t>
      </w:r>
      <w:r>
        <w:rPr>
          <w:rFonts w:hint="eastAsia" w:hAnsi="宋体" w:cs="宋体"/>
          <w:color w:val="auto"/>
          <w:szCs w:val="24"/>
          <w:highlight w:val="none"/>
        </w:rPr>
        <w:t>详见“第四章合同条款及格式前附表”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cs="宋体"/>
          <w:color w:val="auto"/>
          <w:szCs w:val="24"/>
          <w:highlight w:val="none"/>
        </w:rPr>
      </w:pPr>
      <w:r>
        <w:rPr>
          <w:rFonts w:hint="eastAsia" w:hAnsi="宋体" w:cs="宋体"/>
          <w:b/>
          <w:color w:val="auto"/>
          <w:szCs w:val="24"/>
          <w:highlight w:val="none"/>
        </w:rPr>
        <w:t>十、验收：</w:t>
      </w:r>
      <w:r>
        <w:rPr>
          <w:rFonts w:hint="eastAsia" w:hAnsi="宋体" w:cs="宋体"/>
          <w:color w:val="auto"/>
          <w:szCs w:val="24"/>
          <w:highlight w:val="none"/>
        </w:rPr>
        <w:t>详见“第四章合同条款及格式前附表”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cs="宋体"/>
          <w:color w:val="auto"/>
          <w:szCs w:val="24"/>
          <w:highlight w:val="none"/>
        </w:rPr>
      </w:pPr>
      <w:r>
        <w:rPr>
          <w:rFonts w:hint="eastAsia" w:hAnsi="宋体" w:cs="宋体"/>
          <w:b/>
          <w:bCs/>
          <w:color w:val="auto"/>
          <w:szCs w:val="24"/>
          <w:highlight w:val="none"/>
        </w:rPr>
        <w:t>十一、售后服务：</w:t>
      </w:r>
      <w:r>
        <w:rPr>
          <w:rFonts w:hint="eastAsia" w:hAnsi="宋体" w:cs="宋体"/>
          <w:color w:val="auto"/>
          <w:szCs w:val="24"/>
          <w:highlight w:val="none"/>
        </w:rPr>
        <w:t>详见“第四章合同条款及格式前附表”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cs="宋体"/>
          <w:b/>
          <w:color w:val="auto"/>
          <w:szCs w:val="24"/>
          <w:highlight w:val="none"/>
        </w:rPr>
      </w:pPr>
      <w:r>
        <w:rPr>
          <w:rFonts w:hint="eastAsia" w:hAnsi="宋体" w:cs="宋体"/>
          <w:b/>
          <w:color w:val="auto"/>
          <w:szCs w:val="24"/>
          <w:highlight w:val="none"/>
        </w:rPr>
        <w:t>十二、知识产权：</w:t>
      </w:r>
      <w:r>
        <w:rPr>
          <w:rFonts w:hint="eastAsia" w:hAnsi="宋体" w:cs="宋体"/>
          <w:color w:val="auto"/>
          <w:szCs w:val="24"/>
          <w:highlight w:val="none"/>
        </w:rPr>
        <w:t>详见“第四章合同条款及格式前附表”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Times New Roman" w:eastAsia="宋体" w:cs="Times New Roman"/>
        </w:rPr>
      </w:pPr>
      <w:r>
        <w:rPr>
          <w:rFonts w:hint="eastAsia" w:hAnsi="宋体" w:cs="宋体"/>
          <w:b/>
          <w:color w:val="auto"/>
          <w:szCs w:val="24"/>
          <w:highlight w:val="none"/>
        </w:rPr>
        <w:t>十三、</w:t>
      </w:r>
      <w:r>
        <w:rPr>
          <w:rFonts w:hint="eastAsia" w:ascii="宋体" w:hAnsi="Times New Roman" w:eastAsia="宋体" w:cs="Times New Roman"/>
        </w:rPr>
        <w:t>合同</w:t>
      </w:r>
      <w:r>
        <w:rPr>
          <w:rFonts w:hint="eastAsia" w:hAnsi="宋体" w:cs="宋体"/>
          <w:b/>
          <w:color w:val="auto"/>
          <w:szCs w:val="24"/>
          <w:highlight w:val="none"/>
        </w:rPr>
        <w:t>争议的解决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color w:val="auto"/>
          <w:szCs w:val="24"/>
          <w:highlight w:val="none"/>
        </w:rPr>
      </w:pPr>
      <w:r>
        <w:rPr>
          <w:rFonts w:hint="eastAsia" w:ascii="宋体" w:hAnsi="Times New Roman" w:eastAsia="宋体" w:cs="Times New Roman"/>
        </w:rPr>
        <w:t>合同</w:t>
      </w:r>
      <w:r>
        <w:rPr>
          <w:rFonts w:hint="eastAsia" w:hAnsi="宋体" w:cs="宋体"/>
          <w:color w:val="auto"/>
          <w:szCs w:val="24"/>
          <w:highlight w:val="none"/>
        </w:rPr>
        <w:t>执行中发生争议的，当事人双方应协商解决。协商达不成一致时，可向当地行政仲裁机关申请仲裁或者向人民法院提请诉讼。</w:t>
      </w:r>
    </w:p>
    <w:p>
      <w:pPr>
        <w:bidi w:val="0"/>
        <w:jc w:val="left"/>
        <w:rPr>
          <w:rFonts w:hAnsi="宋体" w:cs="宋体"/>
          <w:b/>
          <w:bCs/>
          <w:color w:val="auto"/>
          <w:szCs w:val="24"/>
          <w:highlight w:val="none"/>
        </w:rPr>
      </w:pPr>
      <w:bookmarkStart w:id="457" w:name="_Toc29925"/>
      <w:r>
        <w:rPr>
          <w:rFonts w:hint="eastAsia" w:hAnsi="宋体" w:cs="宋体"/>
          <w:b/>
          <w:bCs/>
          <w:color w:val="auto"/>
          <w:szCs w:val="24"/>
          <w:highlight w:val="none"/>
        </w:rPr>
        <w:t>十四、</w:t>
      </w:r>
      <w:r>
        <w:rPr>
          <w:rFonts w:hint="eastAsia" w:ascii="宋体" w:hAnsi="Times New Roman" w:eastAsia="宋体" w:cs="Times New Roman"/>
        </w:rPr>
        <w:t>不可抗力</w:t>
      </w:r>
      <w:r>
        <w:rPr>
          <w:rFonts w:hint="eastAsia" w:hAnsi="宋体" w:cs="宋体"/>
          <w:b/>
          <w:bCs/>
          <w:color w:val="auto"/>
          <w:szCs w:val="24"/>
          <w:highlight w:val="none"/>
        </w:rPr>
        <w:t>情况下的免责约定</w:t>
      </w:r>
      <w:bookmarkEnd w:id="4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color w:val="auto"/>
          <w:szCs w:val="24"/>
          <w:highlight w:val="none"/>
        </w:rPr>
      </w:pPr>
      <w:r>
        <w:rPr>
          <w:rFonts w:hint="eastAsia" w:hAnsi="宋体" w:cs="宋体"/>
          <w:color w:val="auto"/>
          <w:szCs w:val="24"/>
          <w:highlight w:val="none"/>
        </w:rPr>
        <w:t xml:space="preserve">    双方约定不可抗力情况指：双方不可预见、不可避免、不可克服的客观情况，但不包括双方的违约或疏忽。这些事件包括但不限于：战争、严重火灾、洪水、台风、地震等。</w:t>
      </w:r>
    </w:p>
    <w:p>
      <w:pPr>
        <w:bidi w:val="0"/>
        <w:jc w:val="left"/>
        <w:rPr>
          <w:rFonts w:hAnsi="宋体" w:cs="宋体"/>
          <w:b/>
          <w:color w:val="auto"/>
          <w:szCs w:val="24"/>
          <w:highlight w:val="none"/>
        </w:rPr>
      </w:pPr>
      <w:bookmarkStart w:id="458" w:name="_Toc9124"/>
      <w:r>
        <w:rPr>
          <w:rFonts w:hint="eastAsia" w:hAnsi="宋体" w:cs="宋体"/>
          <w:b/>
          <w:color w:val="auto"/>
          <w:szCs w:val="24"/>
          <w:highlight w:val="none"/>
        </w:rPr>
        <w:t>十五、违约责任：</w:t>
      </w:r>
      <w:r>
        <w:rPr>
          <w:rFonts w:hint="eastAsia" w:hAnsi="宋体" w:cs="宋体"/>
          <w:color w:val="auto"/>
          <w:szCs w:val="24"/>
          <w:highlight w:val="none"/>
        </w:rPr>
        <w:t>详见“第四章合同条款及格式前附表”</w:t>
      </w:r>
      <w:bookmarkEnd w:id="458"/>
    </w:p>
    <w:p>
      <w:pPr>
        <w:bidi w:val="0"/>
        <w:jc w:val="left"/>
        <w:rPr>
          <w:b/>
          <w:color w:val="auto"/>
          <w:highlight w:val="none"/>
        </w:rPr>
      </w:pPr>
      <w:r>
        <w:rPr>
          <w:rFonts w:hint="eastAsia" w:ascii="宋体" w:hAnsi="宋体" w:eastAsia="宋体" w:cs="宋体"/>
          <w:b/>
          <w:color w:val="auto"/>
          <w:sz w:val="28"/>
          <w:szCs w:val="28"/>
          <w:highlight w:val="none"/>
        </w:rPr>
        <w:t>十六、以下资</w:t>
      </w:r>
      <w:r>
        <w:rPr>
          <w:rFonts w:hint="eastAsia"/>
          <w:b/>
          <w:color w:val="auto"/>
          <w:highlight w:val="none"/>
        </w:rPr>
        <w:t>料为本合同不可分割部分，与本合同具有同等法律效力：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1、本合同所涉产品的国家标准及相关行业标准；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2、本产品的详细资料；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3、招投标文件；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4、本套产品配置及配套设备零件报价详单；（附于合同后）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rPr>
      </w:pPr>
      <w:r>
        <w:rPr>
          <w:rFonts w:hint="eastAsia" w:ascii="宋体" w:hAnsi="Times New Roman" w:eastAsia="宋体" w:cs="Times New Roman"/>
        </w:rPr>
        <w:t>5、本套产品配套耗材清单、报价详单。（附于合同后）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cs="宋体"/>
          <w:color w:val="auto"/>
          <w:szCs w:val="24"/>
          <w:highlight w:val="none"/>
        </w:rPr>
      </w:pPr>
      <w:r>
        <w:rPr>
          <w:rFonts w:hint="eastAsia" w:hAnsi="宋体" w:cs="宋体"/>
          <w:b/>
          <w:color w:val="auto"/>
          <w:szCs w:val="24"/>
          <w:highlight w:val="none"/>
        </w:rPr>
        <w:t>十七、</w:t>
      </w:r>
      <w:r>
        <w:rPr>
          <w:rFonts w:hint="eastAsia" w:ascii="宋体" w:hAnsi="Times New Roman" w:eastAsia="宋体" w:cs="Times New Roman"/>
        </w:rPr>
        <w:t>其他</w:t>
      </w:r>
      <w:r>
        <w:rPr>
          <w:rFonts w:hint="eastAsia" w:hAnsi="宋体" w:cs="宋体"/>
          <w:b/>
          <w:color w:val="auto"/>
          <w:szCs w:val="24"/>
          <w:highlight w:val="none"/>
        </w:rPr>
        <w:t>（</w:t>
      </w:r>
      <w:r>
        <w:rPr>
          <w:rFonts w:hint="eastAsia" w:hAnsi="宋体" w:cs="宋体"/>
          <w:color w:val="auto"/>
          <w:szCs w:val="24"/>
          <w:highlight w:val="none"/>
        </w:rPr>
        <w:t xml:space="preserve">在合同中双方自行约定）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cs="宋体"/>
          <w:b/>
          <w:color w:val="auto"/>
          <w:highlight w:val="none"/>
        </w:rPr>
      </w:pPr>
      <w:r>
        <w:rPr>
          <w:rFonts w:hint="eastAsia" w:hAnsi="宋体" w:cs="宋体"/>
          <w:b/>
          <w:color w:val="auto"/>
          <w:highlight w:val="none"/>
        </w:rPr>
        <w:t>十八、</w:t>
      </w:r>
      <w:r>
        <w:rPr>
          <w:rFonts w:hint="eastAsia" w:ascii="宋体" w:hAnsi="Times New Roman" w:eastAsia="宋体" w:cs="Times New Roman"/>
        </w:rPr>
        <w:t>合同</w:t>
      </w:r>
      <w:r>
        <w:rPr>
          <w:rFonts w:hint="eastAsia" w:hAnsi="宋体" w:cs="宋体"/>
          <w:b/>
          <w:color w:val="auto"/>
          <w:highlight w:val="none"/>
        </w:rPr>
        <w:t>订立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1. 订立时间：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2. 订立地点：</w:t>
      </w:r>
      <w:r>
        <w:rPr>
          <w:rFonts w:hint="eastAsia" w:hAnsi="宋体" w:cs="宋体"/>
          <w:color w:val="auto"/>
          <w:highlight w:val="none"/>
          <w:u w:val="single"/>
        </w:rPr>
        <w:t xml:space="preserve">                                 </w:t>
      </w:r>
      <w:r>
        <w:rPr>
          <w:rFonts w:hint="eastAsia" w:hAnsi="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color w:val="auto"/>
          <w:highlight w:val="none"/>
        </w:rPr>
      </w:pPr>
      <w:r>
        <w:rPr>
          <w:rFonts w:hint="eastAsia" w:hAnsi="宋体" w:cs="宋体"/>
          <w:color w:val="auto"/>
          <w:highlight w:val="none"/>
        </w:rPr>
        <w:t>3. 本合同一式</w:t>
      </w:r>
      <w:r>
        <w:rPr>
          <w:rFonts w:hint="eastAsia" w:hAnsi="宋体" w:cs="宋体"/>
          <w:color w:val="auto"/>
          <w:highlight w:val="none"/>
          <w:u w:val="single"/>
        </w:rPr>
        <w:t xml:space="preserve"> 肆 </w:t>
      </w:r>
      <w:r>
        <w:rPr>
          <w:rFonts w:hint="eastAsia" w:hAnsi="宋体" w:cs="宋体"/>
          <w:color w:val="auto"/>
          <w:highlight w:val="none"/>
        </w:rPr>
        <w:t>份，具有同等法律效力，双方各执</w:t>
      </w:r>
      <w:r>
        <w:rPr>
          <w:rFonts w:hint="eastAsia" w:hAnsi="宋体" w:cs="宋体"/>
          <w:color w:val="auto"/>
          <w:highlight w:val="none"/>
          <w:u w:val="single"/>
        </w:rPr>
        <w:t xml:space="preserve"> 贰 </w:t>
      </w:r>
      <w:r>
        <w:rPr>
          <w:rFonts w:hint="eastAsia" w:hAnsi="宋体" w:cs="宋体"/>
          <w:color w:val="auto"/>
          <w:highlight w:val="none"/>
        </w:rPr>
        <w:t>份，监管部门备案</w:t>
      </w:r>
      <w:r>
        <w:rPr>
          <w:rFonts w:hint="eastAsia" w:hAnsi="宋体" w:cs="宋体"/>
          <w:color w:val="auto"/>
          <w:highlight w:val="none"/>
          <w:u w:val="single"/>
        </w:rPr>
        <w:t xml:space="preserve"> 壹 </w:t>
      </w:r>
      <w:r>
        <w:rPr>
          <w:rFonts w:hint="eastAsia" w:hAnsi="宋体" w:cs="宋体"/>
          <w:color w:val="auto"/>
          <w:highlight w:val="none"/>
        </w:rPr>
        <w:t>份、招标代理机构存档</w:t>
      </w:r>
      <w:r>
        <w:rPr>
          <w:rFonts w:hint="eastAsia" w:hAnsi="宋体" w:cs="宋体"/>
          <w:color w:val="auto"/>
          <w:highlight w:val="none"/>
          <w:u w:val="single"/>
        </w:rPr>
        <w:t xml:space="preserve"> 壹 </w:t>
      </w:r>
      <w:r>
        <w:rPr>
          <w:rFonts w:hint="eastAsia" w:hAnsi="宋体" w:cs="宋体"/>
          <w:color w:val="auto"/>
          <w:highlight w:val="none"/>
        </w:rPr>
        <w:t>份。各方签字盖章后生效，合同执行完毕自动失效。（合同的服务承诺则长期有效）。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9"/>
        <w:gridCol w:w="4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336" w:type="pct"/>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bookmarkStart w:id="459" w:name="_Toc5841"/>
            <w:bookmarkStart w:id="460" w:name="_Toc3761"/>
            <w:r>
              <w:rPr>
                <w:rFonts w:hint="eastAsia"/>
              </w:rPr>
              <w:t>甲 方</w:t>
            </w:r>
            <w:bookmarkEnd w:id="459"/>
            <w:bookmarkEnd w:id="460"/>
          </w:p>
        </w:tc>
        <w:tc>
          <w:tcPr>
            <w:tcW w:w="2663" w:type="pct"/>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bookmarkStart w:id="461" w:name="_Toc17021"/>
            <w:bookmarkStart w:id="462" w:name="_Toc5298"/>
            <w:r>
              <w:rPr>
                <w:rFonts w:hint="eastAsia"/>
              </w:rPr>
              <w:t>乙 方</w:t>
            </w:r>
            <w:bookmarkEnd w:id="461"/>
            <w:bookmarkEnd w:id="4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336" w:type="pct"/>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bookmarkStart w:id="463" w:name="_Toc24563"/>
            <w:bookmarkStart w:id="464" w:name="_Toc26003"/>
            <w:r>
              <w:rPr>
                <w:rFonts w:hint="eastAsia"/>
              </w:rPr>
              <w:t>（盖章）</w:t>
            </w:r>
            <w:bookmarkEnd w:id="463"/>
            <w:bookmarkEnd w:id="464"/>
          </w:p>
        </w:tc>
        <w:tc>
          <w:tcPr>
            <w:tcW w:w="2663" w:type="pct"/>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bookmarkStart w:id="465" w:name="_Toc10481"/>
            <w:bookmarkStart w:id="466" w:name="_Toc2899"/>
            <w:r>
              <w:rPr>
                <w:rFonts w:hint="eastAsia"/>
              </w:rPr>
              <w:t>（盖章）</w:t>
            </w:r>
            <w:bookmarkEnd w:id="465"/>
            <w:bookmarkEnd w:id="4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36"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67" w:name="_Toc13052"/>
            <w:bookmarkStart w:id="468" w:name="_Toc15401"/>
            <w:r>
              <w:rPr>
                <w:rFonts w:hint="eastAsia"/>
              </w:rPr>
              <w:t>地址：</w:t>
            </w:r>
            <w:bookmarkEnd w:id="467"/>
            <w:bookmarkEnd w:id="468"/>
          </w:p>
        </w:tc>
        <w:tc>
          <w:tcPr>
            <w:tcW w:w="2663"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69" w:name="_Toc247"/>
            <w:bookmarkStart w:id="470" w:name="_Toc2839"/>
            <w:r>
              <w:rPr>
                <w:rFonts w:hint="eastAsia"/>
              </w:rPr>
              <w:t>地址：</w:t>
            </w:r>
            <w:bookmarkEnd w:id="469"/>
            <w:bookmarkEnd w:id="4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36"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71" w:name="_Toc28720"/>
            <w:bookmarkStart w:id="472" w:name="_Toc13271"/>
            <w:r>
              <w:rPr>
                <w:rFonts w:hint="eastAsia"/>
              </w:rPr>
              <w:t>邮编：</w:t>
            </w:r>
            <w:bookmarkEnd w:id="471"/>
            <w:bookmarkEnd w:id="472"/>
          </w:p>
        </w:tc>
        <w:tc>
          <w:tcPr>
            <w:tcW w:w="2663"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73" w:name="_Toc10388"/>
            <w:bookmarkStart w:id="474" w:name="_Toc24906"/>
            <w:r>
              <w:rPr>
                <w:rFonts w:hint="eastAsia"/>
              </w:rPr>
              <w:t>邮编：</w:t>
            </w:r>
            <w:bookmarkEnd w:id="473"/>
            <w:bookmarkEnd w:id="4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6"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75" w:name="_Toc30860"/>
            <w:bookmarkStart w:id="476" w:name="_Toc26857"/>
            <w:r>
              <w:rPr>
                <w:rFonts w:hint="eastAsia"/>
              </w:rPr>
              <w:t>法定代表人：</w:t>
            </w:r>
            <w:bookmarkEnd w:id="475"/>
            <w:bookmarkEnd w:id="476"/>
          </w:p>
        </w:tc>
        <w:tc>
          <w:tcPr>
            <w:tcW w:w="2663"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77" w:name="_Toc15254"/>
            <w:bookmarkStart w:id="478" w:name="_Toc19622"/>
            <w:r>
              <w:rPr>
                <w:rFonts w:hint="eastAsia"/>
              </w:rPr>
              <w:t>法定代表人：</w:t>
            </w:r>
            <w:bookmarkEnd w:id="477"/>
            <w:bookmarkEnd w:id="4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6"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79" w:name="_Toc31395"/>
            <w:bookmarkStart w:id="480" w:name="_Toc13832"/>
            <w:r>
              <w:rPr>
                <w:rFonts w:hint="eastAsia"/>
              </w:rPr>
              <w:t>被授权代表：（签字）</w:t>
            </w:r>
            <w:bookmarkEnd w:id="479"/>
            <w:bookmarkEnd w:id="480"/>
          </w:p>
        </w:tc>
        <w:tc>
          <w:tcPr>
            <w:tcW w:w="2663"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81" w:name="_Toc32048"/>
            <w:bookmarkStart w:id="482" w:name="_Toc29639"/>
            <w:r>
              <w:rPr>
                <w:rFonts w:hint="eastAsia"/>
              </w:rPr>
              <w:t>被授权代表：（签字）</w:t>
            </w:r>
            <w:bookmarkEnd w:id="481"/>
            <w:bookmarkEnd w:id="4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6"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83" w:name="_Toc3079"/>
            <w:bookmarkStart w:id="484" w:name="_Toc18336"/>
            <w:r>
              <w:rPr>
                <w:rFonts w:hint="eastAsia"/>
              </w:rPr>
              <w:t>电话：</w:t>
            </w:r>
            <w:bookmarkEnd w:id="483"/>
            <w:bookmarkEnd w:id="484"/>
          </w:p>
        </w:tc>
        <w:tc>
          <w:tcPr>
            <w:tcW w:w="2663"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85" w:name="_Toc20797"/>
            <w:bookmarkStart w:id="486" w:name="_Toc32376"/>
            <w:r>
              <w:rPr>
                <w:rFonts w:hint="eastAsia"/>
              </w:rPr>
              <w:t>电话：</w:t>
            </w:r>
            <w:bookmarkEnd w:id="485"/>
            <w:bookmarkEnd w:id="4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6"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87" w:name="_Toc4201"/>
            <w:bookmarkStart w:id="488" w:name="_Toc12843"/>
            <w:r>
              <w:rPr>
                <w:rFonts w:hint="eastAsia"/>
              </w:rPr>
              <w:t>传真：</w:t>
            </w:r>
            <w:bookmarkEnd w:id="487"/>
            <w:bookmarkEnd w:id="488"/>
          </w:p>
        </w:tc>
        <w:tc>
          <w:tcPr>
            <w:tcW w:w="2663"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89" w:name="_Toc32336"/>
            <w:bookmarkStart w:id="490" w:name="_Toc15470"/>
            <w:r>
              <w:rPr>
                <w:rFonts w:hint="eastAsia"/>
              </w:rPr>
              <w:t>传真：</w:t>
            </w:r>
            <w:bookmarkEnd w:id="489"/>
            <w:bookmarkEnd w:id="4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6"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2663"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91" w:name="_Toc21591"/>
            <w:bookmarkStart w:id="492" w:name="_Toc31218"/>
            <w:r>
              <w:rPr>
                <w:rFonts w:hint="eastAsia"/>
              </w:rPr>
              <w:t>开户银行：</w:t>
            </w:r>
            <w:bookmarkEnd w:id="491"/>
            <w:bookmarkEnd w:id="4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6"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2663"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93" w:name="_Toc2529"/>
            <w:bookmarkStart w:id="494" w:name="_Toc16925"/>
            <w:r>
              <w:rPr>
                <w:rFonts w:hint="eastAsia"/>
              </w:rPr>
              <w:t>账号：</w:t>
            </w:r>
            <w:bookmarkEnd w:id="493"/>
            <w:bookmarkEnd w:id="4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6"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95" w:name="_Toc22309"/>
            <w:bookmarkStart w:id="496" w:name="_Toc31143"/>
            <w:r>
              <w:rPr>
                <w:rFonts w:hint="eastAsia"/>
              </w:rPr>
              <w:t>日期：   年  月   日</w:t>
            </w:r>
            <w:bookmarkEnd w:id="495"/>
            <w:bookmarkEnd w:id="496"/>
          </w:p>
        </w:tc>
        <w:tc>
          <w:tcPr>
            <w:tcW w:w="2663"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bookmarkStart w:id="497" w:name="_Toc9764"/>
            <w:bookmarkStart w:id="498" w:name="_Toc16486"/>
            <w:r>
              <w:rPr>
                <w:rFonts w:hint="eastAsia"/>
              </w:rPr>
              <w:t>日期：   年  月   日</w:t>
            </w:r>
            <w:bookmarkEnd w:id="497"/>
            <w:bookmarkEnd w:id="4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36"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2663" w:type="pct"/>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r>
    </w:tbl>
    <w:p>
      <w:pPr>
        <w:rPr>
          <w:rFonts w:hint="eastAsia" w:hAnsi="宋体" w:cs="宋体"/>
          <w:b/>
          <w:color w:val="auto"/>
          <w:szCs w:val="21"/>
          <w:highlight w:val="none"/>
        </w:rPr>
      </w:pPr>
      <w:r>
        <w:rPr>
          <w:rFonts w:hint="eastAsia" w:hAnsi="宋体" w:cs="宋体"/>
          <w:b/>
          <w:color w:val="auto"/>
          <w:szCs w:val="21"/>
          <w:highlight w:val="none"/>
        </w:rPr>
        <w:br w:type="page"/>
      </w:r>
    </w:p>
    <w:p>
      <w:pPr>
        <w:bidi w:val="0"/>
        <w:jc w:val="left"/>
        <w:rPr>
          <w:rFonts w:hAnsi="宋体" w:cs="宋体"/>
          <w:b/>
          <w:color w:val="auto"/>
          <w:szCs w:val="21"/>
          <w:highlight w:val="none"/>
        </w:rPr>
      </w:pPr>
      <w:bookmarkStart w:id="499" w:name="_Toc28594"/>
      <w:r>
        <w:rPr>
          <w:rFonts w:hint="eastAsia" w:hAnsi="宋体" w:cs="宋体"/>
          <w:b/>
          <w:color w:val="auto"/>
          <w:szCs w:val="21"/>
          <w:highlight w:val="none"/>
        </w:rPr>
        <w:t>附件</w:t>
      </w:r>
      <w:bookmarkEnd w:id="499"/>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Ansi="宋体" w:cs="宋体"/>
          <w:b/>
          <w:color w:val="auto"/>
          <w:szCs w:val="21"/>
          <w:highlight w:val="none"/>
        </w:rPr>
      </w:pPr>
      <w:r>
        <w:rPr>
          <w:rFonts w:hint="eastAsia" w:hAnsi="宋体" w:cs="宋体"/>
          <w:b/>
          <w:color w:val="auto"/>
          <w:szCs w:val="21"/>
          <w:highlight w:val="none"/>
          <w:u w:val="single"/>
        </w:rPr>
        <w:t>（项目名称）</w:t>
      </w:r>
      <w:r>
        <w:rPr>
          <w:rFonts w:hint="eastAsia" w:hAnsi="宋体" w:cs="宋体"/>
          <w:b/>
          <w:color w:val="auto"/>
          <w:szCs w:val="21"/>
          <w:highlight w:val="none"/>
        </w:rPr>
        <w:t>配置清单(样式)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Ansi="宋体" w:cs="宋体"/>
          <w:b/>
          <w:color w:val="auto"/>
          <w:szCs w:val="21"/>
          <w:highlight w:val="none"/>
        </w:rPr>
      </w:pPr>
    </w:p>
    <w:tbl>
      <w:tblPr>
        <w:tblStyle w:val="22"/>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389"/>
        <w:gridCol w:w="1710"/>
        <w:gridCol w:w="1418"/>
        <w:gridCol w:w="1134"/>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center"/>
          </w:tcPr>
          <w:p>
            <w:pPr>
              <w:bidi w:val="0"/>
              <w:rPr>
                <w:b/>
                <w:bCs/>
              </w:rPr>
            </w:pPr>
            <w:bookmarkStart w:id="500" w:name="_Toc7844"/>
            <w:bookmarkStart w:id="501" w:name="_Toc30919"/>
            <w:r>
              <w:rPr>
                <w:rFonts w:hint="eastAsia"/>
                <w:b/>
                <w:bCs/>
              </w:rPr>
              <w:t>序号</w:t>
            </w:r>
            <w:bookmarkEnd w:id="500"/>
            <w:bookmarkEnd w:id="501"/>
          </w:p>
        </w:tc>
        <w:tc>
          <w:tcPr>
            <w:tcW w:w="2389" w:type="dxa"/>
            <w:tcBorders>
              <w:top w:val="single" w:color="auto" w:sz="4" w:space="0"/>
              <w:left w:val="single" w:color="auto" w:sz="4" w:space="0"/>
              <w:bottom w:val="single" w:color="auto" w:sz="4" w:space="0"/>
              <w:right w:val="single" w:color="auto" w:sz="4" w:space="0"/>
            </w:tcBorders>
            <w:vAlign w:val="center"/>
          </w:tcPr>
          <w:p>
            <w:pPr>
              <w:bidi w:val="0"/>
              <w:rPr>
                <w:b/>
                <w:bCs/>
              </w:rPr>
            </w:pPr>
            <w:bookmarkStart w:id="502" w:name="_Toc27560"/>
            <w:bookmarkStart w:id="503" w:name="_Toc17641"/>
            <w:r>
              <w:rPr>
                <w:rFonts w:hint="eastAsia"/>
                <w:b/>
                <w:bCs/>
              </w:rPr>
              <w:t>货物名称</w:t>
            </w:r>
            <w:bookmarkEnd w:id="502"/>
            <w:bookmarkEnd w:id="503"/>
          </w:p>
        </w:tc>
        <w:tc>
          <w:tcPr>
            <w:tcW w:w="1710" w:type="dxa"/>
            <w:tcBorders>
              <w:top w:val="single" w:color="auto" w:sz="4" w:space="0"/>
              <w:left w:val="single" w:color="auto" w:sz="4" w:space="0"/>
              <w:bottom w:val="single" w:color="auto" w:sz="4" w:space="0"/>
              <w:right w:val="single" w:color="auto" w:sz="4" w:space="0"/>
            </w:tcBorders>
            <w:vAlign w:val="center"/>
          </w:tcPr>
          <w:p>
            <w:pPr>
              <w:bidi w:val="0"/>
              <w:rPr>
                <w:b/>
                <w:bCs/>
              </w:rPr>
            </w:pPr>
            <w:bookmarkStart w:id="504" w:name="_Toc5539"/>
            <w:bookmarkStart w:id="505" w:name="_Toc30460"/>
            <w:r>
              <w:rPr>
                <w:rFonts w:hint="eastAsia"/>
                <w:b/>
                <w:bCs/>
              </w:rPr>
              <w:t>规格参数</w:t>
            </w:r>
            <w:bookmarkEnd w:id="504"/>
            <w:bookmarkEnd w:id="505"/>
          </w:p>
        </w:tc>
        <w:tc>
          <w:tcPr>
            <w:tcW w:w="1418" w:type="dxa"/>
            <w:tcBorders>
              <w:top w:val="single" w:color="auto" w:sz="4" w:space="0"/>
              <w:left w:val="single" w:color="auto" w:sz="4" w:space="0"/>
              <w:bottom w:val="single" w:color="auto" w:sz="4" w:space="0"/>
              <w:right w:val="single" w:color="auto" w:sz="4" w:space="0"/>
            </w:tcBorders>
            <w:vAlign w:val="center"/>
          </w:tcPr>
          <w:p>
            <w:pPr>
              <w:bidi w:val="0"/>
              <w:rPr>
                <w:b/>
                <w:bCs/>
              </w:rPr>
            </w:pPr>
            <w:bookmarkStart w:id="506" w:name="_Toc19401"/>
            <w:bookmarkStart w:id="507" w:name="_Toc30604"/>
            <w:r>
              <w:rPr>
                <w:rFonts w:hint="eastAsia"/>
                <w:b/>
                <w:bCs/>
              </w:rPr>
              <w:t>数量</w:t>
            </w:r>
            <w:bookmarkEnd w:id="506"/>
            <w:bookmarkEnd w:id="507"/>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bookmarkStart w:id="508" w:name="_Toc6472"/>
            <w:bookmarkStart w:id="509" w:name="_Toc24884"/>
            <w:r>
              <w:rPr>
                <w:rFonts w:hint="eastAsia"/>
                <w:b/>
                <w:bCs/>
              </w:rPr>
              <w:t>产地</w:t>
            </w:r>
            <w:bookmarkEnd w:id="508"/>
            <w:bookmarkEnd w:id="509"/>
          </w:p>
        </w:tc>
        <w:tc>
          <w:tcPr>
            <w:tcW w:w="1347" w:type="dxa"/>
            <w:tcBorders>
              <w:top w:val="single" w:color="auto" w:sz="4" w:space="0"/>
              <w:left w:val="single" w:color="auto" w:sz="4" w:space="0"/>
              <w:bottom w:val="single" w:color="auto" w:sz="4" w:space="0"/>
              <w:right w:val="single" w:color="auto" w:sz="4" w:space="0"/>
            </w:tcBorders>
            <w:vAlign w:val="center"/>
          </w:tcPr>
          <w:p>
            <w:pPr>
              <w:bidi w:val="0"/>
              <w:rPr>
                <w:b/>
                <w:bCs/>
              </w:rPr>
            </w:pPr>
            <w:bookmarkStart w:id="510" w:name="_Toc31850"/>
            <w:bookmarkStart w:id="511" w:name="_Toc4900"/>
            <w:r>
              <w:rPr>
                <w:rFonts w:hint="eastAsia"/>
                <w:b/>
                <w:bCs/>
              </w:rPr>
              <w:t>备注</w:t>
            </w:r>
            <w:bookmarkEnd w:id="510"/>
            <w:bookmarkEnd w:id="5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12" w:name="_Toc24021"/>
            <w:bookmarkStart w:id="513" w:name="_Toc24009"/>
            <w:r>
              <w:rPr>
                <w:rFonts w:hint="eastAsia"/>
                <w:b/>
                <w:bCs/>
              </w:rPr>
              <w:t>1</w:t>
            </w:r>
            <w:bookmarkEnd w:id="512"/>
            <w:bookmarkEnd w:id="513"/>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14" w:name="_Toc5360"/>
            <w:bookmarkStart w:id="515" w:name="_Toc4114"/>
            <w:r>
              <w:rPr>
                <w:rFonts w:hint="eastAsia"/>
                <w:b/>
                <w:bCs/>
              </w:rPr>
              <w:t>2</w:t>
            </w:r>
            <w:bookmarkEnd w:id="514"/>
            <w:bookmarkEnd w:id="515"/>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16" w:name="_Toc16618"/>
            <w:bookmarkStart w:id="517" w:name="_Toc20754"/>
            <w:r>
              <w:rPr>
                <w:rFonts w:hint="eastAsia"/>
                <w:b/>
                <w:bCs/>
              </w:rPr>
              <w:t>3</w:t>
            </w:r>
            <w:bookmarkEnd w:id="516"/>
            <w:bookmarkEnd w:id="517"/>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18" w:name="_Toc18281"/>
            <w:bookmarkStart w:id="519" w:name="_Toc17568"/>
            <w:r>
              <w:rPr>
                <w:rFonts w:hint="eastAsia"/>
                <w:b/>
                <w:bCs/>
              </w:rPr>
              <w:t>4</w:t>
            </w:r>
            <w:bookmarkEnd w:id="518"/>
            <w:bookmarkEnd w:id="519"/>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20" w:name="_Toc30338"/>
            <w:bookmarkStart w:id="521" w:name="_Toc28348"/>
            <w:r>
              <w:rPr>
                <w:rFonts w:hint="eastAsia"/>
                <w:b/>
                <w:bCs/>
              </w:rPr>
              <w:t>5</w:t>
            </w:r>
            <w:bookmarkEnd w:id="520"/>
            <w:bookmarkEnd w:id="521"/>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22" w:name="_Toc11288"/>
            <w:bookmarkStart w:id="523" w:name="_Toc4981"/>
            <w:r>
              <w:rPr>
                <w:rFonts w:hint="eastAsia"/>
                <w:b/>
                <w:bCs/>
              </w:rPr>
              <w:t>6</w:t>
            </w:r>
            <w:bookmarkEnd w:id="522"/>
            <w:bookmarkEnd w:id="523"/>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24" w:name="_Toc28326"/>
            <w:bookmarkStart w:id="525" w:name="_Toc28499"/>
            <w:r>
              <w:rPr>
                <w:rFonts w:hint="eastAsia"/>
                <w:b/>
                <w:bCs/>
              </w:rPr>
              <w:t>7</w:t>
            </w:r>
            <w:bookmarkEnd w:id="524"/>
            <w:bookmarkEnd w:id="525"/>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26" w:name="_Toc28171"/>
            <w:bookmarkStart w:id="527" w:name="_Toc28484"/>
            <w:r>
              <w:rPr>
                <w:rFonts w:hint="eastAsia"/>
                <w:b/>
                <w:bCs/>
              </w:rPr>
              <w:t>8</w:t>
            </w:r>
            <w:bookmarkEnd w:id="526"/>
            <w:bookmarkEnd w:id="527"/>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28" w:name="_Toc13797"/>
            <w:bookmarkStart w:id="529" w:name="_Toc29123"/>
            <w:r>
              <w:rPr>
                <w:rFonts w:hint="eastAsia"/>
                <w:b/>
                <w:bCs/>
              </w:rPr>
              <w:t>9</w:t>
            </w:r>
            <w:bookmarkEnd w:id="528"/>
            <w:bookmarkEnd w:id="529"/>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30" w:name="_Toc31403"/>
            <w:bookmarkStart w:id="531" w:name="_Toc27779"/>
            <w:r>
              <w:rPr>
                <w:rFonts w:hint="eastAsia"/>
                <w:b/>
                <w:bCs/>
              </w:rPr>
              <w:t>10</w:t>
            </w:r>
            <w:bookmarkEnd w:id="530"/>
            <w:bookmarkEnd w:id="531"/>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32" w:name="_Toc19464"/>
            <w:bookmarkStart w:id="533" w:name="_Toc6648"/>
            <w:r>
              <w:rPr>
                <w:rFonts w:hint="eastAsia"/>
                <w:b/>
                <w:bCs/>
              </w:rPr>
              <w:t>11</w:t>
            </w:r>
            <w:bookmarkEnd w:id="532"/>
            <w:bookmarkEnd w:id="533"/>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34" w:name="_Toc23250"/>
            <w:bookmarkStart w:id="535" w:name="_Toc2860"/>
            <w:r>
              <w:rPr>
                <w:rFonts w:hint="eastAsia"/>
                <w:b/>
                <w:bCs/>
              </w:rPr>
              <w:t>12</w:t>
            </w:r>
            <w:bookmarkEnd w:id="534"/>
            <w:bookmarkEnd w:id="535"/>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36" w:name="_Toc16385"/>
            <w:bookmarkStart w:id="537" w:name="_Toc4812"/>
            <w:r>
              <w:rPr>
                <w:rFonts w:hint="eastAsia"/>
                <w:b/>
                <w:bCs/>
              </w:rPr>
              <w:t>13</w:t>
            </w:r>
            <w:bookmarkEnd w:id="536"/>
            <w:bookmarkEnd w:id="537"/>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38" w:name="_Toc19773"/>
            <w:bookmarkStart w:id="539" w:name="_Toc21095"/>
            <w:r>
              <w:rPr>
                <w:rFonts w:hint="eastAsia"/>
                <w:b/>
                <w:bCs/>
              </w:rPr>
              <w:t>14</w:t>
            </w:r>
            <w:bookmarkEnd w:id="538"/>
            <w:bookmarkEnd w:id="539"/>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40" w:name="_Toc3794"/>
            <w:bookmarkStart w:id="541" w:name="_Toc6035"/>
            <w:r>
              <w:rPr>
                <w:rFonts w:hint="eastAsia"/>
                <w:b/>
                <w:bCs/>
              </w:rPr>
              <w:t>15</w:t>
            </w:r>
            <w:bookmarkEnd w:id="540"/>
            <w:bookmarkEnd w:id="541"/>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42" w:name="_Toc9619"/>
            <w:bookmarkStart w:id="543" w:name="_Toc26052"/>
            <w:r>
              <w:rPr>
                <w:rFonts w:hint="eastAsia"/>
                <w:b/>
                <w:bCs/>
              </w:rPr>
              <w:t>16</w:t>
            </w:r>
            <w:bookmarkEnd w:id="542"/>
            <w:bookmarkEnd w:id="543"/>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44" w:name="_Toc11797"/>
            <w:bookmarkStart w:id="545" w:name="_Toc25860"/>
            <w:r>
              <w:rPr>
                <w:rFonts w:hint="eastAsia"/>
                <w:b/>
                <w:bCs/>
              </w:rPr>
              <w:t>17</w:t>
            </w:r>
            <w:bookmarkEnd w:id="544"/>
            <w:bookmarkEnd w:id="545"/>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tcBorders>
              <w:top w:val="single" w:color="auto" w:sz="4" w:space="0"/>
              <w:left w:val="single" w:color="auto" w:sz="4" w:space="0"/>
              <w:bottom w:val="single" w:color="auto" w:sz="4" w:space="0"/>
              <w:right w:val="single" w:color="auto" w:sz="4" w:space="0"/>
            </w:tcBorders>
            <w:vAlign w:val="bottom"/>
          </w:tcPr>
          <w:p>
            <w:pPr>
              <w:bidi w:val="0"/>
              <w:rPr>
                <w:b/>
                <w:bCs/>
              </w:rPr>
            </w:pPr>
            <w:bookmarkStart w:id="546" w:name="_Toc8441"/>
            <w:bookmarkStart w:id="547" w:name="_Toc16622"/>
            <w:r>
              <w:rPr>
                <w:rFonts w:hint="eastAsia"/>
                <w:b/>
                <w:bCs/>
              </w:rPr>
              <w:t>18</w:t>
            </w:r>
            <w:bookmarkEnd w:id="546"/>
            <w:bookmarkEnd w:id="547"/>
          </w:p>
        </w:tc>
        <w:tc>
          <w:tcPr>
            <w:tcW w:w="2389"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710"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418" w:type="dxa"/>
            <w:tcBorders>
              <w:top w:val="single" w:color="auto" w:sz="4" w:space="0"/>
              <w:left w:val="single" w:color="auto" w:sz="4" w:space="0"/>
              <w:bottom w:val="single" w:color="auto" w:sz="4" w:space="0"/>
              <w:right w:val="single" w:color="auto" w:sz="4" w:space="0"/>
            </w:tcBorders>
            <w:vAlign w:val="bottom"/>
          </w:tcPr>
          <w:p>
            <w:pPr>
              <w:bidi w:val="0"/>
              <w:rPr>
                <w:b/>
                <w:bCs/>
              </w:rPr>
            </w:pPr>
          </w:p>
        </w:tc>
        <w:tc>
          <w:tcPr>
            <w:tcW w:w="1134" w:type="dxa"/>
            <w:tcBorders>
              <w:top w:val="single" w:color="auto" w:sz="4" w:space="0"/>
              <w:left w:val="single" w:color="auto" w:sz="4" w:space="0"/>
              <w:bottom w:val="single" w:color="auto" w:sz="4" w:space="0"/>
              <w:right w:val="single" w:color="auto" w:sz="4" w:space="0"/>
            </w:tcBorders>
            <w:vAlign w:val="center"/>
          </w:tcPr>
          <w:p>
            <w:pPr>
              <w:bidi w:val="0"/>
              <w:rPr>
                <w:b/>
                <w:bCs/>
              </w:rPr>
            </w:pPr>
          </w:p>
        </w:tc>
        <w:tc>
          <w:tcPr>
            <w:tcW w:w="1347" w:type="dxa"/>
            <w:tcBorders>
              <w:top w:val="single" w:color="auto" w:sz="4" w:space="0"/>
              <w:left w:val="single" w:color="auto" w:sz="4" w:space="0"/>
              <w:bottom w:val="single" w:color="auto" w:sz="4" w:space="0"/>
              <w:right w:val="single" w:color="auto" w:sz="4" w:space="0"/>
            </w:tcBorders>
          </w:tcPr>
          <w:p>
            <w:pPr>
              <w:bidi w:val="0"/>
              <w:rPr>
                <w:b/>
                <w:bCs/>
              </w:rPr>
            </w:pPr>
          </w:p>
        </w:tc>
      </w:tr>
    </w:tbl>
    <w:p>
      <w:pPr>
        <w:bidi w:val="0"/>
      </w:pPr>
    </w:p>
    <w:p>
      <w:pPr>
        <w:pStyle w:val="3"/>
        <w:spacing w:line="360" w:lineRule="auto"/>
        <w:jc w:val="center"/>
        <w:outlineLvl w:val="9"/>
        <w:rPr>
          <w:rFonts w:ascii="宋体" w:cs="宋体"/>
          <w:color w:val="auto"/>
          <w:sz w:val="24"/>
          <w:highlight w:val="none"/>
          <w:u w:val="single"/>
        </w:rPr>
        <w:sectPr>
          <w:headerReference r:id="rId12" w:type="first"/>
          <w:footerReference r:id="rId14" w:type="first"/>
          <w:headerReference r:id="rId11" w:type="default"/>
          <w:footerReference r:id="rId13" w:type="default"/>
          <w:pgSz w:w="11906" w:h="16838"/>
          <w:pgMar w:top="1440" w:right="1841" w:bottom="1440" w:left="1803" w:header="1134" w:footer="992" w:gutter="0"/>
          <w:cols w:space="720" w:num="1"/>
          <w:titlePg/>
          <w:docGrid w:type="lines" w:linePitch="333" w:charSpace="0"/>
        </w:sectPr>
      </w:pPr>
      <w:r>
        <w:rPr>
          <w:rFonts w:hint="eastAsia" w:ascii="宋体" w:cs="宋体"/>
          <w:color w:val="auto"/>
          <w:sz w:val="24"/>
          <w:highlight w:val="none"/>
          <w:u w:val="single"/>
        </w:rPr>
        <w:br w:type="page"/>
      </w:r>
      <w:bookmarkStart w:id="548" w:name="_Toc317530110"/>
      <w:bookmarkStart w:id="549" w:name="_Toc389582038"/>
      <w:bookmarkStart w:id="550" w:name="_Toc28974"/>
      <w:bookmarkStart w:id="551" w:name="_Toc4053"/>
      <w:bookmarkStart w:id="552" w:name="_Toc2711"/>
      <w:bookmarkStart w:id="553" w:name="_Toc610"/>
      <w:bookmarkStart w:id="554" w:name="_Toc11450"/>
      <w:bookmarkStart w:id="555" w:name="_Toc1025"/>
      <w:bookmarkStart w:id="556" w:name="_Toc20481"/>
      <w:bookmarkStart w:id="557" w:name="_Toc23856"/>
    </w:p>
    <w:p>
      <w:pPr>
        <w:spacing w:line="360" w:lineRule="auto"/>
        <w:jc w:val="center"/>
        <w:outlineLvl w:val="0"/>
        <w:rPr>
          <w:rStyle w:val="39"/>
          <w:rFonts w:hint="eastAsia" w:ascii="宋体" w:hAnsi="宋体" w:eastAsia="宋体" w:cs="宋体"/>
          <w:color w:val="auto"/>
          <w:sz w:val="36"/>
          <w:szCs w:val="36"/>
          <w:highlight w:val="none"/>
        </w:rPr>
      </w:pPr>
      <w:bookmarkStart w:id="558" w:name="_Toc2864"/>
      <w:bookmarkStart w:id="559" w:name="_Toc6767"/>
      <w:bookmarkStart w:id="560" w:name="_Toc24261"/>
      <w:bookmarkStart w:id="561" w:name="_Toc23793"/>
      <w:r>
        <w:rPr>
          <w:rStyle w:val="39"/>
          <w:rFonts w:hint="eastAsia" w:ascii="宋体" w:hAnsi="宋体" w:eastAsia="宋体" w:cs="宋体"/>
          <w:color w:val="auto"/>
          <w:sz w:val="36"/>
          <w:szCs w:val="36"/>
          <w:highlight w:val="none"/>
        </w:rPr>
        <w:t>第五章  采购内容及技术要求</w:t>
      </w:r>
      <w:bookmarkEnd w:id="219"/>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Start w:id="562" w:name="_Toc8830"/>
      <w:bookmarkStart w:id="563" w:name="_Toc22538"/>
      <w:bookmarkStart w:id="564" w:name="_Toc18697"/>
      <w:bookmarkStart w:id="565" w:name="_Toc426457698"/>
      <w:bookmarkStart w:id="566" w:name="_Toc363474025"/>
      <w:bookmarkStart w:id="567" w:name="_Toc28411"/>
    </w:p>
    <w:p>
      <w:pPr>
        <w:pStyle w:val="2"/>
        <w:numPr>
          <w:ilvl w:val="0"/>
          <w:numId w:val="0"/>
        </w:numPr>
        <w:ind w:leftChars="0"/>
        <w:rPr>
          <w:rFonts w:hint="eastAsia" w:ascii="Arial" w:hAnsi="Arial" w:eastAsia="黑体" w:cs="Times New Roman"/>
          <w:b/>
          <w:kern w:val="2"/>
          <w:sz w:val="32"/>
          <w:lang w:val="en-US" w:eastAsia="zh-CN" w:bidi="ar-SA"/>
        </w:rPr>
      </w:pPr>
      <w:bookmarkStart w:id="568" w:name="_Toc9650"/>
      <w:bookmarkStart w:id="569" w:name="_Toc26111"/>
      <w:bookmarkStart w:id="570" w:name="_Toc19510"/>
      <w:bookmarkStart w:id="571" w:name="_Toc22206"/>
      <w:r>
        <w:rPr>
          <w:rFonts w:hint="eastAsia" w:ascii="Arial" w:hAnsi="Arial" w:eastAsia="黑体" w:cs="Times New Roman"/>
          <w:b/>
          <w:kern w:val="2"/>
          <w:sz w:val="32"/>
          <w:lang w:val="en-US" w:eastAsia="zh-CN" w:bidi="ar-SA"/>
        </w:rPr>
        <w:t>1、产品清单</w:t>
      </w:r>
      <w:bookmarkEnd w:id="568"/>
      <w:bookmarkEnd w:id="569"/>
      <w:bookmarkEnd w:id="570"/>
      <w:bookmarkEnd w:id="571"/>
    </w:p>
    <w:tbl>
      <w:tblPr>
        <w:tblStyle w:val="22"/>
        <w:tblpPr w:leftFromText="180" w:rightFromText="180" w:vertAnchor="text" w:horzAnchor="page" w:tblpX="1633" w:tblpY="117"/>
        <w:tblOverlap w:val="never"/>
        <w:tblW w:w="8642" w:type="dxa"/>
        <w:tblInd w:w="0" w:type="dxa"/>
        <w:shd w:val="clear" w:color="auto" w:fill="FFFFFF"/>
        <w:tblLayout w:type="fixed"/>
        <w:tblCellMar>
          <w:top w:w="0" w:type="dxa"/>
          <w:left w:w="108" w:type="dxa"/>
          <w:bottom w:w="0" w:type="dxa"/>
          <w:right w:w="108" w:type="dxa"/>
        </w:tblCellMar>
      </w:tblPr>
      <w:tblGrid>
        <w:gridCol w:w="1068"/>
        <w:gridCol w:w="4456"/>
        <w:gridCol w:w="1989"/>
        <w:gridCol w:w="1129"/>
      </w:tblGrid>
      <w:tr>
        <w:tblPrEx>
          <w:shd w:val="clear" w:color="auto" w:fill="FFFFFF"/>
          <w:tblCellMar>
            <w:top w:w="0" w:type="dxa"/>
            <w:left w:w="108" w:type="dxa"/>
            <w:bottom w:w="0" w:type="dxa"/>
            <w:right w:w="108" w:type="dxa"/>
          </w:tblCellMar>
        </w:tblPrEx>
        <w:trPr>
          <w:trHeight w:val="587" w:hRule="atLeast"/>
          <w:tblHeader/>
        </w:trPr>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textAlignment w:val="bottom"/>
              <w:rPr>
                <w:rFonts w:ascii="仿宋" w:hAnsi="仿宋" w:cs="仿宋"/>
                <w:b/>
                <w:bCs/>
              </w:rPr>
            </w:pPr>
            <w:r>
              <w:rPr>
                <w:rFonts w:hint="eastAsia" w:ascii="仿宋" w:hAnsi="仿宋" w:cs="仿宋"/>
                <w:b/>
                <w:bCs/>
                <w:kern w:val="0"/>
                <w:lang w:bidi="ar"/>
              </w:rPr>
              <w:t>序号</w:t>
            </w:r>
          </w:p>
        </w:tc>
        <w:tc>
          <w:tcPr>
            <w:tcW w:w="445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textAlignment w:val="bottom"/>
              <w:rPr>
                <w:rFonts w:ascii="仿宋" w:hAnsi="仿宋" w:cs="仿宋"/>
                <w:b/>
                <w:bCs/>
              </w:rPr>
            </w:pPr>
            <w:r>
              <w:rPr>
                <w:rFonts w:hint="eastAsia" w:ascii="仿宋" w:hAnsi="仿宋" w:cs="仿宋"/>
                <w:b/>
                <w:bCs/>
                <w:kern w:val="0"/>
                <w:lang w:bidi="ar"/>
              </w:rPr>
              <w:t>产品名称</w:t>
            </w:r>
          </w:p>
        </w:tc>
        <w:tc>
          <w:tcPr>
            <w:tcW w:w="1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b/>
                <w:bCs/>
              </w:rPr>
            </w:pPr>
            <w:r>
              <w:rPr>
                <w:rFonts w:hint="eastAsia" w:ascii="仿宋" w:hAnsi="仿宋" w:cs="仿宋"/>
                <w:b/>
                <w:bCs/>
                <w:kern w:val="0"/>
                <w:lang w:bidi="ar"/>
              </w:rPr>
              <w:t>数量（套/台）</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b/>
                <w:bCs/>
                <w:kern w:val="0"/>
                <w:lang w:bidi="ar"/>
              </w:rPr>
            </w:pPr>
            <w:r>
              <w:rPr>
                <w:rFonts w:hint="eastAsia" w:ascii="仿宋" w:hAnsi="仿宋" w:cs="仿宋"/>
                <w:b/>
                <w:bCs/>
                <w:kern w:val="0"/>
                <w:lang w:bidi="ar"/>
              </w:rPr>
              <w:t>备注</w:t>
            </w:r>
          </w:p>
        </w:tc>
      </w:tr>
      <w:tr>
        <w:tblPrEx>
          <w:shd w:val="clear" w:color="auto" w:fill="FFFFFF"/>
          <w:tblCellMar>
            <w:top w:w="0" w:type="dxa"/>
            <w:left w:w="108" w:type="dxa"/>
            <w:bottom w:w="0" w:type="dxa"/>
            <w:right w:w="108" w:type="dxa"/>
          </w:tblCellMar>
        </w:tblPrEx>
        <w:trPr>
          <w:trHeight w:val="587"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rPr>
            </w:pPr>
            <w:r>
              <w:rPr>
                <w:rFonts w:hint="eastAsia" w:ascii="仿宋" w:hAnsi="仿宋" w:cs="仿宋"/>
                <w:kern w:val="0"/>
                <w:lang w:bidi="ar"/>
              </w:rPr>
              <w:t>1</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rPr>
            </w:pPr>
            <w:r>
              <w:rPr>
                <w:rFonts w:hint="eastAsia" w:ascii="仿宋" w:hAnsi="仿宋" w:cs="仿宋"/>
                <w:kern w:val="0"/>
                <w:lang w:bidi="ar"/>
              </w:rPr>
              <w:t>超融合软件</w:t>
            </w:r>
          </w:p>
        </w:tc>
        <w:tc>
          <w:tcPr>
            <w:tcW w:w="1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rPr>
            </w:pPr>
            <w:r>
              <w:rPr>
                <w:rFonts w:ascii="仿宋" w:hAnsi="仿宋" w:cs="仿宋"/>
                <w:kern w:val="0"/>
                <w:lang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kern w:val="0"/>
                <w:lang w:bidi="ar"/>
              </w:rPr>
            </w:pPr>
          </w:p>
        </w:tc>
      </w:tr>
      <w:tr>
        <w:tblPrEx>
          <w:shd w:val="clear" w:color="auto" w:fill="FFFFFF"/>
          <w:tblCellMar>
            <w:top w:w="0" w:type="dxa"/>
            <w:left w:w="108" w:type="dxa"/>
            <w:bottom w:w="0" w:type="dxa"/>
            <w:right w:w="108" w:type="dxa"/>
          </w:tblCellMar>
        </w:tblPrEx>
        <w:trPr>
          <w:trHeight w:val="587"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rPr>
            </w:pPr>
            <w:r>
              <w:rPr>
                <w:rFonts w:hint="eastAsia" w:ascii="仿宋" w:hAnsi="仿宋" w:cs="仿宋"/>
                <w:kern w:val="0"/>
                <w:lang w:bidi="ar"/>
              </w:rPr>
              <w:t>2</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rPr>
            </w:pPr>
            <w:r>
              <w:rPr>
                <w:rFonts w:hint="eastAsia" w:ascii="仿宋" w:hAnsi="仿宋" w:cs="仿宋"/>
                <w:kern w:val="0"/>
                <w:lang w:bidi="ar"/>
              </w:rPr>
              <w:t>超融合服务器</w:t>
            </w:r>
          </w:p>
        </w:tc>
        <w:tc>
          <w:tcPr>
            <w:tcW w:w="1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rPr>
            </w:pPr>
            <w:r>
              <w:rPr>
                <w:rFonts w:ascii="仿宋" w:hAnsi="仿宋" w:cs="仿宋"/>
                <w:kern w:val="0"/>
                <w:lang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kern w:val="0"/>
                <w:lang w:bidi="ar"/>
              </w:rPr>
            </w:pPr>
          </w:p>
        </w:tc>
      </w:tr>
      <w:tr>
        <w:tblPrEx>
          <w:shd w:val="clear" w:color="auto" w:fill="FFFFFF"/>
          <w:tblCellMar>
            <w:top w:w="0" w:type="dxa"/>
            <w:left w:w="108" w:type="dxa"/>
            <w:bottom w:w="0" w:type="dxa"/>
            <w:right w:w="108" w:type="dxa"/>
          </w:tblCellMar>
        </w:tblPrEx>
        <w:trPr>
          <w:trHeight w:val="587"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rPr>
            </w:pPr>
            <w:r>
              <w:rPr>
                <w:rFonts w:hint="eastAsia" w:ascii="仿宋" w:hAnsi="仿宋" w:cs="仿宋"/>
                <w:kern w:val="0"/>
                <w:lang w:bidi="ar"/>
              </w:rPr>
              <w:t>3</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rPr>
            </w:pPr>
            <w:r>
              <w:rPr>
                <w:rFonts w:hint="eastAsia" w:ascii="仿宋" w:hAnsi="仿宋" w:cs="仿宋"/>
                <w:kern w:val="0"/>
                <w:lang w:bidi="ar"/>
              </w:rPr>
              <w:t>超融合存储交换机</w:t>
            </w:r>
          </w:p>
        </w:tc>
        <w:tc>
          <w:tcPr>
            <w:tcW w:w="1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rPr>
            </w:pPr>
            <w:r>
              <w:rPr>
                <w:rFonts w:hint="eastAsia" w:ascii="仿宋" w:hAnsi="仿宋" w:cs="仿宋"/>
                <w:kern w:val="0"/>
                <w:lang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kern w:val="0"/>
                <w:lang w:bidi="ar"/>
              </w:rPr>
            </w:pPr>
          </w:p>
        </w:tc>
      </w:tr>
      <w:tr>
        <w:tblPrEx>
          <w:shd w:val="clear" w:color="auto" w:fill="FFFFFF"/>
          <w:tblCellMar>
            <w:top w:w="0" w:type="dxa"/>
            <w:left w:w="108" w:type="dxa"/>
            <w:bottom w:w="0" w:type="dxa"/>
            <w:right w:w="108" w:type="dxa"/>
          </w:tblCellMar>
        </w:tblPrEx>
        <w:trPr>
          <w:trHeight w:val="587"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rPr>
            </w:pPr>
            <w:r>
              <w:rPr>
                <w:rFonts w:hint="eastAsia" w:ascii="仿宋" w:hAnsi="仿宋" w:cs="仿宋"/>
                <w:kern w:val="0"/>
                <w:lang w:bidi="ar"/>
              </w:rPr>
              <w:t>4</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rPr>
            </w:pPr>
            <w:r>
              <w:rPr>
                <w:rFonts w:hint="eastAsia" w:ascii="仿宋" w:hAnsi="仿宋" w:cs="仿宋"/>
                <w:kern w:val="0"/>
                <w:lang w:val="en-US" w:eastAsia="zh-CN" w:bidi="ar"/>
              </w:rPr>
              <w:t>内网虚拟化</w:t>
            </w:r>
            <w:r>
              <w:rPr>
                <w:rFonts w:hint="eastAsia" w:ascii="仿宋" w:hAnsi="仿宋" w:cs="仿宋"/>
                <w:kern w:val="0"/>
                <w:lang w:bidi="ar"/>
              </w:rPr>
              <w:t>服务器硬件扩容</w:t>
            </w:r>
          </w:p>
        </w:tc>
        <w:tc>
          <w:tcPr>
            <w:tcW w:w="1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rPr>
            </w:pPr>
            <w:r>
              <w:rPr>
                <w:rFonts w:ascii="仿宋" w:hAnsi="仿宋" w:cs="仿宋"/>
                <w:kern w:val="0"/>
                <w:lang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kern w:val="0"/>
                <w:lang w:bidi="ar"/>
              </w:rPr>
            </w:pPr>
          </w:p>
        </w:tc>
      </w:tr>
      <w:tr>
        <w:tblPrEx>
          <w:shd w:val="clear" w:color="auto" w:fill="FFFFFF"/>
          <w:tblCellMar>
            <w:top w:w="0" w:type="dxa"/>
            <w:left w:w="108" w:type="dxa"/>
            <w:bottom w:w="0" w:type="dxa"/>
            <w:right w:w="108" w:type="dxa"/>
          </w:tblCellMar>
        </w:tblPrEx>
        <w:trPr>
          <w:trHeight w:val="587"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kern w:val="0"/>
                <w:lang w:bidi="ar"/>
              </w:rPr>
            </w:pPr>
            <w:r>
              <w:rPr>
                <w:rFonts w:hint="eastAsia" w:ascii="仿宋" w:hAnsi="仿宋" w:cs="仿宋"/>
                <w:kern w:val="0"/>
                <w:lang w:bidi="ar"/>
              </w:rPr>
              <w:t>5</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kern w:val="0"/>
                <w:lang w:bidi="ar"/>
              </w:rPr>
            </w:pPr>
            <w:r>
              <w:rPr>
                <w:rFonts w:hint="eastAsia" w:ascii="仿宋" w:hAnsi="仿宋" w:cs="仿宋"/>
                <w:kern w:val="0"/>
                <w:lang w:val="en-US" w:eastAsia="zh-CN" w:bidi="ar"/>
              </w:rPr>
              <w:t>内网</w:t>
            </w:r>
            <w:r>
              <w:rPr>
                <w:rFonts w:hint="eastAsia" w:ascii="仿宋" w:hAnsi="仿宋" w:cs="仿宋"/>
                <w:kern w:val="0"/>
                <w:lang w:bidi="ar"/>
              </w:rPr>
              <w:t>利旧服务器软硬件扩容</w:t>
            </w:r>
          </w:p>
        </w:tc>
        <w:tc>
          <w:tcPr>
            <w:tcW w:w="1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kern w:val="0"/>
                <w:lang w:bidi="ar"/>
              </w:rPr>
            </w:pPr>
            <w:r>
              <w:rPr>
                <w:rFonts w:ascii="仿宋" w:hAnsi="仿宋" w:cs="仿宋"/>
                <w:kern w:val="0"/>
                <w:lang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kern w:val="0"/>
                <w:lang w:bidi="ar"/>
              </w:rPr>
            </w:pPr>
          </w:p>
        </w:tc>
      </w:tr>
      <w:tr>
        <w:tblPrEx>
          <w:tblCellMar>
            <w:top w:w="0" w:type="dxa"/>
            <w:left w:w="108" w:type="dxa"/>
            <w:bottom w:w="0" w:type="dxa"/>
            <w:right w:w="108" w:type="dxa"/>
          </w:tblCellMar>
        </w:tblPrEx>
        <w:trPr>
          <w:trHeight w:val="587"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rPr>
            </w:pPr>
            <w:r>
              <w:rPr>
                <w:rFonts w:ascii="仿宋" w:hAnsi="仿宋" w:cs="仿宋"/>
                <w:kern w:val="0"/>
                <w:lang w:bidi="ar"/>
              </w:rPr>
              <w:t>6</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cs="仿宋"/>
              </w:rPr>
            </w:pPr>
            <w:r>
              <w:rPr>
                <w:rFonts w:hint="eastAsia" w:ascii="仿宋" w:hAnsi="仿宋" w:cs="仿宋"/>
                <w:kern w:val="0"/>
                <w:lang w:val="en-US" w:eastAsia="zh-CN" w:bidi="ar"/>
              </w:rPr>
              <w:t>内网</w:t>
            </w:r>
            <w:r>
              <w:rPr>
                <w:rFonts w:hint="eastAsia" w:ascii="仿宋" w:hAnsi="仿宋" w:cs="仿宋"/>
                <w:kern w:val="0"/>
                <w:lang w:bidi="ar"/>
              </w:rPr>
              <w:t>虚拟化存储扩容</w:t>
            </w:r>
          </w:p>
        </w:tc>
        <w:tc>
          <w:tcPr>
            <w:tcW w:w="1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rPr>
            </w:pPr>
            <w:r>
              <w:rPr>
                <w:rFonts w:hint="eastAsia" w:ascii="仿宋" w:hAnsi="仿宋" w:cs="仿宋"/>
                <w:kern w:val="0"/>
                <w:lang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kern w:val="0"/>
                <w:lang w:bidi="ar"/>
              </w:rPr>
            </w:pPr>
          </w:p>
        </w:tc>
      </w:tr>
      <w:tr>
        <w:tblPrEx>
          <w:tblCellMar>
            <w:top w:w="0" w:type="dxa"/>
            <w:left w:w="108" w:type="dxa"/>
            <w:bottom w:w="0" w:type="dxa"/>
            <w:right w:w="108" w:type="dxa"/>
          </w:tblCellMar>
        </w:tblPrEx>
        <w:trPr>
          <w:trHeight w:val="587" w:hRule="atLeast"/>
        </w:trPr>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eastAsia="宋体" w:cs="仿宋"/>
                <w:kern w:val="0"/>
                <w:sz w:val="21"/>
                <w:szCs w:val="24"/>
                <w:lang w:val="en-US" w:eastAsia="zh-CN" w:bidi="ar"/>
              </w:rPr>
            </w:pPr>
            <w:r>
              <w:rPr>
                <w:rFonts w:hint="eastAsia" w:ascii="仿宋" w:hAnsi="仿宋" w:cs="仿宋"/>
                <w:kern w:val="0"/>
                <w:lang w:val="en-US" w:eastAsia="zh-CN" w:bidi="ar"/>
              </w:rPr>
              <w:t>7</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 w:hAnsi="仿宋" w:cs="仿宋" w:eastAsiaTheme="minorEastAsia"/>
                <w:kern w:val="0"/>
                <w:sz w:val="21"/>
                <w:szCs w:val="24"/>
                <w:lang w:val="en-US" w:eastAsia="zh-CN" w:bidi="ar"/>
              </w:rPr>
            </w:pPr>
            <w:r>
              <w:rPr>
                <w:rFonts w:hint="eastAsia" w:ascii="仿宋" w:hAnsi="仿宋" w:cs="仿宋"/>
                <w:kern w:val="0"/>
                <w:lang w:val="en-US" w:eastAsia="zh-CN" w:bidi="ar"/>
              </w:rPr>
              <w:t>虚拟化扩容配件</w:t>
            </w:r>
          </w:p>
        </w:tc>
        <w:tc>
          <w:tcPr>
            <w:tcW w:w="1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宋体" w:cs="仿宋"/>
                <w:kern w:val="0"/>
                <w:sz w:val="21"/>
                <w:szCs w:val="24"/>
                <w:lang w:val="en-US" w:eastAsia="zh-CN" w:bidi="ar"/>
              </w:rPr>
            </w:pPr>
            <w:r>
              <w:rPr>
                <w:rFonts w:hint="eastAsia" w:ascii="仿宋" w:hAnsi="仿宋" w:cs="仿宋"/>
                <w:kern w:val="0"/>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cs="仿宋" w:eastAsiaTheme="minorEastAsia"/>
                <w:kern w:val="0"/>
                <w:sz w:val="21"/>
                <w:szCs w:val="24"/>
                <w:lang w:val="en-US" w:eastAsia="zh-CN" w:bidi="ar"/>
              </w:rPr>
            </w:pPr>
          </w:p>
        </w:tc>
      </w:tr>
    </w:tbl>
    <w:p/>
    <w:p/>
    <w:p/>
    <w:p/>
    <w:p/>
    <w:p/>
    <w:p/>
    <w:p/>
    <w:p/>
    <w:p/>
    <w:p/>
    <w:p>
      <w:pPr>
        <w:pStyle w:val="2"/>
        <w:numPr>
          <w:ilvl w:val="0"/>
          <w:numId w:val="1"/>
        </w:numPr>
        <w:sectPr>
          <w:footerReference r:id="rId15" w:type="default"/>
          <w:pgSz w:w="11906" w:h="16838"/>
          <w:pgMar w:top="1440" w:right="1800" w:bottom="1440" w:left="1800" w:header="851" w:footer="992" w:gutter="0"/>
          <w:cols w:space="425" w:num="1"/>
          <w:docGrid w:type="lines" w:linePitch="312" w:charSpace="0"/>
        </w:sectPr>
      </w:pPr>
    </w:p>
    <w:p>
      <w:pPr>
        <w:pStyle w:val="2"/>
        <w:numPr>
          <w:ilvl w:val="0"/>
          <w:numId w:val="0"/>
        </w:numPr>
        <w:ind w:leftChars="0"/>
      </w:pPr>
      <w:bookmarkStart w:id="572" w:name="_Toc29583"/>
      <w:bookmarkStart w:id="573" w:name="_Toc22325"/>
      <w:bookmarkStart w:id="574" w:name="_Toc13245"/>
      <w:bookmarkStart w:id="575" w:name="_Toc6785"/>
      <w:r>
        <w:rPr>
          <w:rFonts w:hint="eastAsia"/>
          <w:lang w:val="en-US" w:eastAsia="zh-CN"/>
        </w:rPr>
        <w:t>2、</w:t>
      </w:r>
      <w:r>
        <w:rPr>
          <w:rFonts w:hint="eastAsia"/>
        </w:rPr>
        <w:t>技术参数</w:t>
      </w:r>
      <w:bookmarkEnd w:id="572"/>
      <w:bookmarkEnd w:id="573"/>
      <w:bookmarkEnd w:id="574"/>
      <w:bookmarkEnd w:id="575"/>
    </w:p>
    <w:tbl>
      <w:tblPr>
        <w:tblStyle w:val="23"/>
        <w:tblW w:w="93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64"/>
        <w:gridCol w:w="709"/>
        <w:gridCol w:w="638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68" w:type="dxa"/>
            <w:noWrap/>
            <w:vAlign w:val="center"/>
          </w:tcPr>
          <w:p>
            <w:pPr>
              <w:spacing w:line="276" w:lineRule="auto"/>
              <w:rPr>
                <w:kern w:val="2"/>
                <w:szCs w:val="22"/>
                <w:lang w:bidi="ar"/>
              </w:rPr>
            </w:pPr>
            <w:r>
              <w:rPr>
                <w:rFonts w:hint="eastAsia"/>
                <w:kern w:val="2"/>
                <w:szCs w:val="22"/>
                <w:lang w:bidi="ar"/>
              </w:rPr>
              <w:t>序号</w:t>
            </w:r>
          </w:p>
        </w:tc>
        <w:tc>
          <w:tcPr>
            <w:tcW w:w="964" w:type="dxa"/>
            <w:noWrap/>
            <w:vAlign w:val="center"/>
          </w:tcPr>
          <w:p>
            <w:pPr>
              <w:spacing w:line="276" w:lineRule="auto"/>
              <w:rPr>
                <w:kern w:val="2"/>
                <w:szCs w:val="22"/>
                <w:lang w:bidi="ar"/>
              </w:rPr>
            </w:pPr>
            <w:r>
              <w:rPr>
                <w:rFonts w:hint="eastAsia"/>
                <w:kern w:val="2"/>
                <w:szCs w:val="22"/>
                <w:lang w:bidi="ar"/>
              </w:rPr>
              <w:t>产品</w:t>
            </w:r>
          </w:p>
          <w:p>
            <w:pPr>
              <w:spacing w:line="276" w:lineRule="auto"/>
              <w:rPr>
                <w:kern w:val="2"/>
                <w:szCs w:val="22"/>
                <w:lang w:bidi="ar"/>
              </w:rPr>
            </w:pPr>
            <w:r>
              <w:rPr>
                <w:rFonts w:hint="eastAsia"/>
                <w:kern w:val="2"/>
                <w:szCs w:val="22"/>
                <w:lang w:bidi="ar"/>
              </w:rPr>
              <w:t>名称</w:t>
            </w:r>
          </w:p>
        </w:tc>
        <w:tc>
          <w:tcPr>
            <w:tcW w:w="709" w:type="dxa"/>
            <w:noWrap/>
            <w:vAlign w:val="center"/>
          </w:tcPr>
          <w:p>
            <w:pPr>
              <w:spacing w:line="276" w:lineRule="auto"/>
              <w:rPr>
                <w:kern w:val="2"/>
                <w:szCs w:val="22"/>
                <w:lang w:bidi="ar"/>
              </w:rPr>
            </w:pPr>
            <w:r>
              <w:rPr>
                <w:rFonts w:hint="eastAsia"/>
                <w:kern w:val="2"/>
                <w:szCs w:val="22"/>
                <w:lang w:bidi="ar"/>
              </w:rPr>
              <w:t>数量</w:t>
            </w:r>
          </w:p>
        </w:tc>
        <w:tc>
          <w:tcPr>
            <w:tcW w:w="6384" w:type="dxa"/>
            <w:noWrap/>
            <w:vAlign w:val="center"/>
          </w:tcPr>
          <w:p>
            <w:pPr>
              <w:spacing w:line="276" w:lineRule="auto"/>
              <w:jc w:val="center"/>
              <w:rPr>
                <w:kern w:val="2"/>
                <w:szCs w:val="22"/>
                <w:lang w:bidi="ar"/>
              </w:rPr>
            </w:pPr>
            <w:r>
              <w:rPr>
                <w:rFonts w:hint="eastAsia"/>
                <w:kern w:val="2"/>
                <w:szCs w:val="22"/>
                <w:lang w:bidi="ar"/>
              </w:rPr>
              <w:t>参数</w:t>
            </w:r>
          </w:p>
        </w:tc>
        <w:tc>
          <w:tcPr>
            <w:tcW w:w="709" w:type="dxa"/>
            <w:noWrap/>
            <w:vAlign w:val="center"/>
          </w:tcPr>
          <w:p>
            <w:pPr>
              <w:spacing w:line="276" w:lineRule="auto"/>
              <w:rPr>
                <w:kern w:val="2"/>
                <w:szCs w:val="22"/>
                <w:lang w:bidi="ar"/>
              </w:rPr>
            </w:pPr>
            <w:r>
              <w:rPr>
                <w:rFonts w:hint="eastAsia"/>
                <w:kern w:val="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68" w:type="dxa"/>
            <w:vAlign w:val="center"/>
          </w:tcPr>
          <w:p>
            <w:pPr>
              <w:spacing w:line="276" w:lineRule="auto"/>
              <w:rPr>
                <w:kern w:val="2"/>
                <w:szCs w:val="22"/>
                <w:lang w:bidi="ar"/>
              </w:rPr>
            </w:pPr>
            <w:r>
              <w:rPr>
                <w:rFonts w:hint="eastAsia"/>
                <w:kern w:val="2"/>
                <w:szCs w:val="22"/>
                <w:lang w:bidi="ar"/>
              </w:rPr>
              <w:t>1</w:t>
            </w:r>
          </w:p>
        </w:tc>
        <w:tc>
          <w:tcPr>
            <w:tcW w:w="964" w:type="dxa"/>
            <w:vAlign w:val="center"/>
          </w:tcPr>
          <w:p>
            <w:pPr>
              <w:spacing w:line="276" w:lineRule="auto"/>
              <w:rPr>
                <w:kern w:val="2"/>
                <w:szCs w:val="22"/>
                <w:lang w:bidi="ar"/>
              </w:rPr>
            </w:pPr>
            <w:r>
              <w:rPr>
                <w:rFonts w:hint="eastAsia"/>
                <w:kern w:val="2"/>
                <w:szCs w:val="22"/>
                <w:lang w:bidi="ar"/>
              </w:rPr>
              <w:t>超融合平台</w:t>
            </w:r>
          </w:p>
        </w:tc>
        <w:tc>
          <w:tcPr>
            <w:tcW w:w="709" w:type="dxa"/>
            <w:noWrap/>
            <w:vAlign w:val="center"/>
          </w:tcPr>
          <w:p>
            <w:pPr>
              <w:spacing w:line="276" w:lineRule="auto"/>
              <w:rPr>
                <w:kern w:val="2"/>
                <w:szCs w:val="22"/>
                <w:lang w:bidi="ar"/>
              </w:rPr>
            </w:pPr>
            <w:r>
              <w:rPr>
                <w:kern w:val="2"/>
                <w:szCs w:val="22"/>
                <w:lang w:bidi="ar"/>
              </w:rPr>
              <w:t>5</w:t>
            </w:r>
          </w:p>
        </w:tc>
        <w:tc>
          <w:tcPr>
            <w:tcW w:w="6384" w:type="dxa"/>
            <w:vAlign w:val="center"/>
          </w:tcPr>
          <w:p>
            <w:pPr>
              <w:spacing w:line="276" w:lineRule="auto"/>
              <w:rPr>
                <w:kern w:val="2"/>
                <w:szCs w:val="22"/>
              </w:rPr>
            </w:pPr>
            <w:bookmarkStart w:id="576" w:name="_Hlk86052639"/>
            <w:r>
              <w:rPr>
                <w:rFonts w:hint="eastAsia"/>
                <w:kern w:val="2"/>
                <w:szCs w:val="22"/>
                <w:lang w:bidi="ar"/>
              </w:rPr>
              <w:t>1</w:t>
            </w:r>
            <w:r>
              <w:rPr>
                <w:rFonts w:hint="eastAsia"/>
                <w:kern w:val="2"/>
                <w:szCs w:val="24"/>
              </w:rPr>
              <w:t>、</w:t>
            </w:r>
            <w:r>
              <w:rPr>
                <w:rFonts w:hint="eastAsia"/>
                <w:kern w:val="2"/>
                <w:szCs w:val="22"/>
              </w:rPr>
              <w:t>国内外知名品牌，自主研发，非</w:t>
            </w:r>
            <w:r>
              <w:rPr>
                <w:kern w:val="2"/>
                <w:szCs w:val="22"/>
              </w:rPr>
              <w:t>OEM</w:t>
            </w:r>
            <w:r>
              <w:rPr>
                <w:rFonts w:hint="eastAsia"/>
                <w:kern w:val="2"/>
                <w:szCs w:val="22"/>
              </w:rPr>
              <w:t>；</w:t>
            </w:r>
          </w:p>
          <w:p>
            <w:pPr>
              <w:spacing w:line="276" w:lineRule="auto"/>
              <w:rPr>
                <w:kern w:val="2"/>
                <w:szCs w:val="24"/>
              </w:rPr>
            </w:pPr>
            <w:r>
              <w:rPr>
                <w:kern w:val="2"/>
                <w:szCs w:val="24"/>
              </w:rPr>
              <w:t>2</w:t>
            </w:r>
            <w:r>
              <w:rPr>
                <w:rFonts w:hint="eastAsia"/>
                <w:kern w:val="2"/>
                <w:szCs w:val="24"/>
              </w:rPr>
              <w:t>、超融合一体机架构，采用裸金属架构部署；</w:t>
            </w:r>
          </w:p>
          <w:p>
            <w:pPr>
              <w:spacing w:line="276" w:lineRule="auto"/>
              <w:rPr>
                <w:rFonts w:hint="eastAsia" w:eastAsia="宋体"/>
                <w:kern w:val="2"/>
                <w:szCs w:val="24"/>
                <w:lang w:eastAsia="zh-CN"/>
              </w:rPr>
            </w:pPr>
            <w:r>
              <w:rPr>
                <w:kern w:val="2"/>
                <w:szCs w:val="22"/>
              </w:rPr>
              <w:t>3</w:t>
            </w:r>
            <w:r>
              <w:rPr>
                <w:rFonts w:hint="eastAsia"/>
                <w:kern w:val="2"/>
                <w:szCs w:val="24"/>
              </w:rPr>
              <w:t>、统一的超融合管理平台上即可实现对计算、存储、网络、安全等资源的统一管理运维，可实现全部操作，</w:t>
            </w:r>
            <w:r>
              <w:rPr>
                <w:kern w:val="2"/>
                <w:szCs w:val="22"/>
              </w:rPr>
              <w:t>支持在管理平台上连接、开启、关闭各类虚拟设备</w:t>
            </w:r>
            <w:r>
              <w:rPr>
                <w:rFonts w:hint="eastAsia"/>
                <w:kern w:val="2"/>
                <w:szCs w:val="22"/>
              </w:rPr>
              <w:t>，</w:t>
            </w:r>
            <w:r>
              <w:rPr>
                <w:rFonts w:hint="eastAsia"/>
                <w:kern w:val="2"/>
                <w:szCs w:val="24"/>
              </w:rPr>
              <w:t>简化运维工作，降低运维成本；</w:t>
            </w:r>
          </w:p>
          <w:p>
            <w:pPr>
              <w:spacing w:line="276" w:lineRule="auto"/>
              <w:rPr>
                <w:kern w:val="2"/>
                <w:szCs w:val="24"/>
              </w:rPr>
            </w:pPr>
            <w:r>
              <w:rPr>
                <w:kern w:val="2"/>
                <w:szCs w:val="22"/>
              </w:rPr>
              <w:t>4、</w:t>
            </w:r>
            <w:r>
              <w:rPr>
                <w:rFonts w:hint="eastAsia"/>
                <w:kern w:val="2"/>
                <w:szCs w:val="22"/>
              </w:rPr>
              <w:t>支持</w:t>
            </w:r>
            <w:r>
              <w:rPr>
                <w:rFonts w:hint="eastAsia"/>
                <w:kern w:val="2"/>
                <w:szCs w:val="24"/>
              </w:rPr>
              <w:t>直观展示虚拟化资源池的健康度、告警、资源使用情况等，主机性能、虚拟机性能、共享存储性能、系统总体健康度、主机健康度、主机和虚拟机状态统计等；</w:t>
            </w:r>
          </w:p>
          <w:p>
            <w:pPr>
              <w:spacing w:line="276" w:lineRule="auto"/>
              <w:rPr>
                <w:kern w:val="2"/>
                <w:szCs w:val="24"/>
              </w:rPr>
            </w:pPr>
            <w:r>
              <w:rPr>
                <w:kern w:val="2"/>
                <w:szCs w:val="22"/>
              </w:rPr>
              <w:t>5</w:t>
            </w:r>
            <w:r>
              <w:rPr>
                <w:rFonts w:hint="eastAsia"/>
                <w:kern w:val="2"/>
                <w:szCs w:val="22"/>
              </w:rPr>
              <w:t xml:space="preserve">、 </w:t>
            </w:r>
            <w:r>
              <w:rPr>
                <w:rFonts w:hint="eastAsia"/>
                <w:kern w:val="2"/>
                <w:szCs w:val="22"/>
                <w:lang w:bidi="ar"/>
              </w:rPr>
              <w:t>提供服务器所需超融合软件授</w:t>
            </w:r>
            <w:r>
              <w:rPr>
                <w:kern w:val="2"/>
                <w:szCs w:val="22"/>
              </w:rPr>
              <w:t>权，</w:t>
            </w:r>
            <w:r>
              <w:rPr>
                <w:rFonts w:hint="eastAsia"/>
                <w:kern w:val="2"/>
                <w:szCs w:val="24"/>
              </w:rPr>
              <w:t>配置超融合管理、计算虚拟化管理、存储虚拟化管理、网络虚拟化管理、虚拟化杀毒授权；</w:t>
            </w:r>
            <w:r>
              <w:rPr>
                <w:kern w:val="2"/>
                <w:szCs w:val="22"/>
              </w:rPr>
              <w:t>单节点</w:t>
            </w:r>
            <w:r>
              <w:rPr>
                <w:rFonts w:hint="eastAsia"/>
                <w:kern w:val="2"/>
                <w:szCs w:val="22"/>
              </w:rPr>
              <w:t>配置</w:t>
            </w:r>
            <w:r>
              <w:rPr>
                <w:kern w:val="2"/>
                <w:szCs w:val="22"/>
              </w:rPr>
              <w:t>CPU授权数量≥2</w:t>
            </w:r>
            <w:r>
              <w:rPr>
                <w:rFonts w:hint="eastAsia"/>
                <w:kern w:val="2"/>
                <w:szCs w:val="22"/>
              </w:rPr>
              <w:t>颗</w:t>
            </w:r>
            <w:r>
              <w:rPr>
                <w:kern w:val="2"/>
                <w:szCs w:val="22"/>
              </w:rPr>
              <w:t>，不限制容量许可；</w:t>
            </w:r>
          </w:p>
          <w:p>
            <w:pPr>
              <w:spacing w:line="276" w:lineRule="auto"/>
              <w:rPr>
                <w:b/>
                <w:bCs/>
                <w:kern w:val="2"/>
                <w:szCs w:val="24"/>
              </w:rPr>
            </w:pPr>
            <w:r>
              <w:rPr>
                <w:rFonts w:hint="eastAsia"/>
                <w:b/>
                <w:bCs/>
                <w:kern w:val="2"/>
                <w:szCs w:val="24"/>
              </w:rPr>
              <w:t>超融合计算虚拟化要求：</w:t>
            </w:r>
          </w:p>
          <w:p>
            <w:pPr>
              <w:spacing w:line="276" w:lineRule="auto"/>
              <w:rPr>
                <w:kern w:val="2"/>
                <w:szCs w:val="24"/>
              </w:rPr>
            </w:pPr>
            <w:r>
              <w:rPr>
                <w:rFonts w:hint="eastAsia"/>
                <w:kern w:val="2"/>
                <w:szCs w:val="24"/>
              </w:rPr>
              <w:t>1</w:t>
            </w:r>
            <w:r>
              <w:rPr>
                <w:kern w:val="2"/>
                <w:szCs w:val="22"/>
              </w:rPr>
              <w:t>、</w:t>
            </w:r>
            <w:r>
              <w:rPr>
                <w:rFonts w:hint="eastAsia"/>
                <w:kern w:val="2"/>
                <w:szCs w:val="24"/>
              </w:rPr>
              <w:t>基本要求：非OEM或贴牌产品，以保证功能的可靠性和安全性；支持现有市场上主要国内外操作系统：</w:t>
            </w:r>
          </w:p>
          <w:p>
            <w:pPr>
              <w:spacing w:line="276" w:lineRule="auto"/>
              <w:rPr>
                <w:kern w:val="2"/>
                <w:szCs w:val="24"/>
              </w:rPr>
            </w:pPr>
            <w:r>
              <w:rPr>
                <w:rFonts w:hint="eastAsia"/>
                <w:kern w:val="2"/>
                <w:szCs w:val="24"/>
              </w:rPr>
              <w:t>2</w:t>
            </w:r>
            <w:r>
              <w:rPr>
                <w:kern w:val="2"/>
                <w:szCs w:val="22"/>
              </w:rPr>
              <w:t>、</w:t>
            </w:r>
            <w:r>
              <w:rPr>
                <w:rFonts w:hint="eastAsia"/>
                <w:kern w:val="2"/>
                <w:szCs w:val="24"/>
              </w:rPr>
              <w:t>在超融合管理平台管理界面上提供虚拟机启动、暂停、恢复、休眠、重启、关闭、克隆、迁移、删除、快照等功能的常规操作；</w:t>
            </w:r>
          </w:p>
          <w:p>
            <w:pPr>
              <w:spacing w:line="276" w:lineRule="auto"/>
              <w:rPr>
                <w:kern w:val="2"/>
                <w:szCs w:val="22"/>
              </w:rPr>
            </w:pPr>
            <w:r>
              <w:rPr>
                <w:rFonts w:hint="eastAsia"/>
                <w:kern w:val="2"/>
                <w:szCs w:val="24"/>
              </w:rPr>
              <w:t>3</w:t>
            </w:r>
            <w:r>
              <w:rPr>
                <w:kern w:val="2"/>
                <w:szCs w:val="22"/>
              </w:rPr>
              <w:t>、</w:t>
            </w:r>
            <w:r>
              <w:rPr>
                <w:rFonts w:hint="eastAsia"/>
                <w:kern w:val="2"/>
                <w:szCs w:val="24"/>
              </w:rPr>
              <w:t>提供虚拟机回收站功能，统一管理被删除的虚拟机，防止因虚拟机误删除导致数据丢失，支持设置回收站文件保存周期，超期的文件将被自动删除；</w:t>
            </w:r>
          </w:p>
          <w:p>
            <w:pPr>
              <w:spacing w:line="276" w:lineRule="auto"/>
              <w:rPr>
                <w:kern w:val="2"/>
                <w:szCs w:val="24"/>
              </w:rPr>
            </w:pPr>
            <w:r>
              <w:rPr>
                <w:kern w:val="2"/>
                <w:szCs w:val="24"/>
              </w:rPr>
              <w:t>4</w:t>
            </w:r>
            <w:r>
              <w:rPr>
                <w:kern w:val="2"/>
                <w:szCs w:val="22"/>
              </w:rPr>
              <w:t>、</w:t>
            </w:r>
            <w:r>
              <w:rPr>
                <w:rFonts w:hint="eastAsia"/>
                <w:kern w:val="2"/>
                <w:szCs w:val="24"/>
              </w:rPr>
              <w:t>提供在线p2v、v2v迁移工具，支持业界主流的操作系统、公有云平台、虚拟化平台。包括VMware、阿里云、Hyper-V等平台的迁移功能；</w:t>
            </w:r>
          </w:p>
          <w:p>
            <w:pPr>
              <w:spacing w:line="276" w:lineRule="auto"/>
              <w:rPr>
                <w:kern w:val="2"/>
                <w:szCs w:val="24"/>
              </w:rPr>
            </w:pPr>
            <w:r>
              <w:rPr>
                <w:kern w:val="2"/>
                <w:szCs w:val="24"/>
              </w:rPr>
              <w:t>5</w:t>
            </w:r>
            <w:r>
              <w:rPr>
                <w:kern w:val="2"/>
                <w:szCs w:val="22"/>
              </w:rPr>
              <w:t>、</w:t>
            </w:r>
            <w:r>
              <w:rPr>
                <w:rFonts w:hint="eastAsia"/>
                <w:kern w:val="2"/>
                <w:szCs w:val="24"/>
              </w:rPr>
              <w:t>提供集群</w:t>
            </w:r>
            <w:r>
              <w:rPr>
                <w:kern w:val="2"/>
                <w:szCs w:val="24"/>
              </w:rPr>
              <w:t>高可用，动态资源调度</w:t>
            </w:r>
            <w:r>
              <w:rPr>
                <w:rFonts w:hint="eastAsia"/>
                <w:kern w:val="2"/>
                <w:szCs w:val="24"/>
              </w:rPr>
              <w:t>、虚拟机备份等</w:t>
            </w:r>
            <w:r>
              <w:rPr>
                <w:kern w:val="2"/>
                <w:szCs w:val="24"/>
              </w:rPr>
              <w:t>功能配置</w:t>
            </w:r>
            <w:r>
              <w:rPr>
                <w:rFonts w:hint="eastAsia"/>
                <w:kern w:val="2"/>
                <w:szCs w:val="24"/>
              </w:rPr>
              <w:t>；</w:t>
            </w:r>
          </w:p>
          <w:p>
            <w:pPr>
              <w:spacing w:line="276" w:lineRule="auto"/>
              <w:rPr>
                <w:kern w:val="2"/>
                <w:szCs w:val="24"/>
              </w:rPr>
            </w:pPr>
            <w:r>
              <w:rPr>
                <w:kern w:val="2"/>
                <w:szCs w:val="24"/>
              </w:rPr>
              <w:t>6</w:t>
            </w:r>
            <w:r>
              <w:rPr>
                <w:kern w:val="2"/>
                <w:szCs w:val="22"/>
              </w:rPr>
              <w:t>、</w:t>
            </w:r>
            <w:r>
              <w:rPr>
                <w:rFonts w:hint="eastAsia"/>
                <w:kern w:val="2"/>
                <w:szCs w:val="22"/>
              </w:rPr>
              <w:t>提供</w:t>
            </w:r>
            <w:r>
              <w:rPr>
                <w:rFonts w:hint="eastAsia"/>
                <w:kern w:val="2"/>
                <w:szCs w:val="24"/>
              </w:rPr>
              <w:t>虚拟化杀毒功能。</w:t>
            </w:r>
          </w:p>
          <w:p>
            <w:pPr>
              <w:spacing w:line="276" w:lineRule="auto"/>
              <w:rPr>
                <w:b/>
                <w:bCs/>
                <w:kern w:val="2"/>
                <w:szCs w:val="24"/>
              </w:rPr>
            </w:pPr>
            <w:r>
              <w:rPr>
                <w:rFonts w:hint="eastAsia"/>
                <w:b/>
                <w:bCs/>
                <w:kern w:val="2"/>
                <w:szCs w:val="24"/>
              </w:rPr>
              <w:t>超融合存储虚拟化要求：</w:t>
            </w:r>
          </w:p>
          <w:p>
            <w:pPr>
              <w:spacing w:line="276" w:lineRule="auto"/>
              <w:rPr>
                <w:kern w:val="2"/>
                <w:szCs w:val="24"/>
              </w:rPr>
            </w:pPr>
            <w:r>
              <w:rPr>
                <w:rFonts w:hint="eastAsia"/>
                <w:kern w:val="2"/>
                <w:szCs w:val="24"/>
              </w:rPr>
              <w:t>1</w:t>
            </w:r>
            <w:r>
              <w:rPr>
                <w:kern w:val="2"/>
                <w:szCs w:val="22"/>
              </w:rPr>
              <w:t>、</w:t>
            </w:r>
            <w:r>
              <w:rPr>
                <w:rFonts w:hint="eastAsia"/>
                <w:kern w:val="2"/>
                <w:szCs w:val="24"/>
              </w:rPr>
              <w:t>架构要求：采用分布式的软件定义存储架构，提供分布式存储服务，无需独立的元数据及控制器节点，使用超融合管理平台统一管理，无需在计算虚拟化平台上部署存储控制器；</w:t>
            </w:r>
          </w:p>
          <w:p>
            <w:pPr>
              <w:spacing w:line="276" w:lineRule="auto"/>
              <w:rPr>
                <w:kern w:val="2"/>
                <w:szCs w:val="24"/>
              </w:rPr>
            </w:pPr>
            <w:r>
              <w:rPr>
                <w:kern w:val="2"/>
                <w:szCs w:val="24"/>
              </w:rPr>
              <w:t>2</w:t>
            </w:r>
            <w:r>
              <w:rPr>
                <w:kern w:val="2"/>
                <w:szCs w:val="22"/>
              </w:rPr>
              <w:t>、</w:t>
            </w:r>
            <w:r>
              <w:rPr>
                <w:rFonts w:hint="eastAsia"/>
                <w:kern w:val="2"/>
                <w:szCs w:val="24"/>
              </w:rPr>
              <w:t>可靠性要求：磁盘无需做</w:t>
            </w:r>
            <w:r>
              <w:rPr>
                <w:kern w:val="2"/>
                <w:szCs w:val="24"/>
              </w:rPr>
              <w:t>RAID</w:t>
            </w:r>
            <w:r>
              <w:rPr>
                <w:rFonts w:hint="eastAsia"/>
                <w:kern w:val="2"/>
                <w:szCs w:val="24"/>
              </w:rPr>
              <w:t>，通过采用多副本镜像机制保证数据可靠性，存储节点内不需要使用独立的热备盘；支持N+1到N+4的纠删码保护，最大支持任意≥3点故障而数据不丢失、系统不停机；</w:t>
            </w:r>
          </w:p>
          <w:p>
            <w:pPr>
              <w:spacing w:line="276" w:lineRule="auto"/>
              <w:rPr>
                <w:kern w:val="2"/>
                <w:szCs w:val="24"/>
              </w:rPr>
            </w:pPr>
            <w:r>
              <w:rPr>
                <w:kern w:val="2"/>
                <w:szCs w:val="24"/>
              </w:rPr>
              <w:t>3</w:t>
            </w:r>
            <w:r>
              <w:rPr>
                <w:rFonts w:hint="eastAsia"/>
                <w:kern w:val="2"/>
                <w:szCs w:val="24"/>
              </w:rPr>
              <w:t>、</w:t>
            </w:r>
            <w:r>
              <w:rPr>
                <w:kern w:val="2"/>
                <w:szCs w:val="22"/>
              </w:rPr>
              <w:t>支持在线不停机扩容，增加或删除节点、硬盘不影响业务正常运行</w:t>
            </w:r>
            <w:r>
              <w:rPr>
                <w:rFonts w:hint="eastAsia"/>
                <w:kern w:val="2"/>
                <w:szCs w:val="22"/>
              </w:rPr>
              <w:t>；</w:t>
            </w:r>
          </w:p>
          <w:p>
            <w:pPr>
              <w:spacing w:line="276" w:lineRule="auto"/>
              <w:rPr>
                <w:kern w:val="2"/>
                <w:szCs w:val="22"/>
              </w:rPr>
            </w:pPr>
            <w:r>
              <w:rPr>
                <w:kern w:val="2"/>
                <w:szCs w:val="24"/>
              </w:rPr>
              <w:t>4</w:t>
            </w:r>
            <w:r>
              <w:rPr>
                <w:kern w:val="2"/>
                <w:szCs w:val="22"/>
              </w:rPr>
              <w:t>、</w:t>
            </w:r>
            <w:r>
              <w:rPr>
                <w:rFonts w:hint="eastAsia"/>
                <w:kern w:val="2"/>
                <w:szCs w:val="24"/>
              </w:rPr>
              <w:t>管理要求：支持通过B/S管理界面对存储基础架构进行集中的配置，如存储资源池、集群、集群节点、磁盘等资源进行合理的划分和配置</w:t>
            </w:r>
            <w:r>
              <w:rPr>
                <w:rFonts w:hint="eastAsia"/>
                <w:kern w:val="2"/>
                <w:szCs w:val="24"/>
                <w:highlight w:val="none"/>
              </w:rPr>
              <w:t>；超融合软件与超融合硬件服务器为同一品牌。</w:t>
            </w:r>
            <w:bookmarkEnd w:id="576"/>
          </w:p>
        </w:tc>
        <w:tc>
          <w:tcPr>
            <w:tcW w:w="709" w:type="dxa"/>
            <w:noWrap/>
            <w:vAlign w:val="center"/>
          </w:tcPr>
          <w:p>
            <w:pPr>
              <w:spacing w:line="276" w:lineRule="auto"/>
              <w:rPr>
                <w:kern w:val="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8" w:type="dxa"/>
            <w:vAlign w:val="center"/>
          </w:tcPr>
          <w:p>
            <w:pPr>
              <w:spacing w:line="276" w:lineRule="auto"/>
              <w:rPr>
                <w:kern w:val="2"/>
                <w:szCs w:val="22"/>
                <w:lang w:bidi="ar"/>
              </w:rPr>
            </w:pPr>
            <w:r>
              <w:rPr>
                <w:rFonts w:hint="eastAsia"/>
                <w:kern w:val="2"/>
                <w:szCs w:val="22"/>
                <w:lang w:bidi="ar"/>
              </w:rPr>
              <w:t>2</w:t>
            </w:r>
          </w:p>
        </w:tc>
        <w:tc>
          <w:tcPr>
            <w:tcW w:w="964" w:type="dxa"/>
            <w:vAlign w:val="center"/>
          </w:tcPr>
          <w:p>
            <w:pPr>
              <w:spacing w:line="276" w:lineRule="auto"/>
              <w:jc w:val="center"/>
              <w:rPr>
                <w:kern w:val="2"/>
                <w:szCs w:val="22"/>
                <w:lang w:bidi="ar"/>
              </w:rPr>
            </w:pPr>
            <w:r>
              <w:rPr>
                <w:rFonts w:hint="eastAsia"/>
                <w:kern w:val="2"/>
                <w:szCs w:val="22"/>
                <w:lang w:bidi="ar"/>
              </w:rPr>
              <w:t>超融合服务器</w:t>
            </w:r>
          </w:p>
        </w:tc>
        <w:tc>
          <w:tcPr>
            <w:tcW w:w="709" w:type="dxa"/>
            <w:noWrap/>
            <w:vAlign w:val="center"/>
          </w:tcPr>
          <w:p>
            <w:pPr>
              <w:spacing w:line="276" w:lineRule="auto"/>
              <w:jc w:val="center"/>
              <w:rPr>
                <w:kern w:val="2"/>
                <w:szCs w:val="22"/>
                <w:lang w:bidi="ar"/>
              </w:rPr>
            </w:pPr>
            <w:r>
              <w:rPr>
                <w:kern w:val="2"/>
                <w:szCs w:val="22"/>
                <w:lang w:bidi="ar"/>
              </w:rPr>
              <w:t>5</w:t>
            </w:r>
          </w:p>
        </w:tc>
        <w:tc>
          <w:tcPr>
            <w:tcW w:w="6384" w:type="dxa"/>
            <w:vAlign w:val="center"/>
          </w:tcPr>
          <w:p>
            <w:pPr>
              <w:spacing w:line="276" w:lineRule="auto"/>
              <w:rPr>
                <w:rFonts w:hint="eastAsia" w:eastAsia="宋体"/>
                <w:kern w:val="2"/>
                <w:szCs w:val="22"/>
                <w:highlight w:val="none"/>
                <w:lang w:eastAsia="zh-CN" w:bidi="ar"/>
              </w:rPr>
            </w:pPr>
            <w:r>
              <w:rPr>
                <w:kern w:val="2"/>
                <w:szCs w:val="22"/>
                <w:lang w:bidi="ar"/>
              </w:rPr>
              <w:t>1</w:t>
            </w:r>
            <w:r>
              <w:rPr>
                <w:rFonts w:hint="eastAsia"/>
                <w:kern w:val="2"/>
                <w:szCs w:val="22"/>
                <w:lang w:bidi="ar"/>
              </w:rPr>
              <w:t>、规格：标准机架式硬件设备，</w:t>
            </w:r>
            <w:r>
              <w:rPr>
                <w:rFonts w:hint="eastAsia"/>
                <w:kern w:val="2"/>
                <w:szCs w:val="22"/>
                <w:highlight w:val="none"/>
                <w:lang w:bidi="ar"/>
              </w:rPr>
              <w:t xml:space="preserve">为保证软件件兼容性，硬件需与超融合软件同一品牌； </w:t>
            </w:r>
          </w:p>
          <w:p>
            <w:pPr>
              <w:spacing w:line="276" w:lineRule="auto"/>
              <w:rPr>
                <w:rFonts w:hint="eastAsia" w:eastAsia="宋体"/>
                <w:kern w:val="2"/>
                <w:szCs w:val="22"/>
                <w:lang w:eastAsia="zh-CN" w:bidi="ar"/>
              </w:rPr>
            </w:pPr>
            <w:r>
              <w:rPr>
                <w:rFonts w:hint="eastAsia"/>
                <w:kern w:val="2"/>
                <w:szCs w:val="22"/>
                <w:lang w:bidi="ar"/>
              </w:rPr>
              <w:t>2、处理器：配置≥2颗Intel Xeon Gold</w:t>
            </w:r>
            <w:r>
              <w:rPr>
                <w:rFonts w:ascii="Arial" w:hAnsi="Arial" w:cs="Arial"/>
                <w:color w:val="000000"/>
                <w:kern w:val="2"/>
                <w:sz w:val="21"/>
                <w:szCs w:val="21"/>
              </w:rPr>
              <w:t>系列</w:t>
            </w:r>
            <w:r>
              <w:rPr>
                <w:rFonts w:hint="eastAsia"/>
                <w:kern w:val="2"/>
                <w:szCs w:val="22"/>
                <w:lang w:bidi="ar"/>
              </w:rPr>
              <w:t>。每颗处理器核心</w:t>
            </w:r>
            <w:r>
              <w:rPr>
                <w:rFonts w:hint="eastAsia" w:ascii="宋体" w:hAnsi="宋体" w:eastAsia="宋体" w:cs="宋体"/>
                <w:b w:val="0"/>
                <w:bCs/>
                <w:i w:val="0"/>
                <w:iCs w:val="0"/>
                <w:caps w:val="0"/>
                <w:color w:val="333333"/>
                <w:spacing w:val="0"/>
                <w:kern w:val="2"/>
                <w:sz w:val="21"/>
                <w:szCs w:val="21"/>
                <w:highlight w:val="none"/>
                <w:shd w:val="clear" w:color="auto" w:fill="FFFFFF"/>
                <w:vertAlign w:val="baseline"/>
                <w:lang w:val="en-US" w:eastAsia="zh-CN" w:bidi="ar-SA"/>
              </w:rPr>
              <w:t>≥24C，主频≥2.1GHz</w:t>
            </w:r>
            <w:r>
              <w:rPr>
                <w:kern w:val="2"/>
                <w:szCs w:val="22"/>
                <w:lang w:bidi="ar"/>
              </w:rPr>
              <w:t>;</w:t>
            </w:r>
          </w:p>
          <w:p>
            <w:pPr>
              <w:spacing w:line="276" w:lineRule="auto"/>
              <w:rPr>
                <w:rFonts w:hint="eastAsia" w:eastAsia="宋体"/>
                <w:kern w:val="2"/>
                <w:szCs w:val="22"/>
                <w:lang w:eastAsia="zh-CN" w:bidi="ar"/>
              </w:rPr>
            </w:pPr>
            <w:r>
              <w:rPr>
                <w:rFonts w:hint="eastAsia"/>
                <w:kern w:val="2"/>
                <w:szCs w:val="22"/>
                <w:lang w:bidi="ar"/>
              </w:rPr>
              <w:t>3、内存：配置≥512GB 内存</w:t>
            </w:r>
            <w:r>
              <w:rPr>
                <w:kern w:val="2"/>
                <w:szCs w:val="22"/>
                <w:lang w:bidi="ar"/>
              </w:rPr>
              <w:t>;</w:t>
            </w:r>
          </w:p>
          <w:p>
            <w:pPr>
              <w:spacing w:line="276" w:lineRule="auto"/>
              <w:rPr>
                <w:kern w:val="2"/>
                <w:szCs w:val="24"/>
              </w:rPr>
            </w:pPr>
            <w:r>
              <w:rPr>
                <w:rFonts w:hint="eastAsia"/>
                <w:kern w:val="2"/>
                <w:szCs w:val="22"/>
                <w:lang w:bidi="ar"/>
              </w:rPr>
              <w:t>4、硬盘与槽位：</w:t>
            </w:r>
            <w:r>
              <w:rPr>
                <w:rFonts w:hint="eastAsia"/>
                <w:kern w:val="2"/>
                <w:szCs w:val="24"/>
              </w:rPr>
              <w:t>配置≥1</w:t>
            </w:r>
            <w:r>
              <w:rPr>
                <w:kern w:val="2"/>
                <w:szCs w:val="24"/>
              </w:rPr>
              <w:t>0</w:t>
            </w:r>
            <w:r>
              <w:rPr>
                <w:rFonts w:hint="eastAsia"/>
                <w:kern w:val="2"/>
                <w:szCs w:val="24"/>
              </w:rPr>
              <w:t xml:space="preserve"> 个热插拔硬盘槽位；</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kern w:val="2"/>
                <w:szCs w:val="22"/>
                <w:lang w:bidi="ar"/>
              </w:rPr>
            </w:pPr>
            <w:r>
              <w:rPr>
                <w:rFonts w:hint="eastAsia"/>
                <w:kern w:val="2"/>
                <w:szCs w:val="24"/>
              </w:rPr>
              <w:t>配置</w:t>
            </w:r>
            <w:r>
              <w:rPr>
                <w:rFonts w:hint="eastAsia"/>
                <w:kern w:val="2"/>
                <w:szCs w:val="22"/>
                <w:lang w:bidi="ar"/>
              </w:rPr>
              <w:t>2块R</w:t>
            </w:r>
            <w:r>
              <w:rPr>
                <w:kern w:val="2"/>
                <w:szCs w:val="22"/>
                <w:lang w:bidi="ar"/>
              </w:rPr>
              <w:t>AID1</w:t>
            </w:r>
            <w:r>
              <w:rPr>
                <w:rFonts w:hint="eastAsia"/>
                <w:kern w:val="2"/>
                <w:szCs w:val="22"/>
                <w:lang w:bidi="ar"/>
              </w:rPr>
              <w:t>模式</w:t>
            </w:r>
            <w:r>
              <w:rPr>
                <w:kern w:val="2"/>
                <w:szCs w:val="22"/>
                <w:lang w:bidi="ar"/>
              </w:rPr>
              <w:t xml:space="preserve"> SSD</w:t>
            </w:r>
            <w:r>
              <w:rPr>
                <w:rFonts w:hint="eastAsia"/>
                <w:kern w:val="2"/>
                <w:szCs w:val="22"/>
                <w:lang w:bidi="ar"/>
              </w:rPr>
              <w:t>系统盘，用于超融合操作系统；</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kern w:val="2"/>
                <w:szCs w:val="24"/>
              </w:rPr>
            </w:pPr>
            <w:r>
              <w:rPr>
                <w:rFonts w:hint="eastAsia"/>
                <w:kern w:val="2"/>
                <w:szCs w:val="22"/>
                <w:lang w:bidi="ar"/>
              </w:rPr>
              <w:t>≥</w:t>
            </w:r>
            <w:r>
              <w:rPr>
                <w:rFonts w:hint="eastAsia"/>
                <w:kern w:val="2"/>
                <w:szCs w:val="24"/>
              </w:rPr>
              <w:t>2块</w:t>
            </w:r>
            <w:r>
              <w:rPr>
                <w:kern w:val="2"/>
                <w:szCs w:val="24"/>
              </w:rPr>
              <w:t>80</w:t>
            </w:r>
            <w:r>
              <w:rPr>
                <w:rFonts w:hint="eastAsia"/>
                <w:kern w:val="2"/>
                <w:szCs w:val="24"/>
              </w:rPr>
              <w:t>0G</w:t>
            </w:r>
            <w:r>
              <w:rPr>
                <w:kern w:val="2"/>
                <w:szCs w:val="24"/>
              </w:rPr>
              <w:t xml:space="preserve"> </w:t>
            </w:r>
            <w:r>
              <w:rPr>
                <w:rFonts w:hint="eastAsia"/>
                <w:kern w:val="2"/>
                <w:szCs w:val="24"/>
              </w:rPr>
              <w:t>固态盘用于读写热数据缓存；</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kern w:val="2"/>
                <w:szCs w:val="22"/>
                <w:lang w:bidi="ar"/>
              </w:rPr>
            </w:pPr>
            <w:r>
              <w:rPr>
                <w:rFonts w:hint="eastAsia"/>
                <w:kern w:val="2"/>
                <w:szCs w:val="22"/>
                <w:lang w:bidi="ar"/>
              </w:rPr>
              <w:t>≥</w:t>
            </w:r>
            <w:r>
              <w:rPr>
                <w:kern w:val="2"/>
                <w:szCs w:val="22"/>
                <w:lang w:bidi="ar"/>
              </w:rPr>
              <w:t>8</w:t>
            </w:r>
            <w:r>
              <w:rPr>
                <w:rFonts w:hint="eastAsia"/>
                <w:kern w:val="2"/>
                <w:szCs w:val="22"/>
                <w:lang w:bidi="ar"/>
              </w:rPr>
              <w:t>块</w:t>
            </w:r>
            <w:r>
              <w:rPr>
                <w:kern w:val="2"/>
                <w:szCs w:val="22"/>
                <w:lang w:bidi="ar"/>
              </w:rPr>
              <w:t>2.4TB</w:t>
            </w:r>
            <w:r>
              <w:rPr>
                <w:rFonts w:hint="eastAsia"/>
                <w:kern w:val="2"/>
                <w:szCs w:val="22"/>
                <w:lang w:bidi="ar"/>
              </w:rPr>
              <w:t>热插拔数据硬盘</w:t>
            </w:r>
            <w:r>
              <w:rPr>
                <w:kern w:val="2"/>
                <w:szCs w:val="22"/>
                <w:lang w:bidi="ar"/>
              </w:rPr>
              <w:t>;</w:t>
            </w:r>
          </w:p>
          <w:p>
            <w:pPr>
              <w:spacing w:line="276" w:lineRule="auto"/>
              <w:rPr>
                <w:rFonts w:hint="eastAsia" w:eastAsia="宋体"/>
                <w:kern w:val="2"/>
                <w:szCs w:val="22"/>
                <w:lang w:eastAsia="zh-CN" w:bidi="ar"/>
              </w:rPr>
            </w:pPr>
            <w:r>
              <w:rPr>
                <w:rFonts w:hint="eastAsia"/>
                <w:kern w:val="2"/>
                <w:szCs w:val="22"/>
                <w:lang w:bidi="ar"/>
              </w:rPr>
              <w:t>5、配置</w:t>
            </w:r>
            <w:r>
              <w:rPr>
                <w:rFonts w:hint="eastAsia"/>
                <w:kern w:val="2"/>
                <w:szCs w:val="24"/>
              </w:rPr>
              <w:t>阵列控制器</w:t>
            </w:r>
            <w:r>
              <w:rPr>
                <w:rFonts w:hint="eastAsia"/>
                <w:kern w:val="2"/>
                <w:szCs w:val="22"/>
                <w:lang w:bidi="ar"/>
              </w:rPr>
              <w:t>, 支持缓存数据保护</w:t>
            </w:r>
            <w:r>
              <w:rPr>
                <w:kern w:val="2"/>
                <w:szCs w:val="22"/>
                <w:lang w:bidi="ar"/>
              </w:rPr>
              <w:t>;</w:t>
            </w:r>
          </w:p>
          <w:p>
            <w:pPr>
              <w:spacing w:line="276" w:lineRule="auto"/>
              <w:rPr>
                <w:rFonts w:hint="eastAsia" w:eastAsia="宋体"/>
                <w:kern w:val="2"/>
                <w:szCs w:val="22"/>
                <w:lang w:eastAsia="zh-CN" w:bidi="ar"/>
              </w:rPr>
            </w:pPr>
            <w:r>
              <w:rPr>
                <w:rFonts w:hint="eastAsia"/>
                <w:kern w:val="2"/>
                <w:szCs w:val="22"/>
                <w:lang w:bidi="ar"/>
              </w:rPr>
              <w:t>6、网卡：配置≥</w:t>
            </w:r>
            <w:r>
              <w:rPr>
                <w:kern w:val="2"/>
                <w:szCs w:val="22"/>
                <w:lang w:bidi="ar"/>
              </w:rPr>
              <w:t>4</w:t>
            </w:r>
            <w:r>
              <w:rPr>
                <w:rFonts w:hint="eastAsia"/>
                <w:kern w:val="2"/>
                <w:szCs w:val="22"/>
                <w:lang w:bidi="ar"/>
              </w:rPr>
              <w:t>个万兆以太网口（含光模块）;</w:t>
            </w:r>
          </w:p>
          <w:p>
            <w:pPr>
              <w:spacing w:line="276" w:lineRule="auto"/>
              <w:rPr>
                <w:rFonts w:hint="eastAsia"/>
                <w:kern w:val="2"/>
                <w:szCs w:val="22"/>
                <w:lang w:eastAsia="zh-CN"/>
              </w:rPr>
            </w:pPr>
            <w:r>
              <w:rPr>
                <w:rFonts w:hint="eastAsia"/>
                <w:kern w:val="2"/>
                <w:szCs w:val="22"/>
                <w:lang w:bidi="ar"/>
              </w:rPr>
              <w:t>7、电源： 1+1冗余电源，</w:t>
            </w:r>
            <w:r>
              <w:rPr>
                <w:rFonts w:hint="eastAsia"/>
                <w:kern w:val="2"/>
                <w:szCs w:val="24"/>
              </w:rPr>
              <w:t>机架安装导轨及电源线;</w:t>
            </w:r>
          </w:p>
        </w:tc>
        <w:tc>
          <w:tcPr>
            <w:tcW w:w="709" w:type="dxa"/>
            <w:vAlign w:val="center"/>
          </w:tcPr>
          <w:p>
            <w:pPr>
              <w:spacing w:line="276" w:lineRule="auto"/>
              <w:rPr>
                <w:kern w:val="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568" w:type="dxa"/>
            <w:vAlign w:val="center"/>
          </w:tcPr>
          <w:p>
            <w:pPr>
              <w:spacing w:line="276" w:lineRule="auto"/>
              <w:rPr>
                <w:kern w:val="2"/>
                <w:szCs w:val="22"/>
                <w:lang w:bidi="ar"/>
              </w:rPr>
            </w:pPr>
            <w:r>
              <w:rPr>
                <w:rFonts w:hint="eastAsia"/>
                <w:kern w:val="2"/>
                <w:szCs w:val="22"/>
                <w:lang w:bidi="ar"/>
              </w:rPr>
              <w:t>3</w:t>
            </w:r>
          </w:p>
        </w:tc>
        <w:tc>
          <w:tcPr>
            <w:tcW w:w="964" w:type="dxa"/>
            <w:vAlign w:val="center"/>
          </w:tcPr>
          <w:p>
            <w:pPr>
              <w:spacing w:line="276" w:lineRule="auto"/>
              <w:rPr>
                <w:kern w:val="2"/>
                <w:szCs w:val="22"/>
                <w:lang w:bidi="ar"/>
              </w:rPr>
            </w:pPr>
            <w:r>
              <w:rPr>
                <w:rFonts w:hint="eastAsia"/>
                <w:kern w:val="2"/>
                <w:szCs w:val="22"/>
                <w:lang w:bidi="ar"/>
              </w:rPr>
              <w:t>超融合交存储换机</w:t>
            </w:r>
          </w:p>
        </w:tc>
        <w:tc>
          <w:tcPr>
            <w:tcW w:w="709" w:type="dxa"/>
            <w:noWrap/>
            <w:vAlign w:val="center"/>
          </w:tcPr>
          <w:p>
            <w:pPr>
              <w:spacing w:line="276" w:lineRule="auto"/>
              <w:rPr>
                <w:kern w:val="2"/>
                <w:szCs w:val="22"/>
                <w:lang w:bidi="ar"/>
              </w:rPr>
            </w:pPr>
            <w:r>
              <w:rPr>
                <w:rFonts w:hint="eastAsia"/>
                <w:kern w:val="2"/>
                <w:szCs w:val="22"/>
                <w:lang w:bidi="ar"/>
              </w:rPr>
              <w:t>2</w:t>
            </w:r>
          </w:p>
        </w:tc>
        <w:tc>
          <w:tcPr>
            <w:tcW w:w="6384" w:type="dxa"/>
            <w:vAlign w:val="center"/>
          </w:tcPr>
          <w:p>
            <w:pPr>
              <w:spacing w:line="276" w:lineRule="auto"/>
              <w:rPr>
                <w:rFonts w:hint="eastAsia" w:eastAsia="宋体"/>
                <w:kern w:val="2"/>
                <w:szCs w:val="22"/>
                <w:lang w:eastAsia="zh-CN" w:bidi="ar"/>
              </w:rPr>
            </w:pPr>
            <w:r>
              <w:rPr>
                <w:rFonts w:hint="eastAsia"/>
                <w:kern w:val="2"/>
                <w:szCs w:val="22"/>
                <w:lang w:bidi="ar"/>
              </w:rPr>
              <w:t>1、≥24个万兆SFP+光口</w:t>
            </w:r>
            <w:r>
              <w:rPr>
                <w:rFonts w:hint="eastAsia"/>
                <w:kern w:val="2"/>
                <w:szCs w:val="24"/>
              </w:rPr>
              <w:t>（含1</w:t>
            </w:r>
            <w:r>
              <w:rPr>
                <w:kern w:val="2"/>
                <w:szCs w:val="24"/>
              </w:rPr>
              <w:t>0</w:t>
            </w:r>
            <w:r>
              <w:rPr>
                <w:rFonts w:hint="eastAsia"/>
                <w:kern w:val="2"/>
                <w:szCs w:val="24"/>
              </w:rPr>
              <w:t>个万兆多模光模块</w:t>
            </w:r>
            <w:r>
              <w:rPr>
                <w:rFonts w:hint="eastAsia"/>
                <w:kern w:val="2"/>
                <w:szCs w:val="24"/>
                <w:lang w:val="en-US" w:eastAsia="zh-CN"/>
              </w:rPr>
              <w:t>和跳线等相关配件</w:t>
            </w:r>
            <w:r>
              <w:rPr>
                <w:rFonts w:hint="eastAsia"/>
                <w:kern w:val="2"/>
                <w:szCs w:val="24"/>
              </w:rPr>
              <w:t>）</w:t>
            </w:r>
            <w:r>
              <w:rPr>
                <w:rFonts w:hint="eastAsia"/>
                <w:kern w:val="2"/>
                <w:szCs w:val="22"/>
                <w:lang w:bidi="ar"/>
              </w:rPr>
              <w:t>；</w:t>
            </w:r>
          </w:p>
          <w:p>
            <w:pPr>
              <w:spacing w:line="276" w:lineRule="auto"/>
              <w:rPr>
                <w:kern w:val="2"/>
                <w:szCs w:val="22"/>
                <w:lang w:bidi="ar"/>
              </w:rPr>
            </w:pPr>
            <w:r>
              <w:rPr>
                <w:rFonts w:hint="eastAsia"/>
                <w:kern w:val="2"/>
                <w:szCs w:val="22"/>
                <w:lang w:bidi="ar"/>
              </w:rPr>
              <w:t>2、交换容量≥2.5Tbps，包转发率≥</w:t>
            </w:r>
            <w:r>
              <w:rPr>
                <w:rFonts w:hint="eastAsia"/>
                <w:kern w:val="2"/>
                <w:szCs w:val="24"/>
              </w:rPr>
              <w:t>700Mpps</w:t>
            </w:r>
            <w:r>
              <w:rPr>
                <w:rFonts w:hint="eastAsia"/>
                <w:kern w:val="2"/>
                <w:szCs w:val="22"/>
                <w:lang w:bidi="ar"/>
              </w:rPr>
              <w:t>，</w:t>
            </w:r>
          </w:p>
          <w:p>
            <w:pPr>
              <w:spacing w:line="276" w:lineRule="auto"/>
              <w:rPr>
                <w:kern w:val="2"/>
                <w:szCs w:val="22"/>
                <w:lang w:bidi="ar"/>
              </w:rPr>
            </w:pPr>
            <w:r>
              <w:rPr>
                <w:rFonts w:hint="eastAsia"/>
                <w:kern w:val="2"/>
                <w:szCs w:val="22"/>
                <w:lang w:bidi="ar"/>
              </w:rPr>
              <w:t>3、配置模块化双电源，模块化双风扇。</w:t>
            </w:r>
          </w:p>
        </w:tc>
        <w:tc>
          <w:tcPr>
            <w:tcW w:w="709" w:type="dxa"/>
            <w:vAlign w:val="center"/>
          </w:tcPr>
          <w:p>
            <w:pPr>
              <w:spacing w:line="276" w:lineRule="auto"/>
              <w:rPr>
                <w:kern w:val="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68" w:type="dxa"/>
            <w:vAlign w:val="center"/>
          </w:tcPr>
          <w:p>
            <w:pPr>
              <w:spacing w:line="276" w:lineRule="auto"/>
              <w:rPr>
                <w:kern w:val="2"/>
                <w:szCs w:val="22"/>
                <w:lang w:bidi="ar"/>
              </w:rPr>
            </w:pPr>
            <w:r>
              <w:rPr>
                <w:rFonts w:hint="eastAsia"/>
                <w:kern w:val="2"/>
                <w:szCs w:val="22"/>
                <w:lang w:bidi="ar"/>
              </w:rPr>
              <w:t>4</w:t>
            </w:r>
          </w:p>
        </w:tc>
        <w:tc>
          <w:tcPr>
            <w:tcW w:w="964" w:type="dxa"/>
            <w:vAlign w:val="center"/>
          </w:tcPr>
          <w:p>
            <w:pPr>
              <w:spacing w:line="276" w:lineRule="auto"/>
              <w:rPr>
                <w:kern w:val="2"/>
                <w:szCs w:val="22"/>
                <w:lang w:bidi="ar"/>
              </w:rPr>
            </w:pPr>
            <w:r>
              <w:rPr>
                <w:rFonts w:hint="eastAsia" w:ascii="仿宋" w:hAnsi="仿宋" w:cs="仿宋"/>
                <w:kern w:val="0"/>
                <w:szCs w:val="22"/>
                <w:lang w:val="en-US" w:eastAsia="zh-CN" w:bidi="ar"/>
              </w:rPr>
              <w:t>内网虚拟化</w:t>
            </w:r>
            <w:r>
              <w:rPr>
                <w:rFonts w:hint="eastAsia" w:ascii="仿宋" w:hAnsi="仿宋" w:cs="仿宋"/>
                <w:kern w:val="0"/>
                <w:szCs w:val="22"/>
                <w:lang w:bidi="ar"/>
              </w:rPr>
              <w:t>服务器硬件扩容</w:t>
            </w:r>
          </w:p>
        </w:tc>
        <w:tc>
          <w:tcPr>
            <w:tcW w:w="709" w:type="dxa"/>
            <w:noWrap/>
            <w:vAlign w:val="center"/>
          </w:tcPr>
          <w:p>
            <w:pPr>
              <w:spacing w:line="276" w:lineRule="auto"/>
              <w:rPr>
                <w:kern w:val="2"/>
                <w:szCs w:val="22"/>
                <w:lang w:bidi="ar"/>
              </w:rPr>
            </w:pPr>
            <w:r>
              <w:rPr>
                <w:kern w:val="2"/>
                <w:szCs w:val="22"/>
                <w:lang w:bidi="ar"/>
              </w:rPr>
              <w:t>8</w:t>
            </w:r>
          </w:p>
        </w:tc>
        <w:tc>
          <w:tcPr>
            <w:tcW w:w="6384" w:type="dxa"/>
            <w:vAlign w:val="center"/>
          </w:tcPr>
          <w:p>
            <w:pPr>
              <w:spacing w:line="276" w:lineRule="auto"/>
              <w:rPr>
                <w:kern w:val="2"/>
                <w:szCs w:val="22"/>
                <w:highlight w:val="none"/>
                <w:lang w:bidi="ar"/>
              </w:rPr>
            </w:pPr>
            <w:r>
              <w:rPr>
                <w:rFonts w:cs="Calibri"/>
                <w:color w:val="000000"/>
                <w:kern w:val="2"/>
                <w:szCs w:val="24"/>
                <w:highlight w:val="none"/>
              </w:rPr>
              <w:t>每台内存</w:t>
            </w:r>
            <w:r>
              <w:rPr>
                <w:rFonts w:hint="eastAsia" w:cs="Calibri"/>
                <w:color w:val="000000"/>
                <w:kern w:val="2"/>
                <w:szCs w:val="24"/>
                <w:highlight w:val="none"/>
                <w:lang w:eastAsia="zh-CN"/>
              </w:rPr>
              <w:t>净</w:t>
            </w:r>
            <w:r>
              <w:rPr>
                <w:rFonts w:cs="Calibri"/>
                <w:color w:val="000000"/>
                <w:kern w:val="2"/>
                <w:szCs w:val="24"/>
                <w:highlight w:val="none"/>
              </w:rPr>
              <w:t>扩容</w:t>
            </w:r>
            <w:r>
              <w:rPr>
                <w:rFonts w:hint="eastAsia" w:cs="Calibri"/>
                <w:color w:val="000000"/>
                <w:kern w:val="2"/>
                <w:szCs w:val="24"/>
                <w:highlight w:val="none"/>
                <w:lang w:eastAsia="zh-CN"/>
              </w:rPr>
              <w:t>≥</w:t>
            </w:r>
            <w:r>
              <w:rPr>
                <w:rFonts w:hint="eastAsia" w:cs="Calibri"/>
                <w:color w:val="000000"/>
                <w:kern w:val="2"/>
                <w:szCs w:val="24"/>
                <w:highlight w:val="none"/>
              </w:rPr>
              <w:t>128G内存，</w:t>
            </w:r>
          </w:p>
        </w:tc>
        <w:tc>
          <w:tcPr>
            <w:tcW w:w="709" w:type="dxa"/>
            <w:noWrap/>
            <w:vAlign w:val="center"/>
          </w:tcPr>
          <w:p>
            <w:pPr>
              <w:spacing w:line="276" w:lineRule="auto"/>
              <w:rPr>
                <w:kern w:val="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68" w:type="dxa"/>
            <w:vMerge w:val="restart"/>
            <w:vAlign w:val="center"/>
          </w:tcPr>
          <w:p>
            <w:pPr>
              <w:spacing w:line="276" w:lineRule="auto"/>
              <w:rPr>
                <w:kern w:val="2"/>
                <w:szCs w:val="22"/>
                <w:lang w:bidi="ar"/>
              </w:rPr>
            </w:pPr>
            <w:r>
              <w:rPr>
                <w:rFonts w:hint="eastAsia"/>
                <w:kern w:val="2"/>
                <w:szCs w:val="22"/>
                <w:lang w:bidi="ar"/>
              </w:rPr>
              <w:t>5</w:t>
            </w:r>
          </w:p>
        </w:tc>
        <w:tc>
          <w:tcPr>
            <w:tcW w:w="964" w:type="dxa"/>
            <w:vMerge w:val="restart"/>
            <w:vAlign w:val="center"/>
          </w:tcPr>
          <w:p>
            <w:pPr>
              <w:spacing w:line="276" w:lineRule="auto"/>
              <w:rPr>
                <w:kern w:val="2"/>
                <w:szCs w:val="22"/>
                <w:lang w:bidi="ar"/>
              </w:rPr>
            </w:pPr>
            <w:r>
              <w:rPr>
                <w:rFonts w:hint="eastAsia" w:ascii="仿宋" w:hAnsi="仿宋" w:cs="仿宋"/>
                <w:kern w:val="0"/>
                <w:szCs w:val="22"/>
                <w:lang w:val="en-US" w:eastAsia="zh-CN" w:bidi="ar"/>
              </w:rPr>
              <w:t>内网</w:t>
            </w:r>
            <w:r>
              <w:rPr>
                <w:rFonts w:hint="eastAsia" w:ascii="仿宋" w:hAnsi="仿宋" w:cs="仿宋"/>
                <w:kern w:val="0"/>
                <w:szCs w:val="22"/>
                <w:lang w:bidi="ar"/>
              </w:rPr>
              <w:t>利旧服务器软硬件扩容</w:t>
            </w:r>
          </w:p>
        </w:tc>
        <w:tc>
          <w:tcPr>
            <w:tcW w:w="709" w:type="dxa"/>
            <w:noWrap/>
            <w:vAlign w:val="center"/>
          </w:tcPr>
          <w:p>
            <w:pPr>
              <w:spacing w:line="276" w:lineRule="auto"/>
              <w:rPr>
                <w:kern w:val="2"/>
                <w:szCs w:val="22"/>
                <w:lang w:bidi="ar"/>
              </w:rPr>
            </w:pPr>
            <w:r>
              <w:rPr>
                <w:kern w:val="2"/>
                <w:szCs w:val="22"/>
                <w:lang w:bidi="ar"/>
              </w:rPr>
              <w:t>1</w:t>
            </w:r>
          </w:p>
        </w:tc>
        <w:tc>
          <w:tcPr>
            <w:tcW w:w="6384" w:type="dxa"/>
            <w:vAlign w:val="center"/>
          </w:tcPr>
          <w:p>
            <w:pPr>
              <w:spacing w:line="276" w:lineRule="auto"/>
              <w:rPr>
                <w:rFonts w:hint="eastAsia" w:eastAsia="宋体" w:cs="Calibri"/>
                <w:color w:val="000000"/>
                <w:kern w:val="2"/>
                <w:szCs w:val="24"/>
                <w:highlight w:val="none"/>
                <w:lang w:eastAsia="zh-CN"/>
              </w:rPr>
            </w:pPr>
            <w:r>
              <w:rPr>
                <w:rFonts w:cs="Calibri"/>
                <w:color w:val="000000"/>
                <w:kern w:val="2"/>
                <w:szCs w:val="24"/>
                <w:highlight w:val="none"/>
              </w:rPr>
              <w:t>利旧服务器</w:t>
            </w:r>
            <w:r>
              <w:rPr>
                <w:rFonts w:hint="eastAsia" w:cs="Calibri"/>
                <w:color w:val="000000"/>
                <w:kern w:val="2"/>
                <w:szCs w:val="24"/>
                <w:highlight w:val="none"/>
              </w:rPr>
              <w:t>1：</w:t>
            </w:r>
            <w:r>
              <w:rPr>
                <w:rFonts w:hint="eastAsia" w:cs="Calibri"/>
                <w:color w:val="000000"/>
                <w:kern w:val="2"/>
                <w:szCs w:val="24"/>
                <w:highlight w:val="none"/>
                <w:lang w:eastAsia="zh-CN"/>
              </w:rPr>
              <w:t>净</w:t>
            </w:r>
            <w:r>
              <w:rPr>
                <w:rFonts w:hint="eastAsia" w:cs="Calibri"/>
                <w:color w:val="000000"/>
                <w:kern w:val="2"/>
                <w:szCs w:val="24"/>
                <w:highlight w:val="none"/>
              </w:rPr>
              <w:t>扩容</w:t>
            </w:r>
            <w:r>
              <w:rPr>
                <w:rFonts w:cs="Calibri"/>
                <w:color w:val="000000"/>
                <w:kern w:val="2"/>
                <w:szCs w:val="24"/>
                <w:highlight w:val="none"/>
              </w:rPr>
              <w:t>内存</w:t>
            </w:r>
            <w:r>
              <w:rPr>
                <w:rFonts w:hint="eastAsia" w:cs="Calibri"/>
                <w:color w:val="000000"/>
                <w:kern w:val="2"/>
                <w:szCs w:val="24"/>
                <w:highlight w:val="none"/>
                <w:lang w:eastAsia="zh-CN"/>
              </w:rPr>
              <w:t>≥</w:t>
            </w:r>
            <w:r>
              <w:rPr>
                <w:rFonts w:hint="eastAsia" w:cs="Calibri"/>
                <w:color w:val="000000"/>
                <w:kern w:val="2"/>
                <w:szCs w:val="24"/>
                <w:highlight w:val="none"/>
              </w:rPr>
              <w:t>1</w:t>
            </w:r>
            <w:r>
              <w:rPr>
                <w:rFonts w:cs="Calibri"/>
                <w:color w:val="000000"/>
                <w:kern w:val="2"/>
                <w:szCs w:val="24"/>
                <w:highlight w:val="none"/>
              </w:rPr>
              <w:t>28G，增加</w:t>
            </w:r>
            <w:r>
              <w:rPr>
                <w:rFonts w:hint="eastAsia" w:cs="Calibri"/>
                <w:color w:val="000000"/>
                <w:kern w:val="2"/>
                <w:szCs w:val="24"/>
                <w:highlight w:val="none"/>
              </w:rPr>
              <w:t>1</w:t>
            </w:r>
            <w:r>
              <w:rPr>
                <w:rFonts w:cs="Calibri"/>
                <w:color w:val="000000"/>
                <w:kern w:val="2"/>
                <w:szCs w:val="24"/>
                <w:highlight w:val="none"/>
              </w:rPr>
              <w:t>颗</w:t>
            </w:r>
            <w:r>
              <w:rPr>
                <w:rFonts w:hint="eastAsia" w:cs="Calibri"/>
                <w:color w:val="000000"/>
                <w:kern w:val="2"/>
                <w:szCs w:val="24"/>
                <w:highlight w:val="none"/>
              </w:rPr>
              <w:t>至强 CPU ，8</w:t>
            </w:r>
            <w:r>
              <w:rPr>
                <w:rFonts w:cs="Calibri"/>
                <w:color w:val="000000"/>
                <w:kern w:val="2"/>
                <w:szCs w:val="24"/>
                <w:highlight w:val="none"/>
              </w:rPr>
              <w:t>G</w:t>
            </w:r>
            <w:r>
              <w:rPr>
                <w:rFonts w:hint="eastAsia" w:cs="Calibri"/>
                <w:color w:val="000000"/>
                <w:kern w:val="2"/>
                <w:szCs w:val="24"/>
                <w:highlight w:val="none"/>
              </w:rPr>
              <w:t>b</w:t>
            </w:r>
            <w:r>
              <w:rPr>
                <w:rFonts w:cs="Calibri"/>
                <w:color w:val="000000"/>
                <w:kern w:val="2"/>
                <w:szCs w:val="24"/>
                <w:highlight w:val="none"/>
              </w:rPr>
              <w:t xml:space="preserve"> HBA</w:t>
            </w:r>
            <w:r>
              <w:rPr>
                <w:rFonts w:hint="eastAsia" w:cs="Calibri"/>
                <w:color w:val="000000"/>
                <w:kern w:val="2"/>
                <w:szCs w:val="24"/>
                <w:highlight w:val="none"/>
              </w:rPr>
              <w:t xml:space="preserve">卡 </w:t>
            </w:r>
            <w:r>
              <w:rPr>
                <w:rFonts w:cs="Calibri"/>
                <w:color w:val="000000"/>
                <w:kern w:val="2"/>
                <w:szCs w:val="24"/>
                <w:highlight w:val="none"/>
              </w:rPr>
              <w:t>2</w:t>
            </w:r>
            <w:r>
              <w:rPr>
                <w:rFonts w:hint="eastAsia" w:cs="Calibri"/>
                <w:color w:val="000000"/>
                <w:kern w:val="2"/>
                <w:szCs w:val="24"/>
                <w:highlight w:val="none"/>
              </w:rPr>
              <w:t>块</w:t>
            </w:r>
            <w:r>
              <w:rPr>
                <w:rFonts w:hint="eastAsia"/>
                <w:kern w:val="2"/>
                <w:szCs w:val="22"/>
                <w:highlight w:val="none"/>
                <w:lang w:eastAsia="zh-CN" w:bidi="ar"/>
              </w:rPr>
              <w:t>（</w:t>
            </w:r>
            <w:r>
              <w:rPr>
                <w:rFonts w:hint="eastAsia"/>
                <w:kern w:val="2"/>
                <w:szCs w:val="22"/>
                <w:highlight w:val="none"/>
                <w:lang w:val="en-US" w:eastAsia="zh-CN" w:bidi="ar"/>
              </w:rPr>
              <w:t>含模块及跳线等相关配件</w:t>
            </w:r>
            <w:r>
              <w:rPr>
                <w:rFonts w:hint="eastAsia"/>
                <w:kern w:val="2"/>
                <w:szCs w:val="22"/>
                <w:highlight w:val="none"/>
                <w:lang w:eastAsia="zh-CN" w:bidi="ar"/>
              </w:rPr>
              <w:t>）</w:t>
            </w:r>
            <w:r>
              <w:rPr>
                <w:rFonts w:hint="eastAsia" w:cs="Calibri"/>
                <w:color w:val="000000"/>
                <w:kern w:val="2"/>
                <w:szCs w:val="24"/>
                <w:highlight w:val="none"/>
              </w:rPr>
              <w:t>；</w:t>
            </w:r>
            <w:r>
              <w:rPr>
                <w:rFonts w:cs="Calibri"/>
                <w:color w:val="000000"/>
                <w:kern w:val="2"/>
                <w:szCs w:val="24"/>
                <w:highlight w:val="none"/>
              </w:rPr>
              <w:t>亚信</w:t>
            </w:r>
            <w:r>
              <w:rPr>
                <w:rFonts w:hint="eastAsia" w:cs="Calibri"/>
                <w:color w:val="000000"/>
                <w:kern w:val="2"/>
                <w:szCs w:val="24"/>
                <w:highlight w:val="none"/>
                <w:lang w:val="en-US" w:eastAsia="zh-CN"/>
              </w:rPr>
              <w:t>虚拟化</w:t>
            </w:r>
            <w:r>
              <w:rPr>
                <w:rFonts w:cs="Calibri"/>
                <w:color w:val="000000"/>
                <w:kern w:val="2"/>
                <w:szCs w:val="24"/>
                <w:highlight w:val="none"/>
              </w:rPr>
              <w:t>杀毒</w:t>
            </w:r>
            <w:r>
              <w:rPr>
                <w:rFonts w:hint="eastAsia" w:cs="Calibri"/>
                <w:color w:val="000000"/>
                <w:kern w:val="2"/>
                <w:szCs w:val="24"/>
                <w:highlight w:val="none"/>
                <w:lang w:eastAsia="zh-CN"/>
              </w:rPr>
              <w:t>软件授权扩容</w:t>
            </w:r>
            <w:r>
              <w:rPr>
                <w:rFonts w:cs="Calibri"/>
                <w:color w:val="000000"/>
                <w:kern w:val="2"/>
                <w:szCs w:val="24"/>
                <w:highlight w:val="none"/>
              </w:rPr>
              <w:t>，</w:t>
            </w:r>
            <w:r>
              <w:rPr>
                <w:rFonts w:hint="eastAsia" w:cs="Calibri"/>
                <w:color w:val="000000"/>
                <w:kern w:val="2"/>
                <w:szCs w:val="24"/>
                <w:highlight w:val="none"/>
              </w:rPr>
              <w:t>2</w:t>
            </w:r>
            <w:r>
              <w:rPr>
                <w:rFonts w:cs="Calibri"/>
                <w:color w:val="000000"/>
                <w:kern w:val="2"/>
                <w:szCs w:val="24"/>
                <w:highlight w:val="none"/>
              </w:rPr>
              <w:t xml:space="preserve"> </w:t>
            </w:r>
            <w:r>
              <w:rPr>
                <w:rFonts w:hint="eastAsia" w:cs="Calibri"/>
                <w:color w:val="000000"/>
                <w:kern w:val="2"/>
                <w:szCs w:val="24"/>
                <w:highlight w:val="none"/>
              </w:rPr>
              <w:t>颗C</w:t>
            </w:r>
            <w:r>
              <w:rPr>
                <w:rFonts w:cs="Calibri"/>
                <w:color w:val="000000"/>
                <w:kern w:val="2"/>
                <w:szCs w:val="24"/>
                <w:highlight w:val="none"/>
              </w:rPr>
              <w:t xml:space="preserve">PU </w:t>
            </w:r>
            <w:r>
              <w:rPr>
                <w:rFonts w:hint="eastAsia" w:cs="Calibri"/>
                <w:color w:val="000000"/>
                <w:kern w:val="2"/>
                <w:szCs w:val="24"/>
                <w:highlight w:val="none"/>
              </w:rPr>
              <w:t>Vmware</w:t>
            </w:r>
            <w:r>
              <w:rPr>
                <w:rFonts w:cs="Calibri"/>
                <w:color w:val="000000"/>
                <w:kern w:val="2"/>
                <w:szCs w:val="24"/>
                <w:highlight w:val="none"/>
              </w:rPr>
              <w:t xml:space="preserve"> vSphere</w:t>
            </w:r>
            <w:r>
              <w:rPr>
                <w:rFonts w:hint="eastAsia" w:cs="Calibri"/>
                <w:color w:val="000000"/>
                <w:kern w:val="2"/>
                <w:szCs w:val="24"/>
                <w:highlight w:val="none"/>
              </w:rPr>
              <w:t>企业版</w:t>
            </w:r>
            <w:r>
              <w:rPr>
                <w:rFonts w:cs="Calibri"/>
                <w:color w:val="000000"/>
                <w:kern w:val="2"/>
                <w:szCs w:val="24"/>
                <w:highlight w:val="none"/>
              </w:rPr>
              <w:t>授权</w:t>
            </w:r>
            <w:r>
              <w:rPr>
                <w:rFonts w:hint="eastAsia" w:cs="Calibri"/>
                <w:color w:val="000000"/>
                <w:kern w:val="2"/>
                <w:szCs w:val="24"/>
                <w:highlight w:val="none"/>
                <w:lang w:eastAsia="zh-CN"/>
              </w:rPr>
              <w:t>（原</w:t>
            </w:r>
            <w:r>
              <w:rPr>
                <w:rFonts w:hint="eastAsia" w:cs="Calibri"/>
                <w:color w:val="000000"/>
                <w:kern w:val="2"/>
                <w:szCs w:val="24"/>
                <w:highlight w:val="none"/>
                <w:lang w:val="en-US" w:eastAsia="zh-CN"/>
              </w:rPr>
              <w:t>虚拟化</w:t>
            </w:r>
            <w:r>
              <w:rPr>
                <w:rFonts w:cs="Calibri"/>
                <w:color w:val="000000"/>
                <w:kern w:val="2"/>
                <w:szCs w:val="24"/>
                <w:highlight w:val="none"/>
              </w:rPr>
              <w:t>杀毒</w:t>
            </w:r>
            <w:r>
              <w:rPr>
                <w:rFonts w:hint="eastAsia" w:cs="Calibri"/>
                <w:color w:val="000000"/>
                <w:kern w:val="2"/>
                <w:szCs w:val="24"/>
                <w:highlight w:val="none"/>
                <w:lang w:eastAsia="zh-CN"/>
              </w:rPr>
              <w:t>软件为亚信，原虚拟化软件为</w:t>
            </w:r>
            <w:r>
              <w:rPr>
                <w:rFonts w:hint="eastAsia" w:cs="Calibri"/>
                <w:color w:val="000000"/>
                <w:kern w:val="2"/>
                <w:szCs w:val="24"/>
                <w:highlight w:val="none"/>
              </w:rPr>
              <w:t>Vmware</w:t>
            </w:r>
            <w:r>
              <w:rPr>
                <w:rFonts w:cs="Calibri"/>
                <w:color w:val="000000"/>
                <w:kern w:val="2"/>
                <w:szCs w:val="24"/>
                <w:highlight w:val="none"/>
              </w:rPr>
              <w:t xml:space="preserve"> vSphere</w:t>
            </w:r>
            <w:r>
              <w:rPr>
                <w:rFonts w:hint="eastAsia" w:cs="Calibri"/>
                <w:color w:val="000000"/>
                <w:kern w:val="2"/>
                <w:szCs w:val="24"/>
                <w:highlight w:val="none"/>
              </w:rPr>
              <w:t>企业版</w:t>
            </w:r>
            <w:r>
              <w:rPr>
                <w:rFonts w:hint="eastAsia" w:cs="Calibri"/>
                <w:color w:val="000000"/>
                <w:kern w:val="2"/>
                <w:szCs w:val="24"/>
                <w:highlight w:val="none"/>
                <w:lang w:eastAsia="zh-CN"/>
              </w:rPr>
              <w:t>，投标人提供软件须与原有软件匹配）。</w:t>
            </w:r>
          </w:p>
        </w:tc>
        <w:tc>
          <w:tcPr>
            <w:tcW w:w="709" w:type="dxa"/>
            <w:vMerge w:val="restart"/>
            <w:noWrap/>
            <w:vAlign w:val="center"/>
          </w:tcPr>
          <w:p>
            <w:pPr>
              <w:spacing w:line="276" w:lineRule="auto"/>
              <w:rPr>
                <w:kern w:val="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68" w:type="dxa"/>
            <w:vMerge w:val="continue"/>
            <w:vAlign w:val="center"/>
          </w:tcPr>
          <w:p>
            <w:pPr>
              <w:spacing w:line="276" w:lineRule="auto"/>
              <w:rPr>
                <w:kern w:val="2"/>
                <w:szCs w:val="22"/>
                <w:lang w:bidi="ar"/>
              </w:rPr>
            </w:pPr>
          </w:p>
        </w:tc>
        <w:tc>
          <w:tcPr>
            <w:tcW w:w="964" w:type="dxa"/>
            <w:vMerge w:val="continue"/>
            <w:vAlign w:val="center"/>
          </w:tcPr>
          <w:p>
            <w:pPr>
              <w:spacing w:line="276" w:lineRule="auto"/>
              <w:rPr>
                <w:kern w:val="2"/>
                <w:szCs w:val="22"/>
                <w:lang w:bidi="ar"/>
              </w:rPr>
            </w:pPr>
          </w:p>
        </w:tc>
        <w:tc>
          <w:tcPr>
            <w:tcW w:w="709" w:type="dxa"/>
            <w:noWrap/>
            <w:vAlign w:val="center"/>
          </w:tcPr>
          <w:p>
            <w:pPr>
              <w:spacing w:line="276" w:lineRule="auto"/>
              <w:rPr>
                <w:kern w:val="2"/>
                <w:szCs w:val="22"/>
                <w:lang w:bidi="ar"/>
              </w:rPr>
            </w:pPr>
            <w:r>
              <w:rPr>
                <w:rFonts w:hint="eastAsia"/>
                <w:kern w:val="2"/>
                <w:szCs w:val="22"/>
                <w:lang w:bidi="ar"/>
              </w:rPr>
              <w:t>1</w:t>
            </w:r>
          </w:p>
        </w:tc>
        <w:tc>
          <w:tcPr>
            <w:tcW w:w="6384" w:type="dxa"/>
            <w:vAlign w:val="center"/>
          </w:tcPr>
          <w:p>
            <w:pPr>
              <w:spacing w:line="276" w:lineRule="auto"/>
              <w:rPr>
                <w:rFonts w:cs="Calibri"/>
                <w:color w:val="000000"/>
                <w:kern w:val="2"/>
                <w:szCs w:val="24"/>
                <w:highlight w:val="none"/>
              </w:rPr>
            </w:pPr>
            <w:r>
              <w:rPr>
                <w:kern w:val="2"/>
                <w:szCs w:val="22"/>
                <w:highlight w:val="none"/>
                <w:lang w:bidi="ar"/>
              </w:rPr>
              <w:t>利旧服务器</w:t>
            </w:r>
            <w:r>
              <w:rPr>
                <w:rFonts w:hint="eastAsia"/>
                <w:kern w:val="2"/>
                <w:szCs w:val="22"/>
                <w:highlight w:val="none"/>
                <w:lang w:bidi="ar"/>
              </w:rPr>
              <w:t>2：</w:t>
            </w:r>
            <w:r>
              <w:rPr>
                <w:rFonts w:hint="eastAsia" w:cs="Calibri"/>
                <w:color w:val="000000"/>
                <w:kern w:val="2"/>
                <w:szCs w:val="24"/>
                <w:highlight w:val="none"/>
                <w:lang w:eastAsia="zh-CN"/>
              </w:rPr>
              <w:t>净</w:t>
            </w:r>
            <w:r>
              <w:rPr>
                <w:rFonts w:hint="eastAsia" w:cs="Calibri"/>
                <w:color w:val="000000"/>
                <w:kern w:val="2"/>
                <w:szCs w:val="24"/>
                <w:highlight w:val="none"/>
              </w:rPr>
              <w:t>扩容</w:t>
            </w:r>
            <w:r>
              <w:rPr>
                <w:rFonts w:cs="Calibri"/>
                <w:color w:val="000000"/>
                <w:kern w:val="2"/>
                <w:szCs w:val="24"/>
                <w:highlight w:val="none"/>
              </w:rPr>
              <w:t>内存</w:t>
            </w:r>
            <w:r>
              <w:rPr>
                <w:rFonts w:hint="eastAsia" w:cs="Calibri"/>
                <w:color w:val="000000"/>
                <w:kern w:val="2"/>
                <w:szCs w:val="24"/>
                <w:highlight w:val="none"/>
                <w:lang w:eastAsia="zh-CN"/>
              </w:rPr>
              <w:t>≥</w:t>
            </w:r>
            <w:r>
              <w:rPr>
                <w:rFonts w:hint="eastAsia"/>
                <w:kern w:val="2"/>
                <w:szCs w:val="22"/>
                <w:highlight w:val="none"/>
                <w:lang w:bidi="ar"/>
              </w:rPr>
              <w:t>2</w:t>
            </w:r>
            <w:r>
              <w:rPr>
                <w:kern w:val="2"/>
                <w:szCs w:val="22"/>
                <w:highlight w:val="none"/>
                <w:lang w:bidi="ar"/>
              </w:rPr>
              <w:t>56G，</w:t>
            </w:r>
            <w:r>
              <w:rPr>
                <w:rFonts w:hint="eastAsia"/>
                <w:kern w:val="2"/>
                <w:szCs w:val="22"/>
                <w:highlight w:val="none"/>
                <w:lang w:bidi="ar"/>
              </w:rPr>
              <w:t>8</w:t>
            </w:r>
            <w:r>
              <w:rPr>
                <w:kern w:val="2"/>
                <w:szCs w:val="22"/>
                <w:highlight w:val="none"/>
                <w:lang w:bidi="ar"/>
              </w:rPr>
              <w:t>G</w:t>
            </w:r>
            <w:r>
              <w:rPr>
                <w:rFonts w:hint="eastAsia"/>
                <w:kern w:val="2"/>
                <w:szCs w:val="22"/>
                <w:highlight w:val="none"/>
                <w:lang w:bidi="ar"/>
              </w:rPr>
              <w:t>b</w:t>
            </w:r>
            <w:r>
              <w:rPr>
                <w:kern w:val="2"/>
                <w:szCs w:val="22"/>
                <w:highlight w:val="none"/>
                <w:lang w:bidi="ar"/>
              </w:rPr>
              <w:t xml:space="preserve"> HBA</w:t>
            </w:r>
            <w:r>
              <w:rPr>
                <w:rFonts w:hint="eastAsia"/>
                <w:kern w:val="2"/>
                <w:szCs w:val="22"/>
                <w:highlight w:val="none"/>
                <w:lang w:bidi="ar"/>
              </w:rPr>
              <w:t xml:space="preserve">卡 </w:t>
            </w:r>
            <w:r>
              <w:rPr>
                <w:kern w:val="2"/>
                <w:szCs w:val="22"/>
                <w:highlight w:val="none"/>
                <w:lang w:bidi="ar"/>
              </w:rPr>
              <w:t>2</w:t>
            </w:r>
            <w:r>
              <w:rPr>
                <w:rFonts w:hint="eastAsia"/>
                <w:kern w:val="2"/>
                <w:szCs w:val="22"/>
                <w:highlight w:val="none"/>
                <w:lang w:bidi="ar"/>
              </w:rPr>
              <w:t>块</w:t>
            </w:r>
            <w:r>
              <w:rPr>
                <w:rFonts w:hint="eastAsia"/>
                <w:kern w:val="2"/>
                <w:szCs w:val="22"/>
                <w:highlight w:val="none"/>
                <w:lang w:eastAsia="zh-CN" w:bidi="ar"/>
              </w:rPr>
              <w:t>（</w:t>
            </w:r>
            <w:r>
              <w:rPr>
                <w:rFonts w:hint="eastAsia"/>
                <w:kern w:val="2"/>
                <w:szCs w:val="22"/>
                <w:highlight w:val="none"/>
                <w:lang w:val="en-US" w:eastAsia="zh-CN" w:bidi="ar"/>
              </w:rPr>
              <w:t>含模块及跳线等相关配件</w:t>
            </w:r>
            <w:r>
              <w:rPr>
                <w:rFonts w:hint="eastAsia"/>
                <w:kern w:val="2"/>
                <w:szCs w:val="22"/>
                <w:highlight w:val="none"/>
                <w:lang w:eastAsia="zh-CN" w:bidi="ar"/>
              </w:rPr>
              <w:t>）</w:t>
            </w:r>
            <w:r>
              <w:rPr>
                <w:kern w:val="2"/>
                <w:szCs w:val="22"/>
                <w:highlight w:val="none"/>
                <w:lang w:bidi="ar"/>
              </w:rPr>
              <w:t>；亚信</w:t>
            </w:r>
            <w:r>
              <w:rPr>
                <w:rFonts w:hint="eastAsia"/>
                <w:kern w:val="2"/>
                <w:szCs w:val="22"/>
                <w:highlight w:val="none"/>
                <w:lang w:val="en-US" w:eastAsia="zh-CN" w:bidi="ar"/>
              </w:rPr>
              <w:t>虚拟化</w:t>
            </w:r>
            <w:r>
              <w:rPr>
                <w:rFonts w:cs="Calibri"/>
                <w:color w:val="000000"/>
                <w:kern w:val="2"/>
                <w:szCs w:val="24"/>
                <w:highlight w:val="none"/>
              </w:rPr>
              <w:t>杀毒</w:t>
            </w:r>
            <w:r>
              <w:rPr>
                <w:rFonts w:hint="eastAsia" w:cs="Calibri"/>
                <w:color w:val="000000"/>
                <w:kern w:val="2"/>
                <w:szCs w:val="24"/>
                <w:highlight w:val="none"/>
                <w:lang w:eastAsia="zh-CN"/>
              </w:rPr>
              <w:t>软件授权扩容</w:t>
            </w:r>
            <w:r>
              <w:rPr>
                <w:kern w:val="2"/>
                <w:szCs w:val="22"/>
                <w:highlight w:val="none"/>
                <w:lang w:bidi="ar"/>
              </w:rPr>
              <w:t>，</w:t>
            </w:r>
            <w:r>
              <w:rPr>
                <w:rFonts w:hint="eastAsia"/>
                <w:kern w:val="2"/>
                <w:szCs w:val="22"/>
                <w:highlight w:val="none"/>
                <w:lang w:bidi="ar"/>
              </w:rPr>
              <w:t>2</w:t>
            </w:r>
            <w:r>
              <w:rPr>
                <w:kern w:val="2"/>
                <w:szCs w:val="22"/>
                <w:highlight w:val="none"/>
                <w:lang w:bidi="ar"/>
              </w:rPr>
              <w:t xml:space="preserve"> </w:t>
            </w:r>
            <w:r>
              <w:rPr>
                <w:rFonts w:hint="eastAsia"/>
                <w:kern w:val="2"/>
                <w:szCs w:val="22"/>
                <w:highlight w:val="none"/>
                <w:lang w:bidi="ar"/>
              </w:rPr>
              <w:t>颗C</w:t>
            </w:r>
            <w:r>
              <w:rPr>
                <w:kern w:val="2"/>
                <w:szCs w:val="22"/>
                <w:highlight w:val="none"/>
                <w:lang w:bidi="ar"/>
              </w:rPr>
              <w:t xml:space="preserve">PU </w:t>
            </w:r>
            <w:r>
              <w:rPr>
                <w:rFonts w:hint="eastAsia"/>
                <w:kern w:val="2"/>
                <w:szCs w:val="22"/>
                <w:highlight w:val="none"/>
                <w:lang w:bidi="ar"/>
              </w:rPr>
              <w:t>Vmware</w:t>
            </w:r>
            <w:r>
              <w:rPr>
                <w:kern w:val="2"/>
                <w:szCs w:val="22"/>
                <w:highlight w:val="none"/>
                <w:lang w:bidi="ar"/>
              </w:rPr>
              <w:t xml:space="preserve"> vSphere</w:t>
            </w:r>
            <w:r>
              <w:rPr>
                <w:rFonts w:hint="eastAsia"/>
                <w:kern w:val="2"/>
                <w:szCs w:val="22"/>
                <w:highlight w:val="none"/>
                <w:lang w:bidi="ar"/>
              </w:rPr>
              <w:t>企业版</w:t>
            </w:r>
            <w:r>
              <w:rPr>
                <w:kern w:val="2"/>
                <w:szCs w:val="22"/>
                <w:highlight w:val="none"/>
                <w:lang w:bidi="ar"/>
              </w:rPr>
              <w:t>授权</w:t>
            </w:r>
            <w:r>
              <w:rPr>
                <w:rFonts w:hint="eastAsia"/>
                <w:kern w:val="2"/>
                <w:szCs w:val="22"/>
                <w:highlight w:val="none"/>
                <w:lang w:eastAsia="zh-CN" w:bidi="ar"/>
              </w:rPr>
              <w:t>；</w:t>
            </w:r>
            <w:r>
              <w:rPr>
                <w:rFonts w:hint="eastAsia" w:cs="Calibri"/>
                <w:color w:val="000000"/>
                <w:kern w:val="2"/>
                <w:szCs w:val="24"/>
                <w:highlight w:val="none"/>
                <w:lang w:eastAsia="zh-CN"/>
              </w:rPr>
              <w:t>（原</w:t>
            </w:r>
            <w:r>
              <w:rPr>
                <w:rFonts w:hint="eastAsia" w:cs="Calibri"/>
                <w:color w:val="000000"/>
                <w:kern w:val="2"/>
                <w:szCs w:val="24"/>
                <w:highlight w:val="none"/>
                <w:lang w:val="en-US" w:eastAsia="zh-CN"/>
              </w:rPr>
              <w:t>虚拟化</w:t>
            </w:r>
            <w:r>
              <w:rPr>
                <w:rFonts w:cs="Calibri"/>
                <w:color w:val="000000"/>
                <w:kern w:val="2"/>
                <w:szCs w:val="24"/>
                <w:highlight w:val="none"/>
              </w:rPr>
              <w:t>杀毒</w:t>
            </w:r>
            <w:r>
              <w:rPr>
                <w:rFonts w:hint="eastAsia" w:cs="Calibri"/>
                <w:color w:val="000000"/>
                <w:kern w:val="2"/>
                <w:szCs w:val="24"/>
                <w:highlight w:val="none"/>
                <w:lang w:eastAsia="zh-CN"/>
              </w:rPr>
              <w:t>软件为亚信，原虚拟化软件为</w:t>
            </w:r>
            <w:r>
              <w:rPr>
                <w:rFonts w:hint="eastAsia" w:cs="Calibri"/>
                <w:color w:val="000000"/>
                <w:kern w:val="2"/>
                <w:szCs w:val="24"/>
                <w:highlight w:val="none"/>
              </w:rPr>
              <w:t>Vmware</w:t>
            </w:r>
            <w:r>
              <w:rPr>
                <w:rFonts w:cs="Calibri"/>
                <w:color w:val="000000"/>
                <w:kern w:val="2"/>
                <w:szCs w:val="24"/>
                <w:highlight w:val="none"/>
              </w:rPr>
              <w:t xml:space="preserve"> vSphere</w:t>
            </w:r>
            <w:r>
              <w:rPr>
                <w:rFonts w:hint="eastAsia" w:cs="Calibri"/>
                <w:color w:val="000000"/>
                <w:kern w:val="2"/>
                <w:szCs w:val="24"/>
                <w:highlight w:val="none"/>
              </w:rPr>
              <w:t>企业版</w:t>
            </w:r>
            <w:r>
              <w:rPr>
                <w:rFonts w:hint="eastAsia" w:cs="Calibri"/>
                <w:color w:val="000000"/>
                <w:kern w:val="2"/>
                <w:szCs w:val="24"/>
                <w:highlight w:val="none"/>
                <w:lang w:eastAsia="zh-CN"/>
              </w:rPr>
              <w:t>，投标人提供软件须与原有软件匹配）。</w:t>
            </w:r>
          </w:p>
        </w:tc>
        <w:tc>
          <w:tcPr>
            <w:tcW w:w="709" w:type="dxa"/>
            <w:vMerge w:val="continue"/>
            <w:noWrap/>
            <w:vAlign w:val="center"/>
          </w:tcPr>
          <w:p>
            <w:pPr>
              <w:spacing w:line="276" w:lineRule="auto"/>
              <w:rPr>
                <w:kern w:val="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68" w:type="dxa"/>
            <w:vMerge w:val="continue"/>
            <w:vAlign w:val="center"/>
          </w:tcPr>
          <w:p>
            <w:pPr>
              <w:spacing w:line="276" w:lineRule="auto"/>
              <w:rPr>
                <w:kern w:val="2"/>
                <w:szCs w:val="22"/>
                <w:lang w:bidi="ar"/>
              </w:rPr>
            </w:pPr>
          </w:p>
        </w:tc>
        <w:tc>
          <w:tcPr>
            <w:tcW w:w="964" w:type="dxa"/>
            <w:vMerge w:val="continue"/>
            <w:vAlign w:val="center"/>
          </w:tcPr>
          <w:p>
            <w:pPr>
              <w:spacing w:line="276" w:lineRule="auto"/>
              <w:rPr>
                <w:kern w:val="2"/>
                <w:szCs w:val="22"/>
                <w:lang w:bidi="ar"/>
              </w:rPr>
            </w:pPr>
          </w:p>
        </w:tc>
        <w:tc>
          <w:tcPr>
            <w:tcW w:w="709" w:type="dxa"/>
            <w:noWrap/>
            <w:vAlign w:val="center"/>
          </w:tcPr>
          <w:p>
            <w:pPr>
              <w:spacing w:line="276" w:lineRule="auto"/>
              <w:rPr>
                <w:kern w:val="2"/>
                <w:szCs w:val="22"/>
                <w:lang w:bidi="ar"/>
              </w:rPr>
            </w:pPr>
            <w:r>
              <w:rPr>
                <w:rFonts w:hint="eastAsia"/>
                <w:kern w:val="2"/>
                <w:szCs w:val="22"/>
                <w:lang w:bidi="ar"/>
              </w:rPr>
              <w:t>1</w:t>
            </w:r>
          </w:p>
        </w:tc>
        <w:tc>
          <w:tcPr>
            <w:tcW w:w="6384" w:type="dxa"/>
            <w:vAlign w:val="center"/>
          </w:tcPr>
          <w:p>
            <w:pPr>
              <w:spacing w:line="276" w:lineRule="auto"/>
              <w:rPr>
                <w:kern w:val="2"/>
                <w:szCs w:val="22"/>
                <w:highlight w:val="none"/>
                <w:lang w:bidi="ar"/>
              </w:rPr>
            </w:pPr>
            <w:r>
              <w:rPr>
                <w:kern w:val="2"/>
                <w:szCs w:val="22"/>
                <w:highlight w:val="none"/>
                <w:lang w:bidi="ar"/>
              </w:rPr>
              <w:t>利旧服务器3</w:t>
            </w:r>
            <w:r>
              <w:rPr>
                <w:rFonts w:hint="eastAsia"/>
                <w:kern w:val="2"/>
                <w:szCs w:val="22"/>
                <w:highlight w:val="none"/>
                <w:lang w:bidi="ar"/>
              </w:rPr>
              <w:t>：</w:t>
            </w:r>
            <w:r>
              <w:rPr>
                <w:rFonts w:hint="eastAsia" w:cs="Calibri"/>
                <w:color w:val="000000"/>
                <w:kern w:val="2"/>
                <w:szCs w:val="24"/>
                <w:highlight w:val="none"/>
                <w:lang w:eastAsia="zh-CN"/>
              </w:rPr>
              <w:t>净</w:t>
            </w:r>
            <w:r>
              <w:rPr>
                <w:rFonts w:hint="eastAsia" w:cs="Calibri"/>
                <w:color w:val="000000"/>
                <w:kern w:val="2"/>
                <w:szCs w:val="24"/>
                <w:highlight w:val="none"/>
              </w:rPr>
              <w:t>扩容</w:t>
            </w:r>
            <w:r>
              <w:rPr>
                <w:rFonts w:cs="Calibri"/>
                <w:color w:val="000000"/>
                <w:kern w:val="2"/>
                <w:szCs w:val="24"/>
                <w:highlight w:val="none"/>
              </w:rPr>
              <w:t>内存</w:t>
            </w:r>
            <w:r>
              <w:rPr>
                <w:rFonts w:hint="eastAsia" w:cs="Calibri"/>
                <w:color w:val="000000"/>
                <w:kern w:val="2"/>
                <w:szCs w:val="24"/>
                <w:highlight w:val="none"/>
                <w:lang w:eastAsia="zh-CN"/>
              </w:rPr>
              <w:t>≥</w:t>
            </w:r>
            <w:r>
              <w:rPr>
                <w:rFonts w:hint="eastAsia"/>
                <w:kern w:val="2"/>
                <w:szCs w:val="22"/>
                <w:highlight w:val="none"/>
                <w:lang w:bidi="ar"/>
              </w:rPr>
              <w:t>2</w:t>
            </w:r>
            <w:r>
              <w:rPr>
                <w:kern w:val="2"/>
                <w:szCs w:val="22"/>
                <w:highlight w:val="none"/>
                <w:lang w:bidi="ar"/>
              </w:rPr>
              <w:t>56G，</w:t>
            </w:r>
            <w:r>
              <w:rPr>
                <w:rFonts w:cs="Calibri"/>
                <w:color w:val="000000"/>
                <w:kern w:val="2"/>
                <w:szCs w:val="24"/>
                <w:highlight w:val="none"/>
              </w:rPr>
              <w:t>增加</w:t>
            </w:r>
            <w:r>
              <w:rPr>
                <w:rFonts w:hint="eastAsia" w:cs="Calibri"/>
                <w:color w:val="000000"/>
                <w:kern w:val="2"/>
                <w:szCs w:val="24"/>
                <w:highlight w:val="none"/>
              </w:rPr>
              <w:t>1</w:t>
            </w:r>
            <w:r>
              <w:rPr>
                <w:rFonts w:cs="Calibri"/>
                <w:color w:val="000000"/>
                <w:kern w:val="2"/>
                <w:szCs w:val="24"/>
                <w:highlight w:val="none"/>
              </w:rPr>
              <w:t>颗</w:t>
            </w:r>
            <w:r>
              <w:rPr>
                <w:rFonts w:hint="eastAsia" w:cs="Calibri"/>
                <w:color w:val="000000"/>
                <w:kern w:val="2"/>
                <w:szCs w:val="24"/>
                <w:highlight w:val="none"/>
              </w:rPr>
              <w:t xml:space="preserve">至强 </w:t>
            </w:r>
            <w:r>
              <w:rPr>
                <w:rFonts w:cs="Calibri"/>
                <w:color w:val="000000"/>
                <w:kern w:val="2"/>
                <w:szCs w:val="24"/>
                <w:highlight w:val="none"/>
              </w:rPr>
              <w:t xml:space="preserve"> </w:t>
            </w:r>
            <w:r>
              <w:rPr>
                <w:rFonts w:hint="eastAsia" w:cs="Calibri"/>
                <w:color w:val="000000"/>
                <w:kern w:val="2"/>
                <w:szCs w:val="24"/>
                <w:highlight w:val="none"/>
              </w:rPr>
              <w:t>CPU（</w:t>
            </w:r>
            <w:r>
              <w:rPr>
                <w:rFonts w:cs="Calibri"/>
                <w:color w:val="000000"/>
                <w:kern w:val="2"/>
                <w:szCs w:val="24"/>
                <w:highlight w:val="none"/>
              </w:rPr>
              <w:t>Silver 4116R</w:t>
            </w:r>
            <w:r>
              <w:rPr>
                <w:rFonts w:hint="eastAsia" w:cs="Calibri"/>
                <w:color w:val="000000"/>
                <w:kern w:val="2"/>
                <w:szCs w:val="24"/>
                <w:highlight w:val="none"/>
              </w:rPr>
              <w:t>）；</w:t>
            </w:r>
            <w:r>
              <w:rPr>
                <w:kern w:val="2"/>
                <w:szCs w:val="22"/>
                <w:highlight w:val="none"/>
                <w:lang w:bidi="ar"/>
              </w:rPr>
              <w:t xml:space="preserve"> </w:t>
            </w:r>
            <w:r>
              <w:rPr>
                <w:rFonts w:hint="eastAsia"/>
                <w:kern w:val="2"/>
                <w:szCs w:val="22"/>
                <w:highlight w:val="none"/>
                <w:lang w:bidi="ar"/>
              </w:rPr>
              <w:t>8</w:t>
            </w:r>
            <w:r>
              <w:rPr>
                <w:kern w:val="2"/>
                <w:szCs w:val="22"/>
                <w:highlight w:val="none"/>
                <w:lang w:bidi="ar"/>
              </w:rPr>
              <w:t>G</w:t>
            </w:r>
            <w:r>
              <w:rPr>
                <w:rFonts w:hint="eastAsia"/>
                <w:kern w:val="2"/>
                <w:szCs w:val="22"/>
                <w:highlight w:val="none"/>
                <w:lang w:bidi="ar"/>
              </w:rPr>
              <w:t>b</w:t>
            </w:r>
            <w:r>
              <w:rPr>
                <w:kern w:val="2"/>
                <w:szCs w:val="22"/>
                <w:highlight w:val="none"/>
                <w:lang w:bidi="ar"/>
              </w:rPr>
              <w:t xml:space="preserve"> HBA</w:t>
            </w:r>
            <w:r>
              <w:rPr>
                <w:rFonts w:hint="eastAsia"/>
                <w:kern w:val="2"/>
                <w:szCs w:val="22"/>
                <w:highlight w:val="none"/>
                <w:lang w:bidi="ar"/>
              </w:rPr>
              <w:t xml:space="preserve">卡 </w:t>
            </w:r>
            <w:r>
              <w:rPr>
                <w:kern w:val="2"/>
                <w:szCs w:val="22"/>
                <w:highlight w:val="none"/>
                <w:lang w:bidi="ar"/>
              </w:rPr>
              <w:t>2</w:t>
            </w:r>
            <w:r>
              <w:rPr>
                <w:rFonts w:hint="eastAsia"/>
                <w:kern w:val="2"/>
                <w:szCs w:val="22"/>
                <w:highlight w:val="none"/>
                <w:lang w:bidi="ar"/>
              </w:rPr>
              <w:t>块</w:t>
            </w:r>
            <w:r>
              <w:rPr>
                <w:rFonts w:hint="eastAsia"/>
                <w:kern w:val="2"/>
                <w:szCs w:val="22"/>
                <w:highlight w:val="none"/>
                <w:lang w:eastAsia="zh-CN" w:bidi="ar"/>
              </w:rPr>
              <w:t>（</w:t>
            </w:r>
            <w:r>
              <w:rPr>
                <w:rFonts w:hint="eastAsia"/>
                <w:kern w:val="2"/>
                <w:szCs w:val="22"/>
                <w:highlight w:val="none"/>
                <w:lang w:val="en-US" w:eastAsia="zh-CN" w:bidi="ar"/>
              </w:rPr>
              <w:t>含模块及跳线等相关配件</w:t>
            </w:r>
            <w:r>
              <w:rPr>
                <w:rFonts w:hint="eastAsia"/>
                <w:kern w:val="2"/>
                <w:szCs w:val="22"/>
                <w:highlight w:val="none"/>
                <w:lang w:eastAsia="zh-CN" w:bidi="ar"/>
              </w:rPr>
              <w:t>）</w:t>
            </w:r>
            <w:r>
              <w:rPr>
                <w:rFonts w:hint="eastAsia"/>
                <w:kern w:val="2"/>
                <w:szCs w:val="22"/>
                <w:highlight w:val="none"/>
                <w:lang w:bidi="ar"/>
              </w:rPr>
              <w:t>；</w:t>
            </w:r>
            <w:r>
              <w:rPr>
                <w:kern w:val="2"/>
                <w:szCs w:val="22"/>
                <w:highlight w:val="none"/>
                <w:lang w:bidi="ar"/>
              </w:rPr>
              <w:t>亚信</w:t>
            </w:r>
            <w:r>
              <w:rPr>
                <w:rFonts w:hint="eastAsia" w:cs="Calibri"/>
                <w:color w:val="000000"/>
                <w:kern w:val="2"/>
                <w:szCs w:val="24"/>
                <w:highlight w:val="none"/>
                <w:lang w:val="en-US" w:eastAsia="zh-CN"/>
              </w:rPr>
              <w:t>虚拟化</w:t>
            </w:r>
            <w:r>
              <w:rPr>
                <w:rFonts w:cs="Calibri"/>
                <w:color w:val="000000"/>
                <w:kern w:val="2"/>
                <w:szCs w:val="24"/>
                <w:highlight w:val="none"/>
              </w:rPr>
              <w:t>杀毒</w:t>
            </w:r>
            <w:r>
              <w:rPr>
                <w:rFonts w:hint="eastAsia" w:cs="Calibri"/>
                <w:color w:val="000000"/>
                <w:kern w:val="2"/>
                <w:szCs w:val="24"/>
                <w:highlight w:val="none"/>
                <w:lang w:eastAsia="zh-CN"/>
              </w:rPr>
              <w:t>软件授权扩容</w:t>
            </w:r>
            <w:r>
              <w:rPr>
                <w:kern w:val="2"/>
                <w:szCs w:val="22"/>
                <w:highlight w:val="none"/>
                <w:lang w:bidi="ar"/>
              </w:rPr>
              <w:t>，</w:t>
            </w:r>
            <w:r>
              <w:rPr>
                <w:rFonts w:hint="eastAsia"/>
                <w:kern w:val="2"/>
                <w:szCs w:val="22"/>
                <w:highlight w:val="none"/>
                <w:lang w:bidi="ar"/>
              </w:rPr>
              <w:t>2</w:t>
            </w:r>
            <w:r>
              <w:rPr>
                <w:kern w:val="2"/>
                <w:szCs w:val="22"/>
                <w:highlight w:val="none"/>
                <w:lang w:bidi="ar"/>
              </w:rPr>
              <w:t xml:space="preserve"> </w:t>
            </w:r>
            <w:r>
              <w:rPr>
                <w:rFonts w:hint="eastAsia"/>
                <w:kern w:val="2"/>
                <w:szCs w:val="22"/>
                <w:highlight w:val="none"/>
                <w:lang w:bidi="ar"/>
              </w:rPr>
              <w:t>颗C</w:t>
            </w:r>
            <w:r>
              <w:rPr>
                <w:kern w:val="2"/>
                <w:szCs w:val="22"/>
                <w:highlight w:val="none"/>
                <w:lang w:bidi="ar"/>
              </w:rPr>
              <w:t xml:space="preserve">PU </w:t>
            </w:r>
            <w:r>
              <w:rPr>
                <w:rFonts w:hint="eastAsia"/>
                <w:kern w:val="2"/>
                <w:szCs w:val="22"/>
                <w:highlight w:val="none"/>
                <w:lang w:bidi="ar"/>
              </w:rPr>
              <w:t>Vmware</w:t>
            </w:r>
            <w:r>
              <w:rPr>
                <w:kern w:val="2"/>
                <w:szCs w:val="22"/>
                <w:highlight w:val="none"/>
                <w:lang w:bidi="ar"/>
              </w:rPr>
              <w:t xml:space="preserve"> vSphere</w:t>
            </w:r>
            <w:r>
              <w:rPr>
                <w:rFonts w:hint="eastAsia"/>
                <w:kern w:val="2"/>
                <w:szCs w:val="22"/>
                <w:highlight w:val="none"/>
                <w:lang w:bidi="ar"/>
              </w:rPr>
              <w:t>企业版</w:t>
            </w:r>
            <w:r>
              <w:rPr>
                <w:kern w:val="2"/>
                <w:szCs w:val="22"/>
                <w:highlight w:val="none"/>
                <w:lang w:bidi="ar"/>
              </w:rPr>
              <w:t>授权</w:t>
            </w:r>
            <w:r>
              <w:rPr>
                <w:rFonts w:hint="eastAsia" w:cs="Calibri"/>
                <w:color w:val="000000"/>
                <w:kern w:val="2"/>
                <w:szCs w:val="24"/>
                <w:highlight w:val="none"/>
                <w:lang w:eastAsia="zh-CN"/>
              </w:rPr>
              <w:t>（原</w:t>
            </w:r>
            <w:r>
              <w:rPr>
                <w:rFonts w:hint="eastAsia" w:cs="Calibri"/>
                <w:color w:val="000000"/>
                <w:kern w:val="2"/>
                <w:szCs w:val="24"/>
                <w:highlight w:val="none"/>
                <w:lang w:val="en-US" w:eastAsia="zh-CN"/>
              </w:rPr>
              <w:t>虚拟化</w:t>
            </w:r>
            <w:r>
              <w:rPr>
                <w:rFonts w:cs="Calibri"/>
                <w:color w:val="000000"/>
                <w:kern w:val="2"/>
                <w:szCs w:val="24"/>
                <w:highlight w:val="none"/>
              </w:rPr>
              <w:t>杀毒</w:t>
            </w:r>
            <w:r>
              <w:rPr>
                <w:rFonts w:hint="eastAsia" w:cs="Calibri"/>
                <w:color w:val="000000"/>
                <w:kern w:val="2"/>
                <w:szCs w:val="24"/>
                <w:highlight w:val="none"/>
                <w:lang w:eastAsia="zh-CN"/>
              </w:rPr>
              <w:t>软件为亚信，原虚拟化软件为</w:t>
            </w:r>
            <w:r>
              <w:rPr>
                <w:rFonts w:hint="eastAsia" w:cs="Calibri"/>
                <w:color w:val="000000"/>
                <w:kern w:val="2"/>
                <w:szCs w:val="24"/>
                <w:highlight w:val="none"/>
              </w:rPr>
              <w:t>Vmware</w:t>
            </w:r>
            <w:r>
              <w:rPr>
                <w:rFonts w:cs="Calibri"/>
                <w:color w:val="000000"/>
                <w:kern w:val="2"/>
                <w:szCs w:val="24"/>
                <w:highlight w:val="none"/>
              </w:rPr>
              <w:t xml:space="preserve"> vSphere</w:t>
            </w:r>
            <w:r>
              <w:rPr>
                <w:rFonts w:hint="eastAsia" w:cs="Calibri"/>
                <w:color w:val="000000"/>
                <w:kern w:val="2"/>
                <w:szCs w:val="24"/>
                <w:highlight w:val="none"/>
              </w:rPr>
              <w:t>企业版</w:t>
            </w:r>
            <w:r>
              <w:rPr>
                <w:rFonts w:hint="eastAsia" w:cs="Calibri"/>
                <w:color w:val="000000"/>
                <w:kern w:val="2"/>
                <w:szCs w:val="24"/>
                <w:highlight w:val="none"/>
                <w:lang w:eastAsia="zh-CN"/>
              </w:rPr>
              <w:t>，投标人提供软件须与原有软件匹配）</w:t>
            </w:r>
            <w:r>
              <w:rPr>
                <w:rFonts w:hint="eastAsia"/>
                <w:kern w:val="2"/>
                <w:szCs w:val="22"/>
                <w:highlight w:val="none"/>
                <w:lang w:eastAsia="zh-CN" w:bidi="ar"/>
              </w:rPr>
              <w:t>。</w:t>
            </w:r>
          </w:p>
        </w:tc>
        <w:tc>
          <w:tcPr>
            <w:tcW w:w="709" w:type="dxa"/>
            <w:vMerge w:val="continue"/>
            <w:noWrap/>
            <w:vAlign w:val="center"/>
          </w:tcPr>
          <w:p>
            <w:pPr>
              <w:spacing w:line="276" w:lineRule="auto"/>
              <w:rPr>
                <w:kern w:val="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68" w:type="dxa"/>
            <w:vMerge w:val="continue"/>
            <w:vAlign w:val="center"/>
          </w:tcPr>
          <w:p>
            <w:pPr>
              <w:spacing w:line="276" w:lineRule="auto"/>
              <w:rPr>
                <w:kern w:val="2"/>
                <w:szCs w:val="22"/>
                <w:lang w:bidi="ar"/>
              </w:rPr>
            </w:pPr>
          </w:p>
        </w:tc>
        <w:tc>
          <w:tcPr>
            <w:tcW w:w="964" w:type="dxa"/>
            <w:vMerge w:val="continue"/>
            <w:vAlign w:val="center"/>
          </w:tcPr>
          <w:p>
            <w:pPr>
              <w:spacing w:line="276" w:lineRule="auto"/>
              <w:rPr>
                <w:kern w:val="2"/>
                <w:szCs w:val="22"/>
                <w:lang w:bidi="ar"/>
              </w:rPr>
            </w:pPr>
          </w:p>
        </w:tc>
        <w:tc>
          <w:tcPr>
            <w:tcW w:w="709" w:type="dxa"/>
            <w:noWrap/>
            <w:vAlign w:val="center"/>
          </w:tcPr>
          <w:p>
            <w:pPr>
              <w:spacing w:line="276" w:lineRule="auto"/>
              <w:rPr>
                <w:kern w:val="2"/>
                <w:szCs w:val="22"/>
                <w:lang w:bidi="ar"/>
              </w:rPr>
            </w:pPr>
            <w:r>
              <w:rPr>
                <w:rFonts w:hint="eastAsia"/>
                <w:kern w:val="2"/>
                <w:szCs w:val="22"/>
                <w:lang w:bidi="ar"/>
              </w:rPr>
              <w:t>1</w:t>
            </w:r>
          </w:p>
        </w:tc>
        <w:tc>
          <w:tcPr>
            <w:tcW w:w="6384" w:type="dxa"/>
            <w:vAlign w:val="center"/>
          </w:tcPr>
          <w:p>
            <w:pPr>
              <w:spacing w:line="276" w:lineRule="auto"/>
              <w:rPr>
                <w:kern w:val="2"/>
                <w:szCs w:val="22"/>
                <w:highlight w:val="none"/>
                <w:lang w:bidi="ar"/>
              </w:rPr>
            </w:pPr>
            <w:r>
              <w:rPr>
                <w:kern w:val="2"/>
                <w:szCs w:val="22"/>
                <w:highlight w:val="none"/>
                <w:lang w:bidi="ar"/>
              </w:rPr>
              <w:t>利旧服务器4</w:t>
            </w:r>
            <w:r>
              <w:rPr>
                <w:rFonts w:hint="eastAsia"/>
                <w:kern w:val="2"/>
                <w:szCs w:val="22"/>
                <w:highlight w:val="none"/>
                <w:lang w:bidi="ar"/>
              </w:rPr>
              <w:t>：</w:t>
            </w:r>
            <w:r>
              <w:rPr>
                <w:rFonts w:hint="eastAsia" w:cs="Calibri"/>
                <w:color w:val="000000"/>
                <w:kern w:val="2"/>
                <w:szCs w:val="24"/>
                <w:highlight w:val="none"/>
                <w:lang w:eastAsia="zh-CN"/>
              </w:rPr>
              <w:t>净</w:t>
            </w:r>
            <w:r>
              <w:rPr>
                <w:rFonts w:hint="eastAsia" w:cs="Calibri"/>
                <w:color w:val="000000"/>
                <w:kern w:val="2"/>
                <w:szCs w:val="24"/>
                <w:highlight w:val="none"/>
              </w:rPr>
              <w:t>扩容</w:t>
            </w:r>
            <w:r>
              <w:rPr>
                <w:rFonts w:cs="Calibri"/>
                <w:color w:val="000000"/>
                <w:kern w:val="2"/>
                <w:szCs w:val="24"/>
                <w:highlight w:val="none"/>
              </w:rPr>
              <w:t>内存</w:t>
            </w:r>
            <w:r>
              <w:rPr>
                <w:rFonts w:hint="eastAsia" w:cs="Calibri"/>
                <w:color w:val="000000"/>
                <w:kern w:val="2"/>
                <w:szCs w:val="24"/>
                <w:highlight w:val="none"/>
                <w:lang w:eastAsia="zh-CN"/>
              </w:rPr>
              <w:t>≥</w:t>
            </w:r>
            <w:r>
              <w:rPr>
                <w:rFonts w:hint="eastAsia"/>
                <w:kern w:val="2"/>
                <w:szCs w:val="22"/>
                <w:highlight w:val="none"/>
                <w:lang w:bidi="ar"/>
              </w:rPr>
              <w:t>2</w:t>
            </w:r>
            <w:r>
              <w:rPr>
                <w:kern w:val="2"/>
                <w:szCs w:val="22"/>
                <w:highlight w:val="none"/>
                <w:lang w:bidi="ar"/>
              </w:rPr>
              <w:t>56G，</w:t>
            </w:r>
            <w:r>
              <w:rPr>
                <w:rFonts w:cs="Calibri"/>
                <w:color w:val="000000"/>
                <w:kern w:val="2"/>
                <w:szCs w:val="24"/>
                <w:highlight w:val="none"/>
              </w:rPr>
              <w:t>增加</w:t>
            </w:r>
            <w:r>
              <w:rPr>
                <w:rFonts w:hint="eastAsia" w:cs="Calibri"/>
                <w:color w:val="000000"/>
                <w:kern w:val="2"/>
                <w:szCs w:val="24"/>
                <w:highlight w:val="none"/>
              </w:rPr>
              <w:t>1</w:t>
            </w:r>
            <w:r>
              <w:rPr>
                <w:rFonts w:cs="Calibri"/>
                <w:color w:val="000000"/>
                <w:kern w:val="2"/>
                <w:szCs w:val="24"/>
                <w:highlight w:val="none"/>
              </w:rPr>
              <w:t>颗</w:t>
            </w:r>
            <w:r>
              <w:rPr>
                <w:rFonts w:hint="eastAsia" w:cs="Calibri"/>
                <w:color w:val="000000"/>
                <w:kern w:val="2"/>
                <w:szCs w:val="24"/>
                <w:highlight w:val="none"/>
              </w:rPr>
              <w:t xml:space="preserve">至强 </w:t>
            </w:r>
            <w:r>
              <w:rPr>
                <w:rFonts w:cs="Calibri"/>
                <w:color w:val="000000"/>
                <w:kern w:val="2"/>
                <w:szCs w:val="24"/>
                <w:highlight w:val="none"/>
              </w:rPr>
              <w:t xml:space="preserve"> </w:t>
            </w:r>
            <w:r>
              <w:rPr>
                <w:rFonts w:hint="eastAsia" w:cs="Calibri"/>
                <w:color w:val="000000"/>
                <w:kern w:val="2"/>
                <w:szCs w:val="24"/>
                <w:highlight w:val="none"/>
              </w:rPr>
              <w:t>CPU（</w:t>
            </w:r>
            <w:r>
              <w:rPr>
                <w:rFonts w:cs="Calibri"/>
                <w:color w:val="000000"/>
                <w:kern w:val="2"/>
                <w:szCs w:val="24"/>
                <w:highlight w:val="none"/>
              </w:rPr>
              <w:t>Silver 4116R</w:t>
            </w:r>
            <w:r>
              <w:rPr>
                <w:rFonts w:hint="eastAsia" w:cs="Calibri"/>
                <w:color w:val="000000"/>
                <w:kern w:val="2"/>
                <w:szCs w:val="24"/>
                <w:highlight w:val="none"/>
              </w:rPr>
              <w:t>）；</w:t>
            </w:r>
            <w:r>
              <w:rPr>
                <w:kern w:val="2"/>
                <w:szCs w:val="22"/>
                <w:highlight w:val="none"/>
                <w:lang w:bidi="ar"/>
              </w:rPr>
              <w:t xml:space="preserve"> </w:t>
            </w:r>
            <w:r>
              <w:rPr>
                <w:rFonts w:hint="eastAsia"/>
                <w:kern w:val="2"/>
                <w:szCs w:val="22"/>
                <w:highlight w:val="none"/>
                <w:lang w:bidi="ar"/>
              </w:rPr>
              <w:t>8</w:t>
            </w:r>
            <w:r>
              <w:rPr>
                <w:kern w:val="2"/>
                <w:szCs w:val="22"/>
                <w:highlight w:val="none"/>
                <w:lang w:bidi="ar"/>
              </w:rPr>
              <w:t>G</w:t>
            </w:r>
            <w:r>
              <w:rPr>
                <w:rFonts w:hint="eastAsia"/>
                <w:kern w:val="2"/>
                <w:szCs w:val="22"/>
                <w:highlight w:val="none"/>
                <w:lang w:bidi="ar"/>
              </w:rPr>
              <w:t>b</w:t>
            </w:r>
            <w:r>
              <w:rPr>
                <w:kern w:val="2"/>
                <w:szCs w:val="22"/>
                <w:highlight w:val="none"/>
                <w:lang w:bidi="ar"/>
              </w:rPr>
              <w:t xml:space="preserve"> HBA</w:t>
            </w:r>
            <w:r>
              <w:rPr>
                <w:rFonts w:hint="eastAsia"/>
                <w:kern w:val="2"/>
                <w:szCs w:val="22"/>
                <w:highlight w:val="none"/>
                <w:lang w:bidi="ar"/>
              </w:rPr>
              <w:t xml:space="preserve">卡 </w:t>
            </w:r>
            <w:r>
              <w:rPr>
                <w:kern w:val="2"/>
                <w:szCs w:val="22"/>
                <w:highlight w:val="none"/>
                <w:lang w:bidi="ar"/>
              </w:rPr>
              <w:t>2</w:t>
            </w:r>
            <w:r>
              <w:rPr>
                <w:rFonts w:hint="eastAsia"/>
                <w:kern w:val="2"/>
                <w:szCs w:val="22"/>
                <w:highlight w:val="none"/>
                <w:lang w:bidi="ar"/>
              </w:rPr>
              <w:t>块</w:t>
            </w:r>
            <w:r>
              <w:rPr>
                <w:rFonts w:hint="eastAsia"/>
                <w:kern w:val="2"/>
                <w:szCs w:val="22"/>
                <w:highlight w:val="none"/>
                <w:lang w:eastAsia="zh-CN" w:bidi="ar"/>
              </w:rPr>
              <w:t>（</w:t>
            </w:r>
            <w:r>
              <w:rPr>
                <w:rFonts w:hint="eastAsia"/>
                <w:kern w:val="2"/>
                <w:szCs w:val="22"/>
                <w:highlight w:val="none"/>
                <w:lang w:val="en-US" w:eastAsia="zh-CN" w:bidi="ar"/>
              </w:rPr>
              <w:t>含模块及跳线等相关配件</w:t>
            </w:r>
            <w:r>
              <w:rPr>
                <w:rFonts w:hint="eastAsia"/>
                <w:kern w:val="2"/>
                <w:szCs w:val="22"/>
                <w:highlight w:val="none"/>
                <w:lang w:eastAsia="zh-CN" w:bidi="ar"/>
              </w:rPr>
              <w:t>）</w:t>
            </w:r>
            <w:r>
              <w:rPr>
                <w:rFonts w:hint="eastAsia"/>
                <w:kern w:val="2"/>
                <w:szCs w:val="22"/>
                <w:highlight w:val="none"/>
                <w:lang w:bidi="ar"/>
              </w:rPr>
              <w:t>；</w:t>
            </w:r>
            <w:r>
              <w:rPr>
                <w:kern w:val="2"/>
                <w:szCs w:val="22"/>
                <w:highlight w:val="none"/>
                <w:lang w:bidi="ar"/>
              </w:rPr>
              <w:t>亚信</w:t>
            </w:r>
            <w:r>
              <w:rPr>
                <w:rFonts w:hint="eastAsia"/>
                <w:kern w:val="2"/>
                <w:szCs w:val="22"/>
                <w:highlight w:val="none"/>
                <w:lang w:val="en-US" w:eastAsia="zh-CN" w:bidi="ar"/>
              </w:rPr>
              <w:t>虚拟化</w:t>
            </w:r>
            <w:r>
              <w:rPr>
                <w:rFonts w:cs="Calibri"/>
                <w:color w:val="000000"/>
                <w:kern w:val="2"/>
                <w:szCs w:val="24"/>
                <w:highlight w:val="none"/>
              </w:rPr>
              <w:t>杀毒</w:t>
            </w:r>
            <w:r>
              <w:rPr>
                <w:rFonts w:hint="eastAsia" w:cs="Calibri"/>
                <w:color w:val="000000"/>
                <w:kern w:val="2"/>
                <w:szCs w:val="24"/>
                <w:highlight w:val="none"/>
                <w:lang w:eastAsia="zh-CN"/>
              </w:rPr>
              <w:t>软件授权扩容</w:t>
            </w:r>
            <w:r>
              <w:rPr>
                <w:kern w:val="2"/>
                <w:szCs w:val="22"/>
                <w:highlight w:val="none"/>
                <w:lang w:bidi="ar"/>
              </w:rPr>
              <w:t>，</w:t>
            </w:r>
            <w:r>
              <w:rPr>
                <w:rFonts w:hint="eastAsia"/>
                <w:kern w:val="2"/>
                <w:szCs w:val="22"/>
                <w:highlight w:val="none"/>
                <w:lang w:bidi="ar"/>
              </w:rPr>
              <w:t>2</w:t>
            </w:r>
            <w:r>
              <w:rPr>
                <w:kern w:val="2"/>
                <w:szCs w:val="22"/>
                <w:highlight w:val="none"/>
                <w:lang w:bidi="ar"/>
              </w:rPr>
              <w:t xml:space="preserve"> </w:t>
            </w:r>
            <w:r>
              <w:rPr>
                <w:rFonts w:hint="eastAsia"/>
                <w:kern w:val="2"/>
                <w:szCs w:val="22"/>
                <w:highlight w:val="none"/>
                <w:lang w:bidi="ar"/>
              </w:rPr>
              <w:t>颗C</w:t>
            </w:r>
            <w:r>
              <w:rPr>
                <w:kern w:val="2"/>
                <w:szCs w:val="22"/>
                <w:highlight w:val="none"/>
                <w:lang w:bidi="ar"/>
              </w:rPr>
              <w:t xml:space="preserve">PU </w:t>
            </w:r>
            <w:r>
              <w:rPr>
                <w:rFonts w:hint="eastAsia"/>
                <w:kern w:val="2"/>
                <w:szCs w:val="22"/>
                <w:highlight w:val="none"/>
                <w:lang w:bidi="ar"/>
              </w:rPr>
              <w:t>Vmware</w:t>
            </w:r>
            <w:r>
              <w:rPr>
                <w:kern w:val="2"/>
                <w:szCs w:val="22"/>
                <w:highlight w:val="none"/>
                <w:lang w:bidi="ar"/>
              </w:rPr>
              <w:t xml:space="preserve"> vSphere</w:t>
            </w:r>
            <w:r>
              <w:rPr>
                <w:rFonts w:hint="eastAsia"/>
                <w:kern w:val="2"/>
                <w:szCs w:val="22"/>
                <w:highlight w:val="none"/>
                <w:lang w:bidi="ar"/>
              </w:rPr>
              <w:t>企业版</w:t>
            </w:r>
            <w:r>
              <w:rPr>
                <w:kern w:val="2"/>
                <w:szCs w:val="22"/>
                <w:highlight w:val="none"/>
                <w:lang w:bidi="ar"/>
              </w:rPr>
              <w:t>授权</w:t>
            </w:r>
            <w:r>
              <w:rPr>
                <w:rFonts w:hint="eastAsia" w:cs="Calibri"/>
                <w:color w:val="000000"/>
                <w:kern w:val="2"/>
                <w:szCs w:val="24"/>
                <w:highlight w:val="none"/>
                <w:lang w:eastAsia="zh-CN"/>
              </w:rPr>
              <w:t>（原</w:t>
            </w:r>
            <w:r>
              <w:rPr>
                <w:rFonts w:hint="eastAsia" w:cs="Calibri"/>
                <w:color w:val="000000"/>
                <w:kern w:val="2"/>
                <w:szCs w:val="24"/>
                <w:highlight w:val="none"/>
                <w:lang w:val="en-US" w:eastAsia="zh-CN"/>
              </w:rPr>
              <w:t>虚拟化</w:t>
            </w:r>
            <w:r>
              <w:rPr>
                <w:rFonts w:cs="Calibri"/>
                <w:color w:val="000000"/>
                <w:kern w:val="2"/>
                <w:szCs w:val="24"/>
                <w:highlight w:val="none"/>
              </w:rPr>
              <w:t>杀毒</w:t>
            </w:r>
            <w:r>
              <w:rPr>
                <w:rFonts w:hint="eastAsia" w:cs="Calibri"/>
                <w:color w:val="000000"/>
                <w:kern w:val="2"/>
                <w:szCs w:val="24"/>
                <w:highlight w:val="none"/>
                <w:lang w:eastAsia="zh-CN"/>
              </w:rPr>
              <w:t>软件为亚信，原虚拟化软件为</w:t>
            </w:r>
            <w:r>
              <w:rPr>
                <w:rFonts w:hint="eastAsia" w:cs="Calibri"/>
                <w:color w:val="000000"/>
                <w:kern w:val="2"/>
                <w:szCs w:val="24"/>
                <w:highlight w:val="none"/>
              </w:rPr>
              <w:t>Vmware</w:t>
            </w:r>
            <w:r>
              <w:rPr>
                <w:rFonts w:cs="Calibri"/>
                <w:color w:val="000000"/>
                <w:kern w:val="2"/>
                <w:szCs w:val="24"/>
                <w:highlight w:val="none"/>
              </w:rPr>
              <w:t xml:space="preserve"> vSphere</w:t>
            </w:r>
            <w:r>
              <w:rPr>
                <w:rFonts w:hint="eastAsia" w:cs="Calibri"/>
                <w:color w:val="000000"/>
                <w:kern w:val="2"/>
                <w:szCs w:val="24"/>
                <w:highlight w:val="none"/>
              </w:rPr>
              <w:t>企业版</w:t>
            </w:r>
            <w:r>
              <w:rPr>
                <w:rFonts w:hint="eastAsia" w:cs="Calibri"/>
                <w:color w:val="000000"/>
                <w:kern w:val="2"/>
                <w:szCs w:val="24"/>
                <w:highlight w:val="none"/>
                <w:lang w:eastAsia="zh-CN"/>
              </w:rPr>
              <w:t>，投标人提供软件须与原有软件匹配）。</w:t>
            </w:r>
          </w:p>
        </w:tc>
        <w:tc>
          <w:tcPr>
            <w:tcW w:w="709" w:type="dxa"/>
            <w:vMerge w:val="continue"/>
            <w:noWrap/>
            <w:vAlign w:val="center"/>
          </w:tcPr>
          <w:p>
            <w:pPr>
              <w:spacing w:line="276" w:lineRule="auto"/>
              <w:rPr>
                <w:kern w:val="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68" w:type="dxa"/>
            <w:vAlign w:val="center"/>
          </w:tcPr>
          <w:p>
            <w:pPr>
              <w:spacing w:line="276" w:lineRule="auto"/>
              <w:rPr>
                <w:kern w:val="2"/>
                <w:szCs w:val="22"/>
                <w:lang w:bidi="ar"/>
              </w:rPr>
            </w:pPr>
            <w:r>
              <w:rPr>
                <w:kern w:val="2"/>
                <w:szCs w:val="22"/>
                <w:lang w:bidi="ar"/>
              </w:rPr>
              <w:t>6</w:t>
            </w:r>
          </w:p>
        </w:tc>
        <w:tc>
          <w:tcPr>
            <w:tcW w:w="964" w:type="dxa"/>
            <w:vAlign w:val="center"/>
          </w:tcPr>
          <w:p>
            <w:pPr>
              <w:spacing w:line="276" w:lineRule="auto"/>
              <w:rPr>
                <w:kern w:val="2"/>
                <w:szCs w:val="22"/>
                <w:lang w:bidi="ar"/>
              </w:rPr>
            </w:pPr>
            <w:r>
              <w:rPr>
                <w:rFonts w:hint="eastAsia" w:ascii="仿宋" w:hAnsi="仿宋" w:cs="仿宋"/>
                <w:kern w:val="0"/>
                <w:szCs w:val="22"/>
                <w:lang w:val="en-US" w:eastAsia="zh-CN" w:bidi="ar"/>
              </w:rPr>
              <w:t>内网</w:t>
            </w:r>
            <w:r>
              <w:rPr>
                <w:rFonts w:hint="eastAsia" w:ascii="仿宋" w:hAnsi="仿宋" w:cs="仿宋"/>
                <w:kern w:val="0"/>
                <w:szCs w:val="22"/>
                <w:lang w:bidi="ar"/>
              </w:rPr>
              <w:t>虚拟化存储扩容</w:t>
            </w:r>
          </w:p>
        </w:tc>
        <w:tc>
          <w:tcPr>
            <w:tcW w:w="709" w:type="dxa"/>
            <w:noWrap/>
            <w:vAlign w:val="center"/>
          </w:tcPr>
          <w:p>
            <w:pPr>
              <w:spacing w:line="276" w:lineRule="auto"/>
              <w:rPr>
                <w:kern w:val="2"/>
                <w:szCs w:val="22"/>
                <w:lang w:bidi="ar"/>
              </w:rPr>
            </w:pPr>
            <w:r>
              <w:rPr>
                <w:kern w:val="2"/>
                <w:szCs w:val="22"/>
                <w:lang w:bidi="ar"/>
              </w:rPr>
              <w:t>2</w:t>
            </w:r>
          </w:p>
        </w:tc>
        <w:tc>
          <w:tcPr>
            <w:tcW w:w="6384" w:type="dxa"/>
            <w:vAlign w:val="center"/>
          </w:tcPr>
          <w:p>
            <w:pPr>
              <w:spacing w:line="276" w:lineRule="auto"/>
              <w:rPr>
                <w:kern w:val="2"/>
                <w:szCs w:val="22"/>
                <w:lang w:bidi="ar"/>
              </w:rPr>
            </w:pPr>
            <w:r>
              <w:rPr>
                <w:rFonts w:hint="eastAsia"/>
                <w:kern w:val="2"/>
                <w:szCs w:val="22"/>
                <w:lang w:bidi="ar"/>
              </w:rPr>
              <w:t>联想</w:t>
            </w:r>
            <w:r>
              <w:rPr>
                <w:rFonts w:hint="eastAsia"/>
                <w:kern w:val="2"/>
                <w:szCs w:val="22"/>
                <w:lang w:val="en-US" w:eastAsia="zh-CN" w:bidi="ar"/>
              </w:rPr>
              <w:t>虚拟化存储扩容</w:t>
            </w:r>
            <w:r>
              <w:rPr>
                <w:rFonts w:hint="eastAsia"/>
                <w:kern w:val="2"/>
                <w:szCs w:val="22"/>
                <w:lang w:bidi="ar"/>
              </w:rPr>
              <w:t>：配置扩展柜机1台</w:t>
            </w:r>
            <w:r>
              <w:rPr>
                <w:rFonts w:hint="eastAsia"/>
                <w:kern w:val="2"/>
                <w:szCs w:val="22"/>
                <w:lang w:eastAsia="zh-CN" w:bidi="ar"/>
              </w:rPr>
              <w:t>（</w:t>
            </w:r>
            <w:r>
              <w:rPr>
                <w:rFonts w:hint="eastAsia"/>
                <w:kern w:val="2"/>
                <w:szCs w:val="22"/>
                <w:lang w:val="en-US" w:eastAsia="zh-CN" w:bidi="ar"/>
              </w:rPr>
              <w:t>含模块及跳线等相关配件</w:t>
            </w:r>
            <w:r>
              <w:rPr>
                <w:rFonts w:hint="eastAsia"/>
                <w:kern w:val="2"/>
                <w:szCs w:val="22"/>
                <w:lang w:eastAsia="zh-CN" w:bidi="ar"/>
              </w:rPr>
              <w:t>）</w:t>
            </w:r>
            <w:r>
              <w:rPr>
                <w:rFonts w:hint="eastAsia"/>
                <w:kern w:val="2"/>
                <w:szCs w:val="22"/>
                <w:lang w:bidi="ar"/>
              </w:rPr>
              <w:t>，扩展柜配置≥</w:t>
            </w:r>
            <w:r>
              <w:rPr>
                <w:kern w:val="2"/>
                <w:szCs w:val="22"/>
                <w:lang w:bidi="ar"/>
              </w:rPr>
              <w:t>6块3.84TB SSD，</w:t>
            </w:r>
            <w:r>
              <w:rPr>
                <w:rFonts w:hint="eastAsia"/>
                <w:kern w:val="2"/>
                <w:szCs w:val="22"/>
                <w:lang w:bidi="ar"/>
              </w:rPr>
              <w:t>≥</w:t>
            </w:r>
            <w:r>
              <w:rPr>
                <w:kern w:val="2"/>
                <w:szCs w:val="22"/>
                <w:lang w:bidi="ar"/>
              </w:rPr>
              <w:t>18块1.8TB SAS磁盘，存储可用容量</w:t>
            </w:r>
            <w:r>
              <w:rPr>
                <w:rFonts w:hint="eastAsia"/>
                <w:kern w:val="2"/>
                <w:szCs w:val="22"/>
                <w:lang w:bidi="ar"/>
              </w:rPr>
              <w:t>≥30</w:t>
            </w:r>
            <w:r>
              <w:rPr>
                <w:kern w:val="2"/>
                <w:szCs w:val="22"/>
                <w:lang w:bidi="ar"/>
              </w:rPr>
              <w:t>TB；</w:t>
            </w:r>
          </w:p>
        </w:tc>
        <w:tc>
          <w:tcPr>
            <w:tcW w:w="709" w:type="dxa"/>
            <w:noWrap/>
            <w:vAlign w:val="center"/>
          </w:tcPr>
          <w:p>
            <w:pPr>
              <w:spacing w:line="276" w:lineRule="auto"/>
              <w:rPr>
                <w:kern w:val="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68" w:type="dxa"/>
            <w:vAlign w:val="center"/>
          </w:tcPr>
          <w:p>
            <w:pPr>
              <w:spacing w:line="276" w:lineRule="auto"/>
              <w:rPr>
                <w:rFonts w:hint="eastAsia" w:eastAsia="宋体" w:asciiTheme="minorHAnsi" w:hAnsiTheme="minorHAnsi" w:cstheme="minorBidi"/>
                <w:kern w:val="2"/>
                <w:sz w:val="21"/>
                <w:szCs w:val="24"/>
                <w:lang w:val="en-US" w:eastAsia="zh-CN" w:bidi="ar"/>
              </w:rPr>
            </w:pPr>
            <w:r>
              <w:rPr>
                <w:rFonts w:hint="eastAsia"/>
                <w:kern w:val="2"/>
                <w:szCs w:val="22"/>
                <w:lang w:val="en-US" w:eastAsia="zh-CN" w:bidi="ar"/>
              </w:rPr>
              <w:t>7</w:t>
            </w:r>
          </w:p>
        </w:tc>
        <w:tc>
          <w:tcPr>
            <w:tcW w:w="964" w:type="dxa"/>
            <w:vAlign w:val="center"/>
          </w:tcPr>
          <w:p>
            <w:pPr>
              <w:spacing w:line="276" w:lineRule="auto"/>
              <w:rPr>
                <w:rFonts w:hint="eastAsia" w:ascii="仿宋" w:hAnsi="仿宋" w:cs="仿宋" w:eastAsiaTheme="minorEastAsia"/>
                <w:kern w:val="0"/>
                <w:sz w:val="21"/>
                <w:szCs w:val="24"/>
                <w:lang w:val="en-US" w:eastAsia="zh-CN" w:bidi="ar"/>
              </w:rPr>
            </w:pPr>
            <w:r>
              <w:rPr>
                <w:rFonts w:hint="eastAsia" w:ascii="仿宋" w:hAnsi="仿宋" w:cs="仿宋"/>
                <w:kern w:val="0"/>
                <w:szCs w:val="22"/>
                <w:lang w:val="en-US" w:eastAsia="zh-CN" w:bidi="ar"/>
              </w:rPr>
              <w:t>虚拟化扩容配件</w:t>
            </w:r>
          </w:p>
        </w:tc>
        <w:tc>
          <w:tcPr>
            <w:tcW w:w="709" w:type="dxa"/>
            <w:noWrap/>
            <w:vAlign w:val="center"/>
          </w:tcPr>
          <w:p>
            <w:pPr>
              <w:spacing w:line="276" w:lineRule="auto"/>
              <w:rPr>
                <w:rFonts w:hint="eastAsia" w:eastAsia="宋体" w:asciiTheme="minorHAnsi" w:hAnsiTheme="minorHAnsi" w:cstheme="minorBidi"/>
                <w:kern w:val="2"/>
                <w:sz w:val="21"/>
                <w:szCs w:val="24"/>
                <w:lang w:val="en-US" w:eastAsia="zh-CN" w:bidi="ar"/>
              </w:rPr>
            </w:pPr>
            <w:r>
              <w:rPr>
                <w:rFonts w:hint="eastAsia"/>
                <w:kern w:val="2"/>
                <w:szCs w:val="22"/>
                <w:lang w:val="en-US" w:eastAsia="zh-CN" w:bidi="ar"/>
              </w:rPr>
              <w:t>1</w:t>
            </w:r>
          </w:p>
        </w:tc>
        <w:tc>
          <w:tcPr>
            <w:tcW w:w="6384" w:type="dxa"/>
            <w:vAlign w:val="center"/>
          </w:tcPr>
          <w:p>
            <w:pPr>
              <w:spacing w:line="276" w:lineRule="auto"/>
              <w:rPr>
                <w:rFonts w:hint="eastAsia" w:eastAsia="宋体" w:asciiTheme="minorHAnsi" w:hAnsiTheme="minorHAnsi" w:cstheme="minorBidi"/>
                <w:kern w:val="2"/>
                <w:sz w:val="21"/>
                <w:szCs w:val="24"/>
                <w:lang w:val="en-US" w:eastAsia="zh-CN" w:bidi="ar"/>
              </w:rPr>
            </w:pPr>
            <w:r>
              <w:rPr>
                <w:rFonts w:hint="eastAsia"/>
                <w:kern w:val="2"/>
                <w:szCs w:val="22"/>
                <w:lang w:val="en-US" w:eastAsia="zh-CN" w:bidi="ar"/>
              </w:rPr>
              <w:t>完成本次虚拟化扩容的相关配件（包括但不限于跳线、光纤模块等相关完成该项目必须的配品配件。）</w:t>
            </w:r>
          </w:p>
        </w:tc>
        <w:tc>
          <w:tcPr>
            <w:tcW w:w="709" w:type="dxa"/>
            <w:noWrap/>
            <w:vAlign w:val="center"/>
          </w:tcPr>
          <w:p>
            <w:pPr>
              <w:spacing w:line="276" w:lineRule="auto"/>
              <w:rPr>
                <w:kern w:val="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68" w:type="dxa"/>
            <w:vAlign w:val="center"/>
          </w:tcPr>
          <w:p>
            <w:pPr>
              <w:spacing w:line="276" w:lineRule="auto"/>
              <w:rPr>
                <w:rFonts w:hint="eastAsia"/>
                <w:kern w:val="2"/>
                <w:szCs w:val="22"/>
                <w:lang w:val="en-US" w:eastAsia="zh-CN" w:bidi="ar"/>
              </w:rPr>
            </w:pPr>
            <w:r>
              <w:rPr>
                <w:rFonts w:hint="eastAsia"/>
                <w:kern w:val="2"/>
                <w:szCs w:val="22"/>
                <w:lang w:val="en-US" w:eastAsia="zh-CN" w:bidi="ar"/>
              </w:rPr>
              <w:t>备注</w:t>
            </w:r>
          </w:p>
        </w:tc>
        <w:tc>
          <w:tcPr>
            <w:tcW w:w="8766" w:type="dxa"/>
            <w:gridSpan w:val="4"/>
            <w:vAlign w:val="center"/>
          </w:tcPr>
          <w:p>
            <w:pPr>
              <w:spacing w:line="276" w:lineRule="auto"/>
              <w:rPr>
                <w:rFonts w:hint="eastAsia"/>
                <w:b/>
                <w:bCs/>
                <w:kern w:val="2"/>
                <w:szCs w:val="22"/>
                <w:highlight w:val="none"/>
                <w:lang w:val="en-US" w:eastAsia="zh-CN" w:bidi="ar"/>
              </w:rPr>
            </w:pPr>
            <w:r>
              <w:rPr>
                <w:rFonts w:hint="eastAsia"/>
                <w:b/>
                <w:bCs/>
                <w:kern w:val="2"/>
                <w:szCs w:val="22"/>
                <w:highlight w:val="none"/>
                <w:lang w:val="en-US" w:eastAsia="zh-CN" w:bidi="ar"/>
              </w:rPr>
              <w:t>商务要求：</w:t>
            </w:r>
          </w:p>
          <w:p>
            <w:pPr>
              <w:spacing w:line="276" w:lineRule="auto"/>
              <w:rPr>
                <w:rFonts w:hint="eastAsia" w:cstheme="minorBidi"/>
                <w:b/>
                <w:bCs/>
                <w:color w:val="auto"/>
                <w:kern w:val="2"/>
                <w:sz w:val="30"/>
                <w:szCs w:val="30"/>
                <w:highlight w:val="none"/>
                <w:lang w:val="en-US" w:eastAsia="zh-CN" w:bidi="ar-SA"/>
              </w:rPr>
            </w:pPr>
            <w:r>
              <w:rPr>
                <w:rFonts w:hint="eastAsia"/>
                <w:b/>
                <w:bCs/>
                <w:kern w:val="2"/>
                <w:szCs w:val="22"/>
                <w:highlight w:val="none"/>
                <w:lang w:val="en-US" w:eastAsia="zh-CN" w:bidi="ar"/>
              </w:rPr>
              <w:t>1、</w:t>
            </w:r>
            <w:r>
              <w:rPr>
                <w:rFonts w:hint="eastAsia"/>
                <w:b/>
                <w:bCs/>
                <w:kern w:val="2"/>
                <w:szCs w:val="22"/>
                <w:highlight w:val="none"/>
                <w:lang w:eastAsia="zh-CN" w:bidi="ar"/>
              </w:rPr>
              <w:t>本项目所投产品（</w:t>
            </w:r>
            <w:r>
              <w:rPr>
                <w:rFonts w:hint="eastAsia"/>
                <w:b/>
                <w:bCs/>
                <w:kern w:val="2"/>
                <w:szCs w:val="22"/>
                <w:highlight w:val="none"/>
                <w:lang w:bidi="ar"/>
              </w:rPr>
              <w:t>超融合平台</w:t>
            </w:r>
            <w:r>
              <w:rPr>
                <w:rFonts w:hint="eastAsia"/>
                <w:b/>
                <w:bCs/>
                <w:kern w:val="2"/>
                <w:szCs w:val="22"/>
                <w:highlight w:val="none"/>
                <w:lang w:eastAsia="zh-CN" w:bidi="ar"/>
              </w:rPr>
              <w:t>、</w:t>
            </w:r>
            <w:r>
              <w:rPr>
                <w:rFonts w:hint="eastAsia"/>
                <w:b/>
                <w:bCs/>
                <w:kern w:val="2"/>
                <w:szCs w:val="22"/>
                <w:highlight w:val="none"/>
                <w:lang w:bidi="ar"/>
              </w:rPr>
              <w:t>超融合服务器</w:t>
            </w:r>
            <w:r>
              <w:rPr>
                <w:rFonts w:hint="eastAsia" w:cs="Calibri"/>
                <w:b/>
                <w:bCs/>
                <w:color w:val="000000"/>
                <w:kern w:val="2"/>
                <w:szCs w:val="24"/>
                <w:highlight w:val="none"/>
                <w:lang w:eastAsia="zh-CN"/>
              </w:rPr>
              <w:t>、</w:t>
            </w:r>
            <w:r>
              <w:rPr>
                <w:rFonts w:hint="eastAsia"/>
                <w:b/>
                <w:bCs/>
                <w:kern w:val="2"/>
                <w:szCs w:val="22"/>
                <w:highlight w:val="none"/>
                <w:lang w:bidi="ar"/>
              </w:rPr>
              <w:t>联想</w:t>
            </w:r>
            <w:r>
              <w:rPr>
                <w:rFonts w:hint="eastAsia"/>
                <w:b/>
                <w:bCs/>
                <w:kern w:val="2"/>
                <w:szCs w:val="22"/>
                <w:highlight w:val="none"/>
                <w:lang w:val="en-US" w:eastAsia="zh-CN" w:bidi="ar"/>
              </w:rPr>
              <w:t>虚拟化存储扩容</w:t>
            </w:r>
            <w:r>
              <w:rPr>
                <w:rFonts w:hint="eastAsia"/>
                <w:b/>
                <w:bCs/>
                <w:kern w:val="2"/>
                <w:szCs w:val="22"/>
                <w:highlight w:val="none"/>
                <w:lang w:eastAsia="zh-CN" w:bidi="ar"/>
              </w:rPr>
              <w:t>）的合法来源渠道证明（不限于</w:t>
            </w:r>
            <w:r>
              <w:rPr>
                <w:rFonts w:hint="eastAsia"/>
                <w:b/>
                <w:bCs/>
                <w:kern w:val="2"/>
                <w:szCs w:val="22"/>
                <w:highlight w:val="none"/>
                <w:lang w:bidi="ar"/>
              </w:rPr>
              <w:t>生产厂商针对本项目的授权函</w:t>
            </w:r>
            <w:r>
              <w:rPr>
                <w:rFonts w:hint="eastAsia"/>
                <w:b/>
                <w:bCs/>
                <w:kern w:val="2"/>
                <w:szCs w:val="22"/>
                <w:highlight w:val="none"/>
                <w:lang w:eastAsia="zh-CN" w:bidi="ar"/>
              </w:rPr>
              <w:t>、</w:t>
            </w:r>
            <w:r>
              <w:rPr>
                <w:rFonts w:hint="eastAsia"/>
                <w:b/>
                <w:bCs/>
                <w:kern w:val="2"/>
                <w:szCs w:val="22"/>
                <w:highlight w:val="none"/>
                <w:lang w:bidi="ar"/>
              </w:rPr>
              <w:t>原厂售后服务承诺函</w:t>
            </w:r>
            <w:r>
              <w:rPr>
                <w:rFonts w:hint="eastAsia"/>
                <w:b/>
                <w:bCs/>
                <w:kern w:val="2"/>
                <w:szCs w:val="22"/>
                <w:highlight w:val="none"/>
                <w:lang w:eastAsia="zh-CN" w:bidi="ar"/>
              </w:rPr>
              <w:t>等）</w:t>
            </w:r>
          </w:p>
          <w:p>
            <w:pPr>
              <w:pStyle w:val="53"/>
              <w:spacing w:line="360" w:lineRule="auto"/>
              <w:ind w:left="0" w:leftChars="0" w:firstLine="0" w:firstLineChars="0"/>
              <w:rPr>
                <w:rFonts w:hint="eastAsia"/>
                <w:b/>
                <w:bCs/>
                <w:kern w:val="2"/>
                <w:szCs w:val="22"/>
                <w:highlight w:val="none"/>
                <w:lang w:val="en-US" w:eastAsia="zh-CN" w:bidi="ar"/>
              </w:rPr>
            </w:pPr>
            <w:r>
              <w:rPr>
                <w:rFonts w:hint="eastAsia"/>
                <w:b/>
                <w:bCs/>
                <w:kern w:val="2"/>
                <w:szCs w:val="22"/>
                <w:highlight w:val="none"/>
                <w:lang w:bidi="ar"/>
              </w:rPr>
              <w:t>2、</w:t>
            </w:r>
            <w:r>
              <w:rPr>
                <w:rFonts w:hint="eastAsia"/>
                <w:b/>
                <w:bCs/>
                <w:kern w:val="2"/>
                <w:szCs w:val="22"/>
                <w:highlight w:val="none"/>
                <w:lang w:eastAsia="zh-CN" w:bidi="ar"/>
              </w:rPr>
              <w:t>提供本项目所投产品（</w:t>
            </w:r>
            <w:r>
              <w:rPr>
                <w:rFonts w:cs="Calibri"/>
                <w:b/>
                <w:bCs/>
                <w:color w:val="000000"/>
                <w:kern w:val="2"/>
                <w:szCs w:val="24"/>
                <w:highlight w:val="none"/>
              </w:rPr>
              <w:t>杀毒</w:t>
            </w:r>
            <w:r>
              <w:rPr>
                <w:rFonts w:hint="eastAsia" w:cs="Calibri"/>
                <w:b/>
                <w:bCs/>
                <w:color w:val="000000"/>
                <w:kern w:val="2"/>
                <w:szCs w:val="24"/>
                <w:highlight w:val="none"/>
                <w:lang w:eastAsia="zh-CN"/>
              </w:rPr>
              <w:t>软件及虚拟化软件</w:t>
            </w:r>
            <w:r>
              <w:rPr>
                <w:rFonts w:hint="eastAsia"/>
                <w:b/>
                <w:bCs/>
                <w:kern w:val="2"/>
                <w:szCs w:val="22"/>
                <w:highlight w:val="none"/>
                <w:lang w:eastAsia="zh-CN" w:bidi="ar"/>
              </w:rPr>
              <w:t>）与原有软件相匹配的承诺函。</w:t>
            </w:r>
          </w:p>
          <w:p>
            <w:pPr>
              <w:pStyle w:val="53"/>
              <w:numPr>
                <w:ilvl w:val="0"/>
                <w:numId w:val="0"/>
              </w:numPr>
              <w:spacing w:line="360" w:lineRule="auto"/>
              <w:ind w:leftChars="0"/>
              <w:rPr>
                <w:rFonts w:hint="eastAsia" w:eastAsiaTheme="minorEastAsia"/>
                <w:b/>
                <w:bCs/>
                <w:kern w:val="2"/>
                <w:szCs w:val="22"/>
                <w:highlight w:val="none"/>
                <w:lang w:eastAsia="zh-CN" w:bidi="ar"/>
              </w:rPr>
            </w:pPr>
            <w:r>
              <w:rPr>
                <w:rFonts w:hint="eastAsia"/>
                <w:b/>
                <w:bCs/>
                <w:kern w:val="2"/>
                <w:szCs w:val="22"/>
                <w:highlight w:val="none"/>
                <w:lang w:val="en-US" w:eastAsia="zh-CN" w:bidi="ar"/>
              </w:rPr>
              <w:t>3</w:t>
            </w:r>
            <w:r>
              <w:rPr>
                <w:rFonts w:hint="eastAsia"/>
                <w:b/>
                <w:bCs/>
                <w:kern w:val="2"/>
                <w:szCs w:val="22"/>
                <w:highlight w:val="none"/>
                <w:lang w:bidi="ar"/>
              </w:rPr>
              <w:t>、提供原厂超融合软硬件系统的安装实施服务</w:t>
            </w:r>
            <w:r>
              <w:rPr>
                <w:rFonts w:hint="eastAsia"/>
                <w:b/>
                <w:bCs/>
                <w:kern w:val="2"/>
                <w:szCs w:val="22"/>
                <w:highlight w:val="none"/>
                <w:lang w:eastAsia="zh-CN" w:bidi="ar"/>
              </w:rPr>
              <w:t>。</w:t>
            </w:r>
          </w:p>
          <w:p>
            <w:pPr>
              <w:pStyle w:val="53"/>
              <w:numPr>
                <w:ilvl w:val="0"/>
                <w:numId w:val="0"/>
              </w:numPr>
              <w:spacing w:line="360" w:lineRule="auto"/>
              <w:ind w:leftChars="0"/>
              <w:rPr>
                <w:rFonts w:hint="eastAsia"/>
                <w:b/>
                <w:bCs/>
                <w:kern w:val="2"/>
                <w:szCs w:val="22"/>
                <w:highlight w:val="none"/>
                <w:lang w:bidi="ar"/>
              </w:rPr>
            </w:pPr>
            <w:r>
              <w:rPr>
                <w:rFonts w:hint="eastAsia"/>
                <w:b/>
                <w:bCs/>
                <w:kern w:val="2"/>
                <w:szCs w:val="22"/>
                <w:highlight w:val="none"/>
                <w:lang w:val="en-US" w:eastAsia="zh-CN" w:bidi="ar"/>
              </w:rPr>
              <w:t>4、</w:t>
            </w:r>
            <w:r>
              <w:rPr>
                <w:rFonts w:hint="eastAsia"/>
                <w:b/>
                <w:bCs/>
                <w:kern w:val="2"/>
                <w:szCs w:val="22"/>
                <w:highlight w:val="none"/>
                <w:lang w:bidi="ar"/>
              </w:rPr>
              <w:t>提供3年原厂软硬件</w:t>
            </w:r>
            <w:r>
              <w:rPr>
                <w:rFonts w:hint="eastAsia"/>
                <w:b/>
                <w:bCs/>
                <w:kern w:val="2"/>
                <w:szCs w:val="22"/>
                <w:highlight w:val="none"/>
                <w:lang w:val="en-US" w:eastAsia="zh-CN" w:bidi="ar"/>
              </w:rPr>
              <w:t>质保</w:t>
            </w:r>
            <w:r>
              <w:rPr>
                <w:rFonts w:hint="eastAsia"/>
                <w:b/>
                <w:bCs/>
                <w:kern w:val="2"/>
                <w:szCs w:val="22"/>
                <w:highlight w:val="none"/>
                <w:lang w:bidi="ar"/>
              </w:rPr>
              <w:t>服务。</w:t>
            </w:r>
          </w:p>
          <w:p>
            <w:pPr>
              <w:pStyle w:val="53"/>
              <w:numPr>
                <w:ilvl w:val="0"/>
                <w:numId w:val="0"/>
              </w:numPr>
              <w:spacing w:line="360" w:lineRule="auto"/>
              <w:ind w:leftChars="0"/>
              <w:rPr>
                <w:rFonts w:hint="eastAsia"/>
                <w:b/>
                <w:bCs/>
                <w:kern w:val="2"/>
                <w:szCs w:val="22"/>
                <w:highlight w:val="none"/>
                <w:lang w:bidi="ar"/>
              </w:rPr>
            </w:pPr>
            <w:r>
              <w:rPr>
                <w:rFonts w:hint="eastAsia"/>
                <w:b/>
                <w:bCs/>
                <w:kern w:val="2"/>
                <w:szCs w:val="22"/>
                <w:highlight w:val="none"/>
                <w:lang w:val="en-US" w:eastAsia="zh-CN" w:bidi="ar"/>
              </w:rPr>
              <w:t>5、</w:t>
            </w:r>
            <w:r>
              <w:rPr>
                <w:rFonts w:hint="eastAsia"/>
                <w:b/>
                <w:bCs/>
                <w:kern w:val="2"/>
                <w:szCs w:val="22"/>
                <w:highlight w:val="none"/>
                <w:lang w:eastAsia="zh-CN" w:bidi="ar"/>
              </w:rPr>
              <w:t>提供不少于</w:t>
            </w:r>
            <w:r>
              <w:rPr>
                <w:rFonts w:hint="eastAsia"/>
                <w:b/>
                <w:bCs/>
                <w:kern w:val="2"/>
                <w:szCs w:val="22"/>
                <w:highlight w:val="none"/>
                <w:lang w:bidi="ar"/>
              </w:rPr>
              <w:t>2个名额</w:t>
            </w:r>
            <w:r>
              <w:rPr>
                <w:rFonts w:hint="eastAsia"/>
                <w:b/>
                <w:bCs/>
                <w:kern w:val="2"/>
                <w:szCs w:val="22"/>
                <w:highlight w:val="none"/>
                <w:lang w:eastAsia="zh-CN" w:bidi="ar"/>
              </w:rPr>
              <w:t>的</w:t>
            </w:r>
            <w:r>
              <w:rPr>
                <w:rFonts w:hint="eastAsia"/>
                <w:b/>
                <w:bCs/>
                <w:kern w:val="2"/>
                <w:szCs w:val="22"/>
                <w:highlight w:val="none"/>
                <w:lang w:bidi="ar"/>
              </w:rPr>
              <w:t>原厂培训，费用中标方提供；</w:t>
            </w:r>
          </w:p>
          <w:p>
            <w:pPr>
              <w:pStyle w:val="53"/>
              <w:numPr>
                <w:ilvl w:val="0"/>
                <w:numId w:val="0"/>
              </w:numPr>
              <w:spacing w:line="360" w:lineRule="auto"/>
              <w:ind w:leftChars="0"/>
              <w:rPr>
                <w:rFonts w:hint="eastAsia" w:eastAsia="宋体"/>
                <w:kern w:val="2"/>
                <w:szCs w:val="22"/>
                <w:lang w:eastAsia="zh-CN" w:bidi="ar"/>
              </w:rPr>
            </w:pPr>
            <w:r>
              <w:rPr>
                <w:rFonts w:hint="eastAsia"/>
                <w:b/>
                <w:bCs/>
                <w:kern w:val="2"/>
                <w:szCs w:val="22"/>
                <w:highlight w:val="none"/>
                <w:lang w:val="en-US" w:eastAsia="zh-CN" w:bidi="ar"/>
              </w:rPr>
              <w:t>6</w:t>
            </w:r>
            <w:r>
              <w:rPr>
                <w:rFonts w:hint="eastAsia"/>
                <w:b/>
                <w:bCs/>
                <w:kern w:val="2"/>
                <w:szCs w:val="22"/>
                <w:highlight w:val="none"/>
                <w:lang w:bidi="ar"/>
              </w:rPr>
              <w:t>、</w:t>
            </w:r>
            <w:r>
              <w:rPr>
                <w:rFonts w:hint="eastAsia"/>
                <w:b/>
                <w:bCs/>
                <w:kern w:val="2"/>
                <w:szCs w:val="22"/>
                <w:highlight w:val="none"/>
                <w:lang w:eastAsia="zh-CN" w:bidi="ar"/>
              </w:rPr>
              <w:t>提供不少于</w:t>
            </w:r>
            <w:r>
              <w:rPr>
                <w:rFonts w:hint="eastAsia"/>
                <w:b/>
                <w:bCs/>
                <w:kern w:val="2"/>
                <w:szCs w:val="22"/>
                <w:highlight w:val="none"/>
                <w:lang w:bidi="ar"/>
              </w:rPr>
              <w:t>1年</w:t>
            </w:r>
            <w:r>
              <w:rPr>
                <w:rFonts w:hint="eastAsia"/>
                <w:b/>
                <w:bCs/>
                <w:kern w:val="2"/>
                <w:szCs w:val="22"/>
                <w:highlight w:val="none"/>
                <w:lang w:eastAsia="zh-CN" w:bidi="ar"/>
              </w:rPr>
              <w:t>的</w:t>
            </w:r>
            <w:r>
              <w:rPr>
                <w:rFonts w:hint="eastAsia"/>
                <w:b/>
                <w:bCs/>
                <w:kern w:val="2"/>
                <w:szCs w:val="22"/>
                <w:highlight w:val="none"/>
                <w:lang w:bidi="ar"/>
              </w:rPr>
              <w:t>驻场服务，</w:t>
            </w:r>
            <w:r>
              <w:rPr>
                <w:rFonts w:hint="eastAsia"/>
                <w:b/>
                <w:bCs/>
                <w:kern w:val="2"/>
                <w:szCs w:val="22"/>
                <w:highlight w:val="none"/>
                <w:lang w:eastAsia="zh-CN" w:bidi="ar"/>
              </w:rPr>
              <w:t>驻场时间自</w:t>
            </w:r>
            <w:r>
              <w:rPr>
                <w:rFonts w:hint="eastAsia"/>
                <w:b/>
                <w:bCs/>
                <w:kern w:val="2"/>
                <w:szCs w:val="22"/>
                <w:highlight w:val="none"/>
                <w:lang w:bidi="ar"/>
              </w:rPr>
              <w:t>验收</w:t>
            </w:r>
            <w:r>
              <w:rPr>
                <w:rFonts w:hint="eastAsia"/>
                <w:b/>
                <w:bCs/>
                <w:kern w:val="2"/>
                <w:szCs w:val="22"/>
                <w:highlight w:val="none"/>
                <w:lang w:eastAsia="zh-CN" w:bidi="ar"/>
              </w:rPr>
              <w:t>合格之日起</w:t>
            </w:r>
            <w:r>
              <w:rPr>
                <w:rFonts w:hint="eastAsia"/>
                <w:b/>
                <w:bCs/>
                <w:kern w:val="2"/>
                <w:szCs w:val="22"/>
                <w:highlight w:val="none"/>
                <w:lang w:bidi="ar"/>
              </w:rPr>
              <w:t>开始计算</w:t>
            </w:r>
            <w:r>
              <w:rPr>
                <w:rFonts w:hint="eastAsia"/>
                <w:b/>
                <w:bCs/>
                <w:kern w:val="2"/>
                <w:szCs w:val="22"/>
                <w:highlight w:val="none"/>
                <w:lang w:eastAsia="zh-CN" w:bidi="ar"/>
              </w:rPr>
              <w:t>。</w:t>
            </w:r>
          </w:p>
        </w:tc>
      </w:tr>
    </w:tbl>
    <w:p>
      <w:pPr>
        <w:spacing w:line="360" w:lineRule="auto"/>
        <w:jc w:val="center"/>
        <w:outlineLvl w:val="0"/>
        <w:rPr>
          <w:rFonts w:hAnsi="宋体" w:cs="宋体"/>
          <w:bCs/>
          <w:color w:val="auto"/>
          <w:sz w:val="36"/>
          <w:szCs w:val="36"/>
          <w:highlight w:val="none"/>
        </w:rPr>
      </w:pPr>
      <w:r>
        <w:rPr>
          <w:rFonts w:hint="eastAsia"/>
          <w:color w:val="auto"/>
          <w:highlight w:val="none"/>
        </w:rPr>
        <w:br w:type="page"/>
      </w:r>
      <w:bookmarkStart w:id="577" w:name="_Toc16490"/>
      <w:bookmarkStart w:id="578" w:name="_Toc26455"/>
      <w:bookmarkStart w:id="579" w:name="_Toc22404"/>
      <w:r>
        <w:rPr>
          <w:rStyle w:val="39"/>
          <w:rFonts w:hint="eastAsia" w:ascii="宋体" w:hAnsi="宋体" w:eastAsia="宋体" w:cs="宋体"/>
          <w:color w:val="auto"/>
          <w:sz w:val="36"/>
          <w:szCs w:val="36"/>
          <w:highlight w:val="none"/>
        </w:rPr>
        <w:t>第六章 投标文件构成及格式</w:t>
      </w:r>
      <w:bookmarkEnd w:id="562"/>
      <w:bookmarkEnd w:id="563"/>
      <w:bookmarkEnd w:id="564"/>
      <w:bookmarkEnd w:id="565"/>
      <w:bookmarkEnd w:id="566"/>
      <w:bookmarkEnd w:id="567"/>
      <w:bookmarkEnd w:id="577"/>
      <w:bookmarkEnd w:id="578"/>
      <w:bookmarkEnd w:id="579"/>
    </w:p>
    <w:p>
      <w:pPr>
        <w:bidi w:val="0"/>
      </w:pPr>
    </w:p>
    <w:p>
      <w:pPr>
        <w:bidi w:val="0"/>
        <w:jc w:val="left"/>
        <w:rPr>
          <w:rFonts w:hint="eastAsia" w:hAnsi="宋体" w:eastAsia="宋体" w:cs="宋体"/>
          <w:b/>
          <w:color w:val="auto"/>
          <w:sz w:val="32"/>
          <w:szCs w:val="32"/>
          <w:highlight w:val="none"/>
          <w:lang w:eastAsia="zh-CN"/>
        </w:rPr>
      </w:pPr>
      <w:bookmarkStart w:id="580" w:name="_Toc2892"/>
      <w:bookmarkStart w:id="581" w:name="_Toc21041"/>
      <w:r>
        <w:rPr>
          <w:rFonts w:hint="eastAsia" w:hAnsi="宋体" w:cs="宋体"/>
          <w:b/>
          <w:color w:val="auto"/>
          <w:sz w:val="32"/>
          <w:szCs w:val="32"/>
          <w:highlight w:val="none"/>
        </w:rPr>
        <w:t>项目编号：</w:t>
      </w:r>
      <w:bookmarkEnd w:id="580"/>
      <w:bookmarkEnd w:id="581"/>
      <w:r>
        <w:rPr>
          <w:rFonts w:hint="eastAsia" w:hAnsi="宋体" w:cs="宋体"/>
          <w:b/>
          <w:color w:val="auto"/>
          <w:sz w:val="32"/>
          <w:szCs w:val="32"/>
          <w:highlight w:val="none"/>
          <w:lang w:eastAsia="zh-CN"/>
        </w:rPr>
        <w:t>SXZCZB2022-ZCGK-1021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Ansi="宋体" w:cs="宋体"/>
          <w:b/>
          <w:color w:val="auto"/>
          <w:sz w:val="32"/>
          <w:szCs w:val="32"/>
          <w:highlight w:val="none"/>
        </w:rPr>
      </w:pPr>
      <w:bookmarkStart w:id="582" w:name="_Toc10868"/>
      <w:r>
        <w:rPr>
          <w:rFonts w:hint="eastAsia" w:hAnsi="宋体" w:cs="宋体"/>
          <w:b/>
          <w:color w:val="auto"/>
          <w:sz w:val="32"/>
          <w:szCs w:val="32"/>
          <w:highlight w:val="none"/>
        </w:rPr>
        <w:t>（正本或副本）</w:t>
      </w:r>
      <w:bookmarkEnd w:id="582"/>
    </w:p>
    <w:p>
      <w:pPr>
        <w:bidi w:val="0"/>
      </w:pPr>
    </w:p>
    <w:p>
      <w:pPr>
        <w:bidi w:val="0"/>
      </w:pPr>
    </w:p>
    <w:p>
      <w:pPr>
        <w:bidi w:val="0"/>
        <w:jc w:val="center"/>
        <w:rPr>
          <w:rFonts w:hint="eastAsia" w:ascii="宋体" w:hAnsi="Times New Roman" w:eastAsia="宋体" w:cs="Times New Roman"/>
          <w:b/>
          <w:bCs/>
          <w:sz w:val="56"/>
          <w:szCs w:val="56"/>
          <w:lang w:eastAsia="zh-CN"/>
        </w:rPr>
      </w:pPr>
      <w:bookmarkStart w:id="583" w:name="_Toc20757"/>
    </w:p>
    <w:p>
      <w:pPr>
        <w:bidi w:val="0"/>
        <w:jc w:val="center"/>
        <w:rPr>
          <w:rFonts w:hint="eastAsia" w:ascii="宋体" w:hAnsi="Times New Roman" w:eastAsia="宋体" w:cs="Times New Roman"/>
          <w:b/>
          <w:bCs/>
          <w:sz w:val="56"/>
          <w:szCs w:val="56"/>
          <w:lang w:eastAsia="zh-CN"/>
        </w:rPr>
      </w:pPr>
      <w:r>
        <w:rPr>
          <w:rFonts w:hint="eastAsia" w:ascii="宋体" w:hAnsi="Times New Roman" w:eastAsia="宋体" w:cs="Times New Roman"/>
          <w:b/>
          <w:bCs/>
          <w:sz w:val="56"/>
          <w:szCs w:val="56"/>
          <w:lang w:eastAsia="zh-CN"/>
        </w:rPr>
        <w:t>汉中市人民医院虚拟化扩容采购项目</w:t>
      </w:r>
      <w:bookmarkEnd w:id="583"/>
    </w:p>
    <w:p>
      <w:pPr>
        <w:bidi w:val="0"/>
        <w:jc w:val="center"/>
        <w:rPr>
          <w:rFonts w:hint="eastAsia" w:ascii="宋体" w:hAnsi="Times New Roman" w:eastAsia="宋体" w:cs="Times New Roman"/>
          <w:b/>
          <w:bCs/>
          <w:sz w:val="56"/>
          <w:szCs w:val="56"/>
        </w:rPr>
      </w:pPr>
    </w:p>
    <w:p>
      <w:pPr>
        <w:bidi w:val="0"/>
      </w:pPr>
    </w:p>
    <w:p>
      <w:pPr>
        <w:bidi w:val="0"/>
        <w:jc w:val="center"/>
        <w:rPr>
          <w:rFonts w:hint="eastAsia"/>
          <w:b/>
          <w:bCs/>
          <w:sz w:val="44"/>
          <w:szCs w:val="44"/>
        </w:rPr>
      </w:pPr>
      <w:bookmarkStart w:id="584" w:name="_Toc8534"/>
    </w:p>
    <w:p>
      <w:pPr>
        <w:bidi w:val="0"/>
        <w:jc w:val="center"/>
        <w:rPr>
          <w:b/>
          <w:bCs/>
          <w:sz w:val="56"/>
          <w:szCs w:val="56"/>
        </w:rPr>
      </w:pPr>
      <w:r>
        <w:rPr>
          <w:rFonts w:hint="eastAsia"/>
          <w:b/>
          <w:bCs/>
          <w:sz w:val="56"/>
          <w:szCs w:val="56"/>
        </w:rPr>
        <w:t>投 标 文 件</w:t>
      </w:r>
      <w:bookmarkEnd w:id="584"/>
    </w:p>
    <w:p>
      <w:pPr>
        <w:bidi w:val="0"/>
        <w:jc w:val="center"/>
        <w:rPr>
          <w:b/>
          <w:bCs/>
          <w:sz w:val="44"/>
          <w:szCs w:val="44"/>
        </w:rPr>
      </w:pPr>
    </w:p>
    <w:p>
      <w:pPr>
        <w:bidi w:val="0"/>
        <w:jc w:val="center"/>
        <w:rPr>
          <w:b/>
          <w:bCs/>
          <w:sz w:val="44"/>
          <w:szCs w:val="44"/>
        </w:rPr>
      </w:pPr>
    </w:p>
    <w:p>
      <w:pPr>
        <w:bidi w:val="0"/>
        <w:jc w:val="center"/>
        <w:rPr>
          <w:b/>
          <w:bCs/>
          <w:sz w:val="44"/>
          <w:szCs w:val="44"/>
        </w:rPr>
      </w:pPr>
      <w:bookmarkStart w:id="585" w:name="_Toc13015"/>
      <w:r>
        <w:rPr>
          <w:rFonts w:hint="eastAsia"/>
          <w:b/>
          <w:bCs/>
          <w:sz w:val="44"/>
          <w:szCs w:val="44"/>
          <w:lang w:eastAsia="zh-CN"/>
        </w:rPr>
        <w:t>投标人</w:t>
      </w:r>
      <w:r>
        <w:rPr>
          <w:rFonts w:hint="eastAsia"/>
          <w:b/>
          <w:bCs/>
          <w:sz w:val="44"/>
          <w:szCs w:val="44"/>
        </w:rPr>
        <w:t>名称（公章）</w:t>
      </w:r>
      <w:bookmarkEnd w:id="585"/>
    </w:p>
    <w:p>
      <w:pPr>
        <w:bidi w:val="0"/>
        <w:jc w:val="center"/>
        <w:rPr>
          <w:rFonts w:hint="eastAsia" w:hAnsi="宋体" w:cs="宋体"/>
          <w:b/>
          <w:bCs/>
          <w:color w:val="auto"/>
          <w:sz w:val="44"/>
          <w:szCs w:val="44"/>
          <w:highlight w:val="none"/>
        </w:rPr>
      </w:pPr>
      <w:bookmarkStart w:id="586" w:name="_Toc19318"/>
    </w:p>
    <w:p>
      <w:pPr>
        <w:bidi w:val="0"/>
        <w:jc w:val="center"/>
        <w:rPr>
          <w:rFonts w:hint="eastAsia" w:hAnsi="宋体" w:cs="宋体"/>
          <w:b/>
          <w:bCs/>
          <w:color w:val="auto"/>
          <w:sz w:val="44"/>
          <w:szCs w:val="44"/>
          <w:highlight w:val="none"/>
        </w:rPr>
      </w:pPr>
    </w:p>
    <w:p>
      <w:pPr>
        <w:bidi w:val="0"/>
        <w:jc w:val="center"/>
        <w:rPr>
          <w:rFonts w:hint="eastAsia" w:hAnsi="宋体" w:cs="宋体"/>
          <w:b/>
          <w:bCs/>
          <w:color w:val="auto"/>
          <w:sz w:val="44"/>
          <w:szCs w:val="44"/>
          <w:highlight w:val="none"/>
        </w:rPr>
      </w:pPr>
    </w:p>
    <w:p>
      <w:pPr>
        <w:bidi w:val="0"/>
        <w:jc w:val="center"/>
        <w:rPr>
          <w:rFonts w:hAnsi="宋体" w:cs="宋体"/>
          <w:color w:val="auto"/>
          <w:sz w:val="32"/>
          <w:szCs w:val="32"/>
          <w:highlight w:val="none"/>
        </w:rPr>
      </w:pPr>
      <w:r>
        <w:rPr>
          <w:rFonts w:hint="eastAsia" w:hAnsi="宋体" w:cs="宋体"/>
          <w:b/>
          <w:bCs/>
          <w:color w:val="auto"/>
          <w:sz w:val="44"/>
          <w:szCs w:val="44"/>
          <w:highlight w:val="none"/>
        </w:rPr>
        <w:t>年   月    日</w:t>
      </w:r>
      <w:r>
        <w:rPr>
          <w:rFonts w:hint="eastAsia" w:hAnsi="宋体" w:cs="宋体"/>
          <w:b/>
          <w:color w:val="auto"/>
          <w:sz w:val="36"/>
          <w:szCs w:val="36"/>
          <w:highlight w:val="none"/>
        </w:rPr>
        <w:br w:type="page"/>
      </w:r>
      <w:bookmarkStart w:id="587" w:name="_Toc363474026"/>
      <w:bookmarkStart w:id="588" w:name="_Toc17702"/>
      <w:bookmarkStart w:id="589" w:name="_Toc23267"/>
      <w:bookmarkStart w:id="590" w:name="_Toc403077647"/>
      <w:bookmarkStart w:id="591" w:name="_Toc30983"/>
      <w:bookmarkStart w:id="592" w:name="_Toc23850"/>
      <w:bookmarkStart w:id="593" w:name="_Toc426457699"/>
      <w:bookmarkStart w:id="594" w:name="_Toc22537"/>
      <w:r>
        <w:rPr>
          <w:rFonts w:hint="eastAsia" w:hAnsi="宋体" w:cs="宋体"/>
          <w:color w:val="auto"/>
          <w:sz w:val="32"/>
          <w:szCs w:val="32"/>
          <w:highlight w:val="none"/>
        </w:rPr>
        <w:t>目    录</w:t>
      </w:r>
      <w:bookmarkEnd w:id="586"/>
      <w:bookmarkEnd w:id="587"/>
      <w:bookmarkEnd w:id="588"/>
      <w:bookmarkEnd w:id="589"/>
      <w:bookmarkEnd w:id="590"/>
      <w:bookmarkEnd w:id="591"/>
      <w:bookmarkEnd w:id="592"/>
      <w:bookmarkEnd w:id="593"/>
      <w:bookmarkEnd w:id="594"/>
    </w:p>
    <w:p>
      <w:pPr>
        <w:bidi w:val="0"/>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bookmarkStart w:id="595" w:name="_Toc24160"/>
      <w:r>
        <w:rPr>
          <w:rFonts w:hint="eastAsia"/>
          <w:sz w:val="28"/>
          <w:szCs w:val="28"/>
          <w:lang w:eastAsia="zh-CN"/>
        </w:rPr>
        <w:t>一、投标函</w:t>
      </w:r>
      <w:bookmarkEnd w:id="595"/>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bookmarkStart w:id="596" w:name="_Toc705"/>
      <w:r>
        <w:rPr>
          <w:rFonts w:hint="eastAsia"/>
          <w:sz w:val="28"/>
          <w:szCs w:val="28"/>
          <w:lang w:eastAsia="zh-CN"/>
        </w:rPr>
        <w:t>二、投标报价表</w:t>
      </w:r>
      <w:bookmarkEnd w:id="596"/>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bookmarkStart w:id="597" w:name="_Toc25588"/>
      <w:r>
        <w:rPr>
          <w:rFonts w:hint="eastAsia"/>
          <w:sz w:val="28"/>
          <w:szCs w:val="28"/>
          <w:lang w:eastAsia="zh-CN"/>
        </w:rPr>
        <w:t>三、投标方案说明书</w:t>
      </w:r>
      <w:bookmarkEnd w:id="597"/>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bookmarkStart w:id="598" w:name="_Toc25670"/>
      <w:r>
        <w:rPr>
          <w:rFonts w:hint="eastAsia"/>
          <w:sz w:val="28"/>
          <w:szCs w:val="28"/>
          <w:lang w:eastAsia="zh-CN"/>
        </w:rPr>
        <w:t>四、商务条款偏离表</w:t>
      </w:r>
      <w:bookmarkEnd w:id="598"/>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bookmarkStart w:id="599" w:name="_Toc2751"/>
      <w:r>
        <w:rPr>
          <w:rFonts w:hint="eastAsia"/>
          <w:sz w:val="28"/>
          <w:szCs w:val="28"/>
          <w:lang w:eastAsia="zh-CN"/>
        </w:rPr>
        <w:t>五、陕西省政府采购投标人拒绝政府采购领域商业贿赂承诺书</w:t>
      </w:r>
      <w:bookmarkEnd w:id="599"/>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bookmarkStart w:id="600" w:name="_Toc10103"/>
      <w:r>
        <w:rPr>
          <w:rFonts w:hint="eastAsia"/>
          <w:sz w:val="28"/>
          <w:szCs w:val="28"/>
          <w:lang w:eastAsia="zh-CN"/>
        </w:rPr>
        <w:t>六、资格证明文件</w:t>
      </w:r>
      <w:bookmarkEnd w:id="60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bookmarkStart w:id="601" w:name="_Toc19860"/>
      <w:r>
        <w:rPr>
          <w:rFonts w:hint="eastAsia"/>
          <w:sz w:val="28"/>
          <w:szCs w:val="28"/>
          <w:lang w:eastAsia="zh-CN"/>
        </w:rPr>
        <w:t>七、其他</w:t>
      </w:r>
      <w:bookmarkEnd w:id="601"/>
    </w:p>
    <w:p>
      <w:pPr>
        <w:bidi w:val="0"/>
      </w:pPr>
    </w:p>
    <w:p>
      <w:pPr>
        <w:pStyle w:val="4"/>
        <w:spacing w:beforeLines="100" w:line="360" w:lineRule="auto"/>
        <w:outlineLvl w:val="1"/>
        <w:rPr>
          <w:rFonts w:ascii="宋体" w:hAnsi="宋体" w:cs="宋体"/>
          <w:color w:val="auto"/>
          <w:sz w:val="32"/>
          <w:szCs w:val="32"/>
          <w:highlight w:val="none"/>
        </w:rPr>
      </w:pPr>
      <w:r>
        <w:rPr>
          <w:rFonts w:hint="eastAsia" w:ascii="宋体" w:hAnsi="宋体" w:cs="宋体"/>
          <w:color w:val="auto"/>
          <w:sz w:val="28"/>
          <w:highlight w:val="none"/>
        </w:rPr>
        <w:br w:type="page"/>
      </w:r>
      <w:bookmarkStart w:id="602" w:name="_Toc403077648"/>
      <w:bookmarkStart w:id="603" w:name="_Toc363474027"/>
      <w:bookmarkStart w:id="604" w:name="_Toc24231"/>
      <w:bookmarkStart w:id="605" w:name="_Toc23702"/>
      <w:bookmarkStart w:id="606" w:name="_Toc4930"/>
      <w:bookmarkStart w:id="607" w:name="_Toc8598"/>
      <w:bookmarkStart w:id="608" w:name="_Toc28404"/>
      <w:bookmarkStart w:id="609" w:name="_Toc16787"/>
      <w:bookmarkStart w:id="610" w:name="_Toc22085"/>
      <w:bookmarkStart w:id="611" w:name="_Toc14057"/>
      <w:bookmarkStart w:id="612" w:name="_Toc426457700"/>
      <w:bookmarkStart w:id="613" w:name="_Toc8286"/>
      <w:bookmarkStart w:id="614" w:name="_Toc30713"/>
      <w:r>
        <w:rPr>
          <w:rFonts w:hint="eastAsia" w:ascii="宋体" w:hAnsi="宋体" w:eastAsia="宋体" w:cs="宋体"/>
          <w:b/>
          <w:bCs w:val="0"/>
          <w:color w:val="auto"/>
          <w:sz w:val="30"/>
          <w:szCs w:val="30"/>
          <w:highlight w:val="none"/>
        </w:rPr>
        <w:t>一、投标</w:t>
      </w:r>
      <w:bookmarkEnd w:id="602"/>
      <w:bookmarkEnd w:id="603"/>
      <w:r>
        <w:rPr>
          <w:rFonts w:hint="eastAsia" w:ascii="宋体" w:hAnsi="宋体" w:eastAsia="宋体" w:cs="宋体"/>
          <w:b/>
          <w:bCs w:val="0"/>
          <w:color w:val="auto"/>
          <w:sz w:val="30"/>
          <w:szCs w:val="30"/>
          <w:highlight w:val="none"/>
        </w:rPr>
        <w:t>函</w:t>
      </w:r>
      <w:bookmarkEnd w:id="604"/>
      <w:bookmarkEnd w:id="605"/>
      <w:bookmarkEnd w:id="606"/>
      <w:bookmarkEnd w:id="607"/>
      <w:bookmarkEnd w:id="608"/>
      <w:bookmarkEnd w:id="609"/>
      <w:bookmarkEnd w:id="610"/>
      <w:bookmarkEnd w:id="611"/>
      <w:bookmarkEnd w:id="612"/>
      <w:bookmarkEnd w:id="613"/>
      <w:bookmarkEnd w:id="61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宋体"/>
          <w:color w:val="auto"/>
          <w:spacing w:val="4"/>
          <w:szCs w:val="24"/>
          <w:highlight w:val="none"/>
          <w:u w:val="single"/>
        </w:rPr>
      </w:pPr>
      <w:bookmarkStart w:id="615" w:name="_Toc27347"/>
      <w:r>
        <w:rPr>
          <w:rFonts w:hint="eastAsia" w:hAnsi="宋体" w:cs="宋体"/>
          <w:b/>
          <w:color w:val="auto"/>
          <w:spacing w:val="4"/>
          <w:szCs w:val="24"/>
          <w:highlight w:val="none"/>
        </w:rPr>
        <w:t>致</w:t>
      </w:r>
      <w:r>
        <w:rPr>
          <w:rFonts w:hint="eastAsia" w:hAnsi="宋体" w:cs="宋体"/>
          <w:b/>
          <w:color w:val="auto"/>
          <w:spacing w:val="4"/>
          <w:szCs w:val="24"/>
          <w:highlight w:val="none"/>
          <w:u w:val="single"/>
        </w:rPr>
        <w:t>：</w:t>
      </w:r>
      <w:r>
        <w:rPr>
          <w:rFonts w:hint="eastAsia" w:hAnsi="宋体" w:cs="宋体"/>
          <w:b/>
          <w:color w:val="auto"/>
          <w:spacing w:val="4"/>
          <w:szCs w:val="24"/>
          <w:highlight w:val="none"/>
          <w:u w:val="single"/>
          <w:lang w:eastAsia="zh-CN"/>
        </w:rPr>
        <w:t>汉中市人民医院</w:t>
      </w:r>
      <w:r>
        <w:rPr>
          <w:rFonts w:hint="eastAsia" w:hAnsi="宋体" w:cs="宋体"/>
          <w:b/>
          <w:color w:val="auto"/>
          <w:spacing w:val="4"/>
          <w:szCs w:val="24"/>
          <w:highlight w:val="none"/>
          <w:u w:val="single"/>
        </w:rPr>
        <w:t>/陕西至诚招标咨询有限公司</w:t>
      </w:r>
      <w:bookmarkEnd w:id="615"/>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Ansi="宋体" w:cs="宋体"/>
          <w:color w:val="auto"/>
          <w:spacing w:val="4"/>
          <w:highlight w:val="none"/>
        </w:rPr>
      </w:pPr>
      <w:bookmarkStart w:id="616" w:name="_Toc19560"/>
      <w:r>
        <w:rPr>
          <w:rFonts w:hint="eastAsia" w:hAnsi="宋体" w:cs="宋体"/>
          <w:color w:val="auto"/>
          <w:spacing w:val="4"/>
          <w:highlight w:val="none"/>
        </w:rPr>
        <w:t>根据贵方“</w:t>
      </w:r>
      <w:r>
        <w:rPr>
          <w:rFonts w:hint="eastAsia" w:hAnsi="宋体" w:cs="宋体"/>
          <w:color w:val="auto"/>
          <w:spacing w:val="4"/>
          <w:highlight w:val="none"/>
          <w:u w:val="single"/>
        </w:rPr>
        <w:t xml:space="preserve">                      </w:t>
      </w:r>
      <w:r>
        <w:rPr>
          <w:rFonts w:hint="eastAsia" w:hAnsi="宋体" w:cs="宋体"/>
          <w:color w:val="auto"/>
          <w:spacing w:val="4"/>
          <w:highlight w:val="none"/>
        </w:rPr>
        <w:t>”项目的投标邀请</w:t>
      </w:r>
      <w:r>
        <w:rPr>
          <w:rFonts w:hint="eastAsia" w:hAnsi="宋体" w:cs="宋体"/>
          <w:color w:val="auto"/>
          <w:spacing w:val="4"/>
          <w:highlight w:val="none"/>
          <w:u w:val="single"/>
        </w:rPr>
        <w:t>(编号：              )</w:t>
      </w:r>
      <w:r>
        <w:rPr>
          <w:rFonts w:hint="eastAsia" w:hAnsi="宋体" w:cs="宋体"/>
          <w:color w:val="auto"/>
          <w:spacing w:val="4"/>
          <w:highlight w:val="none"/>
        </w:rPr>
        <w:t>，签字代表</w:t>
      </w:r>
      <w:r>
        <w:rPr>
          <w:rFonts w:hint="eastAsia" w:hAnsi="宋体" w:cs="宋体"/>
          <w:color w:val="auto"/>
          <w:spacing w:val="4"/>
          <w:highlight w:val="none"/>
          <w:u w:val="single"/>
        </w:rPr>
        <w:t>（全名、职务）</w:t>
      </w:r>
      <w:r>
        <w:rPr>
          <w:rFonts w:hint="eastAsia" w:hAnsi="宋体" w:cs="宋体"/>
          <w:color w:val="auto"/>
          <w:spacing w:val="4"/>
          <w:highlight w:val="none"/>
        </w:rPr>
        <w:t>经正式授权并代表</w:t>
      </w:r>
      <w:r>
        <w:rPr>
          <w:rFonts w:hint="eastAsia" w:hAnsi="宋体" w:cs="宋体"/>
          <w:color w:val="auto"/>
          <w:spacing w:val="4"/>
          <w:highlight w:val="none"/>
          <w:lang w:eastAsia="zh-CN"/>
        </w:rPr>
        <w:t>投标人</w:t>
      </w:r>
      <w:r>
        <w:rPr>
          <w:rFonts w:hint="eastAsia" w:hAnsi="宋体" w:cs="宋体"/>
          <w:color w:val="auto"/>
          <w:spacing w:val="4"/>
          <w:highlight w:val="none"/>
          <w:u w:val="single"/>
        </w:rPr>
        <w:t>(</w:t>
      </w:r>
      <w:r>
        <w:rPr>
          <w:rFonts w:hint="eastAsia" w:hAnsi="宋体" w:cs="宋体"/>
          <w:color w:val="auto"/>
          <w:spacing w:val="4"/>
          <w:highlight w:val="none"/>
          <w:u w:val="single"/>
          <w:lang w:eastAsia="zh-CN"/>
        </w:rPr>
        <w:t>投标人</w:t>
      </w:r>
      <w:r>
        <w:rPr>
          <w:rFonts w:hint="eastAsia" w:hAnsi="宋体" w:cs="宋体"/>
          <w:color w:val="auto"/>
          <w:spacing w:val="4"/>
          <w:highlight w:val="none"/>
          <w:u w:val="single"/>
        </w:rPr>
        <w:t>名称、地址)</w:t>
      </w:r>
      <w:r>
        <w:rPr>
          <w:rFonts w:hint="eastAsia" w:hAnsi="宋体" w:cs="宋体"/>
          <w:color w:val="auto"/>
          <w:spacing w:val="4"/>
          <w:highlight w:val="none"/>
        </w:rPr>
        <w:t xml:space="preserve"> 提交投标文件正本壹份、副本一式</w:t>
      </w:r>
      <w:r>
        <w:rPr>
          <w:rFonts w:hint="eastAsia" w:hAnsi="宋体" w:cs="宋体"/>
          <w:color w:val="auto"/>
          <w:spacing w:val="4"/>
          <w:highlight w:val="none"/>
          <w:u w:val="single"/>
        </w:rPr>
        <w:t xml:space="preserve">    </w:t>
      </w:r>
      <w:r>
        <w:rPr>
          <w:rFonts w:hint="eastAsia" w:hAnsi="宋体" w:cs="宋体"/>
          <w:color w:val="auto"/>
          <w:spacing w:val="4"/>
          <w:highlight w:val="none"/>
        </w:rPr>
        <w:t>份、电子版</w:t>
      </w:r>
      <w:r>
        <w:rPr>
          <w:rFonts w:hint="eastAsia" w:hAnsi="宋体" w:cs="宋体"/>
          <w:color w:val="auto"/>
          <w:spacing w:val="4"/>
          <w:highlight w:val="none"/>
          <w:u w:val="single"/>
        </w:rPr>
        <w:t xml:space="preserve">    </w:t>
      </w:r>
      <w:r>
        <w:rPr>
          <w:rFonts w:hint="eastAsia" w:hAnsi="宋体" w:cs="宋体"/>
          <w:color w:val="auto"/>
          <w:spacing w:val="4"/>
          <w:highlight w:val="none"/>
        </w:rPr>
        <w:t>份、开标一览表</w:t>
      </w:r>
      <w:r>
        <w:rPr>
          <w:rFonts w:hint="eastAsia" w:hAnsi="宋体" w:cs="宋体"/>
          <w:color w:val="auto"/>
          <w:spacing w:val="4"/>
          <w:highlight w:val="none"/>
          <w:u w:val="single"/>
        </w:rPr>
        <w:t xml:space="preserve">    </w:t>
      </w:r>
      <w:r>
        <w:rPr>
          <w:rFonts w:hint="eastAsia" w:hAnsi="宋体" w:cs="宋体"/>
          <w:color w:val="auto"/>
          <w:spacing w:val="4"/>
          <w:highlight w:val="none"/>
        </w:rPr>
        <w:t>份。并提交投标保证金，金额为</w:t>
      </w:r>
      <w:r>
        <w:rPr>
          <w:rFonts w:hint="eastAsia" w:hAnsi="宋体" w:cs="宋体"/>
          <w:color w:val="auto"/>
          <w:spacing w:val="4"/>
          <w:highlight w:val="none"/>
          <w:u w:val="single"/>
        </w:rPr>
        <w:t xml:space="preserve">            </w:t>
      </w:r>
      <w:r>
        <w:rPr>
          <w:rFonts w:hint="eastAsia" w:hAnsi="宋体" w:cs="宋体"/>
          <w:color w:val="auto"/>
          <w:spacing w:val="4"/>
          <w:highlight w:val="none"/>
        </w:rPr>
        <w:t xml:space="preserve"> 。</w:t>
      </w:r>
      <w:bookmarkEnd w:id="6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617" w:name="_Toc2170"/>
      <w:r>
        <w:rPr>
          <w:rFonts w:hint="eastAsia"/>
        </w:rPr>
        <w:t>我方承诺如下：</w:t>
      </w:r>
      <w:bookmarkEnd w:id="61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Ansi="宋体" w:cs="宋体"/>
          <w:color w:val="auto"/>
          <w:spacing w:val="4"/>
          <w:highlight w:val="none"/>
        </w:rPr>
      </w:pPr>
      <w:bookmarkStart w:id="618" w:name="_Toc1729"/>
      <w:r>
        <w:rPr>
          <w:rFonts w:hint="eastAsia" w:hAnsi="宋体" w:cs="宋体"/>
          <w:color w:val="auto"/>
          <w:spacing w:val="4"/>
          <w:highlight w:val="none"/>
          <w:lang w:eastAsia="zh-CN"/>
        </w:rPr>
        <w:t>（</w:t>
      </w:r>
      <w:r>
        <w:rPr>
          <w:rFonts w:hint="eastAsia" w:hAnsi="宋体" w:cs="宋体"/>
          <w:color w:val="auto"/>
          <w:spacing w:val="4"/>
          <w:highlight w:val="none"/>
          <w:lang w:val="en-US" w:eastAsia="zh-CN"/>
        </w:rPr>
        <w:t>1</w:t>
      </w:r>
      <w:r>
        <w:rPr>
          <w:rFonts w:hint="eastAsia" w:hAnsi="宋体" w:cs="宋体"/>
          <w:color w:val="auto"/>
          <w:spacing w:val="4"/>
          <w:highlight w:val="none"/>
          <w:lang w:eastAsia="zh-CN"/>
        </w:rPr>
        <w:t>）</w:t>
      </w:r>
      <w:r>
        <w:rPr>
          <w:rFonts w:hint="eastAsia" w:hAnsi="宋体" w:cs="宋体"/>
          <w:color w:val="auto"/>
          <w:spacing w:val="4"/>
          <w:highlight w:val="none"/>
        </w:rPr>
        <w:t>投标报价为小写：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bookmarkEnd w:id="61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pPr>
      <w:bookmarkStart w:id="619" w:name="_Toc13729"/>
      <w:r>
        <w:rPr>
          <w:rFonts w:hint="eastAsia"/>
          <w:lang w:eastAsia="zh-CN"/>
        </w:rPr>
        <w:t>（</w:t>
      </w:r>
      <w:r>
        <w:rPr>
          <w:rFonts w:hint="eastAsia"/>
          <w:lang w:val="en-US" w:eastAsia="zh-CN"/>
        </w:rPr>
        <w:t>2</w:t>
      </w:r>
      <w:r>
        <w:rPr>
          <w:rFonts w:hint="eastAsia"/>
          <w:lang w:eastAsia="zh-CN"/>
        </w:rPr>
        <w:t>）</w:t>
      </w:r>
      <w:r>
        <w:rPr>
          <w:rFonts w:hint="eastAsia"/>
        </w:rPr>
        <w:t>如果中标，我们根据招标文件的规定，履行合同的责任和义务。</w:t>
      </w:r>
      <w:bookmarkEnd w:id="61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pPr>
      <w:bookmarkStart w:id="620" w:name="_Toc10324"/>
      <w:r>
        <w:rPr>
          <w:rFonts w:hint="eastAsia"/>
          <w:lang w:eastAsia="zh-CN"/>
        </w:rPr>
        <w:t>（</w:t>
      </w:r>
      <w:r>
        <w:rPr>
          <w:rFonts w:hint="eastAsia"/>
          <w:lang w:val="en-US" w:eastAsia="zh-CN"/>
        </w:rPr>
        <w:t>3</w:t>
      </w:r>
      <w:r>
        <w:rPr>
          <w:rFonts w:hint="eastAsia"/>
          <w:lang w:eastAsia="zh-CN"/>
        </w:rPr>
        <w:t>）</w:t>
      </w:r>
      <w:r>
        <w:rPr>
          <w:rFonts w:hint="eastAsia"/>
        </w:rPr>
        <w:t>我们已详细阅读和审核全部招标文件（含修改部分，如有的话）及有关附件，我们知道必须放弃提出含糊不清或误解的问题的权利。</w:t>
      </w:r>
      <w:bookmarkEnd w:id="62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pPr>
      <w:bookmarkStart w:id="621" w:name="_Toc7411"/>
      <w:r>
        <w:rPr>
          <w:rFonts w:hint="eastAsia"/>
          <w:lang w:eastAsia="zh-CN"/>
        </w:rPr>
        <w:t>（</w:t>
      </w:r>
      <w:r>
        <w:rPr>
          <w:rFonts w:hint="eastAsia"/>
          <w:lang w:val="en-US" w:eastAsia="zh-CN"/>
        </w:rPr>
        <w:t>4</w:t>
      </w:r>
      <w:r>
        <w:rPr>
          <w:rFonts w:hint="eastAsia"/>
          <w:lang w:eastAsia="zh-CN"/>
        </w:rPr>
        <w:t>）</w:t>
      </w:r>
      <w:r>
        <w:rPr>
          <w:rFonts w:hint="eastAsia"/>
        </w:rPr>
        <w:t>投标有效期为90</w:t>
      </w:r>
      <w:r>
        <w:rPr>
          <w:rFonts w:hint="eastAsia"/>
          <w:lang w:eastAsia="zh-CN"/>
        </w:rPr>
        <w:t>日历</w:t>
      </w:r>
      <w:r>
        <w:rPr>
          <w:rFonts w:hint="eastAsia"/>
        </w:rPr>
        <w:t>天。我们同意在投标有效期内，本投标函对我方具有约束力。</w:t>
      </w:r>
      <w:bookmarkEnd w:id="62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pPr>
      <w:bookmarkStart w:id="622" w:name="_Toc14562"/>
      <w:r>
        <w:rPr>
          <w:rFonts w:hint="eastAsia"/>
          <w:lang w:eastAsia="zh-CN"/>
        </w:rPr>
        <w:t>（</w:t>
      </w:r>
      <w:r>
        <w:rPr>
          <w:rFonts w:hint="eastAsia"/>
          <w:lang w:val="en-US" w:eastAsia="zh-CN"/>
        </w:rPr>
        <w:t>5</w:t>
      </w:r>
      <w:r>
        <w:rPr>
          <w:rFonts w:hint="eastAsia"/>
          <w:lang w:eastAsia="zh-CN"/>
        </w:rPr>
        <w:t>）</w:t>
      </w:r>
      <w:r>
        <w:rPr>
          <w:rFonts w:hint="eastAsia"/>
        </w:rPr>
        <w:t>同意提供贵方可能另外要求的与本投标有关的任何证据和资料。</w:t>
      </w:r>
      <w:bookmarkEnd w:id="622"/>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pPr>
      <w:bookmarkStart w:id="623" w:name="_Toc6118"/>
      <w:r>
        <w:rPr>
          <w:rFonts w:hint="eastAsia"/>
          <w:lang w:eastAsia="zh-CN"/>
        </w:rPr>
        <w:t>（</w:t>
      </w:r>
      <w:r>
        <w:rPr>
          <w:rFonts w:hint="eastAsia"/>
          <w:lang w:val="en-US" w:eastAsia="zh-CN"/>
        </w:rPr>
        <w:t>6</w:t>
      </w:r>
      <w:r>
        <w:rPr>
          <w:rFonts w:hint="eastAsia"/>
          <w:lang w:eastAsia="zh-CN"/>
        </w:rPr>
        <w:t>）</w:t>
      </w:r>
      <w:r>
        <w:rPr>
          <w:rFonts w:hint="eastAsia"/>
        </w:rPr>
        <w:t>我们同意，如果中标，向陕西至诚招标咨询有限公司交纳招标代理服务费。</w:t>
      </w:r>
      <w:bookmarkEnd w:id="6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pPr>
      <w:bookmarkStart w:id="624" w:name="_Toc16853"/>
      <w:r>
        <w:rPr>
          <w:rFonts w:hint="eastAsia"/>
          <w:lang w:eastAsia="zh-CN"/>
        </w:rPr>
        <w:t>（</w:t>
      </w:r>
      <w:r>
        <w:rPr>
          <w:rFonts w:hint="eastAsia"/>
          <w:lang w:val="en-US" w:eastAsia="zh-CN"/>
        </w:rPr>
        <w:t>7</w:t>
      </w:r>
      <w:r>
        <w:rPr>
          <w:rFonts w:hint="eastAsia"/>
          <w:lang w:eastAsia="zh-CN"/>
        </w:rPr>
        <w:t>）</w:t>
      </w:r>
      <w:r>
        <w:rPr>
          <w:rFonts w:hint="eastAsia"/>
        </w:rPr>
        <w:t>与本投标有关的一切正式往来通讯为：</w:t>
      </w:r>
      <w:bookmarkEnd w:id="6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u w:val="single"/>
          <w:lang w:val="en-US" w:eastAsia="zh-CN"/>
        </w:rPr>
      </w:pPr>
      <w:bookmarkStart w:id="625" w:name="_Toc4289"/>
      <w:r>
        <w:rPr>
          <w:rFonts w:hint="eastAsia"/>
        </w:rPr>
        <w:t>联系地址：</w:t>
      </w:r>
      <w:bookmarkEnd w:id="625"/>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626" w:name="_Toc6337"/>
      <w:r>
        <w:rPr>
          <w:rFonts w:hint="eastAsia"/>
        </w:rPr>
        <w:t>邮政编码：</w:t>
      </w:r>
      <w:bookmarkEnd w:id="626"/>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627" w:name="_Toc20906"/>
      <w:r>
        <w:rPr>
          <w:rFonts w:hint="eastAsia"/>
        </w:rPr>
        <w:t>电    话：</w:t>
      </w:r>
      <w:bookmarkEnd w:id="627"/>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628" w:name="_Toc26272"/>
      <w:r>
        <w:rPr>
          <w:rFonts w:hint="eastAsia"/>
        </w:rPr>
        <w:t>传    真：</w:t>
      </w:r>
      <w:bookmarkEnd w:id="628"/>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629" w:name="_Toc4440"/>
      <w:r>
        <w:rPr>
          <w:rFonts w:hint="eastAsia"/>
          <w:lang w:eastAsia="zh-CN"/>
        </w:rPr>
        <w:t>投标人</w:t>
      </w:r>
      <w:r>
        <w:rPr>
          <w:rFonts w:hint="eastAsia"/>
        </w:rPr>
        <w:t>名称（盖章）：</w:t>
      </w:r>
      <w:bookmarkEnd w:id="629"/>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630" w:name="_Toc6743"/>
      <w:r>
        <w:rPr>
          <w:rFonts w:hint="eastAsia"/>
          <w:lang w:eastAsia="zh-CN"/>
        </w:rPr>
        <w:t>投标人</w:t>
      </w:r>
      <w:r>
        <w:rPr>
          <w:rFonts w:hint="eastAsia"/>
        </w:rPr>
        <w:t>法定代表人/被授权人签字或盖章：</w:t>
      </w:r>
      <w:bookmarkEnd w:id="630"/>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631" w:name="_Toc21016"/>
      <w:r>
        <w:rPr>
          <w:rFonts w:hint="eastAsia"/>
        </w:rPr>
        <w:t>日    期：</w:t>
      </w:r>
      <w:bookmarkEnd w:id="631"/>
      <w:r>
        <w:rPr>
          <w:rFonts w:hint="eastAsia"/>
          <w:u w:val="single"/>
          <w:lang w:val="en-US" w:eastAsia="zh-CN"/>
        </w:rPr>
        <w:t xml:space="preserve">                       </w:t>
      </w:r>
    </w:p>
    <w:p>
      <w:pPr>
        <w:pStyle w:val="4"/>
        <w:spacing w:beforeLines="100" w:line="360" w:lineRule="auto"/>
        <w:outlineLvl w:val="1"/>
        <w:rPr>
          <w:rFonts w:hAnsi="宋体" w:cs="宋体"/>
          <w:b/>
          <w:bCs/>
          <w:color w:val="auto"/>
          <w:sz w:val="32"/>
          <w:szCs w:val="32"/>
          <w:highlight w:val="none"/>
        </w:rPr>
      </w:pPr>
      <w:r>
        <w:rPr>
          <w:rFonts w:hint="eastAsia" w:hAnsi="宋体" w:cs="宋体"/>
          <w:color w:val="auto"/>
          <w:sz w:val="28"/>
          <w:highlight w:val="none"/>
        </w:rPr>
        <w:br w:type="page"/>
      </w:r>
      <w:bookmarkStart w:id="632" w:name="_Toc24910"/>
      <w:bookmarkStart w:id="633" w:name="_Toc426457703"/>
      <w:bookmarkStart w:id="634" w:name="_Toc10248"/>
      <w:bookmarkStart w:id="635" w:name="_Toc24816"/>
      <w:bookmarkStart w:id="636" w:name="_Toc17802"/>
      <w:bookmarkStart w:id="637" w:name="_Toc6435"/>
      <w:bookmarkStart w:id="638" w:name="_Toc4332"/>
      <w:bookmarkStart w:id="639" w:name="_Toc403077651"/>
      <w:bookmarkStart w:id="640" w:name="_Toc363474030"/>
      <w:bookmarkStart w:id="641" w:name="_Toc21319"/>
      <w:bookmarkStart w:id="642" w:name="_Toc9499"/>
      <w:bookmarkStart w:id="643" w:name="_Toc29025"/>
      <w:bookmarkStart w:id="644" w:name="_Toc27599"/>
      <w:r>
        <w:rPr>
          <w:rFonts w:hint="eastAsia" w:ascii="宋体" w:hAnsi="宋体" w:eastAsia="宋体" w:cs="宋体"/>
          <w:b/>
          <w:bCs/>
          <w:color w:val="auto"/>
          <w:sz w:val="40"/>
          <w:szCs w:val="24"/>
          <w:highlight w:val="none"/>
        </w:rPr>
        <w:t>二、投标报价表</w:t>
      </w:r>
      <w:bookmarkEnd w:id="632"/>
      <w:bookmarkEnd w:id="633"/>
      <w:bookmarkEnd w:id="634"/>
      <w:bookmarkEnd w:id="635"/>
      <w:bookmarkEnd w:id="636"/>
      <w:bookmarkEnd w:id="637"/>
      <w:bookmarkEnd w:id="638"/>
      <w:bookmarkEnd w:id="639"/>
      <w:bookmarkEnd w:id="640"/>
      <w:bookmarkEnd w:id="641"/>
      <w:bookmarkEnd w:id="642"/>
      <w:bookmarkEnd w:id="643"/>
      <w:bookmarkEnd w:id="644"/>
    </w:p>
    <w:p>
      <w:pPr>
        <w:bidi w:val="0"/>
        <w:jc w:val="center"/>
        <w:rPr>
          <w:b/>
          <w:bCs/>
          <w:sz w:val="36"/>
          <w:szCs w:val="24"/>
        </w:rPr>
      </w:pPr>
      <w:bookmarkStart w:id="645" w:name="_Toc3661"/>
      <w:r>
        <w:rPr>
          <w:rFonts w:hint="eastAsia"/>
          <w:b/>
          <w:bCs/>
          <w:sz w:val="36"/>
          <w:szCs w:val="24"/>
        </w:rPr>
        <w:t>2.1开标一览表</w:t>
      </w:r>
      <w:bookmarkEnd w:id="645"/>
    </w:p>
    <w:p>
      <w:pPr>
        <w:bidi w:val="0"/>
      </w:pPr>
      <w:bookmarkStart w:id="646" w:name="_Toc17460"/>
      <w:r>
        <w:rPr>
          <w:rFonts w:hint="eastAsia"/>
        </w:rPr>
        <w:t>项目名称：</w:t>
      </w:r>
      <w:bookmarkEnd w:id="646"/>
    </w:p>
    <w:p>
      <w:pPr>
        <w:bidi w:val="0"/>
      </w:pPr>
      <w:bookmarkStart w:id="647" w:name="_Toc17805"/>
      <w:r>
        <w:rPr>
          <w:rFonts w:hint="eastAsia"/>
        </w:rPr>
        <w:t>项目编号：</w:t>
      </w:r>
      <w:bookmarkEnd w:id="647"/>
      <w:r>
        <w:rPr>
          <w:rFonts w:hint="eastAsia"/>
        </w:rPr>
        <w:t xml:space="preserve">                         </w:t>
      </w:r>
    </w:p>
    <w:tbl>
      <w:tblPr>
        <w:tblStyle w:val="22"/>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2646"/>
        <w:gridCol w:w="2805"/>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247" w:type="dxa"/>
            <w:vAlign w:val="center"/>
          </w:tcPr>
          <w:p>
            <w:pPr>
              <w:bidi w:val="0"/>
              <w:jc w:val="center"/>
            </w:pPr>
            <w:bookmarkStart w:id="648" w:name="_Toc196"/>
            <w:bookmarkStart w:id="649" w:name="_Toc10303"/>
            <w:r>
              <w:rPr>
                <w:rFonts w:hint="eastAsia"/>
              </w:rPr>
              <w:t>投标总报价</w:t>
            </w:r>
            <w:bookmarkEnd w:id="648"/>
            <w:bookmarkEnd w:id="649"/>
          </w:p>
          <w:p>
            <w:pPr>
              <w:bidi w:val="0"/>
              <w:jc w:val="center"/>
            </w:pPr>
            <w:bookmarkStart w:id="650" w:name="_Toc22539"/>
            <w:bookmarkStart w:id="651" w:name="_Toc22604"/>
            <w:r>
              <w:rPr>
                <w:rFonts w:hint="eastAsia"/>
              </w:rPr>
              <w:t>（元）</w:t>
            </w:r>
            <w:bookmarkEnd w:id="650"/>
            <w:bookmarkEnd w:id="651"/>
          </w:p>
        </w:tc>
        <w:tc>
          <w:tcPr>
            <w:tcW w:w="2646" w:type="dxa"/>
            <w:vAlign w:val="center"/>
          </w:tcPr>
          <w:p>
            <w:pPr>
              <w:bidi w:val="0"/>
              <w:jc w:val="center"/>
            </w:pPr>
            <w:bookmarkStart w:id="652" w:name="_Toc5035"/>
            <w:bookmarkStart w:id="653" w:name="_Toc9063"/>
            <w:r>
              <w:rPr>
                <w:rFonts w:hint="eastAsia"/>
                <w:lang w:val="en-US" w:eastAsia="zh-CN"/>
              </w:rPr>
              <w:t>项目完成期</w:t>
            </w:r>
            <w:bookmarkEnd w:id="652"/>
            <w:bookmarkEnd w:id="653"/>
          </w:p>
        </w:tc>
        <w:tc>
          <w:tcPr>
            <w:tcW w:w="2805" w:type="dxa"/>
            <w:vAlign w:val="center"/>
          </w:tcPr>
          <w:p>
            <w:pPr>
              <w:bidi w:val="0"/>
              <w:jc w:val="center"/>
            </w:pPr>
            <w:bookmarkStart w:id="654" w:name="_Toc9899"/>
            <w:bookmarkStart w:id="655" w:name="_Toc18927"/>
            <w:r>
              <w:rPr>
                <w:rFonts w:hint="eastAsia"/>
              </w:rPr>
              <w:t>质保期</w:t>
            </w:r>
            <w:bookmarkEnd w:id="654"/>
            <w:bookmarkEnd w:id="655"/>
          </w:p>
        </w:tc>
        <w:tc>
          <w:tcPr>
            <w:tcW w:w="2038" w:type="dxa"/>
            <w:vAlign w:val="center"/>
          </w:tcPr>
          <w:p>
            <w:pPr>
              <w:bidi w:val="0"/>
              <w:jc w:val="center"/>
            </w:pPr>
            <w:bookmarkStart w:id="656" w:name="_Toc26436"/>
            <w:bookmarkStart w:id="657" w:name="_Toc2033"/>
            <w:r>
              <w:rPr>
                <w:rFonts w:hint="eastAsia"/>
              </w:rPr>
              <w:t>备注</w:t>
            </w:r>
            <w:bookmarkEnd w:id="656"/>
            <w:bookmarkEnd w:id="6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247" w:type="dxa"/>
            <w:vAlign w:val="center"/>
          </w:tcPr>
          <w:p>
            <w:pPr>
              <w:bidi w:val="0"/>
              <w:jc w:val="center"/>
            </w:pPr>
          </w:p>
        </w:tc>
        <w:tc>
          <w:tcPr>
            <w:tcW w:w="2646" w:type="dxa"/>
            <w:vAlign w:val="center"/>
          </w:tcPr>
          <w:p>
            <w:pPr>
              <w:bidi w:val="0"/>
              <w:jc w:val="center"/>
            </w:pPr>
          </w:p>
        </w:tc>
        <w:tc>
          <w:tcPr>
            <w:tcW w:w="2805" w:type="dxa"/>
            <w:vAlign w:val="center"/>
          </w:tcPr>
          <w:p>
            <w:pPr>
              <w:bidi w:val="0"/>
              <w:jc w:val="center"/>
            </w:pPr>
          </w:p>
        </w:tc>
        <w:tc>
          <w:tcPr>
            <w:tcW w:w="2038"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736" w:type="dxa"/>
            <w:gridSpan w:val="4"/>
            <w:vAlign w:val="center"/>
          </w:tcPr>
          <w:p>
            <w:pPr>
              <w:bidi w:val="0"/>
              <w:jc w:val="center"/>
            </w:pPr>
            <w:bookmarkStart w:id="658" w:name="_Toc5832"/>
            <w:bookmarkStart w:id="659" w:name="_Toc7650"/>
            <w:r>
              <w:rPr>
                <w:rFonts w:hint="eastAsia"/>
              </w:rPr>
              <w:t>投标总报价（大写）：                                  （小写：￥       ）</w:t>
            </w:r>
            <w:bookmarkEnd w:id="658"/>
            <w:bookmarkEnd w:id="6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736" w:type="dxa"/>
            <w:gridSpan w:val="4"/>
            <w:vAlign w:val="center"/>
          </w:tcPr>
          <w:p>
            <w:pPr>
              <w:bidi w:val="0"/>
              <w:jc w:val="center"/>
            </w:pPr>
            <w:bookmarkStart w:id="660" w:name="_Toc13982"/>
            <w:bookmarkStart w:id="661" w:name="_Toc8506"/>
            <w:r>
              <w:rPr>
                <w:rFonts w:hint="eastAsia"/>
              </w:rPr>
              <w:t>备注：表内报价内容以元为单位，保留小数点后两位。</w:t>
            </w:r>
            <w:bookmarkEnd w:id="660"/>
            <w:bookmarkEnd w:id="661"/>
          </w:p>
        </w:tc>
      </w:tr>
    </w:tbl>
    <w:p>
      <w:pPr>
        <w:bidi w:val="0"/>
      </w:pPr>
    </w:p>
    <w:p>
      <w:pPr>
        <w:bidi w:val="0"/>
      </w:pPr>
    </w:p>
    <w:p>
      <w:pPr>
        <w:bidi w:val="0"/>
        <w:rPr>
          <w:rFonts w:hAnsi="宋体" w:cs="宋体"/>
          <w:color w:val="auto"/>
          <w:highlight w:val="none"/>
        </w:rPr>
      </w:pPr>
      <w:bookmarkStart w:id="662" w:name="_Toc15680"/>
      <w:r>
        <w:rPr>
          <w:rFonts w:hint="eastAsia" w:hAnsi="宋体" w:cs="宋体"/>
          <w:color w:val="auto"/>
          <w:highlight w:val="none"/>
          <w:lang w:eastAsia="zh-CN"/>
        </w:rPr>
        <w:t>投标人</w:t>
      </w:r>
      <w:r>
        <w:rPr>
          <w:rFonts w:hint="eastAsia" w:hAnsi="宋体" w:cs="宋体"/>
          <w:color w:val="auto"/>
          <w:highlight w:val="none"/>
        </w:rPr>
        <w:t>名称：</w:t>
      </w:r>
      <w:r>
        <w:rPr>
          <w:rFonts w:hint="eastAsia" w:hAnsi="宋体" w:cs="宋体"/>
          <w:color w:val="auto"/>
          <w:highlight w:val="none"/>
          <w:u w:val="single"/>
        </w:rPr>
        <w:t xml:space="preserve">      （加盖单位公章）</w:t>
      </w:r>
      <w:bookmarkEnd w:id="662"/>
      <w:r>
        <w:rPr>
          <w:rFonts w:hint="eastAsia" w:hAnsi="宋体" w:cs="宋体"/>
          <w:color w:val="auto"/>
          <w:highlight w:val="none"/>
          <w:u w:val="single"/>
        </w:rPr>
        <w:t xml:space="preserve">      </w:t>
      </w:r>
    </w:p>
    <w:p>
      <w:pPr>
        <w:bidi w:val="0"/>
      </w:pPr>
    </w:p>
    <w:p>
      <w:pPr>
        <w:bidi w:val="0"/>
        <w:rPr>
          <w:rFonts w:hAnsi="宋体" w:cs="宋体"/>
          <w:color w:val="auto"/>
          <w:highlight w:val="none"/>
        </w:rPr>
      </w:pPr>
      <w:bookmarkStart w:id="663" w:name="_Toc21851"/>
      <w:r>
        <w:rPr>
          <w:rFonts w:hint="eastAsia" w:hAnsi="宋体" w:cs="宋体"/>
          <w:color w:val="auto"/>
          <w:highlight w:val="none"/>
        </w:rPr>
        <w:t>法定代表人/</w:t>
      </w:r>
      <w:r>
        <w:rPr>
          <w:rFonts w:hint="eastAsia" w:hAnsi="宋体" w:cs="宋体"/>
          <w:color w:val="auto"/>
          <w:szCs w:val="24"/>
          <w:highlight w:val="none"/>
        </w:rPr>
        <w:t>被授权人</w:t>
      </w:r>
      <w:r>
        <w:rPr>
          <w:rFonts w:hint="eastAsia" w:hAnsi="宋体" w:cs="宋体"/>
          <w:color w:val="auto"/>
          <w:spacing w:val="4"/>
          <w:szCs w:val="24"/>
          <w:highlight w:val="none"/>
        </w:rPr>
        <w:t>签字或盖章</w:t>
      </w:r>
      <w:r>
        <w:rPr>
          <w:rFonts w:hint="eastAsia" w:hAnsi="宋体" w:cs="宋体"/>
          <w:color w:val="auto"/>
          <w:highlight w:val="none"/>
        </w:rPr>
        <w:t>：</w:t>
      </w:r>
      <w:bookmarkEnd w:id="663"/>
    </w:p>
    <w:p>
      <w:pPr>
        <w:keepNext w:val="0"/>
        <w:keepLines w:val="0"/>
        <w:pageBreakBefore w:val="0"/>
        <w:widowControl w:val="0"/>
        <w:kinsoku/>
        <w:wordWrap/>
        <w:overflowPunct/>
        <w:topLinePunct w:val="0"/>
        <w:autoSpaceDE/>
        <w:autoSpaceDN/>
        <w:bidi w:val="0"/>
        <w:adjustRightInd/>
        <w:snapToGrid w:val="0"/>
        <w:spacing w:line="360" w:lineRule="auto"/>
        <w:textAlignment w:val="auto"/>
      </w:pPr>
    </w:p>
    <w:p>
      <w:pPr>
        <w:keepNext w:val="0"/>
        <w:keepLines w:val="0"/>
        <w:pageBreakBefore w:val="0"/>
        <w:widowControl w:val="0"/>
        <w:kinsoku/>
        <w:wordWrap/>
        <w:overflowPunct/>
        <w:topLinePunct w:val="0"/>
        <w:autoSpaceDE/>
        <w:autoSpaceDN/>
        <w:bidi w:val="0"/>
        <w:adjustRightInd/>
        <w:snapToGrid w:val="0"/>
        <w:spacing w:line="360" w:lineRule="auto"/>
        <w:textAlignment w:val="auto"/>
      </w:pPr>
      <w:bookmarkStart w:id="664" w:name="_Toc11703"/>
      <w:r>
        <w:rPr>
          <w:rFonts w:hint="eastAsia"/>
        </w:rPr>
        <w:t>日    期：</w:t>
      </w:r>
      <w:bookmarkEnd w:id="664"/>
    </w:p>
    <w:p>
      <w:pPr>
        <w:keepNext w:val="0"/>
        <w:keepLines w:val="0"/>
        <w:pageBreakBefore w:val="0"/>
        <w:widowControl w:val="0"/>
        <w:kinsoku/>
        <w:wordWrap/>
        <w:overflowPunct/>
        <w:topLinePunct w:val="0"/>
        <w:autoSpaceDE/>
        <w:autoSpaceDN/>
        <w:bidi w:val="0"/>
        <w:adjustRightInd/>
        <w:snapToGrid w:val="0"/>
        <w:spacing w:line="360" w:lineRule="auto"/>
        <w:textAlignment w:val="auto"/>
      </w:pPr>
      <w:bookmarkStart w:id="665" w:name="_Toc5262"/>
      <w:r>
        <w:rPr>
          <w:rFonts w:hint="eastAsia"/>
        </w:rPr>
        <w:t>注：本表应按“</w:t>
      </w:r>
      <w:r>
        <w:rPr>
          <w:rFonts w:hint="eastAsia"/>
          <w:lang w:eastAsia="zh-CN"/>
        </w:rPr>
        <w:t>投标人</w:t>
      </w:r>
      <w:r>
        <w:rPr>
          <w:rFonts w:hint="eastAsia"/>
        </w:rPr>
        <w:t>须知”的规定密封单独提交。若有折扣声明，请与本表一并装订和密封。</w:t>
      </w:r>
      <w:bookmarkEnd w:id="665"/>
    </w:p>
    <w:p>
      <w:pPr>
        <w:bidi w:val="0"/>
      </w:pPr>
      <w:r>
        <w:rPr>
          <w:rFonts w:hint="eastAsia"/>
        </w:rPr>
        <w:br w:type="page"/>
      </w:r>
    </w:p>
    <w:p>
      <w:pPr>
        <w:bidi w:val="0"/>
        <w:jc w:val="center"/>
        <w:rPr>
          <w:rFonts w:hAnsi="宋体" w:cs="宋体"/>
          <w:color w:val="auto"/>
          <w:highlight w:val="none"/>
        </w:rPr>
      </w:pPr>
      <w:bookmarkStart w:id="666" w:name="_Toc23155"/>
      <w:r>
        <w:rPr>
          <w:rFonts w:hint="eastAsia" w:hAnsi="宋体" w:cs="宋体"/>
          <w:b/>
          <w:color w:val="auto"/>
          <w:sz w:val="30"/>
          <w:szCs w:val="30"/>
          <w:highlight w:val="none"/>
        </w:rPr>
        <w:t>2.2投标分项报价表</w:t>
      </w:r>
      <w:bookmarkEnd w:id="666"/>
    </w:p>
    <w:p>
      <w:pPr>
        <w:bidi w:val="0"/>
        <w:rPr>
          <w:sz w:val="28"/>
          <w:szCs w:val="28"/>
        </w:rPr>
      </w:pPr>
      <w:bookmarkStart w:id="667" w:name="_Toc31480"/>
      <w:r>
        <w:rPr>
          <w:rFonts w:hint="eastAsia"/>
          <w:sz w:val="28"/>
          <w:szCs w:val="28"/>
        </w:rPr>
        <w:t>项目名称：</w:t>
      </w:r>
      <w:bookmarkEnd w:id="667"/>
    </w:p>
    <w:p>
      <w:pPr>
        <w:bidi w:val="0"/>
        <w:rPr>
          <w:sz w:val="28"/>
          <w:szCs w:val="28"/>
        </w:rPr>
      </w:pPr>
      <w:bookmarkStart w:id="668" w:name="_Toc24191"/>
      <w:r>
        <w:rPr>
          <w:rFonts w:hint="eastAsia"/>
          <w:sz w:val="28"/>
          <w:szCs w:val="28"/>
        </w:rPr>
        <w:t>项目编号：</w:t>
      </w:r>
      <w:bookmarkEnd w:id="668"/>
      <w:r>
        <w:rPr>
          <w:rFonts w:hint="eastAsia"/>
          <w:sz w:val="28"/>
          <w:szCs w:val="28"/>
        </w:rPr>
        <w:t xml:space="preserve">                       </w:t>
      </w:r>
    </w:p>
    <w:p>
      <w:pPr>
        <w:bidi w:val="0"/>
        <w:rPr>
          <w:sz w:val="28"/>
          <w:szCs w:val="28"/>
        </w:rPr>
      </w:pPr>
    </w:p>
    <w:p>
      <w:pPr>
        <w:bidi w:val="0"/>
        <w:jc w:val="center"/>
        <w:rPr>
          <w:b/>
          <w:bCs/>
          <w:sz w:val="28"/>
          <w:szCs w:val="28"/>
        </w:rPr>
      </w:pPr>
      <w:bookmarkStart w:id="669" w:name="_Toc20885"/>
      <w:r>
        <w:rPr>
          <w:rFonts w:hint="eastAsia"/>
          <w:b/>
          <w:bCs/>
          <w:sz w:val="28"/>
          <w:szCs w:val="28"/>
        </w:rPr>
        <w:t>格式自拟</w:t>
      </w:r>
      <w:bookmarkEnd w:id="669"/>
    </w:p>
    <w:p>
      <w:pPr>
        <w:bidi w:val="0"/>
        <w:rPr>
          <w:sz w:val="28"/>
          <w:szCs w:val="28"/>
        </w:rPr>
      </w:pPr>
    </w:p>
    <w:p>
      <w:pPr>
        <w:bidi w:val="0"/>
        <w:rPr>
          <w:rFonts w:hAnsi="宋体" w:cs="宋体"/>
          <w:color w:val="auto"/>
          <w:sz w:val="28"/>
          <w:szCs w:val="28"/>
          <w:highlight w:val="none"/>
          <w:u w:val="single"/>
        </w:rPr>
      </w:pPr>
      <w:bookmarkStart w:id="670" w:name="_Toc6270"/>
      <w:r>
        <w:rPr>
          <w:rFonts w:hint="eastAsia" w:hAnsi="宋体" w:cs="宋体"/>
          <w:color w:val="auto"/>
          <w:sz w:val="28"/>
          <w:szCs w:val="28"/>
          <w:highlight w:val="none"/>
          <w:lang w:eastAsia="zh-CN"/>
        </w:rPr>
        <w:t>投标人</w:t>
      </w:r>
      <w:r>
        <w:rPr>
          <w:rFonts w:hint="eastAsia" w:hAnsi="宋体" w:cs="宋体"/>
          <w:color w:val="auto"/>
          <w:sz w:val="28"/>
          <w:szCs w:val="28"/>
          <w:highlight w:val="none"/>
        </w:rPr>
        <w:t>名称：</w:t>
      </w:r>
      <w:r>
        <w:rPr>
          <w:rFonts w:hint="eastAsia" w:hAnsi="宋体" w:cs="宋体"/>
          <w:color w:val="auto"/>
          <w:sz w:val="28"/>
          <w:szCs w:val="28"/>
          <w:highlight w:val="none"/>
          <w:u w:val="single"/>
        </w:rPr>
        <w:t xml:space="preserve">      （加盖单位公章）</w:t>
      </w:r>
      <w:bookmarkEnd w:id="670"/>
      <w:r>
        <w:rPr>
          <w:rFonts w:hint="eastAsia" w:hAnsi="宋体" w:cs="宋体"/>
          <w:color w:val="auto"/>
          <w:sz w:val="28"/>
          <w:szCs w:val="28"/>
          <w:highlight w:val="none"/>
          <w:u w:val="single"/>
        </w:rPr>
        <w:t xml:space="preserve">      </w:t>
      </w:r>
    </w:p>
    <w:p>
      <w:pPr>
        <w:bidi w:val="0"/>
        <w:rPr>
          <w:rFonts w:hAnsi="宋体" w:cs="宋体"/>
          <w:color w:val="auto"/>
          <w:sz w:val="28"/>
          <w:szCs w:val="28"/>
          <w:highlight w:val="none"/>
        </w:rPr>
      </w:pPr>
      <w:bookmarkStart w:id="671" w:name="_Toc14261"/>
      <w:r>
        <w:rPr>
          <w:rFonts w:hint="eastAsia" w:hAnsi="宋体" w:cs="宋体"/>
          <w:color w:val="auto"/>
          <w:sz w:val="28"/>
          <w:szCs w:val="28"/>
          <w:highlight w:val="none"/>
        </w:rPr>
        <w:t>法定代表人/被授权人签字或盖章：</w:t>
      </w:r>
      <w:bookmarkEnd w:id="671"/>
    </w:p>
    <w:p>
      <w:pPr>
        <w:bidi w:val="0"/>
        <w:rPr>
          <w:rFonts w:hAnsi="宋体" w:cs="宋体"/>
          <w:color w:val="auto"/>
          <w:sz w:val="28"/>
          <w:szCs w:val="28"/>
          <w:highlight w:val="none"/>
        </w:rPr>
      </w:pPr>
      <w:bookmarkStart w:id="672" w:name="_Toc16621"/>
      <w:r>
        <w:rPr>
          <w:rFonts w:hint="eastAsia" w:ascii="宋体" w:hAnsi="宋体" w:eastAsia="宋体" w:cs="宋体"/>
          <w:color w:val="auto"/>
          <w:sz w:val="28"/>
          <w:szCs w:val="28"/>
          <w:highlight w:val="none"/>
          <w:lang w:eastAsia="zh-CN"/>
        </w:rPr>
        <w:t xml:space="preserve">日    </w:t>
      </w:r>
      <w:r>
        <w:rPr>
          <w:rFonts w:hint="eastAsia" w:hAnsi="宋体" w:cs="宋体"/>
          <w:color w:val="auto"/>
          <w:sz w:val="28"/>
          <w:szCs w:val="28"/>
          <w:highlight w:val="none"/>
        </w:rPr>
        <w:t>期：</w:t>
      </w:r>
      <w:bookmarkEnd w:id="672"/>
    </w:p>
    <w:p>
      <w:pPr>
        <w:pStyle w:val="4"/>
        <w:spacing w:beforeLines="100" w:line="360" w:lineRule="auto"/>
        <w:outlineLvl w:val="1"/>
        <w:rPr>
          <w:rFonts w:ascii="宋体" w:hAnsi="宋体" w:cs="宋体"/>
          <w:b w:val="0"/>
          <w:color w:val="auto"/>
          <w:highlight w:val="none"/>
        </w:rPr>
      </w:pPr>
      <w:r>
        <w:rPr>
          <w:rFonts w:hint="eastAsia" w:ascii="宋体" w:hAnsi="宋体" w:cs="宋体"/>
          <w:b w:val="0"/>
          <w:color w:val="auto"/>
          <w:sz w:val="30"/>
          <w:szCs w:val="30"/>
          <w:highlight w:val="none"/>
        </w:rPr>
        <w:br w:type="page"/>
      </w:r>
      <w:bookmarkStart w:id="673" w:name="_Toc14384"/>
      <w:bookmarkStart w:id="674" w:name="_Toc4085"/>
      <w:bookmarkStart w:id="675" w:name="_Toc19152"/>
      <w:bookmarkStart w:id="676" w:name="_Toc31326"/>
      <w:bookmarkStart w:id="677" w:name="_Toc8367"/>
      <w:bookmarkStart w:id="678" w:name="_Toc15633"/>
      <w:bookmarkStart w:id="679" w:name="_Toc14253"/>
      <w:bookmarkStart w:id="680" w:name="_Toc26782"/>
      <w:bookmarkStart w:id="681" w:name="_Toc9373"/>
      <w:bookmarkStart w:id="682" w:name="_Toc12358"/>
      <w:r>
        <w:rPr>
          <w:rFonts w:hint="eastAsia" w:ascii="宋体" w:hAnsi="宋体" w:cs="宋体"/>
          <w:color w:val="auto"/>
          <w:sz w:val="32"/>
          <w:szCs w:val="32"/>
          <w:highlight w:val="none"/>
        </w:rPr>
        <w:t>三、投标方案说明书</w:t>
      </w:r>
      <w:bookmarkEnd w:id="673"/>
      <w:bookmarkEnd w:id="674"/>
      <w:bookmarkEnd w:id="675"/>
      <w:bookmarkEnd w:id="676"/>
      <w:bookmarkEnd w:id="677"/>
      <w:r>
        <w:rPr>
          <w:rFonts w:hint="eastAsia" w:ascii="宋体" w:hAnsi="宋体" w:cs="宋体"/>
          <w:color w:val="auto"/>
          <w:sz w:val="32"/>
          <w:szCs w:val="32"/>
          <w:highlight w:val="none"/>
        </w:rPr>
        <w:t>（格式自拟）</w:t>
      </w:r>
      <w:bookmarkEnd w:id="678"/>
      <w:bookmarkEnd w:id="679"/>
      <w:bookmarkEnd w:id="680"/>
      <w:bookmarkEnd w:id="681"/>
      <w:bookmarkEnd w:id="682"/>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Ansi="宋体" w:cs="宋体"/>
          <w:bCs/>
          <w:color w:val="auto"/>
          <w:szCs w:val="24"/>
          <w:highlight w:val="none"/>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bookmarkStart w:id="683" w:name="_Toc32688"/>
      <w:r>
        <w:rPr>
          <w:rFonts w:hint="eastAsia" w:ascii="宋体" w:hAnsi="宋体" w:eastAsia="宋体" w:cs="宋体"/>
          <w:color w:val="auto"/>
          <w:sz w:val="28"/>
          <w:szCs w:val="28"/>
          <w:highlight w:val="none"/>
          <w:lang w:eastAsia="zh-CN"/>
        </w:rPr>
        <w:t>按照招标文件的要求及评标办法的要求编制投标方案说明书，内容可参照第三章评审办法进行编写（内容包括但不限于第三章评审办法）。</w:t>
      </w:r>
      <w:bookmarkEnd w:id="683"/>
    </w:p>
    <w:p>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highlight w:val="none"/>
        </w:rPr>
      </w:pPr>
    </w:p>
    <w:p>
      <w:pPr>
        <w:bidi w:val="0"/>
        <w:rPr>
          <w:rFonts w:hAnsi="宋体" w:cs="宋体"/>
          <w:b/>
          <w:color w:val="auto"/>
          <w:szCs w:val="24"/>
          <w:highlight w:val="none"/>
        </w:rPr>
      </w:pPr>
      <w:r>
        <w:rPr>
          <w:rFonts w:hint="eastAsia" w:hAnsi="宋体" w:cs="宋体"/>
          <w:b/>
          <w:color w:val="auto"/>
          <w:sz w:val="36"/>
          <w:highlight w:val="none"/>
        </w:rPr>
        <w:br w:type="page"/>
      </w:r>
      <w:bookmarkStart w:id="684" w:name="_Toc18293"/>
      <w:r>
        <w:rPr>
          <w:rFonts w:hint="eastAsia" w:hAnsi="宋体" w:cs="宋体"/>
          <w:b/>
          <w:color w:val="auto"/>
          <w:szCs w:val="24"/>
          <w:highlight w:val="none"/>
        </w:rPr>
        <w:t>附表1</w:t>
      </w:r>
      <w:bookmarkEnd w:id="684"/>
    </w:p>
    <w:p>
      <w:pPr>
        <w:bidi w:val="0"/>
        <w:jc w:val="center"/>
        <w:rPr>
          <w:rFonts w:hAnsi="宋体" w:cs="宋体"/>
          <w:b/>
          <w:color w:val="auto"/>
          <w:sz w:val="32"/>
          <w:szCs w:val="32"/>
          <w:highlight w:val="none"/>
        </w:rPr>
      </w:pPr>
      <w:bookmarkStart w:id="685" w:name="_Toc25317"/>
      <w:r>
        <w:rPr>
          <w:rFonts w:hint="eastAsia" w:hAnsi="宋体" w:cs="宋体"/>
          <w:b/>
          <w:color w:val="auto"/>
          <w:sz w:val="32"/>
          <w:szCs w:val="32"/>
          <w:highlight w:val="none"/>
        </w:rPr>
        <w:t>技术规格响应表</w:t>
      </w:r>
      <w:bookmarkEnd w:id="685"/>
    </w:p>
    <w:p>
      <w:pPr>
        <w:bidi w:val="0"/>
        <w:rPr>
          <w:rFonts w:hint="eastAsia" w:ascii="宋体" w:hAnsi="宋体" w:eastAsia="宋体" w:cs="宋体"/>
          <w:color w:val="auto"/>
          <w:sz w:val="28"/>
          <w:szCs w:val="28"/>
          <w:highlight w:val="none"/>
          <w:lang w:eastAsia="zh-CN"/>
        </w:rPr>
      </w:pPr>
      <w:bookmarkStart w:id="686" w:name="_Toc11078"/>
      <w:r>
        <w:rPr>
          <w:rFonts w:hint="eastAsia" w:ascii="宋体" w:hAnsi="宋体" w:eastAsia="宋体" w:cs="宋体"/>
          <w:color w:val="auto"/>
          <w:sz w:val="28"/>
          <w:szCs w:val="28"/>
          <w:highlight w:val="none"/>
          <w:lang w:eastAsia="zh-CN"/>
        </w:rPr>
        <w:t>项目编号：</w:t>
      </w:r>
      <w:bookmarkEnd w:id="686"/>
      <w:r>
        <w:rPr>
          <w:rFonts w:hint="eastAsia" w:ascii="宋体" w:hAnsi="宋体" w:eastAsia="宋体" w:cs="宋体"/>
          <w:color w:val="auto"/>
          <w:sz w:val="28"/>
          <w:szCs w:val="28"/>
          <w:highlight w:val="none"/>
          <w:lang w:eastAsia="zh-CN"/>
        </w:rPr>
        <w:t xml:space="preserve">      </w:t>
      </w:r>
    </w:p>
    <w:p>
      <w:pPr>
        <w:bidi w:val="0"/>
        <w:rPr>
          <w:rFonts w:hint="eastAsia" w:ascii="宋体" w:hAnsi="宋体" w:eastAsia="宋体" w:cs="宋体"/>
          <w:color w:val="auto"/>
          <w:sz w:val="28"/>
          <w:szCs w:val="28"/>
          <w:highlight w:val="none"/>
          <w:lang w:eastAsia="zh-CN"/>
        </w:rPr>
      </w:pPr>
      <w:bookmarkStart w:id="687" w:name="_Toc26949"/>
      <w:r>
        <w:rPr>
          <w:rFonts w:hint="eastAsia" w:ascii="宋体" w:hAnsi="宋体" w:eastAsia="宋体" w:cs="宋体"/>
          <w:color w:val="auto"/>
          <w:sz w:val="28"/>
          <w:szCs w:val="28"/>
          <w:highlight w:val="none"/>
          <w:lang w:eastAsia="zh-CN"/>
        </w:rPr>
        <w:t>项目名称：</w:t>
      </w:r>
      <w:bookmarkEnd w:id="687"/>
      <w:r>
        <w:rPr>
          <w:rFonts w:hint="eastAsia" w:ascii="宋体" w:hAnsi="宋体" w:eastAsia="宋体" w:cs="宋体"/>
          <w:color w:val="auto"/>
          <w:sz w:val="28"/>
          <w:szCs w:val="28"/>
          <w:highlight w:val="none"/>
          <w:lang w:eastAsia="zh-CN"/>
        </w:rPr>
        <w:t xml:space="preserve">                            </w:t>
      </w:r>
    </w:p>
    <w:tbl>
      <w:tblPr>
        <w:tblStyle w:val="22"/>
        <w:tblW w:w="90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228" w:type="dxa"/>
            <w:tcBorders>
              <w:bottom w:val="single" w:color="auto" w:sz="12" w:space="0"/>
            </w:tcBorders>
            <w:vAlign w:val="center"/>
          </w:tcPr>
          <w:p>
            <w:pPr>
              <w:bidi w:val="0"/>
              <w:jc w:val="center"/>
            </w:pPr>
            <w:bookmarkStart w:id="688" w:name="_Toc29783"/>
            <w:bookmarkStart w:id="689" w:name="_Toc19416"/>
            <w:r>
              <w:rPr>
                <w:rFonts w:hint="eastAsia"/>
              </w:rPr>
              <w:t>序号</w:t>
            </w:r>
            <w:bookmarkEnd w:id="688"/>
            <w:bookmarkEnd w:id="689"/>
          </w:p>
        </w:tc>
        <w:tc>
          <w:tcPr>
            <w:tcW w:w="1353" w:type="dxa"/>
            <w:tcBorders>
              <w:bottom w:val="single" w:color="auto" w:sz="12" w:space="0"/>
              <w:right w:val="single" w:color="auto" w:sz="4" w:space="0"/>
            </w:tcBorders>
            <w:vAlign w:val="center"/>
          </w:tcPr>
          <w:p>
            <w:pPr>
              <w:bidi w:val="0"/>
              <w:jc w:val="center"/>
            </w:pPr>
            <w:bookmarkStart w:id="690" w:name="_Toc9375"/>
            <w:bookmarkStart w:id="691" w:name="_Toc9016"/>
            <w:r>
              <w:rPr>
                <w:rFonts w:hint="eastAsia"/>
              </w:rPr>
              <w:t>品目</w:t>
            </w:r>
            <w:bookmarkEnd w:id="690"/>
            <w:bookmarkEnd w:id="691"/>
          </w:p>
        </w:tc>
        <w:tc>
          <w:tcPr>
            <w:tcW w:w="1714" w:type="dxa"/>
            <w:tcBorders>
              <w:left w:val="single" w:color="auto" w:sz="4" w:space="0"/>
              <w:bottom w:val="single" w:color="auto" w:sz="12" w:space="0"/>
            </w:tcBorders>
            <w:vAlign w:val="center"/>
          </w:tcPr>
          <w:p>
            <w:pPr>
              <w:bidi w:val="0"/>
              <w:jc w:val="center"/>
            </w:pPr>
            <w:bookmarkStart w:id="692" w:name="_Toc21061"/>
            <w:bookmarkStart w:id="693" w:name="_Toc32061"/>
            <w:r>
              <w:rPr>
                <w:rFonts w:hint="eastAsia"/>
              </w:rPr>
              <w:t>招标规格 ☆1</w:t>
            </w:r>
            <w:bookmarkEnd w:id="692"/>
            <w:bookmarkEnd w:id="693"/>
          </w:p>
        </w:tc>
        <w:tc>
          <w:tcPr>
            <w:tcW w:w="2566" w:type="dxa"/>
            <w:tcBorders>
              <w:bottom w:val="single" w:color="auto" w:sz="12" w:space="0"/>
            </w:tcBorders>
            <w:vAlign w:val="center"/>
          </w:tcPr>
          <w:p>
            <w:pPr>
              <w:bidi w:val="0"/>
              <w:jc w:val="center"/>
            </w:pPr>
            <w:bookmarkStart w:id="694" w:name="_Toc19269"/>
            <w:bookmarkStart w:id="695" w:name="_Toc23864"/>
            <w:r>
              <w:rPr>
                <w:rFonts w:hint="eastAsia"/>
              </w:rPr>
              <w:t>投标规格 ☆2</w:t>
            </w:r>
            <w:bookmarkEnd w:id="694"/>
            <w:bookmarkEnd w:id="695"/>
          </w:p>
        </w:tc>
        <w:tc>
          <w:tcPr>
            <w:tcW w:w="1290" w:type="dxa"/>
            <w:tcBorders>
              <w:bottom w:val="single" w:color="auto" w:sz="12" w:space="0"/>
            </w:tcBorders>
            <w:vAlign w:val="center"/>
          </w:tcPr>
          <w:p>
            <w:pPr>
              <w:bidi w:val="0"/>
              <w:jc w:val="center"/>
            </w:pPr>
            <w:bookmarkStart w:id="696" w:name="_Toc7360"/>
            <w:bookmarkStart w:id="697" w:name="_Toc19768"/>
            <w:r>
              <w:rPr>
                <w:rFonts w:hint="eastAsia"/>
              </w:rPr>
              <w:t>偏离说明</w:t>
            </w:r>
            <w:bookmarkEnd w:id="696"/>
            <w:bookmarkEnd w:id="697"/>
          </w:p>
        </w:tc>
        <w:tc>
          <w:tcPr>
            <w:tcW w:w="880" w:type="dxa"/>
            <w:tcBorders>
              <w:bottom w:val="single" w:color="auto" w:sz="12" w:space="0"/>
            </w:tcBorders>
            <w:vAlign w:val="center"/>
          </w:tcPr>
          <w:p>
            <w:pPr>
              <w:bidi w:val="0"/>
              <w:jc w:val="center"/>
            </w:pPr>
            <w:bookmarkStart w:id="698" w:name="_Toc17933"/>
            <w:bookmarkStart w:id="699" w:name="_Toc9488"/>
            <w:r>
              <w:rPr>
                <w:rFonts w:hint="eastAsia"/>
              </w:rPr>
              <w:t>备注</w:t>
            </w:r>
            <w:bookmarkEnd w:id="698"/>
            <w:bookmarkEnd w:id="69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0" w:hRule="atLeast"/>
          <w:jc w:val="center"/>
        </w:trPr>
        <w:tc>
          <w:tcPr>
            <w:tcW w:w="1228" w:type="dxa"/>
            <w:tcBorders>
              <w:top w:val="single" w:color="auto" w:sz="12" w:space="0"/>
              <w:left w:val="single" w:color="auto" w:sz="12" w:space="0"/>
              <w:bottom w:val="single" w:color="auto" w:sz="12" w:space="0"/>
              <w:right w:val="single" w:color="auto" w:sz="12" w:space="0"/>
            </w:tcBorders>
          </w:tcPr>
          <w:p>
            <w:pPr>
              <w:bidi w:val="0"/>
              <w:jc w:val="center"/>
            </w:pPr>
          </w:p>
        </w:tc>
        <w:tc>
          <w:tcPr>
            <w:tcW w:w="1353" w:type="dxa"/>
            <w:tcBorders>
              <w:top w:val="single" w:color="auto" w:sz="12" w:space="0"/>
              <w:left w:val="single" w:color="auto" w:sz="12" w:space="0"/>
              <w:bottom w:val="single" w:color="auto" w:sz="12" w:space="0"/>
              <w:right w:val="single" w:color="auto" w:sz="12" w:space="0"/>
            </w:tcBorders>
          </w:tcPr>
          <w:p>
            <w:pPr>
              <w:bidi w:val="0"/>
              <w:jc w:val="center"/>
            </w:pPr>
          </w:p>
        </w:tc>
        <w:tc>
          <w:tcPr>
            <w:tcW w:w="1714" w:type="dxa"/>
            <w:tcBorders>
              <w:top w:val="single" w:color="auto" w:sz="12" w:space="0"/>
              <w:left w:val="single" w:color="auto" w:sz="12" w:space="0"/>
              <w:bottom w:val="single" w:color="auto" w:sz="12" w:space="0"/>
              <w:right w:val="single" w:color="auto" w:sz="12" w:space="0"/>
            </w:tcBorders>
          </w:tcPr>
          <w:p>
            <w:pPr>
              <w:bidi w:val="0"/>
              <w:jc w:val="center"/>
            </w:pPr>
          </w:p>
        </w:tc>
        <w:tc>
          <w:tcPr>
            <w:tcW w:w="2566" w:type="dxa"/>
            <w:tcBorders>
              <w:top w:val="single" w:color="auto" w:sz="12" w:space="0"/>
              <w:left w:val="single" w:color="auto" w:sz="12" w:space="0"/>
              <w:bottom w:val="single" w:color="auto" w:sz="12" w:space="0"/>
              <w:right w:val="single" w:color="auto" w:sz="12" w:space="0"/>
            </w:tcBorders>
          </w:tcPr>
          <w:p>
            <w:pPr>
              <w:bidi w:val="0"/>
              <w:jc w:val="center"/>
            </w:pPr>
          </w:p>
        </w:tc>
        <w:tc>
          <w:tcPr>
            <w:tcW w:w="1290" w:type="dxa"/>
            <w:tcBorders>
              <w:top w:val="single" w:color="auto" w:sz="12" w:space="0"/>
              <w:left w:val="single" w:color="auto" w:sz="12" w:space="0"/>
              <w:bottom w:val="single" w:color="auto" w:sz="12" w:space="0"/>
              <w:right w:val="single" w:color="auto" w:sz="12" w:space="0"/>
            </w:tcBorders>
          </w:tcPr>
          <w:p>
            <w:pPr>
              <w:bidi w:val="0"/>
              <w:jc w:val="center"/>
            </w:pPr>
          </w:p>
        </w:tc>
        <w:tc>
          <w:tcPr>
            <w:tcW w:w="880" w:type="dxa"/>
            <w:tcBorders>
              <w:top w:val="single" w:color="auto" w:sz="12" w:space="0"/>
              <w:left w:val="single" w:color="auto" w:sz="12" w:space="0"/>
              <w:bottom w:val="single" w:color="auto" w:sz="12" w:space="0"/>
              <w:right w:val="single" w:color="auto" w:sz="12" w:space="0"/>
            </w:tcBorders>
          </w:tcPr>
          <w:p>
            <w:pPr>
              <w:bidi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tcPr>
          <w:p>
            <w:pPr>
              <w:bidi w:val="0"/>
              <w:jc w:val="center"/>
            </w:pPr>
          </w:p>
        </w:tc>
        <w:tc>
          <w:tcPr>
            <w:tcW w:w="1353" w:type="dxa"/>
            <w:tcBorders>
              <w:top w:val="single" w:color="auto" w:sz="12" w:space="0"/>
              <w:left w:val="single" w:color="auto" w:sz="12" w:space="0"/>
              <w:bottom w:val="single" w:color="auto" w:sz="12" w:space="0"/>
              <w:right w:val="single" w:color="auto" w:sz="12" w:space="0"/>
            </w:tcBorders>
          </w:tcPr>
          <w:p>
            <w:pPr>
              <w:bidi w:val="0"/>
              <w:jc w:val="center"/>
            </w:pPr>
          </w:p>
        </w:tc>
        <w:tc>
          <w:tcPr>
            <w:tcW w:w="1714" w:type="dxa"/>
            <w:tcBorders>
              <w:top w:val="single" w:color="auto" w:sz="12" w:space="0"/>
              <w:left w:val="single" w:color="auto" w:sz="12" w:space="0"/>
              <w:bottom w:val="single" w:color="auto" w:sz="12" w:space="0"/>
              <w:right w:val="single" w:color="auto" w:sz="12" w:space="0"/>
            </w:tcBorders>
          </w:tcPr>
          <w:p>
            <w:pPr>
              <w:bidi w:val="0"/>
              <w:jc w:val="center"/>
            </w:pPr>
          </w:p>
        </w:tc>
        <w:tc>
          <w:tcPr>
            <w:tcW w:w="2566" w:type="dxa"/>
            <w:tcBorders>
              <w:top w:val="single" w:color="auto" w:sz="12" w:space="0"/>
              <w:left w:val="single" w:color="auto" w:sz="12" w:space="0"/>
              <w:bottom w:val="single" w:color="auto" w:sz="12" w:space="0"/>
              <w:right w:val="single" w:color="auto" w:sz="12" w:space="0"/>
            </w:tcBorders>
          </w:tcPr>
          <w:p>
            <w:pPr>
              <w:bidi w:val="0"/>
              <w:jc w:val="center"/>
            </w:pPr>
          </w:p>
        </w:tc>
        <w:tc>
          <w:tcPr>
            <w:tcW w:w="1290" w:type="dxa"/>
            <w:tcBorders>
              <w:top w:val="single" w:color="auto" w:sz="12" w:space="0"/>
              <w:left w:val="single" w:color="auto" w:sz="12" w:space="0"/>
              <w:bottom w:val="single" w:color="auto" w:sz="12" w:space="0"/>
              <w:right w:val="single" w:color="auto" w:sz="12" w:space="0"/>
            </w:tcBorders>
          </w:tcPr>
          <w:p>
            <w:pPr>
              <w:bidi w:val="0"/>
              <w:jc w:val="center"/>
            </w:pPr>
          </w:p>
        </w:tc>
        <w:tc>
          <w:tcPr>
            <w:tcW w:w="880" w:type="dxa"/>
            <w:tcBorders>
              <w:top w:val="single" w:color="auto" w:sz="12" w:space="0"/>
              <w:left w:val="single" w:color="auto" w:sz="12" w:space="0"/>
              <w:bottom w:val="single" w:color="auto" w:sz="12" w:space="0"/>
            </w:tcBorders>
          </w:tcPr>
          <w:p>
            <w:pPr>
              <w:bidi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tcPr>
          <w:p>
            <w:pPr>
              <w:bidi w:val="0"/>
              <w:jc w:val="center"/>
            </w:pPr>
          </w:p>
        </w:tc>
        <w:tc>
          <w:tcPr>
            <w:tcW w:w="1353" w:type="dxa"/>
            <w:tcBorders>
              <w:top w:val="single" w:color="auto" w:sz="12" w:space="0"/>
              <w:left w:val="single" w:color="auto" w:sz="12" w:space="0"/>
              <w:bottom w:val="single" w:color="auto" w:sz="12" w:space="0"/>
              <w:right w:val="single" w:color="auto" w:sz="12" w:space="0"/>
            </w:tcBorders>
          </w:tcPr>
          <w:p>
            <w:pPr>
              <w:bidi w:val="0"/>
              <w:jc w:val="center"/>
            </w:pPr>
          </w:p>
        </w:tc>
        <w:tc>
          <w:tcPr>
            <w:tcW w:w="1714" w:type="dxa"/>
            <w:tcBorders>
              <w:top w:val="single" w:color="auto" w:sz="12" w:space="0"/>
              <w:left w:val="single" w:color="auto" w:sz="12" w:space="0"/>
              <w:bottom w:val="single" w:color="auto" w:sz="12" w:space="0"/>
              <w:right w:val="single" w:color="auto" w:sz="12" w:space="0"/>
            </w:tcBorders>
          </w:tcPr>
          <w:p>
            <w:pPr>
              <w:bidi w:val="0"/>
              <w:jc w:val="center"/>
            </w:pPr>
          </w:p>
        </w:tc>
        <w:tc>
          <w:tcPr>
            <w:tcW w:w="2566" w:type="dxa"/>
            <w:tcBorders>
              <w:top w:val="single" w:color="auto" w:sz="12" w:space="0"/>
              <w:left w:val="single" w:color="auto" w:sz="12" w:space="0"/>
              <w:bottom w:val="single" w:color="auto" w:sz="12" w:space="0"/>
              <w:right w:val="single" w:color="auto" w:sz="12" w:space="0"/>
            </w:tcBorders>
          </w:tcPr>
          <w:p>
            <w:pPr>
              <w:bidi w:val="0"/>
              <w:jc w:val="center"/>
            </w:pPr>
          </w:p>
        </w:tc>
        <w:tc>
          <w:tcPr>
            <w:tcW w:w="1290" w:type="dxa"/>
            <w:tcBorders>
              <w:top w:val="single" w:color="auto" w:sz="12" w:space="0"/>
              <w:left w:val="single" w:color="auto" w:sz="12" w:space="0"/>
              <w:bottom w:val="single" w:color="auto" w:sz="12" w:space="0"/>
              <w:right w:val="single" w:color="auto" w:sz="12" w:space="0"/>
            </w:tcBorders>
          </w:tcPr>
          <w:p>
            <w:pPr>
              <w:bidi w:val="0"/>
              <w:jc w:val="center"/>
            </w:pPr>
          </w:p>
        </w:tc>
        <w:tc>
          <w:tcPr>
            <w:tcW w:w="880" w:type="dxa"/>
            <w:tcBorders>
              <w:top w:val="single" w:color="auto" w:sz="12" w:space="0"/>
              <w:left w:val="single" w:color="auto" w:sz="12" w:space="0"/>
              <w:bottom w:val="single" w:color="auto" w:sz="12" w:space="0"/>
            </w:tcBorders>
          </w:tcPr>
          <w:p>
            <w:pPr>
              <w:bidi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tcPr>
          <w:p>
            <w:pPr>
              <w:bidi w:val="0"/>
              <w:jc w:val="center"/>
            </w:pPr>
          </w:p>
        </w:tc>
        <w:tc>
          <w:tcPr>
            <w:tcW w:w="1353" w:type="dxa"/>
            <w:tcBorders>
              <w:top w:val="single" w:color="auto" w:sz="12" w:space="0"/>
              <w:left w:val="single" w:color="auto" w:sz="12" w:space="0"/>
              <w:bottom w:val="single" w:color="auto" w:sz="12" w:space="0"/>
              <w:right w:val="single" w:color="auto" w:sz="12" w:space="0"/>
            </w:tcBorders>
          </w:tcPr>
          <w:p>
            <w:pPr>
              <w:bidi w:val="0"/>
              <w:jc w:val="center"/>
            </w:pPr>
          </w:p>
        </w:tc>
        <w:tc>
          <w:tcPr>
            <w:tcW w:w="1714" w:type="dxa"/>
            <w:tcBorders>
              <w:top w:val="single" w:color="auto" w:sz="12" w:space="0"/>
              <w:left w:val="single" w:color="auto" w:sz="12" w:space="0"/>
              <w:bottom w:val="single" w:color="auto" w:sz="12" w:space="0"/>
              <w:right w:val="single" w:color="auto" w:sz="12" w:space="0"/>
            </w:tcBorders>
          </w:tcPr>
          <w:p>
            <w:pPr>
              <w:bidi w:val="0"/>
              <w:jc w:val="center"/>
            </w:pPr>
          </w:p>
        </w:tc>
        <w:tc>
          <w:tcPr>
            <w:tcW w:w="2566" w:type="dxa"/>
            <w:tcBorders>
              <w:top w:val="single" w:color="auto" w:sz="12" w:space="0"/>
              <w:left w:val="single" w:color="auto" w:sz="12" w:space="0"/>
              <w:bottom w:val="single" w:color="auto" w:sz="12" w:space="0"/>
              <w:right w:val="single" w:color="auto" w:sz="12" w:space="0"/>
            </w:tcBorders>
          </w:tcPr>
          <w:p>
            <w:pPr>
              <w:bidi w:val="0"/>
              <w:jc w:val="center"/>
            </w:pPr>
          </w:p>
        </w:tc>
        <w:tc>
          <w:tcPr>
            <w:tcW w:w="1290" w:type="dxa"/>
            <w:tcBorders>
              <w:top w:val="single" w:color="auto" w:sz="12" w:space="0"/>
              <w:left w:val="single" w:color="auto" w:sz="12" w:space="0"/>
              <w:bottom w:val="single" w:color="auto" w:sz="12" w:space="0"/>
              <w:right w:val="single" w:color="auto" w:sz="12" w:space="0"/>
            </w:tcBorders>
          </w:tcPr>
          <w:p>
            <w:pPr>
              <w:bidi w:val="0"/>
              <w:jc w:val="center"/>
            </w:pPr>
          </w:p>
        </w:tc>
        <w:tc>
          <w:tcPr>
            <w:tcW w:w="880" w:type="dxa"/>
            <w:tcBorders>
              <w:top w:val="single" w:color="auto" w:sz="12" w:space="0"/>
              <w:left w:val="single" w:color="auto" w:sz="12" w:space="0"/>
              <w:bottom w:val="single" w:color="auto" w:sz="12" w:space="0"/>
            </w:tcBorders>
          </w:tcPr>
          <w:p>
            <w:pPr>
              <w:bidi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tcPr>
          <w:p>
            <w:pPr>
              <w:bidi w:val="0"/>
              <w:jc w:val="center"/>
            </w:pPr>
            <w:bookmarkStart w:id="700" w:name="_Toc24302"/>
            <w:bookmarkStart w:id="701" w:name="_Toc14169"/>
            <w:r>
              <w:rPr>
                <w:rFonts w:hint="eastAsia"/>
              </w:rPr>
              <w:t>...</w:t>
            </w:r>
            <w:bookmarkEnd w:id="700"/>
            <w:bookmarkEnd w:id="701"/>
          </w:p>
        </w:tc>
        <w:tc>
          <w:tcPr>
            <w:tcW w:w="1353" w:type="dxa"/>
            <w:tcBorders>
              <w:top w:val="single" w:color="auto" w:sz="12" w:space="0"/>
              <w:left w:val="single" w:color="auto" w:sz="12" w:space="0"/>
              <w:bottom w:val="single" w:color="auto" w:sz="12" w:space="0"/>
              <w:right w:val="single" w:color="auto" w:sz="12" w:space="0"/>
            </w:tcBorders>
          </w:tcPr>
          <w:p>
            <w:pPr>
              <w:bidi w:val="0"/>
              <w:jc w:val="center"/>
            </w:pPr>
          </w:p>
        </w:tc>
        <w:tc>
          <w:tcPr>
            <w:tcW w:w="1714" w:type="dxa"/>
            <w:tcBorders>
              <w:top w:val="single" w:color="auto" w:sz="12" w:space="0"/>
              <w:left w:val="single" w:color="auto" w:sz="12" w:space="0"/>
              <w:bottom w:val="single" w:color="auto" w:sz="12" w:space="0"/>
              <w:right w:val="single" w:color="auto" w:sz="12" w:space="0"/>
            </w:tcBorders>
          </w:tcPr>
          <w:p>
            <w:pPr>
              <w:bidi w:val="0"/>
              <w:jc w:val="center"/>
            </w:pPr>
          </w:p>
        </w:tc>
        <w:tc>
          <w:tcPr>
            <w:tcW w:w="2566" w:type="dxa"/>
            <w:tcBorders>
              <w:top w:val="single" w:color="auto" w:sz="12" w:space="0"/>
              <w:left w:val="single" w:color="auto" w:sz="12" w:space="0"/>
              <w:bottom w:val="single" w:color="auto" w:sz="12" w:space="0"/>
              <w:right w:val="single" w:color="auto" w:sz="12" w:space="0"/>
            </w:tcBorders>
          </w:tcPr>
          <w:p>
            <w:pPr>
              <w:bidi w:val="0"/>
              <w:jc w:val="center"/>
            </w:pPr>
          </w:p>
        </w:tc>
        <w:tc>
          <w:tcPr>
            <w:tcW w:w="1290" w:type="dxa"/>
            <w:tcBorders>
              <w:top w:val="single" w:color="auto" w:sz="12" w:space="0"/>
              <w:left w:val="single" w:color="auto" w:sz="12" w:space="0"/>
              <w:bottom w:val="single" w:color="auto" w:sz="12" w:space="0"/>
              <w:right w:val="single" w:color="auto" w:sz="12" w:space="0"/>
            </w:tcBorders>
          </w:tcPr>
          <w:p>
            <w:pPr>
              <w:bidi w:val="0"/>
              <w:jc w:val="center"/>
            </w:pPr>
          </w:p>
        </w:tc>
        <w:tc>
          <w:tcPr>
            <w:tcW w:w="880" w:type="dxa"/>
            <w:tcBorders>
              <w:top w:val="single" w:color="auto" w:sz="12" w:space="0"/>
              <w:left w:val="single" w:color="auto" w:sz="12" w:space="0"/>
              <w:bottom w:val="single" w:color="auto" w:sz="12" w:space="0"/>
            </w:tcBorders>
          </w:tcPr>
          <w:p>
            <w:pPr>
              <w:bidi w:val="0"/>
              <w:jc w:val="center"/>
            </w:pP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Ansi="宋体" w:cs="宋体"/>
          <w:color w:val="auto"/>
          <w:highlight w:val="none"/>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Ansi="宋体" w:cs="宋体"/>
          <w:color w:val="auto"/>
          <w:szCs w:val="24"/>
          <w:highlight w:val="none"/>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bookmarkStart w:id="702" w:name="_Toc600"/>
      <w:r>
        <w:rPr>
          <w:rFonts w:hint="eastAsia" w:ascii="宋体" w:hAnsi="宋体" w:eastAsia="宋体" w:cs="宋体"/>
          <w:color w:val="auto"/>
          <w:sz w:val="28"/>
          <w:szCs w:val="28"/>
          <w:highlight w:val="none"/>
          <w:lang w:eastAsia="zh-CN"/>
        </w:rPr>
        <w:t>法定代表人/被授权人签字或盖章：</w:t>
      </w:r>
      <w:bookmarkEnd w:id="702"/>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bookmarkStart w:id="703" w:name="_Toc9594"/>
      <w:r>
        <w:rPr>
          <w:rFonts w:hint="eastAsia" w:ascii="宋体" w:hAnsi="宋体" w:eastAsia="宋体" w:cs="宋体"/>
          <w:color w:val="auto"/>
          <w:sz w:val="28"/>
          <w:szCs w:val="28"/>
          <w:highlight w:val="none"/>
          <w:lang w:eastAsia="zh-CN"/>
        </w:rPr>
        <w:t>公      章：</w:t>
      </w:r>
      <w:bookmarkEnd w:id="703"/>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Ansi="宋体" w:cs="宋体"/>
          <w:color w:val="auto"/>
          <w:szCs w:val="24"/>
          <w:highlight w:val="none"/>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Ansi="宋体" w:cs="宋体"/>
          <w:color w:val="auto"/>
          <w:szCs w:val="24"/>
          <w:highlight w:val="none"/>
        </w:rPr>
      </w:pPr>
      <w:bookmarkStart w:id="704" w:name="_Toc21157"/>
      <w:r>
        <w:rPr>
          <w:rFonts w:hint="eastAsia" w:hAnsi="宋体" w:cs="宋体"/>
          <w:color w:val="auto"/>
          <w:szCs w:val="24"/>
          <w:highlight w:val="none"/>
        </w:rPr>
        <w:t>注:  1.  ☆1指招标文件中的技术规格(参数),</w:t>
      </w:r>
      <w:r>
        <w:rPr>
          <w:rFonts w:hint="eastAsia" w:hAnsi="宋体" w:cs="宋体"/>
          <w:color w:val="auto"/>
          <w:szCs w:val="24"/>
          <w:highlight w:val="none"/>
          <w:lang w:eastAsia="zh-CN"/>
        </w:rPr>
        <w:t>投标人</w:t>
      </w:r>
      <w:r>
        <w:rPr>
          <w:rFonts w:hint="eastAsia" w:hAnsi="宋体" w:cs="宋体"/>
          <w:color w:val="auto"/>
          <w:szCs w:val="24"/>
          <w:highlight w:val="none"/>
        </w:rPr>
        <w:t>应按照招标文件中的内容逐项响应。</w:t>
      </w:r>
      <w:bookmarkEnd w:id="704"/>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8"/>
          <w:szCs w:val="28"/>
          <w:highlight w:val="none"/>
          <w:lang w:eastAsia="zh-CN"/>
        </w:rPr>
      </w:pPr>
      <w:r>
        <w:rPr>
          <w:rFonts w:hint="eastAsia" w:hAnsi="宋体" w:cs="宋体"/>
          <w:color w:val="auto"/>
          <w:szCs w:val="24"/>
          <w:highlight w:val="none"/>
        </w:rPr>
        <w:t xml:space="preserve">     </w:t>
      </w:r>
      <w:bookmarkStart w:id="705" w:name="_Toc2914"/>
      <w:r>
        <w:rPr>
          <w:rFonts w:hint="eastAsia" w:hAnsi="宋体" w:cs="宋体"/>
          <w:color w:val="auto"/>
          <w:szCs w:val="24"/>
          <w:highlight w:val="none"/>
        </w:rPr>
        <w:t>2.  ☆2 指</w:t>
      </w:r>
      <w:r>
        <w:rPr>
          <w:rFonts w:hint="eastAsia" w:hAnsi="宋体" w:cs="宋体"/>
          <w:color w:val="auto"/>
          <w:szCs w:val="24"/>
          <w:highlight w:val="none"/>
          <w:lang w:eastAsia="zh-CN"/>
        </w:rPr>
        <w:t>投标人</w:t>
      </w:r>
      <w:r>
        <w:rPr>
          <w:rFonts w:hint="eastAsia" w:hAnsi="宋体" w:cs="宋体"/>
          <w:color w:val="auto"/>
          <w:szCs w:val="24"/>
          <w:highlight w:val="none"/>
        </w:rPr>
        <w:t>拟提供的投标产品的功能及技术规格(参数),</w:t>
      </w:r>
      <w:r>
        <w:rPr>
          <w:rFonts w:hint="eastAsia" w:hAnsi="宋体" w:cs="宋体"/>
          <w:color w:val="auto"/>
          <w:szCs w:val="24"/>
          <w:highlight w:val="none"/>
          <w:lang w:eastAsia="zh-CN"/>
        </w:rPr>
        <w:t>投标人</w:t>
      </w:r>
      <w:r>
        <w:rPr>
          <w:rFonts w:hint="eastAsia" w:hAnsi="宋体" w:cs="宋体"/>
          <w:color w:val="auto"/>
          <w:szCs w:val="24"/>
          <w:highlight w:val="none"/>
        </w:rPr>
        <w:t>应逐条如实填写并提供相应的支持文件。</w:t>
      </w:r>
      <w:bookmarkEnd w:id="705"/>
      <w:r>
        <w:rPr>
          <w:rFonts w:hint="eastAsia" w:hAnsi="宋体" w:cs="宋体"/>
          <w:color w:val="auto"/>
          <w:szCs w:val="24"/>
          <w:highlight w:val="none"/>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Ansi="宋体" w:cs="宋体"/>
          <w:color w:val="auto"/>
          <w:szCs w:val="24"/>
          <w:highlight w:val="none"/>
        </w:rPr>
      </w:pPr>
      <w:r>
        <w:rPr>
          <w:rFonts w:hint="eastAsia" w:ascii="宋体" w:hAnsi="宋体" w:eastAsia="宋体" w:cs="宋体"/>
          <w:color w:val="auto"/>
          <w:sz w:val="28"/>
          <w:szCs w:val="28"/>
          <w:highlight w:val="none"/>
          <w:lang w:eastAsia="zh-CN"/>
        </w:rPr>
        <w:t xml:space="preserve">     </w:t>
      </w:r>
      <w:bookmarkStart w:id="706" w:name="_Toc21662"/>
      <w:r>
        <w:rPr>
          <w:rFonts w:hint="eastAsia" w:hAnsi="宋体" w:cs="宋体"/>
          <w:color w:val="auto"/>
          <w:szCs w:val="24"/>
          <w:highlight w:val="none"/>
        </w:rPr>
        <w:t>3.  偏离说明填写：优于、满足或低于。</w:t>
      </w:r>
      <w:bookmarkEnd w:id="706"/>
    </w:p>
    <w:p>
      <w:pPr>
        <w:pStyle w:val="4"/>
        <w:spacing w:beforeLines="100" w:line="360" w:lineRule="auto"/>
        <w:outlineLvl w:val="1"/>
        <w:rPr>
          <w:rFonts w:ascii="宋体" w:hAnsi="宋体" w:cs="宋体"/>
          <w:color w:val="auto"/>
          <w:sz w:val="32"/>
          <w:szCs w:val="32"/>
          <w:highlight w:val="none"/>
        </w:rPr>
      </w:pPr>
      <w:r>
        <w:rPr>
          <w:rFonts w:hint="eastAsia" w:hAnsi="宋体" w:cs="宋体"/>
          <w:color w:val="auto"/>
          <w:highlight w:val="none"/>
        </w:rPr>
        <w:br w:type="page"/>
      </w:r>
      <w:bookmarkStart w:id="707" w:name="_Toc363474032"/>
      <w:bookmarkStart w:id="708" w:name="_Toc23455"/>
      <w:bookmarkStart w:id="709" w:name="_Toc9218"/>
      <w:bookmarkStart w:id="710" w:name="_Toc2621"/>
      <w:bookmarkStart w:id="711" w:name="_Toc21284"/>
      <w:bookmarkStart w:id="712" w:name="_Toc1379"/>
      <w:bookmarkStart w:id="713" w:name="_Toc426457713"/>
      <w:bookmarkStart w:id="714" w:name="_Toc403077655"/>
      <w:bookmarkStart w:id="715" w:name="_Toc3770"/>
      <w:bookmarkStart w:id="716" w:name="_Toc16899"/>
      <w:bookmarkStart w:id="717" w:name="_Toc15991"/>
      <w:bookmarkStart w:id="718" w:name="_Toc2186"/>
      <w:bookmarkStart w:id="719" w:name="_Toc28559"/>
      <w:r>
        <w:rPr>
          <w:rFonts w:hint="eastAsia" w:ascii="宋体" w:hAnsi="宋体" w:cs="宋体"/>
          <w:color w:val="auto"/>
          <w:sz w:val="32"/>
          <w:szCs w:val="32"/>
          <w:highlight w:val="none"/>
        </w:rPr>
        <w:t>四、</w:t>
      </w:r>
      <w:bookmarkEnd w:id="707"/>
      <w:bookmarkEnd w:id="708"/>
      <w:bookmarkEnd w:id="709"/>
      <w:bookmarkEnd w:id="710"/>
      <w:bookmarkEnd w:id="711"/>
      <w:bookmarkEnd w:id="712"/>
      <w:bookmarkEnd w:id="713"/>
      <w:bookmarkEnd w:id="714"/>
      <w:r>
        <w:rPr>
          <w:rFonts w:hint="eastAsia" w:ascii="宋体" w:hAnsi="宋体" w:cs="宋体"/>
          <w:color w:val="auto"/>
          <w:sz w:val="32"/>
          <w:szCs w:val="32"/>
          <w:highlight w:val="none"/>
        </w:rPr>
        <w:t>商务条款偏离表</w:t>
      </w:r>
      <w:bookmarkEnd w:id="715"/>
      <w:bookmarkEnd w:id="716"/>
      <w:bookmarkEnd w:id="717"/>
      <w:bookmarkEnd w:id="718"/>
      <w:bookmarkEnd w:id="719"/>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cs="宋体"/>
          <w:color w:val="auto"/>
          <w:highlight w:val="none"/>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bookmarkStart w:id="720" w:name="_Toc29751"/>
      <w:r>
        <w:rPr>
          <w:rFonts w:hint="eastAsia" w:ascii="宋体" w:hAnsi="宋体" w:eastAsia="宋体" w:cs="宋体"/>
          <w:color w:val="auto"/>
          <w:sz w:val="28"/>
          <w:szCs w:val="28"/>
          <w:highlight w:val="none"/>
          <w:lang w:eastAsia="zh-CN"/>
        </w:rPr>
        <w:t>项目编号：</w:t>
      </w:r>
      <w:bookmarkEnd w:id="72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bookmarkStart w:id="721" w:name="_Toc11617"/>
      <w:r>
        <w:rPr>
          <w:rFonts w:hint="eastAsia" w:ascii="宋体" w:hAnsi="宋体" w:eastAsia="宋体" w:cs="宋体"/>
          <w:color w:val="auto"/>
          <w:sz w:val="28"/>
          <w:szCs w:val="28"/>
          <w:highlight w:val="none"/>
          <w:lang w:eastAsia="zh-CN"/>
        </w:rPr>
        <w:t>项目名称：</w:t>
      </w:r>
      <w:bookmarkEnd w:id="72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bidi w:val="0"/>
              <w:jc w:val="center"/>
            </w:pPr>
            <w:bookmarkStart w:id="722" w:name="_Toc8103"/>
            <w:bookmarkStart w:id="723" w:name="_Toc5566"/>
            <w:r>
              <w:rPr>
                <w:rFonts w:hint="eastAsia"/>
              </w:rPr>
              <w:t>序号</w:t>
            </w:r>
            <w:bookmarkEnd w:id="722"/>
            <w:bookmarkEnd w:id="723"/>
          </w:p>
        </w:tc>
        <w:tc>
          <w:tcPr>
            <w:tcW w:w="1935" w:type="dxa"/>
            <w:tcBorders>
              <w:top w:val="single" w:color="auto" w:sz="4" w:space="0"/>
              <w:left w:val="single" w:color="auto" w:sz="4" w:space="0"/>
              <w:bottom w:val="single" w:color="auto" w:sz="4" w:space="0"/>
              <w:right w:val="single" w:color="auto" w:sz="4" w:space="0"/>
            </w:tcBorders>
            <w:vAlign w:val="center"/>
          </w:tcPr>
          <w:p>
            <w:pPr>
              <w:bidi w:val="0"/>
              <w:jc w:val="center"/>
            </w:pPr>
            <w:bookmarkStart w:id="724" w:name="_Toc3186"/>
            <w:bookmarkStart w:id="725" w:name="_Toc22408"/>
            <w:r>
              <w:rPr>
                <w:rFonts w:hint="eastAsia"/>
              </w:rPr>
              <w:t>招标文件条目号</w:t>
            </w:r>
            <w:bookmarkEnd w:id="724"/>
            <w:bookmarkEnd w:id="725"/>
          </w:p>
        </w:tc>
        <w:tc>
          <w:tcPr>
            <w:tcW w:w="1995" w:type="dxa"/>
            <w:tcBorders>
              <w:top w:val="single" w:color="auto" w:sz="4" w:space="0"/>
              <w:left w:val="single" w:color="auto" w:sz="4" w:space="0"/>
              <w:bottom w:val="single" w:color="auto" w:sz="4" w:space="0"/>
              <w:right w:val="single" w:color="auto" w:sz="4" w:space="0"/>
            </w:tcBorders>
            <w:vAlign w:val="center"/>
          </w:tcPr>
          <w:p>
            <w:pPr>
              <w:bidi w:val="0"/>
              <w:jc w:val="center"/>
            </w:pPr>
            <w:bookmarkStart w:id="726" w:name="_Toc15932"/>
            <w:bookmarkStart w:id="727" w:name="_Toc30999"/>
            <w:r>
              <w:rPr>
                <w:rFonts w:hint="eastAsia"/>
              </w:rPr>
              <w:t>招标文件的商务条款</w:t>
            </w:r>
            <w:bookmarkEnd w:id="726"/>
            <w:bookmarkEnd w:id="727"/>
          </w:p>
        </w:tc>
        <w:tc>
          <w:tcPr>
            <w:tcW w:w="2085" w:type="dxa"/>
            <w:tcBorders>
              <w:top w:val="single" w:color="auto" w:sz="4" w:space="0"/>
              <w:left w:val="single" w:color="auto" w:sz="4" w:space="0"/>
              <w:bottom w:val="single" w:color="auto" w:sz="4" w:space="0"/>
              <w:right w:val="single" w:color="auto" w:sz="4" w:space="0"/>
            </w:tcBorders>
            <w:vAlign w:val="center"/>
          </w:tcPr>
          <w:p>
            <w:pPr>
              <w:bidi w:val="0"/>
              <w:jc w:val="center"/>
            </w:pPr>
            <w:bookmarkStart w:id="728" w:name="_Toc32201"/>
            <w:bookmarkStart w:id="729" w:name="_Toc28635"/>
            <w:r>
              <w:rPr>
                <w:rFonts w:hint="eastAsia"/>
              </w:rPr>
              <w:t>投标文件的商务条款</w:t>
            </w:r>
            <w:bookmarkEnd w:id="728"/>
            <w:bookmarkEnd w:id="729"/>
          </w:p>
        </w:tc>
        <w:tc>
          <w:tcPr>
            <w:tcW w:w="1260" w:type="dxa"/>
            <w:tcBorders>
              <w:top w:val="single" w:color="auto" w:sz="4" w:space="0"/>
              <w:left w:val="single" w:color="auto" w:sz="4" w:space="0"/>
              <w:bottom w:val="single" w:color="auto" w:sz="4" w:space="0"/>
              <w:right w:val="single" w:color="auto" w:sz="4" w:space="0"/>
            </w:tcBorders>
            <w:vAlign w:val="center"/>
          </w:tcPr>
          <w:p>
            <w:pPr>
              <w:bidi w:val="0"/>
              <w:jc w:val="center"/>
            </w:pPr>
            <w:bookmarkStart w:id="730" w:name="_Toc11260"/>
            <w:bookmarkStart w:id="731" w:name="_Toc9410"/>
            <w:r>
              <w:rPr>
                <w:rFonts w:hint="eastAsia"/>
              </w:rPr>
              <w:t>偏离</w:t>
            </w:r>
            <w:bookmarkEnd w:id="730"/>
            <w:bookmarkEnd w:id="731"/>
          </w:p>
        </w:tc>
        <w:tc>
          <w:tcPr>
            <w:tcW w:w="944" w:type="dxa"/>
            <w:tcBorders>
              <w:top w:val="single" w:color="auto" w:sz="4" w:space="0"/>
              <w:left w:val="single" w:color="auto" w:sz="4" w:space="0"/>
              <w:bottom w:val="single" w:color="auto" w:sz="4" w:space="0"/>
              <w:right w:val="single" w:color="auto" w:sz="4" w:space="0"/>
            </w:tcBorders>
            <w:vAlign w:val="center"/>
          </w:tcPr>
          <w:p>
            <w:pPr>
              <w:bidi w:val="0"/>
              <w:jc w:val="center"/>
            </w:pPr>
            <w:bookmarkStart w:id="732" w:name="_Toc4572"/>
            <w:bookmarkStart w:id="733" w:name="_Toc15883"/>
            <w:r>
              <w:rPr>
                <w:rFonts w:hint="eastAsia"/>
              </w:rPr>
              <w:t>说明</w:t>
            </w:r>
            <w:bookmarkEnd w:id="732"/>
            <w:bookmarkEnd w:id="7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3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9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208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260"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944" w:type="dxa"/>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3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9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208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260"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944" w:type="dxa"/>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3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9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208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260"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944" w:type="dxa"/>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3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9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208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260"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944" w:type="dxa"/>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3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9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208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260"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944" w:type="dxa"/>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3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9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208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260"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944" w:type="dxa"/>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3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99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2085"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1260" w:type="dxa"/>
            <w:tcBorders>
              <w:top w:val="single" w:color="auto" w:sz="4" w:space="0"/>
              <w:left w:val="single" w:color="auto" w:sz="4" w:space="0"/>
              <w:bottom w:val="single" w:color="auto" w:sz="4" w:space="0"/>
              <w:right w:val="single" w:color="auto" w:sz="4" w:space="0"/>
            </w:tcBorders>
            <w:vAlign w:val="center"/>
          </w:tcPr>
          <w:p>
            <w:pPr>
              <w:bidi w:val="0"/>
              <w:jc w:val="center"/>
            </w:pPr>
          </w:p>
        </w:tc>
        <w:tc>
          <w:tcPr>
            <w:tcW w:w="944" w:type="dxa"/>
            <w:tcBorders>
              <w:top w:val="single" w:color="auto" w:sz="4" w:space="0"/>
              <w:left w:val="single" w:color="auto" w:sz="4" w:space="0"/>
              <w:bottom w:val="single" w:color="auto" w:sz="4" w:space="0"/>
              <w:right w:val="single" w:color="auto" w:sz="4" w:space="0"/>
            </w:tcBorders>
            <w:vAlign w:val="center"/>
          </w:tcPr>
          <w:p>
            <w:pPr>
              <w:bidi w:val="0"/>
              <w:jc w:val="cente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bookmarkStart w:id="734" w:name="_Toc18490"/>
      <w:r>
        <w:rPr>
          <w:rFonts w:hint="eastAsia" w:ascii="宋体" w:hAnsi="宋体" w:eastAsia="宋体" w:cs="宋体"/>
          <w:color w:val="auto"/>
          <w:sz w:val="28"/>
          <w:szCs w:val="28"/>
          <w:highlight w:val="none"/>
          <w:lang w:eastAsia="zh-CN"/>
        </w:rPr>
        <w:t>说明：</w:t>
      </w:r>
      <w:bookmarkEnd w:id="734"/>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bookmarkStart w:id="735" w:name="_Toc28039"/>
      <w:r>
        <w:rPr>
          <w:rFonts w:hint="eastAsia" w:ascii="宋体" w:hAnsi="宋体" w:eastAsia="宋体" w:cs="宋体"/>
          <w:color w:val="auto"/>
          <w:sz w:val="28"/>
          <w:szCs w:val="28"/>
          <w:highlight w:val="none"/>
          <w:lang w:eastAsia="zh-CN"/>
        </w:rPr>
        <w:t>1.本表只填写投标文件中与招标文件有偏离（包括正偏离和负偏离）的内容，投标文件中商务响应与招标文件要求完全一致的，不用在此表中列出，但必须提交空白表。</w:t>
      </w:r>
      <w:bookmarkEnd w:id="735"/>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bookmarkStart w:id="736" w:name="_Toc25409"/>
      <w:r>
        <w:rPr>
          <w:rFonts w:hint="eastAsia" w:ascii="宋体" w:hAnsi="宋体" w:eastAsia="宋体" w:cs="宋体"/>
          <w:color w:val="auto"/>
          <w:sz w:val="28"/>
          <w:szCs w:val="28"/>
          <w:highlight w:val="none"/>
          <w:lang w:eastAsia="zh-CN"/>
        </w:rPr>
        <w:t>2.投标人必须据实填写，不得虚假响应，否则将取消其投标或中标资格，并按有关规定进处罚。</w:t>
      </w:r>
      <w:bookmarkEnd w:id="736"/>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bookmarkStart w:id="737" w:name="_Toc32162"/>
      <w:r>
        <w:rPr>
          <w:rFonts w:hint="eastAsia" w:ascii="宋体" w:hAnsi="宋体" w:eastAsia="宋体" w:cs="宋体"/>
          <w:color w:val="auto"/>
          <w:sz w:val="28"/>
          <w:szCs w:val="28"/>
          <w:highlight w:val="none"/>
          <w:lang w:eastAsia="zh-CN"/>
        </w:rPr>
        <w:t>投标人名称：                     （单位公章）</w:t>
      </w:r>
      <w:bookmarkEnd w:id="737"/>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cs="宋体"/>
          <w:color w:val="auto"/>
          <w:highlight w:val="none"/>
        </w:rPr>
      </w:pPr>
      <w:bookmarkStart w:id="738" w:name="_Toc17354"/>
      <w:r>
        <w:rPr>
          <w:rFonts w:hint="eastAsia" w:ascii="宋体" w:hAnsi="宋体" w:eastAsia="宋体" w:cs="宋体"/>
          <w:color w:val="auto"/>
          <w:sz w:val="28"/>
          <w:szCs w:val="28"/>
          <w:highlight w:val="none"/>
          <w:lang w:eastAsia="zh-CN"/>
        </w:rPr>
        <w:t>法定代表人或被授权人：           （签字或盖章）</w:t>
      </w:r>
      <w:bookmarkEnd w:id="738"/>
      <w:r>
        <w:rPr>
          <w:rFonts w:hint="eastAsia" w:ascii="宋体" w:hAnsi="宋体" w:eastAsia="宋体" w:cs="宋体"/>
          <w:color w:val="auto"/>
          <w:sz w:val="28"/>
          <w:szCs w:val="28"/>
          <w:highlight w:val="none"/>
          <w:lang w:eastAsia="zh-CN"/>
        </w:rPr>
        <w:t xml:space="preserve">     </w:t>
      </w:r>
      <w:r>
        <w:rPr>
          <w:rFonts w:hint="eastAsia" w:cs="宋体"/>
          <w:color w:val="auto"/>
          <w:highlight w:val="none"/>
        </w:rPr>
        <w:t xml:space="preserve"> </w:t>
      </w:r>
    </w:p>
    <w:p>
      <w:pPr>
        <w:bidi w:val="0"/>
        <w:jc w:val="center"/>
        <w:rPr>
          <w:color w:val="auto"/>
          <w:highlight w:val="none"/>
        </w:rPr>
      </w:pPr>
      <w:r>
        <w:rPr>
          <w:rFonts w:hint="eastAsia"/>
          <w:color w:val="auto"/>
          <w:highlight w:val="none"/>
        </w:rPr>
        <w:br w:type="page"/>
      </w:r>
      <w:bookmarkStart w:id="739" w:name="_Toc6862"/>
      <w:bookmarkStart w:id="740" w:name="_Toc10058"/>
      <w:bookmarkStart w:id="741" w:name="_Toc8692"/>
      <w:bookmarkStart w:id="742" w:name="_Toc6432"/>
      <w:bookmarkStart w:id="743" w:name="_Toc403077656"/>
      <w:bookmarkStart w:id="744" w:name="_Toc426457714"/>
      <w:bookmarkStart w:id="745" w:name="_Toc363474033"/>
      <w:bookmarkStart w:id="746" w:name="_Toc10179"/>
    </w:p>
    <w:p>
      <w:pPr>
        <w:pStyle w:val="4"/>
        <w:spacing w:beforeLines="100" w:line="360" w:lineRule="auto"/>
        <w:outlineLvl w:val="1"/>
        <w:rPr>
          <w:rFonts w:hAnsi="宋体" w:cs="宋体"/>
          <w:b/>
          <w:bCs/>
          <w:color w:val="auto"/>
          <w:sz w:val="30"/>
          <w:szCs w:val="30"/>
          <w:highlight w:val="none"/>
        </w:rPr>
      </w:pPr>
      <w:bookmarkStart w:id="747" w:name="_Toc8107"/>
      <w:bookmarkStart w:id="748" w:name="_Toc15165"/>
      <w:bookmarkStart w:id="749" w:name="_Toc16891"/>
      <w:bookmarkStart w:id="750" w:name="_Toc2251"/>
      <w:bookmarkStart w:id="751" w:name="_Toc17518"/>
      <w:r>
        <w:rPr>
          <w:rFonts w:hint="eastAsia" w:hAnsi="宋体" w:cs="宋体"/>
          <w:b/>
          <w:bCs/>
          <w:color w:val="auto"/>
          <w:sz w:val="30"/>
          <w:szCs w:val="30"/>
          <w:highlight w:val="none"/>
        </w:rPr>
        <w:t>五、陕西省政府采购</w:t>
      </w:r>
      <w:r>
        <w:rPr>
          <w:rFonts w:hint="eastAsia" w:hAnsi="宋体" w:cs="宋体"/>
          <w:b/>
          <w:bCs/>
          <w:color w:val="auto"/>
          <w:sz w:val="30"/>
          <w:szCs w:val="30"/>
          <w:highlight w:val="none"/>
          <w:lang w:eastAsia="zh-CN"/>
        </w:rPr>
        <w:t>投标人</w:t>
      </w:r>
      <w:r>
        <w:rPr>
          <w:rFonts w:hint="eastAsia" w:hAnsi="宋体" w:cs="宋体"/>
          <w:b/>
          <w:bCs/>
          <w:color w:val="auto"/>
          <w:sz w:val="30"/>
          <w:szCs w:val="30"/>
          <w:highlight w:val="none"/>
        </w:rPr>
        <w:t>拒绝政府采购领域商业贿赂承诺书</w:t>
      </w:r>
      <w:bookmarkEnd w:id="739"/>
      <w:bookmarkEnd w:id="740"/>
      <w:bookmarkEnd w:id="741"/>
      <w:bookmarkEnd w:id="742"/>
      <w:bookmarkEnd w:id="743"/>
      <w:bookmarkEnd w:id="744"/>
      <w:bookmarkEnd w:id="745"/>
      <w:bookmarkEnd w:id="746"/>
      <w:bookmarkEnd w:id="747"/>
      <w:bookmarkEnd w:id="748"/>
      <w:bookmarkEnd w:id="749"/>
      <w:bookmarkEnd w:id="750"/>
      <w:bookmarkEnd w:id="75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52" w:name="_Toc6267"/>
      <w:r>
        <w:rPr>
          <w:rFonts w:hint="eastAsia" w:ascii="宋体" w:hAnsi="宋体" w:eastAsia="宋体" w:cs="宋体"/>
          <w:color w:val="auto"/>
          <w:sz w:val="24"/>
          <w:szCs w:val="24"/>
          <w:highlight w:val="none"/>
          <w:lang w:eastAsia="zh-CN"/>
        </w:rPr>
        <w:t>为响应党中央、国务院关于治理政府采购领域商业贿赂行为的号召，我公司在此庄严承诺：</w:t>
      </w:r>
      <w:bookmarkEnd w:id="75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53" w:name="_Toc11290"/>
      <w:r>
        <w:rPr>
          <w:rFonts w:hint="eastAsia" w:ascii="宋体" w:hAnsi="宋体" w:eastAsia="宋体" w:cs="宋体"/>
          <w:color w:val="auto"/>
          <w:sz w:val="24"/>
          <w:szCs w:val="24"/>
          <w:highlight w:val="none"/>
          <w:lang w:eastAsia="zh-CN"/>
        </w:rPr>
        <w:t>1、在参与政府采购活动中遵纪守法、诚信经营、公平竞标。</w:t>
      </w:r>
      <w:bookmarkEnd w:id="75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54" w:name="_Toc19674"/>
      <w:r>
        <w:rPr>
          <w:rFonts w:hint="eastAsia" w:ascii="宋体" w:hAnsi="宋体" w:eastAsia="宋体" w:cs="宋体"/>
          <w:color w:val="auto"/>
          <w:sz w:val="24"/>
          <w:szCs w:val="24"/>
          <w:highlight w:val="none"/>
          <w:lang w:eastAsia="zh-CN"/>
        </w:rPr>
        <w:t>2、不向政府采购人、采购代理机构和政府采购评审专家进行任何形式的商业贿赂以谋取交易机会。</w:t>
      </w:r>
      <w:bookmarkEnd w:id="75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55" w:name="_Toc30448"/>
      <w:r>
        <w:rPr>
          <w:rFonts w:hint="eastAsia" w:ascii="宋体" w:hAnsi="宋体" w:eastAsia="宋体" w:cs="宋体"/>
          <w:color w:val="auto"/>
          <w:sz w:val="24"/>
          <w:szCs w:val="24"/>
          <w:highlight w:val="none"/>
          <w:lang w:eastAsia="zh-CN"/>
        </w:rPr>
        <w:t>3、不向政府采购代理机构和采购人提供虚假资质文件或采用虚假应标方式参与政府采购市场竞争并谋取中标、成交。</w:t>
      </w:r>
      <w:bookmarkEnd w:id="75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56" w:name="_Toc13853"/>
      <w:r>
        <w:rPr>
          <w:rFonts w:hint="eastAsia" w:ascii="宋体" w:hAnsi="宋体" w:eastAsia="宋体" w:cs="宋体"/>
          <w:color w:val="auto"/>
          <w:sz w:val="24"/>
          <w:szCs w:val="24"/>
          <w:highlight w:val="none"/>
          <w:lang w:eastAsia="zh-CN"/>
        </w:rPr>
        <w:t>4、不采取“围标、陪标”等商业欺诈手段获得政府采购定单。</w:t>
      </w:r>
      <w:bookmarkEnd w:id="7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57" w:name="_Toc22779"/>
      <w:r>
        <w:rPr>
          <w:rFonts w:hint="eastAsia" w:ascii="宋体" w:hAnsi="宋体" w:eastAsia="宋体" w:cs="宋体"/>
          <w:color w:val="auto"/>
          <w:sz w:val="24"/>
          <w:szCs w:val="24"/>
          <w:highlight w:val="none"/>
          <w:lang w:eastAsia="zh-CN"/>
        </w:rPr>
        <w:t>5、不采取不正当手段诋毁、排挤其他投标人。</w:t>
      </w:r>
      <w:bookmarkEnd w:id="7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58" w:name="_Toc17699"/>
      <w:r>
        <w:rPr>
          <w:rFonts w:hint="eastAsia" w:ascii="宋体" w:hAnsi="宋体" w:eastAsia="宋体" w:cs="宋体"/>
          <w:color w:val="auto"/>
          <w:sz w:val="24"/>
          <w:szCs w:val="24"/>
          <w:highlight w:val="none"/>
          <w:lang w:eastAsia="zh-CN"/>
        </w:rPr>
        <w:t>6、不在提供商品和服务时“偷梁换柱、以次充好”损害采购人的合法权益。</w:t>
      </w:r>
      <w:bookmarkEnd w:id="75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59" w:name="_Toc24725"/>
      <w:r>
        <w:rPr>
          <w:rFonts w:hint="eastAsia" w:ascii="宋体" w:hAnsi="宋体" w:eastAsia="宋体" w:cs="宋体"/>
          <w:color w:val="auto"/>
          <w:sz w:val="24"/>
          <w:szCs w:val="24"/>
          <w:highlight w:val="none"/>
          <w:lang w:eastAsia="zh-CN"/>
        </w:rPr>
        <w:t>7、不与采购人、采购代理机构政府采购评审专家或其它投标人恶意串通，进行质疑和投诉，维护政府采购市场秩序。</w:t>
      </w:r>
      <w:bookmarkEnd w:id="75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60" w:name="_Toc5104"/>
      <w:r>
        <w:rPr>
          <w:rFonts w:hint="eastAsia" w:ascii="宋体" w:hAnsi="宋体" w:eastAsia="宋体" w:cs="宋体"/>
          <w:color w:val="auto"/>
          <w:sz w:val="24"/>
          <w:szCs w:val="24"/>
          <w:highlight w:val="none"/>
          <w:lang w:eastAsia="zh-CN"/>
        </w:rPr>
        <w:t>8、尊重和接受政府采购监督管理部门的监督和政府采购代理机构招标采购要求，承担因违约行为给采购人造成的损失。</w:t>
      </w:r>
      <w:bookmarkEnd w:id="76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61" w:name="_Toc14460"/>
      <w:r>
        <w:rPr>
          <w:rFonts w:hint="eastAsia" w:ascii="宋体" w:hAnsi="宋体" w:eastAsia="宋体" w:cs="宋体"/>
          <w:color w:val="auto"/>
          <w:sz w:val="24"/>
          <w:szCs w:val="24"/>
          <w:highlight w:val="none"/>
          <w:lang w:eastAsia="zh-CN"/>
        </w:rPr>
        <w:t>9、不发生其他有悖于政府采购公开、公平、公正和诚信原则的行为。</w:t>
      </w:r>
      <w:bookmarkEnd w:id="76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u w:val="single"/>
          <w:lang w:val="en-US" w:eastAsia="zh-CN"/>
        </w:rPr>
      </w:pPr>
      <w:bookmarkStart w:id="762" w:name="_Toc24554"/>
      <w:r>
        <w:rPr>
          <w:rFonts w:hint="eastAsia" w:ascii="宋体" w:hAnsi="宋体" w:eastAsia="宋体" w:cs="宋体"/>
          <w:color w:val="auto"/>
          <w:sz w:val="24"/>
          <w:szCs w:val="24"/>
          <w:highlight w:val="none"/>
          <w:lang w:eastAsia="zh-CN"/>
        </w:rPr>
        <w:t>承诺单位：（盖章）</w:t>
      </w:r>
      <w:bookmarkEnd w:id="762"/>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63" w:name="_Toc30621"/>
      <w:r>
        <w:rPr>
          <w:rFonts w:hint="eastAsia" w:ascii="宋体" w:hAnsi="宋体" w:eastAsia="宋体" w:cs="宋体"/>
          <w:color w:val="auto"/>
          <w:sz w:val="24"/>
          <w:szCs w:val="24"/>
          <w:highlight w:val="none"/>
          <w:lang w:eastAsia="zh-CN"/>
        </w:rPr>
        <w:t>全权代表：（签字）</w:t>
      </w:r>
      <w:bookmarkEnd w:id="763"/>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bookmarkStart w:id="764" w:name="_Toc24320"/>
      <w:r>
        <w:rPr>
          <w:rFonts w:hint="eastAsia" w:ascii="宋体" w:hAnsi="宋体" w:eastAsia="宋体" w:cs="宋体"/>
          <w:color w:val="auto"/>
          <w:sz w:val="24"/>
          <w:szCs w:val="24"/>
          <w:highlight w:val="none"/>
          <w:lang w:eastAsia="zh-CN"/>
        </w:rPr>
        <w:t>地  址：</w:t>
      </w:r>
      <w:bookmarkEnd w:id="764"/>
      <w:bookmarkStart w:id="765" w:name="_Toc21519"/>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  编：</w:t>
      </w:r>
      <w:bookmarkEnd w:id="765"/>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66" w:name="_Toc3888"/>
      <w:r>
        <w:rPr>
          <w:rFonts w:hint="eastAsia" w:ascii="宋体" w:hAnsi="宋体" w:eastAsia="宋体" w:cs="宋体"/>
          <w:color w:val="auto"/>
          <w:sz w:val="24"/>
          <w:szCs w:val="24"/>
          <w:highlight w:val="none"/>
          <w:lang w:eastAsia="zh-CN"/>
        </w:rPr>
        <w:t>电  话：</w:t>
      </w:r>
      <w:bookmarkEnd w:id="766"/>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767" w:name="_Toc31509"/>
      <w:r>
        <w:rPr>
          <w:rFonts w:hint="eastAsia" w:ascii="宋体" w:hAnsi="宋体" w:eastAsia="宋体" w:cs="宋体"/>
          <w:color w:val="auto"/>
          <w:sz w:val="24"/>
          <w:szCs w:val="24"/>
          <w:highlight w:val="none"/>
          <w:lang w:eastAsia="zh-CN"/>
        </w:rPr>
        <w:t>年  月  日</w:t>
      </w:r>
      <w:bookmarkEnd w:id="767"/>
      <w:r>
        <w:rPr>
          <w:rFonts w:hint="eastAsia" w:ascii="宋体" w:hAnsi="宋体" w:eastAsia="宋体" w:cs="宋体"/>
          <w:color w:val="auto"/>
          <w:sz w:val="24"/>
          <w:szCs w:val="24"/>
          <w:highlight w:val="none"/>
          <w:u w:val="single"/>
          <w:lang w:val="en-US" w:eastAsia="zh-CN"/>
        </w:rPr>
        <w:t xml:space="preserve">                    </w:t>
      </w:r>
    </w:p>
    <w:p>
      <w:pPr>
        <w:rPr>
          <w:rFonts w:hint="eastAsia" w:ascii="宋体" w:hAnsi="宋体" w:cs="宋体"/>
          <w:color w:val="auto"/>
          <w:sz w:val="32"/>
          <w:szCs w:val="32"/>
          <w:highlight w:val="none"/>
        </w:rPr>
      </w:pPr>
      <w:bookmarkStart w:id="768" w:name="_Toc20139"/>
      <w:bookmarkStart w:id="769" w:name="_Toc8066"/>
      <w:bookmarkStart w:id="770" w:name="_Toc426457715"/>
      <w:bookmarkStart w:id="771" w:name="_Toc403077657"/>
      <w:bookmarkStart w:id="772" w:name="_Toc23294"/>
      <w:bookmarkStart w:id="773" w:name="_Toc155"/>
      <w:bookmarkStart w:id="774" w:name="_Toc21636"/>
      <w:bookmarkStart w:id="775" w:name="_Toc7550"/>
      <w:bookmarkStart w:id="776" w:name="_Toc28113"/>
      <w:bookmarkStart w:id="777" w:name="_Toc363474034"/>
      <w:r>
        <w:rPr>
          <w:rFonts w:hint="eastAsia" w:ascii="宋体" w:hAnsi="宋体" w:cs="宋体"/>
          <w:color w:val="auto"/>
          <w:sz w:val="32"/>
          <w:szCs w:val="32"/>
          <w:highlight w:val="none"/>
        </w:rPr>
        <w:br w:type="page"/>
      </w:r>
    </w:p>
    <w:p>
      <w:pPr>
        <w:pStyle w:val="4"/>
        <w:spacing w:beforeLines="100" w:line="360" w:lineRule="auto"/>
        <w:outlineLvl w:val="1"/>
        <w:rPr>
          <w:rFonts w:ascii="宋体" w:hAnsi="宋体" w:cs="宋体"/>
          <w:color w:val="auto"/>
          <w:sz w:val="32"/>
          <w:szCs w:val="32"/>
          <w:highlight w:val="none"/>
        </w:rPr>
      </w:pPr>
      <w:bookmarkStart w:id="778" w:name="_Toc30128"/>
      <w:bookmarkStart w:id="779" w:name="_Toc8555"/>
      <w:bookmarkStart w:id="780" w:name="_Toc27228"/>
      <w:r>
        <w:rPr>
          <w:rFonts w:hint="eastAsia" w:ascii="宋体" w:hAnsi="宋体" w:cs="宋体"/>
          <w:color w:val="auto"/>
          <w:sz w:val="32"/>
          <w:szCs w:val="32"/>
          <w:highlight w:val="none"/>
        </w:rPr>
        <w:t>六、资格证明文件</w:t>
      </w:r>
      <w:bookmarkEnd w:id="768"/>
      <w:bookmarkEnd w:id="769"/>
      <w:bookmarkEnd w:id="770"/>
      <w:bookmarkEnd w:id="771"/>
      <w:bookmarkEnd w:id="772"/>
      <w:bookmarkEnd w:id="773"/>
      <w:bookmarkEnd w:id="774"/>
      <w:bookmarkEnd w:id="775"/>
      <w:bookmarkEnd w:id="776"/>
      <w:bookmarkEnd w:id="777"/>
      <w:bookmarkEnd w:id="778"/>
      <w:bookmarkEnd w:id="779"/>
      <w:bookmarkEnd w:id="78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bookmarkStart w:id="781" w:name="_Toc7723"/>
      <w:bookmarkStart w:id="782" w:name="_Toc4867"/>
      <w:bookmarkStart w:id="783" w:name="_Toc426457701"/>
      <w:bookmarkStart w:id="784" w:name="_Toc25348"/>
      <w:bookmarkStart w:id="785" w:name="_Toc30210"/>
      <w:bookmarkStart w:id="786" w:name="_Toc403077649"/>
      <w:bookmarkStart w:id="787" w:name="_Toc16097"/>
      <w:bookmarkStart w:id="788" w:name="_Toc363474028"/>
      <w:bookmarkStart w:id="789" w:name="_Toc19075"/>
      <w:r>
        <w:rPr>
          <w:rFonts w:hint="eastAsia"/>
        </w:rPr>
        <w:t>1、提供合格有效的法人或者其他组织的营业执照等证明文件，自然人的身份证明。2、提供法定代表人授权书（附法定代表人、被授权人身份证复印件）及被授权人身份证原件（法定代表人直接参加磋商，须提供法定代表人身份证明及身份证原件）；3、财务状况报告：提供2020年度或2021年度的财务审计报告（至少包括资产负债表和利润表，成立时间至提交</w:t>
      </w:r>
      <w:r>
        <w:rPr>
          <w:rFonts w:hint="eastAsia"/>
          <w:lang w:eastAsia="zh-CN"/>
        </w:rPr>
        <w:t>投标文件</w:t>
      </w:r>
      <w:r>
        <w:rPr>
          <w:rFonts w:hint="eastAsia"/>
        </w:rPr>
        <w:t>截止时间不足一年的可提供成立后任意时段的资产负债表），或</w:t>
      </w:r>
      <w:r>
        <w:rPr>
          <w:rFonts w:hint="eastAsia"/>
          <w:lang w:eastAsia="zh-CN"/>
        </w:rPr>
        <w:t>投标文件</w:t>
      </w:r>
      <w:r>
        <w:rPr>
          <w:rFonts w:hint="eastAsia"/>
        </w:rPr>
        <w:t>递交截止日期前6个月内其基本开户银行出具的资信证明； 4、税收缴纳证明：提供</w:t>
      </w:r>
      <w:r>
        <w:rPr>
          <w:rFonts w:hint="eastAsia"/>
          <w:lang w:eastAsia="zh-CN"/>
        </w:rPr>
        <w:t>投标文件递交截止时间前</w:t>
      </w:r>
      <w:r>
        <w:rPr>
          <w:rFonts w:hint="eastAsia"/>
        </w:rPr>
        <w:t>一年内已缴纳的至少一个月的纳税证明或完税证明（任意税种），依法免税的单位应提供相关证明材料； 5、社会保障资金缴纳证明：提供</w:t>
      </w:r>
      <w:r>
        <w:rPr>
          <w:rFonts w:hint="eastAsia"/>
          <w:lang w:eastAsia="zh-CN"/>
        </w:rPr>
        <w:t>投标文件递交截止时间前</w:t>
      </w:r>
      <w:r>
        <w:rPr>
          <w:rFonts w:hint="eastAsia"/>
        </w:rPr>
        <w:t>一年内已缴存的至少一个月的社会保障资金缴存单据或社保机构开具的社会保险参保缴费情况证明，依法不需要缴纳社会保障资金的单位应提供相关证明材料； 6、提供具有履行本合同所必需的设备和专业技术能力的说明及承诺书； 7、供应商应通过“信用中国”网站(www.creditchina.gov.cn)、中国政府采购网(www.ccgp.gov.cn) 查询相关主体信用记录； 8、参加政府采购活动前3年内，在经营活动中没有重大违法记录的书面声明； 9、提供</w:t>
      </w:r>
      <w:r>
        <w:rPr>
          <w:rFonts w:hint="eastAsia"/>
          <w:lang w:eastAsia="zh-CN"/>
        </w:rPr>
        <w:t>投标保证金</w:t>
      </w:r>
      <w:r>
        <w:rPr>
          <w:rFonts w:hint="eastAsia"/>
        </w:rPr>
        <w:t>缴纳凭证或担保机构出具的保函。</w:t>
      </w:r>
      <w:bookmarkEnd w:id="781"/>
    </w:p>
    <w:p>
      <w:pPr>
        <w:bidi w:val="0"/>
        <w:rPr>
          <w:b/>
          <w:bCs/>
          <w:highlight w:val="yellow"/>
        </w:rPr>
      </w:pPr>
      <w:bookmarkStart w:id="790" w:name="_Toc729"/>
      <w:r>
        <w:rPr>
          <w:rFonts w:hint="eastAsia"/>
          <w:b/>
          <w:bCs/>
          <w:highlight w:val="yellow"/>
        </w:rPr>
        <w:t>备注：后附相关资料</w:t>
      </w:r>
      <w:bookmarkEnd w:id="790"/>
    </w:p>
    <w:p>
      <w:pPr>
        <w:bidi w:val="0"/>
        <w:rPr>
          <w:rFonts w:hAnsi="宋体" w:cs="宋体"/>
          <w:b/>
          <w:bCs/>
          <w:color w:val="auto"/>
          <w:sz w:val="30"/>
          <w:szCs w:val="30"/>
          <w:highlight w:val="none"/>
        </w:rPr>
      </w:pPr>
      <w:r>
        <w:rPr>
          <w:rFonts w:hint="eastAsia" w:hAnsi="宋体" w:cs="宋体"/>
          <w:color w:val="auto"/>
          <w:sz w:val="30"/>
          <w:szCs w:val="30"/>
          <w:highlight w:val="none"/>
        </w:rPr>
        <w:br w:type="page"/>
      </w:r>
      <w:bookmarkStart w:id="791" w:name="_Toc1376"/>
      <w:bookmarkStart w:id="792" w:name="_Toc21152"/>
      <w:r>
        <w:rPr>
          <w:rFonts w:hint="eastAsia" w:ascii="宋体" w:hAnsi="Times New Roman" w:eastAsia="宋体" w:cs="Times New Roman"/>
          <w:b/>
          <w:bCs/>
          <w:sz w:val="36"/>
          <w:szCs w:val="24"/>
        </w:rPr>
        <w:t>附件1：</w:t>
      </w:r>
      <w:bookmarkEnd w:id="791"/>
    </w:p>
    <w:p>
      <w:pPr>
        <w:bidi w:val="0"/>
        <w:jc w:val="center"/>
        <w:rPr>
          <w:b/>
          <w:bCs/>
          <w:sz w:val="36"/>
          <w:szCs w:val="24"/>
        </w:rPr>
      </w:pPr>
      <w:bookmarkStart w:id="793" w:name="_Toc31368"/>
      <w:r>
        <w:rPr>
          <w:rFonts w:hint="eastAsia"/>
          <w:b/>
          <w:bCs/>
          <w:sz w:val="36"/>
          <w:szCs w:val="24"/>
        </w:rPr>
        <w:t>法定代表人身份证明/法定代表人授权书</w:t>
      </w:r>
      <w:bookmarkEnd w:id="793"/>
    </w:p>
    <w:p>
      <w:pPr>
        <w:bidi w:val="0"/>
        <w:jc w:val="center"/>
        <w:rPr>
          <w:rFonts w:hint="eastAsia" w:ascii="宋体" w:hAnsi="Times New Roman" w:eastAsia="宋体" w:cs="Times New Roman"/>
          <w:b/>
          <w:bCs/>
          <w:sz w:val="36"/>
          <w:szCs w:val="24"/>
        </w:rPr>
      </w:pPr>
      <w:bookmarkStart w:id="794" w:name="_Toc14729"/>
      <w:r>
        <w:rPr>
          <w:rFonts w:hint="eastAsia" w:ascii="宋体" w:hAnsi="Times New Roman" w:eastAsia="宋体" w:cs="Times New Roman"/>
          <w:b/>
          <w:bCs/>
          <w:sz w:val="36"/>
          <w:szCs w:val="24"/>
        </w:rPr>
        <w:t>法定代表人身份证明</w:t>
      </w:r>
      <w:bookmarkEnd w:id="794"/>
    </w:p>
    <w:p>
      <w:pPr>
        <w:keepNext w:val="0"/>
        <w:keepLines w:val="0"/>
        <w:pageBreakBefore w:val="0"/>
        <w:widowControl w:val="0"/>
        <w:kinsoku/>
        <w:wordWrap/>
        <w:overflowPunct/>
        <w:topLinePunct w:val="0"/>
        <w:bidi w:val="0"/>
        <w:spacing w:line="360" w:lineRule="auto"/>
        <w:textAlignment w:val="auto"/>
        <w:rPr>
          <w:rFonts w:hAnsi="宋体" w:cs="宋体"/>
          <w:color w:val="auto"/>
          <w:highlight w:val="none"/>
        </w:rPr>
      </w:pPr>
      <w:bookmarkStart w:id="795" w:name="_Toc8973"/>
      <w:r>
        <w:rPr>
          <w:rFonts w:hint="eastAsia" w:hAnsi="宋体" w:cs="宋体"/>
          <w:color w:val="auto"/>
          <w:highlight w:val="none"/>
          <w:lang w:eastAsia="zh-CN"/>
        </w:rPr>
        <w:t>投标人</w:t>
      </w:r>
      <w:r>
        <w:rPr>
          <w:rFonts w:hint="eastAsia" w:hAnsi="宋体" w:cs="宋体"/>
          <w:color w:val="auto"/>
          <w:highlight w:val="none"/>
        </w:rPr>
        <w:t>名称：</w:t>
      </w:r>
      <w:bookmarkEnd w:id="795"/>
      <w:r>
        <w:rPr>
          <w:rFonts w:hint="eastAsia" w:hAnsi="宋体" w:cs="宋体"/>
          <w:color w:val="auto"/>
          <w:highlight w:val="none"/>
          <w:u w:val="single"/>
        </w:rPr>
        <w:t xml:space="preserve">                  </w:t>
      </w:r>
      <w:r>
        <w:rPr>
          <w:rFonts w:hint="eastAsia" w:hAnsi="宋体" w:cs="宋体"/>
          <w:color w:val="auto"/>
          <w:highlight w:val="none"/>
        </w:rPr>
        <w:t xml:space="preserve"> </w:t>
      </w:r>
    </w:p>
    <w:p>
      <w:pPr>
        <w:keepNext w:val="0"/>
        <w:keepLines w:val="0"/>
        <w:pageBreakBefore w:val="0"/>
        <w:widowControl w:val="0"/>
        <w:kinsoku/>
        <w:wordWrap/>
        <w:overflowPunct/>
        <w:topLinePunct w:val="0"/>
        <w:bidi w:val="0"/>
        <w:spacing w:line="360" w:lineRule="auto"/>
        <w:textAlignment w:val="auto"/>
        <w:rPr>
          <w:rFonts w:hAnsi="宋体" w:cs="宋体"/>
          <w:color w:val="auto"/>
          <w:highlight w:val="none"/>
        </w:rPr>
      </w:pPr>
      <w:bookmarkStart w:id="796" w:name="_Toc11543"/>
      <w:r>
        <w:rPr>
          <w:rFonts w:hint="eastAsia" w:hAnsi="宋体" w:cs="宋体"/>
          <w:color w:val="auto"/>
          <w:highlight w:val="none"/>
        </w:rPr>
        <w:t>统一社会信用代码：</w:t>
      </w:r>
      <w:bookmarkEnd w:id="796"/>
      <w:r>
        <w:rPr>
          <w:rFonts w:hint="eastAsia" w:hAnsi="宋体" w:cs="宋体"/>
          <w:color w:val="auto"/>
          <w:highlight w:val="none"/>
          <w:u w:val="single"/>
        </w:rPr>
        <w:t xml:space="preserve">                </w:t>
      </w:r>
    </w:p>
    <w:p>
      <w:pPr>
        <w:keepNext w:val="0"/>
        <w:keepLines w:val="0"/>
        <w:pageBreakBefore w:val="0"/>
        <w:widowControl w:val="0"/>
        <w:kinsoku/>
        <w:wordWrap/>
        <w:overflowPunct/>
        <w:topLinePunct w:val="0"/>
        <w:bidi w:val="0"/>
        <w:spacing w:line="360" w:lineRule="auto"/>
        <w:textAlignment w:val="auto"/>
        <w:rPr>
          <w:rFonts w:hAnsi="宋体" w:cs="宋体"/>
          <w:color w:val="auto"/>
          <w:highlight w:val="none"/>
        </w:rPr>
      </w:pPr>
      <w:bookmarkStart w:id="797" w:name="_Toc19625"/>
      <w:r>
        <w:rPr>
          <w:rFonts w:hint="eastAsia" w:hAnsi="宋体" w:cs="宋体"/>
          <w:color w:val="auto"/>
          <w:highlight w:val="none"/>
        </w:rPr>
        <w:t>注册地址：</w:t>
      </w:r>
      <w:bookmarkEnd w:id="797"/>
      <w:r>
        <w:rPr>
          <w:rFonts w:hint="eastAsia" w:hAnsi="宋体" w:cs="宋体"/>
          <w:color w:val="auto"/>
          <w:highlight w:val="none"/>
          <w:u w:val="single"/>
        </w:rPr>
        <w:t xml:space="preserve">                        </w:t>
      </w:r>
    </w:p>
    <w:p>
      <w:pPr>
        <w:keepNext w:val="0"/>
        <w:keepLines w:val="0"/>
        <w:pageBreakBefore w:val="0"/>
        <w:widowControl w:val="0"/>
        <w:kinsoku/>
        <w:wordWrap/>
        <w:overflowPunct/>
        <w:topLinePunct w:val="0"/>
        <w:bidi w:val="0"/>
        <w:spacing w:line="360" w:lineRule="auto"/>
        <w:textAlignment w:val="auto"/>
        <w:rPr>
          <w:rFonts w:hAnsi="宋体" w:cs="宋体"/>
          <w:color w:val="auto"/>
          <w:highlight w:val="none"/>
        </w:rPr>
      </w:pPr>
      <w:bookmarkStart w:id="798" w:name="_Toc16531"/>
      <w:r>
        <w:rPr>
          <w:rFonts w:hint="eastAsia" w:ascii="宋体" w:hAnsi="宋体" w:eastAsia="宋体" w:cs="宋体"/>
          <w:color w:val="auto"/>
          <w:highlight w:val="none"/>
          <w:lang w:eastAsia="zh-CN"/>
        </w:rPr>
        <w:t>成立</w:t>
      </w:r>
      <w:r>
        <w:rPr>
          <w:rFonts w:hint="eastAsia" w:hAnsi="宋体" w:cs="宋体"/>
          <w:color w:val="auto"/>
          <w:highlight w:val="none"/>
        </w:rPr>
        <w:t>时间：</w:t>
      </w:r>
      <w:r>
        <w:rPr>
          <w:rFonts w:hint="eastAsia" w:hAnsi="宋体" w:cs="宋体"/>
          <w:color w:val="auto"/>
          <w:highlight w:val="none"/>
          <w:u w:val="single"/>
        </w:rPr>
        <w:t xml:space="preserve">    </w:t>
      </w:r>
      <w:r>
        <w:rPr>
          <w:rFonts w:hint="eastAsia" w:hAnsi="宋体" w:cs="宋体"/>
          <w:color w:val="auto"/>
          <w:highlight w:val="none"/>
        </w:rPr>
        <w:t xml:space="preserve">年 </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bookmarkEnd w:id="798"/>
    </w:p>
    <w:p>
      <w:pPr>
        <w:keepNext w:val="0"/>
        <w:keepLines w:val="0"/>
        <w:pageBreakBefore w:val="0"/>
        <w:widowControl w:val="0"/>
        <w:kinsoku/>
        <w:wordWrap/>
        <w:overflowPunct/>
        <w:topLinePunct w:val="0"/>
        <w:bidi w:val="0"/>
        <w:spacing w:line="360" w:lineRule="auto"/>
        <w:textAlignment w:val="auto"/>
        <w:rPr>
          <w:rFonts w:hAnsi="宋体" w:cs="宋体"/>
          <w:color w:val="auto"/>
          <w:highlight w:val="none"/>
          <w:u w:val="single"/>
        </w:rPr>
      </w:pPr>
      <w:bookmarkStart w:id="799" w:name="_Toc2527"/>
      <w:r>
        <w:rPr>
          <w:rFonts w:hint="eastAsia" w:ascii="宋体" w:hAnsi="宋体" w:eastAsia="宋体" w:cs="宋体"/>
          <w:color w:val="auto"/>
          <w:highlight w:val="none"/>
          <w:lang w:eastAsia="zh-CN"/>
        </w:rPr>
        <w:t>经营</w:t>
      </w:r>
      <w:r>
        <w:rPr>
          <w:rFonts w:hint="eastAsia" w:hAnsi="宋体" w:cs="宋体"/>
          <w:color w:val="auto"/>
          <w:highlight w:val="none"/>
        </w:rPr>
        <w:t>期限：</w:t>
      </w:r>
      <w:bookmarkEnd w:id="799"/>
      <w:r>
        <w:rPr>
          <w:rFonts w:hint="eastAsia" w:hAnsi="宋体" w:cs="宋体"/>
          <w:color w:val="auto"/>
          <w:highlight w:val="none"/>
          <w:u w:val="single"/>
        </w:rPr>
        <w:t xml:space="preserve">                  </w:t>
      </w:r>
    </w:p>
    <w:p>
      <w:pPr>
        <w:keepNext w:val="0"/>
        <w:keepLines w:val="0"/>
        <w:pageBreakBefore w:val="0"/>
        <w:widowControl w:val="0"/>
        <w:kinsoku/>
        <w:wordWrap/>
        <w:overflowPunct/>
        <w:topLinePunct w:val="0"/>
        <w:bidi w:val="0"/>
        <w:spacing w:line="360" w:lineRule="auto"/>
        <w:textAlignment w:val="auto"/>
        <w:rPr>
          <w:rFonts w:hAnsi="宋体" w:cs="宋体"/>
          <w:color w:val="auto"/>
          <w:highlight w:val="none"/>
        </w:rPr>
      </w:pPr>
      <w:bookmarkStart w:id="800" w:name="_Toc10259"/>
      <w:r>
        <w:rPr>
          <w:rFonts w:hint="eastAsia" w:ascii="宋体" w:hAnsi="宋体" w:eastAsia="宋体" w:cs="宋体"/>
          <w:color w:val="auto"/>
          <w:highlight w:val="none"/>
          <w:lang w:eastAsia="zh-CN"/>
        </w:rPr>
        <w:t>姓名</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投标人</w:t>
      </w:r>
      <w:r>
        <w:rPr>
          <w:rFonts w:hint="eastAsia" w:hAnsi="宋体" w:cs="宋体"/>
          <w:color w:val="auto"/>
          <w:highlight w:val="none"/>
        </w:rPr>
        <w:t>名称）的法定</w:t>
      </w:r>
      <w:r>
        <w:rPr>
          <w:rFonts w:hint="eastAsia" w:ascii="宋体" w:hAnsi="宋体" w:eastAsia="宋体" w:cs="宋体"/>
          <w:color w:val="auto"/>
          <w:highlight w:val="none"/>
          <w:lang w:eastAsia="zh-CN"/>
        </w:rPr>
        <w:t>代表人</w:t>
      </w:r>
      <w:r>
        <w:rPr>
          <w:rFonts w:hint="eastAsia" w:hAnsi="宋体" w:cs="宋体"/>
          <w:color w:val="auto"/>
          <w:highlight w:val="none"/>
        </w:rPr>
        <w:t>。</w:t>
      </w:r>
      <w:bookmarkEnd w:id="800"/>
    </w:p>
    <w:p>
      <w:pPr>
        <w:keepNext w:val="0"/>
        <w:keepLines w:val="0"/>
        <w:pageBreakBefore w:val="0"/>
        <w:widowControl w:val="0"/>
        <w:kinsoku/>
        <w:wordWrap/>
        <w:overflowPunct/>
        <w:topLinePunct w:val="0"/>
        <w:bidi w:val="0"/>
        <w:spacing w:line="360" w:lineRule="auto"/>
        <w:textAlignment w:val="auto"/>
        <w:rPr>
          <w:rFonts w:hAnsi="宋体" w:cs="宋体"/>
          <w:color w:val="auto"/>
          <w:highlight w:val="none"/>
        </w:rPr>
      </w:pPr>
      <w:bookmarkStart w:id="801" w:name="_Toc25508"/>
      <w:r>
        <w:rPr>
          <w:rFonts w:hint="eastAsia" w:ascii="宋体" w:hAnsi="宋体" w:eastAsia="宋体" w:cs="宋体"/>
          <w:color w:val="auto"/>
          <w:highlight w:val="none"/>
          <w:lang w:eastAsia="zh-CN"/>
        </w:rPr>
        <w:t>特此</w:t>
      </w:r>
      <w:r>
        <w:rPr>
          <w:rFonts w:hint="eastAsia" w:hAnsi="宋体" w:cs="宋体"/>
          <w:color w:val="auto"/>
          <w:highlight w:val="none"/>
        </w:rPr>
        <w:t>证明。</w:t>
      </w:r>
      <w:bookmarkEnd w:id="801"/>
    </w:p>
    <w:p>
      <w:pPr>
        <w:keepNext w:val="0"/>
        <w:keepLines w:val="0"/>
        <w:pageBreakBefore w:val="0"/>
        <w:widowControl w:val="0"/>
        <w:kinsoku/>
        <w:wordWrap/>
        <w:overflowPunct/>
        <w:topLinePunct w:val="0"/>
        <w:bidi w:val="0"/>
        <w:spacing w:line="360" w:lineRule="auto"/>
        <w:textAlignment w:val="auto"/>
        <w:rPr>
          <w:rFonts w:hAnsi="宋体" w:cs="宋体"/>
          <w:color w:val="auto"/>
          <w:szCs w:val="21"/>
          <w:highlight w:val="none"/>
        </w:rPr>
      </w:pPr>
      <w:bookmarkStart w:id="802" w:name="_Toc8474"/>
      <w:r>
        <w:rPr>
          <w:rFonts w:hint="eastAsia" w:hAnsi="宋体" w:cs="宋体"/>
          <w:color w:val="auto"/>
          <w:szCs w:val="21"/>
          <w:highlight w:val="none"/>
        </w:rPr>
        <w:t>附：法定代表人身份证复印件</w:t>
      </w:r>
      <w:bookmarkEnd w:id="802"/>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keepNext w:val="0"/>
              <w:keepLines w:val="0"/>
              <w:pageBreakBefore w:val="0"/>
              <w:widowControl w:val="0"/>
              <w:kinsoku/>
              <w:wordWrap/>
              <w:overflowPunct/>
              <w:topLinePunct w:val="0"/>
              <w:bidi w:val="0"/>
              <w:snapToGrid w:val="0"/>
              <w:spacing w:line="360" w:lineRule="auto"/>
              <w:jc w:val="center"/>
              <w:textAlignment w:val="auto"/>
              <w:outlineLvl w:val="9"/>
              <w:rPr>
                <w:rFonts w:hAnsi="宋体" w:cs="宋体"/>
                <w:color w:val="auto"/>
                <w:szCs w:val="21"/>
                <w:highlight w:val="none"/>
              </w:rPr>
            </w:pPr>
          </w:p>
          <w:p>
            <w:pPr>
              <w:keepNext w:val="0"/>
              <w:keepLines w:val="0"/>
              <w:pageBreakBefore w:val="0"/>
              <w:widowControl w:val="0"/>
              <w:kinsoku/>
              <w:wordWrap/>
              <w:overflowPunct/>
              <w:topLinePunct w:val="0"/>
              <w:bidi w:val="0"/>
              <w:snapToGrid w:val="0"/>
              <w:spacing w:line="360" w:lineRule="auto"/>
              <w:jc w:val="center"/>
              <w:textAlignment w:val="auto"/>
              <w:outlineLvl w:val="9"/>
              <w:rPr>
                <w:rFonts w:hAnsi="宋体" w:cs="宋体"/>
                <w:color w:val="auto"/>
                <w:szCs w:val="21"/>
                <w:highlight w:val="none"/>
              </w:rPr>
            </w:pPr>
          </w:p>
          <w:p>
            <w:pPr>
              <w:bidi w:val="0"/>
              <w:jc w:val="center"/>
              <w:rPr>
                <w:rFonts w:hAnsi="宋体" w:cs="宋体"/>
                <w:color w:val="auto"/>
                <w:szCs w:val="21"/>
                <w:highlight w:val="none"/>
              </w:rPr>
            </w:pPr>
            <w:bookmarkStart w:id="803" w:name="_Toc19064"/>
            <w:bookmarkStart w:id="804" w:name="_Toc16428"/>
            <w:r>
              <w:rPr>
                <w:rFonts w:hint="eastAsia" w:hAnsi="宋体" w:cs="宋体"/>
                <w:color w:val="auto"/>
                <w:szCs w:val="21"/>
                <w:highlight w:val="none"/>
              </w:rPr>
              <w:t>法定</w:t>
            </w:r>
            <w:r>
              <w:rPr>
                <w:rFonts w:hint="eastAsia" w:ascii="宋体" w:hAnsi="Times New Roman" w:eastAsia="宋体" w:cs="Times New Roman"/>
              </w:rPr>
              <w:t>代表人</w:t>
            </w:r>
            <w:r>
              <w:rPr>
                <w:rFonts w:hint="eastAsia" w:hAnsi="宋体" w:cs="宋体"/>
                <w:color w:val="auto"/>
                <w:szCs w:val="21"/>
                <w:highlight w:val="none"/>
              </w:rPr>
              <w:t>身份证复印件粘贴处</w:t>
            </w:r>
            <w:bookmarkEnd w:id="803"/>
            <w:bookmarkEnd w:id="804"/>
          </w:p>
          <w:p>
            <w:pPr>
              <w:bidi w:val="0"/>
              <w:jc w:val="center"/>
            </w:pPr>
            <w:bookmarkStart w:id="805" w:name="_Toc9415"/>
            <w:bookmarkStart w:id="806" w:name="_Toc24364"/>
            <w:r>
              <w:rPr>
                <w:rFonts w:hint="eastAsia"/>
              </w:rPr>
              <w:t>（正反面）</w:t>
            </w:r>
            <w:bookmarkEnd w:id="805"/>
            <w:bookmarkEnd w:id="806"/>
          </w:p>
          <w:p>
            <w:pPr>
              <w:keepNext w:val="0"/>
              <w:keepLines w:val="0"/>
              <w:pageBreakBefore w:val="0"/>
              <w:widowControl w:val="0"/>
              <w:kinsoku/>
              <w:wordWrap/>
              <w:overflowPunct/>
              <w:topLinePunct w:val="0"/>
              <w:bidi w:val="0"/>
              <w:snapToGrid w:val="0"/>
              <w:spacing w:line="360" w:lineRule="auto"/>
              <w:jc w:val="center"/>
              <w:textAlignment w:val="auto"/>
              <w:outlineLvl w:val="9"/>
              <w:rPr>
                <w:rFonts w:hAnsi="宋体" w:cs="宋体"/>
                <w:color w:val="auto"/>
                <w:szCs w:val="21"/>
                <w:highlight w:val="none"/>
              </w:rPr>
            </w:pPr>
          </w:p>
          <w:p>
            <w:pPr>
              <w:keepNext w:val="0"/>
              <w:keepLines w:val="0"/>
              <w:pageBreakBefore w:val="0"/>
              <w:widowControl w:val="0"/>
              <w:kinsoku/>
              <w:wordWrap/>
              <w:overflowPunct/>
              <w:topLinePunct w:val="0"/>
              <w:bidi w:val="0"/>
              <w:snapToGrid w:val="0"/>
              <w:spacing w:line="360" w:lineRule="auto"/>
              <w:jc w:val="center"/>
              <w:textAlignment w:val="auto"/>
              <w:outlineLvl w:val="9"/>
              <w:rPr>
                <w:rFonts w:hAnsi="宋体" w:cs="宋体"/>
                <w:color w:val="auto"/>
                <w:szCs w:val="21"/>
                <w:highlight w:val="none"/>
              </w:rPr>
            </w:pPr>
          </w:p>
        </w:tc>
      </w:tr>
    </w:tbl>
    <w:p>
      <w:pPr>
        <w:keepNext w:val="0"/>
        <w:keepLines w:val="0"/>
        <w:pageBreakBefore w:val="0"/>
        <w:widowControl w:val="0"/>
        <w:kinsoku/>
        <w:wordWrap/>
        <w:overflowPunct/>
        <w:topLinePunct w:val="0"/>
        <w:bidi w:val="0"/>
        <w:spacing w:line="360" w:lineRule="auto"/>
        <w:textAlignment w:val="auto"/>
      </w:pPr>
    </w:p>
    <w:p>
      <w:pPr>
        <w:keepNext w:val="0"/>
        <w:keepLines w:val="0"/>
        <w:pageBreakBefore w:val="0"/>
        <w:widowControl w:val="0"/>
        <w:kinsoku/>
        <w:wordWrap/>
        <w:overflowPunct/>
        <w:topLinePunct w:val="0"/>
        <w:bidi w:val="0"/>
        <w:spacing w:line="360" w:lineRule="auto"/>
        <w:textAlignment w:val="auto"/>
      </w:pPr>
    </w:p>
    <w:p>
      <w:pPr>
        <w:keepNext w:val="0"/>
        <w:keepLines w:val="0"/>
        <w:pageBreakBefore w:val="0"/>
        <w:widowControl w:val="0"/>
        <w:kinsoku/>
        <w:wordWrap/>
        <w:overflowPunct/>
        <w:topLinePunct w:val="0"/>
        <w:bidi w:val="0"/>
        <w:spacing w:line="360" w:lineRule="auto"/>
        <w:textAlignment w:val="auto"/>
      </w:pPr>
    </w:p>
    <w:p>
      <w:pPr>
        <w:keepNext w:val="0"/>
        <w:keepLines w:val="0"/>
        <w:pageBreakBefore w:val="0"/>
        <w:widowControl w:val="0"/>
        <w:kinsoku/>
        <w:wordWrap/>
        <w:overflowPunct/>
        <w:topLinePunct w:val="0"/>
        <w:bidi w:val="0"/>
        <w:spacing w:line="360" w:lineRule="auto"/>
        <w:textAlignment w:val="auto"/>
      </w:pPr>
    </w:p>
    <w:p>
      <w:pPr>
        <w:keepNext w:val="0"/>
        <w:keepLines w:val="0"/>
        <w:pageBreakBefore w:val="0"/>
        <w:widowControl w:val="0"/>
        <w:kinsoku/>
        <w:wordWrap/>
        <w:overflowPunct/>
        <w:topLinePunct w:val="0"/>
        <w:bidi w:val="0"/>
        <w:spacing w:line="360" w:lineRule="auto"/>
        <w:textAlignment w:val="auto"/>
      </w:pPr>
    </w:p>
    <w:p>
      <w:pPr>
        <w:keepNext w:val="0"/>
        <w:keepLines w:val="0"/>
        <w:pageBreakBefore w:val="0"/>
        <w:widowControl w:val="0"/>
        <w:kinsoku/>
        <w:wordWrap/>
        <w:overflowPunct/>
        <w:topLinePunct w:val="0"/>
        <w:bidi w:val="0"/>
        <w:spacing w:line="360" w:lineRule="auto"/>
        <w:textAlignment w:val="auto"/>
      </w:pPr>
    </w:p>
    <w:p>
      <w:pPr>
        <w:keepNext w:val="0"/>
        <w:keepLines w:val="0"/>
        <w:pageBreakBefore w:val="0"/>
        <w:widowControl w:val="0"/>
        <w:kinsoku/>
        <w:wordWrap/>
        <w:overflowPunct/>
        <w:topLinePunct w:val="0"/>
        <w:bidi w:val="0"/>
        <w:spacing w:line="360" w:lineRule="auto"/>
        <w:textAlignment w:val="auto"/>
      </w:pPr>
    </w:p>
    <w:p>
      <w:pPr>
        <w:keepNext w:val="0"/>
        <w:keepLines w:val="0"/>
        <w:pageBreakBefore w:val="0"/>
        <w:widowControl w:val="0"/>
        <w:kinsoku/>
        <w:wordWrap/>
        <w:overflowPunct/>
        <w:topLinePunct w:val="0"/>
        <w:bidi w:val="0"/>
        <w:spacing w:line="360" w:lineRule="auto"/>
        <w:textAlignment w:val="auto"/>
      </w:pPr>
    </w:p>
    <w:p>
      <w:pPr>
        <w:keepNext w:val="0"/>
        <w:keepLines w:val="0"/>
        <w:pageBreakBefore w:val="0"/>
        <w:widowControl w:val="0"/>
        <w:kinsoku/>
        <w:wordWrap/>
        <w:overflowPunct/>
        <w:topLinePunct w:val="0"/>
        <w:bidi w:val="0"/>
        <w:spacing w:line="360" w:lineRule="auto"/>
        <w:textAlignment w:val="auto"/>
        <w:rPr>
          <w:rFonts w:hint="eastAsia"/>
          <w:lang w:eastAsia="zh-CN"/>
        </w:rPr>
      </w:pPr>
      <w:bookmarkStart w:id="807" w:name="_Toc6381"/>
    </w:p>
    <w:p>
      <w:pPr>
        <w:keepNext w:val="0"/>
        <w:keepLines w:val="0"/>
        <w:pageBreakBefore w:val="0"/>
        <w:widowControl w:val="0"/>
        <w:kinsoku/>
        <w:wordWrap/>
        <w:overflowPunct/>
        <w:topLinePunct w:val="0"/>
        <w:bidi w:val="0"/>
        <w:spacing w:line="360" w:lineRule="auto"/>
        <w:textAlignment w:val="auto"/>
      </w:pPr>
      <w:r>
        <w:rPr>
          <w:rFonts w:hint="eastAsia" w:ascii="宋体" w:hAnsi="宋体" w:eastAsia="宋体" w:cs="宋体"/>
          <w:color w:val="auto"/>
          <w:highlight w:val="none"/>
          <w:lang w:eastAsia="zh-CN"/>
        </w:rPr>
        <w:t>投标</w:t>
      </w:r>
      <w:r>
        <w:rPr>
          <w:rFonts w:hint="eastAsia"/>
          <w:lang w:eastAsia="zh-CN"/>
        </w:rPr>
        <w:t>人</w:t>
      </w:r>
      <w:r>
        <w:rPr>
          <w:rFonts w:hint="eastAsia"/>
        </w:rPr>
        <w:t>名称（公章）：</w:t>
      </w:r>
      <w:bookmarkEnd w:id="807"/>
    </w:p>
    <w:p>
      <w:pPr>
        <w:keepNext w:val="0"/>
        <w:keepLines w:val="0"/>
        <w:pageBreakBefore w:val="0"/>
        <w:widowControl w:val="0"/>
        <w:kinsoku/>
        <w:wordWrap/>
        <w:overflowPunct/>
        <w:topLinePunct w:val="0"/>
        <w:bidi w:val="0"/>
        <w:spacing w:line="360" w:lineRule="auto"/>
        <w:textAlignment w:val="auto"/>
      </w:pPr>
      <w:bookmarkStart w:id="808" w:name="_Toc24647"/>
      <w:r>
        <w:rPr>
          <w:rFonts w:hint="eastAsia"/>
        </w:rPr>
        <w:t>日期：    年  月  日</w:t>
      </w:r>
      <w:bookmarkEnd w:id="808"/>
    </w:p>
    <w:p>
      <w:pPr>
        <w:keepNext w:val="0"/>
        <w:keepLines w:val="0"/>
        <w:pageBreakBefore w:val="0"/>
        <w:widowControl w:val="0"/>
        <w:kinsoku/>
        <w:wordWrap/>
        <w:overflowPunct/>
        <w:topLinePunct w:val="0"/>
        <w:bidi w:val="0"/>
        <w:spacing w:line="360" w:lineRule="auto"/>
        <w:textAlignment w:val="auto"/>
      </w:pPr>
    </w:p>
    <w:p>
      <w:pPr>
        <w:rPr>
          <w:rFonts w:hint="eastAsia" w:hAnsi="宋体" w:cs="宋体"/>
          <w:b/>
          <w:bCs/>
          <w:color w:val="auto"/>
          <w:sz w:val="30"/>
          <w:szCs w:val="30"/>
          <w:highlight w:val="none"/>
        </w:rPr>
      </w:pPr>
      <w:bookmarkStart w:id="809" w:name="_Toc16838"/>
      <w:r>
        <w:rPr>
          <w:rFonts w:hint="eastAsia" w:hAnsi="宋体" w:cs="宋体"/>
          <w:b/>
          <w:bCs/>
          <w:color w:val="auto"/>
          <w:sz w:val="30"/>
          <w:szCs w:val="30"/>
          <w:highlight w:val="none"/>
        </w:rPr>
        <w:br w:type="page"/>
      </w:r>
    </w:p>
    <w:p>
      <w:pPr>
        <w:bidi w:val="0"/>
        <w:jc w:val="center"/>
        <w:rPr>
          <w:rFonts w:hAnsi="宋体" w:cs="宋体"/>
          <w:b/>
          <w:bCs/>
          <w:color w:val="auto"/>
          <w:sz w:val="30"/>
          <w:szCs w:val="30"/>
          <w:highlight w:val="none"/>
        </w:rPr>
      </w:pPr>
      <w:r>
        <w:rPr>
          <w:rFonts w:hint="eastAsia" w:hAnsi="宋体" w:cs="宋体"/>
          <w:b/>
          <w:bCs/>
          <w:color w:val="auto"/>
          <w:sz w:val="30"/>
          <w:szCs w:val="30"/>
          <w:highlight w:val="none"/>
        </w:rPr>
        <w:t>法定代表人授权书</w:t>
      </w:r>
      <w:bookmarkEnd w:id="809"/>
    </w:p>
    <w:p>
      <w:pPr>
        <w:bidi w:val="0"/>
      </w:pPr>
      <w:r>
        <w:rPr>
          <w:rFonts w:hint="eastAsia"/>
        </w:rPr>
        <w:t xml:space="preserve">       </w:t>
      </w:r>
    </w:p>
    <w:p>
      <w:pPr>
        <w:bidi w:val="0"/>
        <w:rPr>
          <w:rFonts w:hAnsi="宋体" w:cs="宋体"/>
          <w:color w:val="auto"/>
          <w:spacing w:val="4"/>
          <w:sz w:val="28"/>
          <w:szCs w:val="28"/>
          <w:highlight w:val="none"/>
        </w:rPr>
      </w:pPr>
      <w:bookmarkStart w:id="810" w:name="_Toc19923"/>
      <w:r>
        <w:rPr>
          <w:rFonts w:hint="eastAsia" w:hAnsi="宋体" w:cs="宋体"/>
          <w:b/>
          <w:color w:val="auto"/>
          <w:spacing w:val="4"/>
          <w:sz w:val="28"/>
          <w:szCs w:val="28"/>
          <w:highlight w:val="none"/>
        </w:rPr>
        <w:t>致：</w:t>
      </w:r>
      <w:r>
        <w:rPr>
          <w:rFonts w:hint="eastAsia" w:hAnsi="宋体" w:cs="宋体"/>
          <w:b/>
          <w:color w:val="auto"/>
          <w:spacing w:val="4"/>
          <w:sz w:val="28"/>
          <w:szCs w:val="28"/>
          <w:highlight w:val="none"/>
          <w:u w:val="single"/>
          <w:lang w:eastAsia="zh-CN"/>
        </w:rPr>
        <w:t>汉中市人民医院</w:t>
      </w:r>
      <w:r>
        <w:rPr>
          <w:rFonts w:hint="eastAsia" w:hAnsi="宋体" w:cs="宋体"/>
          <w:b/>
          <w:color w:val="auto"/>
          <w:spacing w:val="4"/>
          <w:sz w:val="28"/>
          <w:szCs w:val="28"/>
          <w:highlight w:val="none"/>
          <w:u w:val="single"/>
        </w:rPr>
        <w:t>/陕西至诚招标咨询有限公司</w:t>
      </w:r>
      <w:bookmarkEnd w:id="810"/>
    </w:p>
    <w:p>
      <w:pPr>
        <w:keepNext w:val="0"/>
        <w:keepLines w:val="0"/>
        <w:pageBreakBefore w:val="0"/>
        <w:widowControl w:val="0"/>
        <w:kinsoku/>
        <w:wordWrap/>
        <w:overflowPunct/>
        <w:topLinePunct w:val="0"/>
        <w:autoSpaceDE/>
        <w:autoSpaceDN/>
        <w:bidi w:val="0"/>
        <w:adjustRightInd/>
        <w:snapToGrid/>
        <w:spacing w:line="360" w:lineRule="auto"/>
        <w:ind w:firstLine="576" w:firstLineChars="200"/>
        <w:textAlignment w:val="auto"/>
        <w:rPr>
          <w:rFonts w:hAnsi="宋体" w:cs="宋体"/>
          <w:color w:val="auto"/>
          <w:spacing w:val="4"/>
          <w:sz w:val="28"/>
          <w:szCs w:val="28"/>
          <w:highlight w:val="none"/>
        </w:rPr>
      </w:pPr>
      <w:bookmarkStart w:id="811" w:name="_Toc21113"/>
      <w:r>
        <w:rPr>
          <w:rFonts w:hint="eastAsia" w:hAnsi="宋体" w:cs="宋体"/>
          <w:color w:val="auto"/>
          <w:spacing w:val="4"/>
          <w:sz w:val="28"/>
          <w:szCs w:val="28"/>
          <w:highlight w:val="none"/>
          <w:u w:val="single"/>
        </w:rPr>
        <w:t>(</w:t>
      </w:r>
      <w:r>
        <w:rPr>
          <w:rFonts w:hint="eastAsia" w:hAnsi="宋体" w:cs="宋体"/>
          <w:color w:val="auto"/>
          <w:spacing w:val="4"/>
          <w:sz w:val="28"/>
          <w:szCs w:val="28"/>
          <w:highlight w:val="none"/>
          <w:u w:val="single"/>
          <w:lang w:eastAsia="zh-CN"/>
        </w:rPr>
        <w:t>投标人</w:t>
      </w:r>
      <w:r>
        <w:rPr>
          <w:rFonts w:hint="eastAsia" w:hAnsi="宋体" w:cs="宋体"/>
          <w:color w:val="auto"/>
          <w:spacing w:val="4"/>
          <w:sz w:val="28"/>
          <w:szCs w:val="28"/>
          <w:highlight w:val="none"/>
          <w:u w:val="single"/>
        </w:rPr>
        <w:t xml:space="preserve">名称)   </w:t>
      </w:r>
      <w:r>
        <w:rPr>
          <w:rFonts w:hint="eastAsia" w:hAnsi="宋体" w:cs="宋体"/>
          <w:color w:val="auto"/>
          <w:spacing w:val="4"/>
          <w:sz w:val="28"/>
          <w:szCs w:val="28"/>
          <w:highlight w:val="none"/>
        </w:rPr>
        <w:t>按中华人民共和国法律于</w:t>
      </w:r>
      <w:r>
        <w:rPr>
          <w:rFonts w:hint="eastAsia" w:hAnsi="宋体" w:cs="宋体"/>
          <w:color w:val="auto"/>
          <w:spacing w:val="4"/>
          <w:sz w:val="28"/>
          <w:szCs w:val="28"/>
          <w:highlight w:val="none"/>
          <w:u w:val="single"/>
        </w:rPr>
        <w:t xml:space="preserve">（  年  月  日 ）  </w:t>
      </w:r>
      <w:r>
        <w:rPr>
          <w:rFonts w:hint="eastAsia" w:hAnsi="宋体" w:cs="宋体"/>
          <w:color w:val="auto"/>
          <w:spacing w:val="4"/>
          <w:sz w:val="28"/>
          <w:szCs w:val="28"/>
          <w:highlight w:val="none"/>
        </w:rPr>
        <w:t>成立。</w:t>
      </w:r>
      <w:r>
        <w:rPr>
          <w:rFonts w:hint="eastAsia" w:hAnsi="宋体" w:cs="宋体"/>
          <w:color w:val="auto"/>
          <w:spacing w:val="4"/>
          <w:sz w:val="28"/>
          <w:szCs w:val="28"/>
          <w:highlight w:val="none"/>
          <w:u w:val="single"/>
        </w:rPr>
        <w:t>(</w:t>
      </w:r>
      <w:r>
        <w:rPr>
          <w:rFonts w:hint="eastAsia" w:hAnsi="宋体" w:cs="宋体"/>
          <w:color w:val="auto"/>
          <w:sz w:val="28"/>
          <w:szCs w:val="28"/>
          <w:highlight w:val="none"/>
          <w:u w:val="single"/>
        </w:rPr>
        <w:t>法定代表人</w:t>
      </w:r>
      <w:r>
        <w:rPr>
          <w:rFonts w:hint="eastAsia" w:hAnsi="宋体" w:cs="宋体"/>
          <w:color w:val="auto"/>
          <w:spacing w:val="4"/>
          <w:sz w:val="28"/>
          <w:szCs w:val="28"/>
          <w:highlight w:val="none"/>
          <w:u w:val="single"/>
        </w:rPr>
        <w:t>姓名)</w:t>
      </w:r>
      <w:r>
        <w:rPr>
          <w:rFonts w:hint="eastAsia" w:hAnsi="宋体" w:cs="宋体"/>
          <w:color w:val="auto"/>
          <w:spacing w:val="4"/>
          <w:sz w:val="28"/>
          <w:szCs w:val="28"/>
          <w:highlight w:val="none"/>
        </w:rPr>
        <w:t>特授权</w:t>
      </w:r>
      <w:r>
        <w:rPr>
          <w:rFonts w:hint="eastAsia" w:hAnsi="宋体" w:cs="宋体"/>
          <w:color w:val="auto"/>
          <w:spacing w:val="4"/>
          <w:sz w:val="28"/>
          <w:szCs w:val="28"/>
          <w:highlight w:val="none"/>
          <w:u w:val="single"/>
        </w:rPr>
        <w:t xml:space="preserve">（ </w:t>
      </w:r>
      <w:r>
        <w:rPr>
          <w:rFonts w:hint="eastAsia" w:hAnsi="宋体" w:cs="宋体"/>
          <w:color w:val="auto"/>
          <w:sz w:val="28"/>
          <w:szCs w:val="28"/>
          <w:highlight w:val="none"/>
          <w:u w:val="single"/>
        </w:rPr>
        <w:t>授权代表</w:t>
      </w:r>
      <w:r>
        <w:rPr>
          <w:rFonts w:hint="eastAsia" w:hAnsi="宋体" w:cs="宋体"/>
          <w:color w:val="auto"/>
          <w:spacing w:val="4"/>
          <w:sz w:val="28"/>
          <w:szCs w:val="28"/>
          <w:highlight w:val="none"/>
          <w:u w:val="single"/>
        </w:rPr>
        <w:t>姓名 ）</w:t>
      </w:r>
      <w:r>
        <w:rPr>
          <w:rFonts w:hint="eastAsia" w:hAnsi="宋体" w:cs="宋体"/>
          <w:color w:val="auto"/>
          <w:spacing w:val="4"/>
          <w:sz w:val="28"/>
          <w:szCs w:val="28"/>
          <w:highlight w:val="none"/>
        </w:rPr>
        <w:t xml:space="preserve">代表我公司全权办理针对本次 </w:t>
      </w:r>
      <w:r>
        <w:rPr>
          <w:rFonts w:hint="eastAsia" w:hAnsi="宋体" w:cs="宋体"/>
          <w:color w:val="auto"/>
          <w:spacing w:val="4"/>
          <w:sz w:val="28"/>
          <w:szCs w:val="28"/>
          <w:highlight w:val="none"/>
          <w:u w:val="single"/>
        </w:rPr>
        <w:t xml:space="preserve">（项目名称、项目编号   </w:t>
      </w:r>
      <w:r>
        <w:rPr>
          <w:rFonts w:hint="eastAsia" w:hAnsi="宋体" w:cs="宋体"/>
          <w:color w:val="auto"/>
          <w:spacing w:val="4"/>
          <w:sz w:val="28"/>
          <w:szCs w:val="28"/>
          <w:highlight w:val="none"/>
        </w:rPr>
        <w:t>投标、谈判、签约等具体工作，并签署全部有关的文件、协议及合同。</w:t>
      </w:r>
      <w:bookmarkEnd w:id="811"/>
    </w:p>
    <w:p>
      <w:pPr>
        <w:keepNext w:val="0"/>
        <w:keepLines w:val="0"/>
        <w:pageBreakBefore w:val="0"/>
        <w:widowControl w:val="0"/>
        <w:kinsoku/>
        <w:wordWrap/>
        <w:overflowPunct/>
        <w:topLinePunct w:val="0"/>
        <w:autoSpaceDE/>
        <w:autoSpaceDN/>
        <w:bidi w:val="0"/>
        <w:adjustRightInd/>
        <w:snapToGrid/>
        <w:spacing w:line="360" w:lineRule="auto"/>
        <w:ind w:firstLine="576" w:firstLineChars="200"/>
        <w:textAlignment w:val="auto"/>
        <w:rPr>
          <w:rFonts w:hAnsi="宋体" w:cs="宋体"/>
          <w:color w:val="auto"/>
          <w:spacing w:val="4"/>
          <w:sz w:val="28"/>
          <w:szCs w:val="28"/>
          <w:highlight w:val="none"/>
        </w:rPr>
      </w:pPr>
      <w:bookmarkStart w:id="812" w:name="_Toc23252"/>
      <w:r>
        <w:rPr>
          <w:rFonts w:hint="eastAsia" w:hAnsi="宋体" w:cs="宋体"/>
          <w:color w:val="auto"/>
          <w:spacing w:val="4"/>
          <w:sz w:val="28"/>
          <w:szCs w:val="28"/>
          <w:highlight w:val="none"/>
        </w:rPr>
        <w:t>我公司对</w:t>
      </w:r>
      <w:r>
        <w:rPr>
          <w:rFonts w:hint="eastAsia" w:hAnsi="宋体" w:cs="宋体"/>
          <w:color w:val="auto"/>
          <w:sz w:val="28"/>
          <w:szCs w:val="28"/>
          <w:highlight w:val="none"/>
        </w:rPr>
        <w:t>授权代表</w:t>
      </w:r>
      <w:r>
        <w:rPr>
          <w:rFonts w:hint="eastAsia" w:hAnsi="宋体" w:cs="宋体"/>
          <w:color w:val="auto"/>
          <w:spacing w:val="4"/>
          <w:sz w:val="28"/>
          <w:szCs w:val="28"/>
          <w:highlight w:val="none"/>
        </w:rPr>
        <w:t>的签名负全部责任。</w:t>
      </w:r>
      <w:bookmarkEnd w:id="81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s="宋体"/>
          <w:color w:val="auto"/>
          <w:sz w:val="28"/>
          <w:szCs w:val="28"/>
          <w:highlight w:val="none"/>
        </w:rPr>
      </w:pPr>
      <w:bookmarkStart w:id="813" w:name="_Toc3282"/>
      <w:r>
        <w:rPr>
          <w:rFonts w:hint="eastAsia" w:hAnsi="宋体" w:cs="宋体"/>
          <w:color w:val="auto"/>
          <w:sz w:val="28"/>
          <w:szCs w:val="28"/>
          <w:highlight w:val="none"/>
        </w:rPr>
        <w:t>委托期限：</w:t>
      </w:r>
      <w:r>
        <w:rPr>
          <w:rFonts w:hint="eastAsia" w:hAnsi="宋体" w:cs="宋体"/>
          <w:color w:val="auto"/>
          <w:sz w:val="28"/>
          <w:szCs w:val="21"/>
          <w:highlight w:val="none"/>
          <w:lang w:val="zh-CN"/>
        </w:rPr>
        <w:t>自开标之日起</w:t>
      </w:r>
      <w:r>
        <w:rPr>
          <w:rFonts w:hint="eastAsia" w:hAnsi="宋体" w:cs="宋体"/>
          <w:color w:val="auto"/>
          <w:sz w:val="28"/>
          <w:szCs w:val="21"/>
          <w:highlight w:val="none"/>
        </w:rPr>
        <w:t>90</w:t>
      </w:r>
      <w:r>
        <w:rPr>
          <w:rFonts w:hint="eastAsia" w:hAnsi="宋体" w:cs="宋体"/>
          <w:color w:val="auto"/>
          <w:sz w:val="28"/>
          <w:szCs w:val="21"/>
          <w:highlight w:val="none"/>
          <w:lang w:val="zh-CN"/>
        </w:rPr>
        <w:t>天。</w:t>
      </w:r>
      <w:bookmarkEnd w:id="813"/>
    </w:p>
    <w:p>
      <w:pPr>
        <w:keepNext w:val="0"/>
        <w:keepLines w:val="0"/>
        <w:pageBreakBefore w:val="0"/>
        <w:widowControl w:val="0"/>
        <w:kinsoku/>
        <w:wordWrap/>
        <w:overflowPunct/>
        <w:topLinePunct w:val="0"/>
        <w:autoSpaceDE/>
        <w:autoSpaceDN/>
        <w:bidi w:val="0"/>
        <w:adjustRightInd/>
        <w:snapToGrid/>
        <w:spacing w:line="360" w:lineRule="auto"/>
        <w:ind w:firstLine="576" w:firstLineChars="200"/>
        <w:textAlignment w:val="auto"/>
        <w:rPr>
          <w:rFonts w:hAnsi="宋体" w:cs="宋体"/>
          <w:color w:val="auto"/>
          <w:spacing w:val="4"/>
          <w:sz w:val="28"/>
          <w:szCs w:val="28"/>
          <w:highlight w:val="none"/>
        </w:rPr>
      </w:pPr>
      <w:bookmarkStart w:id="814" w:name="_Toc11223"/>
      <w:r>
        <w:rPr>
          <w:rFonts w:hint="eastAsia" w:hAnsi="宋体" w:cs="宋体"/>
          <w:color w:val="auto"/>
          <w:spacing w:val="4"/>
          <w:sz w:val="28"/>
          <w:szCs w:val="28"/>
          <w:highlight w:val="none"/>
        </w:rPr>
        <w:t>本</w:t>
      </w:r>
      <w:r>
        <w:rPr>
          <w:rFonts w:hint="eastAsia" w:ascii="宋体" w:hAnsi="宋体" w:eastAsia="宋体" w:cs="宋体"/>
          <w:color w:val="auto"/>
          <w:sz w:val="28"/>
          <w:szCs w:val="21"/>
          <w:highlight w:val="none"/>
          <w:lang w:eastAsia="zh-CN"/>
        </w:rPr>
        <w:t>授权</w:t>
      </w:r>
      <w:r>
        <w:rPr>
          <w:rFonts w:hint="eastAsia" w:hAnsi="宋体" w:cs="宋体"/>
          <w:color w:val="auto"/>
          <w:spacing w:val="4"/>
          <w:sz w:val="28"/>
          <w:szCs w:val="28"/>
          <w:highlight w:val="none"/>
        </w:rPr>
        <w:t>书于</w:t>
      </w:r>
      <w:r>
        <w:rPr>
          <w:rFonts w:hint="eastAsia" w:hAnsi="宋体" w:cs="宋体"/>
          <w:color w:val="auto"/>
          <w:spacing w:val="4"/>
          <w:sz w:val="28"/>
          <w:szCs w:val="28"/>
          <w:highlight w:val="none"/>
          <w:u w:val="single"/>
        </w:rPr>
        <w:t xml:space="preserve">      年   月   日</w:t>
      </w:r>
      <w:r>
        <w:rPr>
          <w:rFonts w:hint="eastAsia" w:hAnsi="宋体" w:cs="宋体"/>
          <w:color w:val="auto"/>
          <w:spacing w:val="4"/>
          <w:sz w:val="28"/>
          <w:szCs w:val="28"/>
          <w:highlight w:val="none"/>
        </w:rPr>
        <w:t>签章生效，特此证明。</w:t>
      </w:r>
      <w:bookmarkEnd w:id="814"/>
    </w:p>
    <w:tbl>
      <w:tblPr>
        <w:tblStyle w:val="22"/>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bidi w:val="0"/>
              <w:rPr>
                <w:rFonts w:hAnsi="宋体" w:cs="宋体"/>
                <w:color w:val="auto"/>
                <w:spacing w:val="4"/>
                <w:szCs w:val="24"/>
                <w:highlight w:val="none"/>
              </w:rPr>
            </w:pPr>
            <w:bookmarkStart w:id="815" w:name="_Toc18841"/>
            <w:bookmarkStart w:id="816" w:name="_Toc11575"/>
            <w:r>
              <w:rPr>
                <w:rFonts w:hint="eastAsia" w:hAnsi="宋体" w:cs="宋体"/>
                <w:color w:val="auto"/>
                <w:spacing w:val="4"/>
                <w:szCs w:val="24"/>
                <w:highlight w:val="none"/>
              </w:rPr>
              <w:t>被</w:t>
            </w:r>
            <w:r>
              <w:rPr>
                <w:rFonts w:hint="eastAsia" w:ascii="宋体" w:hAnsi="Times New Roman" w:eastAsia="宋体" w:cs="Times New Roman"/>
              </w:rPr>
              <w:t>授权</w:t>
            </w:r>
            <w:r>
              <w:rPr>
                <w:rFonts w:hint="eastAsia" w:hAnsi="宋体" w:cs="宋体"/>
                <w:color w:val="auto"/>
                <w:spacing w:val="4"/>
                <w:szCs w:val="24"/>
                <w:highlight w:val="none"/>
              </w:rPr>
              <w:t>人签字或盖章：</w:t>
            </w:r>
            <w:bookmarkEnd w:id="815"/>
            <w:bookmarkEnd w:id="816"/>
          </w:p>
        </w:tc>
        <w:tc>
          <w:tcPr>
            <w:tcW w:w="3990" w:type="dxa"/>
          </w:tcPr>
          <w:p>
            <w:pPr>
              <w:bidi w:val="0"/>
              <w:rPr>
                <w:rFonts w:hAnsi="宋体" w:cs="宋体"/>
                <w:color w:val="auto"/>
                <w:spacing w:val="4"/>
                <w:szCs w:val="24"/>
                <w:highlight w:val="none"/>
              </w:rPr>
            </w:pPr>
            <w:bookmarkStart w:id="817" w:name="_Toc21883"/>
            <w:bookmarkStart w:id="818" w:name="_Toc11172"/>
            <w:r>
              <w:rPr>
                <w:rFonts w:hint="eastAsia" w:hAnsi="宋体" w:cs="宋体"/>
                <w:color w:val="auto"/>
                <w:szCs w:val="24"/>
                <w:highlight w:val="none"/>
              </w:rPr>
              <w:t>法定代表人</w:t>
            </w:r>
            <w:r>
              <w:rPr>
                <w:rFonts w:hint="eastAsia" w:hAnsi="宋体" w:cs="宋体"/>
                <w:color w:val="auto"/>
                <w:spacing w:val="4"/>
                <w:szCs w:val="24"/>
                <w:highlight w:val="none"/>
              </w:rPr>
              <w:t>签字或盖章：</w:t>
            </w:r>
            <w:bookmarkEnd w:id="817"/>
            <w:bookmarkEnd w:id="818"/>
          </w:p>
        </w:tc>
      </w:tr>
      <w:tr>
        <w:tblPrEx>
          <w:tblCellMar>
            <w:top w:w="0" w:type="dxa"/>
            <w:left w:w="108" w:type="dxa"/>
            <w:bottom w:w="0" w:type="dxa"/>
            <w:right w:w="108" w:type="dxa"/>
          </w:tblCellMar>
        </w:tblPrEx>
        <w:trPr>
          <w:trHeight w:val="600" w:hRule="atLeast"/>
        </w:trPr>
        <w:tc>
          <w:tcPr>
            <w:tcW w:w="4200" w:type="dxa"/>
          </w:tcPr>
          <w:p>
            <w:pPr>
              <w:bidi w:val="0"/>
              <w:rPr>
                <w:rFonts w:hAnsi="宋体" w:cs="宋体"/>
                <w:color w:val="auto"/>
                <w:spacing w:val="4"/>
                <w:szCs w:val="24"/>
                <w:highlight w:val="none"/>
              </w:rPr>
            </w:pPr>
            <w:bookmarkStart w:id="819" w:name="_Toc4286"/>
            <w:bookmarkStart w:id="820" w:name="_Toc16495"/>
            <w:r>
              <w:rPr>
                <w:rFonts w:hint="eastAsia" w:ascii="宋体" w:hAnsi="Times New Roman" w:eastAsia="宋体" w:cs="Times New Roman"/>
              </w:rPr>
              <w:t>职务</w:t>
            </w:r>
            <w:r>
              <w:rPr>
                <w:rFonts w:hint="eastAsia" w:hAnsi="宋体" w:cs="宋体"/>
                <w:color w:val="auto"/>
                <w:spacing w:val="4"/>
                <w:szCs w:val="24"/>
                <w:highlight w:val="none"/>
              </w:rPr>
              <w:t>：</w:t>
            </w:r>
            <w:bookmarkEnd w:id="819"/>
            <w:bookmarkEnd w:id="820"/>
          </w:p>
        </w:tc>
        <w:tc>
          <w:tcPr>
            <w:tcW w:w="3990" w:type="dxa"/>
          </w:tcPr>
          <w:p>
            <w:pPr>
              <w:bidi w:val="0"/>
              <w:rPr>
                <w:rFonts w:hAnsi="宋体" w:cs="宋体"/>
                <w:color w:val="auto"/>
                <w:spacing w:val="4"/>
                <w:szCs w:val="24"/>
                <w:highlight w:val="none"/>
              </w:rPr>
            </w:pPr>
            <w:bookmarkStart w:id="821" w:name="_Toc12849"/>
            <w:bookmarkStart w:id="822" w:name="_Toc22917"/>
            <w:r>
              <w:rPr>
                <w:rFonts w:hint="eastAsia" w:hAnsi="宋体" w:cs="宋体"/>
                <w:color w:val="auto"/>
                <w:spacing w:val="4"/>
                <w:szCs w:val="24"/>
                <w:highlight w:val="none"/>
              </w:rPr>
              <w:t>职务：</w:t>
            </w:r>
            <w:bookmarkEnd w:id="821"/>
            <w:bookmarkEnd w:id="822"/>
          </w:p>
        </w:tc>
      </w:tr>
      <w:tr>
        <w:tblPrEx>
          <w:tblCellMar>
            <w:top w:w="0" w:type="dxa"/>
            <w:left w:w="108" w:type="dxa"/>
            <w:bottom w:w="0" w:type="dxa"/>
            <w:right w:w="108" w:type="dxa"/>
          </w:tblCellMar>
        </w:tblPrEx>
        <w:trPr>
          <w:trHeight w:val="600" w:hRule="atLeast"/>
        </w:trPr>
        <w:tc>
          <w:tcPr>
            <w:tcW w:w="4200" w:type="dxa"/>
          </w:tcPr>
          <w:p>
            <w:pPr>
              <w:bidi w:val="0"/>
              <w:rPr>
                <w:rFonts w:hAnsi="宋体" w:cs="宋体"/>
                <w:color w:val="auto"/>
                <w:spacing w:val="4"/>
                <w:szCs w:val="24"/>
                <w:highlight w:val="none"/>
              </w:rPr>
            </w:pPr>
            <w:bookmarkStart w:id="823" w:name="_Toc17474"/>
            <w:bookmarkStart w:id="824" w:name="_Toc12511"/>
            <w:r>
              <w:rPr>
                <w:rFonts w:hint="eastAsia" w:ascii="宋体" w:hAnsi="Times New Roman" w:eastAsia="宋体" w:cs="Times New Roman"/>
              </w:rPr>
              <w:t>身份证</w:t>
            </w:r>
            <w:r>
              <w:rPr>
                <w:rFonts w:hint="eastAsia" w:hAnsi="宋体" w:cs="宋体"/>
                <w:color w:val="auto"/>
                <w:spacing w:val="4"/>
                <w:szCs w:val="24"/>
                <w:highlight w:val="none"/>
              </w:rPr>
              <w:t>号：</w:t>
            </w:r>
            <w:bookmarkEnd w:id="823"/>
            <w:bookmarkEnd w:id="824"/>
          </w:p>
        </w:tc>
        <w:tc>
          <w:tcPr>
            <w:tcW w:w="3990" w:type="dxa"/>
          </w:tcPr>
          <w:p>
            <w:pPr>
              <w:bidi w:val="0"/>
              <w:rPr>
                <w:rFonts w:hAnsi="宋体" w:cs="宋体"/>
                <w:color w:val="auto"/>
                <w:spacing w:val="4"/>
                <w:szCs w:val="24"/>
                <w:highlight w:val="none"/>
              </w:rPr>
            </w:pPr>
            <w:bookmarkStart w:id="825" w:name="_Toc12485"/>
            <w:bookmarkStart w:id="826" w:name="_Toc29103"/>
            <w:r>
              <w:rPr>
                <w:rFonts w:hint="eastAsia" w:ascii="宋体" w:hAnsi="Times New Roman" w:eastAsia="宋体" w:cs="Times New Roman"/>
              </w:rPr>
              <w:t>身份证</w:t>
            </w:r>
            <w:r>
              <w:rPr>
                <w:rFonts w:hint="eastAsia" w:hAnsi="宋体" w:cs="宋体"/>
                <w:color w:val="auto"/>
                <w:spacing w:val="4"/>
                <w:szCs w:val="24"/>
                <w:highlight w:val="none"/>
              </w:rPr>
              <w:t>号：</w:t>
            </w:r>
            <w:bookmarkEnd w:id="825"/>
            <w:bookmarkEnd w:id="826"/>
          </w:p>
        </w:tc>
      </w:tr>
      <w:tr>
        <w:tblPrEx>
          <w:tblCellMar>
            <w:top w:w="0" w:type="dxa"/>
            <w:left w:w="108" w:type="dxa"/>
            <w:bottom w:w="0" w:type="dxa"/>
            <w:right w:w="108" w:type="dxa"/>
          </w:tblCellMar>
        </w:tblPrEx>
        <w:trPr>
          <w:trHeight w:val="600" w:hRule="atLeast"/>
        </w:trPr>
        <w:tc>
          <w:tcPr>
            <w:tcW w:w="4200" w:type="dxa"/>
          </w:tcPr>
          <w:p>
            <w:pPr>
              <w:bidi w:val="0"/>
              <w:rPr>
                <w:rFonts w:hAnsi="宋体" w:cs="宋体"/>
                <w:color w:val="auto"/>
                <w:spacing w:val="4"/>
                <w:szCs w:val="24"/>
                <w:highlight w:val="none"/>
              </w:rPr>
            </w:pPr>
            <w:bookmarkStart w:id="827" w:name="_Toc12617"/>
            <w:bookmarkStart w:id="828" w:name="_Toc3737"/>
            <w:r>
              <w:rPr>
                <w:rFonts w:hint="eastAsia" w:hAnsi="宋体" w:cs="宋体"/>
                <w:color w:val="auto"/>
                <w:spacing w:val="4"/>
                <w:szCs w:val="24"/>
                <w:highlight w:val="none"/>
              </w:rPr>
              <w:t>所在</w:t>
            </w:r>
            <w:r>
              <w:rPr>
                <w:rFonts w:hint="eastAsia" w:ascii="宋体" w:hAnsi="Times New Roman" w:eastAsia="宋体" w:cs="Times New Roman"/>
              </w:rPr>
              <w:t>部门</w:t>
            </w:r>
            <w:r>
              <w:rPr>
                <w:rFonts w:hint="eastAsia" w:hAnsi="宋体" w:cs="宋体"/>
                <w:color w:val="auto"/>
                <w:spacing w:val="4"/>
                <w:szCs w:val="24"/>
                <w:highlight w:val="none"/>
              </w:rPr>
              <w:t>：</w:t>
            </w:r>
            <w:bookmarkEnd w:id="827"/>
            <w:bookmarkEnd w:id="828"/>
          </w:p>
        </w:tc>
        <w:tc>
          <w:tcPr>
            <w:tcW w:w="3990" w:type="dxa"/>
          </w:tcPr>
          <w:p>
            <w:pPr>
              <w:spacing w:line="360" w:lineRule="auto"/>
              <w:jc w:val="left"/>
              <w:outlineLvl w:val="9"/>
              <w:rPr>
                <w:rFonts w:hAnsi="宋体" w:cs="宋体"/>
                <w:color w:val="auto"/>
                <w:spacing w:val="4"/>
                <w:szCs w:val="24"/>
                <w:highlight w:val="none"/>
              </w:rPr>
            </w:pPr>
          </w:p>
        </w:tc>
      </w:tr>
    </w:tbl>
    <w:p>
      <w:pPr>
        <w:bidi w:val="0"/>
      </w:pPr>
    </w:p>
    <w:p>
      <w:pPr>
        <w:bidi w:val="0"/>
        <w:jc w:val="center"/>
        <w:rPr>
          <w:rFonts w:hAnsi="宋体" w:cs="宋体"/>
          <w:color w:val="auto"/>
          <w:highlight w:val="none"/>
          <w:u w:val="single"/>
        </w:rPr>
      </w:pPr>
      <w:bookmarkStart w:id="829" w:name="_Toc15867"/>
      <w:r>
        <w:rPr>
          <w:rFonts w:hint="eastAsia" w:hAnsi="宋体" w:cs="宋体"/>
          <w:color w:val="auto"/>
          <w:highlight w:val="none"/>
          <w:lang w:val="zh-CN"/>
        </w:rPr>
        <w:t>附法定代表人</w:t>
      </w:r>
      <w:r>
        <w:rPr>
          <w:rFonts w:hint="eastAsia" w:hAnsi="宋体" w:cs="宋体"/>
          <w:color w:val="auto"/>
          <w:highlight w:val="none"/>
        </w:rPr>
        <w:t>、</w:t>
      </w:r>
      <w:r>
        <w:rPr>
          <w:rFonts w:hint="eastAsia" w:hAnsi="宋体" w:cs="宋体"/>
          <w:color w:val="auto"/>
          <w:highlight w:val="none"/>
          <w:lang w:val="zh-CN"/>
        </w:rPr>
        <w:t>授权代表身份证复印件</w:t>
      </w:r>
      <w:bookmarkEnd w:id="829"/>
    </w:p>
    <w:tbl>
      <w:tblPr>
        <w:tblStyle w:val="22"/>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bidi w:val="0"/>
              <w:jc w:val="center"/>
              <w:rPr>
                <w:rFonts w:hAnsi="宋体" w:cs="宋体"/>
                <w:color w:val="auto"/>
                <w:szCs w:val="21"/>
                <w:highlight w:val="none"/>
                <w:lang w:val="zh-CN"/>
              </w:rPr>
            </w:pPr>
            <w:bookmarkStart w:id="830" w:name="_Toc28906"/>
            <w:bookmarkStart w:id="831" w:name="_Toc4866"/>
            <w:r>
              <w:rPr>
                <w:rFonts w:hint="eastAsia" w:hAnsi="宋体" w:cs="宋体"/>
                <w:color w:val="auto"/>
                <w:szCs w:val="21"/>
                <w:highlight w:val="none"/>
                <w:lang w:val="zh-CN"/>
              </w:rPr>
              <w:t>法定</w:t>
            </w:r>
            <w:r>
              <w:rPr>
                <w:rFonts w:hint="eastAsia" w:ascii="宋体" w:hAnsi="Times New Roman" w:eastAsia="宋体" w:cs="Times New Roman"/>
                <w:lang w:val="zh-CN"/>
              </w:rPr>
              <w:t>代表人</w:t>
            </w:r>
            <w:r>
              <w:rPr>
                <w:rFonts w:hint="eastAsia" w:hAnsi="宋体" w:cs="宋体"/>
                <w:color w:val="auto"/>
                <w:szCs w:val="21"/>
                <w:highlight w:val="none"/>
                <w:lang w:val="zh-CN"/>
              </w:rPr>
              <w:t>身份证复印件粘贴处</w:t>
            </w:r>
            <w:bookmarkEnd w:id="830"/>
            <w:bookmarkEnd w:id="831"/>
          </w:p>
          <w:p>
            <w:pPr>
              <w:bidi w:val="0"/>
              <w:jc w:val="center"/>
            </w:pPr>
            <w:bookmarkStart w:id="832" w:name="_Toc9722"/>
            <w:bookmarkStart w:id="833" w:name="_Toc23179"/>
            <w:bookmarkStart w:id="834" w:name="_Toc25531"/>
            <w:bookmarkStart w:id="835" w:name="_Toc30116"/>
            <w:r>
              <w:rPr>
                <w:rFonts w:hint="eastAsia"/>
                <w:lang w:val="zh-CN"/>
              </w:rPr>
              <w:t>（正反面）</w:t>
            </w:r>
            <w:bookmarkEnd w:id="832"/>
            <w:bookmarkEnd w:id="833"/>
            <w:bookmarkEnd w:id="834"/>
            <w:bookmarkEnd w:id="835"/>
          </w:p>
        </w:tc>
        <w:tc>
          <w:tcPr>
            <w:tcW w:w="4111" w:type="dxa"/>
            <w:tcBorders>
              <w:top w:val="single" w:color="auto" w:sz="6" w:space="0"/>
              <w:left w:val="single" w:color="auto" w:sz="6" w:space="0"/>
              <w:bottom w:val="single" w:color="auto" w:sz="6" w:space="0"/>
              <w:right w:val="single" w:color="auto" w:sz="6" w:space="0"/>
            </w:tcBorders>
            <w:vAlign w:val="center"/>
          </w:tcPr>
          <w:p>
            <w:pPr>
              <w:bidi w:val="0"/>
              <w:jc w:val="center"/>
            </w:pPr>
            <w:bookmarkStart w:id="836" w:name="_Toc28885"/>
            <w:bookmarkStart w:id="837" w:name="_Toc1356"/>
            <w:r>
              <w:rPr>
                <w:rFonts w:hint="eastAsia"/>
              </w:rPr>
              <w:t>授权代表身份证复印件粘贴处</w:t>
            </w:r>
            <w:bookmarkEnd w:id="836"/>
            <w:bookmarkEnd w:id="837"/>
          </w:p>
          <w:p>
            <w:pPr>
              <w:bidi w:val="0"/>
              <w:jc w:val="center"/>
            </w:pPr>
            <w:bookmarkStart w:id="838" w:name="_Toc9039"/>
            <w:bookmarkStart w:id="839" w:name="_Toc26854"/>
            <w:bookmarkStart w:id="840" w:name="_Toc20443"/>
            <w:bookmarkStart w:id="841" w:name="_Toc16719"/>
            <w:r>
              <w:rPr>
                <w:rFonts w:hint="eastAsia"/>
              </w:rPr>
              <w:t>（正反面）</w:t>
            </w:r>
            <w:bookmarkEnd w:id="838"/>
            <w:bookmarkEnd w:id="839"/>
            <w:bookmarkEnd w:id="840"/>
            <w:bookmarkEnd w:id="841"/>
          </w:p>
        </w:tc>
      </w:tr>
    </w:tbl>
    <w:p>
      <w:pPr>
        <w:bidi w:val="0"/>
        <w:rPr>
          <w:rFonts w:hAnsi="宋体" w:cs="宋体"/>
          <w:color w:val="auto"/>
          <w:highlight w:val="none"/>
        </w:rPr>
      </w:pPr>
      <w:bookmarkStart w:id="842" w:name="_Toc15880"/>
      <w:r>
        <w:rPr>
          <w:rFonts w:hint="eastAsia" w:hAnsi="宋体" w:cs="宋体"/>
          <w:color w:val="auto"/>
          <w:highlight w:val="none"/>
          <w:lang w:eastAsia="zh-CN"/>
        </w:rPr>
        <w:t>投标人</w:t>
      </w:r>
      <w:r>
        <w:rPr>
          <w:rFonts w:hint="eastAsia" w:hAnsi="宋体" w:cs="宋体"/>
          <w:color w:val="auto"/>
          <w:highlight w:val="none"/>
        </w:rPr>
        <w:t>名称：</w:t>
      </w:r>
      <w:r>
        <w:rPr>
          <w:rFonts w:hint="eastAsia" w:hAnsi="宋体" w:cs="宋体"/>
          <w:color w:val="auto"/>
          <w:highlight w:val="none"/>
          <w:u w:val="single"/>
        </w:rPr>
        <w:t xml:space="preserve">      （加盖单位公章）</w:t>
      </w:r>
      <w:bookmarkEnd w:id="842"/>
      <w:r>
        <w:rPr>
          <w:rFonts w:hint="eastAsia" w:hAnsi="宋体" w:cs="宋体"/>
          <w:color w:val="auto"/>
          <w:highlight w:val="none"/>
          <w:u w:val="single"/>
        </w:rPr>
        <w:t xml:space="preserve">      </w:t>
      </w:r>
    </w:p>
    <w:p>
      <w:pPr>
        <w:bidi w:val="0"/>
        <w:rPr>
          <w:rFonts w:hAnsi="宋体" w:cs="宋体"/>
          <w:color w:val="auto"/>
          <w:spacing w:val="4"/>
          <w:szCs w:val="30"/>
          <w:highlight w:val="none"/>
        </w:rPr>
      </w:pPr>
      <w:bookmarkStart w:id="843" w:name="_Toc29420"/>
      <w:r>
        <w:rPr>
          <w:rFonts w:hint="eastAsia" w:ascii="宋体" w:hAnsi="宋体" w:eastAsia="宋体" w:cs="宋体"/>
          <w:color w:val="auto"/>
          <w:highlight w:val="none"/>
          <w:lang w:eastAsia="zh-CN"/>
        </w:rPr>
        <w:t>日   期</w:t>
      </w:r>
      <w:r>
        <w:rPr>
          <w:rFonts w:hint="eastAsia" w:hAnsi="宋体" w:cs="宋体"/>
          <w:color w:val="auto"/>
          <w:spacing w:val="4"/>
          <w:szCs w:val="30"/>
          <w:highlight w:val="none"/>
        </w:rPr>
        <w:t>：</w:t>
      </w:r>
      <w:bookmarkEnd w:id="843"/>
    </w:p>
    <w:p>
      <w:pPr>
        <w:bidi w:val="0"/>
        <w:rPr>
          <w:lang w:val="zh-CN"/>
        </w:rPr>
      </w:pPr>
    </w:p>
    <w:p>
      <w:pPr>
        <w:bidi w:val="0"/>
        <w:rPr>
          <w:rFonts w:hAnsi="宋体" w:cs="宋体"/>
          <w:color w:val="auto"/>
          <w:sz w:val="30"/>
          <w:szCs w:val="30"/>
          <w:highlight w:val="none"/>
        </w:rPr>
      </w:pPr>
      <w:bookmarkStart w:id="844" w:name="_Toc12139"/>
      <w:r>
        <w:rPr>
          <w:rFonts w:hint="eastAsia" w:ascii="宋体" w:hAnsi="宋体" w:eastAsia="宋体" w:cs="宋体"/>
          <w:color w:val="auto"/>
          <w:highlight w:val="none"/>
          <w:lang w:val="zh-CN" w:eastAsia="zh-CN"/>
        </w:rPr>
        <w:t>说明</w:t>
      </w:r>
      <w:r>
        <w:rPr>
          <w:rFonts w:hint="eastAsia" w:hAnsi="宋体" w:cs="宋体"/>
          <w:b/>
          <w:bCs/>
          <w:color w:val="auto"/>
          <w:highlight w:val="none"/>
          <w:lang w:val="zh-CN"/>
        </w:rPr>
        <w:t>：法人直投可不提供。</w:t>
      </w:r>
      <w:r>
        <w:rPr>
          <w:rFonts w:hint="eastAsia" w:hAnsi="宋体" w:cs="宋体"/>
          <w:color w:val="auto"/>
          <w:spacing w:val="4"/>
          <w:szCs w:val="30"/>
          <w:highlight w:val="none"/>
        </w:rPr>
        <w:br w:type="page"/>
      </w:r>
      <w:bookmarkEnd w:id="844"/>
    </w:p>
    <w:p>
      <w:pPr>
        <w:pStyle w:val="4"/>
        <w:spacing w:before="666" w:line="360" w:lineRule="auto"/>
        <w:outlineLvl w:val="1"/>
        <w:rPr>
          <w:rFonts w:ascii="宋体" w:hAnsi="宋体" w:cs="宋体"/>
          <w:color w:val="auto"/>
          <w:sz w:val="30"/>
          <w:szCs w:val="30"/>
          <w:highlight w:val="none"/>
        </w:rPr>
      </w:pPr>
      <w:bookmarkStart w:id="845" w:name="_Toc2822"/>
      <w:bookmarkStart w:id="846" w:name="_Toc26883"/>
      <w:bookmarkStart w:id="847" w:name="_Toc28535"/>
      <w:bookmarkStart w:id="848" w:name="_Toc20955"/>
      <w:r>
        <w:rPr>
          <w:rFonts w:hint="eastAsia" w:ascii="宋体" w:hAnsi="宋体" w:cs="宋体"/>
          <w:color w:val="auto"/>
          <w:sz w:val="30"/>
          <w:szCs w:val="30"/>
          <w:highlight w:val="none"/>
        </w:rPr>
        <w:t>七、其他</w:t>
      </w:r>
      <w:bookmarkEnd w:id="792"/>
      <w:bookmarkEnd w:id="845"/>
      <w:bookmarkEnd w:id="846"/>
      <w:bookmarkEnd w:id="847"/>
      <w:bookmarkEnd w:id="848"/>
    </w:p>
    <w:p>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1"/>
        </w:rPr>
      </w:pPr>
      <w:bookmarkStart w:id="849" w:name="_Toc26226"/>
      <w:r>
        <w:rPr>
          <w:rFonts w:hint="eastAsia"/>
          <w:sz w:val="28"/>
          <w:szCs w:val="21"/>
        </w:rPr>
        <w:t>1、依据招标文件要求，</w:t>
      </w:r>
      <w:r>
        <w:rPr>
          <w:rFonts w:hint="eastAsia"/>
          <w:sz w:val="28"/>
          <w:szCs w:val="21"/>
          <w:lang w:eastAsia="zh-CN"/>
        </w:rPr>
        <w:t>投标人</w:t>
      </w:r>
      <w:r>
        <w:rPr>
          <w:rFonts w:hint="eastAsia"/>
          <w:sz w:val="28"/>
          <w:szCs w:val="21"/>
        </w:rPr>
        <w:t>认为有必要说明的其他内容</w:t>
      </w:r>
      <w:bookmarkEnd w:id="849"/>
    </w:p>
    <w:p>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1"/>
        </w:rPr>
      </w:pPr>
      <w:bookmarkStart w:id="850" w:name="_Toc27108"/>
      <w:r>
        <w:rPr>
          <w:rFonts w:hint="eastAsia"/>
          <w:sz w:val="28"/>
          <w:szCs w:val="21"/>
        </w:rPr>
        <w:t>2、其他可以证明</w:t>
      </w:r>
      <w:r>
        <w:rPr>
          <w:rFonts w:hint="eastAsia"/>
          <w:sz w:val="28"/>
          <w:szCs w:val="21"/>
          <w:lang w:eastAsia="zh-CN"/>
        </w:rPr>
        <w:t>投标人</w:t>
      </w:r>
      <w:r>
        <w:rPr>
          <w:rFonts w:hint="eastAsia"/>
          <w:sz w:val="28"/>
          <w:szCs w:val="21"/>
        </w:rPr>
        <w:t>实力的文件。</w:t>
      </w:r>
      <w:bookmarkEnd w:id="85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宋体"/>
          <w:b/>
          <w:color w:val="auto"/>
          <w:szCs w:val="28"/>
          <w:highlight w:val="none"/>
        </w:rPr>
      </w:pPr>
      <w:bookmarkStart w:id="851" w:name="_Toc15643"/>
      <w:r>
        <w:rPr>
          <w:rFonts w:hint="eastAsia"/>
          <w:sz w:val="28"/>
          <w:szCs w:val="21"/>
        </w:rPr>
        <w:t>3、开户许可证或基本存款账户凭证；</w:t>
      </w:r>
      <w:r>
        <w:rPr>
          <w:rFonts w:hint="eastAsia"/>
          <w:sz w:val="28"/>
          <w:szCs w:val="21"/>
        </w:rPr>
        <w:br w:type="page"/>
      </w:r>
      <w:bookmarkEnd w:id="782"/>
      <w:bookmarkEnd w:id="783"/>
      <w:bookmarkEnd w:id="784"/>
      <w:bookmarkEnd w:id="785"/>
      <w:bookmarkEnd w:id="786"/>
      <w:bookmarkEnd w:id="787"/>
      <w:bookmarkEnd w:id="788"/>
      <w:bookmarkEnd w:id="789"/>
      <w:r>
        <w:rPr>
          <w:rFonts w:hint="eastAsia" w:hAnsi="宋体" w:cs="宋体"/>
          <w:b/>
          <w:color w:val="auto"/>
          <w:szCs w:val="28"/>
          <w:highlight w:val="none"/>
        </w:rPr>
        <w:t>附件2（如是）：</w:t>
      </w:r>
      <w:bookmarkEnd w:id="851"/>
    </w:p>
    <w:p>
      <w:pPr>
        <w:bidi w:val="0"/>
        <w:jc w:val="center"/>
        <w:rPr>
          <w:b/>
          <w:bCs/>
          <w:sz w:val="36"/>
          <w:szCs w:val="24"/>
        </w:rPr>
      </w:pPr>
      <w:bookmarkStart w:id="852" w:name="_Toc1858"/>
      <w:r>
        <w:rPr>
          <w:rFonts w:hint="eastAsia"/>
          <w:b/>
          <w:bCs/>
          <w:sz w:val="36"/>
          <w:szCs w:val="24"/>
        </w:rPr>
        <w:t>中小企业声明函</w:t>
      </w:r>
      <w:bookmarkEnd w:id="852"/>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cs="宋体"/>
          <w:color w:val="auto"/>
          <w:spacing w:val="6"/>
          <w:sz w:val="24"/>
          <w:szCs w:val="24"/>
          <w:highlight w:val="none"/>
        </w:rPr>
      </w:pPr>
      <w:bookmarkStart w:id="853" w:name="_Toc2077"/>
      <w:r>
        <w:rPr>
          <w:rFonts w:hint="eastAsia" w:ascii="宋体" w:hAnsi="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cs="宋体"/>
          <w:color w:val="auto"/>
          <w:spacing w:val="6"/>
          <w:sz w:val="24"/>
          <w:szCs w:val="24"/>
          <w:highlight w:val="none"/>
          <w:u w:val="single"/>
        </w:rPr>
        <w:t xml:space="preserve">单位名称   </w:t>
      </w:r>
      <w:r>
        <w:rPr>
          <w:rFonts w:hint="eastAsia" w:ascii="宋体" w:hAnsi="宋体" w:cs="宋体"/>
          <w:color w:val="auto"/>
          <w:spacing w:val="6"/>
          <w:sz w:val="24"/>
          <w:szCs w:val="24"/>
          <w:highlight w:val="none"/>
        </w:rPr>
        <w:t>）的（</w:t>
      </w:r>
      <w:r>
        <w:rPr>
          <w:rFonts w:hint="eastAsia" w:ascii="宋体" w:hAnsi="宋体" w:cs="宋体"/>
          <w:color w:val="auto"/>
          <w:spacing w:val="6"/>
          <w:sz w:val="24"/>
          <w:szCs w:val="24"/>
          <w:highlight w:val="none"/>
          <w:u w:val="single"/>
        </w:rPr>
        <w:t>项目名称</w:t>
      </w:r>
      <w:r>
        <w:rPr>
          <w:rFonts w:hint="eastAsia" w:ascii="宋体" w:hAnsi="宋体" w:cs="宋体"/>
          <w:color w:val="auto"/>
          <w:spacing w:val="6"/>
          <w:sz w:val="24"/>
          <w:szCs w:val="24"/>
          <w:highlight w:val="none"/>
        </w:rPr>
        <w:t>）采购活动，提     供的货物全部由符合政策要求的中小企业制造。相关企业（含联合体中的中小企业、签订分包意向协议的中小企业） 的具体情况如下：</w:t>
      </w:r>
      <w:bookmarkEnd w:id="853"/>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Ansi="宋体" w:cs="宋体"/>
          <w:color w:val="auto"/>
          <w:spacing w:val="6"/>
          <w:kern w:val="2"/>
          <w:sz w:val="24"/>
          <w:szCs w:val="24"/>
          <w:highlight w:val="none"/>
          <w:u w:val="single"/>
        </w:rPr>
      </w:pPr>
      <w:bookmarkStart w:id="854" w:name="_Toc10126"/>
      <w:r>
        <w:rPr>
          <w:rFonts w:hint="eastAsia" w:hAnsi="宋体" w:cs="宋体"/>
          <w:color w:val="auto"/>
          <w:spacing w:val="6"/>
          <w:kern w:val="2"/>
          <w:sz w:val="24"/>
          <w:szCs w:val="24"/>
          <w:highlight w:val="none"/>
          <w:u w:val="single"/>
        </w:rPr>
        <w:t xml:space="preserve">1. （ 标 的 名 称 ） ， 属 于 （ 采 购 文 件 中 明 确 的 所 属 行 业 ） 行业；制造商为（企业名称），从业人员 </w:t>
      </w:r>
      <w:r>
        <w:rPr>
          <w:rFonts w:hint="eastAsia" w:hAnsi="宋体" w:cs="宋体"/>
          <w:color w:val="auto"/>
          <w:spacing w:val="6"/>
          <w:kern w:val="2"/>
          <w:sz w:val="24"/>
          <w:szCs w:val="24"/>
          <w:highlight w:val="none"/>
          <w:u w:val="single"/>
        </w:rPr>
        <w:tab/>
      </w:r>
      <w:r>
        <w:rPr>
          <w:rFonts w:hint="eastAsia" w:hAnsi="宋体" w:cs="宋体"/>
          <w:color w:val="auto"/>
          <w:spacing w:val="6"/>
          <w:kern w:val="2"/>
          <w:sz w:val="24"/>
          <w:szCs w:val="24"/>
          <w:highlight w:val="none"/>
          <w:u w:val="single"/>
        </w:rPr>
        <w:t xml:space="preserve">人，营业收入为 </w:t>
      </w:r>
      <w:r>
        <w:rPr>
          <w:rFonts w:hint="eastAsia" w:hAnsi="宋体" w:cs="宋体"/>
          <w:color w:val="auto"/>
          <w:spacing w:val="6"/>
          <w:kern w:val="2"/>
          <w:sz w:val="24"/>
          <w:szCs w:val="24"/>
          <w:highlight w:val="none"/>
          <w:u w:val="single"/>
        </w:rPr>
        <w:tab/>
      </w:r>
      <w:r>
        <w:rPr>
          <w:rFonts w:hint="eastAsia" w:hAnsi="宋体" w:cs="宋体"/>
          <w:color w:val="auto"/>
          <w:spacing w:val="6"/>
          <w:kern w:val="2"/>
          <w:sz w:val="24"/>
          <w:szCs w:val="24"/>
          <w:highlight w:val="none"/>
          <w:u w:val="single"/>
        </w:rPr>
        <w:t>万元，资产总额为 万元</w:t>
      </w:r>
      <w:r>
        <w:rPr>
          <w:color w:val="auto"/>
          <w:sz w:val="24"/>
          <w:szCs w:val="24"/>
          <w:highlight w:val="none"/>
        </w:rPr>
        <w:fldChar w:fldCharType="begin"/>
      </w:r>
      <w:r>
        <w:rPr>
          <w:color w:val="auto"/>
          <w:sz w:val="24"/>
          <w:szCs w:val="24"/>
          <w:highlight w:val="none"/>
        </w:rPr>
        <w:instrText xml:space="preserve"> HYPERLINK \l "_bookmark0" </w:instrText>
      </w:r>
      <w:r>
        <w:rPr>
          <w:color w:val="auto"/>
          <w:sz w:val="24"/>
          <w:szCs w:val="24"/>
          <w:highlight w:val="none"/>
        </w:rPr>
        <w:fldChar w:fldCharType="separate"/>
      </w:r>
      <w:r>
        <w:rPr>
          <w:rFonts w:hint="eastAsia" w:hAnsi="宋体" w:cs="宋体"/>
          <w:color w:val="auto"/>
          <w:spacing w:val="6"/>
          <w:kern w:val="2"/>
          <w:sz w:val="24"/>
          <w:szCs w:val="24"/>
          <w:highlight w:val="none"/>
          <w:u w:val="single"/>
        </w:rPr>
        <w:t>1</w:t>
      </w:r>
      <w:r>
        <w:rPr>
          <w:rFonts w:hint="eastAsia" w:hAnsi="宋体" w:cs="宋体"/>
          <w:color w:val="auto"/>
          <w:spacing w:val="6"/>
          <w:kern w:val="2"/>
          <w:sz w:val="24"/>
          <w:szCs w:val="24"/>
          <w:highlight w:val="none"/>
          <w:u w:val="single"/>
        </w:rPr>
        <w:fldChar w:fldCharType="end"/>
      </w:r>
      <w:r>
        <w:rPr>
          <w:rFonts w:hint="eastAsia" w:hAnsi="宋体" w:cs="宋体"/>
          <w:color w:val="auto"/>
          <w:spacing w:val="6"/>
          <w:kern w:val="2"/>
          <w:sz w:val="24"/>
          <w:szCs w:val="24"/>
          <w:highlight w:val="none"/>
          <w:u w:val="single"/>
        </w:rPr>
        <w:t>，属于（中型企业、小型企业、微型企业）；</w:t>
      </w:r>
      <w:bookmarkEnd w:id="854"/>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Ansi="宋体" w:cs="宋体"/>
          <w:color w:val="auto"/>
          <w:spacing w:val="6"/>
          <w:kern w:val="2"/>
          <w:sz w:val="24"/>
          <w:szCs w:val="24"/>
          <w:highlight w:val="none"/>
          <w:u w:val="single"/>
        </w:rPr>
      </w:pPr>
      <w:bookmarkStart w:id="855" w:name="_Toc25444"/>
      <w:r>
        <w:rPr>
          <w:rFonts w:hint="eastAsia" w:hAnsi="宋体" w:cs="宋体"/>
          <w:color w:val="auto"/>
          <w:spacing w:val="6"/>
          <w:kern w:val="2"/>
          <w:sz w:val="24"/>
          <w:szCs w:val="24"/>
          <w:highlight w:val="none"/>
          <w:u w:val="single"/>
        </w:rPr>
        <w:t xml:space="preserve">2.（ 标 的 名 称 ） ， 属 于 （ 采 购 文 件 中 明 确 的 所 属 行 业 ） 行业；制造商为（企业名称），从业人员 </w:t>
      </w:r>
      <w:r>
        <w:rPr>
          <w:rFonts w:hint="eastAsia" w:hAnsi="宋体" w:cs="宋体"/>
          <w:color w:val="auto"/>
          <w:spacing w:val="6"/>
          <w:kern w:val="2"/>
          <w:sz w:val="24"/>
          <w:szCs w:val="24"/>
          <w:highlight w:val="none"/>
          <w:u w:val="single"/>
        </w:rPr>
        <w:tab/>
      </w:r>
      <w:r>
        <w:rPr>
          <w:rFonts w:hint="eastAsia" w:hAnsi="宋体" w:cs="宋体"/>
          <w:color w:val="auto"/>
          <w:spacing w:val="6"/>
          <w:kern w:val="2"/>
          <w:sz w:val="24"/>
          <w:szCs w:val="24"/>
          <w:highlight w:val="none"/>
          <w:u w:val="single"/>
        </w:rPr>
        <w:t xml:space="preserve">人，营业收入为 </w:t>
      </w:r>
      <w:r>
        <w:rPr>
          <w:rFonts w:hint="eastAsia" w:hAnsi="宋体" w:cs="宋体"/>
          <w:color w:val="auto"/>
          <w:spacing w:val="6"/>
          <w:kern w:val="2"/>
          <w:sz w:val="24"/>
          <w:szCs w:val="24"/>
          <w:highlight w:val="none"/>
          <w:u w:val="single"/>
        </w:rPr>
        <w:tab/>
      </w:r>
      <w:r>
        <w:rPr>
          <w:rFonts w:hint="eastAsia" w:hAnsi="宋体" w:cs="宋体"/>
          <w:color w:val="auto"/>
          <w:spacing w:val="6"/>
          <w:kern w:val="2"/>
          <w:sz w:val="24"/>
          <w:szCs w:val="24"/>
          <w:highlight w:val="none"/>
          <w:u w:val="single"/>
        </w:rPr>
        <w:t>万元，资产总额为 万元，属于（中型企业、小型企业、微型企业）；</w:t>
      </w:r>
      <w:bookmarkEnd w:id="855"/>
    </w:p>
    <w:p>
      <w:pPr>
        <w:bidi w:val="0"/>
      </w:pPr>
      <w:bookmarkStart w:id="856" w:name="_Toc8405"/>
      <w:r>
        <w:rPr>
          <w:rFonts w:hint="eastAsia"/>
        </w:rPr>
        <w:t>……</w:t>
      </w:r>
      <w:bookmarkEnd w:id="856"/>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cs="宋体"/>
          <w:color w:val="auto"/>
          <w:spacing w:val="6"/>
          <w:sz w:val="24"/>
          <w:szCs w:val="24"/>
          <w:highlight w:val="none"/>
        </w:rPr>
      </w:pPr>
      <w:bookmarkStart w:id="857" w:name="_Toc5972"/>
      <w:r>
        <w:rPr>
          <w:rFonts w:hint="eastAsia" w:ascii="宋体" w:hAnsi="宋体" w:cs="宋体"/>
          <w:color w:val="auto"/>
          <w:spacing w:val="6"/>
          <w:sz w:val="24"/>
          <w:szCs w:val="24"/>
          <w:highlight w:val="none"/>
        </w:rPr>
        <w:t>以上企业，不属于大企业的分支机构，不存在控股股东为大企业的情形，也不存在与大企业的负责人为同一人的情形。</w:t>
      </w:r>
      <w:bookmarkEnd w:id="857"/>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cs="宋体"/>
          <w:color w:val="auto"/>
          <w:spacing w:val="6"/>
          <w:sz w:val="24"/>
          <w:szCs w:val="24"/>
          <w:highlight w:val="none"/>
        </w:rPr>
      </w:pPr>
      <w:bookmarkStart w:id="858" w:name="_Toc25171"/>
      <w:r>
        <w:rPr>
          <w:rFonts w:hint="eastAsia" w:ascii="宋体" w:hAnsi="宋体" w:cs="宋体"/>
          <w:color w:val="auto"/>
          <w:spacing w:val="6"/>
          <w:sz w:val="24"/>
          <w:szCs w:val="24"/>
          <w:highlight w:val="none"/>
        </w:rPr>
        <w:t>本企业对上述声明内容的真实性负责。如有虚假，将依法承担相应责任。</w:t>
      </w:r>
      <w:bookmarkEnd w:id="858"/>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cs="宋体"/>
          <w:color w:val="auto"/>
          <w:spacing w:val="6"/>
          <w:sz w:val="24"/>
          <w:szCs w:val="24"/>
          <w:highlight w:val="none"/>
        </w:rPr>
      </w:pPr>
      <w:bookmarkStart w:id="859" w:name="_Toc1304"/>
      <w:r>
        <w:rPr>
          <w:rFonts w:hint="eastAsia" w:ascii="宋体" w:hAnsi="宋体" w:cs="宋体"/>
          <w:color w:val="auto"/>
          <w:spacing w:val="6"/>
          <w:sz w:val="24"/>
          <w:szCs w:val="24"/>
          <w:highlight w:val="none"/>
        </w:rPr>
        <w:t>企业名称（盖章）：</w:t>
      </w:r>
      <w:bookmarkEnd w:id="859"/>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ascii="宋体" w:hAnsi="宋体" w:cs="宋体"/>
          <w:color w:val="auto"/>
          <w:spacing w:val="6"/>
          <w:sz w:val="24"/>
          <w:szCs w:val="24"/>
          <w:highlight w:val="none"/>
        </w:rPr>
      </w:pPr>
      <w:bookmarkStart w:id="860" w:name="_Toc9203"/>
      <w:r>
        <w:rPr>
          <w:rFonts w:hint="eastAsia" w:ascii="宋体" w:hAnsi="宋体" w:cs="宋体"/>
          <w:color w:val="auto"/>
          <w:spacing w:val="6"/>
          <w:sz w:val="24"/>
          <w:szCs w:val="24"/>
          <w:highlight w:val="none"/>
        </w:rPr>
        <w:t>日期：</w:t>
      </w:r>
      <w:bookmarkEnd w:id="860"/>
    </w:p>
    <w:p>
      <w:pPr>
        <w:bidi w:val="0"/>
        <w:rPr>
          <w:rFonts w:hint="eastAsia"/>
        </w:rPr>
      </w:pPr>
      <w:bookmarkStart w:id="861" w:name="_Toc14994"/>
    </w:p>
    <w:bookmarkEnd w:id="861"/>
    <w:p>
      <w:pPr>
        <w:bidi w:val="0"/>
      </w:pPr>
    </w:p>
    <w:p>
      <w:pPr>
        <w:bidi w:val="0"/>
      </w:pPr>
      <w:r>
        <w:rPr>
          <w:rFonts w:hint="eastAsia"/>
        </w:rPr>
        <w:br w:type="page"/>
      </w:r>
    </w:p>
    <w:p>
      <w:pPr>
        <w:bidi w:val="0"/>
        <w:jc w:val="left"/>
        <w:rPr>
          <w:rFonts w:hint="eastAsia" w:ascii="宋体" w:hAnsi="Times New Roman" w:eastAsia="宋体" w:cs="Times New Roman"/>
          <w:b/>
          <w:bCs/>
          <w:sz w:val="36"/>
          <w:szCs w:val="24"/>
        </w:rPr>
      </w:pPr>
      <w:bookmarkStart w:id="862" w:name="_Toc17171"/>
      <w:r>
        <w:rPr>
          <w:rFonts w:hint="eastAsia" w:ascii="宋体" w:hAnsi="Times New Roman" w:eastAsia="宋体" w:cs="Times New Roman"/>
          <w:b/>
          <w:bCs/>
          <w:sz w:val="36"/>
          <w:szCs w:val="24"/>
        </w:rPr>
        <w:t>附件3（如有）：</w:t>
      </w:r>
      <w:bookmarkEnd w:id="862"/>
      <w:r>
        <w:rPr>
          <w:rFonts w:hint="eastAsia" w:ascii="宋体" w:hAnsi="Times New Roman" w:eastAsia="宋体" w:cs="Times New Roman"/>
          <w:b/>
          <w:bCs/>
          <w:sz w:val="36"/>
          <w:szCs w:val="24"/>
        </w:rPr>
        <w:t xml:space="preserve"> </w:t>
      </w:r>
    </w:p>
    <w:p>
      <w:pPr>
        <w:bidi w:val="0"/>
        <w:jc w:val="center"/>
        <w:rPr>
          <w:rFonts w:hint="eastAsia" w:ascii="宋体" w:hAnsi="Times New Roman" w:eastAsia="宋体" w:cs="Times New Roman"/>
          <w:b/>
          <w:bCs/>
          <w:sz w:val="32"/>
          <w:szCs w:val="22"/>
        </w:rPr>
      </w:pPr>
      <w:bookmarkStart w:id="863" w:name="_Toc4775"/>
      <w:r>
        <w:rPr>
          <w:rFonts w:hint="eastAsia" w:ascii="宋体" w:hAnsi="Times New Roman" w:eastAsia="宋体" w:cs="Times New Roman"/>
          <w:b/>
          <w:bCs/>
          <w:sz w:val="32"/>
          <w:szCs w:val="22"/>
        </w:rPr>
        <w:t>投标产品属节能、环境标志产品列表</w:t>
      </w:r>
      <w:bookmarkEnd w:id="863"/>
    </w:p>
    <w:p>
      <w:pPr>
        <w:bidi w:val="0"/>
        <w:jc w:val="left"/>
        <w:rPr>
          <w:rFonts w:hint="eastAsia" w:ascii="宋体" w:hAnsi="Times New Roman" w:eastAsia="宋体" w:cs="Times New Roman"/>
          <w:b w:val="0"/>
          <w:bCs w:val="0"/>
          <w:sz w:val="28"/>
          <w:szCs w:val="21"/>
        </w:rPr>
      </w:pPr>
      <w:bookmarkStart w:id="864" w:name="_Toc15894"/>
      <w:r>
        <w:rPr>
          <w:rFonts w:hint="eastAsia" w:ascii="宋体" w:hAnsi="Times New Roman" w:eastAsia="宋体" w:cs="Times New Roman"/>
          <w:b w:val="0"/>
          <w:bCs w:val="0"/>
          <w:sz w:val="28"/>
          <w:szCs w:val="21"/>
        </w:rPr>
        <w:t>项目名称：</w:t>
      </w:r>
      <w:bookmarkEnd w:id="864"/>
    </w:p>
    <w:p>
      <w:pPr>
        <w:bidi w:val="0"/>
        <w:jc w:val="left"/>
        <w:rPr>
          <w:rFonts w:hint="eastAsia" w:ascii="宋体" w:hAnsi="Times New Roman" w:eastAsia="宋体" w:cs="Times New Roman"/>
          <w:b w:val="0"/>
          <w:bCs w:val="0"/>
          <w:sz w:val="28"/>
          <w:szCs w:val="21"/>
        </w:rPr>
      </w:pPr>
      <w:bookmarkStart w:id="865" w:name="_Toc11509"/>
      <w:r>
        <w:rPr>
          <w:rFonts w:hint="eastAsia" w:ascii="宋体" w:hAnsi="Times New Roman" w:eastAsia="宋体" w:cs="Times New Roman"/>
          <w:b w:val="0"/>
          <w:bCs w:val="0"/>
          <w:sz w:val="28"/>
          <w:szCs w:val="21"/>
        </w:rPr>
        <w:t>项目编号：</w:t>
      </w:r>
      <w:bookmarkEnd w:id="865"/>
      <w:r>
        <w:rPr>
          <w:rFonts w:hint="eastAsia" w:ascii="宋体" w:hAnsi="Times New Roman" w:eastAsia="宋体" w:cs="Times New Roman"/>
          <w:b w:val="0"/>
          <w:bCs w:val="0"/>
          <w:sz w:val="28"/>
          <w:szCs w:val="21"/>
        </w:rPr>
        <w:t xml:space="preserve"> </w:t>
      </w:r>
    </w:p>
    <w:p>
      <w:pPr>
        <w:bidi w:val="0"/>
      </w:pPr>
    </w:p>
    <w:tbl>
      <w:tblPr>
        <w:tblStyle w:val="22"/>
        <w:tblW w:w="0" w:type="auto"/>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bidi w:val="0"/>
              <w:jc w:val="center"/>
              <w:rPr>
                <w:rFonts w:hint="eastAsia" w:ascii="宋体" w:hAnsi="Times New Roman" w:eastAsia="宋体" w:cs="Times New Roman"/>
              </w:rPr>
            </w:pPr>
            <w:bookmarkStart w:id="866" w:name="_Toc3526"/>
            <w:bookmarkStart w:id="867" w:name="_Toc3168"/>
            <w:r>
              <w:rPr>
                <w:rFonts w:hint="eastAsia" w:ascii="宋体" w:hAnsi="Times New Roman" w:eastAsia="宋体" w:cs="Times New Roman"/>
              </w:rPr>
              <w:t>序号</w:t>
            </w:r>
            <w:bookmarkEnd w:id="866"/>
            <w:bookmarkEnd w:id="867"/>
          </w:p>
        </w:tc>
        <w:tc>
          <w:tcPr>
            <w:tcW w:w="1862" w:type="dxa"/>
            <w:tcBorders>
              <w:top w:val="single" w:color="auto" w:sz="6"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bookmarkStart w:id="868" w:name="_Toc8248"/>
            <w:bookmarkStart w:id="869" w:name="_Toc32017"/>
            <w:r>
              <w:rPr>
                <w:rFonts w:hint="eastAsia" w:ascii="宋体" w:hAnsi="Times New Roman" w:eastAsia="宋体" w:cs="Times New Roman"/>
              </w:rPr>
              <w:t>名称</w:t>
            </w:r>
            <w:bookmarkEnd w:id="868"/>
            <w:bookmarkEnd w:id="869"/>
          </w:p>
        </w:tc>
        <w:tc>
          <w:tcPr>
            <w:tcW w:w="2250" w:type="dxa"/>
            <w:tcBorders>
              <w:top w:val="single" w:color="auto" w:sz="6"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bookmarkStart w:id="870" w:name="_Toc21150"/>
            <w:bookmarkStart w:id="871" w:name="_Toc2283"/>
            <w:r>
              <w:rPr>
                <w:rFonts w:hint="eastAsia" w:ascii="宋体" w:hAnsi="Times New Roman" w:eastAsia="宋体" w:cs="Times New Roman"/>
              </w:rPr>
              <w:t>型号和规格</w:t>
            </w:r>
            <w:bookmarkEnd w:id="870"/>
            <w:bookmarkEnd w:id="871"/>
          </w:p>
        </w:tc>
        <w:tc>
          <w:tcPr>
            <w:tcW w:w="1311" w:type="dxa"/>
            <w:tcBorders>
              <w:top w:val="single" w:color="auto" w:sz="6"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bookmarkStart w:id="872" w:name="_Toc22283"/>
            <w:bookmarkStart w:id="873" w:name="_Toc15716"/>
            <w:r>
              <w:rPr>
                <w:rFonts w:hint="eastAsia" w:ascii="宋体" w:hAnsi="Times New Roman" w:eastAsia="宋体" w:cs="Times New Roman"/>
              </w:rPr>
              <w:t>数量</w:t>
            </w:r>
            <w:bookmarkEnd w:id="872"/>
            <w:bookmarkEnd w:id="873"/>
          </w:p>
        </w:tc>
        <w:tc>
          <w:tcPr>
            <w:tcW w:w="1307" w:type="dxa"/>
            <w:tcBorders>
              <w:top w:val="single" w:color="auto" w:sz="6"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bookmarkStart w:id="874" w:name="_Toc8696"/>
            <w:bookmarkStart w:id="875" w:name="_Toc13656"/>
            <w:r>
              <w:rPr>
                <w:rFonts w:hint="eastAsia" w:ascii="宋体" w:hAnsi="Times New Roman" w:eastAsia="宋体" w:cs="Times New Roman"/>
              </w:rPr>
              <w:t>单价</w:t>
            </w:r>
            <w:bookmarkEnd w:id="874"/>
            <w:bookmarkEnd w:id="875"/>
          </w:p>
          <w:p>
            <w:pPr>
              <w:bidi w:val="0"/>
              <w:jc w:val="center"/>
              <w:rPr>
                <w:rFonts w:hint="eastAsia" w:ascii="宋体" w:hAnsi="Times New Roman" w:eastAsia="宋体" w:cs="Times New Roman"/>
              </w:rPr>
            </w:pPr>
            <w:bookmarkStart w:id="876" w:name="_Toc5584"/>
            <w:bookmarkStart w:id="877" w:name="_Toc10073"/>
            <w:r>
              <w:rPr>
                <w:rFonts w:hint="eastAsia" w:ascii="宋体" w:hAnsi="Times New Roman" w:eastAsia="宋体" w:cs="Times New Roman"/>
              </w:rPr>
              <w:t>（元）</w:t>
            </w:r>
            <w:bookmarkEnd w:id="876"/>
            <w:bookmarkEnd w:id="877"/>
          </w:p>
        </w:tc>
        <w:tc>
          <w:tcPr>
            <w:tcW w:w="1312" w:type="dxa"/>
            <w:tcBorders>
              <w:top w:val="single" w:color="auto" w:sz="6"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bookmarkStart w:id="878" w:name="_Toc13770"/>
            <w:bookmarkStart w:id="879" w:name="_Toc4927"/>
            <w:r>
              <w:rPr>
                <w:rFonts w:hint="eastAsia" w:ascii="宋体" w:hAnsi="Times New Roman" w:eastAsia="宋体" w:cs="Times New Roman"/>
              </w:rPr>
              <w:t>总价</w:t>
            </w:r>
            <w:bookmarkEnd w:id="878"/>
            <w:bookmarkEnd w:id="879"/>
          </w:p>
          <w:p>
            <w:pPr>
              <w:bidi w:val="0"/>
              <w:jc w:val="center"/>
              <w:rPr>
                <w:rFonts w:hint="eastAsia" w:ascii="宋体" w:hAnsi="Times New Roman" w:eastAsia="宋体" w:cs="Times New Roman"/>
              </w:rPr>
            </w:pPr>
            <w:bookmarkStart w:id="880" w:name="_Toc5891"/>
            <w:bookmarkStart w:id="881" w:name="_Toc31626"/>
            <w:r>
              <w:rPr>
                <w:rFonts w:hint="eastAsia" w:ascii="宋体" w:hAnsi="Times New Roman" w:eastAsia="宋体" w:cs="Times New Roman"/>
              </w:rPr>
              <w:t>（元）</w:t>
            </w:r>
            <w:bookmarkEnd w:id="880"/>
            <w:bookmarkEnd w:id="881"/>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bidi w:val="0"/>
              <w:jc w:val="center"/>
              <w:rPr>
                <w:rFonts w:hint="eastAsia" w:ascii="宋体" w:hAnsi="Times New Roman" w:eastAsia="宋体" w:cs="Times New Roman"/>
              </w:rPr>
            </w:pPr>
            <w:bookmarkStart w:id="882" w:name="_Toc17074"/>
            <w:bookmarkStart w:id="883" w:name="_Toc15301"/>
            <w:r>
              <w:rPr>
                <w:rFonts w:hint="eastAsia" w:ascii="宋体" w:hAnsi="Times New Roman" w:eastAsia="宋体" w:cs="Times New Roman"/>
              </w:rPr>
              <w:t>1</w:t>
            </w:r>
            <w:bookmarkEnd w:id="882"/>
            <w:bookmarkEnd w:id="883"/>
          </w:p>
        </w:tc>
        <w:tc>
          <w:tcPr>
            <w:tcW w:w="1862" w:type="dxa"/>
            <w:tcBorders>
              <w:top w:val="single" w:color="auto" w:sz="6" w:space="0"/>
              <w:left w:val="single" w:color="auto" w:sz="6" w:space="0"/>
              <w:bottom w:val="single" w:color="auto" w:sz="4" w:space="0"/>
              <w:right w:val="single" w:color="auto" w:sz="6" w:space="0"/>
            </w:tcBorders>
            <w:vAlign w:val="center"/>
          </w:tcPr>
          <w:p>
            <w:pPr>
              <w:bidi w:val="0"/>
              <w:jc w:val="center"/>
              <w:rPr>
                <w:rFonts w:hint="eastAsia" w:ascii="宋体" w:hAnsi="Times New Roman" w:eastAsia="宋体" w:cs="Times New Roman"/>
              </w:rPr>
            </w:pPr>
          </w:p>
        </w:tc>
        <w:tc>
          <w:tcPr>
            <w:tcW w:w="2250" w:type="dxa"/>
            <w:tcBorders>
              <w:top w:val="single" w:color="auto" w:sz="6" w:space="0"/>
              <w:left w:val="single" w:color="auto" w:sz="6" w:space="0"/>
              <w:bottom w:val="single" w:color="auto" w:sz="4" w:space="0"/>
              <w:right w:val="single" w:color="auto" w:sz="6" w:space="0"/>
            </w:tcBorders>
            <w:vAlign w:val="center"/>
          </w:tcPr>
          <w:p>
            <w:pPr>
              <w:bidi w:val="0"/>
              <w:jc w:val="center"/>
              <w:rPr>
                <w:rFonts w:hint="eastAsia" w:ascii="宋体" w:hAnsi="Times New Roman" w:eastAsia="宋体" w:cs="Times New Roman"/>
              </w:rPr>
            </w:pPr>
          </w:p>
        </w:tc>
        <w:tc>
          <w:tcPr>
            <w:tcW w:w="1311" w:type="dxa"/>
            <w:tcBorders>
              <w:top w:val="single" w:color="auto" w:sz="6" w:space="0"/>
              <w:left w:val="single" w:color="auto" w:sz="6" w:space="0"/>
              <w:bottom w:val="single" w:color="auto" w:sz="4" w:space="0"/>
              <w:right w:val="single" w:color="auto" w:sz="6" w:space="0"/>
            </w:tcBorders>
            <w:vAlign w:val="center"/>
          </w:tcPr>
          <w:p>
            <w:pPr>
              <w:bidi w:val="0"/>
              <w:jc w:val="center"/>
              <w:rPr>
                <w:rFonts w:hint="eastAsia" w:ascii="宋体" w:hAnsi="Times New Roman" w:eastAsia="宋体" w:cs="Times New Roman"/>
              </w:rPr>
            </w:pPr>
          </w:p>
        </w:tc>
        <w:tc>
          <w:tcPr>
            <w:tcW w:w="1307" w:type="dxa"/>
            <w:tcBorders>
              <w:top w:val="single" w:color="auto" w:sz="6" w:space="0"/>
              <w:left w:val="single" w:color="auto" w:sz="6" w:space="0"/>
              <w:bottom w:val="single" w:color="auto" w:sz="4" w:space="0"/>
              <w:right w:val="single" w:color="auto" w:sz="6" w:space="0"/>
            </w:tcBorders>
            <w:vAlign w:val="center"/>
          </w:tcPr>
          <w:p>
            <w:pPr>
              <w:bidi w:val="0"/>
              <w:jc w:val="center"/>
              <w:rPr>
                <w:rFonts w:hint="eastAsia" w:ascii="宋体" w:hAnsi="Times New Roman" w:eastAsia="宋体" w:cs="Times New Roman"/>
              </w:rPr>
            </w:pPr>
          </w:p>
        </w:tc>
        <w:tc>
          <w:tcPr>
            <w:tcW w:w="1312" w:type="dxa"/>
            <w:tcBorders>
              <w:top w:val="single" w:color="auto" w:sz="6" w:space="0"/>
              <w:left w:val="single" w:color="auto" w:sz="6" w:space="0"/>
              <w:bottom w:val="single" w:color="auto" w:sz="4" w:space="0"/>
              <w:right w:val="single" w:color="auto" w:sz="6" w:space="0"/>
            </w:tcBorders>
            <w:vAlign w:val="center"/>
          </w:tcPr>
          <w:p>
            <w:pPr>
              <w:bidi w:val="0"/>
              <w:jc w:val="center"/>
              <w:rPr>
                <w:rFonts w:hint="eastAsia" w:ascii="宋体" w:hAnsi="Times New Roman" w:eastAsia="宋体" w:cs="Times New Roman"/>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bidi w:val="0"/>
              <w:jc w:val="center"/>
              <w:rPr>
                <w:rFonts w:hint="eastAsia" w:ascii="宋体" w:hAnsi="Times New Roman" w:eastAsia="宋体" w:cs="Times New Roman"/>
              </w:rPr>
            </w:pPr>
            <w:bookmarkStart w:id="884" w:name="_Toc22814"/>
            <w:bookmarkStart w:id="885" w:name="_Toc22673"/>
            <w:r>
              <w:rPr>
                <w:rFonts w:hint="eastAsia" w:ascii="宋体" w:hAnsi="Times New Roman" w:eastAsia="宋体" w:cs="Times New Roman"/>
              </w:rPr>
              <w:t>2</w:t>
            </w:r>
            <w:bookmarkEnd w:id="884"/>
            <w:bookmarkEnd w:id="885"/>
          </w:p>
        </w:tc>
        <w:tc>
          <w:tcPr>
            <w:tcW w:w="1862"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2250"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11"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07"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12"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bidi w:val="0"/>
              <w:jc w:val="center"/>
              <w:rPr>
                <w:rFonts w:hint="eastAsia" w:ascii="宋体" w:hAnsi="Times New Roman" w:eastAsia="宋体" w:cs="Times New Roman"/>
              </w:rPr>
            </w:pPr>
            <w:bookmarkStart w:id="886" w:name="_Toc19999"/>
            <w:bookmarkStart w:id="887" w:name="_Toc29669"/>
            <w:r>
              <w:rPr>
                <w:rFonts w:hint="eastAsia" w:ascii="宋体" w:hAnsi="Times New Roman" w:eastAsia="宋体" w:cs="Times New Roman"/>
              </w:rPr>
              <w:t>3</w:t>
            </w:r>
            <w:bookmarkEnd w:id="886"/>
            <w:bookmarkEnd w:id="887"/>
          </w:p>
        </w:tc>
        <w:tc>
          <w:tcPr>
            <w:tcW w:w="1862"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2250"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11"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07"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12"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bidi w:val="0"/>
              <w:jc w:val="center"/>
              <w:rPr>
                <w:rFonts w:hint="eastAsia" w:ascii="宋体" w:hAnsi="Times New Roman" w:eastAsia="宋体" w:cs="Times New Roman"/>
              </w:rPr>
            </w:pPr>
            <w:bookmarkStart w:id="888" w:name="_Toc28204"/>
            <w:bookmarkStart w:id="889" w:name="_Toc30783"/>
            <w:r>
              <w:rPr>
                <w:rFonts w:hint="eastAsia" w:ascii="宋体" w:hAnsi="Times New Roman" w:eastAsia="宋体" w:cs="Times New Roman"/>
              </w:rPr>
              <w:t>……</w:t>
            </w:r>
            <w:bookmarkEnd w:id="888"/>
            <w:bookmarkEnd w:id="889"/>
          </w:p>
        </w:tc>
        <w:tc>
          <w:tcPr>
            <w:tcW w:w="1862"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2250"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11"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07"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12"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bidi w:val="0"/>
              <w:jc w:val="center"/>
              <w:rPr>
                <w:rFonts w:hint="eastAsia" w:ascii="宋体" w:hAnsi="Times New Roman" w:eastAsia="宋体" w:cs="Times New Roman"/>
              </w:rPr>
            </w:pPr>
            <w:bookmarkStart w:id="890" w:name="_Toc2209"/>
            <w:bookmarkStart w:id="891" w:name="_Toc30269"/>
            <w:r>
              <w:rPr>
                <w:rFonts w:hint="eastAsia" w:ascii="宋体" w:hAnsi="Times New Roman" w:eastAsia="宋体" w:cs="Times New Roman"/>
              </w:rPr>
              <w:t>……</w:t>
            </w:r>
            <w:bookmarkEnd w:id="890"/>
            <w:bookmarkEnd w:id="891"/>
          </w:p>
        </w:tc>
        <w:tc>
          <w:tcPr>
            <w:tcW w:w="1862"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2250"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11"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07"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c>
          <w:tcPr>
            <w:tcW w:w="1312" w:type="dxa"/>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bidi w:val="0"/>
              <w:jc w:val="center"/>
              <w:rPr>
                <w:rFonts w:hint="eastAsia" w:ascii="宋体" w:hAnsi="Times New Roman" w:eastAsia="宋体" w:cs="Times New Roman"/>
              </w:rPr>
            </w:pPr>
            <w:bookmarkStart w:id="892" w:name="_Toc27816"/>
            <w:bookmarkStart w:id="893" w:name="_Toc9799"/>
            <w:r>
              <w:rPr>
                <w:rFonts w:hint="eastAsia" w:ascii="宋体" w:hAnsi="Times New Roman" w:eastAsia="宋体" w:cs="Times New Roman"/>
              </w:rPr>
              <w:t>合计：</w:t>
            </w:r>
            <w:bookmarkEnd w:id="892"/>
            <w:bookmarkEnd w:id="893"/>
          </w:p>
        </w:tc>
        <w:tc>
          <w:tcPr>
            <w:tcW w:w="8042" w:type="dxa"/>
            <w:gridSpan w:val="5"/>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bookmarkStart w:id="894" w:name="_Toc31935"/>
            <w:bookmarkStart w:id="895" w:name="_Toc30372"/>
            <w:r>
              <w:rPr>
                <w:rFonts w:hint="eastAsia" w:ascii="宋体" w:hAnsi="Times New Roman" w:eastAsia="宋体" w:cs="Times New Roman"/>
              </w:rPr>
              <w:t>大写：                                小写：</w:t>
            </w:r>
            <w:bookmarkEnd w:id="894"/>
            <w:bookmarkEnd w:id="895"/>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bidi w:val="0"/>
              <w:jc w:val="center"/>
              <w:rPr>
                <w:rFonts w:hint="eastAsia" w:ascii="宋体" w:hAnsi="Times New Roman" w:eastAsia="宋体" w:cs="Times New Roman"/>
              </w:rPr>
            </w:pPr>
            <w:bookmarkStart w:id="896" w:name="_Toc30862"/>
            <w:bookmarkStart w:id="897" w:name="_Toc25823"/>
            <w:r>
              <w:rPr>
                <w:rFonts w:hint="eastAsia" w:ascii="宋体" w:hAnsi="Times New Roman" w:eastAsia="宋体" w:cs="Times New Roman"/>
              </w:rPr>
              <w:t>备注</w:t>
            </w:r>
            <w:bookmarkEnd w:id="896"/>
            <w:bookmarkEnd w:id="897"/>
          </w:p>
        </w:tc>
        <w:tc>
          <w:tcPr>
            <w:tcW w:w="8042" w:type="dxa"/>
            <w:gridSpan w:val="5"/>
            <w:tcBorders>
              <w:top w:val="single" w:color="auto" w:sz="4" w:space="0"/>
              <w:left w:val="single" w:color="auto" w:sz="6" w:space="0"/>
              <w:bottom w:val="single" w:color="auto" w:sz="6" w:space="0"/>
              <w:right w:val="single" w:color="auto" w:sz="6" w:space="0"/>
            </w:tcBorders>
            <w:vAlign w:val="center"/>
          </w:tcPr>
          <w:p>
            <w:pPr>
              <w:bidi w:val="0"/>
              <w:jc w:val="center"/>
              <w:rPr>
                <w:rFonts w:hint="eastAsia" w:ascii="宋体" w:hAnsi="Times New Roman" w:eastAsia="宋体" w:cs="Times New Roman"/>
              </w:rPr>
            </w:pPr>
            <w:bookmarkStart w:id="898" w:name="_Toc15490"/>
            <w:bookmarkStart w:id="899" w:name="_Toc7294"/>
            <w:r>
              <w:rPr>
                <w:rFonts w:hint="eastAsia" w:ascii="宋体" w:hAnsi="Times New Roman" w:eastAsia="宋体" w:cs="Times New Roman"/>
              </w:rPr>
              <w:t>保留小数点后两位。</w:t>
            </w:r>
            <w:bookmarkEnd w:id="898"/>
            <w:bookmarkEnd w:id="899"/>
          </w:p>
        </w:tc>
      </w:tr>
    </w:tbl>
    <w:p>
      <w:pPr>
        <w:bidi w:val="0"/>
      </w:pPr>
    </w:p>
    <w:p>
      <w:pPr>
        <w:bidi w:val="0"/>
      </w:pPr>
    </w:p>
    <w:p>
      <w:pPr>
        <w:bidi w:val="0"/>
      </w:pPr>
      <w:bookmarkStart w:id="900" w:name="_Toc14852"/>
      <w:r>
        <w:rPr>
          <w:rFonts w:hint="eastAsia"/>
        </w:rPr>
        <w:t>说明：1、</w:t>
      </w:r>
      <w:r>
        <w:rPr>
          <w:rFonts w:hint="eastAsia"/>
          <w:lang w:eastAsia="zh-CN"/>
        </w:rPr>
        <w:t>投标人</w:t>
      </w:r>
      <w:r>
        <w:rPr>
          <w:rFonts w:hint="eastAsia"/>
        </w:rPr>
        <w:t>提供的产品属于《节能产品政府采购清单》中节能产品，《环境标志产品政府采购清单》中环境标志产品，应按招标文件要求提供相关证明材料。</w:t>
      </w:r>
      <w:bookmarkEnd w:id="900"/>
    </w:p>
    <w:p>
      <w:pPr>
        <w:bidi w:val="0"/>
      </w:pPr>
      <w:bookmarkStart w:id="901" w:name="_Toc22259"/>
      <w:r>
        <w:rPr>
          <w:rFonts w:hint="eastAsia"/>
        </w:rPr>
        <w:t>2、未按上述要求提供、填写的，评标时不予以考虑。</w:t>
      </w:r>
      <w:bookmarkEnd w:id="901"/>
    </w:p>
    <w:p>
      <w:pPr>
        <w:bidi w:val="0"/>
      </w:pPr>
    </w:p>
    <w:p>
      <w:pPr>
        <w:rPr>
          <w:rFonts w:hint="eastAsia" w:hAnsi="宋体" w:cs="宋体"/>
          <w:color w:val="auto"/>
          <w:szCs w:val="24"/>
          <w:highlight w:val="none"/>
        </w:rPr>
      </w:pPr>
      <w:r>
        <w:rPr>
          <w:rFonts w:hint="eastAsia" w:hAnsi="宋体" w:cs="宋体"/>
          <w:color w:val="auto"/>
          <w:szCs w:val="24"/>
          <w:highlight w:val="none"/>
        </w:rPr>
        <w:br w:type="page"/>
      </w:r>
    </w:p>
    <w:p>
      <w:pPr>
        <w:bidi w:val="0"/>
        <w:jc w:val="both"/>
        <w:rPr>
          <w:rFonts w:hAnsi="宋体" w:cs="宋体"/>
          <w:b/>
          <w:bCs/>
          <w:color w:val="auto"/>
          <w:spacing w:val="6"/>
          <w:sz w:val="30"/>
          <w:szCs w:val="30"/>
          <w:highlight w:val="none"/>
        </w:rPr>
      </w:pPr>
      <w:bookmarkStart w:id="902" w:name="_Toc6070"/>
      <w:r>
        <w:rPr>
          <w:rFonts w:hint="eastAsia" w:ascii="宋体" w:hAnsi="宋体" w:eastAsia="宋体" w:cs="宋体"/>
          <w:b/>
          <w:color w:val="auto"/>
          <w:spacing w:val="6"/>
          <w:sz w:val="32"/>
          <w:szCs w:val="32"/>
          <w:highlight w:val="none"/>
        </w:rPr>
        <w:t>附件</w:t>
      </w:r>
      <w:r>
        <w:rPr>
          <w:rFonts w:hint="eastAsia" w:hAnsi="宋体" w:cs="宋体"/>
          <w:b/>
          <w:bCs/>
          <w:color w:val="auto"/>
          <w:spacing w:val="6"/>
          <w:sz w:val="30"/>
          <w:szCs w:val="30"/>
          <w:highlight w:val="none"/>
        </w:rPr>
        <w:t>4（如有）：</w:t>
      </w:r>
      <w:bookmarkEnd w:id="902"/>
    </w:p>
    <w:p>
      <w:pPr>
        <w:bidi w:val="0"/>
        <w:jc w:val="center"/>
        <w:rPr>
          <w:rFonts w:hint="eastAsia" w:ascii="宋体" w:hAnsi="宋体" w:eastAsia="宋体" w:cs="宋体"/>
          <w:b/>
          <w:color w:val="auto"/>
          <w:sz w:val="28"/>
          <w:szCs w:val="28"/>
          <w:highlight w:val="none"/>
        </w:rPr>
      </w:pPr>
      <w:bookmarkStart w:id="903" w:name="_Toc18156"/>
      <w:bookmarkStart w:id="904" w:name="OLE_LINK14"/>
      <w:bookmarkStart w:id="905" w:name="OLE_LINK13"/>
      <w:r>
        <w:rPr>
          <w:rFonts w:hint="eastAsia" w:ascii="宋体" w:hAnsi="宋体" w:eastAsia="宋体" w:cs="宋体"/>
          <w:b/>
          <w:color w:val="auto"/>
          <w:sz w:val="28"/>
          <w:szCs w:val="28"/>
          <w:highlight w:val="none"/>
        </w:rPr>
        <w:t>残疾人福利性单位声明函</w:t>
      </w:r>
      <w:bookmarkEnd w:id="903"/>
    </w:p>
    <w:bookmarkEnd w:id="904"/>
    <w:bookmarkEnd w:id="905"/>
    <w:p>
      <w:pPr>
        <w:bidi w:val="0"/>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906" w:name="_Toc31802"/>
      <w:r>
        <w:rPr>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90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bookmarkStart w:id="907" w:name="_Toc3368"/>
      <w:r>
        <w:rPr>
          <w:rFonts w:hint="eastAsia"/>
        </w:rPr>
        <w:t>本单位对上述声明的真实性负责。如有虚假，将依法承担相应责任。</w:t>
      </w:r>
      <w:bookmarkEnd w:id="907"/>
    </w:p>
    <w:p>
      <w:pPr>
        <w:spacing w:line="360" w:lineRule="auto"/>
        <w:ind w:firstLine="504" w:firstLineChars="200"/>
        <w:outlineLvl w:val="9"/>
        <w:rPr>
          <w:rFonts w:hAnsi="宋体" w:cs="宋体"/>
          <w:color w:val="auto"/>
          <w:spacing w:val="6"/>
          <w:szCs w:val="24"/>
          <w:highlight w:val="none"/>
        </w:rPr>
      </w:pPr>
    </w:p>
    <w:p>
      <w:pPr>
        <w:bidi w:val="0"/>
        <w:jc w:val="both"/>
        <w:rPr>
          <w:rFonts w:hAnsi="宋体" w:cs="宋体"/>
          <w:b/>
          <w:color w:val="auto"/>
          <w:spacing w:val="6"/>
          <w:szCs w:val="24"/>
          <w:highlight w:val="none"/>
        </w:rPr>
      </w:pPr>
      <w:bookmarkStart w:id="908" w:name="_Toc6854"/>
      <w:r>
        <w:rPr>
          <w:rFonts w:hAnsi="宋体" w:cs="宋体"/>
          <w:b/>
          <w:color w:val="auto"/>
          <w:spacing w:val="6"/>
          <w:szCs w:val="24"/>
          <w:highlight w:val="none"/>
        </w:rPr>
        <w:t>如非</w:t>
      </w:r>
      <w:r>
        <w:rPr>
          <w:rFonts w:hint="eastAsia" w:hAnsi="宋体" w:cs="宋体"/>
          <w:b/>
          <w:color w:val="auto"/>
          <w:spacing w:val="6"/>
          <w:szCs w:val="24"/>
          <w:highlight w:val="none"/>
        </w:rPr>
        <w:t>残疾人福利性单位可不提供</w:t>
      </w:r>
      <w:bookmarkEnd w:id="908"/>
    </w:p>
    <w:p>
      <w:pPr>
        <w:bidi w:val="0"/>
      </w:pPr>
    </w:p>
    <w:p>
      <w:pPr>
        <w:bidi w:val="0"/>
      </w:pPr>
    </w:p>
    <w:p>
      <w:pPr>
        <w:bidi w:val="0"/>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right"/>
        <w:textAlignment w:val="auto"/>
        <w:rPr>
          <w:rFonts w:hAnsi="宋体" w:cs="宋体"/>
          <w:color w:val="auto"/>
          <w:spacing w:val="6"/>
          <w:szCs w:val="24"/>
          <w:highlight w:val="none"/>
        </w:rPr>
      </w:pPr>
      <w:r>
        <w:rPr>
          <w:rFonts w:hint="eastAsia" w:hAnsi="宋体" w:cs="宋体"/>
          <w:color w:val="auto"/>
          <w:spacing w:val="6"/>
          <w:szCs w:val="24"/>
          <w:highlight w:val="none"/>
        </w:rPr>
        <w:t xml:space="preserve">               </w:t>
      </w:r>
      <w:bookmarkStart w:id="909" w:name="_Toc30692"/>
      <w:r>
        <w:rPr>
          <w:rFonts w:hint="eastAsia" w:hAnsi="宋体" w:cs="宋体"/>
          <w:color w:val="auto"/>
          <w:spacing w:val="6"/>
          <w:szCs w:val="24"/>
          <w:highlight w:val="none"/>
        </w:rPr>
        <w:t>单位名称（盖章）：</w:t>
      </w:r>
      <w:bookmarkEnd w:id="909"/>
    </w:p>
    <w:p>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right"/>
        <w:textAlignment w:val="auto"/>
        <w:rPr>
          <w:rFonts w:hAnsi="宋体" w:cs="宋体"/>
          <w:color w:val="auto"/>
          <w:spacing w:val="6"/>
          <w:szCs w:val="24"/>
          <w:highlight w:val="none"/>
        </w:rPr>
      </w:pPr>
      <w:r>
        <w:rPr>
          <w:rFonts w:hint="eastAsia" w:hAnsi="宋体" w:cs="宋体"/>
          <w:color w:val="auto"/>
          <w:spacing w:val="6"/>
          <w:szCs w:val="24"/>
          <w:highlight w:val="none"/>
        </w:rPr>
        <w:t xml:space="preserve">       </w:t>
      </w:r>
      <w:bookmarkStart w:id="910" w:name="_Toc14611"/>
      <w:r>
        <w:rPr>
          <w:rFonts w:hint="eastAsia" w:hAnsi="宋体" w:cs="宋体"/>
          <w:color w:val="auto"/>
          <w:spacing w:val="6"/>
          <w:szCs w:val="24"/>
          <w:highlight w:val="none"/>
        </w:rPr>
        <w:t>日    期：</w:t>
      </w:r>
      <w:bookmarkEnd w:id="910"/>
    </w:p>
    <w:p>
      <w:pPr>
        <w:bidi w:val="0"/>
      </w:pPr>
    </w:p>
    <w:p>
      <w:pPr>
        <w:bidi w:val="0"/>
      </w:pPr>
    </w:p>
    <w:sectPr>
      <w:pgSz w:w="11906" w:h="16838"/>
      <w:pgMar w:top="1440" w:right="1843" w:bottom="1440" w:left="1803" w:header="1134" w:footer="992" w:gutter="0"/>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szCs w:val="18"/>
      </w:rPr>
      <mc:AlternateContent>
        <mc:Choice Requires="wps">
          <w:drawing>
            <wp:anchor distT="0" distB="0" distL="114300" distR="114300" simplePos="0" relativeHeight="25166438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438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EAuGJ1AAAAAgBAAAPAAAAAAAAAAEAIAAAACIAAABkcnMvZG93bnJldi54&#10;bWxQSwECFAAUAAAACACHTuJAfBcPHcUBAACbAwAADgAAAAAAAAABACAAAAAjAQAAZHJzL2Uyb0Rv&#10;Yy54bWxQSwUGAAAAAAYABgBZAQAAWg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陕西至诚招标咨询有限公司                        地址：西安市高新区科技五路8号数字大厦11楼</w: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CNUKLH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028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ERGRQH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rFonts w:hint="eastAsia"/>
        <w:sz w:val="18"/>
        <w:szCs w:val="18"/>
      </w:rPr>
      <w:t xml:space="preserve">                                       </w:t>
    </w: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ulvw/RAAAAAwEAAA8AAAAAAAAAAQAgAAAAIgAAAGRycy9kb3du&#10;cmV2LnhtbFBLAQIUABQAAAAIAIdO4kAQqxggzQEAAJkDAAAOAAAAAAAAAAEAIAAAACABAABkcnMv&#10;ZTJvRG9jLnhtbFBLBQYAAAAABgAGAFkBAABf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6432" behindDoc="0" locked="0" layoutInCell="1" allowOverlap="1">
              <wp:simplePos x="0" y="0"/>
              <wp:positionH relativeFrom="margin">
                <wp:posOffset>3065145</wp:posOffset>
              </wp:positionH>
              <wp:positionV relativeFrom="paragraph">
                <wp:posOffset>152400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41.35pt;margin-top:12pt;height:11.65pt;width:9.05pt;mso-position-horizontal-relative:margin;mso-wrap-style:none;z-index:251666432;mso-width-relative:page;mso-height-relative:page;" filled="f" stroked="f" coordsize="21600,21600" o:gfxdata="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mAEWN1QAAAAkBAAAPAAAAAAAAAAEAIAAAACIAAABkcnMv&#10;ZG93bnJldi54bWxQSwECFAAUAAAACACHTuJAwJscps0BAACZAwAADgAAAAAAAAABACAAAAAkAQAA&#10;ZHJzL2Uyb0RvYy54bWxQSwUGAAAAAAYABgBZAQAAYw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r>
      <w:rPr>
        <w:sz w:val="18"/>
        <w:szCs w:val="18"/>
      </w:rPr>
      <mc:AlternateContent>
        <mc:Choice Requires="wps">
          <w:drawing>
            <wp:anchor distT="0" distB="0" distL="114300" distR="114300" simplePos="0" relativeHeight="25167155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155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WO1a9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7052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052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GEI0U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950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950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Ax+im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848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848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TW5SGccBAACdAwAADgAAAAAAAAABACAAAAAeAQAAZHJzL2Uyb0RvYy54&#10;bWxQSwUGAAAAAAYABgBZAQAAVw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7564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N8z8Eg4AgAAYAQAAA4AAAAAAAAAAQAgAAAAIAEAAGRycy9lMm9Eb2Mu&#10;eG1sUEsFBgAAAAAGAAYAWQEAAMo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sz w:val="18"/>
        <w:szCs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479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7257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ulvw/RAAAAAwEAAA8AAAAAAAAAAQAgAAAAIgAAAGRycy9kb3du&#10;cmV2LnhtbFBLAQIUABQAAAAIAIdO4kB7j5RFzQEAAJsDAAAOAAAAAAAAAAEAIAAAACABAABkcnMv&#10;ZTJvRG9jLnhtbFBLBQYAAAAABgAGAFkBAABf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73600" behindDoc="0" locked="0" layoutInCell="1" allowOverlap="1">
              <wp:simplePos x="0" y="0"/>
              <wp:positionH relativeFrom="margin">
                <wp:posOffset>3065145</wp:posOffset>
              </wp:positionH>
              <wp:positionV relativeFrom="paragraph">
                <wp:posOffset>152400</wp:posOffset>
              </wp:positionV>
              <wp:extent cx="114935" cy="14795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41.35pt;margin-top:12pt;height:11.65pt;width:9.05pt;mso-position-horizontal-relative:margin;mso-wrap-style:none;z-index:251673600;mso-width-relative:page;mso-height-relative:page;" filled="f" stroked="f" coordsize="21600,21600" o:gfxdata="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mAEWN1QAAAAkBAAAPAAAAAAAAAAEAIAAAACIAAABkcnMv&#10;ZG93bnJldi54bWxQSwECFAAUAAAACACHTuJA0+xRlM0BAACbAwAADgAAAAAAAAABACAAAAAkAQAA&#10;ZHJzL2Uyb0RvYy54bWxQSwUGAAAAAAYABgBZAQAAYw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1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8" o:spid="_x0000_s1026" o:spt="202" type="#_x0000_t202" style="position:absolute;left:0pt;margin-top:0pt;height:10.35pt;width:9.05pt;mso-position-horizontal:center;mso-position-horizontal-relative:margin;mso-wrap-style:none;z-index:25167667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cYXXSAAAAAwEAAA8AAAAAAAAAAQAgAAAAIgAAAGRycy9kb3ducmV2Lnht&#10;bFBLAQIUABQAAAAIAIdO4kDSDQ1/OAIAAGMEAAAOAAAAAAAAAAEAIAAAACEBAABkcnMvZTJvRG9j&#10;LnhtbFBLBQYAAAAABgAGAFkBAADL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14935" cy="13144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7769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NyNNgY3AgAAYwQAAA4AAAAAAAAAAQAgAAAAIQEAAGRycy9lMm9Eb2Mu&#10;eG1sUEsFBgAAAAAGAAYAWQEAAMo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42</w:t>
                    </w:r>
                    <w:r>
                      <w:fldChar w:fldCharType="end"/>
                    </w:r>
                  </w:p>
                </w:txbxContent>
              </v:textbox>
            </v:shape>
          </w:pict>
        </mc:Fallback>
      </mc:AlternateContent>
    </w:r>
    <w:r>
      <w:rPr>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795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540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ulvw/RAAAAAwEAAA8AAAAAAAAAAQAgAAAAIgAAAGRycy9kb3du&#10;cmV2LnhtbFBLAQIUABQAAAAIAIdO4kDW7s+szQEAAJsDAAAOAAAAAAAAAAEAIAAAACABAABkcnMv&#10;ZTJvRG9jLnhtbFBLBQYAAAAABgAGAFkBAABf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r>
      <w:rPr>
        <w:rFonts w:hint="eastAsia" w:ascii="宋体" w:hAnsi="宋体" w:cs="宋体"/>
      </w:rPr>
      <w:t xml:space="preserve"> </w:t>
    </w:r>
    <w:r>
      <w:rPr>
        <w:rFonts w:hint="eastAsia" w:hAnsi="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2307"/>
        <w:tab w:val="clear" w:pos="4153"/>
      </w:tabs>
      <w:jc w:val="left"/>
    </w:pPr>
    <w:r>
      <w:rPr>
        <w:rFonts w:hint="eastAsia" w:ascii="宋体" w:hAnsi="宋体" w:cs="宋体"/>
      </w:rPr>
      <w:t>镇安县应急管理局应急、救灾物资及抢险救援装备采购项目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F0CE6"/>
    <w:multiLevelType w:val="multilevel"/>
    <w:tmpl w:val="1E8F0C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33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MTRhZGU3N2YxY2M4M2NkZDc2YmIwMjVmYTI4MjkifQ=="/>
  </w:docVars>
  <w:rsids>
    <w:rsidRoot w:val="00DD154A"/>
    <w:rsid w:val="00003AB5"/>
    <w:rsid w:val="000328F5"/>
    <w:rsid w:val="00042957"/>
    <w:rsid w:val="000A630E"/>
    <w:rsid w:val="000D3759"/>
    <w:rsid w:val="000D73D7"/>
    <w:rsid w:val="000E54B5"/>
    <w:rsid w:val="001277F9"/>
    <w:rsid w:val="00143BF7"/>
    <w:rsid w:val="001B3CBC"/>
    <w:rsid w:val="001B5EA0"/>
    <w:rsid w:val="002716BC"/>
    <w:rsid w:val="002E01C3"/>
    <w:rsid w:val="00330E27"/>
    <w:rsid w:val="00345712"/>
    <w:rsid w:val="003640F9"/>
    <w:rsid w:val="003B30EB"/>
    <w:rsid w:val="003D5100"/>
    <w:rsid w:val="003F0B7E"/>
    <w:rsid w:val="004846A5"/>
    <w:rsid w:val="00495C4E"/>
    <w:rsid w:val="004D1530"/>
    <w:rsid w:val="004D1F83"/>
    <w:rsid w:val="004D6E92"/>
    <w:rsid w:val="004F35FD"/>
    <w:rsid w:val="0054314F"/>
    <w:rsid w:val="00570847"/>
    <w:rsid w:val="0058400F"/>
    <w:rsid w:val="00591136"/>
    <w:rsid w:val="006532F7"/>
    <w:rsid w:val="00653CA8"/>
    <w:rsid w:val="00657055"/>
    <w:rsid w:val="006C3B23"/>
    <w:rsid w:val="007265E2"/>
    <w:rsid w:val="0073077F"/>
    <w:rsid w:val="007435A5"/>
    <w:rsid w:val="007B1999"/>
    <w:rsid w:val="00800D2E"/>
    <w:rsid w:val="00812CE2"/>
    <w:rsid w:val="00816F39"/>
    <w:rsid w:val="00826FBF"/>
    <w:rsid w:val="008955FC"/>
    <w:rsid w:val="008A7D3C"/>
    <w:rsid w:val="009200CB"/>
    <w:rsid w:val="009415FD"/>
    <w:rsid w:val="00947872"/>
    <w:rsid w:val="00A3183F"/>
    <w:rsid w:val="00A4439D"/>
    <w:rsid w:val="00AA3AF6"/>
    <w:rsid w:val="00AB4B07"/>
    <w:rsid w:val="00AB6CC8"/>
    <w:rsid w:val="00AD1EC3"/>
    <w:rsid w:val="00AE252E"/>
    <w:rsid w:val="00AE33C6"/>
    <w:rsid w:val="00B67886"/>
    <w:rsid w:val="00B77D0A"/>
    <w:rsid w:val="00BC4B3D"/>
    <w:rsid w:val="00BD0D76"/>
    <w:rsid w:val="00BD2860"/>
    <w:rsid w:val="00C170E5"/>
    <w:rsid w:val="00C20AC0"/>
    <w:rsid w:val="00C37816"/>
    <w:rsid w:val="00C74BF2"/>
    <w:rsid w:val="00C90E4B"/>
    <w:rsid w:val="00CA0C56"/>
    <w:rsid w:val="00CD6F91"/>
    <w:rsid w:val="00D6125A"/>
    <w:rsid w:val="00D819C4"/>
    <w:rsid w:val="00DA3A3A"/>
    <w:rsid w:val="00DD154A"/>
    <w:rsid w:val="00DE1F86"/>
    <w:rsid w:val="00E2414C"/>
    <w:rsid w:val="00E3645A"/>
    <w:rsid w:val="00E74A4D"/>
    <w:rsid w:val="00E94AAB"/>
    <w:rsid w:val="00EA7686"/>
    <w:rsid w:val="00EB5EDE"/>
    <w:rsid w:val="00ED12E1"/>
    <w:rsid w:val="00EE4C44"/>
    <w:rsid w:val="00F34D75"/>
    <w:rsid w:val="01016058"/>
    <w:rsid w:val="0118149A"/>
    <w:rsid w:val="024C46BB"/>
    <w:rsid w:val="02F80B9F"/>
    <w:rsid w:val="03462A77"/>
    <w:rsid w:val="03635545"/>
    <w:rsid w:val="03977481"/>
    <w:rsid w:val="043C07F8"/>
    <w:rsid w:val="044A2075"/>
    <w:rsid w:val="049A7103"/>
    <w:rsid w:val="05A9667F"/>
    <w:rsid w:val="060905E2"/>
    <w:rsid w:val="06A47382"/>
    <w:rsid w:val="06B7275B"/>
    <w:rsid w:val="08AE798B"/>
    <w:rsid w:val="09043908"/>
    <w:rsid w:val="09373431"/>
    <w:rsid w:val="09393FF0"/>
    <w:rsid w:val="099956C4"/>
    <w:rsid w:val="0A5B34D8"/>
    <w:rsid w:val="0ABB26A4"/>
    <w:rsid w:val="0B417A18"/>
    <w:rsid w:val="0BBB28F6"/>
    <w:rsid w:val="0BD45A43"/>
    <w:rsid w:val="0C0E5078"/>
    <w:rsid w:val="0C764075"/>
    <w:rsid w:val="0C827789"/>
    <w:rsid w:val="0CA42229"/>
    <w:rsid w:val="0D7D1843"/>
    <w:rsid w:val="0E400CAB"/>
    <w:rsid w:val="0E473989"/>
    <w:rsid w:val="0F10381A"/>
    <w:rsid w:val="0F7B7178"/>
    <w:rsid w:val="0FF2251D"/>
    <w:rsid w:val="10375983"/>
    <w:rsid w:val="104E74D0"/>
    <w:rsid w:val="10F00617"/>
    <w:rsid w:val="11250EA5"/>
    <w:rsid w:val="114453F4"/>
    <w:rsid w:val="1185604C"/>
    <w:rsid w:val="119A7EFD"/>
    <w:rsid w:val="11B23A58"/>
    <w:rsid w:val="12144733"/>
    <w:rsid w:val="12777D2B"/>
    <w:rsid w:val="12EA01B1"/>
    <w:rsid w:val="132B2F48"/>
    <w:rsid w:val="132F5EA8"/>
    <w:rsid w:val="136433FF"/>
    <w:rsid w:val="14166661"/>
    <w:rsid w:val="147012A1"/>
    <w:rsid w:val="14725A20"/>
    <w:rsid w:val="14971594"/>
    <w:rsid w:val="15EF6BA1"/>
    <w:rsid w:val="16693135"/>
    <w:rsid w:val="167E6319"/>
    <w:rsid w:val="16810BF3"/>
    <w:rsid w:val="185B2519"/>
    <w:rsid w:val="196F48EA"/>
    <w:rsid w:val="19BC21FD"/>
    <w:rsid w:val="1A0164D5"/>
    <w:rsid w:val="1AC82CA7"/>
    <w:rsid w:val="1C057C72"/>
    <w:rsid w:val="1D20708B"/>
    <w:rsid w:val="1D8B7CCB"/>
    <w:rsid w:val="1DC41E39"/>
    <w:rsid w:val="1E284E53"/>
    <w:rsid w:val="1E4D54B6"/>
    <w:rsid w:val="1E612B06"/>
    <w:rsid w:val="1E626BB2"/>
    <w:rsid w:val="1E97689D"/>
    <w:rsid w:val="1EBB47DD"/>
    <w:rsid w:val="1F4A7838"/>
    <w:rsid w:val="1FF03488"/>
    <w:rsid w:val="200A025F"/>
    <w:rsid w:val="203D06BB"/>
    <w:rsid w:val="20943E4D"/>
    <w:rsid w:val="21101E0D"/>
    <w:rsid w:val="21685517"/>
    <w:rsid w:val="2193164C"/>
    <w:rsid w:val="21A93160"/>
    <w:rsid w:val="21B97C87"/>
    <w:rsid w:val="21C81E6A"/>
    <w:rsid w:val="232E6826"/>
    <w:rsid w:val="239B1C4D"/>
    <w:rsid w:val="24D70B3F"/>
    <w:rsid w:val="256A5E8B"/>
    <w:rsid w:val="26D94133"/>
    <w:rsid w:val="27472767"/>
    <w:rsid w:val="276771E3"/>
    <w:rsid w:val="27714954"/>
    <w:rsid w:val="277A1B2E"/>
    <w:rsid w:val="277F2DA0"/>
    <w:rsid w:val="278E4F1E"/>
    <w:rsid w:val="27C3224C"/>
    <w:rsid w:val="27F66BE5"/>
    <w:rsid w:val="285A21DD"/>
    <w:rsid w:val="28E624BB"/>
    <w:rsid w:val="29460B7C"/>
    <w:rsid w:val="29681B94"/>
    <w:rsid w:val="29B73B70"/>
    <w:rsid w:val="29F202BB"/>
    <w:rsid w:val="29F971FC"/>
    <w:rsid w:val="2A601009"/>
    <w:rsid w:val="2AE2373A"/>
    <w:rsid w:val="2AEE5150"/>
    <w:rsid w:val="2B053ED9"/>
    <w:rsid w:val="2BED7C7A"/>
    <w:rsid w:val="2D630BFB"/>
    <w:rsid w:val="2D757513"/>
    <w:rsid w:val="2E021B0E"/>
    <w:rsid w:val="2E726185"/>
    <w:rsid w:val="2F147308"/>
    <w:rsid w:val="2F251D39"/>
    <w:rsid w:val="305402AF"/>
    <w:rsid w:val="309B3F86"/>
    <w:rsid w:val="310F64B3"/>
    <w:rsid w:val="31855095"/>
    <w:rsid w:val="31CB0D18"/>
    <w:rsid w:val="326B2546"/>
    <w:rsid w:val="32792545"/>
    <w:rsid w:val="333A2A30"/>
    <w:rsid w:val="337C72D2"/>
    <w:rsid w:val="33D70333"/>
    <w:rsid w:val="341745E5"/>
    <w:rsid w:val="3438326C"/>
    <w:rsid w:val="346D4E10"/>
    <w:rsid w:val="349C090F"/>
    <w:rsid w:val="352D4D80"/>
    <w:rsid w:val="360C3D1F"/>
    <w:rsid w:val="37054AD1"/>
    <w:rsid w:val="375B6F94"/>
    <w:rsid w:val="37C37CEE"/>
    <w:rsid w:val="37D81EBB"/>
    <w:rsid w:val="37D94E8D"/>
    <w:rsid w:val="388E7587"/>
    <w:rsid w:val="38912F06"/>
    <w:rsid w:val="390205D1"/>
    <w:rsid w:val="39AF6B72"/>
    <w:rsid w:val="39EF7A36"/>
    <w:rsid w:val="3A0B6D71"/>
    <w:rsid w:val="3A602E34"/>
    <w:rsid w:val="3A786508"/>
    <w:rsid w:val="3B423643"/>
    <w:rsid w:val="3B5D6952"/>
    <w:rsid w:val="3B840918"/>
    <w:rsid w:val="3BE9229F"/>
    <w:rsid w:val="3C4531AC"/>
    <w:rsid w:val="3DA2024E"/>
    <w:rsid w:val="3DA526B3"/>
    <w:rsid w:val="3DDB0F34"/>
    <w:rsid w:val="3E213BA2"/>
    <w:rsid w:val="3E27502B"/>
    <w:rsid w:val="3E5D4C1C"/>
    <w:rsid w:val="3F291F10"/>
    <w:rsid w:val="3F9C3837"/>
    <w:rsid w:val="3FAA5D23"/>
    <w:rsid w:val="409824D3"/>
    <w:rsid w:val="40B26675"/>
    <w:rsid w:val="40EC66B0"/>
    <w:rsid w:val="41776EB5"/>
    <w:rsid w:val="42720D0C"/>
    <w:rsid w:val="431502E2"/>
    <w:rsid w:val="4317629E"/>
    <w:rsid w:val="434D09D5"/>
    <w:rsid w:val="4401662D"/>
    <w:rsid w:val="442864BF"/>
    <w:rsid w:val="447B5F47"/>
    <w:rsid w:val="44823A3E"/>
    <w:rsid w:val="44B212DF"/>
    <w:rsid w:val="44DD1EDE"/>
    <w:rsid w:val="44E3050C"/>
    <w:rsid w:val="451A73B1"/>
    <w:rsid w:val="453542F7"/>
    <w:rsid w:val="45AF1FCC"/>
    <w:rsid w:val="45D92F35"/>
    <w:rsid w:val="461D7F0C"/>
    <w:rsid w:val="46C72E09"/>
    <w:rsid w:val="476057F6"/>
    <w:rsid w:val="48323787"/>
    <w:rsid w:val="486F20C5"/>
    <w:rsid w:val="492B0DC8"/>
    <w:rsid w:val="49426109"/>
    <w:rsid w:val="49CC41B5"/>
    <w:rsid w:val="4A415166"/>
    <w:rsid w:val="4AAA64B6"/>
    <w:rsid w:val="4BC20D15"/>
    <w:rsid w:val="4CFB1C16"/>
    <w:rsid w:val="4DDD6F57"/>
    <w:rsid w:val="4E051472"/>
    <w:rsid w:val="4E507CA8"/>
    <w:rsid w:val="4E667640"/>
    <w:rsid w:val="4FC64D91"/>
    <w:rsid w:val="4FEC3CA1"/>
    <w:rsid w:val="50054DBD"/>
    <w:rsid w:val="5147798A"/>
    <w:rsid w:val="51FE3117"/>
    <w:rsid w:val="52DF642D"/>
    <w:rsid w:val="53A406A8"/>
    <w:rsid w:val="53B02BD2"/>
    <w:rsid w:val="54E87CD6"/>
    <w:rsid w:val="55C05FFC"/>
    <w:rsid w:val="55CD46C6"/>
    <w:rsid w:val="56004B7D"/>
    <w:rsid w:val="56321BC1"/>
    <w:rsid w:val="568B59A9"/>
    <w:rsid w:val="568C38E0"/>
    <w:rsid w:val="56A4325E"/>
    <w:rsid w:val="57A52BDE"/>
    <w:rsid w:val="581F6E8F"/>
    <w:rsid w:val="58831856"/>
    <w:rsid w:val="58A844AA"/>
    <w:rsid w:val="58E746C8"/>
    <w:rsid w:val="594A0569"/>
    <w:rsid w:val="59BA2B59"/>
    <w:rsid w:val="5A410C8D"/>
    <w:rsid w:val="5A54647D"/>
    <w:rsid w:val="5A5E53E1"/>
    <w:rsid w:val="5A985E8C"/>
    <w:rsid w:val="5B482EEE"/>
    <w:rsid w:val="5C1B657F"/>
    <w:rsid w:val="5C2E52D9"/>
    <w:rsid w:val="5C764ABA"/>
    <w:rsid w:val="5D2F3AAB"/>
    <w:rsid w:val="5D2F4368"/>
    <w:rsid w:val="5D357888"/>
    <w:rsid w:val="5DED154C"/>
    <w:rsid w:val="5DFE2B35"/>
    <w:rsid w:val="5E2F0420"/>
    <w:rsid w:val="5E691347"/>
    <w:rsid w:val="5EA55B23"/>
    <w:rsid w:val="5F091E13"/>
    <w:rsid w:val="60AC6753"/>
    <w:rsid w:val="610366CD"/>
    <w:rsid w:val="611141ED"/>
    <w:rsid w:val="61285BA5"/>
    <w:rsid w:val="61562395"/>
    <w:rsid w:val="61FE1577"/>
    <w:rsid w:val="62116C0A"/>
    <w:rsid w:val="626B5D15"/>
    <w:rsid w:val="62825149"/>
    <w:rsid w:val="62E423A8"/>
    <w:rsid w:val="64A7382D"/>
    <w:rsid w:val="64B97697"/>
    <w:rsid w:val="65452DB0"/>
    <w:rsid w:val="65C522FC"/>
    <w:rsid w:val="65E543C9"/>
    <w:rsid w:val="65EA3E9E"/>
    <w:rsid w:val="65EF1A90"/>
    <w:rsid w:val="66B353F6"/>
    <w:rsid w:val="677639EA"/>
    <w:rsid w:val="68750053"/>
    <w:rsid w:val="68830D39"/>
    <w:rsid w:val="68C220C4"/>
    <w:rsid w:val="693A6347"/>
    <w:rsid w:val="69B106EA"/>
    <w:rsid w:val="6A3970A4"/>
    <w:rsid w:val="6B667622"/>
    <w:rsid w:val="6B6F5D30"/>
    <w:rsid w:val="6B860C74"/>
    <w:rsid w:val="6B962F24"/>
    <w:rsid w:val="6BFA5C6D"/>
    <w:rsid w:val="6C510163"/>
    <w:rsid w:val="6C996F17"/>
    <w:rsid w:val="6CA11686"/>
    <w:rsid w:val="6D702A0A"/>
    <w:rsid w:val="6E2077A0"/>
    <w:rsid w:val="6F0B7B2D"/>
    <w:rsid w:val="6F671C48"/>
    <w:rsid w:val="6F862B1B"/>
    <w:rsid w:val="6F875CC7"/>
    <w:rsid w:val="6FE357F6"/>
    <w:rsid w:val="6FF64AC3"/>
    <w:rsid w:val="7004446F"/>
    <w:rsid w:val="70EC7355"/>
    <w:rsid w:val="720C611F"/>
    <w:rsid w:val="72523C26"/>
    <w:rsid w:val="72930B95"/>
    <w:rsid w:val="72D90FEC"/>
    <w:rsid w:val="72F963DC"/>
    <w:rsid w:val="734D4A0F"/>
    <w:rsid w:val="739428A7"/>
    <w:rsid w:val="73FB1EDA"/>
    <w:rsid w:val="744664C6"/>
    <w:rsid w:val="744922AC"/>
    <w:rsid w:val="748F27DA"/>
    <w:rsid w:val="7521051D"/>
    <w:rsid w:val="7539672B"/>
    <w:rsid w:val="75464FAE"/>
    <w:rsid w:val="761A284B"/>
    <w:rsid w:val="762A68B0"/>
    <w:rsid w:val="765B7C7D"/>
    <w:rsid w:val="76690848"/>
    <w:rsid w:val="76DB4493"/>
    <w:rsid w:val="77254B2B"/>
    <w:rsid w:val="78031E08"/>
    <w:rsid w:val="782C738A"/>
    <w:rsid w:val="78C24712"/>
    <w:rsid w:val="79D17E4E"/>
    <w:rsid w:val="79F840D0"/>
    <w:rsid w:val="7A8E41E5"/>
    <w:rsid w:val="7AFF384E"/>
    <w:rsid w:val="7B40121B"/>
    <w:rsid w:val="7B854663"/>
    <w:rsid w:val="7C271210"/>
    <w:rsid w:val="7C9061D1"/>
    <w:rsid w:val="7CC057C8"/>
    <w:rsid w:val="7CCE4464"/>
    <w:rsid w:val="7F6C61DB"/>
    <w:rsid w:val="7FB8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39"/>
    <w:qFormat/>
    <w:uiPriority w:val="0"/>
    <w:pPr>
      <w:keepNext/>
      <w:outlineLvl w:val="0"/>
    </w:pPr>
    <w:rPr>
      <w:rFonts w:ascii="仿宋_GB2312" w:hAnsi="宋体" w:eastAsia="仿宋_GB2312"/>
      <w:b/>
      <w:kern w:val="2"/>
      <w:sz w:val="32"/>
    </w:rPr>
  </w:style>
  <w:style w:type="paragraph" w:styleId="2">
    <w:name w:val="heading 2"/>
    <w:basedOn w:val="1"/>
    <w:next w:val="1"/>
    <w:qFormat/>
    <w:uiPriority w:val="9"/>
    <w:pPr>
      <w:keepNext/>
      <w:keepLines/>
      <w:widowControl/>
      <w:ind w:left="284"/>
      <w:jc w:val="left"/>
      <w:outlineLvl w:val="1"/>
    </w:pPr>
    <w:rPr>
      <w:rFonts w:ascii="Arial" w:hAnsi="Arial"/>
      <w:b/>
      <w:bCs/>
      <w:sz w:val="28"/>
      <w:szCs w:val="32"/>
    </w:rPr>
  </w:style>
  <w:style w:type="paragraph" w:styleId="4">
    <w:name w:val="heading 3"/>
    <w:basedOn w:val="1"/>
    <w:next w:val="1"/>
    <w:qFormat/>
    <w:uiPriority w:val="0"/>
    <w:pPr>
      <w:keepNext/>
      <w:spacing w:beforeLines="200" w:line="400" w:lineRule="exact"/>
      <w:jc w:val="center"/>
      <w:outlineLvl w:val="2"/>
    </w:pPr>
    <w:rPr>
      <w:rFonts w:ascii="Times New Roman"/>
      <w:b/>
      <w:bCs/>
      <w:kern w:val="2"/>
      <w:szCs w:val="24"/>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4"/>
    <w:qFormat/>
    <w:uiPriority w:val="0"/>
    <w:pPr>
      <w:jc w:val="left"/>
    </w:pPr>
    <w:rPr>
      <w:rFonts w:ascii="Times New Roman"/>
      <w:kern w:val="2"/>
      <w:sz w:val="21"/>
      <w:szCs w:val="24"/>
    </w:rPr>
  </w:style>
  <w:style w:type="paragraph" w:styleId="7">
    <w:name w:val="Body Text 3"/>
    <w:basedOn w:val="1"/>
    <w:qFormat/>
    <w:uiPriority w:val="0"/>
    <w:pPr>
      <w:spacing w:after="120"/>
    </w:pPr>
    <w:rPr>
      <w:sz w:val="16"/>
      <w:szCs w:val="16"/>
    </w:rPr>
  </w:style>
  <w:style w:type="paragraph" w:styleId="8">
    <w:name w:val="Body Text"/>
    <w:basedOn w:val="1"/>
    <w:next w:val="1"/>
    <w:qFormat/>
    <w:uiPriority w:val="0"/>
    <w:rPr>
      <w:rFonts w:ascii="Times New Roman"/>
      <w:kern w:val="2"/>
      <w:sz w:val="21"/>
    </w:rPr>
  </w:style>
  <w:style w:type="paragraph" w:styleId="9">
    <w:name w:val="Body Text Indent"/>
    <w:basedOn w:val="1"/>
    <w:next w:val="10"/>
    <w:qFormat/>
    <w:uiPriority w:val="0"/>
    <w:pPr>
      <w:widowControl/>
      <w:ind w:firstLine="652" w:firstLineChars="233"/>
    </w:pPr>
    <w:rPr>
      <w:rFonts w:ascii="Times New Roman"/>
      <w:sz w:val="28"/>
    </w:rPr>
  </w:style>
  <w:style w:type="paragraph" w:styleId="10">
    <w:name w:val="Body Text First Indent 2"/>
    <w:basedOn w:val="9"/>
    <w:semiHidden/>
    <w:unhideWhenUsed/>
    <w:qFormat/>
    <w:uiPriority w:val="99"/>
    <w:pPr>
      <w:spacing w:after="120"/>
      <w:ind w:left="420" w:leftChars="200"/>
    </w:pPr>
    <w:rPr>
      <w:sz w:val="28"/>
    </w:rPr>
  </w:style>
  <w:style w:type="paragraph" w:styleId="11">
    <w:name w:val="toc 3"/>
    <w:basedOn w:val="1"/>
    <w:next w:val="1"/>
    <w:unhideWhenUsed/>
    <w:qFormat/>
    <w:uiPriority w:val="39"/>
    <w:pPr>
      <w:ind w:left="840" w:leftChars="400"/>
    </w:pPr>
  </w:style>
  <w:style w:type="paragraph" w:styleId="12">
    <w:name w:val="Plain Text"/>
    <w:basedOn w:val="1"/>
    <w:qFormat/>
    <w:uiPriority w:val="0"/>
    <w:rPr>
      <w:rFonts w:hAnsi="Courier New"/>
      <w:kern w:val="2"/>
      <w:sz w:val="21"/>
    </w:rPr>
  </w:style>
  <w:style w:type="paragraph" w:styleId="13">
    <w:name w:val="Date"/>
    <w:basedOn w:val="1"/>
    <w:next w:val="1"/>
    <w:qFormat/>
    <w:uiPriority w:val="0"/>
    <w:rPr>
      <w:rFonts w:ascii="Times New Roman"/>
      <w:kern w:val="2"/>
      <w:sz w:val="28"/>
    </w:rPr>
  </w:style>
  <w:style w:type="paragraph" w:styleId="14">
    <w:name w:val="Balloon Text"/>
    <w:basedOn w:val="1"/>
    <w:link w:val="56"/>
    <w:qFormat/>
    <w:uiPriority w:val="0"/>
    <w:rPr>
      <w:sz w:val="18"/>
      <w:szCs w:val="18"/>
    </w:rPr>
  </w:style>
  <w:style w:type="paragraph" w:styleId="15">
    <w:name w:val="footer"/>
    <w:basedOn w:val="1"/>
    <w:qFormat/>
    <w:uiPriority w:val="99"/>
    <w:pPr>
      <w:tabs>
        <w:tab w:val="center" w:pos="4153"/>
        <w:tab w:val="right" w:pos="8306"/>
      </w:tabs>
      <w:snapToGrid w:val="0"/>
      <w:jc w:val="left"/>
    </w:pPr>
    <w:rPr>
      <w:rFonts w:ascii="Times New Roman"/>
      <w:kern w:val="2"/>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7">
    <w:name w:val="toc 1"/>
    <w:basedOn w:val="1"/>
    <w:next w:val="1"/>
    <w:unhideWhenUsed/>
    <w:qFormat/>
    <w:uiPriority w:val="39"/>
    <w:pPr>
      <w:tabs>
        <w:tab w:val="left" w:pos="1418"/>
        <w:tab w:val="right" w:leader="dot" w:pos="8302"/>
      </w:tabs>
      <w:spacing w:line="960" w:lineRule="auto"/>
    </w:pPr>
  </w:style>
  <w:style w:type="paragraph" w:styleId="18">
    <w:name w:val="toc 4"/>
    <w:basedOn w:val="1"/>
    <w:next w:val="1"/>
    <w:semiHidden/>
    <w:unhideWhenUsed/>
    <w:qFormat/>
    <w:uiPriority w:val="0"/>
    <w:pPr>
      <w:ind w:left="1260" w:leftChars="600"/>
    </w:pPr>
  </w:style>
  <w:style w:type="paragraph" w:styleId="19">
    <w:name w:val="toc 2"/>
    <w:basedOn w:val="1"/>
    <w:next w:val="1"/>
    <w:unhideWhenUsed/>
    <w:qFormat/>
    <w:uiPriority w:val="39"/>
    <w:pPr>
      <w:tabs>
        <w:tab w:val="right" w:leader="dot" w:pos="8302"/>
      </w:tabs>
      <w:spacing w:line="960" w:lineRule="auto"/>
      <w:ind w:left="420" w:leftChars="200"/>
    </w:pPr>
  </w:style>
  <w:style w:type="paragraph" w:styleId="20">
    <w:name w:val="Normal (Web)"/>
    <w:basedOn w:val="1"/>
    <w:qFormat/>
    <w:uiPriority w:val="99"/>
    <w:pPr>
      <w:widowControl/>
      <w:spacing w:beforeAutospacing="1" w:afterAutospacing="1"/>
      <w:jc w:val="left"/>
    </w:pPr>
    <w:rPr>
      <w:rFonts w:hAnsi="宋体"/>
      <w:szCs w:val="24"/>
    </w:rPr>
  </w:style>
  <w:style w:type="paragraph" w:styleId="21">
    <w:name w:val="annotation subject"/>
    <w:basedOn w:val="6"/>
    <w:next w:val="6"/>
    <w:link w:val="55"/>
    <w:qFormat/>
    <w:uiPriority w:val="0"/>
    <w:rPr>
      <w:rFonts w:ascii="宋体"/>
      <w:b/>
      <w:bCs/>
      <w:kern w:val="0"/>
      <w:sz w:val="24"/>
      <w:szCs w:val="20"/>
    </w:rPr>
  </w:style>
  <w:style w:type="table" w:styleId="23">
    <w:name w:val="Table Grid"/>
    <w:basedOn w:val="2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FollowedHyperlink"/>
    <w:basedOn w:val="24"/>
    <w:qFormat/>
    <w:uiPriority w:val="0"/>
    <w:rPr>
      <w:color w:val="800080"/>
      <w:u w:val="none"/>
    </w:rPr>
  </w:style>
  <w:style w:type="character" w:styleId="27">
    <w:name w:val="Emphasis"/>
    <w:basedOn w:val="24"/>
    <w:qFormat/>
    <w:uiPriority w:val="0"/>
    <w:rPr>
      <w:b/>
    </w:rPr>
  </w:style>
  <w:style w:type="character" w:styleId="28">
    <w:name w:val="HTML Definition"/>
    <w:basedOn w:val="24"/>
    <w:qFormat/>
    <w:uiPriority w:val="0"/>
  </w:style>
  <w:style w:type="character" w:styleId="29">
    <w:name w:val="HTML Typewriter"/>
    <w:basedOn w:val="24"/>
    <w:qFormat/>
    <w:uiPriority w:val="0"/>
    <w:rPr>
      <w:rFonts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qFormat/>
    <w:uiPriority w:val="99"/>
    <w:rPr>
      <w:rFonts w:hint="eastAsia" w:ascii="宋体" w:hAnsi="宋体" w:eastAsia="宋体" w:cs="宋体"/>
      <w:color w:val="000000"/>
      <w:sz w:val="18"/>
      <w:szCs w:val="18"/>
      <w:u w:val="none"/>
    </w:rPr>
  </w:style>
  <w:style w:type="character" w:styleId="33">
    <w:name w:val="HTML Code"/>
    <w:basedOn w:val="24"/>
    <w:qFormat/>
    <w:uiPriority w:val="0"/>
    <w:rPr>
      <w:rFonts w:hint="default" w:ascii="monospace" w:hAnsi="monospace" w:eastAsia="monospace" w:cs="monospace"/>
      <w:sz w:val="20"/>
    </w:rPr>
  </w:style>
  <w:style w:type="character" w:styleId="34">
    <w:name w:val="annotation reference"/>
    <w:basedOn w:val="24"/>
    <w:qFormat/>
    <w:uiPriority w:val="0"/>
    <w:rPr>
      <w:sz w:val="21"/>
      <w:szCs w:val="21"/>
    </w:rPr>
  </w:style>
  <w:style w:type="character" w:styleId="35">
    <w:name w:val="HTML Cite"/>
    <w:basedOn w:val="24"/>
    <w:qFormat/>
    <w:uiPriority w:val="0"/>
  </w:style>
  <w:style w:type="character" w:styleId="36">
    <w:name w:val="HTML Keyboard"/>
    <w:basedOn w:val="24"/>
    <w:qFormat/>
    <w:uiPriority w:val="0"/>
    <w:rPr>
      <w:rFonts w:hint="default" w:ascii="monospace" w:hAnsi="monospace" w:eastAsia="monospace" w:cs="monospace"/>
      <w:sz w:val="20"/>
    </w:rPr>
  </w:style>
  <w:style w:type="character" w:styleId="37">
    <w:name w:val="HTML Sample"/>
    <w:basedOn w:val="24"/>
    <w:qFormat/>
    <w:uiPriority w:val="0"/>
    <w:rPr>
      <w:rFonts w:hint="default" w:ascii="monospace" w:hAnsi="monospace" w:eastAsia="monospace" w:cs="monospace"/>
    </w:rPr>
  </w:style>
  <w:style w:type="paragraph" w:customStyle="1" w:styleId="38">
    <w:name w:val="520"/>
    <w:qFormat/>
    <w:uiPriority w:val="0"/>
    <w:pPr>
      <w:spacing w:line="360" w:lineRule="auto"/>
    </w:pPr>
    <w:rPr>
      <w:rFonts w:ascii="宋体" w:hAnsi="宋体" w:eastAsia="仿宋_GB2312" w:cs="Times New Roman"/>
      <w:b/>
      <w:kern w:val="2"/>
      <w:sz w:val="30"/>
      <w:szCs w:val="30"/>
      <w:lang w:val="en-US" w:eastAsia="zh-CN" w:bidi="ar-SA"/>
    </w:rPr>
  </w:style>
  <w:style w:type="character" w:customStyle="1" w:styleId="39">
    <w:name w:val="标题 1 Char"/>
    <w:link w:val="3"/>
    <w:qFormat/>
    <w:uiPriority w:val="0"/>
    <w:rPr>
      <w:rFonts w:ascii="仿宋_GB2312" w:hAnsi="宋体" w:eastAsia="仿宋_GB2312"/>
      <w:b/>
      <w:kern w:val="2"/>
      <w:sz w:val="32"/>
    </w:rPr>
  </w:style>
  <w:style w:type="paragraph" w:customStyle="1" w:styleId="40">
    <w:name w:val="列出段落1"/>
    <w:basedOn w:val="1"/>
    <w:qFormat/>
    <w:uiPriority w:val="34"/>
    <w:pPr>
      <w:ind w:firstLine="420" w:firstLineChars="200"/>
    </w:pPr>
  </w:style>
  <w:style w:type="paragraph" w:customStyle="1" w:styleId="41">
    <w:name w:val="纯文本1"/>
    <w:basedOn w:val="1"/>
    <w:qFormat/>
    <w:uiPriority w:val="0"/>
    <w:pPr>
      <w:spacing w:line="324" w:lineRule="auto"/>
    </w:pPr>
    <w:rPr>
      <w:rFonts w:hAnsi="Courier New" w:cs="Courier New"/>
      <w:szCs w:val="21"/>
    </w:rPr>
  </w:style>
  <w:style w:type="paragraph" w:customStyle="1" w:styleId="42">
    <w:name w:val="Char1"/>
    <w:basedOn w:val="1"/>
    <w:qFormat/>
    <w:uiPriority w:val="0"/>
    <w:pPr>
      <w:tabs>
        <w:tab w:val="left" w:pos="360"/>
      </w:tabs>
      <w:ind w:left="360" w:hanging="360" w:hangingChars="200"/>
    </w:pPr>
    <w:rPr>
      <w:szCs w:val="24"/>
    </w:rPr>
  </w:style>
  <w:style w:type="character" w:customStyle="1" w:styleId="43">
    <w:name w:val="font171"/>
    <w:basedOn w:val="24"/>
    <w:qFormat/>
    <w:uiPriority w:val="0"/>
    <w:rPr>
      <w:rFonts w:hint="eastAsia" w:ascii="宋体" w:hAnsi="宋体" w:eastAsia="宋体" w:cs="宋体"/>
      <w:color w:val="000000"/>
      <w:sz w:val="24"/>
      <w:szCs w:val="24"/>
      <w:u w:val="none"/>
    </w:rPr>
  </w:style>
  <w:style w:type="character" w:customStyle="1" w:styleId="44">
    <w:name w:val="font31"/>
    <w:basedOn w:val="24"/>
    <w:qFormat/>
    <w:uiPriority w:val="0"/>
    <w:rPr>
      <w:rFonts w:hint="eastAsia" w:ascii="宋体" w:hAnsi="宋体" w:eastAsia="宋体" w:cs="宋体"/>
      <w:b/>
      <w:bCs/>
      <w:color w:val="000000"/>
      <w:sz w:val="18"/>
      <w:szCs w:val="18"/>
      <w:u w:val="none"/>
    </w:rPr>
  </w:style>
  <w:style w:type="character" w:customStyle="1" w:styleId="45">
    <w:name w:val="font41"/>
    <w:basedOn w:val="24"/>
    <w:qFormat/>
    <w:uiPriority w:val="0"/>
    <w:rPr>
      <w:rFonts w:hint="eastAsia" w:ascii="宋体" w:hAnsi="宋体" w:eastAsia="宋体" w:cs="宋体"/>
      <w:color w:val="000000"/>
      <w:sz w:val="18"/>
      <w:szCs w:val="18"/>
      <w:u w:val="none"/>
    </w:rPr>
  </w:style>
  <w:style w:type="character" w:customStyle="1" w:styleId="46">
    <w:name w:val="font01"/>
    <w:basedOn w:val="24"/>
    <w:qFormat/>
    <w:uiPriority w:val="0"/>
    <w:rPr>
      <w:rFonts w:hint="eastAsia" w:ascii="宋体" w:hAnsi="宋体" w:eastAsia="宋体" w:cs="宋体"/>
      <w:color w:val="000000"/>
      <w:sz w:val="17"/>
      <w:szCs w:val="17"/>
      <w:u w:val="none"/>
    </w:rPr>
  </w:style>
  <w:style w:type="character" w:customStyle="1" w:styleId="47">
    <w:name w:val="font61"/>
    <w:basedOn w:val="24"/>
    <w:qFormat/>
    <w:uiPriority w:val="0"/>
    <w:rPr>
      <w:rFonts w:hint="eastAsia" w:ascii="宋体" w:hAnsi="宋体" w:eastAsia="宋体" w:cs="宋体"/>
      <w:b/>
      <w:bCs/>
      <w:color w:val="000000"/>
      <w:sz w:val="17"/>
      <w:szCs w:val="17"/>
      <w:u w:val="none"/>
    </w:rPr>
  </w:style>
  <w:style w:type="character" w:customStyle="1" w:styleId="48">
    <w:name w:val="font11"/>
    <w:basedOn w:val="24"/>
    <w:qFormat/>
    <w:uiPriority w:val="0"/>
    <w:rPr>
      <w:rFonts w:hint="eastAsia" w:ascii="宋体" w:hAnsi="宋体" w:eastAsia="宋体" w:cs="宋体"/>
      <w:color w:val="000000"/>
      <w:sz w:val="17"/>
      <w:szCs w:val="17"/>
      <w:u w:val="none"/>
    </w:rPr>
  </w:style>
  <w:style w:type="character" w:customStyle="1" w:styleId="49">
    <w:name w:val="font21"/>
    <w:basedOn w:val="24"/>
    <w:qFormat/>
    <w:uiPriority w:val="0"/>
    <w:rPr>
      <w:rFonts w:hint="eastAsia" w:ascii="宋体" w:hAnsi="宋体" w:eastAsia="宋体" w:cs="宋体"/>
      <w:color w:val="000000"/>
      <w:sz w:val="18"/>
      <w:szCs w:val="18"/>
      <w:u w:val="none"/>
    </w:rPr>
  </w:style>
  <w:style w:type="character" w:customStyle="1" w:styleId="50">
    <w:name w:val="font51"/>
    <w:basedOn w:val="24"/>
    <w:qFormat/>
    <w:uiPriority w:val="0"/>
    <w:rPr>
      <w:rFonts w:hint="eastAsia" w:ascii="宋体" w:hAnsi="宋体" w:eastAsia="宋体" w:cs="宋体"/>
      <w:b/>
      <w:bCs/>
      <w:color w:val="000000"/>
      <w:sz w:val="17"/>
      <w:szCs w:val="17"/>
      <w:u w:val="none"/>
    </w:rPr>
  </w:style>
  <w:style w:type="paragraph" w:customStyle="1" w:styleId="51">
    <w:name w:val="MessageHeader"/>
    <w:basedOn w:val="1"/>
    <w:next w:val="52"/>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52">
    <w:name w:val="BodyText"/>
    <w:basedOn w:val="1"/>
    <w:next w:val="1"/>
    <w:qFormat/>
    <w:uiPriority w:val="0"/>
    <w:pPr>
      <w:jc w:val="center"/>
      <w:textAlignment w:val="baseline"/>
    </w:pPr>
  </w:style>
  <w:style w:type="paragraph" w:styleId="53">
    <w:name w:val="List Paragraph"/>
    <w:basedOn w:val="1"/>
    <w:unhideWhenUsed/>
    <w:qFormat/>
    <w:uiPriority w:val="34"/>
    <w:pPr>
      <w:ind w:firstLine="420" w:firstLineChars="200"/>
    </w:pPr>
  </w:style>
  <w:style w:type="character" w:customStyle="1" w:styleId="54">
    <w:name w:val="批注文字 Char"/>
    <w:basedOn w:val="24"/>
    <w:link w:val="6"/>
    <w:qFormat/>
    <w:uiPriority w:val="0"/>
    <w:rPr>
      <w:kern w:val="2"/>
      <w:sz w:val="21"/>
      <w:szCs w:val="24"/>
    </w:rPr>
  </w:style>
  <w:style w:type="character" w:customStyle="1" w:styleId="55">
    <w:name w:val="批注主题 Char"/>
    <w:basedOn w:val="54"/>
    <w:link w:val="21"/>
    <w:qFormat/>
    <w:uiPriority w:val="0"/>
    <w:rPr>
      <w:kern w:val="2"/>
      <w:sz w:val="21"/>
      <w:szCs w:val="24"/>
    </w:rPr>
  </w:style>
  <w:style w:type="character" w:customStyle="1" w:styleId="56">
    <w:name w:val="批注框文本 Char"/>
    <w:basedOn w:val="24"/>
    <w:link w:val="14"/>
    <w:qFormat/>
    <w:uiPriority w:val="0"/>
    <w:rPr>
      <w:rFonts w:ascii="宋体"/>
      <w:sz w:val="18"/>
      <w:szCs w:val="18"/>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WPSOffice手动目录 1"/>
    <w:qFormat/>
    <w:uiPriority w:val="0"/>
    <w:pPr>
      <w:ind w:leftChars="0"/>
    </w:pPr>
    <w:rPr>
      <w:rFonts w:ascii="Times New Roman" w:hAnsi="Times New Roman" w:eastAsia="宋体" w:cs="Times New Roman"/>
      <w:sz w:val="20"/>
      <w:szCs w:val="20"/>
    </w:rPr>
  </w:style>
  <w:style w:type="paragraph" w:customStyle="1" w:styleId="5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7908D-FE7A-4F86-B8BC-EDC36D5835DB}">
  <ds:schemaRefs/>
</ds:datastoreItem>
</file>

<file path=docProps/app.xml><?xml version="1.0" encoding="utf-8"?>
<Properties xmlns="http://schemas.openxmlformats.org/officeDocument/2006/extended-properties" xmlns:vt="http://schemas.openxmlformats.org/officeDocument/2006/docPropsVTypes">
  <Template>Normal</Template>
  <Pages>68</Pages>
  <Words>29416</Words>
  <Characters>31457</Characters>
  <Lines>280</Lines>
  <Paragraphs>78</Paragraphs>
  <TotalTime>40</TotalTime>
  <ScaleCrop>false</ScaleCrop>
  <LinksUpToDate>false</LinksUpToDate>
  <CharactersWithSpaces>33099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2021-07-13T02:07:00Z</dcterms:created>
  <dc:creator>Administrator</dc:creator>
  <cp:lastModifiedBy>Administrator</cp:lastModifiedBy>
  <cp:lastPrinted>2020-12-17T08:38:00Z</cp:lastPrinted>
  <dcterms:modified xsi:type="dcterms:W3CDTF">2022-11-17T02:41:45Z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01FC02A01E724FC08C37D2BE8ECDE01D</vt:lpwstr>
  </property>
</Properties>
</file>