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36"/>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SXZCZB2022-ZCCS-1226</w:t>
      </w:r>
    </w:p>
    <w:p>
      <w:pPr>
        <w:rPr>
          <w:rFonts w:hAnsi="宋体" w:cs="宋体"/>
          <w:b/>
          <w:sz w:val="36"/>
          <w:highlight w:val="none"/>
        </w:rPr>
      </w:pPr>
      <w:r>
        <w:rPr>
          <w:rFonts w:hint="eastAsia" w:hAnsi="宋体" w:cs="宋体"/>
          <w:b/>
          <w:sz w:val="36"/>
          <w:highlight w:val="none"/>
        </w:rPr>
        <w:t xml:space="preserve"> </w:t>
      </w:r>
    </w:p>
    <w:p>
      <w:pPr>
        <w:rPr>
          <w:rFonts w:hAnsi="宋体" w:cs="宋体"/>
          <w:b/>
          <w:sz w:val="36"/>
          <w:highlight w:val="none"/>
        </w:rPr>
      </w:pPr>
    </w:p>
    <w:p>
      <w:pPr>
        <w:rPr>
          <w:rFonts w:hAnsi="宋体" w:cs="宋体"/>
          <w:b/>
          <w:sz w:val="40"/>
          <w:szCs w:val="21"/>
          <w:highlight w:val="none"/>
        </w:rPr>
      </w:pPr>
    </w:p>
    <w:p>
      <w:pPr>
        <w:jc w:val="center"/>
        <w:rPr>
          <w:rFonts w:hAnsi="宋体" w:cs="宋体"/>
          <w:b/>
          <w:sz w:val="56"/>
          <w:szCs w:val="56"/>
          <w:highlight w:val="none"/>
        </w:rPr>
      </w:pPr>
    </w:p>
    <w:p>
      <w:pPr>
        <w:jc w:val="center"/>
        <w:rPr>
          <w:rFonts w:hint="eastAsia" w:hAnsi="宋体" w:eastAsia="宋体" w:cs="宋体"/>
          <w:b/>
          <w:sz w:val="36"/>
          <w:szCs w:val="36"/>
          <w:highlight w:val="none"/>
          <w:lang w:eastAsia="zh-CN"/>
        </w:rPr>
      </w:pPr>
      <w:r>
        <w:rPr>
          <w:rFonts w:hint="eastAsia" w:hAnsi="宋体" w:cs="宋体"/>
          <w:b/>
          <w:sz w:val="56"/>
          <w:szCs w:val="56"/>
          <w:highlight w:val="none"/>
          <w:lang w:eastAsia="zh-CN"/>
        </w:rPr>
        <w:t>汉中市人民医院三级医院评审与绩效考核信息管理服务平台采购项目</w:t>
      </w:r>
    </w:p>
    <w:p>
      <w:pPr>
        <w:jc w:val="center"/>
        <w:rPr>
          <w:rFonts w:hAnsi="宋体" w:cs="宋体"/>
          <w:b/>
          <w:sz w:val="36"/>
          <w:szCs w:val="36"/>
          <w:highlight w:val="none"/>
        </w:rPr>
      </w:pPr>
    </w:p>
    <w:p>
      <w:pPr>
        <w:spacing w:line="780" w:lineRule="auto"/>
        <w:jc w:val="center"/>
        <w:rPr>
          <w:rFonts w:hAnsi="宋体" w:cs="宋体"/>
          <w:b/>
          <w:sz w:val="72"/>
          <w:szCs w:val="72"/>
          <w:highlight w:val="none"/>
        </w:rPr>
      </w:pPr>
    </w:p>
    <w:p>
      <w:pPr>
        <w:spacing w:line="780" w:lineRule="auto"/>
        <w:jc w:val="center"/>
        <w:rPr>
          <w:rFonts w:hAnsi="宋体" w:cs="宋体"/>
          <w:b/>
          <w:sz w:val="72"/>
          <w:szCs w:val="72"/>
          <w:highlight w:val="none"/>
        </w:rPr>
      </w:pPr>
      <w:r>
        <w:rPr>
          <w:rFonts w:hint="eastAsia" w:hAnsi="宋体" w:cs="宋体"/>
          <w:b/>
          <w:sz w:val="72"/>
          <w:szCs w:val="72"/>
          <w:highlight w:val="none"/>
        </w:rPr>
        <w:t>竞争性磋商文件</w:t>
      </w:r>
    </w:p>
    <w:p>
      <w:pPr>
        <w:rPr>
          <w:rFonts w:hAnsi="宋体" w:cs="宋体"/>
          <w:highlight w:val="none"/>
        </w:rPr>
      </w:pPr>
      <w:bookmarkStart w:id="0" w:name="_Toc363463325"/>
    </w:p>
    <w:p>
      <w:pPr>
        <w:rPr>
          <w:rFonts w:hAnsi="宋体" w:cs="宋体"/>
          <w:highlight w:val="none"/>
        </w:rPr>
      </w:pPr>
    </w:p>
    <w:p>
      <w:pPr>
        <w:rPr>
          <w:rFonts w:hAnsi="宋体" w:cs="宋体"/>
          <w:highlight w:val="none"/>
        </w:rPr>
      </w:pPr>
    </w:p>
    <w:bookmarkEnd w:id="0"/>
    <w:p>
      <w:pPr>
        <w:rPr>
          <w:rFonts w:hAnsi="宋体" w:cs="宋体"/>
          <w:sz w:val="18"/>
          <w:szCs w:val="18"/>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r>
        <w:rPr>
          <w:rFonts w:hint="eastAsia" w:hAnsi="宋体" w:cs="宋体"/>
          <w:b/>
          <w:bCs/>
          <w:sz w:val="32"/>
          <w:szCs w:val="32"/>
          <w:highlight w:val="none"/>
        </w:rPr>
        <w:t>陕西至诚招标咨询有限公司</w:t>
      </w:r>
    </w:p>
    <w:p>
      <w:pPr>
        <w:pStyle w:val="10"/>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二〇二二年十</w:t>
      </w:r>
      <w:r>
        <w:rPr>
          <w:rFonts w:hint="eastAsia" w:ascii="宋体" w:hAnsi="宋体" w:cs="宋体"/>
          <w:b/>
          <w:bCs/>
          <w:sz w:val="32"/>
          <w:szCs w:val="32"/>
          <w:highlight w:val="none"/>
          <w:lang w:eastAsia="zh-CN"/>
        </w:rPr>
        <w:t>二</w:t>
      </w:r>
      <w:r>
        <w:rPr>
          <w:rFonts w:hint="eastAsia" w:ascii="宋体" w:hAnsi="宋体" w:cs="宋体"/>
          <w:b/>
          <w:bCs/>
          <w:sz w:val="32"/>
          <w:szCs w:val="32"/>
          <w:highlight w:val="none"/>
        </w:rPr>
        <w:t>月</w:t>
      </w:r>
    </w:p>
    <w:p>
      <w:pPr>
        <w:rPr>
          <w:rFonts w:hAnsi="宋体" w:cs="宋体"/>
          <w:highlight w:val="none"/>
        </w:rPr>
      </w:pPr>
    </w:p>
    <w:p>
      <w:pPr>
        <w:jc w:val="center"/>
        <w:rPr>
          <w:rFonts w:hAnsi="宋体" w:cs="宋体"/>
          <w:b/>
          <w:sz w:val="44"/>
          <w:szCs w:val="44"/>
          <w:highlight w:val="none"/>
        </w:rPr>
      </w:pPr>
      <w:r>
        <w:rPr>
          <w:rFonts w:hint="eastAsia" w:hAnsi="宋体" w:cs="宋体"/>
          <w:b/>
          <w:sz w:val="44"/>
          <w:szCs w:val="44"/>
          <w:highlight w:val="none"/>
        </w:rPr>
        <w:t>目 录</w:t>
      </w:r>
    </w:p>
    <w:p>
      <w:pPr>
        <w:pStyle w:val="15"/>
        <w:tabs>
          <w:tab w:val="right" w:leader="dot" w:pos="8787"/>
        </w:tabs>
        <w:spacing w:line="480" w:lineRule="auto"/>
        <w:rPr>
          <w:sz w:val="28"/>
          <w:szCs w:val="21"/>
          <w:highlight w:val="none"/>
        </w:rPr>
      </w:pPr>
      <w:bookmarkStart w:id="1" w:name="_Toc5293"/>
      <w:bookmarkStart w:id="2" w:name="_Toc16218"/>
      <w:bookmarkStart w:id="3" w:name="_Toc19886"/>
      <w:bookmarkStart w:id="4" w:name="_Toc389582033"/>
      <w:bookmarkStart w:id="5" w:name="_Toc20652"/>
      <w:bookmarkStart w:id="6" w:name="_Toc21518"/>
      <w:bookmarkStart w:id="7" w:name="_Toc20858"/>
      <w:bookmarkStart w:id="8" w:name="_Toc27420"/>
      <w:bookmarkStart w:id="9" w:name="_Toc363473971"/>
      <w:bookmarkStart w:id="10" w:name="_Toc403077638"/>
      <w:bookmarkStart w:id="11" w:name="_Toc363474016"/>
      <w:r>
        <w:rPr>
          <w:rFonts w:hint="eastAsia" w:hAnsi="宋体" w:cs="宋体"/>
          <w:bCs/>
          <w:sz w:val="40"/>
          <w:szCs w:val="40"/>
          <w:highlight w:val="none"/>
        </w:rPr>
        <w:fldChar w:fldCharType="begin"/>
      </w:r>
      <w:r>
        <w:rPr>
          <w:rFonts w:hint="eastAsia" w:hAnsi="宋体" w:cs="宋体"/>
          <w:bCs/>
          <w:sz w:val="40"/>
          <w:szCs w:val="40"/>
          <w:highlight w:val="none"/>
        </w:rPr>
        <w:instrText xml:space="preserve">TOC \o "1-4"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"_Toc25782"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_Toc25782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"_Toc14793"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rFonts w:hint="eastAsia"/>
          <w:sz w:val="28"/>
          <w:szCs w:val="21"/>
          <w:highlight w:val="none"/>
        </w:rPr>
        <w:t>6</w:t>
      </w:r>
      <w:r>
        <w:rPr>
          <w:rFonts w:hint="eastAsia"/>
          <w:sz w:val="28"/>
          <w:szCs w:val="21"/>
          <w:highlight w:val="none"/>
        </w:rPr>
        <w:fldChar w:fldCharType="end"/>
      </w:r>
    </w:p>
    <w:p>
      <w:pPr>
        <w:pStyle w:val="17"/>
        <w:tabs>
          <w:tab w:val="right" w:leader="dot" w:pos="8787"/>
        </w:tabs>
        <w:spacing w:line="480" w:lineRule="auto"/>
        <w:ind w:left="480"/>
        <w:rPr>
          <w:sz w:val="28"/>
          <w:szCs w:val="21"/>
          <w:highlight w:val="none"/>
        </w:rPr>
      </w:pPr>
      <w:r>
        <w:rPr>
          <w:highlight w:val="none"/>
        </w:rPr>
        <w:fldChar w:fldCharType="begin"/>
      </w:r>
      <w:r>
        <w:rPr>
          <w:highlight w:val="none"/>
        </w:rPr>
        <w:instrText xml:space="preserve"> HYPERLINK \l "_Toc18299" </w:instrText>
      </w:r>
      <w:r>
        <w:rPr>
          <w:highlight w:val="none"/>
        </w:rPr>
        <w:fldChar w:fldCharType="separate"/>
      </w:r>
      <w:r>
        <w:rPr>
          <w:rFonts w:hint="eastAsia" w:hAnsi="宋体" w:cs="宋体"/>
          <w:bCs/>
          <w:sz w:val="28"/>
          <w:szCs w:val="36"/>
          <w:highlight w:val="none"/>
        </w:rPr>
        <w:t>供应商须知前附表</w:t>
      </w:r>
      <w:r>
        <w:rPr>
          <w:sz w:val="28"/>
          <w:szCs w:val="21"/>
          <w:highlight w:val="none"/>
        </w:rPr>
        <w:tab/>
      </w:r>
      <w:r>
        <w:rPr>
          <w:sz w:val="28"/>
          <w:szCs w:val="21"/>
          <w:highlight w:val="none"/>
        </w:rPr>
        <w:fldChar w:fldCharType="begin"/>
      </w:r>
      <w:r>
        <w:rPr>
          <w:sz w:val="28"/>
          <w:szCs w:val="21"/>
          <w:highlight w:val="none"/>
        </w:rPr>
        <w:instrText xml:space="preserve"> PAGEREF _Toc18299 </w:instrText>
      </w:r>
      <w:r>
        <w:rPr>
          <w:sz w:val="28"/>
          <w:szCs w:val="21"/>
          <w:highlight w:val="none"/>
        </w:rPr>
        <w:fldChar w:fldCharType="separate"/>
      </w:r>
      <w:r>
        <w:rPr>
          <w:sz w:val="28"/>
          <w:szCs w:val="21"/>
          <w:highlight w:val="none"/>
        </w:rPr>
        <w:t>6</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"_Toc9687" </w:instrText>
      </w:r>
      <w:r>
        <w:rPr>
          <w:highlight w:val="none"/>
        </w:rPr>
        <w:fldChar w:fldCharType="separate"/>
      </w:r>
      <w:r>
        <w:rPr>
          <w:rFonts w:hint="eastAsia" w:hAnsi="宋体" w:cs="宋体"/>
          <w:bCs/>
          <w:sz w:val="28"/>
          <w:szCs w:val="40"/>
          <w:highlight w:val="none"/>
        </w:rPr>
        <w:t>第三章  评审方法</w:t>
      </w:r>
      <w:r>
        <w:rPr>
          <w:sz w:val="28"/>
          <w:szCs w:val="21"/>
          <w:highlight w:val="none"/>
        </w:rPr>
        <w:tab/>
      </w:r>
      <w:r>
        <w:rPr>
          <w:sz w:val="28"/>
          <w:szCs w:val="21"/>
          <w:highlight w:val="none"/>
        </w:rPr>
        <w:fldChar w:fldCharType="begin"/>
      </w:r>
      <w:r>
        <w:rPr>
          <w:sz w:val="28"/>
          <w:szCs w:val="21"/>
          <w:highlight w:val="none"/>
        </w:rPr>
        <w:instrText xml:space="preserve"> PAGEREF _Toc9687 </w:instrText>
      </w:r>
      <w:r>
        <w:rPr>
          <w:sz w:val="28"/>
          <w:szCs w:val="21"/>
          <w:highlight w:val="none"/>
        </w:rPr>
        <w:fldChar w:fldCharType="separate"/>
      </w:r>
      <w:r>
        <w:rPr>
          <w:sz w:val="28"/>
          <w:szCs w:val="21"/>
          <w:highlight w:val="none"/>
        </w:rPr>
        <w:t>24</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"_Toc8788"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_Toc8788 </w:instrText>
      </w:r>
      <w:r>
        <w:rPr>
          <w:sz w:val="28"/>
          <w:szCs w:val="21"/>
          <w:highlight w:val="none"/>
        </w:rPr>
        <w:fldChar w:fldCharType="separate"/>
      </w:r>
      <w:r>
        <w:rPr>
          <w:sz w:val="28"/>
          <w:szCs w:val="21"/>
          <w:highlight w:val="none"/>
        </w:rPr>
        <w:t>30</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"_Toc1119" </w:instrText>
      </w:r>
      <w:r>
        <w:rPr>
          <w:highlight w:val="none"/>
        </w:rPr>
        <w:fldChar w:fldCharType="separate"/>
      </w:r>
      <w:r>
        <w:rPr>
          <w:rFonts w:hint="eastAsia" w:hAnsi="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_Toc1119 </w:instrText>
      </w:r>
      <w:r>
        <w:rPr>
          <w:sz w:val="28"/>
          <w:szCs w:val="21"/>
          <w:highlight w:val="none"/>
        </w:rPr>
        <w:fldChar w:fldCharType="separate"/>
      </w:r>
      <w:r>
        <w:rPr>
          <w:sz w:val="28"/>
          <w:szCs w:val="21"/>
          <w:highlight w:val="none"/>
        </w:rPr>
        <w:t>37</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"_Toc6373" </w:instrText>
      </w:r>
      <w:r>
        <w:rPr>
          <w:highlight w:val="none"/>
        </w:rPr>
        <w:fldChar w:fldCharType="separate"/>
      </w:r>
      <w:r>
        <w:rPr>
          <w:rFonts w:hint="eastAsia" w:hAnsi="宋体" w:cs="宋体"/>
          <w:sz w:val="28"/>
          <w:szCs w:val="22"/>
          <w:highlight w:val="none"/>
        </w:rPr>
        <w:t>第六章  竞争性磋商响应文件格式</w:t>
      </w:r>
      <w:r>
        <w:rPr>
          <w:sz w:val="28"/>
          <w:szCs w:val="21"/>
          <w:highlight w:val="none"/>
        </w:rPr>
        <w:tab/>
      </w:r>
      <w:r>
        <w:rPr>
          <w:rFonts w:hint="eastAsia"/>
          <w:sz w:val="28"/>
          <w:szCs w:val="21"/>
          <w:highlight w:val="none"/>
        </w:rPr>
        <w:t>5</w:t>
      </w:r>
      <w:r>
        <w:rPr>
          <w:rFonts w:hint="eastAsia"/>
          <w:sz w:val="28"/>
          <w:szCs w:val="21"/>
          <w:highlight w:val="none"/>
        </w:rPr>
        <w:fldChar w:fldCharType="end"/>
      </w:r>
      <w:r>
        <w:rPr>
          <w:rFonts w:hint="eastAsia" w:hAnsi="宋体" w:cs="宋体"/>
          <w:bCs/>
          <w:sz w:val="28"/>
          <w:szCs w:val="40"/>
          <w:highlight w:val="none"/>
        </w:rPr>
        <w:t>6</w:t>
      </w:r>
    </w:p>
    <w:p>
      <w:pPr>
        <w:pStyle w:val="15"/>
        <w:tabs>
          <w:tab w:val="right" w:leader="dot" w:pos="8302"/>
        </w:tabs>
        <w:spacing w:line="480" w:lineRule="auto"/>
        <w:rPr>
          <w:rFonts w:hAnsi="宋体" w:cs="宋体"/>
          <w:bCs/>
          <w:sz w:val="36"/>
          <w:szCs w:val="36"/>
          <w:highlight w:val="none"/>
        </w:rPr>
      </w:pPr>
      <w:r>
        <w:rPr>
          <w:rFonts w:hint="eastAsia" w:hAnsi="宋体" w:cs="宋体"/>
          <w:bCs/>
          <w:sz w:val="28"/>
          <w:szCs w:val="40"/>
          <w:highlight w:val="none"/>
        </w:rPr>
        <w:fldChar w:fldCharType="end"/>
      </w:r>
    </w:p>
    <w:p>
      <w:pPr>
        <w:pStyle w:val="3"/>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705"/>
      <w:bookmarkStart w:id="13" w:name="_Toc423973071"/>
      <w:bookmarkStart w:id="14" w:name="_Toc25782"/>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bookmarkStart w:id="15" w:name="_Toc389582035"/>
      <w:bookmarkStart w:id="16" w:name="_Toc2929"/>
      <w:bookmarkStart w:id="17" w:name="_Toc423973072"/>
      <w:bookmarkStart w:id="18" w:name="_Toc14793"/>
      <w:bookmarkStart w:id="19" w:name="_Toc29249"/>
      <w:bookmarkStart w:id="20" w:name="_Toc3334"/>
      <w:r>
        <w:rPr>
          <w:rStyle w:val="25"/>
          <w:rFonts w:asciiTheme="minorEastAsia" w:hAnsiTheme="minorEastAsia" w:eastAsiaTheme="minorEastAsia" w:cstheme="minorEastAsia"/>
          <w:b/>
          <w:bCs/>
          <w:sz w:val="24"/>
          <w:szCs w:val="24"/>
          <w:highlight w:val="none"/>
          <w:shd w:val="clear" w:color="auto" w:fill="FFFFFF"/>
        </w:rPr>
        <w:t>项目概况</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shd w:val="clear" w:color="auto" w:fill="FFFFFF"/>
        </w:rPr>
        <w:t>三级医院评审与绩效考核信息管理服务平台采购项目采购项目的潜在供应商应在陕西省西安市经济技术开发区未央路171-1号银池道拉斯财富中心21楼获取采购文件，并于2022年12月29日14时30分（北京时间）前提交响应文件。</w:t>
      </w:r>
    </w:p>
    <w:p>
      <w:pPr>
        <w:pStyle w:val="5"/>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Style w:val="25"/>
          <w:rFonts w:asciiTheme="minorEastAsia" w:hAnsiTheme="minorEastAsia" w:eastAsiaTheme="minorEastAsia" w:cstheme="minorEastAsia"/>
          <w:b/>
          <w:bCs/>
          <w:sz w:val="24"/>
          <w:szCs w:val="24"/>
          <w:highlight w:val="none"/>
          <w:shd w:val="clear" w:color="auto" w:fill="FFFFFF"/>
        </w:rPr>
        <w:t>一、项目基本情况</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项目编号：SXZCZB2022-ZCCS-1226</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项目名称：三级医院评审与绩效考核信息管理服务平台采购项目</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采购方式：竞争性磋商</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预算金额：1,800,000.00元</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采购需求：</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合同包1(汉中市人民医院三级医院评审与绩效考核信息管理服务平台采购项目):</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合同包预算金额：1,800,000.00元</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合同包最高限价：1,800,000.00元</w:t>
      </w:r>
    </w:p>
    <w:tbl>
      <w:tblPr>
        <w:tblStyle w:val="22"/>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7"/>
        <w:gridCol w:w="1597"/>
        <w:gridCol w:w="1899"/>
        <w:gridCol w:w="851"/>
        <w:gridCol w:w="1256"/>
        <w:gridCol w:w="1632"/>
        <w:gridCol w:w="1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0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lang w:val="en-US" w:eastAsia="zh-CN" w:bidi="ar"/>
              </w:rPr>
              <w:t>品目号</w:t>
            </w:r>
          </w:p>
        </w:tc>
        <w:tc>
          <w:tcPr>
            <w:tcW w:w="92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lang w:val="en-US" w:eastAsia="zh-CN" w:bidi="ar"/>
              </w:rPr>
              <w:t>品目名称</w:t>
            </w:r>
          </w:p>
        </w:tc>
        <w:tc>
          <w:tcPr>
            <w:tcW w:w="107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lang w:val="en-US" w:eastAsia="zh-CN" w:bidi="ar"/>
              </w:rPr>
              <w:t>采购标的</w:t>
            </w:r>
          </w:p>
        </w:tc>
        <w:tc>
          <w:tcPr>
            <w:tcW w:w="52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数量</w:t>
            </w:r>
          </w:p>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lang w:val="en-US" w:eastAsia="zh-CN" w:bidi="ar"/>
              </w:rPr>
              <w:t>（单位）</w:t>
            </w:r>
          </w:p>
        </w:tc>
        <w:tc>
          <w:tcPr>
            <w:tcW w:w="74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lang w:val="en-US" w:eastAsia="zh-CN" w:bidi="ar"/>
              </w:rPr>
              <w:t>技术规格、参数及要求</w:t>
            </w:r>
          </w:p>
        </w:tc>
        <w:tc>
          <w:tcPr>
            <w:tcW w:w="6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lang w:val="en-US" w:eastAsia="zh-CN" w:bidi="ar"/>
              </w:rPr>
              <w:t>品目预算(元)</w:t>
            </w:r>
          </w:p>
        </w:tc>
        <w:tc>
          <w:tcPr>
            <w:tcW w:w="6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40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lang w:val="en-US" w:eastAsia="zh-CN" w:bidi="ar"/>
              </w:rPr>
              <w:t>1-1</w:t>
            </w:r>
          </w:p>
        </w:tc>
        <w:tc>
          <w:tcPr>
            <w:tcW w:w="92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lang w:val="en-US" w:eastAsia="zh-CN" w:bidi="ar"/>
              </w:rPr>
              <w:t>软件集成实施服务</w:t>
            </w:r>
          </w:p>
        </w:tc>
        <w:tc>
          <w:tcPr>
            <w:tcW w:w="107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lang w:val="en-US" w:eastAsia="zh-CN" w:bidi="ar"/>
              </w:rPr>
              <w:t>三级医院评审与绩效考核信息管理服务平台采购项目</w:t>
            </w:r>
          </w:p>
        </w:tc>
        <w:tc>
          <w:tcPr>
            <w:tcW w:w="52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lang w:val="en-US" w:eastAsia="zh-CN" w:bidi="ar"/>
              </w:rPr>
              <w:t>1(套)</w:t>
            </w:r>
          </w:p>
        </w:tc>
        <w:tc>
          <w:tcPr>
            <w:tcW w:w="74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6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24"/>
                <w:szCs w:val="24"/>
              </w:rPr>
            </w:pPr>
            <w:r>
              <w:rPr>
                <w:rFonts w:ascii="宋体" w:hAnsi="宋体" w:eastAsia="宋体" w:cs="宋体"/>
                <w:kern w:val="0"/>
                <w:sz w:val="24"/>
                <w:szCs w:val="24"/>
                <w:lang w:val="en-US" w:eastAsia="zh-CN" w:bidi="ar"/>
              </w:rPr>
              <w:t>1,800,000.00</w:t>
            </w:r>
          </w:p>
        </w:tc>
        <w:tc>
          <w:tcPr>
            <w:tcW w:w="6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24"/>
                <w:szCs w:val="24"/>
              </w:rPr>
            </w:pPr>
            <w:r>
              <w:rPr>
                <w:rFonts w:ascii="宋体" w:hAnsi="宋体" w:eastAsia="宋体" w:cs="宋体"/>
                <w:kern w:val="0"/>
                <w:sz w:val="24"/>
                <w:szCs w:val="24"/>
                <w:lang w:val="en-US" w:eastAsia="zh-CN" w:bidi="ar"/>
              </w:rPr>
              <w:t>1,800,000.00</w:t>
            </w:r>
          </w:p>
        </w:tc>
      </w:tr>
    </w:tbl>
    <w:p>
      <w:pPr>
        <w:pStyle w:val="18"/>
        <w:wordWrap w:val="0"/>
        <w:spacing w:before="0" w:beforeAutospacing="0" w:after="0" w:afterAutospacing="0" w:line="360" w:lineRule="auto"/>
        <w:ind w:firstLine="630"/>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shd w:val="clear" w:color="auto" w:fill="FFFFFF"/>
        </w:rPr>
        <w:t>本合同包不接受联合体投标</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合同履行期限：无</w:t>
      </w:r>
    </w:p>
    <w:p>
      <w:pPr>
        <w:pStyle w:val="18"/>
        <w:wordWrap w:val="0"/>
        <w:spacing w:before="0" w:beforeAutospacing="0" w:after="0" w:afterAutospacing="0" w:line="360" w:lineRule="auto"/>
        <w:ind w:firstLine="630"/>
        <w:jc w:val="both"/>
        <w:rPr>
          <w:rFonts w:hint="eastAsia" w:asciiTheme="minorEastAsia" w:hAnsiTheme="minorEastAsia" w:eastAsiaTheme="minorEastAsia" w:cstheme="minorEastAsia"/>
          <w:sz w:val="24"/>
          <w:szCs w:val="24"/>
          <w:highlight w:val="none"/>
          <w:shd w:val="clear" w:color="auto" w:fill="FFFFFF"/>
        </w:rPr>
      </w:pPr>
    </w:p>
    <w:p>
      <w:pPr>
        <w:pStyle w:val="5"/>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Style w:val="25"/>
          <w:rFonts w:asciiTheme="minorEastAsia" w:hAnsiTheme="minorEastAsia" w:eastAsiaTheme="minorEastAsia" w:cstheme="minorEastAsia"/>
          <w:b/>
          <w:bCs/>
          <w:sz w:val="24"/>
          <w:szCs w:val="24"/>
          <w:highlight w:val="none"/>
          <w:shd w:val="clear" w:color="auto" w:fill="FFFFFF"/>
        </w:rPr>
        <w:t>二、申请人的资格要求：</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1.满足《中华人民共和国政府采购法》第二十二条规定;</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2.落实政府采购政策需满足的资格要求：</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合同包1(汉中市人民医院三级医院评审与绩效考核信息管理服务平台采购项目)落实政府采购政策需满足的资格要求如下:</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2.1《政府采购促进中小企业发展管理办法》（财库〔2020〕46号）；</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2.2《财政部司法部关于政府采购支持监狱企业发展有关问题的通知》（财库〔2014〕68号）；</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2.3《国务院办公厅关于建立政府强制采购节能产品制度的通知》（国办发〔2007〕51号）；</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2.4《节能产品政府采购实施意见》（财库[2004]185号）；</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2.5《环境标志产品政府采购实施的意见》（财库[2006]90号）；</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2.6《三部门联合发布关于促进残疾人就业政府采购政策的通知》（财库〔2017〕141号）；</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2.7《财政部发展改革委生态环境部市场监管总局关于调整优化节能产品、环境标志产品政府采购执行机制的通知》（财库〔2019〕9号）</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2.8《财政部国务院扶贫办关于运用政府采购政策支持脱贫攻坚的通知》（财库〔2019〕27号）；</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2.9《陕西省中小企业政府采购信用融资办法》（陕财办采〔2018〕23号）； </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2.10其他需要落实的政府采购政策。</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3.本项目的特定资格要求：</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合同包1(汉中市人民医院三级医院评审与绩效考核信息管理服务平台采购项目)特定资格要求如下:</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1、提供合格有效的法人或者其他组织的营业执照等证明文件，自然人的身份证明。</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2、提供法定代表人授权书（附法定代表人、被授权人身份证复印件）及被授权人身份证原件（法定代表人直接参加磋商，须提供法定代表人身份证明及身份证原件）；</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3、财务状况报告：提供2020年度或2021年度的财务审计报告（至少包括资产负债表和利润表，成立时间至提交</w:t>
      </w:r>
      <w:r>
        <w:rPr>
          <w:rFonts w:hint="eastAsia" w:asciiTheme="minorEastAsia" w:hAnsiTheme="minorEastAsia" w:eastAsiaTheme="minorEastAsia" w:cstheme="minorEastAsia"/>
          <w:sz w:val="24"/>
          <w:szCs w:val="24"/>
          <w:highlight w:val="none"/>
          <w:shd w:val="clear" w:color="auto" w:fill="FFFFFF"/>
          <w:lang w:eastAsia="zh-CN"/>
        </w:rPr>
        <w:t>磋商</w:t>
      </w:r>
      <w:r>
        <w:rPr>
          <w:rFonts w:hint="eastAsia" w:asciiTheme="minorEastAsia" w:hAnsiTheme="minorEastAsia" w:eastAsiaTheme="minorEastAsia" w:cstheme="minorEastAsia"/>
          <w:sz w:val="24"/>
          <w:szCs w:val="24"/>
          <w:highlight w:val="none"/>
          <w:shd w:val="clear" w:color="auto" w:fill="FFFFFF"/>
        </w:rPr>
        <w:t>文件截止时间不足一年的可提供成立后任意时段的资产负债表），或</w:t>
      </w:r>
      <w:r>
        <w:rPr>
          <w:rFonts w:hint="eastAsia" w:asciiTheme="minorEastAsia" w:hAnsiTheme="minorEastAsia" w:eastAsiaTheme="minorEastAsia" w:cstheme="minorEastAsia"/>
          <w:sz w:val="24"/>
          <w:szCs w:val="24"/>
          <w:highlight w:val="none"/>
          <w:shd w:val="clear" w:color="auto" w:fill="FFFFFF"/>
          <w:lang w:eastAsia="zh-CN"/>
        </w:rPr>
        <w:t>磋商</w:t>
      </w:r>
      <w:r>
        <w:rPr>
          <w:rFonts w:hint="eastAsia" w:asciiTheme="minorEastAsia" w:hAnsiTheme="minorEastAsia" w:eastAsiaTheme="minorEastAsia" w:cstheme="minorEastAsia"/>
          <w:sz w:val="24"/>
          <w:szCs w:val="24"/>
          <w:highlight w:val="none"/>
          <w:shd w:val="clear" w:color="auto" w:fill="FFFFFF"/>
        </w:rPr>
        <w:t>文件递交截止日期前6个月内其基本开户银行出具的资信证明；</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4、税收缴纳证明：提供</w:t>
      </w:r>
      <w:r>
        <w:rPr>
          <w:rFonts w:hint="eastAsia" w:asciiTheme="minorEastAsia" w:hAnsiTheme="minorEastAsia" w:eastAsiaTheme="minorEastAsia" w:cstheme="minorEastAsia"/>
          <w:sz w:val="24"/>
          <w:szCs w:val="24"/>
          <w:highlight w:val="none"/>
          <w:shd w:val="clear" w:color="auto" w:fill="FFFFFF"/>
          <w:lang w:eastAsia="zh-CN"/>
        </w:rPr>
        <w:t>磋商</w:t>
      </w:r>
      <w:r>
        <w:rPr>
          <w:rFonts w:hint="eastAsia" w:asciiTheme="minorEastAsia" w:hAnsiTheme="minorEastAsia" w:eastAsiaTheme="minorEastAsia" w:cstheme="minorEastAsia"/>
          <w:sz w:val="24"/>
          <w:szCs w:val="24"/>
          <w:highlight w:val="none"/>
          <w:shd w:val="clear" w:color="auto" w:fill="FFFFFF"/>
        </w:rPr>
        <w:t>文件递交截止时间前一年内已缴纳的至少一个月的纳税证明或完税证明（任意税种），依法免税的单位应提供相关证明材料；</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5、社会保障资金缴纳证明：提供</w:t>
      </w:r>
      <w:r>
        <w:rPr>
          <w:rFonts w:hint="eastAsia" w:asciiTheme="minorEastAsia" w:hAnsiTheme="minorEastAsia" w:eastAsiaTheme="minorEastAsia" w:cstheme="minorEastAsia"/>
          <w:sz w:val="24"/>
          <w:szCs w:val="24"/>
          <w:highlight w:val="none"/>
          <w:shd w:val="clear" w:color="auto" w:fill="FFFFFF"/>
          <w:lang w:eastAsia="zh-CN"/>
        </w:rPr>
        <w:t>磋商</w:t>
      </w:r>
      <w:r>
        <w:rPr>
          <w:rFonts w:hint="eastAsia" w:asciiTheme="minorEastAsia" w:hAnsiTheme="minorEastAsia" w:eastAsiaTheme="minorEastAsia" w:cstheme="minorEastAsia"/>
          <w:sz w:val="24"/>
          <w:szCs w:val="24"/>
          <w:highlight w:val="none"/>
          <w:shd w:val="clear" w:color="auto" w:fill="FFFFFF"/>
        </w:rPr>
        <w:t>文件递交截止时间前一年内已缴存的至少一个月的社会保障资金缴存单据或社保机构开具的社会保险参保缴费情况证明，依法不需要缴纳社会保障资金的单位应提供相关证明材料；</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6、提供具有履行本合同所必需的设备和专业技术能力的说明及承诺书；</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7、供应商应通过“信用中国”网站(www.creditchina.gov.cn)、中国政府采购网(www.ccgp.gov.cn) 查询相关主体信用记录；</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8、参加政府采购活动前3年内，在经营活动中没有重大违法记录的书面声明；</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9、提供</w:t>
      </w:r>
      <w:r>
        <w:rPr>
          <w:rFonts w:hint="eastAsia" w:asciiTheme="minorEastAsia" w:hAnsiTheme="minorEastAsia" w:eastAsiaTheme="minorEastAsia" w:cstheme="minorEastAsia"/>
          <w:sz w:val="24"/>
          <w:szCs w:val="24"/>
          <w:highlight w:val="none"/>
          <w:shd w:val="clear" w:color="auto" w:fill="FFFFFF"/>
          <w:lang w:eastAsia="zh-CN"/>
        </w:rPr>
        <w:t>磋商</w:t>
      </w:r>
      <w:r>
        <w:rPr>
          <w:rFonts w:hint="eastAsia" w:asciiTheme="minorEastAsia" w:hAnsiTheme="minorEastAsia" w:eastAsiaTheme="minorEastAsia" w:cstheme="minorEastAsia"/>
          <w:sz w:val="24"/>
          <w:szCs w:val="24"/>
          <w:highlight w:val="none"/>
          <w:shd w:val="clear" w:color="auto" w:fill="FFFFFF"/>
        </w:rPr>
        <w:t>保证金缴纳凭证或担保机构出具的保函。</w:t>
      </w:r>
    </w:p>
    <w:p>
      <w:pPr>
        <w:pStyle w:val="18"/>
        <w:wordWrap w:val="0"/>
        <w:spacing w:before="0" w:beforeAutospacing="0" w:after="0" w:afterAutospacing="0" w:line="360" w:lineRule="auto"/>
        <w:jc w:val="both"/>
        <w:rPr>
          <w:rFonts w:hint="eastAsia" w:asciiTheme="minorEastAsia" w:hAnsiTheme="minorEastAsia" w:eastAsiaTheme="minorEastAsia" w:cstheme="minorEastAsia"/>
          <w:sz w:val="24"/>
          <w:szCs w:val="24"/>
          <w:highlight w:val="none"/>
          <w:shd w:val="clear" w:color="auto" w:fill="FFFFFF"/>
        </w:rPr>
      </w:pPr>
    </w:p>
    <w:p>
      <w:pPr>
        <w:pStyle w:val="5"/>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Style w:val="25"/>
          <w:rFonts w:asciiTheme="minorEastAsia" w:hAnsiTheme="minorEastAsia" w:eastAsiaTheme="minorEastAsia" w:cstheme="minorEastAsia"/>
          <w:b/>
          <w:bCs/>
          <w:sz w:val="24"/>
          <w:szCs w:val="24"/>
          <w:highlight w:val="none"/>
          <w:shd w:val="clear" w:color="auto" w:fill="FFFFFF"/>
        </w:rPr>
        <w:t>三、获取招标文件</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时间：2022年12月19日至2022年12月23日，每天上午09:00:00至12:00:00，下午14:00:00至17:00:00（北京时间）</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途径：陕西省西安市经济技术开发区未央路171-1号银池道拉斯财富中心21楼</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方式：现场获取</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售价：500元</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p>
    <w:p>
      <w:pPr>
        <w:pStyle w:val="5"/>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Style w:val="25"/>
          <w:rFonts w:asciiTheme="minorEastAsia" w:hAnsiTheme="minorEastAsia" w:eastAsiaTheme="minorEastAsia" w:cstheme="minorEastAsia"/>
          <w:b/>
          <w:bCs/>
          <w:sz w:val="24"/>
          <w:szCs w:val="24"/>
          <w:highlight w:val="none"/>
          <w:shd w:val="clear" w:color="auto" w:fill="FFFFFF"/>
        </w:rPr>
        <w:t>四、提交投标文件截止时间、开标时间和地点</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时间：2022年12月29日14时30分00秒（北京时间）</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提交投标文件地点：陕西省西安市经济技术开发区未央路171-1号银池道拉斯财富中心21楼</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开标地点：陕西省西安市经济技术开发区未央路171-1号银池道拉斯财富中心21楼</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p>
    <w:p>
      <w:pPr>
        <w:pStyle w:val="5"/>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Style w:val="25"/>
          <w:rFonts w:asciiTheme="minorEastAsia" w:hAnsiTheme="minorEastAsia" w:eastAsiaTheme="minorEastAsia" w:cstheme="minorEastAsia"/>
          <w:b/>
          <w:bCs/>
          <w:sz w:val="24"/>
          <w:szCs w:val="24"/>
          <w:highlight w:val="none"/>
          <w:shd w:val="clear" w:color="auto" w:fill="FFFFFF"/>
        </w:rPr>
        <w:t>五、公告期限</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自本公告发布之日起3个工作日。</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p>
    <w:p>
      <w:pPr>
        <w:pStyle w:val="5"/>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Style w:val="25"/>
          <w:rFonts w:asciiTheme="minorEastAsia" w:hAnsiTheme="minorEastAsia" w:eastAsiaTheme="minorEastAsia" w:cstheme="minorEastAsia"/>
          <w:b/>
          <w:bCs/>
          <w:sz w:val="24"/>
          <w:szCs w:val="24"/>
          <w:highlight w:val="none"/>
          <w:shd w:val="clear" w:color="auto" w:fill="FFFFFF"/>
        </w:rPr>
        <w:t>六、其他补充事宜</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2"/>
        <w:jc w:val="both"/>
        <w:rPr>
          <w:b/>
          <w:bCs/>
          <w:color w:val="auto"/>
          <w:sz w:val="24"/>
          <w:szCs w:val="24"/>
        </w:rPr>
      </w:pPr>
      <w:r>
        <w:rPr>
          <w:rStyle w:val="25"/>
          <w:rFonts w:hint="eastAsia" w:ascii="宋体" w:hAnsi="宋体" w:eastAsia="宋体" w:cs="宋体"/>
          <w:b/>
          <w:bCs/>
          <w:i w:val="0"/>
          <w:iCs w:val="0"/>
          <w:caps w:val="0"/>
          <w:color w:val="auto"/>
          <w:spacing w:val="0"/>
          <w:kern w:val="0"/>
          <w:sz w:val="24"/>
          <w:szCs w:val="24"/>
          <w:shd w:val="clear" w:fill="FFFFFF"/>
          <w:lang w:val="en-US" w:eastAsia="zh-CN" w:bidi="ar"/>
        </w:rPr>
        <w:t>1、购买</w:t>
      </w:r>
      <w:r>
        <w:rPr>
          <w:rFonts w:hint="eastAsia" w:ascii="宋体" w:hAnsi="宋体" w:eastAsia="宋体" w:cs="宋体"/>
          <w:b/>
          <w:bCs/>
          <w:i w:val="0"/>
          <w:iCs w:val="0"/>
          <w:caps w:val="0"/>
          <w:color w:val="auto"/>
          <w:spacing w:val="0"/>
          <w:kern w:val="0"/>
          <w:sz w:val="24"/>
          <w:szCs w:val="24"/>
          <w:shd w:val="clear" w:fill="FFFFFF"/>
          <w:lang w:val="en-US" w:eastAsia="zh-CN" w:bidi="ar"/>
        </w:rPr>
        <w:t>竞争性磋商文件请携</w:t>
      </w:r>
      <w:r>
        <w:rPr>
          <w:rStyle w:val="25"/>
          <w:rFonts w:hint="eastAsia" w:ascii="宋体" w:hAnsi="宋体" w:eastAsia="宋体" w:cs="宋体"/>
          <w:b/>
          <w:bCs/>
          <w:i w:val="0"/>
          <w:iCs w:val="0"/>
          <w:caps w:val="0"/>
          <w:color w:val="auto"/>
          <w:spacing w:val="0"/>
          <w:kern w:val="0"/>
          <w:sz w:val="24"/>
          <w:szCs w:val="24"/>
          <w:shd w:val="clear" w:fill="FFFFFF"/>
          <w:lang w:val="en-US" w:eastAsia="zh-CN" w:bidi="ar"/>
        </w:rPr>
        <w:t>带单位介绍信原件,经办人身份证原件及加盖供应商公章的复印件。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2"/>
        <w:jc w:val="both"/>
        <w:rPr>
          <w:b/>
          <w:bCs/>
          <w:color w:val="auto"/>
          <w:sz w:val="24"/>
          <w:szCs w:val="24"/>
        </w:rPr>
      </w:pPr>
      <w:r>
        <w:rPr>
          <w:rStyle w:val="25"/>
          <w:rFonts w:hint="eastAsia" w:ascii="宋体" w:hAnsi="宋体" w:eastAsia="宋体" w:cs="宋体"/>
          <w:b/>
          <w:bCs/>
          <w:i w:val="0"/>
          <w:iCs w:val="0"/>
          <w:caps w:val="0"/>
          <w:color w:val="auto"/>
          <w:spacing w:val="0"/>
          <w:kern w:val="0"/>
          <w:sz w:val="24"/>
          <w:szCs w:val="24"/>
          <w:shd w:val="clear" w:fill="FFFFFF"/>
          <w:lang w:val="en-US" w:eastAsia="zh-CN" w:bidi="ar"/>
        </w:rPr>
        <w:t>2、请各供应商领取</w:t>
      </w:r>
      <w:r>
        <w:rPr>
          <w:rFonts w:hint="eastAsia" w:ascii="宋体" w:hAnsi="宋体" w:eastAsia="宋体" w:cs="宋体"/>
          <w:b/>
          <w:bCs/>
          <w:i w:val="0"/>
          <w:iCs w:val="0"/>
          <w:caps w:val="0"/>
          <w:color w:val="auto"/>
          <w:spacing w:val="0"/>
          <w:kern w:val="0"/>
          <w:sz w:val="24"/>
          <w:szCs w:val="24"/>
          <w:shd w:val="clear" w:fill="FFFFFF"/>
          <w:lang w:val="en-US" w:eastAsia="zh-CN" w:bidi="ar"/>
        </w:rPr>
        <w:t>竞争性磋商文件</w:t>
      </w:r>
      <w:r>
        <w:rPr>
          <w:rStyle w:val="25"/>
          <w:rFonts w:hint="eastAsia" w:ascii="宋体" w:hAnsi="宋体" w:eastAsia="宋体" w:cs="宋体"/>
          <w:b/>
          <w:bCs/>
          <w:i w:val="0"/>
          <w:iCs w:val="0"/>
          <w:caps w:val="0"/>
          <w:color w:val="auto"/>
          <w:spacing w:val="0"/>
          <w:kern w:val="0"/>
          <w:sz w:val="24"/>
          <w:szCs w:val="24"/>
          <w:shd w:val="clear" w:fill="FFFFFF"/>
          <w:lang w:val="en-US" w:eastAsia="zh-CN" w:bidi="ar"/>
        </w:rPr>
        <w:t>后，按照陕西省财政厅《关于政府采购供应商注册登记有关事项的通知》中的要求，供应商应通过陕西省政府采购网（http://www.ccgp-shaanxi.gov.cn/）注册登记，加入陕西省政府采购供应商库。</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2"/>
        <w:jc w:val="both"/>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3、本项目非专门面向中小企业采购。</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2"/>
        <w:jc w:val="both"/>
        <w:rPr>
          <w:rFonts w:hint="eastAsia" w:ascii="宋体" w:hAnsi="宋体" w:eastAsia="宋体" w:cs="宋体"/>
          <w:b/>
          <w:bCs/>
          <w:i w:val="0"/>
          <w:iCs w:val="0"/>
          <w:caps w:val="0"/>
          <w:color w:val="auto"/>
          <w:spacing w:val="0"/>
          <w:kern w:val="0"/>
          <w:sz w:val="24"/>
          <w:szCs w:val="24"/>
          <w:shd w:val="clear" w:fill="FFFFFF"/>
          <w:lang w:val="en-US" w:eastAsia="zh-CN" w:bidi="ar"/>
        </w:rPr>
      </w:pPr>
    </w:p>
    <w:p>
      <w:pPr>
        <w:pStyle w:val="5"/>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Style w:val="25"/>
          <w:rFonts w:asciiTheme="minorEastAsia" w:hAnsiTheme="minorEastAsia" w:eastAsiaTheme="minorEastAsia" w:cstheme="minorEastAsia"/>
          <w:b/>
          <w:bCs/>
          <w:sz w:val="24"/>
          <w:szCs w:val="24"/>
          <w:highlight w:val="none"/>
          <w:shd w:val="clear" w:color="auto" w:fill="FFFFFF"/>
        </w:rPr>
        <w:t>七、对本次招标提出询问，请按以下方式联系。</w:t>
      </w: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Fonts w:asciiTheme="minorEastAsia" w:hAnsiTheme="minorEastAsia" w:eastAsiaTheme="minorEastAsia" w:cstheme="minorEastAsia"/>
          <w:b w:val="0"/>
          <w:bCs w:val="0"/>
          <w:sz w:val="24"/>
          <w:szCs w:val="24"/>
          <w:highlight w:val="none"/>
          <w:shd w:val="clear" w:color="auto" w:fill="FFFFFF"/>
        </w:rPr>
        <w:t>1.采购人信息</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shd w:val="clear" w:color="auto" w:fill="FFFFFF"/>
        </w:rPr>
        <w:t>名称：</w:t>
      </w:r>
      <w:r>
        <w:rPr>
          <w:rFonts w:hint="eastAsia" w:asciiTheme="minorEastAsia" w:hAnsiTheme="minorEastAsia" w:eastAsiaTheme="minorEastAsia" w:cstheme="minorEastAsia"/>
          <w:sz w:val="24"/>
          <w:szCs w:val="24"/>
          <w:highlight w:val="none"/>
          <w:shd w:val="clear" w:color="auto" w:fill="FFFFFF"/>
          <w:lang w:eastAsia="zh-CN"/>
        </w:rPr>
        <w:t>汉中市人民医院</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shd w:val="clear" w:color="auto" w:fill="FFFFFF"/>
        </w:rPr>
        <w:t>地址：</w:t>
      </w:r>
      <w:r>
        <w:rPr>
          <w:rFonts w:hint="eastAsia" w:asciiTheme="minorEastAsia" w:hAnsiTheme="minorEastAsia" w:eastAsiaTheme="minorEastAsia" w:cstheme="minorEastAsia"/>
          <w:sz w:val="24"/>
          <w:szCs w:val="24"/>
          <w:highlight w:val="none"/>
          <w:shd w:val="clear" w:color="auto" w:fill="FFFFFF"/>
          <w:lang w:eastAsia="zh-CN"/>
        </w:rPr>
        <w:t>汉中市汉台区北团结街251号</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lang w:eastAsia="zh-CN"/>
        </w:rPr>
      </w:pPr>
      <w:r>
        <w:rPr>
          <w:rFonts w:hint="eastAsia" w:asciiTheme="minorEastAsia" w:hAnsiTheme="minorEastAsia" w:eastAsiaTheme="minorEastAsia" w:cstheme="minorEastAsia"/>
          <w:sz w:val="24"/>
          <w:szCs w:val="24"/>
          <w:highlight w:val="none"/>
          <w:shd w:val="clear" w:color="auto" w:fill="FFFFFF"/>
        </w:rPr>
        <w:t>联系方式：</w:t>
      </w:r>
      <w:r>
        <w:rPr>
          <w:rFonts w:hint="eastAsia" w:asciiTheme="minorEastAsia" w:hAnsiTheme="minorEastAsia" w:eastAsiaTheme="minorEastAsia" w:cstheme="minorEastAsia"/>
          <w:sz w:val="24"/>
          <w:szCs w:val="24"/>
          <w:highlight w:val="none"/>
          <w:shd w:val="clear" w:color="auto" w:fill="FFFFFF"/>
          <w:lang w:eastAsia="zh-CN"/>
        </w:rPr>
        <w:t>0916-2706693</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lang w:eastAsia="zh-CN"/>
        </w:rPr>
      </w:pP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Fonts w:asciiTheme="minorEastAsia" w:hAnsiTheme="minorEastAsia" w:eastAsiaTheme="minorEastAsia" w:cstheme="minorEastAsia"/>
          <w:b w:val="0"/>
          <w:bCs w:val="0"/>
          <w:sz w:val="24"/>
          <w:szCs w:val="24"/>
          <w:highlight w:val="none"/>
          <w:shd w:val="clear" w:color="auto" w:fill="FFFFFF"/>
        </w:rPr>
        <w:t>2.采购代理机构信息</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shd w:val="clear" w:color="auto" w:fill="FFFFFF"/>
        </w:rPr>
        <w:t>名称：陕西至诚招标咨询有限公司</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shd w:val="clear" w:color="auto" w:fill="FFFFFF"/>
        </w:rPr>
        <w:t>地址：陕西省西安市经济技术开发区未央路171-1号银池道拉斯财富中心21楼</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联系方式：029-88219779</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4"/>
          <w:szCs w:val="24"/>
          <w:highlight w:val="none"/>
        </w:rPr>
      </w:pPr>
      <w:r>
        <w:rPr>
          <w:rFonts w:asciiTheme="minorEastAsia" w:hAnsiTheme="minorEastAsia" w:eastAsiaTheme="minorEastAsia" w:cstheme="minorEastAsia"/>
          <w:b w:val="0"/>
          <w:bCs w:val="0"/>
          <w:sz w:val="24"/>
          <w:szCs w:val="24"/>
          <w:highlight w:val="none"/>
          <w:shd w:val="clear" w:color="auto" w:fill="FFFFFF"/>
        </w:rPr>
        <w:t>3.项目联系方式</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shd w:val="clear" w:color="auto" w:fill="FFFFFF"/>
        </w:rPr>
        <w:t>项目联系人：高东联</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电话：029-88219779</w:t>
      </w: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p>
    <w:p>
      <w:pPr>
        <w:pStyle w:val="18"/>
        <w:wordWrap w:val="0"/>
        <w:spacing w:before="0" w:beforeAutospacing="0" w:after="0" w:afterAutospacing="0" w:line="360" w:lineRule="auto"/>
        <w:ind w:firstLine="480"/>
        <w:jc w:val="both"/>
        <w:rPr>
          <w:rFonts w:hint="eastAsia" w:asciiTheme="minorEastAsia" w:hAnsiTheme="minorEastAsia" w:eastAsiaTheme="minorEastAsia" w:cstheme="minorEastAsia"/>
          <w:sz w:val="24"/>
          <w:szCs w:val="24"/>
          <w:highlight w:val="none"/>
          <w:shd w:val="clear" w:color="auto" w:fill="FFFFFF"/>
        </w:rPr>
      </w:pPr>
    </w:p>
    <w:p>
      <w:pPr>
        <w:pStyle w:val="18"/>
        <w:wordWrap w:val="0"/>
        <w:spacing w:before="0" w:beforeAutospacing="0" w:after="0" w:afterAutospacing="0" w:line="360" w:lineRule="auto"/>
        <w:ind w:firstLine="480"/>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shd w:val="clear" w:color="auto" w:fill="FFFFFF"/>
        </w:rPr>
        <w:t>陕西至诚招标咨询有限公司</w:t>
      </w:r>
    </w:p>
    <w:p>
      <w:pPr>
        <w:jc w:val="right"/>
        <w:rPr>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2022年</w:t>
      </w:r>
      <w:r>
        <w:rPr>
          <w:rFonts w:hint="eastAsia" w:asciiTheme="minorEastAsia" w:hAnsiTheme="minorEastAsia" w:eastAsiaTheme="minorEastAsia" w:cstheme="minorEastAsia"/>
          <w:sz w:val="24"/>
          <w:szCs w:val="24"/>
          <w:highlight w:val="none"/>
          <w:shd w:val="clear" w:color="auto" w:fill="FFFFFF"/>
          <w:lang w:val="en-US" w:eastAsia="zh-CN"/>
        </w:rPr>
        <w:t>12</w:t>
      </w:r>
      <w:r>
        <w:rPr>
          <w:rFonts w:hint="eastAsia" w:asciiTheme="minorEastAsia" w:hAnsiTheme="minorEastAsia" w:eastAsiaTheme="minorEastAsia" w:cstheme="minorEastAsia"/>
          <w:sz w:val="24"/>
          <w:szCs w:val="24"/>
          <w:highlight w:val="none"/>
          <w:shd w:val="clear" w:color="auto" w:fill="FFFFFF"/>
        </w:rPr>
        <w:t>月</w:t>
      </w:r>
      <w:r>
        <w:rPr>
          <w:rFonts w:hint="eastAsia" w:asciiTheme="minorEastAsia" w:hAnsiTheme="minorEastAsia" w:eastAsiaTheme="minorEastAsia" w:cstheme="minorEastAsia"/>
          <w:sz w:val="24"/>
          <w:szCs w:val="24"/>
          <w:highlight w:val="none"/>
          <w:shd w:val="clear" w:color="auto" w:fill="FFFFFF"/>
          <w:lang w:val="en-US" w:eastAsia="zh-CN"/>
        </w:rPr>
        <w:t>16</w:t>
      </w:r>
      <w:r>
        <w:rPr>
          <w:rFonts w:hint="eastAsia" w:asciiTheme="minorEastAsia" w:hAnsiTheme="minorEastAsia" w:eastAsiaTheme="minorEastAsia" w:cstheme="minorEastAsia"/>
          <w:sz w:val="24"/>
          <w:szCs w:val="24"/>
          <w:highlight w:val="none"/>
          <w:shd w:val="clear" w:color="auto" w:fill="FFFFFF"/>
        </w:rPr>
        <w:t>日</w:t>
      </w:r>
    </w:p>
    <w:p>
      <w:pPr>
        <w:rPr>
          <w:rFonts w:hAnsi="宋体" w:cs="宋体"/>
          <w:b/>
          <w:bCs/>
          <w:kern w:val="2"/>
          <w:sz w:val="36"/>
          <w:szCs w:val="36"/>
          <w:highlight w:val="none"/>
        </w:rPr>
      </w:pPr>
      <w:r>
        <w:rPr>
          <w:rFonts w:hint="eastAsia" w:hAnsi="宋体" w:cs="宋体"/>
          <w:b/>
          <w:bCs/>
          <w:kern w:val="2"/>
          <w:sz w:val="36"/>
          <w:szCs w:val="36"/>
          <w:highlight w:val="none"/>
        </w:rPr>
        <w:br w:type="page"/>
      </w:r>
    </w:p>
    <w:p>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End w:id="15"/>
      <w:bookmarkEnd w:id="16"/>
      <w:bookmarkStart w:id="21" w:name="OLE_LINK3"/>
      <w:r>
        <w:rPr>
          <w:rFonts w:hint="eastAsia" w:hAnsi="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outlineLvl w:val="1"/>
        <w:rPr>
          <w:rFonts w:hAnsi="宋体" w:cs="宋体"/>
          <w:b/>
          <w:bCs/>
          <w:sz w:val="32"/>
          <w:szCs w:val="32"/>
          <w:highlight w:val="none"/>
        </w:rPr>
      </w:pPr>
      <w:bookmarkStart w:id="22" w:name="_Toc18299"/>
      <w:bookmarkStart w:id="23" w:name="_Toc16830"/>
      <w:bookmarkStart w:id="24" w:name="_Toc8846"/>
      <w:r>
        <w:rPr>
          <w:rFonts w:hint="eastAsia" w:hAnsi="宋体" w:cs="宋体"/>
          <w:b/>
          <w:bCs/>
          <w:sz w:val="32"/>
          <w:szCs w:val="32"/>
          <w:highlight w:val="none"/>
        </w:rPr>
        <w:t>供应商须知前附表</w:t>
      </w:r>
      <w:bookmarkEnd w:id="22"/>
      <w:bookmarkEnd w:id="23"/>
      <w:bookmarkEnd w:id="24"/>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88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pPr>
              <w:spacing w:line="360" w:lineRule="auto"/>
              <w:rPr>
                <w:rFonts w:hAnsi="宋体" w:cs="宋体"/>
                <w:szCs w:val="24"/>
                <w:highlight w:val="none"/>
              </w:rPr>
            </w:pPr>
            <w:r>
              <w:rPr>
                <w:rFonts w:hint="eastAsia" w:hAnsi="宋体" w:cs="宋体"/>
                <w:szCs w:val="24"/>
                <w:highlight w:val="none"/>
              </w:rPr>
              <w:t>采购代理机构：陕西至诚招标咨询有限公司</w:t>
            </w:r>
          </w:p>
          <w:p>
            <w:pPr>
              <w:spacing w:line="360" w:lineRule="auto"/>
              <w:rPr>
                <w:rFonts w:hAnsi="宋体" w:cs="宋体"/>
                <w:szCs w:val="24"/>
                <w:highlight w:val="none"/>
              </w:rPr>
            </w:pPr>
            <w:r>
              <w:rPr>
                <w:rFonts w:hint="eastAsia" w:hAnsi="宋体" w:cs="宋体"/>
                <w:szCs w:val="24"/>
                <w:highlight w:val="none"/>
              </w:rPr>
              <w:t>地        址：陕西省西安市经济技术开发区未央路171-1号银池道拉斯财富中心21楼</w:t>
            </w:r>
          </w:p>
          <w:p>
            <w:pPr>
              <w:spacing w:line="360" w:lineRule="auto"/>
              <w:rPr>
                <w:rFonts w:hAnsi="宋体" w:cs="宋体"/>
                <w:szCs w:val="24"/>
                <w:highlight w:val="none"/>
              </w:rPr>
            </w:pPr>
            <w:r>
              <w:rPr>
                <w:rFonts w:hint="eastAsia" w:hAnsi="宋体" w:cs="宋体"/>
                <w:szCs w:val="24"/>
                <w:highlight w:val="none"/>
              </w:rPr>
              <w:t>邮        编：710000</w:t>
            </w:r>
          </w:p>
          <w:p>
            <w:pPr>
              <w:spacing w:line="360" w:lineRule="auto"/>
              <w:rPr>
                <w:rFonts w:hAnsi="宋体" w:cs="宋体"/>
                <w:szCs w:val="24"/>
                <w:highlight w:val="none"/>
              </w:rPr>
            </w:pPr>
            <w:r>
              <w:rPr>
                <w:rFonts w:hint="eastAsia" w:hAnsi="宋体" w:cs="宋体"/>
                <w:szCs w:val="24"/>
                <w:highlight w:val="none"/>
              </w:rPr>
              <w:t>电        话：029-88219779</w:t>
            </w:r>
          </w:p>
          <w:p>
            <w:pPr>
              <w:spacing w:line="360" w:lineRule="auto"/>
              <w:rPr>
                <w:rFonts w:hAnsi="宋体" w:cs="宋体"/>
                <w:szCs w:val="24"/>
                <w:highlight w:val="none"/>
              </w:rPr>
            </w:pPr>
            <w:r>
              <w:rPr>
                <w:rFonts w:hint="eastAsia" w:hAnsi="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pPr>
              <w:spacing w:line="360" w:lineRule="auto"/>
              <w:ind w:firstLine="480"/>
              <w:rPr>
                <w:rFonts w:hAnsi="宋体" w:cs="宋体"/>
                <w:szCs w:val="24"/>
                <w:highlight w:val="none"/>
              </w:rPr>
            </w:pPr>
            <w:r>
              <w:rPr>
                <w:rFonts w:hint="eastAsia" w:hAnsi="宋体" w:cs="宋体"/>
                <w:szCs w:val="24"/>
                <w:highlight w:val="none"/>
              </w:rPr>
              <w:t>磋商报价：磋商报价是供应商为完成本项目要求的全部货物、服务内容最终价格的体现，包括但不限于产品费、软件服务费、仓储保管费、售后服务培训费、运输费、税金、招标代理服务费等其他与本项目实施有关的一切费用。</w:t>
            </w:r>
          </w:p>
          <w:p>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pPr>
              <w:spacing w:line="360" w:lineRule="auto"/>
              <w:ind w:firstLine="480"/>
              <w:rPr>
                <w:rFonts w:hAnsi="宋体" w:cs="宋体"/>
                <w:szCs w:val="24"/>
                <w:highlight w:val="none"/>
              </w:rPr>
            </w:pPr>
            <w:r>
              <w:rPr>
                <w:rFonts w:hint="eastAsia" w:hAnsi="宋体" w:cs="宋体"/>
                <w:szCs w:val="24"/>
                <w:highlight w:val="none"/>
              </w:rPr>
              <w:t>特定资格证明文件：</w:t>
            </w:r>
          </w:p>
          <w:p>
            <w:pPr>
              <w:spacing w:line="360" w:lineRule="auto"/>
              <w:ind w:firstLine="480" w:firstLineChars="200"/>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ind w:firstLine="480" w:firstLineChars="200"/>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2、提供法定代表人授权书（附法定代表人、被授权人身份证复印件）及被授权人身份证原件（法定代表人直接参加磋商，须提供法定代表人身份证明及身份证原件）；</w:t>
            </w:r>
          </w:p>
          <w:p>
            <w:pPr>
              <w:spacing w:line="360" w:lineRule="auto"/>
              <w:ind w:firstLine="480" w:firstLineChars="200"/>
              <w:rPr>
                <w:rFonts w:hint="eastAsia" w:hAnsi="宋体" w:cs="宋体"/>
                <w:szCs w:val="24"/>
                <w:highlight w:val="none"/>
              </w:rPr>
            </w:pPr>
            <w:r>
              <w:rPr>
                <w:rFonts w:hint="eastAsia" w:hAnsi="宋体" w:cs="宋体"/>
                <w:szCs w:val="24"/>
                <w:highlight w:val="none"/>
              </w:rPr>
              <w:t>3、财务状况报告：提供2020年度或2021年度的财务审计报告（至少包括资产负债表和利润表，成立时间至提交磋商文件截止时间不足一年的可提供成立后任意时段的资产负债表），或磋商文件递交截止日期前6个月内其基本开户银行出具的资信证明；</w:t>
            </w:r>
          </w:p>
          <w:p>
            <w:pPr>
              <w:spacing w:line="360" w:lineRule="auto"/>
              <w:ind w:firstLine="480" w:firstLineChars="200"/>
              <w:rPr>
                <w:rFonts w:hint="eastAsia" w:hAnsi="宋体" w:cs="宋体"/>
                <w:szCs w:val="24"/>
                <w:highlight w:val="none"/>
              </w:rPr>
            </w:pPr>
            <w:r>
              <w:rPr>
                <w:rFonts w:hint="eastAsia" w:hAnsi="宋体" w:cs="宋体"/>
                <w:szCs w:val="24"/>
                <w:highlight w:val="none"/>
              </w:rPr>
              <w:t>4、税收缴纳证明：提供磋商文件递交截止时间前一年内已缴纳的至少一个月的纳税证明或完税证明（任意税种），依法免税的单位应提供相关证明材料；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5、社会保障资金缴纳证明：提供磋商文件递交截止时间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6、提供具有履行本合同所必需的设备和专业技术能力的说明及承诺书；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7、供应商应通过“信用中国”网站(www.creditchina.gov.cn)、中国政府采购网(www.ccgp.gov.cn) 查询相关主体信用记录；</w:t>
            </w:r>
          </w:p>
          <w:p>
            <w:pPr>
              <w:spacing w:line="360" w:lineRule="auto"/>
              <w:ind w:firstLine="480" w:firstLineChars="200"/>
              <w:rPr>
                <w:rFonts w:hint="eastAsia" w:hAnsi="宋体" w:cs="宋体"/>
                <w:szCs w:val="24"/>
                <w:highlight w:val="none"/>
              </w:rPr>
            </w:pPr>
            <w:r>
              <w:rPr>
                <w:rFonts w:hint="eastAsia" w:hAnsi="宋体" w:cs="宋体"/>
                <w:szCs w:val="24"/>
                <w:highlight w:val="none"/>
              </w:rPr>
              <w:t>8、参加政府采购活动前3年内，在经营活动中没有重大违法记录的书面声明；</w:t>
            </w:r>
          </w:p>
          <w:p>
            <w:pPr>
              <w:spacing w:line="360" w:lineRule="auto"/>
              <w:ind w:firstLine="480" w:firstLineChars="200"/>
              <w:rPr>
                <w:rFonts w:hint="eastAsia" w:hAnsi="宋体" w:cs="宋体"/>
                <w:szCs w:val="24"/>
                <w:highlight w:val="none"/>
              </w:rPr>
            </w:pPr>
            <w:r>
              <w:rPr>
                <w:rFonts w:hint="eastAsia" w:hAnsi="宋体" w:cs="宋体"/>
                <w:szCs w:val="24"/>
                <w:highlight w:val="none"/>
              </w:rPr>
              <w:t>9、提供磋商保证金缴纳凭证或担保机构出具的保函。</w:t>
            </w:r>
          </w:p>
          <w:p>
            <w:pPr>
              <w:spacing w:line="360" w:lineRule="auto"/>
              <w:ind w:firstLine="482" w:firstLineChars="200"/>
              <w:rPr>
                <w:rFonts w:hAnsi="宋体" w:cs="宋体"/>
                <w:szCs w:val="24"/>
                <w:highlight w:val="none"/>
              </w:rPr>
            </w:pPr>
            <w:r>
              <w:rPr>
                <w:rFonts w:hint="eastAsia" w:hAnsi="宋体" w:cs="宋体"/>
                <w:b/>
                <w:bCs/>
                <w:szCs w:val="24"/>
                <w:highlight w:val="none"/>
              </w:rPr>
              <w:t>以上（1-</w:t>
            </w:r>
            <w:r>
              <w:rPr>
                <w:rFonts w:hint="eastAsia" w:hAnsi="宋体" w:cs="宋体"/>
                <w:b/>
                <w:bCs/>
                <w:szCs w:val="24"/>
                <w:highlight w:val="none"/>
                <w:lang w:val="en-US" w:eastAsia="zh-CN"/>
              </w:rPr>
              <w:t>9</w:t>
            </w:r>
            <w:r>
              <w:rPr>
                <w:rFonts w:hint="eastAsia" w:hAnsi="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highlight w:val="none"/>
              </w:rPr>
            </w:pPr>
            <w:bookmarkStart w:id="25" w:name="_Toc17921"/>
            <w:bookmarkStart w:id="26" w:name="_Toc13768"/>
            <w:r>
              <w:rPr>
                <w:rFonts w:hint="eastAsia" w:cs="Times New Roman"/>
                <w:highlight w:val="none"/>
                <w:lang w:eastAsia="zh-CN"/>
              </w:rPr>
              <w:t>磋商</w:t>
            </w:r>
            <w:r>
              <w:rPr>
                <w:rFonts w:hint="eastAsia" w:ascii="宋体" w:hAnsi="Times New Roman" w:eastAsia="宋体" w:cs="Times New Roman"/>
                <w:highlight w:val="none"/>
              </w:rPr>
              <w:t>保证金</w:t>
            </w:r>
            <w:r>
              <w:rPr>
                <w:rFonts w:hint="eastAsia" w:ascii="宋体" w:hAnsi="Times New Roman" w:eastAsia="宋体" w:cs="Times New Roman"/>
                <w:highlight w:val="none"/>
                <w:lang w:eastAsia="zh-CN"/>
              </w:rPr>
              <w:t>：人民币</w:t>
            </w:r>
            <w:r>
              <w:rPr>
                <w:rFonts w:hint="eastAsia" w:cs="Times New Roman"/>
                <w:highlight w:val="none"/>
                <w:lang w:val="en-US" w:eastAsia="zh-CN"/>
              </w:rPr>
              <w:t>叁</w:t>
            </w:r>
            <w:r>
              <w:rPr>
                <w:rFonts w:hint="eastAsia" w:ascii="宋体" w:hAnsi="Times New Roman" w:eastAsia="宋体" w:cs="Times New Roman"/>
                <w:highlight w:val="none"/>
                <w:lang w:val="en-US" w:eastAsia="zh-CN"/>
              </w:rPr>
              <w:t>万元整（</w:t>
            </w:r>
            <w:r>
              <w:rPr>
                <w:rFonts w:hint="eastAsia" w:ascii="宋体" w:eastAsia="宋体" w:cs="Times New Roman"/>
                <w:highlight w:val="none"/>
                <w:lang w:val="en-US" w:eastAsia="zh-CN"/>
              </w:rPr>
              <w:t>3</w:t>
            </w:r>
            <w:r>
              <w:rPr>
                <w:rFonts w:hint="eastAsia" w:cs="Times New Roman"/>
                <w:highlight w:val="none"/>
                <w:lang w:val="en-US" w:eastAsia="zh-CN"/>
              </w:rPr>
              <w:t>0</w:t>
            </w:r>
            <w:r>
              <w:rPr>
                <w:rFonts w:hint="eastAsia" w:ascii="宋体" w:hAnsi="Times New Roman" w:eastAsia="宋体" w:cs="Times New Roman"/>
                <w:highlight w:val="none"/>
                <w:lang w:val="en-US" w:eastAsia="zh-CN"/>
              </w:rPr>
              <w:t>000.00元）</w:t>
            </w:r>
            <w:r>
              <w:rPr>
                <w:rFonts w:hint="eastAsia" w:ascii="宋体" w:hAnsi="Times New Roman" w:eastAsia="宋体" w:cs="Times New Roman"/>
                <w:highlight w:val="none"/>
              </w:rPr>
              <w:t>。</w:t>
            </w:r>
            <w:bookmarkEnd w:id="25"/>
            <w:bookmarkEnd w:id="2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highlight w:val="none"/>
                <w:lang w:eastAsia="zh-CN"/>
              </w:rPr>
            </w:pPr>
            <w:r>
              <w:rPr>
                <w:rFonts w:hint="eastAsia" w:cs="Times New Roman"/>
                <w:highlight w:val="none"/>
                <w:lang w:val="en-US" w:eastAsia="zh-CN"/>
              </w:rPr>
              <w:t>磋商</w:t>
            </w:r>
            <w:r>
              <w:rPr>
                <w:rFonts w:hint="eastAsia" w:ascii="宋体" w:hAnsi="Times New Roman" w:eastAsia="宋体" w:cs="Times New Roman"/>
                <w:highlight w:val="none"/>
              </w:rPr>
              <w:t>保证金的递交截止时间为：</w:t>
            </w:r>
            <w:r>
              <w:rPr>
                <w:rFonts w:hint="eastAsia" w:ascii="宋体" w:hAnsi="宋体" w:eastAsia="宋体" w:cs="宋体"/>
                <w:i w:val="0"/>
                <w:iCs w:val="0"/>
                <w:caps w:val="0"/>
                <w:color w:val="auto"/>
                <w:spacing w:val="0"/>
                <w:sz w:val="24"/>
                <w:szCs w:val="24"/>
                <w:highlight w:val="none"/>
                <w:shd w:val="clear" w:fill="FFFFFF"/>
                <w:lang w:eastAsia="zh-CN"/>
              </w:rPr>
              <w:t>2022年</w:t>
            </w:r>
            <w:r>
              <w:rPr>
                <w:rFonts w:hint="eastAsia" w:hAnsi="宋体" w:cs="宋体"/>
                <w:i w:val="0"/>
                <w:iCs w:val="0"/>
                <w:caps w:val="0"/>
                <w:color w:val="auto"/>
                <w:spacing w:val="0"/>
                <w:sz w:val="24"/>
                <w:szCs w:val="24"/>
                <w:highlight w:val="none"/>
                <w:shd w:val="clear" w:fill="FFFFFF"/>
                <w:lang w:eastAsia="zh-CN"/>
              </w:rPr>
              <w:t>12月2</w:t>
            </w:r>
            <w:r>
              <w:rPr>
                <w:rFonts w:hint="eastAsia" w:hAnsi="宋体" w:cs="宋体"/>
                <w:i w:val="0"/>
                <w:iCs w:val="0"/>
                <w:caps w:val="0"/>
                <w:color w:val="auto"/>
                <w:spacing w:val="0"/>
                <w:sz w:val="24"/>
                <w:szCs w:val="24"/>
                <w:highlight w:val="none"/>
                <w:shd w:val="clear" w:fill="FFFFFF"/>
                <w:lang w:val="en-US" w:eastAsia="zh-CN"/>
              </w:rPr>
              <w:t>9</w:t>
            </w:r>
            <w:r>
              <w:rPr>
                <w:rFonts w:hint="eastAsia" w:hAnsi="宋体" w:cs="宋体"/>
                <w:i w:val="0"/>
                <w:iCs w:val="0"/>
                <w:caps w:val="0"/>
                <w:color w:val="auto"/>
                <w:spacing w:val="0"/>
                <w:sz w:val="24"/>
                <w:szCs w:val="24"/>
                <w:highlight w:val="none"/>
                <w:shd w:val="clear" w:fill="FFFFFF"/>
                <w:lang w:eastAsia="zh-CN"/>
              </w:rPr>
              <w:t>日</w:t>
            </w:r>
            <w:r>
              <w:rPr>
                <w:rFonts w:hint="eastAsia" w:ascii="宋体" w:hAnsi="宋体" w:eastAsia="宋体" w:cs="宋体"/>
                <w:i w:val="0"/>
                <w:iCs w:val="0"/>
                <w:caps w:val="0"/>
                <w:color w:val="auto"/>
                <w:spacing w:val="0"/>
                <w:sz w:val="24"/>
                <w:szCs w:val="24"/>
                <w:highlight w:val="none"/>
                <w:shd w:val="clear" w:fill="FFFFFF"/>
                <w:lang w:eastAsia="zh-CN"/>
              </w:rPr>
              <w:t>14时30</w:t>
            </w:r>
            <w:r>
              <w:rPr>
                <w:rFonts w:hint="eastAsia" w:ascii="宋体" w:hAnsi="Times New Roman" w:eastAsia="宋体" w:cs="Times New Roman"/>
                <w:highlight w:val="none"/>
                <w:lang w:val="en-US" w:eastAsia="zh-CN"/>
              </w:rPr>
              <w:t>分</w:t>
            </w:r>
            <w:r>
              <w:rPr>
                <w:rFonts w:hint="eastAsia" w:ascii="宋体" w:hAnsi="Times New Roman" w:eastAsia="宋体" w:cs="Times New Roman"/>
                <w:highlight w:val="none"/>
              </w:rPr>
              <w:t>前</w:t>
            </w:r>
            <w:r>
              <w:rPr>
                <w:rFonts w:hint="eastAsia" w:ascii="宋体" w:hAnsi="Times New Roman" w:eastAsia="宋体" w:cs="Times New Roman"/>
                <w:highlight w:val="none"/>
                <w:lang w:eastAsia="zh-CN"/>
              </w:rPr>
              <w:t>（以到账时间为准）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highlight w:val="none"/>
              </w:rPr>
            </w:pPr>
            <w:r>
              <w:rPr>
                <w:rFonts w:hint="eastAsia" w:cs="Times New Roman"/>
                <w:highlight w:val="none"/>
                <w:lang w:val="en-US" w:eastAsia="zh-CN"/>
              </w:rPr>
              <w:t>供应商</w:t>
            </w:r>
            <w:r>
              <w:rPr>
                <w:rFonts w:hint="eastAsia" w:ascii="宋体" w:hAnsi="Times New Roman" w:eastAsia="宋体" w:cs="Times New Roman"/>
                <w:highlight w:val="none"/>
              </w:rPr>
              <w:t>应向代理机构提交规定数额的</w:t>
            </w:r>
            <w:r>
              <w:rPr>
                <w:rFonts w:hint="eastAsia" w:cs="Times New Roman"/>
                <w:highlight w:val="none"/>
                <w:lang w:eastAsia="zh-CN"/>
              </w:rPr>
              <w:t>磋商</w:t>
            </w:r>
            <w:r>
              <w:rPr>
                <w:rFonts w:hint="eastAsia" w:ascii="宋体" w:hAnsi="Times New Roman" w:eastAsia="宋体" w:cs="Times New Roman"/>
                <w:highlight w:val="none"/>
              </w:rPr>
              <w:t>保证金，以单位名义将</w:t>
            </w:r>
            <w:r>
              <w:rPr>
                <w:rFonts w:hint="eastAsia" w:cs="Times New Roman"/>
                <w:highlight w:val="none"/>
                <w:lang w:eastAsia="zh-CN"/>
              </w:rPr>
              <w:t>磋商</w:t>
            </w:r>
            <w:r>
              <w:rPr>
                <w:rFonts w:hint="eastAsia" w:ascii="宋体" w:hAnsi="Times New Roman" w:eastAsia="宋体" w:cs="Times New Roman"/>
                <w:highlight w:val="none"/>
              </w:rPr>
              <w:t>保证金从本单位基本账户汇入以下指定账户：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highlight w:val="none"/>
              </w:rPr>
            </w:pPr>
            <w:r>
              <w:rPr>
                <w:rFonts w:hint="eastAsia" w:ascii="宋体" w:hAnsi="Times New Roman" w:eastAsia="宋体" w:cs="Times New Roman"/>
                <w:highlight w:val="none"/>
              </w:rPr>
              <w:t>户名：陕西至诚招标咨询有限公司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highlight w:val="none"/>
              </w:rPr>
            </w:pPr>
            <w:r>
              <w:rPr>
                <w:rFonts w:hint="eastAsia" w:ascii="宋体" w:hAnsi="Times New Roman" w:eastAsia="宋体" w:cs="Times New Roman"/>
                <w:highlight w:val="none"/>
              </w:rPr>
              <w:t>开户行：中国建设银行股份有限公司西安高新技术产业开发区支行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highlight w:val="none"/>
              </w:rPr>
            </w:pPr>
            <w:r>
              <w:rPr>
                <w:rFonts w:hint="eastAsia" w:ascii="宋体" w:hAnsi="Times New Roman" w:eastAsia="宋体" w:cs="Times New Roman"/>
                <w:highlight w:val="none"/>
              </w:rPr>
              <w:t>帐号：</w:t>
            </w:r>
            <w:r>
              <w:rPr>
                <w:rFonts w:hint="eastAsia" w:ascii="宋体" w:hAnsi="Times New Roman" w:eastAsia="宋体" w:cs="Times New Roman"/>
                <w:highlight w:val="none"/>
                <w:lang w:val="en-US" w:eastAsia="zh-CN"/>
              </w:rPr>
              <w:t>61050192090000002152</w:t>
            </w:r>
            <w:r>
              <w:rPr>
                <w:rFonts w:hint="eastAsia" w:ascii="宋体" w:hAnsi="Times New Roman" w:eastAsia="宋体" w:cs="Times New Roman"/>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Times New Roman" w:eastAsia="宋体" w:cs="Times New Roman"/>
                <w:highlight w:val="none"/>
              </w:rPr>
              <w:t>转账事由：</w:t>
            </w:r>
            <w:r>
              <w:rPr>
                <w:rFonts w:hint="eastAsia" w:ascii="宋体" w:hAnsi="Times New Roman" w:eastAsia="宋体" w:cs="Times New Roman"/>
                <w:highlight w:val="none"/>
                <w:lang w:val="en-US" w:eastAsia="zh-CN"/>
              </w:rPr>
              <w:t>汉中市人民医院三级医院评审评价以及公立医院绩效考核管理平台集成建设</w:t>
            </w:r>
            <w:r>
              <w:rPr>
                <w:rFonts w:hint="eastAsia" w:cs="Times New Roman"/>
                <w:highlight w:val="none"/>
                <w:lang w:val="en-US" w:eastAsia="zh-CN"/>
              </w:rPr>
              <w:t>磋商</w:t>
            </w:r>
            <w:r>
              <w:rPr>
                <w:rFonts w:hint="eastAsia" w:ascii="宋体" w:hAnsi="Times New Roman" w:eastAsia="宋体" w:cs="Times New Roman"/>
                <w:highlight w:val="none"/>
                <w:lang w:val="en-US" w:eastAsia="zh-CN"/>
              </w:rPr>
              <w:t>保证金或SXZCZB2022-ZCCS-1226</w:t>
            </w:r>
            <w:r>
              <w:rPr>
                <w:rFonts w:hint="eastAsia" w:cs="Times New Roman"/>
                <w:highlight w:val="none"/>
                <w:lang w:eastAsia="zh-CN"/>
              </w:rPr>
              <w:t>磋商</w:t>
            </w:r>
            <w:r>
              <w:rPr>
                <w:rFonts w:hint="eastAsia" w:ascii="宋体" w:hAnsi="Times New Roman" w:eastAsia="宋体" w:cs="Times New Roman"/>
                <w:highlight w:val="none"/>
              </w:rPr>
              <w:t>保证金</w:t>
            </w:r>
            <w:r>
              <w:rPr>
                <w:rFonts w:hint="eastAsia" w:ascii="宋体" w:hAnsi="Times New Roman" w:eastAsia="宋体" w:cs="Times New Roman"/>
                <w:highlight w:val="none"/>
                <w:lang w:eastAsia="zh-CN"/>
              </w:rPr>
              <w:t>，</w:t>
            </w:r>
            <w:r>
              <w:rPr>
                <w:rFonts w:hint="eastAsia" w:cs="Times New Roman"/>
                <w:highlight w:val="none"/>
                <w:lang w:eastAsia="zh-CN"/>
              </w:rPr>
              <w:t>供应商</w:t>
            </w:r>
            <w:r>
              <w:rPr>
                <w:rFonts w:hint="eastAsia" w:ascii="宋体" w:hAnsi="Times New Roman" w:eastAsia="宋体" w:cs="Times New Roman"/>
                <w:highlight w:val="none"/>
                <w:lang w:val="en-US" w:eastAsia="zh-CN"/>
              </w:rPr>
              <w:t>于开标前</w:t>
            </w:r>
            <w:r>
              <w:rPr>
                <w:rFonts w:hint="eastAsia" w:ascii="宋体" w:hAnsi="Times New Roman" w:eastAsia="宋体" w:cs="Times New Roman"/>
                <w:highlight w:val="none"/>
              </w:rPr>
              <w:t>携带银行转账凭证汇款回单（转账凭证汇款回单加盖单位公章）</w:t>
            </w:r>
            <w:r>
              <w:rPr>
                <w:rFonts w:hint="eastAsia" w:ascii="宋体" w:hAnsi="Times New Roman" w:eastAsia="宋体" w:cs="Times New Roman"/>
                <w:highlight w:val="none"/>
                <w:lang w:eastAsia="zh-CN"/>
              </w:rPr>
              <w:t>附在</w:t>
            </w:r>
            <w:r>
              <w:rPr>
                <w:rFonts w:hint="eastAsia" w:ascii="宋体" w:hAnsi="Times New Roman" w:eastAsia="宋体" w:cs="Times New Roman"/>
                <w:highlight w:val="none"/>
                <w:lang w:val="en-US" w:eastAsia="zh-CN"/>
              </w:rPr>
              <w:t>磋商响应</w:t>
            </w:r>
            <w:r>
              <w:rPr>
                <w:rFonts w:hint="eastAsia" w:ascii="宋体" w:hAnsi="Times New Roman" w:eastAsia="宋体" w:cs="Times New Roman"/>
                <w:highlight w:val="none"/>
                <w:lang w:eastAsia="zh-CN"/>
              </w:rPr>
              <w:t>文件</w:t>
            </w:r>
            <w:r>
              <w:rPr>
                <w:rFonts w:hint="eastAsia" w:ascii="宋体" w:hAnsi="Times New Roman" w:eastAsia="宋体" w:cs="Times New Roman"/>
                <w:highlight w:val="none"/>
              </w:rPr>
              <w:t>中（未按规定交纳</w:t>
            </w:r>
            <w:r>
              <w:rPr>
                <w:rFonts w:hint="eastAsia" w:cs="Times New Roman"/>
                <w:highlight w:val="none"/>
                <w:lang w:eastAsia="zh-CN"/>
              </w:rPr>
              <w:t>磋商</w:t>
            </w:r>
            <w:r>
              <w:rPr>
                <w:rFonts w:hint="eastAsia" w:ascii="宋体" w:hAnsi="Times New Roman" w:eastAsia="宋体" w:cs="Times New Roman"/>
                <w:highlight w:val="none"/>
              </w:rPr>
              <w:t>保证金的视为放弃</w:t>
            </w:r>
            <w:r>
              <w:rPr>
                <w:rFonts w:hint="eastAsia" w:cs="Times New Roman"/>
                <w:highlight w:val="none"/>
                <w:lang w:eastAsia="zh-CN"/>
              </w:rPr>
              <w:t>磋商</w:t>
            </w:r>
            <w:r>
              <w:rPr>
                <w:rFonts w:hint="eastAsia" w:ascii="宋体" w:hAnsi="Times New Roman" w:eastAsia="宋体" w:cs="Times New Roman"/>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pPr>
              <w:spacing w:line="360" w:lineRule="auto"/>
              <w:rPr>
                <w:rFonts w:hAnsi="宋体" w:cs="宋体"/>
                <w:szCs w:val="24"/>
                <w:highlight w:val="none"/>
              </w:rPr>
            </w:pPr>
            <w:r>
              <w:rPr>
                <w:rFonts w:hint="eastAsia" w:hAnsi="宋体" w:cs="宋体"/>
                <w:szCs w:val="24"/>
                <w:highlight w:val="none"/>
              </w:rPr>
              <w:t>磋商响应文件递交截止时间：</w:t>
            </w:r>
            <w:r>
              <w:rPr>
                <w:rFonts w:hint="eastAsia" w:ascii="宋体" w:hAnsi="宋体" w:eastAsia="宋体" w:cs="宋体"/>
                <w:i w:val="0"/>
                <w:iCs w:val="0"/>
                <w:caps w:val="0"/>
                <w:color w:val="auto"/>
                <w:spacing w:val="0"/>
                <w:sz w:val="24"/>
                <w:szCs w:val="24"/>
                <w:shd w:val="clear" w:fill="FFFFFF"/>
                <w:lang w:eastAsia="zh-CN"/>
              </w:rPr>
              <w:t>2022年</w:t>
            </w:r>
            <w:r>
              <w:rPr>
                <w:rFonts w:hint="eastAsia" w:hAnsi="宋体" w:cs="宋体"/>
                <w:i w:val="0"/>
                <w:iCs w:val="0"/>
                <w:caps w:val="0"/>
                <w:color w:val="auto"/>
                <w:spacing w:val="0"/>
                <w:sz w:val="24"/>
                <w:szCs w:val="24"/>
                <w:shd w:val="clear" w:fill="FFFFFF"/>
                <w:lang w:eastAsia="zh-CN"/>
              </w:rPr>
              <w:t>12月2</w:t>
            </w:r>
            <w:r>
              <w:rPr>
                <w:rFonts w:hint="eastAsia" w:hAnsi="宋体" w:cs="宋体"/>
                <w:i w:val="0"/>
                <w:iCs w:val="0"/>
                <w:caps w:val="0"/>
                <w:color w:val="auto"/>
                <w:spacing w:val="0"/>
                <w:sz w:val="24"/>
                <w:szCs w:val="24"/>
                <w:shd w:val="clear" w:fill="FFFFFF"/>
                <w:lang w:val="en-US" w:eastAsia="zh-CN"/>
              </w:rPr>
              <w:t>9</w:t>
            </w:r>
            <w:r>
              <w:rPr>
                <w:rFonts w:hint="eastAsia" w:hAnsi="宋体" w:cs="宋体"/>
                <w:i w:val="0"/>
                <w:iCs w:val="0"/>
                <w:caps w:val="0"/>
                <w:color w:val="auto"/>
                <w:spacing w:val="0"/>
                <w:sz w:val="24"/>
                <w:szCs w:val="24"/>
                <w:shd w:val="clear" w:fill="FFFFFF"/>
                <w:lang w:eastAsia="zh-CN"/>
              </w:rPr>
              <w:t>日</w:t>
            </w:r>
            <w:r>
              <w:rPr>
                <w:rFonts w:hint="eastAsia" w:ascii="宋体" w:hAnsi="宋体" w:eastAsia="宋体" w:cs="宋体"/>
                <w:i w:val="0"/>
                <w:iCs w:val="0"/>
                <w:caps w:val="0"/>
                <w:color w:val="auto"/>
                <w:spacing w:val="0"/>
                <w:sz w:val="24"/>
                <w:szCs w:val="24"/>
                <w:shd w:val="clear" w:fill="FFFFFF"/>
                <w:lang w:eastAsia="zh-CN"/>
              </w:rPr>
              <w:t>14时30分</w:t>
            </w:r>
            <w:r>
              <w:rPr>
                <w:rFonts w:hint="eastAsia" w:ascii="宋体" w:hAnsi="Times New Roman" w:eastAsia="宋体" w:cs="Times New Roman"/>
                <w:lang w:val="en-US" w:eastAsia="zh-CN"/>
              </w:rPr>
              <w:t>（北京时间)</w:t>
            </w:r>
          </w:p>
          <w:p>
            <w:pPr>
              <w:spacing w:line="360" w:lineRule="auto"/>
              <w:jc w:val="left"/>
              <w:rPr>
                <w:rFonts w:hAnsi="宋体" w:cs="宋体"/>
                <w:szCs w:val="24"/>
                <w:highlight w:val="none"/>
              </w:rPr>
            </w:pPr>
            <w:r>
              <w:rPr>
                <w:rFonts w:hint="eastAsia" w:hAnsi="宋体" w:cs="宋体"/>
                <w:szCs w:val="24"/>
                <w:highlight w:val="none"/>
              </w:rPr>
              <w:t>磋商响应文件递交地址：</w:t>
            </w:r>
            <w:r>
              <w:rPr>
                <w:rFonts w:hint="eastAsia" w:hAnsi="宋体" w:cs="宋体"/>
                <w:highlight w:val="none"/>
              </w:rPr>
              <w:t>陕西省西安市经济技术开发区未央路171-1号银池道拉斯财富中心21楼</w:t>
            </w:r>
          </w:p>
          <w:p>
            <w:pPr>
              <w:spacing w:line="360" w:lineRule="auto"/>
              <w:rPr>
                <w:rFonts w:hAnsi="宋体" w:cs="宋体"/>
                <w:szCs w:val="24"/>
                <w:highlight w:val="none"/>
              </w:rPr>
            </w:pPr>
            <w:r>
              <w:rPr>
                <w:rFonts w:hint="eastAsia" w:hAnsi="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磋商时间：</w:t>
            </w:r>
            <w:r>
              <w:rPr>
                <w:rFonts w:hint="eastAsia" w:ascii="宋体" w:hAnsi="宋体" w:eastAsia="宋体" w:cs="宋体"/>
                <w:i w:val="0"/>
                <w:iCs w:val="0"/>
                <w:caps w:val="0"/>
                <w:color w:val="auto"/>
                <w:spacing w:val="0"/>
                <w:sz w:val="24"/>
                <w:szCs w:val="24"/>
                <w:shd w:val="clear" w:fill="FFFFFF"/>
                <w:lang w:eastAsia="zh-CN"/>
              </w:rPr>
              <w:t>2022年</w:t>
            </w:r>
            <w:r>
              <w:rPr>
                <w:rFonts w:hint="eastAsia" w:hAnsi="宋体" w:cs="宋体"/>
                <w:i w:val="0"/>
                <w:iCs w:val="0"/>
                <w:caps w:val="0"/>
                <w:color w:val="auto"/>
                <w:spacing w:val="0"/>
                <w:sz w:val="24"/>
                <w:szCs w:val="24"/>
                <w:shd w:val="clear" w:fill="FFFFFF"/>
                <w:lang w:eastAsia="zh-CN"/>
              </w:rPr>
              <w:t>12月2</w:t>
            </w:r>
            <w:r>
              <w:rPr>
                <w:rFonts w:hint="eastAsia" w:hAnsi="宋体" w:cs="宋体"/>
                <w:i w:val="0"/>
                <w:iCs w:val="0"/>
                <w:caps w:val="0"/>
                <w:color w:val="auto"/>
                <w:spacing w:val="0"/>
                <w:sz w:val="24"/>
                <w:szCs w:val="24"/>
                <w:shd w:val="clear" w:fill="FFFFFF"/>
                <w:lang w:val="en-US" w:eastAsia="zh-CN"/>
              </w:rPr>
              <w:t>9</w:t>
            </w:r>
            <w:r>
              <w:rPr>
                <w:rFonts w:hint="eastAsia" w:hAnsi="宋体" w:cs="宋体"/>
                <w:i w:val="0"/>
                <w:iCs w:val="0"/>
                <w:caps w:val="0"/>
                <w:color w:val="auto"/>
                <w:spacing w:val="0"/>
                <w:sz w:val="24"/>
                <w:szCs w:val="24"/>
                <w:shd w:val="clear" w:fill="FFFFFF"/>
                <w:lang w:eastAsia="zh-CN"/>
              </w:rPr>
              <w:t>日</w:t>
            </w:r>
            <w:r>
              <w:rPr>
                <w:rFonts w:hint="eastAsia" w:ascii="宋体" w:hAnsi="宋体" w:eastAsia="宋体" w:cs="宋体"/>
                <w:i w:val="0"/>
                <w:iCs w:val="0"/>
                <w:caps w:val="0"/>
                <w:color w:val="auto"/>
                <w:spacing w:val="0"/>
                <w:sz w:val="24"/>
                <w:szCs w:val="24"/>
                <w:shd w:val="clear" w:fill="FFFFFF"/>
                <w:lang w:eastAsia="zh-CN"/>
              </w:rPr>
              <w:t>14时30分</w:t>
            </w:r>
            <w:r>
              <w:rPr>
                <w:rFonts w:hint="eastAsia" w:ascii="宋体" w:hAnsi="Times New Roman" w:eastAsia="宋体" w:cs="Times New Roman"/>
                <w:lang w:val="en-US" w:eastAsia="zh-CN"/>
              </w:rPr>
              <w:t>（北京时间)</w:t>
            </w:r>
          </w:p>
          <w:p>
            <w:pPr>
              <w:spacing w:line="360" w:lineRule="auto"/>
              <w:rPr>
                <w:rFonts w:hAnsi="宋体" w:cs="宋体"/>
                <w:szCs w:val="24"/>
                <w:highlight w:val="none"/>
              </w:rPr>
            </w:pPr>
            <w:r>
              <w:rPr>
                <w:rFonts w:hint="eastAsia" w:hAnsi="宋体" w:cs="宋体"/>
                <w:szCs w:val="24"/>
                <w:highlight w:val="none"/>
              </w:rPr>
              <w:t>磋商地点：陕西省西安市经济技术开发区未央路171-1号银池道拉斯财富中心21楼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2"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代理服务费：</w:t>
            </w:r>
          </w:p>
          <w:p>
            <w:pPr>
              <w:spacing w:line="560" w:lineRule="exact"/>
              <w:ind w:firstLine="480" w:firstLineChars="200"/>
              <w:rPr>
                <w:rFonts w:hAnsi="宋体" w:cs="宋体"/>
                <w:szCs w:val="24"/>
                <w:highlight w:val="none"/>
              </w:rPr>
            </w:pPr>
            <w:r>
              <w:rPr>
                <w:rFonts w:hint="eastAsia" w:hAnsi="宋体" w:cs="宋体"/>
                <w:szCs w:val="24"/>
                <w:highlight w:val="none"/>
              </w:rPr>
              <w:t>29.1按</w:t>
            </w:r>
            <w:bookmarkStart w:id="27" w:name="OLE_LINK10"/>
            <w:bookmarkStart w:id="28" w:name="OLE_LINK9"/>
            <w:r>
              <w:rPr>
                <w:rFonts w:hint="eastAsia" w:hAnsi="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7"/>
            <w:bookmarkEnd w:id="28"/>
          </w:p>
          <w:p>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15</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踏勘</w:t>
            </w:r>
          </w:p>
          <w:p>
            <w:pPr>
              <w:spacing w:line="360" w:lineRule="auto"/>
              <w:jc w:val="center"/>
              <w:rPr>
                <w:rFonts w:hAnsi="宋体" w:cs="宋体"/>
                <w:szCs w:val="24"/>
                <w:highlight w:val="none"/>
              </w:rPr>
            </w:pPr>
            <w:r>
              <w:rPr>
                <w:rFonts w:hint="eastAsia" w:hAnsi="宋体" w:cs="宋体"/>
                <w:szCs w:val="24"/>
                <w:highlight w:val="none"/>
              </w:rPr>
              <w:t>现场</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1）招标代理机构不组织统一踏勘，各</w:t>
            </w:r>
            <w:r>
              <w:rPr>
                <w:rFonts w:hint="eastAsia" w:hAnsi="宋体" w:cs="宋体"/>
                <w:szCs w:val="24"/>
                <w:highlight w:val="none"/>
                <w:lang w:eastAsia="zh-CN"/>
              </w:rPr>
              <w:t>供应商</w:t>
            </w:r>
            <w:r>
              <w:rPr>
                <w:rFonts w:hint="eastAsia" w:hAnsi="宋体" w:cs="宋体"/>
                <w:szCs w:val="24"/>
                <w:highlight w:val="none"/>
              </w:rPr>
              <w:t>自行踏勘，相关费用及安全由</w:t>
            </w:r>
            <w:r>
              <w:rPr>
                <w:rFonts w:hint="eastAsia" w:hAnsi="宋体" w:cs="宋体"/>
                <w:szCs w:val="24"/>
                <w:highlight w:val="none"/>
                <w:lang w:eastAsia="zh-CN"/>
              </w:rPr>
              <w:t>供应商</w:t>
            </w:r>
            <w:r>
              <w:rPr>
                <w:rFonts w:hint="eastAsia" w:hAnsi="宋体" w:cs="宋体"/>
                <w:szCs w:val="24"/>
                <w:highlight w:val="none"/>
              </w:rPr>
              <w:t>自行承担，踏勘时遵守相关规定，不得扰民。</w:t>
            </w:r>
          </w:p>
          <w:p>
            <w:pPr>
              <w:spacing w:line="360" w:lineRule="auto"/>
              <w:rPr>
                <w:rFonts w:hAnsi="宋体" w:cs="宋体"/>
                <w:szCs w:val="24"/>
                <w:highlight w:val="none"/>
              </w:rPr>
            </w:pPr>
            <w:r>
              <w:rPr>
                <w:rFonts w:hint="eastAsia" w:hAnsi="宋体" w:cs="宋体"/>
                <w:szCs w:val="24"/>
                <w:highlight w:val="none"/>
              </w:rPr>
              <w:t>2）踏勘内容包含：完成本次</w:t>
            </w:r>
            <w:r>
              <w:rPr>
                <w:rFonts w:hint="eastAsia" w:hAnsi="宋体" w:cs="宋体"/>
                <w:szCs w:val="24"/>
                <w:highlight w:val="none"/>
                <w:lang w:eastAsia="zh-CN"/>
              </w:rPr>
              <w:t>磋商</w:t>
            </w:r>
            <w:r>
              <w:rPr>
                <w:rFonts w:hint="eastAsia" w:hAnsi="宋体" w:cs="宋体"/>
                <w:szCs w:val="24"/>
                <w:highlight w:val="none"/>
              </w:rPr>
              <w:t>所需要的现场情况及周围环境等资料。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16</w:t>
            </w:r>
          </w:p>
        </w:tc>
        <w:tc>
          <w:tcPr>
            <w:tcW w:w="951" w:type="dxa"/>
            <w:vAlign w:val="center"/>
          </w:tcPr>
          <w:p>
            <w:pPr>
              <w:jc w:val="center"/>
              <w:rPr>
                <w:rFonts w:hAnsi="宋体" w:cs="宋体"/>
                <w:b/>
                <w:bCs/>
                <w:szCs w:val="24"/>
                <w:highlight w:val="none"/>
              </w:rPr>
            </w:pPr>
            <w:r>
              <w:rPr>
                <w:rFonts w:hint="eastAsia" w:hAnsi="宋体" w:cs="宋体"/>
                <w:b/>
                <w:bCs/>
                <w:szCs w:val="24"/>
                <w:highlight w:val="none"/>
              </w:rPr>
              <w:t>银行</w:t>
            </w:r>
          </w:p>
          <w:p>
            <w:pPr>
              <w:jc w:val="center"/>
              <w:rPr>
                <w:rFonts w:hAnsi="宋体" w:cs="宋体"/>
                <w:b/>
                <w:bCs/>
                <w:szCs w:val="24"/>
                <w:highlight w:val="none"/>
              </w:rPr>
            </w:pPr>
            <w:r>
              <w:rPr>
                <w:rFonts w:hint="eastAsia" w:hAnsi="宋体" w:cs="宋体"/>
                <w:b/>
                <w:bCs/>
                <w:szCs w:val="24"/>
                <w:highlight w:val="none"/>
              </w:rPr>
              <w:t>账户</w:t>
            </w:r>
          </w:p>
          <w:p>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pPr>
              <w:spacing w:line="520" w:lineRule="exact"/>
              <w:rPr>
                <w:rFonts w:hAnsi="宋体" w:cs="宋体"/>
                <w:b/>
                <w:bCs/>
                <w:szCs w:val="24"/>
                <w:highlight w:val="none"/>
              </w:rPr>
            </w:pPr>
            <w:r>
              <w:rPr>
                <w:rFonts w:hint="eastAsia" w:hAnsi="宋体" w:cs="宋体"/>
                <w:b/>
                <w:bCs/>
                <w:szCs w:val="24"/>
                <w:highlight w:val="none"/>
              </w:rPr>
              <w:t>1、代理服务费账户：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①采购代理机构开户名称: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pPr>
              <w:pStyle w:val="10"/>
              <w:ind w:firstLine="482" w:firstLineChars="200"/>
              <w:rPr>
                <w:rFonts w:ascii="宋体" w:hAnsi="宋体" w:cs="宋体"/>
                <w:szCs w:val="24"/>
                <w:highlight w:val="none"/>
              </w:rPr>
            </w:pPr>
            <w:r>
              <w:rPr>
                <w:rFonts w:hint="eastAsia" w:ascii="宋体" w:hAnsi="宋体" w:cs="宋体"/>
                <w:b/>
                <w:bCs/>
                <w:sz w:val="24"/>
                <w:szCs w:val="24"/>
                <w:highlight w:val="none"/>
              </w:rPr>
              <w:t>③账号：61050192090000002152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spacing w:after="156" w:afterLines="50"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17</w:t>
            </w:r>
          </w:p>
        </w:tc>
        <w:tc>
          <w:tcPr>
            <w:tcW w:w="951" w:type="dxa"/>
            <w:vAlign w:val="center"/>
          </w:tcPr>
          <w:p>
            <w:pPr>
              <w:bidi w:val="0"/>
              <w:jc w:val="center"/>
              <w:rPr>
                <w:rFonts w:hint="eastAsia" w:ascii="宋体" w:hAnsi="Times New Roman" w:eastAsia="宋体" w:cs="Times New Roman"/>
                <w:b/>
                <w:bCs/>
                <w:sz w:val="24"/>
                <w:lang w:val="en-US" w:eastAsia="zh-CN" w:bidi="ar-SA"/>
              </w:rPr>
            </w:pPr>
            <w:r>
              <w:rPr>
                <w:rFonts w:hint="eastAsia" w:ascii="宋体" w:hAnsi="Times New Roman" w:eastAsia="宋体" w:cs="Times New Roman"/>
                <w:b/>
                <w:bCs/>
              </w:rPr>
              <w:t>一致性</w:t>
            </w:r>
          </w:p>
        </w:tc>
        <w:tc>
          <w:tcPr>
            <w:tcW w:w="735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sz w:val="24"/>
                <w:lang w:val="en-US" w:eastAsia="zh-CN" w:bidi="ar-SA"/>
              </w:rPr>
            </w:pPr>
            <w:r>
              <w:rPr>
                <w:rFonts w:hint="eastAsia" w:ascii="宋体" w:hAnsi="Times New Roman" w:eastAsia="宋体" w:cs="Times New Roman"/>
                <w:lang w:eastAsia="zh-CN"/>
              </w:rPr>
              <w:t>供应商</w:t>
            </w:r>
            <w:r>
              <w:rPr>
                <w:rFonts w:hint="eastAsia" w:ascii="宋体" w:hAnsi="Times New Roman" w:eastAsia="宋体" w:cs="Times New Roman"/>
              </w:rPr>
              <w:t>须知前附表和须知不一致的地方，以前附表为准。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spacing w:after="156" w:afterLines="50"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18</w:t>
            </w:r>
          </w:p>
        </w:tc>
        <w:tc>
          <w:tcPr>
            <w:tcW w:w="951" w:type="dxa"/>
            <w:vAlign w:val="center"/>
          </w:tcPr>
          <w:p>
            <w:pPr>
              <w:bidi w:val="0"/>
              <w:jc w:val="center"/>
              <w:rPr>
                <w:rFonts w:hint="eastAsia" w:ascii="宋体" w:hAnsi="Times New Roman" w:eastAsia="宋体" w:cs="Times New Roman"/>
                <w:b/>
                <w:bCs/>
                <w:sz w:val="24"/>
                <w:highlight w:val="none"/>
                <w:lang w:val="en-US" w:eastAsia="zh-CN" w:bidi="ar-SA"/>
              </w:rPr>
            </w:pPr>
            <w:r>
              <w:rPr>
                <w:rFonts w:hint="eastAsia" w:ascii="宋体" w:hAnsi="Times New Roman" w:eastAsia="宋体" w:cs="Times New Roman"/>
                <w:b/>
                <w:bCs/>
                <w:highlight w:val="none"/>
                <w:lang w:eastAsia="zh-CN"/>
              </w:rPr>
              <w:t>行业类别</w:t>
            </w:r>
          </w:p>
        </w:tc>
        <w:tc>
          <w:tcPr>
            <w:tcW w:w="735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行业：软件集成实施服务。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sz w:val="24"/>
                <w:highlight w:val="none"/>
                <w:lang w:val="en-US" w:eastAsia="zh-CN" w:bidi="ar-SA"/>
              </w:rPr>
            </w:pPr>
            <w:r>
              <w:rPr>
                <w:rFonts w:hint="eastAsia" w:ascii="宋体" w:hAnsi="Times New Roman" w:eastAsia="宋体" w:cs="Times New Roman"/>
                <w:highlight w:val="none"/>
                <w:lang w:val="en-US" w:eastAsia="zh-CN"/>
              </w:rPr>
              <w:t>类别：服务类。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w:t>
            </w:r>
            <w:r>
              <w:rPr>
                <w:rFonts w:hint="eastAsia" w:hAnsi="宋体" w:cs="宋体"/>
                <w:szCs w:val="24"/>
                <w:highlight w:val="none"/>
                <w:lang w:val="en-US" w:eastAsia="zh-CN"/>
              </w:rPr>
              <w:t>9</w:t>
            </w:r>
          </w:p>
        </w:tc>
        <w:tc>
          <w:tcPr>
            <w:tcW w:w="951" w:type="dxa"/>
            <w:vAlign w:val="center"/>
          </w:tcPr>
          <w:p>
            <w:pPr>
              <w:jc w:val="center"/>
              <w:rPr>
                <w:b/>
                <w:bCs/>
                <w:highlight w:val="none"/>
              </w:rPr>
            </w:pPr>
            <w:r>
              <w:rPr>
                <w:rFonts w:hint="eastAsia"/>
                <w:b/>
                <w:bCs/>
                <w:highlight w:val="none"/>
              </w:rPr>
              <w:t>项目</w:t>
            </w:r>
          </w:p>
          <w:p>
            <w:pPr>
              <w:jc w:val="center"/>
              <w:rPr>
                <w:rFonts w:hAnsi="宋体" w:cs="宋体"/>
                <w:b/>
                <w:bCs/>
                <w:szCs w:val="24"/>
                <w:highlight w:val="none"/>
              </w:rPr>
            </w:pPr>
            <w:r>
              <w:rPr>
                <w:rFonts w:hint="eastAsia"/>
                <w:b/>
                <w:bCs/>
                <w:highlight w:val="none"/>
              </w:rPr>
              <w:t>性质</w:t>
            </w:r>
          </w:p>
        </w:tc>
        <w:tc>
          <w:tcPr>
            <w:tcW w:w="7354" w:type="dxa"/>
            <w:vAlign w:val="center"/>
          </w:tcPr>
          <w:p>
            <w:pPr>
              <w:pStyle w:val="10"/>
              <w:rPr>
                <w:highlight w:val="none"/>
              </w:rPr>
            </w:pPr>
            <w:r>
              <w:rPr>
                <w:rFonts w:hint="eastAsia" w:ascii="宋体" w:hAnsi="宋体" w:cs="宋体"/>
                <w:b/>
                <w:bCs/>
                <w:kern w:val="0"/>
                <w:sz w:val="24"/>
                <w:szCs w:val="24"/>
                <w:highlight w:val="none"/>
              </w:rPr>
              <w:t>本项目非专门面向中小企业采购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vAlign w:val="center"/>
          </w:tcPr>
          <w:p>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rFonts w:hint="eastAsia" w:hAnsi="宋体" w:cs="宋体"/>
                <w:b/>
                <w:bCs/>
                <w:szCs w:val="24"/>
                <w:highlight w:val="none"/>
              </w:rPr>
              <w:fldChar w:fldCharType="begin"/>
            </w:r>
            <w:r>
              <w:rPr>
                <w:rFonts w:hint="eastAsia" w:hAnsi="宋体" w:cs="宋体"/>
                <w:b/>
                <w:bCs/>
                <w:szCs w:val="24"/>
                <w:highlight w:val="none"/>
              </w:rPr>
              <w:instrText xml:space="preserve"> HYPERLINK "http://www.ccgp-shaanxi.gov.cn/information/informationDetail.do?informationguid=8a85be3567ed23460167ed36804d0009" </w:instrText>
            </w:r>
            <w:r>
              <w:rPr>
                <w:rFonts w:hint="eastAsia" w:hAnsi="宋体" w:cs="宋体"/>
                <w:b/>
                <w:bCs/>
                <w:szCs w:val="24"/>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156" w:beforeLines="50" w:after="156" w:afterLines="50"/>
        <w:jc w:val="center"/>
        <w:outlineLvl w:val="2"/>
        <w:rPr>
          <w:rFonts w:hAnsi="宋体" w:cs="宋体"/>
          <w:sz w:val="32"/>
          <w:szCs w:val="32"/>
          <w:highlight w:val="none"/>
        </w:rPr>
      </w:pPr>
      <w:bookmarkStart w:id="29" w:name="_Toc403077639"/>
      <w:bookmarkStart w:id="30" w:name="_Toc363474017"/>
      <w:bookmarkStart w:id="31" w:name="_Toc363473972"/>
      <w:r>
        <w:rPr>
          <w:rFonts w:hint="eastAsia" w:hAnsi="宋体" w:cs="宋体"/>
          <w:b/>
          <w:sz w:val="32"/>
          <w:szCs w:val="32"/>
          <w:highlight w:val="none"/>
        </w:rPr>
        <w:br w:type="page"/>
      </w:r>
      <w:bookmarkStart w:id="32" w:name="_Toc3623"/>
      <w:bookmarkStart w:id="33" w:name="_Toc27537"/>
      <w:r>
        <w:rPr>
          <w:rFonts w:hint="eastAsia" w:hAnsi="宋体" w:cs="宋体"/>
          <w:b/>
          <w:sz w:val="32"/>
          <w:szCs w:val="32"/>
          <w:highlight w:val="none"/>
        </w:rPr>
        <w:t>一.总  则</w:t>
      </w:r>
      <w:bookmarkEnd w:id="29"/>
      <w:bookmarkEnd w:id="30"/>
      <w:bookmarkEnd w:id="31"/>
      <w:bookmarkEnd w:id="32"/>
      <w:bookmarkEnd w:id="33"/>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1.1本次竞争性磋商所签合同使用财政资金支付，资金已落实到位。</w:t>
      </w:r>
    </w:p>
    <w:p>
      <w:pPr>
        <w:numPr>
          <w:ilvl w:val="0"/>
          <w:numId w:val="1"/>
        </w:numPr>
        <w:spacing w:line="500" w:lineRule="exact"/>
        <w:rPr>
          <w:rFonts w:hAnsi="宋体" w:cs="宋体"/>
          <w:b/>
          <w:szCs w:val="24"/>
          <w:highlight w:val="none"/>
        </w:rPr>
      </w:pPr>
      <w:bookmarkStart w:id="34" w:name="_Toc363474018"/>
      <w:bookmarkStart w:id="35" w:name="_Toc363473973"/>
      <w:bookmarkStart w:id="36" w:name="_Toc403077640"/>
      <w:r>
        <w:rPr>
          <w:rFonts w:hint="eastAsia" w:hAnsi="宋体" w:cs="宋体"/>
          <w:b/>
          <w:szCs w:val="24"/>
          <w:highlight w:val="none"/>
        </w:rPr>
        <w:t>名词解释</w:t>
      </w:r>
    </w:p>
    <w:p>
      <w:pPr>
        <w:tabs>
          <w:tab w:val="left" w:pos="7665"/>
        </w:tabs>
        <w:spacing w:line="360" w:lineRule="auto"/>
        <w:ind w:firstLine="480" w:firstLineChars="200"/>
        <w:rPr>
          <w:rFonts w:hint="eastAsia" w:hAnsi="宋体" w:eastAsia="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汉中市人民医院</w:t>
      </w:r>
    </w:p>
    <w:p>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2.3采购代理机构：陕西至诚招标咨询有限公司</w:t>
      </w:r>
    </w:p>
    <w:p>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szCs w:val="24"/>
          <w:highlight w:val="none"/>
        </w:rPr>
      </w:pPr>
      <w:r>
        <w:rPr>
          <w:rFonts w:hint="eastAsia" w:hAnsi="宋体" w:cs="宋体"/>
          <w:b/>
          <w:szCs w:val="24"/>
          <w:highlight w:val="none"/>
        </w:rPr>
        <w:t>3.合格的供应商</w:t>
      </w:r>
    </w:p>
    <w:p>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3.4供应商必须在陕西至诚招标咨询有限公司购买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outlineLvl w:val="2"/>
        <w:rPr>
          <w:rFonts w:hAnsi="宋体" w:cs="宋体"/>
          <w:b/>
          <w:sz w:val="32"/>
          <w:szCs w:val="32"/>
          <w:highlight w:val="none"/>
        </w:rPr>
      </w:pPr>
      <w:bookmarkStart w:id="37" w:name="_Toc27903"/>
      <w:bookmarkStart w:id="38" w:name="_Toc31742"/>
      <w:r>
        <w:rPr>
          <w:rFonts w:hint="eastAsia" w:hAnsi="宋体" w:cs="宋体"/>
          <w:b/>
          <w:sz w:val="32"/>
          <w:szCs w:val="32"/>
          <w:highlight w:val="none"/>
        </w:rPr>
        <w:t>二.竞争性磋商文件</w:t>
      </w:r>
      <w:bookmarkEnd w:id="34"/>
      <w:bookmarkEnd w:id="35"/>
      <w:bookmarkEnd w:id="36"/>
      <w:bookmarkEnd w:id="37"/>
      <w:bookmarkEnd w:id="38"/>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outlineLvl w:val="2"/>
        <w:rPr>
          <w:rFonts w:hAnsi="宋体" w:cs="宋体"/>
          <w:b/>
          <w:sz w:val="32"/>
          <w:szCs w:val="32"/>
          <w:highlight w:val="none"/>
        </w:rPr>
      </w:pPr>
      <w:bookmarkStart w:id="39" w:name="_Toc363473974"/>
      <w:bookmarkStart w:id="40" w:name="_Toc28227"/>
      <w:bookmarkStart w:id="41" w:name="_Toc26653"/>
      <w:bookmarkStart w:id="42" w:name="_Toc403077641"/>
      <w:bookmarkStart w:id="43" w:name="_Toc363474019"/>
      <w:r>
        <w:rPr>
          <w:rFonts w:hint="eastAsia" w:hAnsi="宋体" w:cs="宋体"/>
          <w:b/>
          <w:sz w:val="32"/>
          <w:szCs w:val="32"/>
          <w:highlight w:val="none"/>
        </w:rPr>
        <w:t>三.磋商响应文件的编制</w:t>
      </w:r>
      <w:bookmarkEnd w:id="39"/>
      <w:bookmarkEnd w:id="40"/>
      <w:bookmarkEnd w:id="41"/>
      <w:bookmarkEnd w:id="42"/>
      <w:bookmarkEnd w:id="43"/>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pPr>
        <w:spacing w:line="360" w:lineRule="auto"/>
        <w:ind w:firstLine="480" w:firstLineChars="200"/>
        <w:rPr>
          <w:rFonts w:hAnsi="宋体" w:cs="宋体"/>
          <w:szCs w:val="24"/>
          <w:highlight w:val="none"/>
        </w:rPr>
      </w:pPr>
      <w:r>
        <w:rPr>
          <w:rFonts w:hint="eastAsia" w:hAnsi="宋体" w:cs="宋体"/>
          <w:szCs w:val="24"/>
          <w:highlight w:val="none"/>
        </w:rPr>
        <w:t>（5）竞争性磋商文件中要求的其他证明文件。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产品费、软件服务费、仓储保管费、售后服务培训费、运输费、税金、招标代理服务费等其他与本项目实施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pPr>
        <w:spacing w:line="360" w:lineRule="auto"/>
        <w:rPr>
          <w:rFonts w:hAnsi="宋体" w:cs="宋体"/>
          <w:b/>
          <w:szCs w:val="24"/>
          <w:highlight w:val="none"/>
        </w:rPr>
      </w:pPr>
      <w:r>
        <w:rPr>
          <w:rFonts w:hint="eastAsia" w:hAnsi="宋体" w:cs="宋体"/>
          <w:b/>
          <w:szCs w:val="24"/>
          <w:highlight w:val="none"/>
        </w:rPr>
        <w:t>14.磋商保证金(本项目不收取磋商保证金）</w:t>
      </w:r>
    </w:p>
    <w:p>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44"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4"/>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pPr>
        <w:keepNext/>
        <w:keepLines/>
        <w:spacing w:before="312" w:beforeLines="100" w:after="156" w:afterLines="50" w:line="360" w:lineRule="auto"/>
        <w:jc w:val="center"/>
        <w:outlineLvl w:val="2"/>
        <w:rPr>
          <w:rFonts w:hAnsi="宋体" w:cs="宋体"/>
          <w:b/>
          <w:sz w:val="32"/>
          <w:szCs w:val="32"/>
          <w:highlight w:val="none"/>
        </w:rPr>
      </w:pPr>
      <w:bookmarkStart w:id="45" w:name="_Toc20799"/>
      <w:bookmarkStart w:id="46" w:name="_Toc18686"/>
      <w:r>
        <w:rPr>
          <w:rFonts w:hint="eastAsia" w:hAnsi="宋体" w:cs="宋体"/>
          <w:b/>
          <w:sz w:val="32"/>
          <w:szCs w:val="32"/>
          <w:highlight w:val="none"/>
        </w:rPr>
        <w:t>四.竞争性磋商响应文件的递交</w:t>
      </w:r>
      <w:bookmarkEnd w:id="45"/>
      <w:bookmarkEnd w:id="46"/>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w:t>
      </w:r>
      <w:r>
        <w:rPr>
          <w:rFonts w:hint="eastAsia" w:hAnsi="宋体" w:cs="宋体"/>
          <w:szCs w:val="24"/>
          <w:highlight w:val="none"/>
        </w:rPr>
        <w:t>所有的副本、</w:t>
      </w:r>
      <w:r>
        <w:rPr>
          <w:rFonts w:hint="eastAsia" w:hAnsi="宋体" w:cs="宋体"/>
          <w:highlight w:val="none"/>
        </w:rPr>
        <w:t>电子版本、报价一览表单独密封装在封袋中（封袋不得有破损），且在封袋正面标明</w:t>
      </w:r>
      <w:r>
        <w:rPr>
          <w:rFonts w:hint="eastAsia" w:hAnsi="宋体" w:cs="宋体"/>
          <w:szCs w:val="24"/>
          <w:highlight w:val="none"/>
        </w:rPr>
        <w:t>“正本”“副本”</w:t>
      </w:r>
      <w:r>
        <w:rPr>
          <w:rFonts w:hint="eastAsia" w:hAnsi="宋体" w:cs="宋体"/>
          <w:highlight w:val="none"/>
        </w:rPr>
        <w:t>“电子版本”“报价一览表”字样。封袋应加贴封条，并在封线处加盖供应商公章，封袋正面要粘贴供应商全称、项目名称、编号等标识。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outlineLvl w:val="2"/>
        <w:rPr>
          <w:rFonts w:hAnsi="宋体" w:cs="宋体"/>
          <w:b/>
          <w:sz w:val="32"/>
          <w:szCs w:val="32"/>
          <w:highlight w:val="none"/>
        </w:rPr>
      </w:pPr>
      <w:bookmarkStart w:id="47" w:name="_Toc403077643"/>
      <w:bookmarkStart w:id="48" w:name="_Toc15436"/>
      <w:bookmarkStart w:id="49" w:name="_Toc363474021"/>
      <w:bookmarkStart w:id="50" w:name="_Toc13669"/>
      <w:bookmarkStart w:id="51" w:name="_Toc363473976"/>
      <w:r>
        <w:rPr>
          <w:rFonts w:hint="eastAsia" w:hAnsi="宋体" w:cs="宋体"/>
          <w:b/>
          <w:sz w:val="32"/>
          <w:szCs w:val="32"/>
          <w:highlight w:val="none"/>
        </w:rPr>
        <w:t>五.磋商与评标</w:t>
      </w:r>
      <w:bookmarkEnd w:id="47"/>
      <w:bookmarkEnd w:id="48"/>
      <w:bookmarkEnd w:id="49"/>
      <w:bookmarkEnd w:id="50"/>
      <w:bookmarkEnd w:id="51"/>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pPr>
        <w:pStyle w:val="18"/>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pPr>
        <w:pStyle w:val="18"/>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13）供应商被列入失信被执行人、重大税收违法失信主体、政府采购严重违法失信行为记录名单及其他不符合《中华人民共和国政府采购法》第二十二条规定条件。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outlineLvl w:val="2"/>
        <w:rPr>
          <w:rFonts w:hAnsi="宋体" w:cs="宋体"/>
          <w:b/>
          <w:sz w:val="32"/>
          <w:szCs w:val="32"/>
          <w:highlight w:val="none"/>
        </w:rPr>
      </w:pPr>
      <w:bookmarkStart w:id="52" w:name="_Toc29146"/>
      <w:bookmarkStart w:id="53" w:name="_Toc15100"/>
      <w:r>
        <w:rPr>
          <w:rFonts w:hint="eastAsia" w:hAnsi="宋体" w:cs="宋体"/>
          <w:b/>
          <w:sz w:val="32"/>
          <w:szCs w:val="32"/>
          <w:highlight w:val="none"/>
        </w:rPr>
        <w:t>六.成交、通知与签约</w:t>
      </w:r>
      <w:bookmarkEnd w:id="52"/>
      <w:bookmarkEnd w:id="53"/>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10"/>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pPr>
        <w:widowControl/>
        <w:spacing w:line="360" w:lineRule="auto"/>
        <w:ind w:firstLine="480" w:firstLineChars="200"/>
        <w:rPr>
          <w:rFonts w:hAnsi="宋体" w:cs="宋体"/>
          <w:highlight w:val="none"/>
        </w:rPr>
      </w:pPr>
      <w:r>
        <w:rPr>
          <w:rFonts w:hint="eastAsia" w:hAnsi="宋体" w:cs="宋体"/>
          <w:highlight w:val="none"/>
        </w:rPr>
        <w:t>30.7质疑答复</w:t>
      </w:r>
    </w:p>
    <w:p>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4" w:name="_Toc363474023"/>
    </w:p>
    <w:p>
      <w:pPr>
        <w:pStyle w:val="3"/>
        <w:numPr>
          <w:ilvl w:val="0"/>
          <w:numId w:val="3"/>
        </w:numPr>
        <w:jc w:val="center"/>
        <w:rPr>
          <w:rFonts w:ascii="宋体" w:eastAsia="宋体" w:cs="宋体"/>
          <w:highlight w:val="none"/>
        </w:rPr>
      </w:pPr>
      <w:bookmarkStart w:id="55" w:name="_Toc423973074"/>
      <w:bookmarkStart w:id="56" w:name="_Toc403077645"/>
      <w:bookmarkStart w:id="57" w:name="_Toc25783"/>
      <w:r>
        <w:rPr>
          <w:rFonts w:hint="eastAsia" w:ascii="宋体" w:eastAsia="宋体" w:cs="宋体"/>
          <w:bCs/>
          <w:sz w:val="36"/>
          <w:szCs w:val="36"/>
          <w:highlight w:val="none"/>
        </w:rPr>
        <w:br w:type="page"/>
      </w:r>
      <w:bookmarkStart w:id="58" w:name="_Toc22973"/>
      <w:r>
        <w:rPr>
          <w:rFonts w:hint="eastAsia" w:ascii="宋体" w:eastAsia="宋体" w:cs="宋体"/>
          <w:bCs/>
          <w:sz w:val="36"/>
          <w:szCs w:val="36"/>
          <w:highlight w:val="none"/>
        </w:rPr>
        <w:t xml:space="preserve">  </w:t>
      </w:r>
      <w:bookmarkStart w:id="59" w:name="_Toc9687"/>
      <w:r>
        <w:rPr>
          <w:rFonts w:hint="eastAsia" w:ascii="宋体" w:eastAsia="宋体" w:cs="宋体"/>
          <w:bCs/>
          <w:sz w:val="36"/>
          <w:szCs w:val="36"/>
          <w:highlight w:val="none"/>
        </w:rPr>
        <w:t>评审方法</w:t>
      </w:r>
      <w:bookmarkEnd w:id="58"/>
      <w:bookmarkEnd w:id="59"/>
    </w:p>
    <w:p>
      <w:pPr>
        <w:spacing w:line="360" w:lineRule="auto"/>
        <w:outlineLvl w:val="1"/>
        <w:rPr>
          <w:rFonts w:hAnsi="宋体" w:cs="宋体"/>
          <w:b/>
          <w:szCs w:val="24"/>
          <w:highlight w:val="none"/>
        </w:rPr>
      </w:pPr>
      <w:bookmarkStart w:id="60" w:name="_Toc32051"/>
      <w:bookmarkStart w:id="61" w:name="_Toc28665"/>
      <w:bookmarkStart w:id="62" w:name="_Toc26649"/>
      <w:r>
        <w:rPr>
          <w:rFonts w:hint="eastAsia" w:hAnsi="宋体" w:cs="宋体"/>
          <w:b/>
          <w:szCs w:val="24"/>
          <w:highlight w:val="none"/>
        </w:rPr>
        <w:t>一、评审方法</w:t>
      </w:r>
      <w:bookmarkEnd w:id="60"/>
      <w:bookmarkEnd w:id="61"/>
      <w:bookmarkEnd w:id="62"/>
    </w:p>
    <w:p>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Ansi="宋体" w:cs="宋体"/>
          <w:b/>
          <w:spacing w:val="4"/>
          <w:szCs w:val="24"/>
          <w:highlight w:val="none"/>
        </w:rPr>
      </w:pPr>
      <w:bookmarkStart w:id="63" w:name="_Toc27615"/>
      <w:bookmarkStart w:id="64" w:name="_Toc20625"/>
      <w:bookmarkStart w:id="65" w:name="_Toc2374"/>
      <w:r>
        <w:rPr>
          <w:rFonts w:hint="eastAsia" w:hAnsi="宋体" w:cs="宋体"/>
          <w:b/>
          <w:spacing w:val="4"/>
          <w:szCs w:val="24"/>
          <w:highlight w:val="none"/>
        </w:rPr>
        <w:t>二、评审程序</w:t>
      </w:r>
      <w:bookmarkEnd w:id="63"/>
      <w:bookmarkEnd w:id="64"/>
      <w:bookmarkEnd w:id="65"/>
    </w:p>
    <w:p>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10"/>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Ansi="宋体" w:cs="宋体"/>
          <w:highlight w:val="none"/>
        </w:rPr>
      </w:pPr>
    </w:p>
    <w:p>
      <w:pPr>
        <w:spacing w:line="500" w:lineRule="exact"/>
        <w:jc w:val="left"/>
        <w:outlineLvl w:val="1"/>
        <w:rPr>
          <w:rFonts w:hAnsi="宋体" w:cs="宋体"/>
          <w:b/>
          <w:szCs w:val="24"/>
          <w:highlight w:val="none"/>
        </w:rPr>
      </w:pPr>
      <w:bookmarkStart w:id="66" w:name="_Toc4428"/>
      <w:bookmarkStart w:id="67" w:name="_Toc24776"/>
      <w:bookmarkStart w:id="68" w:name="_Toc19221"/>
      <w:r>
        <w:rPr>
          <w:rFonts w:hint="eastAsia" w:hAnsi="宋体" w:cs="宋体"/>
          <w:b/>
          <w:szCs w:val="24"/>
          <w:highlight w:val="none"/>
        </w:rPr>
        <w:t>三、政策性扣减</w:t>
      </w:r>
      <w:bookmarkEnd w:id="66"/>
      <w:bookmarkEnd w:id="67"/>
      <w:bookmarkEnd w:id="68"/>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2.2.1在磋商最终报价的基础上，与小型企业或达到小型企业划分标准的监狱企业（或残疾人福利性单位）联合的，按“磋商最终报价×4%”进行扣减；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2.2.2在磋商最终报价的基础上，与微型企业或达到微型企业划分标准的监狱企业（或残疾人福利性单位）联合的，按“磋商最终报价×4%”进行扣减。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2.2.3在磋商最终报价的基础上，同时与小型、微型企业或达到小型、微型企业划分标准的监狱企业（或残疾人福利性单位）组成两家以上的联合体的，仅按照“磋商最终报价×4%”进行扣减。不累计扣减。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10"/>
        <w:rPr>
          <w:rFonts w:ascii="宋体" w:hAnsi="宋体" w:cs="宋体"/>
          <w:highlight w:val="none"/>
        </w:rPr>
      </w:pPr>
    </w:p>
    <w:p>
      <w:pPr>
        <w:spacing w:line="360" w:lineRule="auto"/>
        <w:ind w:firstLine="498" w:firstLineChars="200"/>
        <w:jc w:val="center"/>
        <w:outlineLvl w:val="1"/>
        <w:rPr>
          <w:rFonts w:hAnsi="宋体" w:cs="宋体"/>
          <w:b/>
          <w:szCs w:val="24"/>
          <w:highlight w:val="none"/>
        </w:rPr>
      </w:pPr>
      <w:r>
        <w:rPr>
          <w:rFonts w:hint="eastAsia" w:hAnsi="宋体" w:cs="宋体"/>
          <w:b/>
          <w:spacing w:val="4"/>
          <w:szCs w:val="24"/>
          <w:highlight w:val="none"/>
        </w:rPr>
        <w:br w:type="page"/>
      </w:r>
      <w:bookmarkStart w:id="69" w:name="_Toc28532"/>
      <w:bookmarkStart w:id="70" w:name="_Toc4223"/>
      <w:bookmarkStart w:id="71" w:name="_Toc13330"/>
      <w:r>
        <w:rPr>
          <w:rFonts w:hint="eastAsia" w:hAnsi="宋体" w:cs="宋体"/>
          <w:b/>
          <w:spacing w:val="4"/>
          <w:szCs w:val="24"/>
          <w:highlight w:val="none"/>
        </w:rPr>
        <w:t>四、</w:t>
      </w:r>
      <w:r>
        <w:rPr>
          <w:rFonts w:hint="eastAsia" w:hAnsi="宋体" w:cs="宋体"/>
          <w:b/>
          <w:szCs w:val="24"/>
          <w:highlight w:val="none"/>
        </w:rPr>
        <w:t>评审要素和分值分解表</w:t>
      </w:r>
      <w:bookmarkEnd w:id="69"/>
      <w:bookmarkEnd w:id="70"/>
      <w:bookmarkEnd w:id="71"/>
    </w:p>
    <w:p>
      <w:pPr>
        <w:spacing w:line="360" w:lineRule="auto"/>
        <w:ind w:firstLine="480" w:firstLineChars="200"/>
        <w:jc w:val="left"/>
        <w:rPr>
          <w:rFonts w:hAnsi="宋体" w:cs="宋体"/>
          <w:szCs w:val="24"/>
          <w:highlight w:val="none"/>
        </w:rPr>
      </w:pPr>
      <w:r>
        <w:rPr>
          <w:rFonts w:hint="eastAsia" w:hAnsi="宋体" w:cs="宋体"/>
          <w:szCs w:val="24"/>
          <w:highlight w:val="none"/>
        </w:rPr>
        <w:t>评价和比较以磋商响应文件为依据进行评审并按照百分制进行赋分。</w:t>
      </w:r>
    </w:p>
    <w:tbl>
      <w:tblPr>
        <w:tblStyle w:val="22"/>
        <w:tblW w:w="5000" w:type="pct"/>
        <w:tblInd w:w="0" w:type="dxa"/>
        <w:tblLayout w:type="autofit"/>
        <w:tblCellMar>
          <w:top w:w="0" w:type="dxa"/>
          <w:left w:w="108" w:type="dxa"/>
          <w:bottom w:w="0" w:type="dxa"/>
          <w:right w:w="108" w:type="dxa"/>
        </w:tblCellMar>
      </w:tblPr>
      <w:tblGrid>
        <w:gridCol w:w="1187"/>
        <w:gridCol w:w="887"/>
        <w:gridCol w:w="7440"/>
      </w:tblGrid>
      <w:tr>
        <w:tblPrEx>
          <w:tblCellMar>
            <w:top w:w="0" w:type="dxa"/>
            <w:left w:w="108" w:type="dxa"/>
            <w:bottom w:w="0" w:type="dxa"/>
            <w:right w:w="108" w:type="dxa"/>
          </w:tblCellMar>
        </w:tblPrEx>
        <w:trPr>
          <w:trHeight w:val="482"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总分共100分</w:t>
            </w:r>
          </w:p>
        </w:tc>
      </w:tr>
      <w:tr>
        <w:tblPrEx>
          <w:tblCellMar>
            <w:top w:w="0" w:type="dxa"/>
            <w:left w:w="108" w:type="dxa"/>
            <w:bottom w:w="0" w:type="dxa"/>
            <w:right w:w="108" w:type="dxa"/>
          </w:tblCellMar>
        </w:tblPrEx>
        <w:trPr>
          <w:trHeight w:val="936" w:hRule="atLeast"/>
        </w:trPr>
        <w:tc>
          <w:tcPr>
            <w:tcW w:w="624" w:type="pc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价格分</w:t>
            </w:r>
          </w:p>
        </w:tc>
        <w:tc>
          <w:tcPr>
            <w:tcW w:w="466" w:type="pct"/>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10分</w:t>
            </w:r>
          </w:p>
        </w:tc>
        <w:tc>
          <w:tcPr>
            <w:tcW w:w="3908"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kern w:val="0"/>
                <w:sz w:val="24"/>
                <w:szCs w:val="24"/>
              </w:rPr>
            </w:pPr>
            <w:r>
              <w:rPr>
                <w:rFonts w:hint="eastAsia" w:hAnsi="宋体" w:cs="宋体"/>
                <w:szCs w:val="24"/>
                <w:highlight w:val="none"/>
              </w:rPr>
              <w:t>价格分采用低价优先法计算，即满足</w:t>
            </w:r>
            <w:r>
              <w:rPr>
                <w:rFonts w:hint="eastAsia" w:hAnsi="宋体" w:cs="宋体"/>
                <w:szCs w:val="24"/>
                <w:highlight w:val="none"/>
                <w:lang w:eastAsia="zh-CN"/>
              </w:rPr>
              <w:t>磋商</w:t>
            </w:r>
            <w:r>
              <w:rPr>
                <w:rFonts w:hint="eastAsia" w:hAnsi="宋体" w:cs="宋体"/>
                <w:szCs w:val="24"/>
                <w:highlight w:val="none"/>
              </w:rPr>
              <w:t>文件要求且</w:t>
            </w:r>
            <w:r>
              <w:rPr>
                <w:rFonts w:hint="eastAsia" w:hAnsi="宋体" w:cs="宋体"/>
                <w:szCs w:val="24"/>
                <w:highlight w:val="none"/>
                <w:lang w:eastAsia="zh-CN"/>
              </w:rPr>
              <w:t>磋商</w:t>
            </w:r>
            <w:r>
              <w:rPr>
                <w:rFonts w:hint="eastAsia" w:hAnsi="宋体" w:cs="宋体"/>
                <w:szCs w:val="24"/>
                <w:highlight w:val="none"/>
              </w:rPr>
              <w:t>价格最低的</w:t>
            </w:r>
            <w:r>
              <w:rPr>
                <w:rFonts w:hint="eastAsia" w:hAnsi="宋体" w:cs="宋体"/>
                <w:szCs w:val="24"/>
                <w:highlight w:val="none"/>
                <w:lang w:eastAsia="zh-CN"/>
              </w:rPr>
              <w:t>磋商</w:t>
            </w:r>
            <w:r>
              <w:rPr>
                <w:rFonts w:hint="eastAsia" w:hAnsi="宋体" w:cs="宋体"/>
                <w:szCs w:val="24"/>
                <w:highlight w:val="none"/>
              </w:rPr>
              <w:t>报价为评标基准价，其价格10分为满分。其他</w:t>
            </w:r>
            <w:r>
              <w:rPr>
                <w:rFonts w:hint="eastAsia" w:hAnsi="宋体" w:cs="宋体"/>
                <w:szCs w:val="24"/>
                <w:highlight w:val="none"/>
                <w:lang w:eastAsia="zh-CN"/>
              </w:rPr>
              <w:t>供应商</w:t>
            </w:r>
            <w:r>
              <w:rPr>
                <w:rFonts w:hint="eastAsia" w:hAnsi="宋体" w:cs="宋体"/>
                <w:szCs w:val="24"/>
                <w:highlight w:val="none"/>
              </w:rPr>
              <w:t>的价格分统一按照下列公式计算:</w:t>
            </w:r>
            <w:r>
              <w:rPr>
                <w:rFonts w:hint="eastAsia" w:hAnsi="宋体" w:cs="宋体"/>
                <w:szCs w:val="24"/>
                <w:highlight w:val="none"/>
                <w:lang w:eastAsia="zh-CN"/>
              </w:rPr>
              <w:t>磋商</w:t>
            </w:r>
            <w:r>
              <w:rPr>
                <w:rFonts w:hint="eastAsia" w:hAnsi="宋体" w:cs="宋体"/>
                <w:szCs w:val="24"/>
                <w:highlight w:val="none"/>
              </w:rPr>
              <w:t>报价得分=(评标基准价/</w:t>
            </w:r>
            <w:r>
              <w:rPr>
                <w:rFonts w:hint="eastAsia" w:hAnsi="宋体" w:cs="宋体"/>
                <w:szCs w:val="24"/>
                <w:highlight w:val="none"/>
                <w:lang w:eastAsia="zh-CN"/>
              </w:rPr>
              <w:t>磋商</w:t>
            </w:r>
            <w:r>
              <w:rPr>
                <w:rFonts w:hint="eastAsia" w:hAnsi="宋体" w:cs="宋体"/>
                <w:szCs w:val="24"/>
                <w:highlight w:val="none"/>
              </w:rPr>
              <w:t>报价)×100。</w:t>
            </w:r>
          </w:p>
        </w:tc>
      </w:tr>
      <w:tr>
        <w:tblPrEx>
          <w:tblCellMar>
            <w:top w:w="0" w:type="dxa"/>
            <w:left w:w="108" w:type="dxa"/>
            <w:bottom w:w="0" w:type="dxa"/>
            <w:right w:w="108" w:type="dxa"/>
          </w:tblCellMar>
        </w:tblPrEx>
        <w:trPr>
          <w:trHeight w:val="2040" w:hRule="atLeast"/>
        </w:trPr>
        <w:tc>
          <w:tcPr>
            <w:tcW w:w="624" w:type="pct"/>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技术要求</w:t>
            </w:r>
          </w:p>
        </w:tc>
        <w:tc>
          <w:tcPr>
            <w:tcW w:w="466" w:type="pct"/>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45分</w:t>
            </w:r>
          </w:p>
        </w:tc>
        <w:tc>
          <w:tcPr>
            <w:tcW w:w="3908" w:type="pct"/>
            <w:tcBorders>
              <w:top w:val="nil"/>
              <w:left w:val="nil"/>
              <w:bottom w:val="single" w:color="auto" w:sz="4" w:space="0"/>
              <w:right w:val="single" w:color="auto" w:sz="4" w:space="0"/>
            </w:tcBorders>
            <w:noWrap w:val="0"/>
            <w:vAlign w:val="center"/>
          </w:tcPr>
          <w:p>
            <w:pPr>
              <w:pStyle w:val="8"/>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综合考虑</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所提供产品的参数和配置等方面进行综合评审，完全满足</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文件要求或优于</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文件要求的得20分，“▲”技术条款每有一项负偏离扣</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分，一般技术条款每有一项负偏离扣1分，扣完为止。▲</w:t>
            </w:r>
            <w:r>
              <w:rPr>
                <w:rFonts w:hint="eastAsia" w:ascii="宋体" w:hAnsi="宋体" w:eastAsia="宋体" w:cs="宋体"/>
                <w:color w:val="000000"/>
                <w:kern w:val="0"/>
                <w:sz w:val="24"/>
                <w:szCs w:val="24"/>
                <w:lang w:eastAsia="zh-CN"/>
              </w:rPr>
              <w:t>技术参数须提供佐证材料（包含但不限于网页截图、检测报告、产品彩页证明等）</w:t>
            </w:r>
          </w:p>
        </w:tc>
      </w:tr>
      <w:tr>
        <w:tblPrEx>
          <w:tblCellMar>
            <w:top w:w="0" w:type="dxa"/>
            <w:left w:w="108" w:type="dxa"/>
            <w:bottom w:w="0" w:type="dxa"/>
            <w:right w:w="108" w:type="dxa"/>
          </w:tblCellMar>
        </w:tblPrEx>
        <w:trPr>
          <w:trHeight w:val="624" w:hRule="atLeast"/>
        </w:trPr>
        <w:tc>
          <w:tcPr>
            <w:tcW w:w="624"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kern w:val="0"/>
                <w:sz w:val="24"/>
                <w:szCs w:val="24"/>
              </w:rPr>
            </w:pPr>
          </w:p>
        </w:tc>
        <w:tc>
          <w:tcPr>
            <w:tcW w:w="466"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kern w:val="0"/>
                <w:sz w:val="24"/>
                <w:szCs w:val="24"/>
              </w:rPr>
            </w:pPr>
          </w:p>
        </w:tc>
        <w:tc>
          <w:tcPr>
            <w:tcW w:w="3908" w:type="pct"/>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演示形式：现场搭建真实系统、用测试数据演示，PPT或demo演示此项不得分；</w:t>
            </w:r>
          </w:p>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演示内容每项5分，完全满足或优于</w:t>
            </w:r>
            <w:r>
              <w:rPr>
                <w:rFonts w:hint="eastAsia" w:ascii="宋体" w:hAnsi="宋体" w:eastAsia="宋体" w:cs="宋体"/>
                <w:color w:val="000000"/>
                <w:kern w:val="0"/>
                <w:sz w:val="24"/>
                <w:szCs w:val="24"/>
                <w:lang w:eastAsia="zh-CN"/>
              </w:rPr>
              <w:t>得</w:t>
            </w:r>
            <w:r>
              <w:rPr>
                <w:rFonts w:hint="eastAsia" w:ascii="宋体" w:hAnsi="宋体" w:eastAsia="宋体" w:cs="宋体"/>
                <w:color w:val="000000"/>
                <w:kern w:val="0"/>
                <w:sz w:val="24"/>
                <w:szCs w:val="24"/>
              </w:rPr>
              <w:t>5分，</w:t>
            </w:r>
            <w:r>
              <w:rPr>
                <w:rFonts w:hint="eastAsia" w:ascii="宋体" w:hAnsi="宋体" w:eastAsia="宋体" w:cs="宋体"/>
                <w:color w:val="000000"/>
                <w:kern w:val="0"/>
                <w:sz w:val="24"/>
                <w:szCs w:val="24"/>
                <w:lang w:val="en-US" w:eastAsia="zh-CN"/>
              </w:rPr>
              <w:t>演示功能缺漏或存在不完全满足情形得1-4分，未演示或演示完全不满足要求得0分</w:t>
            </w:r>
            <w:r>
              <w:rPr>
                <w:rFonts w:hint="eastAsia" w:ascii="宋体" w:hAnsi="宋体" w:eastAsia="宋体" w:cs="宋体"/>
                <w:color w:val="000000"/>
                <w:kern w:val="0"/>
                <w:sz w:val="24"/>
                <w:szCs w:val="24"/>
                <w:lang w:eastAsia="zh-CN"/>
              </w:rPr>
              <w:t>。</w:t>
            </w:r>
          </w:p>
          <w:p>
            <w:pPr>
              <w:widowControl/>
              <w:numPr>
                <w:ilvl w:val="0"/>
                <w:numId w:val="5"/>
              </w:num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演示数据采集源数据表和目标数据表的数据监控；</w:t>
            </w:r>
          </w:p>
          <w:p>
            <w:pPr>
              <w:widowControl/>
              <w:numPr>
                <w:ilvl w:val="0"/>
                <w:numId w:val="5"/>
              </w:num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演示系统填报表单，演示自定义、个性化表单设计器；</w:t>
            </w:r>
          </w:p>
          <w:p>
            <w:pPr>
              <w:widowControl/>
              <w:numPr>
                <w:ilvl w:val="0"/>
                <w:numId w:val="5"/>
              </w:num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演示指标明细数据的核对，支持</w:t>
            </w:r>
            <w:bookmarkStart w:id="203" w:name="_GoBack"/>
            <w:bookmarkEnd w:id="203"/>
            <w:r>
              <w:rPr>
                <w:rFonts w:hint="eastAsia" w:ascii="宋体" w:hAnsi="宋体" w:eastAsia="宋体" w:cs="宋体"/>
                <w:color w:val="000000"/>
                <w:kern w:val="0"/>
                <w:sz w:val="24"/>
                <w:szCs w:val="24"/>
              </w:rPr>
              <w:t>在线核对与Excel导出两种核对方式，支持剔除明细数据及剔除后的复核流程；</w:t>
            </w:r>
          </w:p>
          <w:p>
            <w:pPr>
              <w:widowControl/>
              <w:numPr>
                <w:ilvl w:val="0"/>
                <w:numId w:val="5"/>
              </w:num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演示对于异常或者未达标指标发起PDCA整改，在进行指标BI查看分析过程中，用户发现某个指标异常，或者与设定的目标值差距较大时，可对此目标发起PDCA整改；</w:t>
            </w:r>
          </w:p>
          <w:p>
            <w:pPr>
              <w:widowControl/>
              <w:numPr>
                <w:ilvl w:val="0"/>
                <w:numId w:val="5"/>
              </w:num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演示科室综合目标管理，演示按照年份查询对应分类下的目标管理情况，对各个科室的指标目标值与实际统计值的对比情况，演示数据下钻和PDCA流程发起；</w:t>
            </w:r>
          </w:p>
        </w:tc>
      </w:tr>
      <w:tr>
        <w:tblPrEx>
          <w:tblCellMar>
            <w:top w:w="0" w:type="dxa"/>
            <w:left w:w="108" w:type="dxa"/>
            <w:bottom w:w="0" w:type="dxa"/>
            <w:right w:w="108" w:type="dxa"/>
          </w:tblCellMar>
        </w:tblPrEx>
        <w:trPr>
          <w:trHeight w:val="1872" w:hRule="atLeast"/>
        </w:trPr>
        <w:tc>
          <w:tcPr>
            <w:tcW w:w="624" w:type="pc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项目建设实施方案</w:t>
            </w:r>
          </w:p>
        </w:tc>
        <w:tc>
          <w:tcPr>
            <w:tcW w:w="466" w:type="pct"/>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分</w:t>
            </w:r>
          </w:p>
        </w:tc>
        <w:tc>
          <w:tcPr>
            <w:tcW w:w="3908"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对项目的整体统筹规划、可持续性数据服务等方面进行综合评审，包括：针对本项目的各个软件系统和数据服务的顺序、实施的步骤及流程（包括如何将指标数据做准的实际经验）和项目实施各相关时间节点等结合</w:t>
            </w:r>
            <w:r>
              <w:rPr>
                <w:rFonts w:hint="eastAsia" w:ascii="宋体" w:hAnsi="宋体" w:eastAsia="宋体" w:cs="宋体"/>
                <w:color w:val="000000"/>
                <w:kern w:val="0"/>
                <w:sz w:val="24"/>
                <w:szCs w:val="24"/>
                <w:lang w:eastAsia="zh-CN"/>
              </w:rPr>
              <w:t>采购</w:t>
            </w:r>
            <w:r>
              <w:rPr>
                <w:rFonts w:hint="eastAsia" w:ascii="宋体" w:hAnsi="宋体" w:eastAsia="宋体" w:cs="宋体"/>
                <w:color w:val="000000"/>
                <w:kern w:val="0"/>
                <w:sz w:val="24"/>
                <w:szCs w:val="24"/>
              </w:rPr>
              <w:t>人的功能需求，进行横向比较综合评审。</w:t>
            </w:r>
            <w:r>
              <w:rPr>
                <w:rFonts w:hint="eastAsia" w:ascii="宋体" w:hAnsi="宋体" w:eastAsia="宋体" w:cs="宋体"/>
                <w:color w:val="000000"/>
                <w:kern w:val="0"/>
                <w:sz w:val="24"/>
                <w:szCs w:val="24"/>
                <w:lang w:eastAsia="zh-CN"/>
              </w:rPr>
              <w:t>方案针对性强，总体规划合理、内容充分、可实施程度高，能够完全满足项目要求得</w:t>
            </w:r>
            <w:r>
              <w:rPr>
                <w:rFonts w:hint="eastAsia" w:ascii="宋体" w:hAnsi="宋体" w:eastAsia="宋体" w:cs="宋体"/>
                <w:color w:val="000000"/>
                <w:kern w:val="0"/>
                <w:sz w:val="24"/>
                <w:szCs w:val="24"/>
                <w:lang w:val="en-US" w:eastAsia="zh-CN"/>
              </w:rPr>
              <w:t>9-14分，规划</w:t>
            </w:r>
            <w:r>
              <w:rPr>
                <w:rFonts w:hint="eastAsia" w:ascii="宋体" w:hAnsi="宋体" w:eastAsia="宋体" w:cs="宋体"/>
                <w:color w:val="000000"/>
                <w:kern w:val="0"/>
                <w:sz w:val="24"/>
                <w:szCs w:val="24"/>
                <w:lang w:eastAsia="zh-CN"/>
              </w:rPr>
              <w:t>方案一般，可实施程度一般，但能基本满足项目基本功能得</w:t>
            </w:r>
            <w:r>
              <w:rPr>
                <w:rFonts w:hint="eastAsia" w:ascii="宋体" w:hAnsi="宋体" w:eastAsia="宋体" w:cs="宋体"/>
                <w:color w:val="000000"/>
                <w:kern w:val="0"/>
                <w:sz w:val="24"/>
                <w:szCs w:val="24"/>
                <w:lang w:val="en-US" w:eastAsia="zh-CN"/>
              </w:rPr>
              <w:t>5-8分，</w:t>
            </w:r>
            <w:r>
              <w:rPr>
                <w:rFonts w:hint="eastAsia" w:ascii="宋体" w:hAnsi="宋体" w:eastAsia="宋体" w:cs="宋体"/>
                <w:color w:val="000000"/>
                <w:kern w:val="0"/>
                <w:sz w:val="24"/>
                <w:szCs w:val="24"/>
                <w:lang w:eastAsia="zh-CN"/>
              </w:rPr>
              <w:t>规划方案较差，可实施程度较低，得</w:t>
            </w:r>
            <w:r>
              <w:rPr>
                <w:rFonts w:hint="eastAsia" w:ascii="宋体" w:hAnsi="宋体" w:eastAsia="宋体" w:cs="宋体"/>
                <w:color w:val="000000"/>
                <w:kern w:val="0"/>
                <w:sz w:val="24"/>
                <w:szCs w:val="24"/>
                <w:lang w:val="en-US" w:eastAsia="zh-CN"/>
              </w:rPr>
              <w:t>1-4分，未提供方案不得分。</w:t>
            </w:r>
          </w:p>
        </w:tc>
      </w:tr>
      <w:tr>
        <w:tblPrEx>
          <w:tblCellMar>
            <w:top w:w="0" w:type="dxa"/>
            <w:left w:w="108" w:type="dxa"/>
            <w:bottom w:w="0" w:type="dxa"/>
            <w:right w:w="108" w:type="dxa"/>
          </w:tblCellMar>
        </w:tblPrEx>
        <w:trPr>
          <w:trHeight w:val="1560" w:hRule="atLeast"/>
        </w:trPr>
        <w:tc>
          <w:tcPr>
            <w:tcW w:w="624" w:type="pc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人员配备</w:t>
            </w:r>
          </w:p>
        </w:tc>
        <w:tc>
          <w:tcPr>
            <w:tcW w:w="466" w:type="pct"/>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hAnsi="宋体" w:cs="宋体"/>
                <w:color w:val="000000"/>
                <w:kern w:val="0"/>
                <w:sz w:val="24"/>
                <w:szCs w:val="24"/>
                <w:lang w:val="en-US" w:eastAsia="zh-CN"/>
              </w:rPr>
              <w:t>5</w:t>
            </w:r>
            <w:r>
              <w:rPr>
                <w:rFonts w:hint="eastAsia" w:ascii="宋体" w:hAnsi="宋体" w:eastAsia="宋体" w:cs="宋体"/>
                <w:color w:val="000000"/>
                <w:kern w:val="0"/>
                <w:sz w:val="24"/>
                <w:szCs w:val="24"/>
              </w:rPr>
              <w:t>分</w:t>
            </w:r>
          </w:p>
        </w:tc>
        <w:tc>
          <w:tcPr>
            <w:tcW w:w="3908" w:type="pct"/>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团队成员具有信息系统项目管理师，高级</w:t>
            </w:r>
            <w:r>
              <w:rPr>
                <w:rFonts w:hint="eastAsia" w:hAnsi="宋体" w:cs="宋体"/>
                <w:color w:val="000000"/>
                <w:kern w:val="0"/>
                <w:sz w:val="24"/>
                <w:szCs w:val="24"/>
                <w:lang w:eastAsia="zh-CN"/>
              </w:rPr>
              <w:t>得</w:t>
            </w:r>
            <w:r>
              <w:rPr>
                <w:rFonts w:hint="eastAsia" w:hAnsi="宋体" w:cs="宋体"/>
                <w:color w:val="000000"/>
                <w:kern w:val="0"/>
                <w:sz w:val="24"/>
                <w:szCs w:val="24"/>
                <w:lang w:val="en-US" w:eastAsia="zh-CN"/>
              </w:rPr>
              <w:t>3</w:t>
            </w:r>
            <w:r>
              <w:rPr>
                <w:rFonts w:hint="eastAsia" w:ascii="宋体" w:hAnsi="宋体" w:eastAsia="宋体" w:cs="宋体"/>
                <w:color w:val="000000"/>
                <w:kern w:val="0"/>
                <w:sz w:val="24"/>
                <w:szCs w:val="24"/>
              </w:rPr>
              <w:t>分，中级得</w:t>
            </w:r>
            <w:r>
              <w:rPr>
                <w:rFonts w:hint="eastAsia" w:hAnsi="宋体" w:cs="宋体"/>
                <w:color w:val="000000"/>
                <w:kern w:val="0"/>
                <w:sz w:val="24"/>
                <w:szCs w:val="24"/>
                <w:lang w:val="en-US" w:eastAsia="zh-CN"/>
              </w:rPr>
              <w:t>1</w:t>
            </w:r>
            <w:r>
              <w:rPr>
                <w:rFonts w:hint="eastAsia" w:ascii="宋体" w:hAnsi="宋体" w:eastAsia="宋体" w:cs="宋体"/>
                <w:color w:val="000000"/>
                <w:kern w:val="0"/>
                <w:sz w:val="24"/>
                <w:szCs w:val="24"/>
              </w:rPr>
              <w:t>分；</w:t>
            </w:r>
          </w:p>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因涉及数据安全，项目团队成员具有注册信息安全专业人员CISP得</w:t>
            </w:r>
            <w:r>
              <w:rPr>
                <w:rFonts w:hint="eastAsia" w:hAnsi="宋体" w:cs="宋体"/>
                <w:color w:val="000000"/>
                <w:kern w:val="0"/>
                <w:sz w:val="24"/>
                <w:szCs w:val="24"/>
                <w:lang w:val="en-US" w:eastAsia="zh-CN"/>
              </w:rPr>
              <w:t>2</w:t>
            </w:r>
            <w:r>
              <w:rPr>
                <w:rFonts w:hint="eastAsia" w:ascii="宋体" w:hAnsi="宋体" w:eastAsia="宋体" w:cs="宋体"/>
                <w:color w:val="000000"/>
                <w:kern w:val="0"/>
                <w:sz w:val="24"/>
                <w:szCs w:val="24"/>
              </w:rPr>
              <w:t>分；</w:t>
            </w:r>
          </w:p>
        </w:tc>
      </w:tr>
      <w:tr>
        <w:tblPrEx>
          <w:tblCellMar>
            <w:top w:w="0" w:type="dxa"/>
            <w:left w:w="108" w:type="dxa"/>
            <w:bottom w:w="0" w:type="dxa"/>
            <w:right w:w="108" w:type="dxa"/>
          </w:tblCellMar>
        </w:tblPrEx>
        <w:trPr>
          <w:trHeight w:val="1693" w:hRule="atLeast"/>
        </w:trPr>
        <w:tc>
          <w:tcPr>
            <w:tcW w:w="624" w:type="pc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000000"/>
                <w:kern w:val="0"/>
                <w:sz w:val="24"/>
                <w:szCs w:val="24"/>
                <w:lang w:val="en-US" w:eastAsia="zh-CN"/>
              </w:rPr>
            </w:pPr>
            <w:r>
              <w:rPr>
                <w:rFonts w:hint="eastAsia" w:hAnsi="宋体" w:cs="宋体"/>
                <w:color w:val="000000"/>
                <w:kern w:val="0"/>
                <w:sz w:val="24"/>
                <w:szCs w:val="24"/>
                <w:lang w:eastAsia="zh-CN"/>
              </w:rPr>
              <w:t>履约能力</w:t>
            </w:r>
          </w:p>
        </w:tc>
        <w:tc>
          <w:tcPr>
            <w:tcW w:w="466" w:type="pct"/>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24分</w:t>
            </w:r>
          </w:p>
        </w:tc>
        <w:tc>
          <w:tcPr>
            <w:tcW w:w="3908"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大数据平台、三甲评审系统、医院绩效考核系统、管理改进系统、综合目标管理系统等软件著作权，要求著作权名称关键字必须包含“医院绩效考核”、“医疗管理评估与促进”、“医院等级评审”“大数据全流程治理”，每项得2分，最高8分；</w:t>
            </w:r>
          </w:p>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具备CMMI软件成熟度认证的，5级得4分，4级得2分；</w:t>
            </w:r>
          </w:p>
          <w:p>
            <w:pPr>
              <w:widowControl/>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具备ISO27001信息安全管理体系，得2分；</w:t>
            </w:r>
          </w:p>
          <w:p>
            <w:pPr>
              <w:widowControl/>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具备ISO20000信息技术服务管理体系，得2分；</w:t>
            </w:r>
          </w:p>
          <w:p>
            <w:pPr>
              <w:widowControl/>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具备CCRC信息安全服务资质认证，得2分；</w:t>
            </w:r>
          </w:p>
          <w:p>
            <w:pPr>
              <w:widowControl/>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具备信息系统建设和服务（CS）能力评估认证，得2分；</w:t>
            </w:r>
          </w:p>
          <w:p>
            <w:pPr>
              <w:widowControl/>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具备信息技术运维服务能力资质证书(ITSS)，得2分</w:t>
            </w:r>
          </w:p>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具备售后服务完善程度认证证书，得2分；</w:t>
            </w:r>
          </w:p>
          <w:p>
            <w:pPr>
              <w:widowControl/>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以上</w:t>
            </w:r>
            <w:r>
              <w:rPr>
                <w:rFonts w:hint="eastAsia" w:hAnsi="宋体" w:cs="宋体"/>
                <w:color w:val="000000"/>
                <w:kern w:val="0"/>
                <w:sz w:val="24"/>
                <w:szCs w:val="24"/>
                <w:lang w:eastAsia="zh-CN"/>
              </w:rPr>
              <w:t>证书提供复印件加盖公章，原件备查。</w:t>
            </w:r>
          </w:p>
        </w:tc>
      </w:tr>
      <w:tr>
        <w:tblPrEx>
          <w:tblCellMar>
            <w:top w:w="0" w:type="dxa"/>
            <w:left w:w="108" w:type="dxa"/>
            <w:bottom w:w="0" w:type="dxa"/>
            <w:right w:w="108" w:type="dxa"/>
          </w:tblCellMar>
        </w:tblPrEx>
        <w:trPr>
          <w:trHeight w:val="624" w:hRule="atLeast"/>
        </w:trPr>
        <w:tc>
          <w:tcPr>
            <w:tcW w:w="624" w:type="pc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厂商业绩</w:t>
            </w:r>
          </w:p>
        </w:tc>
        <w:tc>
          <w:tcPr>
            <w:tcW w:w="466" w:type="pct"/>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w:t>
            </w:r>
          </w:p>
        </w:tc>
        <w:tc>
          <w:tcPr>
            <w:tcW w:w="3908"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kern w:val="0"/>
                <w:sz w:val="24"/>
                <w:szCs w:val="24"/>
                <w:lang w:eastAsia="zh-CN"/>
              </w:rPr>
            </w:pPr>
            <w:r>
              <w:rPr>
                <w:rFonts w:hint="eastAsia" w:hAnsi="宋体" w:cs="宋体"/>
                <w:spacing w:val="4"/>
                <w:szCs w:val="24"/>
                <w:highlight w:val="none"/>
              </w:rPr>
              <w:t>具备公立医院绩效考核、三甲评审等相关数据实施案例的得</w:t>
            </w:r>
            <w:r>
              <w:rPr>
                <w:rFonts w:hint="eastAsia" w:hAnsi="宋体" w:cs="宋体"/>
                <w:spacing w:val="4"/>
                <w:szCs w:val="24"/>
                <w:highlight w:val="none"/>
                <w:lang w:val="en-US" w:eastAsia="zh-CN"/>
              </w:rPr>
              <w:t>2</w:t>
            </w:r>
            <w:r>
              <w:rPr>
                <w:rFonts w:hint="eastAsia" w:hAnsi="宋体" w:cs="宋体"/>
                <w:spacing w:val="4"/>
                <w:szCs w:val="24"/>
                <w:highlight w:val="none"/>
              </w:rPr>
              <w:t>分，出具合同或用户证明</w:t>
            </w:r>
            <w:r>
              <w:rPr>
                <w:rFonts w:hint="eastAsia" w:hAnsi="宋体" w:cs="宋体"/>
                <w:spacing w:val="4"/>
                <w:szCs w:val="24"/>
                <w:highlight w:val="none"/>
                <w:lang w:eastAsia="zh-CN"/>
              </w:rPr>
              <w:t>，</w:t>
            </w:r>
            <w:r>
              <w:rPr>
                <w:rFonts w:hint="eastAsia" w:hAnsi="宋体" w:cs="宋体"/>
                <w:spacing w:val="4"/>
                <w:szCs w:val="24"/>
                <w:highlight w:val="none"/>
              </w:rPr>
              <w:t>没有不得分。</w:t>
            </w:r>
            <w:r>
              <w:rPr>
                <w:rFonts w:hint="eastAsia" w:hAnsi="宋体" w:cs="宋体"/>
                <w:spacing w:val="4"/>
                <w:szCs w:val="24"/>
                <w:highlight w:val="none"/>
                <w:lang w:eastAsia="zh-CN"/>
              </w:rPr>
              <w:t>证明材料提供复印件加盖公章，原件备查。</w:t>
            </w:r>
          </w:p>
        </w:tc>
      </w:tr>
    </w:tbl>
    <w:p>
      <w:pPr>
        <w:outlineLvl w:val="9"/>
      </w:pPr>
    </w:p>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pPr>
        <w:rPr>
          <w:rFonts w:hAnsi="宋体" w:cs="宋体"/>
          <w:highlight w:val="none"/>
        </w:rPr>
      </w:pPr>
    </w:p>
    <w:p>
      <w:pPr>
        <w:pStyle w:val="16"/>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pPr>
        <w:pStyle w:val="3"/>
        <w:jc w:val="center"/>
        <w:rPr>
          <w:rFonts w:ascii="宋体" w:eastAsia="宋体" w:cs="宋体"/>
          <w:bCs/>
          <w:sz w:val="36"/>
          <w:szCs w:val="36"/>
          <w:highlight w:val="none"/>
        </w:rPr>
      </w:pPr>
      <w:bookmarkStart w:id="72" w:name="_Toc8788"/>
      <w:bookmarkStart w:id="73" w:name="_Toc10029"/>
      <w:r>
        <w:rPr>
          <w:rFonts w:hint="eastAsia" w:ascii="宋体" w:eastAsia="宋体" w:cs="宋体"/>
          <w:bCs/>
          <w:sz w:val="36"/>
          <w:szCs w:val="36"/>
          <w:highlight w:val="none"/>
        </w:rPr>
        <w:t>第四章  合同条款及格式</w:t>
      </w:r>
      <w:bookmarkEnd w:id="55"/>
      <w:bookmarkEnd w:id="56"/>
      <w:bookmarkEnd w:id="57"/>
      <w:bookmarkEnd w:id="72"/>
      <w:bookmarkEnd w:id="73"/>
    </w:p>
    <w:p>
      <w:pPr>
        <w:tabs>
          <w:tab w:val="left" w:pos="210"/>
          <w:tab w:val="left" w:pos="525"/>
        </w:tabs>
        <w:spacing w:line="360" w:lineRule="auto"/>
        <w:jc w:val="center"/>
        <w:outlineLvl w:val="1"/>
        <w:rPr>
          <w:rFonts w:hAnsi="宋体" w:cs="宋体"/>
          <w:sz w:val="32"/>
          <w:szCs w:val="32"/>
          <w:highlight w:val="none"/>
        </w:rPr>
      </w:pPr>
      <w:bookmarkStart w:id="74" w:name="_Toc32476"/>
      <w:bookmarkStart w:id="75" w:name="_Toc3424"/>
      <w:bookmarkStart w:id="76" w:name="_Toc23705"/>
      <w:r>
        <w:rPr>
          <w:rFonts w:hint="eastAsia" w:hAnsi="宋体" w:cs="宋体"/>
          <w:b/>
          <w:bCs/>
          <w:sz w:val="32"/>
          <w:szCs w:val="32"/>
          <w:highlight w:val="none"/>
        </w:rPr>
        <w:t>合同前附表</w:t>
      </w:r>
      <w:bookmarkEnd w:id="74"/>
      <w:bookmarkEnd w:id="75"/>
      <w:bookmarkEnd w:id="76"/>
    </w:p>
    <w:p>
      <w:pPr>
        <w:rPr>
          <w:rFonts w:hAnsi="宋体" w:cs="宋体"/>
          <w:highlight w:val="none"/>
        </w:rPr>
      </w:pPr>
    </w:p>
    <w:p>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2"/>
        <w:tblW w:w="935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pPr>
              <w:spacing w:line="360" w:lineRule="auto"/>
              <w:jc w:val="center"/>
              <w:rPr>
                <w:rFonts w:hAnsi="宋体" w:cs="宋体"/>
                <w:szCs w:val="24"/>
                <w:highlight w:val="none"/>
              </w:rPr>
            </w:pPr>
            <w:r>
              <w:rPr>
                <w:rFonts w:hint="eastAsia" w:hAnsi="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51"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lang w:eastAsia="zh-CN"/>
              </w:rPr>
            </w:pPr>
            <w:bookmarkStart w:id="77" w:name="_Toc6769"/>
            <w:bookmarkStart w:id="78" w:name="_Toc16673"/>
            <w:r>
              <w:rPr>
                <w:rFonts w:hint="eastAsia"/>
              </w:rPr>
              <w:t>采购人名称：</w:t>
            </w:r>
            <w:r>
              <w:rPr>
                <w:rFonts w:hint="eastAsia"/>
                <w:lang w:eastAsia="zh-CN"/>
              </w:rPr>
              <w:t>汉中市人民医院</w:t>
            </w:r>
            <w:bookmarkEnd w:id="77"/>
            <w:bookmarkEnd w:id="78"/>
          </w:p>
          <w:p>
            <w:pPr>
              <w:keepNext w:val="0"/>
              <w:keepLines w:val="0"/>
              <w:pageBreakBefore w:val="0"/>
              <w:kinsoku/>
              <w:overflowPunct/>
              <w:topLinePunct w:val="0"/>
              <w:autoSpaceDE/>
              <w:autoSpaceDN/>
              <w:bidi w:val="0"/>
              <w:adjustRightInd/>
              <w:snapToGrid/>
              <w:spacing w:line="360" w:lineRule="auto"/>
              <w:jc w:val="left"/>
              <w:textAlignment w:val="auto"/>
              <w:rPr>
                <w:rFonts w:hint="eastAsia"/>
                <w:lang w:eastAsia="zh-CN"/>
              </w:rPr>
            </w:pPr>
            <w:bookmarkStart w:id="79" w:name="_Toc30321"/>
            <w:bookmarkStart w:id="80" w:name="_Toc10411"/>
            <w:r>
              <w:rPr>
                <w:rFonts w:hint="eastAsia"/>
              </w:rPr>
              <w:t>地    址：</w:t>
            </w:r>
            <w:r>
              <w:rPr>
                <w:rFonts w:hint="eastAsia"/>
                <w:lang w:eastAsia="zh-CN"/>
              </w:rPr>
              <w:t>汉中市汉台区北团结街251号</w:t>
            </w:r>
            <w:bookmarkEnd w:id="79"/>
            <w:bookmarkEnd w:id="80"/>
          </w:p>
          <w:p>
            <w:pPr>
              <w:keepNext w:val="0"/>
              <w:keepLines w:val="0"/>
              <w:pageBreakBefore w:val="0"/>
              <w:kinsoku/>
              <w:overflowPunct/>
              <w:topLinePunct w:val="0"/>
              <w:autoSpaceDE/>
              <w:autoSpaceDN/>
              <w:bidi w:val="0"/>
              <w:adjustRightInd/>
              <w:snapToGrid/>
              <w:spacing w:line="360" w:lineRule="auto"/>
              <w:jc w:val="left"/>
              <w:textAlignment w:val="auto"/>
              <w:rPr>
                <w:rFonts w:hint="eastAsia"/>
              </w:rPr>
            </w:pPr>
            <w:bookmarkStart w:id="81" w:name="_Toc15192"/>
            <w:bookmarkStart w:id="82" w:name="_Toc19631"/>
            <w:r>
              <w:rPr>
                <w:rFonts w:hint="eastAsia"/>
              </w:rPr>
              <w:t>联系电话：</w:t>
            </w:r>
            <w:bookmarkEnd w:id="81"/>
            <w:bookmarkEnd w:id="82"/>
            <w:r>
              <w:rPr>
                <w:rFonts w:hint="eastAsia"/>
                <w:lang w:eastAsia="zh-CN"/>
              </w:rPr>
              <w:t>0916-2706693</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lang w:eastAsia="zh-CN"/>
              </w:rPr>
            </w:pPr>
            <w:bookmarkStart w:id="83" w:name="_Toc19372"/>
            <w:bookmarkStart w:id="84" w:name="_Toc18526"/>
            <w:r>
              <w:rPr>
                <w:rFonts w:hint="eastAsia"/>
              </w:rPr>
              <w:t>联系人：</w:t>
            </w:r>
            <w:r>
              <w:rPr>
                <w:rFonts w:hint="eastAsia"/>
                <w:lang w:eastAsia="zh-CN"/>
              </w:rPr>
              <w:t>汉中市人民医院经办</w:t>
            </w:r>
            <w:bookmarkEnd w:id="83"/>
            <w:bookmarkEnd w:id="84"/>
          </w:p>
          <w:p>
            <w:pPr>
              <w:spacing w:line="360" w:lineRule="auto"/>
              <w:rPr>
                <w:rFonts w:hint="eastAsia"/>
                <w:lang w:eastAsia="zh-CN"/>
              </w:rPr>
            </w:pPr>
            <w:bookmarkStart w:id="85" w:name="_Toc6857"/>
            <w:bookmarkStart w:id="86" w:name="_Toc23750"/>
            <w:r>
              <w:rPr>
                <w:rFonts w:hint="eastAsia"/>
              </w:rPr>
              <w:t>项目名称：</w:t>
            </w:r>
            <w:bookmarkEnd w:id="85"/>
            <w:bookmarkEnd w:id="86"/>
            <w:r>
              <w:rPr>
                <w:rFonts w:hint="eastAsia"/>
                <w:lang w:eastAsia="zh-CN"/>
              </w:rPr>
              <w:t>汉中市人民医院三级医院评审与绩效考核信息管理服务平台采购项目</w:t>
            </w:r>
            <w:bookmarkStart w:id="87" w:name="_Toc20736"/>
            <w:bookmarkStart w:id="88" w:name="_Toc20915"/>
          </w:p>
          <w:p>
            <w:pPr>
              <w:spacing w:line="360" w:lineRule="auto"/>
            </w:pPr>
            <w:r>
              <w:rPr>
                <w:rFonts w:hint="eastAsia" w:ascii="宋体" w:hAnsi="Times New Roman" w:eastAsia="宋体" w:cs="Times New Roman"/>
                <w:b w:val="0"/>
                <w:bCs w:val="0"/>
                <w:sz w:val="24"/>
                <w:szCs w:val="20"/>
                <w:lang w:val="en-US" w:eastAsia="zh-CN" w:bidi="ar-SA"/>
              </w:rPr>
              <w:t>资金来源：自筹资金，资金已落实</w:t>
            </w:r>
            <w:bookmarkEnd w:id="87"/>
            <w:bookmarkEnd w:id="8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pPr>
              <w:spacing w:line="360" w:lineRule="auto"/>
              <w:rPr>
                <w:rFonts w:hAnsi="宋体" w:cs="宋体"/>
                <w:szCs w:val="24"/>
                <w:highlight w:val="none"/>
              </w:rPr>
            </w:pPr>
            <w:r>
              <w:rPr>
                <w:rFonts w:hint="eastAsia" w:hAnsi="宋体" w:cs="宋体"/>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pPr>
              <w:spacing w:line="360" w:lineRule="auto"/>
              <w:rPr>
                <w:rFonts w:hAnsi="宋体" w:cs="宋体"/>
                <w:szCs w:val="24"/>
                <w:highlight w:val="none"/>
              </w:rPr>
            </w:pPr>
            <w:r>
              <w:rPr>
                <w:rFonts w:hint="eastAsia" w:ascii="宋体" w:hAnsi="Times New Roman" w:eastAsia="宋体" w:cs="Times New Roman"/>
                <w:b/>
                <w:bCs/>
                <w:highlight w:val="none"/>
              </w:rPr>
              <w:t>服务期限：</w:t>
            </w:r>
            <w:r>
              <w:rPr>
                <w:rFonts w:hint="eastAsia" w:ascii="宋体" w:hAnsi="Times New Roman" w:eastAsia="宋体" w:cs="Times New Roman"/>
                <w:highlight w:val="none"/>
                <w:lang w:val="en-US" w:eastAsia="zh-CN"/>
              </w:rPr>
              <w:t>自合同签订之日起</w:t>
            </w:r>
            <w:r>
              <w:rPr>
                <w:rFonts w:hint="eastAsia" w:cs="Times New Roman"/>
                <w:b/>
                <w:bCs/>
                <w:highlight w:val="none"/>
                <w:lang w:val="en-US" w:eastAsia="zh-CN"/>
              </w:rPr>
              <w:t>12</w:t>
            </w:r>
            <w:r>
              <w:rPr>
                <w:rFonts w:hint="eastAsia" w:ascii="宋体" w:hAnsi="Times New Roman" w:eastAsia="宋体" w:cs="Times New Roman"/>
                <w:b/>
                <w:bCs/>
                <w:highlight w:val="none"/>
              </w:rPr>
              <w:t>个月</w:t>
            </w:r>
            <w:r>
              <w:rPr>
                <w:rFonts w:hint="eastAsia" w:hAnsi="宋体" w:cs="宋体"/>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6"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pPr>
              <w:spacing w:line="360" w:lineRule="auto"/>
              <w:rPr>
                <w:rFonts w:hAnsi="宋体" w:cs="宋体"/>
                <w:szCs w:val="24"/>
                <w:highlight w:val="none"/>
              </w:rPr>
            </w:pPr>
            <w:bookmarkStart w:id="89" w:name="_Toc9937"/>
            <w:bookmarkStart w:id="90" w:name="_Toc16396"/>
            <w:r>
              <w:rPr>
                <w:rFonts w:hint="eastAsia" w:ascii="宋体" w:hAnsi="Times New Roman" w:eastAsia="宋体" w:cs="Times New Roman"/>
                <w:b/>
                <w:bCs/>
              </w:rPr>
              <w:t>质保期：终验合格后不少于36个月</w:t>
            </w:r>
            <w:r>
              <w:rPr>
                <w:rFonts w:hint="eastAsia" w:ascii="宋体" w:hAnsi="Times New Roman" w:eastAsia="宋体" w:cs="Times New Roman"/>
              </w:rPr>
              <w:t>。</w:t>
            </w:r>
            <w:bookmarkEnd w:id="89"/>
            <w:bookmarkEnd w:id="9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9"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pPr>
              <w:spacing w:line="360" w:lineRule="auto"/>
              <w:rPr>
                <w:rFonts w:hAnsi="宋体" w:cs="宋体"/>
                <w:b/>
                <w:sz w:val="21"/>
                <w:szCs w:val="21"/>
                <w:highlight w:val="none"/>
              </w:rPr>
            </w:pPr>
            <w:r>
              <w:rPr>
                <w:rFonts w:hint="eastAsia" w:hAnsi="宋体" w:cs="宋体"/>
                <w:b/>
                <w:sz w:val="21"/>
                <w:szCs w:val="21"/>
                <w:highlight w:val="none"/>
              </w:rPr>
              <w:t>付款：</w:t>
            </w:r>
          </w:p>
          <w:p>
            <w:pPr>
              <w:spacing w:line="360" w:lineRule="auto"/>
              <w:ind w:firstLine="480" w:firstLineChars="200"/>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磋商报价是供应商为完成本项目要求的全部货物、服务内容最终价格的体现，包括但不限于产品费、软件服务费、仓储保管费、售后服务培训费、运输费、税金、招标代理服务费等其他与本项目实施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pPr>
              <w:spacing w:line="360" w:lineRule="auto"/>
              <w:ind w:firstLine="480" w:firstLineChars="200"/>
              <w:rPr>
                <w:rFonts w:hAnsi="宋体" w:eastAsia="仿宋" w:cs="宋体"/>
                <w:szCs w:val="24"/>
                <w:highlight w:val="none"/>
              </w:rPr>
            </w:pPr>
            <w:r>
              <w:rPr>
                <w:rFonts w:hint="eastAsia" w:hAnsi="宋体" w:cs="宋体"/>
                <w:szCs w:val="24"/>
                <w:highlight w:val="none"/>
              </w:rPr>
              <w:t>2.2付款方式(</w:t>
            </w:r>
            <w:r>
              <w:rPr>
                <w:rFonts w:hint="eastAsia" w:hAnsi="宋体" w:cs="宋体"/>
                <w:szCs w:val="24"/>
                <w:highlight w:val="none"/>
                <w:lang w:eastAsia="zh-CN"/>
              </w:rPr>
              <w:t>最终</w:t>
            </w:r>
            <w:r>
              <w:rPr>
                <w:rFonts w:hint="eastAsia" w:hAnsi="宋体" w:cs="宋体"/>
                <w:szCs w:val="24"/>
                <w:highlight w:val="none"/>
              </w:rPr>
              <w:t>以签订合同为准）：系统到货完成安装调试、投入运行、在第3个月时进行验收。完成系统部署计35%，完成国考数据服务实施、完成三甲指标数据服务实施计、完成运营指标数据服务实施周期不超过6个月，验收完成后甲方向乙方支付合同金额的30%货款。一年后系统稳定，服务符合要求，甲方向乙方支付合同金额的30%货款。验收后两年甲方向乙方支付合同金额的5%货款（质保金）。质保期满后每年按不超过合同金额的5%由甲方向乙方支付咨询和维保费用（具体标准由甲乙双方协商为准）。因</w:t>
            </w:r>
            <w:r>
              <w:rPr>
                <w:rFonts w:hint="eastAsia" w:hAnsi="宋体" w:cs="宋体"/>
                <w:szCs w:val="24"/>
                <w:highlight w:val="none"/>
                <w:lang w:eastAsia="zh-CN"/>
              </w:rPr>
              <w:t>供应商</w:t>
            </w:r>
            <w:r>
              <w:rPr>
                <w:rFonts w:hint="eastAsia" w:hAnsi="宋体" w:cs="宋体"/>
                <w:szCs w:val="24"/>
                <w:highlight w:val="none"/>
              </w:rPr>
              <w:t>责任而造成延期，每超过一天按合同总价款的2%支付采购人误期赔偿金。（具体以签订合同为准）。</w:t>
            </w:r>
          </w:p>
          <w:p>
            <w:pPr>
              <w:spacing w:line="360" w:lineRule="auto"/>
              <w:ind w:firstLine="482" w:firstLineChars="200"/>
              <w:rPr>
                <w:rFonts w:hAnsi="宋体" w:cs="宋体"/>
                <w:szCs w:val="24"/>
                <w:highlight w:val="none"/>
              </w:rPr>
            </w:pPr>
            <w:r>
              <w:rPr>
                <w:rFonts w:hint="eastAsia" w:hAnsi="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8181" w:type="dxa"/>
            <w:vAlign w:val="center"/>
          </w:tcPr>
          <w:p>
            <w:pPr>
              <w:spacing w:line="360" w:lineRule="auto"/>
            </w:pPr>
            <w:r>
              <w:rPr>
                <w:rFonts w:hint="eastAsia"/>
              </w:rPr>
              <w:t>服务支持：</w:t>
            </w:r>
          </w:p>
          <w:p>
            <w:pPr>
              <w:spacing w:line="360" w:lineRule="auto"/>
              <w:ind w:firstLine="480" w:firstLineChars="200"/>
              <w:jc w:val="left"/>
            </w:pPr>
            <w:r>
              <w:rPr>
                <w:rFonts w:hint="eastAsia"/>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知识产权、专利权：</w:t>
            </w:r>
          </w:p>
          <w:p>
            <w:pPr>
              <w:tabs>
                <w:tab w:val="left" w:pos="498"/>
              </w:tabs>
              <w:spacing w:line="360" w:lineRule="auto"/>
              <w:ind w:firstLine="480" w:firstLineChars="200"/>
              <w:rPr>
                <w:rFonts w:hAnsi="宋体" w:cs="宋体"/>
                <w:szCs w:val="24"/>
                <w:highlight w:val="none"/>
              </w:rPr>
            </w:pPr>
            <w:r>
              <w:rPr>
                <w:rFonts w:hint="eastAsia" w:hAnsi="宋体" w:cs="宋体"/>
                <w:szCs w:val="24"/>
                <w:highlight w:val="none"/>
              </w:rPr>
              <w:t>供应商应对所提供的设备、软件、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违约责任：</w:t>
            </w:r>
          </w:p>
          <w:p>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1、按《中华人民共和国民法典》中的相关条款执行。</w:t>
            </w:r>
          </w:p>
          <w:p>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政府采购合同：</w:t>
            </w:r>
          </w:p>
          <w:p>
            <w:pPr>
              <w:spacing w:line="360" w:lineRule="auto"/>
              <w:ind w:firstLine="480" w:firstLineChars="200"/>
              <w:rPr>
                <w:rFonts w:hAnsi="宋体" w:cs="宋体"/>
                <w:szCs w:val="24"/>
                <w:highlight w:val="none"/>
              </w:rPr>
            </w:pPr>
            <w:r>
              <w:rPr>
                <w:rFonts w:hint="eastAsia" w:hAnsi="宋体" w:cs="宋体"/>
                <w:szCs w:val="24"/>
                <w:highlight w:val="none"/>
              </w:rPr>
              <w:t>政府采购合同适用中华人民共和国民法典。采购人和供应商之间的权利和义务，应当按照平等、自愿的原则以合同方式约定。</w:t>
            </w:r>
          </w:p>
          <w:p>
            <w:pPr>
              <w:spacing w:line="360" w:lineRule="auto"/>
              <w:ind w:firstLine="480" w:firstLineChars="200"/>
              <w:rPr>
                <w:rFonts w:hAnsi="宋体" w:cs="宋体"/>
                <w:szCs w:val="24"/>
                <w:highlight w:val="none"/>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szCs w:val="24"/>
                <w:highlight w:val="none"/>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2"/>
              <w:spacing w:line="360" w:lineRule="auto"/>
              <w:ind w:firstLine="480" w:firstLineChars="200"/>
              <w:rPr>
                <w:rFonts w:hAnsi="宋体" w:cs="宋体"/>
                <w:sz w:val="24"/>
                <w:szCs w:val="24"/>
                <w:highlight w:val="none"/>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pPr>
              <w:pStyle w:val="12"/>
              <w:spacing w:line="360" w:lineRule="auto"/>
              <w:ind w:firstLine="480" w:firstLineChars="200"/>
              <w:rPr>
                <w:rFonts w:hAnsi="宋体" w:cs="宋体"/>
                <w:sz w:val="24"/>
                <w:szCs w:val="24"/>
                <w:highlight w:val="none"/>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2"/>
              <w:spacing w:line="360" w:lineRule="auto"/>
              <w:ind w:firstLine="480" w:firstLineChars="200"/>
              <w:rPr>
                <w:rFonts w:hAnsi="宋体" w:cs="宋体"/>
                <w:sz w:val="24"/>
                <w:szCs w:val="24"/>
                <w:highlight w:val="none"/>
              </w:rPr>
            </w:pPr>
            <w:r>
              <w:rPr>
                <w:rFonts w:hint="eastAsia" w:hAnsi="宋体" w:cs="宋体"/>
                <w:sz w:val="24"/>
                <w:szCs w:val="24"/>
                <w:highlight w:val="none"/>
              </w:rPr>
              <w:t xml:space="preserve">    政府采购合同的双方当事人不得擅自变更、中止或者终止合同。</w:t>
            </w:r>
          </w:p>
          <w:p>
            <w:pPr>
              <w:pStyle w:val="12"/>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Ansi="宋体" w:cs="宋体"/>
          <w:sz w:val="32"/>
          <w:highlight w:val="none"/>
        </w:rPr>
      </w:pPr>
      <w:bookmarkStart w:id="91" w:name="_Toc8333"/>
      <w:bookmarkStart w:id="92" w:name="_Toc19246"/>
      <w:bookmarkStart w:id="93" w:name="_Toc19199"/>
      <w:bookmarkStart w:id="94" w:name="_Toc423973075"/>
      <w:bookmarkStart w:id="95" w:name="_Toc26595"/>
      <w:bookmarkStart w:id="96" w:name="_Toc4679"/>
      <w:bookmarkStart w:id="97" w:name="_Toc389582037"/>
      <w:bookmarkStart w:id="98" w:name="_Toc29888"/>
      <w:bookmarkStart w:id="99" w:name="_Toc31520"/>
      <w:r>
        <w:rPr>
          <w:rFonts w:hint="eastAsia" w:hAnsi="宋体" w:cs="宋体"/>
          <w:b/>
          <w:bCs/>
          <w:sz w:val="48"/>
          <w:szCs w:val="48"/>
          <w:highlight w:val="none"/>
        </w:rPr>
        <w:br w:type="page"/>
      </w:r>
    </w:p>
    <w:tbl>
      <w:tblPr>
        <w:tblStyle w:val="22"/>
        <w:tblpPr w:leftFromText="180" w:rightFromText="180" w:vertAnchor="text" w:horzAnchor="page" w:tblpX="7952" w:tblpY="79"/>
        <w:tblW w:w="2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pPr>
              <w:jc w:val="center"/>
              <w:rPr>
                <w:rFonts w:hAnsi="宋体" w:cs="宋体"/>
                <w:b/>
                <w:sz w:val="30"/>
                <w:szCs w:val="30"/>
                <w:highlight w:val="none"/>
              </w:rPr>
            </w:pPr>
            <w:r>
              <w:rPr>
                <w:rFonts w:hint="eastAsia" w:hAnsi="宋体" w:cs="宋体"/>
                <w:b/>
                <w:sz w:val="30"/>
                <w:szCs w:val="30"/>
                <w:highlight w:val="none"/>
              </w:rPr>
              <w:t>竞争性磋商采购</w:t>
            </w:r>
          </w:p>
        </w:tc>
      </w:tr>
    </w:tbl>
    <w:p>
      <w:pPr>
        <w:outlineLvl w:val="1"/>
        <w:rPr>
          <w:rFonts w:hAnsi="宋体" w:cs="宋体"/>
          <w:b/>
          <w:sz w:val="32"/>
          <w:szCs w:val="32"/>
          <w:highlight w:val="none"/>
        </w:rPr>
      </w:pPr>
      <w:bookmarkStart w:id="100" w:name="_Toc5216"/>
      <w:bookmarkStart w:id="101" w:name="_Toc7874"/>
      <w:bookmarkStart w:id="102" w:name="_Toc1362"/>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00"/>
      <w:bookmarkEnd w:id="101"/>
      <w:bookmarkEnd w:id="102"/>
      <w:r>
        <w:rPr>
          <w:rFonts w:hint="eastAsia" w:hAnsi="宋体" w:cs="宋体"/>
          <w:b/>
          <w:sz w:val="32"/>
          <w:szCs w:val="32"/>
          <w:highlight w:val="none"/>
        </w:rPr>
        <w:t xml:space="preserve">                  </w:t>
      </w:r>
    </w:p>
    <w:p>
      <w:pPr>
        <w:rPr>
          <w:rFonts w:hAnsi="宋体" w:cs="宋体"/>
          <w:b/>
          <w:sz w:val="32"/>
          <w:szCs w:val="32"/>
          <w:highlight w:val="none"/>
        </w:rPr>
      </w:pPr>
      <w:r>
        <w:rPr>
          <w:rFonts w:hint="eastAsia" w:hAnsi="宋体" w:cs="宋体"/>
          <w:b/>
          <w:sz w:val="32"/>
          <w:szCs w:val="32"/>
          <w:highlight w:val="none"/>
        </w:rPr>
        <w:t xml:space="preserve">          </w:t>
      </w:r>
    </w:p>
    <w:p>
      <w:pPr>
        <w:jc w:val="center"/>
        <w:rPr>
          <w:rFonts w:hAnsi="宋体" w:cs="宋体"/>
          <w:sz w:val="52"/>
          <w:szCs w:val="52"/>
          <w:highlight w:val="none"/>
        </w:rPr>
      </w:pPr>
    </w:p>
    <w:p>
      <w:pPr>
        <w:jc w:val="center"/>
        <w:rPr>
          <w:rFonts w:hAnsi="宋体" w:cs="宋体"/>
          <w:sz w:val="52"/>
          <w:szCs w:val="52"/>
          <w:highlight w:val="none"/>
        </w:rPr>
      </w:pPr>
    </w:p>
    <w:p>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pPr>
        <w:jc w:val="center"/>
        <w:rPr>
          <w:rFonts w:hAnsi="宋体" w:cs="宋体"/>
          <w:b/>
          <w:sz w:val="72"/>
          <w:szCs w:val="72"/>
          <w:highlight w:val="none"/>
        </w:rPr>
      </w:pPr>
      <w:r>
        <w:rPr>
          <w:rFonts w:hint="eastAsia" w:hAnsi="宋体" w:cs="宋体"/>
          <w:b/>
          <w:sz w:val="72"/>
          <w:szCs w:val="72"/>
          <w:highlight w:val="none"/>
        </w:rPr>
        <w:t>服 务 合 同</w:t>
      </w:r>
    </w:p>
    <w:p>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ind w:firstLine="2080" w:firstLineChars="650"/>
        <w:rPr>
          <w:rFonts w:hAnsi="宋体" w:cs="宋体"/>
          <w:sz w:val="32"/>
          <w:szCs w:val="32"/>
          <w:highlight w:val="none"/>
        </w:rPr>
      </w:pPr>
      <w:r>
        <w:rPr>
          <w:rFonts w:hint="eastAsia" w:hAnsi="宋体" w:cs="宋体"/>
          <w:sz w:val="32"/>
          <w:szCs w:val="32"/>
          <w:highlight w:val="none"/>
        </w:rPr>
        <w:t xml:space="preserve">甲  方： </w:t>
      </w:r>
    </w:p>
    <w:p>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pPr>
        <w:jc w:val="center"/>
        <w:rPr>
          <w:rFonts w:hAnsi="宋体" w:cs="宋体"/>
          <w:sz w:val="30"/>
          <w:szCs w:val="30"/>
          <w:highlight w:val="none"/>
        </w:rPr>
      </w:pPr>
    </w:p>
    <w:p>
      <w:pPr>
        <w:jc w:val="center"/>
        <w:rPr>
          <w:rFonts w:hAnsi="宋体" w:cs="宋体"/>
          <w:sz w:val="32"/>
          <w:szCs w:val="32"/>
          <w:highlight w:val="none"/>
        </w:rPr>
      </w:pPr>
      <w:r>
        <w:rPr>
          <w:rFonts w:hint="eastAsia" w:hAnsi="宋体" w:cs="宋体"/>
          <w:sz w:val="32"/>
          <w:szCs w:val="32"/>
          <w:highlight w:val="none"/>
        </w:rPr>
        <w:t xml:space="preserve">  年  月</w:t>
      </w:r>
    </w:p>
    <w:p>
      <w:pPr>
        <w:jc w:val="center"/>
        <w:rPr>
          <w:rFonts w:hAnsi="宋体" w:cs="宋体"/>
          <w:sz w:val="32"/>
          <w:szCs w:val="32"/>
          <w:highlight w:val="none"/>
        </w:rPr>
      </w:pPr>
    </w:p>
    <w:p>
      <w:pPr>
        <w:spacing w:line="590" w:lineRule="exact"/>
        <w:rPr>
          <w:rFonts w:hAnsi="宋体" w:cs="宋体"/>
          <w:b/>
          <w:sz w:val="36"/>
          <w:szCs w:val="36"/>
          <w:highlight w:val="none"/>
        </w:rPr>
      </w:pPr>
    </w:p>
    <w:p>
      <w:pPr>
        <w:jc w:val="center"/>
        <w:outlineLvl w:val="2"/>
        <w:rPr>
          <w:rFonts w:ascii="黑体"/>
          <w:b/>
          <w:sz w:val="36"/>
          <w:szCs w:val="36"/>
          <w:highlight w:val="none"/>
        </w:rPr>
      </w:pPr>
      <w:r>
        <w:rPr>
          <w:rFonts w:hint="eastAsia" w:hAnsi="宋体" w:cs="宋体"/>
          <w:b/>
          <w:szCs w:val="21"/>
          <w:highlight w:val="none"/>
        </w:rPr>
        <w:br w:type="page"/>
      </w:r>
      <w:bookmarkStart w:id="103" w:name="_Toc28398"/>
      <w:r>
        <w:rPr>
          <w:rFonts w:hint="eastAsia" w:ascii="黑体" w:eastAsia="黑体"/>
          <w:b/>
          <w:sz w:val="36"/>
          <w:szCs w:val="36"/>
          <w:highlight w:val="none"/>
        </w:rPr>
        <w:t>协 议 书</w:t>
      </w:r>
      <w:bookmarkEnd w:id="103"/>
    </w:p>
    <w:p>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pPr>
        <w:spacing w:line="360" w:lineRule="auto"/>
        <w:ind w:firstLine="480" w:firstLineChars="200"/>
        <w:rPr>
          <w:rFonts w:hAnsi="宋体" w:cs="宋体"/>
          <w:szCs w:val="21"/>
          <w:highlight w:val="none"/>
        </w:rPr>
      </w:pPr>
      <w:r>
        <w:rPr>
          <w:rFonts w:hint="eastAsia" w:hAnsi="宋体" w:cs="宋体"/>
          <w:szCs w:val="21"/>
          <w:highlight w:val="none"/>
        </w:rPr>
        <w:t>根据《中华人民共和国中华人民共和国民法典》、《中华人民共和国政府采购法》与项目行业有关的法律法规，以及本项目（网络安全系统升级项目）相关采购要求的规定，合同双方就乙方向采购方提供网络安全系统升级项目协商达成一致，确立本合同。</w:t>
      </w:r>
    </w:p>
    <w:p>
      <w:pPr>
        <w:tabs>
          <w:tab w:val="left" w:pos="480"/>
        </w:tabs>
        <w:spacing w:line="360" w:lineRule="auto"/>
        <w:outlineLvl w:val="1"/>
        <w:rPr>
          <w:rFonts w:hAnsi="宋体" w:cs="宋体"/>
          <w:b/>
          <w:szCs w:val="21"/>
          <w:highlight w:val="none"/>
        </w:rPr>
      </w:pPr>
      <w:bookmarkStart w:id="104" w:name="_Toc30883"/>
      <w:bookmarkStart w:id="105" w:name="_Toc8841"/>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04"/>
      <w:bookmarkEnd w:id="105"/>
    </w:p>
    <w:tbl>
      <w:tblPr>
        <w:tblStyle w:val="22"/>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bl>
    <w:p>
      <w:pPr>
        <w:tabs>
          <w:tab w:val="left" w:pos="480"/>
        </w:tabs>
        <w:spacing w:line="360" w:lineRule="auto"/>
        <w:outlineLvl w:val="1"/>
        <w:rPr>
          <w:rFonts w:hAnsi="宋体" w:cs="宋体"/>
          <w:b/>
          <w:szCs w:val="21"/>
          <w:highlight w:val="none"/>
        </w:rPr>
      </w:pPr>
      <w:bookmarkStart w:id="106" w:name="_Toc3926"/>
      <w:bookmarkStart w:id="107" w:name="_Toc4137"/>
      <w:r>
        <w:rPr>
          <w:rFonts w:hint="eastAsia" w:hAnsi="宋体" w:cs="宋体"/>
          <w:b/>
          <w:szCs w:val="21"/>
          <w:highlight w:val="none"/>
        </w:rPr>
        <w:t>二、合同价款</w:t>
      </w:r>
      <w:bookmarkEnd w:id="106"/>
      <w:bookmarkEnd w:id="107"/>
    </w:p>
    <w:p>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（二）合同价包括：</w:t>
      </w:r>
      <w:r>
        <w:rPr>
          <w:rFonts w:hint="eastAsia"/>
          <w:highlight w:val="none"/>
        </w:rPr>
        <w:t>包括但不限于人工费、设备使用费、办公费、服务费、交通费、招标代理服务费、税金等其他一切相关费用。</w:t>
      </w:r>
    </w:p>
    <w:p>
      <w:pPr>
        <w:tabs>
          <w:tab w:val="left" w:pos="480"/>
        </w:tabs>
        <w:spacing w:line="360" w:lineRule="auto"/>
        <w:outlineLvl w:val="1"/>
        <w:rPr>
          <w:rFonts w:hAnsi="宋体" w:cs="宋体"/>
          <w:b/>
          <w:szCs w:val="21"/>
          <w:highlight w:val="none"/>
        </w:rPr>
      </w:pPr>
      <w:bookmarkStart w:id="108" w:name="_Toc28664"/>
      <w:bookmarkStart w:id="109" w:name="_Toc23247"/>
      <w:r>
        <w:rPr>
          <w:rFonts w:hint="eastAsia" w:hAnsi="宋体" w:cs="宋体"/>
          <w:b/>
          <w:szCs w:val="21"/>
          <w:highlight w:val="none"/>
        </w:rPr>
        <w:t>三、款项结算</w:t>
      </w:r>
      <w:bookmarkEnd w:id="108"/>
      <w:bookmarkEnd w:id="10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pPr>
        <w:tabs>
          <w:tab w:val="left" w:pos="480"/>
        </w:tabs>
        <w:spacing w:line="360" w:lineRule="auto"/>
        <w:outlineLvl w:val="1"/>
        <w:rPr>
          <w:rFonts w:hAnsi="宋体" w:cs="宋体"/>
          <w:szCs w:val="21"/>
          <w:highlight w:val="none"/>
        </w:rPr>
      </w:pPr>
      <w:bookmarkStart w:id="110" w:name="_Toc24406"/>
      <w:bookmarkStart w:id="111" w:name="_Toc21714"/>
      <w:r>
        <w:rPr>
          <w:rFonts w:hint="eastAsia" w:hAnsi="宋体" w:cs="宋体"/>
          <w:b/>
          <w:szCs w:val="21"/>
          <w:highlight w:val="none"/>
        </w:rPr>
        <w:t>四、服务条件：</w:t>
      </w:r>
      <w:bookmarkEnd w:id="110"/>
      <w:bookmarkEnd w:id="111"/>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（一）服务地点：甲方指定地点。</w:t>
      </w:r>
    </w:p>
    <w:p>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（二）服务期：</w:t>
      </w:r>
      <w:r>
        <w:rPr>
          <w:rFonts w:hint="eastAsia" w:hAnsi="宋体" w:cs="宋体"/>
          <w:szCs w:val="21"/>
          <w:highlight w:val="none"/>
          <w:u w:val="single"/>
        </w:rPr>
        <w:t xml:space="preserve">              </w:t>
      </w:r>
    </w:p>
    <w:p>
      <w:pPr>
        <w:tabs>
          <w:tab w:val="left" w:pos="480"/>
        </w:tabs>
        <w:spacing w:line="360" w:lineRule="auto"/>
        <w:outlineLvl w:val="1"/>
        <w:rPr>
          <w:rFonts w:hAnsi="宋体" w:cs="宋体"/>
          <w:b/>
          <w:szCs w:val="21"/>
          <w:highlight w:val="none"/>
        </w:rPr>
      </w:pPr>
      <w:bookmarkStart w:id="112" w:name="_Toc7966"/>
      <w:bookmarkStart w:id="113" w:name="_Toc27382"/>
      <w:r>
        <w:rPr>
          <w:rFonts w:hint="eastAsia" w:hAnsi="宋体" w:cs="宋体"/>
          <w:b/>
          <w:szCs w:val="21"/>
          <w:highlight w:val="none"/>
        </w:rPr>
        <w:t>五、质量保证</w:t>
      </w:r>
      <w:bookmarkEnd w:id="112"/>
      <w:bookmarkEnd w:id="113"/>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1.乙方所提供货物和服务保证技术指标符合要求、质量性能可靠、必须符合国家相关法律法规的要求。</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2、成交单位应当保证其具有完成本项目所要求的货物和服务所必须具备的专业设备和服务能力。</w:t>
      </w:r>
    </w:p>
    <w:p>
      <w:pPr>
        <w:tabs>
          <w:tab w:val="left" w:pos="480"/>
        </w:tabs>
        <w:spacing w:line="360" w:lineRule="auto"/>
        <w:outlineLvl w:val="1"/>
        <w:rPr>
          <w:rFonts w:hAnsi="宋体" w:cs="宋体"/>
          <w:b/>
          <w:szCs w:val="21"/>
          <w:highlight w:val="none"/>
        </w:rPr>
      </w:pPr>
      <w:bookmarkStart w:id="114" w:name="_Toc21314"/>
      <w:bookmarkStart w:id="115" w:name="_Toc12558"/>
      <w:r>
        <w:rPr>
          <w:rFonts w:hint="eastAsia" w:hAnsi="宋体" w:cs="宋体"/>
          <w:b/>
          <w:szCs w:val="21"/>
          <w:highlight w:val="none"/>
        </w:rPr>
        <w:t>六、技术与服务</w:t>
      </w:r>
      <w:bookmarkEnd w:id="114"/>
      <w:bookmarkEnd w:id="115"/>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成交供应商应随同服务提供相应的中文技术文件。</w:t>
      </w:r>
    </w:p>
    <w:p>
      <w:pPr>
        <w:tabs>
          <w:tab w:val="left" w:pos="480"/>
        </w:tabs>
        <w:spacing w:line="360" w:lineRule="auto"/>
        <w:ind w:firstLine="480" w:firstLineChars="200"/>
        <w:rPr>
          <w:highlight w:val="none"/>
        </w:rPr>
      </w:pPr>
      <w:r>
        <w:rPr>
          <w:rFonts w:hint="eastAsia" w:hAnsi="宋体" w:cs="宋体"/>
          <w:szCs w:val="21"/>
          <w:highlight w:val="none"/>
        </w:rPr>
        <w:t>（二）服务承诺：以竞争性磋商响应文件、澄清表（函）、合同和随货物的相关文件为准。</w:t>
      </w:r>
    </w:p>
    <w:p>
      <w:pPr>
        <w:tabs>
          <w:tab w:val="left" w:pos="480"/>
        </w:tabs>
        <w:spacing w:line="360" w:lineRule="auto"/>
        <w:outlineLvl w:val="1"/>
        <w:rPr>
          <w:rFonts w:hAnsi="宋体" w:cs="宋体"/>
          <w:b/>
          <w:szCs w:val="21"/>
          <w:highlight w:val="none"/>
        </w:rPr>
      </w:pPr>
      <w:bookmarkStart w:id="116" w:name="_Toc12975"/>
      <w:bookmarkStart w:id="117" w:name="_Toc22161"/>
      <w:r>
        <w:rPr>
          <w:rFonts w:hint="eastAsia" w:hAnsi="宋体" w:cs="宋体"/>
          <w:b/>
          <w:szCs w:val="21"/>
          <w:highlight w:val="none"/>
        </w:rPr>
        <w:t>七、验收</w:t>
      </w:r>
      <w:bookmarkEnd w:id="116"/>
      <w:bookmarkEnd w:id="117"/>
    </w:p>
    <w:p>
      <w:pPr>
        <w:spacing w:line="360" w:lineRule="auto"/>
        <w:ind w:firstLine="480" w:firstLineChars="200"/>
        <w:rPr>
          <w:highlight w:val="none"/>
        </w:rPr>
      </w:pPr>
      <w:r>
        <w:rPr>
          <w:rFonts w:hint="eastAsia"/>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pPr>
        <w:spacing w:line="360" w:lineRule="auto"/>
        <w:ind w:firstLine="480" w:firstLineChars="200"/>
        <w:rPr>
          <w:highlight w:val="none"/>
        </w:rPr>
      </w:pPr>
      <w:r>
        <w:rPr>
          <w:rFonts w:hint="eastAsia"/>
          <w:highlight w:val="none"/>
        </w:rPr>
        <w:t>2、若发现乙方有弄虚作假的，及在项目实施阶段故意或随意夸大服务，本合同解除，乙方赔偿甲方相应的损失。</w:t>
      </w:r>
    </w:p>
    <w:p>
      <w:pPr>
        <w:spacing w:line="360" w:lineRule="auto"/>
        <w:ind w:firstLine="480" w:firstLineChars="200"/>
        <w:rPr>
          <w:highlight w:val="none"/>
        </w:rPr>
      </w:pPr>
      <w:r>
        <w:rPr>
          <w:rFonts w:hint="eastAsia"/>
          <w:highlight w:val="none"/>
        </w:rPr>
        <w:t>3、验收标准：按磋商文件、磋商响应文件及磋商记录表等技术指标进行逐项验收。各项指标均应符合验收标准及要求。</w:t>
      </w:r>
    </w:p>
    <w:p>
      <w:pPr>
        <w:tabs>
          <w:tab w:val="left" w:pos="480"/>
        </w:tabs>
        <w:spacing w:line="360" w:lineRule="auto"/>
        <w:outlineLvl w:val="1"/>
        <w:rPr>
          <w:rFonts w:hAnsi="宋体" w:cs="宋体"/>
          <w:b/>
          <w:szCs w:val="21"/>
          <w:highlight w:val="none"/>
        </w:rPr>
      </w:pPr>
      <w:bookmarkStart w:id="118" w:name="_Toc20026"/>
      <w:bookmarkStart w:id="119" w:name="_Toc9858"/>
      <w:r>
        <w:rPr>
          <w:rFonts w:hint="eastAsia" w:hAnsi="宋体" w:cs="宋体"/>
          <w:b/>
          <w:szCs w:val="21"/>
          <w:highlight w:val="none"/>
        </w:rPr>
        <w:t>八、违约责任</w:t>
      </w:r>
      <w:bookmarkEnd w:id="118"/>
      <w:bookmarkEnd w:id="11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1"/>
        <w:rPr>
          <w:rFonts w:hAnsi="宋体" w:cs="宋体"/>
          <w:b/>
          <w:szCs w:val="21"/>
          <w:highlight w:val="none"/>
        </w:rPr>
      </w:pPr>
      <w:bookmarkStart w:id="120" w:name="_Toc13662"/>
      <w:bookmarkStart w:id="121" w:name="_Toc15856"/>
      <w:r>
        <w:rPr>
          <w:rFonts w:hint="eastAsia" w:hAnsi="宋体" w:cs="宋体"/>
          <w:b/>
          <w:szCs w:val="21"/>
          <w:highlight w:val="none"/>
        </w:rPr>
        <w:t>九、合同争议解决的方式</w:t>
      </w:r>
      <w:bookmarkEnd w:id="120"/>
      <w:bookmarkEnd w:id="121"/>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w:t>
      </w:r>
      <w:r>
        <w:rPr>
          <w:rFonts w:hint="eastAsia" w:hAnsi="宋体" w:cs="宋体"/>
          <w:szCs w:val="21"/>
          <w:highlight w:val="none"/>
          <w:u w:val="single"/>
        </w:rPr>
        <w:t xml:space="preserve">    </w:t>
      </w:r>
      <w:r>
        <w:rPr>
          <w:rFonts w:hint="eastAsia" w:hAnsi="宋体" w:cs="宋体"/>
          <w:szCs w:val="21"/>
          <w:highlight w:val="none"/>
        </w:rPr>
        <w:t>种方式解决：</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w:t>
      </w:r>
      <w:r>
        <w:rPr>
          <w:rFonts w:hint="eastAsia" w:hAnsi="宋体" w:cs="宋体"/>
          <w:szCs w:val="21"/>
          <w:highlight w:val="none"/>
          <w:u w:val="single"/>
        </w:rPr>
        <w:t xml:space="preserve">        </w:t>
      </w:r>
      <w:r>
        <w:rPr>
          <w:rFonts w:hint="eastAsia" w:hAnsi="宋体" w:cs="宋体"/>
          <w:szCs w:val="21"/>
          <w:highlight w:val="none"/>
        </w:rPr>
        <w:t>仲裁委员会仲裁；</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（二）依法向 </w:t>
      </w:r>
      <w:r>
        <w:rPr>
          <w:rFonts w:hint="eastAsia" w:hAnsi="宋体" w:cs="宋体"/>
          <w:szCs w:val="21"/>
          <w:highlight w:val="none"/>
          <w:u w:val="single"/>
        </w:rPr>
        <w:t xml:space="preserve">       </w:t>
      </w:r>
      <w:r>
        <w:rPr>
          <w:rFonts w:hint="eastAsia" w:hAnsi="宋体" w:cs="宋体"/>
          <w:szCs w:val="21"/>
          <w:highlight w:val="none"/>
        </w:rPr>
        <w:t>所在地人民法院起诉。</w:t>
      </w:r>
    </w:p>
    <w:p>
      <w:pPr>
        <w:tabs>
          <w:tab w:val="left" w:pos="480"/>
        </w:tabs>
        <w:spacing w:line="360" w:lineRule="auto"/>
        <w:outlineLvl w:val="1"/>
        <w:rPr>
          <w:rFonts w:hAnsi="宋体" w:cs="宋体"/>
          <w:b/>
          <w:szCs w:val="21"/>
          <w:highlight w:val="none"/>
        </w:rPr>
      </w:pPr>
      <w:bookmarkStart w:id="122" w:name="_Toc18389"/>
      <w:bookmarkStart w:id="123" w:name="_Toc7342"/>
      <w:r>
        <w:rPr>
          <w:rFonts w:hint="eastAsia" w:hAnsi="宋体" w:cs="宋体"/>
          <w:b/>
          <w:szCs w:val="21"/>
          <w:highlight w:val="none"/>
        </w:rPr>
        <w:t>十、合同生效</w:t>
      </w:r>
      <w:bookmarkEnd w:id="122"/>
      <w:bookmarkEnd w:id="123"/>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w:t>
      </w:r>
      <w:r>
        <w:rPr>
          <w:rFonts w:hint="eastAsia" w:hAnsi="宋体" w:cs="宋体"/>
          <w:szCs w:val="21"/>
          <w:highlight w:val="none"/>
          <w:u w:val="single"/>
        </w:rPr>
        <w:t xml:space="preserve">   </w:t>
      </w:r>
      <w:r>
        <w:rPr>
          <w:rFonts w:hint="eastAsia" w:hAnsi="宋体" w:cs="宋体"/>
          <w:szCs w:val="21"/>
          <w:highlight w:val="none"/>
        </w:rPr>
        <w:t>份，甲方执</w:t>
      </w:r>
      <w:r>
        <w:rPr>
          <w:rFonts w:hint="eastAsia" w:hAnsi="宋体" w:cs="宋体"/>
          <w:szCs w:val="21"/>
          <w:highlight w:val="none"/>
          <w:u w:val="single"/>
        </w:rPr>
        <w:t xml:space="preserve">   </w:t>
      </w:r>
      <w:r>
        <w:rPr>
          <w:rFonts w:hint="eastAsia" w:hAnsi="宋体" w:cs="宋体"/>
          <w:szCs w:val="21"/>
          <w:highlight w:val="none"/>
        </w:rPr>
        <w:t>份，乙方执</w:t>
      </w:r>
      <w:r>
        <w:rPr>
          <w:rFonts w:hint="eastAsia" w:hAnsi="宋体" w:cs="宋体"/>
          <w:szCs w:val="21"/>
          <w:highlight w:val="none"/>
          <w:u w:val="single"/>
        </w:rPr>
        <w:t xml:space="preserve">    </w:t>
      </w:r>
      <w:r>
        <w:rPr>
          <w:rFonts w:hint="eastAsia" w:hAnsi="宋体" w:cs="宋体"/>
          <w:szCs w:val="21"/>
          <w:highlight w:val="none"/>
        </w:rPr>
        <w:t>份，本合同甲、乙、确认各方签字盖章后生效，合同执行完毕后，自动失效（合同的服务承诺则长期有效）。</w:t>
      </w:r>
    </w:p>
    <w:p>
      <w:pPr>
        <w:tabs>
          <w:tab w:val="left" w:pos="480"/>
        </w:tabs>
        <w:spacing w:line="360" w:lineRule="auto"/>
        <w:outlineLvl w:val="1"/>
        <w:rPr>
          <w:rFonts w:hAnsi="宋体" w:cs="宋体"/>
          <w:b/>
          <w:szCs w:val="21"/>
          <w:highlight w:val="none"/>
        </w:rPr>
      </w:pPr>
      <w:bookmarkStart w:id="124" w:name="_Toc18381"/>
      <w:bookmarkStart w:id="125" w:name="_Toc823"/>
      <w:r>
        <w:rPr>
          <w:rFonts w:hint="eastAsia" w:hAnsi="宋体" w:cs="宋体"/>
          <w:b/>
          <w:szCs w:val="21"/>
          <w:highlight w:val="none"/>
        </w:rPr>
        <w:t>十一、其他事项</w:t>
      </w:r>
      <w:bookmarkEnd w:id="124"/>
      <w:bookmarkEnd w:id="125"/>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pPr>
        <w:rPr>
          <w:highlight w:val="none"/>
        </w:rPr>
      </w:pPr>
    </w:p>
    <w:p>
      <w:pPr>
        <w:pStyle w:val="3"/>
        <w:jc w:val="center"/>
        <w:rPr>
          <w:rFonts w:ascii="宋体" w:eastAsia="宋体" w:cs="宋体"/>
          <w:bCs/>
          <w:sz w:val="36"/>
          <w:szCs w:val="36"/>
          <w:highlight w:val="none"/>
        </w:rPr>
      </w:pPr>
      <w:r>
        <w:rPr>
          <w:rFonts w:hint="eastAsia" w:ascii="宋体" w:eastAsia="宋体" w:cs="宋体"/>
          <w:b w:val="0"/>
          <w:szCs w:val="21"/>
          <w:highlight w:val="none"/>
        </w:rPr>
        <w:br w:type="page"/>
      </w:r>
      <w:bookmarkStart w:id="126" w:name="_Toc1119"/>
      <w:bookmarkStart w:id="127" w:name="_Toc4254"/>
      <w:r>
        <w:rPr>
          <w:rFonts w:hint="eastAsia" w:ascii="宋体" w:eastAsia="宋体" w:cs="宋体"/>
          <w:bCs/>
          <w:sz w:val="36"/>
          <w:szCs w:val="36"/>
          <w:highlight w:val="none"/>
        </w:rPr>
        <w:t xml:space="preserve">第五章 </w:t>
      </w:r>
      <w:bookmarkEnd w:id="91"/>
      <w:bookmarkEnd w:id="92"/>
      <w:bookmarkEnd w:id="93"/>
      <w:bookmarkEnd w:id="94"/>
      <w:bookmarkEnd w:id="95"/>
      <w:bookmarkEnd w:id="96"/>
      <w:bookmarkEnd w:id="97"/>
      <w:bookmarkEnd w:id="98"/>
      <w:bookmarkEnd w:id="99"/>
      <w:r>
        <w:rPr>
          <w:rFonts w:hint="eastAsia" w:ascii="宋体" w:eastAsia="宋体" w:cs="宋体"/>
          <w:bCs/>
          <w:sz w:val="36"/>
          <w:szCs w:val="36"/>
          <w:highlight w:val="none"/>
        </w:rPr>
        <w:t xml:space="preserve"> 磋商内容及技术要求</w:t>
      </w:r>
      <w:bookmarkEnd w:id="126"/>
      <w:bookmarkEnd w:id="127"/>
    </w:p>
    <w:p>
      <w:pPr>
        <w:jc w:val="center"/>
        <w:rPr>
          <w:rFonts w:hAnsi="宋体" w:cs="宋体"/>
          <w:b/>
          <w:bCs/>
          <w:sz w:val="28"/>
          <w:szCs w:val="28"/>
          <w:highlight w:val="none"/>
        </w:rPr>
      </w:pPr>
      <w:bookmarkStart w:id="128" w:name="_Toc23856"/>
      <w:bookmarkStart w:id="129" w:name="_Toc20481"/>
      <w:bookmarkStart w:id="130" w:name="_Toc1025"/>
      <w:bookmarkStart w:id="131" w:name="_Toc389582038"/>
      <w:bookmarkStart w:id="132" w:name="_Toc11450"/>
      <w:bookmarkStart w:id="133" w:name="_Toc4053"/>
      <w:bookmarkStart w:id="134" w:name="_Toc18831"/>
      <w:bookmarkStart w:id="135" w:name="_Toc2711"/>
    </w:p>
    <w:bookmarkEnd w:id="54"/>
    <w:bookmarkEnd w:id="128"/>
    <w:bookmarkEnd w:id="129"/>
    <w:bookmarkEnd w:id="130"/>
    <w:bookmarkEnd w:id="131"/>
    <w:bookmarkEnd w:id="132"/>
    <w:bookmarkEnd w:id="133"/>
    <w:bookmarkEnd w:id="134"/>
    <w:bookmarkEnd w:id="135"/>
    <w:p>
      <w:pPr>
        <w:keepNext/>
        <w:keepLines/>
        <w:widowControl w:val="0"/>
        <w:numPr>
          <w:ilvl w:val="0"/>
          <w:numId w:val="0"/>
        </w:numPr>
        <w:spacing w:before="340" w:after="330" w:line="576" w:lineRule="auto"/>
        <w:ind w:leftChars="0"/>
        <w:jc w:val="both"/>
        <w:outlineLvl w:val="1"/>
        <w:rPr>
          <w:rFonts w:hint="eastAsia" w:ascii="宋体" w:hAnsi="宋体" w:eastAsia="宋体" w:cs="宋体"/>
          <w:b/>
          <w:kern w:val="44"/>
          <w:sz w:val="28"/>
          <w:szCs w:val="28"/>
          <w:lang w:val="en-US" w:eastAsia="zh-CN" w:bidi="ar-SA"/>
        </w:rPr>
      </w:pPr>
      <w:bookmarkStart w:id="136" w:name="_Toc403077646"/>
      <w:bookmarkStart w:id="137" w:name="_Toc363474025"/>
      <w:bookmarkStart w:id="138" w:name="_Toc423973079"/>
      <w:bookmarkStart w:id="139" w:name="_Toc5084"/>
      <w:bookmarkStart w:id="140" w:name="_Toc6373"/>
      <w:r>
        <w:rPr>
          <w:rFonts w:hint="eastAsia" w:ascii="宋体" w:hAnsi="宋体" w:eastAsia="宋体" w:cs="宋体"/>
          <w:b/>
          <w:kern w:val="44"/>
          <w:sz w:val="28"/>
          <w:szCs w:val="28"/>
          <w:lang w:val="en-US" w:eastAsia="zh-CN" w:bidi="ar-SA"/>
        </w:rPr>
        <w:t>第一</w:t>
      </w:r>
      <w:r>
        <w:rPr>
          <w:rFonts w:hint="eastAsia" w:hAnsi="宋体" w:cs="宋体"/>
          <w:b/>
          <w:kern w:val="44"/>
          <w:sz w:val="28"/>
          <w:szCs w:val="28"/>
          <w:lang w:val="en-US" w:eastAsia="zh-CN" w:bidi="ar-SA"/>
        </w:rPr>
        <w:t>节</w:t>
      </w:r>
      <w:r>
        <w:rPr>
          <w:rFonts w:hint="eastAsia" w:ascii="宋体" w:hAnsi="宋体" w:eastAsia="宋体" w:cs="宋体"/>
          <w:b/>
          <w:kern w:val="44"/>
          <w:sz w:val="28"/>
          <w:szCs w:val="28"/>
          <w:lang w:val="en-US" w:eastAsia="zh-CN" w:bidi="ar-SA"/>
        </w:rPr>
        <w:t>、建设清单</w:t>
      </w:r>
    </w:p>
    <w:tbl>
      <w:tblPr>
        <w:tblStyle w:val="22"/>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4"/>
        <w:gridCol w:w="843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1" w:type="dxa"/>
            <w:noWrap w:val="0"/>
            <w:vAlign w:val="center"/>
          </w:tcPr>
          <w:p>
            <w:pPr>
              <w:rPr>
                <w:rFonts w:hint="eastAsia" w:ascii="宋体" w:hAnsi="宋体" w:eastAsia="宋体" w:cs="宋体"/>
                <w:caps/>
                <w:kern w:val="2"/>
                <w:sz w:val="21"/>
                <w:szCs w:val="21"/>
              </w:rPr>
            </w:pPr>
            <w:r>
              <w:rPr>
                <w:rFonts w:hint="eastAsia" w:ascii="宋体" w:hAnsi="宋体" w:eastAsia="宋体" w:cs="宋体"/>
                <w:caps/>
                <w:kern w:val="2"/>
                <w:sz w:val="21"/>
                <w:szCs w:val="21"/>
              </w:rPr>
              <w:t>一</w:t>
            </w:r>
          </w:p>
        </w:tc>
        <w:tc>
          <w:tcPr>
            <w:tcW w:w="8640" w:type="dxa"/>
            <w:noWrap w:val="0"/>
            <w:vAlign w:val="center"/>
          </w:tcPr>
          <w:p>
            <w:pPr>
              <w:rPr>
                <w:rFonts w:hint="eastAsia" w:ascii="宋体" w:hAnsi="宋体" w:eastAsia="宋体" w:cs="宋体"/>
                <w:caps/>
                <w:kern w:val="2"/>
                <w:sz w:val="21"/>
                <w:szCs w:val="21"/>
              </w:rPr>
            </w:pPr>
            <w:r>
              <w:rPr>
                <w:rFonts w:hint="eastAsia" w:ascii="宋体" w:hAnsi="宋体" w:eastAsia="宋体" w:cs="宋体"/>
                <w:caps/>
                <w:kern w:val="2"/>
                <w:sz w:val="21"/>
                <w:szCs w:val="21"/>
                <w:lang w:eastAsia="zh-Hans"/>
              </w:rPr>
              <w:t>医院运营管理大数据平台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1" w:type="dxa"/>
            <w:noWrap w:val="0"/>
            <w:vAlign w:val="center"/>
          </w:tcPr>
          <w:p>
            <w:pPr>
              <w:rPr>
                <w:rFonts w:hint="eastAsia" w:ascii="宋体" w:hAnsi="宋体" w:eastAsia="宋体" w:cs="宋体"/>
                <w:caps/>
                <w:kern w:val="2"/>
                <w:sz w:val="21"/>
                <w:szCs w:val="21"/>
              </w:rPr>
            </w:pPr>
            <w:r>
              <w:rPr>
                <w:rFonts w:hint="eastAsia" w:ascii="宋体" w:hAnsi="宋体" w:eastAsia="宋体" w:cs="宋体"/>
                <w:caps/>
                <w:kern w:val="2"/>
                <w:sz w:val="21"/>
                <w:szCs w:val="21"/>
              </w:rPr>
              <w:t>二</w:t>
            </w:r>
          </w:p>
        </w:tc>
        <w:tc>
          <w:tcPr>
            <w:tcW w:w="8640" w:type="dxa"/>
            <w:noWrap w:val="0"/>
            <w:vAlign w:val="center"/>
          </w:tcPr>
          <w:p>
            <w:pPr>
              <w:rPr>
                <w:rFonts w:hint="eastAsia" w:ascii="宋体" w:hAnsi="宋体" w:eastAsia="宋体" w:cs="宋体"/>
                <w:caps/>
                <w:kern w:val="2"/>
                <w:sz w:val="21"/>
                <w:szCs w:val="21"/>
              </w:rPr>
            </w:pPr>
            <w:r>
              <w:rPr>
                <w:rFonts w:hint="eastAsia" w:ascii="宋体" w:hAnsi="宋体" w:eastAsia="宋体" w:cs="宋体"/>
                <w:caps/>
                <w:kern w:val="2"/>
                <w:sz w:val="21"/>
                <w:szCs w:val="21"/>
              </w:rPr>
              <w:t>综合目标管理系统</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1" w:type="dxa"/>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rPr>
              <w:t>三</w:t>
            </w:r>
          </w:p>
        </w:tc>
        <w:tc>
          <w:tcPr>
            <w:tcW w:w="8640" w:type="dxa"/>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lang w:eastAsia="zh-Hans"/>
              </w:rPr>
              <w:t>医院等级评审评价管理系统</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1" w:type="dxa"/>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rPr>
              <w:t>四</w:t>
            </w:r>
          </w:p>
        </w:tc>
        <w:tc>
          <w:tcPr>
            <w:tcW w:w="8640" w:type="dxa"/>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lang w:eastAsia="zh-Hans"/>
              </w:rPr>
              <w:t>医院等级评审指标数据服务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1" w:type="dxa"/>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rPr>
              <w:t>五</w:t>
            </w:r>
          </w:p>
        </w:tc>
        <w:tc>
          <w:tcPr>
            <w:tcW w:w="8640" w:type="dxa"/>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lang w:eastAsia="zh-Hans" w:bidi="zh-CN"/>
              </w:rPr>
              <w:t>公立医院绩效考核指标数据服务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1" w:type="dxa"/>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rPr>
              <w:t>六</w:t>
            </w:r>
          </w:p>
        </w:tc>
        <w:tc>
          <w:tcPr>
            <w:tcW w:w="8640" w:type="dxa"/>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lang w:eastAsia="zh-Hans" w:bidi="zh-CN"/>
              </w:rPr>
              <w:t>医院运营管理指标数据服务</w:t>
            </w:r>
          </w:p>
        </w:tc>
      </w:tr>
    </w:tbl>
    <w:p>
      <w:pPr>
        <w:rPr>
          <w:rFonts w:hint="eastAsia" w:ascii="宋体" w:hAnsi="宋体" w:eastAsia="宋体" w:cs="宋体"/>
          <w:kern w:val="2"/>
          <w:sz w:val="21"/>
          <w:szCs w:val="21"/>
        </w:rPr>
      </w:pPr>
    </w:p>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outlineLvl w:val="1"/>
        <w:rPr>
          <w:rFonts w:hint="eastAsia" w:ascii="宋体" w:hAnsi="宋体" w:eastAsia="宋体" w:cs="宋体"/>
          <w:b/>
          <w:kern w:val="44"/>
          <w:sz w:val="28"/>
          <w:szCs w:val="28"/>
          <w:lang w:val="en-US" w:eastAsia="zh-CN" w:bidi="ar-SA"/>
        </w:rPr>
      </w:pPr>
      <w:r>
        <w:rPr>
          <w:rFonts w:hint="eastAsia" w:ascii="宋体" w:hAnsi="宋体" w:eastAsia="宋体" w:cs="宋体"/>
          <w:b/>
          <w:kern w:val="44"/>
          <w:sz w:val="28"/>
          <w:szCs w:val="28"/>
          <w:lang w:val="en-US" w:eastAsia="zh-CN" w:bidi="ar-SA"/>
        </w:rPr>
        <w:t>第二</w:t>
      </w:r>
      <w:r>
        <w:rPr>
          <w:rFonts w:hint="eastAsia" w:hAnsi="宋体" w:cs="宋体"/>
          <w:b/>
          <w:kern w:val="44"/>
          <w:sz w:val="28"/>
          <w:szCs w:val="28"/>
          <w:lang w:val="en-US" w:eastAsia="zh-CN" w:bidi="ar-SA"/>
        </w:rPr>
        <w:t>节</w:t>
      </w:r>
      <w:r>
        <w:rPr>
          <w:rFonts w:hint="eastAsia" w:ascii="宋体" w:hAnsi="宋体" w:eastAsia="宋体" w:cs="宋体"/>
          <w:b/>
          <w:kern w:val="44"/>
          <w:sz w:val="28"/>
          <w:szCs w:val="28"/>
          <w:lang w:val="en-US" w:eastAsia="zh-CN" w:bidi="ar-SA"/>
        </w:rPr>
        <w:t>、功能和技术要求</w:t>
      </w:r>
    </w:p>
    <w:p>
      <w:pPr>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403" w:leftChars="0" w:firstLine="643" w:firstLineChars="0"/>
        <w:jc w:val="both"/>
        <w:textAlignment w:val="auto"/>
        <w:outlineLvl w:val="2"/>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医院运营管理大数据平台</w:t>
      </w:r>
    </w:p>
    <w:p>
      <w:pPr>
        <w:keepNext/>
        <w:keepLines/>
        <w:pageBreakBefore w:val="0"/>
        <w:widowControl w:val="0"/>
        <w:numPr>
          <w:ilvl w:val="2"/>
          <w:numId w:val="6"/>
        </w:numPr>
        <w:kinsoku/>
        <w:wordWrap/>
        <w:overflowPunct/>
        <w:topLinePunct w:val="0"/>
        <w:autoSpaceDE/>
        <w:autoSpaceDN/>
        <w:bidi w:val="0"/>
        <w:adjustRightInd/>
        <w:snapToGrid/>
        <w:spacing w:before="0" w:after="0" w:line="360" w:lineRule="auto"/>
        <w:ind w:left="720" w:leftChars="0" w:firstLineChars="0"/>
        <w:jc w:val="both"/>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医院运营管理数据湖仓</w:t>
      </w:r>
    </w:p>
    <w:p>
      <w:pPr>
        <w:pageBreakBefore w:val="0"/>
        <w:widowControl/>
        <w:kinsoku/>
        <w:wordWrap/>
        <w:overflowPunct/>
        <w:topLinePunct w:val="0"/>
        <w:autoSpaceDE/>
        <w:autoSpaceDN/>
        <w:bidi w:val="0"/>
        <w:adjustRightInd/>
        <w:snapToGrid/>
        <w:spacing w:line="360" w:lineRule="auto"/>
        <w:ind w:firstLine="482"/>
        <w:textAlignment w:val="baseline"/>
        <w:rPr>
          <w:rFonts w:hint="eastAsia" w:ascii="宋体" w:hAnsi="宋体" w:eastAsia="宋体" w:cs="宋体"/>
          <w:kern w:val="2"/>
          <w:sz w:val="24"/>
          <w:szCs w:val="24"/>
        </w:rPr>
      </w:pPr>
      <w:r>
        <w:rPr>
          <w:rFonts w:hint="eastAsia" w:ascii="宋体" w:hAnsi="宋体" w:eastAsia="宋体" w:cs="宋体"/>
          <w:kern w:val="2"/>
          <w:sz w:val="24"/>
          <w:szCs w:val="24"/>
        </w:rPr>
        <w:t>医院运营管理数据湖仓以足国家卫生健康委发布的《公立医院运营管理信息系统功能指引》为基础，充分整合利用医院现有HIS、病案等平台所产生的收入、支出、资产、人力资源等数据，建立覆盖医院管理者、科室统一的运营管理数据门户和数据展现平台，为深入分析医院在经济运行、成本管理、绩效考核等不同层面的运行状况提供数据支撑。运营管理数据湖仓建设要求如下：</w:t>
      </w:r>
    </w:p>
    <w:p>
      <w:pPr>
        <w:pageBreakBefore w:val="0"/>
        <w:widowControl/>
        <w:numPr>
          <w:ilvl w:val="0"/>
          <w:numId w:val="7"/>
        </w:numPr>
        <w:kinsoku/>
        <w:wordWrap/>
        <w:overflowPunct/>
        <w:topLinePunct w:val="0"/>
        <w:autoSpaceDE/>
        <w:autoSpaceDN/>
        <w:bidi w:val="0"/>
        <w:adjustRightInd/>
        <w:snapToGrid/>
        <w:spacing w:line="360" w:lineRule="auto"/>
        <w:ind w:left="902" w:hanging="420"/>
        <w:textAlignment w:val="baseline"/>
        <w:rPr>
          <w:rFonts w:hint="eastAsia" w:ascii="宋体" w:hAnsi="宋体" w:eastAsia="宋体" w:cs="宋体"/>
          <w:kern w:val="2"/>
          <w:sz w:val="24"/>
          <w:szCs w:val="24"/>
        </w:rPr>
      </w:pPr>
      <w:r>
        <w:rPr>
          <w:rFonts w:hint="eastAsia" w:ascii="宋体" w:hAnsi="宋体" w:eastAsia="宋体" w:cs="宋体"/>
          <w:kern w:val="2"/>
          <w:sz w:val="24"/>
          <w:szCs w:val="24"/>
        </w:rPr>
        <w:t>需基于“数据湖”大数据平台搭建，支持数据的实时计算分析和在线分析处理查询（OLAP），支持如ClickHouse、Hudi等数仓工具。</w:t>
      </w:r>
    </w:p>
    <w:p>
      <w:pPr>
        <w:pageBreakBefore w:val="0"/>
        <w:widowControl/>
        <w:numPr>
          <w:ilvl w:val="0"/>
          <w:numId w:val="7"/>
        </w:numPr>
        <w:kinsoku/>
        <w:wordWrap/>
        <w:overflowPunct/>
        <w:topLinePunct w:val="0"/>
        <w:autoSpaceDE/>
        <w:autoSpaceDN/>
        <w:bidi w:val="0"/>
        <w:adjustRightInd/>
        <w:snapToGrid/>
        <w:spacing w:line="360" w:lineRule="auto"/>
        <w:ind w:left="902" w:hanging="420"/>
        <w:textAlignment w:val="baseline"/>
        <w:rPr>
          <w:rFonts w:hint="eastAsia" w:ascii="宋体" w:hAnsi="宋体" w:eastAsia="宋体" w:cs="宋体"/>
          <w:kern w:val="2"/>
          <w:sz w:val="24"/>
          <w:szCs w:val="24"/>
        </w:rPr>
      </w:pPr>
      <w:r>
        <w:rPr>
          <w:rFonts w:hint="eastAsia" w:ascii="宋体" w:hAnsi="宋体" w:eastAsia="宋体" w:cs="宋体"/>
          <w:kern w:val="2"/>
          <w:sz w:val="24"/>
          <w:szCs w:val="24"/>
        </w:rPr>
        <w:t>将医院业务系统产生的所有生产数据按照运营管理数据中心的领域模型进行重新组织，建立标准结构的数据仓库。为保证后期数据的全方位利用，数据采集的前提是要保证数据的完整性，在数据完整的前提下要尽量保证数据的实时性。</w:t>
      </w:r>
    </w:p>
    <w:p>
      <w:pPr>
        <w:pageBreakBefore w:val="0"/>
        <w:widowControl/>
        <w:numPr>
          <w:ilvl w:val="0"/>
          <w:numId w:val="7"/>
        </w:numPr>
        <w:kinsoku/>
        <w:wordWrap/>
        <w:overflowPunct/>
        <w:topLinePunct w:val="0"/>
        <w:autoSpaceDE/>
        <w:autoSpaceDN/>
        <w:bidi w:val="0"/>
        <w:adjustRightInd/>
        <w:snapToGrid/>
        <w:spacing w:line="360" w:lineRule="auto"/>
        <w:ind w:left="902" w:hanging="420"/>
        <w:textAlignment w:val="baseline"/>
        <w:rPr>
          <w:rFonts w:hint="eastAsia" w:ascii="宋体" w:hAnsi="宋体" w:eastAsia="宋体" w:cs="宋体"/>
          <w:kern w:val="2"/>
          <w:sz w:val="24"/>
          <w:szCs w:val="24"/>
        </w:rPr>
      </w:pPr>
      <w:r>
        <w:rPr>
          <w:rFonts w:hint="eastAsia" w:ascii="宋体" w:hAnsi="宋体" w:eastAsia="宋体" w:cs="宋体"/>
          <w:kern w:val="2"/>
          <w:sz w:val="24"/>
          <w:szCs w:val="24"/>
        </w:rPr>
        <w:t>数据采集方式：根据医院信息化建设现状及业务发展需求，具备通过CDC+ETL的方式实时同步数据进行采集。</w:t>
      </w:r>
    </w:p>
    <w:p>
      <w:pPr>
        <w:pageBreakBefore w:val="0"/>
        <w:widowControl/>
        <w:numPr>
          <w:ilvl w:val="0"/>
          <w:numId w:val="7"/>
        </w:numPr>
        <w:kinsoku/>
        <w:wordWrap/>
        <w:overflowPunct/>
        <w:topLinePunct w:val="0"/>
        <w:autoSpaceDE/>
        <w:autoSpaceDN/>
        <w:bidi w:val="0"/>
        <w:adjustRightInd/>
        <w:snapToGrid/>
        <w:spacing w:line="360" w:lineRule="auto"/>
        <w:ind w:left="902" w:hanging="420"/>
        <w:textAlignment w:val="baseline"/>
        <w:rPr>
          <w:rFonts w:hint="eastAsia" w:ascii="宋体" w:hAnsi="宋体" w:eastAsia="宋体" w:cs="宋体"/>
          <w:kern w:val="2"/>
          <w:sz w:val="24"/>
          <w:szCs w:val="24"/>
        </w:rPr>
      </w:pPr>
      <w:r>
        <w:rPr>
          <w:rFonts w:hint="eastAsia" w:ascii="宋体" w:hAnsi="宋体" w:eastAsia="宋体" w:cs="宋体"/>
          <w:kern w:val="2"/>
          <w:sz w:val="24"/>
          <w:szCs w:val="24"/>
        </w:rPr>
        <w:t>提供自动的、可视化监控的、可追溯的数据抽取、转换、加载数据采集功能。决策支持功能的数据支持。</w:t>
      </w:r>
    </w:p>
    <w:p>
      <w:pPr>
        <w:pageBreakBefore w:val="0"/>
        <w:widowControl/>
        <w:numPr>
          <w:ilvl w:val="0"/>
          <w:numId w:val="7"/>
        </w:numPr>
        <w:kinsoku/>
        <w:wordWrap/>
        <w:overflowPunct/>
        <w:topLinePunct w:val="0"/>
        <w:autoSpaceDE/>
        <w:autoSpaceDN/>
        <w:bidi w:val="0"/>
        <w:adjustRightInd/>
        <w:snapToGrid/>
        <w:spacing w:line="360" w:lineRule="auto"/>
        <w:ind w:left="902" w:hanging="420"/>
        <w:textAlignment w:val="baseline"/>
        <w:rPr>
          <w:rFonts w:hint="eastAsia" w:ascii="宋体" w:hAnsi="宋体" w:eastAsia="宋体" w:cs="宋体"/>
          <w:kern w:val="2"/>
          <w:sz w:val="24"/>
          <w:szCs w:val="24"/>
        </w:rPr>
      </w:pPr>
      <w:r>
        <w:rPr>
          <w:rFonts w:hint="eastAsia" w:ascii="宋体" w:hAnsi="宋体" w:eastAsia="宋体" w:cs="宋体"/>
          <w:kern w:val="2"/>
          <w:sz w:val="24"/>
          <w:szCs w:val="24"/>
        </w:rPr>
        <w:t>标准化数据仓库，为区域内医院建立规范、完整、高效、可持续发展的数据仓库核心模型、ODS 和多维分析模型。</w:t>
      </w:r>
    </w:p>
    <w:p>
      <w:pPr>
        <w:pageBreakBefore w:val="0"/>
        <w:widowControl/>
        <w:numPr>
          <w:ilvl w:val="0"/>
          <w:numId w:val="7"/>
        </w:numPr>
        <w:kinsoku/>
        <w:wordWrap/>
        <w:overflowPunct/>
        <w:topLinePunct w:val="0"/>
        <w:autoSpaceDE/>
        <w:autoSpaceDN/>
        <w:bidi w:val="0"/>
        <w:adjustRightInd/>
        <w:snapToGrid/>
        <w:spacing w:line="360" w:lineRule="auto"/>
        <w:ind w:left="902" w:hanging="420"/>
        <w:textAlignment w:val="baseline"/>
        <w:rPr>
          <w:rFonts w:hint="eastAsia" w:ascii="宋体" w:hAnsi="宋体" w:eastAsia="宋体" w:cs="宋体"/>
          <w:kern w:val="2"/>
          <w:sz w:val="24"/>
          <w:szCs w:val="24"/>
        </w:rPr>
      </w:pPr>
      <w:r>
        <w:rPr>
          <w:rFonts w:hint="eastAsia" w:ascii="宋体" w:hAnsi="宋体" w:eastAsia="宋体" w:cs="宋体"/>
          <w:kern w:val="2"/>
          <w:sz w:val="24"/>
          <w:szCs w:val="24"/>
        </w:rPr>
        <w:t>现有数据整合,针对医院现存的各类信息源信息通过数据整合平台进行数据提取、梳理和载入操作，将数据整合到统一的数据环境中。</w:t>
      </w:r>
    </w:p>
    <w:p>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1"/>
          <w:szCs w:val="21"/>
        </w:rPr>
      </w:pPr>
    </w:p>
    <w:tbl>
      <w:tblPr>
        <w:tblStyle w:val="22"/>
        <w:tblW w:w="4999"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1730"/>
        <w:gridCol w:w="778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textAlignment w:val="baseline"/>
              <w:rPr>
                <w:rFonts w:hint="eastAsia" w:ascii="宋体" w:hAnsi="宋体" w:eastAsia="宋体" w:cs="宋体"/>
                <w:b/>
                <w:kern w:val="2"/>
                <w:sz w:val="21"/>
                <w:szCs w:val="21"/>
              </w:rPr>
            </w:pPr>
            <w:r>
              <w:rPr>
                <w:rFonts w:hint="eastAsia" w:ascii="宋体" w:hAnsi="宋体" w:eastAsia="宋体" w:cs="宋体"/>
                <w:b/>
                <w:kern w:val="2"/>
                <w:sz w:val="21"/>
                <w:szCs w:val="21"/>
              </w:rPr>
              <w:t>功能列表</w:t>
            </w:r>
          </w:p>
        </w:tc>
        <w:tc>
          <w:tcPr>
            <w:tcW w:w="4090" w:type="pct"/>
            <w:tcBorders>
              <w:top w:val="single" w:color="auto" w:sz="4" w:space="0"/>
              <w:left w:val="single" w:color="auto" w:sz="4" w:space="0"/>
              <w:bottom w:val="single" w:color="auto" w:sz="4" w:space="0"/>
              <w:right w:val="single" w:color="auto" w:sz="6" w:space="0"/>
            </w:tcBorders>
            <w:shd w:val="clear" w:color="auto" w:fill="D9D9D9"/>
            <w:noWrap w:val="0"/>
            <w:vAlign w:val="center"/>
          </w:tcPr>
          <w:p>
            <w:pPr>
              <w:widowControl/>
              <w:textAlignment w:val="baseline"/>
              <w:rPr>
                <w:rFonts w:hint="eastAsia" w:ascii="宋体" w:hAnsi="宋体" w:eastAsia="宋体" w:cs="宋体"/>
                <w:b/>
                <w:kern w:val="2"/>
                <w:sz w:val="21"/>
                <w:szCs w:val="21"/>
              </w:rPr>
            </w:pPr>
            <w:r>
              <w:rPr>
                <w:rFonts w:hint="eastAsia" w:ascii="宋体" w:hAnsi="宋体" w:eastAsia="宋体" w:cs="宋体"/>
                <w:b/>
                <w:kern w:val="2"/>
                <w:sz w:val="21"/>
                <w:szCs w:val="21"/>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元数据管理</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提供元数据采集、元数据分析、元数据查询、元数据报表管理、元数据自动建表、元数据自动生成数据模型、元数据自动创建ETL任务功能。</w:t>
            </w:r>
          </w:p>
          <w:p>
            <w:pPr>
              <w:widowControl/>
              <w:textAlignment w:val="baseline"/>
              <w:rPr>
                <w:rFonts w:hint="eastAsia" w:ascii="宋体" w:hAnsi="宋体" w:eastAsia="宋体" w:cs="宋体"/>
                <w:kern w:val="2"/>
                <w:sz w:val="21"/>
                <w:szCs w:val="21"/>
              </w:rPr>
            </w:pPr>
            <w:r>
              <w:rPr>
                <w:rFonts w:hint="eastAsia" w:ascii="宋体" w:hAnsi="宋体" w:eastAsia="宋体" w:cs="宋体"/>
                <w:color w:val="000000"/>
                <w:kern w:val="0"/>
                <w:sz w:val="21"/>
                <w:szCs w:val="21"/>
              </w:rPr>
              <w:t>▲</w:t>
            </w:r>
            <w:r>
              <w:rPr>
                <w:rFonts w:hint="eastAsia" w:ascii="宋体" w:hAnsi="宋体" w:eastAsia="宋体" w:cs="宋体"/>
                <w:kern w:val="2"/>
                <w:sz w:val="21"/>
                <w:szCs w:val="21"/>
              </w:rPr>
              <w:t>可以按照元数据的相关属性，查询元数据信息，并形成报表。</w:t>
            </w:r>
          </w:p>
          <w:p>
            <w:pPr>
              <w:widowControl/>
              <w:textAlignment w:val="baseline"/>
              <w:rPr>
                <w:rFonts w:hint="eastAsia" w:ascii="宋体" w:hAnsi="宋体" w:eastAsia="宋体" w:cs="宋体"/>
                <w:kern w:val="2"/>
                <w:sz w:val="21"/>
                <w:szCs w:val="21"/>
              </w:rPr>
            </w:pPr>
            <w:r>
              <w:rPr>
                <w:rFonts w:hint="eastAsia" w:ascii="宋体" w:hAnsi="宋体" w:eastAsia="宋体" w:cs="宋体"/>
                <w:color w:val="000000"/>
                <w:kern w:val="0"/>
                <w:sz w:val="21"/>
                <w:szCs w:val="21"/>
              </w:rPr>
              <w:t>▲</w:t>
            </w:r>
            <w:r>
              <w:rPr>
                <w:rFonts w:hint="eastAsia" w:ascii="宋体" w:hAnsi="宋体" w:eastAsia="宋体" w:cs="宋体"/>
                <w:kern w:val="2"/>
                <w:sz w:val="21"/>
                <w:szCs w:val="21"/>
              </w:rPr>
              <w:t>可以通过元数据来自动建立物理表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数据标准管理</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提供数据标准体系、数据标准集管理、标准审批发布、标准版本管理、标准文档管理、数据标准映射评估、数据标准质量评估功能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数据质量管理</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提供质量规则分组管理、内容合规性质量规则、重复数据检查质量规则、数据及时性质量规则、字段比对规则管理、数据质量执行引擎、质量模型分组管理、质量模型规则映射、　质量方案管理、质量核检历史、质量方案问题列表、质量问题查询、质量问题导出、质量整改任务管理功能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数据集成</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numPr>
                <w:ilvl w:val="0"/>
                <w:numId w:val="8"/>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提供数据源管理、数据采集、数据集成任务、ETL设计器、数据集成引擎、数据自动比对、数据手工比对、比对报告管理、数据自动补采、数据采集报告管理、数据统计报告管理功能。</w:t>
            </w:r>
          </w:p>
          <w:p>
            <w:pPr>
              <w:widowControl/>
              <w:numPr>
                <w:ilvl w:val="0"/>
                <w:numId w:val="8"/>
              </w:numPr>
              <w:ind w:left="420" w:hanging="420"/>
              <w:textAlignment w:val="baseline"/>
              <w:rPr>
                <w:rFonts w:hint="eastAsia" w:ascii="宋体" w:hAnsi="宋体" w:eastAsia="宋体" w:cs="宋体"/>
                <w:kern w:val="2"/>
                <w:sz w:val="21"/>
                <w:szCs w:val="21"/>
              </w:rPr>
            </w:pPr>
            <w:r>
              <w:rPr>
                <w:rFonts w:hint="eastAsia" w:ascii="宋体" w:hAnsi="宋体" w:eastAsia="宋体" w:cs="宋体"/>
                <w:color w:val="000000"/>
                <w:kern w:val="0"/>
                <w:sz w:val="21"/>
                <w:szCs w:val="21"/>
              </w:rPr>
              <w:t>▲</w:t>
            </w:r>
            <w:r>
              <w:rPr>
                <w:rFonts w:hint="eastAsia" w:ascii="宋体" w:hAnsi="宋体" w:eastAsia="宋体" w:cs="宋体"/>
                <w:kern w:val="2"/>
                <w:sz w:val="21"/>
                <w:szCs w:val="21"/>
              </w:rPr>
              <w:t>支持CDC（Change Data Capture 变化数据捕获）方式获取数据，实现实时数据采集。</w:t>
            </w:r>
          </w:p>
          <w:p>
            <w:pPr>
              <w:widowControl/>
              <w:numPr>
                <w:ilvl w:val="0"/>
                <w:numId w:val="8"/>
              </w:numPr>
              <w:ind w:left="420" w:hanging="420"/>
              <w:textAlignment w:val="baseline"/>
              <w:rPr>
                <w:rFonts w:hint="eastAsia" w:ascii="宋体" w:hAnsi="宋体" w:eastAsia="宋体" w:cs="宋体"/>
                <w:kern w:val="2"/>
                <w:sz w:val="21"/>
                <w:szCs w:val="21"/>
              </w:rPr>
            </w:pPr>
            <w:r>
              <w:rPr>
                <w:rFonts w:hint="eastAsia" w:ascii="宋体" w:hAnsi="宋体" w:eastAsia="宋体" w:cs="宋体"/>
                <w:color w:val="000000"/>
                <w:kern w:val="0"/>
                <w:sz w:val="21"/>
                <w:szCs w:val="21"/>
              </w:rPr>
              <w:t>▲</w:t>
            </w:r>
            <w:r>
              <w:rPr>
                <w:rFonts w:hint="eastAsia" w:ascii="宋体" w:hAnsi="宋体" w:eastAsia="宋体" w:cs="宋体"/>
                <w:kern w:val="2"/>
                <w:sz w:val="21"/>
                <w:szCs w:val="21"/>
              </w:rPr>
              <w:t>支持实现数据集成源数据表和目标数据表的数据监控，并形成报表。异常通过邮件发给相关人员。</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数据服务</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为数据使用者、数据管理部门提供数据资源查看、数据资源使用、数据质量状态监控、数据管理和访问入口功能，包括服务接口管理、服务接口发布、服务接口申请、服务接口审批功能。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主数据管理</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提供主数据模型管理、主数据编码规则、主数据参考数据、主数据维护、主数据分发、对照关系管理功能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数据模型</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提供数据模型设计器、事实表设计、维度表设计、关联关系设计、数据模型自动建表、数据模型自动建宽表、数据模型自动生成ETL任务功能。</w:t>
            </w:r>
          </w:p>
          <w:p>
            <w:pPr>
              <w:widowControl/>
              <w:textAlignment w:val="baseline"/>
              <w:rPr>
                <w:rFonts w:hint="eastAsia" w:ascii="宋体" w:hAnsi="宋体" w:eastAsia="宋体" w:cs="宋体"/>
                <w:kern w:val="2"/>
                <w:sz w:val="21"/>
                <w:szCs w:val="21"/>
              </w:rPr>
            </w:pPr>
            <w:r>
              <w:rPr>
                <w:rFonts w:hint="eastAsia" w:ascii="宋体" w:hAnsi="宋体" w:eastAsia="宋体" w:cs="宋体"/>
                <w:color w:val="000000"/>
                <w:kern w:val="0"/>
                <w:sz w:val="21"/>
                <w:szCs w:val="21"/>
              </w:rPr>
              <w:t>▲</w:t>
            </w:r>
            <w:r>
              <w:rPr>
                <w:rFonts w:hint="eastAsia" w:ascii="宋体" w:hAnsi="宋体" w:eastAsia="宋体" w:cs="宋体"/>
                <w:kern w:val="2"/>
                <w:sz w:val="21"/>
                <w:szCs w:val="21"/>
              </w:rPr>
              <w:t>支持通过可视化组件，拖拉拽的方式，完成数据模型的设计。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数据资产</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提供资源目录、数据集管理、数仓分层管理、数据全文检索、检索报表功能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数据分析</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提供连接数据源，创建数据集，制作报告，查看报表，及系统和权限管理等一系列完整的数据分析功能；</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拥有优秀的可视化效果与友好的操作体验，包括丰富的图表样式、自定义报告主题、优秀的大屏展示能力等；</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具备前沿的数据分析技术，包括目标趋势分析、数据联动分析、统计分析、动态分析等；</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提供灵活可靠的分析查看功能，包括跨屏展示、自动保存恢复功能、优先级配置、分析查看模式等。</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数据处理覆盖常用的关系型数据库与多维数据库，方便用户快速访问数据库。通过连接不同的数据库，定义各种数据查询条件，产生最终的数据集，为以后的数据分析提供服务。</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调度任务支持用户设定任务触发条件或执行时间，系统将自动执行报告或数据任务，包括导出任务、发送邮件、导出CSV文件、导出到数据库、自定义任务、同步数据集数据、增量导入数据。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数据血缘</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1）支持通过数据集成任务对数据的来源和去向进行分析。</w:t>
            </w:r>
          </w:p>
          <w:p>
            <w:pPr>
              <w:widowControl/>
              <w:textAlignment w:val="baseline"/>
              <w:rPr>
                <w:rFonts w:hint="eastAsia" w:ascii="宋体" w:hAnsi="宋体" w:eastAsia="宋体" w:cs="宋体"/>
                <w:kern w:val="2"/>
                <w:sz w:val="21"/>
                <w:szCs w:val="21"/>
              </w:rPr>
            </w:pPr>
            <w:r>
              <w:rPr>
                <w:rFonts w:hint="eastAsia" w:ascii="宋体" w:hAnsi="宋体" w:eastAsia="宋体" w:cs="宋体"/>
                <w:color w:val="000000"/>
                <w:kern w:val="0"/>
                <w:sz w:val="21"/>
                <w:szCs w:val="21"/>
              </w:rPr>
              <w:t>▲</w:t>
            </w:r>
            <w:r>
              <w:rPr>
                <w:rFonts w:hint="eastAsia" w:ascii="宋体" w:hAnsi="宋体" w:eastAsia="宋体" w:cs="宋体"/>
                <w:kern w:val="2"/>
                <w:sz w:val="21"/>
                <w:szCs w:val="21"/>
              </w:rPr>
              <w:t>2）从数据集成任务中选择数据集成任务，对任务中的源数据表及字段与目标数据表及字段建立关联，通过图形化方式展示血缘关系</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3）基于图数据库进行数据血缘关系的存储。</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4）把数据资产、集成任务中需要建立数据血缘的相关信息进行模型设计，并通过数据血缘引擎存储到图数据库。图数据库直接存储了数据表及字段节点之间的依赖关系，并在关联上添加标签、方向以及属性。</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5）当数据血缘进行查询展示时，数据血缘引擎从图数据库获取相关信息，并进行图形化展示。</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数据门户</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numPr>
                <w:ilvl w:val="0"/>
                <w:numId w:val="9"/>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数据源展示已接入数据库概况，以及数量表最多的前10个数据库。</w:t>
            </w:r>
          </w:p>
          <w:p>
            <w:pPr>
              <w:widowControl/>
              <w:numPr>
                <w:ilvl w:val="0"/>
                <w:numId w:val="9"/>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按照数据分层展示数仓信息。包括各层的数据量、存储量访问查询情况。</w:t>
            </w:r>
          </w:p>
          <w:p>
            <w:pPr>
              <w:widowControl/>
              <w:numPr>
                <w:ilvl w:val="0"/>
                <w:numId w:val="9"/>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每日新增展示各层数据请求每日的变化情况，便于用户对今日系统运行状况有一个直观的了解及时发现异常。</w:t>
            </w:r>
          </w:p>
          <w:p>
            <w:pPr>
              <w:widowControl/>
              <w:numPr>
                <w:ilvl w:val="0"/>
                <w:numId w:val="9"/>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消息中心展示最新的系统通知、告警。</w:t>
            </w:r>
          </w:p>
        </w:tc>
      </w:tr>
    </w:tbl>
    <w:p>
      <w:pPr>
        <w:keepNext/>
        <w:keepLines/>
        <w:pageBreakBefore w:val="0"/>
        <w:widowControl w:val="0"/>
        <w:numPr>
          <w:ilvl w:val="2"/>
          <w:numId w:val="6"/>
        </w:numPr>
        <w:kinsoku/>
        <w:wordWrap/>
        <w:overflowPunct/>
        <w:topLinePunct w:val="0"/>
        <w:autoSpaceDE/>
        <w:autoSpaceDN/>
        <w:bidi w:val="0"/>
        <w:adjustRightInd/>
        <w:snapToGrid/>
        <w:spacing w:before="0" w:after="0" w:line="360" w:lineRule="auto"/>
        <w:ind w:left="510" w:leftChars="0" w:firstLineChars="0"/>
        <w:jc w:val="both"/>
        <w:textAlignment w:val="auto"/>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基于数据循证的决策支持系统</w:t>
      </w:r>
    </w:p>
    <w:p>
      <w:pPr>
        <w:pageBreakBefore w:val="0"/>
        <w:widowControl/>
        <w:kinsoku/>
        <w:wordWrap/>
        <w:overflowPunct/>
        <w:topLinePunct w:val="0"/>
        <w:autoSpaceDE/>
        <w:autoSpaceDN/>
        <w:bidi w:val="0"/>
        <w:adjustRightInd/>
        <w:snapToGrid/>
        <w:spacing w:line="360" w:lineRule="auto"/>
        <w:ind w:firstLine="482"/>
        <w:textAlignment w:val="baseline"/>
        <w:rPr>
          <w:rFonts w:hint="eastAsia" w:ascii="宋体" w:hAnsi="宋体" w:eastAsia="宋体" w:cs="宋体"/>
          <w:kern w:val="2"/>
          <w:sz w:val="24"/>
          <w:szCs w:val="24"/>
        </w:rPr>
      </w:pPr>
      <w:r>
        <w:rPr>
          <w:rFonts w:hint="eastAsia" w:ascii="宋体" w:hAnsi="宋体" w:eastAsia="宋体" w:cs="宋体"/>
          <w:kern w:val="2"/>
          <w:sz w:val="24"/>
          <w:szCs w:val="24"/>
        </w:rPr>
        <w:t>基于运营管理数据湖仓的数据基础建设数据循证决策支持系统，对医院运营相关的数据指标进行监控，为临床科室，医技科室，职能科室，院领导不同的关注指标设置不同的分析主题，展开深入分析，提供决策支持。系统指标在提供直观了解医院运行情况的同时，支持对重点指标项建立预警设置和提示。</w:t>
      </w:r>
    </w:p>
    <w:p>
      <w:pPr>
        <w:pageBreakBefore w:val="0"/>
        <w:widowControl/>
        <w:kinsoku/>
        <w:wordWrap/>
        <w:overflowPunct/>
        <w:topLinePunct w:val="0"/>
        <w:autoSpaceDE/>
        <w:autoSpaceDN/>
        <w:bidi w:val="0"/>
        <w:adjustRightInd/>
        <w:snapToGrid/>
        <w:spacing w:line="360" w:lineRule="auto"/>
        <w:ind w:firstLine="482"/>
        <w:textAlignment w:val="baseline"/>
        <w:rPr>
          <w:rFonts w:hint="eastAsia" w:ascii="宋体" w:hAnsi="宋体" w:eastAsia="宋体" w:cs="宋体"/>
          <w:kern w:val="2"/>
          <w:sz w:val="24"/>
          <w:szCs w:val="24"/>
        </w:rPr>
      </w:pPr>
      <w:r>
        <w:rPr>
          <w:rFonts w:hint="eastAsia" w:ascii="宋体" w:hAnsi="宋体" w:eastAsia="宋体" w:cs="宋体"/>
          <w:kern w:val="2"/>
          <w:sz w:val="24"/>
          <w:szCs w:val="24"/>
        </w:rPr>
        <w:t>系统需实现亿级数据量的实时查询与分析。同时提供各类型的可视化分析组件与多维度下钻分析，推动公立医院绩效考核目标由规模扩张型向质量效益型升级，利用信息化手段、加强数据分析，总体提升医院运营管理质量。</w:t>
      </w:r>
    </w:p>
    <w:tbl>
      <w:tblPr>
        <w:tblStyle w:val="22"/>
        <w:tblW w:w="4999"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1730"/>
        <w:gridCol w:w="778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textAlignment w:val="baseline"/>
              <w:rPr>
                <w:rFonts w:hint="eastAsia" w:ascii="宋体" w:hAnsi="宋体" w:eastAsia="宋体" w:cs="宋体"/>
                <w:b/>
                <w:kern w:val="2"/>
                <w:sz w:val="21"/>
                <w:szCs w:val="21"/>
              </w:rPr>
            </w:pPr>
            <w:r>
              <w:rPr>
                <w:rFonts w:hint="eastAsia" w:ascii="宋体" w:hAnsi="宋体" w:eastAsia="宋体" w:cs="宋体"/>
                <w:b/>
                <w:kern w:val="2"/>
                <w:sz w:val="21"/>
                <w:szCs w:val="21"/>
              </w:rPr>
              <w:t>功能列表</w:t>
            </w:r>
          </w:p>
        </w:tc>
        <w:tc>
          <w:tcPr>
            <w:tcW w:w="4090" w:type="pct"/>
            <w:tcBorders>
              <w:top w:val="single" w:color="auto" w:sz="4" w:space="0"/>
              <w:left w:val="single" w:color="auto" w:sz="4" w:space="0"/>
              <w:bottom w:val="single" w:color="auto" w:sz="4" w:space="0"/>
              <w:right w:val="single" w:color="auto" w:sz="6" w:space="0"/>
            </w:tcBorders>
            <w:shd w:val="clear" w:color="auto" w:fill="D9D9D9"/>
            <w:noWrap w:val="0"/>
            <w:vAlign w:val="center"/>
          </w:tcPr>
          <w:p>
            <w:pPr>
              <w:widowControl/>
              <w:textAlignment w:val="baseline"/>
              <w:rPr>
                <w:rFonts w:hint="eastAsia" w:ascii="宋体" w:hAnsi="宋体" w:eastAsia="宋体" w:cs="宋体"/>
                <w:b/>
                <w:kern w:val="2"/>
                <w:sz w:val="21"/>
                <w:szCs w:val="21"/>
              </w:rPr>
            </w:pPr>
            <w:r>
              <w:rPr>
                <w:rFonts w:hint="eastAsia" w:ascii="宋体" w:hAnsi="宋体" w:eastAsia="宋体" w:cs="宋体"/>
                <w:b/>
                <w:kern w:val="2"/>
                <w:sz w:val="21"/>
                <w:szCs w:val="21"/>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指标基础设置</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指标设置：指标设置模块是对所有医院指标的管理。包括指标分类、指标各种业务属性、采集属性、指标级别、指标参考值、BI页面绑定等；复合指标，可以通过可视化配置，以低代码的形式完成同主题下指标之间的公式计算的取数逻辑定义。</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color w:val="000000"/>
                <w:kern w:val="0"/>
                <w:sz w:val="21"/>
                <w:szCs w:val="21"/>
              </w:rPr>
              <w:t>▲</w:t>
            </w:r>
            <w:r>
              <w:rPr>
                <w:rFonts w:hint="eastAsia" w:ascii="宋体" w:hAnsi="宋体" w:eastAsia="宋体" w:cs="宋体"/>
                <w:kern w:val="2"/>
                <w:sz w:val="21"/>
                <w:szCs w:val="21"/>
              </w:rPr>
              <w:t>指标填报：系统填报表单支持自定义、个性化表单设计器，满足各类业务填报要求；需支持用户针对不同指标按照不同时间维度(年、季、月、日)和填报组织层级维度(院、科)完成指标的填报工作；填报模式支持手工填报、批量导入填报等多种模式。指标填报时支持上传doc、docx、xls、xlsx、jpg、png等类型文件作为指标的备注佐证材料，在实际分析时提供辅助支持。</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3、目标值管理：目标管理模块可以对定量指标进行目标设定，帮助用户通过目标监测对比的方式评估指标达标情况；目标值维护需要支持指标不同维度层级的目标值，如时间层级(年、季、月)和组织层级(院、科)；目标值维护支持页面填报，导出模版和批量导入，支持不同时间维度、不同组织层级的指标筛选；目标值维护支持时间维度、科室维度上的智能化拆解，可以将年度指标按照季度、月度进行自动拆解；维护好的目标值可以应用于例如公立医院绩效考核指标分析、三级医院等级评审指标分析、院内综合目标考核评价等，通过多维度多层级的统计、分析、监测，进行横向和纵向的参考对比和预警管理，增强指标目标的引导性。</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4、指标固化：指标结果固化功能需要支持指标数据结果的自动预处理与数据聚合固化功能；固化是可以按照时间维度和组织层级维度（院级、科级）的方式进行自动固化指标结果存储。固化结果可以直接应用于例如公立医院绩效考核指标分析、三级医院等级评审指标分析、院内绩效考核评价等，从而提升查询性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指标数据核对</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1、数据核对配置：系统需要支持对单个指标或多个指标批量设置核对人、审核人、复核人，确保指标权限严谨性；用户可自定义选择按照月度、季度、半年度、年度来核对指标数据。</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color w:val="000000"/>
                <w:kern w:val="0"/>
                <w:sz w:val="21"/>
                <w:szCs w:val="21"/>
              </w:rPr>
              <w:t>▲</w:t>
            </w:r>
            <w:r>
              <w:rPr>
                <w:rFonts w:hint="eastAsia" w:ascii="宋体" w:hAnsi="宋体" w:eastAsia="宋体" w:cs="宋体"/>
                <w:kern w:val="2"/>
                <w:sz w:val="21"/>
                <w:szCs w:val="21"/>
              </w:rPr>
              <w:t>数据核对：系统支持在线核对与Excel导出两种核对方式，当核对数据量较小时，在线核对方式更为便捷；当核对数据量较大时，通过Excel自带的查询、筛选等工具对数据进行快速查找、剔除，提供用户工作效率；数据核对后需要经过审核、复核操作，复核通过后，系统进行实时更新核对后的数据，剔除的明细数据将不纳入当前指标的统计范围内；系统提供核对日志查询，确保每一次数据操作有迹可循。</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spacing w:after="100" w:afterAutospacing="1"/>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指标分析报告</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系统可根据医院等级评审管理过程中所需的分析报告要求，结合日常监测数据，自动生成评审指标监测报告。指标监测报告可通过智能文本编辑器进行在线编辑，编辑器需支持以下功能：</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1、B/S架构的智能报告编辑器，编辑器的内核引擎是基于SVG元素的渲染。</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2、编辑器应采用先进的控件组设计报告文书的格式化模板，控件组中包含常用的界面控件如文本输入框、下拉选择框、选择输入框、签名输入框等。</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3、分析报告中通常是结构化元素和非结构化描述共存，要求结构化录入与自然语言录入在同一编辑界面下完成。</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4、满足基础的文书编辑需求，输入时能够任意插入文字、图片、表格等内容，并可对图片进行编辑。</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5、支持三级审签，上级审签提醒，提供批量审签及审签同时查阅功能。</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6、支持用户将现有报告内容保存为报告模板功能。</w:t>
            </w:r>
          </w:p>
          <w:p>
            <w:pPr>
              <w:widowControl/>
              <w:textAlignment w:val="baseline"/>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en-US" w:eastAsia="zh-CN"/>
              </w:rPr>
              <w:t>7、提供级联数据配置，根据输入内容，动态显示结构化的输入项目。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909" w:type="pct"/>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指标PDCA改进</w:t>
            </w:r>
          </w:p>
        </w:tc>
        <w:tc>
          <w:tcPr>
            <w:tcW w:w="4090" w:type="pct"/>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对于异常或者未达标指标发起PDCA整改，在进行指标BI查看分析过程中，用户发现某个指标异常，或者与设定的目标值差距较大时，可对此目标发起PDCA整改，责任科室接收到整改单后需要在线制定一系列计划与措施，发起部门可对此过程进行追踪监测。</w:t>
            </w:r>
          </w:p>
        </w:tc>
      </w:tr>
    </w:tbl>
    <w:p>
      <w:pPr>
        <w:keepNext/>
        <w:keepLines/>
        <w:pageBreakBefore w:val="0"/>
        <w:widowControl w:val="0"/>
        <w:numPr>
          <w:ilvl w:val="2"/>
          <w:numId w:val="6"/>
        </w:numPr>
        <w:kinsoku/>
        <w:wordWrap/>
        <w:overflowPunct/>
        <w:topLinePunct w:val="0"/>
        <w:autoSpaceDE/>
        <w:autoSpaceDN/>
        <w:bidi w:val="0"/>
        <w:adjustRightInd/>
        <w:snapToGrid/>
        <w:spacing w:before="0" w:after="0" w:line="360" w:lineRule="auto"/>
        <w:ind w:left="720" w:leftChars="0" w:firstLineChars="0"/>
        <w:jc w:val="both"/>
        <w:textAlignment w:val="auto"/>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综合目标管理系统</w:t>
      </w:r>
    </w:p>
    <w:p>
      <w:pPr>
        <w:pageBreakBefore w:val="0"/>
        <w:widowControl w:val="0"/>
        <w:kinsoku/>
        <w:wordWrap/>
        <w:overflowPunct/>
        <w:topLinePunct w:val="0"/>
        <w:autoSpaceDE w:val="0"/>
        <w:autoSpaceDN w:val="0"/>
        <w:bidi w:val="0"/>
        <w:adjustRightInd/>
        <w:snapToGrid/>
        <w:spacing w:before="161" w:after="100" w:afterAutospacing="1" w:line="360" w:lineRule="auto"/>
        <w:ind w:left="108" w:right="17"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于支持医院根据国考、三甲以及其它医院年度考核指标的日常管理需要，制定医院年度的综合目标考核体系。系统需支持将这些指标按照科室属性分配到各个科室，设置全院及各科室的指标年度目标及科室指标考核分值，开展日常医院运营目标监测和工作改进管理、考核评价、指标监测等工作，院领导、职能管理部门可实施查询到所关注指标数据的情况，基于指标与目标值之间的差距，发起PDCA持续改进活动。</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8"/>
        <w:gridCol w:w="7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738" w:type="dxa"/>
            <w:shd w:val="clear" w:color="auto" w:fill="D9D9D9"/>
            <w:noWrap w:val="0"/>
            <w:vAlign w:val="top"/>
          </w:tcPr>
          <w:p>
            <w:pPr>
              <w:widowControl w:val="0"/>
              <w:autoSpaceDE w:val="0"/>
              <w:autoSpaceDN w:val="0"/>
              <w:spacing w:before="81"/>
              <w:ind w:left="389"/>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功能列表</w:t>
            </w:r>
          </w:p>
        </w:tc>
        <w:tc>
          <w:tcPr>
            <w:tcW w:w="7821" w:type="dxa"/>
            <w:tcBorders>
              <w:right w:val="single" w:color="000000" w:sz="6" w:space="0"/>
            </w:tcBorders>
            <w:shd w:val="clear" w:color="auto" w:fill="D9D9D9"/>
            <w:noWrap w:val="0"/>
            <w:vAlign w:val="top"/>
          </w:tcPr>
          <w:p>
            <w:pPr>
              <w:widowControl w:val="0"/>
              <w:autoSpaceDE w:val="0"/>
              <w:autoSpaceDN w:val="0"/>
              <w:spacing w:before="81"/>
              <w:ind w:left="3409" w:right="3399"/>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6" w:hRule="atLeast"/>
          <w:jc w:val="center"/>
        </w:trPr>
        <w:tc>
          <w:tcPr>
            <w:tcW w:w="1738" w:type="dxa"/>
            <w:noWrap w:val="0"/>
            <w:vAlign w:val="center"/>
          </w:tcPr>
          <w:p>
            <w:pPr>
              <w:widowControl w:val="0"/>
              <w:autoSpaceDE w:val="0"/>
              <w:autoSpaceDN w:val="0"/>
              <w:spacing w:before="161" w:line="364" w:lineRule="auto"/>
              <w:ind w:left="107" w:right="18"/>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综合目标管理</w:t>
            </w:r>
          </w:p>
        </w:tc>
        <w:tc>
          <w:tcPr>
            <w:tcW w:w="7821" w:type="dxa"/>
            <w:tcBorders>
              <w:right w:val="single" w:color="000000" w:sz="6" w:space="0"/>
            </w:tcBorders>
            <w:noWrap w:val="0"/>
            <w:vAlign w:val="top"/>
          </w:tcPr>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一、综合目标管理要求实现动态监控各个环节的医疗质量与安全，为医院管理决策和质量持续改进提供更加科学规范精准的数据支持，提高医疗质量管理的工作效率，提升医院运营效益与核心竞争力。</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二、综合目标管理考核工作期限要求为一个自然年度，并采用“日常监测，年终考核”的方式对各科室进行考核评价，考核指标根据科室性质定义，指标范围涉及国家、市三级医院考核指标、三级医院评审指标、医院高质量发展指标。</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1、新建任务任务：用户通过新建目标任务，维护任务的基本信息、管理科室和目标管理任务有效期，自定义添加需要纳入综合目标管理的指标。</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2、目标与分值管理：不同科室参加考核的指标不同，设置的指标目标、指标得分也不同，系统提供单个、批量设置科室目标值、指标分值的功能，协助管理科室快捷设置综合目标考核规则。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jc w:val="center"/>
        </w:trPr>
        <w:tc>
          <w:tcPr>
            <w:tcW w:w="1738" w:type="dxa"/>
            <w:noWrap w:val="0"/>
            <w:vAlign w:val="center"/>
          </w:tcPr>
          <w:p>
            <w:pPr>
              <w:widowControl w:val="0"/>
              <w:autoSpaceDE w:val="0"/>
              <w:autoSpaceDN w:val="0"/>
              <w:spacing w:before="161" w:line="364" w:lineRule="auto"/>
              <w:ind w:right="18"/>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目标制定（P）</w:t>
            </w:r>
          </w:p>
        </w:tc>
        <w:tc>
          <w:tcPr>
            <w:tcW w:w="7821" w:type="dxa"/>
            <w:tcBorders>
              <w:right w:val="single" w:color="000000" w:sz="6" w:space="0"/>
            </w:tcBorders>
            <w:noWrap w:val="0"/>
            <w:vAlign w:val="top"/>
          </w:tcPr>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lang w:val="zh-CN" w:eastAsia="zh-CN"/>
              </w:rPr>
              <w:t>▲</w:t>
            </w:r>
            <w:r>
              <w:rPr>
                <w:rFonts w:hint="eastAsia" w:ascii="宋体" w:hAnsi="宋体" w:eastAsia="宋体" w:cs="宋体"/>
                <w:kern w:val="2"/>
                <w:sz w:val="21"/>
                <w:szCs w:val="21"/>
                <w:lang w:val="en-US" w:eastAsia="zh-CN"/>
              </w:rPr>
              <w:t>需支持按照年份和指标分类查询对应分类下的目标管理情况，对各个科室的指标目标值与实际统计值的对比情况一目了然。</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val="zh-CN" w:eastAsia="zh-CN"/>
              </w:rPr>
              <w:t>▲</w:t>
            </w:r>
            <w:r>
              <w:rPr>
                <w:rFonts w:hint="eastAsia" w:ascii="宋体" w:hAnsi="宋体" w:eastAsia="宋体" w:cs="宋体"/>
                <w:kern w:val="2"/>
                <w:sz w:val="21"/>
                <w:szCs w:val="21"/>
                <w:lang w:val="en-US" w:eastAsia="zh-CN"/>
              </w:rPr>
              <w:t>系统需同时支持根据实际值与目标值进行计分规则打分，点击“BI分析”可跳转查看对应科室的指标BI分析详情。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jc w:val="center"/>
        </w:trPr>
        <w:tc>
          <w:tcPr>
            <w:tcW w:w="1738" w:type="dxa"/>
            <w:noWrap w:val="0"/>
            <w:vAlign w:val="center"/>
          </w:tcPr>
          <w:p>
            <w:pPr>
              <w:widowControl w:val="0"/>
              <w:autoSpaceDE w:val="0"/>
              <w:autoSpaceDN w:val="0"/>
              <w:spacing w:before="161" w:line="364" w:lineRule="auto"/>
              <w:ind w:left="107" w:right="18"/>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任务下达（D）</w:t>
            </w:r>
          </w:p>
        </w:tc>
        <w:tc>
          <w:tcPr>
            <w:tcW w:w="7821" w:type="dxa"/>
            <w:tcBorders>
              <w:right w:val="single" w:color="000000" w:sz="6" w:space="0"/>
            </w:tcBorders>
            <w:noWrap w:val="0"/>
            <w:vAlign w:val="top"/>
          </w:tcPr>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zh-CN" w:eastAsia="zh-CN"/>
              </w:rPr>
              <w:t>▲</w:t>
            </w:r>
            <w:r>
              <w:rPr>
                <w:rFonts w:hint="eastAsia" w:ascii="宋体" w:hAnsi="宋体" w:eastAsia="宋体" w:cs="宋体"/>
                <w:kern w:val="2"/>
                <w:sz w:val="21"/>
                <w:szCs w:val="21"/>
                <w:lang w:val="en-US" w:eastAsia="zh-CN"/>
              </w:rPr>
              <w:t>通过对比统计值是否按照目标设定值达到目标，可以选择对该指标发起PDCA整改，发起者在整改单中填写描述监测结果，选择整改任务接受科室与人员，并保存发布PDAC整改任务。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jc w:val="center"/>
        </w:trPr>
        <w:tc>
          <w:tcPr>
            <w:tcW w:w="1738" w:type="dxa"/>
            <w:noWrap w:val="0"/>
            <w:vAlign w:val="center"/>
          </w:tcPr>
          <w:p>
            <w:pPr>
              <w:widowControl w:val="0"/>
              <w:autoSpaceDE w:val="0"/>
              <w:autoSpaceDN w:val="0"/>
              <w:ind w:left="108"/>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监测追踪（C）</w:t>
            </w:r>
          </w:p>
        </w:tc>
        <w:tc>
          <w:tcPr>
            <w:tcW w:w="7821" w:type="dxa"/>
            <w:tcBorders>
              <w:right w:val="single" w:color="000000" w:sz="6" w:space="0"/>
            </w:tcBorders>
            <w:noWrap w:val="0"/>
            <w:vAlign w:val="top"/>
          </w:tcPr>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1、PDCA整改任务发起者在发布整改任务后，可以实时监测整改科室的整改情况，并对整改结果进行监测批注、检查、总结处理，形成医院运营管理的资产，作为制定相关考核管理制度的依据。</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2、PDCA整改记录单支持下载存档。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738" w:type="dxa"/>
            <w:noWrap w:val="0"/>
            <w:vAlign w:val="center"/>
          </w:tcPr>
          <w:p>
            <w:pPr>
              <w:widowControl w:val="0"/>
              <w:autoSpaceDE w:val="0"/>
              <w:autoSpaceDN w:val="0"/>
              <w:ind w:left="108"/>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问题处理（C）</w:t>
            </w:r>
          </w:p>
        </w:tc>
        <w:tc>
          <w:tcPr>
            <w:tcW w:w="7821" w:type="dxa"/>
            <w:tcBorders>
              <w:right w:val="single" w:color="000000" w:sz="6" w:space="0"/>
            </w:tcBorders>
            <w:noWrap w:val="0"/>
            <w:vAlign w:val="top"/>
          </w:tcPr>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1、用户在接收到整改任务后，可在整改记录单中填写问题原因、整改计划、实施措施等内容，上传整改过程收集或生成的佐证材料。</w:t>
            </w:r>
          </w:p>
          <w:p>
            <w:pPr>
              <w:widowControl/>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2、对于整改周期较长的任务，用户可以分批填写整改计划与相关措施，填写后进行提交操作，整改任务发起科室即可查看填写的内容，并对相关计划和措施的执行进行监测追踪。</w:t>
            </w:r>
          </w:p>
        </w:tc>
      </w:tr>
    </w:tbl>
    <w:p>
      <w:pPr>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403" w:leftChars="0" w:firstLine="643" w:firstLineChars="0"/>
        <w:jc w:val="both"/>
        <w:textAlignment w:val="auto"/>
        <w:outlineLvl w:val="2"/>
        <w:rPr>
          <w:rFonts w:hint="eastAsia" w:ascii="宋体" w:hAnsi="宋体" w:eastAsia="宋体" w:cs="宋体"/>
          <w:b/>
          <w:kern w:val="2"/>
          <w:sz w:val="24"/>
          <w:szCs w:val="24"/>
          <w:lang w:val="en-US" w:eastAsia="zh-CN" w:bidi="ar-SA"/>
        </w:rPr>
      </w:pPr>
      <w:bookmarkStart w:id="141" w:name="_Toc116496117"/>
      <w:bookmarkStart w:id="142" w:name="_Toc116496104"/>
      <w:r>
        <w:rPr>
          <w:rFonts w:hint="eastAsia" w:ascii="宋体" w:hAnsi="宋体" w:eastAsia="宋体" w:cs="宋体"/>
          <w:b/>
          <w:kern w:val="2"/>
          <w:sz w:val="24"/>
          <w:szCs w:val="24"/>
          <w:lang w:val="en-US" w:eastAsia="zh-CN" w:bidi="ar-SA"/>
        </w:rPr>
        <w:t>医院等级评审</w:t>
      </w:r>
      <w:bookmarkEnd w:id="141"/>
      <w:r>
        <w:rPr>
          <w:rFonts w:hint="eastAsia" w:ascii="宋体" w:hAnsi="宋体" w:eastAsia="宋体" w:cs="宋体"/>
          <w:b/>
          <w:kern w:val="2"/>
          <w:sz w:val="24"/>
          <w:szCs w:val="24"/>
          <w:lang w:val="en-US" w:eastAsia="zh-CN" w:bidi="ar-SA"/>
        </w:rPr>
        <w:t>评价管理系统</w:t>
      </w:r>
    </w:p>
    <w:p>
      <w:pPr>
        <w:pageBreakBefore w:val="0"/>
        <w:widowControl w:val="0"/>
        <w:kinsoku/>
        <w:wordWrap/>
        <w:overflowPunct/>
        <w:topLinePunct w:val="0"/>
        <w:autoSpaceDE w:val="0"/>
        <w:autoSpaceDN w:val="0"/>
        <w:bidi w:val="0"/>
        <w:adjustRightInd/>
        <w:snapToGrid/>
        <w:spacing w:before="161" w:line="360" w:lineRule="auto"/>
        <w:ind w:left="107" w:right="18"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系统需内置《三级医院评审标准（2020 年版）陕西省实施细则》，并提供标准查阅、条款分配、自动生成评审报告等功能，引导并协助医院完成评审前的多次自评工作，并将自评结果自动汇总，减轻人工评审负担，提高医院进行等级评审的日常管理工作效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750"/>
        <w:gridCol w:w="6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shd w:val="clear" w:color="auto" w:fill="D9D9D9"/>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功能列表</w:t>
            </w:r>
          </w:p>
        </w:tc>
        <w:tc>
          <w:tcPr>
            <w:tcW w:w="6231" w:type="dxa"/>
            <w:shd w:val="clear" w:color="auto" w:fill="D9D9D9"/>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查阅标准</w:t>
            </w:r>
          </w:p>
        </w:tc>
        <w:tc>
          <w:tcPr>
            <w:tcW w:w="6231" w:type="dxa"/>
            <w:noWrap w:val="0"/>
            <w:vAlign w:val="top"/>
          </w:tcPr>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提供查阅</w:t>
            </w:r>
            <w:bookmarkStart w:id="143" w:name="_Hlk119759571"/>
            <w:r>
              <w:rPr>
                <w:rFonts w:hint="eastAsia" w:ascii="宋体" w:hAnsi="宋体" w:eastAsia="宋体" w:cs="宋体"/>
                <w:kern w:val="2"/>
                <w:sz w:val="21"/>
                <w:szCs w:val="21"/>
              </w:rPr>
              <w:t>《三级医院评审标准（2020 年版）陕西省实施细则》</w:t>
            </w:r>
            <w:bookmarkEnd w:id="143"/>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0"/>
                <w:sz w:val="21"/>
                <w:szCs w:val="21"/>
              </w:rPr>
              <w:t>系统内置参考资料，供医院进行评审参考</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支持自定义导入参考资料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条款分配</w:t>
            </w:r>
          </w:p>
        </w:tc>
        <w:tc>
          <w:tcPr>
            <w:tcW w:w="6231" w:type="dxa"/>
            <w:noWrap w:val="0"/>
            <w:vAlign w:val="top"/>
          </w:tcPr>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支持单一条款分配</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支持多条款批量分配</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支持条款二级分配</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color w:val="0000FF"/>
                <w:kern w:val="2"/>
                <w:sz w:val="21"/>
                <w:szCs w:val="21"/>
              </w:rPr>
              <w:t>支持各级条款赋分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评审批次</w:t>
            </w:r>
          </w:p>
        </w:tc>
        <w:tc>
          <w:tcPr>
            <w:tcW w:w="6231" w:type="dxa"/>
            <w:noWrap w:val="0"/>
            <w:vAlign w:val="top"/>
          </w:tcPr>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支持创建多个评审批次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评审任务</w:t>
            </w:r>
          </w:p>
        </w:tc>
        <w:tc>
          <w:tcPr>
            <w:tcW w:w="178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评审人员任务</w:t>
            </w:r>
          </w:p>
        </w:tc>
        <w:tc>
          <w:tcPr>
            <w:tcW w:w="6231" w:type="dxa"/>
            <w:noWrap w:val="0"/>
            <w:vAlign w:val="top"/>
          </w:tcPr>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支持评审人员进行自评</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支持评审人员上传条款相关的评审佐证材料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p>
        </w:tc>
        <w:tc>
          <w:tcPr>
            <w:tcW w:w="178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审核人员任务</w:t>
            </w:r>
          </w:p>
        </w:tc>
        <w:tc>
          <w:tcPr>
            <w:tcW w:w="6231" w:type="dxa"/>
            <w:noWrap w:val="0"/>
            <w:vAlign w:val="top"/>
          </w:tcPr>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支持审核人员对自评结果进行审核、填写审核意见等</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支持批量审核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p>
        </w:tc>
        <w:tc>
          <w:tcPr>
            <w:tcW w:w="178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监管人员任务</w:t>
            </w:r>
          </w:p>
        </w:tc>
        <w:tc>
          <w:tcPr>
            <w:tcW w:w="6231" w:type="dxa"/>
            <w:noWrap w:val="0"/>
            <w:vAlign w:val="top"/>
          </w:tcPr>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支持监管人员填写监管意见等</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支持批量填写监管意见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评审统计报告</w:t>
            </w:r>
          </w:p>
        </w:tc>
        <w:tc>
          <w:tcPr>
            <w:tcW w:w="6231" w:type="dxa"/>
            <w:noWrap w:val="0"/>
            <w:vAlign w:val="top"/>
          </w:tcPr>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支持查看评审统计报告及评审明细内容</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color w:val="0000FF"/>
                <w:kern w:val="2"/>
                <w:sz w:val="21"/>
                <w:szCs w:val="21"/>
              </w:rPr>
            </w:pPr>
            <w:r>
              <w:rPr>
                <w:rFonts w:hint="eastAsia" w:ascii="宋体" w:hAnsi="宋体" w:eastAsia="宋体" w:cs="宋体"/>
                <w:color w:val="0000FF"/>
                <w:kern w:val="2"/>
                <w:sz w:val="21"/>
                <w:szCs w:val="21"/>
              </w:rPr>
              <w:t>支持根据各批次自评分数完成得分统计</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支持多个评审批次自评结果对比分析</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bookmarkStart w:id="144" w:name="_Hlk119761637"/>
            <w:r>
              <w:rPr>
                <w:rFonts w:hint="eastAsia" w:ascii="宋体" w:hAnsi="宋体" w:eastAsia="宋体" w:cs="宋体"/>
                <w:kern w:val="2"/>
                <w:sz w:val="21"/>
                <w:szCs w:val="21"/>
              </w:rPr>
              <w:t>支持查看评审批次的所有任务进度情况，部门评审任务、评审人员任务、主管人员任务、监管人员任务、主管条款分配进度等</w:t>
            </w:r>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文档管理</w:t>
            </w:r>
          </w:p>
        </w:tc>
        <w:tc>
          <w:tcPr>
            <w:tcW w:w="6231" w:type="dxa"/>
            <w:noWrap w:val="0"/>
            <w:vAlign w:val="top"/>
          </w:tcPr>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支持按评审细则及自定义目录自动将文档归类管理，可随时查阅</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建立医院评审资料库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系统设置</w:t>
            </w:r>
          </w:p>
        </w:tc>
        <w:tc>
          <w:tcPr>
            <w:tcW w:w="178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人员设置</w:t>
            </w:r>
          </w:p>
        </w:tc>
        <w:tc>
          <w:tcPr>
            <w:tcW w:w="6231" w:type="dxa"/>
            <w:noWrap w:val="0"/>
            <w:vAlign w:val="top"/>
          </w:tcPr>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支持设置评审相关人员</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支持设置主管相关人员</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color w:val="0000FF"/>
                <w:kern w:val="2"/>
                <w:sz w:val="21"/>
                <w:szCs w:val="21"/>
              </w:rPr>
              <w:t>支持各级指标赋分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p>
        </w:tc>
        <w:tc>
          <w:tcPr>
            <w:tcW w:w="178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评审工作设置</w:t>
            </w:r>
          </w:p>
        </w:tc>
        <w:tc>
          <w:tcPr>
            <w:tcW w:w="6231" w:type="dxa"/>
            <w:noWrap w:val="0"/>
            <w:vAlign w:val="top"/>
          </w:tcPr>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支持设置专家检查组</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支持设置条款分配和解除人员</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支持设置主管和监管意见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用户管理</w:t>
            </w:r>
          </w:p>
        </w:tc>
        <w:tc>
          <w:tcPr>
            <w:tcW w:w="178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部门管理</w:t>
            </w:r>
          </w:p>
        </w:tc>
        <w:tc>
          <w:tcPr>
            <w:tcW w:w="6231" w:type="dxa"/>
            <w:noWrap w:val="0"/>
            <w:vAlign w:val="top"/>
          </w:tcPr>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管理维护科室、科室类别信息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p>
        </w:tc>
        <w:tc>
          <w:tcPr>
            <w:tcW w:w="178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用户管理</w:t>
            </w:r>
          </w:p>
        </w:tc>
        <w:tc>
          <w:tcPr>
            <w:tcW w:w="6231" w:type="dxa"/>
            <w:noWrap w:val="0"/>
            <w:vAlign w:val="top"/>
          </w:tcPr>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管理维护登录用户信息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p>
        </w:tc>
        <w:tc>
          <w:tcPr>
            <w:tcW w:w="178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角色管理</w:t>
            </w:r>
          </w:p>
        </w:tc>
        <w:tc>
          <w:tcPr>
            <w:tcW w:w="6231" w:type="dxa"/>
            <w:noWrap w:val="0"/>
            <w:vAlign w:val="top"/>
          </w:tcPr>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hanging="420"/>
              <w:textAlignment w:val="auto"/>
              <w:rPr>
                <w:rFonts w:hint="eastAsia" w:ascii="宋体" w:hAnsi="宋体" w:eastAsia="宋体" w:cs="宋体"/>
                <w:kern w:val="2"/>
                <w:sz w:val="21"/>
                <w:szCs w:val="21"/>
              </w:rPr>
            </w:pPr>
            <w:r>
              <w:rPr>
                <w:rFonts w:hint="eastAsia" w:ascii="宋体" w:hAnsi="宋体" w:eastAsia="宋体" w:cs="宋体"/>
                <w:kern w:val="2"/>
                <w:sz w:val="21"/>
                <w:szCs w:val="21"/>
              </w:rPr>
              <w:t>管理不同角色对用户资源和用户的权限分配</w:t>
            </w:r>
          </w:p>
        </w:tc>
      </w:tr>
    </w:tbl>
    <w:p>
      <w:pPr>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403" w:leftChars="0" w:firstLine="643" w:firstLineChars="0"/>
        <w:jc w:val="both"/>
        <w:textAlignment w:val="auto"/>
        <w:outlineLvl w:val="2"/>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医院等级评审指标</w:t>
      </w:r>
      <w:bookmarkEnd w:id="142"/>
      <w:r>
        <w:rPr>
          <w:rFonts w:hint="eastAsia" w:ascii="宋体" w:hAnsi="宋体" w:eastAsia="宋体" w:cs="宋体"/>
          <w:b/>
          <w:kern w:val="2"/>
          <w:sz w:val="24"/>
          <w:szCs w:val="24"/>
          <w:lang w:val="en-US" w:eastAsia="zh-CN" w:bidi="ar-SA"/>
        </w:rPr>
        <w:t>数据服务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陕西省卫生健康委员会发布的《三级医院评审标准（2020年版）陕西省实施细则》要求，通过数据采集、治理、分析，并在数据循证决策支持系统页面上按照评审标准第二部监测指标目录展示三级医院评审标准相关的指标体系。内容包括医院资源配置、质量、安全、服务、绩效等指标监测、DRG 评价、单病种和重点医疗技术质控等日常监测数据。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数据需根据指标特性支持指标卡片、柱状图、折线图、饼状图、环形图、散点图、雷达图等可视化图形展示。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对于基础数据粒度足够细化的指标，需支持按照年、月度进行下钻分析，包括下钻跳转至科室、医生层级查看数据。支持图形间的数据联动分析，提供指标的目标值等辅助分析。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支持指标导出，可根据时间范围导出可视化图片、表格明细数据等。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支持各指标按照各地需求进行本地化适配，指标可以自定义配置。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根据医院实际数据情况进行数据采集，对于无直接数据源的指标，系统需要提供手工填报功能模块。</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指标需按如下范围进行采集分析（对于医院未开展的业务指标可不做要求）</w:t>
      </w:r>
    </w:p>
    <w:tbl>
      <w:tblPr>
        <w:tblStyle w:val="2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textAlignment w:val="baseline"/>
              <w:rPr>
                <w:rFonts w:hint="eastAsia" w:ascii="宋体" w:hAnsi="宋体" w:eastAsia="宋体" w:cs="宋体"/>
                <w:b/>
                <w:kern w:val="2"/>
                <w:sz w:val="21"/>
                <w:szCs w:val="21"/>
              </w:rPr>
            </w:pPr>
            <w:r>
              <w:rPr>
                <w:rFonts w:hint="eastAsia" w:ascii="宋体" w:hAnsi="宋体" w:eastAsia="宋体" w:cs="宋体"/>
                <w:b/>
                <w:kern w:val="2"/>
                <w:sz w:val="21"/>
                <w:szCs w:val="21"/>
              </w:rPr>
              <w:t>指标列表</w:t>
            </w:r>
          </w:p>
        </w:tc>
        <w:tc>
          <w:tcPr>
            <w:tcW w:w="7214" w:type="dxa"/>
            <w:tcBorders>
              <w:top w:val="single" w:color="auto" w:sz="4" w:space="0"/>
              <w:left w:val="single" w:color="auto" w:sz="4" w:space="0"/>
              <w:bottom w:val="single" w:color="auto" w:sz="4" w:space="0"/>
              <w:right w:val="single" w:color="auto" w:sz="6" w:space="0"/>
            </w:tcBorders>
            <w:shd w:val="clear" w:color="auto" w:fill="D9D9D9"/>
            <w:noWrap w:val="0"/>
            <w:vAlign w:val="center"/>
          </w:tcPr>
          <w:p>
            <w:pPr>
              <w:widowControl/>
              <w:textAlignment w:val="baseline"/>
              <w:rPr>
                <w:rFonts w:hint="eastAsia" w:ascii="宋体" w:hAnsi="宋体" w:eastAsia="宋体" w:cs="宋体"/>
                <w:b/>
                <w:kern w:val="2"/>
                <w:sz w:val="21"/>
                <w:szCs w:val="21"/>
              </w:rPr>
            </w:pPr>
            <w:r>
              <w:rPr>
                <w:rFonts w:hint="eastAsia" w:ascii="宋体" w:hAnsi="宋体" w:eastAsia="宋体" w:cs="宋体"/>
                <w:b/>
                <w:kern w:val="2"/>
                <w:sz w:val="21"/>
                <w:szCs w:val="21"/>
              </w:rPr>
              <w:t>指标要求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资源配置与运行数据指标</w:t>
            </w:r>
          </w:p>
        </w:tc>
        <w:tc>
          <w:tcPr>
            <w:tcW w:w="7214" w:type="dxa"/>
            <w:tcBorders>
              <w:top w:val="single" w:color="auto" w:sz="4" w:space="0"/>
              <w:left w:val="single" w:color="auto" w:sz="4" w:space="0"/>
              <w:bottom w:val="single" w:color="auto" w:sz="4" w:space="0"/>
              <w:right w:val="single" w:color="auto" w:sz="6" w:space="0"/>
            </w:tcBorders>
            <w:noWrap w:val="0"/>
            <w:vAlign w:val="center"/>
          </w:tcPr>
          <w:p>
            <w:pPr>
              <w:rPr>
                <w:rFonts w:hint="eastAsia" w:ascii="宋体" w:hAnsi="宋体" w:eastAsia="宋体" w:cs="宋体"/>
                <w:kern w:val="2"/>
                <w:sz w:val="21"/>
                <w:szCs w:val="21"/>
              </w:rPr>
            </w:pPr>
            <w:r>
              <w:rPr>
                <w:rFonts w:hint="eastAsia" w:ascii="宋体" w:hAnsi="宋体" w:eastAsia="宋体" w:cs="宋体"/>
                <w:kern w:val="2"/>
                <w:sz w:val="21"/>
                <w:szCs w:val="21"/>
              </w:rPr>
              <w:t>提供资源配置各指标根据目标值对比查看；</w:t>
            </w:r>
          </w:p>
          <w:p>
            <w:pPr>
              <w:rPr>
                <w:rFonts w:hint="eastAsia" w:ascii="宋体" w:hAnsi="宋体" w:eastAsia="宋体" w:cs="宋体"/>
                <w:kern w:val="2"/>
                <w:sz w:val="21"/>
                <w:szCs w:val="21"/>
              </w:rPr>
            </w:pPr>
            <w:r>
              <w:rPr>
                <w:rFonts w:hint="eastAsia" w:ascii="宋体" w:hAnsi="宋体" w:eastAsia="宋体" w:cs="宋体"/>
                <w:kern w:val="2"/>
                <w:sz w:val="21"/>
                <w:szCs w:val="21"/>
              </w:rPr>
              <w:t>提供人力资源、床位资源等指标年度趋势对比分析、科室对比分析；</w:t>
            </w:r>
          </w:p>
          <w:p>
            <w:pPr>
              <w:rPr>
                <w:rFonts w:hint="eastAsia" w:ascii="宋体" w:hAnsi="宋体" w:eastAsia="宋体" w:cs="宋体"/>
                <w:kern w:val="2"/>
                <w:sz w:val="21"/>
                <w:szCs w:val="21"/>
              </w:rPr>
            </w:pPr>
            <w:r>
              <w:rPr>
                <w:rFonts w:hint="eastAsia" w:ascii="宋体" w:hAnsi="宋体" w:eastAsia="宋体" w:cs="宋体"/>
                <w:kern w:val="2"/>
                <w:sz w:val="21"/>
                <w:szCs w:val="21"/>
              </w:rPr>
              <w:t>提供人员支出占业务支出的比重、门诊次均费用增幅、住院次均费用增幅等运行指标年度趋势对比分析。</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医疗服务能力与医院质量安全指标</w:t>
            </w:r>
          </w:p>
        </w:tc>
        <w:tc>
          <w:tcPr>
            <w:tcW w:w="7214" w:type="dxa"/>
            <w:tcBorders>
              <w:top w:val="single" w:color="auto" w:sz="4" w:space="0"/>
              <w:left w:val="single" w:color="auto" w:sz="4" w:space="0"/>
              <w:bottom w:val="single" w:color="auto" w:sz="4" w:space="0"/>
              <w:right w:val="single" w:color="auto" w:sz="6" w:space="0"/>
            </w:tcBorders>
            <w:noWrap w:val="0"/>
            <w:vAlign w:val="center"/>
          </w:tcPr>
          <w:p>
            <w:pPr>
              <w:widowControl/>
              <w:numPr>
                <w:ilvl w:val="4"/>
                <w:numId w:val="23"/>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医疗服务能力指标</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提供全院DRG 产能指标、全院DRG 效率指标、全院DRG 安全指标、出院患者手术类质保及各科室相应指标分析；</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提供医疗服务能力控制各指标根据目标值对比查看、科室对比分析；</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提供医疗服务能力控制各指标年度趋势对比分析。</w:t>
            </w:r>
          </w:p>
          <w:p>
            <w:pPr>
              <w:widowControl/>
              <w:numPr>
                <w:ilvl w:val="4"/>
                <w:numId w:val="23"/>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医院质量指标</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提供年度国家医疗质量安全目标改进情况：包括提高急性ST 段抬高型心肌梗死再灌注治疗率、提高急性脑梗死再灌注治疗率、降低血管内导管相关血流感染发生率等指标年度趋势对比分析、科室对比分析；</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提供患者住院总死亡、新生儿患者住院死亡率、手术患者住院死亡率、DRGs 低风险组患者住院死亡率、ICD 低风险病种患者住院死亡率、住院患者出院后 0-31 天非预期再住院率指标的年度趋势对比分析；</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提供医疗质量各指标根据目标值对比查看；</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提供医疗质量各指标年度趋势对比分析、科室对比分析。</w:t>
            </w:r>
          </w:p>
          <w:p>
            <w:pPr>
              <w:widowControl/>
              <w:numPr>
                <w:ilvl w:val="4"/>
                <w:numId w:val="23"/>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医疗安全指标（年度医院获得性指标）</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手术患者手术后肺栓塞发生例数和发生率、手术患者手术后深静脉血栓发生例数和发生率、手术患者手术后败血症发生例数和发生率、手术患者手术后出血或血肿发生例数和发生率等医疗安全指标年度趋势对比分析、科室对比分析；</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提供医疗安全各指标根据目标值对比查看。</w:t>
            </w:r>
          </w:p>
          <w:p>
            <w:pPr>
              <w:widowControl/>
              <w:numPr>
                <w:ilvl w:val="4"/>
                <w:numId w:val="23"/>
              </w:numPr>
              <w:ind w:left="420" w:hanging="42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满意度评价相关指标</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提供门诊患者总体满意度、住院患者总体满意度、员工总体满意度(医务人员满意度)年度分值。</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重点专业质量控制指标</w:t>
            </w:r>
          </w:p>
        </w:tc>
        <w:tc>
          <w:tcPr>
            <w:tcW w:w="7214" w:type="dxa"/>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提供19个重点专业指标的结果，按照年、季、月不同的时间周期查看各指标变化趋势展示。</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提供比率型指标需根据指标的分子和分母对应的患者明细分别进行展示，展示信息需包括患者姓名、患者编号、就诊号、科室等，并且支持患者明细的导出，便于医院进行指标的核验和确认。</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提供重点专业质量控制各指标根据目标值对比查看。</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各重点专业质量控制指标版本如下：</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一、麻醉专业医疗质量控制指标（2022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二、重症医学专业医疗质量控制指标（2015 年版）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三、急诊专业医疗质量控制指标（2015 年版）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四、临床检验专业医疗质量控制指标（2015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五、病理专业医疗质量控制指标（2015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六、医院感染管理医疗质量控制指标（2015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七、临床用血质量控制指标（2019 年版）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八、呼吸内科专业医疗质量控制指标（2019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九、产科专业医疗质量控制指标（2019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十、神经系统疾病医疗质量控制指标（2020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十一、肾病专业医疗质量控制指标（2020 年版）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十二、护理专业医疗质量控制指标（2020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十三、药事管理专业医疗质量控制指标（2020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十四、心血管专业医疗质量控制指标（2021年版）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十五、病案管理质量控制指标（2021年版）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十六、超声诊断专业医疗质量控制指标（2022年版）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十七、康复医学专业医疗质量控制指标（2022年版）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十八、临床营养专业医疗质量控制指标（2022年版）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十九、消化内镜诊疗技术医疗质量控制指标（2022年版）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单病种（术种）质量控制指标</w:t>
            </w:r>
          </w:p>
        </w:tc>
        <w:tc>
          <w:tcPr>
            <w:tcW w:w="7214" w:type="dxa"/>
            <w:tcBorders>
              <w:top w:val="single" w:color="auto" w:sz="4" w:space="0"/>
              <w:left w:val="single" w:color="auto" w:sz="4" w:space="0"/>
              <w:bottom w:val="single" w:color="auto" w:sz="4" w:space="0"/>
              <w:right w:val="single" w:color="auto" w:sz="6"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提供51个单病种（术种）质量控制指标结果，按照年、季、月不同的时间周期查看各指标变化趋势。</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每个单病种（术种）设5 个监测指标：单病种例数、病历上报率、平均住院日、次均费用、病死率。</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比率型指标需根据指标的分子和分母对应的患者明细分别进行展示，展示信息需包括患者姓名、患者编号、就诊号、科室等，并且支持患者明细的导出，方便医院进行指标的核验和确认。</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提供各病种的平均住院日、次均费用指标目标值对比查看。</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病种（术种）包含以下内容：</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一、急性心肌梗死（ST 段抬高型，首次住院）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二、心力衰竭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三、冠状动脉旁路移植术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四、房颤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五、主动脉瓣置换术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六、二尖瓣置换术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七、房间隔缺损手术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八、室间隔缺损手术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九、脑梗死（首次住院）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十、短暂性脑缺血发作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十一、脑出血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十二、脑膜瘤（初发，手术治疗）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十三、胶质瘤（初发，手术治疗）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十四、垂体腺瘤（初发，手术治疗）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十五、急性动脉瘤性蛛网膜下腔出血（初发，手术治疗）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十六、惊厥性癫痫持续状态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十七、帕金森病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十八、社区获得性肺炎（成人，首次住院）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十九、社区获得性肺炎（儿童，首次住院）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二十、慢性阻塞性肺疾病（急性发作，住院）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二十一、哮喘（成人，急性发作，住院）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二十二、哮喘（儿童，住院）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二十三、髋关节置换术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二十四、膝关节置换术二十五、发育性髋关节发育不良（手术治疗）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二十六、剖宫产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二十七、异位妊娠（手术治疗）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二十八、子宫肌瘤（手术治疗）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二十九、肺癌（手术治疗）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三十、甲状腺癌（手术治疗）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三十一、乳腺癌（手术治疗）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三十二、胃癌（手术治疗）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三十三、结肠癌（手术治疗）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三十四、宫颈癌（手术治疗）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三十五、糖尿病肾病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三十六、终末期肾病血液透析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三十七、终末期肾病腹膜透析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三十八、舌鳞状细胞癌（手术治疗）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三十九、腮腺肿瘤（手术治疗）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四十、口腔种植术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四十一、原发性急性闭角型青光眼（手术治疗）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四十二、复杂性视网膜脱离（手术治疗）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四十三、围手术期预防感染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四十四、围手术期预防深静脉血栓栓塞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四十五、住院精神疾病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四十六、中高危风险患者预防静脉血栓栓塞症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四十七、感染性休克早期治疗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四十八、儿童急性淋巴细胞白血病（初始诱导化疗）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四十九、儿童急性早幼粒细胞白血病（初始化疗）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 xml:space="preserve">五十、甲状腺结节（手术治疗）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五十一、HBV 感染分娩母婴阻断</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重点医疗技术临床应用质量控制指标</w:t>
            </w:r>
          </w:p>
        </w:tc>
        <w:tc>
          <w:tcPr>
            <w:tcW w:w="7214" w:type="dxa"/>
            <w:tcBorders>
              <w:top w:val="single" w:color="auto" w:sz="4" w:space="0"/>
              <w:left w:val="single" w:color="auto" w:sz="4" w:space="0"/>
              <w:bottom w:val="single" w:color="auto" w:sz="4" w:space="0"/>
              <w:right w:val="single" w:color="auto" w:sz="6" w:space="0"/>
            </w:tcBorders>
            <w:noWrap w:val="0"/>
            <w:vAlign w:val="center"/>
          </w:tcPr>
          <w:p>
            <w:pPr>
              <w:widowControl/>
              <w:numPr>
                <w:ilvl w:val="0"/>
                <w:numId w:val="24"/>
              </w:numPr>
              <w:ind w:left="420" w:hanging="420"/>
              <w:textAlignment w:val="baseline"/>
              <w:rPr>
                <w:rFonts w:hint="eastAsia" w:ascii="宋体" w:hAnsi="宋体" w:eastAsia="宋体" w:cs="宋体"/>
                <w:b/>
                <w:bCs/>
                <w:kern w:val="2"/>
                <w:sz w:val="21"/>
                <w:szCs w:val="21"/>
              </w:rPr>
            </w:pPr>
            <w:r>
              <w:rPr>
                <w:rFonts w:hint="eastAsia" w:ascii="宋体" w:hAnsi="宋体" w:eastAsia="宋体" w:cs="宋体"/>
                <w:b/>
                <w:bCs/>
                <w:kern w:val="2"/>
                <w:sz w:val="21"/>
                <w:szCs w:val="21"/>
              </w:rPr>
              <w:t>国家限制类医疗技术</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根据陕西省评审实施细则的质控要求，需结合地方和医院实际情况进行指标分析，需提供国家限制类医疗技术各指标的年度趋势分析。</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rPr>
              <w:tab/>
            </w:r>
            <w:r>
              <w:rPr>
                <w:rFonts w:hint="eastAsia" w:ascii="宋体" w:hAnsi="宋体" w:eastAsia="宋体" w:cs="宋体"/>
                <w:kern w:val="2"/>
                <w:sz w:val="21"/>
                <w:szCs w:val="21"/>
              </w:rPr>
              <w:t>国家限制类技术开展项目数量</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rPr>
              <w:tab/>
            </w:r>
            <w:r>
              <w:rPr>
                <w:rFonts w:hint="eastAsia" w:ascii="宋体" w:hAnsi="宋体" w:eastAsia="宋体" w:cs="宋体"/>
                <w:kern w:val="2"/>
                <w:sz w:val="21"/>
                <w:szCs w:val="21"/>
              </w:rPr>
              <w:t>备案完成率</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3.</w:t>
            </w:r>
            <w:r>
              <w:rPr>
                <w:rFonts w:hint="eastAsia" w:ascii="宋体" w:hAnsi="宋体" w:eastAsia="宋体" w:cs="宋体"/>
                <w:kern w:val="2"/>
                <w:sz w:val="21"/>
                <w:szCs w:val="21"/>
              </w:rPr>
              <w:tab/>
            </w:r>
            <w:r>
              <w:rPr>
                <w:rFonts w:hint="eastAsia" w:ascii="宋体" w:hAnsi="宋体" w:eastAsia="宋体" w:cs="宋体"/>
                <w:kern w:val="2"/>
                <w:sz w:val="21"/>
                <w:szCs w:val="21"/>
              </w:rPr>
              <w:t>异基因造血干细胞移植技术临床应用质量控制指标 （2022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4.</w:t>
            </w:r>
            <w:r>
              <w:rPr>
                <w:rFonts w:hint="eastAsia" w:ascii="宋体" w:hAnsi="宋体" w:eastAsia="宋体" w:cs="宋体"/>
                <w:kern w:val="2"/>
                <w:sz w:val="21"/>
                <w:szCs w:val="21"/>
              </w:rPr>
              <w:tab/>
            </w:r>
            <w:r>
              <w:rPr>
                <w:rFonts w:hint="eastAsia" w:ascii="宋体" w:hAnsi="宋体" w:eastAsia="宋体" w:cs="宋体"/>
                <w:kern w:val="2"/>
                <w:sz w:val="21"/>
                <w:szCs w:val="21"/>
              </w:rPr>
              <w:t>同种胰岛移植技术临床应用质量控制指标（2022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5.</w:t>
            </w:r>
            <w:r>
              <w:rPr>
                <w:rFonts w:hint="eastAsia" w:ascii="宋体" w:hAnsi="宋体" w:eastAsia="宋体" w:cs="宋体"/>
                <w:kern w:val="2"/>
                <w:sz w:val="21"/>
                <w:szCs w:val="21"/>
              </w:rPr>
              <w:tab/>
            </w:r>
            <w:r>
              <w:rPr>
                <w:rFonts w:hint="eastAsia" w:ascii="宋体" w:hAnsi="宋体" w:eastAsia="宋体" w:cs="宋体"/>
                <w:kern w:val="2"/>
                <w:sz w:val="21"/>
                <w:szCs w:val="21"/>
              </w:rPr>
              <w:t>同种异体运动系统结构性组织移植技术临床应用质量控制指标（2022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6.</w:t>
            </w:r>
            <w:r>
              <w:rPr>
                <w:rFonts w:hint="eastAsia" w:ascii="宋体" w:hAnsi="宋体" w:eastAsia="宋体" w:cs="宋体"/>
                <w:kern w:val="2"/>
                <w:sz w:val="21"/>
                <w:szCs w:val="21"/>
              </w:rPr>
              <w:tab/>
            </w:r>
            <w:r>
              <w:rPr>
                <w:rFonts w:hint="eastAsia" w:ascii="宋体" w:hAnsi="宋体" w:eastAsia="宋体" w:cs="宋体"/>
                <w:kern w:val="2"/>
                <w:sz w:val="21"/>
                <w:szCs w:val="21"/>
              </w:rPr>
              <w:t>同种异体角膜移植技术临床应用质量控制指标 （2022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7.</w:t>
            </w:r>
            <w:r>
              <w:rPr>
                <w:rFonts w:hint="eastAsia" w:ascii="宋体" w:hAnsi="宋体" w:eastAsia="宋体" w:cs="宋体"/>
                <w:kern w:val="2"/>
                <w:sz w:val="21"/>
                <w:szCs w:val="21"/>
              </w:rPr>
              <w:tab/>
            </w:r>
            <w:r>
              <w:rPr>
                <w:rFonts w:hint="eastAsia" w:ascii="宋体" w:hAnsi="宋体" w:eastAsia="宋体" w:cs="宋体"/>
                <w:kern w:val="2"/>
                <w:sz w:val="21"/>
                <w:szCs w:val="21"/>
              </w:rPr>
              <w:t>性别重置技术临床应用质量控制指标（2022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8.</w:t>
            </w:r>
            <w:r>
              <w:rPr>
                <w:rFonts w:hint="eastAsia" w:ascii="宋体" w:hAnsi="宋体" w:eastAsia="宋体" w:cs="宋体"/>
                <w:kern w:val="2"/>
                <w:sz w:val="21"/>
                <w:szCs w:val="21"/>
              </w:rPr>
              <w:tab/>
            </w:r>
            <w:r>
              <w:rPr>
                <w:rFonts w:hint="eastAsia" w:ascii="宋体" w:hAnsi="宋体" w:eastAsia="宋体" w:cs="宋体"/>
                <w:kern w:val="2"/>
                <w:sz w:val="21"/>
                <w:szCs w:val="21"/>
              </w:rPr>
              <w:t>质子和重离子加速器放射治疗技术临床应用质量控制指标（2022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9.</w:t>
            </w:r>
            <w:r>
              <w:rPr>
                <w:rFonts w:hint="eastAsia" w:ascii="宋体" w:hAnsi="宋体" w:eastAsia="宋体" w:cs="宋体"/>
                <w:kern w:val="2"/>
                <w:sz w:val="21"/>
                <w:szCs w:val="21"/>
              </w:rPr>
              <w:tab/>
            </w:r>
            <w:r>
              <w:rPr>
                <w:rFonts w:hint="eastAsia" w:ascii="宋体" w:hAnsi="宋体" w:eastAsia="宋体" w:cs="宋体"/>
                <w:kern w:val="2"/>
                <w:sz w:val="21"/>
                <w:szCs w:val="21"/>
              </w:rPr>
              <w:t>放射性粒子植入治疗技术临床应用质量控制指标 （2022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10.</w:t>
            </w:r>
            <w:r>
              <w:rPr>
                <w:rFonts w:hint="eastAsia" w:ascii="宋体" w:hAnsi="宋体" w:eastAsia="宋体" w:cs="宋体"/>
                <w:kern w:val="2"/>
                <w:sz w:val="21"/>
                <w:szCs w:val="21"/>
              </w:rPr>
              <w:tab/>
            </w:r>
            <w:r>
              <w:rPr>
                <w:rFonts w:hint="eastAsia" w:ascii="宋体" w:hAnsi="宋体" w:eastAsia="宋体" w:cs="宋体"/>
                <w:kern w:val="2"/>
                <w:sz w:val="21"/>
                <w:szCs w:val="21"/>
              </w:rPr>
              <w:t>肿瘤消融治疗技术临床应用质量控制指标（2022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11.</w:t>
            </w:r>
            <w:r>
              <w:rPr>
                <w:rFonts w:hint="eastAsia" w:ascii="宋体" w:hAnsi="宋体" w:eastAsia="宋体" w:cs="宋体"/>
                <w:kern w:val="2"/>
                <w:sz w:val="21"/>
                <w:szCs w:val="21"/>
              </w:rPr>
              <w:tab/>
            </w:r>
            <w:r>
              <w:rPr>
                <w:rFonts w:hint="eastAsia" w:ascii="宋体" w:hAnsi="宋体" w:eastAsia="宋体" w:cs="宋体"/>
                <w:kern w:val="2"/>
                <w:sz w:val="21"/>
                <w:szCs w:val="21"/>
              </w:rPr>
              <w:t>心室辅助技术临床应用质量控制指标（2022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12.</w:t>
            </w:r>
            <w:r>
              <w:rPr>
                <w:rFonts w:hint="eastAsia" w:ascii="宋体" w:hAnsi="宋体" w:eastAsia="宋体" w:cs="宋体"/>
                <w:kern w:val="2"/>
                <w:sz w:val="21"/>
                <w:szCs w:val="21"/>
              </w:rPr>
              <w:tab/>
            </w:r>
            <w:r>
              <w:rPr>
                <w:rFonts w:hint="eastAsia" w:ascii="宋体" w:hAnsi="宋体" w:eastAsia="宋体" w:cs="宋体"/>
                <w:kern w:val="2"/>
                <w:sz w:val="21"/>
                <w:szCs w:val="21"/>
              </w:rPr>
              <w:t>人工智能辅助治疗技术临床应用质量控制指标 （2022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13.</w:t>
            </w:r>
            <w:r>
              <w:rPr>
                <w:rFonts w:hint="eastAsia" w:ascii="宋体" w:hAnsi="宋体" w:eastAsia="宋体" w:cs="宋体"/>
                <w:kern w:val="2"/>
                <w:sz w:val="21"/>
                <w:szCs w:val="21"/>
              </w:rPr>
              <w:tab/>
            </w:r>
            <w:r>
              <w:rPr>
                <w:rFonts w:hint="eastAsia" w:ascii="宋体" w:hAnsi="宋体" w:eastAsia="宋体" w:cs="宋体"/>
                <w:kern w:val="2"/>
                <w:sz w:val="21"/>
                <w:szCs w:val="21"/>
              </w:rPr>
              <w:t>体外膜肺氧合（ECMO）技术临床应用质量控制指标（2022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14.</w:t>
            </w:r>
            <w:r>
              <w:rPr>
                <w:rFonts w:hint="eastAsia" w:ascii="宋体" w:hAnsi="宋体" w:eastAsia="宋体" w:cs="宋体"/>
                <w:kern w:val="2"/>
                <w:sz w:val="21"/>
                <w:szCs w:val="21"/>
              </w:rPr>
              <w:tab/>
            </w:r>
            <w:r>
              <w:rPr>
                <w:rFonts w:hint="eastAsia" w:ascii="宋体" w:hAnsi="宋体" w:eastAsia="宋体" w:cs="宋体"/>
                <w:kern w:val="2"/>
                <w:sz w:val="21"/>
                <w:szCs w:val="21"/>
              </w:rPr>
              <w:t>自体器官移植技术临床应用质量控制指标（2022 年版）</w:t>
            </w:r>
          </w:p>
          <w:p>
            <w:pPr>
              <w:widowControl/>
              <w:textAlignment w:val="baseline"/>
              <w:rPr>
                <w:rFonts w:hint="eastAsia" w:ascii="宋体" w:hAnsi="宋体" w:eastAsia="宋体" w:cs="宋体"/>
                <w:kern w:val="2"/>
                <w:sz w:val="21"/>
                <w:szCs w:val="21"/>
              </w:rPr>
            </w:pPr>
          </w:p>
          <w:p>
            <w:pPr>
              <w:widowControl/>
              <w:numPr>
                <w:ilvl w:val="0"/>
                <w:numId w:val="24"/>
              </w:numPr>
              <w:ind w:left="420" w:hanging="420"/>
              <w:textAlignment w:val="baseline"/>
              <w:rPr>
                <w:rFonts w:hint="eastAsia" w:ascii="宋体" w:hAnsi="宋体" w:eastAsia="宋体" w:cs="宋体"/>
                <w:kern w:val="2"/>
                <w:sz w:val="21"/>
                <w:szCs w:val="21"/>
              </w:rPr>
            </w:pPr>
            <w:r>
              <w:rPr>
                <w:rFonts w:hint="eastAsia" w:ascii="宋体" w:hAnsi="宋体" w:eastAsia="宋体" w:cs="宋体"/>
                <w:b/>
                <w:bCs/>
                <w:kern w:val="2"/>
                <w:sz w:val="21"/>
                <w:szCs w:val="21"/>
              </w:rPr>
              <w:t>人体器官捐献、获取与移植技术</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根据陕西省评审实施细则的质控要求，需结合地方和医院实际情况进行指标分析，需提供人体器官捐献、获取与移植技术的各指标年度趋势分析。</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rPr>
              <w:tab/>
            </w:r>
            <w:r>
              <w:rPr>
                <w:rFonts w:hint="eastAsia" w:ascii="宋体" w:hAnsi="宋体" w:eastAsia="宋体" w:cs="宋体"/>
                <w:kern w:val="2"/>
                <w:sz w:val="21"/>
                <w:szCs w:val="21"/>
              </w:rPr>
              <w:t xml:space="preserve">向人体器官获取组织报送的潜在器官捐献者人数 与院内死亡人数比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rPr>
              <w:tab/>
            </w:r>
            <w:r>
              <w:rPr>
                <w:rFonts w:hint="eastAsia" w:ascii="宋体" w:hAnsi="宋体" w:eastAsia="宋体" w:cs="宋体"/>
                <w:kern w:val="2"/>
                <w:sz w:val="21"/>
                <w:szCs w:val="21"/>
              </w:rPr>
              <w:t xml:space="preserve">实现器官捐献的人数与院内死亡人数比 </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3.</w:t>
            </w:r>
            <w:r>
              <w:rPr>
                <w:rFonts w:hint="eastAsia" w:ascii="宋体" w:hAnsi="宋体" w:eastAsia="宋体" w:cs="宋体"/>
                <w:kern w:val="2"/>
                <w:sz w:val="21"/>
                <w:szCs w:val="21"/>
              </w:rPr>
              <w:tab/>
            </w:r>
            <w:r>
              <w:rPr>
                <w:rFonts w:hint="eastAsia" w:ascii="宋体" w:hAnsi="宋体" w:eastAsia="宋体" w:cs="宋体"/>
                <w:kern w:val="2"/>
                <w:sz w:val="21"/>
                <w:szCs w:val="21"/>
              </w:rPr>
              <w:t>人体器官获取组织质量控制指标</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4.</w:t>
            </w:r>
            <w:r>
              <w:rPr>
                <w:rFonts w:hint="eastAsia" w:ascii="宋体" w:hAnsi="宋体" w:eastAsia="宋体" w:cs="宋体"/>
                <w:kern w:val="2"/>
                <w:sz w:val="21"/>
                <w:szCs w:val="21"/>
              </w:rPr>
              <w:tab/>
            </w:r>
            <w:r>
              <w:rPr>
                <w:rFonts w:hint="eastAsia" w:ascii="宋体" w:hAnsi="宋体" w:eastAsia="宋体" w:cs="宋体"/>
                <w:kern w:val="2"/>
                <w:sz w:val="21"/>
                <w:szCs w:val="21"/>
              </w:rPr>
              <w:t>肝脏移植技术医疗质量控制指标（2020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5.</w:t>
            </w:r>
            <w:r>
              <w:rPr>
                <w:rFonts w:hint="eastAsia" w:ascii="宋体" w:hAnsi="宋体" w:eastAsia="宋体" w:cs="宋体"/>
                <w:kern w:val="2"/>
                <w:sz w:val="21"/>
                <w:szCs w:val="21"/>
              </w:rPr>
              <w:tab/>
            </w:r>
            <w:r>
              <w:rPr>
                <w:rFonts w:hint="eastAsia" w:ascii="宋体" w:hAnsi="宋体" w:eastAsia="宋体" w:cs="宋体"/>
                <w:kern w:val="2"/>
                <w:sz w:val="21"/>
                <w:szCs w:val="21"/>
              </w:rPr>
              <w:t>肾脏移植技术医疗质量控制指标（2020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6.</w:t>
            </w:r>
            <w:r>
              <w:rPr>
                <w:rFonts w:hint="eastAsia" w:ascii="宋体" w:hAnsi="宋体" w:eastAsia="宋体" w:cs="宋体"/>
                <w:kern w:val="2"/>
                <w:sz w:val="21"/>
                <w:szCs w:val="21"/>
              </w:rPr>
              <w:tab/>
            </w:r>
            <w:r>
              <w:rPr>
                <w:rFonts w:hint="eastAsia" w:ascii="宋体" w:hAnsi="宋体" w:eastAsia="宋体" w:cs="宋体"/>
                <w:kern w:val="2"/>
                <w:sz w:val="21"/>
                <w:szCs w:val="21"/>
              </w:rPr>
              <w:t>心脏移植技术医疗质量控制指标（2020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7.</w:t>
            </w:r>
            <w:r>
              <w:rPr>
                <w:rFonts w:hint="eastAsia" w:ascii="宋体" w:hAnsi="宋体" w:eastAsia="宋体" w:cs="宋体"/>
                <w:kern w:val="2"/>
                <w:sz w:val="21"/>
                <w:szCs w:val="21"/>
              </w:rPr>
              <w:tab/>
            </w:r>
            <w:r>
              <w:rPr>
                <w:rFonts w:hint="eastAsia" w:ascii="宋体" w:hAnsi="宋体" w:eastAsia="宋体" w:cs="宋体"/>
                <w:kern w:val="2"/>
                <w:sz w:val="21"/>
                <w:szCs w:val="21"/>
              </w:rPr>
              <w:t>肺脏移植技术医疗质量控制指标（2020 年版）</w:t>
            </w:r>
          </w:p>
          <w:p>
            <w:pPr>
              <w:widowControl/>
              <w:textAlignment w:val="baseline"/>
              <w:rPr>
                <w:rFonts w:hint="eastAsia" w:ascii="宋体" w:hAnsi="宋体" w:eastAsia="宋体" w:cs="宋体"/>
                <w:kern w:val="2"/>
                <w:sz w:val="21"/>
                <w:szCs w:val="21"/>
              </w:rPr>
            </w:pPr>
            <w:r>
              <w:rPr>
                <w:rFonts w:hint="eastAsia" w:ascii="宋体" w:hAnsi="宋体" w:eastAsia="宋体" w:cs="宋体"/>
                <w:kern w:val="2"/>
                <w:sz w:val="21"/>
                <w:szCs w:val="21"/>
              </w:rPr>
              <w:t>8.</w:t>
            </w:r>
            <w:r>
              <w:rPr>
                <w:rFonts w:hint="eastAsia" w:ascii="宋体" w:hAnsi="宋体" w:eastAsia="宋体" w:cs="宋体"/>
                <w:kern w:val="2"/>
                <w:sz w:val="21"/>
                <w:szCs w:val="21"/>
              </w:rPr>
              <w:tab/>
            </w:r>
            <w:r>
              <w:rPr>
                <w:rFonts w:hint="eastAsia" w:ascii="宋体" w:hAnsi="宋体" w:eastAsia="宋体" w:cs="宋体"/>
                <w:kern w:val="2"/>
                <w:sz w:val="21"/>
                <w:szCs w:val="21"/>
              </w:rPr>
              <w:t>其他器官移植技术医疗质量控制指标</w:t>
            </w:r>
          </w:p>
        </w:tc>
      </w:tr>
    </w:tbl>
    <w:p>
      <w:pPr>
        <w:spacing w:line="360" w:lineRule="auto"/>
        <w:rPr>
          <w:rFonts w:hint="eastAsia" w:ascii="宋体" w:hAnsi="宋体" w:eastAsia="宋体" w:cs="宋体"/>
          <w:kern w:val="2"/>
          <w:sz w:val="21"/>
          <w:szCs w:val="21"/>
        </w:rPr>
      </w:pPr>
    </w:p>
    <w:p>
      <w:pPr>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403" w:leftChars="0" w:firstLine="643" w:firstLineChars="0"/>
        <w:jc w:val="both"/>
        <w:textAlignment w:val="auto"/>
        <w:outlineLvl w:val="2"/>
        <w:rPr>
          <w:rFonts w:hint="eastAsia" w:ascii="宋体" w:hAnsi="宋体" w:eastAsia="宋体" w:cs="宋体"/>
          <w:b/>
          <w:kern w:val="2"/>
          <w:sz w:val="24"/>
          <w:szCs w:val="24"/>
          <w:lang w:val="en-US" w:eastAsia="zh-CN" w:bidi="ar-SA"/>
        </w:rPr>
      </w:pPr>
      <w:bookmarkStart w:id="145" w:name="_Toc116496123"/>
      <w:r>
        <w:rPr>
          <w:rFonts w:hint="eastAsia" w:ascii="宋体" w:hAnsi="宋体" w:eastAsia="宋体" w:cs="宋体"/>
          <w:b/>
          <w:kern w:val="2"/>
          <w:sz w:val="24"/>
          <w:szCs w:val="24"/>
          <w:lang w:val="en-US" w:eastAsia="zh-CN" w:bidi="ar-SA"/>
        </w:rPr>
        <w:t>公立医院绩效考核指标数据</w:t>
      </w:r>
      <w:bookmarkEnd w:id="145"/>
      <w:r>
        <w:rPr>
          <w:rFonts w:hint="eastAsia" w:ascii="宋体" w:hAnsi="宋体" w:eastAsia="宋体" w:cs="宋体"/>
          <w:b/>
          <w:kern w:val="2"/>
          <w:sz w:val="24"/>
          <w:szCs w:val="24"/>
          <w:lang w:val="en-US" w:eastAsia="zh-CN" w:bidi="ar-SA"/>
        </w:rPr>
        <w:t>服务</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国家卫生健康委发布的《国家三级公立医院绩效考核操作手册》指标统计口径要求，通过数据采集、治理、分析，并在数据循证决策支持系统页面上建设三级医院评审标准相关的指标体系。包含4个一级指标，14个二级指标、56个三级指标（含新增指标，定量51个，定性5个）。具体要求如下：</w:t>
      </w:r>
    </w:p>
    <w:tbl>
      <w:tblPr>
        <w:tblStyle w:val="2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91"/>
        <w:gridCol w:w="7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08" w:type="pct"/>
            <w:shd w:val="clear" w:color="auto" w:fill="D9D9D9"/>
            <w:noWrap w:val="0"/>
            <w:vAlign w:val="center"/>
          </w:tcPr>
          <w:p>
            <w:pPr>
              <w:widowControl w:val="0"/>
              <w:autoSpaceDE w:val="0"/>
              <w:autoSpaceDN w:val="0"/>
              <w:spacing w:before="81"/>
              <w:jc w:val="center"/>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功能列表</w:t>
            </w:r>
          </w:p>
        </w:tc>
        <w:tc>
          <w:tcPr>
            <w:tcW w:w="4091" w:type="pct"/>
            <w:tcBorders>
              <w:right w:val="single" w:color="000000" w:sz="6" w:space="0"/>
            </w:tcBorders>
            <w:shd w:val="clear" w:color="auto" w:fill="D9D9D9"/>
            <w:noWrap w:val="0"/>
            <w:vAlign w:val="top"/>
          </w:tcPr>
          <w:p>
            <w:pPr>
              <w:widowControl w:val="0"/>
              <w:autoSpaceDE w:val="0"/>
              <w:autoSpaceDN w:val="0"/>
              <w:spacing w:before="81"/>
              <w:ind w:right="3399"/>
              <w:jc w:val="center"/>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08" w:type="pct"/>
            <w:noWrap w:val="0"/>
            <w:vAlign w:val="center"/>
          </w:tcPr>
          <w:p>
            <w:pPr>
              <w:widowControl w:val="0"/>
              <w:autoSpaceDE w:val="0"/>
              <w:autoSpaceDN w:val="0"/>
              <w:ind w:left="108"/>
              <w:jc w:val="center"/>
              <w:rPr>
                <w:rFonts w:hint="eastAsia" w:ascii="宋体" w:hAnsi="宋体" w:eastAsia="宋体" w:cs="宋体"/>
                <w:kern w:val="0"/>
                <w:sz w:val="21"/>
                <w:szCs w:val="21"/>
                <w:lang w:val="en-US" w:eastAsia="zh-Hans" w:bidi="zh-CN"/>
              </w:rPr>
            </w:pPr>
            <w:r>
              <w:rPr>
                <w:rFonts w:hint="eastAsia" w:ascii="宋体" w:hAnsi="宋体" w:eastAsia="宋体" w:cs="宋体"/>
                <w:kern w:val="0"/>
                <w:sz w:val="21"/>
                <w:szCs w:val="21"/>
                <w:lang w:val="en-US" w:eastAsia="zh-Hans" w:bidi="zh-CN"/>
              </w:rPr>
              <w:t>公立医院绩效考核指标分析总体要求</w:t>
            </w:r>
          </w:p>
        </w:tc>
        <w:tc>
          <w:tcPr>
            <w:tcW w:w="4091" w:type="pct"/>
            <w:tcBorders>
              <w:right w:val="single" w:color="000000" w:sz="6" w:space="0"/>
            </w:tcBorders>
            <w:noWrap w:val="0"/>
            <w:vAlign w:val="top"/>
          </w:tcPr>
          <w:p>
            <w:pPr>
              <w:widowControl w:val="0"/>
              <w:autoSpaceDE w:val="0"/>
              <w:autoSpaceDN w:val="0"/>
              <w:spacing w:before="80"/>
              <w:jc w:val="both"/>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en-US" w:eastAsia="zh-Hans" w:bidi="zh-CN"/>
              </w:rPr>
              <w:t>一、智能分析监测：</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1、页面左侧展示完整的公立医院绩效考核指标目录，用户可快速定位到相关指标。</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2、支持指标卡片、柱状图、折线图、饼状图、环形图、散点图、雷达图等组合图形展示。</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3、对于基础数据粒度足够细化的指标，支持按照年、月度进行下钻分析，包括下钻跳转至科室、医生层级查看数据。</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4、支持图形间的数据联动分析，提供指标的目标值等辅助分析。</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5、支持指标导出，可根据时间范围导出可视化图片、表格数据等。</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6、支持各指标按照各地需求进行本地化适配，指标可以自定义配置。</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以指标“日间手术占择期手术比例”为例，页面上将展示该指标及分子、分母的当年统计值、近几年的年度趋势图、本年度该指标的目标值、日间手术台次月度趋势分析、各临床科室近两年开展的日间手术台次对比分析、同期出院患者择期手术台次月度趋势分析、各临床科室近两年开展的出院患者择期手术台次对比分析、近两年日间手术占择期手术比例对比分析、近两年各科室日间手术占择期手术比例对比分析、同时提供该指标及分子、分母的表格数据，含有月度统计值、同比数据、环比数据。</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对于分子、分母，系统支持下钻分析明细数据，用户可以下载后分析，亦可在线通过多维度的筛选条件进行分析。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4" w:hRule="atLeast"/>
          <w:jc w:val="center"/>
        </w:trPr>
        <w:tc>
          <w:tcPr>
            <w:tcW w:w="908" w:type="pct"/>
            <w:noWrap w:val="0"/>
            <w:vAlign w:val="center"/>
          </w:tcPr>
          <w:p>
            <w:pPr>
              <w:jc w:val="center"/>
              <w:rPr>
                <w:rFonts w:hint="eastAsia" w:ascii="宋体" w:hAnsi="宋体" w:eastAsia="宋体" w:cs="宋体"/>
                <w:kern w:val="0"/>
                <w:sz w:val="21"/>
                <w:szCs w:val="21"/>
                <w:lang w:val="en-US" w:eastAsia="zh-Hans" w:bidi="zh-CN"/>
              </w:rPr>
            </w:pPr>
            <w:r>
              <w:rPr>
                <w:rFonts w:hint="eastAsia" w:ascii="宋体" w:hAnsi="宋体" w:eastAsia="宋体" w:cs="宋体"/>
                <w:kern w:val="2"/>
                <w:sz w:val="21"/>
                <w:szCs w:val="21"/>
                <w:lang w:eastAsia="zh-Hans"/>
              </w:rPr>
              <w:t>医疗质量指标</w:t>
            </w:r>
          </w:p>
        </w:tc>
        <w:tc>
          <w:tcPr>
            <w:tcW w:w="4091" w:type="pct"/>
            <w:tcBorders>
              <w:right w:val="single" w:color="000000" w:sz="6" w:space="0"/>
            </w:tcBorders>
            <w:noWrap w:val="0"/>
            <w:vAlign w:val="top"/>
          </w:tcPr>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1、功能定位：门诊人次与出院人次数比、下转患者人次数、日间手术站择期手术比例、出院患者手术占比、出院患者微创手术占比、出院患者四级手术比例、特需医疗服务占比</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2、质量安全：手术患者并发症发生率、I类切口手术部位感染率、单病种质量控制、大型医用设备检查阳性率、低风险组病例死亡率；单病种质量控制包括：单病种：急性心肌梗死、心力衰竭、肺炎（住院，成人）、肺炎（住院，儿童）、脑梗死、髋关节置换术、膝关节置换术、剖宫产、慢性阻塞性肺疾病；单病种指标：病种例数、平均住院日、次均费用、病死率。</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3、合理用药：点评处方占处方总数的比例、抗菌药物使用强度（DDDs）、门诊患者基本药物处方占比、住院患者基本药物使用率、基本药物采购品种数占比、国家组织药品集中采购中标药品使用比例</w:t>
            </w:r>
          </w:p>
          <w:p>
            <w:pPr>
              <w:widowControl w:val="0"/>
              <w:autoSpaceDE w:val="0"/>
              <w:autoSpaceDN w:val="0"/>
              <w:spacing w:before="161"/>
              <w:ind w:left="107" w:right="18"/>
              <w:jc w:val="both"/>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Hans" w:bidi="zh-CN"/>
              </w:rPr>
              <w:t>4、服务流程：门诊患者平均预约诊疗率、门诊患者预约后平均等待时间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jc w:val="center"/>
        </w:trPr>
        <w:tc>
          <w:tcPr>
            <w:tcW w:w="908" w:type="pct"/>
            <w:noWrap w:val="0"/>
            <w:vAlign w:val="center"/>
          </w:tcPr>
          <w:p>
            <w:pPr>
              <w:jc w:val="center"/>
              <w:rPr>
                <w:rFonts w:hint="eastAsia" w:ascii="宋体" w:hAnsi="宋体" w:eastAsia="宋体" w:cs="宋体"/>
                <w:kern w:val="0"/>
                <w:sz w:val="21"/>
                <w:szCs w:val="21"/>
                <w:lang w:val="en-US" w:eastAsia="zh-Hans" w:bidi="zh-CN"/>
              </w:rPr>
            </w:pPr>
            <w:r>
              <w:rPr>
                <w:rFonts w:hint="eastAsia" w:ascii="宋体" w:hAnsi="宋体" w:eastAsia="宋体" w:cs="宋体"/>
                <w:kern w:val="2"/>
                <w:sz w:val="21"/>
                <w:szCs w:val="21"/>
                <w:lang w:eastAsia="zh-Hans"/>
              </w:rPr>
              <w:t>运营效率指标</w:t>
            </w:r>
          </w:p>
        </w:tc>
        <w:tc>
          <w:tcPr>
            <w:tcW w:w="4091" w:type="pct"/>
            <w:tcBorders>
              <w:right w:val="single" w:color="000000" w:sz="6" w:space="0"/>
            </w:tcBorders>
            <w:noWrap w:val="0"/>
            <w:vAlign w:val="top"/>
          </w:tcPr>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5、资源效率：每名执业医师日均住院工作负担、每百张病床药师人数</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6、收支结构：门诊收入占医疗收入比例、门诊收入中来自医保基金的比例、住院收入占医疗收入比例、住院收入中来自医保基金的比例、医疗服务收入（不含药品、耗材、检查检验收入）占医疗收入比例、辅助用药收入占比、人员支出占业务支出比重、万元收入能耗支出、收支结余、资产负债率</w:t>
            </w:r>
          </w:p>
          <w:p>
            <w:pPr>
              <w:rPr>
                <w:rFonts w:hint="eastAsia" w:ascii="宋体" w:hAnsi="宋体" w:eastAsia="宋体" w:cs="宋体"/>
                <w:kern w:val="2"/>
                <w:sz w:val="21"/>
                <w:szCs w:val="21"/>
              </w:rPr>
            </w:pPr>
            <w:r>
              <w:rPr>
                <w:rFonts w:hint="eastAsia" w:ascii="宋体" w:hAnsi="宋体" w:eastAsia="宋体" w:cs="宋体"/>
                <w:kern w:val="2"/>
                <w:sz w:val="21"/>
                <w:szCs w:val="21"/>
                <w:lang w:eastAsia="zh-Hans"/>
              </w:rPr>
              <w:t>7、费用控制：医疗收入增幅、门诊次均费用增幅、门诊次均药品费用增幅、住院次均费用增幅、住院次均药品费用增幅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8" w:hRule="atLeast"/>
          <w:jc w:val="center"/>
        </w:trPr>
        <w:tc>
          <w:tcPr>
            <w:tcW w:w="908" w:type="pct"/>
            <w:noWrap w:val="0"/>
            <w:vAlign w:val="center"/>
          </w:tcPr>
          <w:p>
            <w:pPr>
              <w:jc w:val="center"/>
              <w:rPr>
                <w:rFonts w:hint="eastAsia" w:ascii="宋体" w:hAnsi="宋体" w:eastAsia="宋体" w:cs="宋体"/>
                <w:kern w:val="0"/>
                <w:sz w:val="21"/>
                <w:szCs w:val="21"/>
                <w:lang w:val="en-US" w:eastAsia="zh-Hans" w:bidi="zh-CN"/>
              </w:rPr>
            </w:pPr>
            <w:r>
              <w:rPr>
                <w:rFonts w:hint="eastAsia" w:ascii="宋体" w:hAnsi="宋体" w:eastAsia="宋体" w:cs="宋体"/>
                <w:kern w:val="2"/>
                <w:sz w:val="21"/>
                <w:szCs w:val="21"/>
                <w:lang w:eastAsia="zh-Hans"/>
              </w:rPr>
              <w:t>持续发展指标</w:t>
            </w:r>
          </w:p>
        </w:tc>
        <w:tc>
          <w:tcPr>
            <w:tcW w:w="4091" w:type="pct"/>
            <w:tcBorders>
              <w:right w:val="single" w:color="000000" w:sz="6" w:space="0"/>
            </w:tcBorders>
            <w:noWrap w:val="0"/>
            <w:vAlign w:val="top"/>
          </w:tcPr>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9、人员结构：卫生技术人员职称结构、麻醉、儿科、重症、病理、中医医师占比、医护比；</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10、人才培养：医院接受其他医院（尤其是对口支援医院、医联体内医院）进修并返回原医院独立工作人数占比、医院住院医师首次参加医师资格考试通过率、医院承担培养医学人才的工作成效</w:t>
            </w:r>
          </w:p>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11、学科建设：每百名卫生技术人员科研项目经费、每百名卫生技术人员科研成果转化金额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908" w:type="pct"/>
            <w:noWrap w:val="0"/>
            <w:vAlign w:val="center"/>
          </w:tcPr>
          <w:p>
            <w:pPr>
              <w:jc w:val="center"/>
              <w:rPr>
                <w:rFonts w:hint="eastAsia" w:ascii="宋体" w:hAnsi="宋体" w:eastAsia="宋体" w:cs="宋体"/>
                <w:kern w:val="0"/>
                <w:sz w:val="21"/>
                <w:szCs w:val="21"/>
                <w:lang w:val="en-US" w:eastAsia="zh-Hans" w:bidi="zh-CN"/>
              </w:rPr>
            </w:pPr>
            <w:r>
              <w:rPr>
                <w:rFonts w:hint="eastAsia" w:ascii="宋体" w:hAnsi="宋体" w:eastAsia="宋体" w:cs="宋体"/>
                <w:kern w:val="2"/>
                <w:sz w:val="21"/>
                <w:szCs w:val="21"/>
                <w:lang w:eastAsia="zh-Hans"/>
              </w:rPr>
              <w:t>满意度评价指标</w:t>
            </w:r>
          </w:p>
        </w:tc>
        <w:tc>
          <w:tcPr>
            <w:tcW w:w="4091" w:type="pct"/>
            <w:tcBorders>
              <w:right w:val="single" w:color="000000" w:sz="6" w:space="0"/>
            </w:tcBorders>
            <w:noWrap w:val="0"/>
            <w:vAlign w:val="top"/>
          </w:tcPr>
          <w:p>
            <w:pPr>
              <w:rPr>
                <w:rFonts w:hint="eastAsia" w:ascii="宋体" w:hAnsi="宋体" w:eastAsia="宋体" w:cs="宋体"/>
                <w:kern w:val="2"/>
                <w:sz w:val="21"/>
                <w:szCs w:val="21"/>
                <w:lang w:eastAsia="zh-Hans"/>
              </w:rPr>
            </w:pPr>
            <w:r>
              <w:rPr>
                <w:rFonts w:hint="eastAsia" w:ascii="宋体" w:hAnsi="宋体" w:eastAsia="宋体" w:cs="宋体"/>
                <w:kern w:val="2"/>
                <w:sz w:val="21"/>
                <w:szCs w:val="21"/>
                <w:lang w:eastAsia="zh-Hans"/>
              </w:rPr>
              <w:t>13、患者满意度：门诊患者满意度、住院患者满意度</w:t>
            </w:r>
          </w:p>
          <w:p>
            <w:pPr>
              <w:widowControl w:val="0"/>
              <w:autoSpaceDE w:val="0"/>
              <w:autoSpaceDN w:val="0"/>
              <w:spacing w:before="161"/>
              <w:ind w:right="18"/>
              <w:jc w:val="both"/>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Hans" w:bidi="zh-CN"/>
              </w:rPr>
              <w:t>14、医务人员满意度医务人员满意度</w:t>
            </w:r>
          </w:p>
        </w:tc>
      </w:tr>
    </w:tbl>
    <w:p>
      <w:pPr>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403" w:leftChars="0" w:firstLine="643" w:firstLineChars="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医院运营管理指标数据服务</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根据医院运营管理对业务量和经济类指标的统计需求，通过数据采集、治理、分析，并在数据循证决策支持系统页面上建设运营管理指标体系，支持核算到科室、医疗小组、医师个人，具体包含如下指标：</w:t>
      </w:r>
    </w:p>
    <w:tbl>
      <w:tblPr>
        <w:tblStyle w:val="22"/>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8"/>
        <w:gridCol w:w="7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738" w:type="dxa"/>
            <w:shd w:val="clear" w:color="auto" w:fill="D9D9D9"/>
            <w:noWrap w:val="0"/>
            <w:vAlign w:val="top"/>
          </w:tcPr>
          <w:p>
            <w:pPr>
              <w:widowControl w:val="0"/>
              <w:autoSpaceDE w:val="0"/>
              <w:autoSpaceDN w:val="0"/>
              <w:spacing w:before="81"/>
              <w:ind w:left="389"/>
              <w:jc w:val="left"/>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功能列表</w:t>
            </w:r>
          </w:p>
        </w:tc>
        <w:tc>
          <w:tcPr>
            <w:tcW w:w="7821" w:type="dxa"/>
            <w:tcBorders>
              <w:right w:val="single" w:color="000000" w:sz="6" w:space="0"/>
            </w:tcBorders>
            <w:shd w:val="clear" w:color="auto" w:fill="D9D9D9"/>
            <w:noWrap w:val="0"/>
            <w:vAlign w:val="top"/>
          </w:tcPr>
          <w:p>
            <w:pPr>
              <w:widowControl w:val="0"/>
              <w:autoSpaceDE w:val="0"/>
              <w:autoSpaceDN w:val="0"/>
              <w:spacing w:before="81"/>
              <w:ind w:left="3409" w:right="3399"/>
              <w:jc w:val="center"/>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jc w:val="center"/>
        </w:trPr>
        <w:tc>
          <w:tcPr>
            <w:tcW w:w="1738" w:type="dxa"/>
            <w:noWrap w:val="0"/>
            <w:vAlign w:val="top"/>
          </w:tcPr>
          <w:p>
            <w:pPr>
              <w:widowControl w:val="0"/>
              <w:autoSpaceDE w:val="0"/>
              <w:autoSpaceDN w:val="0"/>
              <w:spacing w:before="161" w:line="364" w:lineRule="auto"/>
              <w:ind w:left="107" w:right="18"/>
              <w:jc w:val="both"/>
              <w:rPr>
                <w:rFonts w:hint="eastAsia" w:ascii="宋体" w:hAnsi="宋体" w:eastAsia="宋体" w:cs="宋体"/>
                <w:kern w:val="0"/>
                <w:sz w:val="21"/>
                <w:szCs w:val="21"/>
                <w:lang w:val="en-US" w:eastAsia="zh-Hans" w:bidi="zh-CN"/>
              </w:rPr>
            </w:pPr>
            <w:r>
              <w:rPr>
                <w:rFonts w:hint="eastAsia" w:ascii="宋体" w:hAnsi="宋体" w:eastAsia="宋体" w:cs="宋体"/>
                <w:kern w:val="0"/>
                <w:sz w:val="21"/>
                <w:szCs w:val="21"/>
                <w:lang w:val="en-US" w:eastAsia="zh-Hans" w:bidi="zh-CN"/>
              </w:rPr>
              <w:t>收入指标</w:t>
            </w:r>
          </w:p>
        </w:tc>
        <w:tc>
          <w:tcPr>
            <w:tcW w:w="7821" w:type="dxa"/>
            <w:tcBorders>
              <w:right w:val="single" w:color="000000" w:sz="6" w:space="0"/>
            </w:tcBorders>
            <w:noWrap w:val="0"/>
            <w:vAlign w:val="top"/>
          </w:tcPr>
          <w:p>
            <w:pPr>
              <w:widowControl w:val="0"/>
              <w:autoSpaceDE w:val="0"/>
              <w:autoSpaceDN w:val="0"/>
              <w:spacing w:before="161" w:line="364" w:lineRule="auto"/>
              <w:ind w:left="107" w:right="18"/>
              <w:jc w:val="both"/>
              <w:rPr>
                <w:rFonts w:hint="eastAsia" w:ascii="宋体" w:hAnsi="宋体" w:eastAsia="宋体" w:cs="宋体"/>
                <w:kern w:val="0"/>
                <w:sz w:val="21"/>
                <w:szCs w:val="21"/>
                <w:lang w:val="en-US" w:eastAsia="zh-Hans" w:bidi="zh-CN"/>
              </w:rPr>
            </w:pPr>
            <w:r>
              <w:rPr>
                <w:rFonts w:hint="eastAsia" w:ascii="宋体" w:hAnsi="宋体" w:eastAsia="宋体" w:cs="宋体"/>
                <w:kern w:val="0"/>
                <w:sz w:val="21"/>
                <w:szCs w:val="21"/>
                <w:lang w:val="en-US" w:eastAsia="zh-Hans" w:bidi="zh-CN"/>
              </w:rPr>
              <w:t>包含全院总收入、门诊收入、门诊次均费用、住院收入、住院均费用、急诊收入、门诊药品收入、住院药品收入、全院药品收入、门诊材料收入、住院材料收入、门诊中药收入、住院中药收入、门诊药占比、住院药占比、门诊材料占比、住院材料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jc w:val="center"/>
        </w:trPr>
        <w:tc>
          <w:tcPr>
            <w:tcW w:w="1738" w:type="dxa"/>
            <w:noWrap w:val="0"/>
            <w:vAlign w:val="top"/>
          </w:tcPr>
          <w:p>
            <w:pPr>
              <w:widowControl w:val="0"/>
              <w:autoSpaceDE w:val="0"/>
              <w:autoSpaceDN w:val="0"/>
              <w:ind w:left="108"/>
              <w:jc w:val="both"/>
              <w:rPr>
                <w:rFonts w:hint="eastAsia" w:ascii="宋体" w:hAnsi="宋体" w:eastAsia="宋体" w:cs="宋体"/>
                <w:kern w:val="0"/>
                <w:sz w:val="21"/>
                <w:szCs w:val="21"/>
                <w:lang w:val="en-US" w:eastAsia="zh-Hans" w:bidi="zh-CN"/>
              </w:rPr>
            </w:pPr>
            <w:r>
              <w:rPr>
                <w:rFonts w:hint="eastAsia" w:ascii="宋体" w:hAnsi="宋体" w:eastAsia="宋体" w:cs="宋体"/>
                <w:kern w:val="0"/>
                <w:sz w:val="21"/>
                <w:szCs w:val="21"/>
                <w:lang w:val="en-US" w:eastAsia="zh-Hans" w:bidi="zh-CN"/>
              </w:rPr>
              <w:t>业务量指标</w:t>
            </w:r>
          </w:p>
        </w:tc>
        <w:tc>
          <w:tcPr>
            <w:tcW w:w="7821" w:type="dxa"/>
            <w:tcBorders>
              <w:right w:val="single" w:color="000000" w:sz="6" w:space="0"/>
            </w:tcBorders>
            <w:noWrap w:val="0"/>
            <w:vAlign w:val="top"/>
          </w:tcPr>
          <w:p>
            <w:pPr>
              <w:widowControl w:val="0"/>
              <w:autoSpaceDE w:val="0"/>
              <w:autoSpaceDN w:val="0"/>
              <w:spacing w:before="161" w:line="364" w:lineRule="auto"/>
              <w:ind w:left="107" w:right="18"/>
              <w:jc w:val="both"/>
              <w:rPr>
                <w:rFonts w:hint="eastAsia" w:ascii="宋体" w:hAnsi="宋体" w:eastAsia="宋体" w:cs="宋体"/>
                <w:kern w:val="0"/>
                <w:sz w:val="21"/>
                <w:szCs w:val="21"/>
                <w:lang w:val="en-US" w:eastAsia="zh-Hans" w:bidi="zh-CN"/>
              </w:rPr>
            </w:pPr>
            <w:r>
              <w:rPr>
                <w:rFonts w:hint="eastAsia" w:ascii="宋体" w:hAnsi="宋体" w:eastAsia="宋体" w:cs="宋体"/>
                <w:kern w:val="0"/>
                <w:sz w:val="21"/>
                <w:szCs w:val="21"/>
                <w:lang w:val="en-US" w:eastAsia="zh-Hans" w:bidi="zh-CN"/>
              </w:rPr>
              <w:t>门急诊人次、出院人次、平均住院日、</w:t>
            </w:r>
            <w:r>
              <w:rPr>
                <w:rFonts w:hint="eastAsia" w:ascii="宋体" w:hAnsi="宋体" w:eastAsia="宋体" w:cs="宋体"/>
                <w:kern w:val="0"/>
                <w:sz w:val="21"/>
                <w:szCs w:val="21"/>
                <w:lang w:val="zh-CN" w:eastAsia="zh-CN" w:bidi="zh-CN"/>
              </w:rPr>
              <w:t>手术总例数、手术总例数、择期手术总例数、急诊手术总例数、日间手术总例数</w:t>
            </w:r>
            <w:r>
              <w:rPr>
                <w:rFonts w:hint="eastAsia" w:ascii="宋体" w:hAnsi="宋体" w:eastAsia="宋体" w:cs="宋体"/>
                <w:kern w:val="0"/>
                <w:sz w:val="21"/>
                <w:szCs w:val="21"/>
                <w:lang w:val="en-US" w:eastAsia="zh-Hans" w:bidi="zh-CN"/>
              </w:rPr>
              <w:t>、</w:t>
            </w:r>
            <w:r>
              <w:rPr>
                <w:rFonts w:hint="eastAsia" w:ascii="宋体" w:hAnsi="宋体" w:eastAsia="宋体" w:cs="宋体"/>
                <w:kern w:val="0"/>
                <w:sz w:val="21"/>
                <w:szCs w:val="21"/>
                <w:lang w:val="zh-CN" w:eastAsia="zh-CN" w:bidi="zh-CN"/>
              </w:rPr>
              <w:t>一级手术总例数、二级手术总例数、三级手术总例数、四级手术总例数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jc w:val="center"/>
        </w:trPr>
        <w:tc>
          <w:tcPr>
            <w:tcW w:w="1738" w:type="dxa"/>
            <w:noWrap w:val="0"/>
            <w:vAlign w:val="top"/>
          </w:tcPr>
          <w:p>
            <w:pPr>
              <w:widowControl w:val="0"/>
              <w:autoSpaceDE w:val="0"/>
              <w:autoSpaceDN w:val="0"/>
              <w:ind w:left="108"/>
              <w:jc w:val="both"/>
              <w:rPr>
                <w:rFonts w:hint="eastAsia" w:ascii="宋体" w:hAnsi="宋体" w:eastAsia="宋体" w:cs="宋体"/>
                <w:kern w:val="0"/>
                <w:sz w:val="21"/>
                <w:szCs w:val="21"/>
                <w:lang w:val="en-US" w:eastAsia="zh-CN" w:bidi="zh-CN"/>
              </w:rPr>
            </w:pPr>
            <w:r>
              <w:rPr>
                <w:rFonts w:hint="eastAsia" w:ascii="宋体" w:hAnsi="宋体" w:eastAsia="宋体" w:cs="宋体"/>
                <w:color w:val="0000FF"/>
                <w:kern w:val="0"/>
                <w:sz w:val="21"/>
                <w:szCs w:val="21"/>
                <w:lang w:val="en-US" w:eastAsia="zh-CN" w:bidi="zh-CN"/>
              </w:rPr>
              <w:t>效率指标</w:t>
            </w:r>
          </w:p>
        </w:tc>
        <w:tc>
          <w:tcPr>
            <w:tcW w:w="7821" w:type="dxa"/>
            <w:tcBorders>
              <w:right w:val="single" w:color="000000" w:sz="6" w:space="0"/>
            </w:tcBorders>
            <w:noWrap w:val="0"/>
            <w:vAlign w:val="top"/>
          </w:tcPr>
          <w:p>
            <w:pPr>
              <w:widowControl w:val="0"/>
              <w:autoSpaceDE w:val="0"/>
              <w:autoSpaceDN w:val="0"/>
              <w:spacing w:before="161" w:line="364" w:lineRule="auto"/>
              <w:ind w:left="107" w:right="18"/>
              <w:jc w:val="both"/>
              <w:rPr>
                <w:rFonts w:hint="eastAsia" w:ascii="宋体" w:hAnsi="宋体" w:eastAsia="宋体" w:cs="宋体"/>
                <w:kern w:val="0"/>
                <w:sz w:val="21"/>
                <w:szCs w:val="21"/>
                <w:lang w:val="en-US" w:eastAsia="zh-Hans" w:bidi="zh-CN"/>
              </w:rPr>
            </w:pPr>
            <w:r>
              <w:rPr>
                <w:rFonts w:hint="eastAsia" w:ascii="宋体" w:hAnsi="宋体" w:eastAsia="宋体" w:cs="宋体"/>
                <w:color w:val="0000FF"/>
                <w:kern w:val="0"/>
                <w:sz w:val="21"/>
                <w:szCs w:val="21"/>
                <w:lang w:val="en-US" w:eastAsia="zh-CN" w:bidi="zh-CN"/>
              </w:rPr>
              <w:t>平均住院日、病床使用率、择期手术术前平均住院时间、预防性抗生素使用时间、大型检查预约等待时间等</w:t>
            </w:r>
          </w:p>
        </w:tc>
      </w:tr>
    </w:tbl>
    <w:p>
      <w:pPr>
        <w:rPr>
          <w:rFonts w:hint="eastAsia" w:ascii="宋体" w:hAnsi="宋体" w:eastAsia="宋体" w:cs="宋体"/>
          <w:kern w:val="2"/>
          <w:sz w:val="21"/>
          <w:szCs w:val="21"/>
        </w:rPr>
      </w:pPr>
    </w:p>
    <w:p>
      <w:pPr>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403" w:leftChars="0" w:firstLine="643" w:firstLineChars="0"/>
        <w:jc w:val="both"/>
        <w:textAlignment w:val="auto"/>
        <w:outlineLvl w:val="2"/>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信息与数据安全要求</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项目涉及的所有系统设计符合国家法律、医院及病人对资料的安全性要求，提供软件数据安全设计方案，支持接入医院现有的网络安全、数据安全、终端安全体系，保证系统中的数据不被非法阅读、篡改，确保非法用户不能进入本系统，保证系统中的数据安全。</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0000FF"/>
          <w:kern w:val="0"/>
          <w:sz w:val="24"/>
          <w:szCs w:val="24"/>
        </w:rPr>
      </w:pPr>
      <w:r>
        <w:rPr>
          <w:rFonts w:hint="eastAsia" w:ascii="宋体" w:hAnsi="宋体" w:eastAsia="宋体" w:cs="宋体"/>
          <w:color w:val="0000FF"/>
          <w:kern w:val="0"/>
          <w:sz w:val="24"/>
          <w:szCs w:val="24"/>
        </w:rPr>
        <w:t>系统仅允许院内部署，数据不可出院，系统仅允许本地维护。</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0000FF"/>
          <w:kern w:val="0"/>
          <w:sz w:val="24"/>
          <w:szCs w:val="24"/>
        </w:rPr>
      </w:pPr>
      <w:r>
        <w:rPr>
          <w:rFonts w:hint="eastAsia" w:ascii="宋体" w:hAnsi="宋体" w:eastAsia="宋体" w:cs="宋体"/>
          <w:color w:val="0000FF"/>
          <w:kern w:val="0"/>
          <w:sz w:val="24"/>
          <w:szCs w:val="24"/>
        </w:rPr>
        <w:t>与医院信息系统对接时应接遵循医院数据管理的要求，对医院生产系统进行只读访问，不对医院生产系统进行数据写入。</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0000FF"/>
          <w:kern w:val="0"/>
          <w:sz w:val="24"/>
          <w:szCs w:val="24"/>
        </w:rPr>
      </w:pPr>
      <w:r>
        <w:rPr>
          <w:rFonts w:hint="eastAsia" w:ascii="宋体" w:hAnsi="宋体" w:eastAsia="宋体" w:cs="宋体"/>
          <w:color w:val="0000FF"/>
          <w:kern w:val="0"/>
          <w:sz w:val="24"/>
          <w:szCs w:val="24"/>
        </w:rPr>
        <w:t>所有用户的密码在数据库中，采用摘要算法加密后再保存。</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0000FF"/>
          <w:kern w:val="0"/>
          <w:sz w:val="24"/>
          <w:szCs w:val="24"/>
        </w:rPr>
      </w:pPr>
      <w:r>
        <w:rPr>
          <w:rFonts w:hint="eastAsia" w:ascii="宋体" w:hAnsi="宋体" w:eastAsia="宋体" w:cs="宋体"/>
          <w:color w:val="0000FF"/>
          <w:kern w:val="0"/>
          <w:sz w:val="24"/>
          <w:szCs w:val="24"/>
        </w:rPr>
        <w:t>支持操作日志的记录：对所有用户操作记录日志，记录访问IP地址、时间、用户名、操作涉及的模块等信息。</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color w:val="0000FF"/>
          <w:kern w:val="0"/>
          <w:sz w:val="24"/>
          <w:szCs w:val="24"/>
        </w:rPr>
        <w:t>支持患者去隐私管理：对于患者隐私，在应用或系统设计时充分考虑相关数据的隐私保护政策。</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本项目涉及的所有系统支持对所有对数据库的操作保留痕迹记录。提供系统监控、系统运行日志、错误日志等。修改痕迹保留应与数据一体化存储，以保证数据与修改痕迹数据的一致性。</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本项目涉及的所有系统须按照相关医疗规章制度，根据身份、时效等对数据和流程进行权限控制。通过严格的授权控制来实现，不同职位、不同级别、不同人群应具有不同的存取授权。</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本项目涉及的所有系统必须保证系统的365*7*24正常运行，并提供在异常情况下的后备解决方案，要求在网络中断或服务器下线情况下，供应商提供7*24小时的在线技术支持。</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项目涉及的所有系统采用安全可靠的数据存储和传输体系，保障数据的安全性和可持续性。系统应接入医院统一的防病毒及防止信息泄漏的措施，有相应的应急计划。系统应提供完善的灾难恢复与业务持续计划，包括但不限于数据库恢复和备份，保障突发情况下医院关键任务能够正常运行。</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本项目涉及的所有系统应利用多种技术手段防止各种形式与途径的非法破坏，建立健全各种保证措施，使系统处于正常运行。系统需在应用层面提供对数据的保护，保护数据的完整性、保密性、抗抵赖性； </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本项目涉及的所有系统支持根据医院数据安全管理要求对数据进行加密和脱敏处理。</w:t>
      </w:r>
    </w:p>
    <w:p>
      <w:pPr>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本项目实施过程中，供应商及项目团队需与医院签订信息数据安全保密协议，承诺不讲接触到的医院信息和数据未经授权、非法泄露给第三方，或用作非本项目的任何事项。</w:t>
      </w:r>
    </w:p>
    <w:p>
      <w:pPr>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kern w:val="2"/>
          <w:sz w:val="24"/>
          <w:szCs w:val="24"/>
        </w:rPr>
        <w:t>项目所涉及的所有系统需满足所有国家、省、市、区对于信息网络安全的政策及文件要求，包括不限于：</w:t>
      </w:r>
    </w:p>
    <w:p>
      <w:pPr>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kern w:val="2"/>
          <w:sz w:val="24"/>
          <w:szCs w:val="24"/>
        </w:rPr>
        <w:t>《中华人民共和国网络安全法》</w:t>
      </w:r>
    </w:p>
    <w:p>
      <w:pPr>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kern w:val="2"/>
          <w:sz w:val="24"/>
          <w:szCs w:val="24"/>
        </w:rPr>
        <w:t>《国家健康医疗大数据标准、安全和服务管理办法（试行）》</w:t>
      </w:r>
    </w:p>
    <w:p>
      <w:pPr>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kern w:val="2"/>
          <w:sz w:val="24"/>
          <w:szCs w:val="24"/>
        </w:rPr>
        <w:t>《网络安全等级保护2.0的政策和标准》相关法律规范</w:t>
      </w:r>
    </w:p>
    <w:p>
      <w:pPr>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kern w:val="2"/>
          <w:sz w:val="24"/>
          <w:szCs w:val="24"/>
        </w:rPr>
        <w:t>《信息系统安全等级保护实施指南》</w:t>
      </w:r>
    </w:p>
    <w:p>
      <w:pPr>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kern w:val="2"/>
          <w:sz w:val="24"/>
          <w:szCs w:val="24"/>
        </w:rPr>
        <w:t>《信息安全技术网络安全等级保护测评要求》（2019）</w:t>
      </w:r>
    </w:p>
    <w:p>
      <w:pPr>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kern w:val="2"/>
          <w:sz w:val="24"/>
          <w:szCs w:val="24"/>
        </w:rPr>
        <w:t>《信息安全技术网络安全等级保护安全设计技术要求（2019）</w:t>
      </w:r>
    </w:p>
    <w:p>
      <w:pPr>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403" w:leftChars="0" w:firstLine="643" w:firstLineChars="0"/>
        <w:jc w:val="both"/>
        <w:textAlignment w:val="auto"/>
        <w:outlineLvl w:val="2"/>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支持按权限提供数据查询服务，支持手机APP查阅。</w:t>
      </w:r>
    </w:p>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outlineLvl w:val="1"/>
        <w:rPr>
          <w:rFonts w:hint="eastAsia" w:ascii="宋体" w:hAnsi="宋体" w:eastAsia="宋体" w:cs="宋体"/>
          <w:b/>
          <w:kern w:val="44"/>
          <w:sz w:val="28"/>
          <w:szCs w:val="28"/>
          <w:lang w:val="en-US" w:eastAsia="zh-CN" w:bidi="ar-SA"/>
        </w:rPr>
      </w:pPr>
      <w:r>
        <w:rPr>
          <w:rFonts w:hint="eastAsia" w:ascii="宋体" w:hAnsi="宋体" w:eastAsia="宋体" w:cs="宋体"/>
          <w:b/>
          <w:kern w:val="44"/>
          <w:sz w:val="28"/>
          <w:szCs w:val="28"/>
          <w:lang w:val="en-US" w:eastAsia="zh-CN" w:bidi="ar-SA"/>
        </w:rPr>
        <w:t>第</w:t>
      </w:r>
      <w:r>
        <w:rPr>
          <w:rFonts w:hint="eastAsia" w:hAnsi="宋体" w:cs="宋体"/>
          <w:b/>
          <w:kern w:val="44"/>
          <w:sz w:val="28"/>
          <w:szCs w:val="28"/>
          <w:lang w:val="en-US" w:eastAsia="zh-CN" w:bidi="ar-SA"/>
        </w:rPr>
        <w:t>三节</w:t>
      </w:r>
      <w:r>
        <w:rPr>
          <w:rFonts w:hint="eastAsia" w:ascii="宋体" w:hAnsi="宋体" w:eastAsia="宋体" w:cs="宋体"/>
          <w:b/>
          <w:kern w:val="44"/>
          <w:sz w:val="28"/>
          <w:szCs w:val="28"/>
          <w:lang w:val="en-US" w:eastAsia="zh-CN" w:bidi="ar-SA"/>
        </w:rPr>
        <w:t>、培训服务要求</w:t>
      </w:r>
    </w:p>
    <w:p>
      <w:pPr>
        <w:spacing w:line="360" w:lineRule="auto"/>
        <w:ind w:firstLine="480"/>
        <w:jc w:val="left"/>
        <w:outlineLvl w:val="9"/>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本项目</w:t>
      </w:r>
      <w:r>
        <w:rPr>
          <w:rFonts w:hint="eastAsia" w:ascii="宋体" w:eastAsia="宋体" w:cs="宋体"/>
          <w:b w:val="0"/>
          <w:kern w:val="0"/>
          <w:sz w:val="24"/>
          <w:szCs w:val="24"/>
          <w:lang w:val="en-US" w:eastAsia="zh-CN" w:bidi="ar-SA"/>
        </w:rPr>
        <w:t>供应商</w:t>
      </w:r>
      <w:r>
        <w:rPr>
          <w:rFonts w:hint="eastAsia" w:ascii="宋体" w:hAnsi="宋体" w:eastAsia="宋体" w:cs="宋体"/>
          <w:b w:val="0"/>
          <w:kern w:val="0"/>
          <w:sz w:val="24"/>
          <w:szCs w:val="24"/>
          <w:lang w:val="en-US" w:eastAsia="zh-CN" w:bidi="ar-SA"/>
        </w:rPr>
        <w:t>需在</w:t>
      </w:r>
      <w:r>
        <w:rPr>
          <w:rFonts w:hint="eastAsia" w:hAnsi="宋体" w:cs="宋体"/>
          <w:b w:val="0"/>
          <w:kern w:val="0"/>
          <w:sz w:val="24"/>
          <w:szCs w:val="24"/>
          <w:lang w:val="en-US" w:eastAsia="zh-CN" w:bidi="ar-SA"/>
        </w:rPr>
        <w:t>响应</w:t>
      </w:r>
      <w:r>
        <w:rPr>
          <w:rFonts w:hint="eastAsia" w:ascii="宋体" w:hAnsi="宋体" w:eastAsia="宋体" w:cs="宋体"/>
          <w:b w:val="0"/>
          <w:kern w:val="0"/>
          <w:sz w:val="24"/>
          <w:szCs w:val="24"/>
          <w:lang w:val="en-US" w:eastAsia="zh-CN" w:bidi="ar-SA"/>
        </w:rPr>
        <w:t>文件中提供完整的培训计划，培训计划包含培训内容、时间、地点、培训人员类别、培训方式等相关信息，对使用人员进行操作及相关技术培训。</w:t>
      </w:r>
      <w:r>
        <w:rPr>
          <w:rFonts w:hint="eastAsia" w:hAnsi="宋体" w:cs="宋体"/>
          <w:b w:val="0"/>
          <w:kern w:val="0"/>
          <w:sz w:val="24"/>
          <w:szCs w:val="24"/>
          <w:lang w:val="en-US" w:eastAsia="zh-CN" w:bidi="ar-SA"/>
        </w:rPr>
        <w:t>供应商</w:t>
      </w:r>
      <w:r>
        <w:rPr>
          <w:rFonts w:hint="eastAsia" w:ascii="宋体" w:hAnsi="宋体" w:eastAsia="宋体" w:cs="宋体"/>
          <w:b w:val="0"/>
          <w:kern w:val="0"/>
          <w:sz w:val="24"/>
          <w:szCs w:val="24"/>
          <w:lang w:val="en-US" w:eastAsia="zh-CN" w:bidi="ar-SA"/>
        </w:rPr>
        <w:t>负责用户的现场技术培训，包括产品的功能、部署条件、部署步骤和注意事项、产品升级、日常维护事项等方面，使用户达到能独立进行管理、维护测试和故障处理等工作，以使所提供的软件产品能够正常、安全的运行。培训分为使用人员培训和维护人员培训；技术参数中有规定的，以技术参数要求为准。所有培训费用计入</w:t>
      </w:r>
      <w:r>
        <w:rPr>
          <w:rFonts w:hint="eastAsia" w:hAnsi="宋体" w:cs="宋体"/>
          <w:b w:val="0"/>
          <w:kern w:val="0"/>
          <w:sz w:val="24"/>
          <w:szCs w:val="24"/>
          <w:lang w:val="en-US" w:eastAsia="zh-CN" w:bidi="ar-SA"/>
        </w:rPr>
        <w:t>磋商</w:t>
      </w:r>
      <w:r>
        <w:rPr>
          <w:rFonts w:hint="eastAsia" w:ascii="宋体" w:hAnsi="宋体" w:eastAsia="宋体" w:cs="宋体"/>
          <w:b w:val="0"/>
          <w:kern w:val="0"/>
          <w:sz w:val="24"/>
          <w:szCs w:val="24"/>
          <w:lang w:val="en-US" w:eastAsia="zh-CN" w:bidi="ar-SA"/>
        </w:rPr>
        <w:t>总价。</w:t>
      </w:r>
    </w:p>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outlineLvl w:val="1"/>
        <w:rPr>
          <w:rFonts w:hint="eastAsia" w:hAnsi="宋体" w:cs="宋体"/>
          <w:b/>
          <w:kern w:val="44"/>
          <w:sz w:val="28"/>
          <w:szCs w:val="28"/>
          <w:lang w:val="en-US" w:eastAsia="zh-CN" w:bidi="ar-SA"/>
        </w:rPr>
      </w:pPr>
      <w:r>
        <w:rPr>
          <w:rFonts w:hint="eastAsia" w:hAnsi="宋体" w:cs="宋体"/>
          <w:b/>
          <w:kern w:val="44"/>
          <w:sz w:val="28"/>
          <w:szCs w:val="28"/>
          <w:lang w:val="en-US" w:eastAsia="zh-CN" w:bidi="ar-SA"/>
        </w:rPr>
        <w:t>第四节、售后服务要求</w:t>
      </w:r>
    </w:p>
    <w:p>
      <w:pPr>
        <w:spacing w:line="360" w:lineRule="auto"/>
        <w:ind w:firstLine="480"/>
        <w:jc w:val="left"/>
        <w:outlineLvl w:val="9"/>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本项目质保期为终验合格后不少于36个月。</w:t>
      </w:r>
      <w:r>
        <w:rPr>
          <w:rFonts w:hint="eastAsia" w:hAnsi="宋体" w:cs="宋体"/>
          <w:b w:val="0"/>
          <w:kern w:val="0"/>
          <w:sz w:val="24"/>
          <w:szCs w:val="24"/>
          <w:lang w:val="en-US" w:eastAsia="zh-CN" w:bidi="ar-SA"/>
        </w:rPr>
        <w:t>供应商</w:t>
      </w:r>
      <w:r>
        <w:rPr>
          <w:rFonts w:hint="eastAsia" w:ascii="宋体" w:hAnsi="宋体" w:eastAsia="宋体" w:cs="宋体"/>
          <w:b w:val="0"/>
          <w:kern w:val="0"/>
          <w:sz w:val="24"/>
          <w:szCs w:val="24"/>
          <w:lang w:val="en-US" w:eastAsia="zh-CN" w:bidi="ar-SA"/>
        </w:rPr>
        <w:t>承诺的质保期起始时间为终验合格之日。终验之日起提供不少于一名的驻场工程师负责解决系统上线相关问题，驻场时间不少于三个月（驻场服务时间以正式验收之日算起）。</w:t>
      </w:r>
      <w:r>
        <w:rPr>
          <w:rFonts w:hint="eastAsia" w:hAnsi="宋体" w:cs="宋体"/>
          <w:b w:val="0"/>
          <w:kern w:val="0"/>
          <w:sz w:val="24"/>
          <w:szCs w:val="24"/>
          <w:lang w:val="en-US" w:eastAsia="zh-CN" w:bidi="ar-SA"/>
        </w:rPr>
        <w:t>供应商</w:t>
      </w:r>
      <w:r>
        <w:rPr>
          <w:rFonts w:hint="eastAsia" w:ascii="宋体" w:hAnsi="宋体" w:eastAsia="宋体" w:cs="宋体"/>
          <w:b w:val="0"/>
          <w:kern w:val="0"/>
          <w:sz w:val="24"/>
          <w:szCs w:val="24"/>
          <w:lang w:val="en-US" w:eastAsia="zh-CN" w:bidi="ar-SA"/>
        </w:rPr>
        <w:t>保证有专门的客户服务机构和人员，能够提供7×24小时电话服务响应；对于必须派人现场解决的问题，保证在收到现场服务通知后，4小时内到达现场解决问题，对于系统故障，要求提供快速响应机制，满足医院业务连续性要求。</w:t>
      </w:r>
    </w:p>
    <w:p>
      <w:pPr>
        <w:spacing w:line="360" w:lineRule="auto"/>
        <w:ind w:firstLine="480"/>
        <w:jc w:val="left"/>
        <w:outlineLvl w:val="9"/>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质保期内软件产品免费维护升级及接口对接，</w:t>
      </w:r>
      <w:r>
        <w:rPr>
          <w:rFonts w:hint="eastAsia" w:hAnsi="宋体" w:cs="宋体"/>
          <w:b w:val="0"/>
          <w:kern w:val="0"/>
          <w:sz w:val="24"/>
          <w:szCs w:val="24"/>
          <w:lang w:val="en-US" w:eastAsia="zh-CN" w:bidi="ar-SA"/>
        </w:rPr>
        <w:t>磋商</w:t>
      </w:r>
      <w:r>
        <w:rPr>
          <w:rFonts w:hint="eastAsia" w:ascii="宋体" w:hAnsi="宋体" w:eastAsia="宋体" w:cs="宋体"/>
          <w:b w:val="0"/>
          <w:kern w:val="0"/>
          <w:sz w:val="24"/>
          <w:szCs w:val="24"/>
          <w:lang w:val="en-US" w:eastAsia="zh-CN" w:bidi="ar-SA"/>
        </w:rPr>
        <w:t>文件中技术参数中有规定的应以</w:t>
      </w:r>
      <w:r>
        <w:rPr>
          <w:rFonts w:hint="eastAsia" w:hAnsi="宋体" w:cs="宋体"/>
          <w:b w:val="0"/>
          <w:kern w:val="0"/>
          <w:sz w:val="24"/>
          <w:szCs w:val="24"/>
          <w:lang w:val="en-US" w:eastAsia="zh-CN" w:bidi="ar-SA"/>
        </w:rPr>
        <w:t>磋商</w:t>
      </w:r>
      <w:r>
        <w:rPr>
          <w:rFonts w:hint="eastAsia" w:ascii="宋体" w:hAnsi="宋体" w:eastAsia="宋体" w:cs="宋体"/>
          <w:b w:val="0"/>
          <w:kern w:val="0"/>
          <w:sz w:val="24"/>
          <w:szCs w:val="24"/>
          <w:lang w:val="en-US" w:eastAsia="zh-CN" w:bidi="ar-SA"/>
        </w:rPr>
        <w:t>文件中技术参数要求为准。国家有规定的且优于</w:t>
      </w:r>
      <w:r>
        <w:rPr>
          <w:rFonts w:hint="eastAsia" w:hAnsi="宋体" w:cs="宋体"/>
          <w:b w:val="0"/>
          <w:kern w:val="0"/>
          <w:sz w:val="24"/>
          <w:szCs w:val="24"/>
          <w:lang w:val="en-US" w:eastAsia="zh-CN" w:bidi="ar-SA"/>
        </w:rPr>
        <w:t>磋商</w:t>
      </w:r>
      <w:r>
        <w:rPr>
          <w:rFonts w:hint="eastAsia" w:ascii="宋体" w:hAnsi="宋体" w:eastAsia="宋体" w:cs="宋体"/>
          <w:b w:val="0"/>
          <w:kern w:val="0"/>
          <w:sz w:val="24"/>
          <w:szCs w:val="24"/>
          <w:lang w:val="en-US" w:eastAsia="zh-CN" w:bidi="ar-SA"/>
        </w:rPr>
        <w:t>文件的以国家规定为准。中标人承诺的质保时间超过</w:t>
      </w:r>
      <w:r>
        <w:rPr>
          <w:rFonts w:hint="eastAsia" w:hAnsi="宋体" w:cs="宋体"/>
          <w:b w:val="0"/>
          <w:kern w:val="0"/>
          <w:sz w:val="24"/>
          <w:szCs w:val="24"/>
          <w:lang w:val="en-US" w:eastAsia="zh-CN" w:bidi="ar-SA"/>
        </w:rPr>
        <w:t>磋商</w:t>
      </w:r>
      <w:r>
        <w:rPr>
          <w:rFonts w:hint="eastAsia" w:ascii="宋体" w:hAnsi="宋体" w:eastAsia="宋体" w:cs="宋体"/>
          <w:b w:val="0"/>
          <w:kern w:val="0"/>
          <w:sz w:val="24"/>
          <w:szCs w:val="24"/>
          <w:lang w:val="en-US" w:eastAsia="zh-CN" w:bidi="ar-SA"/>
        </w:rPr>
        <w:t>文件要求的，按其承诺时间质保。</w:t>
      </w:r>
    </w:p>
    <w:p>
      <w:pPr>
        <w:spacing w:line="360" w:lineRule="auto"/>
        <w:ind w:firstLine="480"/>
        <w:jc w:val="left"/>
        <w:outlineLvl w:val="9"/>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项目实施期间及质保期内，根据使用方的业务需求变化进行二次开发和本地化服务，及在需要与其他系统实现对接或者数据交互时，中标方应免费提供相应的技术支持和数据接口（费用包含在本次中标方总价格中），配合第三方做好技术衔接，不得以任何借口推诿并收取费用。</w:t>
      </w:r>
    </w:p>
    <w:p>
      <w:pPr>
        <w:spacing w:line="360" w:lineRule="auto"/>
        <w:ind w:firstLine="480"/>
        <w:jc w:val="left"/>
        <w:outlineLvl w:val="9"/>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合同期满后，维保咨询服务费用另行协商签订，费用每年不得高于</w:t>
      </w:r>
      <w:r>
        <w:rPr>
          <w:rFonts w:hint="eastAsia" w:hAnsi="宋体" w:cs="宋体"/>
          <w:b w:val="0"/>
          <w:kern w:val="0"/>
          <w:sz w:val="24"/>
          <w:szCs w:val="24"/>
          <w:lang w:val="en-US" w:eastAsia="zh-CN" w:bidi="ar-SA"/>
        </w:rPr>
        <w:t>成交</w:t>
      </w:r>
      <w:r>
        <w:rPr>
          <w:rFonts w:hint="eastAsia" w:ascii="宋体" w:hAnsi="宋体" w:eastAsia="宋体" w:cs="宋体"/>
          <w:b w:val="0"/>
          <w:kern w:val="0"/>
          <w:sz w:val="24"/>
          <w:szCs w:val="24"/>
          <w:lang w:val="en-US" w:eastAsia="zh-CN" w:bidi="ar-SA"/>
        </w:rPr>
        <w:t>总价的5%。维保咨询服务期内需要与其他系统实现对接或者数据交互时，应免费提供相应的技术支持和数据接口（费用包含维保咨询服务费中），配合第三方做好技术衔接，不得以任何借口推诿并收取费用。</w:t>
      </w:r>
    </w:p>
    <w:p>
      <w:pPr>
        <w:spacing w:line="360" w:lineRule="auto"/>
        <w:ind w:firstLine="480"/>
        <w:jc w:val="left"/>
        <w:outlineLvl w:val="9"/>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合同期内每年向甲方提供不少于2次咨询服务，根据医院实际需求，提供解读服务。内容包括但不限于每半年的全院运营分析，根据医院实际运营需求，解答范围包括但不限于等级评审、绩效考核评价，运营发展，学科发展，质量安全、综合目标相关等。省级数据核查和现场评审时保证有软件工程师参与配合。</w:t>
      </w:r>
    </w:p>
    <w:p>
      <w:pPr>
        <w:pStyle w:val="3"/>
        <w:spacing w:line="360" w:lineRule="auto"/>
        <w:ind w:firstLine="480"/>
        <w:jc w:val="left"/>
        <w:rPr>
          <w:rFonts w:ascii="宋体" w:eastAsia="宋体" w:cs="宋体"/>
          <w:b w:val="0"/>
          <w:bCs/>
          <w:sz w:val="36"/>
          <w:szCs w:val="36"/>
          <w:highlight w:val="none"/>
        </w:rPr>
      </w:pPr>
      <w:r>
        <w:rPr>
          <w:rFonts w:hint="eastAsia" w:ascii="宋体" w:hAnsi="宋体" w:eastAsia="宋体" w:cs="宋体"/>
          <w:b w:val="0"/>
          <w:kern w:val="0"/>
          <w:sz w:val="24"/>
          <w:szCs w:val="24"/>
          <w:lang w:val="en-US" w:eastAsia="zh-CN" w:bidi="ar-SA"/>
        </w:rPr>
        <w:br w:type="page"/>
      </w:r>
      <w:r>
        <w:rPr>
          <w:rStyle w:val="35"/>
          <w:rFonts w:hint="eastAsia" w:ascii="宋体" w:eastAsia="宋体" w:cs="宋体"/>
          <w:b/>
          <w:sz w:val="36"/>
          <w:szCs w:val="21"/>
          <w:highlight w:val="none"/>
        </w:rPr>
        <w:t>第六章  竞争性磋商响应文件格式</w:t>
      </w:r>
      <w:bookmarkEnd w:id="136"/>
      <w:bookmarkEnd w:id="137"/>
      <w:bookmarkEnd w:id="138"/>
      <w:bookmarkEnd w:id="139"/>
      <w:bookmarkEnd w:id="140"/>
    </w:p>
    <w:p>
      <w:pPr>
        <w:rPr>
          <w:rFonts w:hAnsi="宋体" w:cs="宋体"/>
          <w:highlight w:val="none"/>
        </w:rPr>
      </w:pPr>
    </w:p>
    <w:p>
      <w:pPr>
        <w:rPr>
          <w:rFonts w:hAnsi="宋体" w:cs="宋体"/>
          <w:highlight w:val="none"/>
        </w:rPr>
      </w:pPr>
    </w:p>
    <w:p>
      <w:pPr>
        <w:framePr w:hSpace="180" w:wrap="around" w:vAnchor="text" w:hAnchor="page" w:x="1472" w:y="18"/>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SXZCZB2022-ZCCS-1226</w:t>
      </w:r>
    </w:p>
    <w:p>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pPr>
        <w:jc w:val="right"/>
        <w:rPr>
          <w:rFonts w:hAnsi="宋体" w:cs="宋体"/>
          <w:b/>
          <w:sz w:val="32"/>
          <w:szCs w:val="32"/>
          <w:highlight w:val="none"/>
        </w:rPr>
      </w:pPr>
    </w:p>
    <w:p>
      <w:pPr>
        <w:jc w:val="right"/>
        <w:rPr>
          <w:rFonts w:hAnsi="宋体" w:cs="宋体"/>
          <w:b/>
          <w:sz w:val="32"/>
          <w:szCs w:val="32"/>
          <w:highlight w:val="none"/>
        </w:rPr>
      </w:pPr>
    </w:p>
    <w:p>
      <w:pPr>
        <w:pStyle w:val="10"/>
        <w:rPr>
          <w:rFonts w:ascii="宋体" w:hAnsi="宋体" w:cs="宋体"/>
          <w:highlight w:val="none"/>
        </w:rPr>
      </w:pPr>
    </w:p>
    <w:p>
      <w:pPr>
        <w:jc w:val="center"/>
        <w:rPr>
          <w:rFonts w:hint="eastAsia" w:hAnsi="宋体" w:eastAsia="宋体" w:cs="宋体"/>
          <w:b/>
          <w:sz w:val="62"/>
          <w:szCs w:val="72"/>
          <w:highlight w:val="none"/>
          <w:lang w:eastAsia="zh-CN"/>
        </w:rPr>
      </w:pPr>
      <w:r>
        <w:rPr>
          <w:rFonts w:hint="eastAsia" w:hAnsi="宋体" w:cs="宋体"/>
          <w:b/>
          <w:sz w:val="56"/>
          <w:szCs w:val="72"/>
          <w:highlight w:val="none"/>
          <w:lang w:eastAsia="zh-CN"/>
        </w:rPr>
        <w:t>汉中市人民医院三级医院评审与绩效考核信息管理服务平台采购项目</w:t>
      </w:r>
    </w:p>
    <w:p>
      <w:pPr>
        <w:pStyle w:val="10"/>
        <w:rPr>
          <w:rFonts w:ascii="宋体" w:hAnsi="宋体" w:cs="宋体"/>
          <w:b/>
          <w:sz w:val="62"/>
          <w:szCs w:val="72"/>
          <w:highlight w:val="none"/>
        </w:rPr>
      </w:pPr>
    </w:p>
    <w:p>
      <w:pPr>
        <w:rPr>
          <w:rFonts w:hAnsi="宋体" w:cs="宋体"/>
          <w:highlight w:val="none"/>
        </w:rPr>
      </w:pPr>
    </w:p>
    <w:p>
      <w:pPr>
        <w:jc w:val="center"/>
        <w:rPr>
          <w:rFonts w:hAnsi="宋体" w:cs="宋体"/>
          <w:b/>
          <w:sz w:val="56"/>
          <w:szCs w:val="56"/>
          <w:highlight w:val="none"/>
        </w:rPr>
      </w:pPr>
      <w:r>
        <w:rPr>
          <w:rFonts w:hint="eastAsia" w:hAnsi="宋体" w:cs="宋体"/>
          <w:b/>
          <w:sz w:val="56"/>
          <w:szCs w:val="56"/>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pStyle w:val="10"/>
        <w:rPr>
          <w:rFonts w:ascii="宋体" w:hAnsi="宋体" w:cs="宋体"/>
          <w:highlight w:val="none"/>
        </w:rPr>
      </w:pPr>
    </w:p>
    <w:p>
      <w:pPr>
        <w:rPr>
          <w:rFonts w:hAnsi="宋体" w:cs="宋体"/>
          <w:b/>
          <w:sz w:val="36"/>
          <w:szCs w:val="36"/>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6"/>
          <w:szCs w:val="36"/>
          <w:highlight w:val="none"/>
        </w:rPr>
        <w:br w:type="page"/>
      </w:r>
      <w:bookmarkStart w:id="146" w:name="_Toc344572156"/>
    </w:p>
    <w:p>
      <w:pPr>
        <w:jc w:val="center"/>
        <w:rPr>
          <w:rFonts w:hAnsi="宋体" w:cs="宋体"/>
          <w:b/>
          <w:sz w:val="44"/>
          <w:highlight w:val="none"/>
        </w:rPr>
      </w:pPr>
      <w:r>
        <w:rPr>
          <w:rFonts w:hint="eastAsia" w:hAnsi="宋体" w:cs="宋体"/>
          <w:b/>
          <w:sz w:val="44"/>
          <w:highlight w:val="none"/>
        </w:rPr>
        <w:t>目  录</w:t>
      </w:r>
    </w:p>
    <w:p>
      <w:pPr>
        <w:pStyle w:val="10"/>
        <w:rPr>
          <w:rFonts w:ascii="宋体" w:hAnsi="宋体" w:cs="宋体"/>
          <w:highlight w:val="none"/>
        </w:rPr>
      </w:pP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pPr>
        <w:pStyle w:val="7"/>
        <w:spacing w:line="360" w:lineRule="auto"/>
        <w:rPr>
          <w:rFonts w:ascii="宋体" w:hAnsi="宋体" w:cs="宋体"/>
          <w:highlight w:val="none"/>
        </w:rPr>
      </w:pPr>
    </w:p>
    <w:p>
      <w:pPr>
        <w:pStyle w:val="7"/>
        <w:spacing w:line="360" w:lineRule="auto"/>
        <w:rPr>
          <w:rFonts w:ascii="宋体" w:hAnsi="宋体" w:cs="宋体"/>
          <w:highlight w:val="none"/>
        </w:rPr>
      </w:pPr>
    </w:p>
    <w:p>
      <w:pPr>
        <w:pStyle w:val="7"/>
        <w:ind w:firstLine="880"/>
        <w:rPr>
          <w:rFonts w:ascii="宋体" w:hAnsi="宋体" w:cs="宋体"/>
          <w:bCs/>
          <w:sz w:val="44"/>
          <w:highlight w:val="none"/>
        </w:rPr>
      </w:pPr>
    </w:p>
    <w:p>
      <w:pPr>
        <w:pStyle w:val="7"/>
        <w:ind w:firstLine="880"/>
        <w:rPr>
          <w:rFonts w:ascii="宋体" w:hAnsi="宋体" w:cs="宋体"/>
          <w:bCs/>
          <w:sz w:val="44"/>
          <w:highlight w:val="none"/>
        </w:rPr>
      </w:pPr>
    </w:p>
    <w:bookmarkEnd w:id="146"/>
    <w:p>
      <w:pPr>
        <w:pStyle w:val="10"/>
        <w:rPr>
          <w:rFonts w:ascii="宋体" w:hAnsi="宋体" w:cs="宋体"/>
          <w:b/>
          <w:sz w:val="32"/>
          <w:szCs w:val="32"/>
          <w:highlight w:val="none"/>
        </w:rPr>
      </w:pPr>
      <w:bookmarkStart w:id="147" w:name="_Toc403077648"/>
      <w:bookmarkStart w:id="148" w:name="_Toc363474027"/>
      <w:bookmarkStart w:id="149" w:name="_Toc204524343"/>
    </w:p>
    <w:p>
      <w:pPr>
        <w:pStyle w:val="10"/>
        <w:rPr>
          <w:rFonts w:ascii="宋体" w:hAnsi="宋体" w:cs="宋体"/>
          <w:b/>
          <w:sz w:val="32"/>
          <w:szCs w:val="32"/>
          <w:highlight w:val="none"/>
        </w:rPr>
      </w:pPr>
    </w:p>
    <w:p>
      <w:pPr>
        <w:pStyle w:val="10"/>
        <w:rPr>
          <w:rFonts w:ascii="宋体" w:hAnsi="宋体" w:cs="宋体"/>
          <w:b/>
          <w:sz w:val="32"/>
          <w:szCs w:val="32"/>
          <w:highlight w:val="none"/>
        </w:rPr>
      </w:pPr>
    </w:p>
    <w:p>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50" w:name="_Toc15762"/>
      <w:bookmarkStart w:id="151" w:name="_Toc32002"/>
      <w:bookmarkStart w:id="152" w:name="_Toc4367"/>
      <w:r>
        <w:rPr>
          <w:rFonts w:hint="eastAsia" w:hAnsi="宋体" w:cs="宋体"/>
          <w:b/>
          <w:sz w:val="32"/>
          <w:szCs w:val="32"/>
          <w:highlight w:val="none"/>
        </w:rPr>
        <w:t>一、磋商</w:t>
      </w:r>
      <w:bookmarkEnd w:id="147"/>
      <w:bookmarkEnd w:id="148"/>
      <w:r>
        <w:rPr>
          <w:rFonts w:hint="eastAsia" w:hAnsi="宋体" w:cs="宋体"/>
          <w:b/>
          <w:sz w:val="32"/>
          <w:szCs w:val="32"/>
          <w:highlight w:val="none"/>
        </w:rPr>
        <w:t>响应函</w:t>
      </w:r>
      <w:bookmarkEnd w:id="150"/>
      <w:bookmarkEnd w:id="151"/>
      <w:bookmarkEnd w:id="152"/>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陕西至诚招标咨询有限公司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25"/>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25"/>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5）同意提供贵方可能另外要求的与本磋商有关的任何证据和资料。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6）我们同意，如果成交，向陕西至诚招标咨询有限公司交纳招标代理服务费。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2"/>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53" w:name="_Toc17800"/>
      <w:bookmarkStart w:id="154" w:name="_Toc403077651"/>
      <w:bookmarkStart w:id="155" w:name="_Toc363474030"/>
      <w:bookmarkStart w:id="156" w:name="_Toc28910"/>
      <w:bookmarkStart w:id="157" w:name="_Toc9730"/>
      <w:r>
        <w:rPr>
          <w:rFonts w:hint="eastAsia" w:ascii="宋体" w:hAnsi="宋体" w:cs="宋体"/>
          <w:bCs w:val="0"/>
          <w:sz w:val="32"/>
          <w:highlight w:val="none"/>
        </w:rPr>
        <w:t>二、磋商报价表</w:t>
      </w:r>
      <w:bookmarkEnd w:id="153"/>
      <w:bookmarkEnd w:id="154"/>
      <w:bookmarkEnd w:id="155"/>
      <w:bookmarkEnd w:id="156"/>
      <w:bookmarkEnd w:id="157"/>
    </w:p>
    <w:p>
      <w:pPr>
        <w:spacing w:line="360" w:lineRule="auto"/>
        <w:jc w:val="center"/>
        <w:outlineLvl w:val="1"/>
        <w:rPr>
          <w:rFonts w:hAnsi="宋体" w:cs="宋体"/>
          <w:szCs w:val="24"/>
          <w:highlight w:val="none"/>
        </w:rPr>
      </w:pPr>
      <w:bookmarkStart w:id="158" w:name="_Toc12732"/>
      <w:bookmarkStart w:id="159" w:name="_Toc7982"/>
      <w:bookmarkStart w:id="160" w:name="_Toc32277"/>
      <w:r>
        <w:rPr>
          <w:rFonts w:hint="eastAsia" w:hAnsi="宋体" w:cs="宋体"/>
          <w:szCs w:val="24"/>
          <w:highlight w:val="none"/>
        </w:rPr>
        <w:t>2.1报价一览表</w:t>
      </w:r>
      <w:bookmarkEnd w:id="158"/>
      <w:bookmarkEnd w:id="159"/>
      <w:bookmarkEnd w:id="160"/>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3049"/>
        <w:gridCol w:w="207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408" w:type="dxa"/>
            <w:vAlign w:val="center"/>
          </w:tcPr>
          <w:p>
            <w:pPr>
              <w:jc w:val="center"/>
              <w:rPr>
                <w:rFonts w:hAnsi="宋体" w:cs="宋体"/>
                <w:szCs w:val="24"/>
                <w:highlight w:val="none"/>
              </w:rPr>
            </w:pPr>
            <w:r>
              <w:rPr>
                <w:rFonts w:hint="eastAsia" w:hAnsi="宋体" w:cs="宋体"/>
                <w:szCs w:val="24"/>
                <w:highlight w:val="none"/>
              </w:rPr>
              <w:t>磋商总报价</w:t>
            </w:r>
          </w:p>
          <w:p>
            <w:pPr>
              <w:jc w:val="center"/>
              <w:rPr>
                <w:rFonts w:hAnsi="宋体" w:cs="宋体"/>
                <w:szCs w:val="24"/>
                <w:highlight w:val="none"/>
              </w:rPr>
            </w:pPr>
            <w:r>
              <w:rPr>
                <w:rFonts w:hint="eastAsia" w:hAnsi="宋体" w:cs="宋体"/>
                <w:szCs w:val="24"/>
                <w:highlight w:val="none"/>
              </w:rPr>
              <w:t>（元）</w:t>
            </w:r>
          </w:p>
        </w:tc>
        <w:tc>
          <w:tcPr>
            <w:tcW w:w="3049" w:type="dxa"/>
            <w:vAlign w:val="center"/>
          </w:tcPr>
          <w:p>
            <w:pPr>
              <w:jc w:val="center"/>
              <w:rPr>
                <w:rFonts w:hint="eastAsia" w:hAnsi="宋体" w:eastAsia="宋体" w:cs="宋体"/>
                <w:szCs w:val="24"/>
                <w:highlight w:val="none"/>
                <w:lang w:eastAsia="zh-CN"/>
              </w:rPr>
            </w:pPr>
            <w:r>
              <w:rPr>
                <w:rFonts w:hint="eastAsia" w:hAnsi="宋体" w:cs="宋体"/>
                <w:szCs w:val="24"/>
                <w:highlight w:val="none"/>
                <w:lang w:eastAsia="zh-CN"/>
              </w:rPr>
              <w:t>服务</w:t>
            </w:r>
            <w:r>
              <w:rPr>
                <w:rFonts w:hint="eastAsia" w:hAnsi="宋体" w:cs="宋体"/>
                <w:szCs w:val="24"/>
                <w:highlight w:val="none"/>
              </w:rPr>
              <w:t>期</w:t>
            </w:r>
            <w:r>
              <w:rPr>
                <w:rFonts w:hint="eastAsia" w:hAnsi="宋体" w:cs="宋体"/>
                <w:szCs w:val="24"/>
                <w:highlight w:val="none"/>
                <w:lang w:eastAsia="zh-CN"/>
              </w:rPr>
              <w:t>限</w:t>
            </w:r>
          </w:p>
        </w:tc>
        <w:tc>
          <w:tcPr>
            <w:tcW w:w="2077" w:type="dxa"/>
            <w:vAlign w:val="center"/>
          </w:tcPr>
          <w:p>
            <w:pPr>
              <w:pStyle w:val="10"/>
              <w:jc w:val="center"/>
              <w:rPr>
                <w:rFonts w:ascii="宋体" w:hAnsi="宋体" w:cs="宋体"/>
                <w:highlight w:val="none"/>
              </w:rPr>
            </w:pPr>
            <w:r>
              <w:rPr>
                <w:rFonts w:hint="eastAsia" w:ascii="宋体" w:hAnsi="宋体" w:eastAsia="宋体" w:cs="宋体"/>
                <w:kern w:val="0"/>
                <w:sz w:val="24"/>
                <w:szCs w:val="24"/>
                <w:highlight w:val="none"/>
                <w:lang w:val="en-US" w:eastAsia="zh-CN" w:bidi="ar-SA"/>
              </w:rPr>
              <w:t>质保期</w:t>
            </w:r>
          </w:p>
        </w:tc>
        <w:tc>
          <w:tcPr>
            <w:tcW w:w="1916" w:type="dxa"/>
            <w:vAlign w:val="center"/>
          </w:tcPr>
          <w:p>
            <w:pPr>
              <w:jc w:val="center"/>
              <w:rPr>
                <w:rFonts w:hAnsi="宋体" w:cs="宋体"/>
                <w:szCs w:val="24"/>
                <w:highlight w:val="none"/>
              </w:rPr>
            </w:pPr>
            <w:r>
              <w:rPr>
                <w:rFonts w:hint="eastAsia" w:hAnsi="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408" w:type="dxa"/>
            <w:vAlign w:val="center"/>
          </w:tcPr>
          <w:p>
            <w:pPr>
              <w:jc w:val="center"/>
              <w:rPr>
                <w:rFonts w:hAnsi="宋体" w:cs="宋体"/>
                <w:szCs w:val="24"/>
                <w:highlight w:val="none"/>
              </w:rPr>
            </w:pPr>
          </w:p>
        </w:tc>
        <w:tc>
          <w:tcPr>
            <w:tcW w:w="3049" w:type="dxa"/>
            <w:vAlign w:val="center"/>
          </w:tcPr>
          <w:p>
            <w:pPr>
              <w:jc w:val="center"/>
              <w:rPr>
                <w:rFonts w:hAnsi="宋体" w:cs="宋体"/>
                <w:szCs w:val="24"/>
                <w:highlight w:val="none"/>
              </w:rPr>
            </w:pPr>
          </w:p>
        </w:tc>
        <w:tc>
          <w:tcPr>
            <w:tcW w:w="2077" w:type="dxa"/>
            <w:vAlign w:val="center"/>
          </w:tcPr>
          <w:p>
            <w:pPr>
              <w:jc w:val="center"/>
              <w:rPr>
                <w:rFonts w:hAnsi="宋体" w:cs="宋体"/>
                <w:szCs w:val="24"/>
                <w:highlight w:val="none"/>
              </w:rPr>
            </w:pPr>
          </w:p>
        </w:tc>
        <w:tc>
          <w:tcPr>
            <w:tcW w:w="1916" w:type="dxa"/>
            <w:vAlign w:val="center"/>
          </w:tcPr>
          <w:p>
            <w:pPr>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4"/>
            <w:vAlign w:val="center"/>
          </w:tcPr>
          <w:p>
            <w:pPr>
              <w:jc w:val="center"/>
              <w:rPr>
                <w:rFonts w:hAnsi="宋体" w:cs="宋体"/>
                <w:szCs w:val="24"/>
                <w:highlight w:val="none"/>
              </w:rPr>
            </w:pPr>
            <w:r>
              <w:rPr>
                <w:rFonts w:hint="eastAsia" w:hAnsi="宋体" w:cs="宋体"/>
                <w:szCs w:val="24"/>
                <w:highlight w:val="none"/>
              </w:rPr>
              <w:t>磋商报价（大写）：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4"/>
            <w:vAlign w:val="center"/>
          </w:tcPr>
          <w:p>
            <w:pPr>
              <w:rPr>
                <w:rFonts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pPr>
        <w:rPr>
          <w:rFonts w:hAnsi="宋体" w:cs="宋体"/>
          <w:szCs w:val="24"/>
          <w:highlight w:val="none"/>
        </w:rPr>
      </w:pPr>
    </w:p>
    <w:p>
      <w:pPr>
        <w:rPr>
          <w:rFonts w:hAnsi="宋体" w:cs="宋体"/>
          <w:szCs w:val="24"/>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Ansi="宋体" w:cs="宋体"/>
          <w:b/>
          <w:sz w:val="30"/>
          <w:szCs w:val="30"/>
          <w:highlight w:val="none"/>
        </w:rPr>
      </w:pPr>
    </w:p>
    <w:p>
      <w:pPr>
        <w:jc w:val="center"/>
        <w:outlineLvl w:val="1"/>
        <w:rPr>
          <w:rFonts w:hAnsi="宋体" w:cs="宋体"/>
          <w:b/>
          <w:sz w:val="30"/>
          <w:szCs w:val="30"/>
          <w:highlight w:val="none"/>
        </w:rPr>
      </w:pPr>
      <w:r>
        <w:rPr>
          <w:rFonts w:hint="eastAsia" w:hAnsi="宋体" w:cs="宋体"/>
          <w:b/>
          <w:sz w:val="30"/>
          <w:szCs w:val="30"/>
          <w:highlight w:val="none"/>
        </w:rPr>
        <w:br w:type="page"/>
      </w:r>
      <w:bookmarkStart w:id="161" w:name="_Toc11197"/>
      <w:bookmarkStart w:id="162" w:name="_Toc8017"/>
      <w:bookmarkStart w:id="163" w:name="_Toc9760"/>
      <w:r>
        <w:rPr>
          <w:rFonts w:hint="eastAsia" w:hAnsi="宋体" w:cs="宋体"/>
          <w:b/>
          <w:sz w:val="30"/>
          <w:szCs w:val="30"/>
          <w:highlight w:val="none"/>
        </w:rPr>
        <w:t>2.2分项报价表</w:t>
      </w:r>
      <w:bookmarkEnd w:id="161"/>
      <w:bookmarkEnd w:id="162"/>
      <w:bookmarkEnd w:id="163"/>
    </w:p>
    <w:p>
      <w:pPr>
        <w:pStyle w:val="10"/>
        <w:jc w:val="center"/>
        <w:rPr>
          <w:rFonts w:ascii="宋体" w:hAnsi="宋体" w:cs="宋体"/>
          <w:bCs/>
          <w:sz w:val="24"/>
          <w:szCs w:val="24"/>
          <w:highlight w:val="none"/>
        </w:rPr>
      </w:pPr>
    </w:p>
    <w:p>
      <w:pPr>
        <w:pStyle w:val="10"/>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p>
    <w:p>
      <w:pPr>
        <w:pStyle w:val="10"/>
        <w:rPr>
          <w:rFonts w:ascii="宋体" w:hAnsi="宋体" w:cs="宋体"/>
          <w:highlight w:val="none"/>
        </w:rPr>
      </w:pPr>
    </w:p>
    <w:p>
      <w:pPr>
        <w:ind w:firstLine="420"/>
        <w:rPr>
          <w:rFonts w:hAnsi="宋体" w:cs="宋体"/>
          <w:highlight w:val="none"/>
        </w:rPr>
      </w:pPr>
    </w:p>
    <w:p>
      <w:pPr>
        <w:pStyle w:val="10"/>
        <w:spacing w:line="360" w:lineRule="auto"/>
        <w:rPr>
          <w:rFonts w:ascii="宋体" w:hAnsi="宋体" w:cs="宋体"/>
          <w:sz w:val="28"/>
          <w:szCs w:val="28"/>
          <w:highlight w:val="none"/>
        </w:rPr>
      </w:pPr>
    </w:p>
    <w:p>
      <w:pPr>
        <w:rPr>
          <w:rFonts w:hAnsi="宋体" w:cs="宋体"/>
          <w:highlight w:val="none"/>
        </w:rPr>
      </w:pPr>
    </w:p>
    <w:bookmarkEnd w:id="149"/>
    <w:p>
      <w:pPr>
        <w:jc w:val="center"/>
        <w:outlineLvl w:val="1"/>
        <w:rPr>
          <w:rFonts w:hAnsi="宋体" w:cs="宋体"/>
          <w:sz w:val="32"/>
          <w:szCs w:val="32"/>
          <w:highlight w:val="none"/>
        </w:rPr>
      </w:pPr>
      <w:bookmarkStart w:id="164" w:name="_Toc344572163"/>
      <w:r>
        <w:rPr>
          <w:rFonts w:hint="eastAsia" w:hAnsi="宋体" w:cs="宋体"/>
          <w:sz w:val="32"/>
          <w:szCs w:val="32"/>
          <w:highlight w:val="none"/>
        </w:rPr>
        <w:br w:type="page"/>
      </w:r>
      <w:bookmarkStart w:id="165" w:name="_Toc5944"/>
      <w:bookmarkStart w:id="166" w:name="_Toc32126"/>
      <w:bookmarkStart w:id="167" w:name="_Toc3628"/>
      <w:r>
        <w:rPr>
          <w:rFonts w:hint="eastAsia" w:hAnsi="宋体" w:cs="宋体"/>
          <w:b/>
          <w:bCs/>
          <w:sz w:val="32"/>
          <w:szCs w:val="32"/>
          <w:highlight w:val="none"/>
        </w:rPr>
        <w:t>三、磋商方案说明书</w:t>
      </w:r>
      <w:bookmarkEnd w:id="165"/>
      <w:bookmarkEnd w:id="166"/>
      <w:bookmarkEnd w:id="167"/>
    </w:p>
    <w:p>
      <w:pPr>
        <w:spacing w:after="120" w:line="440" w:lineRule="exact"/>
        <w:rPr>
          <w:rFonts w:hAnsi="宋体" w:cs="宋体"/>
          <w:szCs w:val="24"/>
          <w:highlight w:val="none"/>
        </w:rPr>
      </w:pPr>
      <w:r>
        <w:rPr>
          <w:rFonts w:hint="eastAsia" w:hAnsi="宋体" w:cs="宋体"/>
          <w:szCs w:val="24"/>
          <w:highlight w:val="none"/>
        </w:rPr>
        <w:t>项目名称：</w:t>
      </w:r>
    </w:p>
    <w:p>
      <w:pPr>
        <w:tabs>
          <w:tab w:val="left" w:pos="1800"/>
        </w:tabs>
        <w:spacing w:after="120" w:line="440" w:lineRule="exact"/>
        <w:rPr>
          <w:rFonts w:hAnsi="宋体" w:cs="宋体"/>
          <w:szCs w:val="24"/>
          <w:highlight w:val="none"/>
        </w:rPr>
      </w:pPr>
      <w:r>
        <w:rPr>
          <w:rFonts w:hint="eastAsia" w:hAnsi="宋体" w:cs="宋体"/>
          <w:szCs w:val="24"/>
          <w:highlight w:val="none"/>
        </w:rPr>
        <w:t>项目编号：</w:t>
      </w:r>
    </w:p>
    <w:p>
      <w:pPr>
        <w:spacing w:line="480" w:lineRule="auto"/>
        <w:ind w:firstLine="480" w:firstLineChars="200"/>
        <w:rPr>
          <w:rFonts w:hAnsi="宋体" w:cs="宋体"/>
          <w:b/>
          <w:bCs/>
          <w:szCs w:val="24"/>
          <w:highlight w:val="none"/>
        </w:rPr>
      </w:pPr>
      <w:r>
        <w:rPr>
          <w:rFonts w:hint="eastAsia" w:hAnsi="宋体" w:cs="宋体"/>
          <w:szCs w:val="24"/>
          <w:highlight w:val="none"/>
        </w:rPr>
        <w:t>按照磋商文件的要求编制的技术响应说明书，内容包括本项目设计方案就实施方案。</w:t>
      </w:r>
      <w:r>
        <w:rPr>
          <w:rFonts w:hint="eastAsia" w:hAnsi="宋体" w:cs="宋体"/>
          <w:b/>
          <w:bCs/>
          <w:szCs w:val="24"/>
          <w:highlight w:val="none"/>
        </w:rPr>
        <w:t>（可参照第三章评审办法进行响应）</w:t>
      </w:r>
    </w:p>
    <w:p>
      <w:pPr>
        <w:pStyle w:val="10"/>
        <w:rPr>
          <w:rFonts w:ascii="宋体" w:hAnsi="宋体" w:cs="宋体"/>
          <w:highlight w:val="none"/>
        </w:rPr>
      </w:pPr>
    </w:p>
    <w:p>
      <w:pPr>
        <w:pStyle w:val="10"/>
        <w:rPr>
          <w:rFonts w:ascii="宋体" w:hAnsi="宋体" w:cs="宋体"/>
          <w:highlight w:val="none"/>
        </w:rPr>
      </w:pPr>
    </w:p>
    <w:p>
      <w:pPr>
        <w:rPr>
          <w:rFonts w:hAnsi="宋体" w:cs="宋体"/>
          <w:highlight w:val="none"/>
        </w:rPr>
      </w:pPr>
    </w:p>
    <w:p>
      <w:pPr>
        <w:pStyle w:val="10"/>
        <w:rPr>
          <w:rFonts w:ascii="宋体" w:hAnsi="宋体" w:cs="宋体"/>
          <w:highlight w:val="none"/>
        </w:rPr>
      </w:pPr>
    </w:p>
    <w:p>
      <w:pPr>
        <w:spacing w:line="480" w:lineRule="auto"/>
        <w:ind w:left="3725" w:leftChars="1552"/>
        <w:rPr>
          <w:rFonts w:hAnsi="宋体" w:cs="宋体"/>
          <w:szCs w:val="24"/>
          <w:highlight w:val="none"/>
        </w:rPr>
      </w:pPr>
      <w:r>
        <w:rPr>
          <w:rFonts w:hint="eastAsia" w:hAnsi="宋体" w:cs="宋体"/>
          <w:szCs w:val="24"/>
          <w:highlight w:val="none"/>
        </w:rPr>
        <w:t>法定代表人/或被授权人签字：</w:t>
      </w:r>
    </w:p>
    <w:p>
      <w:pPr>
        <w:spacing w:line="480" w:lineRule="auto"/>
        <w:ind w:left="3725" w:leftChars="155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公      章：</w:t>
      </w:r>
    </w:p>
    <w:p>
      <w:pPr>
        <w:spacing w:line="480" w:lineRule="auto"/>
        <w:ind w:left="3725" w:leftChars="1552" w:firstLine="5668" w:firstLineChars="236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日      期：</w:t>
      </w:r>
    </w:p>
    <w:p>
      <w:pPr>
        <w:spacing w:after="120" w:line="480" w:lineRule="auto"/>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rPr>
          <w:rFonts w:hAnsi="宋体" w:cs="宋体"/>
          <w:b/>
          <w:szCs w:val="24"/>
          <w:highlight w:val="none"/>
        </w:rPr>
      </w:pPr>
      <w:r>
        <w:rPr>
          <w:rFonts w:hint="eastAsia" w:hAnsi="宋体" w:cs="宋体"/>
          <w:b/>
          <w:szCs w:val="24"/>
          <w:highlight w:val="none"/>
        </w:rPr>
        <w:br w:type="page"/>
      </w:r>
      <w:bookmarkStart w:id="168" w:name="_Toc9218"/>
      <w:bookmarkStart w:id="169" w:name="_Toc2621"/>
      <w:bookmarkStart w:id="170" w:name="_Toc23455"/>
      <w:bookmarkStart w:id="171" w:name="_Toc21284"/>
      <w:bookmarkStart w:id="172" w:name="_Toc1379"/>
      <w:bookmarkStart w:id="173" w:name="_Toc8845"/>
      <w:bookmarkStart w:id="174" w:name="_Toc15265"/>
      <w:bookmarkStart w:id="175" w:name="_Toc5662"/>
    </w:p>
    <w:p>
      <w:pPr>
        <w:ind w:firstLine="161" w:firstLineChars="50"/>
        <w:jc w:val="center"/>
        <w:outlineLvl w:val="1"/>
        <w:rPr>
          <w:rFonts w:hAnsi="宋体" w:cs="宋体"/>
          <w:sz w:val="32"/>
          <w:szCs w:val="32"/>
          <w:highlight w:val="none"/>
        </w:rPr>
      </w:pPr>
      <w:r>
        <w:rPr>
          <w:rFonts w:hint="eastAsia" w:hAnsi="宋体" w:cs="宋体"/>
          <w:b/>
          <w:bCs/>
          <w:sz w:val="32"/>
          <w:szCs w:val="32"/>
          <w:highlight w:val="none"/>
        </w:rPr>
        <w:t>四、</w:t>
      </w:r>
      <w:bookmarkEnd w:id="168"/>
      <w:bookmarkEnd w:id="169"/>
      <w:bookmarkEnd w:id="170"/>
      <w:bookmarkEnd w:id="171"/>
      <w:bookmarkEnd w:id="172"/>
      <w:r>
        <w:rPr>
          <w:rFonts w:hint="eastAsia" w:hAnsi="宋体" w:cs="宋体"/>
          <w:b/>
          <w:bCs/>
          <w:sz w:val="32"/>
          <w:szCs w:val="32"/>
          <w:highlight w:val="none"/>
        </w:rPr>
        <w:t>商务条款偏离表</w:t>
      </w:r>
      <w:bookmarkEnd w:id="173"/>
      <w:bookmarkEnd w:id="174"/>
      <w:bookmarkEnd w:id="175"/>
    </w:p>
    <w:p>
      <w:pPr>
        <w:pStyle w:val="18"/>
        <w:widowControl w:val="0"/>
        <w:spacing w:before="0" w:beforeAutospacing="0" w:after="0" w:afterAutospacing="0"/>
        <w:jc w:val="both"/>
        <w:rPr>
          <w:rFonts w:cs="宋体"/>
          <w:highlight w:val="none"/>
        </w:rPr>
      </w:pPr>
    </w:p>
    <w:p>
      <w:pPr>
        <w:pStyle w:val="18"/>
        <w:widowControl w:val="0"/>
        <w:spacing w:before="156" w:beforeLines="50" w:beforeAutospacing="0" w:after="156" w:afterLines="50" w:afterAutospacing="0"/>
        <w:rPr>
          <w:rFonts w:cs="宋体"/>
          <w:highlight w:val="none"/>
        </w:rPr>
      </w:pPr>
      <w:r>
        <w:rPr>
          <w:rFonts w:hint="eastAsia" w:cs="宋体"/>
          <w:highlight w:val="none"/>
        </w:rPr>
        <w:t>项目编号：</w:t>
      </w:r>
    </w:p>
    <w:p>
      <w:pPr>
        <w:pStyle w:val="18"/>
        <w:widowControl w:val="0"/>
        <w:spacing w:before="156" w:beforeLines="50" w:beforeAutospacing="0" w:after="156" w:afterLines="50" w:afterAutospacing="0"/>
        <w:rPr>
          <w:rFonts w:cs="宋体"/>
          <w:highlight w:val="none"/>
          <w:u w:val="single"/>
        </w:rPr>
      </w:pPr>
      <w:r>
        <w:rPr>
          <w:rFonts w:hint="eastAsia" w:cs="宋体"/>
          <w:highlight w:val="none"/>
        </w:rPr>
        <w:t>项目名称：</w:t>
      </w:r>
    </w:p>
    <w:p>
      <w:pPr>
        <w:pStyle w:val="18"/>
        <w:widowControl w:val="0"/>
        <w:spacing w:before="0" w:beforeAutospacing="0" w:after="0" w:afterAutospacing="0"/>
        <w:ind w:firstLine="480" w:firstLineChars="200"/>
        <w:jc w:val="center"/>
        <w:rPr>
          <w:rFonts w:cs="宋体"/>
          <w:highlight w:val="none"/>
        </w:rPr>
      </w:pP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bl>
    <w:p>
      <w:pPr>
        <w:pStyle w:val="18"/>
        <w:widowControl w:val="0"/>
        <w:spacing w:before="0" w:beforeAutospacing="0" w:after="0" w:afterAutospacing="0"/>
        <w:rPr>
          <w:rFonts w:cs="宋体"/>
          <w:highlight w:val="none"/>
        </w:rPr>
      </w:pPr>
      <w:r>
        <w:rPr>
          <w:rFonts w:hint="eastAsia" w:cs="宋体"/>
          <w:highlight w:val="none"/>
        </w:rPr>
        <w:t>说明：</w:t>
      </w:r>
    </w:p>
    <w:p>
      <w:pPr>
        <w:pStyle w:val="18"/>
        <w:widowControl w:val="0"/>
        <w:spacing w:before="0" w:beforeAutospacing="0" w:after="0" w:afterAutospacing="0"/>
        <w:ind w:firstLine="480" w:firstLineChars="200"/>
        <w:jc w:val="both"/>
        <w:rPr>
          <w:rFonts w:cs="宋体"/>
          <w:highlight w:val="none"/>
        </w:rPr>
      </w:pPr>
      <w:r>
        <w:rPr>
          <w:rFonts w:hint="eastAsia" w:cs="宋体"/>
          <w:highlight w:val="none"/>
        </w:rPr>
        <w:t>1.参照第三章合同条款要求内容进行响应。</w:t>
      </w:r>
    </w:p>
    <w:p>
      <w:pPr>
        <w:pStyle w:val="18"/>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8"/>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18"/>
        <w:widowControl w:val="0"/>
        <w:spacing w:before="0" w:beforeAutospacing="0" w:after="0" w:afterAutospacing="0"/>
        <w:ind w:firstLine="480" w:firstLineChars="200"/>
        <w:jc w:val="center"/>
        <w:rPr>
          <w:rFonts w:cs="宋体"/>
          <w:highlight w:val="none"/>
        </w:rPr>
      </w:pPr>
    </w:p>
    <w:p>
      <w:pPr>
        <w:pStyle w:val="18"/>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18"/>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164"/>
    <w:p>
      <w:pPr>
        <w:spacing w:line="360" w:lineRule="auto"/>
        <w:jc w:val="center"/>
        <w:outlineLvl w:val="1"/>
        <w:rPr>
          <w:rFonts w:hAnsi="宋体" w:cs="宋体"/>
          <w:b/>
          <w:bCs/>
          <w:sz w:val="30"/>
          <w:szCs w:val="30"/>
          <w:highlight w:val="none"/>
        </w:rPr>
      </w:pPr>
      <w:bookmarkStart w:id="176" w:name="_Toc403077656"/>
      <w:bookmarkStart w:id="177" w:name="_Toc363474033"/>
      <w:r>
        <w:rPr>
          <w:rFonts w:hint="eastAsia" w:hAnsi="宋体" w:cs="宋体"/>
          <w:b/>
          <w:bCs/>
          <w:sz w:val="30"/>
          <w:szCs w:val="30"/>
          <w:highlight w:val="none"/>
        </w:rPr>
        <w:br w:type="page"/>
      </w:r>
      <w:bookmarkStart w:id="178" w:name="_Toc1542"/>
      <w:bookmarkStart w:id="179" w:name="_Toc27470"/>
      <w:bookmarkStart w:id="180" w:name="_Toc3386"/>
      <w:r>
        <w:rPr>
          <w:rFonts w:hint="eastAsia" w:hAnsi="宋体" w:cs="宋体"/>
          <w:b/>
          <w:bCs/>
          <w:sz w:val="30"/>
          <w:szCs w:val="30"/>
          <w:highlight w:val="none"/>
        </w:rPr>
        <w:t>五、陕西省政府采购供应商拒绝政府采购领域商业贿赂承诺书</w:t>
      </w:r>
      <w:bookmarkEnd w:id="176"/>
      <w:bookmarkEnd w:id="177"/>
      <w:bookmarkEnd w:id="178"/>
      <w:bookmarkEnd w:id="179"/>
      <w:bookmarkEnd w:id="180"/>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1"/>
        <w:rPr>
          <w:rFonts w:hAnsi="宋体" w:cs="宋体"/>
          <w:highlight w:val="none"/>
          <w:shd w:val="clear" w:color="auto" w:fill="FFFFFF"/>
        </w:rPr>
      </w:pPr>
      <w:bookmarkStart w:id="181" w:name="_Toc403077657"/>
      <w:bookmarkStart w:id="182" w:name="_Toc363474034"/>
      <w:r>
        <w:rPr>
          <w:rFonts w:hint="eastAsia" w:hAnsi="宋体" w:cs="宋体"/>
          <w:b/>
          <w:bCs/>
          <w:sz w:val="30"/>
          <w:szCs w:val="30"/>
          <w:highlight w:val="none"/>
        </w:rPr>
        <w:br w:type="page"/>
      </w:r>
      <w:bookmarkStart w:id="183" w:name="_Toc32016"/>
      <w:bookmarkStart w:id="184" w:name="_Toc7842"/>
      <w:bookmarkStart w:id="185" w:name="_Toc29285"/>
      <w:r>
        <w:rPr>
          <w:rFonts w:hint="eastAsia" w:hAnsi="宋体" w:cs="宋体"/>
          <w:b/>
          <w:bCs/>
          <w:sz w:val="30"/>
          <w:szCs w:val="30"/>
          <w:highlight w:val="none"/>
        </w:rPr>
        <w:t>六、特定资格证明文件</w:t>
      </w:r>
      <w:bookmarkEnd w:id="181"/>
      <w:bookmarkEnd w:id="182"/>
      <w:bookmarkEnd w:id="183"/>
      <w:bookmarkEnd w:id="184"/>
      <w:bookmarkEnd w:id="185"/>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spacing w:line="360" w:lineRule="auto"/>
        <w:ind w:firstLine="480" w:firstLineChars="200"/>
        <w:outlineLvl w:val="9"/>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ind w:firstLine="480" w:firstLineChars="200"/>
        <w:outlineLvl w:val="9"/>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2、提供法定代表人授权书（附法定代表人、被授权人身份证复印件）及被授权人身份证原件（法定代表人直接参加磋商，须提供法定代表人身份证明及身份证原件）；</w:t>
      </w:r>
    </w:p>
    <w:p>
      <w:pPr>
        <w:spacing w:line="360" w:lineRule="auto"/>
        <w:ind w:firstLine="480" w:firstLineChars="200"/>
        <w:outlineLvl w:val="9"/>
        <w:rPr>
          <w:rFonts w:hint="eastAsia" w:hAnsi="宋体" w:cs="宋体"/>
          <w:szCs w:val="24"/>
          <w:highlight w:val="none"/>
        </w:rPr>
      </w:pPr>
      <w:r>
        <w:rPr>
          <w:rFonts w:hint="eastAsia" w:hAnsi="宋体" w:cs="宋体"/>
          <w:szCs w:val="24"/>
          <w:highlight w:val="none"/>
        </w:rPr>
        <w:t>3、财务状况报告：提供2020年度或2021年度的财务审计报告（至少包括资产负债表和利润表，成立时间至提交磋商文件截止时间不足一年的可提供成立后任意时段的资产负债表），或磋商文件递交截止日期前6个月内其基本开户银行出具的资信证明；</w:t>
      </w:r>
    </w:p>
    <w:p>
      <w:pPr>
        <w:spacing w:line="360" w:lineRule="auto"/>
        <w:ind w:firstLine="480" w:firstLineChars="200"/>
        <w:outlineLvl w:val="9"/>
        <w:rPr>
          <w:rFonts w:hint="eastAsia" w:hAnsi="宋体" w:cs="宋体"/>
          <w:szCs w:val="24"/>
          <w:highlight w:val="none"/>
        </w:rPr>
      </w:pPr>
      <w:r>
        <w:rPr>
          <w:rFonts w:hint="eastAsia" w:hAnsi="宋体" w:cs="宋体"/>
          <w:szCs w:val="24"/>
          <w:highlight w:val="none"/>
        </w:rPr>
        <w:t>4、税收缴纳证明：提供磋商文件递交截止时间前一年内已缴纳的至少一个月的纳税证明或完税证明（任意税种），依法免税的单位应提供相关证明材料；</w:t>
      </w:r>
    </w:p>
    <w:p>
      <w:pPr>
        <w:spacing w:line="360" w:lineRule="auto"/>
        <w:ind w:firstLine="480" w:firstLineChars="200"/>
        <w:outlineLvl w:val="9"/>
        <w:rPr>
          <w:rFonts w:hint="eastAsia" w:hAnsi="宋体" w:cs="宋体"/>
          <w:szCs w:val="24"/>
          <w:highlight w:val="none"/>
        </w:rPr>
      </w:pPr>
      <w:r>
        <w:rPr>
          <w:rFonts w:hint="eastAsia" w:hAnsi="宋体" w:cs="宋体"/>
          <w:szCs w:val="24"/>
          <w:highlight w:val="none"/>
        </w:rPr>
        <w:t>5、社会保障资金缴纳证明：提供磋商文件递交截止时间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outlineLvl w:val="9"/>
        <w:rPr>
          <w:rFonts w:hint="eastAsia" w:hAnsi="宋体" w:cs="宋体"/>
          <w:szCs w:val="24"/>
          <w:highlight w:val="none"/>
        </w:rPr>
      </w:pPr>
      <w:r>
        <w:rPr>
          <w:rFonts w:hint="eastAsia" w:hAnsi="宋体" w:cs="宋体"/>
          <w:szCs w:val="24"/>
          <w:highlight w:val="none"/>
        </w:rPr>
        <w:t>6、提供具有履行本合同所必需的设备和专业技术能力的说明及承诺书；</w:t>
      </w:r>
    </w:p>
    <w:p>
      <w:pPr>
        <w:spacing w:line="360" w:lineRule="auto"/>
        <w:ind w:firstLine="480" w:firstLineChars="200"/>
        <w:outlineLvl w:val="9"/>
        <w:rPr>
          <w:rFonts w:hint="eastAsia" w:hAnsi="宋体" w:cs="宋体"/>
          <w:szCs w:val="24"/>
          <w:highlight w:val="none"/>
        </w:rPr>
      </w:pPr>
      <w:r>
        <w:rPr>
          <w:rFonts w:hint="eastAsia" w:hAnsi="宋体" w:cs="宋体"/>
          <w:szCs w:val="24"/>
          <w:highlight w:val="none"/>
        </w:rPr>
        <w:t>7、供应商应通过“信用中国”网站(www.creditchina.gov.cn)、中国政府采购网(www.ccgp.gov.cn) 查询相关主体信用记录；</w:t>
      </w:r>
    </w:p>
    <w:p>
      <w:pPr>
        <w:spacing w:line="360" w:lineRule="auto"/>
        <w:ind w:firstLine="480" w:firstLineChars="200"/>
        <w:outlineLvl w:val="9"/>
        <w:rPr>
          <w:rFonts w:hint="eastAsia" w:hAnsi="宋体" w:cs="宋体"/>
          <w:szCs w:val="24"/>
          <w:highlight w:val="none"/>
        </w:rPr>
      </w:pPr>
      <w:r>
        <w:rPr>
          <w:rFonts w:hint="eastAsia" w:hAnsi="宋体" w:cs="宋体"/>
          <w:szCs w:val="24"/>
          <w:highlight w:val="none"/>
        </w:rPr>
        <w:t>8、参加政府采购活动前3年内，在经营活动中没有重大违法记录的书面声明；</w:t>
      </w:r>
    </w:p>
    <w:p>
      <w:pPr>
        <w:spacing w:line="360" w:lineRule="auto"/>
        <w:ind w:firstLine="480" w:firstLineChars="200"/>
        <w:outlineLvl w:val="9"/>
        <w:rPr>
          <w:rFonts w:hAnsi="宋体" w:cs="宋体"/>
          <w:b/>
          <w:bCs/>
          <w:sz w:val="30"/>
          <w:szCs w:val="30"/>
          <w:highlight w:val="none"/>
        </w:rPr>
      </w:pPr>
      <w:r>
        <w:rPr>
          <w:rFonts w:hint="eastAsia" w:hAnsi="宋体" w:cs="宋体"/>
          <w:szCs w:val="24"/>
          <w:highlight w:val="none"/>
        </w:rPr>
        <w:t>9、提供磋商保证金缴纳凭证或担保机构出具的保函。</w:t>
      </w:r>
      <w:r>
        <w:rPr>
          <w:rFonts w:hint="eastAsia" w:hAnsi="宋体" w:cs="宋体"/>
          <w:szCs w:val="24"/>
          <w:highlight w:val="none"/>
        </w:rPr>
        <w:br w:type="page"/>
      </w:r>
      <w:bookmarkStart w:id="186" w:name="_Toc12717"/>
      <w:bookmarkStart w:id="187" w:name="_Toc19114"/>
      <w:bookmarkStart w:id="188" w:name="_Toc6853"/>
      <w:r>
        <w:rPr>
          <w:rFonts w:hint="eastAsia" w:hAnsi="宋体" w:cs="宋体"/>
          <w:szCs w:val="24"/>
          <w:highlight w:val="none"/>
        </w:rPr>
        <w:t xml:space="preserve">                              </w:t>
      </w:r>
      <w:r>
        <w:rPr>
          <w:rFonts w:hint="eastAsia" w:hAnsi="宋体" w:cs="宋体"/>
          <w:b/>
          <w:bCs/>
          <w:sz w:val="30"/>
          <w:szCs w:val="30"/>
          <w:highlight w:val="none"/>
        </w:rPr>
        <w:t>七、其它</w:t>
      </w:r>
      <w:bookmarkEnd w:id="186"/>
      <w:bookmarkEnd w:id="187"/>
      <w:bookmarkEnd w:id="188"/>
    </w:p>
    <w:p>
      <w:pPr>
        <w:pStyle w:val="10"/>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10"/>
        <w:rPr>
          <w:rFonts w:ascii="宋体" w:hAnsi="宋体" w:cs="宋体"/>
          <w:sz w:val="24"/>
          <w:szCs w:val="24"/>
          <w:highlight w:val="none"/>
        </w:rPr>
      </w:pPr>
      <w:r>
        <w:rPr>
          <w:rFonts w:hint="eastAsia" w:ascii="宋体" w:hAnsi="宋体" w:cs="宋体"/>
          <w:sz w:val="24"/>
          <w:szCs w:val="24"/>
          <w:highlight w:val="none"/>
        </w:rPr>
        <w:t>2、其他可以证明供应商实力的文件。</w:t>
      </w:r>
    </w:p>
    <w:p>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89" w:name="_Toc17513"/>
      <w:bookmarkStart w:id="190" w:name="_Toc6055"/>
      <w:r>
        <w:rPr>
          <w:rFonts w:hint="eastAsia" w:hAnsi="宋体" w:cs="宋体"/>
          <w:b/>
          <w:sz w:val="28"/>
          <w:szCs w:val="28"/>
          <w:highlight w:val="none"/>
        </w:rPr>
        <w:t>附件1：法定代表人身份证明/法定代表人授权书</w:t>
      </w:r>
      <w:bookmarkEnd w:id="189"/>
      <w:bookmarkEnd w:id="190"/>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10"/>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p>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pPr>
              <w:pStyle w:val="10"/>
              <w:jc w:val="center"/>
              <w:rPr>
                <w:rFonts w:ascii="宋体" w:hAnsi="宋体" w:cs="宋体"/>
                <w:highlight w:val="none"/>
              </w:rPr>
            </w:pPr>
            <w:r>
              <w:rPr>
                <w:rFonts w:hint="eastAsia" w:ascii="宋体" w:hAnsi="宋体" w:cs="宋体"/>
                <w:szCs w:val="21"/>
                <w:highlight w:val="none"/>
              </w:rPr>
              <w:t>（正反面）</w:t>
            </w:r>
          </w:p>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tc>
      </w:tr>
    </w:tbl>
    <w:p>
      <w:pPr>
        <w:snapToGrid w:val="0"/>
        <w:spacing w:line="480" w:lineRule="auto"/>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adjustRightInd w:val="0"/>
        <w:snapToGrid w:val="0"/>
        <w:spacing w:line="360" w:lineRule="auto"/>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r>
        <w:rPr>
          <w:rFonts w:hint="eastAsia" w:hAnsi="宋体" w:cs="宋体"/>
          <w:highlight w:val="none"/>
        </w:rPr>
        <w:t>供应商名称（公章）：</w:t>
      </w:r>
    </w:p>
    <w:p>
      <w:pPr>
        <w:adjustRightInd w:val="0"/>
        <w:snapToGrid w:val="0"/>
        <w:spacing w:line="360" w:lineRule="auto"/>
        <w:ind w:right="420"/>
        <w:rPr>
          <w:rFonts w:hAnsi="宋体" w:cs="宋体"/>
          <w:highlight w:val="none"/>
        </w:rPr>
      </w:pPr>
      <w:r>
        <w:rPr>
          <w:rFonts w:hint="eastAsia" w:hAnsi="宋体" w:cs="宋体"/>
          <w:highlight w:val="none"/>
        </w:rPr>
        <w:t>日期：    年  月  日</w:t>
      </w:r>
    </w:p>
    <w:p>
      <w:pPr>
        <w:pStyle w:val="10"/>
        <w:rPr>
          <w:rFonts w:ascii="宋体" w:hAnsi="宋体" w:cs="宋体"/>
          <w:highlight w:val="none"/>
        </w:rPr>
      </w:pP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陕西至诚招标咨询有限公司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2"/>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2"/>
        <w:tblW w:w="8357" w:type="dxa"/>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pPr>
        <w:jc w:val="center"/>
        <w:rPr>
          <w:rFonts w:hAnsi="宋体" w:cs="宋体"/>
          <w:b/>
          <w:bCs/>
          <w:color w:val="333333"/>
          <w:sz w:val="32"/>
          <w:szCs w:val="32"/>
          <w:highlight w:val="none"/>
          <w:shd w:val="clear" w:color="auto" w:fill="FFFFFF"/>
        </w:rPr>
      </w:pPr>
      <w:r>
        <w:rPr>
          <w:rFonts w:hint="eastAsia" w:hAnsi="宋体" w:cs="宋体"/>
          <w:b/>
          <w:sz w:val="28"/>
          <w:szCs w:val="28"/>
          <w:highlight w:val="none"/>
        </w:rPr>
        <w:br w:type="page"/>
      </w:r>
      <w:bookmarkStart w:id="191" w:name="_Toc17295"/>
      <w:bookmarkStart w:id="192" w:name="_Toc11767"/>
      <w:r>
        <w:rPr>
          <w:rFonts w:hint="eastAsia" w:hAnsi="宋体" w:cs="宋体"/>
          <w:b/>
          <w:bCs/>
          <w:color w:val="333333"/>
          <w:sz w:val="32"/>
          <w:szCs w:val="32"/>
          <w:highlight w:val="none"/>
          <w:shd w:val="clear" w:color="auto" w:fill="FFFFFF"/>
        </w:rPr>
        <w:t>保证金缴纳凭证</w:t>
      </w:r>
    </w:p>
    <w:p>
      <w:pPr>
        <w:jc w:val="center"/>
        <w:rPr>
          <w:rFonts w:hAnsi="宋体" w:cs="宋体"/>
          <w:b/>
          <w:bCs/>
          <w:color w:val="333333"/>
          <w:sz w:val="32"/>
          <w:szCs w:val="32"/>
          <w:highlight w:val="none"/>
          <w:shd w:val="clear" w:color="auto" w:fill="FFFFFF"/>
        </w:rPr>
      </w:pPr>
    </w:p>
    <w:tbl>
      <w:tblPr>
        <w:tblStyle w:val="22"/>
        <w:tblW w:w="8700" w:type="dxa"/>
        <w:tblInd w:w="96" w:type="dxa"/>
        <w:tblLayout w:type="fixed"/>
        <w:tblCellMar>
          <w:top w:w="0" w:type="dxa"/>
          <w:left w:w="108" w:type="dxa"/>
          <w:bottom w:w="0" w:type="dxa"/>
          <w:right w:w="108" w:type="dxa"/>
        </w:tblCellMar>
      </w:tblPr>
      <w:tblGrid>
        <w:gridCol w:w="2055"/>
        <w:gridCol w:w="6645"/>
      </w:tblGrid>
      <w:tr>
        <w:tblPrEx>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eastAsia="zh-CN" w:bidi="ar"/>
              </w:rPr>
              <w:t>磋商</w:t>
            </w:r>
            <w:r>
              <w:rPr>
                <w:rFonts w:hint="eastAsia" w:hAnsi="宋体" w:cs="宋体"/>
                <w:color w:val="000000"/>
                <w:sz w:val="22"/>
                <w:szCs w:val="22"/>
                <w:highlight w:val="none"/>
                <w:lang w:bidi="ar"/>
              </w:rPr>
              <w:t>保证金</w:t>
            </w:r>
          </w:p>
        </w:tc>
      </w:tr>
      <w:tr>
        <w:tblPrEx>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000000"/>
                <w:sz w:val="22"/>
                <w:szCs w:val="22"/>
                <w:highlight w:val="none"/>
                <w:lang w:bidi="ar"/>
              </w:rPr>
            </w:pPr>
            <w:r>
              <w:rPr>
                <w:rFonts w:hint="eastAsia" w:hAnsi="宋体" w:cs="宋体"/>
                <w:color w:val="000000"/>
                <w:sz w:val="22"/>
                <w:szCs w:val="22"/>
                <w:highlight w:val="none"/>
                <w:lang w:bidi="ar"/>
              </w:rPr>
              <w:t>项目名称：</w:t>
            </w:r>
          </w:p>
        </w:tc>
      </w:tr>
      <w:tr>
        <w:tblPrEx>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000000"/>
                <w:sz w:val="22"/>
                <w:szCs w:val="22"/>
                <w:highlight w:val="none"/>
                <w:lang w:bidi="ar"/>
              </w:rPr>
            </w:pPr>
            <w:r>
              <w:rPr>
                <w:rFonts w:hint="eastAsia" w:hAnsi="宋体" w:cs="宋体"/>
                <w:color w:val="000000"/>
                <w:sz w:val="22"/>
                <w:szCs w:val="22"/>
                <w:highlight w:val="none"/>
                <w:lang w:bidi="ar"/>
              </w:rPr>
              <w:t>项目编号：</w:t>
            </w:r>
          </w:p>
        </w:tc>
      </w:tr>
      <w:tr>
        <w:tblPrEx>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000000"/>
                <w:sz w:val="22"/>
                <w:szCs w:val="22"/>
                <w:highlight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000000"/>
                <w:sz w:val="22"/>
                <w:szCs w:val="22"/>
                <w:highlight w:val="none"/>
              </w:rPr>
            </w:pPr>
          </w:p>
        </w:tc>
      </w:tr>
      <w:tr>
        <w:tblPrEx>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000000"/>
                <w:sz w:val="22"/>
                <w:szCs w:val="22"/>
                <w:highlight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000000"/>
                <w:sz w:val="22"/>
                <w:szCs w:val="22"/>
                <w:highlight w:val="none"/>
              </w:rPr>
            </w:pPr>
          </w:p>
        </w:tc>
      </w:tr>
      <w:tr>
        <w:tblPrEx>
          <w:tblCellMar>
            <w:top w:w="0" w:type="dxa"/>
            <w:left w:w="108" w:type="dxa"/>
            <w:bottom w:w="0" w:type="dxa"/>
            <w:right w:w="108" w:type="dxa"/>
          </w:tblCellMar>
        </w:tblPrEx>
        <w:trPr>
          <w:trHeight w:val="451"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附件：保证金缴纳凭证</w:t>
            </w:r>
          </w:p>
        </w:tc>
      </w:tr>
      <w:tr>
        <w:tblPrEx>
          <w:tblCellMar>
            <w:top w:w="0" w:type="dxa"/>
            <w:left w:w="108" w:type="dxa"/>
            <w:bottom w:w="0" w:type="dxa"/>
            <w:right w:w="108" w:type="dxa"/>
          </w:tblCellMar>
        </w:tblPrEx>
        <w:trPr>
          <w:trHeight w:val="806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22"/>
                <w:szCs w:val="22"/>
                <w:highlight w:val="none"/>
              </w:rPr>
            </w:pPr>
          </w:p>
        </w:tc>
      </w:tr>
    </w:tbl>
    <w:p>
      <w:pPr>
        <w:rPr>
          <w:rFonts w:hAnsi="宋体" w:cs="宋体"/>
          <w:spacing w:val="4"/>
          <w:szCs w:val="30"/>
          <w:highlight w:val="none"/>
        </w:rPr>
      </w:pPr>
      <w:r>
        <w:rPr>
          <w:rFonts w:hint="eastAsia" w:hAnsi="宋体" w:cs="宋体"/>
          <w:spacing w:val="4"/>
          <w:szCs w:val="30"/>
          <w:highlight w:val="none"/>
        </w:rPr>
        <w:br w:type="page"/>
      </w:r>
    </w:p>
    <w:p>
      <w:pPr>
        <w:widowControl/>
        <w:spacing w:line="360" w:lineRule="auto"/>
        <w:ind w:left="1" w:firstLine="281" w:firstLineChars="100"/>
        <w:rPr>
          <w:rFonts w:hAnsi="宋体" w:cs="宋体"/>
          <w:b/>
          <w:sz w:val="28"/>
          <w:szCs w:val="28"/>
          <w:highlight w:val="none"/>
        </w:rPr>
      </w:pPr>
    </w:p>
    <w:p>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pPr>
        <w:pStyle w:val="18"/>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pPr>
        <w:pStyle w:val="18"/>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pPr>
        <w:pStyle w:val="18"/>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8"/>
        <w:wordWrap w:val="0"/>
        <w:spacing w:beforeAutospacing="0" w:afterAutospacing="0" w:line="560" w:lineRule="exact"/>
        <w:ind w:firstLine="420"/>
        <w:rPr>
          <w:rFonts w:cs="宋体"/>
          <w:highlight w:val="none"/>
        </w:rPr>
      </w:pPr>
      <w:r>
        <w:rPr>
          <w:rFonts w:hint="eastAsia" w:cs="宋体"/>
          <w:highlight w:val="none"/>
          <w:shd w:val="clear" w:color="auto" w:fill="FFFFFF"/>
        </w:rPr>
        <w:t xml:space="preserve">如有不实，我方将无条件地退出本项目的采购活动，并遵照《政府采购法》有关“提供虚假材料的规定”接受处罚。 </w:t>
      </w:r>
    </w:p>
    <w:p>
      <w:pPr>
        <w:pStyle w:val="18"/>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pPr>
        <w:pStyle w:val="18"/>
        <w:wordWrap w:val="0"/>
        <w:spacing w:beforeAutospacing="0" w:afterAutospacing="0" w:line="560" w:lineRule="exact"/>
        <w:ind w:firstLine="420"/>
        <w:rPr>
          <w:rFonts w:cs="宋体"/>
          <w:highlight w:val="none"/>
          <w:shd w:val="clear" w:color="auto" w:fill="FFFFFF"/>
        </w:rPr>
      </w:pPr>
    </w:p>
    <w:p>
      <w:pPr>
        <w:spacing w:line="480" w:lineRule="auto"/>
        <w:ind w:firstLine="3360" w:firstLineChars="1400"/>
        <w:rPr>
          <w:rFonts w:hAnsi="宋体" w:cs="宋体"/>
          <w:highlight w:val="none"/>
        </w:rPr>
      </w:pPr>
      <w:r>
        <w:rPr>
          <w:rFonts w:hint="eastAsia" w:hAnsi="宋体" w:cs="宋体"/>
          <w:highlight w:val="none"/>
          <w:lang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pPr>
        <w:pStyle w:val="38"/>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sz w:val="28"/>
          <w:szCs w:val="28"/>
          <w:highlight w:val="none"/>
        </w:rPr>
      </w:pPr>
    </w:p>
    <w:p>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pPr>
        <w:rPr>
          <w:highlight w:val="none"/>
        </w:rPr>
      </w:pPr>
    </w:p>
    <w:p>
      <w:pPr>
        <w:pStyle w:val="12"/>
        <w:adjustRightInd w:val="0"/>
        <w:snapToGrid w:val="0"/>
        <w:spacing w:line="720" w:lineRule="exact"/>
        <w:jc w:val="center"/>
        <w:rPr>
          <w:rFonts w:hAnsi="宋体" w:cs="宋体"/>
          <w:b/>
          <w:sz w:val="28"/>
          <w:szCs w:val="28"/>
          <w:highlight w:val="none"/>
        </w:rPr>
      </w:pPr>
    </w:p>
    <w:p>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pPr>
        <w:pStyle w:val="12"/>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pPr>
        <w:pStyle w:val="12"/>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pPr>
        <w:pStyle w:val="12"/>
        <w:adjustRightInd w:val="0"/>
        <w:snapToGrid w:val="0"/>
        <w:spacing w:line="720" w:lineRule="exact"/>
        <w:rPr>
          <w:rFonts w:hAnsi="宋体" w:cs="宋体"/>
          <w:spacing w:val="4"/>
          <w:sz w:val="24"/>
          <w:szCs w:val="24"/>
          <w:highlight w:val="none"/>
        </w:rPr>
      </w:pPr>
    </w:p>
    <w:p>
      <w:pPr>
        <w:pStyle w:val="12"/>
        <w:adjustRightInd w:val="0"/>
        <w:snapToGrid w:val="0"/>
        <w:spacing w:line="720" w:lineRule="exact"/>
        <w:rPr>
          <w:rFonts w:hAnsi="宋体" w:cs="宋体"/>
          <w:spacing w:val="4"/>
          <w:sz w:val="24"/>
          <w:szCs w:val="24"/>
          <w:highlight w:val="none"/>
        </w:rPr>
      </w:pPr>
    </w:p>
    <w:p>
      <w:pPr>
        <w:pStyle w:val="12"/>
        <w:adjustRightInd w:val="0"/>
        <w:snapToGrid w:val="0"/>
        <w:spacing w:line="720" w:lineRule="exact"/>
        <w:rPr>
          <w:rFonts w:hAnsi="宋体" w:cs="宋体"/>
          <w:spacing w:val="4"/>
          <w:sz w:val="24"/>
          <w:szCs w:val="24"/>
          <w:highlight w:val="none"/>
        </w:rPr>
      </w:pPr>
    </w:p>
    <w:p>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pPr>
        <w:pStyle w:val="38"/>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pPr>
        <w:rPr>
          <w:rFonts w:hAnsi="宋体" w:cs="宋体"/>
          <w:spacing w:val="4"/>
          <w:szCs w:val="30"/>
          <w:highlight w:val="none"/>
        </w:rPr>
      </w:pPr>
      <w:r>
        <w:rPr>
          <w:rFonts w:hint="eastAsia" w:hAnsi="宋体" w:cs="宋体"/>
          <w:spacing w:val="4"/>
          <w:szCs w:val="30"/>
          <w:highlight w:val="none"/>
        </w:rPr>
        <w:br w:type="page"/>
      </w:r>
    </w:p>
    <w:p>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t>附件2：中小企业声明函</w:t>
      </w:r>
      <w:bookmarkEnd w:id="191"/>
      <w:bookmarkEnd w:id="192"/>
      <w:r>
        <w:rPr>
          <w:rFonts w:hint="eastAsia" w:hAnsi="宋体" w:cs="宋体"/>
          <w:b/>
          <w:sz w:val="28"/>
          <w:szCs w:val="28"/>
          <w:highlight w:val="none"/>
        </w:rPr>
        <w:t>（如是）</w:t>
      </w:r>
    </w:p>
    <w:p>
      <w:pPr>
        <w:spacing w:line="588" w:lineRule="exact"/>
        <w:jc w:val="center"/>
        <w:rPr>
          <w:rFonts w:hAnsi="宋体" w:cs="宋体"/>
          <w:b/>
          <w:spacing w:val="6"/>
          <w:sz w:val="32"/>
          <w:szCs w:val="32"/>
          <w:highlight w:val="none"/>
        </w:rPr>
      </w:pPr>
      <w:bookmarkStart w:id="193" w:name="_Toc13836"/>
    </w:p>
    <w:p>
      <w:pPr>
        <w:spacing w:before="116" w:line="480" w:lineRule="auto"/>
        <w:ind w:left="1686" w:firstLine="1376" w:firstLineChars="400"/>
        <w:rPr>
          <w:rFonts w:hAnsi="宋体" w:cs="宋体"/>
          <w:sz w:val="32"/>
          <w:szCs w:val="32"/>
          <w:highlight w:val="none"/>
        </w:rPr>
      </w:pPr>
      <w:r>
        <w:rPr>
          <w:rFonts w:hint="eastAsia" w:hAnsi="宋体" w:cs="宋体"/>
          <w:spacing w:val="12"/>
          <w:sz w:val="32"/>
          <w:szCs w:val="32"/>
          <w:highlight w:val="none"/>
          <w14:textOutline w14:w="6540" w14:cap="sq" w14:cmpd="sng" w14:algn="ctr">
            <w14:solidFill>
              <w14:srgbClr w14:val="000000"/>
            </w14:solidFill>
            <w14:prstDash w14:val="solid"/>
            <w14:bevel/>
          </w14:textOutline>
        </w:rPr>
        <w:t>中</w:t>
      </w:r>
      <w:r>
        <w:rPr>
          <w:rFonts w:hint="eastAsia" w:hAnsi="宋体" w:cs="宋体"/>
          <w:spacing w:val="8"/>
          <w:sz w:val="32"/>
          <w:szCs w:val="32"/>
          <w:highlight w:val="none"/>
          <w14:textOutline w14:w="6540" w14:cap="sq" w14:cmpd="sng" w14:algn="ctr">
            <w14:solidFill>
              <w14:srgbClr w14:val="000000"/>
            </w14:solidFill>
            <w14:prstDash w14:val="solid"/>
            <w14:bevel/>
          </w14:textOutline>
        </w:rPr>
        <w:t>小</w:t>
      </w:r>
      <w:r>
        <w:rPr>
          <w:rFonts w:hint="eastAsia" w:hAnsi="宋体" w:cs="宋体"/>
          <w:spacing w:val="6"/>
          <w:sz w:val="32"/>
          <w:szCs w:val="32"/>
          <w:highlight w:val="none"/>
          <w14:textOutline w14:w="6540" w14:cap="sq" w14:cmpd="sng" w14:algn="ctr">
            <w14:solidFill>
              <w14:srgbClr w14:val="000000"/>
            </w14:solidFill>
            <w14:prstDash w14:val="solid"/>
            <w14:bevel/>
          </w14:textOutline>
        </w:rPr>
        <w:t>企业声明函</w:t>
      </w:r>
      <w:r>
        <w:rPr>
          <w:rFonts w:hint="eastAsia" w:hAnsi="宋体" w:cs="宋体"/>
          <w:spacing w:val="6"/>
          <w:sz w:val="32"/>
          <w:szCs w:val="32"/>
          <w:highlight w:val="none"/>
        </w:rPr>
        <w:t xml:space="preserve"> </w:t>
      </w:r>
    </w:p>
    <w:p>
      <w:pPr>
        <w:tabs>
          <w:tab w:val="left" w:pos="193"/>
        </w:tabs>
        <w:spacing w:before="100" w:line="480" w:lineRule="auto"/>
        <w:ind w:left="36" w:right="84" w:firstLine="640"/>
        <w:rPr>
          <w:rFonts w:hAnsi="宋体" w:cs="宋体"/>
          <w:szCs w:val="24"/>
          <w:highlight w:val="none"/>
        </w:rPr>
      </w:pPr>
      <w:r>
        <w:rPr>
          <w:rFonts w:hint="eastAsia" w:hAnsi="宋体" w:cs="宋体"/>
          <w:spacing w:val="8"/>
          <w:szCs w:val="24"/>
          <w:highlight w:val="none"/>
        </w:rPr>
        <w:t>本公司 (联合体) 郑重声明，根据《政府采购促进中</w:t>
      </w:r>
      <w:r>
        <w:rPr>
          <w:rFonts w:hint="eastAsia" w:hAnsi="宋体" w:cs="宋体"/>
          <w:spacing w:val="5"/>
          <w:szCs w:val="24"/>
          <w:highlight w:val="none"/>
        </w:rPr>
        <w:t>小</w:t>
      </w:r>
      <w:r>
        <w:rPr>
          <w:rFonts w:hint="eastAsia" w:hAnsi="宋体" w:cs="宋体"/>
          <w:szCs w:val="24"/>
          <w:highlight w:val="none"/>
        </w:rPr>
        <w:t xml:space="preserve"> </w:t>
      </w:r>
      <w:r>
        <w:rPr>
          <w:rFonts w:hint="eastAsia" w:hAnsi="宋体" w:cs="宋体"/>
          <w:spacing w:val="-22"/>
          <w:szCs w:val="24"/>
          <w:highlight w:val="none"/>
        </w:rPr>
        <w:t>企</w:t>
      </w:r>
      <w:r>
        <w:rPr>
          <w:rFonts w:hint="eastAsia" w:hAnsi="宋体" w:cs="宋体"/>
          <w:spacing w:val="-12"/>
          <w:szCs w:val="24"/>
          <w:highlight w:val="none"/>
        </w:rPr>
        <w:t>业</w:t>
      </w:r>
      <w:r>
        <w:rPr>
          <w:rFonts w:hint="eastAsia" w:hAnsi="宋体" w:cs="宋体"/>
          <w:spacing w:val="-11"/>
          <w:szCs w:val="24"/>
          <w:highlight w:val="none"/>
        </w:rPr>
        <w:t>发展管理办法》(财库 ﹝ 2020 ﹞ 46 号) 的规定，本公司</w:t>
      </w:r>
      <w:r>
        <w:rPr>
          <w:rFonts w:hint="eastAsia" w:hAnsi="宋体" w:cs="宋体"/>
          <w:szCs w:val="24"/>
          <w:highlight w:val="none"/>
        </w:rPr>
        <w:t xml:space="preserve"> </w:t>
      </w:r>
      <w:r>
        <w:rPr>
          <w:rFonts w:hint="eastAsia" w:hAnsi="宋体" w:cs="宋体"/>
          <w:szCs w:val="24"/>
          <w:highlight w:val="none"/>
        </w:rPr>
        <w:tab/>
      </w:r>
      <w:r>
        <w:rPr>
          <w:rFonts w:hint="eastAsia" w:hAnsi="宋体" w:cs="宋体"/>
          <w:spacing w:val="-10"/>
          <w:szCs w:val="24"/>
          <w:highlight w:val="none"/>
        </w:rPr>
        <w:t>(联合体</w:t>
      </w:r>
      <w:r>
        <w:rPr>
          <w:rFonts w:hint="eastAsia" w:hAnsi="宋体" w:cs="宋体"/>
          <w:spacing w:val="-7"/>
          <w:szCs w:val="24"/>
          <w:highlight w:val="none"/>
        </w:rPr>
        <w:t>)</w:t>
      </w:r>
      <w:r>
        <w:rPr>
          <w:rFonts w:hint="eastAsia" w:hAnsi="宋体" w:cs="宋体"/>
          <w:spacing w:val="-5"/>
          <w:szCs w:val="24"/>
          <w:highlight w:val="none"/>
        </w:rPr>
        <w:t xml:space="preserve"> 参加</w:t>
      </w:r>
      <w:r>
        <w:rPr>
          <w:rFonts w:hint="eastAsia" w:hAnsi="宋体" w:cs="宋体"/>
          <w:spacing w:val="-5"/>
          <w:szCs w:val="24"/>
          <w:highlight w:val="none"/>
          <w:u w:val="single"/>
        </w:rPr>
        <w:t xml:space="preserve"> </w:t>
      </w:r>
      <w:r>
        <w:rPr>
          <w:rFonts w:hint="eastAsia" w:hAnsi="宋体" w:cs="宋体"/>
          <w:i/>
          <w:iCs/>
          <w:spacing w:val="-5"/>
          <w:szCs w:val="24"/>
          <w:highlight w:val="none"/>
          <w:u w:val="single"/>
        </w:rPr>
        <w:t>(单位名称)</w:t>
      </w:r>
      <w:r>
        <w:rPr>
          <w:rFonts w:hint="eastAsia" w:hAnsi="宋体" w:cs="宋体"/>
          <w:spacing w:val="-5"/>
          <w:szCs w:val="24"/>
          <w:highlight w:val="none"/>
          <w:u w:val="single"/>
        </w:rPr>
        <w:t xml:space="preserve"> </w:t>
      </w:r>
      <w:r>
        <w:rPr>
          <w:rFonts w:hint="eastAsia" w:hAnsi="宋体" w:cs="宋体"/>
          <w:spacing w:val="-5"/>
          <w:szCs w:val="24"/>
          <w:highlight w:val="none"/>
        </w:rPr>
        <w:t xml:space="preserve"> 的</w:t>
      </w:r>
      <w:r>
        <w:rPr>
          <w:rFonts w:hint="eastAsia" w:hAnsi="宋体" w:cs="宋体"/>
          <w:spacing w:val="-5"/>
          <w:szCs w:val="24"/>
          <w:highlight w:val="none"/>
          <w:u w:val="single"/>
        </w:rPr>
        <w:t xml:space="preserve"> </w:t>
      </w:r>
      <w:r>
        <w:rPr>
          <w:rFonts w:hint="eastAsia" w:hAnsi="宋体" w:cs="宋体"/>
          <w:i/>
          <w:iCs/>
          <w:spacing w:val="-5"/>
          <w:szCs w:val="24"/>
          <w:highlight w:val="none"/>
          <w:u w:val="single"/>
        </w:rPr>
        <w:t>(项目名称)</w:t>
      </w:r>
      <w:r>
        <w:rPr>
          <w:rFonts w:hint="eastAsia" w:hAnsi="宋体" w:cs="宋体"/>
          <w:spacing w:val="-5"/>
          <w:szCs w:val="24"/>
          <w:highlight w:val="none"/>
          <w:u w:val="single"/>
        </w:rPr>
        <w:t xml:space="preserve"> </w:t>
      </w:r>
      <w:r>
        <w:rPr>
          <w:rFonts w:hint="eastAsia" w:hAnsi="宋体" w:cs="宋体"/>
          <w:spacing w:val="-5"/>
          <w:szCs w:val="24"/>
          <w:highlight w:val="none"/>
        </w:rPr>
        <w:t>采购活动，工</w:t>
      </w:r>
      <w:r>
        <w:rPr>
          <w:rFonts w:hint="eastAsia" w:hAnsi="宋体" w:cs="宋体"/>
          <w:szCs w:val="24"/>
          <w:highlight w:val="none"/>
        </w:rPr>
        <w:t xml:space="preserve"> </w:t>
      </w:r>
      <w:r>
        <w:rPr>
          <w:rFonts w:hint="eastAsia" w:hAnsi="宋体" w:cs="宋体"/>
          <w:spacing w:val="13"/>
          <w:szCs w:val="24"/>
          <w:highlight w:val="none"/>
        </w:rPr>
        <w:t>程</w:t>
      </w:r>
      <w:r>
        <w:rPr>
          <w:rFonts w:hint="eastAsia" w:hAnsi="宋体" w:cs="宋体"/>
          <w:spacing w:val="8"/>
          <w:szCs w:val="24"/>
          <w:highlight w:val="none"/>
        </w:rPr>
        <w:t>的施工单位全部为符合政策要求的中小企业 (或者：服务</w:t>
      </w:r>
      <w:r>
        <w:rPr>
          <w:rFonts w:hint="eastAsia" w:hAnsi="宋体" w:cs="宋体"/>
          <w:szCs w:val="24"/>
          <w:highlight w:val="none"/>
        </w:rPr>
        <w:t xml:space="preserve"> </w:t>
      </w:r>
      <w:r>
        <w:rPr>
          <w:rFonts w:hint="eastAsia" w:hAnsi="宋体" w:cs="宋体"/>
          <w:spacing w:val="8"/>
          <w:szCs w:val="24"/>
          <w:highlight w:val="none"/>
        </w:rPr>
        <w:t>全部由符合政策要求的中小企业承接) 。相关企业 (含联</w:t>
      </w:r>
      <w:r>
        <w:rPr>
          <w:rFonts w:hint="eastAsia" w:hAnsi="宋体" w:cs="宋体"/>
          <w:spacing w:val="5"/>
          <w:szCs w:val="24"/>
          <w:highlight w:val="none"/>
        </w:rPr>
        <w:t>合</w:t>
      </w:r>
      <w:r>
        <w:rPr>
          <w:rFonts w:hint="eastAsia" w:hAnsi="宋体" w:cs="宋体"/>
          <w:szCs w:val="24"/>
          <w:highlight w:val="none"/>
        </w:rPr>
        <w:t xml:space="preserve"> </w:t>
      </w:r>
      <w:r>
        <w:rPr>
          <w:rFonts w:hint="eastAsia" w:hAnsi="宋体" w:cs="宋体"/>
          <w:spacing w:val="15"/>
          <w:szCs w:val="24"/>
          <w:highlight w:val="none"/>
        </w:rPr>
        <w:t>体</w:t>
      </w:r>
      <w:r>
        <w:rPr>
          <w:rFonts w:hint="eastAsia" w:hAnsi="宋体" w:cs="宋体"/>
          <w:spacing w:val="8"/>
          <w:szCs w:val="24"/>
          <w:highlight w:val="none"/>
        </w:rPr>
        <w:t>中的中小企业、签订分包意向协议的中小企业) 的具体情</w:t>
      </w:r>
      <w:r>
        <w:rPr>
          <w:rFonts w:hint="eastAsia" w:hAnsi="宋体" w:cs="宋体"/>
          <w:szCs w:val="24"/>
          <w:highlight w:val="none"/>
        </w:rPr>
        <w:t xml:space="preserve"> </w:t>
      </w:r>
      <w:r>
        <w:rPr>
          <w:rFonts w:hint="eastAsia" w:hAnsi="宋体" w:cs="宋体"/>
          <w:spacing w:val="2"/>
          <w:szCs w:val="24"/>
          <w:highlight w:val="none"/>
        </w:rPr>
        <w:t>况如下</w:t>
      </w:r>
      <w:r>
        <w:rPr>
          <w:rFonts w:hint="eastAsia" w:hAnsi="宋体" w:cs="宋体"/>
          <w:spacing w:val="1"/>
          <w:szCs w:val="24"/>
          <w:highlight w:val="none"/>
        </w:rPr>
        <w:t>：</w:t>
      </w:r>
    </w:p>
    <w:p>
      <w:pPr>
        <w:tabs>
          <w:tab w:val="left" w:pos="193"/>
        </w:tabs>
        <w:spacing w:before="100" w:line="480" w:lineRule="auto"/>
        <w:ind w:left="36" w:right="84" w:firstLine="640"/>
        <w:rPr>
          <w:rFonts w:hint="eastAsia" w:ascii="宋体" w:hAnsi="宋体" w:eastAsia="宋体" w:cs="宋体"/>
          <w:szCs w:val="24"/>
          <w:highlight w:val="none"/>
        </w:rPr>
      </w:pPr>
      <w:r>
        <w:rPr>
          <w:rFonts w:hint="eastAsia" w:ascii="宋体" w:hAnsi="宋体" w:eastAsia="宋体" w:cs="宋体"/>
          <w:spacing w:val="-6"/>
          <w:szCs w:val="24"/>
          <w:highlight w:val="none"/>
        </w:rPr>
        <w:t>1.</w:t>
      </w:r>
      <w:r>
        <w:rPr>
          <w:rFonts w:hint="eastAsia" w:ascii="宋体" w:hAnsi="宋体" w:eastAsia="宋体" w:cs="宋体"/>
          <w:spacing w:val="-6"/>
          <w:szCs w:val="24"/>
          <w:highlight w:val="none"/>
          <w:u w:val="single"/>
        </w:rPr>
        <w:t xml:space="preserve"> </w:t>
      </w:r>
      <w:r>
        <w:rPr>
          <w:rFonts w:hint="eastAsia" w:ascii="宋体" w:hAnsi="宋体" w:eastAsia="宋体" w:cs="宋体"/>
          <w:spacing w:val="4"/>
          <w:szCs w:val="24"/>
          <w:highlight w:val="none"/>
          <w:u w:val="single"/>
        </w:rPr>
        <w:t>(标的名称)</w:t>
      </w:r>
      <w:r>
        <w:rPr>
          <w:rFonts w:hint="eastAsia" w:ascii="宋体" w:hAnsi="宋体" w:eastAsia="宋体" w:cs="宋体"/>
          <w:spacing w:val="-3"/>
          <w:szCs w:val="24"/>
          <w:highlight w:val="none"/>
          <w:u w:val="single"/>
        </w:rPr>
        <w:t xml:space="preserve"> </w:t>
      </w:r>
      <w:r>
        <w:rPr>
          <w:rFonts w:hint="eastAsia" w:ascii="宋体" w:hAnsi="宋体" w:eastAsia="宋体" w:cs="宋体"/>
          <w:spacing w:val="-3"/>
          <w:szCs w:val="24"/>
          <w:highlight w:val="none"/>
        </w:rPr>
        <w:t>，属于</w:t>
      </w:r>
      <w:r>
        <w:rPr>
          <w:rFonts w:hint="eastAsia" w:ascii="宋体" w:hAnsi="宋体" w:eastAsia="宋体" w:cs="宋体"/>
          <w:spacing w:val="4"/>
          <w:szCs w:val="24"/>
          <w:highlight w:val="none"/>
          <w:u w:val="single"/>
        </w:rPr>
        <w:t>(采购文件中明确的所属行业)</w:t>
      </w:r>
      <w:r>
        <w:rPr>
          <w:rFonts w:hint="eastAsia" w:ascii="宋体" w:hAnsi="宋体" w:eastAsia="宋体" w:cs="宋体"/>
          <w:spacing w:val="-3"/>
          <w:szCs w:val="24"/>
          <w:highlight w:val="none"/>
        </w:rPr>
        <w:t>；</w:t>
      </w:r>
      <w:r>
        <w:rPr>
          <w:rFonts w:hint="eastAsia" w:ascii="宋体" w:hAnsi="宋体" w:eastAsia="宋体" w:cs="宋体"/>
          <w:spacing w:val="16"/>
          <w:szCs w:val="24"/>
          <w:highlight w:val="none"/>
        </w:rPr>
        <w:t>承建</w:t>
      </w:r>
      <w:r>
        <w:rPr>
          <w:rFonts w:hint="eastAsia" w:ascii="宋体" w:hAnsi="宋体" w:eastAsia="宋体" w:cs="宋体"/>
          <w:spacing w:val="11"/>
          <w:szCs w:val="24"/>
          <w:highlight w:val="none"/>
        </w:rPr>
        <w:t xml:space="preserve"> </w:t>
      </w:r>
      <w:r>
        <w:rPr>
          <w:rFonts w:hint="eastAsia" w:ascii="宋体" w:hAnsi="宋体" w:eastAsia="宋体" w:cs="宋体"/>
          <w:spacing w:val="8"/>
          <w:szCs w:val="24"/>
          <w:highlight w:val="none"/>
        </w:rPr>
        <w:t>(承接) 企业为</w:t>
      </w:r>
      <w:r>
        <w:rPr>
          <w:rFonts w:hint="eastAsia" w:ascii="宋体" w:hAnsi="宋体" w:eastAsia="宋体" w:cs="宋体"/>
          <w:spacing w:val="8"/>
          <w:szCs w:val="24"/>
          <w:highlight w:val="none"/>
          <w:u w:val="single"/>
        </w:rPr>
        <w:t xml:space="preserve"> </w:t>
      </w:r>
      <w:r>
        <w:rPr>
          <w:rFonts w:hint="eastAsia" w:ascii="宋体" w:hAnsi="宋体" w:eastAsia="宋体" w:cs="宋体"/>
          <w:spacing w:val="4"/>
          <w:szCs w:val="24"/>
          <w:highlight w:val="none"/>
          <w:u w:val="single"/>
        </w:rPr>
        <w:t>(企业名称</w:t>
      </w:r>
      <w:r>
        <w:rPr>
          <w:rFonts w:hint="eastAsia" w:ascii="宋体" w:hAnsi="宋体" w:eastAsia="宋体" w:cs="宋体"/>
          <w:i/>
          <w:iCs/>
          <w:spacing w:val="8"/>
          <w:szCs w:val="24"/>
          <w:highlight w:val="none"/>
        </w:rPr>
        <w:t>)</w:t>
      </w:r>
      <w:r>
        <w:rPr>
          <w:rFonts w:hint="eastAsia" w:ascii="宋体" w:hAnsi="宋体" w:eastAsia="宋体" w:cs="宋体"/>
          <w:spacing w:val="8"/>
          <w:szCs w:val="24"/>
          <w:highlight w:val="none"/>
        </w:rPr>
        <w:t>，从业人员</w:t>
      </w:r>
      <w:r>
        <w:rPr>
          <w:rFonts w:hint="eastAsia" w:ascii="宋体" w:hAnsi="宋体" w:eastAsia="宋体" w:cs="宋体"/>
          <w:spacing w:val="8"/>
          <w:szCs w:val="24"/>
          <w:highlight w:val="none"/>
          <w:u w:val="single"/>
        </w:rPr>
        <w:t xml:space="preserve">    </w:t>
      </w:r>
      <w:r>
        <w:rPr>
          <w:rFonts w:hint="eastAsia" w:ascii="宋体" w:hAnsi="宋体" w:eastAsia="宋体" w:cs="宋体"/>
          <w:spacing w:val="8"/>
          <w:szCs w:val="24"/>
          <w:highlight w:val="none"/>
        </w:rPr>
        <w:t>人，营业</w:t>
      </w:r>
      <w:r>
        <w:rPr>
          <w:rFonts w:hint="eastAsia" w:ascii="宋体" w:hAnsi="宋体" w:eastAsia="宋体" w:cs="宋体"/>
          <w:spacing w:val="-1"/>
          <w:szCs w:val="24"/>
          <w:highlight w:val="none"/>
        </w:rPr>
        <w:t>收入为</w:t>
      </w:r>
      <w:r>
        <w:rPr>
          <w:rFonts w:hint="eastAsia" w:ascii="宋体" w:hAnsi="宋体" w:eastAsia="宋体" w:cs="宋体"/>
          <w:spacing w:val="-1"/>
          <w:szCs w:val="24"/>
          <w:highlight w:val="none"/>
          <w:u w:val="single"/>
        </w:rPr>
        <w:t xml:space="preserve">    </w:t>
      </w:r>
      <w:r>
        <w:rPr>
          <w:rFonts w:hint="eastAsia" w:ascii="宋体" w:hAnsi="宋体" w:eastAsia="宋体" w:cs="宋体"/>
          <w:spacing w:val="-1"/>
          <w:szCs w:val="24"/>
          <w:highlight w:val="none"/>
        </w:rPr>
        <w:t>万元，资</w:t>
      </w:r>
      <w:r>
        <w:rPr>
          <w:rFonts w:hint="eastAsia" w:ascii="宋体" w:hAnsi="宋体" w:eastAsia="宋体" w:cs="宋体"/>
          <w:szCs w:val="24"/>
          <w:highlight w:val="none"/>
        </w:rPr>
        <w:t>产总额为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万元</w:t>
      </w:r>
      <w:r>
        <w:rPr>
          <w:rFonts w:hint="eastAsia" w:ascii="宋体" w:hAnsi="宋体" w:eastAsia="宋体" w:cs="宋体"/>
          <w:position w:val="16"/>
          <w:szCs w:val="24"/>
          <w:highlight w:val="none"/>
        </w:rPr>
        <w:t xml:space="preserve"> </w:t>
      </w:r>
      <w:r>
        <w:rPr>
          <w:rFonts w:hint="eastAsia" w:ascii="宋体" w:hAnsi="宋体" w:eastAsia="宋体" w:cs="宋体"/>
          <w:szCs w:val="24"/>
          <w:highlight w:val="none"/>
        </w:rPr>
        <w:t>，属于</w:t>
      </w:r>
      <w:r>
        <w:rPr>
          <w:rFonts w:hint="eastAsia" w:ascii="宋体" w:hAnsi="宋体" w:eastAsia="宋体" w:cs="宋体"/>
          <w:szCs w:val="24"/>
          <w:highlight w:val="none"/>
          <w:u w:val="single"/>
        </w:rPr>
        <w:t xml:space="preserve"> </w:t>
      </w:r>
      <w:r>
        <w:rPr>
          <w:rFonts w:hint="eastAsia" w:ascii="宋体" w:hAnsi="宋体" w:eastAsia="宋体" w:cs="宋体"/>
          <w:spacing w:val="4"/>
          <w:szCs w:val="24"/>
          <w:highlight w:val="none"/>
          <w:u w:val="single"/>
        </w:rPr>
        <w:t>(中型企业、小型企业、微型企业)</w:t>
      </w:r>
      <w:r>
        <w:rPr>
          <w:rFonts w:hint="eastAsia" w:ascii="宋体" w:hAnsi="宋体" w:eastAsia="宋体" w:cs="宋体"/>
          <w:spacing w:val="-3"/>
          <w:szCs w:val="24"/>
          <w:highlight w:val="none"/>
        </w:rPr>
        <w:t>；</w:t>
      </w:r>
    </w:p>
    <w:p>
      <w:pPr>
        <w:spacing w:before="133" w:line="480" w:lineRule="auto"/>
        <w:ind w:left="18" w:firstLine="651"/>
        <w:rPr>
          <w:rFonts w:hint="eastAsia" w:ascii="宋体" w:hAnsi="宋体" w:eastAsia="宋体" w:cs="宋体"/>
          <w:szCs w:val="24"/>
          <w:highlight w:val="none"/>
        </w:rPr>
      </w:pPr>
      <w:r>
        <w:rPr>
          <w:rFonts w:hint="eastAsia" w:ascii="宋体" w:hAnsi="宋体" w:eastAsia="宋体" w:cs="宋体"/>
          <w:spacing w:val="-3"/>
          <w:szCs w:val="24"/>
          <w:highlight w:val="none"/>
        </w:rPr>
        <w:t>2.</w:t>
      </w:r>
      <w:r>
        <w:rPr>
          <w:rFonts w:hint="eastAsia" w:ascii="宋体" w:hAnsi="宋体" w:eastAsia="宋体" w:cs="宋体"/>
          <w:spacing w:val="-3"/>
          <w:szCs w:val="24"/>
          <w:highlight w:val="none"/>
          <w:u w:val="single"/>
        </w:rPr>
        <w:t xml:space="preserve"> </w:t>
      </w:r>
      <w:r>
        <w:rPr>
          <w:rFonts w:hint="eastAsia" w:ascii="宋体" w:hAnsi="宋体" w:eastAsia="宋体" w:cs="宋体"/>
          <w:spacing w:val="4"/>
          <w:szCs w:val="24"/>
          <w:highlight w:val="none"/>
          <w:u w:val="single"/>
        </w:rPr>
        <w:t xml:space="preserve">(标的名称) </w:t>
      </w:r>
      <w:r>
        <w:rPr>
          <w:rFonts w:hint="eastAsia" w:ascii="宋体" w:hAnsi="宋体" w:eastAsia="宋体" w:cs="宋体"/>
          <w:spacing w:val="-3"/>
          <w:szCs w:val="24"/>
          <w:highlight w:val="none"/>
        </w:rPr>
        <w:t>，属于</w:t>
      </w:r>
      <w:r>
        <w:rPr>
          <w:rFonts w:hint="eastAsia" w:ascii="宋体" w:hAnsi="宋体" w:eastAsia="宋体" w:cs="宋体"/>
          <w:spacing w:val="4"/>
          <w:szCs w:val="24"/>
          <w:highlight w:val="none"/>
          <w:u w:val="single"/>
        </w:rPr>
        <w:t>(采购文件中明确的所属行业)</w:t>
      </w:r>
      <w:r>
        <w:rPr>
          <w:rFonts w:hint="eastAsia" w:ascii="宋体" w:hAnsi="宋体" w:eastAsia="宋体" w:cs="宋体"/>
          <w:spacing w:val="-3"/>
          <w:szCs w:val="24"/>
          <w:highlight w:val="none"/>
        </w:rPr>
        <w:t>；</w:t>
      </w:r>
      <w:r>
        <w:rPr>
          <w:rFonts w:hint="eastAsia" w:ascii="宋体" w:hAnsi="宋体" w:eastAsia="宋体" w:cs="宋体"/>
          <w:szCs w:val="24"/>
          <w:highlight w:val="none"/>
        </w:rPr>
        <w:t xml:space="preserve"> </w:t>
      </w:r>
      <w:r>
        <w:rPr>
          <w:rFonts w:hint="eastAsia" w:ascii="宋体" w:hAnsi="宋体" w:eastAsia="宋体" w:cs="宋体"/>
          <w:spacing w:val="14"/>
          <w:szCs w:val="24"/>
          <w:highlight w:val="none"/>
        </w:rPr>
        <w:t>承</w:t>
      </w:r>
      <w:r>
        <w:rPr>
          <w:rFonts w:hint="eastAsia" w:ascii="宋体" w:hAnsi="宋体" w:eastAsia="宋体" w:cs="宋体"/>
          <w:spacing w:val="9"/>
          <w:szCs w:val="24"/>
          <w:highlight w:val="none"/>
        </w:rPr>
        <w:t>建 (承接) 企业为</w:t>
      </w:r>
      <w:r>
        <w:rPr>
          <w:rFonts w:hint="eastAsia" w:ascii="宋体" w:hAnsi="宋体" w:eastAsia="宋体" w:cs="宋体"/>
          <w:spacing w:val="9"/>
          <w:szCs w:val="24"/>
          <w:highlight w:val="none"/>
          <w:u w:val="single"/>
        </w:rPr>
        <w:t xml:space="preserve"> </w:t>
      </w:r>
      <w:r>
        <w:rPr>
          <w:rFonts w:hint="eastAsia" w:ascii="宋体" w:hAnsi="宋体" w:eastAsia="宋体" w:cs="宋体"/>
          <w:spacing w:val="4"/>
          <w:szCs w:val="24"/>
          <w:highlight w:val="none"/>
          <w:u w:val="single"/>
        </w:rPr>
        <w:t>(企业名称)</w:t>
      </w:r>
      <w:r>
        <w:rPr>
          <w:rFonts w:hint="eastAsia" w:ascii="宋体" w:hAnsi="宋体" w:eastAsia="宋体" w:cs="宋体"/>
          <w:spacing w:val="9"/>
          <w:szCs w:val="24"/>
          <w:highlight w:val="none"/>
        </w:rPr>
        <w:t>，从业人员</w:t>
      </w:r>
      <w:r>
        <w:rPr>
          <w:rFonts w:hint="eastAsia" w:ascii="宋体" w:hAnsi="宋体" w:eastAsia="宋体" w:cs="宋体"/>
          <w:spacing w:val="9"/>
          <w:szCs w:val="24"/>
          <w:highlight w:val="none"/>
          <w:u w:val="single"/>
        </w:rPr>
        <w:t xml:space="preserve">    </w:t>
      </w:r>
      <w:r>
        <w:rPr>
          <w:rFonts w:hint="eastAsia" w:ascii="宋体" w:hAnsi="宋体" w:eastAsia="宋体" w:cs="宋体"/>
          <w:spacing w:val="9"/>
          <w:szCs w:val="24"/>
          <w:highlight w:val="none"/>
        </w:rPr>
        <w:t>人，营业</w:t>
      </w:r>
      <w:r>
        <w:rPr>
          <w:rFonts w:hint="eastAsia" w:ascii="宋体" w:hAnsi="宋体" w:eastAsia="宋体" w:cs="宋体"/>
          <w:szCs w:val="24"/>
          <w:highlight w:val="none"/>
        </w:rPr>
        <w:t xml:space="preserve"> </w:t>
      </w:r>
      <w:r>
        <w:rPr>
          <w:rFonts w:hint="eastAsia" w:ascii="宋体" w:hAnsi="宋体" w:eastAsia="宋体" w:cs="宋体"/>
          <w:spacing w:val="4"/>
          <w:szCs w:val="24"/>
          <w:highlight w:val="none"/>
        </w:rPr>
        <w:t>收入为</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万元，资产总额为</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万元，属于</w:t>
      </w:r>
      <w:r>
        <w:rPr>
          <w:rFonts w:hint="eastAsia" w:ascii="宋体" w:hAnsi="宋体" w:eastAsia="宋体" w:cs="宋体"/>
          <w:spacing w:val="4"/>
          <w:szCs w:val="24"/>
          <w:highlight w:val="none"/>
          <w:u w:val="single"/>
        </w:rPr>
        <w:t xml:space="preserve"> (中型企业、 小型企业、微型企业)</w:t>
      </w:r>
      <w:r>
        <w:rPr>
          <w:rFonts w:hint="eastAsia" w:ascii="宋体" w:hAnsi="宋体" w:eastAsia="宋体" w:cs="宋体"/>
          <w:spacing w:val="-3"/>
          <w:szCs w:val="24"/>
          <w:highlight w:val="none"/>
        </w:rPr>
        <w:t>；</w:t>
      </w:r>
    </w:p>
    <w:p>
      <w:pPr>
        <w:spacing w:line="480" w:lineRule="auto"/>
        <w:ind w:left="688"/>
        <w:rPr>
          <w:rFonts w:hint="eastAsia" w:ascii="宋体" w:hAnsi="宋体" w:eastAsia="宋体" w:cs="宋体"/>
          <w:szCs w:val="24"/>
          <w:highlight w:val="none"/>
        </w:rPr>
      </w:pPr>
      <w:r>
        <w:rPr>
          <w:rFonts w:hint="eastAsia" w:ascii="宋体" w:hAnsi="宋体" w:eastAsia="宋体" w:cs="宋体"/>
          <w:spacing w:val="5"/>
          <w:position w:val="4"/>
          <w:szCs w:val="24"/>
          <w:highlight w:val="none"/>
        </w:rPr>
        <w:t>…</w:t>
      </w:r>
      <w:r>
        <w:rPr>
          <w:rFonts w:hint="eastAsia" w:ascii="宋体" w:hAnsi="宋体" w:eastAsia="宋体" w:cs="宋体"/>
          <w:spacing w:val="4"/>
          <w:position w:val="4"/>
          <w:szCs w:val="24"/>
          <w:highlight w:val="none"/>
        </w:rPr>
        <w:t>…</w:t>
      </w:r>
    </w:p>
    <w:p>
      <w:pPr>
        <w:spacing w:before="13" w:line="480" w:lineRule="auto"/>
        <w:ind w:left="35" w:right="86" w:firstLine="678"/>
        <w:rPr>
          <w:rFonts w:hAnsi="宋体" w:cs="宋体"/>
          <w:szCs w:val="24"/>
          <w:highlight w:val="none"/>
        </w:rPr>
      </w:pPr>
      <w:r>
        <w:rPr>
          <w:rFonts w:hint="eastAsia" w:hAnsi="宋体" w:cs="宋体"/>
          <w:spacing w:val="7"/>
          <w:szCs w:val="24"/>
          <w:highlight w:val="none"/>
        </w:rPr>
        <w:t>以上企业，不属于大企业的分支机构，不存在控股股</w:t>
      </w:r>
      <w:r>
        <w:rPr>
          <w:rFonts w:hint="eastAsia" w:hAnsi="宋体" w:cs="宋体"/>
          <w:spacing w:val="3"/>
          <w:szCs w:val="24"/>
          <w:highlight w:val="none"/>
        </w:rPr>
        <w:t>东</w:t>
      </w:r>
      <w:r>
        <w:rPr>
          <w:rFonts w:hint="eastAsia" w:hAnsi="宋体" w:cs="宋体"/>
          <w:szCs w:val="24"/>
          <w:highlight w:val="none"/>
        </w:rPr>
        <w:t xml:space="preserve"> </w:t>
      </w:r>
      <w:r>
        <w:rPr>
          <w:rFonts w:hint="eastAsia" w:hAnsi="宋体" w:cs="宋体"/>
          <w:spacing w:val="16"/>
          <w:szCs w:val="24"/>
          <w:highlight w:val="none"/>
        </w:rPr>
        <w:t>为大</w:t>
      </w:r>
      <w:r>
        <w:rPr>
          <w:rFonts w:hint="eastAsia" w:hAnsi="宋体" w:cs="宋体"/>
          <w:spacing w:val="8"/>
          <w:szCs w:val="24"/>
          <w:highlight w:val="none"/>
        </w:rPr>
        <w:t>企业的情形，也不存在与大企业的负责人为同一人的情</w:t>
      </w:r>
      <w:r>
        <w:rPr>
          <w:rFonts w:hint="eastAsia" w:hAnsi="宋体" w:cs="宋体"/>
          <w:szCs w:val="24"/>
          <w:highlight w:val="none"/>
        </w:rPr>
        <w:t xml:space="preserve"> </w:t>
      </w:r>
      <w:r>
        <w:rPr>
          <w:rFonts w:hint="eastAsia" w:hAnsi="宋体" w:cs="宋体"/>
          <w:spacing w:val="-7"/>
          <w:szCs w:val="24"/>
          <w:highlight w:val="none"/>
        </w:rPr>
        <w:t>形</w:t>
      </w:r>
      <w:r>
        <w:rPr>
          <w:rFonts w:hint="eastAsia" w:hAnsi="宋体" w:cs="宋体"/>
          <w:spacing w:val="-6"/>
          <w:szCs w:val="24"/>
          <w:highlight w:val="none"/>
        </w:rPr>
        <w:t>。</w:t>
      </w:r>
    </w:p>
    <w:p>
      <w:pPr>
        <w:spacing w:before="1" w:line="480" w:lineRule="auto"/>
        <w:ind w:left="45" w:right="88" w:firstLine="631"/>
        <w:rPr>
          <w:rFonts w:hAnsi="宋体" w:cs="宋体"/>
          <w:szCs w:val="24"/>
          <w:highlight w:val="none"/>
        </w:rPr>
      </w:pPr>
      <w:r>
        <w:rPr>
          <w:rFonts w:hint="eastAsia" w:hAnsi="宋体" w:cs="宋体"/>
          <w:spacing w:val="16"/>
          <w:szCs w:val="24"/>
          <w:highlight w:val="none"/>
        </w:rPr>
        <w:t>本</w:t>
      </w:r>
      <w:r>
        <w:rPr>
          <w:rFonts w:hint="eastAsia" w:hAnsi="宋体" w:cs="宋体"/>
          <w:spacing w:val="8"/>
          <w:szCs w:val="24"/>
          <w:highlight w:val="none"/>
        </w:rPr>
        <w:t>企业对上述声明内容的真实性负责。如有虚假，将依</w:t>
      </w:r>
      <w:r>
        <w:rPr>
          <w:rFonts w:hint="eastAsia" w:hAnsi="宋体" w:cs="宋体"/>
          <w:szCs w:val="24"/>
          <w:highlight w:val="none"/>
        </w:rPr>
        <w:t xml:space="preserve"> </w:t>
      </w:r>
      <w:r>
        <w:rPr>
          <w:rFonts w:hint="eastAsia" w:hAnsi="宋体" w:cs="宋体"/>
          <w:spacing w:val="8"/>
          <w:szCs w:val="24"/>
          <w:highlight w:val="none"/>
        </w:rPr>
        <w:t>法</w:t>
      </w:r>
      <w:r>
        <w:rPr>
          <w:rFonts w:hint="eastAsia" w:hAnsi="宋体" w:cs="宋体"/>
          <w:spacing w:val="5"/>
          <w:szCs w:val="24"/>
          <w:highlight w:val="none"/>
        </w:rPr>
        <w:t>承</w:t>
      </w:r>
      <w:r>
        <w:rPr>
          <w:rFonts w:hint="eastAsia" w:hAnsi="宋体" w:cs="宋体"/>
          <w:spacing w:val="4"/>
          <w:szCs w:val="24"/>
          <w:highlight w:val="none"/>
        </w:rPr>
        <w:t>担相应责任。</w:t>
      </w:r>
    </w:p>
    <w:p>
      <w:pPr>
        <w:spacing w:before="1" w:line="480" w:lineRule="auto"/>
        <w:ind w:left="3876"/>
        <w:rPr>
          <w:rFonts w:hAnsi="宋体" w:cs="宋体"/>
          <w:szCs w:val="24"/>
          <w:highlight w:val="none"/>
        </w:rPr>
      </w:pPr>
      <w:r>
        <w:rPr>
          <w:rFonts w:hint="eastAsia" w:hAnsi="宋体" w:cs="宋体"/>
          <w:spacing w:val="3"/>
          <w:szCs w:val="24"/>
          <w:highlight w:val="none"/>
        </w:rPr>
        <w:t>企业名称 (盖章)：</w:t>
      </w:r>
    </w:p>
    <w:p>
      <w:pPr>
        <w:spacing w:before="159" w:line="480" w:lineRule="auto"/>
        <w:ind w:left="3942"/>
        <w:rPr>
          <w:rFonts w:hAnsi="宋体" w:cs="宋体"/>
          <w:spacing w:val="-38"/>
          <w:szCs w:val="24"/>
          <w:highlight w:val="none"/>
        </w:rPr>
      </w:pPr>
      <w:bookmarkStart w:id="194" w:name="_bookmark2"/>
      <w:bookmarkEnd w:id="194"/>
      <w:r>
        <w:rPr>
          <w:rFonts w:hint="eastAsia" w:hAnsi="宋体" w:cs="宋体"/>
          <w:spacing w:val="-40"/>
          <w:szCs w:val="24"/>
          <w:highlight w:val="none"/>
        </w:rPr>
        <w:t>日</w:t>
      </w:r>
      <w:r>
        <w:rPr>
          <w:rFonts w:hint="eastAsia" w:hAnsi="宋体" w:cs="宋体"/>
          <w:spacing w:val="-38"/>
          <w:szCs w:val="24"/>
          <w:highlight w:val="none"/>
        </w:rPr>
        <w:t xml:space="preserve"> 期   ：</w:t>
      </w:r>
    </w:p>
    <w:p>
      <w:pPr>
        <w:spacing w:before="148" w:after="54" w:line="232" w:lineRule="auto"/>
        <w:ind w:left="27"/>
        <w:rPr>
          <w:rFonts w:hAnsi="宋体" w:cs="宋体"/>
          <w:sz w:val="17"/>
          <w:szCs w:val="17"/>
          <w:highlight w:val="none"/>
        </w:rPr>
      </w:pPr>
      <w:r>
        <w:rPr>
          <w:rFonts w:hAnsi="宋体" w:cs="宋体"/>
          <w:spacing w:val="9"/>
          <w:sz w:val="17"/>
          <w:szCs w:val="17"/>
          <w:highlight w:val="none"/>
        </w:rPr>
        <w:t>从业人员、营业收入、资产总额填报上一年度数据，无上一年度数据的新成立企业可不填报</w:t>
      </w:r>
      <w:r>
        <w:rPr>
          <w:rFonts w:hAnsi="宋体" w:cs="宋体"/>
          <w:spacing w:val="1"/>
          <w:sz w:val="17"/>
          <w:szCs w:val="17"/>
          <w:highlight w:val="none"/>
        </w:rPr>
        <w:t>。</w:t>
      </w:r>
    </w:p>
    <w:p>
      <w:pPr>
        <w:rPr>
          <w:rFonts w:hAnsi="宋体" w:cs="宋体"/>
          <w:b/>
          <w:sz w:val="28"/>
          <w:szCs w:val="28"/>
          <w:highlight w:val="none"/>
        </w:rPr>
      </w:pPr>
      <w:r>
        <w:rPr>
          <w:rFonts w:hint="eastAsia" w:hAnsi="宋体" w:cs="宋体"/>
          <w:b/>
          <w:sz w:val="28"/>
          <w:szCs w:val="28"/>
          <w:highlight w:val="none"/>
        </w:rPr>
        <w:br w:type="page"/>
      </w:r>
    </w:p>
    <w:p>
      <w:pPr>
        <w:spacing w:before="312" w:beforeLines="100" w:after="156" w:afterLines="50"/>
        <w:outlineLvl w:val="2"/>
        <w:rPr>
          <w:rFonts w:hAnsi="宋体" w:cs="宋体"/>
          <w:b/>
          <w:sz w:val="28"/>
          <w:szCs w:val="28"/>
          <w:highlight w:val="none"/>
        </w:rPr>
      </w:pPr>
      <w:bookmarkStart w:id="195" w:name="_Toc13530"/>
      <w:bookmarkStart w:id="196" w:name="_Toc12704"/>
      <w:r>
        <w:rPr>
          <w:rFonts w:hint="eastAsia" w:hAnsi="宋体" w:cs="宋体"/>
          <w:b/>
          <w:sz w:val="28"/>
          <w:szCs w:val="28"/>
          <w:highlight w:val="none"/>
        </w:rPr>
        <w:t>附件3：磋商产品属节能、环境标志产品列表（如有）</w:t>
      </w:r>
      <w:bookmarkEnd w:id="195"/>
      <w:bookmarkEnd w:id="196"/>
    </w:p>
    <w:p>
      <w:pPr>
        <w:spacing w:before="312" w:beforeLines="100" w:after="156" w:afterLines="50"/>
        <w:jc w:val="center"/>
        <w:rPr>
          <w:rFonts w:hAnsi="宋体" w:cs="宋体"/>
          <w:b/>
          <w:sz w:val="28"/>
          <w:szCs w:val="28"/>
          <w:highlight w:val="none"/>
        </w:rPr>
      </w:pPr>
      <w:r>
        <w:rPr>
          <w:rFonts w:hint="eastAsia" w:hAnsi="宋体" w:cs="宋体"/>
          <w:b/>
          <w:sz w:val="28"/>
          <w:szCs w:val="28"/>
          <w:highlight w:val="none"/>
        </w:rPr>
        <w:t>磋商产品属节能、环境标志产品列表</w:t>
      </w:r>
      <w:bookmarkEnd w:id="193"/>
    </w:p>
    <w:p>
      <w:pPr>
        <w:spacing w:line="360" w:lineRule="auto"/>
        <w:rPr>
          <w:rFonts w:hAnsi="宋体" w:cs="宋体"/>
          <w:bCs/>
          <w:sz w:val="28"/>
          <w:szCs w:val="28"/>
          <w:highlight w:val="none"/>
        </w:rPr>
      </w:pPr>
      <w:r>
        <w:rPr>
          <w:rFonts w:hint="eastAsia" w:hAnsi="宋体" w:cs="宋体"/>
          <w:bCs/>
          <w:sz w:val="28"/>
          <w:szCs w:val="28"/>
          <w:highlight w:val="none"/>
        </w:rPr>
        <w:t>项目名称：</w:t>
      </w:r>
    </w:p>
    <w:p>
      <w:pPr>
        <w:spacing w:line="360" w:lineRule="auto"/>
        <w:rPr>
          <w:rFonts w:hAnsi="宋体" w:cs="宋体"/>
          <w:bCs/>
          <w:sz w:val="28"/>
          <w:szCs w:val="28"/>
          <w:highlight w:val="none"/>
        </w:rPr>
      </w:pPr>
      <w:r>
        <w:rPr>
          <w:rFonts w:hint="eastAsia" w:hAnsi="宋体" w:cs="宋体"/>
          <w:bCs/>
          <w:sz w:val="28"/>
          <w:szCs w:val="28"/>
          <w:highlight w:val="none"/>
        </w:rPr>
        <w:t>项目编号：</w:t>
      </w:r>
    </w:p>
    <w:tbl>
      <w:tblPr>
        <w:tblStyle w:val="22"/>
        <w:tblW w:w="8930" w:type="dxa"/>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highlight w:val="none"/>
              </w:rPr>
            </w:pPr>
            <w:r>
              <w:rPr>
                <w:rFonts w:hint="eastAsia" w:hAnsi="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highlight w:val="none"/>
              </w:rPr>
            </w:pPr>
            <w:r>
              <w:rPr>
                <w:rFonts w:hint="eastAsia" w:hAnsi="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单价</w:t>
            </w:r>
          </w:p>
          <w:p>
            <w:pPr>
              <w:spacing w:after="120"/>
              <w:jc w:val="center"/>
              <w:rPr>
                <w:rFonts w:hAnsi="宋体" w:cs="宋体"/>
                <w:bCs/>
                <w:highlight w:val="none"/>
              </w:rPr>
            </w:pPr>
            <w:r>
              <w:rPr>
                <w:rFonts w:hint="eastAsia" w:hAnsi="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highlight w:val="none"/>
              </w:rPr>
            </w:pPr>
            <w:r>
              <w:rPr>
                <w:rFonts w:hint="eastAsia" w:hAnsi="宋体" w:cs="宋体"/>
                <w:bCs/>
                <w:highlight w:val="none"/>
              </w:rPr>
              <w:t>总价</w:t>
            </w:r>
          </w:p>
          <w:p>
            <w:pPr>
              <w:spacing w:after="120"/>
              <w:jc w:val="center"/>
              <w:rPr>
                <w:rFonts w:hAnsi="宋体" w:cs="宋体"/>
                <w:bCs/>
                <w:highlight w:val="none"/>
              </w:rPr>
            </w:pPr>
            <w:r>
              <w:rPr>
                <w:rFonts w:hint="eastAsia" w:hAnsi="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hAnsi="宋体" w:cs="宋体"/>
                <w:highlight w:val="none"/>
              </w:rPr>
            </w:pPr>
            <w:r>
              <w:rPr>
                <w:rFonts w:hint="eastAsia" w:hAnsi="宋体" w:cs="宋体"/>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hAnsi="宋体" w:cs="宋体"/>
                <w:highlight w:val="none"/>
              </w:rPr>
            </w:pPr>
            <w:r>
              <w:rPr>
                <w:rFonts w:hint="eastAsia" w:hAnsi="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r>
              <w:rPr>
                <w:rFonts w:hint="eastAsia" w:hAnsi="宋体" w:cs="宋体"/>
                <w:spacing w:val="-6"/>
                <w:highlight w:val="none"/>
              </w:rPr>
              <w:t>保留小数点后两位。</w:t>
            </w:r>
          </w:p>
        </w:tc>
      </w:tr>
    </w:tbl>
    <w:p>
      <w:pPr>
        <w:adjustRightInd w:val="0"/>
        <w:snapToGrid w:val="0"/>
        <w:spacing w:line="360" w:lineRule="auto"/>
        <w:rPr>
          <w:rFonts w:hAnsi="宋体" w:cs="宋体"/>
          <w:szCs w:val="21"/>
          <w:highlight w:val="none"/>
        </w:rPr>
      </w:pPr>
    </w:p>
    <w:p>
      <w:pPr>
        <w:adjustRightInd w:val="0"/>
        <w:snapToGrid w:val="0"/>
        <w:spacing w:line="360" w:lineRule="auto"/>
        <w:rPr>
          <w:rFonts w:hAnsi="宋体" w:cs="宋体"/>
          <w:bCs/>
          <w:szCs w:val="21"/>
          <w:highlight w:val="none"/>
        </w:rPr>
      </w:pPr>
      <w:r>
        <w:rPr>
          <w:rFonts w:hint="eastAsia" w:hAnsi="宋体" w:cs="宋体"/>
          <w:szCs w:val="21"/>
          <w:highlight w:val="none"/>
        </w:rPr>
        <w:t>说明：</w:t>
      </w:r>
      <w:r>
        <w:rPr>
          <w:rFonts w:hint="eastAsia" w:hAnsi="宋体" w:cs="宋体"/>
          <w:bCs/>
          <w:szCs w:val="21"/>
          <w:highlight w:val="none"/>
        </w:rPr>
        <w:t>1、</w:t>
      </w:r>
      <w:r>
        <w:rPr>
          <w:rFonts w:hint="eastAsia" w:hAnsi="宋体" w:cs="宋体"/>
          <w:szCs w:val="21"/>
          <w:highlight w:val="none"/>
        </w:rPr>
        <w:t>供应商提供的属于节能、环境标志产品品目清单中优先采购的产品，须按磋商文件要求提供相关证明材料。</w:t>
      </w:r>
    </w:p>
    <w:p>
      <w:pPr>
        <w:pStyle w:val="37"/>
        <w:spacing w:line="400" w:lineRule="exact"/>
        <w:ind w:left="480" w:leftChars="200" w:firstLine="240" w:firstLineChars="100"/>
        <w:rPr>
          <w:rFonts w:hAnsi="宋体" w:cs="宋体"/>
          <w:sz w:val="28"/>
          <w:szCs w:val="28"/>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outlineLvl w:val="2"/>
        <w:rPr>
          <w:rFonts w:hAnsi="宋体" w:cs="宋体"/>
          <w:b/>
          <w:bCs/>
          <w:spacing w:val="6"/>
          <w:sz w:val="30"/>
          <w:szCs w:val="30"/>
          <w:highlight w:val="none"/>
        </w:rPr>
      </w:pPr>
      <w:r>
        <w:rPr>
          <w:rFonts w:hint="eastAsia" w:hAnsi="宋体" w:cs="宋体"/>
          <w:szCs w:val="24"/>
          <w:highlight w:val="none"/>
        </w:rPr>
        <w:br w:type="page"/>
      </w:r>
      <w:bookmarkStart w:id="197" w:name="_Toc11235"/>
      <w:bookmarkStart w:id="198" w:name="_Toc22425"/>
      <w:r>
        <w:rPr>
          <w:rFonts w:hint="eastAsia" w:hAnsi="宋体" w:cs="宋体"/>
          <w:b/>
          <w:bCs/>
          <w:spacing w:val="6"/>
          <w:sz w:val="30"/>
          <w:szCs w:val="30"/>
          <w:highlight w:val="none"/>
        </w:rPr>
        <w:t>附件4：残疾人福利性单位声明函（如有）</w:t>
      </w:r>
      <w:bookmarkEnd w:id="197"/>
      <w:bookmarkEnd w:id="198"/>
    </w:p>
    <w:p>
      <w:pPr>
        <w:spacing w:line="588" w:lineRule="exact"/>
        <w:jc w:val="center"/>
        <w:rPr>
          <w:rFonts w:hAnsi="宋体" w:cs="宋体"/>
          <w:b/>
          <w:spacing w:val="6"/>
          <w:sz w:val="32"/>
          <w:szCs w:val="32"/>
          <w:highlight w:val="none"/>
        </w:rPr>
      </w:pPr>
      <w:bookmarkStart w:id="199" w:name="OLE_LINK14"/>
      <w:bookmarkStart w:id="200" w:name="OLE_LINK13"/>
      <w:r>
        <w:rPr>
          <w:rFonts w:hint="eastAsia" w:hAnsi="宋体" w:cs="宋体"/>
          <w:b/>
          <w:spacing w:val="6"/>
          <w:sz w:val="32"/>
          <w:szCs w:val="32"/>
          <w:highlight w:val="none"/>
        </w:rPr>
        <w:t>残疾人福利性单位声明函</w:t>
      </w:r>
    </w:p>
    <w:bookmarkEnd w:id="199"/>
    <w:bookmarkEnd w:id="200"/>
    <w:p>
      <w:pPr>
        <w:spacing w:line="588" w:lineRule="exact"/>
        <w:rPr>
          <w:rFonts w:hAnsi="宋体" w:cs="宋体"/>
          <w:b/>
          <w:spacing w:val="6"/>
          <w:sz w:val="30"/>
          <w:szCs w:val="30"/>
          <w:highlight w:val="none"/>
        </w:rPr>
      </w:pP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spacing w:line="360" w:lineRule="auto"/>
        <w:ind w:right="640"/>
        <w:rPr>
          <w:rFonts w:hAnsi="宋体" w:cs="宋体"/>
          <w:szCs w:val="24"/>
          <w:highlight w:val="none"/>
        </w:rPr>
      </w:pPr>
      <w:r>
        <w:rPr>
          <w:rFonts w:hint="eastAsia" w:hAnsi="宋体" w:cs="宋体"/>
          <w:highlight w:val="none"/>
        </w:rPr>
        <w:br w:type="page"/>
      </w:r>
    </w:p>
    <w:p>
      <w:pPr>
        <w:spacing w:line="360" w:lineRule="auto"/>
        <w:outlineLvl w:val="2"/>
        <w:rPr>
          <w:rFonts w:hAnsi="宋体" w:cs="宋体"/>
          <w:b/>
          <w:sz w:val="28"/>
          <w:szCs w:val="28"/>
          <w:highlight w:val="none"/>
        </w:rPr>
      </w:pPr>
      <w:bookmarkStart w:id="201" w:name="_Toc2119"/>
      <w:bookmarkStart w:id="202" w:name="_Toc2139"/>
      <w:r>
        <w:rPr>
          <w:rFonts w:hint="eastAsia" w:hAnsi="宋体" w:cs="宋体"/>
          <w:b/>
          <w:sz w:val="28"/>
          <w:szCs w:val="28"/>
          <w:highlight w:val="none"/>
        </w:rPr>
        <w:t>附件</w:t>
      </w:r>
      <w:r>
        <w:rPr>
          <w:rFonts w:hint="eastAsia" w:hAnsi="宋体" w:cs="宋体"/>
          <w:b/>
          <w:sz w:val="28"/>
          <w:szCs w:val="28"/>
          <w:highlight w:val="none"/>
          <w:lang w:val="en-US" w:eastAsia="zh-CN"/>
        </w:rPr>
        <w:t>5</w:t>
      </w:r>
      <w:r>
        <w:rPr>
          <w:rFonts w:hint="eastAsia" w:hAnsi="宋体" w:cs="宋体"/>
          <w:b/>
          <w:sz w:val="28"/>
          <w:szCs w:val="28"/>
          <w:highlight w:val="none"/>
        </w:rPr>
        <w:t>：质疑函范本</w:t>
      </w:r>
      <w:bookmarkEnd w:id="201"/>
      <w:bookmarkEnd w:id="202"/>
    </w:p>
    <w:p>
      <w:pPr>
        <w:jc w:val="center"/>
        <w:rPr>
          <w:rFonts w:hAnsi="宋体" w:cs="宋体"/>
          <w:b/>
          <w:bCs/>
          <w:sz w:val="44"/>
          <w:szCs w:val="44"/>
          <w:highlight w:val="none"/>
        </w:rPr>
      </w:pPr>
      <w:r>
        <w:rPr>
          <w:rFonts w:hint="eastAsia" w:hAnsi="宋体" w:cs="宋体"/>
          <w:b/>
          <w:bCs/>
          <w:sz w:val="44"/>
          <w:szCs w:val="4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p>
    <w:p>
      <w:pPr>
        <w:jc w:val="center"/>
        <w:rPr>
          <w:rFonts w:hAnsi="宋体" w:cs="宋体"/>
          <w:b/>
          <w:sz w:val="44"/>
          <w:szCs w:val="44"/>
          <w:highlight w:val="none"/>
        </w:rPr>
      </w:pPr>
    </w:p>
    <w:p>
      <w:pPr>
        <w:jc w:val="center"/>
        <w:rPr>
          <w:rFonts w:hAnsi="宋体" w:cs="宋体"/>
          <w:b/>
          <w:sz w:val="44"/>
          <w:szCs w:val="44"/>
          <w:highlight w:val="none"/>
        </w:rPr>
      </w:pPr>
    </w:p>
    <w:p>
      <w:pPr>
        <w:jc w:val="center"/>
        <w:rPr>
          <w:rFonts w:hAnsi="宋体" w:cs="宋体"/>
          <w:b/>
          <w:sz w:val="44"/>
          <w:szCs w:val="44"/>
          <w:highlight w:val="none"/>
        </w:rPr>
      </w:pPr>
      <w:r>
        <w:rPr>
          <w:rFonts w:hint="eastAsia" w:hAnsi="宋体" w:cs="宋体"/>
          <w:b/>
          <w:sz w:val="44"/>
          <w:szCs w:val="44"/>
          <w:highlight w:val="none"/>
        </w:rPr>
        <w:t>投诉书范本</w:t>
      </w:r>
    </w:p>
    <w:p>
      <w:pPr>
        <w:rPr>
          <w:rFonts w:hAnsi="宋体" w:cs="宋体"/>
          <w:szCs w:val="24"/>
          <w:highlight w:val="none"/>
        </w:rPr>
      </w:pPr>
      <w:r>
        <w:rPr>
          <w:rFonts w:hint="eastAsia" w:hAnsi="宋体" w:cs="宋体"/>
          <w:szCs w:val="24"/>
          <w:highlight w:val="none"/>
        </w:rPr>
        <w:t>一、投诉相关主体基本情况</w:t>
      </w:r>
    </w:p>
    <w:p>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被投诉人2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二、投诉项目基本情况</w:t>
      </w:r>
    </w:p>
    <w:p>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三、质疑基本情况</w:t>
      </w:r>
    </w:p>
    <w:p>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rPr>
          <w:rFonts w:hAnsi="宋体" w:cs="宋体"/>
          <w:szCs w:val="24"/>
          <w:highlight w:val="none"/>
        </w:rPr>
      </w:pPr>
      <w:r>
        <w:rPr>
          <w:rFonts w:hint="eastAsia" w:hAnsi="宋体" w:cs="宋体"/>
          <w:szCs w:val="24"/>
          <w:highlight w:val="none"/>
        </w:rPr>
        <w:t>四、投诉事项具体内容</w:t>
      </w:r>
    </w:p>
    <w:p>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投诉事项2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rPr>
      </w:pPr>
      <w:r>
        <w:rPr>
          <w:rFonts w:hint="eastAsia" w:hAnsi="宋体" w:cs="宋体"/>
          <w:szCs w:val="24"/>
          <w:highlight w:val="none"/>
        </w:rPr>
        <w:t>五、与投诉事项相关的投诉请求</w:t>
      </w:r>
    </w:p>
    <w:p>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rPr>
          <w:rFonts w:hAnsi="宋体" w:cs="宋体"/>
          <w:szCs w:val="24"/>
          <w:highlight w:val="none"/>
          <w:u w:val="single"/>
        </w:rPr>
      </w:pPr>
      <w:r>
        <w:rPr>
          <w:rFonts w:hint="eastAsia" w:hAnsi="宋体" w:cs="宋体"/>
          <w:szCs w:val="24"/>
          <w:highlight w:val="none"/>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 w:val="21"/>
          <w:szCs w:val="21"/>
          <w:highlight w:val="none"/>
        </w:rPr>
      </w:pPr>
      <w:r>
        <w:rPr>
          <w:rFonts w:hint="eastAsia" w:hAnsi="宋体" w:cs="宋体"/>
          <w:szCs w:val="24"/>
          <w:highlight w:val="none"/>
        </w:rPr>
        <w:t xml:space="preserve">日期：    </w:t>
      </w:r>
      <w:r>
        <w:rPr>
          <w:rFonts w:hint="eastAsia" w:hAnsi="宋体" w:cs="宋体"/>
          <w:sz w:val="21"/>
          <w:szCs w:val="21"/>
          <w:highlight w:val="none"/>
        </w:rPr>
        <w:t xml:space="preserve">                  </w:t>
      </w:r>
    </w:p>
    <w:p>
      <w:pPr>
        <w:spacing w:line="360" w:lineRule="auto"/>
        <w:rPr>
          <w:rFonts w:hAnsi="宋体" w:cs="宋体"/>
          <w:szCs w:val="24"/>
          <w:highlight w:val="none"/>
        </w:rPr>
      </w:pPr>
      <w:r>
        <w:rPr>
          <w:rFonts w:hint="eastAsia" w:hAnsi="宋体" w:cs="宋体"/>
          <w:szCs w:val="24"/>
          <w:highlight w:val="none"/>
        </w:rPr>
        <w:t xml:space="preserve">                                </w:t>
      </w:r>
    </w:p>
    <w:p>
      <w:pPr>
        <w:tabs>
          <w:tab w:val="left" w:pos="7839"/>
        </w:tabs>
        <w:rPr>
          <w:highlight w:val="none"/>
        </w:rPr>
      </w:pP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陕西至诚招标咨询有限公司                         </w:t>
    </w:r>
    <w:r>
      <w:rPr>
        <w:rFonts w:hint="eastAsia"/>
      </w:rPr>
      <w:tab/>
    </w:r>
    <w:r>
      <w:rPr>
        <w:rFonts w:hint="eastAsia"/>
      </w:rPr>
      <w:t>地址：陕西省西安市经济技术开发区未央路171-1号银池道拉斯财富中心21楼03室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地址：陕西省西安市经济技术开发区未央路171-1号银池道拉斯财富中心21楼03室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rPr>
      <w:t>三级医院评审与绩效考核信息管理服务平台采购项目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85FEE"/>
    <w:multiLevelType w:val="multilevel"/>
    <w:tmpl w:val="00F85F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8E439C"/>
    <w:multiLevelType w:val="multilevel"/>
    <w:tmpl w:val="028E43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2C6955"/>
    <w:multiLevelType w:val="multilevel"/>
    <w:tmpl w:val="0A2C69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C05ED5"/>
    <w:multiLevelType w:val="multilevel"/>
    <w:tmpl w:val="0CC05E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2857B2"/>
    <w:multiLevelType w:val="multilevel"/>
    <w:tmpl w:val="0E2857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11608F"/>
    <w:multiLevelType w:val="multilevel"/>
    <w:tmpl w:val="111160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227C37"/>
    <w:multiLevelType w:val="multilevel"/>
    <w:tmpl w:val="11227C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C981D04"/>
    <w:multiLevelType w:val="multilevel"/>
    <w:tmpl w:val="1C981D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decimal"/>
      <w:lvlText w:val="%5)"/>
      <w:lvlJc w:val="left"/>
      <w:pPr>
        <w:ind w:left="420" w:hanging="420"/>
      </w:pPr>
      <w:rPr>
        <w:rFonts w:hint="eastAsia"/>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B0E6EB2"/>
    <w:multiLevelType w:val="multilevel"/>
    <w:tmpl w:val="2B0E6EB2"/>
    <w:lvl w:ilvl="0" w:tentative="0">
      <w:start w:val="1"/>
      <w:numFmt w:val="decimal"/>
      <w:lvlText w:val="第%1章."/>
      <w:lvlJc w:val="left"/>
      <w:pPr>
        <w:ind w:left="432" w:hanging="432"/>
      </w:pPr>
      <w:rPr>
        <w:rFonts w:hint="eastAsia"/>
      </w:rPr>
    </w:lvl>
    <w:lvl w:ilvl="1" w:tentative="0">
      <w:start w:val="1"/>
      <w:numFmt w:val="decimal"/>
      <w:lvlText w:val="%1.%2"/>
      <w:lvlJc w:val="left"/>
      <w:pPr>
        <w:ind w:left="173"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9">
    <w:nsid w:val="30090509"/>
    <w:multiLevelType w:val="multilevel"/>
    <w:tmpl w:val="300905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345DCC0"/>
    <w:multiLevelType w:val="singleLevel"/>
    <w:tmpl w:val="3345DCC0"/>
    <w:lvl w:ilvl="0" w:tentative="0">
      <w:start w:val="1"/>
      <w:numFmt w:val="decimal"/>
      <w:suff w:val="nothing"/>
      <w:lvlText w:val="%1）"/>
      <w:lvlJc w:val="left"/>
    </w:lvl>
  </w:abstractNum>
  <w:abstractNum w:abstractNumId="11">
    <w:nsid w:val="33CEC18F"/>
    <w:multiLevelType w:val="singleLevel"/>
    <w:tmpl w:val="33CEC18F"/>
    <w:lvl w:ilvl="0" w:tentative="0">
      <w:start w:val="3"/>
      <w:numFmt w:val="chineseCounting"/>
      <w:suff w:val="space"/>
      <w:lvlText w:val="第%1章"/>
      <w:lvlJc w:val="left"/>
      <w:rPr>
        <w:rFonts w:hint="eastAsia"/>
      </w:rPr>
    </w:lvl>
  </w:abstractNum>
  <w:abstractNum w:abstractNumId="12">
    <w:nsid w:val="50E51838"/>
    <w:multiLevelType w:val="multilevel"/>
    <w:tmpl w:val="50E5183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90049E8"/>
    <w:multiLevelType w:val="singleLevel"/>
    <w:tmpl w:val="590049E8"/>
    <w:lvl w:ilvl="0" w:tentative="0">
      <w:start w:val="30"/>
      <w:numFmt w:val="decimal"/>
      <w:suff w:val="nothing"/>
      <w:lvlText w:val="%1."/>
      <w:lvlJc w:val="left"/>
    </w:lvl>
  </w:abstractNum>
  <w:abstractNum w:abstractNumId="14">
    <w:nsid w:val="5956710B"/>
    <w:multiLevelType w:val="multilevel"/>
    <w:tmpl w:val="5956710B"/>
    <w:lvl w:ilvl="0" w:tentative="0">
      <w:start w:val="1"/>
      <w:numFmt w:val="decimal"/>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59B2460E"/>
    <w:multiLevelType w:val="singleLevel"/>
    <w:tmpl w:val="59B2460E"/>
    <w:lvl w:ilvl="0" w:tentative="0">
      <w:start w:val="2"/>
      <w:numFmt w:val="decimal"/>
      <w:suff w:val="nothing"/>
      <w:lvlText w:val="%1."/>
      <w:lvlJc w:val="left"/>
    </w:lvl>
  </w:abstractNum>
  <w:abstractNum w:abstractNumId="16">
    <w:nsid w:val="59CF0981"/>
    <w:multiLevelType w:val="singleLevel"/>
    <w:tmpl w:val="59CF0981"/>
    <w:lvl w:ilvl="0" w:tentative="0">
      <w:start w:val="1"/>
      <w:numFmt w:val="decimal"/>
      <w:suff w:val="nothing"/>
      <w:lvlText w:val="%1、"/>
      <w:lvlJc w:val="left"/>
    </w:lvl>
  </w:abstractNum>
  <w:abstractNum w:abstractNumId="17">
    <w:nsid w:val="634402AF"/>
    <w:multiLevelType w:val="multilevel"/>
    <w:tmpl w:val="634402A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5B0705E"/>
    <w:multiLevelType w:val="multilevel"/>
    <w:tmpl w:val="65B0705E"/>
    <w:lvl w:ilvl="0" w:tentative="0">
      <w:start w:val="1"/>
      <w:numFmt w:val="decimal"/>
      <w:lvlText w:val="%1."/>
      <w:lvlJc w:val="left"/>
      <w:pPr>
        <w:ind w:left="420" w:hanging="420"/>
      </w:pPr>
    </w:lvl>
    <w:lvl w:ilvl="1" w:tentative="0">
      <w:start w:val="3"/>
      <w:numFmt w:val="decimal"/>
      <w:isLgl/>
      <w:lvlText w:val="%1.%2"/>
      <w:lvlJc w:val="left"/>
      <w:pPr>
        <w:ind w:left="1260" w:hanging="1260"/>
      </w:pPr>
      <w:rPr>
        <w:rFonts w:hint="default"/>
      </w:rPr>
    </w:lvl>
    <w:lvl w:ilvl="2" w:tentative="0">
      <w:start w:val="1"/>
      <w:numFmt w:val="decimal"/>
      <w:isLgl/>
      <w:lvlText w:val="%1.%2.%3"/>
      <w:lvlJc w:val="left"/>
      <w:pPr>
        <w:ind w:left="1260" w:hanging="1260"/>
      </w:pPr>
      <w:rPr>
        <w:rFonts w:hint="default"/>
      </w:rPr>
    </w:lvl>
    <w:lvl w:ilvl="3" w:tentative="0">
      <w:start w:val="2"/>
      <w:numFmt w:val="decimal"/>
      <w:isLgl/>
      <w:lvlText w:val="%1.%2.%3.%4"/>
      <w:lvlJc w:val="left"/>
      <w:pPr>
        <w:ind w:left="1260" w:hanging="1260"/>
      </w:pPr>
      <w:rPr>
        <w:rFonts w:hint="default"/>
      </w:rPr>
    </w:lvl>
    <w:lvl w:ilvl="4" w:tentative="0">
      <w:start w:val="1"/>
      <w:numFmt w:val="decimal"/>
      <w:isLgl/>
      <w:lvlText w:val="%1.%2.%3.%4.%5"/>
      <w:lvlJc w:val="left"/>
      <w:pPr>
        <w:ind w:left="1260" w:hanging="126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9">
    <w:nsid w:val="71E05F64"/>
    <w:multiLevelType w:val="multilevel"/>
    <w:tmpl w:val="71E05F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FA520F"/>
    <w:multiLevelType w:val="multilevel"/>
    <w:tmpl w:val="71FA52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EB2F7F"/>
    <w:multiLevelType w:val="multilevel"/>
    <w:tmpl w:val="74EB2F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5B15029"/>
    <w:multiLevelType w:val="multilevel"/>
    <w:tmpl w:val="75B150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97D7340"/>
    <w:multiLevelType w:val="multilevel"/>
    <w:tmpl w:val="797D73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F8C71B2"/>
    <w:multiLevelType w:val="multilevel"/>
    <w:tmpl w:val="7F8C71B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11"/>
  </w:num>
  <w:num w:numId="4">
    <w:abstractNumId w:val="16"/>
  </w:num>
  <w:num w:numId="5">
    <w:abstractNumId w:val="12"/>
  </w:num>
  <w:num w:numId="6">
    <w:abstractNumId w:val="8"/>
  </w:num>
  <w:num w:numId="7">
    <w:abstractNumId w:val="14"/>
  </w:num>
  <w:num w:numId="8">
    <w:abstractNumId w:val="5"/>
  </w:num>
  <w:num w:numId="9">
    <w:abstractNumId w:val="20"/>
  </w:num>
  <w:num w:numId="10">
    <w:abstractNumId w:val="19"/>
  </w:num>
  <w:num w:numId="11">
    <w:abstractNumId w:val="6"/>
  </w:num>
  <w:num w:numId="12">
    <w:abstractNumId w:val="3"/>
  </w:num>
  <w:num w:numId="13">
    <w:abstractNumId w:val="9"/>
  </w:num>
  <w:num w:numId="14">
    <w:abstractNumId w:val="23"/>
  </w:num>
  <w:num w:numId="15">
    <w:abstractNumId w:val="1"/>
  </w:num>
  <w:num w:numId="16">
    <w:abstractNumId w:val="2"/>
  </w:num>
  <w:num w:numId="17">
    <w:abstractNumId w:val="4"/>
  </w:num>
  <w:num w:numId="18">
    <w:abstractNumId w:val="18"/>
  </w:num>
  <w:num w:numId="19">
    <w:abstractNumId w:val="21"/>
  </w:num>
  <w:num w:numId="20">
    <w:abstractNumId w:val="17"/>
  </w:num>
  <w:num w:numId="21">
    <w:abstractNumId w:val="22"/>
  </w:num>
  <w:num w:numId="22">
    <w:abstractNumId w:val="0"/>
  </w:num>
  <w:num w:numId="23">
    <w:abstractNumId w:val="7"/>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TRhZGU3N2YxY2M4M2NkZDc2YmIwMjVmYTI4MjkifQ=="/>
  </w:docVars>
  <w:rsids>
    <w:rsidRoot w:val="0056528B"/>
    <w:rsid w:val="00027A2C"/>
    <w:rsid w:val="0056528B"/>
    <w:rsid w:val="00863B59"/>
    <w:rsid w:val="00B11A53"/>
    <w:rsid w:val="00B56AF1"/>
    <w:rsid w:val="00C57A53"/>
    <w:rsid w:val="00D75F5F"/>
    <w:rsid w:val="00EC2C04"/>
    <w:rsid w:val="012B1219"/>
    <w:rsid w:val="01491172"/>
    <w:rsid w:val="016A5229"/>
    <w:rsid w:val="01C3203E"/>
    <w:rsid w:val="02EA0A37"/>
    <w:rsid w:val="064323ED"/>
    <w:rsid w:val="065E2E82"/>
    <w:rsid w:val="07D2651D"/>
    <w:rsid w:val="07FE6143"/>
    <w:rsid w:val="08403A8C"/>
    <w:rsid w:val="085E0942"/>
    <w:rsid w:val="09155A79"/>
    <w:rsid w:val="09F5224A"/>
    <w:rsid w:val="0AD46E2E"/>
    <w:rsid w:val="0B191FE2"/>
    <w:rsid w:val="0B2608DC"/>
    <w:rsid w:val="0DB274EC"/>
    <w:rsid w:val="0E6265C1"/>
    <w:rsid w:val="0E8571E9"/>
    <w:rsid w:val="0F4E1CE6"/>
    <w:rsid w:val="0FCB77DB"/>
    <w:rsid w:val="107A6B0B"/>
    <w:rsid w:val="10C03B1A"/>
    <w:rsid w:val="11933EF1"/>
    <w:rsid w:val="124E6541"/>
    <w:rsid w:val="13032D77"/>
    <w:rsid w:val="1371067C"/>
    <w:rsid w:val="137B79FA"/>
    <w:rsid w:val="15D00040"/>
    <w:rsid w:val="15E46F00"/>
    <w:rsid w:val="161E2B38"/>
    <w:rsid w:val="16C62342"/>
    <w:rsid w:val="17494692"/>
    <w:rsid w:val="192253EA"/>
    <w:rsid w:val="19983CA9"/>
    <w:rsid w:val="19B81B8B"/>
    <w:rsid w:val="1A16152D"/>
    <w:rsid w:val="1A7F74B5"/>
    <w:rsid w:val="1AEC0D6E"/>
    <w:rsid w:val="1B4E4FF8"/>
    <w:rsid w:val="1BF20D44"/>
    <w:rsid w:val="1C4F7E17"/>
    <w:rsid w:val="1C8447FA"/>
    <w:rsid w:val="1DC502D3"/>
    <w:rsid w:val="1EA27102"/>
    <w:rsid w:val="1EC02CB4"/>
    <w:rsid w:val="20F26546"/>
    <w:rsid w:val="21210A4D"/>
    <w:rsid w:val="226D0DD3"/>
    <w:rsid w:val="2298179E"/>
    <w:rsid w:val="2341634B"/>
    <w:rsid w:val="256040C9"/>
    <w:rsid w:val="26450D58"/>
    <w:rsid w:val="272C1927"/>
    <w:rsid w:val="28AC4BE6"/>
    <w:rsid w:val="28D52ADE"/>
    <w:rsid w:val="29000E95"/>
    <w:rsid w:val="2B1E402C"/>
    <w:rsid w:val="2DA83DCF"/>
    <w:rsid w:val="2EBB4D79"/>
    <w:rsid w:val="2F02634B"/>
    <w:rsid w:val="2FB0486B"/>
    <w:rsid w:val="30E43FCF"/>
    <w:rsid w:val="30F121BE"/>
    <w:rsid w:val="31457899"/>
    <w:rsid w:val="31540F86"/>
    <w:rsid w:val="31B66076"/>
    <w:rsid w:val="330A0480"/>
    <w:rsid w:val="335B720B"/>
    <w:rsid w:val="337136C1"/>
    <w:rsid w:val="33890C8F"/>
    <w:rsid w:val="34743C53"/>
    <w:rsid w:val="355D2576"/>
    <w:rsid w:val="35612BC4"/>
    <w:rsid w:val="374D4017"/>
    <w:rsid w:val="38044B88"/>
    <w:rsid w:val="3945176F"/>
    <w:rsid w:val="396E3BBD"/>
    <w:rsid w:val="39700927"/>
    <w:rsid w:val="39D06695"/>
    <w:rsid w:val="3A0F4C19"/>
    <w:rsid w:val="3A5533BA"/>
    <w:rsid w:val="3AA82343"/>
    <w:rsid w:val="3AF06488"/>
    <w:rsid w:val="3C7D53DE"/>
    <w:rsid w:val="3D0106F2"/>
    <w:rsid w:val="3E0E7582"/>
    <w:rsid w:val="3E7C700F"/>
    <w:rsid w:val="3FC868B9"/>
    <w:rsid w:val="411C75E7"/>
    <w:rsid w:val="424741EF"/>
    <w:rsid w:val="42A6360C"/>
    <w:rsid w:val="42B37C55"/>
    <w:rsid w:val="43051E31"/>
    <w:rsid w:val="43926F6F"/>
    <w:rsid w:val="453676BF"/>
    <w:rsid w:val="4560329C"/>
    <w:rsid w:val="45A73923"/>
    <w:rsid w:val="461A34D5"/>
    <w:rsid w:val="48C447EC"/>
    <w:rsid w:val="4BBA3C84"/>
    <w:rsid w:val="4C8C143F"/>
    <w:rsid w:val="4CF86677"/>
    <w:rsid w:val="4D596375"/>
    <w:rsid w:val="4D9228C7"/>
    <w:rsid w:val="4E994025"/>
    <w:rsid w:val="528D20F2"/>
    <w:rsid w:val="52927B75"/>
    <w:rsid w:val="52B21B59"/>
    <w:rsid w:val="533920AE"/>
    <w:rsid w:val="534D5EEF"/>
    <w:rsid w:val="535661BA"/>
    <w:rsid w:val="53861634"/>
    <w:rsid w:val="53D048C3"/>
    <w:rsid w:val="54201323"/>
    <w:rsid w:val="54745081"/>
    <w:rsid w:val="556709D9"/>
    <w:rsid w:val="557A2512"/>
    <w:rsid w:val="56630D18"/>
    <w:rsid w:val="580F636C"/>
    <w:rsid w:val="58B9632B"/>
    <w:rsid w:val="59361347"/>
    <w:rsid w:val="5B2B61CE"/>
    <w:rsid w:val="5B4E6197"/>
    <w:rsid w:val="5BAD6243"/>
    <w:rsid w:val="5CFA0384"/>
    <w:rsid w:val="5D5905FD"/>
    <w:rsid w:val="5D822C5A"/>
    <w:rsid w:val="5DD028E5"/>
    <w:rsid w:val="5E3D49B7"/>
    <w:rsid w:val="5E421FD0"/>
    <w:rsid w:val="5F4B4E1A"/>
    <w:rsid w:val="5F741D62"/>
    <w:rsid w:val="5FC01D30"/>
    <w:rsid w:val="60C13B01"/>
    <w:rsid w:val="60EE7CAF"/>
    <w:rsid w:val="6192252E"/>
    <w:rsid w:val="619C1A0A"/>
    <w:rsid w:val="63CE3B0B"/>
    <w:rsid w:val="64185BA3"/>
    <w:rsid w:val="6516671F"/>
    <w:rsid w:val="651D7AAE"/>
    <w:rsid w:val="679B47E6"/>
    <w:rsid w:val="684A27BD"/>
    <w:rsid w:val="68A6624A"/>
    <w:rsid w:val="68C43312"/>
    <w:rsid w:val="68EF4DF9"/>
    <w:rsid w:val="69537658"/>
    <w:rsid w:val="69DE533E"/>
    <w:rsid w:val="6AA9348B"/>
    <w:rsid w:val="6E423966"/>
    <w:rsid w:val="70287BEB"/>
    <w:rsid w:val="70406237"/>
    <w:rsid w:val="7078366B"/>
    <w:rsid w:val="71C12E4F"/>
    <w:rsid w:val="75102D70"/>
    <w:rsid w:val="756D678C"/>
    <w:rsid w:val="75B91A18"/>
    <w:rsid w:val="75D93E7D"/>
    <w:rsid w:val="76047015"/>
    <w:rsid w:val="76E06023"/>
    <w:rsid w:val="773D04CB"/>
    <w:rsid w:val="77743144"/>
    <w:rsid w:val="784B5870"/>
    <w:rsid w:val="79246A5D"/>
    <w:rsid w:val="79A573CD"/>
    <w:rsid w:val="79BD1E56"/>
    <w:rsid w:val="7AB14AD0"/>
    <w:rsid w:val="7BA31A13"/>
    <w:rsid w:val="7CDC740A"/>
    <w:rsid w:val="7E3571E8"/>
    <w:rsid w:val="7EF1248C"/>
    <w:rsid w:val="7F6F2E34"/>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5"/>
    <w:qFormat/>
    <w:uiPriority w:val="0"/>
    <w:pPr>
      <w:keepNext/>
      <w:outlineLvl w:val="0"/>
    </w:pPr>
    <w:rPr>
      <w:rFonts w:ascii="仿宋_GB2312" w:hAnsi="宋体" w:eastAsia="仿宋_GB2312"/>
      <w:b/>
      <w:kern w:val="2"/>
      <w:sz w:val="32"/>
    </w:rPr>
  </w:style>
  <w:style w:type="paragraph" w:styleId="2">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unhideWhenUsed/>
    <w:qFormat/>
    <w:uiPriority w:val="0"/>
    <w:pPr>
      <w:spacing w:beforeAutospacing="1" w:afterAutospacing="1"/>
      <w:jc w:val="left"/>
      <w:outlineLvl w:val="2"/>
    </w:pPr>
    <w:rPr>
      <w:rFonts w:hint="eastAsia" w:hAnsi="宋体"/>
      <w:b/>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annotation text"/>
    <w:basedOn w:val="1"/>
    <w:link w:val="46"/>
    <w:unhideWhenUsed/>
    <w:qFormat/>
    <w:uiPriority w:val="99"/>
    <w:pPr>
      <w:autoSpaceDE w:val="0"/>
      <w:autoSpaceDN w:val="0"/>
      <w:adjustRightInd w:val="0"/>
      <w:jc w:val="left"/>
    </w:pPr>
    <w:rPr>
      <w:rFonts w:ascii="Times New Roman"/>
    </w:rPr>
  </w:style>
  <w:style w:type="paragraph" w:styleId="9">
    <w:name w:val="Body Text 3"/>
    <w:basedOn w:val="1"/>
    <w:qFormat/>
    <w:uiPriority w:val="0"/>
    <w:pPr>
      <w:jc w:val="center"/>
    </w:pPr>
    <w:rPr>
      <w:rFonts w:ascii="Times New Roman"/>
      <w:b/>
      <w:spacing w:val="-20"/>
      <w:w w:val="110"/>
      <w:kern w:val="2"/>
      <w:sz w:val="52"/>
    </w:rPr>
  </w:style>
  <w:style w:type="paragraph" w:styleId="10">
    <w:name w:val="Body Text"/>
    <w:basedOn w:val="1"/>
    <w:next w:val="1"/>
    <w:qFormat/>
    <w:uiPriority w:val="0"/>
    <w:pPr>
      <w:spacing w:after="120"/>
    </w:pPr>
    <w:rPr>
      <w:rFonts w:ascii="Calibri"/>
      <w:kern w:val="2"/>
      <w:sz w:val="21"/>
    </w:rPr>
  </w:style>
  <w:style w:type="paragraph" w:styleId="11">
    <w:name w:val="Body Text Indent"/>
    <w:basedOn w:val="1"/>
    <w:next w:val="1"/>
    <w:qFormat/>
    <w:uiPriority w:val="0"/>
    <w:pPr>
      <w:widowControl/>
      <w:ind w:firstLine="652" w:firstLineChars="233"/>
    </w:pPr>
    <w:rPr>
      <w:rFonts w:ascii="Calibri Light"/>
      <w:sz w:val="28"/>
    </w:rPr>
  </w:style>
  <w:style w:type="paragraph" w:styleId="12">
    <w:name w:val="Plain Text"/>
    <w:basedOn w:val="1"/>
    <w:qFormat/>
    <w:uiPriority w:val="0"/>
    <w:rPr>
      <w:rFonts w:hAnsi="Courier New"/>
      <w:kern w:val="2"/>
      <w:sz w:val="21"/>
    </w:rPr>
  </w:style>
  <w:style w:type="paragraph" w:styleId="13">
    <w:name w:val="footer"/>
    <w:basedOn w:val="1"/>
    <w:qFormat/>
    <w:uiPriority w:val="99"/>
    <w:pPr>
      <w:tabs>
        <w:tab w:val="center" w:pos="4153"/>
        <w:tab w:val="right" w:pos="8306"/>
      </w:tabs>
      <w:snapToGrid w:val="0"/>
      <w:jc w:val="left"/>
    </w:pPr>
    <w:rPr>
      <w:rFonts w:ascii="Calibri"/>
      <w:kern w:val="2"/>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5">
    <w:name w:val="toc 1"/>
    <w:basedOn w:val="1"/>
    <w:next w:val="1"/>
    <w:unhideWhenUsed/>
    <w:qFormat/>
    <w:uiPriority w:val="39"/>
  </w:style>
  <w:style w:type="paragraph" w:styleId="16">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hAnsi="宋体"/>
      <w:szCs w:val="24"/>
    </w:rPr>
  </w:style>
  <w:style w:type="paragraph" w:styleId="19">
    <w:name w:val="annotation subject"/>
    <w:basedOn w:val="8"/>
    <w:next w:val="8"/>
    <w:link w:val="47"/>
    <w:qFormat/>
    <w:uiPriority w:val="0"/>
    <w:pPr>
      <w:autoSpaceDE/>
      <w:autoSpaceDN/>
      <w:adjustRightInd/>
    </w:pPr>
    <w:rPr>
      <w:rFonts w:ascii="宋体"/>
      <w:b/>
      <w:bCs/>
    </w:rPr>
  </w:style>
  <w:style w:type="paragraph" w:styleId="20">
    <w:name w:val="Body Text First Indent 2"/>
    <w:basedOn w:val="11"/>
    <w:next w:val="21"/>
    <w:qFormat/>
    <w:uiPriority w:val="99"/>
  </w:style>
  <w:style w:type="paragraph" w:customStyle="1" w:styleId="21">
    <w:name w:val="_Style 3"/>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正文正"/>
    <w:basedOn w:val="1"/>
    <w:qFormat/>
    <w:uiPriority w:val="0"/>
    <w:pPr>
      <w:spacing w:line="560" w:lineRule="exact"/>
      <w:ind w:firstLine="561"/>
    </w:pPr>
    <w:rPr>
      <w:rFonts w:eastAsia="仿宋_GB2312"/>
      <w:sz w:val="28"/>
      <w:szCs w:val="24"/>
    </w:rPr>
  </w:style>
  <w:style w:type="paragraph" w:customStyle="1" w:styleId="29">
    <w:name w:val="列出段落1"/>
    <w:basedOn w:val="1"/>
    <w:qFormat/>
    <w:uiPriority w:val="34"/>
    <w:pPr>
      <w:ind w:firstLine="420" w:firstLineChars="200"/>
    </w:pPr>
    <w:rPr>
      <w:rFonts w:ascii="Calibri" w:hAnsi="Calibri" w:cs="黑体"/>
      <w:szCs w:val="22"/>
    </w:rPr>
  </w:style>
  <w:style w:type="paragraph" w:customStyle="1" w:styleId="30">
    <w:name w:val="TOC 标题1"/>
    <w:basedOn w:val="3"/>
    <w:next w:val="1"/>
    <w:qFormat/>
    <w:uiPriority w:val="99"/>
    <w:pPr>
      <w:spacing w:before="480" w:line="276" w:lineRule="auto"/>
      <w:outlineLvl w:val="9"/>
    </w:pPr>
    <w:rPr>
      <w:rFonts w:ascii="仿宋" w:hAnsi="仿宋" w:eastAsia="仿宋"/>
      <w:color w:val="000000"/>
      <w:kern w:val="0"/>
      <w:szCs w:val="32"/>
    </w:rPr>
  </w:style>
  <w:style w:type="paragraph" w:customStyle="1" w:styleId="31">
    <w:name w:val="MessageHeader"/>
    <w:basedOn w:val="1"/>
    <w:next w:val="32"/>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2">
    <w:name w:val="BodyText"/>
    <w:basedOn w:val="1"/>
    <w:next w:val="1"/>
    <w:qFormat/>
    <w:uiPriority w:val="0"/>
    <w:pPr>
      <w:jc w:val="center"/>
      <w:textAlignment w:val="baseline"/>
    </w:p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5">
    <w:name w:val="标题 1 字符"/>
    <w:link w:val="3"/>
    <w:qFormat/>
    <w:uiPriority w:val="0"/>
    <w:rPr>
      <w:rFonts w:ascii="仿宋_GB2312" w:hAnsi="宋体" w:eastAsia="仿宋_GB2312"/>
      <w:b/>
      <w:kern w:val="2"/>
      <w:sz w:val="32"/>
    </w:rPr>
  </w:style>
  <w:style w:type="paragraph" w:customStyle="1" w:styleId="36">
    <w:name w:val="表格文字中"/>
    <w:basedOn w:val="1"/>
    <w:qFormat/>
    <w:uiPriority w:val="0"/>
    <w:pPr>
      <w:adjustRightInd w:val="0"/>
      <w:snapToGrid w:val="0"/>
      <w:ind w:left="22" w:leftChars="8"/>
      <w:jc w:val="center"/>
    </w:pPr>
    <w:rPr>
      <w:szCs w:val="24"/>
    </w:rPr>
  </w:style>
  <w:style w:type="paragraph" w:customStyle="1" w:styleId="37">
    <w:name w:val="Char1"/>
    <w:basedOn w:val="1"/>
    <w:qFormat/>
    <w:uiPriority w:val="0"/>
    <w:pPr>
      <w:tabs>
        <w:tab w:val="left" w:pos="360"/>
      </w:tabs>
      <w:ind w:left="360" w:hanging="360" w:hangingChars="200"/>
    </w:pPr>
    <w:rPr>
      <w:szCs w:val="24"/>
    </w:rPr>
  </w:style>
  <w:style w:type="paragraph" w:customStyle="1" w:styleId="38">
    <w:name w:val="列出段落11"/>
    <w:basedOn w:val="1"/>
    <w:qFormat/>
    <w:uiPriority w:val="34"/>
    <w:pPr>
      <w:ind w:firstLine="420" w:firstLineChars="200"/>
    </w:pPr>
    <w:rPr>
      <w:rFonts w:ascii="Calibri" w:hAnsi="Calibri"/>
      <w:szCs w:val="22"/>
    </w:rPr>
  </w:style>
  <w:style w:type="paragraph" w:customStyle="1" w:styleId="39">
    <w:name w:val="Table caption|1"/>
    <w:basedOn w:val="1"/>
    <w:qFormat/>
    <w:uiPriority w:val="0"/>
    <w:rPr>
      <w:rFonts w:hAnsi="宋体" w:cs="宋体"/>
      <w:sz w:val="22"/>
      <w:szCs w:val="22"/>
      <w:lang w:val="zh-TW" w:eastAsia="zh-TW" w:bidi="zh-TW"/>
    </w:rPr>
  </w:style>
  <w:style w:type="paragraph" w:customStyle="1" w:styleId="40">
    <w:name w:val="Other|1"/>
    <w:basedOn w:val="1"/>
    <w:qFormat/>
    <w:uiPriority w:val="0"/>
    <w:pPr>
      <w:spacing w:after="100" w:line="446" w:lineRule="auto"/>
      <w:ind w:firstLine="400"/>
    </w:pPr>
    <w:rPr>
      <w:rFonts w:hAnsi="宋体" w:cs="宋体"/>
      <w:sz w:val="22"/>
      <w:szCs w:val="22"/>
      <w:lang w:val="zh-TW" w:eastAsia="zh-TW" w:bidi="zh-TW"/>
    </w:rPr>
  </w:style>
  <w:style w:type="character" w:customStyle="1" w:styleId="41">
    <w:name w:val="font01"/>
    <w:basedOn w:val="24"/>
    <w:qFormat/>
    <w:uiPriority w:val="0"/>
    <w:rPr>
      <w:rFonts w:hint="eastAsia" w:ascii="宋体" w:hAnsi="宋体" w:eastAsia="宋体" w:cs="宋体"/>
      <w:color w:val="000000"/>
      <w:sz w:val="22"/>
      <w:szCs w:val="22"/>
      <w:u w:val="none"/>
    </w:rPr>
  </w:style>
  <w:style w:type="character" w:customStyle="1" w:styleId="42">
    <w:name w:val="font11"/>
    <w:basedOn w:val="24"/>
    <w:qFormat/>
    <w:uiPriority w:val="0"/>
    <w:rPr>
      <w:rFonts w:ascii="微软雅黑" w:hAnsi="微软雅黑" w:eastAsia="微软雅黑" w:cs="微软雅黑"/>
      <w:color w:val="000000"/>
      <w:sz w:val="22"/>
      <w:szCs w:val="22"/>
      <w:u w:val="none"/>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font51"/>
    <w:basedOn w:val="24"/>
    <w:qFormat/>
    <w:uiPriority w:val="0"/>
    <w:rPr>
      <w:rFonts w:hint="eastAsia" w:ascii="宋体" w:hAnsi="宋体" w:eastAsia="宋体" w:cs="宋体"/>
      <w:color w:val="FF0000"/>
      <w:sz w:val="20"/>
      <w:szCs w:val="20"/>
      <w:u w:val="none"/>
    </w:rPr>
  </w:style>
  <w:style w:type="character" w:customStyle="1" w:styleId="45">
    <w:name w:val="font31"/>
    <w:basedOn w:val="24"/>
    <w:qFormat/>
    <w:uiPriority w:val="0"/>
    <w:rPr>
      <w:rFonts w:hint="eastAsia" w:ascii="宋体" w:hAnsi="宋体" w:eastAsia="宋体" w:cs="宋体"/>
      <w:color w:val="000000"/>
      <w:sz w:val="20"/>
      <w:szCs w:val="20"/>
      <w:u w:val="none"/>
    </w:rPr>
  </w:style>
  <w:style w:type="character" w:customStyle="1" w:styleId="46">
    <w:name w:val="批注文字 字符"/>
    <w:basedOn w:val="24"/>
    <w:link w:val="8"/>
    <w:qFormat/>
    <w:uiPriority w:val="99"/>
    <w:rPr>
      <w:sz w:val="24"/>
    </w:rPr>
  </w:style>
  <w:style w:type="character" w:customStyle="1" w:styleId="47">
    <w:name w:val="批注主题 字符"/>
    <w:basedOn w:val="46"/>
    <w:link w:val="19"/>
    <w:qFormat/>
    <w:uiPriority w:val="0"/>
    <w:rPr>
      <w:rFonts w:ascii="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38521</Words>
  <Characters>40486</Characters>
  <Lines>297</Lines>
  <Paragraphs>83</Paragraphs>
  <TotalTime>45</TotalTime>
  <ScaleCrop>false</ScaleCrop>
  <LinksUpToDate>false</LinksUpToDate>
  <CharactersWithSpaces>44361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2022-12-22T09:54:26Z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C346A6AF27EC477FAA3F5B7E52D9F18D</vt:lpwstr>
  </property>
  <property fmtid="{D5CDD505-2E9C-101B-9397-08002B2CF9AE}" pid="4" name="commondata">
    <vt:lpwstr>eyJoZGlkIjoiZWU1ZTk2MTQyODg0ZDk5MTI0YWY4MGUzOGFjOTBhYWIifQ==</vt:lpwstr>
  </property>
</Properties>
</file>