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421" w:firstLineChars="1800"/>
        <w:jc w:val="right"/>
        <w:rPr>
          <w:rFonts w:ascii="仿宋" w:hAnsi="仿宋" w:eastAsia="仿宋" w:cs="楷体"/>
          <w:b/>
          <w:bCs/>
          <w:color w:val="auto"/>
          <w:kern w:val="1"/>
          <w:sz w:val="26"/>
          <w:szCs w:val="26"/>
          <w:highlight w:val="none"/>
        </w:rPr>
      </w:pPr>
      <w:r>
        <w:rPr>
          <w:rFonts w:hint="eastAsia" w:ascii="仿宋" w:hAnsi="仿宋" w:eastAsia="仿宋" w:cs="楷体"/>
          <w:b/>
          <w:color w:val="auto"/>
          <w:sz w:val="30"/>
          <w:szCs w:val="30"/>
          <w:highlight w:val="none"/>
          <w:bdr w:val="single" w:color="auto" w:sz="4" w:space="0"/>
          <w:shd w:val="pct10" w:color="auto" w:fill="FFFFFF"/>
        </w:rPr>
        <w:t>政府采购</w:t>
      </w:r>
    </w:p>
    <w:p>
      <w:pPr>
        <w:pStyle w:val="8"/>
        <w:jc w:val="center"/>
        <w:rPr>
          <w:rFonts w:ascii="仿宋" w:hAnsi="仿宋" w:eastAsia="仿宋" w:cs="楷体"/>
          <w:b/>
          <w:bCs/>
          <w:color w:val="auto"/>
          <w:sz w:val="38"/>
          <w:szCs w:val="38"/>
          <w:highlight w:val="none"/>
          <w:shd w:val="clear" w:color="auto" w:fill="FFFFFF"/>
        </w:rPr>
      </w:pPr>
    </w:p>
    <w:p>
      <w:pPr>
        <w:pStyle w:val="8"/>
        <w:jc w:val="center"/>
        <w:rPr>
          <w:rFonts w:hint="eastAsia" w:asciiTheme="minorEastAsia" w:hAnsiTheme="minorEastAsia" w:eastAsiaTheme="minorEastAsia" w:cstheme="minorEastAsia"/>
          <w:b/>
          <w:bCs/>
          <w:color w:val="auto"/>
          <w:sz w:val="52"/>
          <w:szCs w:val="52"/>
          <w:highlight w:val="none"/>
          <w:shd w:val="clear" w:color="auto" w:fill="FFFFFF"/>
          <w:lang w:eastAsia="zh-CN"/>
        </w:rPr>
      </w:pPr>
      <w:r>
        <w:rPr>
          <w:rFonts w:hint="eastAsia" w:asciiTheme="minorEastAsia" w:hAnsiTheme="minorEastAsia" w:eastAsiaTheme="minorEastAsia" w:cstheme="minorEastAsia"/>
          <w:b/>
          <w:bCs/>
          <w:color w:val="auto"/>
          <w:sz w:val="52"/>
          <w:szCs w:val="52"/>
          <w:highlight w:val="none"/>
          <w:shd w:val="clear" w:color="auto" w:fill="FFFFFF"/>
          <w:lang w:eastAsia="zh-CN"/>
        </w:rPr>
        <w:t>汉中市南郑区林业局第一次全国</w:t>
      </w:r>
    </w:p>
    <w:p>
      <w:pPr>
        <w:pStyle w:val="8"/>
        <w:jc w:val="center"/>
        <w:rPr>
          <w:rFonts w:hint="eastAsia" w:asciiTheme="minorEastAsia" w:hAnsiTheme="minorEastAsia" w:eastAsiaTheme="minorEastAsia" w:cstheme="minorEastAsia"/>
          <w:b/>
          <w:bCs/>
          <w:color w:val="auto"/>
          <w:sz w:val="40"/>
          <w:szCs w:val="40"/>
          <w:highlight w:val="none"/>
          <w:shd w:val="clear" w:color="auto" w:fill="FFFFFF"/>
          <w:lang w:eastAsia="zh-CN"/>
        </w:rPr>
      </w:pPr>
      <w:r>
        <w:rPr>
          <w:rFonts w:hint="eastAsia" w:asciiTheme="minorEastAsia" w:hAnsiTheme="minorEastAsia" w:eastAsiaTheme="minorEastAsia" w:cstheme="minorEastAsia"/>
          <w:b/>
          <w:bCs/>
          <w:color w:val="auto"/>
          <w:sz w:val="52"/>
          <w:szCs w:val="52"/>
          <w:highlight w:val="none"/>
          <w:shd w:val="clear" w:color="auto" w:fill="FFFFFF"/>
          <w:lang w:eastAsia="zh-CN"/>
        </w:rPr>
        <w:t>自然灾害森林火灾风险普查项目</w:t>
      </w:r>
    </w:p>
    <w:p>
      <w:pPr>
        <w:spacing w:line="360" w:lineRule="auto"/>
        <w:jc w:val="center"/>
        <w:rPr>
          <w:rFonts w:hint="eastAsia" w:asciiTheme="minorEastAsia" w:hAnsiTheme="minorEastAsia" w:eastAsiaTheme="minorEastAsia" w:cstheme="minorEastAsia"/>
          <w:b/>
          <w:bCs/>
          <w:color w:val="auto"/>
          <w:kern w:val="1"/>
          <w:sz w:val="50"/>
          <w:szCs w:val="50"/>
          <w:highlight w:val="none"/>
        </w:rPr>
      </w:pPr>
    </w:p>
    <w:p>
      <w:pPr>
        <w:spacing w:line="360" w:lineRule="auto"/>
        <w:jc w:val="center"/>
        <w:rPr>
          <w:rFonts w:hint="eastAsia" w:ascii="方正粗黑宋简体" w:hAnsi="方正粗黑宋简体" w:eastAsia="方正粗黑宋简体" w:cs="方正粗黑宋简体"/>
          <w:b/>
          <w:bCs/>
          <w:color w:val="auto"/>
          <w:kern w:val="1"/>
          <w:sz w:val="50"/>
          <w:szCs w:val="50"/>
          <w:highlight w:val="none"/>
        </w:rPr>
      </w:pPr>
      <w:r>
        <w:rPr>
          <w:rFonts w:hint="eastAsia" w:ascii="方正粗黑宋简体" w:hAnsi="方正粗黑宋简体" w:eastAsia="方正粗黑宋简体" w:cs="方正粗黑宋简体"/>
          <w:b/>
          <w:bCs/>
          <w:color w:val="auto"/>
          <w:kern w:val="1"/>
          <w:sz w:val="50"/>
          <w:szCs w:val="50"/>
          <w:highlight w:val="none"/>
        </w:rPr>
        <w:t>竞争性磋商文件</w:t>
      </w:r>
    </w:p>
    <w:p>
      <w:pPr>
        <w:spacing w:line="480" w:lineRule="auto"/>
        <w:jc w:val="center"/>
        <w:rPr>
          <w:rFonts w:hint="eastAsia" w:asciiTheme="minorEastAsia" w:hAnsiTheme="minorEastAsia" w:eastAsiaTheme="minorEastAsia" w:cstheme="minorEastAsia"/>
          <w:b/>
          <w:bCs/>
          <w:color w:val="auto"/>
          <w:kern w:val="1"/>
          <w:sz w:val="32"/>
          <w:szCs w:val="32"/>
          <w:highlight w:val="none"/>
        </w:rPr>
      </w:pPr>
      <w:r>
        <w:rPr>
          <w:rFonts w:hint="eastAsia" w:asciiTheme="minorEastAsia" w:hAnsiTheme="minorEastAsia" w:eastAsiaTheme="minorEastAsia" w:cstheme="minorEastAsia"/>
          <w:b/>
          <w:bCs/>
          <w:color w:val="auto"/>
          <w:kern w:val="1"/>
          <w:sz w:val="32"/>
          <w:szCs w:val="32"/>
          <w:highlight w:val="none"/>
        </w:rPr>
        <w:t>（项目编号：</w:t>
      </w:r>
      <w:r>
        <w:rPr>
          <w:rFonts w:hint="eastAsia" w:asciiTheme="minorEastAsia" w:hAnsiTheme="minorEastAsia" w:eastAsiaTheme="minorEastAsia" w:cstheme="minorEastAsia"/>
          <w:b/>
          <w:bCs/>
          <w:color w:val="auto"/>
          <w:kern w:val="1"/>
          <w:sz w:val="32"/>
          <w:szCs w:val="32"/>
          <w:highlight w:val="none"/>
          <w:lang w:eastAsia="zh-CN"/>
        </w:rPr>
        <w:t>SXCX-HZ—20220</w:t>
      </w:r>
      <w:r>
        <w:rPr>
          <w:rFonts w:hint="eastAsia" w:asciiTheme="minorEastAsia" w:hAnsiTheme="minorEastAsia" w:eastAsiaTheme="minorEastAsia" w:cstheme="minorEastAsia"/>
          <w:b/>
          <w:bCs/>
          <w:color w:val="auto"/>
          <w:kern w:val="1"/>
          <w:sz w:val="32"/>
          <w:szCs w:val="32"/>
          <w:highlight w:val="none"/>
          <w:lang w:val="en-US" w:eastAsia="zh-CN"/>
        </w:rPr>
        <w:t>601</w:t>
      </w:r>
      <w:r>
        <w:rPr>
          <w:rFonts w:hint="eastAsia" w:asciiTheme="minorEastAsia" w:hAnsiTheme="minorEastAsia" w:eastAsiaTheme="minorEastAsia" w:cstheme="minorEastAsia"/>
          <w:b/>
          <w:bCs/>
          <w:color w:val="auto"/>
          <w:kern w:val="1"/>
          <w:sz w:val="32"/>
          <w:szCs w:val="32"/>
          <w:highlight w:val="none"/>
        </w:rPr>
        <w:t>）</w:t>
      </w:r>
    </w:p>
    <w:p>
      <w:pPr>
        <w:spacing w:line="480" w:lineRule="auto"/>
        <w:rPr>
          <w:rFonts w:hint="eastAsia" w:asciiTheme="minorEastAsia" w:hAnsiTheme="minorEastAsia" w:eastAsiaTheme="minorEastAsia" w:cstheme="minorEastAsia"/>
          <w:color w:val="auto"/>
          <w:sz w:val="32"/>
          <w:szCs w:val="32"/>
          <w:highlight w:val="none"/>
        </w:rPr>
      </w:pPr>
    </w:p>
    <w:p>
      <w:pPr>
        <w:pStyle w:val="17"/>
        <w:ind w:firstLine="1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drawing>
          <wp:anchor distT="0" distB="0" distL="114300" distR="114300" simplePos="0" relativeHeight="251661312" behindDoc="0" locked="0" layoutInCell="1" allowOverlap="1">
            <wp:simplePos x="0" y="0"/>
            <wp:positionH relativeFrom="column">
              <wp:posOffset>2068195</wp:posOffset>
            </wp:positionH>
            <wp:positionV relativeFrom="paragraph">
              <wp:posOffset>110490</wp:posOffset>
            </wp:positionV>
            <wp:extent cx="1481455" cy="1318260"/>
            <wp:effectExtent l="0" t="0" r="4445" b="15240"/>
            <wp:wrapNone/>
            <wp:docPr id="8" name="图片 8" descr="长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长信LOGO"/>
                    <pic:cNvPicPr>
                      <a:picLocks noChangeAspect="1"/>
                    </pic:cNvPicPr>
                  </pic:nvPicPr>
                  <pic:blipFill>
                    <a:blip r:embed="rId11"/>
                    <a:stretch>
                      <a:fillRect/>
                    </a:stretch>
                  </pic:blipFill>
                  <pic:spPr>
                    <a:xfrm>
                      <a:off x="0" y="0"/>
                      <a:ext cx="1481455" cy="1318260"/>
                    </a:xfrm>
                    <a:prstGeom prst="rect">
                      <a:avLst/>
                    </a:prstGeom>
                  </pic:spPr>
                </pic:pic>
              </a:graphicData>
            </a:graphic>
          </wp:anchor>
        </w:drawing>
      </w:r>
    </w:p>
    <w:p>
      <w:pPr>
        <w:pStyle w:val="18"/>
        <w:rPr>
          <w:rFonts w:hint="eastAsia" w:asciiTheme="minorEastAsia" w:hAnsiTheme="minorEastAsia" w:eastAsiaTheme="minorEastAsia" w:cstheme="minorEastAsia"/>
          <w:color w:val="auto"/>
          <w:highlight w:val="none"/>
          <w:lang w:eastAsia="zh-CN"/>
        </w:rPr>
      </w:pPr>
    </w:p>
    <w:p>
      <w:pPr>
        <w:pStyle w:val="18"/>
        <w:rPr>
          <w:rFonts w:hint="eastAsia" w:asciiTheme="minorEastAsia" w:hAnsiTheme="minorEastAsia" w:eastAsiaTheme="minorEastAsia" w:cstheme="minorEastAsia"/>
          <w:color w:val="auto"/>
          <w:highlight w:val="none"/>
        </w:rPr>
      </w:pPr>
    </w:p>
    <w:p>
      <w:pPr>
        <w:pStyle w:val="18"/>
        <w:rPr>
          <w:rFonts w:hint="eastAsia" w:asciiTheme="minorEastAsia" w:hAnsiTheme="minorEastAsia" w:eastAsiaTheme="minorEastAsia" w:cstheme="minorEastAsia"/>
          <w:color w:val="auto"/>
          <w:highlight w:val="none"/>
        </w:rPr>
      </w:pPr>
    </w:p>
    <w:p>
      <w:pPr>
        <w:pStyle w:val="18"/>
        <w:rPr>
          <w:rFonts w:hint="eastAsia" w:asciiTheme="minorEastAsia" w:hAnsiTheme="minorEastAsia" w:eastAsiaTheme="minorEastAsia" w:cstheme="minorEastAsia"/>
          <w:color w:val="auto"/>
          <w:highlight w:val="none"/>
        </w:rPr>
      </w:pPr>
    </w:p>
    <w:p>
      <w:pPr>
        <w:pStyle w:val="18"/>
        <w:rPr>
          <w:rFonts w:hint="eastAsia" w:asciiTheme="minorEastAsia" w:hAnsiTheme="minorEastAsia" w:eastAsiaTheme="minorEastAsia" w:cstheme="minorEastAsia"/>
          <w:color w:val="auto"/>
          <w:highlight w:val="none"/>
        </w:rPr>
      </w:pPr>
    </w:p>
    <w:p>
      <w:pPr>
        <w:pStyle w:val="18"/>
        <w:rPr>
          <w:rFonts w:hint="eastAsia" w:asciiTheme="minorEastAsia" w:hAnsiTheme="minorEastAsia" w:eastAsiaTheme="minorEastAsia" w:cstheme="minorEastAsia"/>
          <w:color w:val="auto"/>
          <w:highlight w:val="none"/>
        </w:rPr>
      </w:pPr>
    </w:p>
    <w:p>
      <w:pPr>
        <w:pStyle w:val="18"/>
        <w:rPr>
          <w:rFonts w:hint="eastAsia" w:asciiTheme="minorEastAsia" w:hAnsiTheme="minorEastAsia" w:eastAsiaTheme="minorEastAsia" w:cstheme="minorEastAsia"/>
          <w:color w:val="auto"/>
          <w:highlight w:val="none"/>
        </w:rPr>
      </w:pPr>
    </w:p>
    <w:p>
      <w:pPr>
        <w:pStyle w:val="18"/>
        <w:rPr>
          <w:rFonts w:hint="eastAsia" w:asciiTheme="minorEastAsia" w:hAnsiTheme="minorEastAsia" w:eastAsiaTheme="minorEastAsia" w:cstheme="minorEastAsia"/>
          <w:color w:val="auto"/>
          <w:highlight w:val="none"/>
        </w:rPr>
      </w:pPr>
    </w:p>
    <w:p>
      <w:pPr>
        <w:pStyle w:val="18"/>
        <w:rPr>
          <w:rFonts w:hint="eastAsia" w:asciiTheme="minorEastAsia" w:hAnsiTheme="minorEastAsia" w:eastAsiaTheme="minorEastAsia" w:cstheme="minorEastAsia"/>
          <w:color w:val="auto"/>
          <w:highlight w:val="none"/>
        </w:rPr>
      </w:pPr>
    </w:p>
    <w:p>
      <w:pPr>
        <w:pStyle w:val="18"/>
        <w:rPr>
          <w:rFonts w:hint="eastAsia" w:asciiTheme="minorEastAsia" w:hAnsiTheme="minorEastAsia" w:eastAsiaTheme="minorEastAsia" w:cstheme="minorEastAsia"/>
          <w:color w:val="auto"/>
          <w:highlight w:val="none"/>
        </w:rPr>
      </w:pPr>
    </w:p>
    <w:p>
      <w:pPr>
        <w:spacing w:line="480" w:lineRule="auto"/>
        <w:ind w:firstLine="964" w:firstLineChars="300"/>
        <w:rPr>
          <w:rFonts w:hint="eastAsia" w:asciiTheme="minorEastAsia" w:hAnsiTheme="minorEastAsia" w:eastAsiaTheme="minorEastAsia" w:cstheme="minorEastAsia"/>
          <w:b/>
          <w:bCs/>
          <w:color w:val="auto"/>
          <w:kern w:val="1"/>
          <w:sz w:val="32"/>
          <w:szCs w:val="32"/>
          <w:highlight w:val="none"/>
          <w:lang w:eastAsia="zh-CN"/>
        </w:rPr>
      </w:pPr>
      <w:r>
        <w:rPr>
          <w:rFonts w:hint="eastAsia" w:asciiTheme="minorEastAsia" w:hAnsiTheme="minorEastAsia" w:eastAsiaTheme="minorEastAsia" w:cstheme="minorEastAsia"/>
          <w:b/>
          <w:bCs/>
          <w:color w:val="auto"/>
          <w:kern w:val="1"/>
          <w:sz w:val="32"/>
          <w:szCs w:val="32"/>
          <w:highlight w:val="none"/>
        </w:rPr>
        <w:t>采   购   人：</w:t>
      </w:r>
      <w:r>
        <w:rPr>
          <w:rFonts w:hint="eastAsia" w:asciiTheme="minorEastAsia" w:hAnsiTheme="minorEastAsia" w:eastAsiaTheme="minorEastAsia" w:cstheme="minorEastAsia"/>
          <w:b/>
          <w:bCs/>
          <w:color w:val="auto"/>
          <w:kern w:val="1"/>
          <w:sz w:val="32"/>
          <w:szCs w:val="32"/>
          <w:highlight w:val="none"/>
          <w:lang w:eastAsia="zh-CN"/>
        </w:rPr>
        <w:t>汉中市南郑区林业局</w:t>
      </w:r>
    </w:p>
    <w:p>
      <w:pPr>
        <w:spacing w:line="480" w:lineRule="auto"/>
        <w:ind w:firstLine="964" w:firstLineChars="300"/>
        <w:rPr>
          <w:rFonts w:hint="eastAsia" w:asciiTheme="minorEastAsia" w:hAnsiTheme="minorEastAsia" w:eastAsiaTheme="minorEastAsia" w:cstheme="minorEastAsia"/>
          <w:b/>
          <w:bCs/>
          <w:color w:val="auto"/>
          <w:kern w:val="1"/>
          <w:sz w:val="32"/>
          <w:szCs w:val="32"/>
          <w:highlight w:val="none"/>
          <w:lang w:eastAsia="zh-CN"/>
        </w:rPr>
      </w:pPr>
      <w:r>
        <w:rPr>
          <w:rFonts w:hint="eastAsia" w:asciiTheme="minorEastAsia" w:hAnsiTheme="minorEastAsia" w:eastAsiaTheme="minorEastAsia" w:cstheme="minorEastAsia"/>
          <w:b/>
          <w:bCs/>
          <w:color w:val="auto"/>
          <w:kern w:val="1"/>
          <w:sz w:val="32"/>
          <w:szCs w:val="32"/>
          <w:highlight w:val="none"/>
        </w:rPr>
        <w:t>采购代理机构：</w:t>
      </w:r>
      <w:r>
        <w:rPr>
          <w:rFonts w:hint="eastAsia" w:asciiTheme="minorEastAsia" w:hAnsiTheme="minorEastAsia" w:eastAsiaTheme="minorEastAsia" w:cstheme="minorEastAsia"/>
          <w:b/>
          <w:bCs/>
          <w:color w:val="auto"/>
          <w:kern w:val="1"/>
          <w:sz w:val="32"/>
          <w:szCs w:val="32"/>
          <w:highlight w:val="none"/>
          <w:lang w:eastAsia="zh-CN"/>
        </w:rPr>
        <w:t>长信项目管理有限公司</w:t>
      </w:r>
    </w:p>
    <w:p>
      <w:pPr>
        <w:spacing w:line="480" w:lineRule="auto"/>
        <w:ind w:firstLine="3092" w:firstLineChars="1100"/>
        <w:rPr>
          <w:rFonts w:hint="eastAsia" w:asciiTheme="minorEastAsia" w:hAnsiTheme="minorEastAsia" w:eastAsiaTheme="minorEastAsia" w:cstheme="minorEastAsia"/>
          <w:b/>
          <w:bCs/>
          <w:color w:val="auto"/>
          <w:kern w:val="1"/>
          <w:sz w:val="32"/>
          <w:szCs w:val="32"/>
          <w:highlight w:val="none"/>
        </w:rPr>
        <w:sectPr>
          <w:footerReference r:id="rId3" w:type="default"/>
          <w:pgSz w:w="11906" w:h="16838"/>
          <w:pgMar w:top="1440" w:right="1800" w:bottom="1440" w:left="1800" w:header="851" w:footer="992" w:gutter="0"/>
          <w:cols w:space="0" w:num="1"/>
          <w:rtlGutter w:val="0"/>
          <w:docGrid w:type="lines" w:linePitch="312" w:charSpace="0"/>
        </w:sectPr>
      </w:pPr>
      <w:r>
        <w:rPr>
          <w:rFonts w:hint="eastAsia" w:asciiTheme="minorEastAsia" w:hAnsiTheme="minorEastAsia" w:eastAsiaTheme="minorEastAsia" w:cstheme="minorEastAsia"/>
          <w:b/>
          <w:bCs/>
          <w:color w:val="auto"/>
          <w:kern w:val="1"/>
          <w:sz w:val="28"/>
          <w:szCs w:val="28"/>
          <w:highlight w:val="none"/>
        </w:rPr>
        <w:t>二〇二二年</w:t>
      </w:r>
      <w:r>
        <w:rPr>
          <w:rFonts w:hint="eastAsia" w:asciiTheme="minorEastAsia" w:hAnsiTheme="minorEastAsia" w:eastAsiaTheme="minorEastAsia" w:cstheme="minorEastAsia"/>
          <w:b/>
          <w:bCs/>
          <w:color w:val="auto"/>
          <w:kern w:val="1"/>
          <w:sz w:val="28"/>
          <w:szCs w:val="28"/>
          <w:highlight w:val="none"/>
          <w:lang w:eastAsia="zh-CN"/>
        </w:rPr>
        <w:t>六</w:t>
      </w:r>
      <w:r>
        <w:rPr>
          <w:rFonts w:hint="eastAsia" w:asciiTheme="minorEastAsia" w:hAnsiTheme="minorEastAsia" w:eastAsiaTheme="minorEastAsia" w:cstheme="minorEastAsia"/>
          <w:b/>
          <w:bCs/>
          <w:color w:val="auto"/>
          <w:kern w:val="1"/>
          <w:sz w:val="28"/>
          <w:szCs w:val="28"/>
          <w:highlight w:val="none"/>
        </w:rPr>
        <w:t>月</w:t>
      </w:r>
    </w:p>
    <w:p>
      <w:pPr>
        <w:pStyle w:val="18"/>
        <w:spacing w:after="0" w:line="360" w:lineRule="auto"/>
        <w:ind w:firstLine="422"/>
        <w:rPr>
          <w:rFonts w:ascii="仿宋" w:hAnsi="仿宋" w:eastAsia="仿宋" w:cs="楷体"/>
          <w:b/>
          <w:color w:val="auto"/>
          <w:sz w:val="32"/>
          <w:szCs w:val="40"/>
          <w:highlight w:val="none"/>
        </w:rPr>
      </w:pPr>
      <w:r>
        <w:rPr>
          <w:rFonts w:hint="eastAsia" w:ascii="仿宋" w:hAnsi="仿宋" w:eastAsia="仿宋" w:cs="楷体"/>
          <w:b/>
          <w:color w:val="auto"/>
          <w:highlight w:val="none"/>
        </w:rPr>
        <w:t xml:space="preserve">            </w:t>
      </w:r>
    </w:p>
    <w:p>
      <w:pPr>
        <w:pStyle w:val="18"/>
        <w:spacing w:after="0" w:line="360" w:lineRule="auto"/>
        <w:ind w:firstLine="2570" w:firstLineChars="800"/>
        <w:rPr>
          <w:rFonts w:ascii="仿宋" w:hAnsi="仿宋" w:eastAsia="仿宋" w:cs="楷体"/>
          <w:b/>
          <w:color w:val="auto"/>
          <w:sz w:val="32"/>
          <w:szCs w:val="32"/>
          <w:highlight w:val="none"/>
        </w:rPr>
      </w:pPr>
      <w:r>
        <w:rPr>
          <w:rFonts w:hint="eastAsia" w:ascii="仿宋" w:hAnsi="仿宋" w:eastAsia="仿宋" w:cs="楷体"/>
          <w:b/>
          <w:color w:val="auto"/>
          <w:sz w:val="32"/>
          <w:szCs w:val="32"/>
          <w:highlight w:val="none"/>
        </w:rPr>
        <w:t xml:space="preserve">  目      录</w:t>
      </w:r>
    </w:p>
    <w:p>
      <w:pPr>
        <w:pStyle w:val="18"/>
        <w:ind w:firstLine="422"/>
        <w:rPr>
          <w:rFonts w:ascii="仿宋" w:hAnsi="仿宋" w:eastAsia="仿宋" w:cs="楷体"/>
          <w:b/>
          <w:color w:val="auto"/>
          <w:highlight w:val="none"/>
        </w:rPr>
      </w:pPr>
    </w:p>
    <w:p>
      <w:pPr>
        <w:pStyle w:val="18"/>
        <w:numPr>
          <w:ilvl w:val="0"/>
          <w:numId w:val="1"/>
        </w:numPr>
        <w:spacing w:after="0" w:line="480" w:lineRule="auto"/>
        <w:ind w:firstLine="560"/>
        <w:rPr>
          <w:rFonts w:ascii="仿宋" w:hAnsi="仿宋" w:eastAsia="仿宋" w:cs="楷体"/>
          <w:bCs/>
          <w:color w:val="auto"/>
          <w:sz w:val="28"/>
          <w:szCs w:val="28"/>
          <w:highlight w:val="none"/>
        </w:rPr>
      </w:pPr>
      <w:r>
        <w:rPr>
          <w:rFonts w:hint="eastAsia" w:ascii="仿宋" w:hAnsi="仿宋" w:eastAsia="仿宋" w:cs="楷体"/>
          <w:bCs/>
          <w:color w:val="auto"/>
          <w:sz w:val="28"/>
          <w:szCs w:val="28"/>
          <w:highlight w:val="none"/>
        </w:rPr>
        <w:t xml:space="preserve">  竞争性磋商公告</w:t>
      </w:r>
    </w:p>
    <w:p>
      <w:pPr>
        <w:pStyle w:val="18"/>
        <w:numPr>
          <w:ilvl w:val="0"/>
          <w:numId w:val="1"/>
        </w:numPr>
        <w:spacing w:after="0" w:line="480" w:lineRule="auto"/>
        <w:ind w:firstLine="560"/>
        <w:rPr>
          <w:rFonts w:ascii="仿宋" w:hAnsi="仿宋" w:eastAsia="仿宋" w:cs="楷体"/>
          <w:bCs/>
          <w:color w:val="auto"/>
          <w:sz w:val="28"/>
          <w:szCs w:val="28"/>
          <w:highlight w:val="none"/>
        </w:rPr>
      </w:pPr>
      <w:r>
        <w:rPr>
          <w:rFonts w:hint="eastAsia" w:ascii="仿宋" w:hAnsi="仿宋" w:eastAsia="仿宋" w:cs="楷体"/>
          <w:bCs/>
          <w:color w:val="auto"/>
          <w:sz w:val="28"/>
          <w:szCs w:val="28"/>
          <w:highlight w:val="none"/>
        </w:rPr>
        <w:t xml:space="preserve">  磋商供应商须知</w:t>
      </w:r>
    </w:p>
    <w:p>
      <w:pPr>
        <w:pStyle w:val="18"/>
        <w:numPr>
          <w:ilvl w:val="0"/>
          <w:numId w:val="1"/>
        </w:numPr>
        <w:spacing w:after="0" w:line="480" w:lineRule="auto"/>
        <w:ind w:firstLine="560"/>
        <w:rPr>
          <w:rFonts w:ascii="仿宋" w:hAnsi="仿宋" w:eastAsia="仿宋" w:cs="楷体"/>
          <w:bCs/>
          <w:color w:val="auto"/>
          <w:sz w:val="28"/>
          <w:szCs w:val="28"/>
          <w:highlight w:val="none"/>
        </w:rPr>
      </w:pPr>
      <w:r>
        <w:rPr>
          <w:rFonts w:hint="eastAsia" w:ascii="仿宋" w:hAnsi="仿宋" w:eastAsia="仿宋" w:cs="楷体"/>
          <w:bCs/>
          <w:color w:val="auto"/>
          <w:sz w:val="28"/>
          <w:szCs w:val="28"/>
          <w:highlight w:val="none"/>
        </w:rPr>
        <w:t xml:space="preserve">  评审办法</w:t>
      </w:r>
    </w:p>
    <w:p>
      <w:pPr>
        <w:pStyle w:val="18"/>
        <w:numPr>
          <w:ilvl w:val="0"/>
          <w:numId w:val="1"/>
        </w:numPr>
        <w:spacing w:after="0" w:line="480" w:lineRule="auto"/>
        <w:ind w:firstLine="560"/>
        <w:rPr>
          <w:rFonts w:ascii="仿宋" w:hAnsi="仿宋" w:eastAsia="仿宋" w:cs="楷体"/>
          <w:bCs/>
          <w:color w:val="auto"/>
          <w:sz w:val="28"/>
          <w:szCs w:val="28"/>
          <w:highlight w:val="none"/>
        </w:rPr>
      </w:pPr>
      <w:r>
        <w:rPr>
          <w:rFonts w:hint="eastAsia" w:ascii="仿宋" w:hAnsi="仿宋" w:eastAsia="仿宋" w:cs="楷体"/>
          <w:bCs/>
          <w:color w:val="auto"/>
          <w:sz w:val="28"/>
          <w:szCs w:val="28"/>
          <w:highlight w:val="none"/>
        </w:rPr>
        <w:t xml:space="preserve">  采购内容及具体要求</w:t>
      </w:r>
    </w:p>
    <w:p>
      <w:pPr>
        <w:pStyle w:val="18"/>
        <w:numPr>
          <w:ilvl w:val="0"/>
          <w:numId w:val="1"/>
        </w:numPr>
        <w:spacing w:after="0" w:line="480" w:lineRule="auto"/>
        <w:ind w:firstLine="560"/>
        <w:rPr>
          <w:rFonts w:ascii="仿宋" w:hAnsi="仿宋" w:eastAsia="仿宋" w:cs="楷体"/>
          <w:bCs/>
          <w:color w:val="auto"/>
          <w:sz w:val="28"/>
          <w:szCs w:val="28"/>
          <w:highlight w:val="none"/>
        </w:rPr>
      </w:pPr>
      <w:r>
        <w:rPr>
          <w:rFonts w:hint="eastAsia" w:ascii="仿宋" w:hAnsi="仿宋" w:eastAsia="仿宋" w:cs="楷体"/>
          <w:bCs/>
          <w:color w:val="auto"/>
          <w:sz w:val="28"/>
          <w:szCs w:val="28"/>
          <w:highlight w:val="none"/>
        </w:rPr>
        <w:t xml:space="preserve">  合同主要条款及格式</w:t>
      </w:r>
    </w:p>
    <w:p>
      <w:pPr>
        <w:pStyle w:val="18"/>
        <w:numPr>
          <w:ilvl w:val="0"/>
          <w:numId w:val="1"/>
        </w:numPr>
        <w:spacing w:after="0" w:line="480" w:lineRule="auto"/>
        <w:ind w:firstLine="560"/>
        <w:rPr>
          <w:rFonts w:ascii="仿宋" w:hAnsi="仿宋" w:eastAsia="仿宋" w:cs="楷体"/>
          <w:bCs/>
          <w:color w:val="auto"/>
          <w:sz w:val="28"/>
          <w:szCs w:val="28"/>
          <w:highlight w:val="none"/>
        </w:rPr>
      </w:pPr>
      <w:r>
        <w:rPr>
          <w:rFonts w:hint="eastAsia" w:ascii="仿宋" w:hAnsi="仿宋" w:eastAsia="仿宋" w:cs="楷体"/>
          <w:bCs/>
          <w:color w:val="auto"/>
          <w:sz w:val="28"/>
          <w:szCs w:val="28"/>
          <w:highlight w:val="none"/>
        </w:rPr>
        <w:t xml:space="preserve">  磋商响应文件格式及构成</w:t>
      </w:r>
    </w:p>
    <w:p>
      <w:pPr>
        <w:pStyle w:val="18"/>
        <w:tabs>
          <w:tab w:val="left" w:pos="5400"/>
        </w:tabs>
        <w:spacing w:after="0" w:line="480" w:lineRule="auto"/>
        <w:ind w:firstLine="422"/>
        <w:rPr>
          <w:rFonts w:ascii="仿宋" w:hAnsi="仿宋" w:eastAsia="仿宋" w:cs="楷体"/>
          <w:b/>
          <w:color w:val="auto"/>
          <w:highlight w:val="none"/>
        </w:rPr>
      </w:pPr>
      <w:r>
        <w:rPr>
          <w:rFonts w:hint="eastAsia" w:ascii="仿宋" w:hAnsi="仿宋" w:eastAsia="仿宋" w:cs="楷体"/>
          <w:b/>
          <w:color w:val="auto"/>
          <w:highlight w:val="none"/>
        </w:rPr>
        <w:tab/>
      </w:r>
    </w:p>
    <w:p>
      <w:pPr>
        <w:pStyle w:val="18"/>
        <w:ind w:firstLine="422"/>
        <w:rPr>
          <w:rFonts w:ascii="仿宋" w:hAnsi="仿宋" w:eastAsia="仿宋" w:cs="楷体"/>
          <w:b/>
          <w:color w:val="auto"/>
          <w:highlight w:val="none"/>
        </w:rPr>
      </w:pPr>
    </w:p>
    <w:p>
      <w:pPr>
        <w:pStyle w:val="18"/>
        <w:ind w:firstLine="422"/>
        <w:rPr>
          <w:rFonts w:ascii="仿宋" w:hAnsi="仿宋" w:eastAsia="仿宋" w:cs="楷体"/>
          <w:b/>
          <w:color w:val="auto"/>
          <w:highlight w:val="none"/>
        </w:rPr>
      </w:pPr>
    </w:p>
    <w:p>
      <w:pPr>
        <w:pStyle w:val="18"/>
        <w:ind w:firstLine="422"/>
        <w:rPr>
          <w:rFonts w:ascii="仿宋" w:hAnsi="仿宋" w:eastAsia="仿宋" w:cs="楷体"/>
          <w:b/>
          <w:color w:val="auto"/>
          <w:highlight w:val="none"/>
        </w:rPr>
      </w:pPr>
    </w:p>
    <w:p>
      <w:pPr>
        <w:pStyle w:val="18"/>
        <w:ind w:firstLine="422"/>
        <w:rPr>
          <w:rFonts w:ascii="仿宋" w:hAnsi="仿宋" w:eastAsia="仿宋" w:cs="楷体"/>
          <w:b/>
          <w:color w:val="auto"/>
          <w:highlight w:val="none"/>
        </w:rPr>
      </w:pPr>
    </w:p>
    <w:p>
      <w:pPr>
        <w:pStyle w:val="18"/>
        <w:ind w:firstLine="422"/>
        <w:rPr>
          <w:rFonts w:ascii="仿宋" w:hAnsi="仿宋" w:eastAsia="仿宋" w:cs="楷体"/>
          <w:b/>
          <w:color w:val="auto"/>
          <w:highlight w:val="none"/>
        </w:rPr>
      </w:pPr>
    </w:p>
    <w:p>
      <w:pPr>
        <w:pStyle w:val="18"/>
        <w:ind w:firstLine="422"/>
        <w:rPr>
          <w:rFonts w:ascii="仿宋" w:hAnsi="仿宋" w:eastAsia="仿宋" w:cs="楷体"/>
          <w:b/>
          <w:color w:val="auto"/>
          <w:highlight w:val="none"/>
        </w:rPr>
      </w:pPr>
    </w:p>
    <w:p>
      <w:pPr>
        <w:pStyle w:val="18"/>
        <w:ind w:firstLine="422"/>
        <w:rPr>
          <w:rFonts w:ascii="仿宋" w:hAnsi="仿宋" w:eastAsia="仿宋" w:cs="楷体"/>
          <w:b/>
          <w:color w:val="auto"/>
          <w:highlight w:val="none"/>
        </w:rPr>
      </w:pPr>
    </w:p>
    <w:p>
      <w:pPr>
        <w:pStyle w:val="18"/>
        <w:ind w:firstLine="422"/>
        <w:rPr>
          <w:rFonts w:ascii="仿宋" w:hAnsi="仿宋" w:eastAsia="仿宋" w:cs="楷体"/>
          <w:b/>
          <w:color w:val="auto"/>
          <w:highlight w:val="none"/>
        </w:rPr>
      </w:pPr>
    </w:p>
    <w:p>
      <w:pPr>
        <w:pStyle w:val="18"/>
        <w:ind w:firstLine="422"/>
        <w:rPr>
          <w:rFonts w:ascii="仿宋" w:hAnsi="仿宋" w:eastAsia="仿宋" w:cs="楷体"/>
          <w:b/>
          <w:color w:val="auto"/>
          <w:highlight w:val="none"/>
        </w:rPr>
      </w:pPr>
    </w:p>
    <w:p>
      <w:pPr>
        <w:pStyle w:val="18"/>
        <w:ind w:firstLine="422"/>
        <w:rPr>
          <w:rFonts w:ascii="仿宋" w:hAnsi="仿宋" w:eastAsia="仿宋" w:cs="楷体"/>
          <w:b/>
          <w:color w:val="auto"/>
          <w:highlight w:val="none"/>
        </w:rPr>
      </w:pPr>
    </w:p>
    <w:p>
      <w:pPr>
        <w:pStyle w:val="18"/>
        <w:ind w:firstLine="422"/>
        <w:rPr>
          <w:rFonts w:ascii="仿宋" w:hAnsi="仿宋" w:eastAsia="仿宋" w:cs="楷体"/>
          <w:b/>
          <w:color w:val="auto"/>
          <w:highlight w:val="none"/>
        </w:rPr>
      </w:pPr>
    </w:p>
    <w:p>
      <w:pPr>
        <w:kinsoku w:val="0"/>
        <w:spacing w:line="360" w:lineRule="auto"/>
        <w:rPr>
          <w:rFonts w:ascii="仿宋" w:hAnsi="仿宋" w:eastAsia="仿宋" w:cs="楷体"/>
          <w:b/>
          <w:color w:val="auto"/>
          <w:sz w:val="32"/>
          <w:szCs w:val="32"/>
          <w:highlight w:val="none"/>
        </w:rPr>
        <w:sectPr>
          <w:headerReference r:id="rId4" w:type="default"/>
          <w:footerReference r:id="rId5" w:type="default"/>
          <w:pgSz w:w="11960" w:h="16880"/>
          <w:pgMar w:top="1440" w:right="1800" w:bottom="1440" w:left="1800" w:header="1043" w:footer="567" w:gutter="0"/>
          <w:pgNumType w:start="1"/>
          <w:cols w:space="720" w:num="1"/>
        </w:sectPr>
      </w:pPr>
      <w:bookmarkStart w:id="0" w:name="_Toc9646"/>
      <w:bookmarkStart w:id="1" w:name="_Toc22020_WPSOffice_Level1"/>
      <w:bookmarkStart w:id="2" w:name="_Toc23192_WPSOffice_Level1"/>
      <w:bookmarkStart w:id="3" w:name="_Toc28216"/>
    </w:p>
    <w:p>
      <w:pPr>
        <w:kinsoku w:val="0"/>
        <w:spacing w:line="360" w:lineRule="auto"/>
        <w:ind w:firstLine="2570" w:firstLineChars="800"/>
        <w:rPr>
          <w:rFonts w:ascii="仿宋" w:hAnsi="仿宋" w:eastAsia="仿宋" w:cs="楷体"/>
          <w:b/>
          <w:color w:val="auto"/>
          <w:szCs w:val="21"/>
          <w:highlight w:val="none"/>
          <w:shd w:val="clear" w:color="auto" w:fill="FFFFFF"/>
        </w:rPr>
      </w:pPr>
      <w:bookmarkStart w:id="4" w:name="_Toc14361"/>
      <w:bookmarkStart w:id="5" w:name="_Toc7007"/>
      <w:r>
        <w:rPr>
          <w:rFonts w:hint="eastAsia" w:ascii="仿宋" w:hAnsi="仿宋" w:eastAsia="仿宋" w:cs="楷体"/>
          <w:b/>
          <w:color w:val="auto"/>
          <w:sz w:val="32"/>
          <w:szCs w:val="32"/>
          <w:highlight w:val="none"/>
        </w:rPr>
        <w:t>第一章  竞争性磋商公告</w:t>
      </w:r>
      <w:bookmarkEnd w:id="0"/>
      <w:bookmarkEnd w:id="1"/>
      <w:bookmarkEnd w:id="2"/>
      <w:bookmarkEnd w:id="3"/>
      <w:bookmarkEnd w:id="4"/>
      <w:bookmarkEnd w:id="5"/>
      <w:bookmarkStart w:id="6" w:name="_Toc14446_WPSOffice_Level1"/>
      <w:bookmarkStart w:id="7" w:name="_Toc32576_WPSOffice_Level1"/>
      <w:bookmarkStart w:id="8" w:name="_Toc20171"/>
      <w:bookmarkStart w:id="9" w:name="_Toc32318"/>
    </w:p>
    <w:p>
      <w:pPr>
        <w:pStyle w:val="16"/>
        <w:spacing w:before="0" w:beforeAutospacing="0" w:after="0" w:afterAutospacing="0" w:line="360" w:lineRule="auto"/>
        <w:ind w:firstLine="1054" w:firstLineChars="500"/>
        <w:rPr>
          <w:rFonts w:ascii="仿宋" w:hAnsi="仿宋" w:eastAsia="仿宋" w:cs="楷体"/>
          <w:b/>
          <w:color w:val="auto"/>
          <w:kern w:val="0"/>
          <w:sz w:val="21"/>
          <w:szCs w:val="21"/>
          <w:highlight w:val="none"/>
          <w:lang w:bidi="ar"/>
        </w:rPr>
      </w:pPr>
      <w:bookmarkStart w:id="10" w:name="_Toc24149"/>
      <w:bookmarkStart w:id="11" w:name="_Toc9819"/>
    </w:p>
    <w:p>
      <w:pPr>
        <w:pStyle w:val="16"/>
        <w:spacing w:before="0" w:beforeAutospacing="0" w:after="0" w:afterAutospacing="0" w:line="360" w:lineRule="auto"/>
        <w:ind w:firstLine="422" w:firstLineChars="200"/>
        <w:rPr>
          <w:rFonts w:ascii="仿宋" w:hAnsi="仿宋" w:eastAsia="仿宋" w:cs="楷体"/>
          <w:b/>
          <w:color w:val="auto"/>
          <w:kern w:val="0"/>
          <w:sz w:val="21"/>
          <w:szCs w:val="21"/>
          <w:highlight w:val="none"/>
          <w:lang w:bidi="ar"/>
        </w:rPr>
      </w:pPr>
      <w:r>
        <w:rPr>
          <w:rFonts w:hint="eastAsia" w:ascii="仿宋" w:hAnsi="仿宋" w:eastAsia="仿宋" w:cs="楷体"/>
          <w:b/>
          <w:color w:val="auto"/>
          <w:kern w:val="0"/>
          <w:sz w:val="21"/>
          <w:szCs w:val="21"/>
          <w:highlight w:val="none"/>
          <w:lang w:eastAsia="zh-CN" w:bidi="ar"/>
        </w:rPr>
        <w:t>汉中市南郑区林业局第一次全国自然灾害森林火灾风险普查项目</w:t>
      </w:r>
      <w:r>
        <w:rPr>
          <w:rFonts w:ascii="仿宋" w:hAnsi="仿宋" w:eastAsia="仿宋" w:cs="楷体"/>
          <w:b/>
          <w:color w:val="auto"/>
          <w:kern w:val="0"/>
          <w:sz w:val="21"/>
          <w:szCs w:val="21"/>
          <w:highlight w:val="none"/>
          <w:lang w:bidi="ar"/>
        </w:rPr>
        <w:t>潜在的供应商可在</w:t>
      </w:r>
      <w:r>
        <w:rPr>
          <w:rFonts w:hint="eastAsia" w:ascii="仿宋" w:hAnsi="仿宋" w:eastAsia="仿宋" w:cs="楷体"/>
          <w:b/>
          <w:color w:val="auto"/>
          <w:kern w:val="0"/>
          <w:sz w:val="21"/>
          <w:szCs w:val="21"/>
          <w:highlight w:val="none"/>
          <w:lang w:eastAsia="zh-CN" w:bidi="ar"/>
        </w:rPr>
        <w:t>（</w:t>
      </w:r>
      <w:r>
        <w:rPr>
          <w:rFonts w:ascii="仿宋" w:hAnsi="仿宋" w:eastAsia="仿宋" w:cs="楷体"/>
          <w:b/>
          <w:color w:val="auto"/>
          <w:kern w:val="0"/>
          <w:sz w:val="21"/>
          <w:szCs w:val="21"/>
          <w:highlight w:val="none"/>
          <w:lang w:bidi="ar"/>
        </w:rPr>
        <w:t>汉中市汉台区前进东路丰辉龙亭园A区9号楼301室</w:t>
      </w:r>
      <w:r>
        <w:rPr>
          <w:rFonts w:hint="eastAsia" w:ascii="仿宋" w:hAnsi="仿宋" w:eastAsia="仿宋" w:cs="楷体"/>
          <w:b/>
          <w:color w:val="auto"/>
          <w:kern w:val="0"/>
          <w:sz w:val="21"/>
          <w:szCs w:val="21"/>
          <w:highlight w:val="none"/>
          <w:lang w:eastAsia="zh-CN" w:bidi="ar"/>
        </w:rPr>
        <w:t>）</w:t>
      </w:r>
      <w:r>
        <w:rPr>
          <w:rFonts w:ascii="仿宋" w:hAnsi="仿宋" w:eastAsia="仿宋" w:cs="楷体"/>
          <w:b/>
          <w:color w:val="auto"/>
          <w:kern w:val="0"/>
          <w:sz w:val="21"/>
          <w:szCs w:val="21"/>
          <w:highlight w:val="none"/>
          <w:lang w:bidi="ar"/>
        </w:rPr>
        <w:t>获取采购文件，并于</w:t>
      </w:r>
      <w:r>
        <w:rPr>
          <w:rFonts w:hint="eastAsia" w:ascii="仿宋" w:hAnsi="仿宋" w:eastAsia="仿宋" w:cs="楷体"/>
          <w:color w:val="auto"/>
          <w:sz w:val="21"/>
          <w:szCs w:val="21"/>
          <w:highlight w:val="none"/>
          <w:u w:val="single"/>
          <w:lang w:val="zh-CN"/>
        </w:rPr>
        <w:t>2022年6月23日上午9:00</w:t>
      </w:r>
      <w:r>
        <w:rPr>
          <w:rFonts w:hint="eastAsia" w:ascii="仿宋" w:hAnsi="仿宋" w:eastAsia="仿宋" w:cs="楷体"/>
          <w:color w:val="auto"/>
          <w:sz w:val="21"/>
          <w:szCs w:val="21"/>
          <w:highlight w:val="none"/>
          <w:lang w:val="zh-CN"/>
        </w:rPr>
        <w:t>（北京时间）</w:t>
      </w:r>
      <w:r>
        <w:rPr>
          <w:rFonts w:ascii="仿宋" w:hAnsi="仿宋" w:eastAsia="仿宋" w:cs="楷体"/>
          <w:b/>
          <w:color w:val="auto"/>
          <w:kern w:val="0"/>
          <w:sz w:val="21"/>
          <w:szCs w:val="21"/>
          <w:highlight w:val="none"/>
          <w:lang w:bidi="ar"/>
        </w:rPr>
        <w:t>前递交</w:t>
      </w:r>
      <w:r>
        <w:rPr>
          <w:rFonts w:hint="eastAsia" w:ascii="仿宋" w:hAnsi="仿宋" w:eastAsia="仿宋" w:cs="楷体"/>
          <w:b/>
          <w:color w:val="auto"/>
          <w:kern w:val="0"/>
          <w:sz w:val="21"/>
          <w:szCs w:val="21"/>
          <w:highlight w:val="none"/>
          <w:lang w:bidi="ar"/>
        </w:rPr>
        <w:t>磋商</w:t>
      </w:r>
      <w:r>
        <w:rPr>
          <w:rFonts w:ascii="仿宋" w:hAnsi="仿宋" w:eastAsia="仿宋" w:cs="楷体"/>
          <w:b/>
          <w:color w:val="auto"/>
          <w:kern w:val="0"/>
          <w:sz w:val="21"/>
          <w:szCs w:val="21"/>
          <w:highlight w:val="none"/>
          <w:lang w:bidi="ar"/>
        </w:rPr>
        <w:t>响应文件</w:t>
      </w:r>
      <w:r>
        <w:rPr>
          <w:rFonts w:hint="eastAsia" w:ascii="仿宋" w:hAnsi="仿宋" w:eastAsia="仿宋" w:cs="楷体"/>
          <w:b/>
          <w:color w:val="auto"/>
          <w:kern w:val="0"/>
          <w:sz w:val="21"/>
          <w:szCs w:val="21"/>
          <w:highlight w:val="none"/>
          <w:lang w:bidi="ar"/>
        </w:rPr>
        <w:t>。</w:t>
      </w:r>
    </w:p>
    <w:p>
      <w:pPr>
        <w:pStyle w:val="16"/>
        <w:spacing w:before="0" w:beforeAutospacing="0" w:after="0" w:afterAutospacing="0" w:line="360" w:lineRule="auto"/>
        <w:ind w:firstLine="422" w:firstLineChars="200"/>
        <w:rPr>
          <w:rFonts w:ascii="仿宋" w:hAnsi="仿宋" w:eastAsia="仿宋" w:cs="楷体"/>
          <w:color w:val="auto"/>
          <w:sz w:val="21"/>
          <w:szCs w:val="21"/>
          <w:highlight w:val="none"/>
        </w:rPr>
      </w:pPr>
      <w:r>
        <w:rPr>
          <w:rFonts w:hint="eastAsia" w:ascii="仿宋" w:hAnsi="仿宋" w:eastAsia="仿宋" w:cs="楷体"/>
          <w:b/>
          <w:color w:val="auto"/>
          <w:kern w:val="0"/>
          <w:sz w:val="21"/>
          <w:szCs w:val="21"/>
          <w:highlight w:val="none"/>
          <w:lang w:bidi="ar"/>
        </w:rPr>
        <w:t>一、项目基本情况：</w:t>
      </w:r>
    </w:p>
    <w:p>
      <w:pPr>
        <w:pStyle w:val="16"/>
        <w:spacing w:before="0" w:beforeAutospacing="0" w:after="0" w:afterAutospacing="0" w:line="360" w:lineRule="auto"/>
        <w:ind w:firstLine="420"/>
        <w:rPr>
          <w:rFonts w:hint="eastAsia" w:ascii="仿宋" w:hAnsi="仿宋" w:eastAsia="仿宋" w:cs="楷体"/>
          <w:color w:val="auto"/>
          <w:sz w:val="21"/>
          <w:szCs w:val="21"/>
          <w:highlight w:val="none"/>
          <w:lang w:eastAsia="zh-CN"/>
        </w:rPr>
      </w:pPr>
      <w:r>
        <w:rPr>
          <w:rFonts w:hint="eastAsia" w:ascii="仿宋" w:hAnsi="仿宋" w:eastAsia="仿宋" w:cs="楷体"/>
          <w:color w:val="auto"/>
          <w:sz w:val="21"/>
          <w:szCs w:val="21"/>
          <w:highlight w:val="none"/>
        </w:rPr>
        <w:t>1、项目编号：</w:t>
      </w:r>
      <w:r>
        <w:rPr>
          <w:rFonts w:hint="eastAsia" w:ascii="仿宋" w:hAnsi="仿宋" w:eastAsia="仿宋" w:cs="楷体"/>
          <w:color w:val="auto"/>
          <w:sz w:val="21"/>
          <w:szCs w:val="21"/>
          <w:highlight w:val="none"/>
          <w:lang w:eastAsia="zh-CN"/>
        </w:rPr>
        <w:t>SXCX-HZ—20220601</w:t>
      </w:r>
    </w:p>
    <w:p>
      <w:pPr>
        <w:pStyle w:val="16"/>
        <w:spacing w:before="0" w:beforeAutospacing="0" w:after="0" w:afterAutospacing="0" w:line="360" w:lineRule="auto"/>
        <w:ind w:firstLine="420"/>
        <w:rPr>
          <w:rFonts w:hint="eastAsia" w:ascii="仿宋" w:hAnsi="仿宋" w:eastAsia="仿宋" w:cs="楷体"/>
          <w:color w:val="auto"/>
          <w:sz w:val="21"/>
          <w:szCs w:val="21"/>
          <w:highlight w:val="none"/>
          <w:lang w:eastAsia="zh-CN"/>
        </w:rPr>
      </w:pPr>
      <w:r>
        <w:rPr>
          <w:rFonts w:hint="eastAsia" w:ascii="仿宋" w:hAnsi="仿宋" w:eastAsia="仿宋" w:cs="楷体"/>
          <w:color w:val="auto"/>
          <w:sz w:val="21"/>
          <w:szCs w:val="21"/>
          <w:highlight w:val="none"/>
        </w:rPr>
        <w:t>2、项目名称：</w:t>
      </w:r>
      <w:r>
        <w:rPr>
          <w:rFonts w:hint="eastAsia" w:ascii="仿宋" w:hAnsi="仿宋" w:eastAsia="仿宋" w:cs="楷体"/>
          <w:color w:val="auto"/>
          <w:sz w:val="21"/>
          <w:szCs w:val="21"/>
          <w:highlight w:val="none"/>
          <w:lang w:eastAsia="zh-CN"/>
        </w:rPr>
        <w:t>汉中市南郑区林业局第一次全国自然灾害森林火灾风险普查项目</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3、预算金额：</w:t>
      </w:r>
      <w:r>
        <w:rPr>
          <w:rFonts w:hint="eastAsia" w:ascii="仿宋" w:hAnsi="仿宋" w:eastAsia="仿宋" w:cs="楷体"/>
          <w:color w:val="auto"/>
          <w:sz w:val="21"/>
          <w:szCs w:val="21"/>
          <w:highlight w:val="none"/>
          <w:lang w:val="en-US" w:eastAsia="zh-CN"/>
        </w:rPr>
        <w:t>1，450，000</w:t>
      </w:r>
      <w:r>
        <w:rPr>
          <w:rFonts w:hint="eastAsia" w:ascii="仿宋" w:hAnsi="仿宋" w:eastAsia="仿宋" w:cs="楷体"/>
          <w:color w:val="auto"/>
          <w:sz w:val="21"/>
          <w:szCs w:val="21"/>
          <w:highlight w:val="none"/>
        </w:rPr>
        <w:t>.00元</w:t>
      </w:r>
    </w:p>
    <w:p>
      <w:pPr>
        <w:pStyle w:val="16"/>
        <w:spacing w:before="0" w:beforeAutospacing="0" w:after="0" w:afterAutospacing="0" w:line="360" w:lineRule="auto"/>
        <w:ind w:firstLine="420"/>
        <w:rPr>
          <w:rFonts w:hint="eastAsia" w:ascii="仿宋" w:hAnsi="仿宋" w:eastAsia="仿宋" w:cs="楷体"/>
          <w:color w:val="auto"/>
          <w:sz w:val="21"/>
          <w:szCs w:val="21"/>
          <w:highlight w:val="none"/>
        </w:rPr>
      </w:pPr>
      <w:r>
        <w:rPr>
          <w:rFonts w:hint="eastAsia" w:ascii="仿宋" w:hAnsi="仿宋" w:eastAsia="仿宋" w:cs="楷体"/>
          <w:color w:val="auto"/>
          <w:sz w:val="21"/>
          <w:szCs w:val="21"/>
          <w:highlight w:val="none"/>
        </w:rPr>
        <w:t>4、最高限价：</w:t>
      </w:r>
      <w:r>
        <w:rPr>
          <w:rFonts w:hint="eastAsia" w:ascii="仿宋" w:hAnsi="仿宋" w:eastAsia="仿宋" w:cs="楷体"/>
          <w:color w:val="auto"/>
          <w:sz w:val="21"/>
          <w:szCs w:val="21"/>
          <w:highlight w:val="none"/>
          <w:lang w:val="en-US" w:eastAsia="zh-CN"/>
        </w:rPr>
        <w:t>1，450，000</w:t>
      </w:r>
      <w:r>
        <w:rPr>
          <w:rFonts w:hint="eastAsia" w:ascii="仿宋" w:hAnsi="仿宋" w:eastAsia="仿宋" w:cs="楷体"/>
          <w:color w:val="auto"/>
          <w:sz w:val="21"/>
          <w:szCs w:val="21"/>
          <w:highlight w:val="none"/>
        </w:rPr>
        <w:t>.00</w:t>
      </w:r>
      <w:r>
        <w:rPr>
          <w:rFonts w:hint="eastAsia" w:ascii="仿宋" w:hAnsi="仿宋" w:eastAsia="仿宋" w:cs="楷体"/>
          <w:color w:val="auto"/>
          <w:sz w:val="21"/>
          <w:szCs w:val="21"/>
          <w:highlight w:val="none"/>
          <w:lang w:eastAsia="zh-CN"/>
        </w:rPr>
        <w:t>元</w:t>
      </w:r>
    </w:p>
    <w:p>
      <w:pPr>
        <w:pStyle w:val="16"/>
        <w:spacing w:before="0" w:beforeAutospacing="0" w:after="0" w:afterAutospacing="0" w:line="360" w:lineRule="auto"/>
        <w:ind w:firstLine="420"/>
        <w:rPr>
          <w:rFonts w:hint="eastAsia" w:ascii="仿宋" w:hAnsi="仿宋" w:eastAsia="仿宋" w:cs="楷体"/>
          <w:color w:val="auto"/>
          <w:sz w:val="21"/>
          <w:szCs w:val="21"/>
          <w:highlight w:val="none"/>
          <w:lang w:eastAsia="zh-CN"/>
        </w:rPr>
      </w:pPr>
      <w:r>
        <w:rPr>
          <w:rFonts w:hint="eastAsia" w:ascii="仿宋" w:hAnsi="仿宋" w:eastAsia="仿宋" w:cs="楷体"/>
          <w:color w:val="auto"/>
          <w:sz w:val="21"/>
          <w:szCs w:val="21"/>
          <w:highlight w:val="none"/>
        </w:rPr>
        <w:t>5、采购需求：</w:t>
      </w:r>
      <w:r>
        <w:rPr>
          <w:rFonts w:hint="eastAsia" w:ascii="仿宋" w:hAnsi="仿宋" w:eastAsia="仿宋" w:cs="楷体"/>
          <w:color w:val="auto"/>
          <w:sz w:val="21"/>
          <w:szCs w:val="21"/>
          <w:highlight w:val="none"/>
          <w:lang w:eastAsia="zh-CN"/>
        </w:rPr>
        <w:t>汉中市南郑区林业局第一次全国自然灾害森林火灾风险普查项目。</w:t>
      </w:r>
      <w:r>
        <w:rPr>
          <w:rFonts w:hint="eastAsia" w:ascii="仿宋" w:hAnsi="仿宋" w:eastAsia="仿宋" w:cs="楷体"/>
          <w:color w:val="auto"/>
          <w:sz w:val="21"/>
          <w:szCs w:val="21"/>
          <w:highlight w:val="none"/>
        </w:rPr>
        <w:t>森林火灾风险普查工作</w:t>
      </w:r>
      <w:r>
        <w:rPr>
          <w:rFonts w:hint="eastAsia" w:ascii="仿宋" w:hAnsi="仿宋" w:eastAsia="仿宋" w:cs="楷体"/>
          <w:color w:val="auto"/>
          <w:kern w:val="2"/>
          <w:sz w:val="21"/>
          <w:szCs w:val="21"/>
          <w:highlight w:val="none"/>
          <w:lang w:val="en-US" w:eastAsia="zh-CN" w:bidi="ar"/>
        </w:rPr>
        <w:t>任务</w:t>
      </w:r>
      <w:r>
        <w:rPr>
          <w:rFonts w:hint="eastAsia" w:ascii="仿宋" w:hAnsi="仿宋" w:eastAsia="仿宋" w:cs="楷体"/>
          <w:color w:val="auto"/>
          <w:sz w:val="21"/>
          <w:szCs w:val="21"/>
          <w:highlight w:val="none"/>
        </w:rPr>
        <w:t>包括</w:t>
      </w:r>
      <w:r>
        <w:rPr>
          <w:rFonts w:hint="eastAsia" w:ascii="仿宋" w:hAnsi="仿宋" w:eastAsia="仿宋" w:cs="楷体"/>
          <w:color w:val="auto"/>
          <w:sz w:val="21"/>
          <w:szCs w:val="21"/>
          <w:highlight w:val="none"/>
          <w:lang w:eastAsia="zh-CN"/>
        </w:rPr>
        <w:t>：</w:t>
      </w:r>
      <w:r>
        <w:rPr>
          <w:rFonts w:hint="eastAsia" w:ascii="仿宋" w:hAnsi="仿宋" w:eastAsia="仿宋" w:cs="楷体"/>
          <w:color w:val="auto"/>
          <w:sz w:val="21"/>
          <w:szCs w:val="21"/>
          <w:highlight w:val="none"/>
        </w:rPr>
        <w:t>①风险要素调查②承灾体数据收集与共享③风险评估与区划④数据库与软件系统建设⑤质量核查与成果汇交。</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6、合同履行期限：</w:t>
      </w:r>
      <w:r>
        <w:rPr>
          <w:rFonts w:hint="eastAsia" w:ascii="仿宋" w:hAnsi="仿宋" w:eastAsia="仿宋" w:cs="楷体"/>
          <w:color w:val="auto"/>
          <w:sz w:val="21"/>
          <w:szCs w:val="21"/>
          <w:highlight w:val="none"/>
          <w:lang w:eastAsia="zh-CN"/>
        </w:rPr>
        <w:t>2022年</w:t>
      </w:r>
      <w:r>
        <w:rPr>
          <w:rFonts w:hint="eastAsia" w:ascii="仿宋" w:hAnsi="仿宋" w:eastAsia="仿宋" w:cs="楷体"/>
          <w:color w:val="auto"/>
          <w:sz w:val="21"/>
          <w:szCs w:val="21"/>
          <w:highlight w:val="none"/>
          <w:lang w:val="en-US" w:eastAsia="zh-CN"/>
        </w:rPr>
        <w:t>6</w:t>
      </w:r>
      <w:r>
        <w:rPr>
          <w:rFonts w:hint="eastAsia" w:ascii="仿宋" w:hAnsi="仿宋" w:eastAsia="仿宋" w:cs="楷体"/>
          <w:color w:val="auto"/>
          <w:sz w:val="21"/>
          <w:szCs w:val="21"/>
          <w:highlight w:val="none"/>
          <w:lang w:eastAsia="zh-CN"/>
        </w:rPr>
        <w:t>月30日至2022年10月30日</w:t>
      </w:r>
      <w:r>
        <w:rPr>
          <w:rFonts w:hint="eastAsia" w:ascii="仿宋" w:hAnsi="仿宋" w:eastAsia="仿宋" w:cs="楷体"/>
          <w:color w:val="auto"/>
          <w:sz w:val="21"/>
          <w:szCs w:val="21"/>
          <w:highlight w:val="none"/>
        </w:rPr>
        <w:t>（具体服务起止日期可随合同签订时间相应顺延）</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7、本项目是否接受联合体投标：否</w:t>
      </w:r>
    </w:p>
    <w:p>
      <w:pPr>
        <w:pStyle w:val="16"/>
        <w:spacing w:before="0" w:beforeAutospacing="0" w:after="0" w:afterAutospacing="0" w:line="360" w:lineRule="auto"/>
        <w:ind w:firstLine="422" w:firstLineChars="200"/>
        <w:rPr>
          <w:rFonts w:ascii="仿宋" w:hAnsi="仿宋" w:eastAsia="仿宋" w:cs="楷体"/>
          <w:color w:val="auto"/>
          <w:sz w:val="21"/>
          <w:szCs w:val="21"/>
          <w:highlight w:val="none"/>
        </w:rPr>
      </w:pPr>
      <w:r>
        <w:rPr>
          <w:rFonts w:hint="eastAsia" w:ascii="仿宋" w:hAnsi="仿宋" w:eastAsia="仿宋" w:cs="楷体"/>
          <w:b/>
          <w:color w:val="auto"/>
          <w:kern w:val="0"/>
          <w:sz w:val="21"/>
          <w:szCs w:val="21"/>
          <w:highlight w:val="none"/>
          <w:lang w:bidi="ar"/>
        </w:rPr>
        <w:t xml:space="preserve">二、 响应供应商的资格要求 </w:t>
      </w:r>
    </w:p>
    <w:p>
      <w:pPr>
        <w:pStyle w:val="16"/>
        <w:spacing w:before="0" w:beforeAutospacing="0" w:after="0" w:afterAutospacing="0" w:line="360" w:lineRule="auto"/>
        <w:ind w:firstLine="422" w:firstLineChars="200"/>
        <w:rPr>
          <w:rFonts w:ascii="仿宋" w:hAnsi="仿宋" w:eastAsia="仿宋" w:cs="楷体"/>
          <w:b/>
          <w:bCs/>
          <w:color w:val="auto"/>
          <w:sz w:val="21"/>
          <w:szCs w:val="21"/>
          <w:highlight w:val="none"/>
        </w:rPr>
      </w:pPr>
      <w:r>
        <w:rPr>
          <w:rFonts w:hint="eastAsia" w:ascii="仿宋" w:hAnsi="仿宋" w:eastAsia="仿宋" w:cs="楷体"/>
          <w:b/>
          <w:bCs/>
          <w:color w:val="auto"/>
          <w:sz w:val="21"/>
          <w:szCs w:val="21"/>
          <w:highlight w:val="none"/>
        </w:rPr>
        <w:t>1、满足《中华人民共和国政府采购法》第二十二条规定；</w:t>
      </w:r>
    </w:p>
    <w:p>
      <w:pPr>
        <w:pStyle w:val="16"/>
        <w:spacing w:before="0" w:beforeAutospacing="0" w:after="0" w:afterAutospacing="0" w:line="360" w:lineRule="auto"/>
        <w:ind w:firstLine="422" w:firstLineChars="200"/>
        <w:rPr>
          <w:rFonts w:hint="eastAsia" w:ascii="仿宋" w:hAnsi="仿宋" w:eastAsia="仿宋" w:cs="楷体"/>
          <w:b/>
          <w:bCs/>
          <w:color w:val="auto"/>
          <w:sz w:val="21"/>
          <w:szCs w:val="21"/>
          <w:highlight w:val="none"/>
        </w:rPr>
      </w:pPr>
      <w:r>
        <w:rPr>
          <w:rFonts w:hint="eastAsia" w:ascii="仿宋" w:hAnsi="仿宋" w:eastAsia="仿宋" w:cs="楷体"/>
          <w:b/>
          <w:bCs/>
          <w:color w:val="auto"/>
          <w:sz w:val="21"/>
          <w:szCs w:val="21"/>
          <w:highlight w:val="none"/>
        </w:rPr>
        <w:t>2、落实政府采购政策需满足的资格要求：</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依据《中华人民共和国政府采购法》和《中华人民共和国政府采购实施条例》的有关规定，落实政府采购“优先购买节能环保产品、扶持小微企业、监狱企业、福利企业”等相关政策。 </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①《政府采购促进中小企业发展暂行办法》（财库〔2020〕46号）； </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②《财政部司法部关于政府采购支持监狱企业发展有关问题的通知》（财库〔2014〕68号）； </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③《国务院办公厅关于建立政府强制采购节能产品制度的通知》（国办发〔2007〕51号）； </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④《节能产品政府采购实施意见》（财库[2004]185号）； </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⑤《环境标志产品政府采购实施的意见》（财库[2006]90号）； </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⑥《三部门联合发布关于促进残疾人就业政府采购政策的通知》（财库[2017]141号）；</w:t>
      </w:r>
    </w:p>
    <w:p>
      <w:pPr>
        <w:pStyle w:val="16"/>
        <w:spacing w:before="0" w:beforeAutospacing="0" w:after="0" w:afterAutospacing="0" w:line="360" w:lineRule="auto"/>
        <w:ind w:firstLine="420" w:firstLineChars="200"/>
        <w:rPr>
          <w:rFonts w:hint="eastAsia" w:ascii="仿宋" w:hAnsi="仿宋" w:eastAsia="仿宋" w:cs="楷体"/>
          <w:color w:val="auto"/>
          <w:sz w:val="21"/>
          <w:szCs w:val="21"/>
          <w:highlight w:val="none"/>
        </w:rPr>
      </w:pPr>
      <w:r>
        <w:rPr>
          <w:rFonts w:hint="eastAsia" w:ascii="仿宋" w:hAnsi="仿宋" w:eastAsia="仿宋" w:cs="楷体"/>
          <w:color w:val="auto"/>
          <w:sz w:val="21"/>
          <w:szCs w:val="21"/>
          <w:highlight w:val="none"/>
        </w:rPr>
        <w:t>⑦《财政部发展改革委生态环境部市场监管总局关于调整优化节能产品、环境标志产品政府采购执行机制的通知》（财库〔2019〕9号）。</w:t>
      </w:r>
    </w:p>
    <w:p>
      <w:pPr>
        <w:pStyle w:val="16"/>
        <w:spacing w:before="0" w:beforeAutospacing="0" w:after="0" w:afterAutospacing="0" w:line="360" w:lineRule="auto"/>
        <w:ind w:firstLine="422" w:firstLineChars="200"/>
        <w:rPr>
          <w:rFonts w:ascii="仿宋" w:hAnsi="仿宋" w:eastAsia="仿宋" w:cs="楷体"/>
          <w:b/>
          <w:bCs/>
          <w:color w:val="auto"/>
          <w:sz w:val="21"/>
          <w:szCs w:val="21"/>
          <w:highlight w:val="none"/>
        </w:rPr>
      </w:pPr>
      <w:r>
        <w:rPr>
          <w:rFonts w:hint="eastAsia" w:ascii="仿宋" w:hAnsi="仿宋" w:eastAsia="仿宋" w:cs="楷体"/>
          <w:b/>
          <w:bCs/>
          <w:color w:val="auto"/>
          <w:sz w:val="21"/>
          <w:szCs w:val="21"/>
          <w:highlight w:val="none"/>
        </w:rPr>
        <w:t>3、本项目的特定资格要求：</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①供应商为具有独立承担民事责任能力的法人或其他组织或自然人，并出具营业执照（事业法人证）或证明文件或自然人的身份证明；</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②提供具有财务审计资质单位出具的</w:t>
      </w:r>
      <w:r>
        <w:rPr>
          <w:rFonts w:hint="eastAsia" w:ascii="仿宋" w:hAnsi="仿宋" w:eastAsia="仿宋" w:cs="楷体"/>
          <w:color w:val="auto"/>
          <w:sz w:val="21"/>
          <w:szCs w:val="21"/>
          <w:highlight w:val="none"/>
          <w:lang w:eastAsia="zh-CN"/>
        </w:rPr>
        <w:t>2019年度至今任意一年完整的财务审计报告</w:t>
      </w:r>
      <w:r>
        <w:rPr>
          <w:rFonts w:hint="eastAsia" w:ascii="仿宋" w:hAnsi="仿宋" w:eastAsia="仿宋" w:cs="楷体"/>
          <w:color w:val="auto"/>
          <w:sz w:val="21"/>
          <w:szCs w:val="21"/>
          <w:highlight w:val="none"/>
        </w:rPr>
        <w:t>或开标前六个月内其基本账户银行出具的资信证明（附开户许可证）或政府采购信用担保机构出具的投标担保函；</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③出具具有履行合同所必需的设备和专业技术能力的声明；</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④具有依法缴纳税收的良好记录（提供递交磋商文件截止时间前十二个月内任意一个月的缴纳证明）；</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⑤参加政府采购活动前三年内，在经营活动中没有重大违法记录。</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⑥法定代表人或单位负责人授权书及被授权人身份证（法定代表人或单位负责人直接参加投标除外，但须出示法定代表人或单位负责人身份证及营业执照复印件）；</w:t>
      </w:r>
    </w:p>
    <w:p>
      <w:pPr>
        <w:pStyle w:val="16"/>
        <w:spacing w:before="0" w:beforeAutospacing="0" w:after="0" w:afterAutospacing="0" w:line="360" w:lineRule="auto"/>
        <w:ind w:firstLine="420" w:firstLineChars="200"/>
        <w:rPr>
          <w:rFonts w:hint="eastAsia" w:ascii="仿宋" w:hAnsi="仿宋" w:eastAsia="仿宋" w:cs="楷体"/>
          <w:color w:val="auto"/>
          <w:sz w:val="21"/>
          <w:szCs w:val="21"/>
          <w:highlight w:val="none"/>
        </w:rPr>
      </w:pPr>
      <w:r>
        <w:rPr>
          <w:rFonts w:hint="eastAsia" w:ascii="仿宋" w:hAnsi="仿宋" w:eastAsia="仿宋" w:cs="楷体"/>
          <w:color w:val="auto"/>
          <w:sz w:val="21"/>
          <w:szCs w:val="21"/>
          <w:highlight w:val="none"/>
        </w:rPr>
        <w:t>⑦通过“信用中国”网站(www.creditchina.gov.cn)、中国政府采购网(www.ccgp.gov.cn)等查询相关主体信用记录（不得为“信用中国”网站中列入失信被执行人和重大税收违法案件当事人名单，不得为中国政府采购网政府采购严重违法失信行为记录名单中被财政部门禁止参加政府采购活动），截止时点为磋商文件发售起至投标文件递交截止时间止（提供查询结果网页清晰截图并加盖供应商公章）。</w:t>
      </w:r>
    </w:p>
    <w:p>
      <w:pPr>
        <w:pStyle w:val="18"/>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仿宋" w:hAnsi="仿宋" w:eastAsia="仿宋" w:cs="楷体"/>
          <w:color w:val="auto"/>
          <w:kern w:val="2"/>
          <w:sz w:val="21"/>
          <w:szCs w:val="21"/>
          <w:highlight w:val="none"/>
          <w:lang w:val="en-US" w:eastAsia="zh-CN" w:bidi="ar-SA"/>
        </w:rPr>
      </w:pPr>
      <w:r>
        <w:rPr>
          <w:rFonts w:hint="eastAsia" w:ascii="仿宋" w:hAnsi="仿宋" w:eastAsia="仿宋" w:cs="楷体"/>
          <w:color w:val="auto"/>
          <w:kern w:val="2"/>
          <w:sz w:val="21"/>
          <w:szCs w:val="21"/>
          <w:highlight w:val="none"/>
          <w:lang w:val="en-US" w:eastAsia="zh-CN" w:bidi="ar-SA"/>
        </w:rPr>
        <w:t>⑧具有中国林业建设协会颁发的林业调查规划设计资质丙级及丙级以上。</w:t>
      </w:r>
    </w:p>
    <w:p>
      <w:pPr>
        <w:pStyle w:val="16"/>
        <w:spacing w:before="0" w:beforeAutospacing="0" w:after="0" w:afterAutospacing="0" w:line="360" w:lineRule="auto"/>
        <w:ind w:firstLine="422" w:firstLineChars="200"/>
        <w:rPr>
          <w:rFonts w:ascii="仿宋" w:hAnsi="仿宋" w:eastAsia="仿宋" w:cs="楷体"/>
          <w:color w:val="auto"/>
          <w:sz w:val="21"/>
          <w:szCs w:val="21"/>
          <w:highlight w:val="none"/>
        </w:rPr>
      </w:pPr>
      <w:r>
        <w:rPr>
          <w:rFonts w:hint="eastAsia" w:ascii="仿宋" w:hAnsi="仿宋" w:eastAsia="仿宋" w:cs="楷体"/>
          <w:b/>
          <w:color w:val="auto"/>
          <w:kern w:val="0"/>
          <w:sz w:val="21"/>
          <w:szCs w:val="21"/>
          <w:highlight w:val="none"/>
          <w:lang w:bidi="ar"/>
        </w:rPr>
        <w:t xml:space="preserve">三、 采购文件的获取方式 </w:t>
      </w:r>
    </w:p>
    <w:p>
      <w:pPr>
        <w:pStyle w:val="16"/>
        <w:spacing w:before="0" w:beforeAutospacing="0" w:after="0" w:afterAutospacing="0" w:line="360" w:lineRule="auto"/>
        <w:ind w:firstLine="420"/>
        <w:rPr>
          <w:rFonts w:ascii="仿宋" w:hAnsi="仿宋" w:eastAsia="仿宋" w:cs="楷体"/>
          <w:color w:val="auto"/>
          <w:sz w:val="15"/>
          <w:szCs w:val="15"/>
          <w:highlight w:val="none"/>
        </w:rPr>
      </w:pPr>
      <w:r>
        <w:rPr>
          <w:rFonts w:hint="eastAsia" w:ascii="仿宋" w:hAnsi="仿宋" w:eastAsia="仿宋" w:cs="楷体"/>
          <w:color w:val="auto"/>
          <w:sz w:val="21"/>
          <w:szCs w:val="21"/>
          <w:highlight w:val="none"/>
        </w:rPr>
        <w:t>时间：</w:t>
      </w:r>
      <w:r>
        <w:rPr>
          <w:rFonts w:hint="eastAsia" w:ascii="仿宋" w:hAnsi="仿宋" w:eastAsia="仿宋" w:cs="楷体"/>
          <w:color w:val="auto"/>
          <w:sz w:val="21"/>
          <w:szCs w:val="21"/>
          <w:highlight w:val="none"/>
          <w:lang w:val="en-US" w:eastAsia="zh-CN"/>
        </w:rPr>
        <w:t>2022年6月13日至2022年6月17日 18:00:00 止</w:t>
      </w:r>
      <w:r>
        <w:rPr>
          <w:rFonts w:hint="eastAsia" w:ascii="仿宋" w:hAnsi="仿宋" w:eastAsia="仿宋"/>
          <w:color w:val="auto"/>
          <w:sz w:val="22"/>
          <w:szCs w:val="22"/>
          <w:highlight w:val="none"/>
        </w:rPr>
        <w:t>（北京时间，法定节假日除外 ）</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地点：汉中市汉台区前进东路丰辉龙亭园A区9号楼301室</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方式：现场购买</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售价：每套500元（人民币），售后不退 </w:t>
      </w:r>
    </w:p>
    <w:p>
      <w:pPr>
        <w:pStyle w:val="16"/>
        <w:spacing w:before="0" w:beforeAutospacing="0" w:after="0" w:afterAutospacing="0" w:line="360" w:lineRule="auto"/>
        <w:ind w:firstLine="422" w:firstLineChars="200"/>
        <w:rPr>
          <w:rFonts w:ascii="仿宋" w:hAnsi="仿宋" w:eastAsia="仿宋" w:cs="楷体"/>
          <w:color w:val="auto"/>
          <w:sz w:val="21"/>
          <w:szCs w:val="21"/>
          <w:highlight w:val="none"/>
        </w:rPr>
      </w:pPr>
      <w:r>
        <w:rPr>
          <w:rFonts w:hint="eastAsia" w:ascii="仿宋" w:hAnsi="仿宋" w:eastAsia="仿宋" w:cs="楷体"/>
          <w:b/>
          <w:color w:val="auto"/>
          <w:kern w:val="0"/>
          <w:sz w:val="21"/>
          <w:szCs w:val="21"/>
          <w:highlight w:val="none"/>
          <w:lang w:bidi="ar"/>
        </w:rPr>
        <w:t xml:space="preserve">四、 响应文件递交 </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截止时间：</w:t>
      </w:r>
      <w:r>
        <w:rPr>
          <w:rFonts w:hint="eastAsia" w:ascii="仿宋" w:hAnsi="仿宋" w:eastAsia="仿宋" w:cs="楷体"/>
          <w:color w:val="auto"/>
          <w:sz w:val="22"/>
          <w:szCs w:val="20"/>
          <w:highlight w:val="none"/>
          <w:lang w:val="zh-CN"/>
        </w:rPr>
        <w:t>2022年6月23日上午9:00（北京时间）</w:t>
      </w:r>
      <w:r>
        <w:rPr>
          <w:rFonts w:hint="eastAsia" w:ascii="仿宋" w:hAnsi="仿宋" w:eastAsia="仿宋" w:cs="楷体"/>
          <w:color w:val="auto"/>
          <w:sz w:val="21"/>
          <w:szCs w:val="21"/>
          <w:highlight w:val="none"/>
        </w:rPr>
        <w:t xml:space="preserve">  </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地点：汉中市汉台区前进东路丰辉龙亭园A区9号楼301室会议室 </w:t>
      </w:r>
    </w:p>
    <w:p>
      <w:pPr>
        <w:pStyle w:val="16"/>
        <w:spacing w:before="0" w:beforeAutospacing="0" w:after="0" w:afterAutospacing="0" w:line="360" w:lineRule="auto"/>
        <w:ind w:firstLine="422" w:firstLineChars="200"/>
        <w:rPr>
          <w:rFonts w:ascii="仿宋" w:hAnsi="仿宋" w:eastAsia="仿宋" w:cs="楷体"/>
          <w:color w:val="auto"/>
          <w:sz w:val="21"/>
          <w:szCs w:val="21"/>
          <w:highlight w:val="none"/>
        </w:rPr>
      </w:pPr>
      <w:r>
        <w:rPr>
          <w:rFonts w:hint="eastAsia" w:ascii="仿宋" w:hAnsi="仿宋" w:eastAsia="仿宋" w:cs="楷体"/>
          <w:b/>
          <w:color w:val="auto"/>
          <w:kern w:val="0"/>
          <w:sz w:val="21"/>
          <w:szCs w:val="21"/>
          <w:highlight w:val="none"/>
          <w:lang w:bidi="ar"/>
        </w:rPr>
        <w:t>五、公告期限</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自本公告发布之日起</w:t>
      </w:r>
      <w:r>
        <w:rPr>
          <w:rFonts w:hint="eastAsia" w:ascii="仿宋" w:hAnsi="仿宋" w:eastAsia="仿宋" w:cs="楷体"/>
          <w:color w:val="auto"/>
          <w:sz w:val="21"/>
          <w:szCs w:val="21"/>
          <w:highlight w:val="none"/>
          <w:lang w:val="en-US" w:eastAsia="zh-CN"/>
        </w:rPr>
        <w:t>3</w:t>
      </w:r>
      <w:r>
        <w:rPr>
          <w:rFonts w:hint="eastAsia" w:ascii="仿宋" w:hAnsi="仿宋" w:eastAsia="仿宋" w:cs="楷体"/>
          <w:color w:val="auto"/>
          <w:sz w:val="21"/>
          <w:szCs w:val="21"/>
          <w:highlight w:val="none"/>
        </w:rPr>
        <w:t>个工作日。</w:t>
      </w:r>
    </w:p>
    <w:p>
      <w:pPr>
        <w:pStyle w:val="16"/>
        <w:numPr>
          <w:ilvl w:val="0"/>
          <w:numId w:val="2"/>
        </w:numPr>
        <w:spacing w:before="0" w:beforeAutospacing="0" w:after="0" w:afterAutospacing="0" w:line="360" w:lineRule="auto"/>
        <w:ind w:firstLine="424" w:firstLineChars="201"/>
        <w:rPr>
          <w:rFonts w:ascii="仿宋" w:hAnsi="仿宋" w:eastAsia="仿宋" w:cs="楷体"/>
          <w:b/>
          <w:color w:val="auto"/>
          <w:kern w:val="0"/>
          <w:sz w:val="21"/>
          <w:szCs w:val="21"/>
          <w:highlight w:val="none"/>
          <w:lang w:bidi="ar"/>
        </w:rPr>
      </w:pPr>
      <w:r>
        <w:rPr>
          <w:rFonts w:hint="eastAsia" w:ascii="仿宋" w:hAnsi="仿宋" w:eastAsia="仿宋" w:cs="楷体"/>
          <w:b/>
          <w:color w:val="auto"/>
          <w:kern w:val="0"/>
          <w:sz w:val="21"/>
          <w:szCs w:val="21"/>
          <w:highlight w:val="none"/>
          <w:lang w:bidi="ar"/>
        </w:rPr>
        <w:t>其他补充事宜</w:t>
      </w:r>
    </w:p>
    <w:p>
      <w:pPr>
        <w:pStyle w:val="16"/>
        <w:spacing w:before="0" w:beforeAutospacing="0" w:after="0" w:afterAutospacing="0" w:line="360" w:lineRule="auto"/>
        <w:ind w:firstLine="422" w:firstLineChars="200"/>
        <w:rPr>
          <w:rFonts w:hint="eastAsia" w:ascii="仿宋" w:hAnsi="仿宋" w:eastAsia="仿宋" w:cs="楷体"/>
          <w:b/>
          <w:bCs w:val="0"/>
          <w:color w:val="auto"/>
          <w:kern w:val="0"/>
          <w:sz w:val="21"/>
          <w:szCs w:val="21"/>
          <w:highlight w:val="none"/>
          <w:lang w:bidi="ar"/>
        </w:rPr>
      </w:pPr>
      <w:r>
        <w:rPr>
          <w:rFonts w:hint="eastAsia" w:ascii="仿宋" w:hAnsi="仿宋" w:eastAsia="仿宋" w:cs="楷体"/>
          <w:b/>
          <w:bCs w:val="0"/>
          <w:color w:val="auto"/>
          <w:kern w:val="0"/>
          <w:sz w:val="21"/>
          <w:szCs w:val="21"/>
          <w:highlight w:val="none"/>
          <w:lang w:val="en-US" w:eastAsia="zh-CN" w:bidi="ar"/>
        </w:rPr>
        <w:t>注：1、经办人持企业单位介绍信、授权委托书 (委托代理人办理的，代理人必须持有企业法人代表签署的授权委托书原件）加盖公章的身份证复印件、原件及相关资料购买竞争性磋商文件。（谢绝邮寄）</w:t>
      </w:r>
    </w:p>
    <w:p>
      <w:pPr>
        <w:pStyle w:val="16"/>
        <w:spacing w:before="0" w:beforeAutospacing="0" w:after="0" w:afterAutospacing="0" w:line="360" w:lineRule="auto"/>
        <w:ind w:firstLine="422" w:firstLineChars="200"/>
        <w:rPr>
          <w:rFonts w:hint="eastAsia" w:ascii="仿宋" w:hAnsi="仿宋" w:eastAsia="仿宋" w:cs="楷体"/>
          <w:b/>
          <w:bCs w:val="0"/>
          <w:color w:val="auto"/>
          <w:kern w:val="0"/>
          <w:sz w:val="21"/>
          <w:szCs w:val="21"/>
          <w:highlight w:val="none"/>
          <w:lang w:bidi="ar"/>
        </w:rPr>
      </w:pPr>
      <w:r>
        <w:rPr>
          <w:rFonts w:hint="eastAsia" w:ascii="仿宋" w:hAnsi="仿宋" w:eastAsia="仿宋" w:cs="楷体"/>
          <w:b/>
          <w:bCs w:val="0"/>
          <w:color w:val="auto"/>
          <w:kern w:val="0"/>
          <w:sz w:val="21"/>
          <w:szCs w:val="21"/>
          <w:highlight w:val="none"/>
          <w:lang w:val="en-US" w:eastAsia="zh-CN" w:bidi="ar"/>
        </w:rPr>
        <w:t>   2、请供应商按照陕西省财政厅关于政府采购供应商注册登记有关事项的通知中的要求，通过陕西省政府采购网（http://www.ccgp-shaanxi.gov.cn/）注册登记加入陕西省政府采购供应商库。</w:t>
      </w:r>
    </w:p>
    <w:p>
      <w:pPr>
        <w:pStyle w:val="16"/>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bCs/>
          <w:color w:val="auto"/>
          <w:kern w:val="0"/>
          <w:sz w:val="21"/>
          <w:szCs w:val="21"/>
          <w:highlight w:val="none"/>
          <w:lang w:bidi="ar"/>
        </w:rPr>
        <w:t> </w:t>
      </w:r>
      <w:r>
        <w:rPr>
          <w:rFonts w:hint="eastAsia" w:ascii="仿宋" w:hAnsi="仿宋" w:eastAsia="仿宋" w:cs="楷体"/>
          <w:b/>
          <w:color w:val="auto"/>
          <w:kern w:val="0"/>
          <w:sz w:val="21"/>
          <w:szCs w:val="21"/>
          <w:highlight w:val="none"/>
          <w:lang w:bidi="ar"/>
        </w:rPr>
        <w:t xml:space="preserve">七、对本次采购提出询问，请按以下方式联系。 </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1、采购人信息：南郑县林业局</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联系地址：南郑区汉山街道办事处南环路2号</w:t>
      </w:r>
    </w:p>
    <w:p>
      <w:pPr>
        <w:pStyle w:val="16"/>
        <w:spacing w:before="0" w:beforeAutospacing="0" w:after="0" w:afterAutospacing="0" w:line="360" w:lineRule="auto"/>
        <w:ind w:firstLine="420"/>
        <w:rPr>
          <w:rFonts w:hint="default" w:ascii="仿宋" w:hAnsi="仿宋" w:eastAsia="仿宋" w:cs="楷体"/>
          <w:color w:val="auto"/>
          <w:sz w:val="21"/>
          <w:szCs w:val="21"/>
          <w:highlight w:val="none"/>
          <w:lang w:eastAsia="zh-CN"/>
        </w:rPr>
      </w:pPr>
      <w:r>
        <w:rPr>
          <w:rFonts w:hint="eastAsia" w:ascii="仿宋" w:hAnsi="仿宋" w:eastAsia="仿宋" w:cs="楷体"/>
          <w:color w:val="auto"/>
          <w:sz w:val="21"/>
          <w:szCs w:val="21"/>
          <w:highlight w:val="none"/>
          <w:lang w:eastAsia="zh-CN"/>
        </w:rPr>
        <w:t>联系人：</w:t>
      </w:r>
      <w:r>
        <w:rPr>
          <w:rFonts w:hint="eastAsia" w:ascii="仿宋" w:hAnsi="仿宋" w:eastAsia="仿宋" w:cs="楷体"/>
          <w:color w:val="auto"/>
          <w:sz w:val="21"/>
          <w:szCs w:val="21"/>
          <w:highlight w:val="none"/>
          <w:lang w:val="en-US" w:eastAsia="zh-CN"/>
        </w:rPr>
        <w:t xml:space="preserve"> 李先生</w:t>
      </w:r>
    </w:p>
    <w:p>
      <w:pPr>
        <w:pStyle w:val="16"/>
        <w:spacing w:before="0" w:beforeAutospacing="0" w:after="0" w:afterAutospacing="0" w:line="360" w:lineRule="auto"/>
        <w:ind w:firstLine="420"/>
        <w:rPr>
          <w:rFonts w:hint="default" w:ascii="仿宋" w:hAnsi="仿宋" w:eastAsia="仿宋" w:cs="楷体"/>
          <w:color w:val="auto"/>
          <w:sz w:val="21"/>
          <w:szCs w:val="21"/>
          <w:highlight w:val="none"/>
          <w:lang w:val="en-US" w:eastAsia="zh-CN"/>
        </w:rPr>
      </w:pPr>
      <w:r>
        <w:rPr>
          <w:rFonts w:hint="eastAsia" w:ascii="仿宋" w:hAnsi="仿宋" w:eastAsia="仿宋" w:cs="楷体"/>
          <w:color w:val="auto"/>
          <w:sz w:val="21"/>
          <w:szCs w:val="21"/>
          <w:highlight w:val="none"/>
        </w:rPr>
        <w:t>联系电话：</w:t>
      </w:r>
      <w:r>
        <w:rPr>
          <w:rFonts w:hint="eastAsia" w:ascii="仿宋" w:hAnsi="仿宋" w:eastAsia="仿宋" w:cs="楷体"/>
          <w:color w:val="auto"/>
          <w:sz w:val="21"/>
          <w:szCs w:val="21"/>
          <w:highlight w:val="none"/>
          <w:lang w:val="en-US" w:eastAsia="zh-CN"/>
        </w:rPr>
        <w:t>13630203660</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ascii="仿宋" w:hAnsi="仿宋" w:eastAsia="仿宋" w:cs="楷体"/>
          <w:color w:val="auto"/>
          <w:sz w:val="21"/>
          <w:szCs w:val="21"/>
          <w:highlight w:val="none"/>
        </w:rPr>
        <w:t>2</w:t>
      </w:r>
      <w:r>
        <w:rPr>
          <w:rFonts w:hint="eastAsia" w:ascii="仿宋" w:hAnsi="仿宋" w:eastAsia="仿宋" w:cs="楷体"/>
          <w:color w:val="auto"/>
          <w:sz w:val="21"/>
          <w:szCs w:val="21"/>
          <w:highlight w:val="none"/>
        </w:rPr>
        <w:t>、采购代理机构信息</w:t>
      </w:r>
    </w:p>
    <w:p>
      <w:pPr>
        <w:pStyle w:val="16"/>
        <w:spacing w:before="0" w:beforeAutospacing="0" w:after="0" w:afterAutospacing="0" w:line="360" w:lineRule="auto"/>
        <w:ind w:firstLine="420"/>
        <w:rPr>
          <w:rFonts w:hint="eastAsia" w:ascii="仿宋" w:hAnsi="仿宋" w:eastAsia="仿宋" w:cs="楷体"/>
          <w:color w:val="auto"/>
          <w:sz w:val="21"/>
          <w:szCs w:val="21"/>
          <w:highlight w:val="none"/>
          <w:lang w:eastAsia="zh-CN"/>
        </w:rPr>
      </w:pPr>
      <w:r>
        <w:rPr>
          <w:rFonts w:hint="eastAsia" w:ascii="仿宋" w:hAnsi="仿宋" w:eastAsia="仿宋" w:cs="楷体"/>
          <w:color w:val="auto"/>
          <w:sz w:val="21"/>
          <w:szCs w:val="21"/>
          <w:highlight w:val="none"/>
        </w:rPr>
        <w:t>名称：</w:t>
      </w:r>
      <w:r>
        <w:rPr>
          <w:rFonts w:hint="eastAsia" w:ascii="仿宋" w:hAnsi="仿宋" w:eastAsia="仿宋" w:cs="楷体"/>
          <w:color w:val="auto"/>
          <w:sz w:val="21"/>
          <w:szCs w:val="21"/>
          <w:highlight w:val="none"/>
          <w:lang w:eastAsia="zh-CN"/>
        </w:rPr>
        <w:t>长信项目管理有限公司</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联系地址：汉中市汉台区前进东路丰辉龙亭园A区9号楼301室</w:t>
      </w:r>
    </w:p>
    <w:p>
      <w:pPr>
        <w:pStyle w:val="16"/>
        <w:spacing w:before="0" w:beforeAutospacing="0" w:after="0" w:afterAutospacing="0" w:line="360" w:lineRule="auto"/>
        <w:ind w:firstLine="420"/>
        <w:rPr>
          <w:rFonts w:hint="default" w:ascii="仿宋" w:hAnsi="仿宋" w:eastAsia="仿宋" w:cs="楷体"/>
          <w:color w:val="auto"/>
          <w:sz w:val="21"/>
          <w:szCs w:val="21"/>
          <w:highlight w:val="none"/>
          <w:lang w:eastAsia="zh-CN"/>
        </w:rPr>
      </w:pPr>
      <w:r>
        <w:rPr>
          <w:rFonts w:hint="eastAsia" w:ascii="仿宋" w:hAnsi="仿宋" w:eastAsia="仿宋" w:cs="楷体"/>
          <w:color w:val="auto"/>
          <w:sz w:val="21"/>
          <w:szCs w:val="21"/>
          <w:highlight w:val="none"/>
        </w:rPr>
        <w:t xml:space="preserve">项目联系人：王女士 </w:t>
      </w:r>
      <w:r>
        <w:rPr>
          <w:rFonts w:ascii="仿宋" w:hAnsi="仿宋" w:eastAsia="仿宋" w:cs="楷体"/>
          <w:color w:val="auto"/>
          <w:sz w:val="21"/>
          <w:szCs w:val="21"/>
          <w:highlight w:val="none"/>
        </w:rPr>
        <w:t xml:space="preserve">   </w:t>
      </w:r>
      <w:r>
        <w:rPr>
          <w:rFonts w:hint="eastAsia" w:ascii="仿宋" w:hAnsi="仿宋" w:eastAsia="仿宋" w:cs="楷体"/>
          <w:color w:val="auto"/>
          <w:sz w:val="21"/>
          <w:szCs w:val="21"/>
          <w:highlight w:val="none"/>
        </w:rPr>
        <w:t>联系电话：</w:t>
      </w:r>
      <w:r>
        <w:rPr>
          <w:rFonts w:hint="eastAsia" w:ascii="仿宋" w:hAnsi="仿宋" w:eastAsia="仿宋" w:cs="楷体"/>
          <w:color w:val="auto"/>
          <w:sz w:val="21"/>
          <w:szCs w:val="21"/>
          <w:highlight w:val="none"/>
          <w:lang w:val="en-US" w:eastAsia="zh-CN"/>
        </w:rPr>
        <w:t>0916-</w:t>
      </w:r>
      <w:r>
        <w:rPr>
          <w:rFonts w:hint="default" w:ascii="仿宋" w:hAnsi="仿宋" w:eastAsia="仿宋" w:cs="楷体"/>
          <w:color w:val="auto"/>
          <w:sz w:val="21"/>
          <w:szCs w:val="21"/>
          <w:highlight w:val="none"/>
          <w:lang w:eastAsia="zh-CN"/>
        </w:rPr>
        <w:t>2212100</w:t>
      </w:r>
    </w:p>
    <w:p>
      <w:pPr>
        <w:widowControl/>
        <w:ind w:left="360"/>
        <w:rPr>
          <w:rFonts w:ascii="仿宋" w:hAnsi="仿宋" w:eastAsia="仿宋" w:cs="楷体"/>
          <w:color w:val="auto"/>
          <w:szCs w:val="21"/>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ind w:firstLine="5460" w:firstLineChars="2600"/>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2022年6月10日</w:t>
      </w: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kinsoku w:val="0"/>
        <w:spacing w:line="600" w:lineRule="exact"/>
        <w:ind w:firstLine="1807" w:firstLineChars="500"/>
        <w:outlineLvl w:val="0"/>
        <w:rPr>
          <w:rFonts w:ascii="仿宋" w:hAnsi="仿宋" w:eastAsia="仿宋" w:cs="楷体"/>
          <w:b/>
          <w:color w:val="auto"/>
          <w:sz w:val="36"/>
          <w:szCs w:val="36"/>
          <w:highlight w:val="none"/>
        </w:rPr>
      </w:pPr>
      <w:r>
        <w:rPr>
          <w:rFonts w:hint="eastAsia" w:ascii="仿宋" w:hAnsi="仿宋" w:eastAsia="仿宋" w:cs="楷体"/>
          <w:b/>
          <w:color w:val="auto"/>
          <w:sz w:val="36"/>
          <w:szCs w:val="36"/>
          <w:highlight w:val="none"/>
        </w:rPr>
        <w:t>第二章  磋商供应商须知</w:t>
      </w:r>
      <w:bookmarkEnd w:id="6"/>
      <w:bookmarkEnd w:id="7"/>
      <w:bookmarkEnd w:id="8"/>
      <w:bookmarkEnd w:id="9"/>
      <w:bookmarkEnd w:id="10"/>
      <w:bookmarkEnd w:id="11"/>
    </w:p>
    <w:p>
      <w:pPr>
        <w:pStyle w:val="14"/>
        <w:spacing w:line="360" w:lineRule="auto"/>
        <w:ind w:firstLine="0"/>
        <w:jc w:val="center"/>
        <w:rPr>
          <w:rFonts w:ascii="仿宋" w:hAnsi="仿宋" w:eastAsia="仿宋" w:cs="楷体"/>
          <w:b/>
          <w:bCs/>
          <w:color w:val="auto"/>
          <w:sz w:val="30"/>
          <w:highlight w:val="none"/>
        </w:rPr>
      </w:pPr>
      <w:r>
        <w:rPr>
          <w:rFonts w:hint="eastAsia" w:ascii="仿宋" w:hAnsi="仿宋" w:eastAsia="仿宋" w:cs="楷体"/>
          <w:b/>
          <w:bCs/>
          <w:color w:val="auto"/>
          <w:sz w:val="30"/>
          <w:highlight w:val="none"/>
        </w:rPr>
        <w:t>磋商供应商须知前附表</w:t>
      </w:r>
    </w:p>
    <w:tbl>
      <w:tblPr>
        <w:tblStyle w:val="19"/>
        <w:tblW w:w="9943" w:type="dxa"/>
        <w:jc w:val="center"/>
        <w:tblLayout w:type="fixed"/>
        <w:tblCellMar>
          <w:top w:w="0" w:type="dxa"/>
          <w:left w:w="108" w:type="dxa"/>
          <w:bottom w:w="0" w:type="dxa"/>
          <w:right w:w="108" w:type="dxa"/>
        </w:tblCellMar>
      </w:tblPr>
      <w:tblGrid>
        <w:gridCol w:w="728"/>
        <w:gridCol w:w="1851"/>
        <w:gridCol w:w="7364"/>
      </w:tblGrid>
      <w:tr>
        <w:tblPrEx>
          <w:tblCellMar>
            <w:top w:w="0" w:type="dxa"/>
            <w:left w:w="108" w:type="dxa"/>
            <w:bottom w:w="0" w:type="dxa"/>
            <w:right w:w="108" w:type="dxa"/>
          </w:tblCellMar>
        </w:tblPrEx>
        <w:trPr>
          <w:trHeight w:val="549"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序号</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内容</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要求与说明</w:t>
            </w:r>
          </w:p>
        </w:tc>
      </w:tr>
      <w:tr>
        <w:tblPrEx>
          <w:tblCellMar>
            <w:top w:w="0" w:type="dxa"/>
            <w:left w:w="108" w:type="dxa"/>
            <w:bottom w:w="0" w:type="dxa"/>
            <w:right w:w="108" w:type="dxa"/>
          </w:tblCellMar>
        </w:tblPrEx>
        <w:trPr>
          <w:trHeight w:val="701"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w:t>
            </w:r>
          </w:p>
        </w:tc>
        <w:tc>
          <w:tcPr>
            <w:tcW w:w="1851"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firstLine="420" w:firstLineChars="200"/>
              <w:rPr>
                <w:rFonts w:hint="default" w:ascii="仿宋" w:hAnsi="仿宋" w:eastAsia="仿宋" w:cs="楷体"/>
                <w:color w:val="auto"/>
                <w:szCs w:val="21"/>
                <w:highlight w:val="none"/>
              </w:rPr>
            </w:pPr>
            <w:r>
              <w:rPr>
                <w:rFonts w:hint="eastAsia" w:ascii="仿宋" w:hAnsi="仿宋" w:eastAsia="仿宋" w:cs="楷体"/>
                <w:color w:val="auto"/>
                <w:szCs w:val="21"/>
                <w:highlight w:val="none"/>
              </w:rPr>
              <w:t>项目名称</w:t>
            </w:r>
          </w:p>
        </w:tc>
        <w:tc>
          <w:tcPr>
            <w:tcW w:w="7364" w:type="dxa"/>
            <w:tcBorders>
              <w:top w:val="single" w:color="000000" w:sz="4" w:space="0"/>
              <w:left w:val="single" w:color="000000" w:sz="4" w:space="0"/>
              <w:bottom w:val="single" w:color="000000" w:sz="4" w:space="0"/>
              <w:right w:val="single" w:color="000000" w:sz="4" w:space="0"/>
            </w:tcBorders>
            <w:vAlign w:val="center"/>
          </w:tcPr>
          <w:p>
            <w:pPr>
              <w:pStyle w:val="16"/>
              <w:keepNext w:val="0"/>
              <w:keepLines w:val="0"/>
              <w:suppressLineNumbers w:val="0"/>
              <w:spacing w:before="0" w:beforeAutospacing="0" w:after="0" w:afterAutospacing="0" w:line="360" w:lineRule="auto"/>
              <w:ind w:left="0" w:right="0"/>
              <w:rPr>
                <w:rFonts w:hint="eastAsia" w:ascii="仿宋" w:hAnsi="仿宋" w:eastAsia="仿宋" w:cs="楷体"/>
                <w:color w:val="auto"/>
                <w:sz w:val="21"/>
                <w:szCs w:val="21"/>
                <w:highlight w:val="none"/>
                <w:lang w:eastAsia="zh-CN"/>
              </w:rPr>
            </w:pPr>
            <w:r>
              <w:rPr>
                <w:rFonts w:hint="eastAsia" w:ascii="仿宋" w:hAnsi="仿宋" w:eastAsia="仿宋" w:cs="楷体"/>
                <w:color w:val="auto"/>
                <w:sz w:val="21"/>
                <w:szCs w:val="21"/>
                <w:highlight w:val="none"/>
                <w:lang w:eastAsia="zh-CN"/>
              </w:rPr>
              <w:t>汉中市南郑区林业局第一次全国自然灾害森林火灾风险普查项目</w:t>
            </w:r>
          </w:p>
        </w:tc>
      </w:tr>
      <w:tr>
        <w:tblPrEx>
          <w:tblCellMar>
            <w:top w:w="0" w:type="dxa"/>
            <w:left w:w="108" w:type="dxa"/>
            <w:bottom w:w="0" w:type="dxa"/>
            <w:right w:w="108" w:type="dxa"/>
          </w:tblCellMar>
        </w:tblPrEx>
        <w:trPr>
          <w:trHeight w:val="778"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2</w:t>
            </w:r>
          </w:p>
        </w:tc>
        <w:tc>
          <w:tcPr>
            <w:tcW w:w="1851"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firstLine="210" w:firstLineChars="100"/>
              <w:rPr>
                <w:rFonts w:hint="default" w:ascii="仿宋" w:hAnsi="仿宋" w:eastAsia="仿宋" w:cs="楷体"/>
                <w:color w:val="auto"/>
                <w:szCs w:val="21"/>
                <w:highlight w:val="none"/>
              </w:rPr>
            </w:pPr>
            <w:r>
              <w:rPr>
                <w:rFonts w:hint="eastAsia" w:ascii="仿宋" w:hAnsi="仿宋" w:eastAsia="仿宋" w:cs="楷体"/>
                <w:color w:val="auto"/>
                <w:szCs w:val="21"/>
                <w:highlight w:val="none"/>
              </w:rPr>
              <w:t>采购项目编号</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eastAsia="zh-CN"/>
              </w:rPr>
              <w:t>SXCX-HZ—20220601</w:t>
            </w:r>
          </w:p>
        </w:tc>
      </w:tr>
      <w:tr>
        <w:tblPrEx>
          <w:tblCellMar>
            <w:top w:w="0" w:type="dxa"/>
            <w:left w:w="108" w:type="dxa"/>
            <w:bottom w:w="0" w:type="dxa"/>
            <w:right w:w="108" w:type="dxa"/>
          </w:tblCellMar>
        </w:tblPrEx>
        <w:trPr>
          <w:trHeight w:val="972"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3</w:t>
            </w:r>
          </w:p>
        </w:tc>
        <w:tc>
          <w:tcPr>
            <w:tcW w:w="1851"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采购人信息</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仿宋" w:hAnsi="仿宋" w:eastAsia="仿宋" w:cs="楷体"/>
                <w:color w:val="auto"/>
                <w:highlight w:val="none"/>
                <w:lang w:val="en-US" w:eastAsia="zh-CN"/>
              </w:rPr>
            </w:pPr>
            <w:r>
              <w:rPr>
                <w:rFonts w:hint="eastAsia" w:ascii="仿宋" w:hAnsi="仿宋" w:eastAsia="仿宋" w:cs="楷体"/>
                <w:color w:val="auto"/>
                <w:highlight w:val="none"/>
              </w:rPr>
              <w:t>采购人名称：汉中市南郑区</w:t>
            </w:r>
            <w:r>
              <w:rPr>
                <w:rFonts w:hint="eastAsia" w:ascii="仿宋" w:hAnsi="仿宋" w:eastAsia="仿宋" w:cs="楷体"/>
                <w:color w:val="auto"/>
                <w:highlight w:val="none"/>
                <w:lang w:eastAsia="zh-CN"/>
              </w:rPr>
              <w:t>林业局</w:t>
            </w:r>
          </w:p>
          <w:p>
            <w:pPr>
              <w:keepNext w:val="0"/>
              <w:keepLines w:val="0"/>
              <w:suppressLineNumbers w:val="0"/>
              <w:spacing w:before="0" w:beforeAutospacing="0" w:after="0" w:afterAutospacing="0"/>
              <w:ind w:left="0" w:right="0"/>
              <w:rPr>
                <w:rFonts w:hint="eastAsia" w:ascii="仿宋" w:hAnsi="仿宋" w:eastAsia="仿宋" w:cs="楷体"/>
                <w:color w:val="auto"/>
                <w:highlight w:val="none"/>
                <w:lang w:eastAsia="zh-CN"/>
              </w:rPr>
            </w:pPr>
            <w:r>
              <w:rPr>
                <w:rFonts w:hint="eastAsia" w:ascii="仿宋" w:hAnsi="仿宋" w:eastAsia="仿宋" w:cs="楷体"/>
                <w:color w:val="auto"/>
                <w:highlight w:val="none"/>
                <w:lang w:eastAsia="zh-CN"/>
              </w:rPr>
              <w:t>联系人：李先生</w:t>
            </w:r>
          </w:p>
          <w:p>
            <w:pPr>
              <w:keepNext w:val="0"/>
              <w:keepLines w:val="0"/>
              <w:suppressLineNumbers w:val="0"/>
              <w:spacing w:before="0" w:beforeAutospacing="0" w:after="0" w:afterAutospacing="0"/>
              <w:ind w:left="0" w:right="0"/>
              <w:rPr>
                <w:rFonts w:hint="default" w:ascii="仿宋" w:hAnsi="仿宋" w:eastAsia="仿宋" w:cs="楷体"/>
                <w:color w:val="auto"/>
                <w:highlight w:val="none"/>
                <w:lang w:val="en-US" w:eastAsia="zh-CN"/>
              </w:rPr>
            </w:pPr>
            <w:r>
              <w:rPr>
                <w:rFonts w:hint="eastAsia" w:ascii="仿宋" w:hAnsi="仿宋" w:eastAsia="仿宋" w:cs="楷体"/>
                <w:color w:val="auto"/>
                <w:highlight w:val="none"/>
              </w:rPr>
              <w:t>电话：</w:t>
            </w:r>
            <w:r>
              <w:rPr>
                <w:rFonts w:hint="eastAsia" w:ascii="仿宋" w:hAnsi="仿宋" w:eastAsia="仿宋" w:cs="楷体"/>
                <w:color w:val="auto"/>
                <w:szCs w:val="21"/>
                <w:highlight w:val="none"/>
                <w:lang w:val="en-US" w:eastAsia="zh-CN"/>
              </w:rPr>
              <w:t>13630203660</w:t>
            </w:r>
          </w:p>
        </w:tc>
      </w:tr>
      <w:tr>
        <w:tblPrEx>
          <w:tblCellMar>
            <w:top w:w="0" w:type="dxa"/>
            <w:left w:w="108" w:type="dxa"/>
            <w:bottom w:w="0" w:type="dxa"/>
            <w:right w:w="108" w:type="dxa"/>
          </w:tblCellMar>
        </w:tblPrEx>
        <w:trPr>
          <w:trHeight w:val="1402"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4</w:t>
            </w:r>
          </w:p>
        </w:tc>
        <w:tc>
          <w:tcPr>
            <w:tcW w:w="1851"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采购代理</w:t>
            </w:r>
          </w:p>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机构信息</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rPr>
              <w:t>采购代理机构名称：</w:t>
            </w:r>
            <w:r>
              <w:rPr>
                <w:rFonts w:hint="eastAsia" w:ascii="仿宋" w:hAnsi="仿宋" w:eastAsia="仿宋" w:cs="楷体"/>
                <w:color w:val="auto"/>
                <w:szCs w:val="21"/>
                <w:highlight w:val="none"/>
                <w:lang w:eastAsia="zh-CN"/>
              </w:rPr>
              <w:t>长信项目管理有限公司</w:t>
            </w:r>
          </w:p>
          <w:p>
            <w:pPr>
              <w:keepNext w:val="0"/>
              <w:keepLines w:val="0"/>
              <w:suppressLineNumbers w:val="0"/>
              <w:spacing w:before="0" w:beforeAutospacing="0" w:after="0" w:afterAutospacing="0"/>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地址：汉中市汉台区前进东路丰辉龙亭园A区9号楼301室</w:t>
            </w:r>
          </w:p>
          <w:p>
            <w:pPr>
              <w:keepNext w:val="0"/>
              <w:keepLines w:val="0"/>
              <w:suppressLineNumbers w:val="0"/>
              <w:spacing w:before="0" w:beforeAutospacing="0" w:after="0" w:afterAutospacing="0"/>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联系人：王女士</w:t>
            </w:r>
          </w:p>
          <w:p>
            <w:pPr>
              <w:keepNext w:val="0"/>
              <w:keepLines w:val="0"/>
              <w:suppressLineNumbers w:val="0"/>
              <w:spacing w:before="0" w:beforeAutospacing="0" w:after="0" w:afterAutospacing="0"/>
              <w:ind w:left="0" w:right="0"/>
              <w:rPr>
                <w:rFonts w:hint="default" w:ascii="仿宋" w:hAnsi="仿宋" w:eastAsia="仿宋" w:cs="楷体"/>
                <w:color w:val="auto"/>
                <w:szCs w:val="21"/>
                <w:highlight w:val="none"/>
                <w:lang w:eastAsia="zh-CN"/>
              </w:rPr>
            </w:pPr>
            <w:r>
              <w:rPr>
                <w:rFonts w:hint="eastAsia" w:ascii="仿宋" w:hAnsi="仿宋" w:eastAsia="仿宋" w:cs="楷体"/>
                <w:color w:val="auto"/>
                <w:szCs w:val="21"/>
                <w:highlight w:val="none"/>
              </w:rPr>
              <w:t xml:space="preserve">电 </w:t>
            </w:r>
            <w:r>
              <w:rPr>
                <w:rFonts w:hint="default" w:ascii="仿宋" w:hAnsi="仿宋" w:eastAsia="仿宋" w:cs="楷体"/>
                <w:color w:val="auto"/>
                <w:szCs w:val="21"/>
                <w:highlight w:val="none"/>
              </w:rPr>
              <w:t xml:space="preserve"> </w:t>
            </w:r>
            <w:r>
              <w:rPr>
                <w:rFonts w:hint="eastAsia" w:ascii="仿宋" w:hAnsi="仿宋" w:eastAsia="仿宋" w:cs="楷体"/>
                <w:color w:val="auto"/>
                <w:szCs w:val="21"/>
                <w:highlight w:val="none"/>
              </w:rPr>
              <w:t>话：</w:t>
            </w:r>
            <w:r>
              <w:rPr>
                <w:rFonts w:hint="eastAsia" w:ascii="仿宋" w:hAnsi="仿宋" w:eastAsia="仿宋" w:cs="楷体"/>
                <w:color w:val="auto"/>
                <w:szCs w:val="21"/>
                <w:highlight w:val="none"/>
                <w:lang w:val="en-US" w:eastAsia="zh-CN"/>
              </w:rPr>
              <w:t>0916-</w:t>
            </w:r>
            <w:r>
              <w:rPr>
                <w:rFonts w:hint="default" w:ascii="仿宋" w:hAnsi="仿宋" w:eastAsia="仿宋" w:cs="楷体"/>
                <w:color w:val="auto"/>
                <w:szCs w:val="21"/>
                <w:highlight w:val="none"/>
                <w:lang w:eastAsia="zh-CN"/>
              </w:rPr>
              <w:t>2212100</w:t>
            </w:r>
          </w:p>
        </w:tc>
      </w:tr>
      <w:tr>
        <w:tblPrEx>
          <w:tblCellMar>
            <w:top w:w="0" w:type="dxa"/>
            <w:left w:w="108" w:type="dxa"/>
            <w:bottom w:w="0" w:type="dxa"/>
            <w:right w:w="108" w:type="dxa"/>
          </w:tblCellMar>
        </w:tblPrEx>
        <w:trPr>
          <w:trHeight w:val="586"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5</w:t>
            </w:r>
          </w:p>
        </w:tc>
        <w:tc>
          <w:tcPr>
            <w:tcW w:w="1851"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采购内容</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主要采购内容见第四章《采购内容及具体要求》</w:t>
            </w:r>
          </w:p>
        </w:tc>
      </w:tr>
      <w:tr>
        <w:tblPrEx>
          <w:tblCellMar>
            <w:top w:w="0" w:type="dxa"/>
            <w:left w:w="108" w:type="dxa"/>
            <w:bottom w:w="0" w:type="dxa"/>
            <w:right w:w="108" w:type="dxa"/>
          </w:tblCellMar>
        </w:tblPrEx>
        <w:trPr>
          <w:trHeight w:val="542"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6</w:t>
            </w:r>
          </w:p>
        </w:tc>
        <w:tc>
          <w:tcPr>
            <w:tcW w:w="1851"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组织方式</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部门集中采购</w:t>
            </w:r>
          </w:p>
        </w:tc>
      </w:tr>
      <w:tr>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7</w:t>
            </w:r>
          </w:p>
        </w:tc>
        <w:tc>
          <w:tcPr>
            <w:tcW w:w="1851"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采购预算</w:t>
            </w:r>
          </w:p>
          <w:p>
            <w:pPr>
              <w:pStyle w:val="17"/>
              <w:keepNext w:val="0"/>
              <w:keepLines w:val="0"/>
              <w:suppressLineNumbers w:val="0"/>
              <w:spacing w:before="0" w:beforeAutospacing="0" w:afterAutospacing="0"/>
              <w:ind w:left="0" w:right="0" w:firstLine="0" w:firstLineChars="0"/>
              <w:jc w:val="center"/>
              <w:rPr>
                <w:rFonts w:hint="default" w:ascii="仿宋" w:hAnsi="仿宋" w:eastAsia="仿宋"/>
                <w:color w:val="auto"/>
                <w:highlight w:val="none"/>
              </w:rPr>
            </w:pPr>
            <w:r>
              <w:rPr>
                <w:rFonts w:hint="eastAsia" w:ascii="仿宋" w:hAnsi="仿宋" w:eastAsia="仿宋"/>
                <w:color w:val="auto"/>
                <w:highlight w:val="none"/>
              </w:rPr>
              <w:t>（最高限价）</w:t>
            </w:r>
          </w:p>
        </w:tc>
        <w:tc>
          <w:tcPr>
            <w:tcW w:w="7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lang w:eastAsia="zh-CN"/>
              </w:rPr>
              <w:t>采购预算</w:t>
            </w:r>
            <w:r>
              <w:rPr>
                <w:rFonts w:hint="eastAsia" w:ascii="仿宋" w:hAnsi="仿宋" w:eastAsia="仿宋" w:cs="楷体"/>
                <w:color w:val="auto"/>
                <w:szCs w:val="21"/>
                <w:highlight w:val="none"/>
                <w:lang w:val="en-US" w:eastAsia="zh-CN"/>
              </w:rPr>
              <w:t>1450000.00元</w:t>
            </w:r>
            <w:r>
              <w:rPr>
                <w:rFonts w:hint="eastAsia" w:ascii="仿宋" w:hAnsi="仿宋" w:eastAsia="仿宋" w:cs="楷体"/>
                <w:color w:val="auto"/>
                <w:szCs w:val="21"/>
                <w:highlight w:val="none"/>
                <w:u w:val="single"/>
              </w:rPr>
              <w:t>（供应商报价高于</w:t>
            </w:r>
            <w:r>
              <w:rPr>
                <w:rFonts w:hint="eastAsia" w:ascii="仿宋" w:hAnsi="仿宋" w:eastAsia="仿宋" w:cs="楷体"/>
                <w:color w:val="auto"/>
                <w:szCs w:val="21"/>
                <w:highlight w:val="none"/>
                <w:u w:val="single"/>
                <w:lang w:eastAsia="zh-CN"/>
              </w:rPr>
              <w:t>最高限价</w:t>
            </w:r>
            <w:r>
              <w:rPr>
                <w:rFonts w:hint="eastAsia" w:ascii="仿宋" w:hAnsi="仿宋" w:eastAsia="仿宋" w:cs="楷体"/>
                <w:color w:val="auto"/>
                <w:szCs w:val="21"/>
                <w:highlight w:val="none"/>
                <w:u w:val="single"/>
              </w:rPr>
              <w:t>的按废标处理）</w:t>
            </w:r>
          </w:p>
        </w:tc>
      </w:tr>
      <w:tr>
        <w:tblPrEx>
          <w:tblCellMar>
            <w:top w:w="0" w:type="dxa"/>
            <w:left w:w="108" w:type="dxa"/>
            <w:bottom w:w="0" w:type="dxa"/>
            <w:right w:w="108" w:type="dxa"/>
          </w:tblCellMar>
        </w:tblPrEx>
        <w:trPr>
          <w:trHeight w:val="795" w:hRule="atLeast"/>
          <w:jc w:val="center"/>
        </w:trPr>
        <w:tc>
          <w:tcPr>
            <w:tcW w:w="728"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8</w:t>
            </w:r>
          </w:p>
        </w:tc>
        <w:tc>
          <w:tcPr>
            <w:tcW w:w="1851"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磋商响应文件</w:t>
            </w:r>
          </w:p>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有效期</w:t>
            </w:r>
          </w:p>
        </w:tc>
        <w:tc>
          <w:tcPr>
            <w:tcW w:w="7364"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有效期为</w:t>
            </w:r>
            <w:r>
              <w:rPr>
                <w:rFonts w:hint="eastAsia" w:ascii="仿宋" w:hAnsi="仿宋" w:eastAsia="仿宋" w:cs="楷体"/>
                <w:color w:val="auto"/>
                <w:szCs w:val="21"/>
                <w:highlight w:val="none"/>
                <w:lang w:val="en-US" w:eastAsia="zh-CN"/>
              </w:rPr>
              <w:t>9</w:t>
            </w:r>
            <w:r>
              <w:rPr>
                <w:rFonts w:hint="eastAsia" w:ascii="仿宋" w:hAnsi="仿宋" w:eastAsia="仿宋" w:cs="楷体"/>
                <w:color w:val="auto"/>
                <w:szCs w:val="21"/>
                <w:highlight w:val="none"/>
              </w:rPr>
              <w:t>0 日历天。</w:t>
            </w:r>
          </w:p>
        </w:tc>
      </w:tr>
      <w:tr>
        <w:tblPrEx>
          <w:tblCellMar>
            <w:top w:w="0" w:type="dxa"/>
            <w:left w:w="108" w:type="dxa"/>
            <w:bottom w:w="0" w:type="dxa"/>
            <w:right w:w="108" w:type="dxa"/>
          </w:tblCellMar>
        </w:tblPrEx>
        <w:trPr>
          <w:trHeight w:val="726"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9</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文件份数</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磋商响应文件正本1份、副本2份，开标一览表1份，磋商响应文件电子版U盘1份</w:t>
            </w:r>
            <w:r>
              <w:rPr>
                <w:rFonts w:hint="eastAsia" w:ascii="仿宋" w:hAnsi="仿宋" w:eastAsia="仿宋" w:cs="楷体"/>
                <w:color w:val="auto"/>
                <w:kern w:val="1"/>
                <w:szCs w:val="21"/>
                <w:highlight w:val="none"/>
              </w:rPr>
              <w:t>（随开标一览表封装）、资格证明文件1套</w:t>
            </w:r>
          </w:p>
        </w:tc>
      </w:tr>
      <w:tr>
        <w:tblPrEx>
          <w:tblCellMar>
            <w:top w:w="0" w:type="dxa"/>
            <w:left w:w="108" w:type="dxa"/>
            <w:bottom w:w="0" w:type="dxa"/>
            <w:right w:w="108" w:type="dxa"/>
          </w:tblCellMar>
        </w:tblPrEx>
        <w:trPr>
          <w:trHeight w:val="741" w:hRule="atLeast"/>
          <w:jc w:val="center"/>
        </w:trPr>
        <w:tc>
          <w:tcPr>
            <w:tcW w:w="728" w:type="dxa"/>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10</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评审方法</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详见《第三章》评审方法（综合评分法）</w:t>
            </w:r>
          </w:p>
        </w:tc>
      </w:tr>
      <w:tr>
        <w:tblPrEx>
          <w:tblCellMar>
            <w:top w:w="0" w:type="dxa"/>
            <w:left w:w="108" w:type="dxa"/>
            <w:bottom w:w="0" w:type="dxa"/>
            <w:right w:w="108" w:type="dxa"/>
          </w:tblCellMar>
        </w:tblPrEx>
        <w:trPr>
          <w:trHeight w:val="892"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11</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磋商供应商</w:t>
            </w:r>
          </w:p>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资格要求</w:t>
            </w:r>
          </w:p>
        </w:tc>
        <w:tc>
          <w:tcPr>
            <w:tcW w:w="7364" w:type="dxa"/>
            <w:tcBorders>
              <w:top w:val="single" w:color="000000" w:sz="4" w:space="0"/>
              <w:left w:val="single" w:color="000000" w:sz="4" w:space="0"/>
              <w:bottom w:val="single" w:color="000000" w:sz="4" w:space="0"/>
              <w:right w:val="single" w:color="000000" w:sz="4" w:space="0"/>
            </w:tcBorders>
            <w:vAlign w:val="center"/>
          </w:tcPr>
          <w:p>
            <w:pPr>
              <w:pStyle w:val="16"/>
              <w:keepNext w:val="0"/>
              <w:keepLines w:val="0"/>
              <w:suppressLineNumbers w:val="0"/>
              <w:spacing w:before="0" w:beforeAutospacing="0" w:after="0" w:afterAutospacing="0" w:line="360" w:lineRule="auto"/>
              <w:ind w:left="0" w:right="0" w:firstLine="422" w:firstLineChars="200"/>
              <w:rPr>
                <w:rFonts w:hint="default" w:ascii="仿宋" w:hAnsi="仿宋" w:eastAsia="仿宋" w:cs="楷体"/>
                <w:b/>
                <w:bCs/>
                <w:color w:val="auto"/>
                <w:sz w:val="21"/>
                <w:szCs w:val="21"/>
                <w:highlight w:val="none"/>
              </w:rPr>
            </w:pPr>
            <w:r>
              <w:rPr>
                <w:rFonts w:hint="eastAsia" w:ascii="仿宋" w:hAnsi="仿宋" w:eastAsia="仿宋" w:cs="楷体"/>
                <w:b/>
                <w:bCs/>
                <w:color w:val="auto"/>
                <w:sz w:val="21"/>
                <w:szCs w:val="21"/>
                <w:highlight w:val="none"/>
              </w:rPr>
              <w:t>1、满足《中华人民共和国政府采购法》第二十二条规定；</w:t>
            </w:r>
          </w:p>
          <w:p>
            <w:pPr>
              <w:pStyle w:val="16"/>
              <w:keepNext w:val="0"/>
              <w:keepLines w:val="0"/>
              <w:suppressLineNumbers w:val="0"/>
              <w:spacing w:before="0" w:beforeAutospacing="0" w:after="0" w:afterAutospacing="0" w:line="360" w:lineRule="auto"/>
              <w:ind w:left="0" w:right="0" w:firstLine="422" w:firstLineChars="200"/>
              <w:rPr>
                <w:rFonts w:hint="default" w:ascii="仿宋" w:hAnsi="仿宋" w:eastAsia="仿宋" w:cs="楷体"/>
                <w:b/>
                <w:bCs/>
                <w:color w:val="auto"/>
                <w:sz w:val="21"/>
                <w:szCs w:val="21"/>
                <w:highlight w:val="none"/>
              </w:rPr>
            </w:pPr>
            <w:r>
              <w:rPr>
                <w:rFonts w:hint="eastAsia" w:ascii="仿宋" w:hAnsi="仿宋" w:eastAsia="仿宋" w:cs="楷体"/>
                <w:b/>
                <w:bCs/>
                <w:color w:val="auto"/>
                <w:sz w:val="21"/>
                <w:szCs w:val="21"/>
                <w:highlight w:val="none"/>
              </w:rPr>
              <w:t>2、落实政府采购政策需满足的资格要求：</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依据《中华人民共和国政府采购法》和《中华人民共和国政府采购实施条例》的有关规定，落实政府采购“优先购买节能环保产品、扶持小微企业、监狱企业、福利企业”等相关政策。 </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①《政府采购促进中小企业发展暂行办法》（财库〔2020〕46号）； </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②《财政部司法部关于政府采购支持监狱企业发展有关问题的通知》（财库〔2014〕68号）； </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③《国务院办公厅关于建立政府强制采购节能产品制度的通知》（国办发〔2007〕51号）； </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④《节能产品政府采购实施意见》（财库[2004]185号）； </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 xml:space="preserve">⑤《环境标志产品政府采购实施的意见》（财库[2006]90号）； </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⑥《三部门联合发布关于促进残疾人就业政府采购政策的通知》（财库[2017]141号）；</w:t>
            </w:r>
          </w:p>
          <w:p>
            <w:pPr>
              <w:pStyle w:val="16"/>
              <w:keepNext w:val="0"/>
              <w:keepLines w:val="0"/>
              <w:suppressLineNumbers w:val="0"/>
              <w:spacing w:before="0" w:beforeAutospacing="0" w:after="0" w:afterAutospacing="0" w:line="360" w:lineRule="auto"/>
              <w:ind w:left="0" w:right="0" w:firstLine="420" w:firstLineChars="200"/>
              <w:rPr>
                <w:rFonts w:hint="eastAsia" w:ascii="仿宋" w:hAnsi="仿宋" w:eastAsia="仿宋" w:cs="楷体"/>
                <w:color w:val="auto"/>
                <w:sz w:val="21"/>
                <w:szCs w:val="21"/>
                <w:highlight w:val="none"/>
              </w:rPr>
            </w:pPr>
            <w:r>
              <w:rPr>
                <w:rFonts w:hint="eastAsia" w:ascii="仿宋" w:hAnsi="仿宋" w:eastAsia="仿宋" w:cs="楷体"/>
                <w:color w:val="auto"/>
                <w:sz w:val="21"/>
                <w:szCs w:val="21"/>
                <w:highlight w:val="none"/>
              </w:rPr>
              <w:t>⑦《财政部发展改革委生态环境部市场监管总局关于调整优化节能产品、环境标志产品政府采购执行机制的通知》（财库〔2019〕9号）。</w:t>
            </w:r>
          </w:p>
          <w:p>
            <w:pPr>
              <w:pStyle w:val="16"/>
              <w:keepNext w:val="0"/>
              <w:keepLines w:val="0"/>
              <w:suppressLineNumbers w:val="0"/>
              <w:spacing w:before="0" w:beforeAutospacing="0" w:after="0" w:afterAutospacing="0" w:line="360" w:lineRule="auto"/>
              <w:ind w:left="0" w:right="0" w:firstLine="422" w:firstLineChars="200"/>
              <w:rPr>
                <w:rFonts w:hint="default" w:ascii="仿宋" w:hAnsi="仿宋" w:eastAsia="仿宋" w:cs="楷体"/>
                <w:b/>
                <w:bCs/>
                <w:color w:val="auto"/>
                <w:sz w:val="21"/>
                <w:szCs w:val="21"/>
                <w:highlight w:val="none"/>
              </w:rPr>
            </w:pPr>
            <w:r>
              <w:rPr>
                <w:rFonts w:hint="eastAsia" w:ascii="仿宋" w:hAnsi="仿宋" w:eastAsia="仿宋" w:cs="楷体"/>
                <w:b/>
                <w:bCs/>
                <w:color w:val="auto"/>
                <w:sz w:val="21"/>
                <w:szCs w:val="21"/>
                <w:highlight w:val="none"/>
              </w:rPr>
              <w:t>3、本项目的特定资格要求：</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①供应商为具有独立承担民事责任能力的法人或其他组织或自然人，并出具营业执照（事业法人证）或证明文件或自然人的身份证明；</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②提供具有财务审计资质单位出具的</w:t>
            </w:r>
            <w:r>
              <w:rPr>
                <w:rFonts w:hint="eastAsia" w:ascii="仿宋" w:hAnsi="仿宋" w:eastAsia="仿宋" w:cs="楷体"/>
                <w:color w:val="auto"/>
                <w:sz w:val="21"/>
                <w:szCs w:val="21"/>
                <w:highlight w:val="none"/>
                <w:lang w:eastAsia="zh-CN"/>
              </w:rPr>
              <w:t>2019年度至今任意一年完整的财务审计报告</w:t>
            </w:r>
            <w:r>
              <w:rPr>
                <w:rFonts w:hint="eastAsia" w:ascii="仿宋" w:hAnsi="仿宋" w:eastAsia="仿宋" w:cs="楷体"/>
                <w:color w:val="auto"/>
                <w:sz w:val="21"/>
                <w:szCs w:val="21"/>
                <w:highlight w:val="none"/>
              </w:rPr>
              <w:t>或开标前六个月内其基本账户银行出具的资信证明（附开户许可证）或政府采购信用担保机构出具的投标担保函；</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③出具具有履行合同所必需的设备和专业技术能力的声明；</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④具有依法缴纳税收的良好记录（提供递交磋商文件截止时间前十二个月内任意一个月的缴纳证明）；</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⑤参加政府采购活动前三年内，在经营活动中没有重大违法记录。</w:t>
            </w:r>
          </w:p>
          <w:p>
            <w:pPr>
              <w:pStyle w:val="16"/>
              <w:keepNext w:val="0"/>
              <w:keepLines w:val="0"/>
              <w:suppressLineNumbers w:val="0"/>
              <w:spacing w:before="0" w:beforeAutospacing="0" w:after="0" w:afterAutospacing="0" w:line="360" w:lineRule="auto"/>
              <w:ind w:left="0" w:right="0" w:firstLine="420" w:firstLineChars="200"/>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⑥法定代表人或单位负责人授权书及被授权人身份证（法定代表人或单位负责人直接参加投标除外，但须出示法定代表人或单位负责人身份证及营业执照复印件）；</w:t>
            </w:r>
          </w:p>
          <w:p>
            <w:pPr>
              <w:pStyle w:val="7"/>
              <w:keepNext w:val="0"/>
              <w:keepLines w:val="0"/>
              <w:suppressLineNumbers w:val="0"/>
              <w:spacing w:before="0" w:beforeAutospacing="0" w:after="0" w:afterAutospacing="0"/>
              <w:ind w:left="0" w:right="0" w:firstLine="420" w:firstLineChars="200"/>
              <w:rPr>
                <w:rFonts w:hint="eastAsia" w:ascii="仿宋" w:hAnsi="仿宋" w:eastAsia="仿宋" w:cs="楷体"/>
                <w:color w:val="auto"/>
                <w:sz w:val="21"/>
                <w:szCs w:val="21"/>
                <w:highlight w:val="none"/>
              </w:rPr>
            </w:pPr>
            <w:r>
              <w:rPr>
                <w:rFonts w:hint="eastAsia" w:ascii="仿宋" w:hAnsi="仿宋" w:eastAsia="仿宋" w:cs="楷体"/>
                <w:color w:val="auto"/>
                <w:sz w:val="21"/>
                <w:szCs w:val="21"/>
                <w:highlight w:val="none"/>
              </w:rPr>
              <w:t>⑦通过“信用中国”网站(www.creditchina.gov.cn)、中国政府采购网(www.ccgp.gov.cn)等查询相关主体信用记录（不得为“信用中国”网站中列入失信被执行人和重大税收违法案件当事人名单，不得为中国政府采购网政府采购严重违法失信行为记录名单中被财政部门禁止参加政府采购活动），截止时</w:t>
            </w:r>
            <w:r>
              <w:rPr>
                <w:rFonts w:hint="eastAsia" w:ascii="仿宋" w:hAnsi="仿宋" w:eastAsia="仿宋" w:cs="楷体"/>
                <w:color w:val="auto"/>
                <w:sz w:val="21"/>
                <w:szCs w:val="21"/>
                <w:highlight w:val="none"/>
                <w:lang w:eastAsia="zh-CN"/>
              </w:rPr>
              <w:t>间</w:t>
            </w:r>
            <w:r>
              <w:rPr>
                <w:rFonts w:hint="eastAsia" w:ascii="仿宋" w:hAnsi="仿宋" w:eastAsia="仿宋" w:cs="楷体"/>
                <w:color w:val="auto"/>
                <w:sz w:val="21"/>
                <w:szCs w:val="21"/>
                <w:highlight w:val="none"/>
              </w:rPr>
              <w:t>为磋商文件发售起至投标文件递交截止时间止（提供查询结果网页清晰截图并加盖供应商公章）。</w:t>
            </w:r>
          </w:p>
          <w:p>
            <w:pPr>
              <w:keepNext w:val="0"/>
              <w:keepLines w:val="0"/>
              <w:widowControl w:val="0"/>
              <w:suppressLineNumbers w:val="0"/>
              <w:spacing w:before="0" w:beforeAutospacing="0" w:after="0" w:afterAutospacing="0"/>
              <w:ind w:left="0" w:right="0" w:firstLine="420" w:firstLineChars="200"/>
              <w:jc w:val="both"/>
              <w:rPr>
                <w:rFonts w:hint="eastAsia" w:ascii="仿宋" w:hAnsi="仿宋" w:eastAsia="仿宋" w:cs="楷体"/>
                <w:color w:val="auto"/>
                <w:kern w:val="2"/>
                <w:sz w:val="21"/>
                <w:szCs w:val="21"/>
                <w:highlight w:val="none"/>
                <w:lang w:val="en-US" w:eastAsia="zh-CN" w:bidi="ar-SA"/>
              </w:rPr>
            </w:pPr>
            <w:r>
              <w:rPr>
                <w:rFonts w:hint="default" w:ascii="仿宋" w:hAnsi="仿宋" w:eastAsia="仿宋" w:cs="楷体"/>
                <w:color w:val="auto"/>
                <w:kern w:val="2"/>
                <w:sz w:val="21"/>
                <w:szCs w:val="21"/>
                <w:highlight w:val="none"/>
                <w:lang w:val="en-US" w:eastAsia="zh-CN" w:bidi="ar-SA"/>
              </w:rPr>
              <w:t>⑧</w:t>
            </w:r>
            <w:r>
              <w:rPr>
                <w:rFonts w:hint="eastAsia" w:ascii="仿宋" w:hAnsi="仿宋" w:eastAsia="仿宋" w:cs="楷体"/>
                <w:color w:val="auto"/>
                <w:kern w:val="2"/>
                <w:sz w:val="21"/>
                <w:szCs w:val="21"/>
                <w:highlight w:val="none"/>
                <w:lang w:val="en-US" w:eastAsia="zh-CN" w:bidi="ar-SA"/>
              </w:rPr>
              <w:t>具有中国林业建设协会颁发的林业调查规划设计资质丙级及丙级以上。</w:t>
            </w:r>
          </w:p>
          <w:p>
            <w:pPr>
              <w:pStyle w:val="7"/>
              <w:keepNext w:val="0"/>
              <w:keepLines w:val="0"/>
              <w:suppressLineNumbers w:val="0"/>
              <w:spacing w:before="0" w:beforeAutospacing="0" w:after="0" w:afterAutospacing="0"/>
              <w:ind w:left="0" w:right="0" w:firstLine="420" w:firstLineChars="200"/>
              <w:rPr>
                <w:rFonts w:hint="default" w:ascii="仿宋" w:hAnsi="仿宋" w:eastAsia="仿宋" w:cs="楷体"/>
                <w:color w:val="auto"/>
                <w:sz w:val="18"/>
                <w:szCs w:val="18"/>
                <w:highlight w:val="none"/>
              </w:rPr>
            </w:pPr>
            <w:r>
              <w:rPr>
                <w:rFonts w:hint="eastAsia" w:ascii="仿宋" w:hAnsi="仿宋" w:eastAsia="仿宋" w:cs="楷体"/>
                <w:color w:val="auto"/>
                <w:sz w:val="21"/>
                <w:szCs w:val="16"/>
                <w:highlight w:val="none"/>
              </w:rPr>
              <w:t>说明：本项目不接受联合体磋商，单位负责人为同一人或者存在控股、管理关系的不同供应商，不得同时参加本项目采购活动。</w:t>
            </w:r>
          </w:p>
        </w:tc>
      </w:tr>
      <w:tr>
        <w:tblPrEx>
          <w:tblCellMar>
            <w:top w:w="0" w:type="dxa"/>
            <w:left w:w="108" w:type="dxa"/>
            <w:bottom w:w="0" w:type="dxa"/>
            <w:right w:w="108" w:type="dxa"/>
          </w:tblCellMar>
        </w:tblPrEx>
        <w:trPr>
          <w:trHeight w:val="416"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12</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供应商需提交的资格证明文件及相关要求</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210" w:firstLineChars="100"/>
              <w:rPr>
                <w:rFonts w:hint="default" w:ascii="仿宋" w:hAnsi="仿宋" w:eastAsia="仿宋" w:cs="楷体"/>
                <w:color w:val="auto"/>
                <w:highlight w:val="none"/>
              </w:rPr>
            </w:pPr>
            <w:r>
              <w:rPr>
                <w:rFonts w:hint="eastAsia" w:ascii="仿宋" w:hAnsi="仿宋" w:eastAsia="仿宋" w:cs="楷体"/>
                <w:color w:val="auto"/>
                <w:highlight w:val="none"/>
              </w:rPr>
              <w:t>1、具有独立承担民事责任能力的法人、其他组织或自然人，并出具合法有效的营业执照或事业单位法人证书等国家规定的相关证明，自然人参与的提供其身份证明。</w:t>
            </w:r>
          </w:p>
          <w:p>
            <w:pPr>
              <w:keepNext w:val="0"/>
              <w:keepLines w:val="0"/>
              <w:suppressLineNumbers w:val="0"/>
              <w:spacing w:before="0" w:beforeAutospacing="0" w:after="0" w:afterAutospacing="0"/>
              <w:ind w:left="0" w:right="0" w:firstLine="210" w:firstLineChars="100"/>
              <w:rPr>
                <w:rFonts w:hint="default" w:ascii="仿宋" w:hAnsi="仿宋" w:eastAsia="仿宋" w:cs="楷体"/>
                <w:color w:val="auto"/>
                <w:highlight w:val="none"/>
                <w:u w:val="single"/>
              </w:rPr>
            </w:pPr>
            <w:r>
              <w:rPr>
                <w:rFonts w:hint="default" w:ascii="仿宋" w:hAnsi="仿宋" w:eastAsia="仿宋" w:cs="楷体"/>
                <w:color w:val="auto"/>
                <w:highlight w:val="none"/>
              </w:rPr>
              <w:t>2</w:t>
            </w:r>
            <w:r>
              <w:rPr>
                <w:rFonts w:hint="eastAsia" w:ascii="仿宋" w:hAnsi="仿宋" w:eastAsia="仿宋" w:cs="楷体"/>
                <w:color w:val="auto"/>
                <w:highlight w:val="none"/>
              </w:rPr>
              <w:t xml:space="preserve">、法定代表人直接参加磋商的，须出具法人身份证；法定代表人授权代表参加磋商的，须出具法定代表人授权书及授权代表身份证； </w:t>
            </w:r>
          </w:p>
          <w:p>
            <w:pPr>
              <w:keepNext w:val="0"/>
              <w:keepLines w:val="0"/>
              <w:suppressLineNumbers w:val="0"/>
              <w:spacing w:before="0" w:beforeAutospacing="0" w:after="0" w:afterAutospacing="0"/>
              <w:ind w:left="0" w:right="0" w:firstLine="210" w:firstLineChars="100"/>
              <w:rPr>
                <w:rFonts w:hint="default" w:ascii="仿宋" w:hAnsi="仿宋" w:eastAsia="仿宋" w:cs="楷体"/>
                <w:color w:val="auto"/>
                <w:highlight w:val="none"/>
                <w:u w:val="single"/>
              </w:rPr>
            </w:pPr>
            <w:r>
              <w:rPr>
                <w:rFonts w:hint="default" w:ascii="仿宋" w:hAnsi="仿宋" w:eastAsia="仿宋" w:cs="楷体"/>
                <w:color w:val="auto"/>
                <w:highlight w:val="none"/>
              </w:rPr>
              <w:t>3</w:t>
            </w:r>
            <w:r>
              <w:rPr>
                <w:rFonts w:hint="eastAsia" w:ascii="仿宋" w:hAnsi="仿宋" w:eastAsia="仿宋" w:cs="楷体"/>
                <w:color w:val="auto"/>
                <w:highlight w:val="none"/>
              </w:rPr>
              <w:t>、</w:t>
            </w:r>
            <w:r>
              <w:rPr>
                <w:rFonts w:hint="eastAsia" w:ascii="仿宋" w:hAnsi="仿宋" w:eastAsia="仿宋" w:cs="楷体"/>
                <w:color w:val="auto"/>
                <w:szCs w:val="21"/>
                <w:highlight w:val="none"/>
              </w:rPr>
              <w:t>提供具有财务审计资质单位出具的</w:t>
            </w:r>
            <w:r>
              <w:rPr>
                <w:rFonts w:hint="eastAsia" w:ascii="仿宋" w:hAnsi="仿宋" w:eastAsia="仿宋" w:cs="楷体"/>
                <w:color w:val="auto"/>
                <w:szCs w:val="21"/>
                <w:highlight w:val="none"/>
                <w:lang w:eastAsia="zh-CN"/>
              </w:rPr>
              <w:t>2019年度至今任意一年完整的财务审计报告</w:t>
            </w:r>
            <w:r>
              <w:rPr>
                <w:rFonts w:hint="eastAsia" w:ascii="仿宋" w:hAnsi="仿宋" w:eastAsia="仿宋" w:cs="楷体"/>
                <w:color w:val="auto"/>
                <w:szCs w:val="21"/>
                <w:highlight w:val="none"/>
              </w:rPr>
              <w:t>或开标前六个月内其基本账户银行出具的资信证明（附开户许可证）或政府采购信用担保机构出具的投标担保函；</w:t>
            </w:r>
            <w:r>
              <w:rPr>
                <w:rFonts w:hint="eastAsia" w:ascii="仿宋" w:hAnsi="仿宋" w:eastAsia="仿宋" w:cs="楷体"/>
                <w:color w:val="auto"/>
                <w:highlight w:val="none"/>
                <w:u w:val="single"/>
              </w:rPr>
              <w:t xml:space="preserve"> （原件或加盖公章的复印件）</w:t>
            </w:r>
          </w:p>
          <w:p>
            <w:pPr>
              <w:keepNext w:val="0"/>
              <w:keepLines w:val="0"/>
              <w:suppressLineNumbers w:val="0"/>
              <w:spacing w:before="0" w:beforeAutospacing="0" w:after="0" w:afterAutospacing="0"/>
              <w:ind w:left="0" w:right="0" w:firstLine="210" w:firstLineChars="100"/>
              <w:rPr>
                <w:rFonts w:hint="default" w:ascii="仿宋" w:hAnsi="仿宋" w:eastAsia="仿宋" w:cs="楷体"/>
                <w:color w:val="auto"/>
                <w:highlight w:val="none"/>
                <w:u w:val="single"/>
              </w:rPr>
            </w:pPr>
            <w:r>
              <w:rPr>
                <w:rFonts w:hint="default" w:ascii="仿宋" w:hAnsi="仿宋" w:eastAsia="仿宋" w:cs="楷体"/>
                <w:color w:val="auto"/>
                <w:highlight w:val="none"/>
              </w:rPr>
              <w:t>4</w:t>
            </w:r>
            <w:r>
              <w:rPr>
                <w:rFonts w:hint="eastAsia" w:ascii="仿宋" w:hAnsi="仿宋" w:eastAsia="仿宋" w:cs="楷体"/>
                <w:color w:val="auto"/>
                <w:highlight w:val="none"/>
              </w:rPr>
              <w:t>、税收缴纳证明：</w:t>
            </w:r>
            <w:r>
              <w:rPr>
                <w:rFonts w:hint="eastAsia" w:ascii="仿宋" w:hAnsi="仿宋" w:eastAsia="仿宋" w:cs="楷体"/>
                <w:color w:val="auto"/>
                <w:szCs w:val="21"/>
                <w:highlight w:val="none"/>
              </w:rPr>
              <w:t>具有依法缴纳税收的良好记录（提供递交磋商文件截止时间前十二个月内任意一个月的缴纳证明）</w:t>
            </w:r>
            <w:r>
              <w:rPr>
                <w:rFonts w:hint="eastAsia" w:ascii="仿宋" w:hAnsi="仿宋" w:eastAsia="仿宋" w:cs="楷体"/>
                <w:color w:val="auto"/>
                <w:highlight w:val="none"/>
              </w:rPr>
              <w:t>（依法免税的供应商应提供相关文件证明）；</w:t>
            </w:r>
            <w:r>
              <w:rPr>
                <w:rFonts w:hint="eastAsia" w:ascii="仿宋" w:hAnsi="仿宋" w:eastAsia="仿宋" w:cs="楷体"/>
                <w:color w:val="auto"/>
                <w:highlight w:val="none"/>
                <w:u w:val="single"/>
              </w:rPr>
              <w:t xml:space="preserve"> （原件或加盖公章的复印件）</w:t>
            </w:r>
          </w:p>
          <w:p>
            <w:pPr>
              <w:keepNext w:val="0"/>
              <w:keepLines w:val="0"/>
              <w:suppressLineNumbers w:val="0"/>
              <w:spacing w:before="0" w:beforeAutospacing="0" w:after="0" w:afterAutospacing="0"/>
              <w:ind w:left="0" w:right="0" w:firstLine="210" w:firstLineChars="100"/>
              <w:rPr>
                <w:rFonts w:hint="default" w:ascii="仿宋" w:hAnsi="仿宋" w:eastAsia="仿宋" w:cs="楷体"/>
                <w:color w:val="auto"/>
                <w:highlight w:val="none"/>
                <w:u w:val="single"/>
              </w:rPr>
            </w:pPr>
            <w:r>
              <w:rPr>
                <w:rFonts w:hint="eastAsia" w:ascii="仿宋" w:hAnsi="仿宋" w:eastAsia="仿宋" w:cs="楷体"/>
                <w:color w:val="auto"/>
                <w:highlight w:val="none"/>
              </w:rPr>
              <w:t>5、提供具有履行本合同所必需的设备和专业技术能力的说明及承诺；</w:t>
            </w:r>
            <w:r>
              <w:rPr>
                <w:rFonts w:hint="eastAsia" w:ascii="仿宋" w:hAnsi="仿宋" w:eastAsia="仿宋" w:cs="楷体"/>
                <w:color w:val="auto"/>
                <w:highlight w:val="none"/>
                <w:u w:val="single"/>
              </w:rPr>
              <w:t>（原件，格式内容自拟，加盖供应商公章）</w:t>
            </w:r>
          </w:p>
          <w:p>
            <w:pPr>
              <w:keepNext w:val="0"/>
              <w:keepLines w:val="0"/>
              <w:suppressLineNumbers w:val="0"/>
              <w:spacing w:before="0" w:beforeAutospacing="0" w:after="0" w:afterAutospacing="0"/>
              <w:ind w:left="0" w:right="0" w:firstLine="210" w:firstLineChars="100"/>
              <w:rPr>
                <w:rFonts w:hint="default" w:ascii="仿宋" w:hAnsi="仿宋" w:eastAsia="仿宋" w:cs="楷体"/>
                <w:b/>
                <w:bCs/>
                <w:color w:val="auto"/>
                <w:highlight w:val="none"/>
              </w:rPr>
            </w:pPr>
            <w:r>
              <w:rPr>
                <w:rFonts w:hint="eastAsia" w:ascii="仿宋" w:hAnsi="仿宋" w:eastAsia="仿宋" w:cs="楷体"/>
                <w:color w:val="auto"/>
                <w:highlight w:val="none"/>
              </w:rPr>
              <w:t>6、提供参加政府采购活动前三年内在经营活动中没有重大违法记录的书面声明。</w:t>
            </w:r>
            <w:r>
              <w:rPr>
                <w:rFonts w:hint="eastAsia" w:ascii="仿宋" w:hAnsi="仿宋" w:eastAsia="仿宋" w:cs="楷体"/>
                <w:color w:val="auto"/>
                <w:highlight w:val="none"/>
                <w:u w:val="single"/>
              </w:rPr>
              <w:t>（原件，格式内容自拟，加盖供应商公章）</w:t>
            </w:r>
          </w:p>
          <w:p>
            <w:pPr>
              <w:keepNext w:val="0"/>
              <w:keepLines w:val="0"/>
              <w:suppressLineNumbers w:val="0"/>
              <w:spacing w:before="0" w:beforeAutospacing="0" w:after="0" w:afterAutospacing="0"/>
              <w:ind w:left="0" w:right="0" w:firstLine="210" w:firstLineChars="100"/>
              <w:rPr>
                <w:rFonts w:hint="default" w:ascii="仿宋" w:hAnsi="仿宋" w:eastAsia="仿宋" w:cs="楷体"/>
                <w:color w:val="auto"/>
                <w:szCs w:val="21"/>
                <w:highlight w:val="none"/>
              </w:rPr>
            </w:pPr>
            <w:r>
              <w:rPr>
                <w:rFonts w:hint="default" w:ascii="仿宋" w:hAnsi="仿宋" w:eastAsia="仿宋" w:cs="楷体"/>
                <w:color w:val="auto"/>
                <w:highlight w:val="none"/>
              </w:rPr>
              <w:t>7</w:t>
            </w:r>
            <w:r>
              <w:rPr>
                <w:rFonts w:hint="eastAsia" w:ascii="仿宋" w:hAnsi="仿宋" w:eastAsia="仿宋" w:cs="楷体"/>
                <w:color w:val="auto"/>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楷体"/>
                <w:color w:val="auto"/>
                <w:szCs w:val="21"/>
                <w:highlight w:val="none"/>
              </w:rPr>
              <w:t>截止时点为磋商文件发售起至投标文件递交截止时间止。</w:t>
            </w:r>
            <w:r>
              <w:rPr>
                <w:rFonts w:hint="eastAsia" w:ascii="仿宋" w:hAnsi="仿宋" w:eastAsia="仿宋" w:cs="楷体"/>
                <w:color w:val="auto"/>
                <w:szCs w:val="21"/>
                <w:highlight w:val="none"/>
                <w:u w:val="single"/>
              </w:rPr>
              <w:t>（提供查询结果网页清晰截图并加盖供应商公章）</w:t>
            </w:r>
          </w:p>
          <w:p>
            <w:pPr>
              <w:keepNext w:val="0"/>
              <w:keepLines w:val="0"/>
              <w:suppressLineNumbers w:val="0"/>
              <w:spacing w:before="0" w:beforeAutospacing="0" w:after="0" w:afterAutospacing="0"/>
              <w:ind w:left="0" w:right="0" w:firstLine="211" w:firstLineChars="100"/>
              <w:rPr>
                <w:rFonts w:hint="default" w:ascii="仿宋" w:hAnsi="仿宋" w:eastAsia="仿宋" w:cs="楷体"/>
                <w:b/>
                <w:bCs/>
                <w:color w:val="auto"/>
                <w:highlight w:val="none"/>
              </w:rPr>
            </w:pPr>
            <w:r>
              <w:rPr>
                <w:rFonts w:hint="eastAsia" w:ascii="仿宋" w:hAnsi="仿宋" w:eastAsia="仿宋" w:cs="楷体"/>
                <w:b/>
                <w:bCs/>
                <w:color w:val="auto"/>
                <w:highlight w:val="none"/>
              </w:rPr>
              <w:t>注：1、上述资格证明文件供应商须单独密封（密封袋标识式样见格式C，身份证可由本人持有,无须封装），随磋商响应文件一同递交，由磋商小组进行资格审查，审查过程中若供应商资格证明文件无效或缺项的视为资格审查不通过，其磋商响应文件按无效响应文件处理。</w:t>
            </w:r>
          </w:p>
          <w:p>
            <w:pPr>
              <w:keepNext w:val="0"/>
              <w:keepLines w:val="0"/>
              <w:suppressLineNumbers w:val="0"/>
              <w:spacing w:before="0" w:beforeAutospacing="0" w:after="0" w:afterAutospacing="0"/>
              <w:ind w:left="0" w:right="0" w:firstLine="422" w:firstLineChars="200"/>
              <w:rPr>
                <w:rFonts w:hint="default" w:ascii="仿宋" w:hAnsi="仿宋" w:eastAsia="仿宋" w:cs="楷体"/>
                <w:color w:val="auto"/>
                <w:szCs w:val="21"/>
                <w:highlight w:val="none"/>
              </w:rPr>
            </w:pPr>
            <w:r>
              <w:rPr>
                <w:rFonts w:hint="eastAsia" w:ascii="仿宋" w:hAnsi="仿宋" w:eastAsia="仿宋" w:cs="楷体"/>
                <w:b/>
                <w:bCs/>
                <w:color w:val="auto"/>
                <w:szCs w:val="22"/>
                <w:highlight w:val="none"/>
              </w:rPr>
              <w:t>2、限制性投标要求：</w:t>
            </w:r>
            <w:r>
              <w:rPr>
                <w:rFonts w:hint="eastAsia" w:ascii="仿宋" w:hAnsi="仿宋" w:eastAsia="仿宋" w:cs="楷体"/>
                <w:color w:val="auto"/>
                <w:highlight w:val="none"/>
              </w:rPr>
              <w:t>本项目不接受联合体磋商，供应商负责人为同一人或者存在直接控股、管理关系的不同供应商，不得参加同一项目或同一标段的政府采购活动。</w:t>
            </w:r>
          </w:p>
        </w:tc>
      </w:tr>
      <w:tr>
        <w:tblPrEx>
          <w:tblCellMar>
            <w:top w:w="0" w:type="dxa"/>
            <w:left w:w="108" w:type="dxa"/>
            <w:bottom w:w="0" w:type="dxa"/>
            <w:right w:w="108" w:type="dxa"/>
          </w:tblCellMar>
        </w:tblPrEx>
        <w:trPr>
          <w:trHeight w:val="770"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13</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完成期限</w:t>
            </w:r>
          </w:p>
        </w:tc>
        <w:tc>
          <w:tcPr>
            <w:tcW w:w="7364"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right="0" w:firstLine="0"/>
              <w:rPr>
                <w:rFonts w:hint="default" w:ascii="仿宋" w:hAnsi="仿宋" w:eastAsia="仿宋" w:cs="楷体"/>
                <w:color w:val="auto"/>
                <w:sz w:val="21"/>
                <w:szCs w:val="21"/>
                <w:highlight w:val="none"/>
              </w:rPr>
            </w:pPr>
            <w:r>
              <w:rPr>
                <w:rFonts w:hint="eastAsia" w:ascii="仿宋" w:hAnsi="仿宋" w:eastAsia="仿宋" w:cs="楷体"/>
                <w:color w:val="auto"/>
                <w:kern w:val="2"/>
                <w:sz w:val="21"/>
                <w:szCs w:val="21"/>
                <w:highlight w:val="none"/>
                <w:u w:val="single"/>
                <w:lang w:eastAsia="zh-CN"/>
              </w:rPr>
              <w:t>2022年</w:t>
            </w:r>
            <w:r>
              <w:rPr>
                <w:rFonts w:hint="eastAsia" w:ascii="仿宋" w:hAnsi="仿宋" w:eastAsia="仿宋" w:cs="楷体"/>
                <w:color w:val="auto"/>
                <w:kern w:val="2"/>
                <w:sz w:val="21"/>
                <w:szCs w:val="21"/>
                <w:highlight w:val="none"/>
                <w:u w:val="single"/>
                <w:lang w:val="en-US" w:eastAsia="zh-CN"/>
              </w:rPr>
              <w:t>10</w:t>
            </w:r>
            <w:r>
              <w:rPr>
                <w:rFonts w:hint="eastAsia" w:ascii="仿宋" w:hAnsi="仿宋" w:eastAsia="仿宋" w:cs="楷体"/>
                <w:color w:val="auto"/>
                <w:kern w:val="2"/>
                <w:sz w:val="21"/>
                <w:szCs w:val="21"/>
                <w:highlight w:val="none"/>
                <w:u w:val="single"/>
                <w:lang w:eastAsia="zh-CN"/>
              </w:rPr>
              <w:t>月3</w:t>
            </w:r>
            <w:r>
              <w:rPr>
                <w:rFonts w:hint="eastAsia" w:ascii="仿宋" w:hAnsi="仿宋" w:eastAsia="仿宋" w:cs="楷体"/>
                <w:color w:val="auto"/>
                <w:kern w:val="2"/>
                <w:sz w:val="21"/>
                <w:szCs w:val="21"/>
                <w:highlight w:val="none"/>
                <w:u w:val="single"/>
                <w:lang w:val="en-US" w:eastAsia="zh-CN"/>
              </w:rPr>
              <w:t>0</w:t>
            </w:r>
            <w:r>
              <w:rPr>
                <w:rFonts w:hint="eastAsia" w:ascii="仿宋" w:hAnsi="仿宋" w:eastAsia="仿宋" w:cs="楷体"/>
                <w:color w:val="auto"/>
                <w:kern w:val="2"/>
                <w:sz w:val="21"/>
                <w:szCs w:val="21"/>
                <w:highlight w:val="none"/>
                <w:u w:val="single"/>
                <w:lang w:eastAsia="zh-CN"/>
              </w:rPr>
              <w:t>日</w:t>
            </w:r>
            <w:r>
              <w:rPr>
                <w:rFonts w:hint="eastAsia" w:ascii="仿宋" w:hAnsi="仿宋" w:eastAsia="仿宋" w:cs="楷体"/>
                <w:color w:val="auto"/>
                <w:kern w:val="2"/>
                <w:sz w:val="21"/>
                <w:szCs w:val="21"/>
                <w:highlight w:val="none"/>
                <w:u w:val="single"/>
              </w:rPr>
              <w:t>前全面完成</w:t>
            </w:r>
          </w:p>
        </w:tc>
      </w:tr>
      <w:tr>
        <w:tblPrEx>
          <w:tblCellMar>
            <w:top w:w="0" w:type="dxa"/>
            <w:left w:w="108" w:type="dxa"/>
            <w:bottom w:w="0" w:type="dxa"/>
            <w:right w:w="108" w:type="dxa"/>
          </w:tblCellMar>
        </w:tblPrEx>
        <w:trPr>
          <w:trHeight w:val="2119"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14</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相关费用及要求</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1、本项目采购代理费由成交供应商按国家收费标准及采购代理机构与采购人的代理协议向采购代理机构缴纳服务费，详见《</w:t>
            </w:r>
            <w:r>
              <w:rPr>
                <w:rFonts w:hint="eastAsia" w:ascii="仿宋" w:hAnsi="仿宋" w:eastAsia="仿宋" w:cs="楷体"/>
                <w:color w:val="auto"/>
                <w:szCs w:val="21"/>
                <w:highlight w:val="none"/>
                <w:lang w:eastAsia="zh-CN"/>
              </w:rPr>
              <w:t>代理服务收费标准 发改价格[2011]534号</w:t>
            </w:r>
            <w:r>
              <w:rPr>
                <w:rFonts w:hint="eastAsia" w:ascii="仿宋" w:hAnsi="仿宋" w:eastAsia="仿宋" w:cs="楷体"/>
                <w:color w:val="auto"/>
                <w:szCs w:val="21"/>
                <w:highlight w:val="none"/>
              </w:rPr>
              <w:t>》及本项目采购结果公告。</w:t>
            </w:r>
          </w:p>
          <w:p>
            <w:pPr>
              <w:keepNext w:val="0"/>
              <w:keepLines w:val="0"/>
              <w:suppressLineNumbers w:val="0"/>
              <w:spacing w:before="0" w:beforeAutospacing="0" w:after="0" w:afterAutospacing="0"/>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2、为了保证采购活动顺利进行，要求各磋商供应商要认真仔细阅读采购文件，严格按采购文件中规定条款制作磋商响应文件。</w:t>
            </w:r>
          </w:p>
        </w:tc>
      </w:tr>
      <w:tr>
        <w:tblPrEx>
          <w:tblCellMar>
            <w:top w:w="0" w:type="dxa"/>
            <w:left w:w="108" w:type="dxa"/>
            <w:bottom w:w="0" w:type="dxa"/>
            <w:right w:w="108" w:type="dxa"/>
          </w:tblCellMar>
        </w:tblPrEx>
        <w:trPr>
          <w:trHeight w:val="1479"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15</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其他</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numPr>
                <w:ilvl w:val="0"/>
                <w:numId w:val="3"/>
              </w:numPr>
              <w:suppressLineNumbers w:val="0"/>
              <w:spacing w:before="0" w:beforeAutospacing="0" w:after="0" w:afterAutospacing="0"/>
              <w:ind w:left="0" w:right="0"/>
              <w:rPr>
                <w:rFonts w:hint="default" w:ascii="仿宋" w:hAnsi="仿宋" w:eastAsia="仿宋" w:cs="楷体"/>
                <w:color w:val="auto"/>
                <w:highlight w:val="none"/>
              </w:rPr>
            </w:pPr>
            <w:r>
              <w:rPr>
                <w:rFonts w:hint="eastAsia" w:ascii="仿宋" w:hAnsi="仿宋" w:eastAsia="仿宋" w:cs="楷体"/>
                <w:color w:val="auto"/>
                <w:highlight w:val="none"/>
              </w:rPr>
              <w:t>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 请各供应商自行在陕西省政府采购网主页面资料下载区下载《陕西省政府采购管理系统供应商用户手册》，并按操作手册流程注册登记。</w:t>
            </w:r>
          </w:p>
          <w:p>
            <w:pPr>
              <w:pStyle w:val="13"/>
              <w:keepNext w:val="0"/>
              <w:keepLines w:val="0"/>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楷体"/>
                <w:color w:val="auto"/>
                <w:sz w:val="21"/>
                <w:highlight w:val="none"/>
              </w:rPr>
            </w:pPr>
            <w:r>
              <w:rPr>
                <w:rFonts w:hint="eastAsia" w:ascii="仿宋" w:hAnsi="仿宋" w:eastAsia="仿宋" w:cs="楷体"/>
                <w:color w:val="auto"/>
                <w:sz w:val="21"/>
                <w:highlight w:val="none"/>
              </w:rPr>
              <w:t>各供应商参与开标会的人员需自觉佩戴口罩等防护用具，做好个人防护，并配合代理机构工作人员在进入标室前进行测量体温及相关防疫信息登记工作。</w:t>
            </w:r>
          </w:p>
          <w:p>
            <w:pPr>
              <w:pStyle w:val="13"/>
              <w:keepNext w:val="0"/>
              <w:keepLines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楷体"/>
                <w:color w:val="auto"/>
                <w:highlight w:val="none"/>
              </w:rPr>
            </w:pPr>
          </w:p>
        </w:tc>
      </w:tr>
    </w:tbl>
    <w:p>
      <w:pPr>
        <w:pStyle w:val="14"/>
        <w:spacing w:line="360" w:lineRule="auto"/>
        <w:ind w:firstLine="2798" w:firstLineChars="871"/>
        <w:rPr>
          <w:rFonts w:ascii="仿宋" w:hAnsi="仿宋" w:eastAsia="仿宋" w:cs="楷体"/>
          <w:b/>
          <w:bCs/>
          <w:color w:val="auto"/>
          <w:highlight w:val="none"/>
        </w:rPr>
      </w:pPr>
    </w:p>
    <w:tbl>
      <w:tblPr>
        <w:tblStyle w:val="1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12"/>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6" w:type="dxa"/>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b/>
                <w:color w:val="auto"/>
                <w:szCs w:val="21"/>
                <w:highlight w:val="none"/>
              </w:rPr>
            </w:pPr>
            <w:r>
              <w:rPr>
                <w:rFonts w:hint="eastAsia" w:ascii="仿宋" w:hAnsi="仿宋" w:eastAsia="仿宋" w:cs="楷体"/>
                <w:b/>
                <w:color w:val="auto"/>
                <w:szCs w:val="21"/>
                <w:highlight w:val="none"/>
              </w:rPr>
              <w:t>序号</w:t>
            </w:r>
          </w:p>
        </w:tc>
        <w:tc>
          <w:tcPr>
            <w:tcW w:w="2112" w:type="dxa"/>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b/>
                <w:color w:val="auto"/>
                <w:szCs w:val="21"/>
                <w:highlight w:val="none"/>
              </w:rPr>
            </w:pPr>
            <w:r>
              <w:rPr>
                <w:rFonts w:hint="eastAsia" w:ascii="仿宋" w:hAnsi="仿宋" w:eastAsia="仿宋" w:cs="楷体"/>
                <w:b/>
                <w:color w:val="auto"/>
                <w:szCs w:val="21"/>
                <w:highlight w:val="none"/>
              </w:rPr>
              <w:t>工作内容</w:t>
            </w:r>
          </w:p>
        </w:tc>
        <w:tc>
          <w:tcPr>
            <w:tcW w:w="6792"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b/>
                <w:color w:val="auto"/>
                <w:szCs w:val="21"/>
                <w:highlight w:val="none"/>
              </w:rPr>
            </w:pPr>
            <w:r>
              <w:rPr>
                <w:rFonts w:hint="eastAsia" w:ascii="仿宋" w:hAnsi="仿宋" w:eastAsia="仿宋" w:cs="楷体"/>
                <w:b/>
                <w:color w:val="auto"/>
                <w:szCs w:val="21"/>
                <w:highlight w:val="none"/>
              </w:rPr>
              <w:t>时间安排及注意事项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76"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w:t>
            </w:r>
          </w:p>
        </w:tc>
        <w:tc>
          <w:tcPr>
            <w:tcW w:w="2112"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发布公告</w:t>
            </w:r>
          </w:p>
        </w:tc>
        <w:tc>
          <w:tcPr>
            <w:tcW w:w="6792" w:type="dxa"/>
            <w:vAlign w:val="center"/>
          </w:tcPr>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发布时间：2022年</w:t>
            </w:r>
            <w:r>
              <w:rPr>
                <w:rFonts w:hint="eastAsia" w:ascii="仿宋" w:hAnsi="仿宋" w:eastAsia="仿宋" w:cs="楷体"/>
                <w:color w:val="auto"/>
                <w:szCs w:val="21"/>
                <w:highlight w:val="none"/>
                <w:lang w:val="en-US" w:eastAsia="zh-CN"/>
              </w:rPr>
              <w:t>6</w:t>
            </w:r>
            <w:r>
              <w:rPr>
                <w:rFonts w:hint="eastAsia" w:ascii="仿宋" w:hAnsi="仿宋" w:eastAsia="仿宋" w:cs="楷体"/>
                <w:color w:val="auto"/>
                <w:szCs w:val="21"/>
                <w:highlight w:val="none"/>
              </w:rPr>
              <w:t>月</w:t>
            </w:r>
            <w:r>
              <w:rPr>
                <w:rFonts w:hint="eastAsia" w:ascii="仿宋" w:hAnsi="仿宋" w:eastAsia="仿宋" w:cs="楷体"/>
                <w:color w:val="auto"/>
                <w:szCs w:val="21"/>
                <w:highlight w:val="none"/>
                <w:lang w:val="en-US" w:eastAsia="zh-CN"/>
              </w:rPr>
              <w:t>13</w:t>
            </w:r>
            <w:r>
              <w:rPr>
                <w:rFonts w:hint="eastAsia" w:ascii="仿宋" w:hAnsi="仿宋" w:eastAsia="仿宋" w:cs="楷体"/>
                <w:color w:val="auto"/>
                <w:szCs w:val="21"/>
                <w:highlight w:val="none"/>
              </w:rPr>
              <w:t>日</w:t>
            </w:r>
          </w:p>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公告媒体：陕西省政府采购网</w:t>
            </w:r>
          </w:p>
          <w:p>
            <w:pPr>
              <w:pStyle w:val="2"/>
              <w:keepNext w:val="0"/>
              <w:keepLines w:val="0"/>
              <w:suppressLineNumbers w:val="0"/>
              <w:spacing w:before="0" w:beforeAutospacing="0" w:after="156" w:afterLines="5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公告期限：</w:t>
            </w:r>
            <w:r>
              <w:rPr>
                <w:rFonts w:hint="eastAsia" w:ascii="仿宋" w:hAnsi="仿宋" w:eastAsia="仿宋" w:cs="楷体"/>
                <w:color w:val="auto"/>
                <w:szCs w:val="21"/>
                <w:highlight w:val="none"/>
                <w:lang w:val="en-US" w:eastAsia="zh-CN"/>
              </w:rPr>
              <w:t>3</w:t>
            </w:r>
            <w:r>
              <w:rPr>
                <w:rFonts w:hint="eastAsia" w:ascii="仿宋" w:hAnsi="仿宋" w:eastAsia="仿宋" w:cs="楷体"/>
                <w:color w:val="auto"/>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2</w:t>
            </w:r>
          </w:p>
        </w:tc>
        <w:tc>
          <w:tcPr>
            <w:tcW w:w="2112"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竞争性磋商文件发售</w:t>
            </w:r>
          </w:p>
        </w:tc>
        <w:tc>
          <w:tcPr>
            <w:tcW w:w="6792" w:type="dxa"/>
            <w:vAlign w:val="center"/>
          </w:tcPr>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文件发售：202</w:t>
            </w:r>
            <w:r>
              <w:rPr>
                <w:rFonts w:hint="default" w:ascii="仿宋" w:hAnsi="仿宋" w:eastAsia="仿宋" w:cs="楷体"/>
                <w:color w:val="auto"/>
                <w:szCs w:val="21"/>
                <w:highlight w:val="none"/>
              </w:rPr>
              <w:t>2</w:t>
            </w:r>
            <w:r>
              <w:rPr>
                <w:rFonts w:hint="eastAsia" w:ascii="仿宋" w:hAnsi="仿宋" w:eastAsia="仿宋" w:cs="楷体"/>
                <w:color w:val="auto"/>
                <w:szCs w:val="21"/>
                <w:highlight w:val="none"/>
              </w:rPr>
              <w:t>年</w:t>
            </w:r>
            <w:r>
              <w:rPr>
                <w:rFonts w:hint="eastAsia" w:ascii="仿宋" w:hAnsi="仿宋" w:eastAsia="仿宋" w:cs="楷体"/>
                <w:color w:val="auto"/>
                <w:szCs w:val="21"/>
                <w:highlight w:val="none"/>
                <w:lang w:val="en-US" w:eastAsia="zh-CN"/>
              </w:rPr>
              <w:t>6</w:t>
            </w:r>
            <w:r>
              <w:rPr>
                <w:rFonts w:hint="eastAsia" w:ascii="仿宋" w:hAnsi="仿宋" w:eastAsia="仿宋" w:cs="楷体"/>
                <w:color w:val="auto"/>
                <w:szCs w:val="21"/>
                <w:highlight w:val="none"/>
              </w:rPr>
              <w:t>月</w:t>
            </w:r>
            <w:r>
              <w:rPr>
                <w:rFonts w:hint="eastAsia" w:ascii="仿宋" w:hAnsi="仿宋" w:eastAsia="仿宋" w:cs="楷体"/>
                <w:color w:val="auto"/>
                <w:szCs w:val="21"/>
                <w:highlight w:val="none"/>
                <w:lang w:val="en-US" w:eastAsia="zh-CN"/>
              </w:rPr>
              <w:t>13</w:t>
            </w:r>
            <w:r>
              <w:rPr>
                <w:rFonts w:hint="eastAsia" w:ascii="仿宋" w:hAnsi="仿宋" w:eastAsia="仿宋" w:cs="楷体"/>
                <w:color w:val="auto"/>
                <w:szCs w:val="21"/>
                <w:highlight w:val="none"/>
              </w:rPr>
              <w:t>日—</w:t>
            </w:r>
            <w:r>
              <w:rPr>
                <w:rFonts w:hint="eastAsia" w:ascii="仿宋" w:hAnsi="仿宋" w:eastAsia="仿宋" w:cs="楷体"/>
                <w:color w:val="auto"/>
                <w:szCs w:val="21"/>
                <w:highlight w:val="none"/>
                <w:lang w:eastAsia="zh-CN"/>
              </w:rPr>
              <w:t>2022年</w:t>
            </w:r>
            <w:r>
              <w:rPr>
                <w:rFonts w:hint="eastAsia" w:ascii="仿宋" w:hAnsi="仿宋" w:eastAsia="仿宋" w:cs="楷体"/>
                <w:color w:val="auto"/>
                <w:szCs w:val="21"/>
                <w:highlight w:val="none"/>
                <w:lang w:val="en-US" w:eastAsia="zh-CN"/>
              </w:rPr>
              <w:t>6</w:t>
            </w:r>
            <w:r>
              <w:rPr>
                <w:rFonts w:hint="eastAsia" w:ascii="仿宋" w:hAnsi="仿宋" w:eastAsia="仿宋" w:cs="楷体"/>
                <w:color w:val="auto"/>
                <w:szCs w:val="21"/>
                <w:highlight w:val="none"/>
                <w:lang w:eastAsia="zh-CN"/>
              </w:rPr>
              <w:t>月</w:t>
            </w:r>
            <w:r>
              <w:rPr>
                <w:rFonts w:hint="eastAsia" w:ascii="仿宋" w:hAnsi="仿宋" w:eastAsia="仿宋" w:cs="楷体"/>
                <w:color w:val="auto"/>
                <w:szCs w:val="21"/>
                <w:highlight w:val="none"/>
                <w:lang w:val="en-US" w:eastAsia="zh-CN"/>
              </w:rPr>
              <w:t>17</w:t>
            </w:r>
            <w:r>
              <w:rPr>
                <w:rFonts w:hint="eastAsia" w:ascii="仿宋" w:hAnsi="仿宋" w:eastAsia="仿宋" w:cs="楷体"/>
                <w:color w:val="auto"/>
                <w:szCs w:val="21"/>
                <w:highlight w:val="none"/>
                <w:lang w:eastAsia="zh-CN"/>
              </w:rPr>
              <w:t>日</w:t>
            </w:r>
            <w:r>
              <w:rPr>
                <w:rFonts w:hint="eastAsia" w:ascii="仿宋" w:hAnsi="仿宋" w:eastAsia="仿宋" w:cs="楷体"/>
                <w:color w:val="auto"/>
                <w:szCs w:val="21"/>
                <w:highlight w:val="none"/>
              </w:rPr>
              <w:t>（法定工作时间）</w:t>
            </w:r>
          </w:p>
          <w:p>
            <w:pPr>
              <w:pStyle w:val="2"/>
              <w:keepNext w:val="0"/>
              <w:keepLines w:val="0"/>
              <w:suppressLineNumbers w:val="0"/>
              <w:spacing w:before="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发售地点：</w:t>
            </w:r>
            <w:r>
              <w:rPr>
                <w:rFonts w:hint="eastAsia" w:ascii="仿宋" w:hAnsi="仿宋" w:eastAsia="仿宋" w:cs="楷体"/>
                <w:color w:val="auto"/>
                <w:szCs w:val="21"/>
                <w:highlight w:val="none"/>
                <w:lang w:eastAsia="zh-CN"/>
              </w:rPr>
              <w:t>长信项目管理有限公司</w:t>
            </w:r>
            <w:r>
              <w:rPr>
                <w:rFonts w:hint="eastAsia" w:ascii="仿宋" w:hAnsi="仿宋" w:eastAsia="仿宋" w:cs="楷体"/>
                <w:color w:val="auto"/>
                <w:szCs w:val="21"/>
                <w:highlight w:val="none"/>
              </w:rPr>
              <w:t>（汉中市汉台区前进东路丰辉龙亭园A区9号楼301室）</w:t>
            </w:r>
          </w:p>
          <w:p>
            <w:pPr>
              <w:pStyle w:val="2"/>
              <w:keepNext w:val="0"/>
              <w:keepLines w:val="0"/>
              <w:suppressLineNumbers w:val="0"/>
              <w:spacing w:before="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联系人：王女士</w:t>
            </w:r>
          </w:p>
          <w:p>
            <w:pPr>
              <w:pStyle w:val="2"/>
              <w:keepNext w:val="0"/>
              <w:keepLines w:val="0"/>
              <w:suppressLineNumbers w:val="0"/>
              <w:spacing w:before="0" w:beforeAutospacing="0" w:after="156" w:afterLines="50" w:afterAutospacing="0" w:line="276" w:lineRule="auto"/>
              <w:ind w:left="0" w:right="115" w:rightChars="55" w:firstLine="0"/>
              <w:rPr>
                <w:rFonts w:hint="default" w:ascii="仿宋" w:hAnsi="仿宋" w:eastAsia="仿宋" w:cs="楷体"/>
                <w:color w:val="auto"/>
                <w:szCs w:val="21"/>
                <w:highlight w:val="none"/>
                <w:lang w:eastAsia="zh-CN"/>
              </w:rPr>
            </w:pPr>
            <w:r>
              <w:rPr>
                <w:rFonts w:hint="eastAsia" w:ascii="仿宋" w:hAnsi="仿宋" w:eastAsia="仿宋" w:cs="楷体"/>
                <w:color w:val="auto"/>
                <w:szCs w:val="21"/>
                <w:highlight w:val="none"/>
              </w:rPr>
              <w:t>电  话：</w:t>
            </w:r>
            <w:r>
              <w:rPr>
                <w:rFonts w:hint="default" w:ascii="仿宋" w:hAnsi="仿宋" w:eastAsia="仿宋" w:cs="楷体"/>
                <w:color w:val="auto"/>
                <w:szCs w:val="21"/>
                <w:highlight w:val="none"/>
                <w:lang w:eastAsia="zh-CN"/>
              </w:rPr>
              <w:t>2212100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76"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b/>
                <w:bCs/>
                <w:color w:val="auto"/>
                <w:szCs w:val="21"/>
                <w:highlight w:val="none"/>
              </w:rPr>
            </w:pPr>
            <w:r>
              <w:rPr>
                <w:rFonts w:hint="eastAsia" w:ascii="仿宋" w:hAnsi="仿宋" w:eastAsia="仿宋" w:cs="楷体"/>
                <w:color w:val="auto"/>
                <w:szCs w:val="21"/>
                <w:highlight w:val="none"/>
              </w:rPr>
              <w:t>3</w:t>
            </w:r>
          </w:p>
        </w:tc>
        <w:tc>
          <w:tcPr>
            <w:tcW w:w="2112"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踏勘现场</w:t>
            </w:r>
          </w:p>
        </w:tc>
        <w:tc>
          <w:tcPr>
            <w:tcW w:w="6792" w:type="dxa"/>
            <w:vAlign w:val="center"/>
          </w:tcPr>
          <w:p>
            <w:pPr>
              <w:keepNext w:val="0"/>
              <w:keepLines w:val="0"/>
              <w:suppressLineNumbers w:val="0"/>
              <w:spacing w:before="0" w:beforeAutospacing="0" w:after="0" w:afterAutospacing="0"/>
              <w:ind w:left="0" w:right="0"/>
              <w:jc w:val="left"/>
              <w:rPr>
                <w:rFonts w:hint="default" w:ascii="仿宋" w:hAnsi="仿宋" w:eastAsia="仿宋" w:cs="楷体"/>
                <w:color w:val="auto"/>
                <w:szCs w:val="21"/>
                <w:highlight w:val="none"/>
              </w:rPr>
            </w:pPr>
            <w:r>
              <w:rPr>
                <w:rFonts w:hint="eastAsia" w:ascii="仿宋" w:hAnsi="仿宋" w:eastAsia="仿宋" w:cs="楷体"/>
                <w:color w:val="auto"/>
                <w:szCs w:val="21"/>
                <w:highlight w:val="none"/>
              </w:rPr>
              <w:t>本项目供应商可自行踏勘，采购代理机构不统一组织。</w:t>
            </w:r>
            <w:r>
              <w:rPr>
                <w:rFonts w:hint="eastAsia" w:ascii="仿宋" w:hAnsi="仿宋" w:eastAsia="仿宋" w:cs="楷体"/>
                <w:color w:val="auto"/>
                <w:kern w:val="2"/>
                <w:sz w:val="21"/>
                <w:szCs w:val="21"/>
                <w:highlight w:val="none"/>
                <w:lang w:val="en-US" w:eastAsia="zh-CN" w:bidi="ar-SA"/>
              </w:rPr>
              <w:t>投标供应商可根据自身需要自行与采购方负责人联系踏勘事宜；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76"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4</w:t>
            </w:r>
          </w:p>
        </w:tc>
        <w:tc>
          <w:tcPr>
            <w:tcW w:w="2112" w:type="dxa"/>
            <w:vAlign w:val="center"/>
          </w:tcPr>
          <w:p>
            <w:pPr>
              <w:pStyle w:val="23"/>
              <w:spacing w:line="276" w:lineRule="auto"/>
              <w:ind w:left="235" w:leftChars="0"/>
              <w:jc w:val="center"/>
              <w:rPr>
                <w:rFonts w:hint="default" w:ascii="仿宋" w:hAnsi="仿宋" w:eastAsia="仿宋" w:cs="楷体"/>
                <w:color w:val="auto"/>
                <w:kern w:val="2"/>
                <w:sz w:val="21"/>
                <w:szCs w:val="21"/>
                <w:highlight w:val="none"/>
                <w:lang w:val="en-US" w:eastAsia="zh-CN" w:bidi="ar-SA"/>
              </w:rPr>
            </w:pPr>
            <w:r>
              <w:rPr>
                <w:rFonts w:hint="eastAsia" w:ascii="仿宋" w:hAnsi="仿宋" w:eastAsia="仿宋" w:cs="楷体"/>
                <w:color w:val="auto"/>
                <w:kern w:val="2"/>
                <w:sz w:val="21"/>
                <w:szCs w:val="21"/>
                <w:highlight w:val="none"/>
                <w:lang w:val="zh-CN" w:eastAsia="zh-CN" w:bidi="ar-SA"/>
              </w:rPr>
              <w:t>联合体投标</w:t>
            </w:r>
          </w:p>
        </w:tc>
        <w:tc>
          <w:tcPr>
            <w:tcW w:w="6792" w:type="dxa"/>
            <w:vAlign w:val="center"/>
          </w:tcPr>
          <w:p>
            <w:pPr>
              <w:spacing w:line="276" w:lineRule="auto"/>
              <w:rPr>
                <w:rFonts w:hint="default" w:ascii="仿宋" w:hAnsi="仿宋" w:eastAsia="仿宋" w:cs="楷体"/>
                <w:color w:val="auto"/>
                <w:kern w:val="2"/>
                <w:sz w:val="21"/>
                <w:szCs w:val="21"/>
                <w:highlight w:val="none"/>
                <w:lang w:val="en-US" w:eastAsia="zh-CN" w:bidi="ar-SA"/>
              </w:rPr>
            </w:pPr>
            <w:r>
              <w:rPr>
                <w:rFonts w:hint="eastAsia" w:ascii="仿宋" w:hAnsi="仿宋" w:eastAsia="仿宋" w:cs="楷体"/>
                <w:color w:val="auto"/>
                <w:kern w:val="2"/>
                <w:sz w:val="21"/>
                <w:szCs w:val="21"/>
                <w:highlight w:val="none"/>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5</w:t>
            </w:r>
          </w:p>
        </w:tc>
        <w:tc>
          <w:tcPr>
            <w:tcW w:w="2112"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竞争性磋商文件澄清</w:t>
            </w:r>
          </w:p>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或修改时间</w:t>
            </w:r>
          </w:p>
        </w:tc>
        <w:tc>
          <w:tcPr>
            <w:tcW w:w="6792" w:type="dxa"/>
            <w:vAlign w:val="center"/>
          </w:tcPr>
          <w:p>
            <w:pPr>
              <w:pStyle w:val="2"/>
              <w:keepNext w:val="0"/>
              <w:keepLines w:val="0"/>
              <w:suppressLineNumbers w:val="0"/>
              <w:spacing w:before="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澄清（修改）时间：磋商响应文件递交截至时间5日前；</w:t>
            </w:r>
          </w:p>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获取方式：采购代理机构书面通知所有报名磋商供应商。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76" w:type="dxa"/>
            <w:vAlign w:val="center"/>
          </w:tcPr>
          <w:p>
            <w:pPr>
              <w:pStyle w:val="2"/>
              <w:keepNext w:val="0"/>
              <w:keepLines w:val="0"/>
              <w:suppressLineNumbers w:val="0"/>
              <w:spacing w:before="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6</w:t>
            </w:r>
          </w:p>
        </w:tc>
        <w:tc>
          <w:tcPr>
            <w:tcW w:w="2112"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lang w:val="zh-CN"/>
              </w:rPr>
            </w:pPr>
            <w:r>
              <w:rPr>
                <w:rFonts w:hint="eastAsia" w:ascii="仿宋" w:hAnsi="仿宋" w:eastAsia="仿宋" w:cs="楷体"/>
                <w:color w:val="auto"/>
                <w:szCs w:val="21"/>
                <w:highlight w:val="none"/>
                <w:lang w:val="zh-CN"/>
              </w:rPr>
              <w:t>磋商响应文件递交</w:t>
            </w:r>
          </w:p>
          <w:p>
            <w:pPr>
              <w:pStyle w:val="2"/>
              <w:keepNext w:val="0"/>
              <w:keepLines w:val="0"/>
              <w:suppressLineNumbers w:val="0"/>
              <w:spacing w:before="0" w:beforeAutospacing="0" w:after="156" w:afterLines="5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lang w:val="zh-CN"/>
              </w:rPr>
              <w:t>截止时间</w:t>
            </w:r>
          </w:p>
        </w:tc>
        <w:tc>
          <w:tcPr>
            <w:tcW w:w="6792" w:type="dxa"/>
            <w:vAlign w:val="center"/>
          </w:tcPr>
          <w:p>
            <w:pPr>
              <w:keepNext w:val="0"/>
              <w:keepLines w:val="0"/>
              <w:suppressLineNumbers w:val="0"/>
              <w:tabs>
                <w:tab w:val="left" w:pos="1440"/>
              </w:tabs>
              <w:spacing w:before="0" w:beforeAutospacing="0" w:after="0" w:afterAutospacing="0" w:line="276" w:lineRule="auto"/>
              <w:ind w:left="0" w:right="115" w:rightChars="55"/>
              <w:rPr>
                <w:rFonts w:hint="default" w:ascii="仿宋" w:hAnsi="仿宋" w:eastAsia="仿宋" w:cs="楷体"/>
                <w:color w:val="auto"/>
                <w:szCs w:val="21"/>
                <w:highlight w:val="none"/>
                <w:lang w:val="zh-CN"/>
              </w:rPr>
            </w:pPr>
            <w:r>
              <w:rPr>
                <w:rFonts w:hint="eastAsia" w:ascii="仿宋" w:hAnsi="仿宋" w:eastAsia="仿宋" w:cs="楷体"/>
                <w:color w:val="auto"/>
                <w:szCs w:val="21"/>
                <w:highlight w:val="none"/>
                <w:lang w:val="zh-CN"/>
              </w:rPr>
              <w:t>响应文件递交截止时间：2022年6月23日上午9:00（北京时间）；</w:t>
            </w:r>
          </w:p>
          <w:p>
            <w:pPr>
              <w:keepNext w:val="0"/>
              <w:keepLines w:val="0"/>
              <w:suppressLineNumbers w:val="0"/>
              <w:tabs>
                <w:tab w:val="left" w:pos="1440"/>
              </w:tabs>
              <w:spacing w:before="0" w:beforeAutospacing="0" w:after="0" w:afterAutospacing="0" w:line="276" w:lineRule="auto"/>
              <w:ind w:left="0" w:right="115" w:rightChars="55"/>
              <w:rPr>
                <w:rFonts w:hint="default" w:ascii="仿宋" w:hAnsi="仿宋" w:eastAsia="仿宋" w:cs="楷体"/>
                <w:color w:val="auto"/>
                <w:szCs w:val="21"/>
                <w:highlight w:val="none"/>
                <w:lang w:val="zh-CN"/>
              </w:rPr>
            </w:pPr>
            <w:r>
              <w:rPr>
                <w:rFonts w:hint="eastAsia" w:ascii="仿宋" w:hAnsi="仿宋" w:eastAsia="仿宋" w:cs="楷体"/>
                <w:color w:val="auto"/>
                <w:szCs w:val="21"/>
                <w:highlight w:val="none"/>
                <w:lang w:val="zh-CN"/>
              </w:rPr>
              <w:t>磋商截止时间后送达的磋商响应文件将被拒收。</w:t>
            </w:r>
          </w:p>
          <w:p>
            <w:pPr>
              <w:keepNext w:val="0"/>
              <w:keepLines w:val="0"/>
              <w:suppressLineNumbers w:val="0"/>
              <w:spacing w:before="0" w:beforeAutospacing="0" w:after="0" w:afterAutospacing="0" w:line="350" w:lineRule="exact"/>
              <w:ind w:left="0" w:right="0"/>
              <w:jc w:val="left"/>
              <w:rPr>
                <w:rFonts w:hint="eastAsia" w:ascii="仿宋" w:hAnsi="仿宋" w:eastAsia="仿宋" w:cs="楷体"/>
                <w:color w:val="auto"/>
                <w:szCs w:val="21"/>
                <w:highlight w:val="none"/>
                <w:lang w:val="en-US" w:eastAsia="zh-CN"/>
              </w:rPr>
            </w:pPr>
            <w:r>
              <w:rPr>
                <w:rFonts w:hint="eastAsia" w:ascii="仿宋" w:hAnsi="仿宋" w:eastAsia="仿宋" w:cs="楷体"/>
                <w:color w:val="auto"/>
                <w:szCs w:val="21"/>
                <w:highlight w:val="none"/>
                <w:lang w:val="zh-CN"/>
              </w:rPr>
              <w:t>磋商响应文件递交地点：长信项目管理有限公司会议室</w:t>
            </w:r>
            <w:r>
              <w:rPr>
                <w:rFonts w:hint="eastAsia" w:ascii="仿宋" w:hAnsi="仿宋" w:eastAsia="仿宋" w:cs="楷体"/>
                <w:color w:val="auto"/>
                <w:szCs w:val="21"/>
                <w:highlight w:val="none"/>
                <w:lang w:val="en-US" w:eastAsia="zh-CN"/>
              </w:rPr>
              <w:t>(</w:t>
            </w:r>
            <w:r>
              <w:rPr>
                <w:rFonts w:hint="eastAsia" w:ascii="仿宋" w:hAnsi="仿宋" w:eastAsia="仿宋" w:cs="楷体"/>
                <w:color w:val="auto"/>
                <w:sz w:val="21"/>
                <w:szCs w:val="21"/>
                <w:highlight w:val="none"/>
              </w:rPr>
              <w:t>汉中市汉台区前进东路丰辉龙亭园A区9号楼301室会议室</w:t>
            </w:r>
            <w:r>
              <w:rPr>
                <w:rFonts w:hint="eastAsia" w:ascii="仿宋" w:hAnsi="仿宋" w:eastAsia="仿宋" w:cs="楷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pStyle w:val="2"/>
              <w:keepNext w:val="0"/>
              <w:keepLines w:val="0"/>
              <w:suppressLineNumbers w:val="0"/>
              <w:spacing w:before="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7</w:t>
            </w:r>
          </w:p>
        </w:tc>
        <w:tc>
          <w:tcPr>
            <w:tcW w:w="2112" w:type="dxa"/>
            <w:vAlign w:val="center"/>
          </w:tcPr>
          <w:p>
            <w:pPr>
              <w:pStyle w:val="14"/>
              <w:keepNext w:val="0"/>
              <w:keepLines w:val="0"/>
              <w:suppressLineNumbers w:val="0"/>
              <w:spacing w:before="0" w:beforeAutospacing="0" w:after="0" w:afterAutospacing="0" w:line="276" w:lineRule="auto"/>
              <w:ind w:left="0" w:right="0" w:firstLine="0"/>
              <w:jc w:val="center"/>
              <w:rPr>
                <w:rFonts w:hint="default" w:ascii="仿宋" w:hAnsi="仿宋" w:eastAsia="仿宋" w:cs="楷体"/>
                <w:color w:val="auto"/>
                <w:sz w:val="21"/>
                <w:szCs w:val="21"/>
                <w:highlight w:val="none"/>
              </w:rPr>
            </w:pPr>
            <w:r>
              <w:rPr>
                <w:rFonts w:hint="eastAsia" w:ascii="仿宋" w:hAnsi="仿宋" w:eastAsia="仿宋" w:cs="楷体"/>
                <w:color w:val="auto"/>
                <w:sz w:val="21"/>
                <w:szCs w:val="21"/>
                <w:highlight w:val="none"/>
              </w:rPr>
              <w:t>磋商保证金交纳金额、账户及方式</w:t>
            </w:r>
          </w:p>
        </w:tc>
        <w:tc>
          <w:tcPr>
            <w:tcW w:w="6792" w:type="dxa"/>
            <w:vAlign w:val="center"/>
          </w:tcPr>
          <w:p>
            <w:pPr>
              <w:keepNext w:val="0"/>
              <w:keepLines w:val="0"/>
              <w:suppressLineNumbers w:val="0"/>
              <w:spacing w:before="0" w:beforeAutospacing="0" w:after="0" w:afterAutospacing="0" w:line="350" w:lineRule="exact"/>
              <w:ind w:left="0" w:right="0"/>
              <w:jc w:val="left"/>
              <w:rPr>
                <w:rFonts w:hint="default" w:ascii="仿宋" w:hAnsi="仿宋" w:eastAsia="仿宋" w:cs="楷体"/>
                <w:color w:val="auto"/>
                <w:szCs w:val="21"/>
                <w:highlight w:val="none"/>
              </w:rPr>
            </w:pPr>
            <w:r>
              <w:rPr>
                <w:rFonts w:hint="eastAsia" w:ascii="仿宋" w:hAnsi="仿宋" w:eastAsia="仿宋" w:cs="楷体"/>
                <w:color w:val="auto"/>
                <w:szCs w:val="21"/>
                <w:highlight w:val="none"/>
              </w:rPr>
              <w:t>1、磋商保证金金额：</w:t>
            </w:r>
            <w:r>
              <w:rPr>
                <w:rFonts w:hint="eastAsia" w:ascii="仿宋" w:hAnsi="仿宋" w:eastAsia="仿宋" w:cs="楷体"/>
                <w:b/>
                <w:bCs/>
                <w:color w:val="auto"/>
                <w:szCs w:val="21"/>
                <w:highlight w:val="none"/>
                <w:lang w:eastAsia="zh-CN"/>
              </w:rPr>
              <w:t>陆</w:t>
            </w:r>
            <w:r>
              <w:rPr>
                <w:rFonts w:hint="eastAsia" w:ascii="仿宋" w:hAnsi="仿宋" w:eastAsia="仿宋" w:cs="楷体"/>
                <w:b/>
                <w:bCs/>
                <w:color w:val="auto"/>
                <w:szCs w:val="21"/>
                <w:highlight w:val="none"/>
              </w:rPr>
              <w:t>仟元整（￥</w:t>
            </w:r>
            <w:r>
              <w:rPr>
                <w:rFonts w:hint="eastAsia" w:ascii="仿宋" w:hAnsi="仿宋" w:eastAsia="仿宋" w:cs="楷体"/>
                <w:b/>
                <w:bCs/>
                <w:color w:val="auto"/>
                <w:szCs w:val="21"/>
                <w:highlight w:val="none"/>
                <w:lang w:val="en-US" w:eastAsia="zh-CN"/>
              </w:rPr>
              <w:t>6</w:t>
            </w:r>
            <w:r>
              <w:rPr>
                <w:rFonts w:hint="eastAsia" w:ascii="仿宋" w:hAnsi="仿宋" w:eastAsia="仿宋" w:cs="楷体"/>
                <w:b/>
                <w:bCs/>
                <w:color w:val="auto"/>
                <w:szCs w:val="21"/>
                <w:highlight w:val="none"/>
              </w:rPr>
              <w:t>000.00元）</w:t>
            </w:r>
            <w:r>
              <w:rPr>
                <w:rFonts w:hint="eastAsia" w:ascii="仿宋" w:hAnsi="仿宋" w:eastAsia="仿宋" w:cs="楷体"/>
                <w:color w:val="auto"/>
                <w:szCs w:val="21"/>
                <w:highlight w:val="none"/>
              </w:rPr>
              <w:t xml:space="preserve">               </w:t>
            </w:r>
          </w:p>
          <w:p>
            <w:pPr>
              <w:keepNext w:val="0"/>
              <w:keepLines w:val="0"/>
              <w:suppressLineNumbers w:val="0"/>
              <w:spacing w:before="0" w:beforeAutospacing="0" w:after="0" w:afterAutospacing="0" w:line="350" w:lineRule="exact"/>
              <w:ind w:left="0" w:right="0"/>
              <w:jc w:val="left"/>
              <w:rPr>
                <w:rFonts w:hint="default" w:ascii="仿宋" w:hAnsi="仿宋" w:eastAsia="仿宋" w:cs="楷体"/>
                <w:color w:val="auto"/>
                <w:szCs w:val="21"/>
                <w:highlight w:val="none"/>
              </w:rPr>
            </w:pPr>
            <w:r>
              <w:rPr>
                <w:rFonts w:hint="eastAsia" w:ascii="仿宋" w:hAnsi="仿宋" w:eastAsia="仿宋" w:cs="楷体"/>
                <w:color w:val="auto"/>
                <w:szCs w:val="21"/>
                <w:highlight w:val="none"/>
              </w:rPr>
              <w:t>2、采购代理机构账户信息：</w:t>
            </w:r>
          </w:p>
          <w:p>
            <w:pPr>
              <w:keepNext w:val="0"/>
              <w:keepLines w:val="0"/>
              <w:suppressLineNumbers w:val="0"/>
              <w:spacing w:before="0" w:beforeAutospacing="0" w:after="0" w:afterAutospacing="0" w:line="350" w:lineRule="exact"/>
              <w:ind w:left="0" w:right="0" w:firstLine="210" w:firstLineChars="100"/>
              <w:jc w:val="left"/>
              <w:rPr>
                <w:rFonts w:hint="default" w:ascii="仿宋" w:hAnsi="仿宋" w:eastAsia="仿宋" w:cs="楷体"/>
                <w:color w:val="auto"/>
                <w:szCs w:val="21"/>
                <w:highlight w:val="none"/>
              </w:rPr>
            </w:pPr>
            <w:r>
              <w:rPr>
                <w:rFonts w:hint="eastAsia" w:ascii="仿宋" w:hAnsi="仿宋" w:eastAsia="仿宋" w:cs="楷体"/>
                <w:color w:val="auto"/>
                <w:szCs w:val="21"/>
                <w:highlight w:val="none"/>
              </w:rPr>
              <w:t>开户名称：</w:t>
            </w:r>
            <w:r>
              <w:rPr>
                <w:rFonts w:hint="eastAsia" w:ascii="仿宋" w:hAnsi="仿宋" w:eastAsia="仿宋" w:cs="楷体"/>
                <w:color w:val="auto"/>
                <w:szCs w:val="21"/>
                <w:highlight w:val="none"/>
                <w:lang w:eastAsia="zh-CN"/>
              </w:rPr>
              <w:t>陕西长信项目管理有限公司</w:t>
            </w:r>
            <w:r>
              <w:rPr>
                <w:rFonts w:hint="eastAsia" w:ascii="仿宋" w:hAnsi="仿宋" w:eastAsia="仿宋" w:cs="楷体"/>
                <w:color w:val="auto"/>
                <w:szCs w:val="21"/>
                <w:highlight w:val="none"/>
              </w:rPr>
              <w:t>汉中分公司</w:t>
            </w:r>
          </w:p>
          <w:p>
            <w:pPr>
              <w:keepNext w:val="0"/>
              <w:keepLines w:val="0"/>
              <w:suppressLineNumbers w:val="0"/>
              <w:spacing w:before="0" w:beforeAutospacing="0" w:after="0" w:afterAutospacing="0" w:line="350" w:lineRule="exact"/>
              <w:ind w:left="0" w:right="0" w:firstLine="210" w:firstLineChars="100"/>
              <w:jc w:val="left"/>
              <w:rPr>
                <w:rFonts w:hint="default" w:ascii="仿宋" w:hAnsi="仿宋" w:eastAsia="仿宋" w:cs="楷体"/>
                <w:color w:val="auto"/>
                <w:szCs w:val="21"/>
                <w:highlight w:val="none"/>
              </w:rPr>
            </w:pPr>
            <w:r>
              <w:rPr>
                <w:rFonts w:hint="eastAsia" w:ascii="仿宋" w:hAnsi="仿宋" w:eastAsia="仿宋" w:cs="楷体"/>
                <w:color w:val="auto"/>
                <w:szCs w:val="21"/>
                <w:highlight w:val="none"/>
              </w:rPr>
              <w:t>开 户 行：中国工商银行股份有限公司汉中兴汉路支行</w:t>
            </w:r>
          </w:p>
          <w:p>
            <w:pPr>
              <w:keepNext w:val="0"/>
              <w:keepLines w:val="0"/>
              <w:suppressLineNumbers w:val="0"/>
              <w:spacing w:before="0" w:beforeAutospacing="0" w:after="0" w:afterAutospacing="0" w:line="350" w:lineRule="exact"/>
              <w:ind w:left="0" w:right="0" w:firstLine="210" w:firstLineChars="100"/>
              <w:jc w:val="left"/>
              <w:rPr>
                <w:rFonts w:hint="default" w:ascii="仿宋" w:hAnsi="仿宋" w:eastAsia="仿宋" w:cs="楷体"/>
                <w:color w:val="auto"/>
                <w:szCs w:val="21"/>
                <w:highlight w:val="none"/>
              </w:rPr>
            </w:pPr>
            <w:r>
              <w:rPr>
                <w:rFonts w:hint="eastAsia" w:ascii="仿宋" w:hAnsi="仿宋" w:eastAsia="仿宋" w:cs="楷体"/>
                <w:color w:val="auto"/>
                <w:szCs w:val="21"/>
                <w:highlight w:val="none"/>
              </w:rPr>
              <w:t xml:space="preserve">账 </w:t>
            </w:r>
            <w:r>
              <w:rPr>
                <w:rFonts w:hint="default" w:ascii="仿宋" w:hAnsi="仿宋" w:eastAsia="仿宋" w:cs="楷体"/>
                <w:color w:val="auto"/>
                <w:szCs w:val="21"/>
                <w:highlight w:val="none"/>
              </w:rPr>
              <w:t xml:space="preserve">  </w:t>
            </w:r>
            <w:r>
              <w:rPr>
                <w:rFonts w:hint="eastAsia" w:ascii="仿宋" w:hAnsi="仿宋" w:eastAsia="仿宋" w:cs="楷体"/>
                <w:color w:val="auto"/>
                <w:szCs w:val="21"/>
                <w:highlight w:val="none"/>
              </w:rPr>
              <w:t xml:space="preserve"> 号：</w:t>
            </w:r>
            <w:r>
              <w:rPr>
                <w:rFonts w:hint="default" w:ascii="仿宋" w:hAnsi="仿宋" w:eastAsia="仿宋" w:cs="楷体"/>
                <w:color w:val="auto"/>
                <w:szCs w:val="21"/>
                <w:highlight w:val="none"/>
              </w:rPr>
              <w:t>2606055209100067790</w:t>
            </w:r>
          </w:p>
          <w:p>
            <w:pPr>
              <w:keepNext w:val="0"/>
              <w:keepLines w:val="0"/>
              <w:suppressLineNumbers w:val="0"/>
              <w:spacing w:before="0" w:beforeAutospacing="0" w:after="0" w:afterAutospacing="0" w:line="350" w:lineRule="exact"/>
              <w:ind w:left="0" w:right="0"/>
              <w:jc w:val="left"/>
              <w:rPr>
                <w:rFonts w:hint="default" w:ascii="仿宋" w:hAnsi="仿宋" w:eastAsia="仿宋" w:cs="楷体"/>
                <w:color w:val="auto"/>
                <w:szCs w:val="21"/>
                <w:highlight w:val="none"/>
              </w:rPr>
            </w:pPr>
            <w:r>
              <w:rPr>
                <w:rFonts w:hint="eastAsia" w:ascii="仿宋" w:hAnsi="仿宋" w:eastAsia="仿宋" w:cs="楷体"/>
                <w:color w:val="auto"/>
                <w:szCs w:val="21"/>
                <w:highlight w:val="none"/>
              </w:rPr>
              <w:t>3、磋商保证金应在磋商截止时间前，由供应商以银行转账、电汇、符合陕西省财政厅陕财办采资〔2013〕5号文件规定的投标担保函的形式足额缴纳，磋商保证金不接受现金形式，供应商不得以个人名义交纳保证金，否则按未交纳保证金处理，转账备注栏须注明</w:t>
            </w:r>
            <w:r>
              <w:rPr>
                <w:rFonts w:hint="eastAsia" w:ascii="仿宋" w:hAnsi="仿宋" w:eastAsia="仿宋" w:cs="楷体"/>
                <w:b/>
                <w:bCs/>
                <w:color w:val="auto"/>
                <w:szCs w:val="21"/>
                <w:highlight w:val="none"/>
                <w:u w:val="single"/>
                <w:lang w:eastAsia="zh-CN"/>
              </w:rPr>
              <w:t>SXCX-HZ—20220601</w:t>
            </w:r>
            <w:r>
              <w:rPr>
                <w:rFonts w:hint="eastAsia" w:ascii="仿宋" w:hAnsi="仿宋" w:eastAsia="仿宋" w:cs="楷体"/>
                <w:b/>
                <w:bCs/>
                <w:color w:val="auto"/>
                <w:szCs w:val="21"/>
                <w:highlight w:val="none"/>
                <w:u w:val="single"/>
              </w:rPr>
              <w:t>磋商保证金</w:t>
            </w:r>
            <w:r>
              <w:rPr>
                <w:rFonts w:hint="eastAsia" w:ascii="仿宋" w:hAnsi="仿宋" w:eastAsia="仿宋" w:cs="楷体"/>
                <w:color w:val="auto"/>
                <w:szCs w:val="21"/>
                <w:highlight w:val="none"/>
              </w:rPr>
              <w:t>字样；</w:t>
            </w:r>
          </w:p>
          <w:p>
            <w:pPr>
              <w:keepNext w:val="0"/>
              <w:keepLines w:val="0"/>
              <w:suppressLineNumbers w:val="0"/>
              <w:spacing w:before="0" w:beforeAutospacing="0" w:after="0" w:afterAutospacing="0" w:line="350" w:lineRule="exact"/>
              <w:ind w:left="0" w:right="0"/>
              <w:jc w:val="left"/>
              <w:rPr>
                <w:rFonts w:hint="default" w:ascii="仿宋" w:hAnsi="仿宋" w:eastAsia="仿宋" w:cs="楷体"/>
                <w:color w:val="auto"/>
                <w:szCs w:val="21"/>
                <w:highlight w:val="none"/>
              </w:rPr>
            </w:pPr>
            <w:r>
              <w:rPr>
                <w:rFonts w:hint="eastAsia" w:ascii="仿宋" w:hAnsi="仿宋" w:eastAsia="仿宋" w:cs="楷体"/>
                <w:color w:val="auto"/>
                <w:szCs w:val="21"/>
                <w:highlight w:val="none"/>
              </w:rPr>
              <w:t>4、供应商应合理安排保证金缴纳时间，因异地转账、跨行转账、非工作日转账等原因导致保证金未能在规定时间内到达指定账户，视为未在规定时间内缴纳，供应商逾期未提交或逾期到账视为放弃磋商，以银行实际到账时间为准。</w:t>
            </w:r>
          </w:p>
          <w:p>
            <w:pPr>
              <w:keepNext w:val="0"/>
              <w:keepLines w:val="0"/>
              <w:suppressLineNumbers w:val="0"/>
              <w:spacing w:before="0" w:beforeAutospacing="0" w:after="0" w:afterAutospacing="0" w:line="350" w:lineRule="exact"/>
              <w:ind w:left="0" w:right="0"/>
              <w:jc w:val="left"/>
              <w:rPr>
                <w:rFonts w:hint="default" w:ascii="仿宋" w:hAnsi="仿宋" w:eastAsia="仿宋" w:cs="楷体"/>
                <w:color w:val="auto"/>
                <w:szCs w:val="21"/>
                <w:highlight w:val="none"/>
              </w:rPr>
            </w:pPr>
            <w:r>
              <w:rPr>
                <w:rFonts w:hint="eastAsia" w:ascii="仿宋" w:hAnsi="仿宋" w:eastAsia="仿宋" w:cs="楷体"/>
                <w:color w:val="auto"/>
                <w:szCs w:val="21"/>
                <w:highlight w:val="none"/>
              </w:rPr>
              <w:t>5、以保函形式提交的必须为陕西省财政厅认定的具有开具投标保函资格的单位开具的保函。</w:t>
            </w:r>
          </w:p>
          <w:p>
            <w:pPr>
              <w:pStyle w:val="17"/>
              <w:keepNext w:val="0"/>
              <w:keepLines w:val="0"/>
              <w:suppressLineNumbers w:val="0"/>
              <w:spacing w:before="0" w:beforeAutospacing="0" w:afterAutospacing="0"/>
              <w:ind w:left="0" w:right="0" w:firstLine="0" w:firstLineChars="0"/>
              <w:rPr>
                <w:rFonts w:hint="eastAsia" w:ascii="仿宋" w:hAnsi="仿宋" w:eastAsia="仿宋"/>
                <w:color w:val="auto"/>
                <w:highlight w:val="none"/>
                <w:lang w:val="en-US" w:eastAsia="zh-CN"/>
              </w:rPr>
            </w:pPr>
            <w:r>
              <w:rPr>
                <w:rFonts w:hint="eastAsia" w:ascii="仿宋" w:hAnsi="仿宋" w:eastAsia="仿宋" w:cs="楷体"/>
                <w:color w:val="auto"/>
                <w:sz w:val="21"/>
                <w:szCs w:val="21"/>
                <w:highlight w:val="none"/>
              </w:rPr>
              <w:t>6、</w:t>
            </w:r>
            <w:r>
              <w:rPr>
                <w:rFonts w:hint="eastAsia" w:ascii="仿宋" w:hAnsi="仿宋" w:eastAsia="仿宋" w:cs="楷体"/>
                <w:b/>
                <w:bCs/>
                <w:color w:val="auto"/>
                <w:sz w:val="21"/>
                <w:szCs w:val="21"/>
                <w:highlight w:val="none"/>
              </w:rPr>
              <w:t>收款收据换取时间：</w:t>
            </w:r>
            <w:r>
              <w:rPr>
                <w:rFonts w:hint="eastAsia" w:ascii="仿宋" w:hAnsi="仿宋" w:eastAsia="仿宋" w:cs="楷体"/>
                <w:color w:val="auto"/>
                <w:sz w:val="21"/>
                <w:szCs w:val="21"/>
                <w:highlight w:val="none"/>
              </w:rPr>
              <w:t>磋商响应文件递交截止时间前换取收款收据</w:t>
            </w:r>
            <w:r>
              <w:rPr>
                <w:rFonts w:hint="eastAsia" w:ascii="仿宋" w:hAnsi="仿宋" w:eastAsia="仿宋" w:cs="楷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76" w:type="dxa"/>
            <w:vAlign w:val="center"/>
          </w:tcPr>
          <w:p>
            <w:pPr>
              <w:pStyle w:val="2"/>
              <w:keepNext w:val="0"/>
              <w:keepLines w:val="0"/>
              <w:suppressLineNumbers w:val="0"/>
              <w:spacing w:before="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8</w:t>
            </w:r>
          </w:p>
        </w:tc>
        <w:tc>
          <w:tcPr>
            <w:tcW w:w="2112" w:type="dxa"/>
            <w:vAlign w:val="center"/>
          </w:tcPr>
          <w:p>
            <w:pPr>
              <w:pStyle w:val="2"/>
              <w:keepNext w:val="0"/>
              <w:keepLines w:val="0"/>
              <w:suppressLineNumbers w:val="0"/>
              <w:spacing w:before="0" w:beforeAutospacing="0" w:after="156" w:afterLines="5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开标时间和地点</w:t>
            </w:r>
          </w:p>
        </w:tc>
        <w:tc>
          <w:tcPr>
            <w:tcW w:w="6792" w:type="dxa"/>
            <w:vAlign w:val="center"/>
          </w:tcPr>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lang w:val="zh-CN"/>
              </w:rPr>
            </w:pPr>
            <w:r>
              <w:rPr>
                <w:rFonts w:hint="eastAsia" w:ascii="仿宋" w:hAnsi="仿宋" w:eastAsia="仿宋" w:cs="楷体"/>
                <w:color w:val="auto"/>
                <w:szCs w:val="21"/>
                <w:highlight w:val="none"/>
              </w:rPr>
              <w:t>开标时间：</w:t>
            </w:r>
            <w:r>
              <w:rPr>
                <w:rFonts w:hint="eastAsia" w:ascii="仿宋" w:hAnsi="仿宋" w:eastAsia="仿宋" w:cs="楷体"/>
                <w:color w:val="auto"/>
                <w:szCs w:val="21"/>
                <w:highlight w:val="none"/>
                <w:lang w:val="zh-CN"/>
              </w:rPr>
              <w:t>2022年6月23日上午9:00（北京时间）</w:t>
            </w:r>
          </w:p>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 xml:space="preserve">开标地点: </w:t>
            </w:r>
            <w:r>
              <w:rPr>
                <w:rFonts w:hint="eastAsia" w:ascii="仿宋" w:hAnsi="仿宋" w:eastAsia="仿宋" w:cs="楷体"/>
                <w:color w:val="auto"/>
                <w:szCs w:val="21"/>
                <w:highlight w:val="none"/>
                <w:lang w:eastAsia="zh-CN"/>
              </w:rPr>
              <w:t>长信项目管理有限公司</w:t>
            </w:r>
            <w:r>
              <w:rPr>
                <w:rFonts w:hint="eastAsia" w:ascii="仿宋" w:hAnsi="仿宋" w:eastAsia="仿宋" w:cs="楷体"/>
                <w:color w:val="auto"/>
                <w:szCs w:val="21"/>
                <w:highlight w:val="none"/>
              </w:rPr>
              <w:t>会议室</w:t>
            </w:r>
            <w:r>
              <w:rPr>
                <w:rFonts w:hint="eastAsia" w:ascii="仿宋" w:hAnsi="仿宋" w:eastAsia="仿宋" w:cs="楷体"/>
                <w:color w:val="auto"/>
                <w:szCs w:val="21"/>
                <w:highlight w:val="none"/>
                <w:lang w:val="zh-CN"/>
              </w:rPr>
              <w:t>（汉台区前进东路丰辉龙亭园A区9号楼3层）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76" w:type="dxa"/>
            <w:vAlign w:val="center"/>
          </w:tcPr>
          <w:p>
            <w:pPr>
              <w:pStyle w:val="2"/>
              <w:keepNext w:val="0"/>
              <w:keepLines w:val="0"/>
              <w:suppressLineNumbers w:val="0"/>
              <w:spacing w:before="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9</w:t>
            </w:r>
          </w:p>
        </w:tc>
        <w:tc>
          <w:tcPr>
            <w:tcW w:w="2112"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采购结果公告</w:t>
            </w:r>
          </w:p>
        </w:tc>
        <w:tc>
          <w:tcPr>
            <w:tcW w:w="6792" w:type="dxa"/>
            <w:vAlign w:val="center"/>
          </w:tcPr>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成交公告发布时间：在确定成交供应商后2个工作日内</w:t>
            </w:r>
          </w:p>
          <w:p>
            <w:pPr>
              <w:pStyle w:val="2"/>
              <w:keepNext w:val="0"/>
              <w:keepLines w:val="0"/>
              <w:suppressLineNumbers w:val="0"/>
              <w:spacing w:before="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公告期限：1个工作日</w:t>
            </w:r>
          </w:p>
          <w:p>
            <w:pPr>
              <w:pStyle w:val="2"/>
              <w:keepNext w:val="0"/>
              <w:keepLines w:val="0"/>
              <w:suppressLineNumbers w:val="0"/>
              <w:spacing w:before="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公告媒体：陕西省政府采购网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76" w:type="dxa"/>
            <w:vAlign w:val="center"/>
          </w:tcPr>
          <w:p>
            <w:pPr>
              <w:pStyle w:val="2"/>
              <w:keepNext w:val="0"/>
              <w:keepLines w:val="0"/>
              <w:suppressLineNumbers w:val="0"/>
              <w:spacing w:before="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10</w:t>
            </w:r>
          </w:p>
        </w:tc>
        <w:tc>
          <w:tcPr>
            <w:tcW w:w="2112"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成交通知书</w:t>
            </w:r>
          </w:p>
        </w:tc>
        <w:tc>
          <w:tcPr>
            <w:tcW w:w="6792" w:type="dxa"/>
            <w:vAlign w:val="center"/>
          </w:tcPr>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发放时间：发布本项目采购结果公告同时向成交供应商发出成交通知书</w:t>
            </w:r>
          </w:p>
          <w:p>
            <w:pPr>
              <w:pStyle w:val="2"/>
              <w:keepNext w:val="0"/>
              <w:keepLines w:val="0"/>
              <w:suppressLineNumbers w:val="0"/>
              <w:spacing w:before="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发放方式：书面发放给成交供应商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76" w:type="dxa"/>
            <w:vAlign w:val="center"/>
          </w:tcPr>
          <w:p>
            <w:pPr>
              <w:pStyle w:val="2"/>
              <w:keepNext w:val="0"/>
              <w:keepLines w:val="0"/>
              <w:suppressLineNumbers w:val="0"/>
              <w:spacing w:before="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11</w:t>
            </w:r>
          </w:p>
        </w:tc>
        <w:tc>
          <w:tcPr>
            <w:tcW w:w="2112"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签订合同</w:t>
            </w:r>
          </w:p>
        </w:tc>
        <w:tc>
          <w:tcPr>
            <w:tcW w:w="6792" w:type="dxa"/>
            <w:vAlign w:val="center"/>
          </w:tcPr>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签订时间：在成交通知书发出之日起30日内</w:t>
            </w:r>
          </w:p>
          <w:p>
            <w:pPr>
              <w:pStyle w:val="2"/>
              <w:keepNext w:val="0"/>
              <w:keepLines w:val="0"/>
              <w:suppressLineNumbers w:val="0"/>
              <w:spacing w:before="0" w:beforeAutospacing="0" w:after="0" w:afterAutospacing="0" w:line="276" w:lineRule="auto"/>
              <w:ind w:left="0" w:right="115" w:rightChars="55" w:firstLine="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rPr>
              <w:t>签订地点：汉中市南郑区</w:t>
            </w:r>
            <w:r>
              <w:rPr>
                <w:rFonts w:hint="eastAsia" w:ascii="仿宋" w:hAnsi="仿宋" w:eastAsia="仿宋" w:cs="楷体"/>
                <w:color w:val="auto"/>
                <w:szCs w:val="21"/>
                <w:highlight w:val="none"/>
                <w:lang w:eastAsia="zh-CN"/>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76" w:type="dxa"/>
            <w:vAlign w:val="center"/>
          </w:tcPr>
          <w:p>
            <w:pPr>
              <w:pStyle w:val="2"/>
              <w:keepNext w:val="0"/>
              <w:keepLines w:val="0"/>
              <w:suppressLineNumbers w:val="0"/>
              <w:spacing w:before="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12</w:t>
            </w:r>
          </w:p>
        </w:tc>
        <w:tc>
          <w:tcPr>
            <w:tcW w:w="2112"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磋商保证金的退还</w:t>
            </w:r>
          </w:p>
        </w:tc>
        <w:tc>
          <w:tcPr>
            <w:tcW w:w="6792" w:type="dxa"/>
            <w:vAlign w:val="center"/>
          </w:tcPr>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未成交供应商：在成交通知书发出5个工作日内</w:t>
            </w:r>
          </w:p>
          <w:p>
            <w:pPr>
              <w:pStyle w:val="2"/>
              <w:keepNext w:val="0"/>
              <w:keepLines w:val="0"/>
              <w:suppressLineNumbers w:val="0"/>
              <w:spacing w:before="156" w:beforeLines="50" w:beforeAutospacing="0" w:after="156" w:afterLines="5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成交供应商：在与采购人合同签订后5个工作日内</w:t>
            </w:r>
          </w:p>
          <w:p>
            <w:pPr>
              <w:pStyle w:val="2"/>
              <w:keepNext w:val="0"/>
              <w:keepLines w:val="0"/>
              <w:suppressLineNumbers w:val="0"/>
              <w:spacing w:before="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注：具体办法详见本章第三条磋商响应文件第8项磋商保证金。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76" w:type="dxa"/>
            <w:vAlign w:val="center"/>
          </w:tcPr>
          <w:p>
            <w:pPr>
              <w:pStyle w:val="2"/>
              <w:keepNext w:val="0"/>
              <w:keepLines w:val="0"/>
              <w:suppressLineNumbers w:val="0"/>
              <w:spacing w:before="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13</w:t>
            </w:r>
          </w:p>
        </w:tc>
        <w:tc>
          <w:tcPr>
            <w:tcW w:w="2112" w:type="dxa"/>
            <w:vAlign w:val="center"/>
          </w:tcPr>
          <w:p>
            <w:pPr>
              <w:pStyle w:val="2"/>
              <w:keepNext w:val="0"/>
              <w:keepLines w:val="0"/>
              <w:suppressLineNumbers w:val="0"/>
              <w:spacing w:before="156" w:beforeLines="50" w:beforeAutospacing="0" w:after="0" w:afterAutospacing="0" w:line="276" w:lineRule="auto"/>
              <w:ind w:left="0" w:right="0" w:firstLine="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缴纳代理服务费时间</w:t>
            </w:r>
          </w:p>
        </w:tc>
        <w:tc>
          <w:tcPr>
            <w:tcW w:w="6792" w:type="dxa"/>
            <w:vAlign w:val="center"/>
          </w:tcPr>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缴纳时间：在成交通知书发出5个工作日内</w:t>
            </w:r>
          </w:p>
          <w:p>
            <w:pPr>
              <w:pStyle w:val="2"/>
              <w:keepNext w:val="0"/>
              <w:keepLines w:val="0"/>
              <w:suppressLineNumbers w:val="0"/>
              <w:spacing w:before="156" w:beforeLines="50" w:beforeAutospacing="0" w:after="0" w:afterAutospacing="0" w:line="276" w:lineRule="auto"/>
              <w:ind w:left="0" w:right="115" w:rightChars="55" w:firstLine="0"/>
              <w:rPr>
                <w:rFonts w:hint="default" w:ascii="仿宋" w:hAnsi="仿宋" w:eastAsia="仿宋" w:cs="楷体"/>
                <w:color w:val="auto"/>
                <w:szCs w:val="21"/>
                <w:highlight w:val="none"/>
              </w:rPr>
            </w:pPr>
            <w:r>
              <w:rPr>
                <w:rFonts w:hint="eastAsia" w:ascii="仿宋" w:hAnsi="仿宋" w:eastAsia="仿宋" w:cs="楷体"/>
                <w:color w:val="auto"/>
                <w:szCs w:val="21"/>
                <w:highlight w:val="none"/>
              </w:rPr>
              <w:t>缴纳方式：以现金或转账的方式，不得以磋商保证金冲抵；</w:t>
            </w:r>
          </w:p>
        </w:tc>
      </w:tr>
    </w:tbl>
    <w:p>
      <w:pPr>
        <w:kinsoku w:val="0"/>
        <w:spacing w:line="440" w:lineRule="exact"/>
        <w:rPr>
          <w:rFonts w:ascii="仿宋" w:hAnsi="仿宋" w:eastAsia="仿宋" w:cs="楷体"/>
          <w:color w:val="auto"/>
          <w:szCs w:val="21"/>
          <w:highlight w:val="none"/>
        </w:rPr>
      </w:pPr>
      <w:r>
        <w:rPr>
          <w:rFonts w:hint="eastAsia" w:ascii="仿宋" w:hAnsi="仿宋" w:eastAsia="仿宋" w:cs="楷体"/>
          <w:color w:val="auto"/>
          <w:szCs w:val="21"/>
          <w:highlight w:val="none"/>
        </w:rPr>
        <w:t>注：供应商须知前附表与磋商文件正文不一致的以供应商须知前附表为准。</w:t>
      </w:r>
    </w:p>
    <w:p>
      <w:pPr>
        <w:pStyle w:val="17"/>
        <w:ind w:firstLine="180"/>
        <w:rPr>
          <w:rFonts w:ascii="仿宋" w:hAnsi="仿宋" w:eastAsia="仿宋"/>
          <w:color w:val="auto"/>
          <w:highlight w:val="none"/>
        </w:rPr>
      </w:pPr>
    </w:p>
    <w:p>
      <w:pPr>
        <w:kinsoku w:val="0"/>
        <w:spacing w:line="360" w:lineRule="auto"/>
        <w:rPr>
          <w:rFonts w:ascii="仿宋" w:hAnsi="仿宋" w:eastAsia="仿宋" w:cs="楷体"/>
          <w:b/>
          <w:color w:val="auto"/>
          <w:szCs w:val="21"/>
          <w:highlight w:val="none"/>
        </w:rPr>
      </w:pPr>
      <w:r>
        <w:rPr>
          <w:rFonts w:hint="eastAsia" w:ascii="仿宋" w:hAnsi="仿宋" w:eastAsia="仿宋" w:cs="楷体"/>
          <w:b/>
          <w:color w:val="auto"/>
          <w:sz w:val="28"/>
          <w:szCs w:val="28"/>
          <w:highlight w:val="none"/>
        </w:rPr>
        <w:t>一、总则</w:t>
      </w:r>
    </w:p>
    <w:p>
      <w:pPr>
        <w:kinsoku w:val="0"/>
        <w:spacing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1、释义</w:t>
      </w:r>
    </w:p>
    <w:p>
      <w:pPr>
        <w:kinsoku w:val="0"/>
        <w:spacing w:line="360" w:lineRule="auto"/>
        <w:ind w:firstLine="420" w:firstLineChars="20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rPr>
        <w:t>1.1、采   购   人：</w:t>
      </w:r>
      <w:r>
        <w:rPr>
          <w:rFonts w:hint="eastAsia" w:ascii="仿宋" w:hAnsi="仿宋" w:eastAsia="仿宋" w:cs="楷体"/>
          <w:color w:val="auto"/>
          <w:szCs w:val="21"/>
          <w:highlight w:val="none"/>
          <w:lang w:eastAsia="zh-CN"/>
        </w:rPr>
        <w:t>汉中市南郑区林业局</w:t>
      </w:r>
    </w:p>
    <w:p>
      <w:pPr>
        <w:tabs>
          <w:tab w:val="left" w:pos="980"/>
        </w:tabs>
        <w:kinsoku w:val="0"/>
        <w:spacing w:line="360" w:lineRule="auto"/>
        <w:ind w:firstLine="420" w:firstLineChars="20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rPr>
        <w:t>1.2、采购代理机构：</w:t>
      </w:r>
      <w:r>
        <w:rPr>
          <w:rFonts w:hint="eastAsia" w:ascii="仿宋" w:hAnsi="仿宋" w:eastAsia="仿宋" w:cs="楷体"/>
          <w:color w:val="auto"/>
          <w:szCs w:val="21"/>
          <w:highlight w:val="none"/>
          <w:lang w:eastAsia="zh-CN"/>
        </w:rPr>
        <w:t>长信项目管理有限公司</w:t>
      </w:r>
    </w:p>
    <w:p>
      <w:pPr>
        <w:tabs>
          <w:tab w:val="left" w:pos="980"/>
        </w:tabs>
        <w:kinsoku w:val="0"/>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1.3、监督管理部门：南郑区财政局</w:t>
      </w:r>
    </w:p>
    <w:p>
      <w:pPr>
        <w:pStyle w:val="16"/>
        <w:spacing w:before="0" w:beforeAutospacing="0" w:after="0" w:afterAutospacing="0" w:line="360" w:lineRule="auto"/>
        <w:ind w:firstLine="42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1.4、标        书：磋商文件与磋商响应文件的统称，竞争性磋商文件编制依据为《中华人民共和国政府采购法》、《中华人民共和国政府采购法实施条例》（第658号）、《政府采购竞争性磋商采购方式管理暂行办法》等相关的法律法规文件。</w:t>
      </w:r>
    </w:p>
    <w:p>
      <w:pPr>
        <w:tabs>
          <w:tab w:val="left" w:pos="980"/>
        </w:tabs>
        <w:kinsoku w:val="0"/>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1.5、磋商供应商：符合《中华人民共和国政府采购法》第二十二条、《中华人民共和国国务院令（第658号）》第十七条规定的及本次磋商特定资格条件，且从采购代理机构购买竞争性磋商文件，并自愿参加磋商活动的磋商供应商。</w:t>
      </w:r>
    </w:p>
    <w:p>
      <w:pPr>
        <w:tabs>
          <w:tab w:val="left" w:pos="980"/>
        </w:tabs>
        <w:kinsoku w:val="0"/>
        <w:spacing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2、磋商供应商</w:t>
      </w:r>
    </w:p>
    <w:p>
      <w:pPr>
        <w:tabs>
          <w:tab w:val="left" w:pos="7665"/>
        </w:tabs>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2.1、合格的磋商供应商应具备以下条件：</w:t>
      </w:r>
    </w:p>
    <w:p>
      <w:pPr>
        <w:tabs>
          <w:tab w:val="left" w:pos="7665"/>
        </w:tabs>
        <w:spacing w:line="360" w:lineRule="auto"/>
        <w:ind w:firstLine="420" w:firstLineChars="200"/>
        <w:rPr>
          <w:rFonts w:ascii="仿宋" w:hAnsi="仿宋" w:eastAsia="仿宋" w:cs="楷体"/>
          <w:color w:val="auto"/>
          <w:spacing w:val="-4"/>
          <w:szCs w:val="21"/>
          <w:highlight w:val="none"/>
        </w:rPr>
      </w:pPr>
      <w:r>
        <w:rPr>
          <w:rFonts w:hint="eastAsia" w:ascii="仿宋" w:hAnsi="仿宋" w:eastAsia="仿宋" w:cs="楷体"/>
          <w:color w:val="auto"/>
          <w:szCs w:val="21"/>
          <w:highlight w:val="none"/>
        </w:rPr>
        <w:t>2.1.1、具备且满足《竞争性磋商公告》要求的</w:t>
      </w:r>
      <w:r>
        <w:rPr>
          <w:rFonts w:hint="eastAsia" w:ascii="仿宋" w:hAnsi="仿宋" w:eastAsia="仿宋" w:cs="楷体"/>
          <w:color w:val="auto"/>
          <w:spacing w:val="-4"/>
          <w:szCs w:val="21"/>
          <w:highlight w:val="none"/>
        </w:rPr>
        <w:t>；</w:t>
      </w:r>
    </w:p>
    <w:p>
      <w:pPr>
        <w:tabs>
          <w:tab w:val="left" w:pos="7665"/>
        </w:tabs>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2.1.2、向采购代理机构购买了竞争性磋商文件并登记备案的；</w:t>
      </w:r>
    </w:p>
    <w:p>
      <w:pPr>
        <w:tabs>
          <w:tab w:val="left" w:pos="6787"/>
        </w:tabs>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2.1.3、向采购代理机构缴纳了磋商保证金的；</w:t>
      </w:r>
      <w:r>
        <w:rPr>
          <w:rFonts w:hint="eastAsia" w:ascii="仿宋" w:hAnsi="仿宋" w:eastAsia="仿宋" w:cs="楷体"/>
          <w:color w:val="auto"/>
          <w:szCs w:val="21"/>
          <w:highlight w:val="none"/>
        </w:rPr>
        <w:tab/>
      </w:r>
    </w:p>
    <w:p>
      <w:pPr>
        <w:tabs>
          <w:tab w:val="left" w:pos="7665"/>
        </w:tabs>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2.1.4、一个磋商供应商只能提交一个磋商响应文件，法定代表人为同一人的两个及两个以上法人，不得同时参加本项目投标；</w:t>
      </w:r>
    </w:p>
    <w:p>
      <w:pPr>
        <w:tabs>
          <w:tab w:val="left" w:pos="7665"/>
        </w:tabs>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2.1.5、有隶属关系的两个公司或有控股关系的两个公司不能同时参加同一项目的投标；</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2.1.6、遵守国家、陕西省有关政府采购的法律、条例和法规；</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2.1.7、竞争性磋商文件和法律、行政法规规定的其他条件。</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2.2、磋商供应商存在下列情形之一，属于不</w:t>
      </w:r>
      <w:bookmarkStart w:id="268" w:name="_GoBack"/>
      <w:bookmarkEnd w:id="268"/>
      <w:r>
        <w:rPr>
          <w:rFonts w:hint="eastAsia" w:ascii="仿宋" w:hAnsi="仿宋" w:eastAsia="仿宋" w:cs="楷体"/>
          <w:color w:val="auto"/>
          <w:szCs w:val="21"/>
          <w:highlight w:val="none"/>
        </w:rPr>
        <w:t>合格磋商供应商，其磋商响应文件或中标资格将被取消：</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2.2.1、与采购人、采购代理机构存在隶属关系或者其他利害关系；</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2.2.2、与其他磋商供应商的法定代表人（或者负责人）为同一人，或者与其他磋商供应商存在控股、管理关系；</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2.2.3、提供虚假材料谋取成交资格；</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2.2.4、采取不正当手段诋毁、排挤其他磋商供应商；</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2.2.5、与采购人、采购代理机构、其他磋商供应商恶意串通；</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 xml:space="preserve">2.2.6、向采购人、采购代理机构、磋商小组成员行贿或者提供其他不正当利益；  </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2.2.7、拒绝有关部门的监督检查或者向监督检查部门提供虚假情况；</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2.2.8、受到刑事处罚，或者受到壹万元以上的罚款、责令停产停业、在一至三年内禁止参加政府采购活动、暂扣或者吊销许可证、暂扣或者吊销执照等情形之一的行政处罚，或者存在财政部门认定的其他重大违法记录。</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2.3、有下列情形之一的，视为磋商供应商相互恶意串通投标，其磋商响应文件或中标资格将被取消：</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2.3.1（一）供应商直接或者间接从采购人或者采购代理机构处获得其他供应商的相关情况并修改其响应文件；</w:t>
      </w:r>
    </w:p>
    <w:p>
      <w:pPr>
        <w:numPr>
          <w:ilvl w:val="0"/>
          <w:numId w:val="4"/>
        </w:numPr>
        <w:spacing w:line="360" w:lineRule="auto"/>
        <w:ind w:left="420" w:leftChars="200"/>
        <w:rPr>
          <w:rFonts w:ascii="仿宋" w:hAnsi="仿宋" w:eastAsia="仿宋" w:cs="楷体"/>
          <w:color w:val="auto"/>
          <w:szCs w:val="21"/>
          <w:highlight w:val="none"/>
        </w:rPr>
      </w:pPr>
      <w:r>
        <w:rPr>
          <w:rFonts w:hint="eastAsia" w:ascii="仿宋" w:hAnsi="仿宋" w:eastAsia="仿宋" w:cs="楷体"/>
          <w:color w:val="auto"/>
          <w:szCs w:val="21"/>
          <w:highlight w:val="none"/>
        </w:rPr>
        <w:t>供应商按照采购人或者采购代理机构的授意撤换、修改响应文件；</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（三）供应商之间协商报价、技术方案等响应文件的实质性内容；</w:t>
      </w:r>
    </w:p>
    <w:p>
      <w:pPr>
        <w:spacing w:line="360" w:lineRule="auto"/>
        <w:ind w:left="420" w:leftChars="200"/>
        <w:rPr>
          <w:rFonts w:ascii="仿宋" w:hAnsi="仿宋" w:eastAsia="仿宋" w:cs="楷体"/>
          <w:color w:val="auto"/>
          <w:szCs w:val="21"/>
          <w:highlight w:val="none"/>
        </w:rPr>
      </w:pPr>
      <w:r>
        <w:rPr>
          <w:rFonts w:hint="eastAsia" w:ascii="仿宋" w:hAnsi="仿宋" w:eastAsia="仿宋" w:cs="楷体"/>
          <w:color w:val="auto"/>
          <w:szCs w:val="21"/>
          <w:highlight w:val="none"/>
        </w:rPr>
        <w:t>（四）属于同一集团、协会、商会等组织成员的供应商按照该组织要求协同参加政府采购活动；</w:t>
      </w:r>
    </w:p>
    <w:p>
      <w:pPr>
        <w:spacing w:line="360" w:lineRule="auto"/>
        <w:ind w:left="420" w:leftChars="200"/>
        <w:rPr>
          <w:rFonts w:ascii="仿宋" w:hAnsi="仿宋" w:eastAsia="仿宋" w:cs="楷体"/>
          <w:color w:val="auto"/>
          <w:szCs w:val="21"/>
          <w:highlight w:val="none"/>
        </w:rPr>
      </w:pPr>
      <w:r>
        <w:rPr>
          <w:rFonts w:hint="eastAsia" w:ascii="仿宋" w:hAnsi="仿宋" w:eastAsia="仿宋" w:cs="楷体"/>
          <w:color w:val="auto"/>
          <w:szCs w:val="21"/>
          <w:highlight w:val="none"/>
        </w:rPr>
        <w:t>（五）供应商之间事先约定由某一特定供应商中标、成交；</w:t>
      </w:r>
    </w:p>
    <w:p>
      <w:pPr>
        <w:spacing w:line="360" w:lineRule="auto"/>
        <w:ind w:left="420" w:leftChars="200"/>
        <w:rPr>
          <w:rFonts w:ascii="仿宋" w:hAnsi="仿宋" w:eastAsia="仿宋" w:cs="楷体"/>
          <w:color w:val="auto"/>
          <w:szCs w:val="21"/>
          <w:highlight w:val="none"/>
        </w:rPr>
      </w:pPr>
      <w:r>
        <w:rPr>
          <w:rFonts w:hint="eastAsia" w:ascii="仿宋" w:hAnsi="仿宋" w:eastAsia="仿宋" w:cs="楷体"/>
          <w:color w:val="auto"/>
          <w:szCs w:val="21"/>
          <w:highlight w:val="none"/>
        </w:rPr>
        <w:t>（六）供应商之间商定部分供应商放弃参加政府采购活动或者放弃中标、成交；</w:t>
      </w:r>
    </w:p>
    <w:p>
      <w:pPr>
        <w:spacing w:line="360" w:lineRule="auto"/>
        <w:ind w:left="420" w:leftChars="200"/>
        <w:rPr>
          <w:rFonts w:ascii="仿宋" w:hAnsi="仿宋" w:eastAsia="仿宋" w:cs="楷体"/>
          <w:color w:val="auto"/>
          <w:szCs w:val="21"/>
          <w:highlight w:val="none"/>
        </w:rPr>
      </w:pPr>
      <w:r>
        <w:rPr>
          <w:rFonts w:hint="eastAsia" w:ascii="仿宋" w:hAnsi="仿宋" w:eastAsia="仿宋" w:cs="楷体"/>
          <w:color w:val="auto"/>
          <w:szCs w:val="21"/>
          <w:highlight w:val="none"/>
        </w:rPr>
        <w:t>（七）供应商与采购人或者采购代理机构之间、供应商相互之间，为谋求特定供应商中标、成交或者排斥其他供应商的其他串通行为。</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szCs w:val="21"/>
          <w:highlight w:val="none"/>
        </w:rPr>
        <w:t>2.3.2、本项目依据《中华人民共和国政府采购法》和《中华人民共和国政府采购实施条例》的有关规定，落实政府采购“优先购买节能环保产品、扶持小微企业、监狱企业、福利企业”等相关政策</w:t>
      </w:r>
      <w:r>
        <w:rPr>
          <w:rFonts w:hint="eastAsia" w:ascii="仿宋" w:hAnsi="仿宋" w:eastAsia="仿宋" w:cs="楷体"/>
          <w:color w:val="auto"/>
          <w:kern w:val="1"/>
          <w:szCs w:val="21"/>
          <w:highlight w:val="none"/>
        </w:rPr>
        <w:t>。若不提供相关证明资料的或提供的证明资料有瑕疵的，在评审时不享受政府采购优惠政策。</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2.3.2.1、节能产品或者环保产品：依据《国务院办公厅关于建立政府强制采购节能产品制度的通知》（国办发〔2007〕51号）、《节能产品政府采购实施意见》（财库[2004]185号）、《环境标志产品政府采购实施的意见》（财库[2006]90号）之规定执行。</w:t>
      </w:r>
    </w:p>
    <w:p>
      <w:pPr>
        <w:tabs>
          <w:tab w:val="left" w:pos="980"/>
        </w:tabs>
        <w:kinsoku w:val="0"/>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2.3.2.2、中小企业：依据《政府采购促进中小企业发展暂行办法》（财库〔</w:t>
      </w:r>
      <w:r>
        <w:rPr>
          <w:rFonts w:hint="eastAsia" w:ascii="仿宋" w:hAnsi="仿宋" w:eastAsia="仿宋" w:cs="楷体"/>
          <w:color w:val="auto"/>
          <w:szCs w:val="21"/>
          <w:highlight w:val="none"/>
          <w:lang w:val="en-US" w:eastAsia="zh-CN"/>
        </w:rPr>
        <w:t>2022</w:t>
      </w:r>
      <w:r>
        <w:rPr>
          <w:rFonts w:hint="eastAsia" w:ascii="仿宋" w:hAnsi="仿宋" w:eastAsia="仿宋" w:cs="楷体"/>
          <w:color w:val="auto"/>
          <w:szCs w:val="21"/>
          <w:highlight w:val="none"/>
        </w:rPr>
        <w:t>〕</w:t>
      </w:r>
      <w:r>
        <w:rPr>
          <w:rFonts w:hint="eastAsia" w:ascii="仿宋" w:hAnsi="仿宋" w:eastAsia="仿宋" w:cs="楷体"/>
          <w:color w:val="auto"/>
          <w:szCs w:val="21"/>
          <w:highlight w:val="none"/>
          <w:lang w:val="en-US" w:eastAsia="zh-CN"/>
        </w:rPr>
        <w:t>46</w:t>
      </w:r>
      <w:r>
        <w:rPr>
          <w:rFonts w:hint="eastAsia" w:ascii="仿宋" w:hAnsi="仿宋" w:eastAsia="仿宋" w:cs="楷体"/>
          <w:color w:val="auto"/>
          <w:szCs w:val="21"/>
          <w:highlight w:val="none"/>
        </w:rPr>
        <w:t>号）之规定执行。参加政府采购活动的中小企业应当提供《中小企业声明函》（见第六章响应文件格式），不提供或提供有瑕疵的，在评审时不享受政府采购优惠政策。</w:t>
      </w:r>
    </w:p>
    <w:p>
      <w:pPr>
        <w:adjustRightInd w:val="0"/>
        <w:snapToGrid w:val="0"/>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2.3.2.3、监狱企业：依照&lt;财政部、司法部关于政府采购支持监狱企业发展有关问题的通知&gt;（财库〔2014〕68号文件）之规定执行。</w:t>
      </w:r>
    </w:p>
    <w:p>
      <w:pPr>
        <w:adjustRightInd w:val="0"/>
        <w:snapToGrid w:val="0"/>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szCs w:val="21"/>
          <w:highlight w:val="none"/>
        </w:rPr>
        <w:t>2.3.2.4、残疾人福利性单位：依据《三部门联合发布关于促进残疾人就业政府采购政策的通知》（财库【2017】141号）之规定执行。</w:t>
      </w:r>
    </w:p>
    <w:p>
      <w:pPr>
        <w:adjustRightInd w:val="0"/>
        <w:snapToGrid w:val="0"/>
        <w:spacing w:line="360" w:lineRule="auto"/>
        <w:ind w:firstLine="367" w:firstLineChars="175"/>
        <w:rPr>
          <w:rFonts w:ascii="仿宋" w:hAnsi="仿宋" w:eastAsia="仿宋" w:cs="楷体"/>
          <w:color w:val="auto"/>
          <w:szCs w:val="21"/>
          <w:highlight w:val="none"/>
        </w:rPr>
      </w:pPr>
      <w:r>
        <w:rPr>
          <w:rFonts w:hint="eastAsia" w:ascii="仿宋" w:hAnsi="仿宋" w:eastAsia="仿宋" w:cs="楷体"/>
          <w:color w:val="auto"/>
          <w:szCs w:val="21"/>
          <w:highlight w:val="none"/>
        </w:rPr>
        <w:t>2.4、磋商供应商的风险：竞争性磋商文件各章内容已对磋商事宜提出明确要求，磋商供应商应认真阅读和充分理解竞争性磋商文件中所有的事项、格式条款和规范要求，任何对竞争性磋商文件的忽略或误解不能作为磋商响应文件存在缺陷或瑕疵的理由；磋商供应商没有按照竞争性磋商文件要求提供全部资料，或对竞争性磋商文件未全面做出实质性响应是磋商供应商的风险，而导致投标不利后果或其磋商响应文件被拒绝、被废标的，其责任由磋商供应商自负。</w:t>
      </w:r>
    </w:p>
    <w:p>
      <w:pPr>
        <w:adjustRightInd w:val="0"/>
        <w:snapToGrid w:val="0"/>
        <w:spacing w:line="360" w:lineRule="auto"/>
        <w:rPr>
          <w:rFonts w:ascii="仿宋" w:hAnsi="仿宋" w:eastAsia="仿宋" w:cs="楷体"/>
          <w:b/>
          <w:bCs/>
          <w:color w:val="auto"/>
          <w:sz w:val="28"/>
          <w:szCs w:val="28"/>
          <w:highlight w:val="none"/>
        </w:rPr>
      </w:pPr>
      <w:r>
        <w:rPr>
          <w:rFonts w:hint="eastAsia" w:ascii="仿宋" w:hAnsi="仿宋" w:eastAsia="仿宋" w:cs="楷体"/>
          <w:b/>
          <w:bCs/>
          <w:color w:val="auto"/>
          <w:sz w:val="28"/>
          <w:szCs w:val="28"/>
          <w:highlight w:val="none"/>
        </w:rPr>
        <w:t>二、竞争性磋商文件</w:t>
      </w:r>
    </w:p>
    <w:p>
      <w:pPr>
        <w:kinsoku w:val="0"/>
        <w:spacing w:line="360" w:lineRule="auto"/>
        <w:ind w:firstLine="422" w:firstLineChars="200"/>
        <w:rPr>
          <w:rFonts w:ascii="仿宋" w:hAnsi="仿宋" w:eastAsia="仿宋" w:cs="楷体"/>
          <w:b/>
          <w:color w:val="auto"/>
          <w:szCs w:val="21"/>
          <w:highlight w:val="none"/>
        </w:rPr>
      </w:pPr>
      <w:r>
        <w:rPr>
          <w:rFonts w:ascii="仿宋" w:hAnsi="仿宋" w:eastAsia="仿宋" w:cs="楷体"/>
          <w:b/>
          <w:color w:val="auto"/>
          <w:szCs w:val="21"/>
          <w:highlight w:val="none"/>
        </w:rPr>
        <w:t>1</w:t>
      </w:r>
      <w:r>
        <w:rPr>
          <w:rFonts w:hint="eastAsia" w:ascii="仿宋" w:hAnsi="仿宋" w:eastAsia="仿宋" w:cs="楷体"/>
          <w:b/>
          <w:color w:val="auto"/>
          <w:szCs w:val="21"/>
          <w:highlight w:val="none"/>
        </w:rPr>
        <w:t>、竞争性磋商文件的构成</w:t>
      </w:r>
    </w:p>
    <w:p>
      <w:pPr>
        <w:tabs>
          <w:tab w:val="left" w:pos="7665"/>
        </w:tabs>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竞争性磋商文件是磋商供应商准备磋商响应文件和参加磋商的依据，同时也是评审的重要依据。竞争性磋商文件用以阐明采购项目所需的资质、技术、服务及报价等要求、采购程序、评审办法与标准、有关规定和注意事项以及合同主要条款等。</w:t>
      </w:r>
      <w:bookmarkStart w:id="12" w:name="_Toc183682348"/>
      <w:bookmarkStart w:id="13" w:name="_Toc183582211"/>
      <w:bookmarkStart w:id="14" w:name="_Toc217446040"/>
    </w:p>
    <w:p>
      <w:pPr>
        <w:spacing w:before="156" w:beforeLines="50" w:line="360" w:lineRule="auto"/>
        <w:ind w:firstLine="422" w:firstLineChars="200"/>
        <w:rPr>
          <w:rFonts w:ascii="仿宋" w:hAnsi="仿宋" w:eastAsia="仿宋" w:cs="楷体"/>
          <w:b/>
          <w:color w:val="auto"/>
          <w:szCs w:val="21"/>
          <w:highlight w:val="none"/>
        </w:rPr>
      </w:pPr>
      <w:r>
        <w:rPr>
          <w:rFonts w:ascii="仿宋" w:hAnsi="仿宋" w:eastAsia="仿宋" w:cs="楷体"/>
          <w:b/>
          <w:color w:val="auto"/>
          <w:szCs w:val="21"/>
          <w:highlight w:val="none"/>
        </w:rPr>
        <w:t>2</w:t>
      </w:r>
      <w:r>
        <w:rPr>
          <w:rFonts w:hint="eastAsia" w:ascii="仿宋" w:hAnsi="仿宋" w:eastAsia="仿宋" w:cs="楷体"/>
          <w:b/>
          <w:color w:val="auto"/>
          <w:szCs w:val="21"/>
          <w:highlight w:val="none"/>
        </w:rPr>
        <w:t>、踏勘现场</w:t>
      </w:r>
    </w:p>
    <w:p>
      <w:pPr>
        <w:spacing w:line="360" w:lineRule="auto"/>
        <w:ind w:firstLine="420" w:firstLineChars="200"/>
        <w:rPr>
          <w:rFonts w:ascii="仿宋" w:hAnsi="仿宋" w:eastAsia="仿宋" w:cs="楷体"/>
          <w:color w:val="auto"/>
          <w:szCs w:val="21"/>
          <w:highlight w:val="none"/>
        </w:rPr>
      </w:pPr>
      <w:r>
        <w:rPr>
          <w:rFonts w:ascii="仿宋" w:hAnsi="仿宋" w:eastAsia="仿宋" w:cs="楷体"/>
          <w:color w:val="auto"/>
          <w:szCs w:val="21"/>
          <w:highlight w:val="none"/>
        </w:rPr>
        <w:t>2</w:t>
      </w:r>
      <w:r>
        <w:rPr>
          <w:rFonts w:hint="eastAsia" w:ascii="仿宋" w:hAnsi="仿宋" w:eastAsia="仿宋" w:cs="楷体"/>
          <w:color w:val="auto"/>
          <w:szCs w:val="21"/>
          <w:highlight w:val="none"/>
        </w:rPr>
        <w:t>.1、本项目不组织统一踏勘时间，磋商供应商可自行进行踏勘，费用自理。</w:t>
      </w:r>
    </w:p>
    <w:p>
      <w:pPr>
        <w:adjustRightInd w:val="0"/>
        <w:snapToGrid w:val="0"/>
        <w:spacing w:line="360" w:lineRule="auto"/>
        <w:ind w:firstLine="367" w:firstLineChars="175"/>
        <w:rPr>
          <w:rFonts w:ascii="仿宋" w:hAnsi="仿宋" w:eastAsia="仿宋" w:cs="楷体"/>
          <w:color w:val="auto"/>
          <w:szCs w:val="21"/>
          <w:highlight w:val="none"/>
        </w:rPr>
      </w:pPr>
      <w:r>
        <w:rPr>
          <w:rFonts w:ascii="仿宋" w:hAnsi="仿宋" w:eastAsia="仿宋" w:cs="楷体"/>
          <w:color w:val="auto"/>
          <w:szCs w:val="21"/>
          <w:highlight w:val="none"/>
        </w:rPr>
        <w:t>2</w:t>
      </w:r>
      <w:r>
        <w:rPr>
          <w:rFonts w:hint="eastAsia" w:ascii="仿宋" w:hAnsi="仿宋" w:eastAsia="仿宋" w:cs="楷体"/>
          <w:color w:val="auto"/>
          <w:szCs w:val="21"/>
          <w:highlight w:val="none"/>
        </w:rPr>
        <w:t>.2、经采购方允许，供应商可为踏勘目的进入采购方的项目现场，但供应商不得因此使采购方承担有关的责任和蒙受损失；供应商应承担踏勘现场的责任和风险；供应商在现场踏勘期间发生的费用由供应商自负。</w:t>
      </w:r>
    </w:p>
    <w:p>
      <w:pPr>
        <w:adjustRightInd w:val="0"/>
        <w:snapToGrid w:val="0"/>
        <w:spacing w:line="360" w:lineRule="auto"/>
        <w:ind w:firstLine="367" w:firstLineChars="175"/>
        <w:rPr>
          <w:rFonts w:ascii="仿宋" w:hAnsi="仿宋" w:eastAsia="仿宋" w:cs="楷体"/>
          <w:color w:val="auto"/>
          <w:szCs w:val="21"/>
          <w:highlight w:val="none"/>
        </w:rPr>
      </w:pPr>
      <w:r>
        <w:rPr>
          <w:rFonts w:ascii="仿宋" w:hAnsi="仿宋" w:eastAsia="仿宋" w:cs="楷体"/>
          <w:color w:val="auto"/>
          <w:szCs w:val="21"/>
          <w:highlight w:val="none"/>
        </w:rPr>
        <w:t>2</w:t>
      </w:r>
      <w:r>
        <w:rPr>
          <w:rFonts w:hint="eastAsia" w:ascii="仿宋" w:hAnsi="仿宋" w:eastAsia="仿宋" w:cs="楷体"/>
          <w:color w:val="auto"/>
          <w:szCs w:val="21"/>
          <w:highlight w:val="none"/>
        </w:rPr>
        <w:t>.3、采购方不对磋商供应商因踏勘现场而做出的推论、理解和结论负责。一旦成交，成交供应商不得以任何借口，提出额外补偿或延长合同期限的要求。</w:t>
      </w:r>
    </w:p>
    <w:p>
      <w:pPr>
        <w:tabs>
          <w:tab w:val="left" w:pos="7665"/>
        </w:tabs>
        <w:spacing w:line="360" w:lineRule="auto"/>
        <w:ind w:firstLine="422" w:firstLineChars="200"/>
        <w:rPr>
          <w:rFonts w:ascii="仿宋" w:hAnsi="仿宋" w:eastAsia="仿宋" w:cs="楷体"/>
          <w:b/>
          <w:color w:val="auto"/>
          <w:szCs w:val="21"/>
          <w:highlight w:val="none"/>
        </w:rPr>
      </w:pPr>
      <w:r>
        <w:rPr>
          <w:rFonts w:ascii="仿宋" w:hAnsi="仿宋" w:eastAsia="仿宋" w:cs="楷体"/>
          <w:b/>
          <w:color w:val="auto"/>
          <w:szCs w:val="21"/>
          <w:highlight w:val="none"/>
        </w:rPr>
        <w:t>3</w:t>
      </w:r>
      <w:r>
        <w:rPr>
          <w:rFonts w:hint="eastAsia" w:ascii="仿宋" w:hAnsi="仿宋" w:eastAsia="仿宋" w:cs="楷体"/>
          <w:b/>
          <w:color w:val="auto"/>
          <w:szCs w:val="21"/>
          <w:highlight w:val="none"/>
        </w:rPr>
        <w:t>、竞争性磋商文件的澄清</w:t>
      </w:r>
      <w:bookmarkEnd w:id="12"/>
      <w:bookmarkEnd w:id="13"/>
      <w:r>
        <w:rPr>
          <w:rFonts w:hint="eastAsia" w:ascii="仿宋" w:hAnsi="仿宋" w:eastAsia="仿宋" w:cs="楷体"/>
          <w:b/>
          <w:color w:val="auto"/>
          <w:szCs w:val="21"/>
          <w:highlight w:val="none"/>
        </w:rPr>
        <w:t>和修改</w:t>
      </w:r>
      <w:bookmarkEnd w:id="14"/>
    </w:p>
    <w:p>
      <w:pPr>
        <w:tabs>
          <w:tab w:val="left" w:pos="720"/>
        </w:tabs>
        <w:spacing w:line="360" w:lineRule="auto"/>
        <w:ind w:firstLine="420" w:firstLineChars="200"/>
        <w:rPr>
          <w:rFonts w:ascii="仿宋" w:hAnsi="仿宋" w:eastAsia="仿宋" w:cs="楷体"/>
          <w:color w:val="auto"/>
          <w:szCs w:val="21"/>
          <w:highlight w:val="none"/>
        </w:rPr>
      </w:pPr>
      <w:r>
        <w:rPr>
          <w:rFonts w:ascii="仿宋" w:hAnsi="仿宋" w:eastAsia="仿宋" w:cs="楷体"/>
          <w:color w:val="auto"/>
          <w:szCs w:val="21"/>
          <w:highlight w:val="none"/>
        </w:rPr>
        <w:t>3</w:t>
      </w:r>
      <w:r>
        <w:rPr>
          <w:rFonts w:hint="eastAsia" w:ascii="仿宋" w:hAnsi="仿宋" w:eastAsia="仿宋" w:cs="楷体"/>
          <w:color w:val="auto"/>
          <w:szCs w:val="21"/>
          <w:highlight w:val="none"/>
        </w:rPr>
        <w:t>.1、在磋商截止时间前，采购代理机构无论出于何种原因，可以对竞争性磋商文件进行澄清或者修改。</w:t>
      </w:r>
    </w:p>
    <w:p>
      <w:pPr>
        <w:spacing w:line="360" w:lineRule="auto"/>
        <w:ind w:firstLine="420" w:firstLineChars="200"/>
        <w:rPr>
          <w:rFonts w:ascii="仿宋" w:hAnsi="仿宋" w:eastAsia="仿宋" w:cs="楷体"/>
          <w:color w:val="auto"/>
          <w:szCs w:val="21"/>
          <w:highlight w:val="none"/>
        </w:rPr>
      </w:pPr>
      <w:r>
        <w:rPr>
          <w:rFonts w:ascii="仿宋" w:hAnsi="仿宋" w:eastAsia="仿宋" w:cs="楷体"/>
          <w:color w:val="auto"/>
          <w:szCs w:val="21"/>
          <w:highlight w:val="none"/>
        </w:rPr>
        <w:t>3</w:t>
      </w:r>
      <w:r>
        <w:rPr>
          <w:rFonts w:hint="eastAsia" w:ascii="仿宋" w:hAnsi="仿宋" w:eastAsia="仿宋" w:cs="楷体"/>
          <w:color w:val="auto"/>
          <w:szCs w:val="21"/>
          <w:highlight w:val="none"/>
        </w:rPr>
        <w:t>.2、采购代理机构对已发出的竞争性磋商文件进行澄清或者修改，将在竞争性磋商文件要求的提交磋商响应文件截止时间</w:t>
      </w:r>
      <w:r>
        <w:rPr>
          <w:rFonts w:hint="eastAsia" w:ascii="仿宋" w:hAnsi="仿宋" w:eastAsia="仿宋" w:cs="楷体"/>
          <w:b/>
          <w:color w:val="auto"/>
          <w:szCs w:val="21"/>
          <w:highlight w:val="none"/>
        </w:rPr>
        <w:t>5</w:t>
      </w:r>
      <w:r>
        <w:rPr>
          <w:rFonts w:hint="eastAsia" w:ascii="仿宋" w:hAnsi="仿宋" w:eastAsia="仿宋" w:cs="楷体"/>
          <w:color w:val="auto"/>
          <w:szCs w:val="21"/>
          <w:highlight w:val="none"/>
        </w:rPr>
        <w:t>日前进行，并以书面形式将澄清或者修改的内容通知所有购买了竞争性磋商文件的磋商供应商，同时在原信息发布媒体上发布更正公告。该澄清或者修改的内容为竞争性磋商文件的组成部分。磋商供应商在收到上述通知后，应立即以书面形式向采购代理机构确认。如果澄清或者修改发出的时间距规定的递交磋商响应文件截止时间不足5日，将相应顺延其截止时间。</w:t>
      </w:r>
    </w:p>
    <w:p>
      <w:pPr>
        <w:spacing w:line="360" w:lineRule="auto"/>
        <w:ind w:firstLine="420" w:firstLineChars="200"/>
        <w:rPr>
          <w:rFonts w:ascii="仿宋" w:hAnsi="仿宋" w:eastAsia="仿宋" w:cs="楷体"/>
          <w:color w:val="auto"/>
          <w:szCs w:val="21"/>
          <w:highlight w:val="none"/>
        </w:rPr>
      </w:pPr>
      <w:r>
        <w:rPr>
          <w:rFonts w:ascii="仿宋" w:hAnsi="仿宋" w:eastAsia="仿宋" w:cs="楷体"/>
          <w:color w:val="auto"/>
          <w:szCs w:val="21"/>
          <w:highlight w:val="none"/>
        </w:rPr>
        <w:t>3</w:t>
      </w:r>
      <w:r>
        <w:rPr>
          <w:rFonts w:hint="eastAsia" w:ascii="仿宋" w:hAnsi="仿宋" w:eastAsia="仿宋" w:cs="楷体"/>
          <w:b/>
          <w:bCs/>
          <w:color w:val="auto"/>
          <w:szCs w:val="21"/>
          <w:highlight w:val="none"/>
        </w:rPr>
        <w:t>.</w:t>
      </w:r>
      <w:r>
        <w:rPr>
          <w:rFonts w:hint="eastAsia" w:ascii="仿宋" w:hAnsi="仿宋" w:eastAsia="仿宋" w:cs="楷体"/>
          <w:color w:val="auto"/>
          <w:szCs w:val="21"/>
          <w:highlight w:val="none"/>
        </w:rPr>
        <w:t>3、任何对竞争性磋商文件进行澄清的磋商供应商，或认为有必要与采购代理机构进行技术交流的，均应将澄清的内容，按照竞争性磋商文件日程安排表中的要求方式递交采购代理机构，采购代理机构以书面形式予以答复（答复中不包括问题的来源），或认为有必要召开答疑会。各磋商供应商须按竞争性磋商文件日程安排表中的要求时间，将准备澄清内容送达采购代理机构，超过该时间收到的需澄清的内容，采购代理机构有权不予答复。</w:t>
      </w:r>
    </w:p>
    <w:p>
      <w:pPr>
        <w:spacing w:line="360" w:lineRule="auto"/>
        <w:ind w:firstLine="420" w:firstLineChars="200"/>
        <w:rPr>
          <w:rFonts w:ascii="仿宋" w:hAnsi="仿宋" w:eastAsia="仿宋" w:cs="楷体"/>
          <w:color w:val="auto"/>
          <w:szCs w:val="21"/>
          <w:highlight w:val="none"/>
        </w:rPr>
      </w:pPr>
      <w:r>
        <w:rPr>
          <w:rFonts w:ascii="仿宋" w:hAnsi="仿宋" w:eastAsia="仿宋" w:cs="楷体"/>
          <w:color w:val="auto"/>
          <w:szCs w:val="21"/>
          <w:highlight w:val="none"/>
        </w:rPr>
        <w:t>3</w:t>
      </w:r>
      <w:r>
        <w:rPr>
          <w:rFonts w:hint="eastAsia" w:ascii="仿宋" w:hAnsi="仿宋" w:eastAsia="仿宋" w:cs="楷体"/>
          <w:color w:val="auto"/>
          <w:szCs w:val="21"/>
          <w:highlight w:val="none"/>
        </w:rPr>
        <w:t>.4、在递交磋商响应文件截止时间前，采购代理机构可以视采购具体情况，延长截止时间，并在竞争性磋商文件要求提交磋商响应文件的截止时间前，将变更时间以书面形式通知所有购买了竞争性磋商文件的磋商供应商，同时在原信息发布媒体上发布变更公告。</w:t>
      </w:r>
      <w:bookmarkStart w:id="15" w:name="_Toc183582213"/>
      <w:bookmarkStart w:id="16" w:name="_Toc183682350"/>
      <w:bookmarkStart w:id="17" w:name="_Toc208848971"/>
      <w:bookmarkStart w:id="18" w:name="_Toc217446041"/>
    </w:p>
    <w:bookmarkEnd w:id="15"/>
    <w:bookmarkEnd w:id="16"/>
    <w:bookmarkEnd w:id="17"/>
    <w:bookmarkEnd w:id="18"/>
    <w:p>
      <w:pPr>
        <w:adjustRightInd w:val="0"/>
        <w:snapToGrid w:val="0"/>
        <w:spacing w:before="156" w:beforeLines="50" w:after="156" w:afterLines="50" w:line="360" w:lineRule="auto"/>
        <w:ind w:firstLine="422" w:firstLineChars="200"/>
        <w:rPr>
          <w:rFonts w:ascii="仿宋" w:hAnsi="仿宋" w:eastAsia="仿宋" w:cs="楷体"/>
          <w:b/>
          <w:color w:val="auto"/>
          <w:szCs w:val="21"/>
          <w:highlight w:val="none"/>
        </w:rPr>
      </w:pPr>
      <w:r>
        <w:rPr>
          <w:rFonts w:ascii="仿宋" w:hAnsi="仿宋" w:eastAsia="仿宋" w:cs="楷体"/>
          <w:b/>
          <w:color w:val="auto"/>
          <w:szCs w:val="21"/>
          <w:highlight w:val="none"/>
        </w:rPr>
        <w:t>4</w:t>
      </w:r>
      <w:r>
        <w:rPr>
          <w:rFonts w:hint="eastAsia" w:ascii="仿宋" w:hAnsi="仿宋" w:eastAsia="仿宋" w:cs="楷体"/>
          <w:b/>
          <w:color w:val="auto"/>
          <w:szCs w:val="21"/>
          <w:highlight w:val="none"/>
        </w:rPr>
        <w:t>、竞争性磋商文件的解释权：</w:t>
      </w:r>
    </w:p>
    <w:p>
      <w:pPr>
        <w:adjustRightInd w:val="0"/>
        <w:snapToGrid w:val="0"/>
        <w:spacing w:before="156" w:beforeLines="50" w:after="156" w:afterLines="50"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本项目竞争性磋商文件的解释权归采购代理机构所有，如发现竞争性磋商文件内容与现行法律法规不相符的情况，以现行法律法规为准。</w:t>
      </w:r>
    </w:p>
    <w:p>
      <w:pPr>
        <w:tabs>
          <w:tab w:val="left" w:pos="7665"/>
        </w:tabs>
        <w:spacing w:before="156" w:beforeLines="50" w:after="156" w:afterLines="50" w:line="360" w:lineRule="auto"/>
        <w:rPr>
          <w:rFonts w:ascii="仿宋" w:hAnsi="仿宋" w:eastAsia="仿宋" w:cs="楷体"/>
          <w:b/>
          <w:color w:val="auto"/>
          <w:kern w:val="0"/>
          <w:sz w:val="28"/>
          <w:szCs w:val="28"/>
          <w:highlight w:val="none"/>
        </w:rPr>
      </w:pPr>
      <w:r>
        <w:rPr>
          <w:rFonts w:hint="eastAsia" w:ascii="仿宋" w:hAnsi="仿宋" w:eastAsia="仿宋" w:cs="楷体"/>
          <w:b/>
          <w:bCs/>
          <w:color w:val="auto"/>
          <w:sz w:val="28"/>
          <w:szCs w:val="28"/>
          <w:highlight w:val="none"/>
        </w:rPr>
        <w:t>三、磋商响应文件</w:t>
      </w:r>
    </w:p>
    <w:p>
      <w:pPr>
        <w:tabs>
          <w:tab w:val="left" w:pos="720"/>
        </w:tabs>
        <w:snapToGrid w:val="0"/>
        <w:spacing w:before="156" w:beforeLines="50" w:after="156" w:afterLines="50"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7、磋商响应文件的组成</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7.1、磋商响应文件由下列部分组成：</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7.1.1、磋商报价部分：</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7.1.1.1、本项目报价采用固定总价承包，磋商供应商自行考虑并承担风险。即磋商供应商的报价是磋商供应商响应本项目要求的全部工作内容的价格体现，包括磋商供应商完成本项目所需的一切费用，即服务费、售后服务、税金及其他所有费用的总和。</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7.1.1.2、磋商供应商不得以低于成本的报价参与磋商。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7.1.2、技术部分：磋商供应商按照竞争性磋商文件要求做出技术响应，主要是针对采购项目的技术指标、参数和技术要求做出的实质性响应和满足。</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7.1.3、商务部分：</w:t>
      </w:r>
      <w:r>
        <w:rPr>
          <w:rFonts w:hint="eastAsia" w:ascii="仿宋" w:hAnsi="仿宋" w:eastAsia="仿宋" w:cs="楷体"/>
          <w:bCs/>
          <w:color w:val="auto"/>
          <w:szCs w:val="21"/>
          <w:highlight w:val="none"/>
        </w:rPr>
        <w:t>磋商供应商</w:t>
      </w:r>
      <w:r>
        <w:rPr>
          <w:rFonts w:hint="eastAsia" w:ascii="仿宋" w:hAnsi="仿宋" w:eastAsia="仿宋" w:cs="楷体"/>
          <w:color w:val="auto"/>
          <w:szCs w:val="21"/>
          <w:highlight w:val="none"/>
        </w:rPr>
        <w:t>按照竞争性磋商文件要求做出完全响应。</w:t>
      </w:r>
    </w:p>
    <w:p>
      <w:pPr>
        <w:pStyle w:val="2"/>
        <w:spacing w:before="156" w:beforeLines="50" w:after="156" w:afterLines="50" w:line="360" w:lineRule="auto"/>
        <w:ind w:firstLine="0"/>
        <w:rPr>
          <w:rFonts w:ascii="仿宋" w:hAnsi="仿宋" w:eastAsia="仿宋" w:cs="楷体"/>
          <w:b/>
          <w:color w:val="auto"/>
          <w:szCs w:val="21"/>
          <w:highlight w:val="none"/>
        </w:rPr>
      </w:pPr>
      <w:r>
        <w:rPr>
          <w:rFonts w:hint="eastAsia" w:ascii="仿宋" w:hAnsi="仿宋" w:eastAsia="仿宋" w:cs="楷体"/>
          <w:b/>
          <w:bCs/>
          <w:color w:val="auto"/>
          <w:szCs w:val="21"/>
          <w:highlight w:val="none"/>
        </w:rPr>
        <w:t>8、磋商保证金</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8.1、磋商保证金数额见磋商供应商须知前列表。磋商供应商参加投标时，应当以人民币提交足额的磋商保证金，并作为其磋商响应文件的一部分。</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8.2、磋商保证金是为了保护采购人和采购代理机构免遭磋商供应商的不良行为而蒙受损失。采购人和采购代理机构在因磋商供应商的不良行为受到损害时，可根据竞争性磋商文件的规定不予退还其磋商保证金。</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8.3、磋商保证金的提交</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8.3.1、磋商保证金逾期缴纳的磋商供应商磋商响应文件将被拒绝。</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8.3.2、磋商保证金应以银行转账或者金融机构、担保机构出具的保函等非现金形式提交。</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8.3.2.1、以银行转账缴纳磋商保证金的，可以采取支票、电汇、网银、汇票、本票等方式，应从其基本账户转出。</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8.3.2.2、以信用担保函形式交纳磋商保证金的，应按照竞争性磋商文件规定的格式提交，且是陕西省有关部门认定的具有开具保函资格的单位开具的保函。磋商供应商违约，开具保函单位承担连带责任。</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8.4、磋商保证金的退还：</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8.4.1、未成交供应商的磋商保证金，将在成交通知书发出之日起5个工作日内全额退还。成交供应商的磋商保证金，将在采购合同签订生效后5个工作日内全额退还。未及时办理退还者，由磋商供应商自行负责。</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8.4.2、下列任何情况发生时，采购代理机构将不予退还磋商供应商交纳的磋商保证金：</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8.4.2.1、磋商供应商在竞争性磋商文件规定的投标有效期内撤回磋商响应文件的；</w:t>
      </w:r>
    </w:p>
    <w:p>
      <w:pPr>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8.4.2.2、由于成交供应商的原因未能按照竞争性磋商文件的规定与采购人签订合同的；</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8.4.2.3、由于成交供应商的原因未能在规定时间内领取《成交通知书》的；</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8.4.2.4、由于成交供应商的原因未能按竞争性磋商文件规定支付采购代理服务费的；</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8.4.2.5、由于成交供应商的原因未能按竞争性磋商文件规定缴纳履约保证金的；</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8.4.2.6、磋商供应商违反磋商响应文件中承诺函相关内容和条款的；</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8.4.2.7、投标有效期内，磋商供应商在政府采购活动中有违规、违纪和违法行为的；</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8.4.2.8、法律法规规定的其他情况。</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8.4.3、磋商保证金退还方式：代理机构通过银行转账将磋商保证金退还至磋商供应商基本账户。</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8.4.4、磋商保证金退还程序：</w:t>
      </w:r>
    </w:p>
    <w:p>
      <w:pPr>
        <w:spacing w:line="360" w:lineRule="auto"/>
        <w:ind w:firstLine="630" w:firstLineChars="300"/>
        <w:rPr>
          <w:rFonts w:ascii="仿宋" w:hAnsi="仿宋" w:eastAsia="仿宋" w:cs="楷体"/>
          <w:color w:val="auto"/>
          <w:szCs w:val="21"/>
          <w:highlight w:val="none"/>
        </w:rPr>
      </w:pPr>
      <w:r>
        <w:rPr>
          <w:rFonts w:hint="eastAsia" w:ascii="仿宋" w:hAnsi="仿宋" w:eastAsia="仿宋" w:cs="楷体"/>
          <w:color w:val="auto"/>
          <w:szCs w:val="21"/>
          <w:highlight w:val="none"/>
        </w:rPr>
        <w:t>退还磋商保证金手续。未成交供应商凭磋商保证金基本账户信息复印件、收款收据原件、单位证明（或委托书）和办理人员身份证复印件办理；成交供应商须持磋商保证金基本账户信息复印件、收款收据原件、采购合同原件和办理人员身份证复印件办理。</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8.4.5、磋商保证金收据丢失处理办法。磋商供应商收款收据丢失的，须提供单位证明、加盖磋商供应商公章及法定代表人印章的丢失情况说明，以及8.4.4条所需资料，代理机构将磋商保证金退还至磋商供应商基本账户：</w:t>
      </w:r>
    </w:p>
    <w:p>
      <w:pPr>
        <w:snapToGrid w:val="0"/>
        <w:spacing w:line="360" w:lineRule="auto"/>
        <w:outlineLvl w:val="2"/>
        <w:rPr>
          <w:rFonts w:ascii="仿宋" w:hAnsi="仿宋" w:eastAsia="仿宋" w:cs="楷体"/>
          <w:b/>
          <w:bCs/>
          <w:color w:val="auto"/>
          <w:szCs w:val="21"/>
          <w:highlight w:val="none"/>
        </w:rPr>
      </w:pPr>
      <w:r>
        <w:rPr>
          <w:rFonts w:hint="eastAsia" w:ascii="仿宋" w:hAnsi="仿宋" w:eastAsia="仿宋" w:cs="楷体"/>
          <w:b/>
          <w:bCs/>
          <w:color w:val="auto"/>
          <w:szCs w:val="21"/>
          <w:highlight w:val="none"/>
        </w:rPr>
        <w:t>9、磋商响应文件的编制</w:t>
      </w:r>
    </w:p>
    <w:p>
      <w:pPr>
        <w:tabs>
          <w:tab w:val="left" w:pos="720"/>
        </w:tabs>
        <w:snapToGrid w:val="0"/>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9.1、磋商供应商应仔细阅读竞争性磋商文件的所有内容，按竞争性磋商文件规定及要求编制磋商响应文件，应当对竞争性磋商文件提出的实质性要求做出响应，并提交完整的磋商响应文件。签署、盖章和内容应完整，如有遗漏，将被视为无效。</w:t>
      </w:r>
    </w:p>
    <w:p>
      <w:pPr>
        <w:tabs>
          <w:tab w:val="left" w:pos="720"/>
        </w:tabs>
        <w:snapToGrid w:val="0"/>
        <w:spacing w:line="360" w:lineRule="auto"/>
        <w:ind w:firstLine="420" w:firstLineChars="200"/>
        <w:rPr>
          <w:rFonts w:ascii="仿宋" w:hAnsi="仿宋" w:eastAsia="仿宋" w:cs="楷体"/>
          <w:bCs/>
          <w:color w:val="auto"/>
          <w:szCs w:val="21"/>
          <w:highlight w:val="none"/>
        </w:rPr>
      </w:pPr>
      <w:r>
        <w:rPr>
          <w:rFonts w:hint="eastAsia" w:ascii="仿宋" w:hAnsi="仿宋" w:eastAsia="仿宋" w:cs="楷体"/>
          <w:color w:val="auto"/>
          <w:szCs w:val="21"/>
          <w:highlight w:val="none"/>
        </w:rPr>
        <w:t>9.2、</w:t>
      </w:r>
      <w:r>
        <w:rPr>
          <w:rFonts w:hint="eastAsia" w:ascii="仿宋" w:hAnsi="仿宋" w:eastAsia="仿宋" w:cs="楷体"/>
          <w:bCs/>
          <w:color w:val="auto"/>
          <w:kern w:val="1"/>
          <w:szCs w:val="21"/>
          <w:highlight w:val="none"/>
        </w:rPr>
        <w:t>磋商供应商必须保证其编制、递交的磋商响应文件所有内容真实、合法、有效，并承担相应的法律责任。</w:t>
      </w:r>
    </w:p>
    <w:p>
      <w:pPr>
        <w:tabs>
          <w:tab w:val="left" w:pos="720"/>
        </w:tabs>
        <w:snapToGrid w:val="0"/>
        <w:spacing w:line="360" w:lineRule="auto"/>
        <w:ind w:firstLine="420" w:firstLineChars="200"/>
        <w:rPr>
          <w:rFonts w:ascii="仿宋" w:hAnsi="仿宋" w:eastAsia="仿宋" w:cs="楷体"/>
          <w:color w:val="auto"/>
          <w:szCs w:val="21"/>
          <w:highlight w:val="none"/>
        </w:rPr>
      </w:pPr>
      <w:r>
        <w:rPr>
          <w:rFonts w:hint="eastAsia" w:ascii="仿宋" w:hAnsi="仿宋" w:eastAsia="仿宋" w:cs="楷体"/>
          <w:bCs/>
          <w:color w:val="auto"/>
          <w:szCs w:val="21"/>
          <w:highlight w:val="none"/>
        </w:rPr>
        <w:t>9.3、磋商响应文件的语言：磋商供应商</w:t>
      </w:r>
      <w:r>
        <w:rPr>
          <w:rFonts w:hint="eastAsia" w:ascii="仿宋" w:hAnsi="仿宋" w:eastAsia="仿宋" w:cs="楷体"/>
          <w:color w:val="auto"/>
          <w:szCs w:val="21"/>
          <w:highlight w:val="none"/>
        </w:rPr>
        <w:t>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tabs>
          <w:tab w:val="left" w:pos="720"/>
        </w:tabs>
        <w:snapToGrid w:val="0"/>
        <w:spacing w:line="360" w:lineRule="auto"/>
        <w:ind w:firstLine="480"/>
        <w:rPr>
          <w:rFonts w:ascii="仿宋" w:hAnsi="仿宋" w:eastAsia="仿宋" w:cs="楷体"/>
          <w:color w:val="auto"/>
          <w:szCs w:val="21"/>
          <w:highlight w:val="none"/>
        </w:rPr>
      </w:pPr>
      <w:r>
        <w:rPr>
          <w:rFonts w:hint="eastAsia" w:ascii="仿宋" w:hAnsi="仿宋" w:eastAsia="仿宋" w:cs="楷体"/>
          <w:color w:val="auto"/>
          <w:szCs w:val="21"/>
          <w:highlight w:val="none"/>
        </w:rPr>
        <w:t>9.4、磋商响应文件的计量单位：</w:t>
      </w:r>
      <w:r>
        <w:rPr>
          <w:rFonts w:hint="eastAsia" w:ascii="仿宋" w:hAnsi="仿宋" w:eastAsia="仿宋" w:cs="楷体"/>
          <w:color w:val="auto"/>
          <w:kern w:val="0"/>
          <w:szCs w:val="21"/>
          <w:highlight w:val="none"/>
        </w:rPr>
        <w:t>竞争性磋商文件已有明确规定的，使用竞争性磋商文件规定的计量单位；竞争性磋商文件没有规定的，应采用中华人民共和国法定计量单位</w:t>
      </w:r>
      <w:r>
        <w:rPr>
          <w:rFonts w:hint="eastAsia" w:ascii="仿宋" w:hAnsi="仿宋" w:eastAsia="仿宋" w:cs="楷体"/>
          <w:color w:val="auto"/>
          <w:szCs w:val="21"/>
          <w:highlight w:val="none"/>
        </w:rPr>
        <w:t>(国际单位制和国家选定的其他计量单位)</w:t>
      </w:r>
      <w:r>
        <w:rPr>
          <w:rFonts w:hint="eastAsia" w:ascii="仿宋" w:hAnsi="仿宋" w:eastAsia="仿宋" w:cs="楷体"/>
          <w:color w:val="auto"/>
          <w:kern w:val="0"/>
          <w:szCs w:val="21"/>
          <w:highlight w:val="none"/>
        </w:rPr>
        <w:t>。否则，视为对竞争性磋商文件未做出实质性响应。</w:t>
      </w:r>
    </w:p>
    <w:p>
      <w:pPr>
        <w:tabs>
          <w:tab w:val="left" w:pos="720"/>
        </w:tabs>
        <w:snapToGrid w:val="0"/>
        <w:spacing w:line="360" w:lineRule="auto"/>
        <w:ind w:firstLine="480"/>
        <w:rPr>
          <w:rFonts w:ascii="仿宋" w:hAnsi="仿宋" w:eastAsia="仿宋" w:cs="楷体"/>
          <w:color w:val="auto"/>
          <w:szCs w:val="21"/>
          <w:highlight w:val="none"/>
        </w:rPr>
      </w:pPr>
      <w:r>
        <w:rPr>
          <w:rFonts w:hint="eastAsia" w:ascii="仿宋" w:hAnsi="仿宋" w:eastAsia="仿宋" w:cs="楷体"/>
          <w:color w:val="auto"/>
          <w:szCs w:val="21"/>
          <w:highlight w:val="none"/>
        </w:rPr>
        <w:t>9.5、报价使用货币：本次采购项目的报价均以人民币报价。</w:t>
      </w:r>
    </w:p>
    <w:p>
      <w:pPr>
        <w:pStyle w:val="10"/>
        <w:adjustRightInd w:val="0"/>
        <w:snapToGrid w:val="0"/>
        <w:spacing w:line="360" w:lineRule="auto"/>
        <w:ind w:firstLine="420" w:firstLineChars="200"/>
        <w:rPr>
          <w:rFonts w:ascii="仿宋" w:hAnsi="仿宋" w:eastAsia="仿宋" w:cs="楷体"/>
          <w:color w:val="auto"/>
          <w:kern w:val="1"/>
          <w:highlight w:val="none"/>
        </w:rPr>
      </w:pPr>
      <w:r>
        <w:rPr>
          <w:rFonts w:hint="eastAsia" w:ascii="仿宋" w:hAnsi="仿宋" w:eastAsia="仿宋" w:cs="楷体"/>
          <w:color w:val="auto"/>
          <w:highlight w:val="none"/>
        </w:rPr>
        <w:t>9.6、磋商响应文件形式：本项目磋商响应文件应采用书面文件形式，电报、传真、</w:t>
      </w:r>
      <w:r>
        <w:rPr>
          <w:rFonts w:hint="eastAsia" w:ascii="仿宋" w:hAnsi="仿宋" w:eastAsia="仿宋" w:cs="楷体"/>
          <w:color w:val="auto"/>
          <w:kern w:val="1"/>
          <w:highlight w:val="none"/>
        </w:rPr>
        <w:t>电子邮件形式的磋商响应文件不予接受。</w:t>
      </w:r>
    </w:p>
    <w:p>
      <w:pPr>
        <w:tabs>
          <w:tab w:val="left" w:pos="0"/>
          <w:tab w:val="left" w:pos="420"/>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9.7、备选方案：本项目不接受备选响应方案，磋商响应文件的报价只允许有一个报价，不接受有任何选择或具有附加条件的报价，否则，在评审时将其视为无效报价。</w:t>
      </w:r>
    </w:p>
    <w:p>
      <w:pPr>
        <w:tabs>
          <w:tab w:val="left" w:pos="0"/>
          <w:tab w:val="left" w:pos="420"/>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9.8、磋商响应文件有效期：磋商响应文件有效期自开标大会之日起计算不得少于90天。</w:t>
      </w:r>
    </w:p>
    <w:p>
      <w:pPr>
        <w:tabs>
          <w:tab w:val="left" w:pos="0"/>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9.9、磋商响应文件格式：磋商供应商应严格按照竞争性磋商文件《第六章磋商响应文件格式及构成》填写相关内容。除明确允许磋商供应商可以自行编写的外，磋商供应商不得以规定之外的方式填写相关内容。否则，磋商供应商提供的磋商响应文件将作为无效响应文件处理。</w:t>
      </w:r>
    </w:p>
    <w:p>
      <w:pPr>
        <w:tabs>
          <w:tab w:val="left" w:pos="0"/>
          <w:tab w:val="left" w:pos="420"/>
        </w:tabs>
        <w:spacing w:line="360" w:lineRule="auto"/>
        <w:ind w:firstLine="420" w:firstLineChars="200"/>
        <w:rPr>
          <w:rFonts w:hint="eastAsia" w:ascii="仿宋" w:hAnsi="仿宋" w:eastAsia="仿宋" w:cs="楷体"/>
          <w:color w:val="auto"/>
          <w:kern w:val="1"/>
          <w:szCs w:val="21"/>
          <w:highlight w:val="none"/>
          <w:lang w:eastAsia="zh-CN"/>
        </w:rPr>
      </w:pPr>
      <w:r>
        <w:rPr>
          <w:rFonts w:hint="eastAsia" w:ascii="仿宋" w:hAnsi="仿宋" w:eastAsia="仿宋" w:cs="楷体"/>
          <w:color w:val="auto"/>
          <w:kern w:val="1"/>
          <w:szCs w:val="21"/>
          <w:highlight w:val="none"/>
        </w:rPr>
        <w:t>9.10、磋商响应文件的签署、盖章</w:t>
      </w:r>
    </w:p>
    <w:p>
      <w:pPr>
        <w:tabs>
          <w:tab w:val="left" w:pos="0"/>
        </w:tabs>
        <w:spacing w:line="360" w:lineRule="auto"/>
        <w:ind w:firstLine="420" w:firstLineChars="200"/>
        <w:rPr>
          <w:rFonts w:ascii="仿宋" w:hAnsi="仿宋" w:eastAsia="仿宋" w:cs="楷体"/>
          <w:bCs/>
          <w:color w:val="auto"/>
          <w:kern w:val="1"/>
          <w:szCs w:val="21"/>
          <w:highlight w:val="none"/>
        </w:rPr>
      </w:pPr>
      <w:r>
        <w:rPr>
          <w:rFonts w:hint="eastAsia" w:ascii="仿宋" w:hAnsi="仿宋" w:eastAsia="仿宋" w:cs="楷体"/>
          <w:bCs/>
          <w:color w:val="auto"/>
          <w:kern w:val="1"/>
          <w:szCs w:val="21"/>
          <w:highlight w:val="none"/>
        </w:rPr>
        <w:t>9.10.1、</w:t>
      </w:r>
      <w:r>
        <w:rPr>
          <w:rFonts w:hint="eastAsia" w:ascii="仿宋" w:hAnsi="仿宋" w:eastAsia="仿宋" w:cs="楷体"/>
          <w:color w:val="auto"/>
          <w:kern w:val="1"/>
          <w:szCs w:val="21"/>
          <w:highlight w:val="none"/>
        </w:rPr>
        <w:t>磋商响应文件须由供应商的法定代表人或经法定代表人正式授权的代表签字（</w:t>
      </w:r>
      <w:r>
        <w:rPr>
          <w:rFonts w:hint="eastAsia" w:ascii="仿宋" w:hAnsi="仿宋" w:eastAsia="仿宋" w:cs="楷体"/>
          <w:color w:val="auto"/>
          <w:szCs w:val="21"/>
          <w:highlight w:val="none"/>
        </w:rPr>
        <w:t>磋商文件要求磋商响应文件中法定代表人签字处由法定代表人签署，要求授权代表签字处由授权代表签署），若由授权代表签署，须按磋商文件规定的格式出具“法定代表人授权书”附在磋商响应文件中，所有要求签字（名）处，均须由签字（名）者本人用不褪色的蓝(黑)色墨水(汁)书写，不得用任何形式的图章代替）；响应文件的任何行间插字、涂改和增删，改动处须由法定代表人签字并加盖公章方为有效；因字迹潦草或表达不清所引起的后果由供应商自行负责。</w:t>
      </w:r>
    </w:p>
    <w:p>
      <w:pPr>
        <w:tabs>
          <w:tab w:val="left" w:pos="0"/>
          <w:tab w:val="left" w:pos="420"/>
        </w:tabs>
        <w:spacing w:line="360" w:lineRule="auto"/>
        <w:ind w:firstLine="481"/>
        <w:rPr>
          <w:rFonts w:ascii="仿宋" w:hAnsi="仿宋" w:eastAsia="仿宋" w:cs="楷体"/>
          <w:color w:val="auto"/>
          <w:kern w:val="1"/>
          <w:szCs w:val="21"/>
          <w:highlight w:val="none"/>
        </w:rPr>
      </w:pPr>
      <w:r>
        <w:rPr>
          <w:rFonts w:hint="eastAsia" w:ascii="仿宋" w:hAnsi="仿宋" w:eastAsia="仿宋" w:cs="楷体"/>
          <w:bCs/>
          <w:color w:val="auto"/>
          <w:kern w:val="1"/>
          <w:szCs w:val="21"/>
          <w:highlight w:val="none"/>
        </w:rPr>
        <w:t>9.10.2、</w:t>
      </w:r>
      <w:r>
        <w:rPr>
          <w:rFonts w:hint="eastAsia" w:ascii="仿宋" w:hAnsi="仿宋" w:eastAsia="仿宋" w:cs="楷体"/>
          <w:color w:val="auto"/>
          <w:kern w:val="1"/>
          <w:szCs w:val="21"/>
          <w:highlight w:val="none"/>
        </w:rPr>
        <w:t>磋商供应商须按竞争性磋商文件要求在指定页面落款处加盖供应商公章，其余页面逐页加盖供应商公章包括封面、封底。</w:t>
      </w:r>
    </w:p>
    <w:p>
      <w:pPr>
        <w:tabs>
          <w:tab w:val="left" w:pos="0"/>
          <w:tab w:val="left" w:pos="420"/>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9.11、磋商响应文件的装订、密封及标识</w:t>
      </w:r>
    </w:p>
    <w:p>
      <w:pPr>
        <w:tabs>
          <w:tab w:val="left" w:pos="0"/>
          <w:tab w:val="left" w:pos="420"/>
        </w:tabs>
        <w:spacing w:line="360" w:lineRule="auto"/>
        <w:ind w:firstLine="48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9.11.1、磋商响应文件包含正本1份、副本2份、开标一览表1份、磋商响应文件电子版</w:t>
      </w:r>
      <w:r>
        <w:rPr>
          <w:rFonts w:hint="eastAsia" w:ascii="仿宋" w:hAnsi="仿宋" w:eastAsia="仿宋" w:cs="楷体"/>
          <w:color w:val="auto"/>
          <w:kern w:val="1"/>
          <w:szCs w:val="21"/>
          <w:highlight w:val="none"/>
          <w:lang w:eastAsia="zh-CN"/>
        </w:rPr>
        <w:t>光盘或</w:t>
      </w:r>
      <w:r>
        <w:rPr>
          <w:rFonts w:hint="eastAsia" w:ascii="仿宋" w:hAnsi="仿宋" w:eastAsia="仿宋" w:cs="楷体"/>
          <w:color w:val="auto"/>
          <w:kern w:val="1"/>
          <w:szCs w:val="21"/>
          <w:highlight w:val="none"/>
        </w:rPr>
        <w:t>U盘1份（</w:t>
      </w:r>
      <w:r>
        <w:rPr>
          <w:rFonts w:hint="eastAsia" w:ascii="仿宋" w:hAnsi="仿宋" w:eastAsia="仿宋" w:cs="楷体"/>
          <w:color w:val="auto"/>
          <w:kern w:val="1"/>
          <w:szCs w:val="21"/>
          <w:highlight w:val="none"/>
          <w:u w:val="single"/>
        </w:rPr>
        <w:t>提供磋商响应文件正本的word版本</w:t>
      </w:r>
      <w:r>
        <w:rPr>
          <w:rFonts w:hint="eastAsia" w:ascii="仿宋" w:hAnsi="仿宋" w:eastAsia="仿宋" w:cs="楷体"/>
          <w:color w:val="auto"/>
          <w:kern w:val="1"/>
          <w:szCs w:val="21"/>
          <w:highlight w:val="none"/>
        </w:rPr>
        <w:t>），正本1份、副本2份各自装订成册并加盖骑缝章单独密封，磋商响应文件须在封面及封袋注明“正本”和“副本”字样。如果正本与副本不符，以正本磋商响应文件为准。</w:t>
      </w:r>
    </w:p>
    <w:p>
      <w:pPr>
        <w:tabs>
          <w:tab w:val="left" w:pos="0"/>
          <w:tab w:val="left" w:pos="420"/>
        </w:tabs>
        <w:spacing w:line="360" w:lineRule="auto"/>
        <w:ind w:firstLine="480"/>
        <w:rPr>
          <w:rFonts w:hint="eastAsia" w:ascii="仿宋" w:hAnsi="仿宋" w:eastAsia="仿宋" w:cs="楷体"/>
          <w:color w:val="auto"/>
          <w:kern w:val="1"/>
          <w:szCs w:val="21"/>
          <w:highlight w:val="none"/>
        </w:rPr>
      </w:pPr>
      <w:r>
        <w:rPr>
          <w:rFonts w:hint="eastAsia" w:ascii="仿宋" w:hAnsi="仿宋" w:eastAsia="仿宋" w:cs="楷体"/>
          <w:color w:val="auto"/>
          <w:kern w:val="1"/>
          <w:szCs w:val="21"/>
          <w:highlight w:val="none"/>
        </w:rPr>
        <w:t>9.11.2、磋商响应文件的正本、副本、开标一览表要求各自分装密封，磋商响应文件电子版</w:t>
      </w:r>
      <w:r>
        <w:rPr>
          <w:rFonts w:hint="eastAsia" w:ascii="仿宋" w:hAnsi="仿宋" w:eastAsia="仿宋" w:cs="楷体"/>
          <w:color w:val="auto"/>
          <w:kern w:val="1"/>
          <w:szCs w:val="21"/>
          <w:highlight w:val="none"/>
          <w:lang w:eastAsia="zh-CN"/>
        </w:rPr>
        <w:t>光盘或</w:t>
      </w:r>
      <w:r>
        <w:rPr>
          <w:rFonts w:hint="eastAsia" w:ascii="仿宋" w:hAnsi="仿宋" w:eastAsia="仿宋" w:cs="楷体"/>
          <w:color w:val="auto"/>
          <w:kern w:val="1"/>
          <w:szCs w:val="21"/>
          <w:highlight w:val="none"/>
        </w:rPr>
        <w:t>U盘1份随开标一览表封装（封袋不得有破损），同时在封口处加贴封条并在骑缝处加盖磋商供应商公章。</w:t>
      </w:r>
    </w:p>
    <w:p>
      <w:pPr>
        <w:tabs>
          <w:tab w:val="left" w:pos="0"/>
          <w:tab w:val="left" w:pos="420"/>
        </w:tabs>
        <w:spacing w:line="360" w:lineRule="auto"/>
        <w:ind w:firstLine="48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9.11.3、正本、副本、开标一览表及资格证明文件封袋标识式样详见格式A.B.C。不按要求进行标识的文件代理机构不予接收。</w:t>
      </w:r>
    </w:p>
    <w:p>
      <w:pPr>
        <w:tabs>
          <w:tab w:val="left" w:pos="0"/>
          <w:tab w:val="left" w:pos="420"/>
        </w:tabs>
        <w:spacing w:line="360" w:lineRule="auto"/>
        <w:ind w:firstLine="480"/>
        <w:rPr>
          <w:rFonts w:ascii="仿宋" w:hAnsi="仿宋" w:eastAsia="仿宋" w:cs="楷体"/>
          <w:color w:val="auto"/>
          <w:szCs w:val="21"/>
          <w:highlight w:val="none"/>
        </w:rPr>
      </w:pPr>
      <w:r>
        <w:rPr>
          <w:rFonts w:hint="eastAsia" w:ascii="仿宋" w:hAnsi="仿宋" w:eastAsia="仿宋" w:cs="楷体"/>
          <w:color w:val="auto"/>
          <w:kern w:val="1"/>
          <w:szCs w:val="21"/>
          <w:highlight w:val="none"/>
        </w:rPr>
        <w:t>9.11.4、</w:t>
      </w:r>
      <w:r>
        <w:rPr>
          <w:rFonts w:hint="eastAsia" w:ascii="仿宋" w:hAnsi="仿宋" w:eastAsia="仿宋" w:cs="楷体"/>
          <w:color w:val="auto"/>
          <w:szCs w:val="21"/>
          <w:highlight w:val="none"/>
        </w:rPr>
        <w:t>磋商响应文件正本和副本</w:t>
      </w:r>
      <w:r>
        <w:rPr>
          <w:rFonts w:hint="eastAsia" w:ascii="仿宋" w:hAnsi="仿宋" w:eastAsia="仿宋" w:cs="楷体"/>
          <w:color w:val="auto"/>
          <w:szCs w:val="21"/>
          <w:highlight w:val="none"/>
          <w:lang w:val="zh-CN"/>
        </w:rPr>
        <w:t>一律采用A4纸幅面加胶装分别装订成册，逐页</w:t>
      </w:r>
      <w:r>
        <w:rPr>
          <w:rFonts w:hint="eastAsia" w:ascii="仿宋" w:hAnsi="仿宋" w:eastAsia="仿宋" w:cs="楷体"/>
          <w:bCs/>
          <w:color w:val="auto"/>
          <w:kern w:val="1"/>
          <w:szCs w:val="21"/>
          <w:highlight w:val="none"/>
        </w:rPr>
        <w:t>编制页码。</w:t>
      </w:r>
      <w:r>
        <w:rPr>
          <w:rFonts w:hint="eastAsia" w:ascii="仿宋" w:hAnsi="仿宋" w:eastAsia="仿宋" w:cs="楷体"/>
          <w:color w:val="auto"/>
          <w:szCs w:val="21"/>
          <w:highlight w:val="none"/>
        </w:rPr>
        <w:t>文件胶装装订后，页面不可抽取，不得有活动页，无破损、不可拆分。</w:t>
      </w:r>
    </w:p>
    <w:p>
      <w:pPr>
        <w:tabs>
          <w:tab w:val="left" w:pos="0"/>
          <w:tab w:val="left" w:pos="420"/>
        </w:tabs>
        <w:spacing w:line="360" w:lineRule="auto"/>
        <w:ind w:firstLine="48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9.12、磋商响应文件的递交</w:t>
      </w:r>
    </w:p>
    <w:p>
      <w:pPr>
        <w:tabs>
          <w:tab w:val="left" w:pos="0"/>
        </w:tabs>
        <w:spacing w:line="360" w:lineRule="auto"/>
        <w:rPr>
          <w:rFonts w:ascii="仿宋" w:hAnsi="仿宋" w:eastAsia="仿宋" w:cs="楷体"/>
          <w:b/>
          <w:color w:val="auto"/>
          <w:kern w:val="1"/>
          <w:szCs w:val="21"/>
          <w:highlight w:val="none"/>
        </w:rPr>
      </w:pPr>
      <w:r>
        <w:rPr>
          <w:rFonts w:hint="eastAsia" w:ascii="仿宋" w:hAnsi="仿宋" w:eastAsia="仿宋" w:cs="楷体"/>
          <w:color w:val="auto"/>
          <w:kern w:val="1"/>
          <w:szCs w:val="21"/>
          <w:highlight w:val="none"/>
        </w:rPr>
        <w:t xml:space="preserve">    9.12.1、</w:t>
      </w:r>
      <w:r>
        <w:rPr>
          <w:rFonts w:hint="eastAsia" w:ascii="仿宋" w:hAnsi="仿宋" w:eastAsia="仿宋" w:cs="楷体"/>
          <w:color w:val="auto"/>
          <w:szCs w:val="21"/>
          <w:highlight w:val="none"/>
        </w:rPr>
        <w:t>磋商供应商应仔细阅读竞争性磋商文件中的所有事项、格式、条款和要求，对竞争性磋商文件的全部内容及要求作出实质性响应，提交相应资料。</w:t>
      </w:r>
    </w:p>
    <w:p>
      <w:pPr>
        <w:tabs>
          <w:tab w:val="left" w:pos="0"/>
        </w:tabs>
        <w:spacing w:line="360" w:lineRule="auto"/>
        <w:ind w:firstLine="48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9.12.2、截止磋商响应文件递交时间前</w:t>
      </w:r>
      <w:r>
        <w:rPr>
          <w:rFonts w:hint="eastAsia" w:ascii="仿宋" w:hAnsi="仿宋" w:eastAsia="仿宋" w:cs="楷体"/>
          <w:color w:val="auto"/>
          <w:kern w:val="0"/>
          <w:szCs w:val="21"/>
          <w:highlight w:val="none"/>
        </w:rPr>
        <w:t>磋商供应商应将磋商响应文件所有正本、副本、开标一览表等相关资料按要求密封递交</w:t>
      </w:r>
      <w:r>
        <w:rPr>
          <w:rFonts w:hint="eastAsia" w:ascii="仿宋" w:hAnsi="仿宋" w:eastAsia="仿宋" w:cs="楷体"/>
          <w:color w:val="auto"/>
          <w:kern w:val="1"/>
          <w:szCs w:val="21"/>
          <w:highlight w:val="none"/>
        </w:rPr>
        <w:t>。</w:t>
      </w:r>
    </w:p>
    <w:p>
      <w:pPr>
        <w:tabs>
          <w:tab w:val="left" w:pos="0"/>
        </w:tabs>
        <w:spacing w:line="360" w:lineRule="auto"/>
        <w:ind w:firstLine="480"/>
        <w:rPr>
          <w:rFonts w:ascii="仿宋" w:hAnsi="仿宋" w:eastAsia="仿宋" w:cs="楷体"/>
          <w:bCs/>
          <w:color w:val="auto"/>
          <w:kern w:val="1"/>
          <w:szCs w:val="21"/>
          <w:highlight w:val="none"/>
        </w:rPr>
      </w:pPr>
      <w:r>
        <w:rPr>
          <w:rFonts w:hint="eastAsia" w:ascii="仿宋" w:hAnsi="仿宋" w:eastAsia="仿宋" w:cs="楷体"/>
          <w:bCs/>
          <w:color w:val="auto"/>
          <w:kern w:val="1"/>
          <w:szCs w:val="21"/>
          <w:highlight w:val="none"/>
        </w:rPr>
        <w:t>9.12.3、</w:t>
      </w:r>
      <w:r>
        <w:rPr>
          <w:rFonts w:hint="eastAsia" w:ascii="仿宋" w:hAnsi="仿宋" w:eastAsia="仿宋" w:cs="楷体"/>
          <w:color w:val="auto"/>
          <w:kern w:val="1"/>
          <w:szCs w:val="21"/>
          <w:highlight w:val="none"/>
        </w:rPr>
        <w:t>采购代理机构仅负责对磋商保证金收款收据的核查、磋商响应文件的接收时间、份数和递交人等信息的确认。在宣布递交磋商响应文件时间截止之后，任何人送达、递交的磋商响应文件和文书资料，采购代理机构拒绝接收。</w:t>
      </w:r>
    </w:p>
    <w:p>
      <w:pPr>
        <w:tabs>
          <w:tab w:val="left" w:pos="0"/>
        </w:tabs>
        <w:spacing w:line="360" w:lineRule="auto"/>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 xml:space="preserve">    9.12.4、核查、信息确认完毕的磋商响应文件由采购代理机构妥善保管，任何人不得擅自拆封、调换和退回。</w:t>
      </w:r>
    </w:p>
    <w:p>
      <w:pPr>
        <w:tabs>
          <w:tab w:val="left" w:pos="0"/>
        </w:tabs>
        <w:spacing w:line="360" w:lineRule="auto"/>
        <w:rPr>
          <w:rFonts w:ascii="仿宋" w:hAnsi="仿宋" w:eastAsia="仿宋" w:cs="楷体"/>
          <w:b/>
          <w:color w:val="auto"/>
          <w:kern w:val="1"/>
          <w:szCs w:val="21"/>
          <w:highlight w:val="none"/>
        </w:rPr>
      </w:pPr>
      <w:r>
        <w:rPr>
          <w:rFonts w:hint="eastAsia" w:ascii="仿宋" w:hAnsi="仿宋" w:eastAsia="仿宋" w:cs="楷体"/>
          <w:b/>
          <w:color w:val="auto"/>
          <w:kern w:val="1"/>
          <w:szCs w:val="21"/>
          <w:highlight w:val="none"/>
        </w:rPr>
        <w:t>10、磋商响应文件的修改和撤回</w:t>
      </w:r>
    </w:p>
    <w:p>
      <w:pPr>
        <w:tabs>
          <w:tab w:val="left" w:pos="0"/>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10.1、磋商供应商在递交了磋商响应文件后，可以修改或撤回其磋商响应文件，但必须在规定的磋商响应文件截止时间前，以书面形式通知采购代理机构。</w:t>
      </w:r>
    </w:p>
    <w:p>
      <w:pPr>
        <w:tabs>
          <w:tab w:val="left" w:pos="0"/>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10.2、磋商供应商的修改书或撤回通知书，应由其法定代表人或其被授权委托人签署并盖单位公章，并在密封袋上标注“磋商响应文件修改”或“磋商响应文件撤回通知”字样，“修改文件”作为磋商响应文件的组成部分；采购代理机构不退还磋商供应商已撤回的磋商响应文件（包括纸质和电子版）。</w:t>
      </w:r>
    </w:p>
    <w:p>
      <w:pPr>
        <w:tabs>
          <w:tab w:val="left" w:pos="0"/>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10.3、磋商供应商撤回磋商响应文件的，采购代理机构自收到磋商供应商书面撤回通知之日起5个工作日内退还已收取的磋商保证金。</w:t>
      </w:r>
    </w:p>
    <w:p>
      <w:pPr>
        <w:tabs>
          <w:tab w:val="left" w:pos="0"/>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10.4、在磋商响应文件递交截止时间之后，磋商供应商不得对其递交的磋商响应文件做任何修改或撤回，否则，磋商保证金将不予退还；但磋商供应商在提交最后报价之前，可以根据情况退出磋商。</w:t>
      </w:r>
    </w:p>
    <w:p>
      <w:pPr>
        <w:tabs>
          <w:tab w:val="left" w:pos="0"/>
          <w:tab w:val="left" w:pos="420"/>
        </w:tabs>
        <w:spacing w:line="360" w:lineRule="auto"/>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 xml:space="preserve">    10.5、无论磋商供应商中标与否，其磋商响应文件不予退还。</w:t>
      </w:r>
    </w:p>
    <w:p>
      <w:pPr>
        <w:adjustRightInd w:val="0"/>
        <w:spacing w:line="360" w:lineRule="auto"/>
        <w:rPr>
          <w:rFonts w:ascii="仿宋" w:hAnsi="仿宋" w:eastAsia="仿宋" w:cs="楷体"/>
          <w:b/>
          <w:bCs/>
          <w:color w:val="auto"/>
          <w:szCs w:val="21"/>
          <w:highlight w:val="none"/>
        </w:rPr>
      </w:pPr>
      <w:r>
        <w:rPr>
          <w:rFonts w:hint="eastAsia" w:ascii="仿宋" w:hAnsi="仿宋" w:eastAsia="仿宋" w:cs="楷体"/>
          <w:b/>
          <w:bCs/>
          <w:color w:val="auto"/>
          <w:szCs w:val="21"/>
          <w:highlight w:val="none"/>
        </w:rPr>
        <w:t>11、关于开标现场转变采购方式问题。</w:t>
      </w:r>
    </w:p>
    <w:p>
      <w:pPr>
        <w:adjustRightInd w:val="0"/>
        <w:snapToGrid w:val="0"/>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依据《陕西省财政厅关于政府采购有关问题的通知（陕财办采资[2016]53号）》、《财政部关于政府采购竞争性磋商采购方式管理暂行办法有关问题的补充通知（财库〔2015〕124号）》</w:t>
      </w:r>
    </w:p>
    <w:p>
      <w:pPr>
        <w:adjustRightInd w:val="0"/>
        <w:snapToGrid w:val="0"/>
        <w:spacing w:before="156" w:beforeLines="50" w:after="156" w:afterLines="50" w:line="360" w:lineRule="auto"/>
        <w:rPr>
          <w:rFonts w:ascii="仿宋" w:hAnsi="仿宋" w:eastAsia="仿宋" w:cs="楷体"/>
          <w:b/>
          <w:color w:val="auto"/>
          <w:sz w:val="28"/>
          <w:szCs w:val="28"/>
          <w:highlight w:val="none"/>
        </w:rPr>
      </w:pPr>
      <w:r>
        <w:rPr>
          <w:rFonts w:hint="eastAsia" w:ascii="仿宋" w:hAnsi="仿宋" w:eastAsia="仿宋" w:cs="楷体"/>
          <w:b/>
          <w:bCs/>
          <w:color w:val="auto"/>
          <w:sz w:val="28"/>
          <w:szCs w:val="28"/>
          <w:highlight w:val="none"/>
        </w:rPr>
        <w:t>四、采购程序</w:t>
      </w:r>
    </w:p>
    <w:p>
      <w:pPr>
        <w:spacing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12、评审工作按下列工作程序进行：</w:t>
      </w:r>
    </w:p>
    <w:p>
      <w:pPr>
        <w:spacing w:line="360" w:lineRule="auto"/>
        <w:ind w:firstLine="493"/>
        <w:rPr>
          <w:rFonts w:ascii="仿宋" w:hAnsi="仿宋" w:eastAsia="仿宋" w:cs="楷体"/>
          <w:color w:val="auto"/>
          <w:szCs w:val="21"/>
          <w:highlight w:val="none"/>
        </w:rPr>
      </w:pPr>
      <w:r>
        <w:rPr>
          <w:rFonts w:hint="eastAsia" w:ascii="仿宋" w:hAnsi="仿宋" w:eastAsia="仿宋" w:cs="楷体"/>
          <w:color w:val="auto"/>
          <w:szCs w:val="21"/>
          <w:highlight w:val="none"/>
        </w:rPr>
        <w:t>12.1、组建磋商小组；</w:t>
      </w:r>
    </w:p>
    <w:p>
      <w:pPr>
        <w:spacing w:line="360" w:lineRule="auto"/>
        <w:ind w:firstLine="493"/>
        <w:rPr>
          <w:rFonts w:ascii="仿宋" w:hAnsi="仿宋" w:eastAsia="仿宋" w:cs="楷体"/>
          <w:color w:val="auto"/>
          <w:szCs w:val="21"/>
          <w:highlight w:val="none"/>
        </w:rPr>
      </w:pPr>
      <w:r>
        <w:rPr>
          <w:rFonts w:hint="eastAsia" w:ascii="仿宋" w:hAnsi="仿宋" w:eastAsia="仿宋" w:cs="楷体"/>
          <w:color w:val="auto"/>
          <w:szCs w:val="21"/>
          <w:highlight w:val="none"/>
        </w:rPr>
        <w:t>12.2、开标会议；</w:t>
      </w:r>
    </w:p>
    <w:p>
      <w:pPr>
        <w:spacing w:line="360" w:lineRule="auto"/>
        <w:ind w:firstLine="493"/>
        <w:rPr>
          <w:rFonts w:ascii="仿宋" w:hAnsi="仿宋" w:eastAsia="仿宋" w:cs="楷体"/>
          <w:color w:val="auto"/>
          <w:szCs w:val="21"/>
          <w:highlight w:val="none"/>
        </w:rPr>
      </w:pPr>
      <w:r>
        <w:rPr>
          <w:rFonts w:hint="eastAsia" w:ascii="仿宋" w:hAnsi="仿宋" w:eastAsia="仿宋" w:cs="楷体"/>
          <w:color w:val="auto"/>
          <w:szCs w:val="21"/>
          <w:highlight w:val="none"/>
        </w:rPr>
        <w:t>12.3、磋商响应文件初步评审；</w:t>
      </w:r>
    </w:p>
    <w:p>
      <w:pPr>
        <w:spacing w:line="360" w:lineRule="auto"/>
        <w:ind w:firstLine="493"/>
        <w:rPr>
          <w:rFonts w:ascii="仿宋" w:hAnsi="仿宋" w:eastAsia="仿宋" w:cs="楷体"/>
          <w:color w:val="auto"/>
          <w:szCs w:val="21"/>
          <w:highlight w:val="none"/>
        </w:rPr>
      </w:pPr>
      <w:r>
        <w:rPr>
          <w:rFonts w:hint="eastAsia" w:ascii="仿宋" w:hAnsi="仿宋" w:eastAsia="仿宋" w:cs="楷体"/>
          <w:color w:val="auto"/>
          <w:szCs w:val="21"/>
          <w:highlight w:val="none"/>
        </w:rPr>
        <w:t>12.4、磋商响应文件的澄清（如有）；</w:t>
      </w:r>
    </w:p>
    <w:p>
      <w:pPr>
        <w:spacing w:line="360" w:lineRule="auto"/>
        <w:ind w:firstLine="493"/>
        <w:rPr>
          <w:rFonts w:ascii="仿宋" w:hAnsi="仿宋" w:eastAsia="仿宋" w:cs="楷体"/>
          <w:color w:val="auto"/>
          <w:szCs w:val="21"/>
          <w:highlight w:val="none"/>
        </w:rPr>
      </w:pPr>
      <w:r>
        <w:rPr>
          <w:rFonts w:hint="eastAsia" w:ascii="仿宋" w:hAnsi="仿宋" w:eastAsia="仿宋" w:cs="楷体"/>
          <w:color w:val="auto"/>
          <w:szCs w:val="21"/>
          <w:highlight w:val="none"/>
        </w:rPr>
        <w:t>12.5、磋商响应文件详细评审；</w:t>
      </w:r>
    </w:p>
    <w:p>
      <w:pPr>
        <w:spacing w:line="360" w:lineRule="auto"/>
        <w:ind w:firstLine="493"/>
        <w:rPr>
          <w:rFonts w:ascii="仿宋" w:hAnsi="仿宋" w:eastAsia="仿宋" w:cs="楷体"/>
          <w:color w:val="auto"/>
          <w:szCs w:val="21"/>
          <w:highlight w:val="none"/>
        </w:rPr>
      </w:pPr>
      <w:r>
        <w:rPr>
          <w:rFonts w:hint="eastAsia" w:ascii="仿宋" w:hAnsi="仿宋" w:eastAsia="仿宋" w:cs="楷体"/>
          <w:color w:val="auto"/>
          <w:szCs w:val="21"/>
          <w:highlight w:val="none"/>
        </w:rPr>
        <w:t>12.6、磋商及二次报价</w:t>
      </w:r>
    </w:p>
    <w:p>
      <w:pPr>
        <w:spacing w:line="360" w:lineRule="auto"/>
        <w:ind w:firstLine="493"/>
        <w:rPr>
          <w:rFonts w:ascii="仿宋" w:hAnsi="仿宋" w:eastAsia="仿宋" w:cs="楷体"/>
          <w:color w:val="auto"/>
          <w:szCs w:val="21"/>
          <w:highlight w:val="none"/>
        </w:rPr>
      </w:pPr>
      <w:r>
        <w:rPr>
          <w:rFonts w:hint="eastAsia" w:ascii="仿宋" w:hAnsi="仿宋" w:eastAsia="仿宋" w:cs="楷体"/>
          <w:color w:val="auto"/>
          <w:szCs w:val="21"/>
          <w:highlight w:val="none"/>
        </w:rPr>
        <w:t>12.7、汇总评审结果；</w:t>
      </w:r>
    </w:p>
    <w:p>
      <w:pPr>
        <w:spacing w:line="360" w:lineRule="auto"/>
        <w:ind w:firstLine="493"/>
        <w:rPr>
          <w:rFonts w:ascii="仿宋" w:hAnsi="仿宋" w:eastAsia="仿宋" w:cs="楷体"/>
          <w:color w:val="auto"/>
          <w:szCs w:val="21"/>
          <w:highlight w:val="none"/>
        </w:rPr>
      </w:pPr>
      <w:r>
        <w:rPr>
          <w:rFonts w:hint="eastAsia" w:ascii="仿宋" w:hAnsi="仿宋" w:eastAsia="仿宋" w:cs="楷体"/>
          <w:color w:val="auto"/>
          <w:szCs w:val="21"/>
          <w:highlight w:val="none"/>
        </w:rPr>
        <w:t>12.8、推荐成交供应商；</w:t>
      </w:r>
    </w:p>
    <w:p>
      <w:pPr>
        <w:spacing w:line="360" w:lineRule="auto"/>
        <w:ind w:firstLine="493"/>
        <w:rPr>
          <w:rFonts w:ascii="仿宋" w:hAnsi="仿宋" w:eastAsia="仿宋" w:cs="楷体"/>
          <w:color w:val="auto"/>
          <w:szCs w:val="21"/>
          <w:highlight w:val="none"/>
        </w:rPr>
      </w:pPr>
      <w:r>
        <w:rPr>
          <w:rFonts w:hint="eastAsia" w:ascii="仿宋" w:hAnsi="仿宋" w:eastAsia="仿宋" w:cs="楷体"/>
          <w:color w:val="auto"/>
          <w:szCs w:val="21"/>
          <w:highlight w:val="none"/>
        </w:rPr>
        <w:t>12.9、编写评审报告。</w:t>
      </w:r>
    </w:p>
    <w:p>
      <w:pPr>
        <w:spacing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13、开标会议：</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13.1、开标会议由采购代理机构主持。主持人按照竞争性磋商文件规定的开标时间宣布会议开始，会议将按以下程序进行（但不限于）；</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13.1.1、宣布评审开始并致辞；</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13.1.2、宣布会场纪律和有关注意事项。</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13.1.3、宣布参加会议的现场监督人员和主持人、会议记录等会议工作人员，根据磋商响应文件递交签到表宣布参加会议的磋商供应商名单。</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13.1.4、宣布检查磋商响应文件的密封情况。由磋商供应商法定代表人或其被授权委托人确认其磋商响应文件密封情况并签字确认，后由采购代理机构及采购人、监督人进行复核，并现场签字记录。对检查出的不符合密封规定要求的磋商响应文件作为无效文件处理不得启封。</w:t>
      </w:r>
    </w:p>
    <w:p>
      <w:pPr>
        <w:pStyle w:val="8"/>
        <w:spacing w:after="0" w:line="360" w:lineRule="auto"/>
        <w:rPr>
          <w:rFonts w:ascii="仿宋" w:hAnsi="仿宋" w:eastAsia="仿宋" w:cs="楷体"/>
          <w:color w:val="auto"/>
          <w:highlight w:val="none"/>
        </w:rPr>
      </w:pPr>
      <w:r>
        <w:rPr>
          <w:rFonts w:hint="eastAsia" w:ascii="仿宋" w:hAnsi="仿宋" w:eastAsia="仿宋" w:cs="楷体"/>
          <w:color w:val="auto"/>
          <w:szCs w:val="21"/>
          <w:highlight w:val="none"/>
        </w:rPr>
        <w:t xml:space="preserve">    13.1.5、由磋商小组审查磋商供应商资格，并公布资格审查结果。</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13.1.6、启封磋商响应文件并由记录人员记录。主持人宣布启封后，由现场工作人员按随机顺序对磋商供应商的磋商响应文件正本、副本、开标一览表当众进行拆封，记录人员对开标一览表的包号、采购项目编号、磋商供应商名称、总报价等内容进行记录，由磋商供应商法定代表人或其被授权委托人对其开标一览表内容进行签字确认。待所有报价记录完毕，经现场监督人员核实后，磋商响应文件送至磋商小组进行评审。</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13.1.7、若无样品展示将宣布开标会议结束，磋商供应商等待磋商小组通知单一的与磋商小组进行磋商。</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13.2、采购代理机构对评审会议过程进行全程语音同步监控记录，并存档备查。</w:t>
      </w:r>
    </w:p>
    <w:p>
      <w:pPr>
        <w:spacing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14、磋商小组</w:t>
      </w:r>
    </w:p>
    <w:p>
      <w:pPr>
        <w:spacing w:line="360" w:lineRule="auto"/>
        <w:ind w:left="120" w:leftChars="57" w:firstLine="315" w:firstLineChars="150"/>
        <w:rPr>
          <w:rFonts w:ascii="仿宋" w:hAnsi="仿宋" w:eastAsia="仿宋" w:cs="楷体"/>
          <w:color w:val="auto"/>
          <w:szCs w:val="21"/>
          <w:highlight w:val="none"/>
        </w:rPr>
      </w:pPr>
      <w:r>
        <w:rPr>
          <w:rFonts w:hint="eastAsia" w:ascii="仿宋" w:hAnsi="仿宋" w:eastAsia="仿宋" w:cs="楷体"/>
          <w:color w:val="auto"/>
          <w:szCs w:val="21"/>
          <w:highlight w:val="none"/>
        </w:rPr>
        <w:t>14.1、采购人或者采购代理机构应当从省级以上财政部门设立的政府采购评审专家库中，通过随机方式抽取评审专家。磋商小组由采购人代表和评审专家组成，成员人数应当为3人以上单数，其中评审专家不得少于成员总数的三分之二。</w:t>
      </w:r>
    </w:p>
    <w:p>
      <w:pPr>
        <w:spacing w:line="360" w:lineRule="auto"/>
        <w:ind w:left="120" w:leftChars="57" w:firstLine="315" w:firstLineChars="150"/>
        <w:rPr>
          <w:rFonts w:ascii="仿宋" w:hAnsi="仿宋" w:eastAsia="仿宋" w:cs="楷体"/>
          <w:color w:val="auto"/>
          <w:szCs w:val="21"/>
          <w:highlight w:val="none"/>
        </w:rPr>
      </w:pPr>
      <w:r>
        <w:rPr>
          <w:rFonts w:hint="eastAsia" w:ascii="仿宋" w:hAnsi="仿宋" w:eastAsia="仿宋" w:cs="楷体"/>
          <w:color w:val="auto"/>
          <w:szCs w:val="21"/>
          <w:highlight w:val="none"/>
        </w:rPr>
        <w:t>14.2、磋商小组成员到位后，推荐一名评审委员成员担任磋商小组组长，并由磋商小组组长负责组织该项目评审工作。采购人授权的代表，不得担任磋商小组组长。</w:t>
      </w:r>
    </w:p>
    <w:p>
      <w:pPr>
        <w:spacing w:line="360" w:lineRule="auto"/>
        <w:ind w:left="120" w:leftChars="57" w:firstLine="315" w:firstLineChars="150"/>
        <w:rPr>
          <w:rFonts w:ascii="仿宋" w:hAnsi="仿宋" w:eastAsia="仿宋" w:cs="楷体"/>
          <w:color w:val="auto"/>
          <w:szCs w:val="21"/>
          <w:highlight w:val="none"/>
        </w:rPr>
      </w:pPr>
      <w:r>
        <w:rPr>
          <w:rFonts w:hint="eastAsia" w:ascii="仿宋" w:hAnsi="仿宋" w:eastAsia="仿宋" w:cs="楷体"/>
          <w:color w:val="auto"/>
          <w:szCs w:val="21"/>
          <w:highlight w:val="none"/>
        </w:rPr>
        <w:t>14.3、磋商小组成员有下列情形之一的，应当回避：</w:t>
      </w:r>
    </w:p>
    <w:p>
      <w:pPr>
        <w:spacing w:line="360" w:lineRule="auto"/>
        <w:ind w:left="120" w:leftChars="57" w:firstLine="315" w:firstLineChars="150"/>
        <w:rPr>
          <w:rFonts w:ascii="仿宋" w:hAnsi="仿宋" w:eastAsia="仿宋" w:cs="楷体"/>
          <w:color w:val="auto"/>
          <w:szCs w:val="21"/>
          <w:highlight w:val="none"/>
        </w:rPr>
      </w:pPr>
      <w:r>
        <w:rPr>
          <w:rFonts w:hint="eastAsia" w:ascii="仿宋" w:hAnsi="仿宋" w:eastAsia="仿宋" w:cs="楷体"/>
          <w:color w:val="auto"/>
          <w:szCs w:val="21"/>
          <w:highlight w:val="none"/>
        </w:rPr>
        <w:t>14.3.1、采购人或磋商供应商的主要负责人的近亲属；</w:t>
      </w:r>
    </w:p>
    <w:p>
      <w:pPr>
        <w:spacing w:line="360" w:lineRule="auto"/>
        <w:ind w:left="120" w:leftChars="57" w:firstLine="315" w:firstLineChars="150"/>
        <w:rPr>
          <w:rFonts w:ascii="仿宋" w:hAnsi="仿宋" w:eastAsia="仿宋" w:cs="楷体"/>
          <w:color w:val="auto"/>
          <w:szCs w:val="21"/>
          <w:highlight w:val="none"/>
        </w:rPr>
      </w:pPr>
      <w:r>
        <w:rPr>
          <w:rFonts w:hint="eastAsia" w:ascii="仿宋" w:hAnsi="仿宋" w:eastAsia="仿宋" w:cs="楷体"/>
          <w:color w:val="auto"/>
          <w:szCs w:val="21"/>
          <w:highlight w:val="none"/>
        </w:rPr>
        <w:t>14.3.2、与磋商供应商有经济利益关系，可能影响对磋商响应文件公正评审的；</w:t>
      </w:r>
    </w:p>
    <w:p>
      <w:pPr>
        <w:spacing w:line="360" w:lineRule="auto"/>
        <w:ind w:left="120" w:leftChars="57" w:firstLine="315" w:firstLineChars="150"/>
        <w:rPr>
          <w:rFonts w:ascii="仿宋" w:hAnsi="仿宋" w:eastAsia="仿宋" w:cs="楷体"/>
          <w:color w:val="auto"/>
          <w:szCs w:val="21"/>
          <w:highlight w:val="none"/>
        </w:rPr>
      </w:pPr>
      <w:r>
        <w:rPr>
          <w:rFonts w:hint="eastAsia" w:ascii="仿宋" w:hAnsi="仿宋" w:eastAsia="仿宋" w:cs="楷体"/>
          <w:color w:val="auto"/>
          <w:szCs w:val="21"/>
          <w:highlight w:val="none"/>
        </w:rPr>
        <w:t>14.3.3、曾因在磋商、评审以及其他与磋商投标有关活动中从事违法行为而受过行政处罚或刑事处罚的。</w:t>
      </w:r>
    </w:p>
    <w:p>
      <w:pPr>
        <w:spacing w:line="360" w:lineRule="auto"/>
        <w:ind w:firstLine="461"/>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14.4、本项目采用综合评分法，具体评审方法、评审工作程序等详见《第三章评审方法》章节的规定。</w:t>
      </w:r>
    </w:p>
    <w:p>
      <w:pPr>
        <w:spacing w:line="360" w:lineRule="auto"/>
        <w:rPr>
          <w:rFonts w:ascii="仿宋" w:hAnsi="仿宋" w:eastAsia="仿宋" w:cs="楷体"/>
          <w:b/>
          <w:color w:val="auto"/>
          <w:kern w:val="1"/>
          <w:szCs w:val="21"/>
          <w:highlight w:val="none"/>
        </w:rPr>
      </w:pPr>
      <w:r>
        <w:rPr>
          <w:rFonts w:hint="eastAsia" w:ascii="仿宋" w:hAnsi="仿宋" w:eastAsia="仿宋" w:cs="楷体"/>
          <w:b/>
          <w:color w:val="auto"/>
          <w:kern w:val="1"/>
          <w:szCs w:val="21"/>
          <w:highlight w:val="none"/>
        </w:rPr>
        <w:t>15、定标</w:t>
      </w:r>
    </w:p>
    <w:p>
      <w:pPr>
        <w:spacing w:line="360" w:lineRule="auto"/>
        <w:ind w:left="120" w:leftChars="57" w:firstLine="315" w:firstLineChars="150"/>
        <w:rPr>
          <w:rFonts w:ascii="仿宋" w:hAnsi="仿宋" w:eastAsia="仿宋" w:cs="楷体"/>
          <w:color w:val="auto"/>
          <w:szCs w:val="21"/>
          <w:highlight w:val="none"/>
        </w:rPr>
      </w:pPr>
      <w:r>
        <w:rPr>
          <w:rFonts w:hint="eastAsia" w:ascii="仿宋" w:hAnsi="仿宋" w:eastAsia="仿宋" w:cs="楷体"/>
          <w:color w:val="auto"/>
          <w:szCs w:val="21"/>
          <w:highlight w:val="none"/>
        </w:rPr>
        <w:t>15.1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磋商文件规定的方式确定成交人。采购人在收到评标报告5个工作日内未按评标报告推荐的成交候选人顺序确定中标人，又不能说明合法理由的，视同按评标报告推荐的顺序确定排名第一的成交候选人为成交人。</w:t>
      </w:r>
    </w:p>
    <w:p>
      <w:pPr>
        <w:spacing w:line="360" w:lineRule="auto"/>
        <w:ind w:left="120" w:leftChars="57" w:firstLine="315" w:firstLineChars="150"/>
        <w:rPr>
          <w:rFonts w:ascii="仿宋" w:hAnsi="仿宋" w:eastAsia="仿宋" w:cs="楷体"/>
          <w:color w:val="auto"/>
          <w:szCs w:val="21"/>
          <w:highlight w:val="none"/>
        </w:rPr>
      </w:pPr>
      <w:r>
        <w:rPr>
          <w:rFonts w:hint="eastAsia" w:ascii="仿宋" w:hAnsi="仿宋" w:eastAsia="仿宋" w:cs="楷体"/>
          <w:color w:val="auto"/>
          <w:szCs w:val="21"/>
          <w:highlight w:val="none"/>
        </w:rPr>
        <w:t xml:space="preserve"> 15.2、采购人或者采购代理机构应当自成交人确定之日起2个工作日内，在省级以上财政部门指定的媒体（《陕西省政府采购网》）发布采购结果公告，磋商文件应当随采购结果公告同时公告。采购结果公告内容应当包括采购人及其委托的采购代理机构的名称、地址、联系方式，项目名称和项目编号，成交人名称、地址和成交金额，主要成交标的的名称、规格型号、数量、单价、服务要求，成交公告期限以及评审专家名单。采购结果公告期限为1个工作日。</w:t>
      </w:r>
    </w:p>
    <w:p>
      <w:pPr>
        <w:tabs>
          <w:tab w:val="left" w:pos="0"/>
        </w:tabs>
        <w:spacing w:line="360" w:lineRule="auto"/>
        <w:ind w:left="19" w:leftChars="9" w:firstLine="401" w:firstLineChars="191"/>
        <w:rPr>
          <w:rFonts w:ascii="仿宋" w:hAnsi="仿宋" w:eastAsia="仿宋" w:cs="楷体"/>
          <w:color w:val="auto"/>
          <w:szCs w:val="21"/>
          <w:highlight w:val="none"/>
        </w:rPr>
      </w:pPr>
      <w:r>
        <w:rPr>
          <w:rFonts w:hint="eastAsia" w:ascii="仿宋" w:hAnsi="仿宋" w:eastAsia="仿宋" w:cs="楷体"/>
          <w:color w:val="auto"/>
          <w:szCs w:val="21"/>
          <w:highlight w:val="none"/>
        </w:rPr>
        <w:t>15.3、在发布采购结果公告的同时，采购人或者采购代理机构应当向成交人发出成交通知书。</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15.4、成交通知书发出后，采购人不得违法改变中标结果，成交人无正当理由不得放弃。成交供应商因不可抗力或者自身原因不能履行政府采购合同的，采购人可以与排序在成交供应商之后第一位的中标候选人签订政府采购合同，以此类推至第二位。</w:t>
      </w:r>
    </w:p>
    <w:p>
      <w:pPr>
        <w:spacing w:line="360" w:lineRule="auto"/>
        <w:rPr>
          <w:rFonts w:ascii="仿宋" w:hAnsi="仿宋" w:eastAsia="仿宋" w:cs="楷体"/>
          <w:b/>
          <w:color w:val="auto"/>
          <w:sz w:val="28"/>
          <w:szCs w:val="28"/>
          <w:highlight w:val="none"/>
        </w:rPr>
      </w:pPr>
      <w:r>
        <w:rPr>
          <w:rFonts w:hint="eastAsia" w:ascii="仿宋" w:hAnsi="仿宋" w:eastAsia="仿宋" w:cs="楷体"/>
          <w:b/>
          <w:color w:val="auto"/>
          <w:sz w:val="28"/>
          <w:szCs w:val="28"/>
          <w:highlight w:val="none"/>
        </w:rPr>
        <w:t>五、签订合同</w:t>
      </w:r>
    </w:p>
    <w:p>
      <w:pPr>
        <w:spacing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16、签订合同</w:t>
      </w:r>
    </w:p>
    <w:p>
      <w:pPr>
        <w:tabs>
          <w:tab w:val="left" w:pos="1155"/>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16.1、采购人应当自成交通知书发出之日起30日内，按照磋商文件和成交人响应文件的规定，与成交人签订书面合同。所签订的合同不得对磋商文件确定的事项和成交人响应文件作实质性修改。采购代理机构应当督促采购人、成交供应商签订书面合同，并对采购合同内容进行审核确认。由于成交供应商的原因逾期未与采购人签订采购合同的，将视为放弃磋商，取消其中标资格，其磋商保证金不予退还；给采购人造成的损失超过磋商保证金数额的，采购人将对其超过部分予以追偿。</w:t>
      </w:r>
    </w:p>
    <w:p>
      <w:pPr>
        <w:tabs>
          <w:tab w:val="left" w:pos="1155"/>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16.2、政府采购合同应当包括采购人与中标人的名称和住所、标的、数量、质量、价款或者报酬、履行期限及地点和方式、验收要求、违约责任、解决争议的方法等内容。采购人与中标人应当根据合同的约定依法履行合同义务。政府采购合同的履行、违约责任和解决争议的方法等适用《中华人民共和国</w:t>
      </w:r>
      <w:r>
        <w:rPr>
          <w:rFonts w:hint="eastAsia" w:ascii="仿宋" w:hAnsi="仿宋" w:eastAsia="仿宋" w:cs="楷体"/>
          <w:color w:val="auto"/>
          <w:kern w:val="1"/>
          <w:szCs w:val="21"/>
          <w:highlight w:val="none"/>
          <w:lang w:eastAsia="zh-CN"/>
        </w:rPr>
        <w:t>民法典</w:t>
      </w:r>
      <w:r>
        <w:rPr>
          <w:rFonts w:hint="eastAsia" w:ascii="仿宋" w:hAnsi="仿宋" w:eastAsia="仿宋" w:cs="楷体"/>
          <w:color w:val="auto"/>
          <w:kern w:val="1"/>
          <w:szCs w:val="21"/>
          <w:highlight w:val="none"/>
        </w:rPr>
        <w:t>》。</w:t>
      </w:r>
    </w:p>
    <w:p>
      <w:pPr>
        <w:tabs>
          <w:tab w:val="left" w:pos="1155"/>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16.3、采购人应当自合同签订之日起七个工作日内，按照有关规定将合同副本报政府采购监管机关备案。</w:t>
      </w:r>
    </w:p>
    <w:p>
      <w:pPr>
        <w:tabs>
          <w:tab w:val="left" w:pos="1155"/>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16.4、采购人应当及时对采购项目进行验收。采购人可以邀请参加本项目的其他供应商或者第三方机构参与验收。参与验收的供应商或者第三方机构的意见作为验收书的参考资料一并存档。</w:t>
      </w:r>
    </w:p>
    <w:p>
      <w:pPr>
        <w:tabs>
          <w:tab w:val="left" w:pos="1155"/>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16.5、成交供应商有下列情形之一的，责令限期改正，情节严重的，列入不良行为记录名单，在1至3年内禁止参加政府采购活动，并予以通报：</w:t>
      </w:r>
    </w:p>
    <w:p>
      <w:pPr>
        <w:tabs>
          <w:tab w:val="left" w:pos="1155"/>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16.5.1、成交后无正当理由不与采购人签订合同的；</w:t>
      </w:r>
    </w:p>
    <w:p>
      <w:pPr>
        <w:tabs>
          <w:tab w:val="left" w:pos="1155"/>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16.5.2、未按照采购文件确定的事项签订政府采购合同，或者与采购人另行订立背离合同实质性内容的协议的；</w:t>
      </w:r>
    </w:p>
    <w:p>
      <w:pPr>
        <w:tabs>
          <w:tab w:val="left" w:pos="1155"/>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16.5.3、拒绝履行合同义务的；</w:t>
      </w:r>
    </w:p>
    <w:p>
      <w:pPr>
        <w:tabs>
          <w:tab w:val="left" w:pos="1155"/>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16.5.4、违反法律、规章、规范性文件规定的。</w:t>
      </w:r>
    </w:p>
    <w:p>
      <w:pPr>
        <w:tabs>
          <w:tab w:val="left" w:pos="1155"/>
        </w:tabs>
        <w:spacing w:line="360" w:lineRule="auto"/>
        <w:rPr>
          <w:rFonts w:ascii="仿宋" w:hAnsi="仿宋" w:eastAsia="仿宋" w:cs="楷体"/>
          <w:b/>
          <w:bCs/>
          <w:color w:val="auto"/>
          <w:kern w:val="1"/>
          <w:szCs w:val="21"/>
          <w:highlight w:val="none"/>
        </w:rPr>
      </w:pPr>
      <w:r>
        <w:rPr>
          <w:rFonts w:hint="eastAsia" w:ascii="仿宋" w:hAnsi="仿宋" w:eastAsia="仿宋" w:cs="楷体"/>
          <w:b/>
          <w:color w:val="auto"/>
          <w:kern w:val="1"/>
          <w:szCs w:val="21"/>
          <w:highlight w:val="none"/>
        </w:rPr>
        <w:t>17、</w:t>
      </w:r>
      <w:r>
        <w:rPr>
          <w:rFonts w:hint="eastAsia" w:ascii="仿宋" w:hAnsi="仿宋" w:eastAsia="仿宋" w:cs="楷体"/>
          <w:b/>
          <w:bCs/>
          <w:color w:val="auto"/>
          <w:kern w:val="1"/>
          <w:szCs w:val="21"/>
          <w:highlight w:val="none"/>
        </w:rPr>
        <w:t>合同履行</w:t>
      </w:r>
    </w:p>
    <w:p>
      <w:pPr>
        <w:tabs>
          <w:tab w:val="left" w:pos="1155"/>
        </w:tabs>
        <w:spacing w:line="360" w:lineRule="auto"/>
        <w:ind w:firstLine="420" w:firstLineChars="200"/>
        <w:rPr>
          <w:rFonts w:ascii="仿宋" w:hAnsi="仿宋" w:eastAsia="仿宋" w:cs="楷体"/>
          <w:b/>
          <w:bCs/>
          <w:color w:val="auto"/>
          <w:kern w:val="1"/>
          <w:szCs w:val="21"/>
          <w:highlight w:val="none"/>
        </w:rPr>
      </w:pPr>
      <w:r>
        <w:rPr>
          <w:rFonts w:hint="eastAsia" w:ascii="仿宋" w:hAnsi="仿宋" w:eastAsia="仿宋" w:cs="楷体"/>
          <w:color w:val="auto"/>
          <w:kern w:val="1"/>
          <w:szCs w:val="21"/>
          <w:highlight w:val="none"/>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1155"/>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17.2、政府采购合同履行中，采购人需追加与合同标的相同的服务或货物的，在不改变合同其他条款的前提下，可以与磋商供应商签订补充合同。</w:t>
      </w:r>
    </w:p>
    <w:p>
      <w:pPr>
        <w:spacing w:line="360" w:lineRule="auto"/>
        <w:rPr>
          <w:rFonts w:ascii="仿宋" w:hAnsi="仿宋" w:eastAsia="仿宋" w:cs="楷体"/>
          <w:b/>
          <w:bCs/>
          <w:color w:val="auto"/>
          <w:szCs w:val="21"/>
          <w:highlight w:val="none"/>
        </w:rPr>
      </w:pPr>
      <w:r>
        <w:rPr>
          <w:rFonts w:hint="eastAsia" w:ascii="仿宋" w:hAnsi="仿宋" w:eastAsia="仿宋" w:cs="楷体"/>
          <w:b/>
          <w:color w:val="auto"/>
          <w:kern w:val="1"/>
          <w:sz w:val="28"/>
          <w:szCs w:val="28"/>
          <w:highlight w:val="none"/>
        </w:rPr>
        <w:t>六、终止采购</w:t>
      </w:r>
    </w:p>
    <w:p>
      <w:pPr>
        <w:widowControl/>
        <w:spacing w:line="360" w:lineRule="auto"/>
        <w:ind w:firstLine="636"/>
        <w:rPr>
          <w:rFonts w:ascii="仿宋" w:hAnsi="仿宋" w:eastAsia="仿宋" w:cs="楷体"/>
          <w:snapToGrid w:val="0"/>
          <w:color w:val="auto"/>
          <w:kern w:val="0"/>
          <w:szCs w:val="21"/>
          <w:highlight w:val="none"/>
        </w:rPr>
      </w:pPr>
      <w:r>
        <w:rPr>
          <w:rFonts w:hint="eastAsia" w:ascii="仿宋" w:hAnsi="仿宋" w:eastAsia="仿宋" w:cs="楷体"/>
          <w:bCs/>
          <w:color w:val="auto"/>
          <w:szCs w:val="21"/>
          <w:highlight w:val="none"/>
        </w:rPr>
        <w:t>18、</w:t>
      </w:r>
      <w:r>
        <w:rPr>
          <w:rFonts w:hint="eastAsia" w:ascii="仿宋" w:hAnsi="仿宋" w:eastAsia="仿宋" w:cs="楷体"/>
          <w:snapToGrid w:val="0"/>
          <w:color w:val="auto"/>
          <w:kern w:val="0"/>
          <w:szCs w:val="21"/>
          <w:highlight w:val="none"/>
        </w:rPr>
        <w:t>出现下列情形之一的，采购人或者采购代理机构应当终止采购活动，发布项目终止公告并说明原因，重新开展采购活动：</w:t>
      </w:r>
    </w:p>
    <w:p>
      <w:pPr>
        <w:widowControl/>
        <w:spacing w:line="360" w:lineRule="auto"/>
        <w:ind w:firstLine="636"/>
        <w:rPr>
          <w:rFonts w:ascii="仿宋" w:hAnsi="仿宋" w:eastAsia="仿宋" w:cs="楷体"/>
          <w:snapToGrid w:val="0"/>
          <w:color w:val="auto"/>
          <w:kern w:val="0"/>
          <w:szCs w:val="21"/>
          <w:highlight w:val="none"/>
        </w:rPr>
      </w:pPr>
      <w:r>
        <w:rPr>
          <w:rFonts w:hint="eastAsia" w:ascii="仿宋" w:hAnsi="仿宋" w:eastAsia="仿宋" w:cs="楷体"/>
          <w:snapToGrid w:val="0"/>
          <w:color w:val="auto"/>
          <w:kern w:val="0"/>
          <w:szCs w:val="21"/>
          <w:highlight w:val="none"/>
        </w:rPr>
        <w:t>18.1、因情况变化，不再符合规定的采购方式适用情形的；</w:t>
      </w:r>
    </w:p>
    <w:p>
      <w:pPr>
        <w:widowControl/>
        <w:spacing w:line="360" w:lineRule="auto"/>
        <w:ind w:firstLine="645"/>
        <w:rPr>
          <w:rFonts w:ascii="仿宋" w:hAnsi="仿宋" w:eastAsia="仿宋" w:cs="楷体"/>
          <w:snapToGrid w:val="0"/>
          <w:color w:val="auto"/>
          <w:kern w:val="0"/>
          <w:szCs w:val="21"/>
          <w:highlight w:val="none"/>
        </w:rPr>
      </w:pPr>
      <w:r>
        <w:rPr>
          <w:rFonts w:hint="eastAsia" w:ascii="仿宋" w:hAnsi="仿宋" w:eastAsia="仿宋" w:cs="楷体"/>
          <w:snapToGrid w:val="0"/>
          <w:color w:val="auto"/>
          <w:kern w:val="0"/>
          <w:szCs w:val="21"/>
          <w:highlight w:val="none"/>
        </w:rPr>
        <w:t>18.2、出现影响采购公正的违法、违规行为的；</w:t>
      </w:r>
    </w:p>
    <w:p>
      <w:pPr>
        <w:widowControl/>
        <w:spacing w:line="360" w:lineRule="auto"/>
        <w:ind w:firstLine="636"/>
        <w:rPr>
          <w:rFonts w:ascii="仿宋" w:hAnsi="仿宋" w:eastAsia="仿宋" w:cs="楷体"/>
          <w:snapToGrid w:val="0"/>
          <w:color w:val="auto"/>
          <w:kern w:val="0"/>
          <w:szCs w:val="21"/>
          <w:highlight w:val="none"/>
        </w:rPr>
      </w:pPr>
      <w:r>
        <w:rPr>
          <w:rFonts w:hint="eastAsia" w:ascii="仿宋" w:hAnsi="仿宋" w:eastAsia="仿宋" w:cs="楷体"/>
          <w:snapToGrid w:val="0"/>
          <w:color w:val="auto"/>
          <w:kern w:val="0"/>
          <w:szCs w:val="21"/>
          <w:highlight w:val="none"/>
        </w:rPr>
        <w:t>18.3、采购过程中符合要求的供应商（社会资本）只有1家的，采购人（项目实施机构）或者采购代理机构应当终止竞争性磋商采购活动，发布项目终止公告并说明原因，重新开展采购活动。</w:t>
      </w:r>
    </w:p>
    <w:p>
      <w:pPr>
        <w:spacing w:before="156" w:beforeLines="50" w:after="156" w:afterLines="50" w:line="360" w:lineRule="auto"/>
        <w:rPr>
          <w:rFonts w:ascii="仿宋" w:hAnsi="仿宋" w:eastAsia="仿宋" w:cs="楷体"/>
          <w:b/>
          <w:color w:val="auto"/>
          <w:sz w:val="28"/>
          <w:szCs w:val="28"/>
          <w:highlight w:val="none"/>
        </w:rPr>
      </w:pPr>
      <w:r>
        <w:rPr>
          <w:rFonts w:hint="eastAsia" w:ascii="仿宋" w:hAnsi="仿宋" w:eastAsia="仿宋" w:cs="楷体"/>
          <w:b/>
          <w:color w:val="auto"/>
          <w:sz w:val="28"/>
          <w:szCs w:val="28"/>
          <w:highlight w:val="none"/>
        </w:rPr>
        <w:t>七、相关费用</w:t>
      </w:r>
    </w:p>
    <w:p>
      <w:pPr>
        <w:spacing w:after="156" w:afterLines="50" w:line="360" w:lineRule="auto"/>
        <w:ind w:firstLine="422" w:firstLineChars="200"/>
        <w:rPr>
          <w:rFonts w:ascii="仿宋" w:hAnsi="仿宋" w:eastAsia="仿宋" w:cs="楷体"/>
          <w:b/>
          <w:color w:val="auto"/>
          <w:szCs w:val="21"/>
          <w:highlight w:val="none"/>
        </w:rPr>
      </w:pPr>
      <w:r>
        <w:rPr>
          <w:rFonts w:hint="eastAsia" w:ascii="仿宋" w:hAnsi="仿宋" w:eastAsia="仿宋" w:cs="楷体"/>
          <w:b/>
          <w:color w:val="auto"/>
          <w:szCs w:val="21"/>
          <w:highlight w:val="none"/>
        </w:rPr>
        <w:t>19、采购代理服务费数额及缴纳方式</w:t>
      </w:r>
    </w:p>
    <w:p>
      <w:pPr>
        <w:tabs>
          <w:tab w:val="left" w:pos="1155"/>
        </w:tabs>
        <w:spacing w:line="360" w:lineRule="auto"/>
        <w:ind w:firstLine="420" w:firstLineChars="200"/>
        <w:rPr>
          <w:rFonts w:hint="eastAsia" w:ascii="仿宋" w:hAnsi="仿宋" w:eastAsia="仿宋" w:cs="楷体"/>
          <w:color w:val="auto"/>
          <w:kern w:val="1"/>
          <w:szCs w:val="21"/>
          <w:highlight w:val="none"/>
        </w:rPr>
      </w:pPr>
      <w:r>
        <w:rPr>
          <w:rFonts w:hint="eastAsia" w:ascii="仿宋" w:hAnsi="仿宋" w:eastAsia="仿宋" w:cs="楷体"/>
          <w:color w:val="auto"/>
          <w:kern w:val="1"/>
          <w:szCs w:val="21"/>
          <w:highlight w:val="none"/>
        </w:rPr>
        <w:t>19.1、采购代理服务费数额：成交供应商在领取《成交通知书》的同时，应按国家收费标准向采购代理机构缴纳采购代理服务费，招标代理服务费依据《国家计委关于印发招标代理服务收费管理暂行办法的通知》（计价格【2002】1980号）和国家发改委办公厅颁发的《关于招标代理服务收费有关问题的通知》（发改办价格【2003】857号）文件规定标准及本项目采购结果公告。</w:t>
      </w:r>
    </w:p>
    <w:p>
      <w:pPr>
        <w:spacing w:line="360" w:lineRule="auto"/>
        <w:ind w:firstLine="420" w:firstLineChars="200"/>
        <w:rPr>
          <w:rFonts w:hint="eastAsia" w:ascii="仿宋" w:hAnsi="仿宋" w:eastAsia="仿宋" w:cs="楷体"/>
          <w:color w:val="auto"/>
          <w:szCs w:val="21"/>
          <w:highlight w:val="none"/>
        </w:rPr>
      </w:pPr>
      <w:r>
        <w:rPr>
          <w:rFonts w:hint="eastAsia" w:ascii="仿宋" w:hAnsi="仿宋" w:eastAsia="仿宋" w:cs="楷体"/>
          <w:color w:val="auto"/>
          <w:szCs w:val="21"/>
          <w:highlight w:val="none"/>
        </w:rPr>
        <w:t>19.2、采购代理服务费缴纳方式：采取现金</w:t>
      </w:r>
      <w:r>
        <w:rPr>
          <w:rFonts w:hint="eastAsia" w:ascii="仿宋" w:hAnsi="仿宋" w:eastAsia="仿宋" w:cs="楷体"/>
          <w:color w:val="auto"/>
          <w:szCs w:val="21"/>
          <w:highlight w:val="none"/>
          <w:lang w:eastAsia="zh-CN"/>
        </w:rPr>
        <w:t>、</w:t>
      </w:r>
      <w:r>
        <w:rPr>
          <w:rFonts w:hint="eastAsia" w:ascii="仿宋" w:hAnsi="仿宋" w:eastAsia="仿宋" w:cs="楷体"/>
          <w:color w:val="auto"/>
          <w:szCs w:val="21"/>
          <w:highlight w:val="none"/>
        </w:rPr>
        <w:t>银行转账形式。不得用投标保证金冲抵。</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19.3、成交供应商未按本章19.1条款规定缴纳采购代理服务费的，其磋商保证金将被采购代理机构全额没收。</w:t>
      </w:r>
    </w:p>
    <w:p>
      <w:pPr>
        <w:spacing w:line="360" w:lineRule="auto"/>
        <w:rPr>
          <w:rFonts w:ascii="仿宋" w:hAnsi="仿宋" w:eastAsia="仿宋" w:cs="楷体"/>
          <w:b/>
          <w:bCs/>
          <w:color w:val="auto"/>
          <w:szCs w:val="21"/>
          <w:highlight w:val="none"/>
        </w:rPr>
      </w:pPr>
      <w:r>
        <w:rPr>
          <w:rFonts w:hint="eastAsia" w:ascii="仿宋" w:hAnsi="仿宋" w:eastAsia="仿宋" w:cs="楷体"/>
          <w:b/>
          <w:color w:val="auto"/>
          <w:kern w:val="1"/>
          <w:sz w:val="28"/>
          <w:szCs w:val="28"/>
          <w:highlight w:val="none"/>
        </w:rPr>
        <w:t>八、</w:t>
      </w:r>
      <w:r>
        <w:rPr>
          <w:rFonts w:hint="eastAsia" w:ascii="仿宋" w:hAnsi="仿宋" w:eastAsia="仿宋" w:cs="楷体"/>
          <w:b/>
          <w:bCs/>
          <w:color w:val="auto"/>
          <w:sz w:val="28"/>
          <w:szCs w:val="28"/>
          <w:highlight w:val="none"/>
        </w:rPr>
        <w:t>质疑与投诉</w:t>
      </w:r>
    </w:p>
    <w:p>
      <w:pPr>
        <w:tabs>
          <w:tab w:val="left" w:pos="1155"/>
        </w:tabs>
        <w:spacing w:line="360" w:lineRule="auto"/>
        <w:ind w:firstLine="422" w:firstLineChars="200"/>
        <w:rPr>
          <w:rFonts w:ascii="仿宋" w:hAnsi="仿宋" w:eastAsia="仿宋" w:cs="楷体"/>
          <w:b/>
          <w:bCs/>
          <w:color w:val="auto"/>
          <w:szCs w:val="21"/>
          <w:highlight w:val="none"/>
        </w:rPr>
      </w:pPr>
      <w:r>
        <w:rPr>
          <w:rFonts w:hint="eastAsia" w:ascii="仿宋" w:hAnsi="仿宋" w:eastAsia="仿宋" w:cs="楷体"/>
          <w:b/>
          <w:bCs/>
          <w:color w:val="auto"/>
          <w:szCs w:val="21"/>
          <w:highlight w:val="none"/>
        </w:rPr>
        <w:t>2</w:t>
      </w:r>
      <w:r>
        <w:rPr>
          <w:rFonts w:hint="eastAsia" w:ascii="仿宋" w:hAnsi="仿宋" w:eastAsia="仿宋" w:cs="楷体"/>
          <w:b/>
          <w:bCs/>
          <w:color w:val="auto"/>
          <w:szCs w:val="21"/>
          <w:highlight w:val="none"/>
          <w:lang w:val="en-US" w:eastAsia="zh-CN"/>
        </w:rPr>
        <w:t>0</w:t>
      </w:r>
      <w:r>
        <w:rPr>
          <w:rFonts w:hint="eastAsia" w:ascii="仿宋" w:hAnsi="仿宋" w:eastAsia="仿宋" w:cs="楷体"/>
          <w:b/>
          <w:bCs/>
          <w:color w:val="auto"/>
          <w:szCs w:val="21"/>
          <w:highlight w:val="none"/>
        </w:rPr>
        <w:t>、关于质疑函的提出与答复：</w:t>
      </w:r>
    </w:p>
    <w:p>
      <w:pPr>
        <w:tabs>
          <w:tab w:val="left" w:pos="1155"/>
        </w:tabs>
        <w:spacing w:line="360" w:lineRule="auto"/>
        <w:ind w:firstLine="420" w:firstLineChars="200"/>
        <w:rPr>
          <w:rFonts w:ascii="仿宋" w:hAnsi="仿宋" w:eastAsia="仿宋" w:cs="楷体"/>
          <w:bCs/>
          <w:color w:val="auto"/>
          <w:szCs w:val="21"/>
          <w:highlight w:val="none"/>
        </w:rPr>
      </w:pPr>
      <w:r>
        <w:rPr>
          <w:rFonts w:hint="eastAsia" w:ascii="仿宋" w:hAnsi="仿宋" w:eastAsia="仿宋" w:cs="楷体"/>
          <w:bCs/>
          <w:color w:val="auto"/>
          <w:szCs w:val="21"/>
          <w:highlight w:val="none"/>
        </w:rPr>
        <w:t>2</w:t>
      </w:r>
      <w:r>
        <w:rPr>
          <w:rFonts w:hint="eastAsia" w:ascii="仿宋" w:hAnsi="仿宋" w:eastAsia="仿宋" w:cs="楷体"/>
          <w:bCs/>
          <w:color w:val="auto"/>
          <w:szCs w:val="21"/>
          <w:highlight w:val="none"/>
          <w:lang w:val="en-US" w:eastAsia="zh-CN"/>
        </w:rPr>
        <w:t>0</w:t>
      </w:r>
      <w:r>
        <w:rPr>
          <w:rFonts w:hint="eastAsia" w:ascii="仿宋" w:hAnsi="仿宋" w:eastAsia="仿宋" w:cs="楷体"/>
          <w:bCs/>
          <w:color w:val="auto"/>
          <w:szCs w:val="21"/>
          <w:highlight w:val="none"/>
        </w:rPr>
        <w:t>.1、供应商质疑与投诉应当实名署名，其质疑与投诉应当有明确的请求和必要的证明材料。供应商可以委托代理人进行质疑与投诉。代理人应当提交授权委托书，授权委托书应当载明委托代理的具体权限、期限和相关事项。本项目接收质疑函法定信息：</w:t>
      </w:r>
    </w:p>
    <w:p>
      <w:pPr>
        <w:tabs>
          <w:tab w:val="left" w:pos="1155"/>
        </w:tabs>
        <w:spacing w:line="360" w:lineRule="auto"/>
        <w:ind w:firstLine="422" w:firstLineChars="200"/>
        <w:rPr>
          <w:rFonts w:ascii="仿宋" w:hAnsi="仿宋" w:eastAsia="仿宋" w:cs="楷体"/>
          <w:b/>
          <w:color w:val="auto"/>
          <w:szCs w:val="21"/>
          <w:highlight w:val="none"/>
        </w:rPr>
      </w:pPr>
      <w:r>
        <w:rPr>
          <w:rFonts w:hint="eastAsia" w:ascii="仿宋" w:hAnsi="仿宋" w:eastAsia="仿宋" w:cs="楷体"/>
          <w:b/>
          <w:color w:val="auto"/>
          <w:szCs w:val="21"/>
          <w:highlight w:val="none"/>
        </w:rPr>
        <w:t>联</w:t>
      </w:r>
      <w:r>
        <w:rPr>
          <w:rFonts w:hint="eastAsia" w:ascii="仿宋" w:hAnsi="仿宋" w:eastAsia="仿宋" w:cs="楷体"/>
          <w:b/>
          <w:color w:val="auto"/>
          <w:szCs w:val="21"/>
          <w:highlight w:val="none"/>
          <w:lang w:val="en-US" w:eastAsia="zh-CN"/>
        </w:rPr>
        <w:t xml:space="preserve"> </w:t>
      </w:r>
      <w:r>
        <w:rPr>
          <w:rFonts w:hint="eastAsia" w:ascii="仿宋" w:hAnsi="仿宋" w:eastAsia="仿宋" w:cs="楷体"/>
          <w:b/>
          <w:color w:val="auto"/>
          <w:szCs w:val="21"/>
          <w:highlight w:val="none"/>
        </w:rPr>
        <w:t>系</w:t>
      </w:r>
      <w:r>
        <w:rPr>
          <w:rFonts w:hint="eastAsia" w:ascii="仿宋" w:hAnsi="仿宋" w:eastAsia="仿宋" w:cs="楷体"/>
          <w:b/>
          <w:color w:val="auto"/>
          <w:szCs w:val="21"/>
          <w:highlight w:val="none"/>
          <w:lang w:val="en-US" w:eastAsia="zh-CN"/>
        </w:rPr>
        <w:t xml:space="preserve"> </w:t>
      </w:r>
      <w:r>
        <w:rPr>
          <w:rFonts w:hint="eastAsia" w:ascii="仿宋" w:hAnsi="仿宋" w:eastAsia="仿宋" w:cs="楷体"/>
          <w:b/>
          <w:color w:val="auto"/>
          <w:szCs w:val="21"/>
          <w:highlight w:val="none"/>
        </w:rPr>
        <w:t>人：王女士           联系电话：</w:t>
      </w:r>
      <w:r>
        <w:rPr>
          <w:rFonts w:hint="default" w:ascii="仿宋" w:hAnsi="仿宋" w:eastAsia="仿宋" w:cs="楷体"/>
          <w:b/>
          <w:color w:val="auto"/>
          <w:szCs w:val="21"/>
          <w:highlight w:val="none"/>
          <w:lang w:eastAsia="zh-CN"/>
        </w:rPr>
        <w:t>2212100</w:t>
      </w:r>
      <w:r>
        <w:rPr>
          <w:rFonts w:hint="eastAsia" w:ascii="仿宋" w:hAnsi="仿宋" w:eastAsia="仿宋" w:cs="楷体"/>
          <w:b/>
          <w:color w:val="auto"/>
          <w:szCs w:val="21"/>
          <w:highlight w:val="none"/>
        </w:rPr>
        <w:t xml:space="preserve">         </w:t>
      </w:r>
    </w:p>
    <w:p>
      <w:pPr>
        <w:tabs>
          <w:tab w:val="left" w:pos="1155"/>
        </w:tabs>
        <w:spacing w:line="360" w:lineRule="auto"/>
        <w:ind w:firstLine="422" w:firstLineChars="200"/>
        <w:rPr>
          <w:rFonts w:ascii="仿宋" w:hAnsi="仿宋" w:eastAsia="仿宋" w:cs="楷体"/>
          <w:bCs/>
          <w:color w:val="auto"/>
          <w:szCs w:val="21"/>
          <w:highlight w:val="none"/>
        </w:rPr>
      </w:pPr>
      <w:r>
        <w:rPr>
          <w:rFonts w:hint="eastAsia" w:ascii="仿宋" w:hAnsi="仿宋" w:eastAsia="仿宋" w:cs="楷体"/>
          <w:b/>
          <w:color w:val="auto"/>
          <w:szCs w:val="21"/>
          <w:highlight w:val="none"/>
        </w:rPr>
        <w:t>通讯地址：</w:t>
      </w:r>
      <w:r>
        <w:rPr>
          <w:rFonts w:hint="eastAsia" w:ascii="仿宋" w:hAnsi="仿宋" w:eastAsia="仿宋" w:cs="楷体"/>
          <w:b/>
          <w:color w:val="auto"/>
          <w:szCs w:val="21"/>
          <w:highlight w:val="none"/>
          <w:lang w:eastAsia="zh-CN"/>
        </w:rPr>
        <w:t>长信项目管理有限公司</w:t>
      </w:r>
      <w:r>
        <w:rPr>
          <w:rFonts w:hint="eastAsia" w:ascii="仿宋" w:hAnsi="仿宋" w:eastAsia="仿宋" w:cs="楷体"/>
          <w:b/>
          <w:color w:val="auto"/>
          <w:szCs w:val="21"/>
          <w:highlight w:val="none"/>
        </w:rPr>
        <w:t>（汉中市汉台区前进东路丰辉龙亭园A区9号楼3</w:t>
      </w:r>
      <w:r>
        <w:rPr>
          <w:rFonts w:ascii="仿宋" w:hAnsi="仿宋" w:eastAsia="仿宋" w:cs="楷体"/>
          <w:b/>
          <w:color w:val="auto"/>
          <w:szCs w:val="21"/>
          <w:highlight w:val="none"/>
        </w:rPr>
        <w:t>01</w:t>
      </w:r>
      <w:r>
        <w:rPr>
          <w:rFonts w:hint="eastAsia" w:ascii="仿宋" w:hAnsi="仿宋" w:eastAsia="仿宋" w:cs="楷体"/>
          <w:b/>
          <w:color w:val="auto"/>
          <w:szCs w:val="21"/>
          <w:highlight w:val="none"/>
        </w:rPr>
        <w:t>室）</w:t>
      </w:r>
    </w:p>
    <w:p>
      <w:pPr>
        <w:tabs>
          <w:tab w:val="left" w:pos="1155"/>
        </w:tabs>
        <w:spacing w:line="360" w:lineRule="auto"/>
        <w:ind w:firstLine="420" w:firstLineChars="200"/>
        <w:rPr>
          <w:rFonts w:ascii="仿宋" w:hAnsi="仿宋" w:eastAsia="仿宋" w:cs="楷体"/>
          <w:bCs/>
          <w:color w:val="auto"/>
          <w:szCs w:val="21"/>
          <w:highlight w:val="none"/>
        </w:rPr>
      </w:pPr>
      <w:r>
        <w:rPr>
          <w:rFonts w:hint="eastAsia" w:ascii="仿宋" w:hAnsi="仿宋" w:eastAsia="仿宋" w:cs="楷体"/>
          <w:bCs/>
          <w:color w:val="auto"/>
          <w:szCs w:val="21"/>
          <w:highlight w:val="none"/>
        </w:rPr>
        <w:t>2</w:t>
      </w:r>
      <w:r>
        <w:rPr>
          <w:rFonts w:hint="eastAsia" w:ascii="仿宋" w:hAnsi="仿宋" w:eastAsia="仿宋" w:cs="楷体"/>
          <w:bCs/>
          <w:color w:val="auto"/>
          <w:szCs w:val="21"/>
          <w:highlight w:val="none"/>
          <w:lang w:val="en-US" w:eastAsia="zh-CN"/>
        </w:rPr>
        <w:t>0</w:t>
      </w:r>
      <w:r>
        <w:rPr>
          <w:rFonts w:hint="eastAsia" w:ascii="仿宋" w:hAnsi="仿宋" w:eastAsia="仿宋" w:cs="楷体"/>
          <w:bCs/>
          <w:color w:val="auto"/>
          <w:szCs w:val="21"/>
          <w:highlight w:val="none"/>
        </w:rPr>
        <w:t>.2、供应商提出质疑应当提交质疑函（质疑函按陕西省政府采购网公布范本为准，供应商可自行下载），质疑函范本按陕西省政府采购网公布为准。质疑函应当包括但不限于下列内容：供应商的名称、地址、邮编、联系人及联系电话，质疑项目的名称、编号，质疑事项，事实依据和证明材料，法律依据，提出质疑的日期。质疑函应当署名。供应商为自然人的，应当由本人签字；供应商为法人或者其他组织的，应当由法定代表人或者主要负责人签字盖章并加盖公章。</w:t>
      </w:r>
    </w:p>
    <w:p>
      <w:pPr>
        <w:tabs>
          <w:tab w:val="left" w:pos="1155"/>
        </w:tabs>
        <w:spacing w:line="360" w:lineRule="auto"/>
        <w:rPr>
          <w:rFonts w:ascii="仿宋" w:hAnsi="仿宋" w:eastAsia="仿宋" w:cs="楷体"/>
          <w:bCs/>
          <w:color w:val="auto"/>
          <w:szCs w:val="21"/>
          <w:highlight w:val="none"/>
        </w:rPr>
      </w:pPr>
      <w:r>
        <w:rPr>
          <w:rFonts w:hint="eastAsia" w:ascii="仿宋" w:hAnsi="仿宋" w:eastAsia="仿宋" w:cs="楷体"/>
          <w:bCs/>
          <w:color w:val="auto"/>
          <w:szCs w:val="21"/>
          <w:highlight w:val="none"/>
        </w:rPr>
        <w:t xml:space="preserve">    2</w:t>
      </w:r>
      <w:r>
        <w:rPr>
          <w:rFonts w:hint="eastAsia" w:ascii="仿宋" w:hAnsi="仿宋" w:eastAsia="仿宋" w:cs="楷体"/>
          <w:bCs/>
          <w:color w:val="auto"/>
          <w:szCs w:val="21"/>
          <w:highlight w:val="none"/>
          <w:lang w:val="en-US" w:eastAsia="zh-CN"/>
        </w:rPr>
        <w:t>0</w:t>
      </w:r>
      <w:r>
        <w:rPr>
          <w:rFonts w:hint="eastAsia" w:ascii="仿宋" w:hAnsi="仿宋" w:eastAsia="仿宋" w:cs="楷体"/>
          <w:bCs/>
          <w:color w:val="auto"/>
          <w:szCs w:val="21"/>
          <w:highlight w:val="none"/>
        </w:rPr>
        <w:t>.3、出现磋商供应商认为采购文件、采购过程和中标、成交结果使自己的权益受到损害的，可以在知道或者应知其权益受到损害之日起七个工作日内，以书面形式向采购人提出质疑。磋商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针对同一采购程序环节的质疑原则上应当一次性提出）。</w:t>
      </w:r>
    </w:p>
    <w:p>
      <w:pPr>
        <w:tabs>
          <w:tab w:val="left" w:pos="1155"/>
        </w:tabs>
        <w:spacing w:line="360" w:lineRule="auto"/>
        <w:ind w:firstLine="480"/>
        <w:rPr>
          <w:rFonts w:ascii="仿宋" w:hAnsi="仿宋" w:eastAsia="仿宋" w:cs="楷体"/>
          <w:bCs/>
          <w:color w:val="auto"/>
          <w:szCs w:val="21"/>
          <w:highlight w:val="none"/>
        </w:rPr>
      </w:pPr>
      <w:r>
        <w:rPr>
          <w:rFonts w:hint="eastAsia" w:ascii="仿宋" w:hAnsi="仿宋" w:eastAsia="仿宋" w:cs="楷体"/>
          <w:bCs/>
          <w:color w:val="auto"/>
          <w:szCs w:val="21"/>
          <w:highlight w:val="none"/>
        </w:rPr>
        <w:t>2</w:t>
      </w:r>
      <w:r>
        <w:rPr>
          <w:rFonts w:hint="eastAsia" w:ascii="仿宋" w:hAnsi="仿宋" w:eastAsia="仿宋" w:cs="楷体"/>
          <w:bCs/>
          <w:color w:val="auto"/>
          <w:szCs w:val="21"/>
          <w:highlight w:val="none"/>
          <w:lang w:val="en-US" w:eastAsia="zh-CN"/>
        </w:rPr>
        <w:t>0</w:t>
      </w:r>
      <w:r>
        <w:rPr>
          <w:rFonts w:hint="eastAsia" w:ascii="仿宋" w:hAnsi="仿宋" w:eastAsia="仿宋" w:cs="楷体"/>
          <w:bCs/>
          <w:color w:val="auto"/>
          <w:szCs w:val="21"/>
          <w:highlight w:val="none"/>
        </w:rPr>
        <w:t>.4、采购人、采购代理机构认为供应商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供应商仍不少于3家时，可以从合格的中标或者成交候选人中另行确定中标、成交供应商的，应当依法另行确定中标、成交供应商，否则应当重新开展采购活动。质疑答复导致中标、成交结果改变的，采购人或者采购代理机构应当将有关情况书面报告本级财政部门。</w:t>
      </w:r>
    </w:p>
    <w:p>
      <w:pPr>
        <w:tabs>
          <w:tab w:val="left" w:pos="1155"/>
        </w:tabs>
        <w:spacing w:line="360" w:lineRule="auto"/>
        <w:ind w:firstLine="420" w:firstLineChars="200"/>
        <w:rPr>
          <w:rFonts w:ascii="仿宋" w:hAnsi="仿宋" w:eastAsia="仿宋" w:cs="楷体"/>
          <w:bCs/>
          <w:color w:val="auto"/>
          <w:szCs w:val="21"/>
          <w:highlight w:val="none"/>
        </w:rPr>
      </w:pPr>
      <w:r>
        <w:rPr>
          <w:rFonts w:hint="eastAsia" w:ascii="仿宋" w:hAnsi="仿宋" w:eastAsia="仿宋" w:cs="楷体"/>
          <w:bCs/>
          <w:color w:val="auto"/>
          <w:szCs w:val="21"/>
          <w:highlight w:val="none"/>
        </w:rPr>
        <w:t>2</w:t>
      </w:r>
      <w:r>
        <w:rPr>
          <w:rFonts w:hint="eastAsia" w:ascii="仿宋" w:hAnsi="仿宋" w:eastAsia="仿宋" w:cs="楷体"/>
          <w:bCs/>
          <w:color w:val="auto"/>
          <w:szCs w:val="21"/>
          <w:highlight w:val="none"/>
          <w:lang w:val="en-US" w:eastAsia="zh-CN"/>
        </w:rPr>
        <w:t>0</w:t>
      </w:r>
      <w:r>
        <w:rPr>
          <w:rFonts w:hint="eastAsia" w:ascii="仿宋" w:hAnsi="仿宋" w:eastAsia="仿宋" w:cs="楷体"/>
          <w:bCs/>
          <w:color w:val="auto"/>
          <w:szCs w:val="21"/>
          <w:highlight w:val="none"/>
        </w:rPr>
        <w:t>.5、出现磋商供应商认为采购文件、采购过程、中标和成交结果使自己的合法权益受到损害的，应当首先依法向采购人、采购代理机构提出质疑。对采购人、采购代理机构的质疑答复不满意，或者采购人、采购代理机构未在规定期限内做出答复的，磋商供应商可以在答复期满后15个工作日内向同级财政部门提起投诉。</w:t>
      </w:r>
    </w:p>
    <w:p>
      <w:pPr>
        <w:tabs>
          <w:tab w:val="left" w:pos="1155"/>
        </w:tabs>
        <w:spacing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2</w:t>
      </w:r>
      <w:r>
        <w:rPr>
          <w:rFonts w:hint="eastAsia" w:ascii="仿宋" w:hAnsi="仿宋" w:eastAsia="仿宋" w:cs="楷体"/>
          <w:b/>
          <w:color w:val="auto"/>
          <w:szCs w:val="21"/>
          <w:highlight w:val="none"/>
          <w:lang w:val="en-US" w:eastAsia="zh-CN"/>
        </w:rPr>
        <w:t>1</w:t>
      </w:r>
      <w:r>
        <w:rPr>
          <w:rFonts w:hint="eastAsia" w:ascii="仿宋" w:hAnsi="仿宋" w:eastAsia="仿宋" w:cs="楷体"/>
          <w:b/>
          <w:color w:val="auto"/>
          <w:szCs w:val="21"/>
          <w:highlight w:val="none"/>
        </w:rPr>
        <w:t>、投诉提出</w:t>
      </w:r>
    </w:p>
    <w:p>
      <w:pPr>
        <w:tabs>
          <w:tab w:val="left" w:pos="1155"/>
        </w:tabs>
        <w:spacing w:line="360" w:lineRule="auto"/>
        <w:ind w:firstLine="481"/>
        <w:rPr>
          <w:rFonts w:ascii="仿宋" w:hAnsi="仿宋" w:eastAsia="仿宋" w:cs="楷体"/>
          <w:bCs/>
          <w:color w:val="auto"/>
          <w:szCs w:val="21"/>
          <w:highlight w:val="none"/>
        </w:rPr>
      </w:pPr>
      <w:r>
        <w:rPr>
          <w:rFonts w:hint="eastAsia" w:ascii="仿宋" w:hAnsi="仿宋" w:eastAsia="仿宋" w:cs="楷体"/>
          <w:bCs/>
          <w:color w:val="auto"/>
          <w:szCs w:val="21"/>
          <w:highlight w:val="none"/>
        </w:rPr>
        <w:t>2</w:t>
      </w:r>
      <w:r>
        <w:rPr>
          <w:rFonts w:hint="eastAsia" w:ascii="仿宋" w:hAnsi="仿宋" w:eastAsia="仿宋" w:cs="楷体"/>
          <w:bCs/>
          <w:color w:val="auto"/>
          <w:szCs w:val="21"/>
          <w:highlight w:val="none"/>
          <w:lang w:val="en-US" w:eastAsia="zh-CN"/>
        </w:rPr>
        <w:t>1</w:t>
      </w:r>
      <w:r>
        <w:rPr>
          <w:rFonts w:hint="eastAsia" w:ascii="仿宋" w:hAnsi="仿宋" w:eastAsia="仿宋" w:cs="楷体"/>
          <w:bCs/>
          <w:color w:val="auto"/>
          <w:szCs w:val="21"/>
          <w:highlight w:val="none"/>
        </w:rPr>
        <w:t>.1、质疑供应商对采购人、采购代理机构的答复不满意，或者采购人、采购代理机构未在规定时间内做出答复的，可以在答复期满后15个工作日内向同级财政部门提起投诉。</w:t>
      </w:r>
    </w:p>
    <w:p>
      <w:pPr>
        <w:tabs>
          <w:tab w:val="left" w:pos="1155"/>
        </w:tabs>
        <w:spacing w:line="360" w:lineRule="auto"/>
        <w:ind w:firstLine="481"/>
        <w:rPr>
          <w:rFonts w:ascii="仿宋" w:hAnsi="仿宋" w:eastAsia="仿宋" w:cs="楷体"/>
          <w:bCs/>
          <w:color w:val="auto"/>
          <w:szCs w:val="21"/>
          <w:highlight w:val="none"/>
        </w:rPr>
      </w:pPr>
      <w:r>
        <w:rPr>
          <w:rFonts w:hint="eastAsia" w:ascii="仿宋" w:hAnsi="仿宋" w:eastAsia="仿宋" w:cs="楷体"/>
          <w:bCs/>
          <w:color w:val="auto"/>
          <w:szCs w:val="21"/>
          <w:highlight w:val="none"/>
        </w:rPr>
        <w:t>2</w:t>
      </w:r>
      <w:r>
        <w:rPr>
          <w:rFonts w:hint="eastAsia" w:ascii="仿宋" w:hAnsi="仿宋" w:eastAsia="仿宋" w:cs="楷体"/>
          <w:bCs/>
          <w:color w:val="auto"/>
          <w:szCs w:val="21"/>
          <w:highlight w:val="none"/>
          <w:lang w:val="en-US" w:eastAsia="zh-CN"/>
        </w:rPr>
        <w:t>1</w:t>
      </w:r>
      <w:r>
        <w:rPr>
          <w:rFonts w:hint="eastAsia" w:ascii="仿宋" w:hAnsi="仿宋" w:eastAsia="仿宋" w:cs="楷体"/>
          <w:bCs/>
          <w:color w:val="auto"/>
          <w:szCs w:val="21"/>
          <w:highlight w:val="none"/>
        </w:rPr>
        <w:t>.2、投诉人投诉时,应当提交投诉书，并按照被投诉采购人、采购代理机构（以下简称被投诉人）和与投诉事项有关的供应商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tabs>
          <w:tab w:val="left" w:pos="1155"/>
        </w:tabs>
        <w:spacing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2</w:t>
      </w:r>
      <w:r>
        <w:rPr>
          <w:rFonts w:hint="eastAsia" w:ascii="仿宋" w:hAnsi="仿宋" w:eastAsia="仿宋" w:cs="楷体"/>
          <w:b/>
          <w:color w:val="auto"/>
          <w:szCs w:val="21"/>
          <w:highlight w:val="none"/>
          <w:lang w:val="en-US" w:eastAsia="zh-CN"/>
        </w:rPr>
        <w:t>2</w:t>
      </w:r>
      <w:r>
        <w:rPr>
          <w:rFonts w:hint="eastAsia" w:ascii="仿宋" w:hAnsi="仿宋" w:eastAsia="仿宋" w:cs="楷体"/>
          <w:b/>
          <w:color w:val="auto"/>
          <w:szCs w:val="21"/>
          <w:highlight w:val="none"/>
        </w:rPr>
        <w:t>、法律责任</w:t>
      </w:r>
    </w:p>
    <w:p>
      <w:pPr>
        <w:tabs>
          <w:tab w:val="left" w:pos="1155"/>
        </w:tabs>
        <w:spacing w:line="360" w:lineRule="auto"/>
        <w:ind w:firstLine="480"/>
        <w:rPr>
          <w:rFonts w:ascii="仿宋" w:hAnsi="仿宋" w:eastAsia="仿宋" w:cs="楷体"/>
          <w:bCs/>
          <w:color w:val="auto"/>
          <w:szCs w:val="21"/>
          <w:highlight w:val="none"/>
        </w:rPr>
      </w:pPr>
      <w:r>
        <w:rPr>
          <w:rFonts w:hint="eastAsia" w:ascii="仿宋" w:hAnsi="仿宋" w:eastAsia="仿宋" w:cs="楷体"/>
          <w:bCs/>
          <w:color w:val="auto"/>
          <w:szCs w:val="21"/>
          <w:highlight w:val="none"/>
        </w:rPr>
        <w:t>2</w:t>
      </w:r>
      <w:r>
        <w:rPr>
          <w:rFonts w:hint="eastAsia" w:ascii="仿宋" w:hAnsi="仿宋" w:eastAsia="仿宋" w:cs="楷体"/>
          <w:bCs/>
          <w:color w:val="auto"/>
          <w:szCs w:val="21"/>
          <w:highlight w:val="none"/>
          <w:lang w:val="en-US" w:eastAsia="zh-CN"/>
        </w:rPr>
        <w:t>2</w:t>
      </w:r>
      <w:r>
        <w:rPr>
          <w:rFonts w:hint="eastAsia" w:ascii="仿宋" w:hAnsi="仿宋" w:eastAsia="仿宋" w:cs="楷体"/>
          <w:bCs/>
          <w:color w:val="auto"/>
          <w:szCs w:val="21"/>
          <w:highlight w:val="none"/>
        </w:rPr>
        <w:t>.1、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pacing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lang w:val="en-US" w:eastAsia="zh-CN"/>
        </w:rPr>
        <w:t>23</w:t>
      </w:r>
      <w:r>
        <w:rPr>
          <w:rFonts w:hint="eastAsia" w:ascii="仿宋" w:hAnsi="仿宋" w:eastAsia="仿宋" w:cs="楷体"/>
          <w:b/>
          <w:color w:val="auto"/>
          <w:szCs w:val="21"/>
          <w:highlight w:val="none"/>
        </w:rPr>
        <w:t>、其他说明</w:t>
      </w:r>
    </w:p>
    <w:p>
      <w:pPr>
        <w:tabs>
          <w:tab w:val="left" w:pos="1155"/>
        </w:tabs>
        <w:spacing w:line="360" w:lineRule="auto"/>
        <w:ind w:firstLine="480"/>
        <w:rPr>
          <w:rFonts w:ascii="仿宋" w:hAnsi="仿宋" w:eastAsia="仿宋" w:cs="楷体"/>
          <w:bCs/>
          <w:color w:val="auto"/>
          <w:szCs w:val="21"/>
          <w:highlight w:val="none"/>
        </w:rPr>
      </w:pPr>
      <w:r>
        <w:rPr>
          <w:rFonts w:hint="eastAsia" w:ascii="仿宋" w:hAnsi="仿宋" w:eastAsia="仿宋" w:cs="楷体"/>
          <w:bCs/>
          <w:color w:val="auto"/>
          <w:szCs w:val="21"/>
          <w:highlight w:val="none"/>
        </w:rPr>
        <w:t>2</w:t>
      </w:r>
      <w:r>
        <w:rPr>
          <w:rFonts w:hint="eastAsia" w:ascii="仿宋" w:hAnsi="仿宋" w:eastAsia="仿宋" w:cs="楷体"/>
          <w:bCs/>
          <w:color w:val="auto"/>
          <w:szCs w:val="21"/>
          <w:highlight w:val="none"/>
          <w:lang w:val="en-US" w:eastAsia="zh-CN"/>
        </w:rPr>
        <w:t>3</w:t>
      </w:r>
      <w:r>
        <w:rPr>
          <w:rFonts w:hint="eastAsia" w:ascii="仿宋" w:hAnsi="仿宋" w:eastAsia="仿宋" w:cs="楷体"/>
          <w:bCs/>
          <w:color w:val="auto"/>
          <w:szCs w:val="21"/>
          <w:highlight w:val="none"/>
        </w:rPr>
        <w:t>.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tabs>
          <w:tab w:val="left" w:pos="1155"/>
        </w:tabs>
        <w:spacing w:line="360" w:lineRule="auto"/>
        <w:ind w:firstLine="480"/>
        <w:rPr>
          <w:rFonts w:ascii="仿宋" w:hAnsi="仿宋" w:eastAsia="仿宋" w:cs="楷体"/>
          <w:bCs/>
          <w:color w:val="auto"/>
          <w:szCs w:val="21"/>
          <w:highlight w:val="none"/>
        </w:rPr>
      </w:pPr>
      <w:r>
        <w:rPr>
          <w:rFonts w:hint="eastAsia" w:ascii="仿宋" w:hAnsi="仿宋" w:eastAsia="仿宋" w:cs="楷体"/>
          <w:bCs/>
          <w:color w:val="auto"/>
          <w:szCs w:val="21"/>
          <w:highlight w:val="none"/>
        </w:rPr>
        <w:t>2</w:t>
      </w:r>
      <w:r>
        <w:rPr>
          <w:rFonts w:hint="eastAsia" w:ascii="仿宋" w:hAnsi="仿宋" w:eastAsia="仿宋" w:cs="楷体"/>
          <w:bCs/>
          <w:color w:val="auto"/>
          <w:szCs w:val="21"/>
          <w:highlight w:val="none"/>
          <w:lang w:val="en-US" w:eastAsia="zh-CN"/>
        </w:rPr>
        <w:t>3</w:t>
      </w:r>
      <w:r>
        <w:rPr>
          <w:rFonts w:hint="eastAsia" w:ascii="仿宋" w:hAnsi="仿宋" w:eastAsia="仿宋" w:cs="楷体"/>
          <w:bCs/>
          <w:color w:val="auto"/>
          <w:szCs w:val="21"/>
          <w:highlight w:val="none"/>
        </w:rPr>
        <w:t>.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pStyle w:val="3"/>
        <w:widowControl/>
        <w:spacing w:before="0" w:after="0" w:line="360" w:lineRule="auto"/>
        <w:ind w:firstLine="420" w:firstLineChars="200"/>
        <w:rPr>
          <w:rFonts w:ascii="仿宋" w:hAnsi="仿宋" w:eastAsia="仿宋" w:cs="楷体"/>
          <w:b w:val="0"/>
          <w:bCs/>
          <w:color w:val="auto"/>
          <w:sz w:val="21"/>
          <w:szCs w:val="21"/>
          <w:highlight w:val="none"/>
        </w:rPr>
      </w:pPr>
      <w:bookmarkStart w:id="19" w:name="_Toc10232"/>
      <w:bookmarkStart w:id="20" w:name="_Toc14206"/>
      <w:bookmarkStart w:id="21" w:name="_Toc15"/>
      <w:bookmarkStart w:id="22" w:name="_Toc4069"/>
      <w:bookmarkStart w:id="23" w:name="_Toc21130"/>
      <w:r>
        <w:rPr>
          <w:rFonts w:hint="eastAsia" w:ascii="仿宋" w:hAnsi="仿宋" w:eastAsia="仿宋" w:cs="楷体"/>
          <w:b w:val="0"/>
          <w:bCs/>
          <w:color w:val="auto"/>
          <w:sz w:val="21"/>
          <w:szCs w:val="21"/>
          <w:highlight w:val="none"/>
        </w:rPr>
        <w:t>2</w:t>
      </w:r>
      <w:r>
        <w:rPr>
          <w:rFonts w:hint="eastAsia" w:ascii="仿宋" w:hAnsi="仿宋" w:eastAsia="仿宋" w:cs="楷体"/>
          <w:b w:val="0"/>
          <w:bCs/>
          <w:color w:val="auto"/>
          <w:sz w:val="21"/>
          <w:szCs w:val="21"/>
          <w:highlight w:val="none"/>
          <w:lang w:val="en-US" w:eastAsia="zh-CN"/>
        </w:rPr>
        <w:t>3</w:t>
      </w:r>
      <w:r>
        <w:rPr>
          <w:rFonts w:hint="eastAsia" w:ascii="仿宋" w:hAnsi="仿宋" w:eastAsia="仿宋" w:cs="楷体"/>
          <w:b w:val="0"/>
          <w:bCs/>
          <w:color w:val="auto"/>
          <w:sz w:val="21"/>
          <w:szCs w:val="21"/>
          <w:highlight w:val="none"/>
        </w:rPr>
        <w:t>.3、质疑与投诉事宜依据《中华人民共和国政府采购法》、《政府采购法实施条例（国务院第658号令）》、《中华人民共和国财政部令第94号--政府采购质疑和投诉办法》及《陕财办采资（2016）53号》规定执行。</w:t>
      </w:r>
      <w:bookmarkEnd w:id="19"/>
      <w:bookmarkEnd w:id="20"/>
      <w:bookmarkEnd w:id="21"/>
      <w:bookmarkEnd w:id="22"/>
      <w:bookmarkEnd w:id="23"/>
    </w:p>
    <w:p>
      <w:pPr>
        <w:tabs>
          <w:tab w:val="left" w:pos="1155"/>
        </w:tabs>
        <w:spacing w:line="360" w:lineRule="auto"/>
        <w:rPr>
          <w:rFonts w:ascii="仿宋" w:hAnsi="仿宋" w:eastAsia="仿宋" w:cs="楷体"/>
          <w:b/>
          <w:color w:val="auto"/>
          <w:sz w:val="28"/>
          <w:szCs w:val="28"/>
          <w:highlight w:val="none"/>
        </w:rPr>
      </w:pPr>
      <w:r>
        <w:rPr>
          <w:rFonts w:hint="eastAsia" w:ascii="仿宋" w:hAnsi="仿宋" w:eastAsia="仿宋" w:cs="楷体"/>
          <w:b/>
          <w:color w:val="auto"/>
          <w:sz w:val="28"/>
          <w:szCs w:val="28"/>
          <w:highlight w:val="none"/>
        </w:rPr>
        <w:t>九、关于供应商注册登记提醒</w:t>
      </w:r>
    </w:p>
    <w:p>
      <w:pPr>
        <w:tabs>
          <w:tab w:val="left" w:pos="1155"/>
        </w:tabs>
        <w:spacing w:line="360" w:lineRule="auto"/>
        <w:ind w:firstLine="480"/>
        <w:rPr>
          <w:rFonts w:ascii="仿宋" w:hAnsi="仿宋" w:eastAsia="仿宋" w:cs="楷体"/>
          <w:bCs/>
          <w:color w:val="auto"/>
          <w:szCs w:val="21"/>
          <w:highlight w:val="none"/>
        </w:rPr>
      </w:pPr>
      <w:r>
        <w:rPr>
          <w:rFonts w:hint="eastAsia" w:ascii="仿宋" w:hAnsi="仿宋" w:eastAsia="仿宋" w:cs="楷体"/>
          <w:bCs/>
          <w:color w:val="auto"/>
          <w:szCs w:val="21"/>
          <w:highlight w:val="none"/>
        </w:rPr>
        <w:t>2</w:t>
      </w:r>
      <w:r>
        <w:rPr>
          <w:rFonts w:hint="eastAsia" w:ascii="仿宋" w:hAnsi="仿宋" w:eastAsia="仿宋" w:cs="楷体"/>
          <w:bCs/>
          <w:color w:val="auto"/>
          <w:szCs w:val="21"/>
          <w:highlight w:val="none"/>
          <w:lang w:val="en-US" w:eastAsia="zh-CN"/>
        </w:rPr>
        <w:t>4</w:t>
      </w:r>
      <w:r>
        <w:rPr>
          <w:rFonts w:hint="eastAsia" w:ascii="仿宋" w:hAnsi="仿宋" w:eastAsia="仿宋" w:cs="楷体"/>
          <w:bCs/>
          <w:color w:val="auto"/>
          <w:szCs w:val="21"/>
          <w:highlight w:val="none"/>
        </w:rPr>
        <w:t xml:space="preserve">.1、根据陕西省财政厅关于政府采购供应商注册登记有关事项的通知，如所投本项目的供应商未在陕西省政府采购网（http://www.ccgp-shaanxi.gov.cn/）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 </w:t>
      </w:r>
    </w:p>
    <w:p>
      <w:pPr>
        <w:spacing w:after="156" w:afterLines="50" w:line="360" w:lineRule="auto"/>
        <w:ind w:firstLine="420" w:firstLineChars="200"/>
        <w:rPr>
          <w:rFonts w:ascii="仿宋" w:hAnsi="仿宋" w:eastAsia="仿宋" w:cs="楷体"/>
          <w:b/>
          <w:color w:val="auto"/>
          <w:sz w:val="32"/>
          <w:szCs w:val="32"/>
          <w:highlight w:val="none"/>
        </w:rPr>
      </w:pPr>
      <w:r>
        <w:rPr>
          <w:rFonts w:hint="eastAsia" w:ascii="仿宋" w:hAnsi="仿宋" w:eastAsia="仿宋" w:cs="楷体"/>
          <w:bCs/>
          <w:color w:val="auto"/>
          <w:szCs w:val="21"/>
          <w:highlight w:val="none"/>
        </w:rPr>
        <w:t>2</w:t>
      </w:r>
      <w:r>
        <w:rPr>
          <w:rFonts w:hint="eastAsia" w:ascii="仿宋" w:hAnsi="仿宋" w:eastAsia="仿宋" w:cs="楷体"/>
          <w:bCs/>
          <w:color w:val="auto"/>
          <w:szCs w:val="21"/>
          <w:highlight w:val="none"/>
          <w:lang w:val="en-US" w:eastAsia="zh-CN"/>
        </w:rPr>
        <w:t>4</w:t>
      </w:r>
      <w:r>
        <w:rPr>
          <w:rFonts w:hint="eastAsia" w:ascii="仿宋" w:hAnsi="仿宋" w:eastAsia="仿宋" w:cs="楷体"/>
          <w:bCs/>
          <w:color w:val="auto"/>
          <w:szCs w:val="21"/>
          <w:highlight w:val="none"/>
        </w:rPr>
        <w:t>.2、请各供应商自行在陕西省政府采购网主页面资料下载区下载《陕西省政府采购管理系统供应商用户手册》</w:t>
      </w:r>
      <w:bookmarkStart w:id="24" w:name="_Toc16729"/>
      <w:bookmarkStart w:id="25" w:name="_Toc22675"/>
      <w:bookmarkStart w:id="26" w:name="_Toc5771_WPSOffice_Level1"/>
      <w:bookmarkStart w:id="27" w:name="_Toc6006_WPSOffice_Level1"/>
      <w:bookmarkStart w:id="28" w:name="_Toc1745"/>
      <w:bookmarkStart w:id="29" w:name="_Toc32525"/>
    </w:p>
    <w:p>
      <w:pPr>
        <w:spacing w:after="156" w:afterLines="50" w:line="360" w:lineRule="auto"/>
        <w:ind w:firstLine="2891" w:firstLineChars="900"/>
        <w:outlineLvl w:val="0"/>
        <w:rPr>
          <w:rFonts w:ascii="仿宋" w:hAnsi="仿宋" w:eastAsia="仿宋" w:cs="楷体"/>
          <w:b/>
          <w:color w:val="auto"/>
          <w:sz w:val="20"/>
          <w:szCs w:val="20"/>
          <w:highlight w:val="none"/>
        </w:rPr>
      </w:pPr>
      <w:r>
        <w:rPr>
          <w:rFonts w:hint="eastAsia" w:ascii="仿宋" w:hAnsi="仿宋" w:eastAsia="仿宋" w:cs="楷体"/>
          <w:b/>
          <w:color w:val="auto"/>
          <w:sz w:val="32"/>
          <w:szCs w:val="32"/>
          <w:highlight w:val="none"/>
        </w:rPr>
        <w:t>第三章 评审办法</w:t>
      </w:r>
      <w:bookmarkEnd w:id="24"/>
      <w:bookmarkEnd w:id="25"/>
      <w:bookmarkEnd w:id="26"/>
      <w:bookmarkEnd w:id="27"/>
      <w:bookmarkEnd w:id="28"/>
      <w:bookmarkEnd w:id="29"/>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本项目是根据《中华人民共和国政府采购法》及《政府采购法实施条例》等法律法规的规定，结合采购项目特点制定的评审办法。</w:t>
      </w:r>
    </w:p>
    <w:p>
      <w:pPr>
        <w:spacing w:before="156" w:beforeLines="50" w:after="156" w:afterLines="50" w:line="360" w:lineRule="auto"/>
        <w:rPr>
          <w:rFonts w:ascii="仿宋" w:hAnsi="仿宋" w:eastAsia="仿宋" w:cs="楷体"/>
          <w:b/>
          <w:color w:val="auto"/>
          <w:szCs w:val="21"/>
          <w:highlight w:val="none"/>
        </w:rPr>
      </w:pPr>
      <w:r>
        <w:rPr>
          <w:rFonts w:hint="eastAsia" w:ascii="仿宋" w:hAnsi="仿宋" w:eastAsia="仿宋" w:cs="楷体"/>
          <w:color w:val="auto"/>
          <w:sz w:val="28"/>
          <w:szCs w:val="28"/>
          <w:highlight w:val="none"/>
        </w:rPr>
        <w:t>一、</w:t>
      </w:r>
      <w:r>
        <w:rPr>
          <w:rFonts w:hint="eastAsia" w:ascii="仿宋" w:hAnsi="仿宋" w:eastAsia="仿宋" w:cs="楷体"/>
          <w:b/>
          <w:color w:val="auto"/>
          <w:sz w:val="28"/>
          <w:szCs w:val="28"/>
          <w:highlight w:val="none"/>
        </w:rPr>
        <w:t>总则</w:t>
      </w:r>
    </w:p>
    <w:p>
      <w:pPr>
        <w:spacing w:before="156" w:beforeLines="50" w:after="156" w:afterLines="50" w:line="360" w:lineRule="auto"/>
        <w:ind w:firstLine="211" w:firstLineChars="100"/>
        <w:rPr>
          <w:rFonts w:ascii="仿宋" w:hAnsi="仿宋" w:eastAsia="仿宋" w:cs="楷体"/>
          <w:color w:val="auto"/>
          <w:szCs w:val="21"/>
          <w:highlight w:val="none"/>
        </w:rPr>
      </w:pPr>
      <w:r>
        <w:rPr>
          <w:rFonts w:hint="eastAsia" w:ascii="仿宋" w:hAnsi="仿宋" w:eastAsia="仿宋" w:cs="楷体"/>
          <w:b/>
          <w:color w:val="auto"/>
          <w:szCs w:val="21"/>
          <w:highlight w:val="none"/>
        </w:rPr>
        <w:t>1、原则</w:t>
      </w:r>
    </w:p>
    <w:p>
      <w:pPr>
        <w:tabs>
          <w:tab w:val="left" w:pos="0"/>
        </w:tabs>
        <w:adjustRightInd w:val="0"/>
        <w:snapToGrid w:val="0"/>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1.1、“公平、公正、择优、效益”为本次评审的基本原则，磋商小组按照这一原则的要求，公正、平等地对待各磋商供应商。同时，在评审中恪守以下原则：</w:t>
      </w:r>
    </w:p>
    <w:p>
      <w:pPr>
        <w:tabs>
          <w:tab w:val="left" w:pos="0"/>
        </w:tabs>
        <w:adjustRightInd w:val="0"/>
        <w:snapToGrid w:val="0"/>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1.1.1、统一性原则：磋商小组将按照统一的原则和方法，用统一标准进行评审。</w:t>
      </w:r>
    </w:p>
    <w:p>
      <w:pPr>
        <w:tabs>
          <w:tab w:val="left" w:pos="0"/>
        </w:tabs>
        <w:adjustRightInd w:val="0"/>
        <w:snapToGrid w:val="0"/>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1.1.2、独立性原则:评审工作在磋商小组内部独立进行，不受外界任何因素的干扰和影响。磋商小组成员对其出具的意见承担个人责任。</w:t>
      </w:r>
      <w:r>
        <w:rPr>
          <w:rFonts w:hint="eastAsia" w:ascii="仿宋" w:hAnsi="仿宋" w:eastAsia="仿宋" w:cs="楷体"/>
          <w:color w:val="auto"/>
          <w:kern w:val="0"/>
          <w:szCs w:val="21"/>
          <w:highlight w:val="none"/>
        </w:rPr>
        <w:t>磋商供应商试图影响或干预评审的任何行为，将导致其丧失磋商的资格，并承担相应的法律责任。</w:t>
      </w:r>
    </w:p>
    <w:p>
      <w:pPr>
        <w:tabs>
          <w:tab w:val="left" w:pos="0"/>
        </w:tabs>
        <w:adjustRightInd w:val="0"/>
        <w:snapToGrid w:val="0"/>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1.1.3、客观性原则：磋商小组将严格按照竞争性磋商文件要求，对磋商供应商的磋商响应文件进行认真评审；磋商小组对磋商响应文件的评审仅依据磋商响应文件本身，而不依据磋商响应文件以外的任何因素。</w:t>
      </w:r>
    </w:p>
    <w:p>
      <w:pPr>
        <w:tabs>
          <w:tab w:val="left" w:pos="0"/>
        </w:tabs>
        <w:adjustRightInd w:val="0"/>
        <w:snapToGrid w:val="0"/>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tabs>
          <w:tab w:val="left" w:pos="0"/>
        </w:tabs>
        <w:adjustRightInd w:val="0"/>
        <w:snapToGrid w:val="0"/>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1.1.5、综合性原则:磋商小组将综合分析磋商供应商的各项指标，而不以单项指标的优劣评定出成交供应商。</w:t>
      </w:r>
    </w:p>
    <w:p>
      <w:pPr>
        <w:tabs>
          <w:tab w:val="left" w:pos="0"/>
        </w:tabs>
        <w:adjustRightInd w:val="0"/>
        <w:snapToGrid w:val="0"/>
        <w:spacing w:line="360"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1.2、磋商小组有权对整个投标和评审过程中出现的所有问题，根据《中华人民共和国政府采购法》、《中华人民共和国政府采购法实施条例》（第658号）、《政府采购竞争性磋商采购方式管理暂行办法》等相关规定进行处理。</w:t>
      </w:r>
    </w:p>
    <w:p>
      <w:pPr>
        <w:spacing w:before="156" w:beforeLines="50" w:after="156" w:afterLines="50" w:line="360" w:lineRule="auto"/>
        <w:ind w:firstLine="472" w:firstLineChars="224"/>
        <w:rPr>
          <w:rFonts w:ascii="仿宋" w:hAnsi="仿宋" w:eastAsia="仿宋" w:cs="楷体"/>
          <w:b/>
          <w:color w:val="auto"/>
          <w:szCs w:val="21"/>
          <w:highlight w:val="none"/>
        </w:rPr>
      </w:pPr>
      <w:r>
        <w:rPr>
          <w:rFonts w:hint="eastAsia" w:ascii="仿宋" w:hAnsi="仿宋" w:eastAsia="仿宋" w:cs="楷体"/>
          <w:b/>
          <w:color w:val="auto"/>
          <w:szCs w:val="21"/>
          <w:highlight w:val="none"/>
        </w:rPr>
        <w:t>2、磋商小组职责</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2.1、磋商小组独立履行下列职责：</w:t>
      </w:r>
    </w:p>
    <w:p>
      <w:pPr>
        <w:spacing w:line="360" w:lineRule="auto"/>
        <w:ind w:right="-239" w:rightChars="-114"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2.1.1、审查、评价磋商响应文件是否符合竞争性磋商文件的资格、商务、技术、服务等实质性要求；</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2.1.2、要求磋商供应商对磋商响应文件有关事项做出解释或者澄清；</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2.1.3、与入围的磋商供应商进行技术和商务磋商；</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2.1.4、对磋商响应文件进行比较和评价；</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2.1.5、推荐成交候选磋商供应商名单；</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2.1.6、向采购人、采购代理机构或者有关部门报告非法干预评审工作的行为。</w:t>
      </w:r>
    </w:p>
    <w:p>
      <w:pPr>
        <w:pStyle w:val="16"/>
        <w:shd w:val="clear" w:color="auto" w:fill="FFFFFF"/>
        <w:spacing w:before="0" w:beforeAutospacing="0" w:after="0" w:afterAutospacing="0" w:line="360" w:lineRule="auto"/>
        <w:ind w:left="479" w:leftChars="228"/>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2.2、采购代理机构负责组织评审工作并履行下列职责：</w:t>
      </w:r>
    </w:p>
    <w:p>
      <w:pPr>
        <w:pStyle w:val="16"/>
        <w:shd w:val="clear" w:color="auto" w:fill="FFFFFF"/>
        <w:spacing w:before="0" w:beforeAutospacing="0" w:after="0" w:afterAutospacing="0" w:line="360" w:lineRule="auto"/>
        <w:ind w:left="479" w:leftChars="228"/>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2.2.1、核对磋商小组成员身份和采购人代表授权函；</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2.2.2、宣布评审纪律；</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2.2.3、公布响应磋商供应商名单，告知磋商小组成员应当回避的情形；</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2.2.4、组织磋商小组成员推选评审小组组长，采购人代表不得担任组长；</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2.2.5、集中保管磋商小组成员及现场工作人员的通讯工具；</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2.2.6、根据磋商小组的要求介绍政府采购相关政策法规、竞争性磋商文件；</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2.2.7、维护评审秩序，监督磋商小组依照竞争性磋商文件规定的采购程序、评审方法和标准进行独立评审，对采购人代表、磋商小组成员的倾向性言论或违法违规行为及时制止和纠正；</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2.2.8、核对评审结果，采用竞争性磋商采购方式采购的政府购买服务项目（含政府和社会资本合作项目），在采购过程中符合要求的供应商（社会资本）只有2家的，竞争性磋商采购活动可以继续进行；采购过程中，提交磋商响应文件或者经评审实质性响应竞争性磋商文件要求的磋商供应商只有1家时，按废标处理，重新开展采购活动。采购人如需申请转为单一来源采购方式的，按单一来源采购程序进行。要求磋商小组复核或书面说明理由，磋商小组拒绝的，应予记录并向采购人本级财政部门报告；</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2.2.9、处理与评审有关的其他事项。</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2.3、采购人可以在评审前介绍项目背景和采购需求，介绍内容不得含有歧视性、倾向性意见，不得超出竞争性磋商文件所述范围。介绍应当提交书面介绍材料，并随采购文件一并存档。</w:t>
      </w:r>
    </w:p>
    <w:p>
      <w:pPr>
        <w:widowControl/>
        <w:autoSpaceDE w:val="0"/>
        <w:autoSpaceDN w:val="0"/>
        <w:spacing w:line="360" w:lineRule="auto"/>
        <w:ind w:right="51" w:firstLine="420" w:firstLineChars="200"/>
        <w:textAlignment w:val="bottom"/>
        <w:rPr>
          <w:rFonts w:ascii="仿宋" w:hAnsi="仿宋" w:eastAsia="仿宋" w:cs="楷体"/>
          <w:color w:val="auto"/>
          <w:szCs w:val="21"/>
          <w:highlight w:val="none"/>
        </w:rPr>
      </w:pPr>
      <w:r>
        <w:rPr>
          <w:rFonts w:hint="eastAsia" w:ascii="仿宋" w:hAnsi="仿宋" w:eastAsia="仿宋" w:cs="楷体"/>
          <w:color w:val="auto"/>
          <w:szCs w:val="21"/>
          <w:highlight w:val="none"/>
        </w:rPr>
        <w:t>2.4、磋商小组及其成员，在评审中不得有下列行为：</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2.4.1、确定参与评审至评审结束前私自接触供应商；</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2.4.2、接受供应商提出的与磋商响应文件不一致的澄清或者说明，本章第4.1条规定的情形除外；</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2.4.3、违反评审纪律发表倾向性意见或者征询采购人的倾向性意见；</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2.4.4、对需要专业判断的主观评审因素协商评分；</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2.4.5、在评审过程中擅离职守，影响评审程序正常进行的；</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2.4.6、记录、复制或者带走任何评审资料；</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2.4.7、其他不遵守评审纪律的行为；</w:t>
      </w:r>
    </w:p>
    <w:p>
      <w:pPr>
        <w:pStyle w:val="16"/>
        <w:shd w:val="clear" w:color="auto" w:fill="FFFFFF"/>
        <w:spacing w:before="0" w:beforeAutospacing="0" w:after="0" w:afterAutospacing="0" w:line="360" w:lineRule="auto"/>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2.4.8、磋商小组成员有前款第一至五项行为之一的，其评审意见无效，</w:t>
      </w:r>
    </w:p>
    <w:p>
      <w:pPr>
        <w:spacing w:before="156" w:beforeLines="50" w:after="156" w:afterLines="50" w:line="360" w:lineRule="auto"/>
        <w:rPr>
          <w:rFonts w:ascii="仿宋" w:hAnsi="仿宋" w:eastAsia="仿宋" w:cs="楷体"/>
          <w:b/>
          <w:color w:val="auto"/>
          <w:sz w:val="28"/>
          <w:szCs w:val="28"/>
          <w:highlight w:val="none"/>
        </w:rPr>
      </w:pPr>
      <w:r>
        <w:rPr>
          <w:rFonts w:hint="eastAsia" w:ascii="仿宋" w:hAnsi="仿宋" w:eastAsia="仿宋" w:cs="楷体"/>
          <w:b/>
          <w:color w:val="auto"/>
          <w:sz w:val="28"/>
          <w:szCs w:val="28"/>
          <w:highlight w:val="none"/>
        </w:rPr>
        <w:t>二、评审步骤与评审方法</w:t>
      </w:r>
    </w:p>
    <w:p>
      <w:pPr>
        <w:spacing w:before="156" w:beforeLines="50" w:after="156" w:afterLines="50"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3、初步审查</w:t>
      </w:r>
    </w:p>
    <w:p>
      <w:pPr>
        <w:tabs>
          <w:tab w:val="left" w:pos="0"/>
        </w:tabs>
        <w:adjustRightInd w:val="0"/>
        <w:snapToGrid w:val="0"/>
        <w:spacing w:before="312" w:beforeLines="100" w:line="360" w:lineRule="auto"/>
        <w:ind w:firstLine="420" w:firstLineChars="200"/>
        <w:rPr>
          <w:rFonts w:ascii="仿宋" w:hAnsi="仿宋" w:eastAsia="仿宋" w:cs="楷体"/>
          <w:color w:val="auto"/>
          <w:kern w:val="0"/>
          <w:szCs w:val="21"/>
          <w:highlight w:val="none"/>
        </w:rPr>
      </w:pPr>
      <w:r>
        <w:rPr>
          <w:rFonts w:hint="eastAsia" w:ascii="仿宋" w:hAnsi="仿宋" w:eastAsia="仿宋" w:cs="楷体"/>
          <w:color w:val="auto"/>
          <w:szCs w:val="21"/>
          <w:highlight w:val="none"/>
        </w:rPr>
        <w:t>3.1、资格性审查。磋商小组将依据竞争性磋商文件的规定对磋商供应商进行资格审查，以确定其是否具备相应资格。</w:t>
      </w:r>
      <w:r>
        <w:rPr>
          <w:rFonts w:hint="eastAsia" w:ascii="仿宋" w:hAnsi="仿宋" w:eastAsia="仿宋" w:cs="楷体"/>
          <w:color w:val="auto"/>
          <w:kern w:val="0"/>
          <w:szCs w:val="21"/>
          <w:highlight w:val="none"/>
        </w:rPr>
        <w:t>如果磋商供应商不具备资格、不满足竞争性磋商文件所规定的资格标准或提供资格证明文件不全,按无效响应文件处理。 （资格审查标准见供应商须知前附表）</w:t>
      </w:r>
    </w:p>
    <w:p>
      <w:pPr>
        <w:tabs>
          <w:tab w:val="left" w:pos="0"/>
        </w:tabs>
        <w:adjustRightInd w:val="0"/>
        <w:snapToGrid w:val="0"/>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3.2、符合性审查。磋商小组从磋商响应文件的有效性、完整性和对竞争性磋商文件的响应程度进行符合性审查，以确定其是否对竞争性磋商文件实质性内容做出响应</w:t>
      </w:r>
      <w:r>
        <w:rPr>
          <w:rFonts w:hint="eastAsia" w:ascii="仿宋" w:hAnsi="仿宋" w:eastAsia="仿宋" w:cs="楷体"/>
          <w:color w:val="auto"/>
          <w:kern w:val="0"/>
          <w:szCs w:val="21"/>
          <w:highlight w:val="none"/>
        </w:rPr>
        <w:t>（采购人可根据具体项目的情况对实质性要求作特别的具体规定）</w:t>
      </w:r>
      <w:r>
        <w:rPr>
          <w:rFonts w:hint="eastAsia" w:ascii="仿宋" w:hAnsi="仿宋" w:eastAsia="仿宋" w:cs="楷体"/>
          <w:color w:val="auto"/>
          <w:szCs w:val="21"/>
          <w:highlight w:val="none"/>
        </w:rPr>
        <w:t>。符合性审查标准如下：</w:t>
      </w:r>
    </w:p>
    <w:tbl>
      <w:tblPr>
        <w:tblStyle w:val="19"/>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0" w:type="dxa"/>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序号</w:t>
            </w:r>
          </w:p>
        </w:tc>
        <w:tc>
          <w:tcPr>
            <w:tcW w:w="8049" w:type="dxa"/>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80" w:type="dxa"/>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w:t>
            </w:r>
          </w:p>
        </w:tc>
        <w:tc>
          <w:tcPr>
            <w:tcW w:w="8049" w:type="dxa"/>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left"/>
              <w:rPr>
                <w:rFonts w:hint="default" w:ascii="仿宋" w:hAnsi="仿宋" w:eastAsia="仿宋" w:cs="楷体"/>
                <w:color w:val="auto"/>
                <w:szCs w:val="21"/>
                <w:highlight w:val="none"/>
              </w:rPr>
            </w:pPr>
            <w:r>
              <w:rPr>
                <w:rFonts w:hint="eastAsia" w:ascii="仿宋" w:hAnsi="仿宋" w:eastAsia="仿宋" w:cs="楷体"/>
                <w:color w:val="auto"/>
                <w:szCs w:val="21"/>
                <w:highlight w:val="none"/>
              </w:rPr>
              <w:t>磋商供应商对磋商响应文件的签署、盖章，符合竞争性磋商文件的规定；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0" w:type="dxa"/>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2</w:t>
            </w:r>
          </w:p>
        </w:tc>
        <w:tc>
          <w:tcPr>
            <w:tcW w:w="8049" w:type="dxa"/>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left"/>
              <w:rPr>
                <w:rFonts w:hint="default" w:ascii="仿宋" w:hAnsi="仿宋" w:eastAsia="仿宋" w:cs="楷体"/>
                <w:color w:val="auto"/>
                <w:szCs w:val="21"/>
                <w:highlight w:val="none"/>
              </w:rPr>
            </w:pPr>
            <w:r>
              <w:rPr>
                <w:rFonts w:hint="eastAsia" w:ascii="仿宋" w:hAnsi="仿宋" w:eastAsia="仿宋" w:cs="楷体"/>
                <w:color w:val="auto"/>
                <w:szCs w:val="21"/>
                <w:highlight w:val="none"/>
              </w:rPr>
              <w:t>磋商供应商按照竞争性磋商文件规定的格式、时效、内容和要求提供了磋商保证金；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80" w:type="dxa"/>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3</w:t>
            </w:r>
          </w:p>
        </w:tc>
        <w:tc>
          <w:tcPr>
            <w:tcW w:w="8049" w:type="dxa"/>
            <w:vAlign w:val="center"/>
          </w:tcPr>
          <w:p>
            <w:pPr>
              <w:keepNext w:val="0"/>
              <w:keepLines w:val="0"/>
              <w:suppressLineNumbers w:val="0"/>
              <w:tabs>
                <w:tab w:val="left" w:pos="0"/>
              </w:tabs>
              <w:adjustRightInd w:val="0"/>
              <w:snapToGrid w:val="0"/>
              <w:spacing w:before="0" w:beforeAutospacing="0" w:after="0" w:afterAutospacing="0" w:line="360" w:lineRule="auto"/>
              <w:ind w:left="0" w:leftChars="0" w:right="0" w:rightChars="0"/>
              <w:jc w:val="left"/>
              <w:rPr>
                <w:rFonts w:hint="default" w:ascii="仿宋" w:hAnsi="仿宋" w:eastAsia="仿宋" w:cs="楷体"/>
                <w:color w:val="auto"/>
                <w:kern w:val="2"/>
                <w:sz w:val="21"/>
                <w:szCs w:val="21"/>
                <w:highlight w:val="none"/>
                <w:lang w:val="en-US" w:eastAsia="zh-CN" w:bidi="ar-SA"/>
              </w:rPr>
            </w:pPr>
            <w:r>
              <w:rPr>
                <w:rFonts w:hint="eastAsia" w:ascii="仿宋" w:hAnsi="仿宋" w:eastAsia="仿宋" w:cs="楷体"/>
                <w:color w:val="auto"/>
                <w:szCs w:val="21"/>
                <w:highlight w:val="none"/>
              </w:rPr>
              <w:t>磋商供应商磋商响应文件报价符合竞争性磋商文件的要求；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80" w:type="dxa"/>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4</w:t>
            </w:r>
          </w:p>
        </w:tc>
        <w:tc>
          <w:tcPr>
            <w:tcW w:w="8049" w:type="dxa"/>
            <w:vAlign w:val="center"/>
          </w:tcPr>
          <w:p>
            <w:pPr>
              <w:keepNext w:val="0"/>
              <w:keepLines w:val="0"/>
              <w:suppressLineNumbers w:val="0"/>
              <w:tabs>
                <w:tab w:val="left" w:pos="0"/>
              </w:tabs>
              <w:adjustRightInd w:val="0"/>
              <w:snapToGrid w:val="0"/>
              <w:spacing w:before="0" w:beforeAutospacing="0" w:after="0" w:afterAutospacing="0" w:line="360" w:lineRule="auto"/>
              <w:ind w:left="0" w:leftChars="0" w:right="0" w:rightChars="0"/>
              <w:jc w:val="left"/>
              <w:rPr>
                <w:rFonts w:hint="default" w:ascii="仿宋" w:hAnsi="仿宋" w:eastAsia="仿宋" w:cs="楷体"/>
                <w:color w:val="auto"/>
                <w:kern w:val="2"/>
                <w:sz w:val="21"/>
                <w:szCs w:val="21"/>
                <w:highlight w:val="none"/>
                <w:lang w:val="en-US" w:eastAsia="zh-CN" w:bidi="ar-SA"/>
              </w:rPr>
            </w:pPr>
            <w:r>
              <w:rPr>
                <w:rFonts w:hint="eastAsia" w:ascii="仿宋" w:hAnsi="仿宋" w:eastAsia="仿宋" w:cs="楷体"/>
                <w:color w:val="auto"/>
                <w:szCs w:val="21"/>
                <w:highlight w:val="none"/>
              </w:rPr>
              <w:t>磋商供应商磋商响应文件载明的采购项目完成期限未超过竞争性磋商文件规定的时限，质量符合竞争性磋商文件要求；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80" w:type="dxa"/>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5</w:t>
            </w:r>
          </w:p>
        </w:tc>
        <w:tc>
          <w:tcPr>
            <w:tcW w:w="8049" w:type="dxa"/>
            <w:vAlign w:val="center"/>
          </w:tcPr>
          <w:p>
            <w:pPr>
              <w:keepNext w:val="0"/>
              <w:keepLines w:val="0"/>
              <w:suppressLineNumbers w:val="0"/>
              <w:tabs>
                <w:tab w:val="left" w:pos="0"/>
              </w:tabs>
              <w:adjustRightInd w:val="0"/>
              <w:snapToGrid w:val="0"/>
              <w:spacing w:before="0" w:beforeAutospacing="0" w:after="0" w:afterAutospacing="0" w:line="360" w:lineRule="auto"/>
              <w:ind w:left="0" w:leftChars="0" w:right="0" w:rightChars="0"/>
              <w:jc w:val="left"/>
              <w:rPr>
                <w:rFonts w:hint="default" w:ascii="仿宋" w:hAnsi="仿宋" w:eastAsia="仿宋" w:cs="楷体"/>
                <w:color w:val="auto"/>
                <w:kern w:val="2"/>
                <w:sz w:val="21"/>
                <w:szCs w:val="21"/>
                <w:highlight w:val="none"/>
                <w:lang w:val="en-US" w:eastAsia="zh-CN" w:bidi="ar-SA"/>
              </w:rPr>
            </w:pPr>
            <w:r>
              <w:rPr>
                <w:rFonts w:hint="eastAsia" w:ascii="仿宋" w:hAnsi="仿宋" w:eastAsia="仿宋" w:cs="楷体"/>
                <w:color w:val="auto"/>
                <w:szCs w:val="21"/>
                <w:highlight w:val="none"/>
              </w:rPr>
              <w:t>磋商供应商磋商响应文件未附有违背法律法规和政府规章规定的其他条件；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80" w:type="dxa"/>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6</w:t>
            </w:r>
          </w:p>
        </w:tc>
        <w:tc>
          <w:tcPr>
            <w:tcW w:w="8049" w:type="dxa"/>
            <w:vAlign w:val="center"/>
          </w:tcPr>
          <w:p>
            <w:pPr>
              <w:keepNext w:val="0"/>
              <w:keepLines w:val="0"/>
              <w:suppressLineNumbers w:val="0"/>
              <w:tabs>
                <w:tab w:val="left" w:pos="0"/>
              </w:tabs>
              <w:adjustRightInd w:val="0"/>
              <w:snapToGrid w:val="0"/>
              <w:spacing w:before="0" w:beforeAutospacing="0" w:after="0" w:afterAutospacing="0" w:line="360" w:lineRule="auto"/>
              <w:ind w:left="0" w:leftChars="0" w:right="0" w:rightChars="0"/>
              <w:jc w:val="left"/>
              <w:rPr>
                <w:rFonts w:hint="default" w:ascii="仿宋" w:hAnsi="仿宋" w:eastAsia="仿宋" w:cs="楷体"/>
                <w:color w:val="auto"/>
                <w:kern w:val="2"/>
                <w:sz w:val="21"/>
                <w:szCs w:val="21"/>
                <w:highlight w:val="none"/>
                <w:lang w:val="en-US" w:eastAsia="zh-CN" w:bidi="ar-SA"/>
              </w:rPr>
            </w:pPr>
            <w:r>
              <w:rPr>
                <w:rFonts w:hint="eastAsia" w:ascii="仿宋" w:hAnsi="仿宋" w:eastAsia="仿宋" w:cs="楷体"/>
                <w:color w:val="auto"/>
                <w:szCs w:val="21"/>
                <w:highlight w:val="none"/>
              </w:rPr>
              <w:t>磋商供应商磋商响应文件符合竞争性磋商文件中规定的其他实质性要求；</w:t>
            </w:r>
          </w:p>
        </w:tc>
      </w:tr>
    </w:tbl>
    <w:p>
      <w:pPr>
        <w:tabs>
          <w:tab w:val="left" w:pos="1080"/>
          <w:tab w:val="left" w:pos="1155"/>
        </w:tabs>
        <w:spacing w:line="360" w:lineRule="auto"/>
        <w:rPr>
          <w:rFonts w:ascii="仿宋" w:hAnsi="仿宋" w:eastAsia="仿宋" w:cs="楷体"/>
          <w:color w:val="auto"/>
          <w:szCs w:val="21"/>
          <w:highlight w:val="none"/>
        </w:rPr>
      </w:pPr>
    </w:p>
    <w:p>
      <w:pPr>
        <w:tabs>
          <w:tab w:val="left" w:pos="1080"/>
          <w:tab w:val="left" w:pos="1155"/>
        </w:tabs>
        <w:spacing w:line="360" w:lineRule="auto"/>
        <w:ind w:firstLine="210" w:firstLineChars="100"/>
        <w:rPr>
          <w:rFonts w:ascii="仿宋" w:hAnsi="仿宋" w:eastAsia="仿宋" w:cs="楷体"/>
          <w:color w:val="auto"/>
          <w:szCs w:val="21"/>
          <w:highlight w:val="none"/>
        </w:rPr>
      </w:pPr>
      <w:r>
        <w:rPr>
          <w:rFonts w:hint="eastAsia" w:ascii="仿宋" w:hAnsi="仿宋" w:eastAsia="仿宋" w:cs="楷体"/>
          <w:color w:val="auto"/>
          <w:szCs w:val="21"/>
          <w:highlight w:val="none"/>
        </w:rPr>
        <w:t>3.3、若前款3.1条或3.2条有1项不合格，评审不予通过，作为未实质性响应竞争性磋商文件，按无效标处理。</w:t>
      </w:r>
    </w:p>
    <w:p>
      <w:pPr>
        <w:tabs>
          <w:tab w:val="left" w:pos="1080"/>
          <w:tab w:val="left" w:pos="1155"/>
        </w:tabs>
        <w:spacing w:line="360" w:lineRule="auto"/>
        <w:ind w:firstLine="210" w:firstLineChars="100"/>
        <w:rPr>
          <w:rFonts w:ascii="仿宋" w:hAnsi="仿宋" w:eastAsia="仿宋" w:cs="楷体"/>
          <w:color w:val="auto"/>
          <w:szCs w:val="21"/>
          <w:highlight w:val="none"/>
        </w:rPr>
      </w:pPr>
      <w:r>
        <w:rPr>
          <w:rFonts w:hint="eastAsia" w:ascii="仿宋" w:hAnsi="仿宋" w:eastAsia="仿宋" w:cs="楷体"/>
          <w:color w:val="auto"/>
          <w:szCs w:val="21"/>
          <w:highlight w:val="none"/>
        </w:rPr>
        <w:t>3.4、磋商小组通过上述评审，确定入围磋商供应商名单，只有入围的磋商供应商才能进入后续评审环节。</w:t>
      </w:r>
    </w:p>
    <w:p>
      <w:pPr>
        <w:spacing w:before="156" w:beforeLines="50" w:after="156" w:afterLines="50"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4、磋商响应文件的澄清</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4.1、磋商小组在对磋商响应文件的有效性、完整性和响应程度进行符合性审查时，可以要求磋商供应商对磋商响应文件中非实质性等有关问题作出必要的澄清、说明或者更正。非实质性偏离是指磋商供应商磋商响应文件在实质上响应竞争性磋商文件的要求，但在个别地方存在一些不规则、不一致、不完整的内容，并且澄清、说明或者补正这些内容不会改变磋商响应文件的实质性内容。以下情况属于非实质性偏离：</w:t>
      </w:r>
    </w:p>
    <w:p>
      <w:pPr>
        <w:spacing w:line="360" w:lineRule="auto"/>
        <w:ind w:firstLine="210" w:firstLineChars="100"/>
        <w:rPr>
          <w:rFonts w:ascii="仿宋" w:hAnsi="仿宋" w:eastAsia="仿宋" w:cs="楷体"/>
          <w:color w:val="auto"/>
          <w:szCs w:val="21"/>
          <w:highlight w:val="none"/>
        </w:rPr>
      </w:pPr>
      <w:r>
        <w:rPr>
          <w:rFonts w:hint="eastAsia" w:ascii="仿宋" w:hAnsi="仿宋" w:eastAsia="仿宋" w:cs="楷体"/>
          <w:color w:val="auto"/>
          <w:szCs w:val="21"/>
          <w:highlight w:val="none"/>
        </w:rPr>
        <w:t>4.1.1、文字表述的内容含义不明确；</w:t>
      </w:r>
    </w:p>
    <w:p>
      <w:pPr>
        <w:spacing w:line="360" w:lineRule="auto"/>
        <w:ind w:firstLine="210" w:firstLineChars="100"/>
        <w:rPr>
          <w:rFonts w:ascii="仿宋" w:hAnsi="仿宋" w:eastAsia="仿宋" w:cs="楷体"/>
          <w:color w:val="auto"/>
          <w:szCs w:val="21"/>
          <w:highlight w:val="none"/>
        </w:rPr>
      </w:pPr>
      <w:r>
        <w:rPr>
          <w:rFonts w:hint="eastAsia" w:ascii="仿宋" w:hAnsi="仿宋" w:eastAsia="仿宋" w:cs="楷体"/>
          <w:color w:val="auto"/>
          <w:szCs w:val="21"/>
          <w:highlight w:val="none"/>
        </w:rPr>
        <w:t>4.1.2、同类问题表述不一致；</w:t>
      </w:r>
    </w:p>
    <w:p>
      <w:pPr>
        <w:spacing w:line="360" w:lineRule="auto"/>
        <w:ind w:firstLine="210" w:firstLineChars="100"/>
        <w:rPr>
          <w:rFonts w:ascii="仿宋" w:hAnsi="仿宋" w:eastAsia="仿宋" w:cs="楷体"/>
          <w:color w:val="auto"/>
          <w:szCs w:val="21"/>
          <w:highlight w:val="none"/>
        </w:rPr>
      </w:pPr>
      <w:r>
        <w:rPr>
          <w:rFonts w:hint="eastAsia" w:ascii="仿宋" w:hAnsi="仿宋" w:eastAsia="仿宋" w:cs="楷体"/>
          <w:color w:val="auto"/>
          <w:szCs w:val="21"/>
          <w:highlight w:val="none"/>
        </w:rPr>
        <w:t>4.1.3、有明显文字和计算错误；</w:t>
      </w:r>
    </w:p>
    <w:p>
      <w:pPr>
        <w:spacing w:line="360" w:lineRule="auto"/>
        <w:ind w:firstLine="210" w:firstLineChars="100"/>
        <w:rPr>
          <w:rFonts w:ascii="仿宋" w:hAnsi="仿宋" w:eastAsia="仿宋" w:cs="楷体"/>
          <w:color w:val="auto"/>
          <w:szCs w:val="21"/>
          <w:highlight w:val="none"/>
        </w:rPr>
      </w:pPr>
      <w:r>
        <w:rPr>
          <w:rFonts w:hint="eastAsia" w:ascii="仿宋" w:hAnsi="仿宋" w:eastAsia="仿宋" w:cs="楷体"/>
          <w:color w:val="auto"/>
          <w:szCs w:val="21"/>
          <w:highlight w:val="none"/>
        </w:rPr>
        <w:t>4.1.4、提供的技术信息和数据资料不完整；</w:t>
      </w:r>
    </w:p>
    <w:p>
      <w:pPr>
        <w:spacing w:line="360" w:lineRule="auto"/>
        <w:ind w:firstLine="210" w:firstLineChars="100"/>
        <w:rPr>
          <w:rFonts w:ascii="仿宋" w:hAnsi="仿宋" w:eastAsia="仿宋" w:cs="楷体"/>
          <w:color w:val="auto"/>
          <w:szCs w:val="21"/>
          <w:highlight w:val="none"/>
        </w:rPr>
      </w:pPr>
      <w:r>
        <w:rPr>
          <w:rFonts w:hint="eastAsia" w:ascii="仿宋" w:hAnsi="仿宋" w:eastAsia="仿宋" w:cs="楷体"/>
          <w:color w:val="auto"/>
          <w:szCs w:val="21"/>
          <w:highlight w:val="none"/>
        </w:rPr>
        <w:t>4.1.5、磋商响应文件未按竞争性磋商文件要求进行编制目录、页码；</w:t>
      </w:r>
    </w:p>
    <w:p>
      <w:pPr>
        <w:spacing w:line="360" w:lineRule="auto"/>
        <w:ind w:firstLine="210" w:firstLineChars="100"/>
        <w:rPr>
          <w:rFonts w:ascii="仿宋" w:hAnsi="仿宋" w:eastAsia="仿宋" w:cs="楷体"/>
          <w:color w:val="auto"/>
          <w:szCs w:val="21"/>
          <w:highlight w:val="none"/>
        </w:rPr>
      </w:pPr>
      <w:r>
        <w:rPr>
          <w:rFonts w:hint="eastAsia" w:ascii="仿宋" w:hAnsi="仿宋" w:eastAsia="仿宋" w:cs="楷体"/>
          <w:color w:val="auto"/>
          <w:szCs w:val="21"/>
          <w:highlight w:val="none"/>
        </w:rPr>
        <w:t>4.1.6、磋商小组认定的其他非实质性偏离。</w:t>
      </w:r>
    </w:p>
    <w:p>
      <w:pPr>
        <w:spacing w:line="360" w:lineRule="auto"/>
        <w:ind w:firstLine="210" w:firstLineChars="100"/>
        <w:rPr>
          <w:rFonts w:ascii="仿宋" w:hAnsi="仿宋" w:eastAsia="仿宋" w:cs="楷体"/>
          <w:color w:val="auto"/>
          <w:szCs w:val="21"/>
          <w:highlight w:val="none"/>
        </w:rPr>
      </w:pPr>
      <w:r>
        <w:rPr>
          <w:rFonts w:hint="eastAsia" w:ascii="仿宋" w:hAnsi="仿宋" w:eastAsia="仿宋" w:cs="楷体"/>
          <w:color w:val="auto"/>
          <w:szCs w:val="21"/>
          <w:highlight w:val="none"/>
        </w:rPr>
        <w:t>4.1.7、磋商响应文件有上述4.1.1-4.1.6情形之一的，磋商小组应当书面要求磋商供应商在规定的时间内予以澄清、说明或补正。磋商供应商有关澄清、说明或者更正不得超出磋商响应文件的范围或者改变磋商响应文件的实质性内容。磋商供应商必须按照磋商小组通知的内容和时间作出书面答复，有关澄清、说明或者更正应以书面形式提交，并由法定代表人或其被授权委托代理人签字；磋商供应商拒不按照要求或不在规定的时间内进行澄清、说明，磋商小组将根据其磋商响应文件按最大风险进行评审。磋商小组不接受磋商供应商主动提出的澄清、说明。</w:t>
      </w:r>
    </w:p>
    <w:p>
      <w:pPr>
        <w:spacing w:line="360" w:lineRule="auto"/>
        <w:ind w:firstLine="210" w:firstLineChars="100"/>
        <w:rPr>
          <w:rFonts w:ascii="仿宋" w:hAnsi="仿宋" w:eastAsia="仿宋" w:cs="楷体"/>
          <w:color w:val="auto"/>
          <w:szCs w:val="21"/>
          <w:highlight w:val="none"/>
        </w:rPr>
      </w:pPr>
      <w:r>
        <w:rPr>
          <w:rFonts w:hint="eastAsia" w:ascii="仿宋" w:hAnsi="仿宋" w:eastAsia="仿宋" w:cs="楷体"/>
          <w:color w:val="auto"/>
          <w:szCs w:val="21"/>
          <w:highlight w:val="none"/>
        </w:rPr>
        <w:t>4.2、有效的书面澄清材料，是磋商供应商磋商响应文件的补充材料，成为磋商供应商磋商响应文件的组成部分。</w:t>
      </w:r>
    </w:p>
    <w:p>
      <w:pPr>
        <w:spacing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5、磋商</w:t>
      </w:r>
    </w:p>
    <w:p>
      <w:pPr>
        <w:spacing w:line="360" w:lineRule="auto"/>
        <w:ind w:firstLine="210" w:firstLineChars="100"/>
        <w:rPr>
          <w:rFonts w:ascii="仿宋" w:hAnsi="仿宋" w:eastAsia="仿宋" w:cs="楷体"/>
          <w:color w:val="auto"/>
          <w:szCs w:val="21"/>
          <w:highlight w:val="none"/>
        </w:rPr>
      </w:pPr>
      <w:r>
        <w:rPr>
          <w:rFonts w:hint="eastAsia" w:ascii="仿宋" w:hAnsi="仿宋" w:eastAsia="仿宋" w:cs="楷体"/>
          <w:color w:val="auto"/>
          <w:szCs w:val="21"/>
          <w:highlight w:val="none"/>
        </w:rPr>
        <w:t>5.1、磋商方式：</w:t>
      </w:r>
    </w:p>
    <w:p>
      <w:pPr>
        <w:spacing w:line="360" w:lineRule="auto"/>
        <w:ind w:firstLine="420" w:firstLineChars="200"/>
        <w:rPr>
          <w:rFonts w:ascii="仿宋" w:hAnsi="仿宋" w:eastAsia="仿宋" w:cs="楷体"/>
          <w:color w:val="auto"/>
          <w:kern w:val="0"/>
          <w:szCs w:val="21"/>
          <w:highlight w:val="none"/>
        </w:rPr>
      </w:pPr>
      <w:r>
        <w:rPr>
          <w:rFonts w:hint="eastAsia" w:ascii="仿宋" w:hAnsi="仿宋" w:eastAsia="仿宋" w:cs="楷体"/>
          <w:color w:val="auto"/>
          <w:kern w:val="0"/>
          <w:szCs w:val="21"/>
          <w:highlight w:val="none"/>
        </w:rPr>
        <w:t>5.1.1、对资格性检查和符合性检查合格的供应商，即入围供应商，进入本次磋商程序。</w:t>
      </w:r>
    </w:p>
    <w:p>
      <w:pPr>
        <w:spacing w:line="360" w:lineRule="auto"/>
        <w:ind w:firstLine="420" w:firstLineChars="200"/>
        <w:rPr>
          <w:rFonts w:ascii="仿宋" w:hAnsi="仿宋" w:eastAsia="仿宋" w:cs="楷体"/>
          <w:color w:val="auto"/>
          <w:kern w:val="0"/>
          <w:szCs w:val="21"/>
          <w:highlight w:val="none"/>
        </w:rPr>
      </w:pPr>
      <w:r>
        <w:rPr>
          <w:rFonts w:hint="eastAsia" w:ascii="仿宋" w:hAnsi="仿宋" w:eastAsia="仿宋" w:cs="楷体"/>
          <w:color w:val="auto"/>
          <w:kern w:val="0"/>
          <w:szCs w:val="21"/>
          <w:highlight w:val="none"/>
        </w:rPr>
        <w:t>5.1.2、在磋商期间，供应商法定代表人或其授权委托人参加磋商。</w:t>
      </w:r>
    </w:p>
    <w:p>
      <w:pPr>
        <w:spacing w:line="360" w:lineRule="auto"/>
        <w:ind w:firstLine="420" w:firstLineChars="200"/>
        <w:rPr>
          <w:rFonts w:ascii="仿宋" w:hAnsi="仿宋" w:eastAsia="仿宋" w:cs="楷体"/>
          <w:color w:val="auto"/>
          <w:kern w:val="0"/>
          <w:szCs w:val="21"/>
          <w:highlight w:val="none"/>
        </w:rPr>
      </w:pPr>
      <w:r>
        <w:rPr>
          <w:rFonts w:hint="eastAsia" w:ascii="仿宋" w:hAnsi="仿宋" w:eastAsia="仿宋" w:cs="楷体"/>
          <w:color w:val="auto"/>
          <w:kern w:val="0"/>
          <w:szCs w:val="21"/>
          <w:highlight w:val="none"/>
        </w:rPr>
        <w:t>5.1.3、磋商小组通过随机方式确定参加磋商供应商的磋商顺序，所有成员集中与单一供应商按照顺序分别进行磋商，并给予所有参加磋商的供应商平等的磋商机会。在磋商中，磋商的任何一方不得透露与磋商有关的其他供应商的技术资料、价格和其他信息。</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kern w:val="0"/>
          <w:szCs w:val="21"/>
          <w:highlight w:val="none"/>
        </w:rPr>
        <w:t>5.1.4、技术磋商。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新提交的响应文件未通过符合性审查的，不得进入商务磋商，也不得要求提交最后报价。</w:t>
      </w:r>
    </w:p>
    <w:p>
      <w:pPr>
        <w:spacing w:line="360" w:lineRule="auto"/>
        <w:ind w:firstLine="420" w:firstLineChars="200"/>
        <w:rPr>
          <w:rFonts w:ascii="仿宋" w:hAnsi="仿宋" w:eastAsia="仿宋" w:cs="楷体"/>
          <w:color w:val="auto"/>
          <w:kern w:val="0"/>
          <w:szCs w:val="21"/>
          <w:highlight w:val="none"/>
        </w:rPr>
      </w:pPr>
      <w:r>
        <w:rPr>
          <w:rFonts w:hint="eastAsia" w:ascii="仿宋" w:hAnsi="仿宋" w:eastAsia="仿宋" w:cs="楷体"/>
          <w:color w:val="auto"/>
          <w:szCs w:val="21"/>
          <w:highlight w:val="none"/>
        </w:rPr>
        <w:t>5.1.5、商务磋商。技术磋商结束后，进行商务磋商</w:t>
      </w:r>
      <w:r>
        <w:rPr>
          <w:rFonts w:hint="eastAsia" w:ascii="仿宋" w:hAnsi="仿宋" w:eastAsia="仿宋" w:cs="楷体"/>
          <w:color w:val="auto"/>
          <w:kern w:val="0"/>
          <w:szCs w:val="21"/>
          <w:highlight w:val="none"/>
        </w:rPr>
        <w:t>。磋商文件能够详细列明采购标的的技术、服务要求的，磋商小组应当要求所有实质性响应的供应商在规定时间内提交最后报价，提交最后报价的供应商不得少于3家；磋商文件不能详细列明采购标的的技术、服务要求，需经磋商由供应商提供最终设计方案或解决方案的，磋商小组应当按照少数服从多数的原则投票推荐3家以上供应商的设计方案或者解决方案，并要求其在规定时间内提交最后报价。最后报价是供应商响应文件的有效组成部分。</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5.1.6、已提交响应文件的供应商，在提交最后报价之前，可以根据磋商情况退出磋商，采购代理机构应当退还其磋商保证金。</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5.2、磋商步骤：</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5.2.1、第一轮磋商。对进入第一轮磋商的供应商再次进行评审、质疑和澄清。在此阶段，磋商小组依据参加磋商的供应商递交的响应文件进行技术和商务磋商，磋商小组可根据实际需要提出方案和技术参数要求，与单一供应商分别进行磋商，并给予所有参加磋商的供应商平等的磋商机会。要求参加磋商的供应商重新承诺技术参数和第二次商务总报价，以满足采购人的最大需求。</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5.2.2、第二轮磋商。对第一轮磋商结果不满意，磋商小组可以再次要求参加磋商的供应商进行第二轮磋商，磋商内容及要求与第一轮磋商相同。</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5.2.3、每轮磋商结束后，磋商小组对磋商情况进行讨论，综合考虑供应商提供的技术参数和性价比，有权对技术参数最差供应商或性价比最低的供应商进行淘汰，并将淘汰理由写入评审报告。</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5.2.4、磋商小组应在最后一轮磋商前告知所有符合磋商的供应商是否是最后一次磋商环节。</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5.2.5、最后一轮结束后，磋商小组将对进入最后一轮的供应商进行综合评分。</w:t>
      </w:r>
    </w:p>
    <w:p>
      <w:pPr>
        <w:spacing w:before="156" w:beforeLines="50" w:after="156" w:afterLines="50" w:line="360"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6、磋商响应文件详细评审</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6.1、</w:t>
      </w:r>
      <w:r>
        <w:rPr>
          <w:rFonts w:hint="eastAsia" w:ascii="仿宋" w:hAnsi="仿宋" w:eastAsia="仿宋" w:cs="楷体"/>
          <w:color w:val="auto"/>
          <w:kern w:val="1"/>
          <w:szCs w:val="21"/>
          <w:highlight w:val="none"/>
        </w:rPr>
        <w:t>比较与评价。磋商小组应当按照磋商文件中规定的评审方法和标准，只对资格审查和符合性审查合格的响应文件进行商务和技术评估，综合比较与评价，不合格的不再参与评审。</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6.2、评审因素的设定与供应商所提供货物服务的质量相关，包括报价、技术或者服务水平、履约能力、售后服务等。资格条件不作为评审因素。综合评分法评审标准中的分值设置与评审因素的量化指标相对应。竞争性磋商文件中没有规定的评审标准不得作为评审依据。</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6.3、由磋商小组成员独立地根据各项因素的评分标准，结合各磋商供应商的实际情况，分别就报价以外的各项评审因素对各磋商供应商独立评审赋分。</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6.4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6.5、磋商小组成员对需要共同认定的事项存在争议的，应当按照少数服从多数的原则做出结论。持不同意见的磋商小组成员应当在评审报告上签署不同意见及理由，否则视为同意评审报告。</w:t>
      </w:r>
    </w:p>
    <w:p>
      <w:pPr>
        <w:spacing w:before="156" w:beforeLines="50" w:after="156" w:afterLines="50" w:line="360" w:lineRule="auto"/>
        <w:rPr>
          <w:rFonts w:ascii="仿宋" w:hAnsi="仿宋" w:eastAsia="仿宋" w:cs="楷体"/>
          <w:b/>
          <w:color w:val="auto"/>
          <w:sz w:val="28"/>
          <w:szCs w:val="28"/>
          <w:highlight w:val="none"/>
        </w:rPr>
      </w:pPr>
      <w:r>
        <w:rPr>
          <w:rFonts w:hint="eastAsia" w:ascii="仿宋" w:hAnsi="仿宋" w:eastAsia="仿宋" w:cs="楷体"/>
          <w:b/>
          <w:color w:val="auto"/>
          <w:sz w:val="28"/>
          <w:szCs w:val="28"/>
          <w:highlight w:val="none"/>
        </w:rPr>
        <w:t>三、评审细则及标准</w:t>
      </w:r>
    </w:p>
    <w:p>
      <w:pPr>
        <w:spacing w:line="360" w:lineRule="auto"/>
        <w:rPr>
          <w:rFonts w:ascii="仿宋" w:hAnsi="仿宋" w:eastAsia="仿宋" w:cs="楷体"/>
          <w:b/>
          <w:color w:val="auto"/>
          <w:kern w:val="1"/>
          <w:szCs w:val="21"/>
          <w:highlight w:val="none"/>
        </w:rPr>
      </w:pPr>
      <w:r>
        <w:rPr>
          <w:rFonts w:hint="eastAsia" w:ascii="仿宋" w:hAnsi="仿宋" w:eastAsia="仿宋" w:cs="楷体"/>
          <w:b/>
          <w:color w:val="auto"/>
          <w:kern w:val="1"/>
          <w:szCs w:val="21"/>
          <w:highlight w:val="none"/>
        </w:rPr>
        <w:t>7、综合评分法</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7.1、本采购项目评审方法采用综合评分法。即磋商响应文件能够最大限度的满足竞争性磋商文件规定的各项综合评分标准，且经评审得分最高的磋商供应商为中标候选人。</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7.2、综合评分法评审标准中的分值设置应当与评审因素的量化指标相对应。竞争性磋商文件中没有规定的评审标准不得作为评审依据。</w:t>
      </w:r>
    </w:p>
    <w:p>
      <w:pPr>
        <w:widowControl/>
        <w:autoSpaceDE w:val="0"/>
        <w:autoSpaceDN w:val="0"/>
        <w:spacing w:before="156" w:beforeLines="50" w:after="156" w:afterLines="50" w:line="360" w:lineRule="auto"/>
        <w:ind w:right="51"/>
        <w:textAlignment w:val="bottom"/>
        <w:rPr>
          <w:rFonts w:ascii="仿宋" w:hAnsi="仿宋" w:eastAsia="仿宋" w:cs="楷体"/>
          <w:b/>
          <w:color w:val="auto"/>
          <w:szCs w:val="21"/>
          <w:highlight w:val="none"/>
        </w:rPr>
      </w:pPr>
      <w:r>
        <w:rPr>
          <w:rFonts w:hint="eastAsia" w:ascii="仿宋" w:hAnsi="仿宋" w:eastAsia="仿宋" w:cs="楷体"/>
          <w:b/>
          <w:color w:val="auto"/>
          <w:szCs w:val="21"/>
          <w:highlight w:val="none"/>
        </w:rPr>
        <w:t>8.评审细则及标准</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8.1、磋商小组将综合分析磋商供应商的各项评审因素，而不以单项评审因素的优劣评选出成交供应商。对所有磋商供应商的响应评估，都采用相同的程序和标准，严格按照竞争性磋商文件的要求和条件进行。</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8.2、评审因素包括：报价、技术、商务及对竞争性磋商文件的响应程度。</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8.3、全部符合政策优惠条件的（即小微企业自身生产或中小企业代理的小微企业生产的产品），报价按下列公示计算：磋商报价=报价×（1-6%）</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8.4、小型和微型企业磋商报价折扣幅度标准：</w:t>
      </w:r>
    </w:p>
    <w:p>
      <w:pPr>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8.4.1、对小型、微型企业提供产品的磋商报价给予6%折扣。</w:t>
      </w:r>
    </w:p>
    <w:p>
      <w:pPr>
        <w:tabs>
          <w:tab w:val="left" w:pos="1575"/>
        </w:tabs>
        <w:spacing w:line="360" w:lineRule="auto"/>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8.4.2、小、微企业提供本企业生产的产品或中小型企业（代理商）代理的小、微企业生产的产品享受磋商报价折扣条件；中小型企业（代理商）代理的中型及以上企业生产的产品不享受磋商报价折扣条件。</w:t>
      </w:r>
    </w:p>
    <w:p>
      <w:pPr>
        <w:tabs>
          <w:tab w:val="left" w:pos="1575"/>
        </w:tabs>
        <w:spacing w:line="360" w:lineRule="auto"/>
        <w:ind w:firstLine="422" w:firstLineChars="200"/>
        <w:rPr>
          <w:rFonts w:ascii="仿宋" w:hAnsi="仿宋" w:eastAsia="仿宋" w:cs="楷体"/>
          <w:b/>
          <w:bCs/>
          <w:color w:val="auto"/>
          <w:kern w:val="1"/>
          <w:szCs w:val="21"/>
          <w:highlight w:val="none"/>
        </w:rPr>
      </w:pPr>
      <w:r>
        <w:rPr>
          <w:rFonts w:hint="eastAsia" w:ascii="仿宋" w:hAnsi="仿宋" w:eastAsia="仿宋" w:cs="楷体"/>
          <w:b/>
          <w:bCs/>
          <w:color w:val="auto"/>
          <w:kern w:val="1"/>
          <w:szCs w:val="21"/>
          <w:highlight w:val="none"/>
        </w:rPr>
        <w:t>8.5、评审要素一览表如下：</w:t>
      </w:r>
    </w:p>
    <w:tbl>
      <w:tblPr>
        <w:tblStyle w:val="1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6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6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评分因素</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及分值</w:t>
            </w:r>
          </w:p>
        </w:tc>
        <w:tc>
          <w:tcPr>
            <w:tcW w:w="63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trPr>
        <w:tc>
          <w:tcPr>
            <w:tcW w:w="26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报价得分</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（20分）</w:t>
            </w:r>
          </w:p>
        </w:tc>
        <w:tc>
          <w:tcPr>
            <w:tcW w:w="63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rPr>
                <w:rFonts w:hint="default"/>
                <w:color w:val="auto"/>
                <w:highlight w:val="none"/>
              </w:rPr>
            </w:pPr>
            <w:r>
              <w:rPr>
                <w:rFonts w:hint="eastAsia"/>
                <w:color w:val="auto"/>
                <w:highlight w:val="none"/>
              </w:rPr>
              <w:t>满足招标文件要求且投标价格最低的投标报价为评标基准价，其价格分为满分。其他投标供应商的价格分统一按照下列公式计算：投标报价得分=（评标基准价/投标报价）×20%×100。</w:t>
            </w:r>
          </w:p>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color w:val="auto"/>
                <w:highlight w:val="none"/>
              </w:rPr>
              <w:t>按照财政部财库【2007】2号、【2020】46号、【2014】68号、【2006】90号、【2017】141文件的有关规定，对小型、微型企业、监狱企业、残疾人福利性单位产品价格给予6%的扣除，用扣除后的价格参与评审。对国家认定的节能环保产品给予价格评标总分值4%的加分。同时符合多项扶持政策的，价格扣除和加分因素可以叠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1129"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商务部分</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（2</w:t>
            </w:r>
            <w:r>
              <w:rPr>
                <w:rFonts w:hint="eastAsia" w:ascii="仿宋" w:hAnsi="仿宋" w:eastAsia="仿宋" w:cs="楷体"/>
                <w:color w:val="auto"/>
                <w:szCs w:val="21"/>
                <w:highlight w:val="none"/>
                <w:lang w:val="en-US" w:eastAsia="zh-CN"/>
              </w:rPr>
              <w:t>0</w:t>
            </w:r>
            <w:r>
              <w:rPr>
                <w:rFonts w:hint="eastAsia" w:ascii="仿宋" w:hAnsi="仿宋" w:eastAsia="仿宋" w:cs="楷体"/>
                <w:color w:val="auto"/>
                <w:szCs w:val="21"/>
                <w:highlight w:val="none"/>
              </w:rPr>
              <w:t>分）</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业绩证明</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（6分）</w:t>
            </w:r>
          </w:p>
        </w:tc>
        <w:tc>
          <w:tcPr>
            <w:tcW w:w="63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供应商</w:t>
            </w:r>
            <w:r>
              <w:rPr>
                <w:rFonts w:hint="eastAsia" w:ascii="仿宋" w:hAnsi="仿宋" w:eastAsia="仿宋" w:cs="楷体"/>
                <w:color w:val="auto"/>
                <w:szCs w:val="21"/>
                <w:highlight w:val="none"/>
                <w:lang w:eastAsia="zh-CN"/>
              </w:rPr>
              <w:t>具有自然灾害风险普查业绩的，</w:t>
            </w:r>
            <w:r>
              <w:rPr>
                <w:rFonts w:hint="eastAsia" w:ascii="仿宋" w:hAnsi="仿宋" w:eastAsia="仿宋" w:cs="楷体"/>
                <w:color w:val="auto"/>
                <w:szCs w:val="21"/>
                <w:highlight w:val="none"/>
              </w:rPr>
              <w:t>每提供一份得2.0分，最高得6.0分；</w:t>
            </w:r>
          </w:p>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ascii="仿宋" w:hAnsi="仿宋" w:eastAsia="仿宋" w:cs="楷体"/>
                <w:b/>
                <w:bCs/>
                <w:color w:val="auto"/>
                <w:szCs w:val="21"/>
                <w:highlight w:val="none"/>
              </w:rPr>
              <w:t>注：业绩须是磋商供应商完成的同类项目，以成交通知书或协议书（合同）</w:t>
            </w:r>
            <w:r>
              <w:rPr>
                <w:rFonts w:hint="eastAsia" w:ascii="仿宋" w:hAnsi="仿宋" w:eastAsia="仿宋" w:cs="楷体"/>
                <w:b/>
                <w:bCs/>
                <w:color w:val="auto"/>
                <w:kern w:val="2"/>
                <w:sz w:val="21"/>
                <w:szCs w:val="21"/>
                <w:highlight w:val="none"/>
                <w:u w:val="none"/>
                <w:lang w:val="en-US" w:eastAsia="zh-CN" w:bidi="ar-SA"/>
              </w:rPr>
              <w:t>通知书复印件加盖公章</w:t>
            </w:r>
            <w:r>
              <w:rPr>
                <w:rFonts w:hint="eastAsia" w:ascii="仿宋" w:hAnsi="仿宋" w:eastAsia="仿宋" w:cs="楷体"/>
                <w:b/>
                <w:bCs/>
                <w:color w:val="auto"/>
                <w:szCs w:val="21"/>
                <w:highlight w:val="none"/>
              </w:rPr>
              <w:t>为准</w:t>
            </w:r>
            <w:r>
              <w:rPr>
                <w:rFonts w:hint="eastAsia" w:ascii="仿宋" w:hAnsi="仿宋" w:eastAsia="仿宋" w:cs="楷体"/>
                <w:b/>
                <w:bCs/>
                <w:color w:val="auto"/>
                <w:szCs w:val="21"/>
                <w:highlight w:val="none"/>
                <w:lang w:eastAsia="zh-CN"/>
              </w:rPr>
              <w:t>，</w:t>
            </w:r>
            <w:r>
              <w:rPr>
                <w:rFonts w:hint="eastAsia" w:ascii="仿宋" w:hAnsi="仿宋" w:eastAsia="仿宋" w:cs="楷体"/>
                <w:b/>
                <w:bCs/>
                <w:color w:val="auto"/>
                <w:szCs w:val="21"/>
                <w:highlight w:val="none"/>
                <w:lang w:val="en-US" w:eastAsia="zh-CN"/>
              </w:rPr>
              <w:t>没有或不能提供上述材料的不得分。</w:t>
            </w:r>
            <w:r>
              <w:rPr>
                <w:rFonts w:hint="eastAsia" w:ascii="仿宋" w:hAnsi="仿宋" w:eastAsia="仿宋" w:cs="楷体"/>
                <w:b/>
                <w:bCs/>
                <w:color w:val="auto"/>
                <w:szCs w:val="21"/>
                <w:highlight w:val="none"/>
              </w:rPr>
              <w:t xml:space="preserve">    </w:t>
            </w:r>
            <w:r>
              <w:rPr>
                <w:rFonts w:hint="eastAsia" w:ascii="仿宋" w:hAnsi="仿宋" w:eastAsia="仿宋" w:cs="楷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129"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项目实施</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人员配备</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w:t>
            </w:r>
            <w:r>
              <w:rPr>
                <w:rFonts w:hint="eastAsia" w:ascii="仿宋" w:hAnsi="仿宋" w:eastAsia="仿宋" w:cs="楷体"/>
                <w:color w:val="auto"/>
                <w:szCs w:val="21"/>
                <w:highlight w:val="none"/>
                <w:lang w:val="en-US" w:eastAsia="zh-CN"/>
              </w:rPr>
              <w:t>8</w:t>
            </w:r>
            <w:r>
              <w:rPr>
                <w:rFonts w:hint="eastAsia" w:ascii="仿宋" w:hAnsi="仿宋" w:eastAsia="仿宋" w:cs="楷体"/>
                <w:color w:val="auto"/>
                <w:szCs w:val="21"/>
                <w:highlight w:val="none"/>
              </w:rPr>
              <w:t>分）</w:t>
            </w:r>
          </w:p>
        </w:tc>
        <w:tc>
          <w:tcPr>
            <w:tcW w:w="63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lang w:val="en-US" w:eastAsia="zh-CN"/>
              </w:rPr>
              <w:t>供应商</w:t>
            </w:r>
            <w:r>
              <w:rPr>
                <w:rFonts w:hint="eastAsia" w:ascii="仿宋" w:hAnsi="仿宋" w:eastAsia="仿宋" w:cs="楷体"/>
                <w:color w:val="auto"/>
                <w:szCs w:val="21"/>
                <w:highlight w:val="none"/>
              </w:rPr>
              <w:t>拟投项目人员的配备齐全，明确合理，能够按照磋商文件要求完成并验收。</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lang w:val="en-US" w:eastAsia="zh-CN"/>
              </w:rPr>
              <w:t>1、</w:t>
            </w:r>
            <w:r>
              <w:rPr>
                <w:rFonts w:hint="eastAsia" w:ascii="仿宋" w:hAnsi="仿宋" w:eastAsia="仿宋" w:cs="楷体"/>
                <w:color w:val="auto"/>
                <w:szCs w:val="21"/>
                <w:highlight w:val="none"/>
              </w:rPr>
              <w:t>科学合理、可行、全面</w:t>
            </w:r>
            <w:r>
              <w:rPr>
                <w:rFonts w:hint="eastAsia" w:ascii="仿宋" w:hAnsi="仿宋" w:eastAsia="仿宋" w:cs="楷体"/>
                <w:color w:val="auto"/>
                <w:szCs w:val="21"/>
                <w:highlight w:val="none"/>
                <w:lang w:eastAsia="zh-CN"/>
              </w:rPr>
              <w:t>，</w:t>
            </w:r>
            <w:r>
              <w:rPr>
                <w:rFonts w:hint="eastAsia" w:ascii="仿宋" w:hAnsi="仿宋" w:eastAsia="仿宋" w:cs="楷体"/>
                <w:color w:val="auto"/>
                <w:szCs w:val="21"/>
                <w:highlight w:val="none"/>
              </w:rPr>
              <w:t>计6.1-</w:t>
            </w:r>
            <w:r>
              <w:rPr>
                <w:rFonts w:hint="eastAsia" w:ascii="仿宋" w:hAnsi="仿宋" w:eastAsia="仿宋" w:cs="楷体"/>
                <w:color w:val="auto"/>
                <w:szCs w:val="21"/>
                <w:highlight w:val="none"/>
                <w:lang w:val="en-US" w:eastAsia="zh-CN"/>
              </w:rPr>
              <w:t>8</w:t>
            </w:r>
            <w:r>
              <w:rPr>
                <w:rFonts w:hint="eastAsia" w:ascii="仿宋" w:hAnsi="仿宋" w:eastAsia="仿宋" w:cs="楷体"/>
                <w:color w:val="auto"/>
                <w:szCs w:val="21"/>
                <w:highlight w:val="none"/>
              </w:rPr>
              <w:t>分；</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2、</w:t>
            </w:r>
            <w:r>
              <w:rPr>
                <w:rFonts w:hint="eastAsia" w:ascii="仿宋" w:hAnsi="仿宋" w:eastAsia="仿宋" w:cs="楷体"/>
                <w:color w:val="auto"/>
                <w:szCs w:val="21"/>
                <w:highlight w:val="none"/>
              </w:rPr>
              <w:t>基本合理可行</w:t>
            </w:r>
            <w:r>
              <w:rPr>
                <w:rFonts w:hint="eastAsia" w:ascii="仿宋" w:hAnsi="仿宋" w:eastAsia="仿宋" w:cs="楷体"/>
                <w:color w:val="auto"/>
                <w:szCs w:val="21"/>
                <w:highlight w:val="none"/>
                <w:lang w:eastAsia="zh-CN"/>
              </w:rPr>
              <w:t>，</w:t>
            </w:r>
            <w:r>
              <w:rPr>
                <w:rFonts w:hint="eastAsia" w:ascii="仿宋" w:hAnsi="仿宋" w:eastAsia="仿宋" w:cs="楷体"/>
                <w:color w:val="auto"/>
                <w:szCs w:val="21"/>
                <w:highlight w:val="none"/>
              </w:rPr>
              <w:t>计3.1-6分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3、</w:t>
            </w:r>
            <w:r>
              <w:rPr>
                <w:rFonts w:hint="eastAsia" w:ascii="仿宋" w:hAnsi="仿宋" w:eastAsia="仿宋" w:cs="楷体"/>
                <w:color w:val="auto"/>
                <w:szCs w:val="21"/>
                <w:highlight w:val="none"/>
              </w:rPr>
              <w:t>欠缺、不利于实施</w:t>
            </w:r>
            <w:r>
              <w:rPr>
                <w:rFonts w:hint="eastAsia" w:ascii="仿宋" w:hAnsi="仿宋" w:eastAsia="仿宋" w:cs="楷体"/>
                <w:color w:val="auto"/>
                <w:szCs w:val="21"/>
                <w:highlight w:val="none"/>
                <w:lang w:eastAsia="zh-CN"/>
              </w:rPr>
              <w:t>，</w:t>
            </w:r>
            <w:r>
              <w:rPr>
                <w:rFonts w:hint="eastAsia" w:ascii="仿宋" w:hAnsi="仿宋" w:eastAsia="仿宋" w:cs="楷体"/>
                <w:color w:val="auto"/>
                <w:szCs w:val="21"/>
                <w:highlight w:val="none"/>
              </w:rPr>
              <w:t>计0.1-3分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lang w:val="en-US" w:eastAsia="zh-CN"/>
              </w:rPr>
              <w:t>4、</w:t>
            </w:r>
            <w:r>
              <w:rPr>
                <w:rFonts w:hint="eastAsia" w:ascii="仿宋" w:hAnsi="仿宋" w:eastAsia="仿宋" w:cs="楷体"/>
                <w:color w:val="auto"/>
                <w:szCs w:val="21"/>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29"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eastAsia" w:ascii="仿宋" w:hAnsi="仿宋" w:eastAsia="仿宋" w:cs="楷体"/>
                <w:color w:val="auto"/>
                <w:szCs w:val="21"/>
                <w:highlight w:val="none"/>
              </w:rPr>
            </w:pPr>
            <w:r>
              <w:rPr>
                <w:rFonts w:hint="eastAsia" w:ascii="仿宋" w:hAnsi="仿宋" w:eastAsia="仿宋" w:cs="楷体"/>
                <w:color w:val="auto"/>
                <w:szCs w:val="21"/>
                <w:highlight w:val="none"/>
                <w:lang w:eastAsia="zh-CN"/>
              </w:rPr>
              <w:t>售后</w:t>
            </w:r>
            <w:r>
              <w:rPr>
                <w:rFonts w:hint="eastAsia" w:ascii="仿宋" w:hAnsi="仿宋" w:eastAsia="仿宋" w:cs="楷体"/>
                <w:color w:val="auto"/>
                <w:szCs w:val="21"/>
                <w:highlight w:val="none"/>
              </w:rPr>
              <w:t>服务</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w:t>
            </w:r>
            <w:r>
              <w:rPr>
                <w:rFonts w:hint="eastAsia" w:ascii="仿宋" w:hAnsi="仿宋" w:eastAsia="仿宋" w:cs="楷体"/>
                <w:color w:val="auto"/>
                <w:szCs w:val="21"/>
                <w:highlight w:val="none"/>
                <w:lang w:val="en-US" w:eastAsia="zh-CN"/>
              </w:rPr>
              <w:t>6</w:t>
            </w:r>
            <w:r>
              <w:rPr>
                <w:rFonts w:hint="eastAsia" w:ascii="仿宋" w:hAnsi="仿宋" w:eastAsia="仿宋" w:cs="楷体"/>
                <w:color w:val="auto"/>
                <w:szCs w:val="21"/>
                <w:highlight w:val="none"/>
              </w:rPr>
              <w:t>分）</w:t>
            </w:r>
          </w:p>
        </w:tc>
        <w:tc>
          <w:tcPr>
            <w:tcW w:w="63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val="en-US" w:eastAsia="zh-CN"/>
              </w:rPr>
            </w:pPr>
            <w:r>
              <w:rPr>
                <w:rFonts w:hint="eastAsia" w:ascii="仿宋" w:hAnsi="仿宋" w:eastAsia="仿宋" w:cs="楷体"/>
                <w:color w:val="auto"/>
                <w:szCs w:val="21"/>
                <w:highlight w:val="none"/>
                <w:lang w:val="en-US" w:eastAsia="zh-CN"/>
              </w:rPr>
              <w:t>供应商提供针对本项目拟定的售后服务年限、服务团队、培训计划、日常技术支撑能力等的售后服务方案；</w:t>
            </w:r>
            <w:r>
              <w:rPr>
                <w:rFonts w:hint="eastAsia" w:ascii="仿宋" w:hAnsi="仿宋" w:eastAsia="仿宋" w:cs="楷体"/>
                <w:color w:val="auto"/>
                <w:kern w:val="2"/>
                <w:sz w:val="21"/>
                <w:szCs w:val="21"/>
                <w:highlight w:val="none"/>
                <w:lang w:val="en-US" w:eastAsia="zh-CN" w:bidi="ar-SA"/>
              </w:rPr>
              <w:t>由评标委员会对供应商的方案，酌情给分。</w:t>
            </w:r>
          </w:p>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1、在项目实施及后期交付过程中，质量保证承诺，具有可行性和可信度，根据优劣计1-</w:t>
            </w:r>
            <w:r>
              <w:rPr>
                <w:rFonts w:hint="eastAsia" w:ascii="仿宋" w:hAnsi="仿宋" w:eastAsia="仿宋" w:cs="楷体"/>
                <w:color w:val="auto"/>
                <w:szCs w:val="21"/>
                <w:highlight w:val="none"/>
                <w:lang w:val="en-US" w:eastAsia="zh-CN"/>
              </w:rPr>
              <w:t>3</w:t>
            </w:r>
            <w:r>
              <w:rPr>
                <w:rFonts w:hint="eastAsia" w:ascii="仿宋" w:hAnsi="仿宋" w:eastAsia="仿宋" w:cs="楷体"/>
                <w:color w:val="auto"/>
                <w:szCs w:val="21"/>
                <w:highlight w:val="none"/>
              </w:rPr>
              <w:t>分；</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rPr>
              <w:t>2、有专业的后期服务人员，在当地有专业的服务人员，按其响应程度计1～</w:t>
            </w:r>
            <w:r>
              <w:rPr>
                <w:rFonts w:hint="eastAsia" w:ascii="仿宋" w:hAnsi="仿宋" w:eastAsia="仿宋" w:cs="楷体"/>
                <w:color w:val="auto"/>
                <w:szCs w:val="21"/>
                <w:highlight w:val="none"/>
                <w:lang w:val="en-US" w:eastAsia="zh-CN"/>
              </w:rPr>
              <w:t>3</w:t>
            </w:r>
            <w:r>
              <w:rPr>
                <w:rFonts w:hint="eastAsia" w:ascii="仿宋" w:hAnsi="仿宋" w:eastAsia="仿宋" w:cs="楷体"/>
                <w:color w:val="auto"/>
                <w:szCs w:val="21"/>
                <w:highlight w:val="none"/>
              </w:rPr>
              <w:t>分。</w:t>
            </w:r>
          </w:p>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lang w:val="en-US" w:eastAsia="zh-CN"/>
              </w:rPr>
              <w:t>3、未提供不计分。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129" w:type="dxa"/>
            <w:vMerge w:val="restart"/>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技术部分</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w:t>
            </w:r>
            <w:r>
              <w:rPr>
                <w:rFonts w:hint="eastAsia" w:ascii="仿宋" w:hAnsi="仿宋" w:eastAsia="仿宋" w:cs="楷体"/>
                <w:color w:val="auto"/>
                <w:szCs w:val="21"/>
                <w:highlight w:val="none"/>
                <w:lang w:val="en-US" w:eastAsia="zh-CN"/>
              </w:rPr>
              <w:t>60</w:t>
            </w:r>
            <w:r>
              <w:rPr>
                <w:rFonts w:hint="eastAsia" w:ascii="仿宋" w:hAnsi="仿宋" w:eastAsia="仿宋" w:cs="楷体"/>
                <w:color w:val="auto"/>
                <w:szCs w:val="21"/>
                <w:highlight w:val="none"/>
              </w:rPr>
              <w:t>分）</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技术方案</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w:t>
            </w:r>
            <w:r>
              <w:rPr>
                <w:rFonts w:hint="eastAsia" w:ascii="仿宋" w:hAnsi="仿宋" w:eastAsia="仿宋" w:cs="楷体"/>
                <w:color w:val="auto"/>
                <w:szCs w:val="21"/>
                <w:highlight w:val="none"/>
                <w:lang w:val="en-US" w:eastAsia="zh-CN"/>
              </w:rPr>
              <w:t>20</w:t>
            </w:r>
            <w:r>
              <w:rPr>
                <w:rFonts w:hint="eastAsia" w:ascii="仿宋" w:hAnsi="仿宋" w:eastAsia="仿宋" w:cs="楷体"/>
                <w:color w:val="auto"/>
                <w:szCs w:val="21"/>
                <w:highlight w:val="none"/>
              </w:rPr>
              <w:t>分）</w:t>
            </w:r>
          </w:p>
        </w:tc>
        <w:tc>
          <w:tcPr>
            <w:tcW w:w="63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rPr>
              <w:t>供应商对项目周边自然条件、沿线现状基本情况等方面有深刻认识，技术方案符合项目实际情况，方案合理；</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lang w:val="en-US" w:eastAsia="zh-CN"/>
              </w:rPr>
              <w:t>1、</w:t>
            </w:r>
            <w:r>
              <w:rPr>
                <w:rFonts w:hint="eastAsia" w:ascii="仿宋" w:hAnsi="仿宋" w:eastAsia="仿宋" w:cs="楷体"/>
                <w:color w:val="auto"/>
                <w:szCs w:val="21"/>
                <w:highlight w:val="none"/>
              </w:rPr>
              <w:t>方案科学合理、可行、全面计</w:t>
            </w:r>
            <w:r>
              <w:rPr>
                <w:rFonts w:hint="default" w:ascii="仿宋" w:hAnsi="仿宋" w:eastAsia="仿宋" w:cs="楷体"/>
                <w:color w:val="auto"/>
                <w:szCs w:val="21"/>
                <w:highlight w:val="none"/>
              </w:rPr>
              <w:t>1</w:t>
            </w:r>
            <w:r>
              <w:rPr>
                <w:rFonts w:hint="eastAsia" w:ascii="仿宋" w:hAnsi="仿宋" w:eastAsia="仿宋" w:cs="楷体"/>
                <w:color w:val="auto"/>
                <w:szCs w:val="21"/>
                <w:highlight w:val="none"/>
                <w:lang w:val="en-US" w:eastAsia="zh-CN"/>
              </w:rPr>
              <w:t>2</w:t>
            </w:r>
            <w:r>
              <w:rPr>
                <w:rFonts w:hint="eastAsia" w:ascii="仿宋" w:hAnsi="仿宋" w:eastAsia="仿宋" w:cs="楷体"/>
                <w:color w:val="auto"/>
                <w:szCs w:val="21"/>
                <w:highlight w:val="none"/>
              </w:rPr>
              <w:t>.1-</w:t>
            </w:r>
            <w:r>
              <w:rPr>
                <w:rFonts w:hint="eastAsia" w:ascii="仿宋" w:hAnsi="仿宋" w:eastAsia="仿宋" w:cs="楷体"/>
                <w:color w:val="auto"/>
                <w:szCs w:val="21"/>
                <w:highlight w:val="none"/>
                <w:lang w:val="en-US" w:eastAsia="zh-CN"/>
              </w:rPr>
              <w:t>20</w:t>
            </w:r>
            <w:r>
              <w:rPr>
                <w:rFonts w:hint="eastAsia" w:ascii="仿宋" w:hAnsi="仿宋" w:eastAsia="仿宋" w:cs="楷体"/>
                <w:color w:val="auto"/>
                <w:szCs w:val="21"/>
                <w:highlight w:val="none"/>
              </w:rPr>
              <w:t>分；</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2、</w:t>
            </w:r>
            <w:r>
              <w:rPr>
                <w:rFonts w:hint="eastAsia" w:ascii="仿宋" w:hAnsi="仿宋" w:eastAsia="仿宋" w:cs="楷体"/>
                <w:color w:val="auto"/>
                <w:szCs w:val="21"/>
                <w:highlight w:val="none"/>
              </w:rPr>
              <w:t>方案基本合理可行计</w:t>
            </w:r>
            <w:r>
              <w:rPr>
                <w:rFonts w:hint="eastAsia" w:ascii="仿宋" w:hAnsi="仿宋" w:eastAsia="仿宋" w:cs="楷体"/>
                <w:color w:val="auto"/>
                <w:szCs w:val="21"/>
                <w:highlight w:val="none"/>
                <w:lang w:val="en-US" w:eastAsia="zh-CN"/>
              </w:rPr>
              <w:t>6</w:t>
            </w:r>
            <w:r>
              <w:rPr>
                <w:rFonts w:hint="eastAsia" w:ascii="仿宋" w:hAnsi="仿宋" w:eastAsia="仿宋" w:cs="楷体"/>
                <w:color w:val="auto"/>
                <w:szCs w:val="21"/>
                <w:highlight w:val="none"/>
              </w:rPr>
              <w:t>.1-</w:t>
            </w:r>
            <w:r>
              <w:rPr>
                <w:rFonts w:hint="eastAsia" w:ascii="仿宋" w:hAnsi="仿宋" w:eastAsia="仿宋" w:cs="楷体"/>
                <w:color w:val="auto"/>
                <w:szCs w:val="21"/>
                <w:highlight w:val="none"/>
                <w:lang w:val="en-US" w:eastAsia="zh-CN"/>
              </w:rPr>
              <w:t>12</w:t>
            </w:r>
            <w:r>
              <w:rPr>
                <w:rFonts w:hint="eastAsia" w:ascii="仿宋" w:hAnsi="仿宋" w:eastAsia="仿宋" w:cs="楷体"/>
                <w:color w:val="auto"/>
                <w:szCs w:val="21"/>
                <w:highlight w:val="none"/>
              </w:rPr>
              <w:t>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3、</w:t>
            </w:r>
            <w:r>
              <w:rPr>
                <w:rFonts w:hint="eastAsia" w:ascii="仿宋" w:hAnsi="仿宋" w:eastAsia="仿宋" w:cs="楷体"/>
                <w:color w:val="auto"/>
                <w:szCs w:val="21"/>
                <w:highlight w:val="none"/>
              </w:rPr>
              <w:t>方案欠缺、不利于实施计0.1-</w:t>
            </w:r>
            <w:r>
              <w:rPr>
                <w:rFonts w:hint="eastAsia" w:ascii="仿宋" w:hAnsi="仿宋" w:eastAsia="仿宋" w:cs="楷体"/>
                <w:color w:val="auto"/>
                <w:szCs w:val="21"/>
                <w:highlight w:val="none"/>
                <w:lang w:val="en-US" w:eastAsia="zh-CN"/>
              </w:rPr>
              <w:t>6</w:t>
            </w:r>
            <w:r>
              <w:rPr>
                <w:rFonts w:hint="eastAsia" w:ascii="仿宋" w:hAnsi="仿宋" w:eastAsia="仿宋" w:cs="楷体"/>
                <w:color w:val="auto"/>
                <w:szCs w:val="21"/>
                <w:highlight w:val="none"/>
              </w:rPr>
              <w:t>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lang w:val="en-US" w:eastAsia="zh-CN"/>
              </w:rPr>
              <w:t>4、</w:t>
            </w:r>
            <w:r>
              <w:rPr>
                <w:rFonts w:hint="eastAsia" w:ascii="仿宋" w:hAnsi="仿宋" w:eastAsia="仿宋" w:cs="楷体"/>
                <w:color w:val="auto"/>
                <w:szCs w:val="21"/>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29"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实施质量</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保证措施</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w:t>
            </w:r>
            <w:r>
              <w:rPr>
                <w:rFonts w:hint="default" w:ascii="仿宋" w:hAnsi="仿宋" w:eastAsia="仿宋" w:cs="楷体"/>
                <w:color w:val="auto"/>
                <w:szCs w:val="21"/>
                <w:highlight w:val="none"/>
              </w:rPr>
              <w:t>0</w:t>
            </w:r>
            <w:r>
              <w:rPr>
                <w:rFonts w:hint="eastAsia" w:ascii="仿宋" w:hAnsi="仿宋" w:eastAsia="仿宋" w:cs="楷体"/>
                <w:color w:val="auto"/>
                <w:szCs w:val="21"/>
                <w:highlight w:val="none"/>
              </w:rPr>
              <w:t>分）</w:t>
            </w:r>
          </w:p>
        </w:tc>
        <w:tc>
          <w:tcPr>
            <w:tcW w:w="63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rPr>
              <w:t>投标供应商针对本项目的特点，主要实施设备投入情况能满足本项目需求；对实施质量、整体管理效果进行质量保证；</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lang w:val="en-US" w:eastAsia="zh-CN"/>
              </w:rPr>
              <w:t>1、</w:t>
            </w:r>
            <w:r>
              <w:rPr>
                <w:rFonts w:hint="eastAsia" w:ascii="仿宋" w:hAnsi="仿宋" w:eastAsia="仿宋" w:cs="楷体"/>
                <w:color w:val="auto"/>
                <w:szCs w:val="21"/>
                <w:highlight w:val="none"/>
              </w:rPr>
              <w:t>方案科学合理、可行、全面计</w:t>
            </w:r>
            <w:r>
              <w:rPr>
                <w:rFonts w:hint="eastAsia" w:ascii="仿宋" w:hAnsi="仿宋" w:eastAsia="仿宋" w:cs="楷体"/>
                <w:color w:val="auto"/>
                <w:szCs w:val="21"/>
                <w:highlight w:val="none"/>
                <w:lang w:val="en-US" w:eastAsia="zh-CN"/>
              </w:rPr>
              <w:t>7</w:t>
            </w:r>
            <w:r>
              <w:rPr>
                <w:rFonts w:hint="eastAsia" w:ascii="仿宋" w:hAnsi="仿宋" w:eastAsia="仿宋" w:cs="楷体"/>
                <w:color w:val="auto"/>
                <w:szCs w:val="21"/>
                <w:highlight w:val="none"/>
              </w:rPr>
              <w:t>.1-1</w:t>
            </w:r>
            <w:r>
              <w:rPr>
                <w:rFonts w:hint="eastAsia" w:ascii="仿宋" w:hAnsi="仿宋" w:eastAsia="仿宋" w:cs="楷体"/>
                <w:color w:val="auto"/>
                <w:szCs w:val="21"/>
                <w:highlight w:val="none"/>
                <w:lang w:val="en-US" w:eastAsia="zh-CN"/>
              </w:rPr>
              <w:t>0</w:t>
            </w:r>
            <w:r>
              <w:rPr>
                <w:rFonts w:hint="eastAsia" w:ascii="仿宋" w:hAnsi="仿宋" w:eastAsia="仿宋" w:cs="楷体"/>
                <w:color w:val="auto"/>
                <w:szCs w:val="21"/>
                <w:highlight w:val="none"/>
              </w:rPr>
              <w:t>分；</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2、</w:t>
            </w:r>
            <w:r>
              <w:rPr>
                <w:rFonts w:hint="eastAsia" w:ascii="仿宋" w:hAnsi="仿宋" w:eastAsia="仿宋" w:cs="楷体"/>
                <w:color w:val="auto"/>
                <w:szCs w:val="21"/>
                <w:highlight w:val="none"/>
              </w:rPr>
              <w:t>方案基本合理可行计</w:t>
            </w:r>
            <w:r>
              <w:rPr>
                <w:rFonts w:hint="eastAsia" w:ascii="仿宋" w:hAnsi="仿宋" w:eastAsia="仿宋" w:cs="楷体"/>
                <w:color w:val="auto"/>
                <w:szCs w:val="21"/>
                <w:highlight w:val="none"/>
                <w:lang w:val="en-US" w:eastAsia="zh-CN"/>
              </w:rPr>
              <w:t>3</w:t>
            </w:r>
            <w:r>
              <w:rPr>
                <w:rFonts w:hint="eastAsia" w:ascii="仿宋" w:hAnsi="仿宋" w:eastAsia="仿宋" w:cs="楷体"/>
                <w:color w:val="auto"/>
                <w:szCs w:val="21"/>
                <w:highlight w:val="none"/>
              </w:rPr>
              <w:t>.1-</w:t>
            </w:r>
            <w:r>
              <w:rPr>
                <w:rFonts w:hint="eastAsia" w:ascii="仿宋" w:hAnsi="仿宋" w:eastAsia="仿宋" w:cs="楷体"/>
                <w:color w:val="auto"/>
                <w:szCs w:val="21"/>
                <w:highlight w:val="none"/>
                <w:lang w:val="en-US" w:eastAsia="zh-CN"/>
              </w:rPr>
              <w:t>7</w:t>
            </w:r>
            <w:r>
              <w:rPr>
                <w:rFonts w:hint="eastAsia" w:ascii="仿宋" w:hAnsi="仿宋" w:eastAsia="仿宋" w:cs="楷体"/>
                <w:color w:val="auto"/>
                <w:szCs w:val="21"/>
                <w:highlight w:val="none"/>
              </w:rPr>
              <w:t>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3、</w:t>
            </w:r>
            <w:r>
              <w:rPr>
                <w:rFonts w:hint="eastAsia" w:ascii="仿宋" w:hAnsi="仿宋" w:eastAsia="仿宋" w:cs="楷体"/>
                <w:color w:val="auto"/>
                <w:szCs w:val="21"/>
                <w:highlight w:val="none"/>
              </w:rPr>
              <w:t>方案欠缺、不利于实施计0.1-</w:t>
            </w:r>
            <w:r>
              <w:rPr>
                <w:rFonts w:hint="eastAsia" w:ascii="仿宋" w:hAnsi="仿宋" w:eastAsia="仿宋" w:cs="楷体"/>
                <w:color w:val="auto"/>
                <w:szCs w:val="21"/>
                <w:highlight w:val="none"/>
                <w:lang w:val="en-US" w:eastAsia="zh-CN"/>
              </w:rPr>
              <w:t>3</w:t>
            </w:r>
            <w:r>
              <w:rPr>
                <w:rFonts w:hint="eastAsia" w:ascii="仿宋" w:hAnsi="仿宋" w:eastAsia="仿宋" w:cs="楷体"/>
                <w:color w:val="auto"/>
                <w:szCs w:val="21"/>
                <w:highlight w:val="none"/>
              </w:rPr>
              <w:t>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lang w:val="en-US" w:eastAsia="zh-CN"/>
              </w:rPr>
              <w:t>4、</w:t>
            </w:r>
            <w:r>
              <w:rPr>
                <w:rFonts w:hint="eastAsia" w:ascii="仿宋" w:hAnsi="仿宋" w:eastAsia="仿宋" w:cs="楷体"/>
                <w:color w:val="auto"/>
                <w:szCs w:val="21"/>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29"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安全措施</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（10分）</w:t>
            </w:r>
          </w:p>
        </w:tc>
        <w:tc>
          <w:tcPr>
            <w:tcW w:w="63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rPr>
              <w:t>结合本项目实际情况，详细制定安全生产管理体系及保证措施及项目风险预测与防范，事故应急预案；</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lang w:val="en-US" w:eastAsia="zh-CN"/>
              </w:rPr>
              <w:t>1、</w:t>
            </w:r>
            <w:r>
              <w:rPr>
                <w:rFonts w:hint="eastAsia" w:ascii="仿宋" w:hAnsi="仿宋" w:eastAsia="仿宋" w:cs="楷体"/>
                <w:color w:val="auto"/>
                <w:szCs w:val="21"/>
                <w:highlight w:val="none"/>
              </w:rPr>
              <w:t>措施科学合理、可行、全面计7.1-10分；</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2、</w:t>
            </w:r>
            <w:r>
              <w:rPr>
                <w:rFonts w:hint="eastAsia" w:ascii="仿宋" w:hAnsi="仿宋" w:eastAsia="仿宋" w:cs="楷体"/>
                <w:color w:val="auto"/>
                <w:szCs w:val="21"/>
                <w:highlight w:val="none"/>
              </w:rPr>
              <w:t>措施基本合理可行计3.1-7分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3、</w:t>
            </w:r>
            <w:r>
              <w:rPr>
                <w:rFonts w:hint="eastAsia" w:ascii="仿宋" w:hAnsi="仿宋" w:eastAsia="仿宋" w:cs="楷体"/>
                <w:color w:val="auto"/>
                <w:szCs w:val="21"/>
                <w:highlight w:val="none"/>
              </w:rPr>
              <w:t>措施欠缺、不利于实施计0.1-3分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lang w:val="en-US" w:eastAsia="zh-CN"/>
              </w:rPr>
              <w:t>4、</w:t>
            </w:r>
            <w:r>
              <w:rPr>
                <w:rFonts w:hint="eastAsia" w:ascii="仿宋" w:hAnsi="仿宋" w:eastAsia="仿宋" w:cs="楷体"/>
                <w:color w:val="auto"/>
                <w:szCs w:val="21"/>
                <w:highlight w:val="none"/>
              </w:rPr>
              <w:t xml:space="preserve">未提供不计分。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29"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环境保护管理体系与措施（10分）</w:t>
            </w:r>
          </w:p>
        </w:tc>
        <w:tc>
          <w:tcPr>
            <w:tcW w:w="63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rPr>
              <w:t>环境保护及保证措施，有针对性，措施完善；</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lang w:val="en-US" w:eastAsia="zh-CN"/>
              </w:rPr>
              <w:t>1、</w:t>
            </w:r>
            <w:r>
              <w:rPr>
                <w:rFonts w:hint="eastAsia" w:ascii="仿宋" w:hAnsi="仿宋" w:eastAsia="仿宋" w:cs="楷体"/>
                <w:color w:val="auto"/>
                <w:szCs w:val="21"/>
                <w:highlight w:val="none"/>
              </w:rPr>
              <w:t>方案科学合理、可行、全面计7.1-10分；</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2、</w:t>
            </w:r>
            <w:r>
              <w:rPr>
                <w:rFonts w:hint="eastAsia" w:ascii="仿宋" w:hAnsi="仿宋" w:eastAsia="仿宋" w:cs="楷体"/>
                <w:color w:val="auto"/>
                <w:szCs w:val="21"/>
                <w:highlight w:val="none"/>
              </w:rPr>
              <w:t>方案基本合理可行计3.1-7分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3、</w:t>
            </w:r>
            <w:r>
              <w:rPr>
                <w:rFonts w:hint="eastAsia" w:ascii="仿宋" w:hAnsi="仿宋" w:eastAsia="仿宋" w:cs="楷体"/>
                <w:color w:val="auto"/>
                <w:szCs w:val="21"/>
                <w:highlight w:val="none"/>
              </w:rPr>
              <w:t>方案欠缺、不利于实施计0.1-3分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lang w:val="en-US" w:eastAsia="zh-CN"/>
              </w:rPr>
              <w:t>4、</w:t>
            </w:r>
            <w:r>
              <w:rPr>
                <w:rFonts w:hint="eastAsia" w:ascii="仿宋" w:hAnsi="仿宋" w:eastAsia="仿宋" w:cs="楷体"/>
                <w:color w:val="auto"/>
                <w:szCs w:val="21"/>
                <w:highlight w:val="none"/>
              </w:rPr>
              <w:t xml:space="preserve">未提供不计分。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129"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周期保证方案</w:t>
            </w:r>
          </w:p>
          <w:p>
            <w:pPr>
              <w:keepNext w:val="0"/>
              <w:keepLines w:val="0"/>
              <w:suppressLineNumbers w:val="0"/>
              <w:adjustRightInd w:val="0"/>
              <w:snapToGrid w:val="0"/>
              <w:spacing w:before="0" w:beforeAutospacing="0" w:after="0" w:afterAutospacing="0" w:line="276" w:lineRule="auto"/>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（10分）</w:t>
            </w:r>
          </w:p>
        </w:tc>
        <w:tc>
          <w:tcPr>
            <w:tcW w:w="63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rPr>
              <w:t>总体实施保证措施合理，计划安排、工序衔接科学，周期保证措施得力；</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rPr>
            </w:pPr>
            <w:r>
              <w:rPr>
                <w:rFonts w:hint="eastAsia" w:ascii="仿宋" w:hAnsi="仿宋" w:eastAsia="仿宋" w:cs="楷体"/>
                <w:color w:val="auto"/>
                <w:szCs w:val="21"/>
                <w:highlight w:val="none"/>
                <w:lang w:val="en-US" w:eastAsia="zh-CN"/>
              </w:rPr>
              <w:t>1、</w:t>
            </w:r>
            <w:r>
              <w:rPr>
                <w:rFonts w:hint="eastAsia" w:ascii="仿宋" w:hAnsi="仿宋" w:eastAsia="仿宋" w:cs="楷体"/>
                <w:color w:val="auto"/>
                <w:szCs w:val="21"/>
                <w:highlight w:val="none"/>
              </w:rPr>
              <w:t>方案科学合理、可行、全面计7.1-10分；</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2、</w:t>
            </w:r>
            <w:r>
              <w:rPr>
                <w:rFonts w:hint="eastAsia" w:ascii="仿宋" w:hAnsi="仿宋" w:eastAsia="仿宋" w:cs="楷体"/>
                <w:color w:val="auto"/>
                <w:szCs w:val="21"/>
                <w:highlight w:val="none"/>
              </w:rPr>
              <w:t>方案基本合理可行计3.1-7分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楷体"/>
                <w:color w:val="auto"/>
                <w:szCs w:val="21"/>
                <w:highlight w:val="none"/>
                <w:lang w:eastAsia="zh-CN"/>
              </w:rPr>
            </w:pPr>
            <w:r>
              <w:rPr>
                <w:rFonts w:hint="eastAsia" w:ascii="仿宋" w:hAnsi="仿宋" w:eastAsia="仿宋" w:cs="楷体"/>
                <w:color w:val="auto"/>
                <w:szCs w:val="21"/>
                <w:highlight w:val="none"/>
                <w:lang w:val="en-US" w:eastAsia="zh-CN"/>
              </w:rPr>
              <w:t>3、</w:t>
            </w:r>
            <w:r>
              <w:rPr>
                <w:rFonts w:hint="eastAsia" w:ascii="仿宋" w:hAnsi="仿宋" w:eastAsia="仿宋" w:cs="楷体"/>
                <w:color w:val="auto"/>
                <w:szCs w:val="21"/>
                <w:highlight w:val="none"/>
              </w:rPr>
              <w:t>方案欠缺、不利于实施计0.1-3分</w:t>
            </w:r>
            <w:r>
              <w:rPr>
                <w:rFonts w:hint="eastAsia" w:ascii="仿宋" w:hAnsi="仿宋" w:eastAsia="仿宋" w:cs="楷体"/>
                <w:color w:val="auto"/>
                <w:szCs w:val="21"/>
                <w:highlight w:val="none"/>
                <w:lang w:eastAsia="zh-CN"/>
              </w:rPr>
              <w:t>；</w:t>
            </w:r>
          </w:p>
          <w:p>
            <w:pPr>
              <w:keepNext w:val="0"/>
              <w:keepLines w:val="0"/>
              <w:suppressLineNumbers w:val="0"/>
              <w:adjustRightInd w:val="0"/>
              <w:snapToGrid w:val="0"/>
              <w:spacing w:before="0" w:beforeAutospacing="0" w:after="0" w:afterAutospacing="0" w:line="276" w:lineRule="auto"/>
              <w:ind w:left="0" w:right="0"/>
              <w:rPr>
                <w:rFonts w:hint="default" w:ascii="仿宋" w:hAnsi="仿宋" w:eastAsia="仿宋" w:cs="楷体"/>
                <w:color w:val="auto"/>
                <w:szCs w:val="21"/>
                <w:highlight w:val="none"/>
              </w:rPr>
            </w:pPr>
            <w:r>
              <w:rPr>
                <w:rFonts w:hint="eastAsia" w:ascii="仿宋" w:hAnsi="仿宋" w:eastAsia="仿宋" w:cs="楷体"/>
                <w:color w:val="auto"/>
                <w:szCs w:val="21"/>
                <w:highlight w:val="none"/>
                <w:lang w:val="en-US" w:eastAsia="zh-CN"/>
              </w:rPr>
              <w:t>4、</w:t>
            </w:r>
            <w:r>
              <w:rPr>
                <w:rFonts w:hint="eastAsia" w:ascii="仿宋" w:hAnsi="仿宋" w:eastAsia="仿宋" w:cs="楷体"/>
                <w:color w:val="auto"/>
                <w:szCs w:val="21"/>
                <w:highlight w:val="none"/>
              </w:rPr>
              <w:t>未提供不计分。</w:t>
            </w:r>
          </w:p>
        </w:tc>
      </w:tr>
    </w:tbl>
    <w:p>
      <w:pPr>
        <w:pStyle w:val="18"/>
        <w:ind w:left="0" w:leftChars="0" w:firstLine="0" w:firstLineChars="0"/>
        <w:rPr>
          <w:rFonts w:ascii="仿宋" w:hAnsi="仿宋" w:eastAsia="仿宋"/>
          <w:color w:val="auto"/>
          <w:highlight w:val="none"/>
        </w:rPr>
      </w:pPr>
    </w:p>
    <w:p>
      <w:pPr>
        <w:rPr>
          <w:color w:val="auto"/>
          <w:highlight w:val="none"/>
        </w:rPr>
      </w:pPr>
    </w:p>
    <w:p>
      <w:pPr>
        <w:pStyle w:val="18"/>
        <w:ind w:left="0" w:leftChars="0" w:firstLine="0" w:firstLineChars="0"/>
        <w:rPr>
          <w:rFonts w:ascii="仿宋" w:hAnsi="仿宋" w:eastAsia="仿宋"/>
          <w:color w:val="auto"/>
          <w:highlight w:val="none"/>
        </w:rPr>
      </w:pPr>
    </w:p>
    <w:p>
      <w:pPr>
        <w:spacing w:line="336"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备注：</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1) 评审得分相同的，按照最后报价由低到高的顺序推荐。评审得分且最后报价相同的，按照技术指标优劣顺序推荐；</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2) 各种计算采用插入法，数字均保留两位小数，第三位“四舍五入”；</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3）磋商响应文件对评审标准内某一项无响应的，该项评分按照0分计算；</w:t>
      </w:r>
    </w:p>
    <w:p>
      <w:pPr>
        <w:spacing w:line="336" w:lineRule="auto"/>
        <w:ind w:firstLine="411" w:firstLineChars="196"/>
        <w:rPr>
          <w:rFonts w:ascii="仿宋" w:hAnsi="仿宋" w:eastAsia="仿宋" w:cs="楷体"/>
          <w:color w:val="auto"/>
          <w:highlight w:val="none"/>
        </w:rPr>
      </w:pPr>
      <w:r>
        <w:rPr>
          <w:rFonts w:hint="eastAsia" w:ascii="仿宋" w:hAnsi="仿宋" w:eastAsia="仿宋" w:cs="楷体"/>
          <w:color w:val="auto"/>
          <w:szCs w:val="21"/>
          <w:highlight w:val="none"/>
        </w:rPr>
        <w:t>4）本项目以人民币为计量币种进行评审。</w:t>
      </w:r>
    </w:p>
    <w:p>
      <w:pPr>
        <w:pStyle w:val="24"/>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9、无效磋商响应文件</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9.1、在评审过程中，出现下列情形之一的，应作为无效磋商响应文件：</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9.1.1、磋商供应商未经过正常渠道购买竞争性磋商文件的；</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9.1.2、磋商供应商名称与登记领取竞争性磋商文件单位的名称不一致的；</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9.1.3、未按照竞争性磋商文件规定交纳磋商保证金的；</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9.1.4、未按照竞争性磋商文件规定和要求对磋商响应文件进行签署、盖章的；</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9.1.5、不具备竞争性磋商文件中规定的资格条件和资格审查要求的；</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9.1.6、未按照竞争性磋商文件规定的格式要求编制的；</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9.1.7、未按竞争性磋商文件要求提交磋商响应文件；</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9.1.8、未按竞争性磋商文件要求提交原件的；未按要求提交磋商响应文件份数和内容的；电子标书内容与纸质磋商响应文件内容不一致的；</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9.1.9、进口货物（产品）未办理正常进口手续的（如有）；</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9.1.10、提供响应内容出现漏项或数量与要求不符的；</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9.1.11、响应的有效期、工期（期限）、质保期、售后服务等商务条款不能满足磋商要求的；</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9.1.12、磋商供应商的报价超过了采购人的预算价；</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9.1.13、磋商响应文件中附有采购人不能接受的条件；</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9.1.14、未载明或者载明的采购项目履约时间、方式、数量、技术参数、质量标准明及其他政府采购合同实质性内容与竞争性磋商文件要求不一致；</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9.1.15、提供货物（产品）不符合强制执行的国家标准；</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9.1.16、磋商响应文件的关键内容字迹模糊和无法辨认的；</w:t>
      </w:r>
    </w:p>
    <w:p>
      <w:pPr>
        <w:spacing w:line="336" w:lineRule="auto"/>
        <w:ind w:firstLine="411" w:firstLineChars="196"/>
        <w:rPr>
          <w:rFonts w:ascii="仿宋" w:hAnsi="仿宋" w:eastAsia="仿宋" w:cs="楷体"/>
          <w:color w:val="auto"/>
          <w:szCs w:val="21"/>
          <w:highlight w:val="none"/>
        </w:rPr>
      </w:pPr>
      <w:r>
        <w:rPr>
          <w:rFonts w:hint="eastAsia" w:ascii="仿宋" w:hAnsi="仿宋" w:eastAsia="仿宋" w:cs="楷体"/>
          <w:color w:val="auto"/>
          <w:szCs w:val="21"/>
          <w:highlight w:val="none"/>
        </w:rPr>
        <w:t>9.1.17、磋商响应文件不符合竞争性磋商文件规定的其他情形的；</w:t>
      </w:r>
    </w:p>
    <w:p>
      <w:pPr>
        <w:spacing w:line="336" w:lineRule="auto"/>
        <w:ind w:firstLine="411" w:firstLineChars="196"/>
        <w:rPr>
          <w:rFonts w:ascii="仿宋" w:hAnsi="仿宋" w:eastAsia="仿宋" w:cs="楷体"/>
          <w:color w:val="auto"/>
          <w:highlight w:val="none"/>
        </w:rPr>
      </w:pPr>
      <w:r>
        <w:rPr>
          <w:rFonts w:hint="eastAsia" w:ascii="仿宋" w:hAnsi="仿宋" w:eastAsia="仿宋" w:cs="楷体"/>
          <w:color w:val="auto"/>
          <w:szCs w:val="21"/>
          <w:highlight w:val="none"/>
        </w:rPr>
        <w:t>9.1.18、磋商响应文件不符合法律法规要求的。</w:t>
      </w:r>
    </w:p>
    <w:p>
      <w:pPr>
        <w:spacing w:line="336" w:lineRule="auto"/>
        <w:rPr>
          <w:rFonts w:ascii="仿宋" w:hAnsi="仿宋" w:eastAsia="仿宋" w:cs="楷体"/>
          <w:b/>
          <w:color w:val="auto"/>
          <w:szCs w:val="21"/>
          <w:highlight w:val="none"/>
        </w:rPr>
      </w:pPr>
      <w:r>
        <w:rPr>
          <w:rFonts w:hint="eastAsia" w:ascii="仿宋" w:hAnsi="仿宋" w:eastAsia="仿宋" w:cs="楷体"/>
          <w:b/>
          <w:color w:val="auto"/>
          <w:szCs w:val="21"/>
          <w:highlight w:val="none"/>
        </w:rPr>
        <w:t>10、特殊情况的处理</w:t>
      </w:r>
    </w:p>
    <w:p>
      <w:pPr>
        <w:widowControl/>
        <w:autoSpaceDE w:val="0"/>
        <w:autoSpaceDN w:val="0"/>
        <w:spacing w:line="450" w:lineRule="exact"/>
        <w:ind w:right="53" w:firstLine="420" w:firstLineChars="200"/>
        <w:textAlignment w:val="bottom"/>
        <w:rPr>
          <w:rFonts w:ascii="仿宋" w:hAnsi="仿宋" w:eastAsia="仿宋" w:cs="楷体"/>
          <w:color w:val="auto"/>
          <w:szCs w:val="21"/>
          <w:highlight w:val="none"/>
        </w:rPr>
      </w:pPr>
      <w:r>
        <w:rPr>
          <w:rFonts w:hint="eastAsia" w:ascii="仿宋" w:hAnsi="仿宋" w:eastAsia="仿宋" w:cs="楷体"/>
          <w:color w:val="auto"/>
          <w:szCs w:val="21"/>
          <w:highlight w:val="none"/>
        </w:rPr>
        <w:t>10.1、磋商响应文件中如果出现前后不一致的，按照下列规定修正：</w:t>
      </w:r>
    </w:p>
    <w:p>
      <w:pPr>
        <w:widowControl/>
        <w:autoSpaceDE w:val="0"/>
        <w:autoSpaceDN w:val="0"/>
        <w:spacing w:line="450" w:lineRule="exact"/>
        <w:ind w:right="53" w:firstLine="420" w:firstLineChars="200"/>
        <w:textAlignment w:val="bottom"/>
        <w:rPr>
          <w:rFonts w:ascii="仿宋" w:hAnsi="仿宋" w:eastAsia="仿宋" w:cs="楷体"/>
          <w:color w:val="auto"/>
          <w:szCs w:val="21"/>
          <w:highlight w:val="none"/>
        </w:rPr>
      </w:pPr>
      <w:r>
        <w:rPr>
          <w:rFonts w:hint="eastAsia" w:ascii="仿宋" w:hAnsi="仿宋" w:eastAsia="仿宋" w:cs="楷体"/>
          <w:color w:val="auto"/>
          <w:szCs w:val="21"/>
          <w:highlight w:val="none"/>
        </w:rPr>
        <w:t>10.1.1、响应文件中开标一览表内容与响应文件中相应内容不一致的，以开标一览表为准；大写金额和小写金额不一致的，以大写金额为准；单价金额小数点或者百分比有明显错位的，以响应报价表的总价为准，并修改单价；总价金额与按单价汇总金额不一致的，以单价金额计算结果为准。</w:t>
      </w:r>
    </w:p>
    <w:p>
      <w:pPr>
        <w:spacing w:line="450" w:lineRule="exact"/>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10.1.2、磋商响应文件中图表与文字表述不一致的，以文字表述为准；</w:t>
      </w:r>
    </w:p>
    <w:p>
      <w:pPr>
        <w:widowControl/>
        <w:autoSpaceDE w:val="0"/>
        <w:autoSpaceDN w:val="0"/>
        <w:spacing w:line="450" w:lineRule="exact"/>
        <w:ind w:right="53" w:firstLine="420" w:firstLineChars="200"/>
        <w:textAlignment w:val="bottom"/>
        <w:rPr>
          <w:rFonts w:ascii="仿宋" w:hAnsi="仿宋" w:eastAsia="仿宋" w:cs="楷体"/>
          <w:color w:val="auto"/>
          <w:szCs w:val="21"/>
          <w:highlight w:val="none"/>
        </w:rPr>
      </w:pPr>
      <w:r>
        <w:rPr>
          <w:rFonts w:hint="eastAsia" w:ascii="仿宋" w:hAnsi="仿宋" w:eastAsia="仿宋" w:cs="楷体"/>
          <w:color w:val="auto"/>
          <w:szCs w:val="21"/>
          <w:highlight w:val="none"/>
        </w:rPr>
        <w:t>10.1.3、磋商响应文件正本与副本不一致的，以正本为准；</w:t>
      </w:r>
    </w:p>
    <w:p>
      <w:pPr>
        <w:spacing w:line="450" w:lineRule="exact"/>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10.1.4、对不同文字文本磋商响应文件的解释发生异议的，以中文文本为准；</w:t>
      </w:r>
    </w:p>
    <w:p>
      <w:pPr>
        <w:spacing w:line="450" w:lineRule="exact"/>
        <w:ind w:firstLine="420" w:firstLineChars="200"/>
        <w:rPr>
          <w:rFonts w:ascii="仿宋" w:hAnsi="仿宋" w:eastAsia="仿宋" w:cs="楷体"/>
          <w:bCs/>
          <w:color w:val="auto"/>
          <w:szCs w:val="21"/>
          <w:highlight w:val="none"/>
        </w:rPr>
      </w:pPr>
      <w:r>
        <w:rPr>
          <w:rFonts w:hint="eastAsia" w:ascii="仿宋" w:hAnsi="仿宋" w:eastAsia="仿宋" w:cs="楷体"/>
          <w:bCs/>
          <w:color w:val="auto"/>
          <w:szCs w:val="21"/>
          <w:highlight w:val="none"/>
        </w:rPr>
        <w:t>10.1.5、同时出现两种以上不一致的，按照前款规定的顺序修正。修正后的报价按照本章第4.1条的规定经供应商确认后产生约束力，供应商不确认的，其磋商无效。</w:t>
      </w:r>
    </w:p>
    <w:p>
      <w:pPr>
        <w:widowControl/>
        <w:autoSpaceDE w:val="0"/>
        <w:autoSpaceDN w:val="0"/>
        <w:spacing w:line="450" w:lineRule="exact"/>
        <w:ind w:right="53" w:firstLine="420" w:firstLineChars="200"/>
        <w:textAlignment w:val="bottom"/>
        <w:rPr>
          <w:rFonts w:ascii="仿宋" w:hAnsi="仿宋" w:eastAsia="仿宋" w:cs="楷体"/>
          <w:color w:val="auto"/>
          <w:szCs w:val="21"/>
          <w:highlight w:val="none"/>
        </w:rPr>
      </w:pPr>
      <w:r>
        <w:rPr>
          <w:rFonts w:hint="eastAsia" w:ascii="仿宋" w:hAnsi="仿宋" w:eastAsia="仿宋" w:cs="楷体"/>
          <w:color w:val="auto"/>
          <w:szCs w:val="21"/>
          <w:highlight w:val="none"/>
        </w:rPr>
        <w:t>10.2、磋商响应文件中，若某项内容为零报价、无报价，经磋商小组评审后，报价得分为零，不参与磋商报价分值的计算。</w:t>
      </w:r>
    </w:p>
    <w:p>
      <w:pPr>
        <w:pStyle w:val="16"/>
        <w:shd w:val="clear" w:color="auto" w:fill="FFFFFF"/>
        <w:spacing w:before="0" w:beforeAutospacing="0" w:after="0" w:afterAutospacing="0" w:line="450" w:lineRule="exact"/>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10.3、评审过程中，若出现本评审办法以外的特殊情况时，将暂停评审，待磋商小组商榷后，再进行评定。</w:t>
      </w:r>
    </w:p>
    <w:p>
      <w:pPr>
        <w:pStyle w:val="16"/>
        <w:shd w:val="clear" w:color="auto" w:fill="FFFFFF"/>
        <w:spacing w:before="0" w:beforeAutospacing="0" w:after="0" w:afterAutospacing="0" w:line="450" w:lineRule="exact"/>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10.4、评审结果汇总完成后，除下列情形外，任何人不得修改评审结果：</w:t>
      </w:r>
    </w:p>
    <w:p>
      <w:pPr>
        <w:pStyle w:val="16"/>
        <w:shd w:val="clear" w:color="auto" w:fill="FFFFFF"/>
        <w:spacing w:before="0" w:beforeAutospacing="0" w:after="0" w:afterAutospacing="0" w:line="450" w:lineRule="exact"/>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10.4.1、分值汇总计算错误的；</w:t>
      </w:r>
    </w:p>
    <w:p>
      <w:pPr>
        <w:pStyle w:val="16"/>
        <w:shd w:val="clear" w:color="auto" w:fill="FFFFFF"/>
        <w:spacing w:before="0" w:beforeAutospacing="0" w:after="0" w:afterAutospacing="0" w:line="450" w:lineRule="exact"/>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10.4.2、分项评分超出评分标准范围的；</w:t>
      </w:r>
    </w:p>
    <w:p>
      <w:pPr>
        <w:pStyle w:val="16"/>
        <w:shd w:val="clear" w:color="auto" w:fill="FFFFFF"/>
        <w:spacing w:before="0" w:beforeAutospacing="0" w:after="0" w:afterAutospacing="0" w:line="450" w:lineRule="exact"/>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10.4.3、磋商小组成员对客观评审因素评分不一致的；</w:t>
      </w:r>
    </w:p>
    <w:p>
      <w:pPr>
        <w:pStyle w:val="16"/>
        <w:shd w:val="clear" w:color="auto" w:fill="FFFFFF"/>
        <w:spacing w:before="0" w:beforeAutospacing="0" w:after="0" w:afterAutospacing="0" w:line="450" w:lineRule="exact"/>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10.4.4、经磋商小组认定评分畸高、畸低的。</w:t>
      </w:r>
    </w:p>
    <w:p>
      <w:pPr>
        <w:pStyle w:val="16"/>
        <w:shd w:val="clear" w:color="auto" w:fill="FFFFFF"/>
        <w:spacing w:before="0" w:beforeAutospacing="0" w:after="0" w:afterAutospacing="0" w:line="450" w:lineRule="exact"/>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10.5、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供应商对评标报告提出质疑的，采购人或者采购代理机构可以组织原磋商小组进行重新评审，重新评审改变评标结果的，应当书面报告本级财政部门。</w:t>
      </w:r>
    </w:p>
    <w:p>
      <w:pPr>
        <w:pStyle w:val="16"/>
        <w:shd w:val="clear" w:color="auto" w:fill="FFFFFF"/>
        <w:spacing w:before="0" w:beforeAutospacing="0" w:after="0" w:afterAutospacing="0" w:line="450" w:lineRule="exact"/>
        <w:ind w:firstLine="420" w:firstLineChars="200"/>
        <w:rPr>
          <w:rFonts w:ascii="仿宋" w:hAnsi="仿宋" w:eastAsia="仿宋" w:cs="楷体"/>
          <w:color w:val="auto"/>
          <w:sz w:val="21"/>
          <w:szCs w:val="21"/>
          <w:highlight w:val="none"/>
        </w:rPr>
      </w:pPr>
      <w:r>
        <w:rPr>
          <w:rFonts w:hint="eastAsia" w:ascii="仿宋" w:hAnsi="仿宋" w:eastAsia="仿宋" w:cs="楷体"/>
          <w:color w:val="auto"/>
          <w:sz w:val="21"/>
          <w:szCs w:val="21"/>
          <w:highlight w:val="none"/>
        </w:rPr>
        <w:t>10.6、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widowControl/>
        <w:autoSpaceDE w:val="0"/>
        <w:autoSpaceDN w:val="0"/>
        <w:spacing w:line="360" w:lineRule="auto"/>
        <w:ind w:right="51" w:firstLine="420" w:firstLineChars="200"/>
        <w:textAlignment w:val="bottom"/>
        <w:rPr>
          <w:rFonts w:ascii="仿宋" w:hAnsi="仿宋" w:eastAsia="仿宋" w:cs="楷体"/>
          <w:color w:val="auto"/>
          <w:szCs w:val="21"/>
          <w:highlight w:val="none"/>
        </w:rPr>
      </w:pPr>
      <w:r>
        <w:rPr>
          <w:rFonts w:hint="eastAsia" w:ascii="仿宋" w:hAnsi="仿宋" w:eastAsia="仿宋" w:cs="楷体"/>
          <w:color w:val="auto"/>
          <w:szCs w:val="21"/>
          <w:highlight w:val="none"/>
        </w:rPr>
        <w:t>10.7、排名第一的中标候选人，主动放弃成交或因不可抗力不能履行合同、或被查实存在影响成交结果的违法行为等情形，已不再符合成交条件的，采购人可以按照磋商小组提出的中标候选人名单排序依次确定第二中标候选人为成交供应商，也可以根据实际情况需要，依法重新组织采购活动。</w:t>
      </w:r>
    </w:p>
    <w:p>
      <w:pPr>
        <w:widowControl/>
        <w:autoSpaceDE w:val="0"/>
        <w:autoSpaceDN w:val="0"/>
        <w:spacing w:line="450" w:lineRule="exact"/>
        <w:ind w:right="53"/>
        <w:textAlignment w:val="bottom"/>
        <w:rPr>
          <w:rFonts w:ascii="仿宋" w:hAnsi="仿宋" w:eastAsia="仿宋" w:cs="楷体"/>
          <w:b/>
          <w:color w:val="auto"/>
          <w:szCs w:val="21"/>
          <w:highlight w:val="none"/>
        </w:rPr>
      </w:pPr>
      <w:r>
        <w:rPr>
          <w:rFonts w:hint="eastAsia" w:ascii="仿宋" w:hAnsi="仿宋" w:eastAsia="仿宋" w:cs="楷体"/>
          <w:b/>
          <w:color w:val="auto"/>
          <w:szCs w:val="21"/>
          <w:highlight w:val="none"/>
        </w:rPr>
        <w:t>11、中标结果</w:t>
      </w:r>
    </w:p>
    <w:p>
      <w:pPr>
        <w:widowControl/>
        <w:shd w:val="clear" w:color="auto" w:fill="FFFFFF"/>
        <w:spacing w:before="156" w:beforeLines="50"/>
        <w:ind w:firstLine="411" w:firstLineChars="196"/>
        <w:jc w:val="left"/>
        <w:rPr>
          <w:rFonts w:ascii="仿宋" w:hAnsi="仿宋" w:eastAsia="仿宋" w:cs="楷体"/>
          <w:color w:val="auto"/>
          <w:szCs w:val="21"/>
          <w:highlight w:val="none"/>
        </w:rPr>
      </w:pPr>
      <w:bookmarkStart w:id="30" w:name="_Toc217446063"/>
      <w:bookmarkStart w:id="31" w:name="_Toc183582238"/>
      <w:bookmarkStart w:id="32" w:name="_Toc183682375"/>
      <w:r>
        <w:rPr>
          <w:rFonts w:hint="eastAsia" w:ascii="仿宋" w:hAnsi="仿宋" w:eastAsia="仿宋" w:cs="楷体"/>
          <w:color w:val="auto"/>
          <w:szCs w:val="21"/>
          <w:highlight w:val="none"/>
        </w:rPr>
        <w:t>11.1、采购人从评审报告中推荐的中标候选磋商供应商中，按照排序由高到低的原则确定成交供应商。</w:t>
      </w:r>
    </w:p>
    <w:p>
      <w:pPr>
        <w:widowControl/>
        <w:shd w:val="clear" w:color="auto" w:fill="FFFFFF"/>
        <w:spacing w:before="156" w:beforeLines="50" w:line="360" w:lineRule="auto"/>
        <w:ind w:firstLine="411" w:firstLineChars="196"/>
        <w:jc w:val="left"/>
        <w:rPr>
          <w:rFonts w:ascii="仿宋" w:hAnsi="仿宋" w:eastAsia="仿宋" w:cs="楷体"/>
          <w:color w:val="auto"/>
          <w:szCs w:val="21"/>
          <w:highlight w:val="none"/>
        </w:rPr>
      </w:pPr>
      <w:r>
        <w:rPr>
          <w:rFonts w:hint="eastAsia" w:ascii="仿宋" w:hAnsi="仿宋" w:eastAsia="仿宋" w:cs="楷体"/>
          <w:color w:val="auto"/>
          <w:szCs w:val="21"/>
          <w:highlight w:val="none"/>
        </w:rPr>
        <w:t>11.2、评标结果按评审后得分由高到低顺序排列。得分相同的，按最终报价由低到高顺序排列。得分且最终报价相同的并列。磋商响应文件满足磋商文件全部实质性要求，且按照评审因素的量化指标评审得分最高的供应商为排名第一的中标候选人。</w:t>
      </w:r>
    </w:p>
    <w:p>
      <w:pPr>
        <w:widowControl/>
        <w:shd w:val="clear" w:color="auto" w:fill="FFFFFF"/>
        <w:spacing w:before="156" w:beforeLines="50" w:line="360" w:lineRule="auto"/>
        <w:jc w:val="left"/>
        <w:rPr>
          <w:rFonts w:ascii="仿宋" w:hAnsi="仿宋" w:eastAsia="仿宋" w:cs="楷体"/>
          <w:b/>
          <w:color w:val="auto"/>
          <w:szCs w:val="21"/>
          <w:highlight w:val="none"/>
        </w:rPr>
      </w:pPr>
      <w:r>
        <w:rPr>
          <w:rFonts w:hint="eastAsia" w:ascii="仿宋" w:hAnsi="仿宋" w:eastAsia="仿宋" w:cs="楷体"/>
          <w:b/>
          <w:color w:val="auto"/>
          <w:szCs w:val="21"/>
          <w:highlight w:val="none"/>
        </w:rPr>
        <w:t>12、确定中标候选人</w:t>
      </w:r>
    </w:p>
    <w:p>
      <w:pPr>
        <w:widowControl/>
        <w:shd w:val="clear" w:color="auto" w:fill="FFFFFF"/>
        <w:spacing w:before="156" w:beforeLines="50" w:line="360" w:lineRule="auto"/>
        <w:ind w:firstLine="420" w:firstLineChars="200"/>
        <w:jc w:val="left"/>
        <w:rPr>
          <w:rFonts w:ascii="仿宋" w:hAnsi="仿宋" w:eastAsia="仿宋" w:cs="楷体"/>
          <w:bCs/>
          <w:color w:val="auto"/>
          <w:kern w:val="1"/>
          <w:szCs w:val="21"/>
          <w:highlight w:val="none"/>
        </w:rPr>
      </w:pPr>
      <w:r>
        <w:rPr>
          <w:rFonts w:hint="eastAsia" w:ascii="仿宋" w:hAnsi="仿宋" w:eastAsia="仿宋" w:cs="楷体"/>
          <w:bCs/>
          <w:color w:val="auto"/>
          <w:kern w:val="1"/>
          <w:szCs w:val="21"/>
          <w:highlight w:val="none"/>
        </w:rPr>
        <w:t>12.1、采购代理机构应当在评标结束后</w:t>
      </w:r>
      <w:r>
        <w:rPr>
          <w:rFonts w:ascii="仿宋" w:hAnsi="仿宋" w:eastAsia="仿宋" w:cs="楷体"/>
          <w:bCs/>
          <w:color w:val="auto"/>
          <w:kern w:val="1"/>
          <w:szCs w:val="21"/>
          <w:highlight w:val="none"/>
        </w:rPr>
        <w:t>1</w:t>
      </w:r>
      <w:r>
        <w:rPr>
          <w:rFonts w:hint="eastAsia" w:ascii="仿宋" w:hAnsi="仿宋" w:eastAsia="仿宋" w:cs="楷体"/>
          <w:bCs/>
          <w:color w:val="auto"/>
          <w:kern w:val="1"/>
          <w:szCs w:val="21"/>
          <w:highlight w:val="none"/>
        </w:rPr>
        <w:t>个工作日内将评标报告送采购人。采购人应当自收到评标报告之日起</w:t>
      </w:r>
      <w:r>
        <w:rPr>
          <w:rFonts w:ascii="仿宋" w:hAnsi="仿宋" w:eastAsia="仿宋" w:cs="楷体"/>
          <w:bCs/>
          <w:color w:val="auto"/>
          <w:kern w:val="1"/>
          <w:szCs w:val="21"/>
          <w:highlight w:val="none"/>
        </w:rPr>
        <w:t>3</w:t>
      </w:r>
      <w:r>
        <w:rPr>
          <w:rFonts w:hint="eastAsia" w:ascii="仿宋" w:hAnsi="仿宋" w:eastAsia="仿宋" w:cs="楷体"/>
          <w:bCs/>
          <w:color w:val="auto"/>
          <w:kern w:val="1"/>
          <w:szCs w:val="21"/>
          <w:highlight w:val="none"/>
        </w:rPr>
        <w:t>个工作日内，在评标报告确定的成交候选人名单中按顺序确定成交人。成交候选人并列的，由采购人或者采购人委托磋商小组按照磋商文件规定的方式确定成交人。采购人在收到评标报告5个工作日内未按评标报告推荐的成交候选人顺序确定中标人，又不能说明合法理由的，视同按评标报告推荐的顺序确定排名第一的成交候选人为成交人。</w:t>
      </w:r>
    </w:p>
    <w:p>
      <w:pPr>
        <w:tabs>
          <w:tab w:val="left" w:pos="0"/>
        </w:tabs>
        <w:spacing w:line="450" w:lineRule="exact"/>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12.2、采购人或者采购代理机构应当自成交人确定之日起</w:t>
      </w:r>
      <w:r>
        <w:rPr>
          <w:rFonts w:ascii="仿宋" w:hAnsi="仿宋" w:eastAsia="仿宋" w:cs="楷体"/>
          <w:color w:val="auto"/>
          <w:kern w:val="1"/>
          <w:szCs w:val="21"/>
          <w:highlight w:val="none"/>
        </w:rPr>
        <w:t>2</w:t>
      </w:r>
      <w:r>
        <w:rPr>
          <w:rFonts w:hint="eastAsia" w:ascii="仿宋" w:hAnsi="仿宋" w:eastAsia="仿宋" w:cs="楷体"/>
          <w:color w:val="auto"/>
          <w:kern w:val="1"/>
          <w:szCs w:val="21"/>
          <w:highlight w:val="none"/>
        </w:rPr>
        <w:t>个工作日内，在省级以上财政部门指定的媒体（《陕西省政府采购网》）公告成交结果，磋商文件应当随成交结果同时公告。成交结果公告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tabs>
          <w:tab w:val="left" w:pos="0"/>
        </w:tabs>
        <w:spacing w:line="450" w:lineRule="exact"/>
        <w:ind w:firstLine="420" w:firstLineChars="200"/>
        <w:rPr>
          <w:rFonts w:ascii="仿宋" w:hAnsi="仿宋" w:eastAsia="仿宋" w:cs="楷体"/>
          <w:color w:val="auto"/>
          <w:kern w:val="1"/>
          <w:szCs w:val="21"/>
          <w:highlight w:val="none"/>
        </w:rPr>
      </w:pPr>
      <w:r>
        <w:rPr>
          <w:rFonts w:hint="eastAsia" w:ascii="仿宋" w:hAnsi="仿宋" w:eastAsia="仿宋" w:cs="楷体"/>
          <w:color w:val="auto"/>
          <w:kern w:val="1"/>
          <w:szCs w:val="21"/>
          <w:highlight w:val="none"/>
        </w:rPr>
        <w:t>12.3、在公告成交结果的同时，采购人或者采购代理机构应当向成交人发出成交通知书。</w:t>
      </w:r>
    </w:p>
    <w:p>
      <w:pPr>
        <w:spacing w:line="450" w:lineRule="exact"/>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12.4、采购代理机构将评审过程与采购人情况书面报送有关监督机构备案。</w:t>
      </w:r>
    </w:p>
    <w:p>
      <w:pPr>
        <w:spacing w:line="450" w:lineRule="exact"/>
        <w:rPr>
          <w:rFonts w:ascii="仿宋" w:hAnsi="仿宋" w:eastAsia="仿宋" w:cs="楷体"/>
          <w:b/>
          <w:color w:val="auto"/>
          <w:szCs w:val="21"/>
          <w:highlight w:val="none"/>
        </w:rPr>
      </w:pPr>
      <w:r>
        <w:rPr>
          <w:rFonts w:hint="eastAsia" w:ascii="仿宋" w:hAnsi="仿宋" w:eastAsia="仿宋" w:cs="楷体"/>
          <w:b/>
          <w:bCs/>
          <w:color w:val="auto"/>
          <w:szCs w:val="21"/>
          <w:highlight w:val="none"/>
        </w:rPr>
        <w:t>13、</w:t>
      </w:r>
      <w:bookmarkEnd w:id="30"/>
      <w:bookmarkEnd w:id="31"/>
      <w:bookmarkEnd w:id="32"/>
      <w:r>
        <w:rPr>
          <w:rFonts w:hint="eastAsia" w:ascii="仿宋" w:hAnsi="仿宋" w:eastAsia="仿宋" w:cs="楷体"/>
          <w:b/>
          <w:bCs/>
          <w:color w:val="auto"/>
          <w:szCs w:val="21"/>
          <w:highlight w:val="none"/>
        </w:rPr>
        <w:t>成交通知书</w:t>
      </w:r>
    </w:p>
    <w:p>
      <w:pPr>
        <w:widowControl/>
        <w:shd w:val="clear" w:color="auto" w:fill="FFFFFF"/>
        <w:spacing w:line="450" w:lineRule="exact"/>
        <w:ind w:firstLine="411" w:firstLineChars="196"/>
        <w:jc w:val="left"/>
        <w:rPr>
          <w:rFonts w:ascii="仿宋" w:hAnsi="仿宋" w:eastAsia="仿宋" w:cs="楷体"/>
          <w:color w:val="auto"/>
          <w:kern w:val="0"/>
          <w:szCs w:val="21"/>
          <w:highlight w:val="none"/>
        </w:rPr>
      </w:pPr>
      <w:r>
        <w:rPr>
          <w:rFonts w:hint="eastAsia" w:ascii="仿宋" w:hAnsi="仿宋" w:eastAsia="仿宋" w:cs="楷体"/>
          <w:color w:val="auto"/>
          <w:szCs w:val="21"/>
          <w:highlight w:val="none"/>
        </w:rPr>
        <w:t>13.1、成交通知书是合同文件的组成部分，对采购人和成交供应商具有同等法律效力。</w:t>
      </w:r>
      <w:r>
        <w:rPr>
          <w:rFonts w:hint="eastAsia" w:ascii="仿宋" w:hAnsi="仿宋" w:eastAsia="仿宋" w:cs="楷体"/>
          <w:color w:val="auto"/>
          <w:kern w:val="0"/>
          <w:szCs w:val="21"/>
          <w:highlight w:val="none"/>
        </w:rPr>
        <w:t>成交通知书发出后，采购人改变中标结果或者成交供应商放弃成交，应按相关法律、规章、规范性文件的要求承担相应的法律责任。</w:t>
      </w:r>
    </w:p>
    <w:p>
      <w:pPr>
        <w:tabs>
          <w:tab w:val="left" w:pos="7665"/>
        </w:tabs>
        <w:spacing w:line="450" w:lineRule="exact"/>
        <w:ind w:firstLine="480"/>
        <w:rPr>
          <w:rFonts w:ascii="仿宋" w:hAnsi="仿宋" w:eastAsia="仿宋" w:cs="楷体"/>
          <w:color w:val="auto"/>
          <w:szCs w:val="21"/>
          <w:highlight w:val="none"/>
        </w:rPr>
      </w:pPr>
      <w:r>
        <w:rPr>
          <w:rFonts w:hint="eastAsia" w:ascii="仿宋" w:hAnsi="仿宋" w:eastAsia="仿宋" w:cs="楷体"/>
          <w:color w:val="auto"/>
          <w:szCs w:val="21"/>
          <w:highlight w:val="none"/>
        </w:rPr>
        <w:t>13.2、成交供应商应当在接到采购代理机构通知之日起5个工作日内，领取《成交通知书》。</w:t>
      </w:r>
    </w:p>
    <w:p>
      <w:pPr>
        <w:tabs>
          <w:tab w:val="left" w:pos="7665"/>
        </w:tabs>
        <w:spacing w:line="450" w:lineRule="exact"/>
        <w:ind w:firstLine="480"/>
        <w:rPr>
          <w:rFonts w:ascii="仿宋" w:hAnsi="仿宋" w:eastAsia="仿宋" w:cs="楷体"/>
          <w:color w:val="auto"/>
          <w:szCs w:val="21"/>
          <w:highlight w:val="none"/>
        </w:rPr>
      </w:pPr>
      <w:r>
        <w:rPr>
          <w:rFonts w:hint="eastAsia" w:ascii="仿宋" w:hAnsi="仿宋" w:eastAsia="仿宋" w:cs="楷体"/>
          <w:color w:val="auto"/>
          <w:szCs w:val="21"/>
          <w:highlight w:val="none"/>
        </w:rPr>
        <w:t>13.3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pPr>
        <w:tabs>
          <w:tab w:val="left" w:pos="7665"/>
        </w:tabs>
        <w:spacing w:line="450" w:lineRule="exact"/>
        <w:ind w:firstLine="482"/>
        <w:rPr>
          <w:rFonts w:ascii="仿宋" w:hAnsi="仿宋" w:eastAsia="仿宋" w:cs="楷体"/>
          <w:color w:val="auto"/>
          <w:szCs w:val="21"/>
          <w:highlight w:val="none"/>
        </w:rPr>
      </w:pPr>
      <w:r>
        <w:rPr>
          <w:rFonts w:hint="eastAsia" w:ascii="仿宋" w:hAnsi="仿宋" w:eastAsia="仿宋" w:cs="楷体"/>
          <w:color w:val="auto"/>
          <w:szCs w:val="21"/>
          <w:highlight w:val="none"/>
        </w:rPr>
        <w:t>13.4、成交供应商在收到采购代理机构的成交通知书后5日内，应按照磋商供应商须知前列表的规定，向采购人提交履约磋商保证金或履约担保。</w:t>
      </w:r>
    </w:p>
    <w:p>
      <w:pPr>
        <w:tabs>
          <w:tab w:val="left" w:pos="7665"/>
        </w:tabs>
        <w:spacing w:line="450" w:lineRule="exact"/>
        <w:ind w:firstLine="482"/>
        <w:rPr>
          <w:rFonts w:ascii="仿宋" w:hAnsi="仿宋" w:eastAsia="仿宋" w:cs="楷体"/>
          <w:color w:val="auto"/>
          <w:spacing w:val="2"/>
          <w:szCs w:val="21"/>
          <w:highlight w:val="none"/>
        </w:rPr>
      </w:pPr>
      <w:r>
        <w:rPr>
          <w:rFonts w:hint="eastAsia" w:ascii="仿宋" w:hAnsi="仿宋" w:eastAsia="仿宋" w:cs="楷体"/>
          <w:color w:val="auto"/>
          <w:szCs w:val="21"/>
          <w:highlight w:val="none"/>
        </w:rPr>
        <w:t>13.5、成交供应商</w:t>
      </w:r>
      <w:r>
        <w:rPr>
          <w:rFonts w:hint="eastAsia" w:ascii="仿宋" w:hAnsi="仿宋" w:eastAsia="仿宋" w:cs="楷体"/>
          <w:color w:val="auto"/>
          <w:spacing w:val="4"/>
          <w:szCs w:val="21"/>
          <w:highlight w:val="none"/>
        </w:rPr>
        <w:t>没有按照本章第13.4条</w:t>
      </w:r>
      <w:r>
        <w:rPr>
          <w:rFonts w:hint="eastAsia" w:ascii="仿宋" w:hAnsi="仿宋" w:eastAsia="仿宋" w:cs="楷体"/>
          <w:color w:val="auto"/>
          <w:kern w:val="0"/>
          <w:szCs w:val="21"/>
          <w:highlight w:val="none"/>
          <w:lang w:val="zh-CN"/>
        </w:rPr>
        <w:t>款</w:t>
      </w:r>
      <w:r>
        <w:rPr>
          <w:rFonts w:hint="eastAsia" w:ascii="仿宋" w:hAnsi="仿宋" w:eastAsia="仿宋" w:cs="楷体"/>
          <w:color w:val="auto"/>
          <w:spacing w:val="4"/>
          <w:szCs w:val="21"/>
          <w:highlight w:val="none"/>
        </w:rPr>
        <w:t>规定</w:t>
      </w:r>
      <w:r>
        <w:rPr>
          <w:rFonts w:hint="eastAsia" w:ascii="仿宋" w:hAnsi="仿宋" w:eastAsia="仿宋" w:cs="楷体"/>
          <w:color w:val="auto"/>
          <w:szCs w:val="21"/>
          <w:highlight w:val="none"/>
        </w:rPr>
        <w:t>提交履约磋商保证金或履约担保的</w:t>
      </w:r>
      <w:r>
        <w:rPr>
          <w:rFonts w:hint="eastAsia" w:ascii="仿宋" w:hAnsi="仿宋" w:eastAsia="仿宋" w:cs="楷体"/>
          <w:color w:val="auto"/>
          <w:spacing w:val="4"/>
          <w:szCs w:val="21"/>
          <w:highlight w:val="none"/>
        </w:rPr>
        <w:t>，视为放弃</w:t>
      </w:r>
      <w:r>
        <w:rPr>
          <w:rFonts w:hint="eastAsia" w:ascii="仿宋" w:hAnsi="仿宋" w:eastAsia="仿宋" w:cs="楷体"/>
          <w:color w:val="auto"/>
          <w:szCs w:val="21"/>
          <w:highlight w:val="none"/>
        </w:rPr>
        <w:t>中标资格</w:t>
      </w:r>
      <w:r>
        <w:rPr>
          <w:rFonts w:hint="eastAsia" w:ascii="仿宋" w:hAnsi="仿宋" w:eastAsia="仿宋" w:cs="楷体"/>
          <w:color w:val="auto"/>
          <w:spacing w:val="4"/>
          <w:szCs w:val="21"/>
          <w:highlight w:val="none"/>
        </w:rPr>
        <w:t>，</w:t>
      </w:r>
      <w:r>
        <w:rPr>
          <w:rFonts w:hint="eastAsia" w:ascii="仿宋" w:hAnsi="仿宋" w:eastAsia="仿宋" w:cs="楷体"/>
          <w:color w:val="auto"/>
          <w:spacing w:val="2"/>
          <w:szCs w:val="21"/>
          <w:highlight w:val="none"/>
        </w:rPr>
        <w:t>其磋商保证金不予退还。</w:t>
      </w: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3"/>
        <w:numPr>
          <w:ilvl w:val="0"/>
          <w:numId w:val="5"/>
        </w:numPr>
        <w:spacing w:before="0" w:after="0" w:line="360" w:lineRule="auto"/>
        <w:jc w:val="center"/>
        <w:rPr>
          <w:rFonts w:hint="eastAsia" w:ascii="宋体" w:hAnsi="宋体" w:cs="宋体"/>
          <w:color w:val="auto"/>
          <w:sz w:val="36"/>
          <w:szCs w:val="44"/>
          <w:highlight w:val="none"/>
        </w:rPr>
      </w:pPr>
      <w:bookmarkStart w:id="33" w:name="_Toc502735772"/>
      <w:bookmarkStart w:id="34" w:name="_Toc8778"/>
      <w:bookmarkStart w:id="35" w:name="_Toc16567_WPSOffice_Level1"/>
      <w:bookmarkStart w:id="36" w:name="_Toc4553_WPSOffice_Level1"/>
      <w:bookmarkStart w:id="37" w:name="_Toc8012_WPSOffice_Level1"/>
      <w:bookmarkStart w:id="38" w:name="_Toc14374"/>
      <w:bookmarkStart w:id="39" w:name="_Toc7648"/>
      <w:bookmarkStart w:id="40" w:name="_Toc16389_WPSOffice_Level1"/>
      <w:bookmarkStart w:id="41" w:name="_Toc29953"/>
      <w:bookmarkStart w:id="42" w:name="_Toc32362_WPSOffice_Level1"/>
      <w:bookmarkStart w:id="43" w:name="_Toc14631"/>
      <w:r>
        <w:rPr>
          <w:rFonts w:hint="eastAsia" w:ascii="宋体" w:hAnsi="宋体" w:cs="宋体"/>
          <w:color w:val="auto"/>
          <w:sz w:val="36"/>
          <w:szCs w:val="44"/>
          <w:highlight w:val="none"/>
        </w:rPr>
        <w:t xml:space="preserve"> 采购需求及要求</w:t>
      </w:r>
      <w:bookmarkEnd w:id="33"/>
    </w:p>
    <w:p>
      <w:pPr>
        <w:pStyle w:val="3"/>
        <w:numPr>
          <w:ilvl w:val="0"/>
          <w:numId w:val="0"/>
        </w:numPr>
        <w:spacing w:before="0" w:after="0" w:line="360" w:lineRule="auto"/>
        <w:jc w:val="center"/>
        <w:rPr>
          <w:rFonts w:hint="eastAsia" w:ascii="宋体" w:hAnsi="宋体" w:cs="宋体"/>
          <w:color w:val="auto"/>
          <w:sz w:val="36"/>
          <w:szCs w:val="44"/>
          <w:highlight w:val="none"/>
        </w:rPr>
      </w:pPr>
      <w:r>
        <w:rPr>
          <w:rFonts w:hint="eastAsia"/>
          <w:b/>
          <w:color w:val="auto"/>
          <w:sz w:val="28"/>
          <w:szCs w:val="28"/>
          <w:highlight w:val="none"/>
        </w:rPr>
        <w:t>（可参照以下</w:t>
      </w:r>
      <w:r>
        <w:rPr>
          <w:rFonts w:hint="eastAsia"/>
          <w:b/>
          <w:color w:val="auto"/>
          <w:sz w:val="28"/>
          <w:szCs w:val="28"/>
          <w:highlight w:val="none"/>
          <w:lang w:eastAsia="zh-CN"/>
        </w:rPr>
        <w:t>内容</w:t>
      </w:r>
      <w:r>
        <w:rPr>
          <w:rFonts w:hint="eastAsia"/>
          <w:b/>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kern w:val="2"/>
          <w:sz w:val="24"/>
          <w:szCs w:val="24"/>
          <w:highlight w:val="none"/>
          <w:lang w:val="en-US" w:eastAsia="zh-CN" w:bidi="ar"/>
        </w:rPr>
        <w:t>汉中市南郑区林业局组织开展第一次全国自然灾害综合风险普查的森林火灾风险普查调查，是</w:t>
      </w:r>
      <w:r>
        <w:rPr>
          <w:rFonts w:hint="eastAsia" w:ascii="仿宋_GB2312" w:hAnsi="仿宋_GB2312" w:eastAsia="仿宋_GB2312" w:cs="仿宋_GB2312"/>
          <w:color w:val="auto"/>
          <w:sz w:val="24"/>
          <w:szCs w:val="24"/>
          <w:highlight w:val="none"/>
          <w:lang w:bidi="ar"/>
        </w:rPr>
        <w:t>摸清全区森林火灾风险隐患底数，查明重点区域抗灾能力，客观认识全区森林草原火灾风险水平，为各级政府及本行业有效地开展森林火灾防治与应急管理工作、切实保障社会经济可持续发展提供权威的森林火灾风险信息及科学决策依据。为了切实做好该项工作，严格执行《国务院办公厅关于开展第一次全国自然灾害综合风险普查》</w:t>
      </w:r>
      <w:r>
        <w:rPr>
          <w:rFonts w:hint="eastAsia" w:ascii="仿宋_GB2312" w:hAnsi="仿宋_GB2312" w:eastAsia="仿宋_GB2312" w:cs="仿宋_GB2312"/>
          <w:color w:val="auto"/>
          <w:sz w:val="24"/>
          <w:szCs w:val="24"/>
          <w:highlight w:val="none"/>
          <w:lang w:eastAsia="zh-CN" w:bidi="ar"/>
        </w:rPr>
        <w:t>、《陕西省森林草原火灾风险普查实施方案》</w:t>
      </w:r>
      <w:r>
        <w:rPr>
          <w:rFonts w:hint="eastAsia" w:ascii="仿宋_GB2312" w:hAnsi="仿宋_GB2312" w:eastAsia="仿宋_GB2312" w:cs="仿宋_GB2312"/>
          <w:color w:val="auto"/>
          <w:sz w:val="24"/>
          <w:szCs w:val="24"/>
          <w:highlight w:val="none"/>
          <w:lang w:bidi="ar"/>
        </w:rPr>
        <w:t>《陕西省森林和草原火灾风险普查实施细则》及相关技术标准。确保调查到位，数据准确，记录完整。</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2" w:firstLineChars="200"/>
        <w:textAlignment w:val="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lang w:val="en-US" w:eastAsia="zh-CN"/>
        </w:rPr>
        <w:t>二、</w:t>
      </w:r>
      <w:r>
        <w:rPr>
          <w:rFonts w:hint="eastAsia" w:ascii="黑体" w:hAnsi="黑体" w:eastAsia="黑体" w:cs="黑体"/>
          <w:b/>
          <w:bCs/>
          <w:color w:val="auto"/>
          <w:sz w:val="24"/>
          <w:szCs w:val="24"/>
          <w:highlight w:val="none"/>
          <w:u w:val="none"/>
        </w:rPr>
        <w:t>采购</w:t>
      </w:r>
      <w:r>
        <w:rPr>
          <w:rFonts w:hint="eastAsia" w:ascii="黑体" w:hAnsi="黑体" w:eastAsia="黑体" w:cs="黑体"/>
          <w:b/>
          <w:bCs/>
          <w:color w:val="auto"/>
          <w:sz w:val="24"/>
          <w:szCs w:val="24"/>
          <w:highlight w:val="none"/>
          <w:u w:val="none"/>
          <w:lang w:val="en-US" w:eastAsia="zh-CN"/>
        </w:rPr>
        <w:t>目标</w:t>
      </w:r>
      <w:r>
        <w:rPr>
          <w:rFonts w:hint="eastAsia" w:ascii="黑体" w:hAnsi="黑体" w:eastAsia="黑体" w:cs="黑体"/>
          <w:b/>
          <w:bCs/>
          <w:color w:val="auto"/>
          <w:sz w:val="24"/>
          <w:szCs w:val="24"/>
          <w:highlight w:val="none"/>
          <w:u w:val="none"/>
        </w:rPr>
        <w:t>要求</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陕西省森林和草原火灾风险普查重点包括：森林可燃物标准地调查、森林可燃物大样地调查、草原可燃物样地调查、森林和草原野外火源调查、历史森林和草原火灾调查、森林和草原火灾减灾能力调查等。 </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
        </w:rPr>
        <w:t xml:space="preserve">1、森林可燃物标准地调查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（1）基本要素调查。包括空间位置、地质地貌、植被因子等。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（2）森林要素调查。包括起源、优势树种、树种组成、年龄、平均高、郁闭度等。</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（3）可燃物载量调查。包括乔木、灌木、草本、枯落物、地表腐殖质等载量调查。</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（4）其他环境因子和经营措施调查。 </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
        </w:rPr>
        <w:t xml:space="preserve">2、森林可燃物大样地调查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（1）地类。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（2）树种（组）、优势树种（组）与树种组成。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（3）龄级、龄组与竹度。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（4）立地因子。包括：地貌、坡度、坡向、坡位、腐殖质层厚度、灌木、枯落物、草本、起源、郁闭度、覆盖度等级、群落结构类型、自然度。 </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
        </w:rPr>
        <w:t xml:space="preserve">3、草原可燃物样地调查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（1）样地基本要素调查。包括：地理位置、地形、地貌、气候因子等。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（2）草原要素调查。包括草原资源状况、草原植被状况、草原生产力状况、草原利用状况、草原灾害情况等。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（3）草原可燃物载量调查。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（4）其他环境因子调查。 </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
        </w:rPr>
        <w:t xml:space="preserve">4、森林和草原野外火源调查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kern w:val="2"/>
          <w:sz w:val="24"/>
          <w:szCs w:val="24"/>
          <w:highlight w:val="none"/>
          <w:lang w:val="en-US" w:eastAsia="zh-CN" w:bidi="ar"/>
        </w:rPr>
        <w:t xml:space="preserve">（1）引起火灾的火源。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（2）经批准的野外用火。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（3）违规野外用火。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（4）重要火源点。 </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
        </w:rPr>
        <w:t xml:space="preserve">5、历史森林和草原火灾调查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（1）森林和草原火灾档案数据。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（2）森林和草原火灾统计数据。 </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
        </w:rPr>
        <w:t xml:space="preserve">6、森林和草原火灾减灾能力调查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省、市、县各级政府的防火管理能力、专业防扑火队伍、物资储备库（点）、预警监测站点和各类防火设施等的概况、地址、装备设备、覆盖率和储备能力等信息。</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2" w:firstLineChars="200"/>
        <w:textAlignment w:val="auto"/>
        <w:rPr>
          <w:rFonts w:hint="eastAsia" w:ascii="黑体" w:hAnsi="黑体" w:eastAsia="黑体" w:cs="黑体"/>
          <w:b/>
          <w:bCs/>
          <w:color w:val="auto"/>
          <w:sz w:val="24"/>
          <w:szCs w:val="24"/>
          <w:highlight w:val="none"/>
          <w:u w:val="none"/>
          <w:lang w:val="en-US" w:eastAsia="zh-CN"/>
        </w:rPr>
      </w:pPr>
      <w:r>
        <w:rPr>
          <w:rFonts w:hint="eastAsia" w:ascii="黑体" w:hAnsi="黑体" w:eastAsia="黑体" w:cs="黑体"/>
          <w:b/>
          <w:bCs/>
          <w:color w:val="auto"/>
          <w:sz w:val="24"/>
          <w:szCs w:val="24"/>
          <w:highlight w:val="none"/>
          <w:u w:val="none"/>
          <w:lang w:val="en-US" w:eastAsia="zh-CN"/>
        </w:rPr>
        <w:t>三、采购内容：</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森林火灾风险普查工作</w:t>
      </w:r>
      <w:r>
        <w:rPr>
          <w:rFonts w:hint="eastAsia" w:ascii="仿宋_GB2312" w:hAnsi="仿宋_GB2312" w:eastAsia="仿宋_GB2312" w:cs="仿宋_GB2312"/>
          <w:color w:val="auto"/>
          <w:kern w:val="2"/>
          <w:sz w:val="24"/>
          <w:szCs w:val="24"/>
          <w:highlight w:val="none"/>
          <w:lang w:val="en-US" w:eastAsia="zh-CN" w:bidi="ar"/>
        </w:rPr>
        <w:t>任务</w:t>
      </w:r>
      <w:r>
        <w:rPr>
          <w:rFonts w:hint="eastAsia" w:ascii="仿宋_GB2312" w:hAnsi="仿宋_GB2312" w:eastAsia="仿宋_GB2312" w:cs="仿宋_GB2312"/>
          <w:color w:val="auto"/>
          <w:sz w:val="24"/>
          <w:szCs w:val="24"/>
          <w:highlight w:val="none"/>
        </w:rPr>
        <w:t>包括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①风险要素调查、②承灾体数据收集与共享、③风险评估与区划、④数据库与软件系统建设</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⑤质量核查与成果汇交。技术路线以《陕西省森林和草原火灾风险普查实施细则》为基础，并按照有关技术标准、技术规程执行。</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由</w:t>
      </w:r>
      <w:r>
        <w:rPr>
          <w:rFonts w:hint="eastAsia" w:ascii="仿宋_GB2312" w:hAnsi="仿宋_GB2312" w:eastAsia="仿宋_GB2312" w:cs="仿宋_GB2312"/>
          <w:color w:val="auto"/>
          <w:sz w:val="24"/>
          <w:szCs w:val="24"/>
          <w:highlight w:val="none"/>
        </w:rPr>
        <w:t>第三方专业技术支撑单位负责南郑区森林火灾风险普查工作任务。</w:t>
      </w:r>
      <w:r>
        <w:rPr>
          <w:rFonts w:hint="eastAsia" w:ascii="仿宋_GB2312" w:hAnsi="仿宋_GB2312" w:eastAsia="仿宋_GB2312" w:cs="仿宋_GB2312"/>
          <w:color w:val="auto"/>
          <w:sz w:val="24"/>
          <w:szCs w:val="24"/>
          <w:highlight w:val="none"/>
          <w:lang w:val="en-US" w:eastAsia="zh-CN"/>
        </w:rPr>
        <w:t>主要是</w:t>
      </w:r>
      <w:r>
        <w:rPr>
          <w:rFonts w:hint="eastAsia" w:ascii="仿宋_GB2312" w:hAnsi="仿宋_GB2312" w:eastAsia="仿宋_GB2312" w:cs="仿宋_GB2312"/>
          <w:color w:val="auto"/>
          <w:sz w:val="24"/>
          <w:szCs w:val="24"/>
          <w:highlight w:val="none"/>
        </w:rPr>
        <w:t>在我区范围内开展森林火灾风险普查的固定布设样地调查，包括森林可燃物调查、野外火源调查、气象条件调查、历史火灾调查、减灾能力调查。</w:t>
      </w:r>
      <w:r>
        <w:rPr>
          <w:rFonts w:hint="eastAsia" w:ascii="仿宋_GB2312" w:hAnsi="仿宋_GB2312" w:eastAsia="仿宋_GB2312" w:cs="仿宋_GB2312"/>
          <w:color w:val="auto"/>
          <w:sz w:val="24"/>
          <w:szCs w:val="24"/>
          <w:highlight w:val="none"/>
          <w:lang w:val="en-US" w:eastAsia="zh-CN"/>
        </w:rPr>
        <w:t>完成</w:t>
      </w:r>
      <w:r>
        <w:rPr>
          <w:rFonts w:hint="eastAsia" w:ascii="仿宋_GB2312" w:hAnsi="仿宋_GB2312" w:eastAsia="仿宋_GB2312" w:cs="仿宋_GB2312"/>
          <w:color w:val="auto"/>
          <w:sz w:val="24"/>
          <w:szCs w:val="24"/>
          <w:highlight w:val="none"/>
        </w:rPr>
        <w:t>森林资源信息收集、共享相关普查成果数据；</w:t>
      </w:r>
      <w:r>
        <w:rPr>
          <w:rFonts w:hint="eastAsia" w:ascii="仿宋_GB2312" w:hAnsi="仿宋_GB2312" w:eastAsia="仿宋_GB2312" w:cs="仿宋_GB2312"/>
          <w:color w:val="auto"/>
          <w:sz w:val="24"/>
          <w:szCs w:val="24"/>
          <w:highlight w:val="none"/>
          <w:lang w:val="en-US" w:eastAsia="zh-CN"/>
        </w:rPr>
        <w:t>完成</w:t>
      </w:r>
      <w:r>
        <w:rPr>
          <w:rFonts w:hint="eastAsia" w:ascii="仿宋_GB2312" w:hAnsi="仿宋_GB2312" w:eastAsia="仿宋_GB2312" w:cs="仿宋_GB2312"/>
          <w:color w:val="auto"/>
          <w:sz w:val="24"/>
          <w:szCs w:val="24"/>
          <w:highlight w:val="none"/>
        </w:rPr>
        <w:t>危险性评估、重点隐患评估、风险评估、风险区划、防治区划；</w:t>
      </w:r>
      <w:r>
        <w:rPr>
          <w:rFonts w:hint="eastAsia" w:ascii="仿宋_GB2312" w:hAnsi="仿宋_GB2312" w:eastAsia="仿宋_GB2312" w:cs="仿宋_GB2312"/>
          <w:color w:val="auto"/>
          <w:sz w:val="24"/>
          <w:szCs w:val="24"/>
          <w:highlight w:val="none"/>
          <w:lang w:val="en-US" w:eastAsia="zh-CN"/>
        </w:rPr>
        <w:t>完成</w:t>
      </w:r>
      <w:r>
        <w:rPr>
          <w:rFonts w:hint="eastAsia" w:ascii="仿宋_GB2312" w:hAnsi="仿宋_GB2312" w:eastAsia="仿宋_GB2312" w:cs="仿宋_GB2312"/>
          <w:color w:val="auto"/>
          <w:sz w:val="24"/>
          <w:szCs w:val="24"/>
          <w:highlight w:val="none"/>
        </w:rPr>
        <w:t>空间数据制备、数据库建设、软件系统建设。</w:t>
      </w:r>
      <w:r>
        <w:rPr>
          <w:rFonts w:hint="eastAsia" w:ascii="仿宋_GB2312" w:hAnsi="仿宋_GB2312" w:eastAsia="仿宋_GB2312" w:cs="仿宋_GB2312"/>
          <w:color w:val="auto"/>
          <w:sz w:val="24"/>
          <w:szCs w:val="24"/>
          <w:highlight w:val="none"/>
          <w:lang w:val="en-US" w:eastAsia="zh-CN"/>
        </w:rPr>
        <w:t>基础内容如下：</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1、森林可燃物调查。</w:t>
      </w:r>
      <w:r>
        <w:rPr>
          <w:rFonts w:hint="eastAsia" w:ascii="仿宋_GB2312" w:hAnsi="仿宋_GB2312" w:eastAsia="仿宋_GB2312" w:cs="仿宋_GB2312"/>
          <w:color w:val="auto"/>
          <w:sz w:val="24"/>
          <w:szCs w:val="24"/>
          <w:highlight w:val="none"/>
        </w:rPr>
        <w:t>南郑区森林可燃物调查样地布设66个。其中，乔木林标准地56个，灌木林标准地3个；森林大样地7个。森林可燃物大样地及大样地分布图（1:25000）绘制。依据《森林可燃物标准地调查技术规程》要求开展可认为现地调查获取标准地因子等数据，调查乔、灌、草枯死木、枯落物、腐殖质等不同类型可燃物载量要素，进行样品采集和试验测定。</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2、森林野外火源调查</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rPr>
        <w:t>调查并统计全区林牧区范围（2016-2020年）近五年发生的野外火源信息，包括引起火灾的火源，批准的野外用火、违规野外用火、重要火源点、无民事行为能力和限制行为能力人口，其中，部分宗教活动场所、旅游景区、人口等数据通过共享应急部承灾体调查、减灾能力调查成果获取。绘制（1:50000）林区牧区野外火源分布图。</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3、历史森林火灾调查</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rPr>
        <w:t>调查（1990年-2020年）发生的森林火灾，包括森林火灾档案数据，森林火灾统计数据。建立全省森林火灾事件专项调查数据库。</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2" w:firstLineChars="200"/>
        <w:textAlignment w:val="auto"/>
        <w:rPr>
          <w:rFonts w:hint="eastAsia" w:ascii="黑体" w:hAnsi="黑体" w:eastAsia="黑体" w:cs="黑体"/>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4、森林火灾减灾能力调查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获取用于森林火灾防灾减灾救灾的各种资源，包括防火管理队伍、专业防扑火队伍、护林员队伍、防火物资储备库、防火阻隔系统、防火瞭望检查系统、防火预警系统防火道路、防火信息指挥系统、防火通讯指挥系统和其他各类防火基础设施等减灾能力调查。</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2" w:firstLineChars="200"/>
        <w:textAlignment w:val="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lang w:val="en-US" w:eastAsia="zh-CN"/>
        </w:rPr>
        <w:t xml:space="preserve">四、风险普查范围 </w:t>
      </w:r>
    </w:p>
    <w:p>
      <w:pPr>
        <w:adjustRightInd w:val="0"/>
        <w:spacing w:line="580" w:lineRule="exact"/>
        <w:ind w:firstLine="480" w:firstLineChars="200"/>
        <w:rPr>
          <w:rFonts w:hint="default"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汉中市</w:t>
      </w:r>
      <w:r>
        <w:rPr>
          <w:rFonts w:hint="eastAsia" w:ascii="仿宋_GB2312" w:hAnsi="仿宋_GB2312" w:eastAsia="仿宋_GB2312" w:cs="仿宋_GB2312"/>
          <w:color w:val="auto"/>
          <w:sz w:val="24"/>
          <w:szCs w:val="24"/>
          <w:highlight w:val="none"/>
        </w:rPr>
        <w:t>南郑区</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2" w:firstLineChars="200"/>
        <w:textAlignment w:val="auto"/>
        <w:rPr>
          <w:rFonts w:hint="eastAsia" w:ascii="黑体" w:hAnsi="黑体" w:eastAsia="黑体" w:cs="黑体"/>
          <w:b/>
          <w:bCs/>
          <w:color w:val="auto"/>
          <w:sz w:val="24"/>
          <w:highlight w:val="none"/>
          <w:u w:val="none"/>
        </w:rPr>
      </w:pPr>
      <w:r>
        <w:rPr>
          <w:rFonts w:hint="eastAsia" w:ascii="黑体" w:hAnsi="黑体" w:eastAsia="黑体" w:cs="黑体"/>
          <w:b/>
          <w:bCs/>
          <w:color w:val="auto"/>
          <w:sz w:val="24"/>
          <w:highlight w:val="none"/>
          <w:u w:val="none"/>
          <w:lang w:val="en-US" w:eastAsia="zh-CN"/>
        </w:rPr>
        <w:t>五、</w:t>
      </w:r>
      <w:r>
        <w:rPr>
          <w:rFonts w:hint="eastAsia" w:ascii="黑体" w:hAnsi="黑体" w:eastAsia="黑体" w:cs="黑体"/>
          <w:b/>
          <w:bCs/>
          <w:color w:val="auto"/>
          <w:kern w:val="2"/>
          <w:sz w:val="24"/>
          <w:szCs w:val="24"/>
          <w:highlight w:val="none"/>
          <w:u w:val="none"/>
          <w:lang w:val="en-US" w:eastAsia="zh-CN" w:bidi="ar"/>
        </w:rPr>
        <w:t xml:space="preserve">普查成果 </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
        </w:rPr>
        <w:t xml:space="preserve">1、数据成果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2"/>
          <w:sz w:val="24"/>
          <w:szCs w:val="24"/>
          <w:highlight w:val="none"/>
          <w:lang w:val="en-US" w:eastAsia="zh-CN" w:bidi="ar"/>
        </w:rPr>
        <w:t>主要包括森林和草原可燃物数据、野外火源数据、气象数据、历史火灾数据、减灾能力数据，危险性评估数据，重点隐患评估数据，减灾能力评估数据，风险评估与区划数据、防治区划数据等，形成风险普查数据库，涵盖各类空间数据和统计数据。</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
        </w:rPr>
        <w:t xml:space="preserve">2、图件成果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主要包括各级森林和草原火灾可燃物分布图，野外火源分布图，历史火灾分布图，危险性分布图，重点隐患分布图，综合减灾能力分布图，风险等级分布图，防治区划图等。 </w:t>
      </w:r>
    </w:p>
    <w:p>
      <w:pPr>
        <w:keepNext w:val="0"/>
        <w:keepLines w:val="0"/>
        <w:pageBreakBefore w:val="0"/>
        <w:widowControl w:val="0"/>
        <w:kinsoku/>
        <w:wordWrap/>
        <w:overflowPunct/>
        <w:topLinePunct w:val="0"/>
        <w:autoSpaceDE/>
        <w:autoSpaceDN/>
        <w:bidi w:val="0"/>
        <w:adjustRightInd w:val="0"/>
        <w:snapToGrid/>
        <w:spacing w:line="580" w:lineRule="exact"/>
        <w:ind w:firstLine="482"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
        </w:rPr>
        <w:t>3、文字报告类成果</w:t>
      </w:r>
      <w:r>
        <w:rPr>
          <w:rFonts w:hint="eastAsia" w:ascii="仿宋_GB2312" w:hAnsi="仿宋_GB2312" w:eastAsia="仿宋_GB2312" w:cs="仿宋_GB2312"/>
          <w:b w:val="0"/>
          <w:bCs w:val="0"/>
          <w:color w:val="auto"/>
          <w:kern w:val="2"/>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
        </w:rPr>
        <w:t xml:space="preserve">主要包括各级森林和草原火灾风险要素调查报告、森林和草原火灾风险普查评估与区划报告。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2" w:firstLineChars="200"/>
        <w:textAlignment w:val="auto"/>
        <w:rPr>
          <w:rFonts w:hint="eastAsia" w:ascii="黑体" w:hAnsi="黑体" w:eastAsia="黑体" w:cs="黑体"/>
          <w:b/>
          <w:bCs/>
          <w:snapToGrid/>
          <w:color w:val="auto"/>
          <w:kern w:val="2"/>
          <w:sz w:val="24"/>
          <w:szCs w:val="24"/>
          <w:highlight w:val="none"/>
          <w:u w:val="none"/>
        </w:rPr>
      </w:pPr>
      <w:r>
        <w:rPr>
          <w:rFonts w:hint="eastAsia" w:ascii="黑体" w:hAnsi="黑体" w:eastAsia="黑体" w:cs="黑体"/>
          <w:b/>
          <w:bCs/>
          <w:color w:val="auto"/>
          <w:sz w:val="24"/>
          <w:szCs w:val="24"/>
          <w:highlight w:val="none"/>
          <w:u w:val="none"/>
          <w:lang w:val="en-US" w:eastAsia="zh-CN"/>
        </w:rPr>
        <w:t>六</w:t>
      </w:r>
      <w:r>
        <w:rPr>
          <w:rFonts w:hint="eastAsia" w:ascii="黑体" w:hAnsi="黑体" w:eastAsia="黑体" w:cs="黑体"/>
          <w:b/>
          <w:bCs/>
          <w:snapToGrid/>
          <w:color w:val="auto"/>
          <w:kern w:val="2"/>
          <w:sz w:val="24"/>
          <w:szCs w:val="24"/>
          <w:highlight w:val="none"/>
          <w:u w:val="none"/>
        </w:rPr>
        <w:t>、商务要求</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snapToGrid/>
          <w:color w:val="auto"/>
          <w:kern w:val="2"/>
          <w:sz w:val="24"/>
          <w:szCs w:val="24"/>
          <w:highlight w:val="none"/>
        </w:rPr>
      </w:pPr>
      <w:r>
        <w:rPr>
          <w:rFonts w:hint="eastAsia" w:ascii="仿宋_GB2312" w:hAnsi="仿宋_GB2312" w:eastAsia="仿宋_GB2312" w:cs="仿宋_GB2312"/>
          <w:snapToGrid/>
          <w:color w:val="auto"/>
          <w:kern w:val="2"/>
          <w:sz w:val="24"/>
          <w:szCs w:val="24"/>
          <w:highlight w:val="none"/>
          <w:lang w:eastAsia="zh-CN"/>
        </w:rPr>
        <w:t>（</w:t>
      </w:r>
      <w:r>
        <w:rPr>
          <w:rFonts w:hint="eastAsia" w:ascii="仿宋_GB2312" w:hAnsi="仿宋_GB2312" w:eastAsia="仿宋_GB2312" w:cs="仿宋_GB2312"/>
          <w:snapToGrid/>
          <w:color w:val="auto"/>
          <w:kern w:val="2"/>
          <w:sz w:val="24"/>
          <w:szCs w:val="24"/>
          <w:highlight w:val="none"/>
        </w:rPr>
        <w:t>一）服务期限：自合同签订之日起</w:t>
      </w:r>
      <w:r>
        <w:rPr>
          <w:rFonts w:hint="eastAsia" w:ascii="仿宋_GB2312" w:hAnsi="仿宋_GB2312" w:eastAsia="仿宋_GB2312" w:cs="仿宋_GB2312"/>
          <w:snapToGrid/>
          <w:color w:val="auto"/>
          <w:kern w:val="2"/>
          <w:sz w:val="24"/>
          <w:szCs w:val="24"/>
          <w:highlight w:val="none"/>
          <w:lang w:val="en-US" w:eastAsia="zh-CN"/>
        </w:rPr>
        <w:t>至2022年10月30日</w:t>
      </w:r>
      <w:r>
        <w:rPr>
          <w:rFonts w:hint="eastAsia" w:ascii="仿宋_GB2312" w:hAnsi="仿宋_GB2312" w:eastAsia="仿宋_GB2312" w:cs="仿宋_GB2312"/>
          <w:snapToGrid/>
          <w:color w:val="auto"/>
          <w:kern w:val="2"/>
          <w:sz w:val="24"/>
          <w:szCs w:val="24"/>
          <w:highlight w:val="none"/>
          <w:u w:val="none"/>
          <w:lang w:eastAsia="zh-CN"/>
        </w:rPr>
        <w:t>前</w:t>
      </w:r>
      <w:r>
        <w:rPr>
          <w:rFonts w:hint="eastAsia" w:ascii="仿宋_GB2312" w:hAnsi="仿宋_GB2312" w:eastAsia="仿宋_GB2312" w:cs="仿宋_GB2312"/>
          <w:snapToGrid/>
          <w:color w:val="auto"/>
          <w:kern w:val="2"/>
          <w:sz w:val="24"/>
          <w:szCs w:val="24"/>
          <w:highlight w:val="none"/>
        </w:rPr>
        <w:t>提交正式成果，具体时间安排</w:t>
      </w:r>
      <w:r>
        <w:rPr>
          <w:rFonts w:hint="eastAsia" w:ascii="仿宋_GB2312" w:hAnsi="仿宋_GB2312" w:eastAsia="仿宋_GB2312" w:cs="仿宋_GB2312"/>
          <w:snapToGrid/>
          <w:color w:val="auto"/>
          <w:kern w:val="2"/>
          <w:sz w:val="24"/>
          <w:szCs w:val="24"/>
          <w:highlight w:val="none"/>
          <w:lang w:eastAsia="zh-CN"/>
        </w:rPr>
        <w:t>，可</w:t>
      </w:r>
      <w:r>
        <w:rPr>
          <w:rFonts w:hint="eastAsia" w:ascii="仿宋_GB2312" w:hAnsi="仿宋_GB2312" w:eastAsia="仿宋_GB2312" w:cs="仿宋_GB2312"/>
          <w:snapToGrid/>
          <w:color w:val="auto"/>
          <w:kern w:val="2"/>
          <w:sz w:val="24"/>
          <w:szCs w:val="24"/>
          <w:highlight w:val="none"/>
        </w:rPr>
        <w:t>根据采购人要求进行调整。</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snapToGrid/>
          <w:color w:val="auto"/>
          <w:kern w:val="2"/>
          <w:sz w:val="24"/>
          <w:szCs w:val="24"/>
          <w:highlight w:val="none"/>
        </w:rPr>
      </w:pPr>
      <w:r>
        <w:rPr>
          <w:rFonts w:hint="eastAsia" w:ascii="仿宋_GB2312" w:hAnsi="仿宋_GB2312" w:eastAsia="仿宋_GB2312" w:cs="仿宋_GB2312"/>
          <w:snapToGrid/>
          <w:color w:val="auto"/>
          <w:kern w:val="2"/>
          <w:sz w:val="24"/>
          <w:szCs w:val="24"/>
          <w:highlight w:val="none"/>
          <w:lang w:eastAsia="zh-CN"/>
        </w:rPr>
        <w:t>（</w:t>
      </w:r>
      <w:r>
        <w:rPr>
          <w:rFonts w:hint="eastAsia" w:ascii="仿宋_GB2312" w:hAnsi="仿宋_GB2312" w:eastAsia="仿宋_GB2312" w:cs="仿宋_GB2312"/>
          <w:snapToGrid/>
          <w:color w:val="auto"/>
          <w:kern w:val="2"/>
          <w:sz w:val="24"/>
          <w:szCs w:val="24"/>
          <w:highlight w:val="none"/>
        </w:rPr>
        <w:t>二）付款方式：成交单位在约定服务期限内提交完成全部成果文件，经采购方审核通过</w:t>
      </w:r>
      <w:r>
        <w:rPr>
          <w:rFonts w:hint="eastAsia" w:ascii="仿宋_GB2312" w:hAnsi="仿宋_GB2312" w:eastAsia="仿宋_GB2312" w:cs="仿宋_GB2312"/>
          <w:snapToGrid/>
          <w:color w:val="auto"/>
          <w:kern w:val="2"/>
          <w:sz w:val="24"/>
          <w:szCs w:val="24"/>
          <w:highlight w:val="none"/>
          <w:lang w:eastAsia="zh-CN"/>
        </w:rPr>
        <w:t>，</w:t>
      </w:r>
      <w:r>
        <w:rPr>
          <w:rFonts w:hint="eastAsia" w:ascii="仿宋_GB2312" w:hAnsi="仿宋_GB2312" w:eastAsia="仿宋_GB2312" w:cs="仿宋_GB2312"/>
          <w:snapToGrid/>
          <w:color w:val="auto"/>
          <w:kern w:val="2"/>
          <w:sz w:val="24"/>
          <w:szCs w:val="24"/>
          <w:highlight w:val="none"/>
          <w:lang w:val="en-US" w:eastAsia="zh-CN"/>
        </w:rPr>
        <w:t>上级部门质量检查</w:t>
      </w:r>
      <w:r>
        <w:rPr>
          <w:rFonts w:hint="eastAsia" w:ascii="仿宋_GB2312" w:hAnsi="仿宋_GB2312" w:eastAsia="仿宋_GB2312" w:cs="仿宋_GB2312"/>
          <w:snapToGrid/>
          <w:color w:val="auto"/>
          <w:kern w:val="2"/>
          <w:sz w:val="24"/>
          <w:szCs w:val="24"/>
          <w:highlight w:val="none"/>
        </w:rPr>
        <w:t>通过</w:t>
      </w:r>
      <w:r>
        <w:rPr>
          <w:rFonts w:hint="eastAsia" w:ascii="仿宋_GB2312" w:hAnsi="仿宋_GB2312" w:eastAsia="仿宋_GB2312" w:cs="仿宋_GB2312"/>
          <w:snapToGrid/>
          <w:color w:val="auto"/>
          <w:kern w:val="2"/>
          <w:sz w:val="24"/>
          <w:szCs w:val="24"/>
          <w:highlight w:val="none"/>
          <w:lang w:val="en-US" w:eastAsia="zh-CN"/>
        </w:rPr>
        <w:t>后，</w:t>
      </w:r>
      <w:r>
        <w:rPr>
          <w:rFonts w:hint="eastAsia" w:ascii="仿宋_GB2312" w:hAnsi="仿宋_GB2312" w:eastAsia="仿宋_GB2312" w:cs="仿宋_GB2312"/>
          <w:snapToGrid/>
          <w:color w:val="auto"/>
          <w:kern w:val="2"/>
          <w:sz w:val="24"/>
          <w:szCs w:val="24"/>
          <w:highlight w:val="none"/>
        </w:rPr>
        <w:t>按合同金额支付（具体内容以合同中商议确定为准）。</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2" w:firstLineChars="200"/>
        <w:textAlignment w:val="auto"/>
        <w:rPr>
          <w:rFonts w:hint="default" w:ascii="黑体" w:hAnsi="黑体" w:eastAsia="黑体" w:cs="黑体"/>
          <w:b/>
          <w:bCs/>
          <w:snapToGrid/>
          <w:color w:val="auto"/>
          <w:kern w:val="2"/>
          <w:sz w:val="24"/>
          <w:szCs w:val="24"/>
          <w:highlight w:val="none"/>
          <w:u w:val="none"/>
        </w:rPr>
      </w:pPr>
      <w:r>
        <w:rPr>
          <w:rFonts w:hint="eastAsia" w:ascii="黑体" w:hAnsi="黑体" w:eastAsia="黑体" w:cs="黑体"/>
          <w:b/>
          <w:bCs/>
          <w:snapToGrid/>
          <w:color w:val="auto"/>
          <w:kern w:val="2"/>
          <w:sz w:val="24"/>
          <w:szCs w:val="24"/>
          <w:highlight w:val="none"/>
          <w:u w:val="none"/>
          <w:lang w:val="en-US" w:eastAsia="zh-CN"/>
        </w:rPr>
        <w:t>七</w:t>
      </w:r>
      <w:r>
        <w:rPr>
          <w:rFonts w:hint="default" w:ascii="黑体" w:hAnsi="黑体" w:eastAsia="黑体" w:cs="黑体"/>
          <w:b/>
          <w:bCs/>
          <w:snapToGrid/>
          <w:color w:val="auto"/>
          <w:kern w:val="2"/>
          <w:sz w:val="24"/>
          <w:szCs w:val="24"/>
          <w:highlight w:val="none"/>
          <w:u w:val="none"/>
        </w:rPr>
        <w:t>、服务质量：完成所有项目并通过省市级验收标准。</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2" w:firstLineChars="200"/>
        <w:textAlignment w:val="auto"/>
        <w:rPr>
          <w:rFonts w:hint="default" w:ascii="黑体" w:hAnsi="黑体" w:eastAsia="黑体" w:cs="黑体"/>
          <w:b/>
          <w:bCs/>
          <w:snapToGrid/>
          <w:color w:val="auto"/>
          <w:kern w:val="2"/>
          <w:sz w:val="24"/>
          <w:szCs w:val="24"/>
          <w:highlight w:val="none"/>
          <w:u w:val="none"/>
        </w:rPr>
      </w:pPr>
      <w:r>
        <w:rPr>
          <w:rFonts w:hint="eastAsia" w:ascii="黑体" w:hAnsi="黑体" w:eastAsia="黑体" w:cs="黑体"/>
          <w:b/>
          <w:bCs/>
          <w:snapToGrid/>
          <w:color w:val="auto"/>
          <w:kern w:val="2"/>
          <w:sz w:val="24"/>
          <w:szCs w:val="24"/>
          <w:highlight w:val="none"/>
          <w:u w:val="none"/>
          <w:lang w:val="en-US" w:eastAsia="zh-CN"/>
        </w:rPr>
        <w:t>八</w:t>
      </w:r>
      <w:r>
        <w:rPr>
          <w:rFonts w:hint="default" w:ascii="黑体" w:hAnsi="黑体" w:eastAsia="黑体" w:cs="黑体"/>
          <w:b/>
          <w:bCs/>
          <w:snapToGrid/>
          <w:color w:val="auto"/>
          <w:kern w:val="2"/>
          <w:sz w:val="24"/>
          <w:szCs w:val="24"/>
          <w:highlight w:val="none"/>
          <w:u w:val="none"/>
        </w:rPr>
        <w:t>、质量要求：符合国家、省、市相关技术要求及标准。</w:t>
      </w:r>
      <w:bookmarkStart w:id="44" w:name="_Toc45121716"/>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2" w:firstLineChars="200"/>
        <w:textAlignment w:val="auto"/>
        <w:rPr>
          <w:rFonts w:hint="default" w:ascii="黑体" w:hAnsi="黑体" w:eastAsia="黑体" w:cs="黑体"/>
          <w:b/>
          <w:bCs/>
          <w:snapToGrid/>
          <w:color w:val="auto"/>
          <w:kern w:val="2"/>
          <w:sz w:val="24"/>
          <w:szCs w:val="24"/>
          <w:highlight w:val="none"/>
          <w:u w:val="none"/>
        </w:rPr>
      </w:pPr>
      <w:r>
        <w:rPr>
          <w:rFonts w:hint="eastAsia" w:ascii="黑体" w:hAnsi="黑体" w:eastAsia="黑体" w:cs="黑体"/>
          <w:b/>
          <w:bCs/>
          <w:snapToGrid/>
          <w:color w:val="auto"/>
          <w:kern w:val="2"/>
          <w:sz w:val="24"/>
          <w:szCs w:val="24"/>
          <w:highlight w:val="none"/>
          <w:u w:val="none"/>
          <w:lang w:val="en-US" w:eastAsia="zh-CN"/>
        </w:rPr>
        <w:t>九</w:t>
      </w:r>
      <w:r>
        <w:rPr>
          <w:rFonts w:hint="default" w:ascii="黑体" w:hAnsi="黑体" w:eastAsia="黑体" w:cs="黑体"/>
          <w:b/>
          <w:bCs/>
          <w:snapToGrid/>
          <w:color w:val="auto"/>
          <w:kern w:val="2"/>
          <w:sz w:val="24"/>
          <w:szCs w:val="24"/>
          <w:highlight w:val="none"/>
          <w:u w:val="none"/>
        </w:rPr>
        <w:t>、</w:t>
      </w:r>
      <w:bookmarkEnd w:id="44"/>
      <w:r>
        <w:rPr>
          <w:rFonts w:hint="default" w:ascii="黑体" w:hAnsi="黑体" w:eastAsia="黑体" w:cs="黑体"/>
          <w:b/>
          <w:bCs/>
          <w:snapToGrid/>
          <w:color w:val="auto"/>
          <w:kern w:val="2"/>
          <w:sz w:val="24"/>
          <w:szCs w:val="24"/>
          <w:highlight w:val="none"/>
          <w:u w:val="none"/>
        </w:rPr>
        <w:t>其它</w:t>
      </w:r>
    </w:p>
    <w:p>
      <w:pPr>
        <w:keepNext w:val="0"/>
        <w:keepLines w:val="0"/>
        <w:pageBreakBefore w:val="0"/>
        <w:widowControl w:val="0"/>
        <w:kinsoku/>
        <w:wordWrap/>
        <w:overflowPunct/>
        <w:topLinePunct w:val="0"/>
        <w:autoSpaceDE/>
        <w:autoSpaceDN/>
        <w:bidi w:val="0"/>
        <w:adjustRightInd w:val="0"/>
        <w:snapToGrid/>
        <w:spacing w:line="5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color w:val="auto"/>
          <w:kern w:val="2"/>
          <w:sz w:val="24"/>
          <w:szCs w:val="24"/>
          <w:highlight w:val="none"/>
        </w:rPr>
        <w:t>本项目所形成的数据成果归采购人所有。项目任务实施中涉及到的相关保密数据、资料、文档等按照相应相关保密规定执行，中标供应商有对资料保密的义务。不得以商业目的使用该资料或者开发和生产其他产品；中标供应商可根据需要对资料内容进行必要的修改和对数据格式进行转换，但未经许可，不得将修改、转换后的数据对外发布和提供。</w:t>
      </w:r>
    </w:p>
    <w:p>
      <w:pPr>
        <w:spacing w:before="156" w:beforeLines="50" w:line="360" w:lineRule="auto"/>
        <w:ind w:firstLine="1205" w:firstLineChars="300"/>
        <w:outlineLvl w:val="0"/>
        <w:rPr>
          <w:rFonts w:ascii="仿宋" w:hAnsi="仿宋" w:eastAsia="仿宋" w:cs="楷体"/>
          <w:b/>
          <w:bCs/>
          <w:color w:val="auto"/>
          <w:sz w:val="40"/>
          <w:szCs w:val="28"/>
          <w:highlight w:val="none"/>
        </w:rPr>
      </w:pPr>
      <w:r>
        <w:rPr>
          <w:rFonts w:hint="eastAsia" w:ascii="仿宋" w:hAnsi="仿宋" w:eastAsia="仿宋" w:cs="楷体"/>
          <w:b/>
          <w:bCs/>
          <w:color w:val="auto"/>
          <w:sz w:val="40"/>
          <w:szCs w:val="28"/>
          <w:highlight w:val="none"/>
        </w:rPr>
        <w:t xml:space="preserve">第五章  </w:t>
      </w:r>
      <w:bookmarkEnd w:id="34"/>
      <w:bookmarkEnd w:id="35"/>
      <w:bookmarkEnd w:id="36"/>
      <w:bookmarkEnd w:id="37"/>
      <w:r>
        <w:rPr>
          <w:rFonts w:hint="eastAsia" w:ascii="仿宋" w:hAnsi="仿宋" w:eastAsia="仿宋" w:cs="楷体"/>
          <w:b/>
          <w:bCs/>
          <w:color w:val="auto"/>
          <w:sz w:val="40"/>
          <w:szCs w:val="28"/>
          <w:highlight w:val="none"/>
        </w:rPr>
        <w:t>合同主要条款</w:t>
      </w:r>
      <w:bookmarkEnd w:id="38"/>
      <w:bookmarkEnd w:id="39"/>
      <w:r>
        <w:rPr>
          <w:rFonts w:hint="eastAsia" w:ascii="仿宋" w:hAnsi="仿宋" w:eastAsia="仿宋" w:cs="楷体"/>
          <w:b/>
          <w:bCs/>
          <w:color w:val="auto"/>
          <w:sz w:val="40"/>
          <w:szCs w:val="28"/>
          <w:highlight w:val="none"/>
        </w:rPr>
        <w:t>及格式</w:t>
      </w:r>
    </w:p>
    <w:p>
      <w:pPr>
        <w:pStyle w:val="18"/>
        <w:ind w:firstLine="803"/>
        <w:rPr>
          <w:rFonts w:ascii="仿宋" w:hAnsi="仿宋" w:eastAsia="仿宋" w:cs="楷体"/>
          <w:b/>
          <w:bCs/>
          <w:color w:val="auto"/>
          <w:sz w:val="36"/>
          <w:szCs w:val="36"/>
          <w:highlight w:val="none"/>
        </w:rPr>
      </w:pPr>
      <w:r>
        <w:rPr>
          <w:rFonts w:hint="eastAsia" w:ascii="仿宋" w:hAnsi="仿宋" w:eastAsia="仿宋" w:cs="楷体"/>
          <w:b/>
          <w:bCs/>
          <w:color w:val="auto"/>
          <w:sz w:val="40"/>
          <w:szCs w:val="28"/>
          <w:highlight w:val="none"/>
        </w:rPr>
        <w:t xml:space="preserve">        （示范文本）</w:t>
      </w:r>
      <w:bookmarkStart w:id="45" w:name="_Toc12850"/>
      <w:bookmarkStart w:id="46" w:name="_Toc8504"/>
    </w:p>
    <w:p>
      <w:pPr>
        <w:spacing w:after="156" w:afterLines="50" w:line="700" w:lineRule="exact"/>
        <w:ind w:right="36" w:rightChars="17"/>
        <w:jc w:val="center"/>
        <w:outlineLvl w:val="0"/>
        <w:rPr>
          <w:rFonts w:ascii="仿宋" w:hAnsi="仿宋" w:eastAsia="仿宋" w:cs="楷体"/>
          <w:b/>
          <w:color w:val="auto"/>
          <w:sz w:val="36"/>
          <w:szCs w:val="36"/>
          <w:highlight w:val="none"/>
        </w:rPr>
      </w:pPr>
      <w:bookmarkStart w:id="47" w:name="_Toc24614"/>
      <w:r>
        <w:rPr>
          <w:rFonts w:hint="eastAsia" w:ascii="仿宋" w:hAnsi="仿宋" w:eastAsia="仿宋" w:cs="楷体"/>
          <w:b/>
          <w:color w:val="auto"/>
          <w:sz w:val="36"/>
          <w:szCs w:val="36"/>
          <w:highlight w:val="none"/>
        </w:rPr>
        <w:t xml:space="preserve"> 合同条款</w:t>
      </w:r>
      <w:bookmarkEnd w:id="47"/>
    </w:p>
    <w:p>
      <w:pPr>
        <w:spacing w:line="560" w:lineRule="exact"/>
        <w:ind w:right="36" w:rightChars="17"/>
        <w:rPr>
          <w:rFonts w:ascii="仿宋" w:hAnsi="仿宋" w:eastAsia="仿宋" w:cs="楷体"/>
          <w:b/>
          <w:color w:val="auto"/>
          <w:sz w:val="24"/>
          <w:highlight w:val="none"/>
          <w:u w:val="single"/>
        </w:rPr>
      </w:pPr>
      <w:r>
        <w:rPr>
          <w:rFonts w:hint="eastAsia" w:ascii="仿宋" w:hAnsi="仿宋" w:eastAsia="仿宋" w:cs="楷体"/>
          <w:b/>
          <w:color w:val="auto"/>
          <w:sz w:val="24"/>
          <w:highlight w:val="none"/>
        </w:rPr>
        <w:t>采购人（甲方）：</w:t>
      </w:r>
      <w:r>
        <w:rPr>
          <w:rFonts w:hint="eastAsia" w:ascii="仿宋" w:hAnsi="仿宋" w:eastAsia="仿宋" w:cs="楷体"/>
          <w:b/>
          <w:color w:val="auto"/>
          <w:sz w:val="24"/>
          <w:highlight w:val="none"/>
          <w:u w:val="single"/>
        </w:rPr>
        <w:t xml:space="preserve">                                                      </w:t>
      </w:r>
    </w:p>
    <w:p>
      <w:pPr>
        <w:spacing w:line="560" w:lineRule="exact"/>
        <w:ind w:right="36" w:rightChars="17"/>
        <w:rPr>
          <w:rFonts w:ascii="仿宋" w:hAnsi="仿宋" w:eastAsia="仿宋" w:cs="楷体"/>
          <w:b/>
          <w:color w:val="auto"/>
          <w:spacing w:val="10"/>
          <w:sz w:val="24"/>
          <w:highlight w:val="none"/>
        </w:rPr>
      </w:pPr>
      <w:r>
        <w:rPr>
          <w:rFonts w:hint="eastAsia" w:ascii="仿宋" w:hAnsi="仿宋" w:eastAsia="仿宋" w:cs="楷体"/>
          <w:b/>
          <w:color w:val="auto"/>
          <w:spacing w:val="30"/>
          <w:sz w:val="24"/>
          <w:highlight w:val="none"/>
        </w:rPr>
        <w:t>法定代表人</w:t>
      </w:r>
      <w:r>
        <w:rPr>
          <w:rFonts w:hint="eastAsia" w:ascii="仿宋" w:hAnsi="仿宋" w:eastAsia="仿宋" w:cs="楷体"/>
          <w:b/>
          <w:color w:val="auto"/>
          <w:spacing w:val="10"/>
          <w:sz w:val="24"/>
          <w:highlight w:val="none"/>
        </w:rPr>
        <w:t>：</w:t>
      </w:r>
      <w:r>
        <w:rPr>
          <w:rFonts w:hint="eastAsia" w:ascii="仿宋" w:hAnsi="仿宋" w:eastAsia="仿宋" w:cs="楷体"/>
          <w:b/>
          <w:color w:val="auto"/>
          <w:sz w:val="24"/>
          <w:highlight w:val="none"/>
          <w:u w:val="single"/>
        </w:rPr>
        <w:t xml:space="preserve">                                                      </w:t>
      </w:r>
    </w:p>
    <w:p>
      <w:pPr>
        <w:spacing w:line="560" w:lineRule="exact"/>
        <w:ind w:right="36" w:rightChars="17"/>
        <w:rPr>
          <w:rFonts w:ascii="仿宋" w:hAnsi="仿宋" w:eastAsia="仿宋" w:cs="楷体"/>
          <w:b/>
          <w:color w:val="auto"/>
          <w:sz w:val="24"/>
          <w:highlight w:val="none"/>
        </w:rPr>
      </w:pPr>
    </w:p>
    <w:p>
      <w:pPr>
        <w:spacing w:line="560" w:lineRule="exact"/>
        <w:ind w:right="36" w:rightChars="17"/>
        <w:rPr>
          <w:rFonts w:ascii="仿宋" w:hAnsi="仿宋" w:eastAsia="仿宋" w:cs="楷体"/>
          <w:b/>
          <w:color w:val="auto"/>
          <w:sz w:val="24"/>
          <w:highlight w:val="none"/>
        </w:rPr>
      </w:pPr>
      <w:r>
        <w:rPr>
          <w:rFonts w:hint="eastAsia" w:ascii="仿宋" w:hAnsi="仿宋" w:eastAsia="仿宋" w:cs="楷体"/>
          <w:b/>
          <w:color w:val="auto"/>
          <w:sz w:val="24"/>
          <w:highlight w:val="none"/>
        </w:rPr>
        <w:t>成交供应商(乙方）</w:t>
      </w:r>
      <w:r>
        <w:rPr>
          <w:rFonts w:hint="eastAsia" w:ascii="仿宋" w:hAnsi="仿宋" w:eastAsia="仿宋" w:cs="楷体"/>
          <w:b/>
          <w:color w:val="auto"/>
          <w:sz w:val="24"/>
          <w:highlight w:val="none"/>
          <w:u w:val="single"/>
        </w:rPr>
        <w:t xml:space="preserve">                                                        </w:t>
      </w:r>
    </w:p>
    <w:p>
      <w:pPr>
        <w:spacing w:line="560" w:lineRule="exact"/>
        <w:ind w:right="36" w:rightChars="17"/>
        <w:rPr>
          <w:rFonts w:ascii="仿宋" w:hAnsi="仿宋" w:eastAsia="仿宋" w:cs="楷体"/>
          <w:b/>
          <w:color w:val="auto"/>
          <w:sz w:val="24"/>
          <w:highlight w:val="none"/>
        </w:rPr>
      </w:pPr>
      <w:r>
        <w:rPr>
          <w:rFonts w:hint="eastAsia" w:ascii="仿宋" w:hAnsi="仿宋" w:eastAsia="仿宋" w:cs="楷体"/>
          <w:b/>
          <w:color w:val="auto"/>
          <w:spacing w:val="30"/>
          <w:sz w:val="24"/>
          <w:highlight w:val="none"/>
        </w:rPr>
        <w:t>法定代表人：</w:t>
      </w:r>
      <w:r>
        <w:rPr>
          <w:rFonts w:hint="eastAsia" w:ascii="仿宋" w:hAnsi="仿宋" w:eastAsia="仿宋" w:cs="楷体"/>
          <w:b/>
          <w:color w:val="auto"/>
          <w:sz w:val="24"/>
          <w:highlight w:val="none"/>
          <w:u w:val="single"/>
        </w:rPr>
        <w:t xml:space="preserve">                                                      </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采购人（甲方）为实施</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(以下简称“本项目”)，已接受成交供应商（乙方）提出的承担本项目的施工、完工、交付验收的磋商投标。依照《中华人民共和国招标投标法》、《中华人民共和国</w:t>
      </w:r>
      <w:r>
        <w:rPr>
          <w:rFonts w:hint="eastAsia" w:ascii="仿宋" w:hAnsi="仿宋" w:eastAsia="仿宋" w:cs="楷体"/>
          <w:color w:val="auto"/>
          <w:sz w:val="24"/>
          <w:highlight w:val="none"/>
          <w:lang w:eastAsia="zh-CN"/>
        </w:rPr>
        <w:t>民法典</w:t>
      </w:r>
      <w:r>
        <w:rPr>
          <w:rFonts w:hint="eastAsia" w:ascii="仿宋" w:hAnsi="仿宋" w:eastAsia="仿宋" w:cs="楷体"/>
          <w:color w:val="auto"/>
          <w:sz w:val="24"/>
          <w:highlight w:val="none"/>
        </w:rPr>
        <w:t>》及《政府采购法》等其他有关法律、行政法规，遵循平等、自愿、公平和诚实信用的原则，双方共同达成并订立如下协议。</w:t>
      </w:r>
    </w:p>
    <w:p>
      <w:pPr>
        <w:spacing w:line="560" w:lineRule="exact"/>
        <w:ind w:right="36" w:rightChars="17" w:firstLine="482" w:firstLineChars="200"/>
        <w:rPr>
          <w:rFonts w:ascii="仿宋" w:hAnsi="仿宋" w:eastAsia="仿宋" w:cs="楷体"/>
          <w:b/>
          <w:bCs/>
          <w:color w:val="auto"/>
          <w:sz w:val="24"/>
          <w:highlight w:val="none"/>
        </w:rPr>
      </w:pPr>
      <w:r>
        <w:rPr>
          <w:rFonts w:hint="eastAsia" w:ascii="仿宋" w:hAnsi="仿宋" w:eastAsia="仿宋" w:cs="楷体"/>
          <w:b/>
          <w:bCs/>
          <w:color w:val="auto"/>
          <w:sz w:val="24"/>
          <w:highlight w:val="none"/>
        </w:rPr>
        <w:t>一、项目概况</w:t>
      </w:r>
    </w:p>
    <w:p>
      <w:pPr>
        <w:spacing w:line="560" w:lineRule="exact"/>
        <w:ind w:right="36" w:rightChars="17" w:firstLine="480" w:firstLineChars="200"/>
        <w:rPr>
          <w:rFonts w:ascii="仿宋" w:hAnsi="仿宋" w:eastAsia="仿宋" w:cs="楷体"/>
          <w:color w:val="auto"/>
          <w:sz w:val="24"/>
          <w:highlight w:val="none"/>
          <w:u w:val="single"/>
        </w:rPr>
      </w:pPr>
      <w:r>
        <w:rPr>
          <w:rFonts w:hint="eastAsia" w:ascii="仿宋" w:hAnsi="仿宋" w:eastAsia="仿宋" w:cs="楷体"/>
          <w:color w:val="auto"/>
          <w:sz w:val="24"/>
          <w:highlight w:val="none"/>
        </w:rPr>
        <w:t>项目名称：</w:t>
      </w:r>
      <w:r>
        <w:rPr>
          <w:rFonts w:hint="eastAsia" w:ascii="仿宋" w:hAnsi="仿宋" w:eastAsia="仿宋" w:cs="楷体"/>
          <w:color w:val="auto"/>
          <w:sz w:val="24"/>
          <w:highlight w:val="none"/>
          <w:u w:val="single"/>
        </w:rPr>
        <w:t xml:space="preserve">                                                 </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项目地点：</w:t>
      </w:r>
      <w:r>
        <w:rPr>
          <w:rFonts w:hint="eastAsia" w:ascii="仿宋" w:hAnsi="仿宋" w:eastAsia="仿宋" w:cs="楷体"/>
          <w:color w:val="auto"/>
          <w:sz w:val="24"/>
          <w:highlight w:val="none"/>
          <w:u w:val="single"/>
        </w:rPr>
        <w:t xml:space="preserve">                                                 </w:t>
      </w:r>
    </w:p>
    <w:p>
      <w:pPr>
        <w:spacing w:line="560" w:lineRule="exact"/>
        <w:ind w:right="36" w:rightChars="17" w:firstLine="482" w:firstLineChars="200"/>
        <w:rPr>
          <w:rFonts w:ascii="仿宋" w:hAnsi="仿宋" w:eastAsia="仿宋" w:cs="楷体"/>
          <w:b/>
          <w:bCs/>
          <w:color w:val="auto"/>
          <w:sz w:val="24"/>
          <w:highlight w:val="none"/>
        </w:rPr>
      </w:pPr>
      <w:r>
        <w:rPr>
          <w:rFonts w:hint="eastAsia" w:ascii="仿宋" w:hAnsi="仿宋" w:eastAsia="仿宋" w:cs="楷体"/>
          <w:b/>
          <w:bCs/>
          <w:color w:val="auto"/>
          <w:sz w:val="24"/>
          <w:highlight w:val="none"/>
        </w:rPr>
        <w:t>二、作业范围</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作业范围：</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详细承包范围见“采购内容及要求”。</w:t>
      </w:r>
    </w:p>
    <w:p>
      <w:pPr>
        <w:spacing w:line="560" w:lineRule="exact"/>
        <w:ind w:right="36" w:rightChars="17" w:firstLine="482" w:firstLineChars="200"/>
        <w:rPr>
          <w:rFonts w:hint="eastAsia" w:ascii="仿宋" w:hAnsi="仿宋" w:eastAsia="仿宋" w:cs="楷体"/>
          <w:color w:val="auto"/>
          <w:sz w:val="24"/>
          <w:highlight w:val="none"/>
          <w:lang w:eastAsia="zh-CN"/>
        </w:rPr>
      </w:pPr>
      <w:r>
        <w:rPr>
          <w:rFonts w:hint="eastAsia" w:ascii="仿宋" w:hAnsi="仿宋" w:eastAsia="仿宋" w:cs="楷体"/>
          <w:b/>
          <w:bCs/>
          <w:color w:val="auto"/>
          <w:sz w:val="24"/>
          <w:highlight w:val="none"/>
        </w:rPr>
        <w:t>三、</w:t>
      </w:r>
      <w:r>
        <w:rPr>
          <w:rFonts w:hint="eastAsia" w:ascii="仿宋" w:hAnsi="仿宋" w:eastAsia="仿宋" w:cs="楷体"/>
          <w:b/>
          <w:bCs/>
          <w:color w:val="auto"/>
          <w:sz w:val="24"/>
          <w:highlight w:val="none"/>
          <w:lang w:eastAsia="zh-CN"/>
        </w:rPr>
        <w:t>服务周期</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计划开工日期：</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年</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月</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日</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计划完工日期：</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年</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月</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日</w:t>
      </w:r>
    </w:p>
    <w:p>
      <w:pPr>
        <w:spacing w:line="560" w:lineRule="exact"/>
        <w:ind w:right="36" w:rightChars="17" w:firstLine="480" w:firstLineChars="200"/>
        <w:rPr>
          <w:rFonts w:ascii="仿宋" w:hAnsi="仿宋" w:eastAsia="仿宋" w:cs="楷体"/>
          <w:color w:val="auto"/>
          <w:sz w:val="24"/>
          <w:highlight w:val="none"/>
          <w:u w:val="single"/>
        </w:rPr>
      </w:pPr>
      <w:r>
        <w:rPr>
          <w:rFonts w:hint="eastAsia" w:ascii="仿宋" w:hAnsi="仿宋" w:eastAsia="仿宋" w:cs="楷体"/>
          <w:color w:val="auto"/>
          <w:sz w:val="24"/>
          <w:highlight w:val="none"/>
        </w:rPr>
        <w:t>工期总天数：</w:t>
      </w:r>
      <w:r>
        <w:rPr>
          <w:rFonts w:hint="eastAsia" w:ascii="仿宋" w:hAnsi="仿宋" w:eastAsia="仿宋" w:cs="楷体"/>
          <w:color w:val="auto"/>
          <w:sz w:val="24"/>
          <w:highlight w:val="none"/>
          <w:u w:val="single"/>
        </w:rPr>
        <w:t xml:space="preserve">          </w:t>
      </w:r>
    </w:p>
    <w:p>
      <w:pPr>
        <w:spacing w:line="560" w:lineRule="exact"/>
        <w:ind w:right="36" w:rightChars="17" w:firstLine="482" w:firstLineChars="200"/>
        <w:rPr>
          <w:rFonts w:ascii="仿宋" w:hAnsi="仿宋" w:eastAsia="仿宋" w:cs="楷体"/>
          <w:b/>
          <w:bCs/>
          <w:color w:val="auto"/>
          <w:sz w:val="24"/>
          <w:highlight w:val="none"/>
        </w:rPr>
      </w:pPr>
      <w:r>
        <w:rPr>
          <w:rFonts w:hint="eastAsia" w:ascii="仿宋" w:hAnsi="仿宋" w:eastAsia="仿宋" w:cs="楷体"/>
          <w:b/>
          <w:bCs/>
          <w:color w:val="auto"/>
          <w:sz w:val="24"/>
          <w:highlight w:val="none"/>
        </w:rPr>
        <w:t>四、质量标准</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项目质量标准：</w:t>
      </w:r>
      <w:r>
        <w:rPr>
          <w:rFonts w:hint="eastAsia" w:ascii="仿宋" w:hAnsi="仿宋" w:eastAsia="仿宋" w:cs="楷体"/>
          <w:color w:val="auto"/>
          <w:sz w:val="24"/>
          <w:highlight w:val="none"/>
          <w:u w:val="single"/>
        </w:rPr>
        <w:t xml:space="preserve"> </w:t>
      </w:r>
      <w:r>
        <w:rPr>
          <w:rFonts w:hint="eastAsia" w:ascii="宋体" w:hAnsi="宋体" w:cs="宋体"/>
          <w:color w:val="auto"/>
          <w:sz w:val="24"/>
          <w:highlight w:val="none"/>
          <w:u w:val="single"/>
        </w:rPr>
        <w:t>满足技术参数的要求</w:t>
      </w:r>
      <w:r>
        <w:rPr>
          <w:rFonts w:hint="eastAsia" w:ascii="仿宋" w:hAnsi="仿宋" w:eastAsia="仿宋" w:cs="楷体"/>
          <w:color w:val="auto"/>
          <w:sz w:val="24"/>
          <w:highlight w:val="none"/>
          <w:u w:val="single"/>
        </w:rPr>
        <w:t xml:space="preserve">                            </w:t>
      </w:r>
    </w:p>
    <w:p>
      <w:pPr>
        <w:spacing w:line="560" w:lineRule="exact"/>
        <w:ind w:right="36" w:rightChars="17" w:firstLine="482" w:firstLineChars="200"/>
        <w:rPr>
          <w:rFonts w:ascii="仿宋" w:hAnsi="仿宋" w:eastAsia="仿宋" w:cs="楷体"/>
          <w:color w:val="auto"/>
          <w:sz w:val="24"/>
          <w:highlight w:val="none"/>
        </w:rPr>
      </w:pPr>
      <w:r>
        <w:rPr>
          <w:rFonts w:hint="eastAsia" w:ascii="仿宋" w:hAnsi="仿宋" w:eastAsia="仿宋" w:cs="楷体"/>
          <w:b/>
          <w:bCs/>
          <w:color w:val="auto"/>
          <w:sz w:val="24"/>
          <w:highlight w:val="none"/>
        </w:rPr>
        <w:t>五、</w:t>
      </w:r>
      <w:r>
        <w:rPr>
          <w:rFonts w:hint="eastAsia" w:ascii="仿宋" w:hAnsi="仿宋" w:eastAsia="仿宋" w:cs="宋体"/>
          <w:b/>
          <w:bCs/>
          <w:color w:val="auto"/>
          <w:sz w:val="24"/>
          <w:highlight w:val="none"/>
        </w:rPr>
        <w:t>合同价款、结算与支付</w:t>
      </w:r>
    </w:p>
    <w:p>
      <w:pPr>
        <w:spacing w:line="520" w:lineRule="exact"/>
        <w:ind w:right="36" w:rightChars="17" w:firstLine="480" w:firstLineChars="200"/>
        <w:rPr>
          <w:rFonts w:ascii="仿宋" w:hAnsi="仿宋" w:eastAsia="仿宋" w:cs="楷体"/>
          <w:color w:val="auto"/>
          <w:sz w:val="24"/>
          <w:highlight w:val="none"/>
        </w:rPr>
      </w:pPr>
      <w:r>
        <w:rPr>
          <w:rFonts w:ascii="仿宋" w:hAnsi="仿宋" w:eastAsia="仿宋" w:cs="楷体"/>
          <w:color w:val="auto"/>
          <w:sz w:val="24"/>
          <w:highlight w:val="none"/>
        </w:rPr>
        <w:t>1</w:t>
      </w:r>
      <w:r>
        <w:rPr>
          <w:rFonts w:hint="eastAsia" w:ascii="仿宋" w:hAnsi="仿宋" w:eastAsia="仿宋" w:cs="楷体"/>
          <w:color w:val="auto"/>
          <w:sz w:val="24"/>
          <w:highlight w:val="none"/>
        </w:rPr>
        <w:t>、合同总价款为大写：</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元整，（小写：</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元整）</w:t>
      </w:r>
    </w:p>
    <w:p>
      <w:pPr>
        <w:spacing w:line="520" w:lineRule="exact"/>
        <w:rPr>
          <w:rFonts w:ascii="仿宋" w:hAnsi="仿宋" w:eastAsia="仿宋" w:cs="宋体"/>
          <w:color w:val="auto"/>
          <w:kern w:val="28"/>
          <w:sz w:val="24"/>
          <w:highlight w:val="none"/>
        </w:rPr>
      </w:pPr>
      <w:r>
        <w:rPr>
          <w:rFonts w:ascii="仿宋" w:hAnsi="仿宋" w:eastAsia="仿宋" w:cs="楷体"/>
          <w:color w:val="auto"/>
          <w:sz w:val="24"/>
          <w:highlight w:val="none"/>
        </w:rPr>
        <w:t xml:space="preserve">    2</w:t>
      </w:r>
      <w:r>
        <w:rPr>
          <w:rFonts w:hint="eastAsia" w:ascii="仿宋" w:hAnsi="仿宋" w:eastAsia="仿宋" w:cs="楷体"/>
          <w:color w:val="auto"/>
          <w:sz w:val="24"/>
          <w:highlight w:val="none"/>
        </w:rPr>
        <w:t>、</w:t>
      </w:r>
      <w:r>
        <w:rPr>
          <w:rFonts w:hint="eastAsia" w:ascii="仿宋" w:hAnsi="仿宋" w:eastAsia="仿宋" w:cs="宋体"/>
          <w:color w:val="auto"/>
          <w:kern w:val="28"/>
          <w:sz w:val="24"/>
          <w:highlight w:val="none"/>
        </w:rPr>
        <w:t>结算方式：</w:t>
      </w:r>
    </w:p>
    <w:p>
      <w:pPr>
        <w:shd w:val="clear" w:color="auto" w:fill="FFFFFF"/>
        <w:snapToGrid w:val="0"/>
        <w:spacing w:line="520" w:lineRule="exact"/>
        <w:ind w:firstLine="720" w:firstLineChars="300"/>
        <w:rPr>
          <w:rFonts w:ascii="仿宋" w:hAnsi="仿宋" w:eastAsia="仿宋" w:cs="楷体"/>
          <w:color w:val="auto"/>
          <w:sz w:val="24"/>
          <w:highlight w:val="none"/>
        </w:rPr>
      </w:pPr>
      <w:r>
        <w:rPr>
          <w:rFonts w:hint="eastAsia" w:ascii="仿宋" w:hAnsi="仿宋" w:eastAsia="仿宋" w:cs="楷体"/>
          <w:color w:val="auto"/>
          <w:sz w:val="24"/>
          <w:highlight w:val="none"/>
        </w:rPr>
        <w:t>双方合同中自行约定。</w:t>
      </w:r>
    </w:p>
    <w:p>
      <w:pPr>
        <w:spacing w:line="520" w:lineRule="exact"/>
        <w:ind w:left="1"/>
        <w:rPr>
          <w:rFonts w:hint="eastAsia" w:ascii="仿宋" w:hAnsi="仿宋" w:eastAsia="仿宋" w:cs="楷体"/>
          <w:color w:val="auto"/>
          <w:sz w:val="24"/>
          <w:highlight w:val="none"/>
        </w:rPr>
      </w:pPr>
      <w:r>
        <w:rPr>
          <w:rFonts w:hint="eastAsia" w:ascii="仿宋" w:hAnsi="仿宋" w:eastAsia="仿宋" w:cs="楷体"/>
          <w:color w:val="auto"/>
          <w:sz w:val="24"/>
          <w:highlight w:val="none"/>
        </w:rPr>
        <w:t xml:space="preserve">    </w:t>
      </w:r>
      <w:r>
        <w:rPr>
          <w:rFonts w:ascii="仿宋" w:hAnsi="仿宋" w:eastAsia="仿宋" w:cs="楷体"/>
          <w:color w:val="auto"/>
          <w:sz w:val="24"/>
          <w:highlight w:val="none"/>
        </w:rPr>
        <w:t xml:space="preserve"> </w:t>
      </w:r>
      <w:r>
        <w:rPr>
          <w:rFonts w:hint="eastAsia" w:ascii="仿宋" w:hAnsi="仿宋" w:eastAsia="仿宋" w:cs="楷体"/>
          <w:color w:val="auto"/>
          <w:sz w:val="24"/>
          <w:highlight w:val="none"/>
        </w:rPr>
        <w:t>凡因乙方投标漏项、误报等导致的费用差异均由乙方自行承担，且必须按合同约定继续履行此部分合同内容，结算时不予调整。</w:t>
      </w:r>
    </w:p>
    <w:p>
      <w:pPr>
        <w:pStyle w:val="8"/>
        <w:rPr>
          <w:rFonts w:ascii="仿宋" w:hAnsi="仿宋" w:eastAsia="仿宋" w:cs="楷体"/>
          <w:b/>
          <w:bCs/>
          <w:color w:val="auto"/>
          <w:sz w:val="24"/>
          <w:highlight w:val="none"/>
        </w:rPr>
      </w:pPr>
      <w:r>
        <w:rPr>
          <w:rFonts w:hint="eastAsia" w:ascii="仿宋" w:hAnsi="仿宋" w:eastAsia="仿宋" w:cs="楷体"/>
          <w:color w:val="auto"/>
          <w:sz w:val="24"/>
          <w:highlight w:val="none"/>
          <w:lang w:val="en-US" w:eastAsia="zh-CN"/>
        </w:rPr>
        <w:t xml:space="preserve">   </w:t>
      </w:r>
      <w:r>
        <w:rPr>
          <w:rFonts w:hint="eastAsia" w:ascii="仿宋" w:hAnsi="仿宋" w:eastAsia="仿宋" w:cs="楷体"/>
          <w:b/>
          <w:bCs/>
          <w:color w:val="auto"/>
          <w:sz w:val="24"/>
          <w:highlight w:val="none"/>
        </w:rPr>
        <w:t>六、验收、付款方式及时间</w:t>
      </w:r>
    </w:p>
    <w:p>
      <w:pPr>
        <w:spacing w:line="520" w:lineRule="exact"/>
        <w:ind w:right="36" w:rightChars="17" w:firstLine="480" w:firstLineChars="200"/>
        <w:rPr>
          <w:rFonts w:ascii="仿宋" w:hAnsi="仿宋" w:eastAsia="仿宋" w:cs="楷体"/>
          <w:color w:val="auto"/>
          <w:sz w:val="24"/>
          <w:highlight w:val="none"/>
          <w:u w:val="single"/>
        </w:rPr>
      </w:pPr>
      <w:r>
        <w:rPr>
          <w:rFonts w:hint="eastAsia" w:ascii="仿宋" w:hAnsi="仿宋" w:eastAsia="仿宋" w:cs="楷体"/>
          <w:color w:val="auto"/>
          <w:sz w:val="24"/>
          <w:highlight w:val="none"/>
          <w:u w:val="single"/>
        </w:rPr>
        <w:t>验收：具体以双方（采购人、成交供应商）签订的施工合同为依据进行验收结算。</w:t>
      </w:r>
    </w:p>
    <w:p>
      <w:pPr>
        <w:spacing w:line="520" w:lineRule="exact"/>
        <w:ind w:right="36" w:rightChars="17" w:firstLine="480" w:firstLineChars="200"/>
        <w:rPr>
          <w:rFonts w:ascii="仿宋" w:hAnsi="仿宋" w:eastAsia="仿宋" w:cs="楷体"/>
          <w:color w:val="auto"/>
          <w:sz w:val="24"/>
          <w:highlight w:val="none"/>
          <w:u w:val="single"/>
        </w:rPr>
      </w:pPr>
      <w:r>
        <w:rPr>
          <w:rFonts w:hint="eastAsia" w:ascii="仿宋" w:hAnsi="仿宋" w:eastAsia="仿宋" w:cs="楷体"/>
          <w:color w:val="auto"/>
          <w:sz w:val="24"/>
          <w:highlight w:val="none"/>
          <w:u w:val="single"/>
        </w:rPr>
        <w:t>付款方式及时间：具体付款方式甲乙双方协商确定。</w:t>
      </w:r>
    </w:p>
    <w:p>
      <w:pPr>
        <w:spacing w:line="520" w:lineRule="exact"/>
        <w:ind w:right="36" w:rightChars="17" w:firstLine="482" w:firstLineChars="200"/>
        <w:rPr>
          <w:rFonts w:ascii="仿宋" w:hAnsi="仿宋" w:eastAsia="仿宋" w:cs="楷体"/>
          <w:color w:val="auto"/>
          <w:sz w:val="24"/>
          <w:highlight w:val="none"/>
        </w:rPr>
      </w:pPr>
      <w:r>
        <w:rPr>
          <w:rFonts w:hint="eastAsia" w:ascii="仿宋" w:hAnsi="仿宋" w:eastAsia="仿宋" w:cs="楷体"/>
          <w:b/>
          <w:bCs/>
          <w:color w:val="auto"/>
          <w:sz w:val="24"/>
          <w:highlight w:val="none"/>
        </w:rPr>
        <w:t>七、成交供应商的项目负责人</w:t>
      </w:r>
    </w:p>
    <w:p>
      <w:pPr>
        <w:spacing w:line="52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姓    名：</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  身份证号：</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 xml:space="preserve">。    </w:t>
      </w:r>
    </w:p>
    <w:p>
      <w:pPr>
        <w:spacing w:line="52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联系方式：</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  住    址：</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 xml:space="preserve">。      </w:t>
      </w:r>
    </w:p>
    <w:p>
      <w:pPr>
        <w:spacing w:line="520" w:lineRule="exact"/>
        <w:ind w:right="36" w:rightChars="17" w:firstLine="482" w:firstLineChars="200"/>
        <w:rPr>
          <w:rFonts w:ascii="仿宋" w:hAnsi="仿宋" w:eastAsia="仿宋" w:cs="楷体"/>
          <w:color w:val="auto"/>
          <w:sz w:val="24"/>
          <w:highlight w:val="none"/>
        </w:rPr>
      </w:pPr>
      <w:r>
        <w:rPr>
          <w:rFonts w:hint="eastAsia" w:ascii="仿宋" w:hAnsi="仿宋" w:eastAsia="仿宋" w:cs="楷体"/>
          <w:b/>
          <w:bCs/>
          <w:color w:val="auto"/>
          <w:sz w:val="24"/>
          <w:highlight w:val="none"/>
        </w:rPr>
        <w:t>八、合同文件的组成</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下列文件共同构成合同文件：</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1、本协议书；</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2、成交通知书；</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3、响应函及报价一览表；</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4、合同条款；</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5、磋商文件；</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6、响应文件；</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7、项目作业设计。</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上述文件互相补充和解释，如有不明确或不一致之处，以合同约定次序在先者为准。</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九、乙方承诺按照合同约定进行本项目的施工、完工、交付验收，并在验收未通过，</w:t>
      </w:r>
      <w:r>
        <w:rPr>
          <w:rFonts w:hint="eastAsia" w:ascii="仿宋" w:hAnsi="仿宋" w:eastAsia="仿宋" w:cs="楷体"/>
          <w:color w:val="auto"/>
          <w:kern w:val="0"/>
          <w:sz w:val="24"/>
          <w:highlight w:val="none"/>
        </w:rPr>
        <w:t>接到甲方通知后</w:t>
      </w:r>
      <w:r>
        <w:rPr>
          <w:rFonts w:hint="eastAsia" w:ascii="仿宋" w:hAnsi="仿宋" w:eastAsia="仿宋" w:cs="楷体"/>
          <w:color w:val="auto"/>
          <w:sz w:val="24"/>
          <w:highlight w:val="none"/>
        </w:rPr>
        <w:t>的</w:t>
      </w:r>
      <w:r>
        <w:rPr>
          <w:rFonts w:hint="eastAsia" w:ascii="仿宋" w:hAnsi="仿宋" w:eastAsia="仿宋" w:cs="楷体"/>
          <w:color w:val="auto"/>
          <w:kern w:val="0"/>
          <w:sz w:val="24"/>
          <w:highlight w:val="none"/>
        </w:rPr>
        <w:t>7日内及时</w:t>
      </w:r>
      <w:r>
        <w:rPr>
          <w:rFonts w:hint="eastAsia" w:ascii="仿宋" w:hAnsi="仿宋" w:eastAsia="仿宋" w:cs="楷体"/>
          <w:color w:val="auto"/>
          <w:sz w:val="24"/>
          <w:highlight w:val="none"/>
        </w:rPr>
        <w:t>修改补正。</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十、甲方承诺按照约定的条件、期限和方式向乙方支付合同价款。</w:t>
      </w:r>
    </w:p>
    <w:p>
      <w:pPr>
        <w:spacing w:line="560" w:lineRule="exact"/>
        <w:ind w:right="36" w:rightChars="17" w:firstLine="482" w:firstLineChars="200"/>
        <w:rPr>
          <w:rFonts w:ascii="仿宋" w:hAnsi="仿宋" w:eastAsia="仿宋" w:cs="楷体"/>
          <w:color w:val="auto"/>
          <w:sz w:val="24"/>
          <w:highlight w:val="none"/>
        </w:rPr>
      </w:pPr>
      <w:r>
        <w:rPr>
          <w:rFonts w:hint="eastAsia" w:ascii="仿宋" w:hAnsi="仿宋" w:eastAsia="仿宋" w:cs="楷体"/>
          <w:b/>
          <w:bCs/>
          <w:color w:val="auto"/>
          <w:sz w:val="24"/>
          <w:highlight w:val="none"/>
        </w:rPr>
        <w:t>十一、违约责任</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1、乙方逾期开工、逾期完工的，每逾期一日，均应当向甲方承担合同总价款千分之一的违约金，逾期达</w:t>
      </w:r>
      <w:r>
        <w:rPr>
          <w:rFonts w:hint="eastAsia" w:ascii="仿宋" w:hAnsi="仿宋" w:eastAsia="仿宋" w:cs="楷体"/>
          <w:color w:val="auto"/>
          <w:sz w:val="24"/>
          <w:highlight w:val="none"/>
          <w:u w:val="single"/>
        </w:rPr>
        <w:t>30</w:t>
      </w:r>
      <w:r>
        <w:rPr>
          <w:rFonts w:hint="eastAsia" w:ascii="仿宋" w:hAnsi="仿宋" w:eastAsia="仿宋" w:cs="楷体"/>
          <w:color w:val="auto"/>
          <w:sz w:val="24"/>
          <w:highlight w:val="none"/>
        </w:rPr>
        <w:t>日，甲方有权解除合同。</w:t>
      </w:r>
      <w:r>
        <w:rPr>
          <w:rFonts w:eastAsia="仿宋" w:cs="Calibri"/>
          <w:color w:val="auto"/>
          <w:sz w:val="24"/>
          <w:highlight w:val="none"/>
        </w:rPr>
        <w:t> </w:t>
      </w:r>
    </w:p>
    <w:p>
      <w:pPr>
        <w:spacing w:line="560" w:lineRule="exact"/>
        <w:ind w:right="36" w:rightChars="17" w:firstLine="480"/>
        <w:rPr>
          <w:rFonts w:ascii="仿宋" w:hAnsi="仿宋" w:eastAsia="仿宋" w:cs="楷体"/>
          <w:color w:val="auto"/>
          <w:sz w:val="24"/>
          <w:highlight w:val="none"/>
        </w:rPr>
      </w:pPr>
      <w:r>
        <w:rPr>
          <w:rFonts w:hint="eastAsia" w:ascii="仿宋" w:hAnsi="仿宋" w:eastAsia="仿宋" w:cs="楷体"/>
          <w:color w:val="auto"/>
          <w:sz w:val="24"/>
          <w:highlight w:val="none"/>
        </w:rPr>
        <w:t>2、如项目初次验收不合格，乙方在</w:t>
      </w:r>
      <w:r>
        <w:rPr>
          <w:rFonts w:hint="eastAsia" w:ascii="仿宋" w:hAnsi="仿宋" w:eastAsia="仿宋" w:cs="楷体"/>
          <w:color w:val="auto"/>
          <w:kern w:val="0"/>
          <w:sz w:val="24"/>
          <w:highlight w:val="none"/>
        </w:rPr>
        <w:t>接到甲方通知后经修改补正，项目验收仍不合格，甲方可提出索赔或取消合同。</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3、甲方未按合同约定的方式和时间向乙方付款，则视甲方违约，甲方向乙方支付违约金。违约金按合同总价×0.5%×延期天数计算，违约金总数不超过合同总价的10%。</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十二、本协议书连同其他合同文件正本一式两份，合同双方各执一份；副本一式</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份。</w:t>
      </w:r>
    </w:p>
    <w:p>
      <w:pPr>
        <w:spacing w:line="560" w:lineRule="exact"/>
        <w:ind w:right="36" w:rightChars="17" w:firstLine="480" w:firstLineChars="200"/>
        <w:rPr>
          <w:rFonts w:ascii="仿宋" w:hAnsi="仿宋" w:eastAsia="仿宋" w:cs="楷体"/>
          <w:color w:val="auto"/>
          <w:sz w:val="24"/>
          <w:highlight w:val="none"/>
        </w:rPr>
      </w:pPr>
      <w:r>
        <w:rPr>
          <w:rFonts w:hint="eastAsia" w:ascii="仿宋" w:hAnsi="仿宋" w:eastAsia="仿宋" w:cs="楷体"/>
          <w:color w:val="auto"/>
          <w:sz w:val="24"/>
          <w:highlight w:val="none"/>
        </w:rPr>
        <w:t>十三、合同未尽事宜，双方另行签订补充协议，但不得背离本协议第八条所约定的合同文件的实质性内容。补充协议是合同文件的组成部分。</w:t>
      </w:r>
    </w:p>
    <w:p>
      <w:pPr>
        <w:pStyle w:val="2"/>
        <w:ind w:right="36" w:rightChars="17" w:firstLine="0"/>
        <w:rPr>
          <w:rFonts w:ascii="仿宋" w:hAnsi="仿宋" w:eastAsia="仿宋" w:cs="楷体"/>
          <w:color w:val="auto"/>
          <w:sz w:val="24"/>
          <w:highlight w:val="none"/>
        </w:rPr>
      </w:pPr>
    </w:p>
    <w:p>
      <w:pPr>
        <w:pStyle w:val="2"/>
        <w:ind w:right="36" w:rightChars="17" w:firstLine="0"/>
        <w:rPr>
          <w:rFonts w:ascii="仿宋" w:hAnsi="仿宋" w:eastAsia="仿宋" w:cs="楷体"/>
          <w:color w:val="auto"/>
          <w:sz w:val="24"/>
          <w:highlight w:val="none"/>
        </w:rPr>
      </w:pPr>
    </w:p>
    <w:p>
      <w:pPr>
        <w:spacing w:line="560" w:lineRule="exact"/>
        <w:ind w:right="36" w:rightChars="17"/>
        <w:rPr>
          <w:rFonts w:ascii="仿宋" w:hAnsi="仿宋" w:eastAsia="仿宋" w:cs="楷体"/>
          <w:color w:val="auto"/>
          <w:sz w:val="24"/>
          <w:highlight w:val="none"/>
        </w:rPr>
      </w:pPr>
      <w:r>
        <w:rPr>
          <w:rFonts w:hint="eastAsia" w:ascii="仿宋" w:hAnsi="仿宋" w:eastAsia="仿宋" w:cs="楷体"/>
          <w:color w:val="auto"/>
          <w:sz w:val="24"/>
          <w:highlight w:val="none"/>
        </w:rPr>
        <w:t>甲  方：</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(单位盖章)        乙  方：</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 xml:space="preserve"> (单位盖章)</w:t>
      </w:r>
    </w:p>
    <w:p>
      <w:pPr>
        <w:ind w:right="36" w:rightChars="17"/>
        <w:rPr>
          <w:rFonts w:ascii="仿宋" w:hAnsi="仿宋" w:eastAsia="仿宋" w:cs="楷体"/>
          <w:color w:val="auto"/>
          <w:sz w:val="24"/>
          <w:highlight w:val="none"/>
        </w:rPr>
      </w:pPr>
    </w:p>
    <w:p>
      <w:pPr>
        <w:ind w:right="36" w:rightChars="17"/>
        <w:rPr>
          <w:rFonts w:ascii="仿宋" w:hAnsi="仿宋" w:eastAsia="仿宋" w:cs="楷体"/>
          <w:color w:val="auto"/>
          <w:sz w:val="24"/>
          <w:highlight w:val="none"/>
        </w:rPr>
      </w:pPr>
      <w:r>
        <w:rPr>
          <w:rFonts w:hint="eastAsia" w:ascii="仿宋" w:hAnsi="仿宋" w:eastAsia="仿宋" w:cs="楷体"/>
          <w:color w:val="auto"/>
          <w:sz w:val="24"/>
          <w:highlight w:val="none"/>
        </w:rPr>
        <w:t>法定代表人或其                         法定代表人或其</w:t>
      </w:r>
    </w:p>
    <w:p>
      <w:pPr>
        <w:ind w:right="36" w:rightChars="17"/>
        <w:rPr>
          <w:rFonts w:ascii="仿宋" w:hAnsi="仿宋" w:eastAsia="仿宋" w:cs="楷体"/>
          <w:color w:val="auto"/>
          <w:sz w:val="24"/>
          <w:highlight w:val="none"/>
        </w:rPr>
      </w:pPr>
      <w:r>
        <w:rPr>
          <w:rFonts w:hint="eastAsia" w:ascii="仿宋" w:hAnsi="仿宋" w:eastAsia="仿宋" w:cs="楷体"/>
          <w:color w:val="auto"/>
          <w:sz w:val="24"/>
          <w:highlight w:val="none"/>
        </w:rPr>
        <w:t>委托代理人：</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(签字)          委托代理人：</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 xml:space="preserve"> (签字)</w:t>
      </w:r>
    </w:p>
    <w:p>
      <w:pPr>
        <w:ind w:right="36" w:rightChars="17"/>
        <w:rPr>
          <w:rFonts w:ascii="仿宋" w:hAnsi="仿宋" w:eastAsia="仿宋" w:cs="楷体"/>
          <w:color w:val="auto"/>
          <w:sz w:val="24"/>
          <w:highlight w:val="none"/>
          <w:u w:val="single"/>
        </w:rPr>
      </w:pPr>
    </w:p>
    <w:p>
      <w:pPr>
        <w:spacing w:line="560" w:lineRule="exact"/>
        <w:ind w:right="36" w:rightChars="17"/>
        <w:rPr>
          <w:rFonts w:ascii="仿宋" w:hAnsi="仿宋" w:eastAsia="仿宋" w:cs="楷体"/>
          <w:color w:val="auto"/>
          <w:sz w:val="24"/>
          <w:highlight w:val="none"/>
        </w:rPr>
      </w:pP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年</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月</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 xml:space="preserve">日    </w:t>
      </w:r>
      <w:r>
        <w:rPr>
          <w:rFonts w:ascii="仿宋" w:hAnsi="仿宋" w:eastAsia="仿宋" w:cs="楷体"/>
          <w:color w:val="auto"/>
          <w:sz w:val="24"/>
          <w:highlight w:val="none"/>
        </w:rPr>
        <w:t xml:space="preserve">          </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年</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月</w:t>
      </w:r>
      <w:r>
        <w:rPr>
          <w:rFonts w:hint="eastAsia" w:ascii="仿宋" w:hAnsi="仿宋" w:eastAsia="仿宋" w:cs="楷体"/>
          <w:color w:val="auto"/>
          <w:sz w:val="24"/>
          <w:highlight w:val="none"/>
          <w:u w:val="single"/>
        </w:rPr>
        <w:t xml:space="preserve">      </w:t>
      </w:r>
      <w:r>
        <w:rPr>
          <w:rFonts w:hint="eastAsia" w:ascii="仿宋" w:hAnsi="仿宋" w:eastAsia="仿宋" w:cs="楷体"/>
          <w:color w:val="auto"/>
          <w:sz w:val="24"/>
          <w:highlight w:val="none"/>
        </w:rPr>
        <w:t>日</w:t>
      </w:r>
    </w:p>
    <w:p>
      <w:pPr>
        <w:ind w:right="36" w:rightChars="17"/>
        <w:rPr>
          <w:rFonts w:ascii="仿宋" w:hAnsi="仿宋" w:eastAsia="仿宋" w:cs="楷体"/>
          <w:color w:val="auto"/>
          <w:sz w:val="24"/>
          <w:highlight w:val="none"/>
        </w:rPr>
      </w:pPr>
    </w:p>
    <w:p>
      <w:pPr>
        <w:ind w:right="36" w:rightChars="17"/>
        <w:rPr>
          <w:rFonts w:ascii="仿宋" w:hAnsi="仿宋" w:eastAsia="仿宋" w:cs="楷体"/>
          <w:color w:val="auto"/>
          <w:sz w:val="24"/>
          <w:highlight w:val="none"/>
        </w:rPr>
      </w:pPr>
    </w:p>
    <w:p>
      <w:pPr>
        <w:ind w:right="36" w:rightChars="17"/>
        <w:rPr>
          <w:rFonts w:ascii="仿宋" w:hAnsi="仿宋" w:eastAsia="仿宋" w:cs="楷体"/>
          <w:color w:val="auto"/>
          <w:sz w:val="24"/>
          <w:highlight w:val="none"/>
          <w:u w:val="single"/>
        </w:rPr>
      </w:pPr>
      <w:r>
        <w:rPr>
          <w:rFonts w:hint="eastAsia" w:ascii="仿宋" w:hAnsi="仿宋" w:eastAsia="仿宋" w:cs="楷体"/>
          <w:color w:val="auto"/>
          <w:sz w:val="24"/>
          <w:highlight w:val="none"/>
        </w:rPr>
        <w:t>签约地点：</w:t>
      </w:r>
      <w:r>
        <w:rPr>
          <w:rFonts w:hint="eastAsia" w:ascii="仿宋" w:hAnsi="仿宋" w:eastAsia="仿宋" w:cs="楷体"/>
          <w:color w:val="auto"/>
          <w:sz w:val="24"/>
          <w:highlight w:val="none"/>
          <w:u w:val="single"/>
        </w:rPr>
        <w:t xml:space="preserve">                                                           </w:t>
      </w:r>
    </w:p>
    <w:p>
      <w:pPr>
        <w:pStyle w:val="17"/>
        <w:ind w:firstLine="180"/>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8"/>
        <w:jc w:val="center"/>
        <w:outlineLvl w:val="0"/>
        <w:rPr>
          <w:rFonts w:ascii="仿宋" w:hAnsi="仿宋" w:eastAsia="仿宋" w:cs="楷体"/>
          <w:b/>
          <w:bCs/>
          <w:color w:val="auto"/>
          <w:sz w:val="48"/>
          <w:szCs w:val="48"/>
          <w:highlight w:val="none"/>
        </w:rPr>
      </w:pPr>
      <w:r>
        <w:rPr>
          <w:rFonts w:hint="eastAsia" w:ascii="仿宋" w:hAnsi="仿宋" w:eastAsia="仿宋" w:cs="楷体"/>
          <w:b/>
          <w:bCs/>
          <w:color w:val="auto"/>
          <w:sz w:val="48"/>
          <w:szCs w:val="48"/>
          <w:highlight w:val="none"/>
        </w:rPr>
        <w:t>第六章 磋商响应文件格式</w:t>
      </w:r>
      <w:bookmarkEnd w:id="40"/>
      <w:bookmarkEnd w:id="41"/>
      <w:bookmarkEnd w:id="42"/>
      <w:bookmarkEnd w:id="43"/>
      <w:bookmarkEnd w:id="45"/>
      <w:bookmarkEnd w:id="46"/>
    </w:p>
    <w:p>
      <w:pPr>
        <w:spacing w:line="360" w:lineRule="auto"/>
        <w:ind w:firstLine="480" w:firstLineChars="150"/>
        <w:rPr>
          <w:rFonts w:ascii="仿宋" w:hAnsi="仿宋" w:eastAsia="仿宋" w:cs="楷体"/>
          <w:color w:val="auto"/>
          <w:sz w:val="32"/>
          <w:szCs w:val="32"/>
          <w:highlight w:val="none"/>
        </w:rPr>
      </w:pPr>
    </w:p>
    <w:p>
      <w:pPr>
        <w:spacing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1、磋商响应文件格式由本章目录所列第1部分至第8部分构成。</w:t>
      </w:r>
    </w:p>
    <w:p>
      <w:pPr>
        <w:spacing w:line="360" w:lineRule="auto"/>
        <w:ind w:firstLine="440" w:firstLineChars="200"/>
        <w:rPr>
          <w:rFonts w:hint="eastAsia" w:ascii="仿宋" w:hAnsi="仿宋" w:eastAsia="仿宋" w:cs="楷体"/>
          <w:color w:val="auto"/>
          <w:sz w:val="22"/>
          <w:szCs w:val="22"/>
          <w:highlight w:val="none"/>
          <w:lang w:eastAsia="zh-CN"/>
        </w:rPr>
      </w:pPr>
      <w:r>
        <w:rPr>
          <w:rFonts w:hint="eastAsia" w:ascii="仿宋" w:hAnsi="仿宋" w:eastAsia="仿宋" w:cs="楷体"/>
          <w:color w:val="auto"/>
          <w:sz w:val="22"/>
          <w:szCs w:val="22"/>
          <w:highlight w:val="none"/>
        </w:rPr>
        <w:t>2、磋商供应商应认真审阅本章内容，</w:t>
      </w:r>
      <w:r>
        <w:rPr>
          <w:rFonts w:hint="eastAsia" w:ascii="仿宋" w:hAnsi="仿宋" w:eastAsia="仿宋" w:cs="楷体"/>
          <w:color w:val="auto"/>
          <w:sz w:val="22"/>
          <w:szCs w:val="22"/>
          <w:highlight w:val="none"/>
          <w:lang w:eastAsia="zh-CN"/>
        </w:rPr>
        <w:t>理解文件中的每一项要求，</w:t>
      </w:r>
      <w:r>
        <w:rPr>
          <w:rFonts w:hint="eastAsia" w:ascii="仿宋" w:hAnsi="仿宋" w:eastAsia="仿宋" w:cs="楷体"/>
          <w:color w:val="auto"/>
          <w:sz w:val="22"/>
          <w:szCs w:val="22"/>
          <w:highlight w:val="none"/>
        </w:rPr>
        <w:t>并参照格式要求编制磋商响应文件</w:t>
      </w:r>
      <w:r>
        <w:rPr>
          <w:rFonts w:hint="eastAsia" w:ascii="仿宋" w:hAnsi="仿宋" w:eastAsia="仿宋" w:cs="楷体"/>
          <w:color w:val="auto"/>
          <w:sz w:val="22"/>
          <w:szCs w:val="22"/>
          <w:highlight w:val="none"/>
          <w:lang w:eastAsia="zh-CN"/>
        </w:rPr>
        <w:t>，认为有必要，可做补充说明。</w:t>
      </w:r>
    </w:p>
    <w:p>
      <w:pPr>
        <w:spacing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lang w:val="en-US" w:eastAsia="zh-CN"/>
        </w:rPr>
        <w:t>3、</w:t>
      </w:r>
      <w:r>
        <w:rPr>
          <w:rFonts w:hint="eastAsia" w:ascii="仿宋" w:hAnsi="仿宋" w:eastAsia="仿宋" w:cs="楷体"/>
          <w:color w:val="auto"/>
          <w:sz w:val="22"/>
          <w:szCs w:val="22"/>
          <w:highlight w:val="none"/>
        </w:rPr>
        <w:t>凡未按格式要求编制磋商响应文件而造成的不利后果，由磋商供应商自行承担。</w:t>
      </w:r>
    </w:p>
    <w:p>
      <w:pPr>
        <w:spacing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lang w:val="en-US" w:eastAsia="zh-CN"/>
        </w:rPr>
        <w:t>4</w:t>
      </w:r>
      <w:r>
        <w:rPr>
          <w:rFonts w:hint="eastAsia" w:ascii="仿宋" w:hAnsi="仿宋" w:eastAsia="仿宋" w:cs="楷体"/>
          <w:color w:val="auto"/>
          <w:sz w:val="22"/>
          <w:szCs w:val="22"/>
          <w:highlight w:val="none"/>
        </w:rPr>
        <w:t>、磋商响应文件的正、副本必须按照要求编制，凡正、副本不相符的，以正本为准。</w:t>
      </w: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jc w:val="right"/>
        <w:rPr>
          <w:rFonts w:ascii="仿宋" w:hAnsi="仿宋" w:eastAsia="仿宋"/>
          <w:color w:val="auto"/>
          <w:sz w:val="23"/>
          <w:szCs w:val="26"/>
          <w:highlight w:val="none"/>
        </w:rPr>
      </w:pPr>
      <w:r>
        <w:rPr>
          <w:rFonts w:hint="eastAsia" w:ascii="仿宋" w:hAnsi="仿宋" w:eastAsia="仿宋"/>
          <w:color w:val="auto"/>
          <w:sz w:val="23"/>
          <w:szCs w:val="26"/>
          <w:highlight w:val="none"/>
        </w:rPr>
        <w:t>正本/副本</w:t>
      </w:r>
    </w:p>
    <w:p>
      <w:pPr>
        <w:rPr>
          <w:rFonts w:ascii="仿宋" w:hAnsi="仿宋" w:eastAsia="仿宋"/>
          <w:color w:val="auto"/>
          <w:highlight w:val="none"/>
        </w:rPr>
      </w:pPr>
    </w:p>
    <w:p>
      <w:pPr>
        <w:pStyle w:val="8"/>
        <w:ind w:left="4020" w:leftChars="241" w:hanging="3514" w:hangingChars="700"/>
        <w:jc w:val="both"/>
        <w:rPr>
          <w:rFonts w:hint="eastAsia" w:ascii="仿宋" w:hAnsi="仿宋" w:eastAsia="仿宋" w:cs="楷体"/>
          <w:b/>
          <w:bCs/>
          <w:color w:val="auto"/>
          <w:sz w:val="50"/>
          <w:szCs w:val="58"/>
          <w:highlight w:val="none"/>
          <w:lang w:eastAsia="zh-CN"/>
        </w:rPr>
      </w:pPr>
    </w:p>
    <w:p>
      <w:pPr>
        <w:pStyle w:val="8"/>
        <w:ind w:left="4020" w:leftChars="241" w:hanging="3514" w:hangingChars="700"/>
        <w:jc w:val="both"/>
        <w:rPr>
          <w:rFonts w:hint="eastAsia" w:ascii="仿宋" w:hAnsi="仿宋" w:eastAsia="仿宋" w:cs="楷体"/>
          <w:b/>
          <w:bCs/>
          <w:color w:val="auto"/>
          <w:sz w:val="50"/>
          <w:szCs w:val="58"/>
          <w:highlight w:val="none"/>
          <w:lang w:eastAsia="zh-CN"/>
        </w:rPr>
      </w:pPr>
    </w:p>
    <w:p>
      <w:pPr>
        <w:pStyle w:val="8"/>
        <w:jc w:val="center"/>
        <w:rPr>
          <w:rFonts w:hint="eastAsia" w:ascii="仿宋" w:hAnsi="仿宋" w:eastAsia="仿宋" w:cs="楷体"/>
          <w:b/>
          <w:bCs/>
          <w:color w:val="auto"/>
          <w:sz w:val="50"/>
          <w:szCs w:val="58"/>
          <w:highlight w:val="none"/>
          <w:lang w:eastAsia="zh-CN"/>
        </w:rPr>
      </w:pPr>
      <w:r>
        <w:rPr>
          <w:rFonts w:hint="eastAsia" w:ascii="仿宋" w:hAnsi="仿宋" w:eastAsia="仿宋" w:cs="楷体"/>
          <w:b/>
          <w:bCs/>
          <w:color w:val="auto"/>
          <w:sz w:val="50"/>
          <w:szCs w:val="58"/>
          <w:highlight w:val="none"/>
          <w:lang w:eastAsia="zh-CN"/>
        </w:rPr>
        <w:t>汉中市南郑区林业局第一次全国自然</w:t>
      </w:r>
    </w:p>
    <w:p>
      <w:pPr>
        <w:pStyle w:val="8"/>
        <w:jc w:val="center"/>
        <w:rPr>
          <w:rFonts w:hint="eastAsia" w:ascii="仿宋" w:hAnsi="仿宋" w:eastAsia="仿宋" w:cs="楷体"/>
          <w:b/>
          <w:bCs/>
          <w:color w:val="auto"/>
          <w:sz w:val="50"/>
          <w:szCs w:val="58"/>
          <w:highlight w:val="none"/>
          <w:lang w:eastAsia="zh-CN"/>
        </w:rPr>
      </w:pPr>
      <w:r>
        <w:rPr>
          <w:rFonts w:hint="eastAsia" w:ascii="仿宋" w:hAnsi="仿宋" w:eastAsia="仿宋" w:cs="楷体"/>
          <w:b/>
          <w:bCs/>
          <w:color w:val="auto"/>
          <w:sz w:val="50"/>
          <w:szCs w:val="58"/>
          <w:highlight w:val="none"/>
          <w:lang w:eastAsia="zh-CN"/>
        </w:rPr>
        <w:t>灾害森林火灾风险普查项目</w:t>
      </w:r>
    </w:p>
    <w:p>
      <w:pPr>
        <w:rPr>
          <w:rFonts w:ascii="仿宋" w:hAnsi="仿宋" w:eastAsia="仿宋" w:cs="楷体"/>
          <w:color w:val="auto"/>
          <w:highlight w:val="none"/>
        </w:rPr>
      </w:pPr>
    </w:p>
    <w:p>
      <w:pPr>
        <w:pStyle w:val="8"/>
        <w:rPr>
          <w:rFonts w:ascii="仿宋" w:hAnsi="仿宋" w:eastAsia="仿宋" w:cs="楷体"/>
          <w:color w:val="auto"/>
          <w:highlight w:val="none"/>
        </w:rPr>
      </w:pPr>
    </w:p>
    <w:p>
      <w:pPr>
        <w:rPr>
          <w:rFonts w:ascii="仿宋" w:hAnsi="仿宋" w:eastAsia="仿宋" w:cs="楷体"/>
          <w:color w:val="auto"/>
          <w:highlight w:val="none"/>
        </w:rPr>
      </w:pPr>
    </w:p>
    <w:p>
      <w:pPr>
        <w:pStyle w:val="8"/>
        <w:rPr>
          <w:rFonts w:ascii="仿宋" w:hAnsi="仿宋" w:eastAsia="仿宋" w:cs="楷体"/>
          <w:color w:val="auto"/>
          <w:highlight w:val="none"/>
        </w:rPr>
      </w:pPr>
    </w:p>
    <w:p>
      <w:pPr>
        <w:rPr>
          <w:rFonts w:ascii="仿宋" w:hAnsi="仿宋" w:eastAsia="仿宋" w:cs="楷体"/>
          <w:color w:val="auto"/>
          <w:highlight w:val="none"/>
        </w:rPr>
      </w:pPr>
    </w:p>
    <w:p>
      <w:pPr>
        <w:pStyle w:val="8"/>
        <w:rPr>
          <w:rFonts w:ascii="仿宋" w:hAnsi="仿宋" w:eastAsia="仿宋" w:cs="楷体"/>
          <w:color w:val="auto"/>
          <w:highlight w:val="none"/>
        </w:rPr>
      </w:pPr>
    </w:p>
    <w:p>
      <w:pPr>
        <w:rPr>
          <w:rFonts w:ascii="仿宋" w:hAnsi="仿宋" w:eastAsia="仿宋"/>
          <w:color w:val="auto"/>
          <w:highlight w:val="none"/>
        </w:rPr>
      </w:pPr>
    </w:p>
    <w:p>
      <w:pPr>
        <w:rPr>
          <w:rFonts w:ascii="仿宋" w:hAnsi="仿宋" w:eastAsia="仿宋" w:cs="楷体"/>
          <w:color w:val="auto"/>
          <w:highlight w:val="none"/>
        </w:rPr>
      </w:pPr>
    </w:p>
    <w:p>
      <w:pPr>
        <w:spacing w:line="360" w:lineRule="auto"/>
        <w:jc w:val="center"/>
        <w:outlineLvl w:val="0"/>
        <w:rPr>
          <w:rFonts w:ascii="仿宋" w:hAnsi="仿宋" w:eastAsia="仿宋" w:cs="楷体"/>
          <w:b/>
          <w:bCs/>
          <w:color w:val="auto"/>
          <w:sz w:val="40"/>
          <w:szCs w:val="32"/>
          <w:highlight w:val="none"/>
        </w:rPr>
      </w:pPr>
      <w:bookmarkStart w:id="48" w:name="_Toc2870"/>
      <w:bookmarkStart w:id="49" w:name="_Toc31582_WPSOffice_Level1"/>
      <w:bookmarkStart w:id="50" w:name="_Toc24903"/>
      <w:bookmarkStart w:id="51" w:name="_Toc9534_WPSOffice_Level1"/>
      <w:bookmarkStart w:id="52" w:name="_Toc24846"/>
      <w:bookmarkStart w:id="53" w:name="_Toc932_WPSOffice_Level1"/>
      <w:bookmarkStart w:id="54" w:name="_Toc2737_WPSOffice_Level1"/>
      <w:bookmarkStart w:id="55" w:name="_Toc2888"/>
      <w:bookmarkStart w:id="56" w:name="_Toc22374"/>
      <w:r>
        <w:rPr>
          <w:rFonts w:hint="eastAsia" w:ascii="仿宋" w:hAnsi="仿宋" w:eastAsia="仿宋" w:cs="楷体"/>
          <w:b/>
          <w:color w:val="auto"/>
          <w:sz w:val="42"/>
          <w:szCs w:val="34"/>
          <w:highlight w:val="none"/>
        </w:rPr>
        <w:t>磋商响应文</w:t>
      </w:r>
      <w:r>
        <w:rPr>
          <w:rFonts w:hint="eastAsia" w:ascii="仿宋" w:hAnsi="仿宋" w:eastAsia="仿宋" w:cs="楷体"/>
          <w:b/>
          <w:color w:val="auto"/>
          <w:sz w:val="40"/>
          <w:szCs w:val="32"/>
          <w:highlight w:val="none"/>
        </w:rPr>
        <w:t>件</w:t>
      </w:r>
      <w:bookmarkEnd w:id="48"/>
      <w:bookmarkEnd w:id="49"/>
      <w:bookmarkEnd w:id="50"/>
      <w:bookmarkEnd w:id="51"/>
      <w:bookmarkEnd w:id="52"/>
      <w:bookmarkEnd w:id="53"/>
      <w:bookmarkEnd w:id="54"/>
      <w:bookmarkEnd w:id="55"/>
      <w:bookmarkEnd w:id="56"/>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8"/>
        <w:rPr>
          <w:rFonts w:ascii="仿宋" w:hAnsi="仿宋" w:eastAsia="仿宋" w:cs="楷体"/>
          <w:color w:val="auto"/>
          <w:sz w:val="32"/>
          <w:highlight w:val="none"/>
        </w:rPr>
      </w:pPr>
    </w:p>
    <w:p>
      <w:pPr>
        <w:rPr>
          <w:rFonts w:ascii="仿宋" w:hAnsi="仿宋" w:eastAsia="仿宋" w:cs="楷体"/>
          <w:color w:val="auto"/>
          <w:highlight w:val="none"/>
        </w:rPr>
      </w:pPr>
    </w:p>
    <w:p>
      <w:pPr>
        <w:pStyle w:val="5"/>
        <w:rPr>
          <w:color w:val="auto"/>
          <w:highlight w:val="none"/>
        </w:rPr>
      </w:pPr>
    </w:p>
    <w:p>
      <w:pPr>
        <w:rPr>
          <w:rFonts w:ascii="仿宋" w:hAnsi="仿宋" w:eastAsia="仿宋" w:cs="楷体"/>
          <w:color w:val="auto"/>
          <w:sz w:val="32"/>
          <w:highlight w:val="none"/>
        </w:rPr>
      </w:pPr>
    </w:p>
    <w:p>
      <w:pPr>
        <w:pStyle w:val="8"/>
        <w:rPr>
          <w:rFonts w:ascii="仿宋" w:hAnsi="仿宋" w:eastAsia="仿宋"/>
          <w:color w:val="auto"/>
          <w:highlight w:val="none"/>
        </w:rPr>
      </w:pPr>
    </w:p>
    <w:p>
      <w:pPr>
        <w:rPr>
          <w:rFonts w:ascii="仿宋" w:hAnsi="仿宋" w:eastAsia="仿宋" w:cs="楷体"/>
          <w:color w:val="auto"/>
          <w:sz w:val="32"/>
          <w:highlight w:val="none"/>
        </w:rPr>
      </w:pPr>
      <w:r>
        <w:rPr>
          <w:rFonts w:hint="eastAsia" w:ascii="仿宋" w:hAnsi="仿宋" w:eastAsia="仿宋" w:cs="楷体"/>
          <w:color w:val="auto"/>
          <w:sz w:val="32"/>
          <w:highlight w:val="none"/>
        </w:rPr>
        <w:t xml:space="preserve">  </w:t>
      </w:r>
    </w:p>
    <w:p>
      <w:pPr>
        <w:spacing w:line="360" w:lineRule="auto"/>
        <w:ind w:firstLine="904" w:firstLineChars="375"/>
        <w:outlineLvl w:val="0"/>
        <w:rPr>
          <w:rFonts w:ascii="仿宋" w:hAnsi="仿宋" w:eastAsia="仿宋" w:cs="楷体"/>
          <w:b/>
          <w:bCs/>
          <w:color w:val="auto"/>
          <w:sz w:val="24"/>
          <w:szCs w:val="22"/>
          <w:highlight w:val="none"/>
          <w:u w:val="single"/>
        </w:rPr>
      </w:pPr>
      <w:bookmarkStart w:id="57" w:name="_Toc31718"/>
      <w:bookmarkStart w:id="58" w:name="_Toc27880_WPSOffice_Level1"/>
      <w:bookmarkStart w:id="59" w:name="_Toc15839"/>
      <w:bookmarkStart w:id="60" w:name="_Toc23944"/>
      <w:bookmarkStart w:id="61" w:name="_Toc26902_WPSOffice_Level1"/>
      <w:bookmarkStart w:id="62" w:name="_Toc841_WPSOffice_Level1"/>
      <w:bookmarkStart w:id="63" w:name="_Toc24770"/>
      <w:bookmarkStart w:id="64" w:name="_Toc14280"/>
      <w:bookmarkStart w:id="65" w:name="_Toc2131_WPSOffice_Level1"/>
      <w:r>
        <w:rPr>
          <w:rFonts w:hint="eastAsia" w:ascii="仿宋" w:hAnsi="仿宋" w:eastAsia="仿宋" w:cs="楷体"/>
          <w:b/>
          <w:bCs/>
          <w:color w:val="auto"/>
          <w:sz w:val="24"/>
          <w:szCs w:val="22"/>
          <w:highlight w:val="none"/>
        </w:rPr>
        <w:t>项目编号：</w:t>
      </w:r>
      <w:bookmarkEnd w:id="57"/>
      <w:bookmarkEnd w:id="58"/>
      <w:bookmarkEnd w:id="59"/>
      <w:bookmarkEnd w:id="60"/>
      <w:bookmarkEnd w:id="61"/>
      <w:bookmarkEnd w:id="62"/>
      <w:bookmarkEnd w:id="63"/>
      <w:bookmarkEnd w:id="64"/>
      <w:bookmarkEnd w:id="65"/>
      <w:r>
        <w:rPr>
          <w:rFonts w:hint="eastAsia" w:ascii="仿宋" w:hAnsi="仿宋" w:eastAsia="仿宋" w:cs="楷体"/>
          <w:b/>
          <w:bCs/>
          <w:color w:val="auto"/>
          <w:sz w:val="24"/>
          <w:szCs w:val="22"/>
          <w:highlight w:val="none"/>
          <w:u w:val="single"/>
        </w:rPr>
        <w:t xml:space="preserve">                                                </w:t>
      </w:r>
    </w:p>
    <w:p>
      <w:pPr>
        <w:spacing w:line="360" w:lineRule="auto"/>
        <w:ind w:firstLine="904" w:firstLineChars="375"/>
        <w:outlineLvl w:val="0"/>
        <w:rPr>
          <w:rFonts w:ascii="仿宋" w:hAnsi="仿宋" w:eastAsia="仿宋" w:cs="楷体"/>
          <w:b/>
          <w:bCs/>
          <w:color w:val="auto"/>
          <w:sz w:val="24"/>
          <w:szCs w:val="28"/>
          <w:highlight w:val="none"/>
        </w:rPr>
      </w:pPr>
      <w:bookmarkStart w:id="66" w:name="_Toc9996"/>
      <w:bookmarkStart w:id="67" w:name="_Toc1270_WPSOffice_Level1"/>
      <w:bookmarkStart w:id="68" w:name="_Toc24793_WPSOffice_Level1"/>
      <w:bookmarkStart w:id="69" w:name="_Toc1094_WPSOffice_Level1"/>
      <w:bookmarkStart w:id="70" w:name="_Toc16704"/>
      <w:bookmarkStart w:id="71" w:name="_Toc2788_WPSOffice_Level1"/>
      <w:bookmarkStart w:id="72" w:name="_Toc24685"/>
      <w:bookmarkStart w:id="73" w:name="_Toc30156"/>
      <w:bookmarkStart w:id="74" w:name="_Toc29453"/>
      <w:r>
        <w:rPr>
          <w:rFonts w:hint="eastAsia" w:ascii="仿宋" w:hAnsi="仿宋" w:eastAsia="仿宋" w:cs="楷体"/>
          <w:b/>
          <w:bCs/>
          <w:color w:val="auto"/>
          <w:sz w:val="24"/>
          <w:szCs w:val="28"/>
          <w:highlight w:val="none"/>
        </w:rPr>
        <w:t>供 应 商：</w:t>
      </w:r>
      <w:bookmarkEnd w:id="66"/>
      <w:bookmarkEnd w:id="67"/>
      <w:bookmarkEnd w:id="68"/>
      <w:bookmarkEnd w:id="69"/>
      <w:bookmarkEnd w:id="70"/>
      <w:bookmarkEnd w:id="71"/>
      <w:r>
        <w:rPr>
          <w:rFonts w:hint="eastAsia" w:ascii="仿宋" w:hAnsi="仿宋" w:eastAsia="仿宋" w:cs="楷体"/>
          <w:b/>
          <w:bCs/>
          <w:color w:val="auto"/>
          <w:sz w:val="24"/>
          <w:szCs w:val="28"/>
          <w:highlight w:val="none"/>
          <w:u w:val="single"/>
        </w:rPr>
        <w:t xml:space="preserve">          （填写全称并加盖公章）</w:t>
      </w:r>
      <w:bookmarkEnd w:id="72"/>
      <w:bookmarkEnd w:id="73"/>
      <w:bookmarkEnd w:id="74"/>
      <w:r>
        <w:rPr>
          <w:rFonts w:hint="eastAsia" w:ascii="仿宋" w:hAnsi="仿宋" w:eastAsia="仿宋" w:cs="楷体"/>
          <w:b/>
          <w:bCs/>
          <w:color w:val="auto"/>
          <w:sz w:val="24"/>
          <w:szCs w:val="28"/>
          <w:highlight w:val="none"/>
          <w:u w:val="single"/>
        </w:rPr>
        <w:t xml:space="preserve">                </w:t>
      </w:r>
    </w:p>
    <w:p>
      <w:pPr>
        <w:spacing w:line="360" w:lineRule="auto"/>
        <w:ind w:firstLine="904" w:firstLineChars="375"/>
        <w:outlineLvl w:val="0"/>
        <w:rPr>
          <w:rFonts w:ascii="仿宋" w:hAnsi="仿宋" w:eastAsia="仿宋" w:cs="楷体"/>
          <w:b/>
          <w:bCs/>
          <w:color w:val="auto"/>
          <w:sz w:val="24"/>
          <w:szCs w:val="22"/>
          <w:highlight w:val="none"/>
          <w:u w:val="single"/>
        </w:rPr>
      </w:pPr>
      <w:bookmarkStart w:id="75" w:name="_Toc16462_WPSOffice_Level1"/>
      <w:bookmarkStart w:id="76" w:name="_Toc27536"/>
      <w:bookmarkStart w:id="77" w:name="_Toc32451_WPSOffice_Level1"/>
      <w:bookmarkStart w:id="78" w:name="_Toc21036"/>
      <w:bookmarkStart w:id="79" w:name="_Toc24198"/>
      <w:bookmarkStart w:id="80" w:name="_Toc11747"/>
      <w:bookmarkStart w:id="81" w:name="_Toc31676"/>
      <w:bookmarkStart w:id="82" w:name="_Toc9319_WPSOffice_Level1"/>
      <w:bookmarkStart w:id="83" w:name="_Toc25454_WPSOffice_Level1"/>
      <w:r>
        <w:rPr>
          <w:rFonts w:hint="eastAsia" w:ascii="仿宋" w:hAnsi="仿宋" w:eastAsia="仿宋" w:cs="楷体"/>
          <w:b/>
          <w:bCs/>
          <w:color w:val="auto"/>
          <w:sz w:val="24"/>
          <w:szCs w:val="22"/>
          <w:highlight w:val="none"/>
        </w:rPr>
        <w:t>法定代表人或其被授权委托代理人 ：</w:t>
      </w:r>
      <w:r>
        <w:rPr>
          <w:rFonts w:hint="eastAsia" w:ascii="仿宋" w:hAnsi="仿宋" w:eastAsia="仿宋" w:cs="楷体"/>
          <w:b/>
          <w:bCs/>
          <w:color w:val="auto"/>
          <w:sz w:val="24"/>
          <w:szCs w:val="22"/>
          <w:highlight w:val="none"/>
          <w:u w:val="single"/>
        </w:rPr>
        <w:t xml:space="preserve">                 （签字）</w:t>
      </w:r>
      <w:bookmarkEnd w:id="75"/>
      <w:bookmarkEnd w:id="76"/>
      <w:bookmarkEnd w:id="77"/>
      <w:bookmarkEnd w:id="78"/>
      <w:bookmarkEnd w:id="79"/>
      <w:bookmarkEnd w:id="80"/>
      <w:bookmarkEnd w:id="81"/>
      <w:bookmarkEnd w:id="82"/>
      <w:bookmarkEnd w:id="83"/>
    </w:p>
    <w:p>
      <w:pPr>
        <w:spacing w:line="360" w:lineRule="auto"/>
        <w:ind w:firstLine="964" w:firstLineChars="400"/>
        <w:outlineLvl w:val="0"/>
        <w:rPr>
          <w:rFonts w:ascii="仿宋" w:hAnsi="仿宋" w:eastAsia="仿宋" w:cs="楷体"/>
          <w:b/>
          <w:bCs/>
          <w:color w:val="auto"/>
          <w:sz w:val="24"/>
          <w:szCs w:val="22"/>
          <w:highlight w:val="none"/>
        </w:rPr>
      </w:pPr>
      <w:bookmarkStart w:id="84" w:name="_Toc5474"/>
      <w:bookmarkStart w:id="85" w:name="_Toc11183"/>
      <w:bookmarkStart w:id="86" w:name="_Toc6125_WPSOffice_Level1"/>
      <w:bookmarkStart w:id="87" w:name="_Toc6982_WPSOffice_Level1"/>
      <w:bookmarkStart w:id="88" w:name="_Toc32478"/>
      <w:bookmarkStart w:id="89" w:name="_Toc21192_WPSOffice_Level1"/>
      <w:bookmarkStart w:id="90" w:name="_Toc5549"/>
      <w:bookmarkStart w:id="91" w:name="_Toc29630_WPSOffice_Level1"/>
      <w:bookmarkStart w:id="92" w:name="_Toc28358"/>
      <w:r>
        <w:rPr>
          <w:rFonts w:hint="eastAsia" w:ascii="仿宋" w:hAnsi="仿宋" w:eastAsia="仿宋" w:cs="楷体"/>
          <w:b/>
          <w:bCs/>
          <w:color w:val="auto"/>
          <w:sz w:val="24"/>
          <w:szCs w:val="22"/>
          <w:highlight w:val="none"/>
        </w:rPr>
        <w:t>日    期：</w:t>
      </w:r>
      <w:bookmarkEnd w:id="84"/>
      <w:bookmarkEnd w:id="85"/>
      <w:bookmarkEnd w:id="86"/>
      <w:bookmarkEnd w:id="87"/>
      <w:bookmarkEnd w:id="88"/>
      <w:bookmarkEnd w:id="89"/>
      <w:bookmarkEnd w:id="90"/>
      <w:bookmarkEnd w:id="91"/>
      <w:bookmarkEnd w:id="92"/>
      <w:r>
        <w:rPr>
          <w:rFonts w:hint="eastAsia" w:ascii="仿宋" w:hAnsi="仿宋" w:eastAsia="仿宋" w:cs="楷体"/>
          <w:b/>
          <w:bCs/>
          <w:color w:val="auto"/>
          <w:sz w:val="24"/>
          <w:szCs w:val="22"/>
          <w:highlight w:val="none"/>
          <w:u w:val="single"/>
        </w:rPr>
        <w:t xml:space="preserve">                                               </w:t>
      </w:r>
    </w:p>
    <w:p>
      <w:pPr>
        <w:jc w:val="center"/>
        <w:outlineLvl w:val="0"/>
        <w:rPr>
          <w:rFonts w:hint="eastAsia" w:ascii="仿宋" w:hAnsi="仿宋" w:eastAsia="仿宋" w:cs="楷体"/>
          <w:b/>
          <w:bCs/>
          <w:color w:val="auto"/>
          <w:sz w:val="44"/>
          <w:szCs w:val="44"/>
          <w:highlight w:val="none"/>
        </w:rPr>
      </w:pPr>
      <w:bookmarkStart w:id="93" w:name="_Toc25620"/>
      <w:bookmarkStart w:id="94" w:name="_Toc32102_WPSOffice_Level1"/>
      <w:bookmarkStart w:id="95" w:name="_Toc6310_WPSOffice_Level1"/>
      <w:bookmarkStart w:id="96" w:name="_Toc6405_WPSOffice_Level1"/>
      <w:bookmarkStart w:id="97" w:name="_Toc27104"/>
      <w:bookmarkStart w:id="98" w:name="_Toc10984"/>
      <w:bookmarkStart w:id="99" w:name="_Toc25538"/>
      <w:bookmarkStart w:id="100" w:name="_Toc25133"/>
    </w:p>
    <w:p>
      <w:pPr>
        <w:pStyle w:val="5"/>
        <w:rPr>
          <w:rFonts w:hint="eastAsia" w:ascii="仿宋" w:hAnsi="仿宋" w:eastAsia="仿宋" w:cs="楷体"/>
          <w:b/>
          <w:bCs/>
          <w:color w:val="auto"/>
          <w:sz w:val="44"/>
          <w:szCs w:val="44"/>
          <w:highlight w:val="none"/>
        </w:rPr>
      </w:pPr>
    </w:p>
    <w:p>
      <w:pPr>
        <w:rPr>
          <w:rFonts w:hint="eastAsia"/>
          <w:color w:val="auto"/>
          <w:highlight w:val="none"/>
        </w:rPr>
      </w:pPr>
    </w:p>
    <w:p>
      <w:pPr>
        <w:jc w:val="center"/>
        <w:outlineLvl w:val="0"/>
        <w:rPr>
          <w:rFonts w:ascii="仿宋" w:hAnsi="仿宋" w:eastAsia="仿宋" w:cs="楷体"/>
          <w:b/>
          <w:bCs/>
          <w:color w:val="auto"/>
          <w:sz w:val="48"/>
          <w:szCs w:val="48"/>
          <w:highlight w:val="none"/>
        </w:rPr>
      </w:pPr>
      <w:r>
        <w:rPr>
          <w:rFonts w:hint="eastAsia" w:ascii="仿宋" w:hAnsi="仿宋" w:eastAsia="仿宋" w:cs="楷体"/>
          <w:b/>
          <w:bCs/>
          <w:color w:val="auto"/>
          <w:sz w:val="44"/>
          <w:szCs w:val="44"/>
          <w:highlight w:val="none"/>
        </w:rPr>
        <w:t>目    录</w:t>
      </w:r>
      <w:bookmarkEnd w:id="93"/>
      <w:bookmarkEnd w:id="94"/>
      <w:bookmarkEnd w:id="95"/>
      <w:bookmarkEnd w:id="96"/>
      <w:bookmarkEnd w:id="97"/>
      <w:bookmarkEnd w:id="98"/>
      <w:bookmarkEnd w:id="99"/>
      <w:bookmarkEnd w:id="100"/>
    </w:p>
    <w:p>
      <w:pPr>
        <w:spacing w:line="480" w:lineRule="exact"/>
        <w:ind w:firstLine="640" w:firstLineChars="200"/>
        <w:rPr>
          <w:rFonts w:ascii="仿宋" w:hAnsi="仿宋" w:eastAsia="仿宋" w:cs="楷体"/>
          <w:color w:val="auto"/>
          <w:sz w:val="32"/>
          <w:szCs w:val="32"/>
          <w:highlight w:val="none"/>
        </w:rPr>
      </w:pPr>
    </w:p>
    <w:p>
      <w:pPr>
        <w:spacing w:line="480" w:lineRule="exact"/>
        <w:ind w:firstLine="640" w:firstLineChars="200"/>
        <w:rPr>
          <w:rFonts w:ascii="仿宋" w:hAnsi="仿宋" w:eastAsia="仿宋" w:cs="楷体"/>
          <w:color w:val="auto"/>
          <w:sz w:val="32"/>
          <w:szCs w:val="32"/>
          <w:highlight w:val="none"/>
        </w:rPr>
      </w:pPr>
    </w:p>
    <w:p>
      <w:pPr>
        <w:spacing w:line="360" w:lineRule="exact"/>
        <w:ind w:firstLine="440" w:firstLineChars="200"/>
        <w:outlineLvl w:val="0"/>
        <w:rPr>
          <w:rFonts w:ascii="仿宋" w:hAnsi="仿宋" w:eastAsia="仿宋" w:cs="楷体"/>
          <w:color w:val="auto"/>
          <w:sz w:val="22"/>
          <w:szCs w:val="28"/>
          <w:highlight w:val="none"/>
        </w:rPr>
      </w:pPr>
      <w:bookmarkStart w:id="101" w:name="_Toc5503"/>
      <w:bookmarkStart w:id="102" w:name="_Toc8377_WPSOffice_Level1"/>
      <w:bookmarkStart w:id="103" w:name="_Toc31800"/>
      <w:bookmarkStart w:id="104" w:name="_Toc18390_WPSOffice_Level1"/>
      <w:bookmarkStart w:id="105" w:name="_Toc11959_WPSOffice_Level1"/>
      <w:bookmarkStart w:id="106" w:name="_Toc15629"/>
      <w:bookmarkStart w:id="107" w:name="_Toc22840"/>
      <w:bookmarkStart w:id="108" w:name="_Toc3396"/>
      <w:bookmarkStart w:id="109" w:name="_Toc9865_WPSOffice_Level1"/>
      <w:r>
        <w:rPr>
          <w:rFonts w:hint="eastAsia" w:ascii="仿宋" w:hAnsi="仿宋" w:eastAsia="仿宋" w:cs="楷体"/>
          <w:color w:val="auto"/>
          <w:sz w:val="22"/>
          <w:szCs w:val="28"/>
          <w:highlight w:val="none"/>
        </w:rPr>
        <w:t>第1部分   法定代表人证明书及法定代表人授权书</w:t>
      </w:r>
      <w:bookmarkEnd w:id="101"/>
      <w:bookmarkEnd w:id="102"/>
      <w:bookmarkEnd w:id="103"/>
      <w:bookmarkEnd w:id="104"/>
      <w:bookmarkEnd w:id="105"/>
      <w:bookmarkEnd w:id="106"/>
      <w:bookmarkEnd w:id="107"/>
      <w:bookmarkEnd w:id="108"/>
      <w:bookmarkEnd w:id="109"/>
    </w:p>
    <w:p>
      <w:pPr>
        <w:spacing w:line="360" w:lineRule="exact"/>
        <w:ind w:firstLine="440" w:firstLineChars="200"/>
        <w:rPr>
          <w:rFonts w:ascii="仿宋" w:hAnsi="仿宋" w:eastAsia="仿宋" w:cs="楷体"/>
          <w:color w:val="auto"/>
          <w:sz w:val="22"/>
          <w:szCs w:val="28"/>
          <w:highlight w:val="none"/>
        </w:rPr>
      </w:pPr>
    </w:p>
    <w:p>
      <w:pPr>
        <w:spacing w:line="360" w:lineRule="exact"/>
        <w:ind w:firstLine="440" w:firstLineChars="200"/>
        <w:outlineLvl w:val="0"/>
        <w:rPr>
          <w:rFonts w:ascii="仿宋" w:hAnsi="仿宋" w:eastAsia="仿宋" w:cs="楷体"/>
          <w:color w:val="auto"/>
          <w:sz w:val="22"/>
          <w:szCs w:val="28"/>
          <w:highlight w:val="none"/>
        </w:rPr>
      </w:pPr>
      <w:bookmarkStart w:id="110" w:name="_Toc27957_WPSOffice_Level1"/>
      <w:bookmarkStart w:id="111" w:name="_Toc15120"/>
      <w:bookmarkStart w:id="112" w:name="_Toc26011_WPSOffice_Level1"/>
      <w:bookmarkStart w:id="113" w:name="_Toc26492"/>
      <w:bookmarkStart w:id="114" w:name="_Toc19308"/>
      <w:bookmarkStart w:id="115" w:name="_Toc13643"/>
      <w:bookmarkStart w:id="116" w:name="_Toc1826_WPSOffice_Level1"/>
      <w:bookmarkStart w:id="117" w:name="_Toc26433"/>
      <w:bookmarkStart w:id="118" w:name="_Toc7372_WPSOffice_Level1"/>
      <w:r>
        <w:rPr>
          <w:rFonts w:hint="eastAsia" w:ascii="仿宋" w:hAnsi="仿宋" w:eastAsia="仿宋" w:cs="楷体"/>
          <w:color w:val="auto"/>
          <w:sz w:val="22"/>
          <w:szCs w:val="28"/>
          <w:highlight w:val="none"/>
        </w:rPr>
        <w:t>第2部分   响应函</w:t>
      </w:r>
      <w:bookmarkEnd w:id="110"/>
      <w:bookmarkEnd w:id="111"/>
      <w:bookmarkEnd w:id="112"/>
      <w:bookmarkEnd w:id="113"/>
      <w:bookmarkEnd w:id="114"/>
      <w:bookmarkEnd w:id="115"/>
      <w:bookmarkEnd w:id="116"/>
      <w:bookmarkEnd w:id="117"/>
      <w:bookmarkEnd w:id="118"/>
    </w:p>
    <w:p>
      <w:pPr>
        <w:spacing w:line="360" w:lineRule="exact"/>
        <w:ind w:firstLine="440" w:firstLineChars="200"/>
        <w:rPr>
          <w:rFonts w:ascii="仿宋" w:hAnsi="仿宋" w:eastAsia="仿宋" w:cs="楷体"/>
          <w:color w:val="auto"/>
          <w:sz w:val="22"/>
          <w:szCs w:val="28"/>
          <w:highlight w:val="none"/>
        </w:rPr>
      </w:pPr>
    </w:p>
    <w:p>
      <w:pPr>
        <w:spacing w:line="360" w:lineRule="exact"/>
        <w:ind w:firstLine="440" w:firstLineChars="200"/>
        <w:outlineLvl w:val="0"/>
        <w:rPr>
          <w:rFonts w:ascii="仿宋" w:hAnsi="仿宋" w:eastAsia="仿宋" w:cs="楷体"/>
          <w:color w:val="auto"/>
          <w:sz w:val="22"/>
          <w:szCs w:val="28"/>
          <w:highlight w:val="none"/>
        </w:rPr>
      </w:pPr>
      <w:bookmarkStart w:id="119" w:name="_Toc18583"/>
      <w:bookmarkStart w:id="120" w:name="_Toc12021_WPSOffice_Level1"/>
      <w:bookmarkStart w:id="121" w:name="_Toc9881_WPSOffice_Level1"/>
      <w:bookmarkStart w:id="122" w:name="_Toc10747_WPSOffice_Level1"/>
      <w:bookmarkStart w:id="123" w:name="_Toc29746"/>
      <w:bookmarkStart w:id="124" w:name="_Toc18583_WPSOffice_Level1"/>
      <w:bookmarkStart w:id="125" w:name="_Toc16884"/>
      <w:bookmarkStart w:id="126" w:name="_Toc340"/>
      <w:bookmarkStart w:id="127" w:name="_Toc25517"/>
      <w:r>
        <w:rPr>
          <w:rFonts w:hint="eastAsia" w:ascii="仿宋" w:hAnsi="仿宋" w:eastAsia="仿宋" w:cs="楷体"/>
          <w:color w:val="auto"/>
          <w:sz w:val="22"/>
          <w:szCs w:val="28"/>
          <w:highlight w:val="none"/>
        </w:rPr>
        <w:t xml:space="preserve">第3部分   </w:t>
      </w:r>
      <w:bookmarkEnd w:id="119"/>
      <w:bookmarkEnd w:id="120"/>
      <w:bookmarkEnd w:id="121"/>
      <w:bookmarkEnd w:id="122"/>
      <w:bookmarkEnd w:id="123"/>
      <w:bookmarkEnd w:id="124"/>
      <w:r>
        <w:rPr>
          <w:rFonts w:hint="eastAsia" w:ascii="仿宋" w:hAnsi="仿宋" w:eastAsia="仿宋" w:cs="楷体"/>
          <w:color w:val="auto"/>
          <w:sz w:val="22"/>
          <w:szCs w:val="28"/>
          <w:highlight w:val="none"/>
        </w:rPr>
        <w:t>开标一览表</w:t>
      </w:r>
      <w:bookmarkEnd w:id="125"/>
      <w:bookmarkEnd w:id="126"/>
      <w:bookmarkEnd w:id="127"/>
    </w:p>
    <w:p>
      <w:pPr>
        <w:spacing w:line="360" w:lineRule="exact"/>
        <w:ind w:firstLine="440" w:firstLineChars="200"/>
        <w:rPr>
          <w:rFonts w:ascii="仿宋" w:hAnsi="仿宋" w:eastAsia="仿宋" w:cs="楷体"/>
          <w:color w:val="auto"/>
          <w:sz w:val="22"/>
          <w:szCs w:val="28"/>
          <w:highlight w:val="none"/>
        </w:rPr>
      </w:pPr>
    </w:p>
    <w:p>
      <w:pPr>
        <w:spacing w:line="360" w:lineRule="exact"/>
        <w:ind w:firstLine="440" w:firstLineChars="200"/>
        <w:outlineLvl w:val="0"/>
        <w:rPr>
          <w:rFonts w:ascii="仿宋" w:hAnsi="仿宋" w:eastAsia="仿宋" w:cs="楷体"/>
          <w:color w:val="auto"/>
          <w:sz w:val="22"/>
          <w:szCs w:val="28"/>
          <w:highlight w:val="none"/>
        </w:rPr>
      </w:pPr>
      <w:bookmarkStart w:id="128" w:name="_Toc25195_WPSOffice_Level1"/>
      <w:bookmarkStart w:id="129" w:name="_Toc13364"/>
      <w:bookmarkStart w:id="130" w:name="_Toc8226_WPSOffice_Level1"/>
      <w:bookmarkStart w:id="131" w:name="_Toc19845"/>
      <w:bookmarkStart w:id="132" w:name="_Toc26384_WPSOffice_Level1"/>
      <w:bookmarkStart w:id="133" w:name="_Toc27976"/>
      <w:bookmarkStart w:id="134" w:name="_Toc13283"/>
      <w:bookmarkStart w:id="135" w:name="_Toc4728_WPSOffice_Level1"/>
      <w:bookmarkStart w:id="136" w:name="_Toc24912"/>
      <w:r>
        <w:rPr>
          <w:rFonts w:hint="eastAsia" w:ascii="仿宋" w:hAnsi="仿宋" w:eastAsia="仿宋" w:cs="楷体"/>
          <w:color w:val="auto"/>
          <w:sz w:val="22"/>
          <w:szCs w:val="28"/>
          <w:highlight w:val="none"/>
        </w:rPr>
        <w:t>第4部分   服务方案</w:t>
      </w:r>
      <w:bookmarkEnd w:id="128"/>
      <w:bookmarkEnd w:id="129"/>
      <w:bookmarkEnd w:id="130"/>
      <w:bookmarkEnd w:id="131"/>
      <w:bookmarkEnd w:id="132"/>
      <w:bookmarkEnd w:id="133"/>
      <w:bookmarkEnd w:id="134"/>
      <w:bookmarkEnd w:id="135"/>
      <w:bookmarkEnd w:id="136"/>
    </w:p>
    <w:p>
      <w:pPr>
        <w:spacing w:line="360" w:lineRule="exact"/>
        <w:ind w:firstLine="440" w:firstLineChars="200"/>
        <w:rPr>
          <w:rFonts w:ascii="仿宋" w:hAnsi="仿宋" w:eastAsia="仿宋" w:cs="楷体"/>
          <w:color w:val="auto"/>
          <w:sz w:val="22"/>
          <w:szCs w:val="28"/>
          <w:highlight w:val="none"/>
        </w:rPr>
      </w:pPr>
    </w:p>
    <w:p>
      <w:pPr>
        <w:spacing w:line="360" w:lineRule="exact"/>
        <w:ind w:firstLine="440" w:firstLineChars="200"/>
        <w:outlineLvl w:val="0"/>
        <w:rPr>
          <w:rFonts w:ascii="仿宋" w:hAnsi="仿宋" w:eastAsia="仿宋" w:cs="楷体"/>
          <w:color w:val="auto"/>
          <w:sz w:val="22"/>
          <w:szCs w:val="28"/>
          <w:highlight w:val="none"/>
        </w:rPr>
      </w:pPr>
      <w:bookmarkStart w:id="137" w:name="_Toc18706_WPSOffice_Level1"/>
      <w:bookmarkStart w:id="138" w:name="_Toc31659_WPSOffice_Level1"/>
      <w:bookmarkStart w:id="139" w:name="_Toc25588"/>
      <w:bookmarkStart w:id="140" w:name="_Toc28311"/>
      <w:bookmarkStart w:id="141" w:name="_Toc29748"/>
      <w:bookmarkStart w:id="142" w:name="_Toc19758"/>
      <w:bookmarkStart w:id="143" w:name="_Toc23870_WPSOffice_Level1"/>
      <w:bookmarkStart w:id="144" w:name="_Toc23101_WPSOffice_Level1"/>
      <w:bookmarkStart w:id="145" w:name="_Toc9446"/>
      <w:r>
        <w:rPr>
          <w:rFonts w:hint="eastAsia" w:ascii="仿宋" w:hAnsi="仿宋" w:eastAsia="仿宋" w:cs="楷体"/>
          <w:color w:val="auto"/>
          <w:sz w:val="22"/>
          <w:szCs w:val="28"/>
          <w:highlight w:val="none"/>
        </w:rPr>
        <w:t xml:space="preserve">第5部分   </w:t>
      </w:r>
      <w:bookmarkEnd w:id="137"/>
      <w:bookmarkEnd w:id="138"/>
      <w:bookmarkEnd w:id="139"/>
      <w:bookmarkEnd w:id="140"/>
      <w:bookmarkEnd w:id="141"/>
      <w:bookmarkEnd w:id="142"/>
      <w:bookmarkEnd w:id="143"/>
      <w:bookmarkEnd w:id="144"/>
      <w:bookmarkEnd w:id="145"/>
      <w:r>
        <w:rPr>
          <w:rFonts w:hint="eastAsia" w:ascii="仿宋" w:hAnsi="仿宋" w:eastAsia="仿宋" w:cs="楷体"/>
          <w:color w:val="auto"/>
          <w:sz w:val="22"/>
          <w:szCs w:val="28"/>
          <w:highlight w:val="none"/>
        </w:rPr>
        <w:t>商务条款偏离表</w:t>
      </w:r>
    </w:p>
    <w:p>
      <w:pPr>
        <w:spacing w:line="360" w:lineRule="exact"/>
        <w:ind w:firstLine="440" w:firstLineChars="200"/>
        <w:rPr>
          <w:rFonts w:ascii="仿宋" w:hAnsi="仿宋" w:eastAsia="仿宋" w:cs="楷体"/>
          <w:color w:val="auto"/>
          <w:sz w:val="22"/>
          <w:szCs w:val="28"/>
          <w:highlight w:val="none"/>
        </w:rPr>
      </w:pPr>
    </w:p>
    <w:p>
      <w:pPr>
        <w:spacing w:line="360" w:lineRule="exact"/>
        <w:ind w:firstLine="440" w:firstLineChars="200"/>
        <w:outlineLvl w:val="0"/>
        <w:rPr>
          <w:rFonts w:ascii="仿宋" w:hAnsi="仿宋" w:eastAsia="仿宋" w:cs="楷体"/>
          <w:color w:val="auto"/>
          <w:sz w:val="22"/>
          <w:szCs w:val="28"/>
          <w:highlight w:val="none"/>
        </w:rPr>
      </w:pPr>
      <w:bookmarkStart w:id="146" w:name="_Toc15145"/>
      <w:bookmarkStart w:id="147" w:name="_Toc22418_WPSOffice_Level1"/>
      <w:bookmarkStart w:id="148" w:name="_Toc13585"/>
      <w:bookmarkStart w:id="149" w:name="_Toc13214_WPSOffice_Level1"/>
      <w:bookmarkStart w:id="150" w:name="_Toc26862"/>
      <w:bookmarkStart w:id="151" w:name="_Toc26395"/>
      <w:bookmarkStart w:id="152" w:name="_Toc2389"/>
      <w:bookmarkStart w:id="153" w:name="_Toc13442_WPSOffice_Level1"/>
      <w:bookmarkStart w:id="154" w:name="_Toc19012_WPSOffice_Level1"/>
      <w:r>
        <w:rPr>
          <w:rFonts w:hint="eastAsia" w:ascii="仿宋" w:hAnsi="仿宋" w:eastAsia="仿宋" w:cs="楷体"/>
          <w:color w:val="auto"/>
          <w:sz w:val="22"/>
          <w:szCs w:val="28"/>
          <w:highlight w:val="none"/>
        </w:rPr>
        <w:t>第6部分   磋商供应商概况及承诺</w:t>
      </w:r>
      <w:bookmarkEnd w:id="146"/>
      <w:bookmarkEnd w:id="147"/>
      <w:bookmarkEnd w:id="148"/>
      <w:bookmarkEnd w:id="149"/>
      <w:bookmarkEnd w:id="150"/>
      <w:bookmarkEnd w:id="151"/>
      <w:bookmarkEnd w:id="152"/>
      <w:bookmarkEnd w:id="153"/>
      <w:bookmarkEnd w:id="154"/>
    </w:p>
    <w:p>
      <w:pPr>
        <w:spacing w:line="360" w:lineRule="exact"/>
        <w:ind w:firstLine="440" w:firstLineChars="200"/>
        <w:rPr>
          <w:rFonts w:ascii="仿宋" w:hAnsi="仿宋" w:eastAsia="仿宋" w:cs="楷体"/>
          <w:color w:val="auto"/>
          <w:sz w:val="22"/>
          <w:szCs w:val="28"/>
          <w:highlight w:val="none"/>
        </w:rPr>
      </w:pPr>
    </w:p>
    <w:p>
      <w:pPr>
        <w:spacing w:line="360" w:lineRule="exact"/>
        <w:ind w:firstLine="220" w:firstLineChars="100"/>
        <w:outlineLvl w:val="0"/>
        <w:rPr>
          <w:rFonts w:hint="eastAsia" w:ascii="仿宋" w:hAnsi="仿宋" w:eastAsia="仿宋" w:cs="楷体"/>
          <w:color w:val="auto"/>
          <w:sz w:val="22"/>
          <w:szCs w:val="28"/>
          <w:highlight w:val="none"/>
        </w:rPr>
      </w:pPr>
      <w:r>
        <w:rPr>
          <w:rFonts w:hint="eastAsia" w:ascii="仿宋" w:hAnsi="仿宋" w:eastAsia="仿宋" w:cs="楷体"/>
          <w:color w:val="auto"/>
          <w:sz w:val="22"/>
          <w:szCs w:val="28"/>
          <w:highlight w:val="none"/>
        </w:rPr>
        <w:t xml:space="preserve">  </w:t>
      </w:r>
      <w:r>
        <w:rPr>
          <w:rFonts w:hint="eastAsia" w:ascii="仿宋" w:hAnsi="仿宋" w:eastAsia="仿宋" w:cs="楷体"/>
          <w:color w:val="auto"/>
          <w:sz w:val="22"/>
          <w:szCs w:val="28"/>
          <w:highlight w:val="none"/>
          <w:lang w:eastAsia="zh-CN"/>
        </w:rPr>
        <w:t>第</w:t>
      </w:r>
      <w:r>
        <w:rPr>
          <w:rFonts w:hint="eastAsia" w:ascii="仿宋" w:hAnsi="仿宋" w:eastAsia="仿宋" w:cs="楷体"/>
          <w:color w:val="auto"/>
          <w:sz w:val="22"/>
          <w:szCs w:val="28"/>
          <w:highlight w:val="none"/>
          <w:lang w:val="en-US" w:eastAsia="zh-CN"/>
        </w:rPr>
        <w:t xml:space="preserve">7部分   </w:t>
      </w:r>
      <w:r>
        <w:rPr>
          <w:rFonts w:hint="eastAsia" w:ascii="仿宋" w:hAnsi="仿宋" w:eastAsia="仿宋" w:cs="楷体"/>
          <w:color w:val="auto"/>
          <w:sz w:val="22"/>
          <w:szCs w:val="28"/>
          <w:highlight w:val="none"/>
        </w:rPr>
        <w:t>资格证明文件</w:t>
      </w:r>
    </w:p>
    <w:p>
      <w:pPr>
        <w:spacing w:line="360" w:lineRule="exact"/>
        <w:ind w:firstLine="440" w:firstLineChars="200"/>
        <w:outlineLvl w:val="0"/>
        <w:rPr>
          <w:rFonts w:hint="eastAsia" w:ascii="仿宋" w:hAnsi="仿宋" w:eastAsia="仿宋" w:cs="楷体"/>
          <w:color w:val="auto"/>
          <w:sz w:val="22"/>
          <w:szCs w:val="28"/>
          <w:highlight w:val="none"/>
        </w:rPr>
      </w:pPr>
    </w:p>
    <w:p>
      <w:pPr>
        <w:spacing w:line="360" w:lineRule="exact"/>
        <w:ind w:firstLine="440" w:firstLineChars="200"/>
        <w:outlineLvl w:val="0"/>
        <w:rPr>
          <w:rFonts w:hint="eastAsia" w:ascii="仿宋" w:hAnsi="仿宋" w:eastAsia="仿宋" w:cs="楷体"/>
          <w:color w:val="auto"/>
          <w:sz w:val="22"/>
          <w:szCs w:val="28"/>
          <w:highlight w:val="none"/>
          <w:lang w:eastAsia="zh-CN"/>
        </w:rPr>
      </w:pPr>
      <w:bookmarkStart w:id="155" w:name="_Toc4766"/>
      <w:bookmarkStart w:id="156" w:name="_Toc24331_WPSOffice_Level1"/>
      <w:bookmarkStart w:id="157" w:name="_Toc20530_WPSOffice_Level1"/>
      <w:bookmarkStart w:id="158" w:name="_Toc11813"/>
      <w:bookmarkStart w:id="159" w:name="_Toc26630_WPSOffice_Level1"/>
      <w:bookmarkStart w:id="160" w:name="_Toc20316_WPSOffice_Level1"/>
      <w:bookmarkStart w:id="161" w:name="_Toc26261"/>
      <w:bookmarkStart w:id="162" w:name="_Toc15606"/>
      <w:bookmarkStart w:id="163" w:name="_Toc21998"/>
      <w:r>
        <w:rPr>
          <w:rFonts w:hint="eastAsia" w:ascii="仿宋" w:hAnsi="仿宋" w:eastAsia="仿宋" w:cs="楷体"/>
          <w:color w:val="auto"/>
          <w:sz w:val="22"/>
          <w:szCs w:val="28"/>
          <w:highlight w:val="none"/>
          <w:lang w:eastAsia="zh-CN"/>
        </w:rPr>
        <w:t>第</w:t>
      </w:r>
      <w:r>
        <w:rPr>
          <w:rFonts w:hint="eastAsia" w:ascii="仿宋" w:hAnsi="仿宋" w:eastAsia="仿宋" w:cs="楷体"/>
          <w:color w:val="auto"/>
          <w:sz w:val="22"/>
          <w:szCs w:val="28"/>
          <w:highlight w:val="none"/>
          <w:lang w:val="en-US" w:eastAsia="zh-CN"/>
        </w:rPr>
        <w:t xml:space="preserve">8部分 </w:t>
      </w:r>
      <w:r>
        <w:rPr>
          <w:rFonts w:hint="eastAsia" w:ascii="仿宋" w:hAnsi="仿宋" w:eastAsia="仿宋" w:cs="楷体"/>
          <w:color w:val="auto"/>
          <w:sz w:val="22"/>
          <w:szCs w:val="28"/>
          <w:highlight w:val="none"/>
        </w:rPr>
        <w:t xml:space="preserve"> </w:t>
      </w:r>
      <w:bookmarkEnd w:id="155"/>
      <w:bookmarkEnd w:id="156"/>
      <w:bookmarkEnd w:id="157"/>
      <w:bookmarkEnd w:id="158"/>
      <w:bookmarkEnd w:id="159"/>
      <w:bookmarkEnd w:id="160"/>
      <w:bookmarkEnd w:id="161"/>
      <w:bookmarkEnd w:id="162"/>
      <w:bookmarkEnd w:id="163"/>
      <w:r>
        <w:rPr>
          <w:rFonts w:hint="eastAsia" w:ascii="仿宋" w:hAnsi="仿宋" w:eastAsia="仿宋" w:cs="楷体"/>
          <w:color w:val="auto"/>
          <w:sz w:val="22"/>
          <w:szCs w:val="28"/>
          <w:highlight w:val="none"/>
          <w:lang w:val="en-US" w:eastAsia="zh-CN"/>
        </w:rPr>
        <w:t xml:space="preserve"> </w:t>
      </w:r>
      <w:r>
        <w:rPr>
          <w:rFonts w:hint="eastAsia" w:ascii="仿宋" w:hAnsi="仿宋" w:eastAsia="仿宋" w:cs="楷体"/>
          <w:color w:val="auto"/>
          <w:sz w:val="22"/>
          <w:szCs w:val="28"/>
          <w:highlight w:val="none"/>
          <w:lang w:eastAsia="zh-CN"/>
        </w:rPr>
        <w:t>类似项目业绩</w:t>
      </w:r>
    </w:p>
    <w:p>
      <w:pPr>
        <w:spacing w:line="360" w:lineRule="exact"/>
        <w:ind w:firstLine="440" w:firstLineChars="200"/>
        <w:outlineLvl w:val="0"/>
        <w:rPr>
          <w:rFonts w:hint="eastAsia" w:ascii="仿宋" w:hAnsi="仿宋" w:eastAsia="仿宋" w:cs="楷体"/>
          <w:color w:val="auto"/>
          <w:sz w:val="22"/>
          <w:szCs w:val="28"/>
          <w:highlight w:val="none"/>
          <w:lang w:eastAsia="zh-CN"/>
        </w:rPr>
      </w:pPr>
    </w:p>
    <w:p>
      <w:pPr>
        <w:spacing w:line="360" w:lineRule="exact"/>
        <w:ind w:firstLine="440" w:firstLineChars="200"/>
        <w:outlineLvl w:val="0"/>
        <w:rPr>
          <w:rFonts w:hint="eastAsia" w:ascii="仿宋" w:hAnsi="仿宋" w:eastAsia="仿宋" w:cs="楷体"/>
          <w:color w:val="auto"/>
          <w:sz w:val="22"/>
          <w:szCs w:val="28"/>
          <w:highlight w:val="none"/>
        </w:rPr>
      </w:pPr>
      <w:r>
        <w:rPr>
          <w:rFonts w:hint="eastAsia" w:ascii="仿宋" w:hAnsi="仿宋" w:eastAsia="仿宋" w:cs="楷体"/>
          <w:color w:val="auto"/>
          <w:sz w:val="22"/>
          <w:szCs w:val="28"/>
          <w:highlight w:val="none"/>
          <w:lang w:val="en-US" w:eastAsia="zh-CN"/>
        </w:rPr>
        <w:t xml:space="preserve">第9部分   </w:t>
      </w:r>
      <w:r>
        <w:rPr>
          <w:rFonts w:hint="eastAsia" w:ascii="仿宋" w:hAnsi="仿宋" w:eastAsia="仿宋" w:cs="楷体"/>
          <w:color w:val="auto"/>
          <w:sz w:val="22"/>
          <w:szCs w:val="28"/>
          <w:highlight w:val="none"/>
        </w:rPr>
        <w:t>磋商保证金退还声明</w:t>
      </w:r>
    </w:p>
    <w:p>
      <w:pPr>
        <w:rPr>
          <w:rFonts w:hint="eastAsia"/>
          <w:color w:val="auto"/>
          <w:highlight w:val="none"/>
          <w:lang w:eastAsia="zh-CN"/>
        </w:rPr>
      </w:pPr>
    </w:p>
    <w:p>
      <w:pPr>
        <w:pStyle w:val="18"/>
        <w:ind w:left="0" w:leftChars="0" w:firstLine="0" w:firstLineChars="0"/>
        <w:rPr>
          <w:color w:val="auto"/>
          <w:highlight w:val="none"/>
        </w:rPr>
      </w:pPr>
    </w:p>
    <w:p>
      <w:pPr>
        <w:pStyle w:val="17"/>
        <w:ind w:firstLine="180"/>
        <w:rPr>
          <w:rFonts w:ascii="仿宋" w:hAnsi="仿宋" w:eastAsia="仿宋"/>
          <w:color w:val="auto"/>
          <w:highlight w:val="none"/>
        </w:rPr>
      </w:pPr>
    </w:p>
    <w:p>
      <w:pPr>
        <w:pStyle w:val="18"/>
        <w:ind w:left="0" w:leftChars="0" w:firstLine="0" w:firstLineChars="0"/>
        <w:rPr>
          <w:rFonts w:ascii="仿宋" w:hAnsi="仿宋" w:eastAsia="仿宋"/>
          <w:color w:val="auto"/>
          <w:highlight w:val="none"/>
        </w:rPr>
      </w:pPr>
    </w:p>
    <w:p>
      <w:pPr>
        <w:pStyle w:val="8"/>
        <w:rPr>
          <w:rFonts w:ascii="仿宋" w:hAnsi="仿宋" w:eastAsia="仿宋" w:cs="楷体"/>
          <w:color w:val="auto"/>
          <w:highlight w:val="none"/>
        </w:rPr>
      </w:pPr>
    </w:p>
    <w:p>
      <w:pPr>
        <w:pStyle w:val="8"/>
        <w:rPr>
          <w:rFonts w:ascii="仿宋" w:hAnsi="仿宋" w:eastAsia="仿宋" w:cs="楷体"/>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8"/>
        <w:rPr>
          <w:rFonts w:ascii="仿宋" w:hAnsi="仿宋" w:eastAsia="仿宋" w:cs="楷体"/>
          <w:color w:val="auto"/>
          <w:sz w:val="32"/>
          <w:szCs w:val="32"/>
          <w:highlight w:val="none"/>
        </w:rPr>
      </w:pPr>
    </w:p>
    <w:p>
      <w:pPr>
        <w:tabs>
          <w:tab w:val="left" w:pos="1260"/>
        </w:tabs>
        <w:spacing w:line="440" w:lineRule="exact"/>
        <w:jc w:val="center"/>
        <w:outlineLvl w:val="0"/>
        <w:rPr>
          <w:rFonts w:ascii="仿宋" w:hAnsi="仿宋" w:eastAsia="仿宋" w:cs="楷体"/>
          <w:b/>
          <w:bCs/>
          <w:color w:val="auto"/>
          <w:sz w:val="32"/>
          <w:szCs w:val="40"/>
          <w:highlight w:val="none"/>
        </w:rPr>
      </w:pPr>
      <w:bookmarkStart w:id="164" w:name="_Toc4118"/>
      <w:bookmarkStart w:id="165" w:name="_Toc10840"/>
      <w:bookmarkStart w:id="166" w:name="_Toc29655_WPSOffice_Level1"/>
      <w:bookmarkStart w:id="167" w:name="_Toc21243_WPSOffice_Level1"/>
      <w:bookmarkStart w:id="168" w:name="_Toc27741"/>
      <w:bookmarkStart w:id="169" w:name="_Toc16819"/>
      <w:bookmarkStart w:id="170" w:name="_Toc31784"/>
      <w:bookmarkStart w:id="171" w:name="_Toc16920_WPSOffice_Level1"/>
      <w:r>
        <w:rPr>
          <w:rFonts w:hint="eastAsia" w:ascii="仿宋" w:hAnsi="仿宋" w:eastAsia="仿宋" w:cs="楷体"/>
          <w:b/>
          <w:bCs/>
          <w:color w:val="auto"/>
          <w:sz w:val="32"/>
          <w:szCs w:val="40"/>
          <w:highlight w:val="none"/>
        </w:rPr>
        <w:t>第1部分  法定代表人证明书与法定代表人授权书</w:t>
      </w:r>
      <w:bookmarkEnd w:id="164"/>
      <w:bookmarkEnd w:id="165"/>
      <w:bookmarkEnd w:id="166"/>
      <w:bookmarkEnd w:id="167"/>
      <w:bookmarkEnd w:id="168"/>
      <w:bookmarkEnd w:id="169"/>
      <w:bookmarkEnd w:id="170"/>
      <w:bookmarkEnd w:id="171"/>
    </w:p>
    <w:p>
      <w:pPr>
        <w:spacing w:line="480" w:lineRule="exact"/>
        <w:ind w:firstLine="157" w:firstLineChars="49"/>
        <w:jc w:val="center"/>
        <w:rPr>
          <w:rFonts w:ascii="仿宋" w:hAnsi="仿宋" w:eastAsia="仿宋" w:cs="楷体"/>
          <w:b/>
          <w:color w:val="auto"/>
          <w:sz w:val="32"/>
          <w:szCs w:val="32"/>
          <w:highlight w:val="none"/>
          <w:u w:val="single"/>
        </w:rPr>
      </w:pPr>
    </w:p>
    <w:p>
      <w:pPr>
        <w:spacing w:line="480" w:lineRule="exact"/>
        <w:ind w:firstLine="157" w:firstLineChars="49"/>
        <w:jc w:val="center"/>
        <w:rPr>
          <w:rFonts w:ascii="仿宋" w:hAnsi="仿宋" w:eastAsia="仿宋" w:cs="楷体"/>
          <w:b/>
          <w:color w:val="auto"/>
          <w:sz w:val="32"/>
          <w:szCs w:val="32"/>
          <w:highlight w:val="none"/>
          <w:u w:val="single"/>
        </w:rPr>
      </w:pPr>
      <w:r>
        <w:rPr>
          <w:rFonts w:hint="eastAsia" w:ascii="仿宋" w:hAnsi="仿宋" w:eastAsia="仿宋" w:cs="楷体"/>
          <w:b/>
          <w:color w:val="auto"/>
          <w:sz w:val="32"/>
          <w:szCs w:val="32"/>
          <w:highlight w:val="none"/>
          <w:u w:val="single"/>
        </w:rPr>
        <w:t>1.1法定代表人证明书</w:t>
      </w:r>
    </w:p>
    <w:p>
      <w:pPr>
        <w:spacing w:line="480" w:lineRule="exact"/>
        <w:ind w:firstLine="157" w:firstLineChars="49"/>
        <w:jc w:val="center"/>
        <w:rPr>
          <w:rFonts w:ascii="仿宋" w:hAnsi="仿宋" w:eastAsia="仿宋" w:cs="楷体"/>
          <w:b/>
          <w:color w:val="auto"/>
          <w:sz w:val="32"/>
          <w:szCs w:val="32"/>
          <w:highlight w:val="none"/>
          <w:u w:val="single"/>
        </w:rPr>
      </w:pPr>
    </w:p>
    <w:p>
      <w:pPr>
        <w:tabs>
          <w:tab w:val="left" w:pos="1155"/>
        </w:tabs>
        <w:spacing w:line="180" w:lineRule="exact"/>
        <w:rPr>
          <w:rFonts w:ascii="仿宋" w:hAnsi="仿宋" w:eastAsia="仿宋" w:cs="楷体"/>
          <w:color w:val="auto"/>
          <w:sz w:val="10"/>
          <w:szCs w:val="10"/>
          <w:highlight w:val="none"/>
        </w:rPr>
      </w:pPr>
    </w:p>
    <w:tbl>
      <w:tblPr>
        <w:tblStyle w:val="1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837"/>
        <w:gridCol w:w="1693"/>
        <w:gridCol w:w="202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926" w:type="dxa"/>
            <w:gridSpan w:val="5"/>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b/>
                <w:bCs/>
                <w:color w:val="auto"/>
                <w:sz w:val="36"/>
                <w:szCs w:val="44"/>
                <w:highlight w:val="none"/>
              </w:rPr>
            </w:pPr>
            <w:r>
              <w:rPr>
                <w:rFonts w:hint="eastAsia" w:ascii="仿宋" w:hAnsi="仿宋" w:eastAsia="仿宋" w:cs="楷体"/>
                <w:color w:val="auto"/>
                <w:sz w:val="24"/>
                <w:highlight w:val="none"/>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企业基本信息</w:t>
            </w:r>
          </w:p>
        </w:tc>
        <w:tc>
          <w:tcPr>
            <w:tcW w:w="1837"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企业名称</w:t>
            </w:r>
          </w:p>
        </w:tc>
        <w:tc>
          <w:tcPr>
            <w:tcW w:w="5383" w:type="dxa"/>
            <w:gridSpan w:val="3"/>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b/>
                <w:bCs/>
                <w:color w:val="auto"/>
                <w:sz w:val="36"/>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b/>
                <w:bCs/>
                <w:color w:val="auto"/>
                <w:sz w:val="36"/>
                <w:szCs w:val="44"/>
                <w:highlight w:val="none"/>
              </w:rPr>
            </w:pPr>
          </w:p>
        </w:tc>
        <w:tc>
          <w:tcPr>
            <w:tcW w:w="1837"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法定地址</w:t>
            </w:r>
          </w:p>
        </w:tc>
        <w:tc>
          <w:tcPr>
            <w:tcW w:w="5383" w:type="dxa"/>
            <w:gridSpan w:val="3"/>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b/>
                <w:bCs/>
                <w:color w:val="auto"/>
                <w:sz w:val="36"/>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b/>
                <w:bCs/>
                <w:color w:val="auto"/>
                <w:sz w:val="36"/>
                <w:szCs w:val="44"/>
                <w:highlight w:val="none"/>
              </w:rPr>
            </w:pPr>
          </w:p>
        </w:tc>
        <w:tc>
          <w:tcPr>
            <w:tcW w:w="1837"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邮政编码</w:t>
            </w:r>
          </w:p>
        </w:tc>
        <w:tc>
          <w:tcPr>
            <w:tcW w:w="5383" w:type="dxa"/>
            <w:gridSpan w:val="3"/>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b/>
                <w:bCs/>
                <w:color w:val="auto"/>
                <w:sz w:val="36"/>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b/>
                <w:bCs/>
                <w:color w:val="auto"/>
                <w:sz w:val="36"/>
                <w:szCs w:val="44"/>
                <w:highlight w:val="none"/>
              </w:rPr>
            </w:pPr>
          </w:p>
        </w:tc>
        <w:tc>
          <w:tcPr>
            <w:tcW w:w="1837"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网    址</w:t>
            </w:r>
          </w:p>
        </w:tc>
        <w:tc>
          <w:tcPr>
            <w:tcW w:w="5383" w:type="dxa"/>
            <w:gridSpan w:val="3"/>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b/>
                <w:bCs/>
                <w:color w:val="auto"/>
                <w:sz w:val="36"/>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b/>
                <w:bCs/>
                <w:color w:val="auto"/>
                <w:sz w:val="36"/>
                <w:szCs w:val="44"/>
                <w:highlight w:val="none"/>
              </w:rPr>
            </w:pPr>
          </w:p>
        </w:tc>
        <w:tc>
          <w:tcPr>
            <w:tcW w:w="1837" w:type="dxa"/>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工商登记机关</w:t>
            </w:r>
          </w:p>
        </w:tc>
        <w:tc>
          <w:tcPr>
            <w:tcW w:w="5383" w:type="dxa"/>
            <w:gridSpan w:val="3"/>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b/>
                <w:bCs/>
                <w:color w:val="auto"/>
                <w:sz w:val="36"/>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b/>
                <w:bCs/>
                <w:color w:val="auto"/>
                <w:sz w:val="36"/>
                <w:szCs w:val="44"/>
                <w:highlight w:val="none"/>
              </w:rPr>
            </w:pPr>
          </w:p>
        </w:tc>
        <w:tc>
          <w:tcPr>
            <w:tcW w:w="1837"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税务登记机关</w:t>
            </w:r>
          </w:p>
        </w:tc>
        <w:tc>
          <w:tcPr>
            <w:tcW w:w="5383" w:type="dxa"/>
            <w:gridSpan w:val="3"/>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b/>
                <w:bCs/>
                <w:color w:val="auto"/>
                <w:sz w:val="36"/>
                <w:szCs w:val="44"/>
                <w:highlight w:val="none"/>
              </w:rPr>
            </w:pPr>
          </w:p>
        </w:tc>
        <w:tc>
          <w:tcPr>
            <w:tcW w:w="1837" w:type="dxa"/>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机构代码证号</w:t>
            </w:r>
          </w:p>
        </w:tc>
        <w:tc>
          <w:tcPr>
            <w:tcW w:w="5383" w:type="dxa"/>
            <w:gridSpan w:val="3"/>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b/>
                <w:bCs/>
                <w:color w:val="auto"/>
                <w:sz w:val="36"/>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06" w:type="dxa"/>
            <w:vMerge w:val="restart"/>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b/>
                <w:bCs/>
                <w:color w:val="auto"/>
                <w:sz w:val="36"/>
                <w:szCs w:val="44"/>
                <w:highlight w:val="none"/>
              </w:rPr>
            </w:pPr>
            <w:r>
              <w:rPr>
                <w:rFonts w:hint="eastAsia" w:ascii="仿宋" w:hAnsi="仿宋" w:eastAsia="仿宋" w:cs="楷体"/>
                <w:color w:val="auto"/>
                <w:highlight w:val="none"/>
              </w:rPr>
              <w:t>法定代表人</w:t>
            </w:r>
          </w:p>
        </w:tc>
        <w:tc>
          <w:tcPr>
            <w:tcW w:w="1837"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姓    名</w:t>
            </w:r>
          </w:p>
        </w:tc>
        <w:tc>
          <w:tcPr>
            <w:tcW w:w="1693" w:type="dxa"/>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color w:val="auto"/>
                <w:highlight w:val="none"/>
              </w:rPr>
            </w:pPr>
            <w:r>
              <w:rPr>
                <w:rFonts w:hint="eastAsia" w:ascii="仿宋" w:hAnsi="仿宋" w:eastAsia="仿宋" w:cs="楷体"/>
                <w:color w:val="auto"/>
                <w:highlight w:val="none"/>
              </w:rPr>
              <w:t>（签名）</w:t>
            </w:r>
          </w:p>
        </w:tc>
        <w:tc>
          <w:tcPr>
            <w:tcW w:w="2022"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性    别</w:t>
            </w:r>
          </w:p>
        </w:tc>
        <w:tc>
          <w:tcPr>
            <w:tcW w:w="1668" w:type="dxa"/>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b/>
                <w:bCs/>
                <w:color w:val="auto"/>
                <w:sz w:val="36"/>
                <w:szCs w:val="44"/>
                <w:highlight w:val="none"/>
              </w:rPr>
            </w:pPr>
          </w:p>
        </w:tc>
        <w:tc>
          <w:tcPr>
            <w:tcW w:w="1837"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职    务</w:t>
            </w:r>
          </w:p>
        </w:tc>
        <w:tc>
          <w:tcPr>
            <w:tcW w:w="1693" w:type="dxa"/>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color w:val="auto"/>
                <w:highlight w:val="none"/>
              </w:rPr>
            </w:pPr>
          </w:p>
        </w:tc>
        <w:tc>
          <w:tcPr>
            <w:tcW w:w="2022"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联系电话</w:t>
            </w:r>
          </w:p>
        </w:tc>
        <w:tc>
          <w:tcPr>
            <w:tcW w:w="1668" w:type="dxa"/>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b/>
                <w:bCs/>
                <w:color w:val="auto"/>
                <w:sz w:val="36"/>
                <w:szCs w:val="44"/>
                <w:highlight w:val="none"/>
              </w:rPr>
            </w:pPr>
          </w:p>
        </w:tc>
        <w:tc>
          <w:tcPr>
            <w:tcW w:w="1837"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传    真</w:t>
            </w:r>
          </w:p>
        </w:tc>
        <w:tc>
          <w:tcPr>
            <w:tcW w:w="5383" w:type="dxa"/>
            <w:gridSpan w:val="3"/>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1706" w:type="dxa"/>
            <w:vMerge w:val="restart"/>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法定代表人</w:t>
            </w:r>
          </w:p>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身份证复印件</w:t>
            </w:r>
          </w:p>
        </w:tc>
        <w:tc>
          <w:tcPr>
            <w:tcW w:w="3530" w:type="dxa"/>
            <w:gridSpan w:val="2"/>
            <w:vMerge w:val="restart"/>
            <w:vAlign w:val="center"/>
          </w:tcPr>
          <w:p>
            <w:pPr>
              <w:keepNext w:val="0"/>
              <w:keepLines w:val="0"/>
              <w:suppressLineNumbers w:val="0"/>
              <w:tabs>
                <w:tab w:val="left" w:pos="1260"/>
              </w:tabs>
              <w:spacing w:before="0" w:beforeAutospacing="0" w:after="0" w:afterAutospacing="0"/>
              <w:ind w:left="0" w:right="0"/>
              <w:jc w:val="center"/>
              <w:rPr>
                <w:rFonts w:hint="default" w:ascii="仿宋" w:hAnsi="仿宋" w:eastAsia="仿宋" w:cs="楷体"/>
                <w:b/>
                <w:bCs/>
                <w:color w:val="auto"/>
                <w:sz w:val="36"/>
                <w:szCs w:val="44"/>
                <w:highlight w:val="none"/>
              </w:rPr>
            </w:pPr>
            <w:r>
              <w:rPr>
                <w:rFonts w:hint="eastAsia" w:ascii="仿宋" w:hAnsi="仿宋" w:eastAsia="仿宋" w:cs="楷体"/>
                <w:color w:val="auto"/>
                <w:highlight w:val="none"/>
              </w:rPr>
              <w:t>（粘贴处）</w:t>
            </w:r>
          </w:p>
        </w:tc>
        <w:tc>
          <w:tcPr>
            <w:tcW w:w="3690" w:type="dxa"/>
            <w:gridSpan w:val="2"/>
            <w:vAlign w:val="center"/>
          </w:tcPr>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706" w:type="dxa"/>
            <w:vMerge w:val="continue"/>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b/>
                <w:bCs/>
                <w:color w:val="auto"/>
                <w:sz w:val="36"/>
                <w:szCs w:val="44"/>
                <w:highlight w:val="none"/>
              </w:rPr>
            </w:pPr>
          </w:p>
        </w:tc>
        <w:tc>
          <w:tcPr>
            <w:tcW w:w="3530" w:type="dxa"/>
            <w:gridSpan w:val="2"/>
            <w:vMerge w:val="continue"/>
          </w:tcPr>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b/>
                <w:bCs/>
                <w:color w:val="auto"/>
                <w:sz w:val="36"/>
                <w:szCs w:val="44"/>
                <w:highlight w:val="none"/>
              </w:rPr>
            </w:pPr>
          </w:p>
        </w:tc>
        <w:tc>
          <w:tcPr>
            <w:tcW w:w="3690" w:type="dxa"/>
            <w:gridSpan w:val="2"/>
            <w:vAlign w:val="center"/>
          </w:tcPr>
          <w:p>
            <w:pPr>
              <w:keepNext w:val="0"/>
              <w:keepLines w:val="0"/>
              <w:suppressLineNumbers w:val="0"/>
              <w:tabs>
                <w:tab w:val="left" w:pos="1260"/>
              </w:tabs>
              <w:spacing w:before="0" w:beforeAutospacing="0" w:after="0" w:afterAutospacing="0" w:line="440" w:lineRule="exact"/>
              <w:ind w:left="0" w:right="0" w:firstLine="459"/>
              <w:jc w:val="center"/>
              <w:rPr>
                <w:rFonts w:hint="default" w:ascii="仿宋" w:hAnsi="仿宋" w:eastAsia="仿宋" w:cs="楷体"/>
                <w:color w:val="auto"/>
                <w:szCs w:val="32"/>
                <w:highlight w:val="none"/>
              </w:rPr>
            </w:pPr>
          </w:p>
          <w:p>
            <w:pPr>
              <w:keepNext w:val="0"/>
              <w:keepLines w:val="0"/>
              <w:suppressLineNumbers w:val="0"/>
              <w:tabs>
                <w:tab w:val="left" w:pos="1260"/>
              </w:tabs>
              <w:spacing w:before="0" w:beforeAutospacing="0" w:after="0" w:afterAutospacing="0" w:line="440" w:lineRule="exact"/>
              <w:ind w:left="0" w:right="0"/>
              <w:rPr>
                <w:rFonts w:hint="default" w:ascii="仿宋" w:hAnsi="仿宋" w:eastAsia="仿宋" w:cs="楷体"/>
                <w:color w:val="auto"/>
                <w:szCs w:val="32"/>
                <w:highlight w:val="none"/>
              </w:rPr>
            </w:pPr>
          </w:p>
          <w:p>
            <w:pPr>
              <w:keepNext w:val="0"/>
              <w:keepLines w:val="0"/>
              <w:suppressLineNumbers w:val="0"/>
              <w:tabs>
                <w:tab w:val="left" w:pos="1260"/>
              </w:tabs>
              <w:spacing w:before="0" w:beforeAutospacing="0" w:after="0" w:afterAutospacing="0" w:line="440" w:lineRule="exact"/>
              <w:ind w:left="0" w:right="0"/>
              <w:jc w:val="center"/>
              <w:rPr>
                <w:rFonts w:hint="default" w:ascii="仿宋" w:hAnsi="仿宋" w:eastAsia="仿宋" w:cs="楷体"/>
                <w:color w:val="auto"/>
                <w:szCs w:val="32"/>
                <w:highlight w:val="none"/>
              </w:rPr>
            </w:pPr>
            <w:r>
              <w:rPr>
                <w:rFonts w:hint="eastAsia" w:ascii="仿宋" w:hAnsi="仿宋" w:eastAsia="仿宋" w:cs="楷体"/>
                <w:color w:val="auto"/>
                <w:szCs w:val="32"/>
                <w:highlight w:val="none"/>
              </w:rPr>
              <w:t>（供应商公章）</w:t>
            </w:r>
          </w:p>
          <w:p>
            <w:pPr>
              <w:keepNext w:val="0"/>
              <w:keepLines w:val="0"/>
              <w:suppressLineNumbers w:val="0"/>
              <w:tabs>
                <w:tab w:val="left" w:pos="1260"/>
              </w:tabs>
              <w:spacing w:before="0" w:beforeAutospacing="0" w:after="0" w:afterAutospacing="0" w:line="440" w:lineRule="exact"/>
              <w:ind w:left="0" w:right="0" w:firstLine="459"/>
              <w:jc w:val="center"/>
              <w:rPr>
                <w:rFonts w:hint="default" w:ascii="仿宋" w:hAnsi="仿宋" w:eastAsia="仿宋" w:cs="楷体"/>
                <w:color w:val="auto"/>
                <w:szCs w:val="32"/>
                <w:highlight w:val="none"/>
              </w:rPr>
            </w:pPr>
          </w:p>
          <w:p>
            <w:pPr>
              <w:keepNext w:val="0"/>
              <w:keepLines w:val="0"/>
              <w:suppressLineNumbers w:val="0"/>
              <w:tabs>
                <w:tab w:val="left" w:pos="1260"/>
              </w:tabs>
              <w:spacing w:before="0" w:beforeAutospacing="0" w:after="0" w:afterAutospacing="0" w:line="440" w:lineRule="exact"/>
              <w:ind w:left="0" w:right="280" w:firstLine="459"/>
              <w:jc w:val="right"/>
              <w:rPr>
                <w:rFonts w:hint="default" w:ascii="仿宋" w:hAnsi="仿宋" w:eastAsia="仿宋" w:cs="楷体"/>
                <w:color w:val="auto"/>
                <w:highlight w:val="none"/>
              </w:rPr>
            </w:pPr>
            <w:r>
              <w:rPr>
                <w:rFonts w:hint="eastAsia" w:ascii="仿宋" w:hAnsi="仿宋" w:eastAsia="仿宋" w:cs="楷体"/>
                <w:color w:val="auto"/>
                <w:szCs w:val="32"/>
                <w:highlight w:val="none"/>
              </w:rPr>
              <w:t>年   月   日</w:t>
            </w:r>
          </w:p>
        </w:tc>
      </w:tr>
    </w:tbl>
    <w:p>
      <w:pPr>
        <w:rPr>
          <w:rFonts w:ascii="仿宋" w:hAnsi="仿宋" w:eastAsia="仿宋" w:cs="楷体"/>
          <w:b/>
          <w:bCs/>
          <w:color w:val="auto"/>
          <w:sz w:val="32"/>
          <w:szCs w:val="32"/>
          <w:highlight w:val="none"/>
          <w:u w:val="single"/>
        </w:rPr>
      </w:pPr>
    </w:p>
    <w:p>
      <w:pPr>
        <w:tabs>
          <w:tab w:val="left" w:pos="1260"/>
        </w:tabs>
        <w:spacing w:line="440" w:lineRule="exact"/>
        <w:jc w:val="center"/>
        <w:rPr>
          <w:rFonts w:hint="eastAsia" w:ascii="仿宋" w:hAnsi="仿宋" w:eastAsia="仿宋" w:cs="楷体"/>
          <w:color w:val="auto"/>
          <w:sz w:val="22"/>
          <w:szCs w:val="22"/>
          <w:highlight w:val="none"/>
        </w:rPr>
      </w:pPr>
    </w:p>
    <w:p>
      <w:pPr>
        <w:pStyle w:val="2"/>
        <w:rPr>
          <w:rFonts w:hint="eastAsia"/>
          <w:color w:val="auto"/>
          <w:highlight w:val="none"/>
        </w:rPr>
      </w:pPr>
    </w:p>
    <w:p>
      <w:pPr>
        <w:pStyle w:val="18"/>
        <w:rPr>
          <w:rFonts w:ascii="仿宋" w:hAnsi="仿宋" w:eastAsia="仿宋"/>
          <w:color w:val="auto"/>
          <w:highlight w:val="none"/>
        </w:rPr>
      </w:pPr>
    </w:p>
    <w:p>
      <w:pPr>
        <w:tabs>
          <w:tab w:val="left" w:pos="1260"/>
        </w:tabs>
        <w:spacing w:line="440" w:lineRule="exact"/>
        <w:jc w:val="center"/>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 xml:space="preserve"> </w:t>
      </w:r>
      <w:r>
        <w:rPr>
          <w:rFonts w:hint="eastAsia" w:ascii="仿宋" w:hAnsi="仿宋" w:eastAsia="仿宋" w:cs="楷体"/>
          <w:b/>
          <w:bCs/>
          <w:color w:val="auto"/>
          <w:sz w:val="32"/>
          <w:szCs w:val="32"/>
          <w:highlight w:val="none"/>
          <w:u w:val="single"/>
        </w:rPr>
        <w:t>1.2法定代表人授权书</w:t>
      </w:r>
    </w:p>
    <w:p>
      <w:pPr>
        <w:pStyle w:val="10"/>
        <w:spacing w:line="500" w:lineRule="exact"/>
        <w:rPr>
          <w:rFonts w:ascii="仿宋" w:hAnsi="仿宋" w:eastAsia="仿宋" w:cs="楷体"/>
          <w:color w:val="auto"/>
          <w:sz w:val="22"/>
          <w:szCs w:val="22"/>
          <w:highlight w:val="none"/>
        </w:rPr>
      </w:pPr>
    </w:p>
    <w:p>
      <w:pPr>
        <w:pStyle w:val="10"/>
        <w:spacing w:line="500" w:lineRule="exact"/>
        <w:rPr>
          <w:rFonts w:ascii="仿宋" w:hAnsi="仿宋" w:eastAsia="仿宋" w:cs="楷体"/>
          <w:b/>
          <w:bCs/>
          <w:color w:val="auto"/>
          <w:sz w:val="22"/>
          <w:szCs w:val="22"/>
          <w:highlight w:val="none"/>
        </w:rPr>
      </w:pPr>
      <w:r>
        <w:rPr>
          <w:rFonts w:hint="eastAsia" w:ascii="仿宋" w:hAnsi="仿宋" w:eastAsia="仿宋" w:cs="楷体"/>
          <w:color w:val="auto"/>
          <w:sz w:val="22"/>
          <w:szCs w:val="22"/>
          <w:highlight w:val="none"/>
          <w:lang w:eastAsia="zh-CN"/>
        </w:rPr>
        <w:t>长信项目管理有限公司</w:t>
      </w:r>
      <w:r>
        <w:rPr>
          <w:rFonts w:hint="eastAsia" w:ascii="仿宋" w:hAnsi="仿宋" w:eastAsia="仿宋" w:cs="楷体"/>
          <w:color w:val="auto"/>
          <w:sz w:val="22"/>
          <w:szCs w:val="22"/>
          <w:highlight w:val="none"/>
        </w:rPr>
        <w:t>：</w:t>
      </w:r>
    </w:p>
    <w:p>
      <w:pPr>
        <w:pStyle w:val="10"/>
        <w:spacing w:line="500" w:lineRule="exact"/>
        <w:ind w:left="-120" w:leftChars="-57" w:firstLine="550" w:firstLineChars="25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本授权书声明：注册于（</w:t>
      </w:r>
      <w:r>
        <w:rPr>
          <w:rFonts w:hint="eastAsia" w:ascii="仿宋" w:hAnsi="仿宋" w:eastAsia="仿宋" w:cs="楷体"/>
          <w:color w:val="auto"/>
          <w:sz w:val="22"/>
          <w:szCs w:val="22"/>
          <w:highlight w:val="none"/>
          <w:u w:val="single"/>
        </w:rPr>
        <w:t xml:space="preserve"> 市场监督管理局名称）之（委托单位全称） </w:t>
      </w:r>
      <w:r>
        <w:rPr>
          <w:rFonts w:hint="eastAsia" w:ascii="仿宋" w:hAnsi="仿宋" w:eastAsia="仿宋" w:cs="楷体"/>
          <w:color w:val="auto"/>
          <w:sz w:val="22"/>
          <w:szCs w:val="22"/>
          <w:highlight w:val="none"/>
        </w:rPr>
        <w:t>的法定代表人</w:t>
      </w:r>
      <w:r>
        <w:rPr>
          <w:rFonts w:hint="eastAsia" w:ascii="仿宋" w:hAnsi="仿宋" w:eastAsia="仿宋" w:cs="楷体"/>
          <w:color w:val="auto"/>
          <w:sz w:val="22"/>
          <w:szCs w:val="22"/>
          <w:highlight w:val="none"/>
          <w:u w:val="single"/>
        </w:rPr>
        <w:t>（姓名、性别、身份证号）</w:t>
      </w:r>
      <w:r>
        <w:rPr>
          <w:rFonts w:hint="eastAsia" w:ascii="仿宋" w:hAnsi="仿宋" w:eastAsia="仿宋" w:cs="楷体"/>
          <w:color w:val="auto"/>
          <w:sz w:val="22"/>
          <w:szCs w:val="22"/>
          <w:highlight w:val="none"/>
        </w:rPr>
        <w:t>授权</w:t>
      </w:r>
      <w:r>
        <w:rPr>
          <w:rFonts w:hint="eastAsia" w:ascii="仿宋" w:hAnsi="仿宋" w:eastAsia="仿宋" w:cs="楷体"/>
          <w:color w:val="auto"/>
          <w:sz w:val="22"/>
          <w:szCs w:val="18"/>
          <w:highlight w:val="none"/>
        </w:rPr>
        <w:t>本公司的</w:t>
      </w:r>
      <w:r>
        <w:rPr>
          <w:rFonts w:hint="eastAsia" w:ascii="仿宋" w:hAnsi="仿宋" w:eastAsia="仿宋" w:cs="楷体"/>
          <w:color w:val="auto"/>
          <w:sz w:val="22"/>
          <w:szCs w:val="22"/>
          <w:highlight w:val="none"/>
          <w:u w:val="single"/>
        </w:rPr>
        <w:t>（被授权人姓名、性别、职务、身份证号）</w:t>
      </w:r>
      <w:r>
        <w:rPr>
          <w:rFonts w:hint="eastAsia" w:ascii="仿宋" w:hAnsi="仿宋" w:eastAsia="仿宋" w:cs="楷体"/>
          <w:color w:val="auto"/>
          <w:sz w:val="22"/>
          <w:szCs w:val="22"/>
          <w:highlight w:val="none"/>
        </w:rPr>
        <w:t>为合法代理人，就贵方组织的有关</w:t>
      </w:r>
      <w:r>
        <w:rPr>
          <w:rFonts w:hint="eastAsia" w:ascii="仿宋" w:hAnsi="仿宋" w:eastAsia="仿宋" w:cs="楷体"/>
          <w:color w:val="auto"/>
          <w:sz w:val="22"/>
          <w:szCs w:val="22"/>
          <w:highlight w:val="none"/>
          <w:u w:val="none"/>
        </w:rPr>
        <w:t>（项目名称</w:t>
      </w:r>
      <w:r>
        <w:rPr>
          <w:rFonts w:hint="eastAsia" w:ascii="仿宋" w:hAnsi="仿宋" w:eastAsia="仿宋" w:cs="楷体"/>
          <w:color w:val="auto"/>
          <w:sz w:val="22"/>
          <w:szCs w:val="22"/>
          <w:highlight w:val="none"/>
          <w:u w:val="single"/>
          <w:lang w:val="en-US" w:eastAsia="zh-CN"/>
        </w:rPr>
        <w:t xml:space="preserve">        </w:t>
      </w:r>
      <w:r>
        <w:rPr>
          <w:rFonts w:hint="eastAsia" w:ascii="仿宋" w:hAnsi="仿宋" w:eastAsia="仿宋" w:cs="楷体"/>
          <w:color w:val="auto"/>
          <w:sz w:val="22"/>
          <w:szCs w:val="22"/>
          <w:highlight w:val="none"/>
          <w:u w:val="single"/>
        </w:rPr>
        <w:t>）</w:t>
      </w:r>
      <w:r>
        <w:rPr>
          <w:rFonts w:hint="eastAsia" w:ascii="仿宋" w:hAnsi="仿宋" w:eastAsia="仿宋" w:cs="楷体"/>
          <w:color w:val="auto"/>
          <w:sz w:val="22"/>
          <w:szCs w:val="22"/>
          <w:highlight w:val="none"/>
        </w:rPr>
        <w:t>（项目编号：</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）的投标、洽谈、执行等具体事务，签署全部有关磋商响应文件、文书、协议、合同，本公司对被授权人在本项目中的签名承担全部法律责任。本授权书自开标大会之日起计算有效期为</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日历日。</w:t>
      </w:r>
    </w:p>
    <w:p>
      <w:pPr>
        <w:pStyle w:val="10"/>
        <w:spacing w:line="500" w:lineRule="exact"/>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委托单位（</w:t>
      </w:r>
      <w:r>
        <w:rPr>
          <w:rFonts w:hint="eastAsia" w:ascii="仿宋" w:hAnsi="仿宋" w:eastAsia="仿宋" w:cs="楷体"/>
          <w:color w:val="auto"/>
          <w:sz w:val="22"/>
          <w:szCs w:val="18"/>
          <w:highlight w:val="none"/>
        </w:rPr>
        <w:t>填写全称并盖公章</w:t>
      </w:r>
      <w:r>
        <w:rPr>
          <w:rFonts w:hint="eastAsia" w:ascii="仿宋" w:hAnsi="仿宋" w:eastAsia="仿宋" w:cs="楷体"/>
          <w:color w:val="auto"/>
          <w:sz w:val="22"/>
          <w:szCs w:val="22"/>
          <w:highlight w:val="none"/>
        </w:rPr>
        <w:t>）：</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 xml:space="preserve">     </w:t>
      </w:r>
    </w:p>
    <w:p>
      <w:pPr>
        <w:pStyle w:val="10"/>
        <w:spacing w:line="500" w:lineRule="exact"/>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法定代表人（签字）：</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u w:val="single"/>
          <w:lang w:val="en-US" w:eastAsia="zh-CN"/>
        </w:rPr>
        <w:t xml:space="preserve">        </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 xml:space="preserve"> </w:t>
      </w:r>
    </w:p>
    <w:p>
      <w:pPr>
        <w:pStyle w:val="10"/>
        <w:spacing w:line="500" w:lineRule="exact"/>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签发日期：</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u w:val="single"/>
          <w:lang w:val="en-US" w:eastAsia="zh-CN"/>
        </w:rPr>
        <w:t xml:space="preserve"> </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年</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u w:val="single"/>
          <w:lang w:val="en-US" w:eastAsia="zh-CN"/>
        </w:rPr>
        <w:t xml:space="preserve"> </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月</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u w:val="single"/>
          <w:lang w:val="en-US" w:eastAsia="zh-CN"/>
        </w:rPr>
        <w:t xml:space="preserve"> </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日</w:t>
      </w:r>
    </w:p>
    <w:p>
      <w:pPr>
        <w:pStyle w:val="10"/>
        <w:spacing w:line="500" w:lineRule="exact"/>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附：被授权人（签字）：</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性别：</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职务：</w:t>
      </w:r>
      <w:r>
        <w:rPr>
          <w:rFonts w:hint="eastAsia" w:ascii="仿宋" w:hAnsi="仿宋" w:eastAsia="仿宋" w:cs="楷体"/>
          <w:color w:val="auto"/>
          <w:sz w:val="22"/>
          <w:szCs w:val="22"/>
          <w:highlight w:val="none"/>
          <w:u w:val="single"/>
        </w:rPr>
        <w:t xml:space="preserve">           </w:t>
      </w:r>
    </w:p>
    <w:p>
      <w:pPr>
        <w:pStyle w:val="10"/>
        <w:spacing w:line="500" w:lineRule="exact"/>
        <w:ind w:firstLine="880" w:firstLineChars="400"/>
        <w:rPr>
          <w:rFonts w:ascii="仿宋" w:hAnsi="仿宋" w:eastAsia="仿宋" w:cs="楷体"/>
          <w:color w:val="auto"/>
          <w:sz w:val="22"/>
          <w:szCs w:val="22"/>
          <w:highlight w:val="none"/>
          <w:u w:val="single"/>
        </w:rPr>
      </w:pPr>
      <w:r>
        <w:rPr>
          <w:rFonts w:hint="eastAsia" w:ascii="仿宋" w:hAnsi="仿宋" w:eastAsia="仿宋" w:cs="楷体"/>
          <w:color w:val="auto"/>
          <w:sz w:val="22"/>
          <w:szCs w:val="22"/>
          <w:highlight w:val="none"/>
        </w:rPr>
        <w:t>联系地址：</w:t>
      </w:r>
      <w:r>
        <w:rPr>
          <w:rFonts w:hint="eastAsia" w:ascii="仿宋" w:hAnsi="仿宋" w:eastAsia="仿宋" w:cs="楷体"/>
          <w:color w:val="auto"/>
          <w:sz w:val="22"/>
          <w:szCs w:val="22"/>
          <w:highlight w:val="none"/>
          <w:u w:val="single"/>
        </w:rPr>
        <w:t xml:space="preserve">                                                       </w:t>
      </w:r>
    </w:p>
    <w:p>
      <w:pPr>
        <w:pStyle w:val="10"/>
        <w:spacing w:line="500" w:lineRule="exact"/>
        <w:ind w:firstLine="880" w:firstLineChars="400"/>
        <w:rPr>
          <w:rFonts w:ascii="仿宋" w:hAnsi="仿宋" w:eastAsia="仿宋" w:cs="楷体"/>
          <w:color w:val="auto"/>
          <w:sz w:val="22"/>
          <w:szCs w:val="22"/>
          <w:highlight w:val="none"/>
          <w:u w:val="single"/>
        </w:rPr>
      </w:pPr>
      <w:r>
        <w:rPr>
          <w:rFonts w:hint="eastAsia" w:ascii="仿宋" w:hAnsi="仿宋" w:eastAsia="仿宋" w:cs="楷体"/>
          <w:color w:val="auto"/>
          <w:sz w:val="22"/>
          <w:szCs w:val="22"/>
          <w:highlight w:val="none"/>
        </w:rPr>
        <w:t>联系电话：</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传真：</w:t>
      </w:r>
      <w:r>
        <w:rPr>
          <w:rFonts w:hint="eastAsia" w:ascii="仿宋" w:hAnsi="仿宋" w:eastAsia="仿宋" w:cs="楷体"/>
          <w:color w:val="auto"/>
          <w:sz w:val="22"/>
          <w:szCs w:val="22"/>
          <w:highlight w:val="none"/>
          <w:u w:val="single"/>
        </w:rPr>
        <w:t xml:space="preserve">                           </w:t>
      </w:r>
    </w:p>
    <w:p>
      <w:pPr>
        <w:pStyle w:val="10"/>
        <w:spacing w:line="500" w:lineRule="exact"/>
        <w:ind w:firstLine="2530" w:firstLineChars="115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法定代表人和被授权人身份证</w:t>
      </w:r>
    </w:p>
    <w:tbl>
      <w:tblPr>
        <w:tblStyle w:val="19"/>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7" w:hRule="atLeast"/>
          <w:jc w:val="center"/>
        </w:trPr>
        <w:tc>
          <w:tcPr>
            <w:tcW w:w="4213" w:type="dxa"/>
            <w:vAlign w:val="center"/>
          </w:tcPr>
          <w:p>
            <w:pPr>
              <w:pStyle w:val="10"/>
              <w:keepNext w:val="0"/>
              <w:keepLines w:val="0"/>
              <w:suppressLineNumbers w:val="0"/>
              <w:snapToGrid w:val="0"/>
              <w:spacing w:before="0" w:beforeAutospacing="0" w:after="0" w:afterAutospacing="0" w:line="500" w:lineRule="exact"/>
              <w:ind w:left="0" w:right="0"/>
              <w:jc w:val="center"/>
              <w:rPr>
                <w:rFonts w:hint="default" w:ascii="仿宋" w:hAnsi="仿宋" w:eastAsia="仿宋" w:cs="楷体"/>
                <w:color w:val="auto"/>
                <w:sz w:val="22"/>
                <w:szCs w:val="22"/>
                <w:highlight w:val="none"/>
                <w:shd w:val="pct10" w:color="auto" w:fill="FFFFFF"/>
              </w:rPr>
            </w:pPr>
            <w:r>
              <w:rPr>
                <w:rFonts w:hint="eastAsia" w:ascii="仿宋" w:hAnsi="仿宋" w:eastAsia="仿宋" w:cs="楷体"/>
                <w:color w:val="auto"/>
                <w:sz w:val="22"/>
                <w:szCs w:val="18"/>
                <w:highlight w:val="none"/>
              </w:rPr>
              <w:t>法定代表人身份证正反面</w:t>
            </w:r>
          </w:p>
        </w:tc>
        <w:tc>
          <w:tcPr>
            <w:tcW w:w="4213" w:type="dxa"/>
            <w:vAlign w:val="center"/>
          </w:tcPr>
          <w:p>
            <w:pPr>
              <w:pStyle w:val="10"/>
              <w:keepNext w:val="0"/>
              <w:keepLines w:val="0"/>
              <w:suppressLineNumbers w:val="0"/>
              <w:snapToGrid w:val="0"/>
              <w:spacing w:before="0" w:beforeAutospacing="0" w:after="0" w:afterAutospacing="0" w:line="500" w:lineRule="exact"/>
              <w:ind w:left="0" w:right="0"/>
              <w:jc w:val="center"/>
              <w:rPr>
                <w:rFonts w:hint="default" w:ascii="仿宋" w:hAnsi="仿宋" w:eastAsia="仿宋" w:cs="楷体"/>
                <w:color w:val="auto"/>
                <w:sz w:val="22"/>
                <w:szCs w:val="22"/>
                <w:highlight w:val="none"/>
                <w:shd w:val="pct10" w:color="auto" w:fill="FFFFFF"/>
              </w:rPr>
            </w:pPr>
            <w:r>
              <w:rPr>
                <w:rFonts w:hint="eastAsia" w:ascii="仿宋" w:hAnsi="仿宋" w:eastAsia="仿宋" w:cs="楷体"/>
                <w:color w:val="auto"/>
                <w:sz w:val="22"/>
                <w:szCs w:val="18"/>
                <w:highlight w:val="none"/>
              </w:rPr>
              <w:t>被授权人身份证正反面</w:t>
            </w:r>
          </w:p>
        </w:tc>
      </w:tr>
    </w:tbl>
    <w:p>
      <w:pPr>
        <w:pStyle w:val="10"/>
        <w:spacing w:line="500" w:lineRule="exact"/>
        <w:ind w:firstLine="220" w:firstLineChars="1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说明：1．本授权书有效期自开标大会之日计算不得少于90日历日。</w:t>
      </w:r>
    </w:p>
    <w:p>
      <w:pPr>
        <w:tabs>
          <w:tab w:val="left" w:pos="210"/>
        </w:tabs>
        <w:spacing w:line="320" w:lineRule="exact"/>
        <w:ind w:firstLine="880" w:firstLineChars="400"/>
        <w:rPr>
          <w:rFonts w:ascii="仿宋" w:hAnsi="仿宋" w:eastAsia="仿宋" w:cs="楷体"/>
          <w:color w:val="auto"/>
          <w:sz w:val="22"/>
          <w:szCs w:val="18"/>
          <w:highlight w:val="none"/>
        </w:rPr>
      </w:pPr>
      <w:r>
        <w:rPr>
          <w:rFonts w:hint="eastAsia" w:ascii="仿宋" w:hAnsi="仿宋" w:eastAsia="仿宋" w:cs="楷体"/>
          <w:color w:val="auto"/>
          <w:sz w:val="22"/>
          <w:szCs w:val="18"/>
          <w:highlight w:val="none"/>
        </w:rPr>
        <w:t>2．授权书内容填写要明确，文字要工整清楚，涂改无效。</w:t>
      </w:r>
    </w:p>
    <w:p>
      <w:pPr>
        <w:rPr>
          <w:rFonts w:ascii="仿宋" w:hAnsi="仿宋" w:eastAsia="仿宋" w:cs="楷体"/>
          <w:color w:val="auto"/>
          <w:highlight w:val="none"/>
        </w:rPr>
      </w:pPr>
    </w:p>
    <w:p>
      <w:pPr>
        <w:tabs>
          <w:tab w:val="left" w:pos="1260"/>
        </w:tabs>
        <w:spacing w:line="440" w:lineRule="exact"/>
        <w:ind w:firstLine="3213" w:firstLineChars="1000"/>
        <w:outlineLvl w:val="0"/>
        <w:rPr>
          <w:rFonts w:ascii="仿宋" w:hAnsi="仿宋" w:eastAsia="仿宋" w:cs="楷体"/>
          <w:b/>
          <w:bCs/>
          <w:color w:val="auto"/>
          <w:sz w:val="32"/>
          <w:szCs w:val="40"/>
          <w:highlight w:val="none"/>
        </w:rPr>
      </w:pPr>
      <w:bookmarkStart w:id="172" w:name="_Toc16504"/>
      <w:bookmarkStart w:id="173" w:name="_Toc17055_WPSOffice_Level1"/>
      <w:bookmarkStart w:id="174" w:name="_Toc26784"/>
      <w:bookmarkStart w:id="175" w:name="_Toc12188"/>
      <w:bookmarkStart w:id="176" w:name="_Toc8180"/>
      <w:bookmarkStart w:id="177" w:name="_Toc28655_WPSOffice_Level1"/>
      <w:bookmarkStart w:id="178" w:name="_Toc13760_WPSOffice_Level1"/>
      <w:bookmarkStart w:id="179" w:name="_Toc19706"/>
    </w:p>
    <w:p>
      <w:pPr>
        <w:pStyle w:val="2"/>
        <w:rPr>
          <w:rFonts w:ascii="仿宋" w:hAnsi="仿宋" w:eastAsia="仿宋" w:cs="楷体"/>
          <w:b/>
          <w:bCs/>
          <w:color w:val="auto"/>
          <w:sz w:val="32"/>
          <w:szCs w:val="40"/>
          <w:highlight w:val="none"/>
        </w:rPr>
      </w:pPr>
    </w:p>
    <w:p>
      <w:pPr>
        <w:pStyle w:val="2"/>
        <w:rPr>
          <w:rFonts w:ascii="仿宋" w:hAnsi="仿宋" w:eastAsia="仿宋" w:cs="楷体"/>
          <w:b/>
          <w:bCs/>
          <w:color w:val="auto"/>
          <w:sz w:val="32"/>
          <w:szCs w:val="40"/>
          <w:highlight w:val="none"/>
        </w:rPr>
      </w:pPr>
    </w:p>
    <w:p>
      <w:pPr>
        <w:tabs>
          <w:tab w:val="left" w:pos="1260"/>
        </w:tabs>
        <w:spacing w:line="440" w:lineRule="exact"/>
        <w:ind w:firstLine="3213" w:firstLineChars="1000"/>
        <w:outlineLvl w:val="0"/>
        <w:rPr>
          <w:rFonts w:ascii="仿宋" w:hAnsi="仿宋" w:eastAsia="仿宋" w:cs="楷体"/>
          <w:b/>
          <w:bCs/>
          <w:color w:val="auto"/>
          <w:sz w:val="32"/>
          <w:szCs w:val="40"/>
          <w:highlight w:val="none"/>
        </w:rPr>
      </w:pPr>
      <w:r>
        <w:rPr>
          <w:rFonts w:hint="eastAsia" w:ascii="仿宋" w:hAnsi="仿宋" w:eastAsia="仿宋" w:cs="楷体"/>
          <w:b/>
          <w:bCs/>
          <w:color w:val="auto"/>
          <w:sz w:val="32"/>
          <w:szCs w:val="40"/>
          <w:highlight w:val="none"/>
        </w:rPr>
        <w:t>第2部分  响应函</w:t>
      </w:r>
      <w:bookmarkEnd w:id="172"/>
      <w:bookmarkEnd w:id="173"/>
      <w:bookmarkEnd w:id="174"/>
      <w:bookmarkEnd w:id="175"/>
      <w:bookmarkEnd w:id="176"/>
      <w:bookmarkEnd w:id="177"/>
      <w:bookmarkEnd w:id="178"/>
      <w:bookmarkEnd w:id="179"/>
    </w:p>
    <w:p>
      <w:pPr>
        <w:pStyle w:val="11"/>
        <w:spacing w:before="240" w:after="312" w:afterLines="100" w:line="360" w:lineRule="auto"/>
        <w:rPr>
          <w:rFonts w:hint="eastAsia" w:ascii="仿宋" w:hAnsi="仿宋" w:eastAsia="仿宋" w:cs="楷体"/>
          <w:b/>
          <w:bCs/>
          <w:color w:val="auto"/>
          <w:sz w:val="22"/>
          <w:szCs w:val="22"/>
          <w:highlight w:val="none"/>
          <w:lang w:eastAsia="zh-CN"/>
        </w:rPr>
      </w:pPr>
      <w:r>
        <w:rPr>
          <w:rFonts w:hint="eastAsia" w:ascii="仿宋" w:hAnsi="仿宋" w:eastAsia="仿宋" w:cs="楷体"/>
          <w:b/>
          <w:bCs/>
          <w:color w:val="auto"/>
          <w:sz w:val="22"/>
          <w:szCs w:val="22"/>
          <w:highlight w:val="none"/>
        </w:rPr>
        <w:t>致：</w:t>
      </w:r>
      <w:r>
        <w:rPr>
          <w:rFonts w:hint="eastAsia" w:ascii="仿宋" w:hAnsi="仿宋" w:eastAsia="仿宋" w:cs="楷体"/>
          <w:b/>
          <w:bCs/>
          <w:color w:val="auto"/>
          <w:sz w:val="22"/>
          <w:szCs w:val="22"/>
          <w:highlight w:val="none"/>
          <w:lang w:eastAsia="zh-CN"/>
        </w:rPr>
        <w:t>长信项目管理有限公司</w:t>
      </w:r>
    </w:p>
    <w:p>
      <w:pPr>
        <w:pStyle w:val="11"/>
        <w:spacing w:after="0" w:line="360" w:lineRule="auto"/>
        <w:ind w:firstLine="660" w:firstLineChars="3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我方已仔细研究了</w:t>
      </w:r>
      <w:r>
        <w:rPr>
          <w:rFonts w:hint="eastAsia" w:ascii="仿宋" w:hAnsi="仿宋" w:eastAsia="仿宋" w:cs="楷体"/>
          <w:color w:val="auto"/>
          <w:sz w:val="22"/>
          <w:szCs w:val="22"/>
          <w:highlight w:val="none"/>
          <w:u w:val="single"/>
        </w:rPr>
        <w:t xml:space="preserve">     (项目名称)  </w:t>
      </w:r>
      <w:r>
        <w:rPr>
          <w:rFonts w:hint="eastAsia" w:ascii="仿宋" w:hAnsi="仿宋" w:eastAsia="仿宋" w:cs="楷体"/>
          <w:color w:val="auto"/>
          <w:sz w:val="22"/>
          <w:szCs w:val="22"/>
          <w:highlight w:val="none"/>
        </w:rPr>
        <w:t>的磋商文件（采购项目编号：</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）的全部内容，知悉参加磋商的风险，我方承诺接受竞争性磋商文件的全部条款且无任何异议，决定参加贵单位组织的本项目磋商。我方正式授权</w:t>
      </w:r>
      <w:r>
        <w:rPr>
          <w:rFonts w:hint="eastAsia" w:ascii="仿宋" w:hAnsi="仿宋" w:eastAsia="仿宋" w:cs="楷体"/>
          <w:color w:val="auto"/>
          <w:sz w:val="22"/>
          <w:szCs w:val="22"/>
          <w:highlight w:val="none"/>
          <w:u w:val="single"/>
        </w:rPr>
        <w:t>（姓名、职务）</w:t>
      </w:r>
      <w:r>
        <w:rPr>
          <w:rFonts w:hint="eastAsia" w:ascii="仿宋" w:hAnsi="仿宋" w:eastAsia="仿宋" w:cs="楷体"/>
          <w:color w:val="auto"/>
          <w:sz w:val="22"/>
          <w:szCs w:val="22"/>
          <w:highlight w:val="none"/>
        </w:rPr>
        <w:t>代表我方</w:t>
      </w:r>
      <w:r>
        <w:rPr>
          <w:rFonts w:hint="eastAsia" w:ascii="仿宋" w:hAnsi="仿宋" w:eastAsia="仿宋" w:cs="楷体"/>
          <w:color w:val="auto"/>
          <w:sz w:val="22"/>
          <w:szCs w:val="22"/>
          <w:highlight w:val="none"/>
          <w:u w:val="single"/>
        </w:rPr>
        <w:t xml:space="preserve">    （磋商供应商的名称）</w:t>
      </w:r>
      <w:r>
        <w:rPr>
          <w:rFonts w:hint="eastAsia" w:ascii="仿宋" w:hAnsi="仿宋" w:eastAsia="仿宋" w:cs="楷体"/>
          <w:color w:val="auto"/>
          <w:sz w:val="22"/>
          <w:szCs w:val="22"/>
          <w:highlight w:val="none"/>
        </w:rPr>
        <w:t>全权处理本项目磋商的有关事宜。</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一、我方提交响应文件正本</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份、副本</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 xml:space="preserve">份和开标一览表 </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份（内含磋商响应文件电子版U盘</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份），并保证磋商响应文件提供的数据和材料真实、准确。否则，愿承担《中华人民共和国政府采购法》第七十七条规定的法律责任。</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二、我方按竞争性磋商文件规定，首次磋商报价为人民币大写</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元 （￥</w:t>
      </w:r>
      <w:r>
        <w:rPr>
          <w:rFonts w:hint="eastAsia" w:ascii="仿宋" w:hAnsi="仿宋" w:eastAsia="仿宋" w:cs="楷体"/>
          <w:color w:val="auto"/>
          <w:sz w:val="22"/>
          <w:szCs w:val="22"/>
          <w:highlight w:val="none"/>
          <w:u w:val="single"/>
        </w:rPr>
        <w:t xml:space="preserve">       </w:t>
      </w:r>
      <w:r>
        <w:rPr>
          <w:rFonts w:hint="eastAsia" w:ascii="仿宋" w:hAnsi="仿宋" w:eastAsia="仿宋" w:cs="楷体"/>
          <w:color w:val="auto"/>
          <w:sz w:val="22"/>
          <w:szCs w:val="22"/>
          <w:highlight w:val="none"/>
        </w:rPr>
        <w:t>）。</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三、我方愿意按竞争性磋商文件规定的各项要求，向采购人提供所需所有货物（产品）及相应服务。</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四、我方愿意向贵方提供任何与本项采购有关的数据、情况、样品和技术资料。若贵方需要，我方愿意提供我方作出的一切承诺的证明材料。</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五、我方已仔细阅读了竞争性磋商文件的全部内容，并同意和放弃对竞争性磋商文件不明或误解而询问、质疑和投诉的权利。</w:t>
      </w:r>
    </w:p>
    <w:p>
      <w:pPr>
        <w:pStyle w:val="11"/>
        <w:spacing w:after="0" w:line="360" w:lineRule="auto"/>
        <w:ind w:firstLine="440" w:firstLineChars="200"/>
        <w:rPr>
          <w:rFonts w:hint="default" w:ascii="仿宋" w:hAnsi="仿宋" w:eastAsia="仿宋" w:cs="楷体"/>
          <w:color w:val="auto"/>
          <w:sz w:val="22"/>
          <w:szCs w:val="22"/>
          <w:highlight w:val="none"/>
          <w:lang w:val="en-US" w:eastAsia="zh-CN"/>
        </w:rPr>
      </w:pPr>
      <w:r>
        <w:rPr>
          <w:rFonts w:hint="eastAsia" w:ascii="仿宋" w:hAnsi="仿宋" w:eastAsia="仿宋" w:cs="楷体"/>
          <w:color w:val="auto"/>
          <w:sz w:val="22"/>
          <w:szCs w:val="22"/>
          <w:highlight w:val="none"/>
        </w:rPr>
        <w:t>六、我方承诺遵守《中华人民共和国政府采购法》及其实施条例的有关规定，保证在获得成交资格后：</w:t>
      </w:r>
      <w:r>
        <w:rPr>
          <w:rFonts w:hint="eastAsia" w:ascii="仿宋" w:hAnsi="仿宋" w:eastAsia="仿宋" w:cs="楷体"/>
          <w:color w:val="auto"/>
          <w:sz w:val="22"/>
          <w:szCs w:val="22"/>
          <w:highlight w:val="none"/>
          <w:lang w:val="en-US" w:eastAsia="zh-CN"/>
        </w:rPr>
        <w:t xml:space="preserve">   </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（1）按照竞争性磋商文件确定的事项签订政府采购合同，履行双方所签订的合同，并承担合同规定的责任和义务；保证合同签订生效后内完成项目的实施，并交付采购人验收、使用；</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（2）我方保证按规定和标准向贵方缴纳采购代理服务费；</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（3）投标有效期自动延长至合同履行完毕。</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七、我方愿意提供采购人可能另外要求的，与投标有关的任何文件资料，并保证我方已提供和将要提供的文件资料是真实、准确的，若提供虚假材料我方愿意按照国家相关法律法规接受处罚。</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八、我方完全理解并同意竞争性磋商文件中有关不退还磋商保证金条款所规定的情形。</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九、我方完全理解最低报价不是成交的唯一条件，并尊重磋商小组的评审结论和评审结果。</w:t>
      </w:r>
    </w:p>
    <w:p>
      <w:pPr>
        <w:pStyle w:val="11"/>
        <w:spacing w:after="0"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十、有关本项目的所有函电，请按下列地址联系：</w:t>
      </w:r>
    </w:p>
    <w:p>
      <w:pPr>
        <w:pStyle w:val="11"/>
        <w:spacing w:line="360" w:lineRule="auto"/>
        <w:rPr>
          <w:rFonts w:ascii="仿宋" w:hAnsi="仿宋" w:eastAsia="仿宋" w:cs="楷体"/>
          <w:bCs/>
          <w:color w:val="auto"/>
          <w:sz w:val="22"/>
          <w:szCs w:val="22"/>
          <w:highlight w:val="none"/>
        </w:rPr>
      </w:pPr>
    </w:p>
    <w:p>
      <w:pPr>
        <w:pStyle w:val="11"/>
        <w:spacing w:line="360" w:lineRule="auto"/>
        <w:ind w:left="418" w:leftChars="199" w:firstLine="640" w:firstLineChars="291"/>
        <w:jc w:val="both"/>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磋商供应商名称：</w:t>
      </w:r>
      <w:r>
        <w:rPr>
          <w:rFonts w:hint="eastAsia" w:ascii="仿宋" w:hAnsi="仿宋" w:eastAsia="仿宋" w:cs="楷体"/>
          <w:bCs/>
          <w:color w:val="auto"/>
          <w:sz w:val="22"/>
          <w:szCs w:val="22"/>
          <w:highlight w:val="none"/>
          <w:u w:val="single"/>
        </w:rPr>
        <w:t xml:space="preserve">     </w:t>
      </w:r>
      <w:r>
        <w:rPr>
          <w:rFonts w:hint="eastAsia" w:ascii="仿宋" w:hAnsi="仿宋" w:eastAsia="仿宋" w:cs="楷体"/>
          <w:bCs/>
          <w:color w:val="auto"/>
          <w:sz w:val="22"/>
          <w:szCs w:val="22"/>
          <w:highlight w:val="none"/>
        </w:rPr>
        <w:t>（填写全称并加盖公章）</w:t>
      </w:r>
    </w:p>
    <w:p>
      <w:pPr>
        <w:pStyle w:val="11"/>
        <w:spacing w:line="360" w:lineRule="auto"/>
        <w:ind w:left="418" w:leftChars="199" w:firstLine="640" w:firstLineChars="291"/>
        <w:jc w:val="both"/>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法定代表人或其被授权委托代理人：</w:t>
      </w:r>
      <w:r>
        <w:rPr>
          <w:rFonts w:hint="eastAsia" w:ascii="仿宋" w:hAnsi="仿宋" w:eastAsia="仿宋" w:cs="楷体"/>
          <w:bCs/>
          <w:color w:val="auto"/>
          <w:sz w:val="22"/>
          <w:szCs w:val="22"/>
          <w:highlight w:val="none"/>
          <w:u w:val="single"/>
        </w:rPr>
        <w:t xml:space="preserve">    </w:t>
      </w:r>
      <w:r>
        <w:rPr>
          <w:rFonts w:hint="eastAsia" w:ascii="仿宋" w:hAnsi="仿宋" w:eastAsia="仿宋" w:cs="楷体"/>
          <w:bCs/>
          <w:color w:val="auto"/>
          <w:sz w:val="22"/>
          <w:szCs w:val="22"/>
          <w:highlight w:val="none"/>
        </w:rPr>
        <w:t>（签字）</w:t>
      </w:r>
    </w:p>
    <w:p>
      <w:pPr>
        <w:pStyle w:val="11"/>
        <w:spacing w:line="360" w:lineRule="auto"/>
        <w:ind w:left="418" w:leftChars="199" w:firstLine="640" w:firstLineChars="291"/>
        <w:rPr>
          <w:rFonts w:hint="default" w:ascii="仿宋" w:hAnsi="仿宋" w:eastAsia="仿宋" w:cs="楷体"/>
          <w:bCs/>
          <w:color w:val="auto"/>
          <w:sz w:val="22"/>
          <w:szCs w:val="22"/>
          <w:highlight w:val="none"/>
          <w:u w:val="single"/>
        </w:rPr>
      </w:pPr>
      <w:r>
        <w:rPr>
          <w:rFonts w:hint="eastAsia" w:ascii="仿宋" w:hAnsi="仿宋" w:eastAsia="仿宋" w:cs="楷体"/>
          <w:bCs/>
          <w:color w:val="auto"/>
          <w:sz w:val="22"/>
          <w:szCs w:val="22"/>
          <w:highlight w:val="none"/>
        </w:rPr>
        <w:t>通讯地址：</w:t>
      </w:r>
      <w:r>
        <w:rPr>
          <w:rFonts w:hint="default" w:ascii="仿宋" w:hAnsi="仿宋" w:eastAsia="仿宋" w:cs="楷体"/>
          <w:bCs/>
          <w:color w:val="auto"/>
          <w:sz w:val="22"/>
          <w:szCs w:val="22"/>
          <w:highlight w:val="none"/>
          <w:u w:val="single"/>
        </w:rPr>
        <w:t xml:space="preserve">                                </w:t>
      </w:r>
    </w:p>
    <w:p>
      <w:pPr>
        <w:pStyle w:val="11"/>
        <w:spacing w:line="360" w:lineRule="auto"/>
        <w:ind w:left="418" w:leftChars="199" w:firstLine="640" w:firstLineChars="291"/>
        <w:rPr>
          <w:rFonts w:hint="default" w:ascii="仿宋" w:hAnsi="仿宋" w:eastAsia="仿宋" w:cs="楷体"/>
          <w:bCs/>
          <w:color w:val="auto"/>
          <w:sz w:val="22"/>
          <w:szCs w:val="22"/>
          <w:highlight w:val="none"/>
          <w:u w:val="single"/>
          <w:lang w:val="en-US" w:eastAsia="zh-CN"/>
        </w:rPr>
      </w:pPr>
      <w:r>
        <w:rPr>
          <w:rFonts w:hint="eastAsia" w:ascii="仿宋" w:hAnsi="仿宋" w:eastAsia="仿宋" w:cs="楷体"/>
          <w:bCs/>
          <w:color w:val="auto"/>
          <w:sz w:val="22"/>
          <w:szCs w:val="22"/>
          <w:highlight w:val="none"/>
        </w:rPr>
        <w:t>邮政编码：</w:t>
      </w:r>
      <w:r>
        <w:rPr>
          <w:rFonts w:hint="eastAsia" w:ascii="仿宋" w:hAnsi="仿宋" w:eastAsia="仿宋" w:cs="楷体"/>
          <w:bCs/>
          <w:color w:val="auto"/>
          <w:sz w:val="22"/>
          <w:szCs w:val="22"/>
          <w:highlight w:val="none"/>
          <w:u w:val="single"/>
          <w:lang w:val="en-US" w:eastAsia="zh-CN"/>
        </w:rPr>
        <w:t xml:space="preserve">                                </w:t>
      </w:r>
    </w:p>
    <w:p>
      <w:pPr>
        <w:pStyle w:val="11"/>
        <w:spacing w:line="360" w:lineRule="auto"/>
        <w:ind w:left="418" w:leftChars="199" w:firstLine="640" w:firstLineChars="291"/>
        <w:rPr>
          <w:rFonts w:hint="default" w:ascii="仿宋" w:hAnsi="仿宋" w:eastAsia="仿宋" w:cs="楷体"/>
          <w:bCs/>
          <w:color w:val="auto"/>
          <w:sz w:val="22"/>
          <w:szCs w:val="22"/>
          <w:highlight w:val="none"/>
          <w:u w:val="single"/>
          <w:lang w:val="en-US" w:eastAsia="zh-CN"/>
        </w:rPr>
      </w:pPr>
      <w:r>
        <w:rPr>
          <w:rFonts w:hint="eastAsia" w:ascii="仿宋" w:hAnsi="仿宋" w:eastAsia="仿宋" w:cs="楷体"/>
          <w:bCs/>
          <w:color w:val="auto"/>
          <w:sz w:val="22"/>
          <w:szCs w:val="22"/>
          <w:highlight w:val="none"/>
        </w:rPr>
        <w:t>联系电话：</w:t>
      </w:r>
      <w:r>
        <w:rPr>
          <w:rFonts w:hint="eastAsia" w:ascii="仿宋" w:hAnsi="仿宋" w:eastAsia="仿宋" w:cs="楷体"/>
          <w:bCs/>
          <w:color w:val="auto"/>
          <w:sz w:val="22"/>
          <w:szCs w:val="22"/>
          <w:highlight w:val="none"/>
          <w:u w:val="single"/>
          <w:lang w:val="en-US" w:eastAsia="zh-CN"/>
        </w:rPr>
        <w:t xml:space="preserve">                                </w:t>
      </w:r>
    </w:p>
    <w:p>
      <w:pPr>
        <w:pStyle w:val="11"/>
        <w:spacing w:line="360" w:lineRule="auto"/>
        <w:ind w:left="418" w:leftChars="199" w:firstLine="640" w:firstLineChars="291"/>
        <w:rPr>
          <w:rFonts w:hint="default" w:ascii="仿宋" w:hAnsi="仿宋" w:eastAsia="仿宋" w:cs="楷体"/>
          <w:bCs/>
          <w:color w:val="auto"/>
          <w:sz w:val="22"/>
          <w:szCs w:val="22"/>
          <w:highlight w:val="none"/>
          <w:u w:val="single"/>
          <w:lang w:val="en-US" w:eastAsia="zh-CN"/>
        </w:rPr>
      </w:pPr>
      <w:r>
        <w:rPr>
          <w:rFonts w:hint="eastAsia" w:ascii="仿宋" w:hAnsi="仿宋" w:eastAsia="仿宋" w:cs="楷体"/>
          <w:bCs/>
          <w:color w:val="auto"/>
          <w:sz w:val="22"/>
          <w:szCs w:val="22"/>
          <w:highlight w:val="none"/>
        </w:rPr>
        <w:t>传    真：</w:t>
      </w:r>
      <w:r>
        <w:rPr>
          <w:rFonts w:hint="eastAsia" w:ascii="仿宋" w:hAnsi="仿宋" w:eastAsia="仿宋" w:cs="楷体"/>
          <w:bCs/>
          <w:color w:val="auto"/>
          <w:sz w:val="22"/>
          <w:szCs w:val="22"/>
          <w:highlight w:val="none"/>
          <w:u w:val="single"/>
          <w:lang w:val="en-US" w:eastAsia="zh-CN"/>
        </w:rPr>
        <w:t xml:space="preserve">                                </w:t>
      </w:r>
    </w:p>
    <w:p>
      <w:pPr>
        <w:pStyle w:val="11"/>
        <w:spacing w:line="360" w:lineRule="auto"/>
        <w:ind w:left="418" w:leftChars="199" w:firstLine="640" w:firstLineChars="291"/>
        <w:rPr>
          <w:rFonts w:hint="default" w:ascii="仿宋" w:hAnsi="仿宋" w:eastAsia="仿宋" w:cs="楷体"/>
          <w:bCs/>
          <w:color w:val="auto"/>
          <w:sz w:val="22"/>
          <w:szCs w:val="22"/>
          <w:highlight w:val="none"/>
          <w:u w:val="single"/>
          <w:lang w:val="en-US" w:eastAsia="zh-CN"/>
        </w:rPr>
      </w:pPr>
      <w:r>
        <w:rPr>
          <w:rFonts w:hint="eastAsia" w:ascii="仿宋" w:hAnsi="仿宋" w:eastAsia="仿宋" w:cs="楷体"/>
          <w:bCs/>
          <w:color w:val="auto"/>
          <w:sz w:val="22"/>
          <w:szCs w:val="22"/>
          <w:highlight w:val="none"/>
        </w:rPr>
        <w:t>电子邮件：</w:t>
      </w:r>
      <w:r>
        <w:rPr>
          <w:rFonts w:hint="eastAsia" w:ascii="仿宋" w:hAnsi="仿宋" w:eastAsia="仿宋" w:cs="楷体"/>
          <w:bCs/>
          <w:color w:val="auto"/>
          <w:sz w:val="22"/>
          <w:szCs w:val="22"/>
          <w:highlight w:val="none"/>
          <w:u w:val="single"/>
          <w:lang w:val="en-US" w:eastAsia="zh-CN"/>
        </w:rPr>
        <w:t xml:space="preserve">                                </w:t>
      </w:r>
    </w:p>
    <w:p>
      <w:pPr>
        <w:pStyle w:val="11"/>
        <w:spacing w:line="360" w:lineRule="auto"/>
        <w:ind w:left="418" w:leftChars="199" w:firstLine="640" w:firstLineChars="291"/>
        <w:rPr>
          <w:rFonts w:hint="default" w:ascii="仿宋" w:hAnsi="仿宋" w:eastAsia="仿宋" w:cs="楷体"/>
          <w:bCs/>
          <w:color w:val="auto"/>
          <w:sz w:val="22"/>
          <w:szCs w:val="22"/>
          <w:highlight w:val="none"/>
          <w:u w:val="single"/>
          <w:lang w:val="en-US" w:eastAsia="zh-CN"/>
        </w:rPr>
      </w:pPr>
      <w:r>
        <w:rPr>
          <w:rFonts w:hint="eastAsia" w:ascii="仿宋" w:hAnsi="仿宋" w:eastAsia="仿宋" w:cs="楷体"/>
          <w:bCs/>
          <w:color w:val="auto"/>
          <w:sz w:val="22"/>
          <w:szCs w:val="22"/>
          <w:highlight w:val="none"/>
        </w:rPr>
        <w:t>开户银行：</w:t>
      </w:r>
      <w:r>
        <w:rPr>
          <w:rFonts w:hint="eastAsia" w:ascii="仿宋" w:hAnsi="仿宋" w:eastAsia="仿宋" w:cs="楷体"/>
          <w:bCs/>
          <w:color w:val="auto"/>
          <w:sz w:val="22"/>
          <w:szCs w:val="22"/>
          <w:highlight w:val="none"/>
          <w:u w:val="single"/>
          <w:lang w:val="en-US" w:eastAsia="zh-CN"/>
        </w:rPr>
        <w:t xml:space="preserve">                                </w:t>
      </w:r>
    </w:p>
    <w:p>
      <w:pPr>
        <w:pStyle w:val="11"/>
        <w:spacing w:line="360" w:lineRule="auto"/>
        <w:ind w:left="418" w:leftChars="199" w:firstLine="640" w:firstLineChars="291"/>
        <w:rPr>
          <w:rFonts w:hint="default" w:ascii="仿宋" w:hAnsi="仿宋" w:eastAsia="仿宋" w:cs="楷体"/>
          <w:bCs/>
          <w:color w:val="auto"/>
          <w:sz w:val="22"/>
          <w:szCs w:val="22"/>
          <w:highlight w:val="none"/>
          <w:u w:val="single"/>
          <w:lang w:val="en-US" w:eastAsia="zh-CN"/>
        </w:rPr>
      </w:pPr>
      <w:r>
        <w:rPr>
          <w:rFonts w:hint="eastAsia" w:ascii="仿宋" w:hAnsi="仿宋" w:eastAsia="仿宋" w:cs="楷体"/>
          <w:bCs/>
          <w:color w:val="auto"/>
          <w:sz w:val="22"/>
          <w:szCs w:val="22"/>
          <w:highlight w:val="none"/>
        </w:rPr>
        <w:t>帐    号：</w:t>
      </w:r>
      <w:r>
        <w:rPr>
          <w:rFonts w:hint="eastAsia" w:ascii="仿宋" w:hAnsi="仿宋" w:eastAsia="仿宋" w:cs="楷体"/>
          <w:bCs/>
          <w:color w:val="auto"/>
          <w:sz w:val="22"/>
          <w:szCs w:val="22"/>
          <w:highlight w:val="none"/>
          <w:u w:val="single"/>
          <w:lang w:val="en-US" w:eastAsia="zh-CN"/>
        </w:rPr>
        <w:t xml:space="preserve">                                </w:t>
      </w:r>
    </w:p>
    <w:p>
      <w:pPr>
        <w:pStyle w:val="11"/>
        <w:spacing w:line="360" w:lineRule="auto"/>
        <w:ind w:left="418" w:leftChars="199" w:firstLine="640" w:firstLineChars="291"/>
        <w:rPr>
          <w:rFonts w:hint="default" w:ascii="仿宋" w:hAnsi="仿宋" w:eastAsia="仿宋" w:cs="楷体"/>
          <w:bCs/>
          <w:color w:val="auto"/>
          <w:sz w:val="22"/>
          <w:szCs w:val="22"/>
          <w:highlight w:val="none"/>
          <w:u w:val="single"/>
          <w:lang w:val="en-US" w:eastAsia="zh-CN"/>
        </w:rPr>
      </w:pPr>
      <w:r>
        <w:rPr>
          <w:rFonts w:hint="eastAsia" w:ascii="仿宋" w:hAnsi="仿宋" w:eastAsia="仿宋" w:cs="楷体"/>
          <w:bCs/>
          <w:color w:val="auto"/>
          <w:sz w:val="22"/>
          <w:szCs w:val="22"/>
          <w:highlight w:val="none"/>
        </w:rPr>
        <w:t>日    期：</w:t>
      </w:r>
      <w:r>
        <w:rPr>
          <w:rFonts w:hint="eastAsia" w:ascii="仿宋" w:hAnsi="仿宋" w:eastAsia="仿宋" w:cs="楷体"/>
          <w:bCs/>
          <w:color w:val="auto"/>
          <w:sz w:val="22"/>
          <w:szCs w:val="22"/>
          <w:highlight w:val="none"/>
          <w:u w:val="single"/>
          <w:lang w:val="en-US" w:eastAsia="zh-CN"/>
        </w:rPr>
        <w:t xml:space="preserve">                                </w:t>
      </w: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pStyle w:val="11"/>
        <w:spacing w:line="360" w:lineRule="auto"/>
        <w:ind w:left="0" w:leftChars="0"/>
        <w:rPr>
          <w:rFonts w:ascii="仿宋" w:hAnsi="仿宋" w:eastAsia="仿宋" w:cs="楷体"/>
          <w:bCs/>
          <w:color w:val="auto"/>
          <w:sz w:val="22"/>
          <w:szCs w:val="22"/>
          <w:highlight w:val="none"/>
        </w:rPr>
      </w:pPr>
    </w:p>
    <w:p>
      <w:pPr>
        <w:snapToGrid w:val="0"/>
        <w:spacing w:line="360" w:lineRule="auto"/>
        <w:jc w:val="center"/>
        <w:outlineLvl w:val="0"/>
        <w:rPr>
          <w:rFonts w:ascii="仿宋" w:hAnsi="仿宋" w:eastAsia="仿宋" w:cs="楷体"/>
          <w:b/>
          <w:color w:val="auto"/>
          <w:sz w:val="32"/>
          <w:szCs w:val="32"/>
          <w:highlight w:val="none"/>
        </w:rPr>
      </w:pPr>
      <w:bookmarkStart w:id="180" w:name="_Toc7813_WPSOffice_Level1"/>
      <w:bookmarkStart w:id="181" w:name="_Toc9246"/>
      <w:bookmarkStart w:id="182" w:name="_Toc15332_WPSOffice_Level1"/>
      <w:bookmarkStart w:id="183" w:name="_Toc13450"/>
      <w:bookmarkStart w:id="184" w:name="_Toc11802"/>
      <w:bookmarkStart w:id="185" w:name="_Toc25249"/>
      <w:bookmarkStart w:id="186" w:name="_Toc523311247"/>
      <w:bookmarkStart w:id="187" w:name="_Toc24966"/>
      <w:bookmarkStart w:id="188" w:name="_Toc24502_WPSOffice_Level1"/>
      <w:r>
        <w:rPr>
          <w:rFonts w:hint="eastAsia" w:ascii="仿宋" w:hAnsi="仿宋" w:eastAsia="仿宋" w:cs="楷体"/>
          <w:b/>
          <w:color w:val="auto"/>
          <w:sz w:val="32"/>
          <w:szCs w:val="32"/>
          <w:highlight w:val="none"/>
        </w:rPr>
        <w:t>第3部分 开标一览表</w:t>
      </w:r>
      <w:bookmarkEnd w:id="180"/>
      <w:bookmarkEnd w:id="181"/>
      <w:bookmarkEnd w:id="182"/>
      <w:bookmarkEnd w:id="183"/>
      <w:bookmarkEnd w:id="184"/>
      <w:bookmarkEnd w:id="185"/>
      <w:bookmarkEnd w:id="186"/>
      <w:bookmarkEnd w:id="187"/>
      <w:bookmarkEnd w:id="188"/>
    </w:p>
    <w:p>
      <w:pPr>
        <w:spacing w:line="480" w:lineRule="exact"/>
        <w:jc w:val="center"/>
        <w:outlineLvl w:val="0"/>
        <w:rPr>
          <w:rFonts w:ascii="仿宋" w:hAnsi="仿宋" w:eastAsia="仿宋" w:cs="楷体"/>
          <w:b/>
          <w:bCs/>
          <w:color w:val="auto"/>
          <w:sz w:val="30"/>
          <w:szCs w:val="30"/>
          <w:highlight w:val="none"/>
        </w:rPr>
      </w:pPr>
      <w:bookmarkStart w:id="189" w:name="_Toc4645"/>
      <w:bookmarkStart w:id="190" w:name="_Toc25228"/>
      <w:bookmarkStart w:id="191" w:name="_Toc21541"/>
      <w:bookmarkStart w:id="192" w:name="_Toc9918"/>
      <w:r>
        <w:rPr>
          <w:rFonts w:hint="eastAsia" w:ascii="仿宋" w:hAnsi="仿宋" w:eastAsia="仿宋" w:cs="楷体"/>
          <w:b/>
          <w:bCs/>
          <w:color w:val="auto"/>
          <w:sz w:val="30"/>
          <w:szCs w:val="30"/>
          <w:highlight w:val="none"/>
        </w:rPr>
        <w:t>3.1、开标一览表（首次报价）</w:t>
      </w:r>
      <w:bookmarkEnd w:id="189"/>
      <w:bookmarkEnd w:id="190"/>
      <w:bookmarkEnd w:id="191"/>
      <w:bookmarkEnd w:id="192"/>
    </w:p>
    <w:p>
      <w:pPr>
        <w:tabs>
          <w:tab w:val="right" w:leader="dot" w:pos="9022"/>
        </w:tabs>
        <w:autoSpaceDE w:val="0"/>
        <w:autoSpaceDN w:val="0"/>
        <w:adjustRightInd w:val="0"/>
        <w:spacing w:line="400" w:lineRule="exact"/>
        <w:ind w:firstLine="110" w:firstLineChars="50"/>
        <w:jc w:val="left"/>
        <w:rPr>
          <w:rFonts w:ascii="仿宋" w:hAnsi="仿宋" w:eastAsia="仿宋" w:cs="楷体"/>
          <w:bCs/>
          <w:caps/>
          <w:color w:val="auto"/>
          <w:sz w:val="24"/>
          <w:highlight w:val="none"/>
        </w:rPr>
      </w:pPr>
      <w:r>
        <w:rPr>
          <w:rFonts w:hint="eastAsia" w:ascii="仿宋" w:hAnsi="仿宋" w:eastAsia="仿宋" w:cs="楷体"/>
          <w:bCs/>
          <w:caps/>
          <w:color w:val="auto"/>
          <w:sz w:val="22"/>
          <w:szCs w:val="22"/>
          <w:highlight w:val="none"/>
        </w:rPr>
        <w:t>响应人名称：                                      人民币：元</w:t>
      </w:r>
    </w:p>
    <w:tbl>
      <w:tblPr>
        <w:tblStyle w:val="19"/>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222"/>
        <w:gridCol w:w="3025"/>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3"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项目名称</w:t>
            </w:r>
          </w:p>
        </w:tc>
        <w:tc>
          <w:tcPr>
            <w:tcW w:w="6835"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left"/>
              <w:rPr>
                <w:rFonts w:hint="default" w:ascii="仿宋" w:hAnsi="仿宋" w:eastAsia="仿宋" w:cs="楷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83" w:type="dxa"/>
            <w:vAlign w:val="center"/>
          </w:tcPr>
          <w:p>
            <w:pPr>
              <w:keepNext w:val="0"/>
              <w:keepLines w:val="0"/>
              <w:suppressLineNumbers w:val="0"/>
              <w:tabs>
                <w:tab w:val="right" w:leader="dot" w:pos="9022"/>
              </w:tabs>
              <w:spacing w:before="0" w:beforeAutospacing="0" w:after="0" w:afterAutospacing="0" w:line="400" w:lineRule="exact"/>
              <w:ind w:left="440" w:right="0" w:hanging="440" w:hangingChars="20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总报价小写：</w:t>
            </w:r>
          </w:p>
        </w:tc>
        <w:tc>
          <w:tcPr>
            <w:tcW w:w="6835"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3" w:type="dxa"/>
            <w:vAlign w:val="center"/>
          </w:tcPr>
          <w:p>
            <w:pPr>
              <w:keepNext w:val="0"/>
              <w:keepLines w:val="0"/>
              <w:suppressLineNumbers w:val="0"/>
              <w:tabs>
                <w:tab w:val="right" w:leader="dot" w:pos="9022"/>
              </w:tabs>
              <w:spacing w:before="0" w:beforeAutospacing="0" w:after="0" w:afterAutospacing="0" w:line="400" w:lineRule="exact"/>
              <w:ind w:left="440" w:right="0" w:hanging="440" w:hangingChars="20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总报价大写：</w:t>
            </w:r>
          </w:p>
        </w:tc>
        <w:tc>
          <w:tcPr>
            <w:tcW w:w="6835"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83"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完成期限：</w:t>
            </w:r>
          </w:p>
        </w:tc>
        <w:tc>
          <w:tcPr>
            <w:tcW w:w="6835"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
                <w:bCs/>
                <w:caps/>
                <w:color w:val="auto"/>
                <w:sz w:val="22"/>
                <w:szCs w:val="22"/>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205" w:type="dxa"/>
            <w:gridSpan w:val="2"/>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响应人</w:t>
            </w:r>
          </w:p>
        </w:tc>
        <w:tc>
          <w:tcPr>
            <w:tcW w:w="3025"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法定代表人或被授权人</w:t>
            </w:r>
          </w:p>
        </w:tc>
        <w:tc>
          <w:tcPr>
            <w:tcW w:w="2588" w:type="dxa"/>
            <w:vAlign w:val="center"/>
          </w:tcPr>
          <w:p>
            <w:pPr>
              <w:keepNext w:val="0"/>
              <w:keepLines w:val="0"/>
              <w:suppressLineNumbers w:val="0"/>
              <w:tabs>
                <w:tab w:val="right" w:leader="dot" w:pos="9022"/>
              </w:tabs>
              <w:spacing w:before="0" w:beforeAutospacing="0" w:after="0" w:afterAutospacing="0" w:line="400" w:lineRule="exact"/>
              <w:ind w:left="0" w:right="0" w:firstLine="550" w:firstLineChars="25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trPr>
        <w:tc>
          <w:tcPr>
            <w:tcW w:w="3205" w:type="dxa"/>
            <w:gridSpan w:val="2"/>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（公章）</w:t>
            </w:r>
          </w:p>
        </w:tc>
        <w:tc>
          <w:tcPr>
            <w:tcW w:w="3025"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（签字）</w:t>
            </w:r>
          </w:p>
        </w:tc>
        <w:tc>
          <w:tcPr>
            <w:tcW w:w="2588"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818" w:type="dxa"/>
            <w:gridSpan w:val="4"/>
            <w:vAlign w:val="center"/>
          </w:tcPr>
          <w:p>
            <w:pPr>
              <w:keepNext w:val="0"/>
              <w:keepLines w:val="0"/>
              <w:suppressLineNumbers w:val="0"/>
              <w:tabs>
                <w:tab w:val="right" w:leader="dot" w:pos="9022"/>
              </w:tabs>
              <w:spacing w:before="0" w:beforeAutospacing="0" w:after="0" w:afterAutospacing="0" w:line="400" w:lineRule="exact"/>
              <w:ind w:left="0" w:right="0"/>
              <w:rPr>
                <w:rFonts w:hint="default" w:ascii="仿宋" w:hAnsi="仿宋" w:eastAsia="仿宋" w:cs="楷体"/>
                <w:bCs/>
                <w:caps/>
                <w:color w:val="auto"/>
                <w:sz w:val="22"/>
                <w:szCs w:val="22"/>
                <w:highlight w:val="none"/>
              </w:rPr>
            </w:pPr>
            <w:r>
              <w:rPr>
                <w:rFonts w:hint="eastAsia" w:ascii="仿宋" w:hAnsi="仿宋" w:eastAsia="仿宋" w:cs="楷体"/>
                <w:color w:val="auto"/>
                <w:sz w:val="22"/>
                <w:szCs w:val="22"/>
                <w:highlight w:val="none"/>
              </w:rPr>
              <w:t>报价声明：总报价中已包含完成本项目所需的一切费用，包括供应商完成本项目所需的一切费用，即实施本项目所需的人工费、后期服务费、税费、利润、市场服务费、采购代理服务费其他所有费用的总和。在工作中出现任何遗漏，均由成交供应商免费提供，采购人将不再支付任何费用。</w:t>
            </w:r>
          </w:p>
        </w:tc>
      </w:tr>
    </w:tbl>
    <w:p>
      <w:pPr>
        <w:spacing w:line="440" w:lineRule="exact"/>
        <w:rPr>
          <w:rFonts w:ascii="仿宋" w:hAnsi="仿宋" w:eastAsia="仿宋" w:cs="楷体"/>
          <w:b/>
          <w:color w:val="auto"/>
          <w:sz w:val="24"/>
          <w:highlight w:val="none"/>
        </w:rPr>
      </w:pPr>
      <w:r>
        <w:rPr>
          <w:rFonts w:hint="eastAsia" w:ascii="仿宋" w:hAnsi="仿宋" w:eastAsia="仿宋" w:cs="楷体"/>
          <w:b/>
          <w:color w:val="auto"/>
          <w:sz w:val="24"/>
          <w:highlight w:val="none"/>
        </w:rPr>
        <w:t>特别提示：</w:t>
      </w:r>
    </w:p>
    <w:p>
      <w:pPr>
        <w:spacing w:line="440" w:lineRule="exact"/>
        <w:ind w:left="1" w:firstLine="440" w:firstLineChars="200"/>
        <w:outlineLvl w:val="0"/>
        <w:rPr>
          <w:rFonts w:ascii="仿宋" w:hAnsi="仿宋" w:eastAsia="仿宋" w:cs="楷体"/>
          <w:color w:val="auto"/>
          <w:sz w:val="20"/>
          <w:szCs w:val="22"/>
          <w:highlight w:val="none"/>
        </w:rPr>
      </w:pPr>
      <w:bookmarkStart w:id="193" w:name="_Toc20194"/>
      <w:bookmarkStart w:id="194" w:name="_Toc14344"/>
      <w:bookmarkStart w:id="195" w:name="_Toc28119"/>
      <w:bookmarkStart w:id="196" w:name="_Toc18293"/>
      <w:bookmarkStart w:id="197" w:name="_Toc12155"/>
      <w:r>
        <w:rPr>
          <w:rFonts w:hint="eastAsia" w:ascii="仿宋" w:hAnsi="仿宋" w:eastAsia="仿宋" w:cs="楷体"/>
          <w:color w:val="auto"/>
          <w:sz w:val="22"/>
          <w:szCs w:val="22"/>
          <w:highlight w:val="none"/>
        </w:rPr>
        <w:t>1、磋商供应商除按要求编制、装订磋商响应文件正、副本外，还须提供本项目开标一览表原件（含磋商响应文件电子版U盘1份）及并进行单独封装密封（参见格式），开标大会签到时，与磋商响应文件一并递交。</w:t>
      </w:r>
      <w:bookmarkEnd w:id="193"/>
      <w:bookmarkEnd w:id="194"/>
      <w:bookmarkEnd w:id="195"/>
      <w:bookmarkEnd w:id="196"/>
      <w:bookmarkEnd w:id="197"/>
    </w:p>
    <w:p>
      <w:pPr>
        <w:spacing w:line="440" w:lineRule="exact"/>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2、开标一览表与明细表不一致时，以开标一览表为准；</w:t>
      </w:r>
    </w:p>
    <w:p>
      <w:pPr>
        <w:spacing w:line="440" w:lineRule="exact"/>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3、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rPr>
          <w:rFonts w:ascii="仿宋" w:hAnsi="仿宋" w:eastAsia="仿宋" w:cs="楷体"/>
          <w:color w:val="auto"/>
          <w:highlight w:val="none"/>
        </w:rPr>
      </w:pPr>
    </w:p>
    <w:p>
      <w:pPr>
        <w:spacing w:line="480" w:lineRule="exact"/>
        <w:jc w:val="center"/>
        <w:outlineLvl w:val="0"/>
        <w:rPr>
          <w:rFonts w:ascii="仿宋" w:hAnsi="仿宋" w:eastAsia="仿宋" w:cs="楷体"/>
          <w:b/>
          <w:bCs/>
          <w:color w:val="auto"/>
          <w:sz w:val="30"/>
          <w:szCs w:val="30"/>
          <w:highlight w:val="none"/>
        </w:rPr>
      </w:pPr>
      <w:bookmarkStart w:id="198" w:name="_Toc25743"/>
      <w:bookmarkStart w:id="199" w:name="_Toc30010"/>
      <w:bookmarkStart w:id="200" w:name="_Toc1657"/>
      <w:bookmarkStart w:id="201" w:name="_Toc25534"/>
    </w:p>
    <w:p>
      <w:pPr>
        <w:pStyle w:val="22"/>
        <w:rPr>
          <w:rFonts w:ascii="仿宋" w:hAnsi="仿宋" w:eastAsia="仿宋"/>
          <w:color w:val="auto"/>
          <w:highlight w:val="none"/>
        </w:rPr>
      </w:pPr>
    </w:p>
    <w:p>
      <w:pPr>
        <w:spacing w:line="480" w:lineRule="exact"/>
        <w:jc w:val="center"/>
        <w:outlineLvl w:val="0"/>
        <w:rPr>
          <w:rFonts w:ascii="仿宋" w:hAnsi="仿宋" w:eastAsia="仿宋" w:cs="楷体"/>
          <w:color w:val="auto"/>
          <w:highlight w:val="none"/>
        </w:rPr>
      </w:pPr>
      <w:r>
        <w:rPr>
          <w:rFonts w:hint="eastAsia" w:ascii="仿宋" w:hAnsi="仿宋" w:eastAsia="仿宋" w:cs="楷体"/>
          <w:b/>
          <w:bCs/>
          <w:color w:val="auto"/>
          <w:sz w:val="30"/>
          <w:szCs w:val="30"/>
          <w:highlight w:val="none"/>
        </w:rPr>
        <w:t>3.2、分项报价表</w:t>
      </w:r>
      <w:bookmarkEnd w:id="198"/>
      <w:bookmarkEnd w:id="199"/>
      <w:bookmarkEnd w:id="200"/>
      <w:bookmarkEnd w:id="201"/>
    </w:p>
    <w:p>
      <w:pPr>
        <w:rPr>
          <w:rFonts w:ascii="仿宋" w:hAnsi="仿宋" w:eastAsia="仿宋" w:cs="楷体"/>
          <w:color w:val="auto"/>
          <w:highlight w:val="none"/>
        </w:rPr>
      </w:pPr>
    </w:p>
    <w:p>
      <w:pPr>
        <w:spacing w:line="300" w:lineRule="auto"/>
        <w:ind w:firstLine="440" w:firstLineChars="200"/>
        <w:jc w:val="left"/>
        <w:rPr>
          <w:rFonts w:ascii="仿宋" w:hAnsi="仿宋" w:eastAsia="仿宋" w:cs="楷体"/>
          <w:bCs/>
          <w:caps/>
          <w:color w:val="auto"/>
          <w:sz w:val="22"/>
          <w:szCs w:val="22"/>
          <w:highlight w:val="none"/>
        </w:rPr>
      </w:pPr>
    </w:p>
    <w:p>
      <w:pPr>
        <w:spacing w:line="360" w:lineRule="auto"/>
        <w:ind w:firstLine="440" w:firstLineChars="200"/>
        <w:jc w:val="left"/>
        <w:rPr>
          <w:rFonts w:ascii="仿宋" w:hAnsi="仿宋" w:eastAsia="仿宋" w:cs="楷体"/>
          <w:b/>
          <w:bCs/>
          <w:caps/>
          <w:color w:val="auto"/>
          <w:sz w:val="22"/>
          <w:szCs w:val="22"/>
          <w:highlight w:val="none"/>
          <w:u w:val="single"/>
        </w:rPr>
      </w:pPr>
      <w:r>
        <w:rPr>
          <w:rFonts w:hint="eastAsia" w:ascii="仿宋" w:hAnsi="仿宋" w:eastAsia="仿宋" w:cs="楷体"/>
          <w:bCs/>
          <w:caps/>
          <w:color w:val="auto"/>
          <w:sz w:val="22"/>
          <w:szCs w:val="22"/>
          <w:highlight w:val="none"/>
        </w:rPr>
        <w:t>说明：对磋商报价组成进行详细说明，格式内容自拟。最终磋商报价后，各供应商提供的分项报价表中各项报价执行同比例下浮原则。</w:t>
      </w:r>
    </w:p>
    <w:p>
      <w:pPr>
        <w:spacing w:line="360" w:lineRule="auto"/>
        <w:jc w:val="left"/>
        <w:rPr>
          <w:rFonts w:ascii="仿宋" w:hAnsi="仿宋" w:eastAsia="仿宋" w:cs="楷体"/>
          <w:b/>
          <w:bCs/>
          <w:color w:val="auto"/>
          <w:sz w:val="22"/>
          <w:szCs w:val="22"/>
          <w:highlight w:val="none"/>
          <w:u w:val="single"/>
        </w:rPr>
      </w:pPr>
    </w:p>
    <w:p>
      <w:pPr>
        <w:spacing w:line="360" w:lineRule="auto"/>
        <w:rPr>
          <w:rFonts w:ascii="仿宋" w:hAnsi="仿宋" w:eastAsia="仿宋" w:cs="楷体"/>
          <w:b/>
          <w:bCs/>
          <w:color w:val="auto"/>
          <w:sz w:val="24"/>
          <w:highlight w:val="none"/>
          <w:u w:val="single"/>
        </w:rPr>
      </w:pPr>
    </w:p>
    <w:p>
      <w:pPr>
        <w:tabs>
          <w:tab w:val="right" w:leader="dot" w:pos="9022"/>
        </w:tabs>
        <w:autoSpaceDE w:val="0"/>
        <w:autoSpaceDN w:val="0"/>
        <w:adjustRightInd w:val="0"/>
        <w:spacing w:line="400" w:lineRule="exact"/>
        <w:ind w:firstLine="3614" w:firstLineChars="1200"/>
        <w:jc w:val="left"/>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
          <w:bCs/>
          <w:color w:val="auto"/>
          <w:sz w:val="30"/>
          <w:szCs w:val="30"/>
          <w:highlight w:val="none"/>
        </w:rPr>
      </w:pPr>
    </w:p>
    <w:p>
      <w:pPr>
        <w:tabs>
          <w:tab w:val="right" w:leader="dot" w:pos="9022"/>
        </w:tabs>
        <w:autoSpaceDE w:val="0"/>
        <w:autoSpaceDN w:val="0"/>
        <w:adjustRightInd w:val="0"/>
        <w:spacing w:line="400" w:lineRule="exact"/>
        <w:ind w:firstLine="2891" w:firstLineChars="900"/>
        <w:jc w:val="left"/>
        <w:rPr>
          <w:rFonts w:ascii="仿宋" w:hAnsi="仿宋" w:eastAsia="仿宋" w:cs="楷体"/>
          <w:b/>
          <w:bCs/>
          <w:color w:val="auto"/>
          <w:sz w:val="32"/>
          <w:szCs w:val="32"/>
          <w:highlight w:val="none"/>
        </w:rPr>
      </w:pPr>
      <w:r>
        <w:rPr>
          <w:rFonts w:hint="eastAsia" w:ascii="仿宋" w:hAnsi="仿宋" w:eastAsia="仿宋" w:cs="楷体"/>
          <w:b/>
          <w:bCs/>
          <w:color w:val="auto"/>
          <w:sz w:val="32"/>
          <w:szCs w:val="32"/>
          <w:highlight w:val="none"/>
        </w:rPr>
        <w:t>3.3、二次报价表</w:t>
      </w:r>
    </w:p>
    <w:p>
      <w:pPr>
        <w:tabs>
          <w:tab w:val="right" w:leader="dot" w:pos="9022"/>
        </w:tabs>
        <w:autoSpaceDE w:val="0"/>
        <w:autoSpaceDN w:val="0"/>
        <w:adjustRightInd w:val="0"/>
        <w:spacing w:line="400" w:lineRule="exact"/>
        <w:ind w:firstLine="110" w:firstLineChars="50"/>
        <w:jc w:val="left"/>
        <w:rPr>
          <w:rFonts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 xml:space="preserve">响应人名称： </w:t>
      </w:r>
      <w:r>
        <w:rPr>
          <w:rFonts w:hint="eastAsia" w:ascii="仿宋" w:hAnsi="仿宋" w:eastAsia="仿宋" w:cs="楷体"/>
          <w:bCs/>
          <w:caps/>
          <w:color w:val="auto"/>
          <w:sz w:val="24"/>
          <w:highlight w:val="none"/>
        </w:rPr>
        <w:t xml:space="preserve">                                         </w:t>
      </w:r>
      <w:r>
        <w:rPr>
          <w:rFonts w:hint="eastAsia" w:ascii="仿宋" w:hAnsi="仿宋" w:eastAsia="仿宋" w:cs="楷体"/>
          <w:bCs/>
          <w:caps/>
          <w:color w:val="auto"/>
          <w:sz w:val="22"/>
          <w:szCs w:val="22"/>
          <w:highlight w:val="none"/>
        </w:rPr>
        <w:t xml:space="preserve">   人民币：元</w:t>
      </w:r>
    </w:p>
    <w:tbl>
      <w:tblPr>
        <w:tblStyle w:val="19"/>
        <w:tblW w:w="85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122"/>
        <w:gridCol w:w="3400"/>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3"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项目名称</w:t>
            </w:r>
          </w:p>
        </w:tc>
        <w:tc>
          <w:tcPr>
            <w:tcW w:w="6551"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left"/>
              <w:rPr>
                <w:rFonts w:hint="default" w:ascii="仿宋" w:hAnsi="仿宋" w:eastAsia="仿宋" w:cs="楷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83" w:type="dxa"/>
            <w:vAlign w:val="center"/>
          </w:tcPr>
          <w:p>
            <w:pPr>
              <w:keepNext w:val="0"/>
              <w:keepLines w:val="0"/>
              <w:suppressLineNumbers w:val="0"/>
              <w:tabs>
                <w:tab w:val="right" w:leader="dot" w:pos="9022"/>
              </w:tabs>
              <w:spacing w:before="0" w:beforeAutospacing="0" w:after="0" w:afterAutospacing="0" w:line="400" w:lineRule="exact"/>
              <w:ind w:left="440" w:right="0" w:hanging="440" w:hangingChars="20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总报价小写：</w:t>
            </w:r>
          </w:p>
        </w:tc>
        <w:tc>
          <w:tcPr>
            <w:tcW w:w="6551"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83" w:type="dxa"/>
            <w:vAlign w:val="center"/>
          </w:tcPr>
          <w:p>
            <w:pPr>
              <w:keepNext w:val="0"/>
              <w:keepLines w:val="0"/>
              <w:suppressLineNumbers w:val="0"/>
              <w:tabs>
                <w:tab w:val="right" w:leader="dot" w:pos="9022"/>
              </w:tabs>
              <w:spacing w:before="0" w:beforeAutospacing="0" w:after="0" w:afterAutospacing="0" w:line="400" w:lineRule="exact"/>
              <w:ind w:left="440" w:right="0" w:hanging="440" w:hangingChars="20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总报价大写：</w:t>
            </w:r>
          </w:p>
        </w:tc>
        <w:tc>
          <w:tcPr>
            <w:tcW w:w="6551"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83"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完成期限：</w:t>
            </w:r>
          </w:p>
        </w:tc>
        <w:tc>
          <w:tcPr>
            <w:tcW w:w="6551"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
                <w:bCs/>
                <w:caps/>
                <w:color w:val="auto"/>
                <w:sz w:val="22"/>
                <w:szCs w:val="22"/>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105" w:type="dxa"/>
            <w:gridSpan w:val="2"/>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响应人</w:t>
            </w:r>
          </w:p>
        </w:tc>
        <w:tc>
          <w:tcPr>
            <w:tcW w:w="3400"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法定代表人或被授权人</w:t>
            </w:r>
          </w:p>
        </w:tc>
        <w:tc>
          <w:tcPr>
            <w:tcW w:w="2029" w:type="dxa"/>
            <w:vAlign w:val="center"/>
          </w:tcPr>
          <w:p>
            <w:pPr>
              <w:keepNext w:val="0"/>
              <w:keepLines w:val="0"/>
              <w:suppressLineNumbers w:val="0"/>
              <w:tabs>
                <w:tab w:val="right" w:leader="dot" w:pos="9022"/>
              </w:tabs>
              <w:spacing w:before="0" w:beforeAutospacing="0" w:after="0" w:afterAutospacing="0" w:line="400" w:lineRule="exact"/>
              <w:ind w:left="0" w:right="0" w:firstLine="550" w:firstLineChars="25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3105" w:type="dxa"/>
            <w:gridSpan w:val="2"/>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（公章）</w:t>
            </w:r>
          </w:p>
        </w:tc>
        <w:tc>
          <w:tcPr>
            <w:tcW w:w="3400"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（签字）</w:t>
            </w:r>
          </w:p>
        </w:tc>
        <w:tc>
          <w:tcPr>
            <w:tcW w:w="2029"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default" w:ascii="仿宋" w:hAnsi="仿宋" w:eastAsia="仿宋" w:cs="楷体"/>
                <w:bCs/>
                <w:caps/>
                <w:color w:val="auto"/>
                <w:sz w:val="22"/>
                <w:szCs w:val="22"/>
                <w:highlight w:val="none"/>
              </w:rPr>
            </w:pPr>
            <w:r>
              <w:rPr>
                <w:rFonts w:hint="eastAsia" w:ascii="仿宋" w:hAnsi="仿宋" w:eastAsia="仿宋" w:cs="楷体"/>
                <w:bCs/>
                <w:caps/>
                <w:color w:val="auto"/>
                <w:sz w:val="22"/>
                <w:szCs w:val="22"/>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534" w:type="dxa"/>
            <w:gridSpan w:val="4"/>
            <w:vAlign w:val="center"/>
          </w:tcPr>
          <w:p>
            <w:pPr>
              <w:keepNext w:val="0"/>
              <w:keepLines w:val="0"/>
              <w:suppressLineNumbers w:val="0"/>
              <w:tabs>
                <w:tab w:val="right" w:leader="dot" w:pos="9022"/>
              </w:tabs>
              <w:spacing w:before="0" w:beforeAutospacing="0" w:after="0" w:afterAutospacing="0" w:line="400" w:lineRule="exact"/>
              <w:ind w:left="0" w:right="0"/>
              <w:rPr>
                <w:rFonts w:hint="default" w:ascii="仿宋" w:hAnsi="仿宋" w:eastAsia="仿宋" w:cs="楷体"/>
                <w:bCs/>
                <w:caps/>
                <w:color w:val="auto"/>
                <w:sz w:val="22"/>
                <w:szCs w:val="22"/>
                <w:highlight w:val="none"/>
              </w:rPr>
            </w:pPr>
            <w:r>
              <w:rPr>
                <w:rFonts w:hint="eastAsia" w:ascii="仿宋" w:hAnsi="仿宋" w:eastAsia="仿宋" w:cs="楷体"/>
                <w:color w:val="auto"/>
                <w:sz w:val="22"/>
                <w:szCs w:val="22"/>
                <w:highlight w:val="none"/>
              </w:rPr>
              <w:t>报价声明：总报价中已包含完成本项目所需的一切费用，包括供应商完成本项目所需的一切费用，即实施本项目所需的人工费、后期服务费、税费、利润、市场服务费、采购代理服务费其他所有费用的总和。在工作中出现任何遗漏，均由成交供应商免费提供，采购人将不再支付任何费用。</w:t>
            </w:r>
          </w:p>
        </w:tc>
      </w:tr>
    </w:tbl>
    <w:p>
      <w:pPr>
        <w:pStyle w:val="25"/>
        <w:ind w:firstLine="0" w:firstLineChars="0"/>
        <w:rPr>
          <w:rFonts w:ascii="仿宋" w:hAnsi="仿宋" w:eastAsia="仿宋" w:cs="楷体"/>
          <w:b/>
          <w:bCs/>
          <w:color w:val="auto"/>
          <w:kern w:val="2"/>
          <w:highlight w:val="none"/>
        </w:rPr>
      </w:pPr>
      <w:r>
        <w:rPr>
          <w:rFonts w:hint="eastAsia" w:ascii="仿宋" w:hAnsi="仿宋" w:eastAsia="仿宋" w:cs="楷体"/>
          <w:b/>
          <w:bCs/>
          <w:color w:val="auto"/>
          <w:kern w:val="2"/>
          <w:highlight w:val="none"/>
        </w:rPr>
        <w:t>特别提示：</w:t>
      </w:r>
    </w:p>
    <w:p>
      <w:pPr>
        <w:tabs>
          <w:tab w:val="right" w:leader="dot" w:pos="9022"/>
        </w:tabs>
        <w:spacing w:line="400" w:lineRule="exact"/>
        <w:ind w:firstLine="660" w:firstLineChars="3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此表为本项目磋商二次报价表，供应商须自行打印，并在相应位置加盖公章，参与磋商会议时携带，并在现场进行二次报价。</w:t>
      </w:r>
    </w:p>
    <w:p>
      <w:pPr>
        <w:pStyle w:val="17"/>
        <w:ind w:left="240" w:firstLine="0" w:firstLineChars="0"/>
        <w:rPr>
          <w:rFonts w:ascii="仿宋" w:hAnsi="仿宋" w:eastAsia="仿宋" w:cs="楷体"/>
          <w:color w:val="auto"/>
          <w:highlight w:val="none"/>
        </w:rPr>
      </w:pPr>
    </w:p>
    <w:p>
      <w:pPr>
        <w:pStyle w:val="18"/>
        <w:ind w:firstLine="480"/>
        <w:rPr>
          <w:rFonts w:ascii="仿宋" w:hAnsi="仿宋" w:eastAsia="仿宋" w:cs="楷体"/>
          <w:color w:val="auto"/>
          <w:sz w:val="24"/>
          <w:highlight w:val="none"/>
        </w:rPr>
      </w:pPr>
    </w:p>
    <w:p>
      <w:pPr>
        <w:pStyle w:val="18"/>
        <w:ind w:firstLine="480"/>
        <w:rPr>
          <w:rFonts w:ascii="仿宋" w:hAnsi="仿宋" w:eastAsia="仿宋" w:cs="楷体"/>
          <w:color w:val="auto"/>
          <w:sz w:val="24"/>
          <w:highlight w:val="none"/>
        </w:rPr>
      </w:pPr>
    </w:p>
    <w:p>
      <w:pPr>
        <w:pStyle w:val="18"/>
        <w:ind w:firstLine="480"/>
        <w:rPr>
          <w:rFonts w:ascii="仿宋" w:hAnsi="仿宋" w:eastAsia="仿宋" w:cs="楷体"/>
          <w:color w:val="auto"/>
          <w:sz w:val="24"/>
          <w:highlight w:val="none"/>
        </w:rPr>
      </w:pPr>
    </w:p>
    <w:p>
      <w:pPr>
        <w:pStyle w:val="18"/>
        <w:ind w:firstLine="480"/>
        <w:rPr>
          <w:rFonts w:ascii="仿宋" w:hAnsi="仿宋" w:eastAsia="仿宋" w:cs="楷体"/>
          <w:color w:val="auto"/>
          <w:sz w:val="24"/>
          <w:highlight w:val="none"/>
        </w:rPr>
      </w:pPr>
    </w:p>
    <w:p>
      <w:pPr>
        <w:pStyle w:val="18"/>
        <w:ind w:firstLine="480"/>
        <w:rPr>
          <w:rFonts w:ascii="仿宋" w:hAnsi="仿宋" w:eastAsia="仿宋" w:cs="楷体"/>
          <w:color w:val="auto"/>
          <w:sz w:val="24"/>
          <w:highlight w:val="none"/>
        </w:rPr>
      </w:pPr>
    </w:p>
    <w:p>
      <w:pPr>
        <w:pStyle w:val="18"/>
        <w:ind w:firstLine="480"/>
        <w:rPr>
          <w:rFonts w:ascii="仿宋" w:hAnsi="仿宋" w:eastAsia="仿宋" w:cs="楷体"/>
          <w:color w:val="auto"/>
          <w:sz w:val="24"/>
          <w:highlight w:val="none"/>
        </w:rPr>
      </w:pPr>
    </w:p>
    <w:p>
      <w:pPr>
        <w:pStyle w:val="18"/>
        <w:ind w:firstLine="480"/>
        <w:rPr>
          <w:rFonts w:ascii="仿宋" w:hAnsi="仿宋" w:eastAsia="仿宋" w:cs="楷体"/>
          <w:color w:val="auto"/>
          <w:sz w:val="24"/>
          <w:highlight w:val="none"/>
        </w:rPr>
      </w:pPr>
    </w:p>
    <w:p>
      <w:pPr>
        <w:pStyle w:val="18"/>
        <w:ind w:firstLine="480"/>
        <w:rPr>
          <w:rFonts w:ascii="仿宋" w:hAnsi="仿宋" w:eastAsia="仿宋" w:cs="楷体"/>
          <w:color w:val="auto"/>
          <w:sz w:val="24"/>
          <w:highlight w:val="none"/>
        </w:rPr>
      </w:pPr>
    </w:p>
    <w:p>
      <w:pPr>
        <w:pStyle w:val="18"/>
        <w:ind w:firstLine="480"/>
        <w:rPr>
          <w:rFonts w:ascii="仿宋" w:hAnsi="仿宋" w:eastAsia="仿宋" w:cs="楷体"/>
          <w:color w:val="auto"/>
          <w:sz w:val="24"/>
          <w:highlight w:val="none"/>
        </w:rPr>
      </w:pPr>
    </w:p>
    <w:p>
      <w:pPr>
        <w:pStyle w:val="18"/>
        <w:ind w:firstLine="480"/>
        <w:rPr>
          <w:rFonts w:ascii="仿宋" w:hAnsi="仿宋" w:eastAsia="仿宋" w:cs="楷体"/>
          <w:color w:val="auto"/>
          <w:sz w:val="24"/>
          <w:highlight w:val="none"/>
        </w:rPr>
      </w:pPr>
    </w:p>
    <w:p>
      <w:pPr>
        <w:spacing w:line="480" w:lineRule="exact"/>
        <w:jc w:val="center"/>
        <w:outlineLvl w:val="0"/>
        <w:rPr>
          <w:rFonts w:ascii="仿宋" w:hAnsi="仿宋" w:eastAsia="仿宋" w:cs="楷体"/>
          <w:b/>
          <w:bCs/>
          <w:color w:val="auto"/>
          <w:sz w:val="30"/>
          <w:szCs w:val="30"/>
          <w:highlight w:val="none"/>
        </w:rPr>
      </w:pPr>
      <w:bookmarkStart w:id="202" w:name="_Toc13285"/>
      <w:bookmarkStart w:id="203" w:name="_Toc22810"/>
      <w:bookmarkStart w:id="204" w:name="_Toc29410"/>
      <w:bookmarkStart w:id="205" w:name="_Toc12685"/>
      <w:r>
        <w:rPr>
          <w:rFonts w:hint="eastAsia" w:ascii="仿宋" w:hAnsi="仿宋" w:eastAsia="仿宋" w:cs="楷体"/>
          <w:b/>
          <w:bCs/>
          <w:color w:val="auto"/>
          <w:sz w:val="30"/>
          <w:szCs w:val="30"/>
          <w:highlight w:val="none"/>
        </w:rPr>
        <w:t>3.4、提供可享受政府采购优惠政策的证明材料</w:t>
      </w:r>
      <w:bookmarkEnd w:id="202"/>
      <w:bookmarkEnd w:id="203"/>
      <w:bookmarkEnd w:id="204"/>
      <w:bookmarkEnd w:id="205"/>
    </w:p>
    <w:p>
      <w:pPr>
        <w:adjustRightInd w:val="0"/>
        <w:snapToGrid w:val="0"/>
        <w:spacing w:line="360" w:lineRule="auto"/>
        <w:ind w:firstLine="420" w:firstLineChars="175"/>
        <w:rPr>
          <w:rFonts w:ascii="仿宋" w:hAnsi="仿宋" w:eastAsia="仿宋" w:cs="楷体"/>
          <w:color w:val="auto"/>
          <w:kern w:val="0"/>
          <w:sz w:val="24"/>
          <w:highlight w:val="none"/>
        </w:rPr>
      </w:pPr>
    </w:p>
    <w:p>
      <w:pPr>
        <w:adjustRightInd w:val="0"/>
        <w:snapToGrid w:val="0"/>
        <w:spacing w:line="360" w:lineRule="auto"/>
        <w:ind w:firstLine="385" w:firstLineChars="175"/>
        <w:rPr>
          <w:rFonts w:ascii="仿宋" w:hAnsi="仿宋" w:eastAsia="仿宋" w:cs="楷体"/>
          <w:color w:val="auto"/>
          <w:kern w:val="0"/>
          <w:sz w:val="22"/>
          <w:szCs w:val="22"/>
          <w:highlight w:val="none"/>
        </w:rPr>
      </w:pPr>
      <w:r>
        <w:rPr>
          <w:rFonts w:hint="eastAsia" w:ascii="仿宋" w:hAnsi="仿宋" w:eastAsia="仿宋" w:cs="楷体"/>
          <w:color w:val="auto"/>
          <w:kern w:val="0"/>
          <w:sz w:val="22"/>
          <w:szCs w:val="22"/>
          <w:highlight w:val="none"/>
        </w:rPr>
        <w:t xml:space="preserve">本项目依据《中华人民共和国政府采购法》和《中华人民共和国政府采购实施条例》的有关规定，落实政府采购政策。 </w:t>
      </w:r>
    </w:p>
    <w:p>
      <w:pPr>
        <w:pStyle w:val="26"/>
        <w:spacing w:line="360" w:lineRule="auto"/>
        <w:ind w:firstLine="440" w:firstLineChars="200"/>
        <w:rPr>
          <w:rFonts w:ascii="仿宋" w:hAnsi="仿宋" w:eastAsia="仿宋" w:cs="楷体"/>
          <w:color w:val="auto"/>
          <w:kern w:val="0"/>
          <w:sz w:val="22"/>
          <w:szCs w:val="22"/>
          <w:highlight w:val="none"/>
        </w:rPr>
      </w:pPr>
      <w:r>
        <w:rPr>
          <w:rFonts w:hint="eastAsia" w:ascii="仿宋" w:hAnsi="仿宋" w:eastAsia="仿宋" w:cs="楷体"/>
          <w:color w:val="auto"/>
          <w:kern w:val="0"/>
          <w:sz w:val="22"/>
          <w:szCs w:val="22"/>
          <w:highlight w:val="none"/>
        </w:rPr>
        <w:t>1、《政府采购促进中小企业发展暂行办法》的通知--财库[</w:t>
      </w:r>
      <w:r>
        <w:rPr>
          <w:rFonts w:hint="eastAsia" w:ascii="仿宋" w:hAnsi="仿宋" w:eastAsia="仿宋" w:cs="楷体"/>
          <w:color w:val="auto"/>
          <w:kern w:val="0"/>
          <w:sz w:val="22"/>
          <w:szCs w:val="22"/>
          <w:highlight w:val="none"/>
          <w:lang w:val="en-US" w:eastAsia="zh-CN"/>
        </w:rPr>
        <w:t>2020</w:t>
      </w:r>
      <w:r>
        <w:rPr>
          <w:rFonts w:hint="eastAsia" w:ascii="仿宋" w:hAnsi="仿宋" w:eastAsia="仿宋" w:cs="楷体"/>
          <w:color w:val="auto"/>
          <w:kern w:val="0"/>
          <w:sz w:val="22"/>
          <w:szCs w:val="22"/>
          <w:highlight w:val="none"/>
        </w:rPr>
        <w:t>]</w:t>
      </w:r>
      <w:r>
        <w:rPr>
          <w:rFonts w:hint="eastAsia" w:ascii="仿宋" w:hAnsi="仿宋" w:eastAsia="仿宋" w:cs="楷体"/>
          <w:color w:val="auto"/>
          <w:kern w:val="0"/>
          <w:sz w:val="22"/>
          <w:szCs w:val="22"/>
          <w:highlight w:val="none"/>
          <w:lang w:val="en-US" w:eastAsia="zh-CN"/>
        </w:rPr>
        <w:t>46</w:t>
      </w:r>
      <w:r>
        <w:rPr>
          <w:rFonts w:hint="eastAsia" w:ascii="仿宋" w:hAnsi="仿宋" w:eastAsia="仿宋" w:cs="楷体"/>
          <w:color w:val="auto"/>
          <w:kern w:val="0"/>
          <w:sz w:val="22"/>
          <w:szCs w:val="22"/>
          <w:highlight w:val="none"/>
        </w:rPr>
        <w:t xml:space="preserve">号 </w:t>
      </w:r>
    </w:p>
    <w:p>
      <w:pPr>
        <w:pStyle w:val="26"/>
        <w:spacing w:line="360" w:lineRule="auto"/>
        <w:ind w:firstLine="440" w:firstLineChars="200"/>
        <w:rPr>
          <w:rFonts w:ascii="仿宋" w:hAnsi="仿宋" w:eastAsia="仿宋" w:cs="楷体"/>
          <w:color w:val="auto"/>
          <w:kern w:val="0"/>
          <w:sz w:val="22"/>
          <w:szCs w:val="22"/>
          <w:highlight w:val="none"/>
        </w:rPr>
      </w:pPr>
      <w:r>
        <w:rPr>
          <w:rFonts w:hint="eastAsia" w:ascii="仿宋" w:hAnsi="仿宋" w:eastAsia="仿宋" w:cs="楷体"/>
          <w:color w:val="auto"/>
          <w:kern w:val="0"/>
          <w:sz w:val="22"/>
          <w:szCs w:val="22"/>
          <w:highlight w:val="none"/>
        </w:rPr>
        <w:t xml:space="preserve">2、财政部司法部关于政府采购支持监狱企业发展有关问题的通知--财库〔2014〕68号 </w:t>
      </w:r>
    </w:p>
    <w:p>
      <w:pPr>
        <w:pStyle w:val="26"/>
        <w:spacing w:line="360" w:lineRule="auto"/>
        <w:ind w:firstLine="440" w:firstLineChars="200"/>
        <w:rPr>
          <w:rFonts w:ascii="仿宋" w:hAnsi="仿宋" w:eastAsia="仿宋" w:cs="楷体"/>
          <w:color w:val="auto"/>
          <w:kern w:val="0"/>
          <w:sz w:val="22"/>
          <w:szCs w:val="22"/>
          <w:highlight w:val="none"/>
        </w:rPr>
      </w:pPr>
      <w:r>
        <w:rPr>
          <w:rFonts w:hint="eastAsia" w:ascii="仿宋" w:hAnsi="仿宋" w:eastAsia="仿宋" w:cs="楷体"/>
          <w:color w:val="auto"/>
          <w:kern w:val="0"/>
          <w:sz w:val="22"/>
          <w:szCs w:val="22"/>
          <w:highlight w:val="none"/>
        </w:rPr>
        <w:t>3、《国务院办公厅关于建立政府强制采购节能产品制度的通知》--国办发〔</w:t>
      </w:r>
      <w:r>
        <w:rPr>
          <w:rFonts w:hint="eastAsia" w:ascii="仿宋" w:hAnsi="仿宋" w:eastAsia="仿宋" w:cs="楷体"/>
          <w:color w:val="auto"/>
          <w:kern w:val="0"/>
          <w:sz w:val="22"/>
          <w:szCs w:val="22"/>
          <w:highlight w:val="none"/>
          <w:lang w:val="en-US" w:eastAsia="zh-CN"/>
        </w:rPr>
        <w:t>2007</w:t>
      </w:r>
      <w:r>
        <w:rPr>
          <w:rFonts w:hint="eastAsia" w:ascii="仿宋" w:hAnsi="仿宋" w:eastAsia="仿宋" w:cs="楷体"/>
          <w:color w:val="auto"/>
          <w:kern w:val="0"/>
          <w:sz w:val="22"/>
          <w:szCs w:val="22"/>
          <w:highlight w:val="none"/>
        </w:rPr>
        <w:t>〕</w:t>
      </w:r>
      <w:r>
        <w:rPr>
          <w:rFonts w:hint="eastAsia" w:ascii="仿宋" w:hAnsi="仿宋" w:eastAsia="仿宋" w:cs="楷体"/>
          <w:color w:val="auto"/>
          <w:kern w:val="0"/>
          <w:sz w:val="22"/>
          <w:szCs w:val="22"/>
          <w:highlight w:val="none"/>
          <w:lang w:val="en-US" w:eastAsia="zh-CN"/>
        </w:rPr>
        <w:t>51</w:t>
      </w:r>
      <w:r>
        <w:rPr>
          <w:rFonts w:hint="eastAsia" w:ascii="仿宋" w:hAnsi="仿宋" w:eastAsia="仿宋" w:cs="楷体"/>
          <w:color w:val="auto"/>
          <w:kern w:val="0"/>
          <w:sz w:val="22"/>
          <w:szCs w:val="22"/>
          <w:highlight w:val="none"/>
        </w:rPr>
        <w:t xml:space="preserve">号 </w:t>
      </w:r>
    </w:p>
    <w:p>
      <w:pPr>
        <w:pStyle w:val="26"/>
        <w:spacing w:line="360" w:lineRule="auto"/>
        <w:ind w:firstLine="440" w:firstLineChars="200"/>
        <w:rPr>
          <w:rFonts w:ascii="仿宋" w:hAnsi="仿宋" w:eastAsia="仿宋" w:cs="楷体"/>
          <w:color w:val="auto"/>
          <w:kern w:val="0"/>
          <w:sz w:val="22"/>
          <w:szCs w:val="22"/>
          <w:highlight w:val="none"/>
        </w:rPr>
      </w:pPr>
      <w:r>
        <w:rPr>
          <w:rFonts w:hint="eastAsia" w:ascii="仿宋" w:hAnsi="仿宋" w:eastAsia="仿宋" w:cs="楷体"/>
          <w:color w:val="auto"/>
          <w:kern w:val="0"/>
          <w:sz w:val="22"/>
          <w:szCs w:val="22"/>
          <w:highlight w:val="none"/>
        </w:rPr>
        <w:t xml:space="preserve">4、《节能产品政府采购实施意见》--（财库[2004]185号） </w:t>
      </w:r>
    </w:p>
    <w:p>
      <w:pPr>
        <w:pStyle w:val="26"/>
        <w:spacing w:line="360" w:lineRule="auto"/>
        <w:ind w:firstLine="440" w:firstLineChars="200"/>
        <w:rPr>
          <w:rFonts w:ascii="仿宋" w:hAnsi="仿宋" w:eastAsia="仿宋" w:cs="楷体"/>
          <w:color w:val="auto"/>
          <w:kern w:val="0"/>
          <w:sz w:val="22"/>
          <w:szCs w:val="22"/>
          <w:highlight w:val="none"/>
        </w:rPr>
      </w:pPr>
      <w:r>
        <w:rPr>
          <w:rFonts w:hint="eastAsia" w:ascii="仿宋" w:hAnsi="仿宋" w:eastAsia="仿宋" w:cs="楷体"/>
          <w:color w:val="auto"/>
          <w:kern w:val="0"/>
          <w:sz w:val="22"/>
          <w:szCs w:val="22"/>
          <w:highlight w:val="none"/>
        </w:rPr>
        <w:t xml:space="preserve">5、《环境标志产品政府采购实施的意见》--财库[2006]90号 </w:t>
      </w:r>
    </w:p>
    <w:p>
      <w:pPr>
        <w:pStyle w:val="26"/>
        <w:spacing w:line="360" w:lineRule="auto"/>
        <w:ind w:firstLine="440" w:firstLineChars="200"/>
        <w:rPr>
          <w:rFonts w:ascii="仿宋" w:hAnsi="仿宋" w:eastAsia="仿宋" w:cs="楷体"/>
          <w:color w:val="auto"/>
          <w:kern w:val="0"/>
          <w:sz w:val="22"/>
          <w:szCs w:val="22"/>
          <w:highlight w:val="none"/>
        </w:rPr>
      </w:pPr>
      <w:r>
        <w:rPr>
          <w:rFonts w:hint="eastAsia" w:ascii="仿宋" w:hAnsi="仿宋" w:eastAsia="仿宋" w:cs="楷体"/>
          <w:color w:val="auto"/>
          <w:kern w:val="0"/>
          <w:sz w:val="22"/>
          <w:szCs w:val="22"/>
          <w:highlight w:val="none"/>
        </w:rPr>
        <w:t xml:space="preserve">6、《财政部民政部中国残疾人联合会关于促进残疾人就业政府采购政策的通知》--（财库〔2017〕141号） </w:t>
      </w:r>
    </w:p>
    <w:p>
      <w:pPr>
        <w:pStyle w:val="26"/>
        <w:spacing w:line="360" w:lineRule="auto"/>
        <w:ind w:firstLine="440" w:firstLineChars="200"/>
        <w:rPr>
          <w:rFonts w:ascii="仿宋" w:hAnsi="仿宋" w:eastAsia="仿宋" w:cs="楷体"/>
          <w:color w:val="auto"/>
          <w:kern w:val="0"/>
          <w:sz w:val="22"/>
          <w:szCs w:val="22"/>
          <w:highlight w:val="none"/>
        </w:rPr>
      </w:pPr>
    </w:p>
    <w:p>
      <w:pPr>
        <w:adjustRightInd w:val="0"/>
        <w:snapToGrid w:val="0"/>
        <w:spacing w:line="360" w:lineRule="auto"/>
        <w:ind w:firstLine="385" w:firstLineChars="175"/>
        <w:rPr>
          <w:rFonts w:ascii="仿宋" w:hAnsi="仿宋" w:eastAsia="仿宋" w:cs="楷体"/>
          <w:color w:val="auto"/>
          <w:kern w:val="0"/>
          <w:sz w:val="22"/>
          <w:szCs w:val="22"/>
          <w:highlight w:val="none"/>
        </w:rPr>
      </w:pPr>
      <w:r>
        <w:rPr>
          <w:rFonts w:hint="eastAsia" w:ascii="仿宋" w:hAnsi="仿宋" w:eastAsia="仿宋" w:cs="楷体"/>
          <w:color w:val="auto"/>
          <w:kern w:val="0"/>
          <w:sz w:val="22"/>
          <w:szCs w:val="22"/>
          <w:highlight w:val="none"/>
        </w:rPr>
        <w:t>注：请供应商按相应政策要求提供相关的证明材料，</w:t>
      </w:r>
      <w:r>
        <w:rPr>
          <w:rFonts w:hint="eastAsia" w:ascii="仿宋" w:hAnsi="仿宋" w:eastAsia="仿宋" w:cs="楷体"/>
          <w:color w:val="auto"/>
          <w:sz w:val="22"/>
          <w:szCs w:val="22"/>
          <w:highlight w:val="none"/>
        </w:rPr>
        <w:t>未提供证明材料或提供的证明材料有瑕疵的，在评审时不享受政府采购优惠政策。经评审委员会查询供应商不属于中小型企业的，评审时不予以考虑。</w:t>
      </w:r>
    </w:p>
    <w:p>
      <w:pPr>
        <w:adjustRightInd w:val="0"/>
        <w:snapToGrid w:val="0"/>
        <w:spacing w:before="50" w:line="360" w:lineRule="auto"/>
        <w:ind w:firstLine="770" w:firstLineChars="350"/>
        <w:rPr>
          <w:rFonts w:ascii="仿宋" w:hAnsi="仿宋" w:eastAsia="仿宋" w:cs="楷体"/>
          <w:color w:val="auto"/>
          <w:kern w:val="0"/>
          <w:sz w:val="22"/>
          <w:szCs w:val="22"/>
          <w:highlight w:val="none"/>
        </w:rPr>
      </w:pPr>
    </w:p>
    <w:p>
      <w:pPr>
        <w:adjustRightInd w:val="0"/>
        <w:snapToGrid w:val="0"/>
        <w:spacing w:before="50" w:line="360" w:lineRule="auto"/>
        <w:ind w:firstLine="840" w:firstLineChars="350"/>
        <w:rPr>
          <w:rFonts w:ascii="仿宋" w:hAnsi="仿宋" w:eastAsia="仿宋" w:cs="楷体"/>
          <w:color w:val="auto"/>
          <w:kern w:val="0"/>
          <w:sz w:val="24"/>
          <w:highlight w:val="none"/>
        </w:rPr>
      </w:pPr>
    </w:p>
    <w:p>
      <w:pPr>
        <w:adjustRightInd w:val="0"/>
        <w:snapToGrid w:val="0"/>
        <w:spacing w:before="50" w:line="360" w:lineRule="auto"/>
        <w:ind w:firstLine="840" w:firstLineChars="350"/>
        <w:rPr>
          <w:rFonts w:ascii="仿宋" w:hAnsi="仿宋" w:eastAsia="仿宋" w:cs="楷体"/>
          <w:color w:val="auto"/>
          <w:kern w:val="0"/>
          <w:sz w:val="24"/>
          <w:highlight w:val="none"/>
        </w:rPr>
      </w:pPr>
    </w:p>
    <w:p>
      <w:pPr>
        <w:adjustRightInd w:val="0"/>
        <w:snapToGrid w:val="0"/>
        <w:spacing w:before="50" w:line="360" w:lineRule="auto"/>
        <w:ind w:firstLine="840" w:firstLineChars="350"/>
        <w:rPr>
          <w:rFonts w:ascii="仿宋" w:hAnsi="仿宋" w:eastAsia="仿宋" w:cs="楷体"/>
          <w:color w:val="auto"/>
          <w:kern w:val="0"/>
          <w:sz w:val="24"/>
          <w:highlight w:val="none"/>
        </w:rPr>
      </w:pPr>
    </w:p>
    <w:p>
      <w:pPr>
        <w:adjustRightInd w:val="0"/>
        <w:snapToGrid w:val="0"/>
        <w:spacing w:before="50" w:line="360" w:lineRule="auto"/>
        <w:ind w:firstLine="840" w:firstLineChars="350"/>
        <w:rPr>
          <w:rFonts w:ascii="仿宋" w:hAnsi="仿宋" w:eastAsia="仿宋" w:cs="楷体"/>
          <w:color w:val="auto"/>
          <w:kern w:val="0"/>
          <w:sz w:val="24"/>
          <w:highlight w:val="none"/>
        </w:rPr>
      </w:pPr>
    </w:p>
    <w:p>
      <w:pPr>
        <w:adjustRightInd w:val="0"/>
        <w:snapToGrid w:val="0"/>
        <w:spacing w:before="50" w:line="360" w:lineRule="auto"/>
        <w:ind w:firstLine="840" w:firstLineChars="350"/>
        <w:rPr>
          <w:rFonts w:ascii="仿宋" w:hAnsi="仿宋" w:eastAsia="仿宋" w:cs="楷体"/>
          <w:color w:val="auto"/>
          <w:kern w:val="0"/>
          <w:sz w:val="24"/>
          <w:highlight w:val="none"/>
        </w:rPr>
      </w:pPr>
    </w:p>
    <w:p>
      <w:pPr>
        <w:pStyle w:val="5"/>
        <w:rPr>
          <w:rFonts w:ascii="仿宋" w:hAnsi="仿宋" w:eastAsia="仿宋" w:cs="楷体"/>
          <w:color w:val="auto"/>
          <w:kern w:val="0"/>
          <w:sz w:val="24"/>
          <w:highlight w:val="none"/>
        </w:rPr>
      </w:pPr>
    </w:p>
    <w:p>
      <w:pPr>
        <w:rPr>
          <w:rFonts w:ascii="仿宋" w:hAnsi="仿宋" w:eastAsia="仿宋" w:cs="楷体"/>
          <w:color w:val="auto"/>
          <w:kern w:val="0"/>
          <w:sz w:val="24"/>
          <w:highlight w:val="none"/>
        </w:rPr>
      </w:pPr>
    </w:p>
    <w:p>
      <w:pPr>
        <w:pStyle w:val="5"/>
        <w:rPr>
          <w:color w:val="auto"/>
          <w:highlight w:val="none"/>
        </w:rPr>
      </w:pPr>
    </w:p>
    <w:p>
      <w:pPr>
        <w:pStyle w:val="8"/>
        <w:rPr>
          <w:rFonts w:ascii="仿宋" w:hAnsi="仿宋" w:eastAsia="仿宋" w:cs="楷体"/>
          <w:color w:val="auto"/>
          <w:kern w:val="0"/>
          <w:sz w:val="24"/>
          <w:highlight w:val="none"/>
        </w:rPr>
      </w:pPr>
    </w:p>
    <w:p>
      <w:pPr>
        <w:rPr>
          <w:rFonts w:ascii="仿宋" w:hAnsi="仿宋" w:eastAsia="仿宋" w:cs="楷体"/>
          <w:color w:val="auto"/>
          <w:kern w:val="0"/>
          <w:sz w:val="24"/>
          <w:highlight w:val="none"/>
        </w:rPr>
      </w:pPr>
    </w:p>
    <w:p>
      <w:pPr>
        <w:pStyle w:val="8"/>
        <w:rPr>
          <w:rFonts w:ascii="仿宋" w:hAnsi="仿宋" w:eastAsia="仿宋" w:cs="楷体"/>
          <w:color w:val="auto"/>
          <w:kern w:val="0"/>
          <w:sz w:val="24"/>
          <w:highlight w:val="none"/>
        </w:rPr>
      </w:pPr>
    </w:p>
    <w:p>
      <w:pPr>
        <w:rPr>
          <w:rFonts w:ascii="仿宋" w:hAnsi="仿宋" w:eastAsia="仿宋" w:cs="楷体"/>
          <w:color w:val="auto"/>
          <w:kern w:val="0"/>
          <w:sz w:val="24"/>
          <w:highlight w:val="none"/>
        </w:rPr>
      </w:pPr>
    </w:p>
    <w:p>
      <w:pPr>
        <w:pStyle w:val="8"/>
        <w:rPr>
          <w:rFonts w:ascii="仿宋" w:hAnsi="仿宋" w:eastAsia="仿宋" w:cs="楷体"/>
          <w:color w:val="auto"/>
          <w:kern w:val="0"/>
          <w:sz w:val="24"/>
          <w:highlight w:val="none"/>
        </w:rPr>
      </w:pPr>
    </w:p>
    <w:p>
      <w:pPr>
        <w:rPr>
          <w:rFonts w:ascii="仿宋" w:hAnsi="仿宋" w:eastAsia="仿宋" w:cs="楷体"/>
          <w:color w:val="auto"/>
          <w:highlight w:val="none"/>
        </w:rPr>
      </w:pPr>
    </w:p>
    <w:p>
      <w:pPr>
        <w:adjustRightInd w:val="0"/>
        <w:snapToGrid w:val="0"/>
        <w:spacing w:before="50" w:line="360" w:lineRule="auto"/>
        <w:ind w:firstLine="840" w:firstLineChars="350"/>
        <w:rPr>
          <w:rFonts w:ascii="仿宋" w:hAnsi="仿宋" w:eastAsia="仿宋" w:cs="楷体"/>
          <w:color w:val="auto"/>
          <w:kern w:val="0"/>
          <w:sz w:val="24"/>
          <w:highlight w:val="none"/>
        </w:rPr>
      </w:pPr>
    </w:p>
    <w:p>
      <w:pPr>
        <w:spacing w:line="480" w:lineRule="exact"/>
        <w:jc w:val="center"/>
        <w:outlineLvl w:val="0"/>
        <w:rPr>
          <w:rFonts w:ascii="仿宋" w:hAnsi="仿宋" w:eastAsia="仿宋" w:cs="楷体"/>
          <w:b/>
          <w:bCs/>
          <w:color w:val="auto"/>
          <w:sz w:val="30"/>
          <w:szCs w:val="30"/>
          <w:highlight w:val="none"/>
        </w:rPr>
      </w:pPr>
      <w:bookmarkStart w:id="206" w:name="_Toc1404"/>
      <w:bookmarkStart w:id="207" w:name="_Toc14228"/>
      <w:bookmarkStart w:id="208" w:name="_Toc8043"/>
      <w:bookmarkStart w:id="209" w:name="_Toc7651"/>
      <w:r>
        <w:rPr>
          <w:rFonts w:hint="eastAsia" w:ascii="仿宋" w:hAnsi="仿宋" w:eastAsia="仿宋" w:cs="楷体"/>
          <w:b/>
          <w:bCs/>
          <w:color w:val="auto"/>
          <w:sz w:val="30"/>
          <w:szCs w:val="30"/>
          <w:highlight w:val="none"/>
        </w:rPr>
        <w:t>3.5、中小企业声明函（如是）</w:t>
      </w:r>
      <w:bookmarkEnd w:id="206"/>
      <w:bookmarkEnd w:id="207"/>
      <w:bookmarkEnd w:id="208"/>
      <w:bookmarkEnd w:id="209"/>
    </w:p>
    <w:p>
      <w:pPr>
        <w:adjustRightInd w:val="0"/>
        <w:snapToGrid w:val="0"/>
        <w:spacing w:before="50" w:line="360" w:lineRule="auto"/>
        <w:ind w:firstLine="840" w:firstLineChars="350"/>
        <w:rPr>
          <w:rFonts w:ascii="仿宋" w:hAnsi="仿宋" w:eastAsia="仿宋" w:cs="楷体"/>
          <w:color w:val="auto"/>
          <w:kern w:val="0"/>
          <w:sz w:val="24"/>
          <w:highlight w:val="none"/>
        </w:rPr>
      </w:pPr>
    </w:p>
    <w:p>
      <w:pPr>
        <w:spacing w:line="360" w:lineRule="auto"/>
        <w:ind w:right="-60"/>
        <w:jc w:val="left"/>
        <w:rPr>
          <w:rFonts w:ascii="仿宋" w:hAnsi="仿宋" w:eastAsia="仿宋" w:cs="楷体"/>
          <w:bCs/>
          <w:color w:val="auto"/>
          <w:sz w:val="22"/>
          <w:szCs w:val="22"/>
          <w:highlight w:val="none"/>
          <w:u w:val="single"/>
        </w:rPr>
      </w:pPr>
      <w:r>
        <w:rPr>
          <w:rFonts w:hint="eastAsia" w:ascii="仿宋" w:hAnsi="仿宋" w:eastAsia="仿宋" w:cs="楷体"/>
          <w:bCs/>
          <w:color w:val="auto"/>
          <w:sz w:val="22"/>
          <w:szCs w:val="22"/>
          <w:highlight w:val="none"/>
        </w:rPr>
        <w:t>致：</w:t>
      </w:r>
    </w:p>
    <w:p>
      <w:pPr>
        <w:spacing w:line="360" w:lineRule="auto"/>
        <w:ind w:right="-60" w:firstLine="440" w:firstLineChars="200"/>
        <w:jc w:val="left"/>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本公司郑重声明，根据《政府采购促进中小企业发展暂行办法》（财库[20</w:t>
      </w:r>
      <w:r>
        <w:rPr>
          <w:rFonts w:hint="eastAsia" w:ascii="仿宋" w:hAnsi="仿宋" w:eastAsia="仿宋" w:cs="楷体"/>
          <w:bCs/>
          <w:color w:val="auto"/>
          <w:sz w:val="22"/>
          <w:szCs w:val="22"/>
          <w:highlight w:val="none"/>
          <w:lang w:val="en-US" w:eastAsia="zh-CN"/>
        </w:rPr>
        <w:t>20</w:t>
      </w:r>
      <w:r>
        <w:rPr>
          <w:rFonts w:hint="eastAsia" w:ascii="仿宋" w:hAnsi="仿宋" w:eastAsia="仿宋" w:cs="楷体"/>
          <w:bCs/>
          <w:color w:val="auto"/>
          <w:sz w:val="22"/>
          <w:szCs w:val="22"/>
          <w:highlight w:val="none"/>
        </w:rPr>
        <w:t>]</w:t>
      </w:r>
      <w:r>
        <w:rPr>
          <w:rFonts w:hint="eastAsia" w:ascii="仿宋" w:hAnsi="仿宋" w:eastAsia="仿宋" w:cs="楷体"/>
          <w:bCs/>
          <w:color w:val="auto"/>
          <w:sz w:val="22"/>
          <w:szCs w:val="22"/>
          <w:highlight w:val="none"/>
          <w:lang w:val="en-US" w:eastAsia="zh-CN"/>
        </w:rPr>
        <w:t>46</w:t>
      </w:r>
      <w:r>
        <w:rPr>
          <w:rFonts w:hint="eastAsia" w:ascii="仿宋" w:hAnsi="仿宋" w:eastAsia="仿宋" w:cs="楷体"/>
          <w:bCs/>
          <w:color w:val="auto"/>
          <w:sz w:val="22"/>
          <w:szCs w:val="22"/>
          <w:highlight w:val="none"/>
        </w:rPr>
        <w:t>号）的规定，本公司为______（请填写:中型、小型、微型）企业。即，本公司同时满足以下条件：</w:t>
      </w:r>
    </w:p>
    <w:p>
      <w:pPr>
        <w:spacing w:line="360" w:lineRule="auto"/>
        <w:ind w:right="-60" w:firstLine="440" w:firstLineChars="200"/>
        <w:jc w:val="left"/>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right="-60" w:firstLine="440" w:firstLineChars="200"/>
        <w:jc w:val="left"/>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2.本公司参加______（采购人）的______项目采购活动提供本企业制造的货物，由本企业承担工程、提供服务，或者提供其他______（请填写：小型、微型）企业制造的货物。本条所称货物不包括使用大型企业注册商标的货物。</w:t>
      </w:r>
    </w:p>
    <w:p>
      <w:pPr>
        <w:spacing w:line="360" w:lineRule="auto"/>
        <w:ind w:right="-60"/>
        <w:jc w:val="left"/>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本公司对上述声明的真实性负责。如有虚假，将依法承担相应责任。</w:t>
      </w:r>
    </w:p>
    <w:p>
      <w:pPr>
        <w:spacing w:line="360" w:lineRule="auto"/>
        <w:ind w:right="-60"/>
        <w:jc w:val="left"/>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特此声明！</w:t>
      </w:r>
    </w:p>
    <w:p>
      <w:pPr>
        <w:spacing w:line="360" w:lineRule="auto"/>
        <w:ind w:right="-60"/>
        <w:jc w:val="left"/>
        <w:rPr>
          <w:rFonts w:ascii="仿宋" w:hAnsi="仿宋" w:eastAsia="仿宋" w:cs="楷体"/>
          <w:bCs/>
          <w:color w:val="auto"/>
          <w:sz w:val="22"/>
          <w:szCs w:val="22"/>
          <w:highlight w:val="none"/>
        </w:rPr>
      </w:pPr>
    </w:p>
    <w:p>
      <w:pPr>
        <w:spacing w:line="360" w:lineRule="auto"/>
        <w:ind w:right="-60" w:firstLine="440" w:firstLineChars="200"/>
        <w:jc w:val="left"/>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 xml:space="preserve">声  明  人: </w:t>
      </w:r>
      <w:r>
        <w:rPr>
          <w:rFonts w:hint="eastAsia" w:ascii="仿宋" w:hAnsi="仿宋" w:eastAsia="仿宋" w:cs="楷体"/>
          <w:bCs/>
          <w:color w:val="auto"/>
          <w:sz w:val="22"/>
          <w:szCs w:val="22"/>
          <w:highlight w:val="none"/>
          <w:u w:val="single"/>
        </w:rPr>
        <w:t xml:space="preserve">             </w:t>
      </w:r>
      <w:r>
        <w:rPr>
          <w:rFonts w:hint="eastAsia" w:ascii="仿宋" w:hAnsi="仿宋" w:eastAsia="仿宋" w:cs="楷体"/>
          <w:bCs/>
          <w:color w:val="auto"/>
          <w:sz w:val="22"/>
          <w:szCs w:val="22"/>
          <w:highlight w:val="none"/>
        </w:rPr>
        <w:t xml:space="preserve"> (磋商供应商名称、公章)</w:t>
      </w:r>
    </w:p>
    <w:p>
      <w:pPr>
        <w:spacing w:line="360" w:lineRule="auto"/>
        <w:ind w:right="-60" w:firstLine="440" w:firstLineChars="200"/>
        <w:jc w:val="left"/>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 xml:space="preserve">法定代表人或其授权委托人： </w:t>
      </w:r>
      <w:r>
        <w:rPr>
          <w:rFonts w:hint="eastAsia" w:ascii="仿宋" w:hAnsi="仿宋" w:eastAsia="仿宋" w:cs="楷体"/>
          <w:bCs/>
          <w:color w:val="auto"/>
          <w:sz w:val="22"/>
          <w:szCs w:val="22"/>
          <w:highlight w:val="none"/>
          <w:u w:val="single"/>
        </w:rPr>
        <w:t xml:space="preserve">     （签字）</w:t>
      </w:r>
    </w:p>
    <w:p>
      <w:pPr>
        <w:spacing w:line="360" w:lineRule="auto"/>
        <w:ind w:right="-60" w:firstLine="440" w:firstLineChars="200"/>
        <w:jc w:val="left"/>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日      期：</w:t>
      </w:r>
    </w:p>
    <w:p>
      <w:pPr>
        <w:spacing w:line="360" w:lineRule="auto"/>
        <w:ind w:right="-60"/>
        <w:jc w:val="left"/>
        <w:rPr>
          <w:rFonts w:ascii="仿宋" w:hAnsi="仿宋" w:eastAsia="仿宋" w:cs="楷体"/>
          <w:bCs/>
          <w:color w:val="auto"/>
          <w:sz w:val="22"/>
          <w:szCs w:val="22"/>
          <w:highlight w:val="none"/>
        </w:rPr>
      </w:pPr>
    </w:p>
    <w:p>
      <w:pPr>
        <w:spacing w:line="360" w:lineRule="auto"/>
        <w:ind w:right="-60" w:firstLine="440" w:firstLineChars="200"/>
        <w:jc w:val="left"/>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说明：</w:t>
      </w:r>
    </w:p>
    <w:p>
      <w:pPr>
        <w:numPr>
          <w:ilvl w:val="0"/>
          <w:numId w:val="6"/>
        </w:numPr>
        <w:spacing w:line="360" w:lineRule="auto"/>
        <w:ind w:right="-60" w:firstLine="440" w:firstLineChars="200"/>
        <w:jc w:val="left"/>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w:t>
      </w:r>
      <w:r>
        <w:rPr>
          <w:rFonts w:hint="eastAsia" w:ascii="仿宋" w:hAnsi="仿宋" w:eastAsia="仿宋" w:cs="楷体"/>
          <w:bCs/>
          <w:color w:val="auto"/>
          <w:sz w:val="22"/>
          <w:szCs w:val="22"/>
          <w:highlight w:val="none"/>
          <w:lang w:val="en-US" w:eastAsia="zh-CN"/>
        </w:rPr>
        <w:t>20</w:t>
      </w:r>
      <w:r>
        <w:rPr>
          <w:rFonts w:hint="eastAsia" w:ascii="仿宋" w:hAnsi="仿宋" w:eastAsia="仿宋" w:cs="楷体"/>
          <w:bCs/>
          <w:color w:val="auto"/>
          <w:sz w:val="22"/>
          <w:szCs w:val="22"/>
          <w:highlight w:val="none"/>
        </w:rPr>
        <w:t>]</w:t>
      </w:r>
      <w:r>
        <w:rPr>
          <w:rFonts w:hint="eastAsia" w:ascii="仿宋" w:hAnsi="仿宋" w:eastAsia="仿宋" w:cs="楷体"/>
          <w:bCs/>
          <w:color w:val="auto"/>
          <w:sz w:val="22"/>
          <w:szCs w:val="22"/>
          <w:highlight w:val="none"/>
          <w:lang w:val="en-US" w:eastAsia="zh-CN"/>
        </w:rPr>
        <w:t>46</w:t>
      </w:r>
      <w:r>
        <w:rPr>
          <w:rFonts w:hint="eastAsia" w:ascii="仿宋" w:hAnsi="仿宋" w:eastAsia="仿宋" w:cs="楷体"/>
          <w:bCs/>
          <w:color w:val="auto"/>
          <w:sz w:val="22"/>
          <w:szCs w:val="22"/>
          <w:highlight w:val="none"/>
        </w:rPr>
        <w:t>号)相关规定。</w:t>
      </w:r>
    </w:p>
    <w:p>
      <w:pPr>
        <w:numPr>
          <w:ilvl w:val="0"/>
          <w:numId w:val="6"/>
        </w:numPr>
        <w:spacing w:line="360" w:lineRule="auto"/>
        <w:ind w:right="-60" w:firstLine="440" w:firstLineChars="200"/>
        <w:jc w:val="left"/>
        <w:rPr>
          <w:rFonts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经磋商小组查询供应商不属于中小型企业的，评审时不予以考虑。</w:t>
      </w:r>
    </w:p>
    <w:p>
      <w:pPr>
        <w:rPr>
          <w:rFonts w:ascii="仿宋" w:hAnsi="仿宋" w:eastAsia="仿宋" w:cs="楷体"/>
          <w:b/>
          <w:color w:val="auto"/>
          <w:sz w:val="32"/>
          <w:szCs w:val="44"/>
          <w:highlight w:val="none"/>
          <w:u w:val="single"/>
        </w:rPr>
      </w:pPr>
    </w:p>
    <w:p>
      <w:pPr>
        <w:spacing w:line="480" w:lineRule="exact"/>
        <w:jc w:val="center"/>
        <w:outlineLvl w:val="0"/>
        <w:rPr>
          <w:rFonts w:ascii="仿宋" w:hAnsi="仿宋" w:eastAsia="仿宋" w:cs="楷体"/>
          <w:b/>
          <w:bCs/>
          <w:color w:val="auto"/>
          <w:sz w:val="30"/>
          <w:szCs w:val="30"/>
          <w:highlight w:val="none"/>
        </w:rPr>
      </w:pPr>
      <w:bookmarkStart w:id="210" w:name="_Toc19797"/>
      <w:bookmarkStart w:id="211" w:name="_Toc5444_WPSOffice_Level1"/>
      <w:bookmarkStart w:id="212" w:name="_Toc16940_WPSOffice_Level1"/>
      <w:bookmarkStart w:id="213" w:name="_Toc8082_WPSOffice_Level1"/>
      <w:bookmarkStart w:id="214" w:name="_Toc10414"/>
      <w:bookmarkStart w:id="215" w:name="_Toc21004"/>
      <w:bookmarkStart w:id="216" w:name="_Toc5757"/>
      <w:bookmarkStart w:id="217" w:name="_Toc7470"/>
    </w:p>
    <w:p>
      <w:pPr>
        <w:spacing w:line="480" w:lineRule="exact"/>
        <w:jc w:val="center"/>
        <w:outlineLvl w:val="0"/>
        <w:rPr>
          <w:rFonts w:ascii="仿宋" w:hAnsi="仿宋" w:eastAsia="仿宋" w:cs="楷体"/>
          <w:b/>
          <w:bCs/>
          <w:color w:val="auto"/>
          <w:sz w:val="30"/>
          <w:szCs w:val="30"/>
          <w:highlight w:val="none"/>
        </w:rPr>
      </w:pPr>
    </w:p>
    <w:p>
      <w:pPr>
        <w:pStyle w:val="5"/>
        <w:rPr>
          <w:rFonts w:ascii="仿宋" w:hAnsi="仿宋" w:eastAsia="仿宋" w:cs="楷体"/>
          <w:b/>
          <w:bCs/>
          <w:color w:val="auto"/>
          <w:sz w:val="30"/>
          <w:szCs w:val="30"/>
          <w:highlight w:val="none"/>
        </w:rPr>
      </w:pPr>
    </w:p>
    <w:p>
      <w:pPr>
        <w:rPr>
          <w:rFonts w:ascii="仿宋" w:hAnsi="仿宋" w:eastAsia="仿宋" w:cs="楷体"/>
          <w:b/>
          <w:bCs/>
          <w:color w:val="auto"/>
          <w:sz w:val="30"/>
          <w:szCs w:val="30"/>
          <w:highlight w:val="none"/>
        </w:rPr>
      </w:pPr>
    </w:p>
    <w:p>
      <w:pPr>
        <w:spacing w:line="480" w:lineRule="exact"/>
        <w:jc w:val="center"/>
        <w:outlineLvl w:val="0"/>
        <w:rPr>
          <w:rFonts w:ascii="仿宋" w:hAnsi="仿宋" w:eastAsia="仿宋" w:cs="楷体"/>
          <w:b/>
          <w:bCs/>
          <w:color w:val="auto"/>
          <w:sz w:val="30"/>
          <w:szCs w:val="30"/>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80" w:lineRule="exact"/>
        <w:jc w:val="center"/>
        <w:outlineLvl w:val="0"/>
        <w:rPr>
          <w:rFonts w:ascii="仿宋" w:hAnsi="仿宋" w:eastAsia="仿宋" w:cs="楷体"/>
          <w:b/>
          <w:bCs/>
          <w:color w:val="auto"/>
          <w:sz w:val="30"/>
          <w:szCs w:val="30"/>
          <w:highlight w:val="none"/>
        </w:rPr>
      </w:pPr>
      <w:r>
        <w:rPr>
          <w:rFonts w:hint="eastAsia" w:ascii="仿宋" w:hAnsi="仿宋" w:eastAsia="仿宋" w:cs="楷体"/>
          <w:b/>
          <w:bCs/>
          <w:color w:val="auto"/>
          <w:sz w:val="30"/>
          <w:szCs w:val="30"/>
          <w:highlight w:val="none"/>
        </w:rPr>
        <w:t xml:space="preserve">第4部分  </w:t>
      </w:r>
      <w:bookmarkEnd w:id="210"/>
      <w:bookmarkEnd w:id="211"/>
      <w:bookmarkEnd w:id="212"/>
      <w:bookmarkEnd w:id="213"/>
      <w:bookmarkEnd w:id="214"/>
      <w:r>
        <w:rPr>
          <w:rFonts w:hint="eastAsia" w:ascii="仿宋" w:hAnsi="仿宋" w:eastAsia="仿宋" w:cs="楷体"/>
          <w:b/>
          <w:bCs/>
          <w:color w:val="auto"/>
          <w:sz w:val="30"/>
          <w:szCs w:val="30"/>
          <w:highlight w:val="none"/>
        </w:rPr>
        <w:t>服务方案</w:t>
      </w:r>
      <w:bookmarkEnd w:id="215"/>
      <w:bookmarkEnd w:id="216"/>
      <w:bookmarkEnd w:id="217"/>
    </w:p>
    <w:p>
      <w:pPr>
        <w:tabs>
          <w:tab w:val="right" w:leader="dot" w:pos="9022"/>
        </w:tabs>
        <w:autoSpaceDE w:val="0"/>
        <w:autoSpaceDN w:val="0"/>
        <w:adjustRightInd w:val="0"/>
        <w:spacing w:line="460" w:lineRule="exact"/>
        <w:ind w:firstLine="560" w:firstLineChars="200"/>
        <w:jc w:val="left"/>
        <w:rPr>
          <w:rFonts w:ascii="仿宋" w:hAnsi="仿宋" w:eastAsia="仿宋" w:cs="楷体"/>
          <w:bCs/>
          <w:caps/>
          <w:color w:val="auto"/>
          <w:sz w:val="28"/>
          <w:szCs w:val="28"/>
          <w:highlight w:val="none"/>
        </w:rPr>
      </w:pPr>
    </w:p>
    <w:p>
      <w:pPr>
        <w:spacing w:line="580" w:lineRule="exact"/>
        <w:ind w:firstLine="440" w:firstLineChars="200"/>
        <w:jc w:val="left"/>
        <w:rPr>
          <w:rFonts w:ascii="仿宋" w:hAnsi="仿宋" w:eastAsia="仿宋" w:cs="楷体"/>
          <w:bCs/>
          <w:color w:val="auto"/>
          <w:sz w:val="22"/>
          <w:szCs w:val="22"/>
          <w:highlight w:val="none"/>
        </w:rPr>
      </w:pPr>
      <w:bookmarkStart w:id="218" w:name="_Toc25808"/>
      <w:bookmarkStart w:id="219" w:name="_Toc10330"/>
      <w:bookmarkStart w:id="220" w:name="_Toc19944_WPSOffice_Level1"/>
      <w:bookmarkStart w:id="221" w:name="_Toc27732_WPSOffice_Level1"/>
      <w:bookmarkStart w:id="222" w:name="_Toc10273_WPSOffice_Level1"/>
      <w:r>
        <w:rPr>
          <w:rFonts w:hint="eastAsia" w:ascii="仿宋" w:hAnsi="仿宋" w:eastAsia="仿宋" w:cs="楷体"/>
          <w:bCs/>
          <w:color w:val="auto"/>
          <w:sz w:val="22"/>
          <w:szCs w:val="22"/>
          <w:highlight w:val="none"/>
        </w:rPr>
        <w:t>说明：由供应商根据第三章 《评审标准》内评审要素一览表的内容，结合第四章《采购内容及具体要求》等进行编制，格式内容自拟。</w:t>
      </w: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pStyle w:val="12"/>
        <w:rPr>
          <w:rFonts w:ascii="仿宋" w:hAnsi="仿宋" w:eastAsia="仿宋" w:cs="楷体"/>
          <w:b/>
          <w:color w:val="auto"/>
          <w:sz w:val="22"/>
          <w:szCs w:val="22"/>
          <w:highlight w:val="none"/>
        </w:rPr>
      </w:pPr>
    </w:p>
    <w:p>
      <w:pPr>
        <w:spacing w:before="66"/>
        <w:jc w:val="center"/>
        <w:rPr>
          <w:rFonts w:ascii="仿宋" w:hAnsi="仿宋" w:eastAsia="仿宋" w:cs="楷体"/>
          <w:b/>
          <w:color w:val="auto"/>
          <w:sz w:val="32"/>
          <w:szCs w:val="22"/>
          <w:highlight w:val="none"/>
        </w:rPr>
      </w:pPr>
      <w:r>
        <w:rPr>
          <w:rFonts w:hint="eastAsia" w:ascii="仿宋" w:hAnsi="仿宋" w:eastAsia="仿宋" w:cs="楷体"/>
          <w:b/>
          <w:color w:val="auto"/>
          <w:sz w:val="32"/>
          <w:szCs w:val="22"/>
          <w:highlight w:val="none"/>
        </w:rPr>
        <w:t>履约进度计划表</w:t>
      </w:r>
    </w:p>
    <w:tbl>
      <w:tblPr>
        <w:tblStyle w:val="19"/>
        <w:tblpPr w:leftFromText="180" w:rightFromText="180" w:vertAnchor="text" w:horzAnchor="page" w:tblpXSpec="center" w:tblpY="359"/>
        <w:tblOverlap w:val="never"/>
        <w:tblW w:w="9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9"/>
        <w:gridCol w:w="2899"/>
        <w:gridCol w:w="3453"/>
        <w:gridCol w:w="2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609" w:type="dxa"/>
            <w:shd w:val="clear" w:color="auto" w:fill="F3F3F3"/>
          </w:tcPr>
          <w:p>
            <w:pPr>
              <w:pStyle w:val="27"/>
              <w:keepNext w:val="0"/>
              <w:keepLines w:val="0"/>
              <w:suppressLineNumbers w:val="0"/>
              <w:spacing w:before="100" w:beforeAutospacing="0" w:after="0" w:afterAutospacing="0"/>
              <w:ind w:left="106" w:right="0"/>
              <w:jc w:val="center"/>
              <w:rPr>
                <w:rFonts w:hint="default" w:ascii="仿宋" w:hAnsi="仿宋" w:eastAsia="仿宋" w:cs="楷体"/>
                <w:b/>
                <w:color w:val="auto"/>
                <w:sz w:val="15"/>
                <w:highlight w:val="none"/>
              </w:rPr>
            </w:pPr>
            <w:r>
              <w:rPr>
                <w:rFonts w:hint="eastAsia" w:ascii="仿宋" w:hAnsi="仿宋" w:eastAsia="仿宋" w:cs="楷体"/>
                <w:b/>
                <w:color w:val="auto"/>
                <w:w w:val="99"/>
                <w:highlight w:val="none"/>
              </w:rPr>
              <w:t>序</w:t>
            </w:r>
          </w:p>
          <w:p>
            <w:pPr>
              <w:pStyle w:val="27"/>
              <w:keepNext w:val="0"/>
              <w:keepLines w:val="0"/>
              <w:suppressLineNumbers w:val="0"/>
              <w:spacing w:before="0" w:beforeAutospacing="0" w:after="0" w:afterAutospacing="0"/>
              <w:ind w:left="106" w:right="0"/>
              <w:jc w:val="center"/>
              <w:rPr>
                <w:rFonts w:hint="default" w:ascii="仿宋" w:hAnsi="仿宋" w:eastAsia="仿宋" w:cs="楷体"/>
                <w:b/>
                <w:color w:val="auto"/>
                <w:highlight w:val="none"/>
              </w:rPr>
            </w:pPr>
            <w:r>
              <w:rPr>
                <w:rFonts w:hint="eastAsia" w:ascii="仿宋" w:hAnsi="仿宋" w:eastAsia="仿宋" w:cs="楷体"/>
                <w:b/>
                <w:color w:val="auto"/>
                <w:w w:val="99"/>
                <w:highlight w:val="none"/>
              </w:rPr>
              <w:t>号</w:t>
            </w:r>
          </w:p>
        </w:tc>
        <w:tc>
          <w:tcPr>
            <w:tcW w:w="2899" w:type="dxa"/>
            <w:shd w:val="clear" w:color="auto" w:fill="F3F3F3"/>
            <w:vAlign w:val="center"/>
          </w:tcPr>
          <w:p>
            <w:pPr>
              <w:pStyle w:val="27"/>
              <w:keepNext w:val="0"/>
              <w:keepLines w:val="0"/>
              <w:suppressLineNumbers w:val="0"/>
              <w:spacing w:before="0" w:beforeAutospacing="0" w:after="0" w:afterAutospacing="0"/>
              <w:ind w:left="9" w:right="0"/>
              <w:jc w:val="center"/>
              <w:rPr>
                <w:rFonts w:hint="default" w:ascii="仿宋" w:hAnsi="仿宋" w:eastAsia="仿宋" w:cs="楷体"/>
                <w:b/>
                <w:color w:val="auto"/>
                <w:highlight w:val="none"/>
              </w:rPr>
            </w:pPr>
            <w:r>
              <w:rPr>
                <w:rFonts w:hint="eastAsia" w:ascii="仿宋" w:hAnsi="仿宋" w:eastAsia="仿宋" w:cs="楷体"/>
                <w:b/>
                <w:color w:val="auto"/>
                <w:highlight w:val="none"/>
              </w:rPr>
              <w:t>拟定时间安排</w:t>
            </w:r>
          </w:p>
        </w:tc>
        <w:tc>
          <w:tcPr>
            <w:tcW w:w="3453" w:type="dxa"/>
            <w:shd w:val="clear" w:color="auto" w:fill="F3F3F3"/>
            <w:vAlign w:val="center"/>
          </w:tcPr>
          <w:p>
            <w:pPr>
              <w:pStyle w:val="27"/>
              <w:keepNext w:val="0"/>
              <w:keepLines w:val="0"/>
              <w:suppressLineNumbers w:val="0"/>
              <w:spacing w:before="0" w:beforeAutospacing="0" w:after="0" w:afterAutospacing="0"/>
              <w:ind w:left="758" w:right="746"/>
              <w:jc w:val="center"/>
              <w:rPr>
                <w:rFonts w:hint="default" w:ascii="仿宋" w:hAnsi="仿宋" w:eastAsia="仿宋" w:cs="楷体"/>
                <w:b/>
                <w:color w:val="auto"/>
                <w:highlight w:val="none"/>
              </w:rPr>
            </w:pPr>
            <w:r>
              <w:rPr>
                <w:rFonts w:hint="eastAsia" w:ascii="仿宋" w:hAnsi="仿宋" w:eastAsia="仿宋" w:cs="楷体"/>
                <w:b/>
                <w:color w:val="auto"/>
                <w:highlight w:val="none"/>
              </w:rPr>
              <w:t>计划完成的工作内容</w:t>
            </w:r>
          </w:p>
        </w:tc>
        <w:tc>
          <w:tcPr>
            <w:tcW w:w="2779" w:type="dxa"/>
            <w:shd w:val="clear" w:color="auto" w:fill="F3F3F3"/>
            <w:vAlign w:val="center"/>
          </w:tcPr>
          <w:p>
            <w:pPr>
              <w:pStyle w:val="27"/>
              <w:keepNext w:val="0"/>
              <w:keepLines w:val="0"/>
              <w:suppressLineNumbers w:val="0"/>
              <w:spacing w:before="0" w:beforeAutospacing="0" w:after="0" w:afterAutospacing="0"/>
              <w:ind w:left="549" w:right="0"/>
              <w:jc w:val="center"/>
              <w:rPr>
                <w:rFonts w:hint="default" w:ascii="仿宋" w:hAnsi="仿宋" w:eastAsia="仿宋" w:cs="楷体"/>
                <w:b/>
                <w:color w:val="auto"/>
                <w:highlight w:val="none"/>
              </w:rPr>
            </w:pPr>
            <w:r>
              <w:rPr>
                <w:rFonts w:hint="eastAsia" w:ascii="仿宋" w:hAnsi="仿宋" w:eastAsia="仿宋" w:cs="楷体"/>
                <w:b/>
                <w:color w:val="auto"/>
                <w:highlight w:val="none"/>
              </w:rPr>
              <w:t>实施方建议或要求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9" w:type="dxa"/>
          </w:tcPr>
          <w:p>
            <w:pPr>
              <w:pStyle w:val="27"/>
              <w:keepNext w:val="0"/>
              <w:keepLines w:val="0"/>
              <w:suppressLineNumbers w:val="0"/>
              <w:spacing w:before="99" w:beforeAutospacing="0" w:after="0" w:afterAutospacing="0"/>
              <w:ind w:left="106" w:right="0"/>
              <w:jc w:val="center"/>
              <w:rPr>
                <w:rFonts w:hint="default" w:ascii="仿宋" w:hAnsi="仿宋" w:eastAsia="仿宋" w:cs="楷体"/>
                <w:color w:val="auto"/>
                <w:highlight w:val="none"/>
              </w:rPr>
            </w:pPr>
            <w:r>
              <w:rPr>
                <w:rFonts w:hint="eastAsia" w:ascii="仿宋" w:hAnsi="仿宋" w:eastAsia="仿宋" w:cs="楷体"/>
                <w:color w:val="auto"/>
                <w:w w:val="99"/>
                <w:highlight w:val="none"/>
              </w:rPr>
              <w:t>1</w:t>
            </w:r>
          </w:p>
        </w:tc>
        <w:tc>
          <w:tcPr>
            <w:tcW w:w="2899" w:type="dxa"/>
          </w:tcPr>
          <w:p>
            <w:pPr>
              <w:pStyle w:val="27"/>
              <w:keepNext w:val="0"/>
              <w:keepLines w:val="0"/>
              <w:suppressLineNumbers w:val="0"/>
              <w:tabs>
                <w:tab w:val="left" w:pos="637"/>
                <w:tab w:val="left" w:pos="1057"/>
                <w:tab w:val="left" w:pos="1581"/>
              </w:tabs>
              <w:spacing w:before="99" w:beforeAutospacing="0" w:after="0" w:afterAutospacing="0"/>
              <w:ind w:left="6" w:right="0"/>
              <w:jc w:val="center"/>
              <w:rPr>
                <w:rFonts w:hint="default" w:ascii="仿宋" w:hAnsi="仿宋" w:eastAsia="仿宋" w:cs="楷体"/>
                <w:color w:val="auto"/>
                <w:highlight w:val="none"/>
              </w:rPr>
            </w:pPr>
            <w:r>
              <w:rPr>
                <w:rFonts w:hint="eastAsia" w:ascii="仿宋" w:hAnsi="仿宋" w:eastAsia="仿宋" w:cs="楷体"/>
                <w:color w:val="auto"/>
                <w:highlight w:val="none"/>
              </w:rPr>
              <w:t>拟定</w:t>
            </w:r>
            <w:r>
              <w:rPr>
                <w:rFonts w:hint="eastAsia" w:ascii="仿宋" w:hAnsi="仿宋" w:eastAsia="仿宋" w:cs="楷体"/>
                <w:color w:val="auto"/>
                <w:highlight w:val="none"/>
              </w:rPr>
              <w:tab/>
            </w:r>
            <w:r>
              <w:rPr>
                <w:rFonts w:hint="eastAsia" w:ascii="仿宋" w:hAnsi="仿宋" w:eastAsia="仿宋" w:cs="楷体"/>
                <w:color w:val="auto"/>
                <w:highlight w:val="none"/>
              </w:rPr>
              <w:t>年</w:t>
            </w:r>
            <w:r>
              <w:rPr>
                <w:rFonts w:hint="eastAsia" w:ascii="仿宋" w:hAnsi="仿宋" w:eastAsia="仿宋" w:cs="楷体"/>
                <w:color w:val="auto"/>
                <w:highlight w:val="none"/>
              </w:rPr>
              <w:tab/>
            </w:r>
            <w:r>
              <w:rPr>
                <w:rFonts w:hint="eastAsia" w:ascii="仿宋" w:hAnsi="仿宋" w:eastAsia="仿宋" w:cs="楷体"/>
                <w:color w:val="auto"/>
                <w:highlight w:val="none"/>
              </w:rPr>
              <w:t>月</w:t>
            </w:r>
            <w:r>
              <w:rPr>
                <w:rFonts w:hint="eastAsia" w:ascii="仿宋" w:hAnsi="仿宋" w:eastAsia="仿宋" w:cs="楷体"/>
                <w:color w:val="auto"/>
                <w:highlight w:val="none"/>
              </w:rPr>
              <w:tab/>
            </w:r>
            <w:r>
              <w:rPr>
                <w:rFonts w:hint="eastAsia" w:ascii="仿宋" w:hAnsi="仿宋" w:eastAsia="仿宋" w:cs="楷体"/>
                <w:color w:val="auto"/>
                <w:highlight w:val="none"/>
              </w:rPr>
              <w:t>日</w:t>
            </w:r>
          </w:p>
        </w:tc>
        <w:tc>
          <w:tcPr>
            <w:tcW w:w="3453" w:type="dxa"/>
          </w:tcPr>
          <w:p>
            <w:pPr>
              <w:pStyle w:val="27"/>
              <w:keepNext w:val="0"/>
              <w:keepLines w:val="0"/>
              <w:suppressLineNumbers w:val="0"/>
              <w:spacing w:before="99" w:beforeAutospacing="0" w:after="0" w:afterAutospacing="0"/>
              <w:ind w:left="753" w:right="746"/>
              <w:jc w:val="center"/>
              <w:rPr>
                <w:rFonts w:hint="default" w:ascii="仿宋" w:hAnsi="仿宋" w:eastAsia="仿宋" w:cs="楷体"/>
                <w:color w:val="auto"/>
                <w:highlight w:val="none"/>
              </w:rPr>
            </w:pPr>
            <w:r>
              <w:rPr>
                <w:rFonts w:hint="eastAsia" w:ascii="仿宋" w:hAnsi="仿宋" w:eastAsia="仿宋" w:cs="楷体"/>
                <w:color w:val="auto"/>
                <w:highlight w:val="none"/>
              </w:rPr>
              <w:t>签定合同并生效</w:t>
            </w:r>
          </w:p>
        </w:tc>
        <w:tc>
          <w:tcPr>
            <w:tcW w:w="2779" w:type="dxa"/>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9" w:type="dxa"/>
          </w:tcPr>
          <w:p>
            <w:pPr>
              <w:pStyle w:val="27"/>
              <w:keepNext w:val="0"/>
              <w:keepLines w:val="0"/>
              <w:suppressLineNumbers w:val="0"/>
              <w:spacing w:before="99" w:beforeAutospacing="0" w:after="0" w:afterAutospacing="0"/>
              <w:ind w:left="106" w:right="0"/>
              <w:jc w:val="center"/>
              <w:rPr>
                <w:rFonts w:hint="default" w:ascii="仿宋" w:hAnsi="仿宋" w:eastAsia="仿宋" w:cs="楷体"/>
                <w:color w:val="auto"/>
                <w:highlight w:val="none"/>
              </w:rPr>
            </w:pPr>
            <w:r>
              <w:rPr>
                <w:rFonts w:hint="eastAsia" w:ascii="仿宋" w:hAnsi="仿宋" w:eastAsia="仿宋" w:cs="楷体"/>
                <w:color w:val="auto"/>
                <w:w w:val="99"/>
                <w:highlight w:val="none"/>
              </w:rPr>
              <w:t>2</w:t>
            </w:r>
          </w:p>
        </w:tc>
        <w:tc>
          <w:tcPr>
            <w:tcW w:w="2899" w:type="dxa"/>
          </w:tcPr>
          <w:p>
            <w:pPr>
              <w:pStyle w:val="27"/>
              <w:keepNext w:val="0"/>
              <w:keepLines w:val="0"/>
              <w:suppressLineNumbers w:val="0"/>
              <w:tabs>
                <w:tab w:val="left" w:pos="532"/>
                <w:tab w:val="left" w:pos="1266"/>
                <w:tab w:val="left" w:pos="1792"/>
              </w:tabs>
              <w:spacing w:before="99" w:beforeAutospacing="0" w:after="0" w:afterAutospacing="0"/>
              <w:ind w:left="6" w:right="0"/>
              <w:jc w:val="center"/>
              <w:rPr>
                <w:rFonts w:hint="default" w:ascii="仿宋" w:hAnsi="仿宋" w:eastAsia="仿宋" w:cs="楷体"/>
                <w:color w:val="auto"/>
                <w:highlight w:val="none"/>
              </w:rPr>
            </w:pPr>
            <w:r>
              <w:rPr>
                <w:rFonts w:hint="eastAsia" w:ascii="仿宋" w:hAnsi="仿宋" w:eastAsia="仿宋" w:cs="楷体"/>
                <w:color w:val="auto"/>
                <w:highlight w:val="none"/>
              </w:rPr>
              <w:t>月</w:t>
            </w:r>
            <w:r>
              <w:rPr>
                <w:rFonts w:hint="eastAsia" w:ascii="仿宋" w:hAnsi="仿宋" w:eastAsia="仿宋" w:cs="楷体"/>
                <w:color w:val="auto"/>
                <w:highlight w:val="none"/>
              </w:rPr>
              <w:tab/>
            </w:r>
            <w:r>
              <w:rPr>
                <w:rFonts w:hint="eastAsia" w:ascii="仿宋" w:hAnsi="仿宋" w:eastAsia="仿宋" w:cs="楷体"/>
                <w:color w:val="auto"/>
                <w:highlight w:val="none"/>
              </w:rPr>
              <w:t>日—</w:t>
            </w:r>
            <w:r>
              <w:rPr>
                <w:rFonts w:hint="eastAsia" w:ascii="仿宋" w:hAnsi="仿宋" w:eastAsia="仿宋" w:cs="楷体"/>
                <w:color w:val="auto"/>
                <w:highlight w:val="none"/>
              </w:rPr>
              <w:tab/>
            </w:r>
            <w:r>
              <w:rPr>
                <w:rFonts w:hint="eastAsia" w:ascii="仿宋" w:hAnsi="仿宋" w:eastAsia="仿宋" w:cs="楷体"/>
                <w:color w:val="auto"/>
                <w:highlight w:val="none"/>
              </w:rPr>
              <w:t>月</w:t>
            </w:r>
            <w:r>
              <w:rPr>
                <w:rFonts w:hint="eastAsia" w:ascii="仿宋" w:hAnsi="仿宋" w:eastAsia="仿宋" w:cs="楷体"/>
                <w:color w:val="auto"/>
                <w:highlight w:val="none"/>
              </w:rPr>
              <w:tab/>
            </w:r>
            <w:r>
              <w:rPr>
                <w:rFonts w:hint="eastAsia" w:ascii="仿宋" w:hAnsi="仿宋" w:eastAsia="仿宋" w:cs="楷体"/>
                <w:color w:val="auto"/>
                <w:highlight w:val="none"/>
              </w:rPr>
              <w:t>日</w:t>
            </w:r>
          </w:p>
        </w:tc>
        <w:tc>
          <w:tcPr>
            <w:tcW w:w="3453" w:type="dxa"/>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highlight w:val="none"/>
              </w:rPr>
            </w:pPr>
          </w:p>
        </w:tc>
        <w:tc>
          <w:tcPr>
            <w:tcW w:w="2779" w:type="dxa"/>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9" w:type="dxa"/>
          </w:tcPr>
          <w:p>
            <w:pPr>
              <w:pStyle w:val="27"/>
              <w:keepNext w:val="0"/>
              <w:keepLines w:val="0"/>
              <w:suppressLineNumbers w:val="0"/>
              <w:spacing w:before="98" w:beforeAutospacing="0" w:after="0" w:afterAutospacing="0"/>
              <w:ind w:left="106" w:right="0"/>
              <w:jc w:val="center"/>
              <w:rPr>
                <w:rFonts w:hint="default" w:ascii="仿宋" w:hAnsi="仿宋" w:eastAsia="仿宋" w:cs="楷体"/>
                <w:color w:val="auto"/>
                <w:highlight w:val="none"/>
              </w:rPr>
            </w:pPr>
            <w:r>
              <w:rPr>
                <w:rFonts w:hint="eastAsia" w:ascii="仿宋" w:hAnsi="仿宋" w:eastAsia="仿宋" w:cs="楷体"/>
                <w:color w:val="auto"/>
                <w:w w:val="99"/>
                <w:highlight w:val="none"/>
              </w:rPr>
              <w:t>3</w:t>
            </w:r>
          </w:p>
        </w:tc>
        <w:tc>
          <w:tcPr>
            <w:tcW w:w="2899" w:type="dxa"/>
          </w:tcPr>
          <w:p>
            <w:pPr>
              <w:pStyle w:val="27"/>
              <w:keepNext w:val="0"/>
              <w:keepLines w:val="0"/>
              <w:suppressLineNumbers w:val="0"/>
              <w:tabs>
                <w:tab w:val="left" w:pos="532"/>
                <w:tab w:val="left" w:pos="1266"/>
                <w:tab w:val="left" w:pos="1792"/>
              </w:tabs>
              <w:spacing w:before="98" w:beforeAutospacing="0" w:after="0" w:afterAutospacing="0"/>
              <w:ind w:left="6" w:right="0"/>
              <w:jc w:val="center"/>
              <w:rPr>
                <w:rFonts w:hint="default" w:ascii="仿宋" w:hAnsi="仿宋" w:eastAsia="仿宋" w:cs="楷体"/>
                <w:color w:val="auto"/>
                <w:highlight w:val="none"/>
              </w:rPr>
            </w:pPr>
            <w:r>
              <w:rPr>
                <w:rFonts w:hint="eastAsia" w:ascii="仿宋" w:hAnsi="仿宋" w:eastAsia="仿宋" w:cs="楷体"/>
                <w:color w:val="auto"/>
                <w:highlight w:val="none"/>
              </w:rPr>
              <w:t>月</w:t>
            </w:r>
            <w:r>
              <w:rPr>
                <w:rFonts w:hint="eastAsia" w:ascii="仿宋" w:hAnsi="仿宋" w:eastAsia="仿宋" w:cs="楷体"/>
                <w:color w:val="auto"/>
                <w:highlight w:val="none"/>
              </w:rPr>
              <w:tab/>
            </w:r>
            <w:r>
              <w:rPr>
                <w:rFonts w:hint="eastAsia" w:ascii="仿宋" w:hAnsi="仿宋" w:eastAsia="仿宋" w:cs="楷体"/>
                <w:color w:val="auto"/>
                <w:highlight w:val="none"/>
              </w:rPr>
              <w:t>日—</w:t>
            </w:r>
            <w:r>
              <w:rPr>
                <w:rFonts w:hint="eastAsia" w:ascii="仿宋" w:hAnsi="仿宋" w:eastAsia="仿宋" w:cs="楷体"/>
                <w:color w:val="auto"/>
                <w:highlight w:val="none"/>
              </w:rPr>
              <w:tab/>
            </w:r>
            <w:r>
              <w:rPr>
                <w:rFonts w:hint="eastAsia" w:ascii="仿宋" w:hAnsi="仿宋" w:eastAsia="仿宋" w:cs="楷体"/>
                <w:color w:val="auto"/>
                <w:highlight w:val="none"/>
              </w:rPr>
              <w:t>月</w:t>
            </w:r>
            <w:r>
              <w:rPr>
                <w:rFonts w:hint="eastAsia" w:ascii="仿宋" w:hAnsi="仿宋" w:eastAsia="仿宋" w:cs="楷体"/>
                <w:color w:val="auto"/>
                <w:highlight w:val="none"/>
              </w:rPr>
              <w:tab/>
            </w:r>
            <w:r>
              <w:rPr>
                <w:rFonts w:hint="eastAsia" w:ascii="仿宋" w:hAnsi="仿宋" w:eastAsia="仿宋" w:cs="楷体"/>
                <w:color w:val="auto"/>
                <w:highlight w:val="none"/>
              </w:rPr>
              <w:t>日</w:t>
            </w:r>
          </w:p>
        </w:tc>
        <w:tc>
          <w:tcPr>
            <w:tcW w:w="3453" w:type="dxa"/>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highlight w:val="none"/>
              </w:rPr>
            </w:pPr>
          </w:p>
        </w:tc>
        <w:tc>
          <w:tcPr>
            <w:tcW w:w="2779" w:type="dxa"/>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9" w:type="dxa"/>
          </w:tcPr>
          <w:p>
            <w:pPr>
              <w:pStyle w:val="27"/>
              <w:keepNext w:val="0"/>
              <w:keepLines w:val="0"/>
              <w:suppressLineNumbers w:val="0"/>
              <w:spacing w:before="98" w:beforeAutospacing="0" w:after="0" w:afterAutospacing="0"/>
              <w:ind w:left="106" w:right="0"/>
              <w:jc w:val="center"/>
              <w:rPr>
                <w:rFonts w:hint="default" w:ascii="仿宋" w:hAnsi="仿宋" w:eastAsia="仿宋" w:cs="楷体"/>
                <w:color w:val="auto"/>
                <w:highlight w:val="none"/>
              </w:rPr>
            </w:pPr>
            <w:r>
              <w:rPr>
                <w:rFonts w:hint="eastAsia" w:ascii="仿宋" w:hAnsi="仿宋" w:eastAsia="仿宋" w:cs="楷体"/>
                <w:color w:val="auto"/>
                <w:w w:val="99"/>
                <w:highlight w:val="none"/>
              </w:rPr>
              <w:t>4</w:t>
            </w:r>
          </w:p>
        </w:tc>
        <w:tc>
          <w:tcPr>
            <w:tcW w:w="2899" w:type="dxa"/>
          </w:tcPr>
          <w:p>
            <w:pPr>
              <w:pStyle w:val="27"/>
              <w:keepNext w:val="0"/>
              <w:keepLines w:val="0"/>
              <w:suppressLineNumbers w:val="0"/>
              <w:tabs>
                <w:tab w:val="left" w:pos="532"/>
                <w:tab w:val="left" w:pos="1266"/>
                <w:tab w:val="left" w:pos="1792"/>
              </w:tabs>
              <w:spacing w:before="98" w:beforeAutospacing="0" w:after="0" w:afterAutospacing="0"/>
              <w:ind w:left="6" w:right="0"/>
              <w:jc w:val="center"/>
              <w:rPr>
                <w:rFonts w:hint="default" w:ascii="仿宋" w:hAnsi="仿宋" w:eastAsia="仿宋" w:cs="楷体"/>
                <w:color w:val="auto"/>
                <w:highlight w:val="none"/>
              </w:rPr>
            </w:pPr>
            <w:r>
              <w:rPr>
                <w:rFonts w:hint="eastAsia" w:ascii="仿宋" w:hAnsi="仿宋" w:eastAsia="仿宋" w:cs="楷体"/>
                <w:color w:val="auto"/>
                <w:highlight w:val="none"/>
              </w:rPr>
              <w:t>月</w:t>
            </w:r>
            <w:r>
              <w:rPr>
                <w:rFonts w:hint="eastAsia" w:ascii="仿宋" w:hAnsi="仿宋" w:eastAsia="仿宋" w:cs="楷体"/>
                <w:color w:val="auto"/>
                <w:highlight w:val="none"/>
              </w:rPr>
              <w:tab/>
            </w:r>
            <w:r>
              <w:rPr>
                <w:rFonts w:hint="eastAsia" w:ascii="仿宋" w:hAnsi="仿宋" w:eastAsia="仿宋" w:cs="楷体"/>
                <w:color w:val="auto"/>
                <w:highlight w:val="none"/>
              </w:rPr>
              <w:t>日—</w:t>
            </w:r>
            <w:r>
              <w:rPr>
                <w:rFonts w:hint="eastAsia" w:ascii="仿宋" w:hAnsi="仿宋" w:eastAsia="仿宋" w:cs="楷体"/>
                <w:color w:val="auto"/>
                <w:highlight w:val="none"/>
              </w:rPr>
              <w:tab/>
            </w:r>
            <w:r>
              <w:rPr>
                <w:rFonts w:hint="eastAsia" w:ascii="仿宋" w:hAnsi="仿宋" w:eastAsia="仿宋" w:cs="楷体"/>
                <w:color w:val="auto"/>
                <w:highlight w:val="none"/>
              </w:rPr>
              <w:t>月</w:t>
            </w:r>
            <w:r>
              <w:rPr>
                <w:rFonts w:hint="eastAsia" w:ascii="仿宋" w:hAnsi="仿宋" w:eastAsia="仿宋" w:cs="楷体"/>
                <w:color w:val="auto"/>
                <w:highlight w:val="none"/>
              </w:rPr>
              <w:tab/>
            </w:r>
            <w:r>
              <w:rPr>
                <w:rFonts w:hint="eastAsia" w:ascii="仿宋" w:hAnsi="仿宋" w:eastAsia="仿宋" w:cs="楷体"/>
                <w:color w:val="auto"/>
                <w:highlight w:val="none"/>
              </w:rPr>
              <w:t>日</w:t>
            </w:r>
          </w:p>
        </w:tc>
        <w:tc>
          <w:tcPr>
            <w:tcW w:w="3453" w:type="dxa"/>
          </w:tcPr>
          <w:p>
            <w:pPr>
              <w:pStyle w:val="27"/>
              <w:keepNext w:val="0"/>
              <w:keepLines w:val="0"/>
              <w:suppressLineNumbers w:val="0"/>
              <w:spacing w:before="98" w:beforeAutospacing="0" w:after="0" w:afterAutospacing="0"/>
              <w:ind w:left="753" w:right="746"/>
              <w:jc w:val="center"/>
              <w:rPr>
                <w:rFonts w:hint="default" w:ascii="仿宋" w:hAnsi="仿宋" w:eastAsia="仿宋" w:cs="楷体"/>
                <w:color w:val="auto"/>
                <w:highlight w:val="none"/>
              </w:rPr>
            </w:pPr>
          </w:p>
        </w:tc>
        <w:tc>
          <w:tcPr>
            <w:tcW w:w="2779" w:type="dxa"/>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highlight w:val="none"/>
              </w:rPr>
            </w:pPr>
          </w:p>
        </w:tc>
      </w:tr>
    </w:tbl>
    <w:p>
      <w:pPr>
        <w:pStyle w:val="8"/>
        <w:spacing w:before="6" w:after="1"/>
        <w:rPr>
          <w:rFonts w:ascii="仿宋" w:hAnsi="仿宋" w:eastAsia="仿宋" w:cs="楷体"/>
          <w:b/>
          <w:color w:val="auto"/>
          <w:sz w:val="29"/>
          <w:highlight w:val="none"/>
        </w:rPr>
      </w:pPr>
    </w:p>
    <w:p>
      <w:pPr>
        <w:pStyle w:val="8"/>
        <w:rPr>
          <w:rFonts w:ascii="仿宋" w:hAnsi="仿宋" w:eastAsia="仿宋" w:cs="楷体"/>
          <w:b/>
          <w:color w:val="auto"/>
          <w:highlight w:val="none"/>
        </w:rPr>
      </w:pPr>
    </w:p>
    <w:p>
      <w:pPr>
        <w:spacing w:before="66"/>
        <w:jc w:val="left"/>
        <w:rPr>
          <w:rFonts w:ascii="仿宋" w:hAnsi="仿宋" w:eastAsia="仿宋" w:cs="楷体"/>
          <w:b/>
          <w:color w:val="auto"/>
          <w:sz w:val="32"/>
          <w:szCs w:val="22"/>
          <w:highlight w:val="none"/>
        </w:rPr>
      </w:pPr>
    </w:p>
    <w:p>
      <w:pPr>
        <w:spacing w:before="66"/>
        <w:ind w:firstLine="964" w:firstLineChars="300"/>
        <w:jc w:val="left"/>
        <w:rPr>
          <w:rFonts w:ascii="仿宋" w:hAnsi="仿宋" w:eastAsia="仿宋" w:cs="楷体"/>
          <w:b/>
          <w:color w:val="auto"/>
          <w:sz w:val="32"/>
          <w:szCs w:val="22"/>
          <w:highlight w:val="none"/>
        </w:rPr>
      </w:pPr>
    </w:p>
    <w:p>
      <w:pPr>
        <w:pStyle w:val="8"/>
        <w:tabs>
          <w:tab w:val="left" w:pos="6183"/>
          <w:tab w:val="left" w:pos="8592"/>
        </w:tabs>
        <w:spacing w:before="1" w:line="364" w:lineRule="auto"/>
        <w:ind w:left="844" w:right="1751" w:hanging="24"/>
        <w:rPr>
          <w:rFonts w:ascii="仿宋" w:hAnsi="仿宋" w:eastAsia="仿宋" w:cs="楷体"/>
          <w:color w:val="auto"/>
          <w:highlight w:val="none"/>
        </w:rPr>
      </w:pPr>
    </w:p>
    <w:p>
      <w:pPr>
        <w:pStyle w:val="8"/>
        <w:tabs>
          <w:tab w:val="left" w:pos="6183"/>
          <w:tab w:val="left" w:pos="8592"/>
        </w:tabs>
        <w:spacing w:before="1" w:line="364" w:lineRule="auto"/>
        <w:ind w:left="844" w:right="1751" w:hanging="24"/>
        <w:rPr>
          <w:rFonts w:ascii="仿宋" w:hAnsi="仿宋" w:eastAsia="仿宋" w:cs="楷体"/>
          <w:color w:val="auto"/>
          <w:highlight w:val="none"/>
        </w:rPr>
      </w:pPr>
    </w:p>
    <w:p>
      <w:pPr>
        <w:spacing w:before="66"/>
        <w:jc w:val="left"/>
        <w:rPr>
          <w:rFonts w:ascii="仿宋" w:hAnsi="仿宋" w:eastAsia="仿宋" w:cs="楷体"/>
          <w:b/>
          <w:color w:val="auto"/>
          <w:sz w:val="32"/>
          <w:szCs w:val="22"/>
          <w:highlight w:val="none"/>
        </w:rPr>
      </w:pPr>
    </w:p>
    <w:p>
      <w:pPr>
        <w:spacing w:before="66"/>
        <w:jc w:val="left"/>
        <w:rPr>
          <w:rFonts w:ascii="仿宋" w:hAnsi="仿宋" w:eastAsia="仿宋" w:cs="楷体"/>
          <w:b/>
          <w:color w:val="auto"/>
          <w:sz w:val="32"/>
          <w:szCs w:val="22"/>
          <w:highlight w:val="none"/>
        </w:rPr>
      </w:pPr>
    </w:p>
    <w:p>
      <w:pPr>
        <w:spacing w:before="66"/>
        <w:jc w:val="left"/>
        <w:rPr>
          <w:rFonts w:ascii="仿宋" w:hAnsi="仿宋" w:eastAsia="仿宋" w:cs="楷体"/>
          <w:b/>
          <w:color w:val="auto"/>
          <w:sz w:val="32"/>
          <w:szCs w:val="22"/>
          <w:highlight w:val="none"/>
        </w:rPr>
      </w:pPr>
    </w:p>
    <w:p>
      <w:pPr>
        <w:spacing w:before="66"/>
        <w:jc w:val="left"/>
        <w:rPr>
          <w:rFonts w:ascii="仿宋" w:hAnsi="仿宋" w:eastAsia="仿宋" w:cs="楷体"/>
          <w:b/>
          <w:color w:val="auto"/>
          <w:sz w:val="32"/>
          <w:szCs w:val="22"/>
          <w:highlight w:val="none"/>
        </w:rPr>
      </w:pPr>
    </w:p>
    <w:p>
      <w:pPr>
        <w:spacing w:before="66"/>
        <w:jc w:val="left"/>
        <w:rPr>
          <w:rFonts w:ascii="仿宋" w:hAnsi="仿宋" w:eastAsia="仿宋" w:cs="楷体"/>
          <w:b/>
          <w:color w:val="auto"/>
          <w:sz w:val="32"/>
          <w:szCs w:val="22"/>
          <w:highlight w:val="none"/>
        </w:rPr>
      </w:pPr>
    </w:p>
    <w:p>
      <w:pPr>
        <w:spacing w:before="66"/>
        <w:jc w:val="left"/>
        <w:rPr>
          <w:rFonts w:ascii="仿宋" w:hAnsi="仿宋" w:eastAsia="仿宋" w:cs="楷体"/>
          <w:b/>
          <w:color w:val="auto"/>
          <w:sz w:val="32"/>
          <w:szCs w:val="22"/>
          <w:highlight w:val="none"/>
        </w:rPr>
      </w:pPr>
    </w:p>
    <w:p>
      <w:pPr>
        <w:spacing w:before="66"/>
        <w:jc w:val="left"/>
        <w:rPr>
          <w:rFonts w:ascii="仿宋" w:hAnsi="仿宋" w:eastAsia="仿宋" w:cs="楷体"/>
          <w:b/>
          <w:color w:val="auto"/>
          <w:sz w:val="32"/>
          <w:szCs w:val="22"/>
          <w:highlight w:val="none"/>
        </w:rPr>
      </w:pPr>
    </w:p>
    <w:p>
      <w:pPr>
        <w:pStyle w:val="5"/>
        <w:rPr>
          <w:rFonts w:ascii="仿宋" w:hAnsi="仿宋" w:eastAsia="仿宋" w:cs="楷体"/>
          <w:b/>
          <w:color w:val="auto"/>
          <w:sz w:val="32"/>
          <w:szCs w:val="22"/>
          <w:highlight w:val="none"/>
        </w:rPr>
      </w:pPr>
    </w:p>
    <w:p>
      <w:pPr>
        <w:rPr>
          <w:rFonts w:ascii="仿宋" w:hAnsi="仿宋" w:eastAsia="仿宋" w:cs="楷体"/>
          <w:b/>
          <w:color w:val="auto"/>
          <w:sz w:val="32"/>
          <w:szCs w:val="22"/>
          <w:highlight w:val="none"/>
        </w:rPr>
      </w:pPr>
    </w:p>
    <w:p>
      <w:pPr>
        <w:pStyle w:val="5"/>
        <w:rPr>
          <w:rFonts w:ascii="仿宋" w:hAnsi="仿宋" w:eastAsia="仿宋" w:cs="楷体"/>
          <w:b/>
          <w:color w:val="auto"/>
          <w:sz w:val="32"/>
          <w:szCs w:val="22"/>
          <w:highlight w:val="none"/>
        </w:rPr>
      </w:pPr>
    </w:p>
    <w:p>
      <w:pPr>
        <w:rPr>
          <w:rFonts w:ascii="仿宋" w:hAnsi="仿宋" w:eastAsia="仿宋" w:cs="楷体"/>
          <w:b/>
          <w:color w:val="auto"/>
          <w:sz w:val="32"/>
          <w:szCs w:val="22"/>
          <w:highlight w:val="none"/>
        </w:rPr>
      </w:pPr>
    </w:p>
    <w:p>
      <w:pPr>
        <w:pStyle w:val="5"/>
        <w:rPr>
          <w:rFonts w:ascii="仿宋" w:hAnsi="仿宋" w:eastAsia="仿宋" w:cs="楷体"/>
          <w:b/>
          <w:color w:val="auto"/>
          <w:sz w:val="32"/>
          <w:szCs w:val="22"/>
          <w:highlight w:val="none"/>
        </w:rPr>
      </w:pPr>
    </w:p>
    <w:p>
      <w:pPr>
        <w:rPr>
          <w:rFonts w:ascii="仿宋" w:hAnsi="仿宋" w:eastAsia="仿宋" w:cs="楷体"/>
          <w:b/>
          <w:color w:val="auto"/>
          <w:sz w:val="32"/>
          <w:szCs w:val="22"/>
          <w:highlight w:val="none"/>
        </w:rPr>
      </w:pPr>
    </w:p>
    <w:p>
      <w:pPr>
        <w:pStyle w:val="5"/>
        <w:rPr>
          <w:color w:val="auto"/>
          <w:highlight w:val="none"/>
        </w:rPr>
      </w:pPr>
    </w:p>
    <w:p>
      <w:pPr>
        <w:spacing w:before="66"/>
        <w:jc w:val="left"/>
        <w:rPr>
          <w:rFonts w:ascii="仿宋" w:hAnsi="仿宋" w:eastAsia="仿宋" w:cs="楷体"/>
          <w:b/>
          <w:color w:val="auto"/>
          <w:sz w:val="32"/>
          <w:szCs w:val="22"/>
          <w:highlight w:val="none"/>
        </w:rPr>
      </w:pPr>
    </w:p>
    <w:p>
      <w:pPr>
        <w:spacing w:before="66"/>
        <w:jc w:val="left"/>
        <w:rPr>
          <w:rFonts w:ascii="仿宋" w:hAnsi="仿宋" w:eastAsia="仿宋" w:cs="楷体"/>
          <w:b/>
          <w:color w:val="auto"/>
          <w:sz w:val="32"/>
          <w:szCs w:val="22"/>
          <w:highlight w:val="none"/>
        </w:rPr>
      </w:pPr>
    </w:p>
    <w:p>
      <w:pPr>
        <w:spacing w:before="66"/>
        <w:jc w:val="left"/>
        <w:rPr>
          <w:rFonts w:ascii="仿宋" w:hAnsi="仿宋" w:eastAsia="仿宋" w:cs="楷体"/>
          <w:b/>
          <w:color w:val="auto"/>
          <w:sz w:val="32"/>
          <w:szCs w:val="22"/>
          <w:highlight w:val="none"/>
        </w:rPr>
      </w:pPr>
    </w:p>
    <w:p>
      <w:pPr>
        <w:spacing w:before="66"/>
        <w:jc w:val="left"/>
        <w:rPr>
          <w:rFonts w:hint="eastAsia" w:ascii="仿宋" w:hAnsi="仿宋" w:eastAsia="仿宋" w:cs="楷体"/>
          <w:b/>
          <w:color w:val="auto"/>
          <w:sz w:val="32"/>
          <w:szCs w:val="22"/>
          <w:highlight w:val="none"/>
        </w:rPr>
      </w:pPr>
    </w:p>
    <w:p>
      <w:pPr>
        <w:spacing w:before="66"/>
        <w:jc w:val="left"/>
        <w:rPr>
          <w:rFonts w:ascii="仿宋" w:hAnsi="仿宋" w:eastAsia="仿宋" w:cs="楷体"/>
          <w:b/>
          <w:color w:val="auto"/>
          <w:sz w:val="32"/>
          <w:szCs w:val="22"/>
          <w:highlight w:val="none"/>
        </w:rPr>
      </w:pPr>
      <w:r>
        <w:rPr>
          <w:rFonts w:hint="eastAsia" w:ascii="仿宋" w:hAnsi="仿宋" w:eastAsia="仿宋" w:cs="楷体"/>
          <w:b/>
          <w:color w:val="auto"/>
          <w:sz w:val="32"/>
          <w:szCs w:val="22"/>
          <w:highlight w:val="none"/>
        </w:rPr>
        <w:t>其它重要事项说明及承诺(请扼要叙述)</w:t>
      </w:r>
    </w:p>
    <w:p>
      <w:pPr>
        <w:pStyle w:val="8"/>
        <w:tabs>
          <w:tab w:val="left" w:pos="6183"/>
          <w:tab w:val="left" w:pos="8592"/>
        </w:tabs>
        <w:spacing w:before="1" w:line="364" w:lineRule="auto"/>
        <w:ind w:left="844" w:right="1751" w:hanging="24"/>
        <w:rPr>
          <w:rFonts w:ascii="仿宋" w:hAnsi="仿宋" w:eastAsia="仿宋" w:cs="楷体"/>
          <w:color w:val="auto"/>
          <w:highlight w:val="none"/>
        </w:rPr>
      </w:pPr>
    </w:p>
    <w:p>
      <w:pPr>
        <w:pStyle w:val="8"/>
        <w:tabs>
          <w:tab w:val="left" w:pos="6183"/>
          <w:tab w:val="left" w:pos="8592"/>
        </w:tabs>
        <w:spacing w:before="1" w:line="364" w:lineRule="auto"/>
        <w:ind w:left="844" w:right="1751" w:hanging="24"/>
        <w:rPr>
          <w:rFonts w:ascii="仿宋" w:hAnsi="仿宋" w:eastAsia="仿宋" w:cs="楷体"/>
          <w:color w:val="auto"/>
          <w:highlight w:val="none"/>
        </w:rPr>
      </w:pPr>
    </w:p>
    <w:p>
      <w:pPr>
        <w:pStyle w:val="8"/>
        <w:tabs>
          <w:tab w:val="left" w:pos="6183"/>
          <w:tab w:val="left" w:pos="8592"/>
        </w:tabs>
        <w:spacing w:before="1" w:line="364" w:lineRule="auto"/>
        <w:ind w:left="844" w:right="1751" w:hanging="24"/>
        <w:rPr>
          <w:rFonts w:ascii="仿宋" w:hAnsi="仿宋" w:eastAsia="仿宋" w:cs="楷体"/>
          <w:color w:val="auto"/>
          <w:highlight w:val="none"/>
        </w:rPr>
      </w:pPr>
    </w:p>
    <w:p>
      <w:pPr>
        <w:pStyle w:val="8"/>
        <w:tabs>
          <w:tab w:val="left" w:pos="6183"/>
          <w:tab w:val="left" w:pos="8592"/>
        </w:tabs>
        <w:spacing w:before="1" w:line="364" w:lineRule="auto"/>
        <w:ind w:left="844" w:right="1751" w:hanging="24"/>
        <w:rPr>
          <w:rFonts w:ascii="仿宋" w:hAnsi="仿宋" w:eastAsia="仿宋" w:cs="楷体"/>
          <w:color w:val="auto"/>
          <w:highlight w:val="none"/>
        </w:rPr>
      </w:pPr>
    </w:p>
    <w:p>
      <w:pPr>
        <w:pStyle w:val="8"/>
        <w:tabs>
          <w:tab w:val="left" w:pos="6183"/>
          <w:tab w:val="left" w:pos="8592"/>
        </w:tabs>
        <w:spacing w:before="1" w:line="364" w:lineRule="auto"/>
        <w:ind w:left="844" w:right="1751" w:hanging="24"/>
        <w:rPr>
          <w:rFonts w:ascii="仿宋" w:hAnsi="仿宋" w:eastAsia="仿宋" w:cs="楷体"/>
          <w:color w:val="auto"/>
          <w:highlight w:val="none"/>
        </w:rPr>
      </w:pPr>
    </w:p>
    <w:p>
      <w:pPr>
        <w:pStyle w:val="8"/>
        <w:tabs>
          <w:tab w:val="left" w:pos="6183"/>
          <w:tab w:val="left" w:pos="8592"/>
        </w:tabs>
        <w:spacing w:before="1" w:line="364" w:lineRule="auto"/>
        <w:ind w:left="844" w:right="1751" w:hanging="24"/>
        <w:rPr>
          <w:rFonts w:ascii="仿宋" w:hAnsi="仿宋" w:eastAsia="仿宋" w:cs="楷体"/>
          <w:color w:val="auto"/>
          <w:highlight w:val="none"/>
        </w:rPr>
      </w:pPr>
    </w:p>
    <w:p>
      <w:pPr>
        <w:pStyle w:val="8"/>
        <w:tabs>
          <w:tab w:val="left" w:pos="6183"/>
          <w:tab w:val="left" w:pos="8592"/>
        </w:tabs>
        <w:spacing w:before="1" w:line="364" w:lineRule="auto"/>
        <w:ind w:left="844" w:right="1751" w:hanging="24"/>
        <w:rPr>
          <w:rFonts w:ascii="仿宋" w:hAnsi="仿宋" w:eastAsia="仿宋" w:cs="楷体"/>
          <w:color w:val="auto"/>
          <w:highlight w:val="none"/>
        </w:rPr>
      </w:pPr>
    </w:p>
    <w:p>
      <w:pPr>
        <w:rPr>
          <w:rFonts w:ascii="仿宋" w:hAnsi="仿宋" w:eastAsia="仿宋" w:cs="楷体"/>
          <w:color w:val="auto"/>
          <w:highlight w:val="none"/>
        </w:rPr>
      </w:pPr>
    </w:p>
    <w:p>
      <w:pPr>
        <w:pStyle w:val="8"/>
        <w:rPr>
          <w:rFonts w:ascii="仿宋" w:hAnsi="仿宋" w:eastAsia="仿宋" w:cs="楷体"/>
          <w:color w:val="auto"/>
          <w:highlight w:val="none"/>
        </w:rPr>
      </w:pPr>
    </w:p>
    <w:p>
      <w:pPr>
        <w:rPr>
          <w:rFonts w:ascii="仿宋" w:hAnsi="仿宋" w:eastAsia="仿宋" w:cs="楷体"/>
          <w:color w:val="auto"/>
          <w:highlight w:val="none"/>
        </w:rPr>
      </w:pPr>
    </w:p>
    <w:p>
      <w:pPr>
        <w:pStyle w:val="12"/>
        <w:rPr>
          <w:rFonts w:ascii="仿宋" w:hAnsi="仿宋" w:eastAsia="仿宋" w:cs="楷体"/>
          <w:color w:val="auto"/>
          <w:highlight w:val="none"/>
        </w:rPr>
      </w:pPr>
    </w:p>
    <w:p>
      <w:pPr>
        <w:pStyle w:val="12"/>
        <w:rPr>
          <w:rFonts w:ascii="仿宋" w:hAnsi="仿宋" w:eastAsia="仿宋" w:cs="楷体"/>
          <w:color w:val="auto"/>
          <w:highlight w:val="none"/>
        </w:rPr>
      </w:pPr>
    </w:p>
    <w:p>
      <w:pPr>
        <w:spacing w:line="480" w:lineRule="exact"/>
        <w:jc w:val="center"/>
        <w:outlineLvl w:val="0"/>
        <w:rPr>
          <w:rFonts w:ascii="仿宋" w:hAnsi="仿宋" w:eastAsia="仿宋" w:cs="楷体"/>
          <w:b/>
          <w:bCs/>
          <w:color w:val="auto"/>
          <w:sz w:val="30"/>
          <w:szCs w:val="30"/>
          <w:highlight w:val="none"/>
        </w:rPr>
      </w:pPr>
      <w:bookmarkStart w:id="223" w:name="_Toc20982"/>
      <w:bookmarkStart w:id="224" w:name="_Toc20282"/>
      <w:bookmarkStart w:id="225" w:name="_Toc2367"/>
    </w:p>
    <w:p>
      <w:pPr>
        <w:spacing w:line="480" w:lineRule="exact"/>
        <w:jc w:val="center"/>
        <w:outlineLvl w:val="0"/>
        <w:rPr>
          <w:rFonts w:ascii="仿宋" w:hAnsi="仿宋" w:eastAsia="仿宋" w:cs="楷体"/>
          <w:b/>
          <w:bCs/>
          <w:color w:val="auto"/>
          <w:sz w:val="30"/>
          <w:szCs w:val="30"/>
          <w:highlight w:val="none"/>
        </w:rPr>
      </w:pPr>
    </w:p>
    <w:p>
      <w:pPr>
        <w:spacing w:line="480" w:lineRule="exact"/>
        <w:jc w:val="center"/>
        <w:outlineLvl w:val="0"/>
        <w:rPr>
          <w:rFonts w:ascii="仿宋" w:hAnsi="仿宋" w:eastAsia="仿宋" w:cs="楷体"/>
          <w:b/>
          <w:bCs/>
          <w:color w:val="auto"/>
          <w:sz w:val="30"/>
          <w:szCs w:val="30"/>
          <w:highlight w:val="none"/>
        </w:rPr>
      </w:pPr>
    </w:p>
    <w:p>
      <w:pPr>
        <w:spacing w:line="480" w:lineRule="exact"/>
        <w:jc w:val="center"/>
        <w:outlineLvl w:val="0"/>
        <w:rPr>
          <w:rFonts w:ascii="仿宋" w:hAnsi="仿宋" w:eastAsia="仿宋" w:cs="楷体"/>
          <w:b/>
          <w:bCs/>
          <w:color w:val="auto"/>
          <w:sz w:val="30"/>
          <w:szCs w:val="30"/>
          <w:highlight w:val="none"/>
        </w:rPr>
      </w:pPr>
    </w:p>
    <w:p>
      <w:pPr>
        <w:pStyle w:val="8"/>
        <w:rPr>
          <w:rFonts w:ascii="仿宋" w:hAnsi="仿宋" w:eastAsia="仿宋" w:cs="楷体"/>
          <w:b/>
          <w:bCs/>
          <w:color w:val="auto"/>
          <w:sz w:val="30"/>
          <w:szCs w:val="30"/>
          <w:highlight w:val="none"/>
        </w:rPr>
      </w:pPr>
    </w:p>
    <w:p>
      <w:pPr>
        <w:rPr>
          <w:rFonts w:ascii="仿宋" w:hAnsi="仿宋" w:eastAsia="仿宋" w:cs="楷体"/>
          <w:b/>
          <w:bCs/>
          <w:color w:val="auto"/>
          <w:sz w:val="30"/>
          <w:szCs w:val="30"/>
          <w:highlight w:val="none"/>
        </w:rPr>
      </w:pPr>
    </w:p>
    <w:p>
      <w:pPr>
        <w:pStyle w:val="8"/>
        <w:rPr>
          <w:color w:val="auto"/>
          <w:highlight w:val="none"/>
        </w:rPr>
      </w:pPr>
    </w:p>
    <w:p>
      <w:pPr>
        <w:spacing w:line="480" w:lineRule="exact"/>
        <w:jc w:val="center"/>
        <w:outlineLvl w:val="0"/>
        <w:rPr>
          <w:rFonts w:ascii="仿宋" w:hAnsi="仿宋" w:eastAsia="仿宋" w:cs="楷体"/>
          <w:b/>
          <w:bCs/>
          <w:color w:val="auto"/>
          <w:sz w:val="30"/>
          <w:szCs w:val="30"/>
          <w:highlight w:val="none"/>
        </w:rPr>
      </w:pPr>
    </w:p>
    <w:p>
      <w:pPr>
        <w:spacing w:line="480" w:lineRule="exact"/>
        <w:jc w:val="center"/>
        <w:outlineLvl w:val="0"/>
        <w:rPr>
          <w:rFonts w:ascii="仿宋" w:hAnsi="仿宋" w:eastAsia="仿宋" w:cs="楷体"/>
          <w:b/>
          <w:bCs/>
          <w:color w:val="auto"/>
          <w:sz w:val="30"/>
          <w:szCs w:val="30"/>
          <w:highlight w:val="none"/>
        </w:rPr>
      </w:pPr>
    </w:p>
    <w:p>
      <w:pPr>
        <w:spacing w:line="480" w:lineRule="exact"/>
        <w:jc w:val="center"/>
        <w:outlineLvl w:val="0"/>
        <w:rPr>
          <w:rFonts w:ascii="仿宋" w:hAnsi="仿宋" w:eastAsia="仿宋" w:cs="楷体"/>
          <w:b/>
          <w:bCs/>
          <w:color w:val="auto"/>
          <w:sz w:val="30"/>
          <w:szCs w:val="30"/>
          <w:highlight w:val="none"/>
        </w:rPr>
      </w:pPr>
    </w:p>
    <w:p>
      <w:pPr>
        <w:spacing w:line="480" w:lineRule="exact"/>
        <w:jc w:val="center"/>
        <w:outlineLvl w:val="0"/>
        <w:rPr>
          <w:rFonts w:ascii="仿宋" w:hAnsi="仿宋" w:eastAsia="仿宋" w:cs="楷体"/>
          <w:b/>
          <w:bCs/>
          <w:color w:val="auto"/>
          <w:sz w:val="30"/>
          <w:szCs w:val="30"/>
          <w:highlight w:val="none"/>
        </w:rPr>
      </w:pPr>
    </w:p>
    <w:p>
      <w:pPr>
        <w:spacing w:line="480" w:lineRule="exact"/>
        <w:jc w:val="center"/>
        <w:outlineLvl w:val="0"/>
        <w:rPr>
          <w:rFonts w:ascii="仿宋" w:hAnsi="仿宋" w:eastAsia="仿宋" w:cs="楷体"/>
          <w:b/>
          <w:bCs/>
          <w:color w:val="auto"/>
          <w:sz w:val="30"/>
          <w:szCs w:val="30"/>
          <w:highlight w:val="none"/>
        </w:rPr>
      </w:pPr>
    </w:p>
    <w:p>
      <w:pPr>
        <w:pStyle w:val="8"/>
        <w:rPr>
          <w:rFonts w:ascii="仿宋" w:hAnsi="仿宋" w:eastAsia="仿宋" w:cs="楷体"/>
          <w:b/>
          <w:bCs/>
          <w:color w:val="auto"/>
          <w:sz w:val="30"/>
          <w:szCs w:val="30"/>
          <w:highlight w:val="none"/>
        </w:rPr>
      </w:pPr>
    </w:p>
    <w:p>
      <w:pPr>
        <w:rPr>
          <w:color w:val="auto"/>
          <w:highlight w:val="none"/>
        </w:rPr>
      </w:pPr>
    </w:p>
    <w:p>
      <w:pPr>
        <w:spacing w:line="480" w:lineRule="exact"/>
        <w:jc w:val="center"/>
        <w:outlineLvl w:val="0"/>
        <w:rPr>
          <w:rFonts w:ascii="仿宋" w:hAnsi="仿宋" w:eastAsia="仿宋" w:cs="楷体"/>
          <w:b/>
          <w:bCs/>
          <w:color w:val="auto"/>
          <w:sz w:val="30"/>
          <w:szCs w:val="30"/>
          <w:highlight w:val="none"/>
        </w:rPr>
      </w:pPr>
    </w:p>
    <w:p>
      <w:pPr>
        <w:spacing w:line="480" w:lineRule="exact"/>
        <w:jc w:val="center"/>
        <w:outlineLvl w:val="0"/>
        <w:rPr>
          <w:rFonts w:ascii="仿宋" w:hAnsi="仿宋" w:eastAsia="仿宋" w:cs="楷体"/>
          <w:b/>
          <w:bCs/>
          <w:color w:val="auto"/>
          <w:sz w:val="30"/>
          <w:szCs w:val="30"/>
          <w:highlight w:val="none"/>
        </w:rPr>
      </w:pPr>
    </w:p>
    <w:p>
      <w:pPr>
        <w:spacing w:line="480" w:lineRule="exact"/>
        <w:jc w:val="center"/>
        <w:outlineLvl w:val="0"/>
        <w:rPr>
          <w:rFonts w:ascii="仿宋" w:hAnsi="仿宋" w:eastAsia="仿宋" w:cs="楷体"/>
          <w:b/>
          <w:bCs/>
          <w:color w:val="auto"/>
          <w:sz w:val="30"/>
          <w:szCs w:val="30"/>
          <w:highlight w:val="none"/>
        </w:rPr>
      </w:pPr>
    </w:p>
    <w:p>
      <w:pPr>
        <w:spacing w:line="480" w:lineRule="exact"/>
        <w:jc w:val="center"/>
        <w:outlineLvl w:val="0"/>
        <w:rPr>
          <w:rFonts w:ascii="仿宋" w:hAnsi="仿宋" w:eastAsia="仿宋" w:cs="楷体"/>
          <w:b/>
          <w:bCs/>
          <w:color w:val="auto"/>
          <w:sz w:val="30"/>
          <w:szCs w:val="30"/>
          <w:highlight w:val="none"/>
        </w:rPr>
      </w:pPr>
      <w:r>
        <w:rPr>
          <w:rFonts w:hint="eastAsia" w:ascii="仿宋" w:hAnsi="仿宋" w:eastAsia="仿宋" w:cs="楷体"/>
          <w:b/>
          <w:bCs/>
          <w:color w:val="auto"/>
          <w:sz w:val="30"/>
          <w:szCs w:val="30"/>
          <w:highlight w:val="none"/>
        </w:rPr>
        <w:t xml:space="preserve">第5部分  </w:t>
      </w:r>
      <w:bookmarkEnd w:id="218"/>
      <w:bookmarkEnd w:id="219"/>
      <w:bookmarkEnd w:id="220"/>
      <w:bookmarkEnd w:id="221"/>
      <w:bookmarkEnd w:id="222"/>
      <w:bookmarkEnd w:id="223"/>
      <w:bookmarkEnd w:id="224"/>
      <w:bookmarkEnd w:id="225"/>
      <w:r>
        <w:rPr>
          <w:rFonts w:hint="eastAsia" w:ascii="仿宋" w:hAnsi="仿宋" w:eastAsia="仿宋" w:cs="楷体"/>
          <w:b/>
          <w:bCs/>
          <w:color w:val="auto"/>
          <w:sz w:val="30"/>
          <w:szCs w:val="30"/>
          <w:highlight w:val="none"/>
        </w:rPr>
        <w:t>商务条款偏离表</w:t>
      </w:r>
    </w:p>
    <w:p>
      <w:pPr>
        <w:spacing w:line="360" w:lineRule="auto"/>
        <w:rPr>
          <w:rFonts w:ascii="仿宋" w:hAnsi="仿宋" w:eastAsia="仿宋" w:cs="楷体"/>
          <w:bCs/>
          <w:color w:val="auto"/>
          <w:kern w:val="0"/>
          <w:sz w:val="32"/>
          <w:szCs w:val="32"/>
          <w:highlight w:val="none"/>
        </w:rPr>
      </w:pPr>
      <w:bookmarkStart w:id="226" w:name="_Toc17338_WPSOffice_Level1"/>
      <w:bookmarkStart w:id="227" w:name="_Toc1779_WPSOffice_Level1"/>
      <w:bookmarkStart w:id="228" w:name="_Toc1138_WPSOffice_Level1"/>
    </w:p>
    <w:p>
      <w:pPr>
        <w:spacing w:line="360" w:lineRule="auto"/>
        <w:rPr>
          <w:rFonts w:hint="default" w:ascii="仿宋" w:hAnsi="仿宋" w:eastAsia="仿宋" w:cs="楷体"/>
          <w:color w:val="auto"/>
          <w:szCs w:val="21"/>
          <w:highlight w:val="none"/>
          <w:lang w:val="en-US" w:eastAsia="zh-CN"/>
        </w:rPr>
      </w:pPr>
      <w:r>
        <w:rPr>
          <w:rFonts w:hint="eastAsia" w:ascii="仿宋" w:hAnsi="仿宋" w:eastAsia="仿宋" w:cs="楷体"/>
          <w:bCs/>
          <w:color w:val="auto"/>
          <w:kern w:val="0"/>
          <w:szCs w:val="21"/>
          <w:highlight w:val="none"/>
        </w:rPr>
        <w:t xml:space="preserve">项目名称：        </w:t>
      </w:r>
      <w:r>
        <w:rPr>
          <w:rFonts w:hint="eastAsia" w:ascii="仿宋" w:hAnsi="仿宋" w:eastAsia="仿宋" w:cs="楷体"/>
          <w:bCs/>
          <w:color w:val="auto"/>
          <w:kern w:val="0"/>
          <w:szCs w:val="21"/>
          <w:highlight w:val="none"/>
          <w:lang w:val="en-US" w:eastAsia="zh-CN"/>
        </w:rPr>
        <w:t xml:space="preserve">  </w:t>
      </w:r>
      <w:r>
        <w:rPr>
          <w:rFonts w:hint="eastAsia" w:ascii="仿宋" w:hAnsi="仿宋" w:eastAsia="仿宋" w:cs="楷体"/>
          <w:bCs/>
          <w:color w:val="auto"/>
          <w:kern w:val="0"/>
          <w:szCs w:val="21"/>
          <w:highlight w:val="none"/>
        </w:rPr>
        <w:t xml:space="preserve">  </w:t>
      </w:r>
      <w:r>
        <w:rPr>
          <w:rFonts w:hint="eastAsia" w:ascii="仿宋" w:hAnsi="仿宋" w:eastAsia="仿宋" w:cs="楷体"/>
          <w:bCs/>
          <w:color w:val="auto"/>
          <w:kern w:val="0"/>
          <w:szCs w:val="21"/>
          <w:highlight w:val="none"/>
          <w:lang w:val="en-US" w:eastAsia="zh-CN"/>
        </w:rPr>
        <w:t xml:space="preserve">                                 采购项目编号：</w:t>
      </w:r>
    </w:p>
    <w:tbl>
      <w:tblPr>
        <w:tblStyle w:val="19"/>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2126"/>
        <w:gridCol w:w="2208"/>
        <w:gridCol w:w="1155"/>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29" w:type="dxa"/>
            <w:vAlign w:val="center"/>
          </w:tcPr>
          <w:p>
            <w:pPr>
              <w:keepNext w:val="0"/>
              <w:keepLines w:val="0"/>
              <w:suppressLineNumbers w:val="0"/>
              <w:adjustRightInd w:val="0"/>
              <w:snapToGrid w:val="0"/>
              <w:spacing w:before="0" w:beforeAutospacing="0" w:after="0" w:afterAutospacing="0"/>
              <w:ind w:left="0" w:right="23"/>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序号</w:t>
            </w:r>
          </w:p>
        </w:tc>
        <w:tc>
          <w:tcPr>
            <w:tcW w:w="1418" w:type="dxa"/>
            <w:vAlign w:val="center"/>
          </w:tcPr>
          <w:p>
            <w:pPr>
              <w:keepNext w:val="0"/>
              <w:keepLines w:val="0"/>
              <w:suppressLineNumbers w:val="0"/>
              <w:adjustRightInd w:val="0"/>
              <w:snapToGrid w:val="0"/>
              <w:spacing w:before="0" w:beforeAutospacing="0" w:after="0" w:afterAutospacing="0"/>
              <w:ind w:left="0" w:right="23"/>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文件</w:t>
            </w:r>
          </w:p>
          <w:p>
            <w:pPr>
              <w:keepNext w:val="0"/>
              <w:keepLines w:val="0"/>
              <w:suppressLineNumbers w:val="0"/>
              <w:adjustRightInd w:val="0"/>
              <w:snapToGrid w:val="0"/>
              <w:spacing w:before="0" w:beforeAutospacing="0" w:after="0" w:afterAutospacing="0"/>
              <w:ind w:left="0" w:right="23"/>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条目号</w:t>
            </w:r>
          </w:p>
        </w:tc>
        <w:tc>
          <w:tcPr>
            <w:tcW w:w="2126" w:type="dxa"/>
            <w:vAlign w:val="center"/>
          </w:tcPr>
          <w:p>
            <w:pPr>
              <w:keepNext w:val="0"/>
              <w:keepLines w:val="0"/>
              <w:suppressLineNumbers w:val="0"/>
              <w:adjustRightInd w:val="0"/>
              <w:snapToGrid w:val="0"/>
              <w:spacing w:before="0" w:beforeAutospacing="0" w:after="0" w:afterAutospacing="0"/>
              <w:ind w:left="0" w:right="23"/>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磋商文件</w:t>
            </w:r>
          </w:p>
          <w:p>
            <w:pPr>
              <w:keepNext w:val="0"/>
              <w:keepLines w:val="0"/>
              <w:suppressLineNumbers w:val="0"/>
              <w:adjustRightInd w:val="0"/>
              <w:snapToGrid w:val="0"/>
              <w:spacing w:before="0" w:beforeAutospacing="0" w:after="0" w:afterAutospacing="0"/>
              <w:ind w:left="0" w:right="23"/>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商务条款</w:t>
            </w:r>
          </w:p>
          <w:p>
            <w:pPr>
              <w:keepNext w:val="0"/>
              <w:keepLines w:val="0"/>
              <w:suppressLineNumbers w:val="0"/>
              <w:adjustRightInd w:val="0"/>
              <w:snapToGrid w:val="0"/>
              <w:spacing w:before="0" w:beforeAutospacing="0" w:after="0" w:afterAutospacing="0"/>
              <w:ind w:left="0" w:right="23"/>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要求</w:t>
            </w:r>
          </w:p>
        </w:tc>
        <w:tc>
          <w:tcPr>
            <w:tcW w:w="2208" w:type="dxa"/>
            <w:vAlign w:val="center"/>
          </w:tcPr>
          <w:p>
            <w:pPr>
              <w:keepNext w:val="0"/>
              <w:keepLines w:val="0"/>
              <w:suppressLineNumbers w:val="0"/>
              <w:adjustRightInd w:val="0"/>
              <w:snapToGrid w:val="0"/>
              <w:spacing w:before="0" w:beforeAutospacing="0" w:after="0" w:afterAutospacing="0"/>
              <w:ind w:left="0" w:right="23"/>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磋商响应文件</w:t>
            </w:r>
          </w:p>
          <w:p>
            <w:pPr>
              <w:keepNext w:val="0"/>
              <w:keepLines w:val="0"/>
              <w:suppressLineNumbers w:val="0"/>
              <w:adjustRightInd w:val="0"/>
              <w:snapToGrid w:val="0"/>
              <w:spacing w:before="0" w:beforeAutospacing="0" w:after="0" w:afterAutospacing="0"/>
              <w:ind w:left="0" w:right="23"/>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商务条款</w:t>
            </w:r>
          </w:p>
          <w:p>
            <w:pPr>
              <w:keepNext w:val="0"/>
              <w:keepLines w:val="0"/>
              <w:suppressLineNumbers w:val="0"/>
              <w:adjustRightInd w:val="0"/>
              <w:snapToGrid w:val="0"/>
              <w:spacing w:before="0" w:beforeAutospacing="0" w:after="0" w:afterAutospacing="0"/>
              <w:ind w:left="0" w:right="23"/>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响应</w:t>
            </w:r>
          </w:p>
        </w:tc>
        <w:tc>
          <w:tcPr>
            <w:tcW w:w="1155" w:type="dxa"/>
            <w:vAlign w:val="center"/>
          </w:tcPr>
          <w:p>
            <w:pPr>
              <w:keepNext w:val="0"/>
              <w:keepLines w:val="0"/>
              <w:suppressLineNumbers w:val="0"/>
              <w:adjustRightInd w:val="0"/>
              <w:snapToGrid w:val="0"/>
              <w:spacing w:before="0" w:beforeAutospacing="0" w:after="0" w:afterAutospacing="0"/>
              <w:ind w:left="0" w:right="23"/>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偏离</w:t>
            </w:r>
          </w:p>
        </w:tc>
        <w:tc>
          <w:tcPr>
            <w:tcW w:w="1128" w:type="dxa"/>
            <w:vAlign w:val="center"/>
          </w:tcPr>
          <w:p>
            <w:pPr>
              <w:keepNext w:val="0"/>
              <w:keepLines w:val="0"/>
              <w:suppressLineNumbers w:val="0"/>
              <w:adjustRightInd w:val="0"/>
              <w:snapToGrid w:val="0"/>
              <w:spacing w:before="0" w:beforeAutospacing="0" w:after="0" w:afterAutospacing="0"/>
              <w:ind w:left="0" w:right="23"/>
              <w:jc w:val="center"/>
              <w:rPr>
                <w:rFonts w:hint="default" w:ascii="仿宋" w:hAnsi="仿宋" w:eastAsia="仿宋" w:cs="楷体"/>
                <w:b/>
                <w:bCs/>
                <w:color w:val="auto"/>
                <w:szCs w:val="21"/>
                <w:highlight w:val="none"/>
              </w:rPr>
            </w:pPr>
            <w:r>
              <w:rPr>
                <w:rFonts w:hint="eastAsia" w:ascii="仿宋" w:hAnsi="仿宋" w:eastAsia="仿宋" w:cs="楷体"/>
                <w:b/>
                <w:bCs/>
                <w:color w:val="auto"/>
                <w:szCs w:val="21"/>
                <w:highlight w:val="none"/>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default" w:ascii="仿宋" w:hAnsi="仿宋" w:eastAsia="仿宋" w:cs="楷体"/>
                <w:bCs/>
                <w:color w:val="auto"/>
                <w:szCs w:val="21"/>
                <w:highlight w:val="none"/>
              </w:rPr>
            </w:pPr>
          </w:p>
        </w:tc>
      </w:tr>
    </w:tbl>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说明：</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1.本表只填写磋商响应文件中与磋商文件有偏离（包括正偏离和负偏离）的内容，磋商响应文件中合同条款响应与磋商文件要求完全一致的，不用在此表中列出，但必须提交空白表（须签字盖章）。</w:t>
      </w:r>
    </w:p>
    <w:p>
      <w:pPr>
        <w:spacing w:line="360" w:lineRule="auto"/>
        <w:ind w:firstLine="420" w:firstLineChars="200"/>
        <w:rPr>
          <w:rFonts w:ascii="仿宋" w:hAnsi="仿宋" w:eastAsia="仿宋" w:cs="楷体"/>
          <w:color w:val="auto"/>
          <w:szCs w:val="21"/>
          <w:highlight w:val="none"/>
        </w:rPr>
      </w:pPr>
      <w:r>
        <w:rPr>
          <w:rFonts w:hint="eastAsia" w:ascii="仿宋" w:hAnsi="仿宋" w:eastAsia="仿宋" w:cs="楷体"/>
          <w:color w:val="auto"/>
          <w:szCs w:val="21"/>
          <w:highlight w:val="none"/>
        </w:rPr>
        <w:t>2.供应商必须据实填写，不得虚假响应，否则将取消其磋商或成交资格，并按有关规定进处罚。</w:t>
      </w:r>
    </w:p>
    <w:p>
      <w:pPr>
        <w:ind w:right="-60"/>
        <w:jc w:val="center"/>
        <w:rPr>
          <w:rFonts w:ascii="仿宋" w:hAnsi="仿宋" w:eastAsia="仿宋" w:cs="楷体"/>
          <w:b/>
          <w:bCs/>
          <w:color w:val="auto"/>
          <w:sz w:val="22"/>
          <w:szCs w:val="28"/>
          <w:highlight w:val="none"/>
        </w:rPr>
      </w:pPr>
    </w:p>
    <w:p>
      <w:pPr>
        <w:ind w:right="-60"/>
        <w:jc w:val="center"/>
        <w:rPr>
          <w:rFonts w:ascii="仿宋" w:hAnsi="仿宋" w:eastAsia="仿宋" w:cs="楷体"/>
          <w:b/>
          <w:bCs/>
          <w:color w:val="auto"/>
          <w:sz w:val="22"/>
          <w:szCs w:val="28"/>
          <w:highlight w:val="none"/>
        </w:rPr>
      </w:pPr>
    </w:p>
    <w:p>
      <w:pPr>
        <w:ind w:right="-60"/>
        <w:jc w:val="center"/>
        <w:rPr>
          <w:rFonts w:ascii="仿宋" w:hAnsi="仿宋" w:eastAsia="仿宋" w:cs="楷体"/>
          <w:b/>
          <w:bCs/>
          <w:color w:val="auto"/>
          <w:sz w:val="22"/>
          <w:szCs w:val="28"/>
          <w:highlight w:val="none"/>
        </w:rPr>
      </w:pPr>
    </w:p>
    <w:p>
      <w:pPr>
        <w:ind w:right="-60"/>
        <w:jc w:val="center"/>
        <w:rPr>
          <w:rFonts w:ascii="仿宋" w:hAnsi="仿宋" w:eastAsia="仿宋" w:cs="楷体"/>
          <w:b/>
          <w:bCs/>
          <w:color w:val="auto"/>
          <w:sz w:val="22"/>
          <w:szCs w:val="28"/>
          <w:highlight w:val="none"/>
        </w:rPr>
      </w:pPr>
    </w:p>
    <w:p>
      <w:pPr>
        <w:spacing w:line="360" w:lineRule="auto"/>
        <w:ind w:left="3352" w:leftChars="1596" w:right="-161"/>
        <w:rPr>
          <w:rFonts w:ascii="仿宋" w:hAnsi="仿宋" w:eastAsia="仿宋" w:cs="楷体"/>
          <w:color w:val="auto"/>
          <w:sz w:val="22"/>
          <w:szCs w:val="22"/>
          <w:highlight w:val="none"/>
          <w:u w:val="single"/>
        </w:rPr>
      </w:pPr>
      <w:r>
        <w:rPr>
          <w:rFonts w:hint="eastAsia" w:ascii="仿宋" w:hAnsi="仿宋" w:eastAsia="仿宋" w:cs="楷体"/>
          <w:color w:val="auto"/>
          <w:sz w:val="22"/>
          <w:szCs w:val="22"/>
          <w:highlight w:val="none"/>
        </w:rPr>
        <w:t>磋商响应人：</w:t>
      </w:r>
      <w:r>
        <w:rPr>
          <w:rFonts w:hint="eastAsia" w:ascii="仿宋" w:hAnsi="仿宋" w:eastAsia="仿宋" w:cs="楷体"/>
          <w:color w:val="auto"/>
          <w:sz w:val="22"/>
          <w:szCs w:val="22"/>
          <w:highlight w:val="none"/>
          <w:u w:val="single"/>
        </w:rPr>
        <w:t xml:space="preserve">    (填写全称并加盖公章)</w:t>
      </w:r>
    </w:p>
    <w:p>
      <w:pPr>
        <w:spacing w:line="360" w:lineRule="auto"/>
        <w:ind w:left="3352" w:leftChars="1596" w:right="-161"/>
        <w:rPr>
          <w:rFonts w:ascii="仿宋" w:hAnsi="仿宋" w:eastAsia="仿宋" w:cs="楷体"/>
          <w:color w:val="auto"/>
          <w:sz w:val="22"/>
          <w:szCs w:val="22"/>
          <w:highlight w:val="none"/>
          <w:u w:val="single"/>
        </w:rPr>
      </w:pPr>
      <w:r>
        <w:rPr>
          <w:rFonts w:hint="eastAsia" w:ascii="仿宋" w:hAnsi="仿宋" w:eastAsia="仿宋" w:cs="楷体"/>
          <w:color w:val="auto"/>
          <w:sz w:val="22"/>
          <w:szCs w:val="22"/>
          <w:highlight w:val="none"/>
        </w:rPr>
        <w:t>法定代表人或被授权代表：</w:t>
      </w:r>
      <w:r>
        <w:rPr>
          <w:rFonts w:hint="eastAsia" w:ascii="仿宋" w:hAnsi="仿宋" w:eastAsia="仿宋" w:cs="楷体"/>
          <w:color w:val="auto"/>
          <w:sz w:val="22"/>
          <w:szCs w:val="22"/>
          <w:highlight w:val="none"/>
          <w:u w:val="single"/>
        </w:rPr>
        <w:t xml:space="preserve"> （签字）   </w:t>
      </w:r>
    </w:p>
    <w:p>
      <w:pPr>
        <w:pStyle w:val="8"/>
        <w:ind w:firstLine="3520" w:firstLineChars="1600"/>
        <w:rPr>
          <w:rFonts w:ascii="仿宋" w:hAnsi="仿宋" w:eastAsia="仿宋" w:cs="楷体"/>
          <w:b/>
          <w:bCs/>
          <w:color w:val="auto"/>
          <w:sz w:val="32"/>
          <w:szCs w:val="40"/>
          <w:highlight w:val="none"/>
        </w:rPr>
      </w:pPr>
      <w:r>
        <w:rPr>
          <w:rFonts w:hint="eastAsia" w:ascii="仿宋" w:hAnsi="仿宋" w:eastAsia="仿宋" w:cs="楷体"/>
          <w:color w:val="auto"/>
          <w:sz w:val="22"/>
          <w:szCs w:val="22"/>
          <w:highlight w:val="none"/>
        </w:rPr>
        <w:t>日    期：</w:t>
      </w:r>
      <w:r>
        <w:rPr>
          <w:rFonts w:hint="eastAsia" w:ascii="仿宋" w:hAnsi="仿宋" w:eastAsia="仿宋" w:cs="楷体"/>
          <w:color w:val="auto"/>
          <w:sz w:val="22"/>
          <w:szCs w:val="22"/>
          <w:highlight w:val="none"/>
          <w:u w:val="single"/>
        </w:rPr>
        <w:t xml:space="preserve">                         </w:t>
      </w:r>
    </w:p>
    <w:p>
      <w:pPr>
        <w:ind w:right="-60"/>
        <w:jc w:val="center"/>
        <w:rPr>
          <w:rFonts w:ascii="仿宋" w:hAnsi="仿宋" w:eastAsia="仿宋" w:cs="楷体"/>
          <w:b/>
          <w:bCs/>
          <w:color w:val="auto"/>
          <w:sz w:val="22"/>
          <w:szCs w:val="28"/>
          <w:highlight w:val="none"/>
        </w:rPr>
      </w:pPr>
    </w:p>
    <w:p>
      <w:pPr>
        <w:ind w:right="-60"/>
        <w:jc w:val="center"/>
        <w:rPr>
          <w:rFonts w:ascii="仿宋" w:hAnsi="仿宋" w:eastAsia="仿宋" w:cs="楷体"/>
          <w:b/>
          <w:bCs/>
          <w:color w:val="auto"/>
          <w:sz w:val="22"/>
          <w:szCs w:val="28"/>
          <w:highlight w:val="none"/>
        </w:rPr>
      </w:pPr>
    </w:p>
    <w:p>
      <w:pPr>
        <w:ind w:right="-60"/>
        <w:jc w:val="center"/>
        <w:rPr>
          <w:rFonts w:ascii="仿宋" w:hAnsi="仿宋" w:eastAsia="仿宋" w:cs="楷体"/>
          <w:b/>
          <w:bCs/>
          <w:color w:val="auto"/>
          <w:sz w:val="22"/>
          <w:szCs w:val="28"/>
          <w:highlight w:val="none"/>
        </w:rPr>
      </w:pPr>
    </w:p>
    <w:p>
      <w:pPr>
        <w:pStyle w:val="5"/>
        <w:rPr>
          <w:rFonts w:ascii="仿宋" w:hAnsi="仿宋" w:eastAsia="仿宋" w:cs="楷体"/>
          <w:b/>
          <w:bCs/>
          <w:color w:val="auto"/>
          <w:sz w:val="22"/>
          <w:szCs w:val="28"/>
          <w:highlight w:val="none"/>
        </w:rPr>
      </w:pPr>
    </w:p>
    <w:p>
      <w:pPr>
        <w:rPr>
          <w:rFonts w:ascii="仿宋" w:hAnsi="仿宋" w:eastAsia="仿宋" w:cs="楷体"/>
          <w:b/>
          <w:bCs/>
          <w:color w:val="auto"/>
          <w:sz w:val="22"/>
          <w:szCs w:val="28"/>
          <w:highlight w:val="none"/>
        </w:rPr>
      </w:pPr>
    </w:p>
    <w:p>
      <w:pPr>
        <w:pStyle w:val="5"/>
        <w:rPr>
          <w:color w:val="auto"/>
          <w:highlight w:val="none"/>
        </w:rPr>
      </w:pPr>
    </w:p>
    <w:p>
      <w:pPr>
        <w:ind w:right="-60"/>
        <w:jc w:val="center"/>
        <w:rPr>
          <w:rFonts w:ascii="仿宋" w:hAnsi="仿宋" w:eastAsia="仿宋" w:cs="楷体"/>
          <w:b/>
          <w:bCs/>
          <w:color w:val="auto"/>
          <w:sz w:val="22"/>
          <w:szCs w:val="28"/>
          <w:highlight w:val="none"/>
        </w:rPr>
      </w:pPr>
    </w:p>
    <w:p>
      <w:pPr>
        <w:ind w:right="-60"/>
        <w:jc w:val="center"/>
        <w:rPr>
          <w:rFonts w:ascii="仿宋" w:hAnsi="仿宋" w:eastAsia="仿宋" w:cs="楷体"/>
          <w:b/>
          <w:bCs/>
          <w:color w:val="auto"/>
          <w:sz w:val="22"/>
          <w:szCs w:val="28"/>
          <w:highlight w:val="none"/>
        </w:rPr>
      </w:pPr>
    </w:p>
    <w:p>
      <w:pPr>
        <w:ind w:right="-60"/>
        <w:jc w:val="center"/>
        <w:rPr>
          <w:rFonts w:ascii="仿宋" w:hAnsi="仿宋" w:eastAsia="仿宋" w:cs="楷体"/>
          <w:b/>
          <w:bCs/>
          <w:color w:val="auto"/>
          <w:sz w:val="22"/>
          <w:szCs w:val="28"/>
          <w:highlight w:val="none"/>
        </w:rPr>
      </w:pPr>
    </w:p>
    <w:p>
      <w:pPr>
        <w:spacing w:line="480" w:lineRule="exact"/>
        <w:jc w:val="center"/>
        <w:outlineLvl w:val="0"/>
        <w:rPr>
          <w:rFonts w:ascii="仿宋" w:hAnsi="仿宋" w:eastAsia="仿宋" w:cs="楷体"/>
          <w:b/>
          <w:bCs/>
          <w:color w:val="auto"/>
          <w:sz w:val="30"/>
          <w:szCs w:val="30"/>
          <w:highlight w:val="none"/>
        </w:rPr>
      </w:pPr>
      <w:bookmarkStart w:id="229" w:name="_Toc8863"/>
      <w:bookmarkStart w:id="230" w:name="_Toc2029"/>
      <w:bookmarkStart w:id="231" w:name="_Toc2396"/>
      <w:bookmarkStart w:id="232" w:name="_Toc8868"/>
      <w:bookmarkStart w:id="233" w:name="_Toc5907"/>
      <w:r>
        <w:rPr>
          <w:rFonts w:hint="eastAsia" w:ascii="仿宋" w:hAnsi="仿宋" w:eastAsia="仿宋" w:cs="楷体"/>
          <w:b/>
          <w:bCs/>
          <w:color w:val="auto"/>
          <w:sz w:val="30"/>
          <w:szCs w:val="30"/>
          <w:highlight w:val="none"/>
        </w:rPr>
        <w:t>第6部分  磋商供应商概况及承诺</w:t>
      </w:r>
      <w:bookmarkEnd w:id="226"/>
      <w:bookmarkEnd w:id="227"/>
      <w:bookmarkEnd w:id="228"/>
      <w:bookmarkEnd w:id="229"/>
      <w:bookmarkEnd w:id="230"/>
      <w:bookmarkEnd w:id="231"/>
      <w:bookmarkEnd w:id="232"/>
      <w:bookmarkEnd w:id="233"/>
    </w:p>
    <w:p>
      <w:pPr>
        <w:spacing w:line="480" w:lineRule="exact"/>
        <w:ind w:firstLine="462" w:firstLineChars="219"/>
        <w:rPr>
          <w:rFonts w:ascii="仿宋" w:hAnsi="仿宋" w:eastAsia="仿宋" w:cs="楷体"/>
          <w:b/>
          <w:bCs/>
          <w:color w:val="auto"/>
          <w:highlight w:val="none"/>
        </w:rPr>
      </w:pPr>
      <w:r>
        <w:rPr>
          <w:rFonts w:hint="eastAsia" w:ascii="仿宋" w:hAnsi="仿宋" w:eastAsia="仿宋" w:cs="楷体"/>
          <w:b/>
          <w:bCs/>
          <w:color w:val="auto"/>
          <w:highlight w:val="none"/>
        </w:rPr>
        <w:t>6.1、磋商供应商概况</w:t>
      </w:r>
    </w:p>
    <w:p>
      <w:pPr>
        <w:spacing w:line="480" w:lineRule="exact"/>
        <w:ind w:firstLine="413" w:firstLineChars="196"/>
        <w:rPr>
          <w:rFonts w:ascii="仿宋" w:hAnsi="仿宋" w:eastAsia="仿宋" w:cs="楷体"/>
          <w:b/>
          <w:bCs/>
          <w:color w:val="auto"/>
          <w:highlight w:val="none"/>
        </w:rPr>
      </w:pPr>
      <w:r>
        <w:rPr>
          <w:rFonts w:hint="eastAsia" w:ascii="仿宋" w:hAnsi="仿宋" w:eastAsia="仿宋" w:cs="楷体"/>
          <w:b/>
          <w:bCs/>
          <w:color w:val="auto"/>
          <w:highlight w:val="none"/>
        </w:rPr>
        <w:t>6.1.1、磋商供应商简介。</w:t>
      </w:r>
    </w:p>
    <w:p>
      <w:pPr>
        <w:spacing w:line="480" w:lineRule="exact"/>
        <w:ind w:firstLine="413" w:firstLineChars="196"/>
        <w:rPr>
          <w:rFonts w:ascii="仿宋" w:hAnsi="仿宋" w:eastAsia="仿宋" w:cs="楷体"/>
          <w:b/>
          <w:bCs/>
          <w:color w:val="auto"/>
          <w:highlight w:val="none"/>
        </w:rPr>
      </w:pPr>
      <w:r>
        <w:rPr>
          <w:rFonts w:hint="eastAsia" w:ascii="仿宋" w:hAnsi="仿宋" w:eastAsia="仿宋" w:cs="楷体"/>
          <w:b/>
          <w:bCs/>
          <w:color w:val="auto"/>
          <w:highlight w:val="none"/>
        </w:rPr>
        <w:t>6.1.2、填报附表。</w:t>
      </w:r>
    </w:p>
    <w:p>
      <w:pPr>
        <w:spacing w:line="580" w:lineRule="exact"/>
        <w:jc w:val="center"/>
        <w:rPr>
          <w:rFonts w:ascii="仿宋" w:hAnsi="仿宋" w:eastAsia="仿宋" w:cs="楷体"/>
          <w:bCs/>
          <w:color w:val="auto"/>
          <w:sz w:val="24"/>
          <w:highlight w:val="none"/>
          <w:u w:val="single"/>
        </w:rPr>
      </w:pPr>
      <w:r>
        <w:rPr>
          <w:rFonts w:hint="eastAsia" w:ascii="仿宋" w:hAnsi="仿宋" w:eastAsia="仿宋" w:cs="楷体"/>
          <w:b/>
          <w:bCs/>
          <w:color w:val="auto"/>
          <w:sz w:val="24"/>
          <w:highlight w:val="none"/>
        </w:rPr>
        <w:t>附表1.企业经营情况表</w:t>
      </w:r>
    </w:p>
    <w:p>
      <w:pPr>
        <w:spacing w:line="360" w:lineRule="auto"/>
        <w:ind w:firstLine="330" w:firstLineChars="15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磋商供应商： （公章）                           单位：万元</w:t>
      </w:r>
    </w:p>
    <w:tbl>
      <w:tblPr>
        <w:tblStyle w:val="19"/>
        <w:tblpPr w:leftFromText="180" w:rightFromText="180" w:vertAnchor="text" w:horzAnchor="page" w:tblpX="1521" w:tblpY="227"/>
        <w:tblOverlap w:val="never"/>
        <w:tblW w:w="88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1405"/>
        <w:gridCol w:w="1400"/>
        <w:gridCol w:w="103"/>
        <w:gridCol w:w="1590"/>
        <w:gridCol w:w="630"/>
        <w:gridCol w:w="1186"/>
        <w:gridCol w:w="1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413" w:type="dxa"/>
            <w:vAlign w:val="center"/>
          </w:tcPr>
          <w:p>
            <w:pPr>
              <w:pStyle w:val="27"/>
              <w:keepNext w:val="0"/>
              <w:keepLines w:val="0"/>
              <w:suppressLineNumbers w:val="0"/>
              <w:spacing w:before="125" w:beforeAutospacing="0" w:after="0" w:afterAutospacing="0"/>
              <w:ind w:left="72" w:right="9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单位名称</w:t>
            </w:r>
          </w:p>
        </w:tc>
        <w:tc>
          <w:tcPr>
            <w:tcW w:w="7391" w:type="dxa"/>
            <w:gridSpan w:val="7"/>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1413" w:type="dxa"/>
            <w:vAlign w:val="center"/>
          </w:tcPr>
          <w:p>
            <w:pPr>
              <w:pStyle w:val="27"/>
              <w:keepNext w:val="0"/>
              <w:keepLines w:val="0"/>
              <w:suppressLineNumbers w:val="0"/>
              <w:spacing w:before="128" w:beforeAutospacing="0" w:after="0" w:afterAutospacing="0"/>
              <w:ind w:left="72" w:right="9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地址</w:t>
            </w:r>
          </w:p>
        </w:tc>
        <w:tc>
          <w:tcPr>
            <w:tcW w:w="7391" w:type="dxa"/>
            <w:gridSpan w:val="7"/>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413" w:type="dxa"/>
            <w:vAlign w:val="center"/>
          </w:tcPr>
          <w:p>
            <w:pPr>
              <w:pStyle w:val="27"/>
              <w:keepNext w:val="0"/>
              <w:keepLines w:val="0"/>
              <w:suppressLineNumbers w:val="0"/>
              <w:spacing w:before="125" w:beforeAutospacing="0" w:after="0" w:afterAutospacing="0"/>
              <w:ind w:left="72" w:right="9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主管部门</w:t>
            </w:r>
          </w:p>
        </w:tc>
        <w:tc>
          <w:tcPr>
            <w:tcW w:w="1405" w:type="dxa"/>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c>
          <w:tcPr>
            <w:tcW w:w="1400" w:type="dxa"/>
            <w:vAlign w:val="center"/>
          </w:tcPr>
          <w:p>
            <w:pPr>
              <w:pStyle w:val="27"/>
              <w:keepNext w:val="0"/>
              <w:keepLines w:val="0"/>
              <w:suppressLineNumbers w:val="0"/>
              <w:spacing w:before="125" w:beforeAutospacing="0" w:after="0" w:afterAutospacing="0"/>
              <w:ind w:left="295" w:right="0"/>
              <w:jc w:val="both"/>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法人代表</w:t>
            </w:r>
          </w:p>
        </w:tc>
        <w:tc>
          <w:tcPr>
            <w:tcW w:w="2323" w:type="dxa"/>
            <w:gridSpan w:val="3"/>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c>
          <w:tcPr>
            <w:tcW w:w="1186" w:type="dxa"/>
            <w:vAlign w:val="center"/>
          </w:tcPr>
          <w:p>
            <w:pPr>
              <w:pStyle w:val="27"/>
              <w:keepNext w:val="0"/>
              <w:keepLines w:val="0"/>
              <w:suppressLineNumbers w:val="0"/>
              <w:spacing w:before="125" w:beforeAutospacing="0" w:after="0" w:afterAutospacing="0"/>
              <w:ind w:left="0" w:right="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职务</w:t>
            </w:r>
          </w:p>
        </w:tc>
        <w:tc>
          <w:tcPr>
            <w:tcW w:w="1077" w:type="dxa"/>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13" w:type="dxa"/>
            <w:vAlign w:val="center"/>
          </w:tcPr>
          <w:p>
            <w:pPr>
              <w:pStyle w:val="27"/>
              <w:keepNext w:val="0"/>
              <w:keepLines w:val="0"/>
              <w:suppressLineNumbers w:val="0"/>
              <w:spacing w:before="124" w:beforeAutospacing="0" w:after="0" w:afterAutospacing="0"/>
              <w:ind w:left="72" w:right="9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经济类型</w:t>
            </w:r>
          </w:p>
        </w:tc>
        <w:tc>
          <w:tcPr>
            <w:tcW w:w="1405" w:type="dxa"/>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c>
          <w:tcPr>
            <w:tcW w:w="1400" w:type="dxa"/>
            <w:vAlign w:val="center"/>
          </w:tcPr>
          <w:p>
            <w:pPr>
              <w:pStyle w:val="27"/>
              <w:keepNext w:val="0"/>
              <w:keepLines w:val="0"/>
              <w:suppressLineNumbers w:val="0"/>
              <w:spacing w:before="124" w:beforeAutospacing="0" w:after="0" w:afterAutospacing="0"/>
              <w:ind w:left="295" w:right="0"/>
              <w:jc w:val="both"/>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授权代表</w:t>
            </w:r>
          </w:p>
        </w:tc>
        <w:tc>
          <w:tcPr>
            <w:tcW w:w="2323" w:type="dxa"/>
            <w:gridSpan w:val="3"/>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c>
          <w:tcPr>
            <w:tcW w:w="1186" w:type="dxa"/>
            <w:vAlign w:val="center"/>
          </w:tcPr>
          <w:p>
            <w:pPr>
              <w:pStyle w:val="27"/>
              <w:keepNext w:val="0"/>
              <w:keepLines w:val="0"/>
              <w:suppressLineNumbers w:val="0"/>
              <w:spacing w:before="124" w:beforeAutospacing="0" w:after="0" w:afterAutospacing="0"/>
              <w:ind w:left="0" w:right="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职务</w:t>
            </w:r>
          </w:p>
        </w:tc>
        <w:tc>
          <w:tcPr>
            <w:tcW w:w="1077" w:type="dxa"/>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413" w:type="dxa"/>
            <w:vAlign w:val="center"/>
          </w:tcPr>
          <w:p>
            <w:pPr>
              <w:pStyle w:val="27"/>
              <w:keepNext w:val="0"/>
              <w:keepLines w:val="0"/>
              <w:suppressLineNumbers w:val="0"/>
              <w:spacing w:before="123" w:beforeAutospacing="0" w:after="0" w:afterAutospacing="0"/>
              <w:ind w:left="72" w:right="9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邮编</w:t>
            </w:r>
          </w:p>
        </w:tc>
        <w:tc>
          <w:tcPr>
            <w:tcW w:w="1405" w:type="dxa"/>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c>
          <w:tcPr>
            <w:tcW w:w="1400" w:type="dxa"/>
            <w:vAlign w:val="center"/>
          </w:tcPr>
          <w:p>
            <w:pPr>
              <w:pStyle w:val="27"/>
              <w:keepNext w:val="0"/>
              <w:keepLines w:val="0"/>
              <w:suppressLineNumbers w:val="0"/>
              <w:spacing w:before="123" w:beforeAutospacing="0" w:after="0" w:afterAutospacing="0"/>
              <w:ind w:left="0" w:right="536"/>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电</w:t>
            </w:r>
            <w:r>
              <w:rPr>
                <w:rFonts w:hint="eastAsia" w:ascii="仿宋" w:hAnsi="仿宋" w:eastAsia="仿宋" w:cs="楷体"/>
                <w:color w:val="auto"/>
                <w:sz w:val="22"/>
                <w:szCs w:val="22"/>
                <w:highlight w:val="none"/>
                <w:lang w:val="en-US" w:eastAsia="zh-CN"/>
              </w:rPr>
              <w:t xml:space="preserve"> 话</w:t>
            </w:r>
          </w:p>
        </w:tc>
        <w:tc>
          <w:tcPr>
            <w:tcW w:w="2323" w:type="dxa"/>
            <w:gridSpan w:val="3"/>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c>
          <w:tcPr>
            <w:tcW w:w="1186" w:type="dxa"/>
            <w:vAlign w:val="center"/>
          </w:tcPr>
          <w:p>
            <w:pPr>
              <w:pStyle w:val="27"/>
              <w:keepNext w:val="0"/>
              <w:keepLines w:val="0"/>
              <w:suppressLineNumbers w:val="0"/>
              <w:spacing w:before="123" w:beforeAutospacing="0" w:after="0" w:afterAutospacing="0"/>
              <w:ind w:left="0" w:right="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传真</w:t>
            </w:r>
          </w:p>
        </w:tc>
        <w:tc>
          <w:tcPr>
            <w:tcW w:w="1077" w:type="dxa"/>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1413" w:type="dxa"/>
            <w:vAlign w:val="center"/>
          </w:tcPr>
          <w:p>
            <w:pPr>
              <w:pStyle w:val="27"/>
              <w:keepNext w:val="0"/>
              <w:keepLines w:val="0"/>
              <w:suppressLineNumbers w:val="0"/>
              <w:spacing w:before="2" w:beforeAutospacing="0" w:after="0" w:afterAutospacing="0"/>
              <w:ind w:left="72" w:right="9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单位简介及</w:t>
            </w:r>
          </w:p>
          <w:p>
            <w:pPr>
              <w:pStyle w:val="27"/>
              <w:keepNext w:val="0"/>
              <w:keepLines w:val="0"/>
              <w:suppressLineNumbers w:val="0"/>
              <w:spacing w:before="4" w:beforeAutospacing="0" w:after="0" w:afterAutospacing="0" w:line="290" w:lineRule="exact"/>
              <w:ind w:left="72" w:right="85"/>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机构设置</w:t>
            </w:r>
          </w:p>
        </w:tc>
        <w:tc>
          <w:tcPr>
            <w:tcW w:w="7391" w:type="dxa"/>
            <w:gridSpan w:val="7"/>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413" w:type="dxa"/>
            <w:vAlign w:val="center"/>
          </w:tcPr>
          <w:p>
            <w:pPr>
              <w:pStyle w:val="27"/>
              <w:keepNext w:val="0"/>
              <w:keepLines w:val="0"/>
              <w:suppressLineNumbers w:val="0"/>
              <w:spacing w:before="4" w:beforeAutospacing="0" w:after="0" w:afterAutospacing="0"/>
              <w:ind w:left="72" w:right="9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单位优势及</w:t>
            </w:r>
          </w:p>
          <w:p>
            <w:pPr>
              <w:pStyle w:val="27"/>
              <w:keepNext w:val="0"/>
              <w:keepLines w:val="0"/>
              <w:suppressLineNumbers w:val="0"/>
              <w:spacing w:before="4" w:beforeAutospacing="0" w:after="0" w:afterAutospacing="0" w:line="288" w:lineRule="exact"/>
              <w:ind w:left="72" w:right="85"/>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特长</w:t>
            </w:r>
          </w:p>
        </w:tc>
        <w:tc>
          <w:tcPr>
            <w:tcW w:w="7391" w:type="dxa"/>
            <w:gridSpan w:val="7"/>
            <w:vAlign w:val="center"/>
          </w:tcPr>
          <w:p>
            <w:pPr>
              <w:pStyle w:val="27"/>
              <w:keepNext w:val="0"/>
              <w:keepLines w:val="0"/>
              <w:suppressLineNumbers w:val="0"/>
              <w:spacing w:before="0" w:beforeAutospacing="0" w:after="0" w:afterAutospacing="0"/>
              <w:ind w:left="0" w:right="0"/>
              <w:jc w:val="center"/>
              <w:rPr>
                <w:rFonts w:hint="default" w:ascii="仿宋" w:hAnsi="仿宋" w:eastAsia="仿宋" w:cs="楷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13" w:type="dxa"/>
            <w:vMerge w:val="restart"/>
          </w:tcPr>
          <w:p>
            <w:pPr>
              <w:pStyle w:val="27"/>
              <w:keepNext w:val="0"/>
              <w:keepLines w:val="0"/>
              <w:suppressLineNumbers w:val="0"/>
              <w:spacing w:before="0" w:beforeAutospacing="0" w:after="0" w:afterAutospacing="0"/>
              <w:ind w:left="0" w:right="0"/>
              <w:jc w:val="center"/>
              <w:rPr>
                <w:rFonts w:hint="default" w:ascii="仿宋" w:hAnsi="仿宋" w:eastAsia="仿宋" w:cs="楷体"/>
                <w:b/>
                <w:color w:val="auto"/>
                <w:sz w:val="22"/>
                <w:szCs w:val="22"/>
                <w:highlight w:val="none"/>
              </w:rPr>
            </w:pPr>
          </w:p>
          <w:p>
            <w:pPr>
              <w:pStyle w:val="27"/>
              <w:keepNext w:val="0"/>
              <w:keepLines w:val="0"/>
              <w:suppressLineNumbers w:val="0"/>
              <w:spacing w:before="0" w:beforeAutospacing="0" w:after="0" w:afterAutospacing="0"/>
              <w:ind w:left="0" w:right="0"/>
              <w:jc w:val="center"/>
              <w:rPr>
                <w:rFonts w:hint="default" w:ascii="仿宋" w:hAnsi="仿宋" w:eastAsia="仿宋" w:cs="楷体"/>
                <w:b/>
                <w:color w:val="auto"/>
                <w:sz w:val="22"/>
                <w:szCs w:val="22"/>
                <w:highlight w:val="none"/>
              </w:rPr>
            </w:pPr>
          </w:p>
          <w:p>
            <w:pPr>
              <w:pStyle w:val="27"/>
              <w:keepNext w:val="0"/>
              <w:keepLines w:val="0"/>
              <w:suppressLineNumbers w:val="0"/>
              <w:spacing w:before="1" w:beforeAutospacing="0" w:after="0" w:afterAutospacing="0"/>
              <w:ind w:left="0" w:right="0"/>
              <w:jc w:val="center"/>
              <w:rPr>
                <w:rFonts w:hint="default" w:ascii="仿宋" w:hAnsi="仿宋" w:eastAsia="仿宋" w:cs="楷体"/>
                <w:b/>
                <w:color w:val="auto"/>
                <w:sz w:val="22"/>
                <w:szCs w:val="22"/>
                <w:highlight w:val="none"/>
              </w:rPr>
            </w:pPr>
          </w:p>
          <w:p>
            <w:pPr>
              <w:pStyle w:val="27"/>
              <w:keepNext w:val="0"/>
              <w:keepLines w:val="0"/>
              <w:suppressLineNumbers w:val="0"/>
              <w:spacing w:before="0" w:beforeAutospacing="0" w:after="0" w:afterAutospacing="0"/>
              <w:ind w:left="211" w:right="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单位概况</w:t>
            </w:r>
          </w:p>
        </w:tc>
        <w:tc>
          <w:tcPr>
            <w:tcW w:w="1405" w:type="dxa"/>
            <w:vAlign w:val="center"/>
          </w:tcPr>
          <w:p>
            <w:pPr>
              <w:pStyle w:val="27"/>
              <w:keepNext w:val="0"/>
              <w:keepLines w:val="0"/>
              <w:suppressLineNumbers w:val="0"/>
              <w:spacing w:before="4" w:beforeAutospacing="0" w:after="0" w:afterAutospacing="0"/>
              <w:ind w:left="0" w:right="134"/>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注册资本</w:t>
            </w:r>
          </w:p>
        </w:tc>
        <w:tc>
          <w:tcPr>
            <w:tcW w:w="1503" w:type="dxa"/>
            <w:gridSpan w:val="2"/>
            <w:vAlign w:val="center"/>
          </w:tcPr>
          <w:p>
            <w:pPr>
              <w:pStyle w:val="27"/>
              <w:keepNext w:val="0"/>
              <w:keepLines w:val="0"/>
              <w:suppressLineNumbers w:val="0"/>
              <w:spacing w:before="4" w:beforeAutospacing="0" w:after="0" w:afterAutospacing="0"/>
              <w:ind w:left="0" w:right="-15"/>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万元</w:t>
            </w:r>
          </w:p>
        </w:tc>
        <w:tc>
          <w:tcPr>
            <w:tcW w:w="1590" w:type="dxa"/>
            <w:vAlign w:val="center"/>
          </w:tcPr>
          <w:p>
            <w:pPr>
              <w:pStyle w:val="27"/>
              <w:keepNext w:val="0"/>
              <w:keepLines w:val="0"/>
              <w:suppressLineNumbers w:val="0"/>
              <w:spacing w:before="4" w:beforeAutospacing="0" w:after="0" w:afterAutospacing="0"/>
              <w:ind w:left="306" w:right="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占地面积</w:t>
            </w:r>
          </w:p>
        </w:tc>
        <w:tc>
          <w:tcPr>
            <w:tcW w:w="2893" w:type="dxa"/>
            <w:gridSpan w:val="3"/>
            <w:vAlign w:val="center"/>
          </w:tcPr>
          <w:p>
            <w:pPr>
              <w:pStyle w:val="27"/>
              <w:keepNext w:val="0"/>
              <w:keepLines w:val="0"/>
              <w:suppressLineNumbers w:val="0"/>
              <w:spacing w:before="1" w:beforeAutospacing="0" w:after="0" w:afterAutospacing="0"/>
              <w:ind w:left="0" w:right="89"/>
              <w:jc w:val="center"/>
              <w:rPr>
                <w:rFonts w:hint="default" w:ascii="仿宋" w:hAnsi="仿宋" w:eastAsia="仿宋" w:cs="楷体"/>
                <w:color w:val="auto"/>
                <w:sz w:val="11"/>
                <w:szCs w:val="22"/>
                <w:highlight w:val="none"/>
              </w:rPr>
            </w:pPr>
            <w:r>
              <w:rPr>
                <w:rFonts w:hint="eastAsia" w:ascii="仿宋" w:hAnsi="仿宋" w:eastAsia="仿宋" w:cs="楷体"/>
                <w:color w:val="auto"/>
                <w:position w:val="-11"/>
                <w:sz w:val="22"/>
                <w:szCs w:val="22"/>
                <w:highlight w:val="none"/>
              </w:rPr>
              <w:t>M</w:t>
            </w:r>
            <w:r>
              <w:rPr>
                <w:rFonts w:hint="eastAsia" w:ascii="仿宋" w:hAnsi="仿宋" w:eastAsia="仿宋" w:cs="楷体"/>
                <w:color w:val="auto"/>
                <w:sz w:val="11"/>
                <w:szCs w:val="22"/>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13" w:type="dxa"/>
            <w:vMerge w:val="continue"/>
            <w:tcBorders>
              <w:top w:val="nil"/>
            </w:tcBorders>
          </w:tcPr>
          <w:p>
            <w:pPr>
              <w:keepNext w:val="0"/>
              <w:keepLines w:val="0"/>
              <w:suppressLineNumbers w:val="0"/>
              <w:spacing w:before="0" w:beforeAutospacing="0" w:after="0" w:afterAutospacing="0"/>
              <w:ind w:left="0" w:right="0"/>
              <w:jc w:val="center"/>
              <w:rPr>
                <w:rFonts w:hint="default" w:ascii="仿宋" w:hAnsi="仿宋" w:eastAsia="仿宋" w:cs="楷体"/>
                <w:color w:val="auto"/>
                <w:sz w:val="2"/>
                <w:szCs w:val="2"/>
                <w:highlight w:val="none"/>
              </w:rPr>
            </w:pPr>
          </w:p>
        </w:tc>
        <w:tc>
          <w:tcPr>
            <w:tcW w:w="1405" w:type="dxa"/>
            <w:vAlign w:val="center"/>
          </w:tcPr>
          <w:p>
            <w:pPr>
              <w:pStyle w:val="27"/>
              <w:keepNext w:val="0"/>
              <w:keepLines w:val="0"/>
              <w:suppressLineNumbers w:val="0"/>
              <w:spacing w:before="4" w:beforeAutospacing="0" w:after="0" w:afterAutospacing="0"/>
              <w:ind w:left="0" w:right="134"/>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职工总数</w:t>
            </w:r>
          </w:p>
        </w:tc>
        <w:tc>
          <w:tcPr>
            <w:tcW w:w="1503" w:type="dxa"/>
            <w:gridSpan w:val="2"/>
            <w:vAlign w:val="center"/>
          </w:tcPr>
          <w:p>
            <w:pPr>
              <w:pStyle w:val="27"/>
              <w:keepNext w:val="0"/>
              <w:keepLines w:val="0"/>
              <w:suppressLineNumbers w:val="0"/>
              <w:spacing w:before="4" w:beforeAutospacing="0" w:after="0" w:afterAutospacing="0"/>
              <w:ind w:left="0" w:right="-15"/>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人</w:t>
            </w:r>
          </w:p>
        </w:tc>
        <w:tc>
          <w:tcPr>
            <w:tcW w:w="1590" w:type="dxa"/>
            <w:vAlign w:val="center"/>
          </w:tcPr>
          <w:p>
            <w:pPr>
              <w:pStyle w:val="27"/>
              <w:keepNext w:val="0"/>
              <w:keepLines w:val="0"/>
              <w:suppressLineNumbers w:val="0"/>
              <w:spacing w:before="4" w:beforeAutospacing="0" w:after="0" w:afterAutospacing="0"/>
              <w:ind w:left="306" w:right="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建筑面积</w:t>
            </w:r>
          </w:p>
        </w:tc>
        <w:tc>
          <w:tcPr>
            <w:tcW w:w="2893" w:type="dxa"/>
            <w:gridSpan w:val="3"/>
            <w:vAlign w:val="center"/>
          </w:tcPr>
          <w:p>
            <w:pPr>
              <w:pStyle w:val="27"/>
              <w:keepNext w:val="0"/>
              <w:keepLines w:val="0"/>
              <w:suppressLineNumbers w:val="0"/>
              <w:spacing w:before="1" w:beforeAutospacing="0" w:after="0" w:afterAutospacing="0"/>
              <w:ind w:left="0" w:right="89"/>
              <w:jc w:val="center"/>
              <w:rPr>
                <w:rFonts w:hint="default" w:ascii="仿宋" w:hAnsi="仿宋" w:eastAsia="仿宋" w:cs="楷体"/>
                <w:color w:val="auto"/>
                <w:sz w:val="11"/>
                <w:szCs w:val="22"/>
                <w:highlight w:val="none"/>
              </w:rPr>
            </w:pPr>
            <w:r>
              <w:rPr>
                <w:rFonts w:hint="eastAsia" w:ascii="仿宋" w:hAnsi="仿宋" w:eastAsia="仿宋" w:cs="楷体"/>
                <w:color w:val="auto"/>
                <w:position w:val="-11"/>
                <w:sz w:val="22"/>
                <w:szCs w:val="22"/>
                <w:highlight w:val="none"/>
              </w:rPr>
              <w:t>M</w:t>
            </w:r>
            <w:r>
              <w:rPr>
                <w:rFonts w:hint="eastAsia" w:ascii="仿宋" w:hAnsi="仿宋" w:eastAsia="仿宋" w:cs="楷体"/>
                <w:color w:val="auto"/>
                <w:sz w:val="11"/>
                <w:szCs w:val="22"/>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413" w:type="dxa"/>
            <w:vMerge w:val="continue"/>
            <w:tcBorders>
              <w:top w:val="nil"/>
            </w:tcBorders>
          </w:tcPr>
          <w:p>
            <w:pPr>
              <w:keepNext w:val="0"/>
              <w:keepLines w:val="0"/>
              <w:suppressLineNumbers w:val="0"/>
              <w:spacing w:before="0" w:beforeAutospacing="0" w:after="0" w:afterAutospacing="0"/>
              <w:ind w:left="0" w:right="0"/>
              <w:jc w:val="center"/>
              <w:rPr>
                <w:rFonts w:hint="default" w:ascii="仿宋" w:hAnsi="仿宋" w:eastAsia="仿宋" w:cs="楷体"/>
                <w:color w:val="auto"/>
                <w:sz w:val="2"/>
                <w:szCs w:val="2"/>
                <w:highlight w:val="none"/>
              </w:rPr>
            </w:pPr>
          </w:p>
        </w:tc>
        <w:tc>
          <w:tcPr>
            <w:tcW w:w="1405" w:type="dxa"/>
            <w:vMerge w:val="restart"/>
          </w:tcPr>
          <w:p>
            <w:pPr>
              <w:pStyle w:val="27"/>
              <w:keepNext w:val="0"/>
              <w:keepLines w:val="0"/>
              <w:suppressLineNumbers w:val="0"/>
              <w:spacing w:before="10" w:beforeAutospacing="0" w:after="0" w:afterAutospacing="0"/>
              <w:ind w:left="0" w:right="0"/>
              <w:jc w:val="center"/>
              <w:rPr>
                <w:rFonts w:hint="default" w:ascii="仿宋" w:hAnsi="仿宋" w:eastAsia="仿宋" w:cs="楷体"/>
                <w:b/>
                <w:color w:val="auto"/>
                <w:sz w:val="24"/>
                <w:szCs w:val="22"/>
                <w:highlight w:val="none"/>
              </w:rPr>
            </w:pPr>
          </w:p>
          <w:p>
            <w:pPr>
              <w:pStyle w:val="27"/>
              <w:keepNext w:val="0"/>
              <w:keepLines w:val="0"/>
              <w:suppressLineNumbers w:val="0"/>
              <w:spacing w:before="0" w:beforeAutospacing="0" w:after="0" w:afterAutospacing="0"/>
              <w:ind w:left="115" w:right="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资产情况</w:t>
            </w:r>
          </w:p>
        </w:tc>
        <w:tc>
          <w:tcPr>
            <w:tcW w:w="1503" w:type="dxa"/>
            <w:gridSpan w:val="2"/>
            <w:vAlign w:val="center"/>
          </w:tcPr>
          <w:p>
            <w:pPr>
              <w:pStyle w:val="27"/>
              <w:keepNext w:val="0"/>
              <w:keepLines w:val="0"/>
              <w:suppressLineNumbers w:val="0"/>
              <w:spacing w:before="3" w:beforeAutospacing="0" w:after="0" w:afterAutospacing="0" w:line="289" w:lineRule="exact"/>
              <w:ind w:left="305" w:right="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净资产</w:t>
            </w:r>
          </w:p>
        </w:tc>
        <w:tc>
          <w:tcPr>
            <w:tcW w:w="1590" w:type="dxa"/>
            <w:vAlign w:val="center"/>
          </w:tcPr>
          <w:p>
            <w:pPr>
              <w:pStyle w:val="27"/>
              <w:keepNext w:val="0"/>
              <w:keepLines w:val="0"/>
              <w:suppressLineNumbers w:val="0"/>
              <w:spacing w:before="3" w:beforeAutospacing="0" w:after="0" w:afterAutospacing="0" w:line="289" w:lineRule="exact"/>
              <w:ind w:left="0" w:right="-15"/>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万元</w:t>
            </w:r>
          </w:p>
        </w:tc>
        <w:tc>
          <w:tcPr>
            <w:tcW w:w="2893" w:type="dxa"/>
            <w:gridSpan w:val="3"/>
            <w:vAlign w:val="center"/>
          </w:tcPr>
          <w:p>
            <w:pPr>
              <w:pStyle w:val="27"/>
              <w:keepNext w:val="0"/>
              <w:keepLines w:val="0"/>
              <w:suppressLineNumbers w:val="0"/>
              <w:tabs>
                <w:tab w:val="left" w:pos="3041"/>
              </w:tabs>
              <w:spacing w:before="3" w:beforeAutospacing="0" w:after="0" w:afterAutospacing="0" w:line="289" w:lineRule="exact"/>
              <w:ind w:left="0" w:right="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固定资产原值</w:t>
            </w:r>
            <w:r>
              <w:rPr>
                <w:rFonts w:hint="eastAsia" w:ascii="仿宋" w:hAnsi="仿宋" w:eastAsia="仿宋" w:cs="楷体"/>
                <w:color w:val="auto"/>
                <w:sz w:val="22"/>
                <w:szCs w:val="22"/>
                <w:highlight w:val="none"/>
                <w:lang w:val="en-US" w:eastAsia="zh-CN"/>
              </w:rPr>
              <w:t xml:space="preserve">     </w:t>
            </w:r>
            <w:r>
              <w:rPr>
                <w:rFonts w:hint="eastAsia" w:ascii="仿宋" w:hAnsi="仿宋" w:eastAsia="仿宋" w:cs="楷体"/>
                <w:color w:val="auto"/>
                <w:sz w:val="22"/>
                <w:szCs w:val="22"/>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413" w:type="dxa"/>
            <w:vMerge w:val="continue"/>
            <w:tcBorders>
              <w:top w:val="nil"/>
            </w:tcBorders>
          </w:tcPr>
          <w:p>
            <w:pPr>
              <w:keepNext w:val="0"/>
              <w:keepLines w:val="0"/>
              <w:suppressLineNumbers w:val="0"/>
              <w:spacing w:before="0" w:beforeAutospacing="0" w:after="0" w:afterAutospacing="0"/>
              <w:ind w:left="0" w:right="0"/>
              <w:jc w:val="center"/>
              <w:rPr>
                <w:rFonts w:hint="default" w:ascii="仿宋" w:hAnsi="仿宋" w:eastAsia="仿宋" w:cs="楷体"/>
                <w:color w:val="auto"/>
                <w:sz w:val="2"/>
                <w:szCs w:val="2"/>
                <w:highlight w:val="none"/>
              </w:rPr>
            </w:pPr>
          </w:p>
        </w:tc>
        <w:tc>
          <w:tcPr>
            <w:tcW w:w="1405" w:type="dxa"/>
            <w:vMerge w:val="continue"/>
            <w:tcBorders>
              <w:top w:val="nil"/>
            </w:tcBorders>
          </w:tcPr>
          <w:p>
            <w:pPr>
              <w:keepNext w:val="0"/>
              <w:keepLines w:val="0"/>
              <w:suppressLineNumbers w:val="0"/>
              <w:spacing w:before="0" w:beforeAutospacing="0" w:after="0" w:afterAutospacing="0"/>
              <w:ind w:left="0" w:right="0"/>
              <w:jc w:val="center"/>
              <w:rPr>
                <w:rFonts w:hint="default" w:ascii="仿宋" w:hAnsi="仿宋" w:eastAsia="仿宋" w:cs="楷体"/>
                <w:color w:val="auto"/>
                <w:sz w:val="2"/>
                <w:szCs w:val="2"/>
                <w:highlight w:val="none"/>
              </w:rPr>
            </w:pPr>
          </w:p>
        </w:tc>
        <w:tc>
          <w:tcPr>
            <w:tcW w:w="1503" w:type="dxa"/>
            <w:gridSpan w:val="2"/>
            <w:vAlign w:val="center"/>
          </w:tcPr>
          <w:p>
            <w:pPr>
              <w:pStyle w:val="27"/>
              <w:keepNext w:val="0"/>
              <w:keepLines w:val="0"/>
              <w:suppressLineNumbers w:val="0"/>
              <w:spacing w:before="2" w:beforeAutospacing="0" w:after="0" w:afterAutospacing="0"/>
              <w:ind w:left="425" w:right="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负债</w:t>
            </w:r>
          </w:p>
        </w:tc>
        <w:tc>
          <w:tcPr>
            <w:tcW w:w="1590" w:type="dxa"/>
            <w:vAlign w:val="center"/>
          </w:tcPr>
          <w:p>
            <w:pPr>
              <w:pStyle w:val="27"/>
              <w:keepNext w:val="0"/>
              <w:keepLines w:val="0"/>
              <w:suppressLineNumbers w:val="0"/>
              <w:spacing w:before="182" w:beforeAutospacing="0" w:after="0" w:afterAutospacing="0"/>
              <w:ind w:left="0" w:right="-15"/>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万元</w:t>
            </w:r>
          </w:p>
        </w:tc>
        <w:tc>
          <w:tcPr>
            <w:tcW w:w="2893" w:type="dxa"/>
            <w:gridSpan w:val="3"/>
            <w:vAlign w:val="center"/>
          </w:tcPr>
          <w:p>
            <w:pPr>
              <w:pStyle w:val="27"/>
              <w:keepNext w:val="0"/>
              <w:keepLines w:val="0"/>
              <w:suppressLineNumbers w:val="0"/>
              <w:tabs>
                <w:tab w:val="left" w:pos="3041"/>
              </w:tabs>
              <w:spacing w:before="2" w:beforeAutospacing="0" w:after="0" w:afterAutospacing="0"/>
              <w:ind w:left="0" w:right="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固定资产净值</w:t>
            </w:r>
            <w:r>
              <w:rPr>
                <w:rFonts w:hint="eastAsia" w:ascii="仿宋" w:hAnsi="仿宋" w:eastAsia="仿宋" w:cs="楷体"/>
                <w:color w:val="auto"/>
                <w:sz w:val="22"/>
                <w:szCs w:val="22"/>
                <w:highlight w:val="none"/>
                <w:lang w:val="en-US" w:eastAsia="zh-CN"/>
              </w:rPr>
              <w:t xml:space="preserve">    </w:t>
            </w:r>
            <w:r>
              <w:rPr>
                <w:rFonts w:hint="eastAsia" w:ascii="仿宋" w:hAnsi="仿宋" w:eastAsia="仿宋" w:cs="楷体"/>
                <w:color w:val="auto"/>
                <w:sz w:val="22"/>
                <w:szCs w:val="22"/>
                <w:highlight w:val="none"/>
              </w:rPr>
              <w:t>万元</w:t>
            </w:r>
          </w:p>
        </w:tc>
      </w:tr>
    </w:tbl>
    <w:p>
      <w:pPr>
        <w:spacing w:line="580" w:lineRule="exact"/>
        <w:rPr>
          <w:rFonts w:ascii="仿宋" w:hAnsi="仿宋" w:eastAsia="仿宋" w:cs="楷体"/>
          <w:bCs/>
          <w:color w:val="auto"/>
          <w:sz w:val="28"/>
          <w:szCs w:val="28"/>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Cs/>
          <w:color w:val="auto"/>
          <w:sz w:val="28"/>
          <w:szCs w:val="28"/>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Cs/>
          <w:color w:val="auto"/>
          <w:sz w:val="32"/>
          <w:szCs w:val="32"/>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Cs/>
          <w:color w:val="auto"/>
          <w:sz w:val="32"/>
          <w:szCs w:val="32"/>
          <w:highlight w:val="none"/>
        </w:rPr>
      </w:pPr>
    </w:p>
    <w:p>
      <w:pPr>
        <w:pStyle w:val="22"/>
        <w:pBdr>
          <w:top w:val="none" w:color="auto" w:sz="0" w:space="0"/>
          <w:left w:val="none" w:color="auto" w:sz="0" w:space="0"/>
          <w:bottom w:val="none" w:color="auto" w:sz="0" w:space="0"/>
          <w:right w:val="none" w:color="auto" w:sz="0" w:space="0"/>
          <w:between w:val="none" w:color="auto" w:sz="0" w:space="0"/>
        </w:pBdr>
        <w:rPr>
          <w:rFonts w:ascii="仿宋" w:hAnsi="仿宋" w:eastAsia="仿宋" w:cs="楷体"/>
          <w:bCs/>
          <w:color w:val="auto"/>
          <w:sz w:val="32"/>
          <w:szCs w:val="32"/>
          <w:highlight w:val="none"/>
        </w:rPr>
      </w:pPr>
    </w:p>
    <w:p>
      <w:pPr>
        <w:spacing w:line="580" w:lineRule="exact"/>
        <w:jc w:val="center"/>
        <w:rPr>
          <w:rFonts w:ascii="仿宋" w:hAnsi="仿宋" w:eastAsia="仿宋" w:cs="楷体"/>
          <w:b/>
          <w:bCs/>
          <w:color w:val="auto"/>
          <w:sz w:val="24"/>
          <w:highlight w:val="none"/>
        </w:rPr>
      </w:pPr>
      <w:r>
        <w:rPr>
          <w:rFonts w:hint="eastAsia" w:ascii="仿宋" w:hAnsi="仿宋" w:eastAsia="仿宋" w:cs="楷体"/>
          <w:b/>
          <w:bCs/>
          <w:color w:val="auto"/>
          <w:sz w:val="24"/>
          <w:highlight w:val="none"/>
        </w:rPr>
        <w:t>附表2.企业人员情况表</w:t>
      </w:r>
    </w:p>
    <w:p>
      <w:pPr>
        <w:spacing w:line="200" w:lineRule="exact"/>
        <w:rPr>
          <w:rFonts w:ascii="仿宋" w:hAnsi="仿宋" w:eastAsia="仿宋" w:cs="楷体"/>
          <w:bCs/>
          <w:color w:val="auto"/>
          <w:highlight w:val="none"/>
        </w:rPr>
      </w:pPr>
    </w:p>
    <w:p>
      <w:pPr>
        <w:spacing w:line="360" w:lineRule="auto"/>
        <w:ind w:firstLine="330" w:firstLineChars="15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磋商供应商：（公章）</w:t>
      </w:r>
    </w:p>
    <w:tbl>
      <w:tblPr>
        <w:tblStyle w:val="19"/>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54"/>
        <w:gridCol w:w="22"/>
        <w:gridCol w:w="1419"/>
        <w:gridCol w:w="1418"/>
        <w:gridCol w:w="992"/>
        <w:gridCol w:w="141"/>
        <w:gridCol w:w="568"/>
        <w:gridCol w:w="56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60" w:type="dxa"/>
            <w:vMerge w:val="restart"/>
            <w:vAlign w:val="center"/>
          </w:tcPr>
          <w:p>
            <w:pPr>
              <w:keepNext w:val="0"/>
              <w:keepLines w:val="0"/>
              <w:suppressLineNumbers w:val="0"/>
              <w:spacing w:before="0" w:beforeAutospacing="0" w:after="0" w:afterAutospacing="0" w:line="400" w:lineRule="exact"/>
              <w:ind w:left="1" w:right="0" w:hanging="1"/>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企业总人数</w:t>
            </w:r>
          </w:p>
        </w:tc>
        <w:tc>
          <w:tcPr>
            <w:tcW w:w="4113" w:type="dxa"/>
            <w:gridSpan w:val="4"/>
            <w:vAlign w:val="center"/>
          </w:tcPr>
          <w:p>
            <w:pPr>
              <w:keepNext w:val="0"/>
              <w:keepLines w:val="0"/>
              <w:suppressLineNumbers w:val="0"/>
              <w:spacing w:before="0" w:beforeAutospacing="0" w:after="0" w:afterAutospacing="0" w:line="400" w:lineRule="exact"/>
              <w:ind w:left="900" w:right="0" w:hanging="48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其中：</w:t>
            </w:r>
          </w:p>
        </w:tc>
        <w:tc>
          <w:tcPr>
            <w:tcW w:w="3685" w:type="dxa"/>
            <w:gridSpan w:val="5"/>
            <w:vAlign w:val="center"/>
          </w:tcPr>
          <w:p>
            <w:pPr>
              <w:keepNext w:val="0"/>
              <w:keepLines w:val="0"/>
              <w:suppressLineNumbers w:val="0"/>
              <w:spacing w:before="0" w:beforeAutospacing="0" w:after="0" w:afterAutospacing="0" w:line="400" w:lineRule="exact"/>
              <w:ind w:left="900" w:right="0" w:hanging="480"/>
              <w:jc w:val="center"/>
              <w:rPr>
                <w:rFonts w:hint="default" w:ascii="仿宋" w:hAnsi="仿宋" w:eastAsia="仿宋" w:cs="楷体"/>
                <w:color w:val="auto"/>
                <w:sz w:val="22"/>
                <w:szCs w:val="22"/>
                <w:highlight w:val="none"/>
              </w:rPr>
            </w:pPr>
            <w:r>
              <w:rPr>
                <w:rFonts w:hint="eastAsia" w:ascii="仿宋" w:hAnsi="仿宋" w:eastAsia="仿宋" w:cs="楷体"/>
                <w:color w:val="auto"/>
                <w:sz w:val="22"/>
                <w:szCs w:val="22"/>
                <w:highlight w:val="none"/>
              </w:rPr>
              <w:t>获得各类专业技术职称人数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60" w:type="dxa"/>
            <w:vMerge w:val="continue"/>
            <w:vAlign w:val="center"/>
          </w:tcPr>
          <w:p>
            <w:pPr>
              <w:keepNext w:val="0"/>
              <w:keepLines w:val="0"/>
              <w:suppressLineNumbers w:val="0"/>
              <w:spacing w:before="0" w:beforeAutospacing="0" w:after="0" w:afterAutospacing="0" w:line="400" w:lineRule="exact"/>
              <w:ind w:left="900" w:right="0" w:hanging="480"/>
              <w:jc w:val="center"/>
              <w:rPr>
                <w:rFonts w:hint="default" w:ascii="仿宋" w:hAnsi="仿宋" w:eastAsia="仿宋" w:cs="楷体"/>
                <w:color w:val="auto"/>
                <w:sz w:val="22"/>
                <w:szCs w:val="22"/>
                <w:highlight w:val="none"/>
              </w:rPr>
            </w:pPr>
          </w:p>
        </w:tc>
        <w:tc>
          <w:tcPr>
            <w:tcW w:w="1254"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sz w:val="22"/>
                <w:szCs w:val="22"/>
                <w:highlight w:val="none"/>
              </w:rPr>
            </w:pPr>
            <w:r>
              <w:rPr>
                <w:rFonts w:hint="eastAsia" w:ascii="仿宋" w:hAnsi="仿宋" w:eastAsia="仿宋" w:cs="楷体"/>
                <w:color w:val="auto"/>
                <w:sz w:val="20"/>
                <w:szCs w:val="20"/>
                <w:highlight w:val="none"/>
              </w:rPr>
              <w:t>管理人员</w:t>
            </w:r>
          </w:p>
        </w:tc>
        <w:tc>
          <w:tcPr>
            <w:tcW w:w="1441" w:type="dxa"/>
            <w:gridSpan w:val="2"/>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sz w:val="22"/>
                <w:szCs w:val="22"/>
                <w:highlight w:val="none"/>
              </w:rPr>
            </w:pPr>
            <w:r>
              <w:rPr>
                <w:rFonts w:hint="eastAsia" w:ascii="仿宋" w:hAnsi="仿宋" w:eastAsia="仿宋" w:cs="楷体"/>
                <w:color w:val="auto"/>
                <w:sz w:val="20"/>
                <w:szCs w:val="20"/>
                <w:highlight w:val="none"/>
              </w:rPr>
              <w:t>技术人员</w:t>
            </w:r>
          </w:p>
        </w:tc>
        <w:tc>
          <w:tcPr>
            <w:tcW w:w="1418"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sz w:val="22"/>
                <w:szCs w:val="22"/>
                <w:highlight w:val="none"/>
              </w:rPr>
            </w:pPr>
            <w:r>
              <w:rPr>
                <w:rFonts w:hint="eastAsia" w:ascii="仿宋" w:hAnsi="仿宋" w:eastAsia="仿宋" w:cs="楷体"/>
                <w:color w:val="auto"/>
                <w:sz w:val="20"/>
                <w:szCs w:val="20"/>
                <w:highlight w:val="none"/>
              </w:rPr>
              <w:t>其他人员</w:t>
            </w:r>
          </w:p>
        </w:tc>
        <w:tc>
          <w:tcPr>
            <w:tcW w:w="1133" w:type="dxa"/>
            <w:gridSpan w:val="2"/>
            <w:vAlign w:val="center"/>
          </w:tcPr>
          <w:p>
            <w:pPr>
              <w:keepNext w:val="0"/>
              <w:keepLines w:val="0"/>
              <w:suppressLineNumbers w:val="0"/>
              <w:spacing w:before="0" w:beforeAutospacing="0" w:after="0" w:afterAutospacing="0" w:line="400" w:lineRule="exact"/>
              <w:ind w:left="-7" w:leftChars="-67" w:right="0" w:hanging="134" w:hangingChars="67"/>
              <w:jc w:val="center"/>
              <w:rPr>
                <w:rFonts w:hint="default" w:ascii="仿宋" w:hAnsi="仿宋" w:eastAsia="仿宋" w:cs="楷体"/>
                <w:color w:val="auto"/>
                <w:sz w:val="22"/>
                <w:szCs w:val="22"/>
                <w:highlight w:val="none"/>
              </w:rPr>
            </w:pPr>
            <w:r>
              <w:rPr>
                <w:rFonts w:hint="eastAsia" w:ascii="仿宋" w:hAnsi="仿宋" w:eastAsia="仿宋" w:cs="楷体"/>
                <w:color w:val="auto"/>
                <w:sz w:val="20"/>
                <w:szCs w:val="20"/>
                <w:highlight w:val="none"/>
              </w:rPr>
              <w:t>高级职称</w:t>
            </w:r>
          </w:p>
        </w:tc>
        <w:tc>
          <w:tcPr>
            <w:tcW w:w="1135" w:type="dxa"/>
            <w:gridSpan w:val="2"/>
            <w:vAlign w:val="center"/>
          </w:tcPr>
          <w:p>
            <w:pPr>
              <w:keepNext w:val="0"/>
              <w:keepLines w:val="0"/>
              <w:suppressLineNumbers w:val="0"/>
              <w:spacing w:before="0" w:beforeAutospacing="0" w:after="0" w:afterAutospacing="0" w:line="400" w:lineRule="exact"/>
              <w:ind w:left="36" w:leftChars="17" w:right="0"/>
              <w:jc w:val="center"/>
              <w:rPr>
                <w:rFonts w:hint="default" w:ascii="仿宋" w:hAnsi="仿宋" w:eastAsia="仿宋" w:cs="楷体"/>
                <w:color w:val="auto"/>
                <w:sz w:val="22"/>
                <w:szCs w:val="22"/>
                <w:highlight w:val="none"/>
              </w:rPr>
            </w:pPr>
            <w:r>
              <w:rPr>
                <w:rFonts w:hint="eastAsia" w:ascii="仿宋" w:hAnsi="仿宋" w:eastAsia="仿宋" w:cs="楷体"/>
                <w:color w:val="auto"/>
                <w:sz w:val="20"/>
                <w:szCs w:val="20"/>
                <w:highlight w:val="none"/>
              </w:rPr>
              <w:t>中级职称</w:t>
            </w:r>
          </w:p>
        </w:tc>
        <w:tc>
          <w:tcPr>
            <w:tcW w:w="1417"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sz w:val="22"/>
                <w:szCs w:val="22"/>
                <w:highlight w:val="none"/>
              </w:rPr>
            </w:pPr>
            <w:r>
              <w:rPr>
                <w:rFonts w:hint="eastAsia" w:ascii="仿宋" w:hAnsi="仿宋" w:eastAsia="仿宋" w:cs="楷体"/>
                <w:color w:val="auto"/>
                <w:sz w:val="20"/>
                <w:szCs w:val="20"/>
                <w:highlight w:val="none"/>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60" w:type="dxa"/>
            <w:vMerge w:val="continue"/>
            <w:vAlign w:val="center"/>
          </w:tcPr>
          <w:p>
            <w:pPr>
              <w:keepNext w:val="0"/>
              <w:keepLines w:val="0"/>
              <w:suppressLineNumbers w:val="0"/>
              <w:spacing w:before="0" w:beforeAutospacing="0" w:after="0" w:afterAutospacing="0" w:line="400" w:lineRule="exact"/>
              <w:ind w:left="900" w:right="0" w:hanging="480"/>
              <w:jc w:val="center"/>
              <w:rPr>
                <w:rFonts w:hint="default" w:ascii="仿宋" w:hAnsi="仿宋" w:eastAsia="仿宋" w:cs="楷体"/>
                <w:color w:val="auto"/>
                <w:sz w:val="22"/>
                <w:szCs w:val="22"/>
                <w:highlight w:val="none"/>
              </w:rPr>
            </w:pPr>
          </w:p>
        </w:tc>
        <w:tc>
          <w:tcPr>
            <w:tcW w:w="1254" w:type="dxa"/>
            <w:vAlign w:val="center"/>
          </w:tcPr>
          <w:p>
            <w:pPr>
              <w:keepNext w:val="0"/>
              <w:keepLines w:val="0"/>
              <w:suppressLineNumbers w:val="0"/>
              <w:spacing w:before="0" w:beforeAutospacing="0" w:after="0" w:afterAutospacing="0" w:line="400" w:lineRule="exact"/>
              <w:ind w:left="900" w:right="0" w:hanging="480"/>
              <w:jc w:val="center"/>
              <w:rPr>
                <w:rFonts w:hint="default" w:ascii="仿宋" w:hAnsi="仿宋" w:eastAsia="仿宋" w:cs="楷体"/>
                <w:color w:val="auto"/>
                <w:sz w:val="22"/>
                <w:szCs w:val="22"/>
                <w:highlight w:val="none"/>
              </w:rPr>
            </w:pPr>
          </w:p>
        </w:tc>
        <w:tc>
          <w:tcPr>
            <w:tcW w:w="1441" w:type="dxa"/>
            <w:gridSpan w:val="2"/>
            <w:vAlign w:val="center"/>
          </w:tcPr>
          <w:p>
            <w:pPr>
              <w:keepNext w:val="0"/>
              <w:keepLines w:val="0"/>
              <w:suppressLineNumbers w:val="0"/>
              <w:spacing w:before="0" w:beforeAutospacing="0" w:after="0" w:afterAutospacing="0" w:line="400" w:lineRule="exact"/>
              <w:ind w:left="900" w:right="0" w:hanging="480"/>
              <w:jc w:val="center"/>
              <w:rPr>
                <w:rFonts w:hint="default" w:ascii="仿宋" w:hAnsi="仿宋" w:eastAsia="仿宋" w:cs="楷体"/>
                <w:color w:val="auto"/>
                <w:sz w:val="22"/>
                <w:szCs w:val="22"/>
                <w:highlight w:val="none"/>
              </w:rPr>
            </w:pPr>
          </w:p>
        </w:tc>
        <w:tc>
          <w:tcPr>
            <w:tcW w:w="1418" w:type="dxa"/>
            <w:vAlign w:val="center"/>
          </w:tcPr>
          <w:p>
            <w:pPr>
              <w:keepNext w:val="0"/>
              <w:keepLines w:val="0"/>
              <w:suppressLineNumbers w:val="0"/>
              <w:spacing w:before="0" w:beforeAutospacing="0" w:after="0" w:afterAutospacing="0" w:line="400" w:lineRule="exact"/>
              <w:ind w:left="900" w:right="0" w:hanging="480"/>
              <w:jc w:val="center"/>
              <w:rPr>
                <w:rFonts w:hint="default" w:ascii="仿宋" w:hAnsi="仿宋" w:eastAsia="仿宋" w:cs="楷体"/>
                <w:color w:val="auto"/>
                <w:sz w:val="22"/>
                <w:szCs w:val="22"/>
                <w:highlight w:val="none"/>
              </w:rPr>
            </w:pPr>
          </w:p>
        </w:tc>
        <w:tc>
          <w:tcPr>
            <w:tcW w:w="1133" w:type="dxa"/>
            <w:gridSpan w:val="2"/>
            <w:vAlign w:val="center"/>
          </w:tcPr>
          <w:p>
            <w:pPr>
              <w:keepNext w:val="0"/>
              <w:keepLines w:val="0"/>
              <w:suppressLineNumbers w:val="0"/>
              <w:spacing w:before="0" w:beforeAutospacing="0" w:after="0" w:afterAutospacing="0" w:line="400" w:lineRule="exact"/>
              <w:ind w:left="900" w:right="0" w:hanging="480"/>
              <w:jc w:val="center"/>
              <w:rPr>
                <w:rFonts w:hint="default" w:ascii="仿宋" w:hAnsi="仿宋" w:eastAsia="仿宋" w:cs="楷体"/>
                <w:color w:val="auto"/>
                <w:sz w:val="22"/>
                <w:szCs w:val="22"/>
                <w:highlight w:val="none"/>
              </w:rPr>
            </w:pPr>
          </w:p>
        </w:tc>
        <w:tc>
          <w:tcPr>
            <w:tcW w:w="1135" w:type="dxa"/>
            <w:gridSpan w:val="2"/>
            <w:vAlign w:val="center"/>
          </w:tcPr>
          <w:p>
            <w:pPr>
              <w:keepNext w:val="0"/>
              <w:keepLines w:val="0"/>
              <w:suppressLineNumbers w:val="0"/>
              <w:spacing w:before="0" w:beforeAutospacing="0" w:after="0" w:afterAutospacing="0" w:line="400" w:lineRule="exact"/>
              <w:ind w:left="900" w:right="0" w:hanging="480"/>
              <w:jc w:val="center"/>
              <w:rPr>
                <w:rFonts w:hint="default" w:ascii="仿宋" w:hAnsi="仿宋" w:eastAsia="仿宋" w:cs="楷体"/>
                <w:color w:val="auto"/>
                <w:sz w:val="22"/>
                <w:szCs w:val="22"/>
                <w:highlight w:val="none"/>
              </w:rPr>
            </w:pPr>
          </w:p>
        </w:tc>
        <w:tc>
          <w:tcPr>
            <w:tcW w:w="1417" w:type="dxa"/>
            <w:vAlign w:val="center"/>
          </w:tcPr>
          <w:p>
            <w:pPr>
              <w:keepNext w:val="0"/>
              <w:keepLines w:val="0"/>
              <w:suppressLineNumbers w:val="0"/>
              <w:spacing w:before="0" w:beforeAutospacing="0" w:after="0" w:afterAutospacing="0" w:line="400" w:lineRule="exact"/>
              <w:ind w:left="900" w:right="0" w:hanging="480"/>
              <w:jc w:val="center"/>
              <w:rPr>
                <w:rFonts w:hint="default" w:ascii="仿宋" w:hAnsi="仿宋" w:eastAsia="仿宋" w:cs="楷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58" w:type="dxa"/>
            <w:gridSpan w:val="1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0"/>
                <w:szCs w:val="22"/>
                <w:highlight w:val="none"/>
              </w:rPr>
            </w:pPr>
            <w:r>
              <w:rPr>
                <w:rFonts w:hint="eastAsia" w:ascii="仿宋" w:hAnsi="仿宋" w:eastAsia="仿宋" w:cs="楷体"/>
                <w:bCs/>
                <w:color w:val="auto"/>
                <w:sz w:val="20"/>
                <w:szCs w:val="22"/>
                <w:highlight w:val="none"/>
              </w:rPr>
              <w:t>项目组织实施人员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58" w:type="dxa"/>
            <w:gridSpan w:val="10"/>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姓名</w:t>
            </w:r>
          </w:p>
        </w:tc>
        <w:tc>
          <w:tcPr>
            <w:tcW w:w="1276" w:type="dxa"/>
            <w:gridSpan w:val="2"/>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年龄</w:t>
            </w:r>
          </w:p>
        </w:tc>
        <w:tc>
          <w:tcPr>
            <w:tcW w:w="1419"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职务</w:t>
            </w:r>
          </w:p>
        </w:tc>
        <w:tc>
          <w:tcPr>
            <w:tcW w:w="1418"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资格/职称</w:t>
            </w:r>
          </w:p>
        </w:tc>
        <w:tc>
          <w:tcPr>
            <w:tcW w:w="1701" w:type="dxa"/>
            <w:gridSpan w:val="3"/>
            <w:vAlign w:val="center"/>
          </w:tcPr>
          <w:p>
            <w:pPr>
              <w:keepNext w:val="0"/>
              <w:keepLines w:val="0"/>
              <w:suppressLineNumbers w:val="0"/>
              <w:spacing w:before="0" w:beforeAutospacing="0" w:after="0" w:afterAutospacing="0" w:line="28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在本行业</w:t>
            </w:r>
          </w:p>
          <w:p>
            <w:pPr>
              <w:keepNext w:val="0"/>
              <w:keepLines w:val="0"/>
              <w:suppressLineNumbers w:val="0"/>
              <w:spacing w:before="0" w:beforeAutospacing="0" w:after="0" w:afterAutospacing="0" w:line="28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从业工作年限</w:t>
            </w:r>
          </w:p>
        </w:tc>
        <w:tc>
          <w:tcPr>
            <w:tcW w:w="1984" w:type="dxa"/>
            <w:gridSpan w:val="2"/>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8"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8"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58" w:type="dxa"/>
            <w:gridSpan w:val="10"/>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2.工程技术人员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姓名</w:t>
            </w:r>
          </w:p>
        </w:tc>
        <w:tc>
          <w:tcPr>
            <w:tcW w:w="1276" w:type="dxa"/>
            <w:gridSpan w:val="2"/>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年龄</w:t>
            </w:r>
          </w:p>
        </w:tc>
        <w:tc>
          <w:tcPr>
            <w:tcW w:w="1419"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职务</w:t>
            </w:r>
          </w:p>
        </w:tc>
        <w:tc>
          <w:tcPr>
            <w:tcW w:w="1418"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资格/职称</w:t>
            </w:r>
          </w:p>
        </w:tc>
        <w:tc>
          <w:tcPr>
            <w:tcW w:w="1701" w:type="dxa"/>
            <w:gridSpan w:val="3"/>
            <w:vAlign w:val="center"/>
          </w:tcPr>
          <w:p>
            <w:pPr>
              <w:keepNext w:val="0"/>
              <w:keepLines w:val="0"/>
              <w:suppressLineNumbers w:val="0"/>
              <w:spacing w:before="0" w:beforeAutospacing="0" w:after="0" w:afterAutospacing="0" w:line="28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在本行业</w:t>
            </w:r>
          </w:p>
          <w:p>
            <w:pPr>
              <w:keepNext w:val="0"/>
              <w:keepLines w:val="0"/>
              <w:suppressLineNumbers w:val="0"/>
              <w:spacing w:before="0" w:beforeAutospacing="0" w:after="0" w:afterAutospacing="0" w:line="28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从业工作年限</w:t>
            </w:r>
          </w:p>
        </w:tc>
        <w:tc>
          <w:tcPr>
            <w:tcW w:w="1984" w:type="dxa"/>
            <w:gridSpan w:val="2"/>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8"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8"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8"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8"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8"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58" w:type="dxa"/>
            <w:gridSpan w:val="10"/>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3.辅助人员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6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姓名</w:t>
            </w:r>
          </w:p>
        </w:tc>
        <w:tc>
          <w:tcPr>
            <w:tcW w:w="1276" w:type="dxa"/>
            <w:gridSpan w:val="2"/>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年龄</w:t>
            </w:r>
          </w:p>
        </w:tc>
        <w:tc>
          <w:tcPr>
            <w:tcW w:w="1419"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学历/职称</w:t>
            </w:r>
          </w:p>
        </w:tc>
        <w:tc>
          <w:tcPr>
            <w:tcW w:w="2410" w:type="dxa"/>
            <w:gridSpan w:val="2"/>
            <w:vAlign w:val="center"/>
          </w:tcPr>
          <w:p>
            <w:pPr>
              <w:keepNext w:val="0"/>
              <w:keepLines w:val="0"/>
              <w:suppressLineNumbers w:val="0"/>
              <w:spacing w:before="0" w:beforeAutospacing="0" w:after="0" w:afterAutospacing="0" w:line="28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从事类似项目</w:t>
            </w:r>
          </w:p>
          <w:p>
            <w:pPr>
              <w:keepNext w:val="0"/>
              <w:keepLines w:val="0"/>
              <w:suppressLineNumbers w:val="0"/>
              <w:spacing w:before="0" w:beforeAutospacing="0" w:after="0" w:afterAutospacing="0" w:line="28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工作年限</w:t>
            </w:r>
          </w:p>
        </w:tc>
        <w:tc>
          <w:tcPr>
            <w:tcW w:w="2693" w:type="dxa"/>
            <w:gridSpan w:val="4"/>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bCs/>
                <w:color w:val="auto"/>
                <w:sz w:val="22"/>
                <w:szCs w:val="22"/>
                <w:highlight w:val="none"/>
              </w:rPr>
            </w:pPr>
            <w:r>
              <w:rPr>
                <w:rFonts w:hint="eastAsia" w:ascii="仿宋" w:hAnsi="仿宋" w:eastAsia="仿宋" w:cs="楷体"/>
                <w:bCs/>
                <w:color w:val="auto"/>
                <w:sz w:val="22"/>
                <w:szCs w:val="22"/>
                <w:highlight w:val="none"/>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2410"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2693" w:type="dxa"/>
            <w:gridSpan w:val="4"/>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2410"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2693" w:type="dxa"/>
            <w:gridSpan w:val="4"/>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2410"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2693" w:type="dxa"/>
            <w:gridSpan w:val="4"/>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2410"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2693" w:type="dxa"/>
            <w:gridSpan w:val="4"/>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1419" w:type="dxa"/>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2410" w:type="dxa"/>
            <w:gridSpan w:val="2"/>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c>
          <w:tcPr>
            <w:tcW w:w="2693" w:type="dxa"/>
            <w:gridSpan w:val="4"/>
            <w:vAlign w:val="center"/>
          </w:tcPr>
          <w:p>
            <w:pPr>
              <w:keepNext w:val="0"/>
              <w:keepLines w:val="0"/>
              <w:suppressLineNumbers w:val="0"/>
              <w:spacing w:before="0" w:beforeAutospacing="0" w:after="0" w:afterAutospacing="0" w:line="400" w:lineRule="exact"/>
              <w:ind w:left="0" w:right="0"/>
              <w:rPr>
                <w:rFonts w:hint="default" w:ascii="仿宋" w:hAnsi="仿宋" w:eastAsia="仿宋" w:cs="楷体"/>
                <w:bCs/>
                <w:color w:val="auto"/>
                <w:sz w:val="22"/>
                <w:szCs w:val="22"/>
                <w:highlight w:val="none"/>
              </w:rPr>
            </w:pPr>
          </w:p>
        </w:tc>
      </w:tr>
    </w:tbl>
    <w:p>
      <w:pPr>
        <w:spacing w:line="440" w:lineRule="exact"/>
        <w:rPr>
          <w:rFonts w:ascii="仿宋" w:hAnsi="仿宋" w:eastAsia="仿宋" w:cs="楷体"/>
          <w:b/>
          <w:bCs/>
          <w:color w:val="auto"/>
          <w:highlight w:val="none"/>
        </w:rPr>
      </w:pPr>
    </w:p>
    <w:p>
      <w:pPr>
        <w:spacing w:line="440" w:lineRule="exact"/>
        <w:rPr>
          <w:rFonts w:ascii="仿宋" w:hAnsi="仿宋" w:eastAsia="仿宋" w:cs="楷体"/>
          <w:b/>
          <w:bCs/>
          <w:color w:val="auto"/>
          <w:highlight w:val="none"/>
        </w:rPr>
      </w:pPr>
    </w:p>
    <w:p>
      <w:pPr>
        <w:pStyle w:val="5"/>
        <w:rPr>
          <w:rFonts w:ascii="仿宋" w:hAnsi="仿宋" w:eastAsia="仿宋" w:cs="楷体"/>
          <w:b/>
          <w:bCs/>
          <w:color w:val="auto"/>
          <w:highlight w:val="none"/>
        </w:rPr>
      </w:pPr>
    </w:p>
    <w:p>
      <w:pPr>
        <w:rPr>
          <w:rFonts w:ascii="仿宋" w:hAnsi="仿宋" w:eastAsia="仿宋" w:cs="楷体"/>
          <w:b/>
          <w:bCs/>
          <w:color w:val="auto"/>
          <w:highlight w:val="none"/>
        </w:rPr>
      </w:pPr>
    </w:p>
    <w:p>
      <w:pPr>
        <w:rPr>
          <w:rFonts w:ascii="仿宋" w:hAnsi="仿宋" w:eastAsia="仿宋" w:cs="楷体"/>
          <w:b/>
          <w:bCs/>
          <w:color w:val="auto"/>
          <w:highlight w:val="none"/>
        </w:rPr>
      </w:pPr>
    </w:p>
    <w:p>
      <w:pPr>
        <w:pStyle w:val="13"/>
        <w:pBdr>
          <w:top w:val="none" w:color="auto" w:sz="0" w:space="0"/>
          <w:left w:val="none" w:color="auto" w:sz="0" w:space="0"/>
          <w:bottom w:val="none" w:color="auto" w:sz="0" w:space="0"/>
          <w:right w:val="none" w:color="auto" w:sz="0" w:space="0"/>
        </w:pBdr>
        <w:rPr>
          <w:rFonts w:ascii="仿宋" w:hAnsi="仿宋" w:eastAsia="仿宋" w:cs="楷体"/>
          <w:b/>
          <w:bCs/>
          <w:color w:val="auto"/>
          <w:highlight w:val="none"/>
        </w:rPr>
      </w:pPr>
    </w:p>
    <w:p>
      <w:pPr>
        <w:tabs>
          <w:tab w:val="left" w:pos="0"/>
        </w:tabs>
        <w:spacing w:line="360" w:lineRule="auto"/>
        <w:ind w:firstLine="422" w:firstLineChars="200"/>
        <w:jc w:val="left"/>
        <w:rPr>
          <w:rFonts w:ascii="仿宋" w:hAnsi="仿宋" w:eastAsia="仿宋" w:cs="楷体"/>
          <w:b/>
          <w:bCs/>
          <w:color w:val="auto"/>
          <w:sz w:val="22"/>
          <w:szCs w:val="22"/>
          <w:highlight w:val="none"/>
        </w:rPr>
      </w:pPr>
      <w:r>
        <w:rPr>
          <w:rFonts w:hint="eastAsia" w:ascii="仿宋" w:hAnsi="仿宋" w:eastAsia="仿宋" w:cs="楷体"/>
          <w:b/>
          <w:bCs/>
          <w:color w:val="auto"/>
          <w:highlight w:val="none"/>
        </w:rPr>
        <w:t>附表3、</w:t>
      </w:r>
      <w:r>
        <w:rPr>
          <w:rFonts w:hint="eastAsia" w:ascii="仿宋" w:hAnsi="仿宋" w:eastAsia="仿宋" w:cs="楷体"/>
          <w:b/>
          <w:bCs/>
          <w:color w:val="auto"/>
          <w:sz w:val="22"/>
          <w:szCs w:val="22"/>
          <w:highlight w:val="none"/>
        </w:rPr>
        <w:t>项目负责人简历表</w:t>
      </w:r>
    </w:p>
    <w:tbl>
      <w:tblPr>
        <w:tblStyle w:val="1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340"/>
        <w:gridCol w:w="4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52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姓       名</w:t>
            </w:r>
          </w:p>
        </w:tc>
        <w:tc>
          <w:tcPr>
            <w:tcW w:w="234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c>
          <w:tcPr>
            <w:tcW w:w="4349"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曾经担任过的相关项目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性       别</w:t>
            </w:r>
          </w:p>
        </w:tc>
        <w:tc>
          <w:tcPr>
            <w:tcW w:w="234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c>
          <w:tcPr>
            <w:tcW w:w="4349"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年       龄</w:t>
            </w:r>
          </w:p>
        </w:tc>
        <w:tc>
          <w:tcPr>
            <w:tcW w:w="234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职       务</w:t>
            </w:r>
          </w:p>
        </w:tc>
        <w:tc>
          <w:tcPr>
            <w:tcW w:w="234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职       称</w:t>
            </w:r>
          </w:p>
        </w:tc>
        <w:tc>
          <w:tcPr>
            <w:tcW w:w="234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毕 业 学 校</w:t>
            </w:r>
          </w:p>
        </w:tc>
        <w:tc>
          <w:tcPr>
            <w:tcW w:w="234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毕 业 时 间</w:t>
            </w:r>
          </w:p>
        </w:tc>
        <w:tc>
          <w:tcPr>
            <w:tcW w:w="234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所 学 专 业</w:t>
            </w:r>
          </w:p>
        </w:tc>
        <w:tc>
          <w:tcPr>
            <w:tcW w:w="234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52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pacing w:val="-20"/>
                <w:szCs w:val="21"/>
                <w:highlight w:val="none"/>
              </w:rPr>
            </w:pPr>
            <w:r>
              <w:rPr>
                <w:rFonts w:hint="eastAsia" w:ascii="仿宋" w:hAnsi="仿宋" w:eastAsia="仿宋" w:cs="楷体"/>
                <w:color w:val="auto"/>
                <w:spacing w:val="-20"/>
                <w:szCs w:val="21"/>
                <w:highlight w:val="none"/>
              </w:rPr>
              <w:t>专业技术资格证书</w:t>
            </w:r>
          </w:p>
        </w:tc>
        <w:tc>
          <w:tcPr>
            <w:tcW w:w="234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52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联 系 电 话</w:t>
            </w:r>
          </w:p>
        </w:tc>
        <w:tc>
          <w:tcPr>
            <w:tcW w:w="234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520" w:type="dxa"/>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拟在本项目中</w:t>
            </w:r>
          </w:p>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r>
              <w:rPr>
                <w:rFonts w:hint="eastAsia" w:ascii="仿宋" w:hAnsi="仿宋" w:eastAsia="仿宋" w:cs="楷体"/>
                <w:color w:val="auto"/>
                <w:szCs w:val="21"/>
                <w:highlight w:val="none"/>
              </w:rPr>
              <w:t>担任主要工作</w:t>
            </w:r>
          </w:p>
        </w:tc>
        <w:tc>
          <w:tcPr>
            <w:tcW w:w="668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p>
            <w:pPr>
              <w:keepNext w:val="0"/>
              <w:keepLines w:val="0"/>
              <w:suppressLineNumbers w:val="0"/>
              <w:spacing w:before="0" w:beforeAutospacing="0" w:after="0" w:afterAutospacing="0"/>
              <w:ind w:left="0" w:right="0"/>
              <w:jc w:val="center"/>
              <w:rPr>
                <w:rFonts w:hint="default" w:ascii="仿宋" w:hAnsi="仿宋" w:eastAsia="仿宋" w:cs="楷体"/>
                <w:color w:val="auto"/>
                <w:szCs w:val="21"/>
                <w:highlight w:val="none"/>
              </w:rPr>
            </w:pPr>
          </w:p>
        </w:tc>
      </w:tr>
    </w:tbl>
    <w:p>
      <w:pPr>
        <w:spacing w:line="440" w:lineRule="exact"/>
        <w:ind w:firstLine="273" w:firstLineChars="170"/>
        <w:rPr>
          <w:rFonts w:ascii="仿宋" w:hAnsi="仿宋" w:eastAsia="仿宋" w:cs="楷体"/>
          <w:b/>
          <w:bCs/>
          <w:color w:val="auto"/>
          <w:sz w:val="16"/>
          <w:szCs w:val="20"/>
          <w:highlight w:val="none"/>
        </w:rPr>
      </w:pPr>
    </w:p>
    <w:p>
      <w:pPr>
        <w:spacing w:line="440" w:lineRule="exact"/>
        <w:ind w:firstLine="358" w:firstLineChars="170"/>
        <w:rPr>
          <w:rFonts w:ascii="仿宋" w:hAnsi="仿宋" w:eastAsia="仿宋" w:cs="楷体"/>
          <w:b/>
          <w:bCs/>
          <w:color w:val="auto"/>
          <w:highlight w:val="none"/>
        </w:rPr>
      </w:pPr>
    </w:p>
    <w:p>
      <w:pPr>
        <w:spacing w:line="440" w:lineRule="exact"/>
        <w:ind w:firstLine="358" w:firstLineChars="170"/>
        <w:rPr>
          <w:rFonts w:ascii="仿宋" w:hAnsi="仿宋" w:eastAsia="仿宋" w:cs="楷体"/>
          <w:b/>
          <w:bCs/>
          <w:color w:val="auto"/>
          <w:highlight w:val="none"/>
        </w:rPr>
      </w:pPr>
    </w:p>
    <w:p>
      <w:pPr>
        <w:spacing w:line="440" w:lineRule="exact"/>
        <w:ind w:firstLine="358" w:firstLineChars="170"/>
        <w:rPr>
          <w:rFonts w:ascii="仿宋" w:hAnsi="仿宋" w:eastAsia="仿宋" w:cs="楷体"/>
          <w:b/>
          <w:bCs/>
          <w:color w:val="auto"/>
          <w:highlight w:val="none"/>
        </w:rPr>
      </w:pPr>
    </w:p>
    <w:p>
      <w:pPr>
        <w:spacing w:line="440" w:lineRule="exact"/>
        <w:ind w:firstLine="358" w:firstLineChars="170"/>
        <w:rPr>
          <w:rFonts w:ascii="仿宋" w:hAnsi="仿宋" w:eastAsia="仿宋" w:cs="楷体"/>
          <w:b/>
          <w:bCs/>
          <w:color w:val="auto"/>
          <w:highlight w:val="none"/>
        </w:rPr>
      </w:pPr>
    </w:p>
    <w:p>
      <w:pPr>
        <w:spacing w:line="440" w:lineRule="exact"/>
        <w:ind w:firstLine="358" w:firstLineChars="170"/>
        <w:rPr>
          <w:rFonts w:ascii="仿宋" w:hAnsi="仿宋" w:eastAsia="仿宋" w:cs="楷体"/>
          <w:b/>
          <w:bCs/>
          <w:color w:val="auto"/>
          <w:highlight w:val="none"/>
        </w:rPr>
      </w:pPr>
    </w:p>
    <w:p>
      <w:pPr>
        <w:spacing w:line="440" w:lineRule="exact"/>
        <w:ind w:firstLine="358" w:firstLineChars="170"/>
        <w:rPr>
          <w:rFonts w:ascii="仿宋" w:hAnsi="仿宋" w:eastAsia="仿宋" w:cs="楷体"/>
          <w:b/>
          <w:bCs/>
          <w:color w:val="auto"/>
          <w:highlight w:val="none"/>
        </w:rPr>
      </w:pPr>
    </w:p>
    <w:p>
      <w:pPr>
        <w:spacing w:line="440" w:lineRule="exact"/>
        <w:ind w:firstLine="358" w:firstLineChars="170"/>
        <w:rPr>
          <w:rFonts w:ascii="仿宋" w:hAnsi="仿宋" w:eastAsia="仿宋" w:cs="楷体"/>
          <w:b/>
          <w:bCs/>
          <w:color w:val="auto"/>
          <w:highlight w:val="none"/>
        </w:rPr>
      </w:pPr>
    </w:p>
    <w:p>
      <w:pPr>
        <w:spacing w:line="440" w:lineRule="exact"/>
        <w:ind w:firstLine="375" w:firstLineChars="170"/>
        <w:rPr>
          <w:rFonts w:ascii="仿宋" w:hAnsi="仿宋" w:eastAsia="仿宋" w:cs="楷体"/>
          <w:b/>
          <w:bCs/>
          <w:color w:val="auto"/>
          <w:sz w:val="24"/>
          <w:highlight w:val="none"/>
        </w:rPr>
      </w:pPr>
      <w:r>
        <w:rPr>
          <w:rFonts w:hint="eastAsia" w:ascii="仿宋" w:hAnsi="仿宋" w:eastAsia="仿宋" w:cs="楷体"/>
          <w:b/>
          <w:bCs/>
          <w:color w:val="auto"/>
          <w:sz w:val="22"/>
          <w:szCs w:val="28"/>
          <w:highlight w:val="none"/>
        </w:rPr>
        <w:t>附表4、</w:t>
      </w:r>
      <w:r>
        <w:rPr>
          <w:rFonts w:hint="eastAsia" w:ascii="仿宋" w:hAnsi="仿宋" w:eastAsia="仿宋" w:cs="楷体"/>
          <w:b/>
          <w:bCs/>
          <w:color w:val="auto"/>
          <w:sz w:val="24"/>
          <w:highlight w:val="none"/>
        </w:rPr>
        <w:t>拟派项目小组人员一览表</w:t>
      </w:r>
    </w:p>
    <w:tbl>
      <w:tblPr>
        <w:tblStyle w:val="19"/>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45"/>
        <w:gridCol w:w="876"/>
        <w:gridCol w:w="876"/>
        <w:gridCol w:w="1368"/>
        <w:gridCol w:w="888"/>
        <w:gridCol w:w="214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楷体"/>
                <w:color w:val="auto"/>
                <w:sz w:val="24"/>
                <w:highlight w:val="none"/>
              </w:rPr>
            </w:pPr>
            <w:r>
              <w:rPr>
                <w:rFonts w:hint="eastAsia" w:ascii="仿宋" w:hAnsi="仿宋" w:eastAsia="仿宋" w:cs="楷体"/>
                <w:color w:val="auto"/>
                <w:sz w:val="24"/>
                <w:highlight w:val="none"/>
              </w:rPr>
              <w:t>序号</w:t>
            </w:r>
          </w:p>
        </w:tc>
        <w:tc>
          <w:tcPr>
            <w:tcW w:w="84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楷体"/>
                <w:color w:val="auto"/>
                <w:sz w:val="24"/>
                <w:highlight w:val="none"/>
              </w:rPr>
            </w:pPr>
            <w:r>
              <w:rPr>
                <w:rFonts w:hint="eastAsia" w:ascii="仿宋" w:hAnsi="仿宋" w:eastAsia="仿宋" w:cs="楷体"/>
                <w:color w:val="auto"/>
                <w:sz w:val="24"/>
                <w:highlight w:val="none"/>
              </w:rPr>
              <w:t>姓名</w:t>
            </w:r>
          </w:p>
        </w:tc>
        <w:tc>
          <w:tcPr>
            <w:tcW w:w="876"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楷体"/>
                <w:color w:val="auto"/>
                <w:sz w:val="24"/>
                <w:highlight w:val="none"/>
              </w:rPr>
            </w:pPr>
            <w:r>
              <w:rPr>
                <w:rFonts w:hint="eastAsia" w:ascii="仿宋" w:hAnsi="仿宋" w:eastAsia="仿宋" w:cs="楷体"/>
                <w:color w:val="auto"/>
                <w:sz w:val="24"/>
                <w:highlight w:val="none"/>
              </w:rPr>
              <w:t>性别</w:t>
            </w:r>
          </w:p>
        </w:tc>
        <w:tc>
          <w:tcPr>
            <w:tcW w:w="876"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楷体"/>
                <w:color w:val="auto"/>
                <w:sz w:val="24"/>
                <w:highlight w:val="none"/>
              </w:rPr>
            </w:pPr>
            <w:r>
              <w:rPr>
                <w:rFonts w:hint="eastAsia" w:ascii="仿宋" w:hAnsi="仿宋" w:eastAsia="仿宋" w:cs="楷体"/>
                <w:color w:val="auto"/>
                <w:sz w:val="24"/>
                <w:highlight w:val="none"/>
              </w:rPr>
              <w:t>年龄</w:t>
            </w:r>
          </w:p>
        </w:tc>
        <w:tc>
          <w:tcPr>
            <w:tcW w:w="1368"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楷体"/>
                <w:color w:val="auto"/>
                <w:sz w:val="24"/>
                <w:highlight w:val="none"/>
              </w:rPr>
            </w:pPr>
            <w:r>
              <w:rPr>
                <w:rFonts w:hint="eastAsia" w:ascii="仿宋" w:hAnsi="仿宋" w:eastAsia="仿宋" w:cs="楷体"/>
                <w:color w:val="auto"/>
                <w:sz w:val="24"/>
                <w:highlight w:val="none"/>
              </w:rPr>
              <w:t>工作</w:t>
            </w:r>
          </w:p>
          <w:p>
            <w:pPr>
              <w:keepNext w:val="0"/>
              <w:keepLines w:val="0"/>
              <w:suppressLineNumbers w:val="0"/>
              <w:spacing w:before="0" w:beforeAutospacing="0" w:after="0" w:afterAutospacing="0" w:line="360" w:lineRule="auto"/>
              <w:ind w:left="0" w:right="0"/>
              <w:jc w:val="center"/>
              <w:rPr>
                <w:rFonts w:hint="default" w:ascii="仿宋" w:hAnsi="仿宋" w:eastAsia="仿宋" w:cs="楷体"/>
                <w:color w:val="auto"/>
                <w:sz w:val="24"/>
                <w:highlight w:val="none"/>
              </w:rPr>
            </w:pPr>
            <w:r>
              <w:rPr>
                <w:rFonts w:hint="eastAsia" w:ascii="仿宋" w:hAnsi="仿宋" w:eastAsia="仿宋" w:cs="楷体"/>
                <w:color w:val="auto"/>
                <w:sz w:val="24"/>
                <w:highlight w:val="none"/>
              </w:rPr>
              <w:t>年限</w:t>
            </w:r>
          </w:p>
        </w:tc>
        <w:tc>
          <w:tcPr>
            <w:tcW w:w="888"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楷体"/>
                <w:color w:val="auto"/>
                <w:sz w:val="24"/>
                <w:highlight w:val="none"/>
              </w:rPr>
            </w:pPr>
            <w:r>
              <w:rPr>
                <w:rFonts w:hint="eastAsia" w:ascii="仿宋" w:hAnsi="仿宋" w:eastAsia="仿宋" w:cs="楷体"/>
                <w:color w:val="auto"/>
                <w:sz w:val="24"/>
                <w:highlight w:val="none"/>
              </w:rPr>
              <w:t>学历</w:t>
            </w:r>
          </w:p>
        </w:tc>
        <w:tc>
          <w:tcPr>
            <w:tcW w:w="2148"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楷体"/>
                <w:color w:val="auto"/>
                <w:sz w:val="24"/>
                <w:highlight w:val="none"/>
              </w:rPr>
            </w:pPr>
            <w:r>
              <w:rPr>
                <w:rFonts w:hint="eastAsia" w:ascii="仿宋" w:hAnsi="仿宋" w:eastAsia="仿宋" w:cs="楷体"/>
                <w:color w:val="auto"/>
                <w:sz w:val="24"/>
                <w:highlight w:val="none"/>
              </w:rPr>
              <w:t>拟在本项目中担任的职务</w:t>
            </w:r>
          </w:p>
        </w:tc>
        <w:tc>
          <w:tcPr>
            <w:tcW w:w="1788"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楷体"/>
                <w:color w:val="auto"/>
                <w:sz w:val="24"/>
                <w:highlight w:val="none"/>
              </w:rPr>
            </w:pPr>
            <w:r>
              <w:rPr>
                <w:rFonts w:hint="eastAsia" w:ascii="仿宋" w:hAnsi="仿宋" w:eastAsia="仿宋" w:cs="楷体"/>
                <w:color w:val="auto"/>
                <w:sz w:val="24"/>
                <w:highlight w:val="none"/>
              </w:rPr>
              <w:t>取得的相关证书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45"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76"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36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8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214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c>
          <w:tcPr>
            <w:tcW w:w="1788" w:type="dxa"/>
          </w:tcPr>
          <w:p>
            <w:pPr>
              <w:keepNext w:val="0"/>
              <w:keepLines w:val="0"/>
              <w:suppressLineNumbers w:val="0"/>
              <w:spacing w:before="0" w:beforeAutospacing="0" w:after="0" w:afterAutospacing="0" w:line="360" w:lineRule="auto"/>
              <w:ind w:left="0" w:right="0"/>
              <w:rPr>
                <w:rFonts w:hint="default" w:ascii="仿宋" w:hAnsi="仿宋" w:eastAsia="仿宋" w:cs="楷体"/>
                <w:color w:val="auto"/>
                <w:sz w:val="24"/>
                <w:highlight w:val="none"/>
              </w:rPr>
            </w:pPr>
          </w:p>
        </w:tc>
      </w:tr>
    </w:tbl>
    <w:p>
      <w:pPr>
        <w:spacing w:line="440" w:lineRule="exact"/>
        <w:ind w:firstLine="358" w:firstLineChars="170"/>
        <w:rPr>
          <w:rFonts w:ascii="仿宋" w:hAnsi="仿宋" w:eastAsia="仿宋" w:cs="楷体"/>
          <w:b/>
          <w:bCs/>
          <w:color w:val="auto"/>
          <w:highlight w:val="none"/>
        </w:rPr>
      </w:pPr>
    </w:p>
    <w:p>
      <w:pPr>
        <w:spacing w:line="440" w:lineRule="exact"/>
        <w:ind w:firstLine="358" w:firstLineChars="170"/>
        <w:rPr>
          <w:rFonts w:ascii="仿宋" w:hAnsi="仿宋" w:eastAsia="仿宋" w:cs="楷体"/>
          <w:b/>
          <w:bCs/>
          <w:color w:val="auto"/>
          <w:highlight w:val="none"/>
        </w:rPr>
      </w:pPr>
    </w:p>
    <w:p>
      <w:pPr>
        <w:spacing w:line="440" w:lineRule="exact"/>
        <w:ind w:firstLine="358" w:firstLineChars="170"/>
        <w:rPr>
          <w:rFonts w:ascii="仿宋" w:hAnsi="仿宋" w:eastAsia="仿宋" w:cs="楷体"/>
          <w:b/>
          <w:bCs/>
          <w:color w:val="auto"/>
          <w:highlight w:val="none"/>
        </w:rPr>
      </w:pPr>
    </w:p>
    <w:p>
      <w:pPr>
        <w:spacing w:line="440" w:lineRule="exact"/>
        <w:ind w:firstLine="358" w:firstLineChars="170"/>
        <w:rPr>
          <w:rFonts w:ascii="仿宋" w:hAnsi="仿宋" w:eastAsia="仿宋" w:cs="楷体"/>
          <w:b/>
          <w:bCs/>
          <w:color w:val="auto"/>
          <w:highlight w:val="none"/>
        </w:rPr>
      </w:pPr>
    </w:p>
    <w:p>
      <w:pPr>
        <w:spacing w:line="440" w:lineRule="exact"/>
        <w:ind w:firstLine="358" w:firstLineChars="170"/>
        <w:rPr>
          <w:rFonts w:ascii="仿宋" w:hAnsi="仿宋" w:eastAsia="仿宋" w:cs="楷体"/>
          <w:b/>
          <w:bCs/>
          <w:color w:val="auto"/>
          <w:highlight w:val="none"/>
        </w:rPr>
      </w:pPr>
    </w:p>
    <w:p>
      <w:pPr>
        <w:pStyle w:val="12"/>
        <w:rPr>
          <w:rFonts w:ascii="仿宋" w:hAnsi="仿宋" w:eastAsia="仿宋" w:cs="楷体"/>
          <w:b/>
          <w:bCs/>
          <w:color w:val="auto"/>
          <w:highlight w:val="none"/>
        </w:rPr>
      </w:pPr>
    </w:p>
    <w:p>
      <w:pPr>
        <w:pStyle w:val="2"/>
        <w:rPr>
          <w:rFonts w:hint="eastAsia" w:ascii="仿宋" w:hAnsi="仿宋" w:eastAsia="仿宋" w:cs="仿宋"/>
          <w:bCs/>
          <w:color w:val="auto"/>
          <w:sz w:val="24"/>
          <w:highlight w:val="none"/>
        </w:rPr>
      </w:pPr>
    </w:p>
    <w:p>
      <w:pPr>
        <w:spacing w:line="440" w:lineRule="exact"/>
        <w:ind w:firstLine="358" w:firstLineChars="170"/>
        <w:rPr>
          <w:rFonts w:ascii="仿宋" w:hAnsi="仿宋" w:eastAsia="仿宋" w:cs="楷体"/>
          <w:b/>
          <w:color w:val="auto"/>
          <w:highlight w:val="none"/>
        </w:rPr>
      </w:pPr>
      <w:r>
        <w:rPr>
          <w:rFonts w:hint="eastAsia" w:ascii="仿宋" w:hAnsi="仿宋" w:eastAsia="仿宋" w:cs="楷体"/>
          <w:b/>
          <w:bCs/>
          <w:color w:val="auto"/>
          <w:highlight w:val="none"/>
        </w:rPr>
        <w:t>6.2、磋商供应商签署承诺书</w:t>
      </w:r>
    </w:p>
    <w:p>
      <w:pPr>
        <w:spacing w:line="44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6.2.1、.未签署或者虚假承诺签署本</w:t>
      </w:r>
      <w:r>
        <w:rPr>
          <w:rFonts w:hint="eastAsia" w:ascii="仿宋" w:hAnsi="仿宋" w:eastAsia="仿宋" w:cs="楷体"/>
          <w:bCs/>
          <w:color w:val="auto"/>
          <w:highlight w:val="none"/>
        </w:rPr>
        <w:t>承诺书的，其责任由</w:t>
      </w:r>
      <w:r>
        <w:rPr>
          <w:rFonts w:hint="eastAsia" w:ascii="仿宋" w:hAnsi="仿宋" w:eastAsia="仿宋" w:cs="楷体"/>
          <w:color w:val="auto"/>
          <w:highlight w:val="none"/>
        </w:rPr>
        <w:t>磋商供应商自行承担。</w:t>
      </w:r>
    </w:p>
    <w:p>
      <w:pPr>
        <w:spacing w:line="44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6.2.2、.编制的磋商响应文件正本须装订本原件，副本可装订复印件。</w:t>
      </w:r>
    </w:p>
    <w:p>
      <w:pPr>
        <w:spacing w:line="520" w:lineRule="exact"/>
        <w:ind w:firstLine="160" w:firstLineChars="50"/>
        <w:jc w:val="center"/>
        <w:rPr>
          <w:rFonts w:ascii="仿宋" w:hAnsi="仿宋" w:eastAsia="仿宋" w:cs="楷体"/>
          <w:color w:val="auto"/>
          <w:sz w:val="32"/>
          <w:szCs w:val="32"/>
          <w:highlight w:val="none"/>
          <w:u w:val="single"/>
        </w:rPr>
      </w:pPr>
    </w:p>
    <w:p>
      <w:pPr>
        <w:spacing w:line="520" w:lineRule="exact"/>
        <w:ind w:firstLine="141" w:firstLineChars="50"/>
        <w:jc w:val="center"/>
        <w:rPr>
          <w:rFonts w:ascii="仿宋" w:hAnsi="仿宋" w:eastAsia="仿宋" w:cs="楷体"/>
          <w:b/>
          <w:bCs/>
          <w:color w:val="auto"/>
          <w:sz w:val="28"/>
          <w:szCs w:val="28"/>
          <w:highlight w:val="none"/>
          <w:u w:val="single"/>
        </w:rPr>
      </w:pPr>
      <w:r>
        <w:rPr>
          <w:rFonts w:hint="eastAsia" w:ascii="仿宋" w:hAnsi="仿宋" w:eastAsia="仿宋" w:cs="楷体"/>
          <w:b/>
          <w:bCs/>
          <w:color w:val="auto"/>
          <w:sz w:val="28"/>
          <w:szCs w:val="28"/>
          <w:highlight w:val="none"/>
          <w:u w:val="single"/>
        </w:rPr>
        <w:t>承诺书Ⅰ</w:t>
      </w:r>
    </w:p>
    <w:tbl>
      <w:tblPr>
        <w:tblStyle w:val="19"/>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820" w:type="dxa"/>
            <w:gridSpan w:val="3"/>
            <w:vAlign w:val="center"/>
          </w:tcPr>
          <w:p>
            <w:pPr>
              <w:keepNext w:val="0"/>
              <w:keepLines w:val="0"/>
              <w:suppressLineNumbers w:val="0"/>
              <w:spacing w:before="0" w:beforeAutospacing="0" w:after="0" w:afterAutospacing="0" w:line="400" w:lineRule="exact"/>
              <w:ind w:left="0" w:right="0" w:firstLine="459"/>
              <w:rPr>
                <w:rFonts w:hint="default" w:ascii="仿宋" w:hAnsi="仿宋" w:eastAsia="仿宋" w:cs="楷体"/>
                <w:color w:val="auto"/>
                <w:highlight w:val="none"/>
              </w:rPr>
            </w:pPr>
            <w:r>
              <w:rPr>
                <w:rFonts w:hint="eastAsia" w:ascii="仿宋" w:hAnsi="仿宋" w:eastAsia="仿宋" w:cs="楷体"/>
                <w:color w:val="auto"/>
                <w:highlight w:val="none"/>
              </w:rPr>
              <w:t xml:space="preserve">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820" w:type="dxa"/>
            <w:gridSpan w:val="3"/>
            <w:vAlign w:val="center"/>
          </w:tcPr>
          <w:p>
            <w:pPr>
              <w:keepNext w:val="0"/>
              <w:keepLines w:val="0"/>
              <w:suppressLineNumbers w:val="0"/>
              <w:spacing w:before="0" w:beforeAutospacing="0" w:after="0" w:afterAutospacing="0" w:line="360" w:lineRule="exact"/>
              <w:ind w:left="0" w:right="0" w:firstLine="420" w:firstLineChars="200"/>
              <w:rPr>
                <w:rFonts w:hint="default" w:ascii="仿宋" w:hAnsi="仿宋" w:eastAsia="仿宋" w:cs="楷体"/>
                <w:color w:val="auto"/>
                <w:highlight w:val="none"/>
              </w:rPr>
            </w:pPr>
            <w:r>
              <w:rPr>
                <w:rFonts w:hint="eastAsia" w:ascii="仿宋" w:hAnsi="仿宋" w:eastAsia="仿宋" w:cs="楷体"/>
                <w:color w:val="auto"/>
                <w:highlight w:val="none"/>
              </w:rPr>
              <w:t>作为参加贵单位组织的磋商采购项目的磋商供应商，本公司承诺：在参加本项目磋商之前不存在被依法禁止经营行为、财产被接管或冻结的情况，如有隐瞒实情，愿承担一切责任及后果。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4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磋商供应商</w:t>
            </w:r>
          </w:p>
        </w:tc>
        <w:tc>
          <w:tcPr>
            <w:tcW w:w="294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法定代表人或其授权委托人</w:t>
            </w:r>
          </w:p>
        </w:tc>
        <w:tc>
          <w:tcPr>
            <w:tcW w:w="294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94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（公章）</w:t>
            </w:r>
          </w:p>
        </w:tc>
        <w:tc>
          <w:tcPr>
            <w:tcW w:w="2940"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（签字）</w:t>
            </w:r>
          </w:p>
        </w:tc>
        <w:tc>
          <w:tcPr>
            <w:tcW w:w="2940" w:type="dxa"/>
            <w:vAlign w:val="center"/>
          </w:tcPr>
          <w:p>
            <w:pPr>
              <w:keepNext w:val="0"/>
              <w:keepLines w:val="0"/>
              <w:suppressLineNumbers w:val="0"/>
              <w:spacing w:before="0" w:beforeAutospacing="0" w:after="0" w:afterAutospacing="0" w:line="400" w:lineRule="exact"/>
              <w:ind w:left="0" w:right="0" w:firstLine="735" w:firstLineChars="350"/>
              <w:rPr>
                <w:rFonts w:hint="default" w:ascii="仿宋" w:hAnsi="仿宋" w:eastAsia="仿宋" w:cs="楷体"/>
                <w:color w:val="auto"/>
                <w:highlight w:val="none"/>
              </w:rPr>
            </w:pPr>
            <w:r>
              <w:rPr>
                <w:rFonts w:hint="eastAsia" w:ascii="仿宋" w:hAnsi="仿宋" w:eastAsia="仿宋" w:cs="楷体"/>
                <w:color w:val="auto"/>
                <w:highlight w:val="none"/>
              </w:rPr>
              <w:t>年   月   日</w:t>
            </w:r>
          </w:p>
        </w:tc>
      </w:tr>
    </w:tbl>
    <w:p>
      <w:pPr>
        <w:spacing w:line="400" w:lineRule="exact"/>
        <w:rPr>
          <w:rFonts w:ascii="仿宋" w:hAnsi="仿宋" w:eastAsia="仿宋" w:cs="楷体"/>
          <w:color w:val="auto"/>
          <w:highlight w:val="none"/>
        </w:rPr>
      </w:pPr>
    </w:p>
    <w:p>
      <w:pPr>
        <w:spacing w:line="400" w:lineRule="exact"/>
        <w:ind w:firstLine="160" w:firstLineChars="50"/>
        <w:jc w:val="center"/>
        <w:rPr>
          <w:rFonts w:ascii="仿宋" w:hAnsi="仿宋" w:eastAsia="仿宋" w:cs="楷体"/>
          <w:color w:val="auto"/>
          <w:sz w:val="32"/>
          <w:szCs w:val="32"/>
          <w:highlight w:val="none"/>
          <w:u w:val="single"/>
        </w:rPr>
      </w:pPr>
    </w:p>
    <w:p>
      <w:pPr>
        <w:spacing w:line="400" w:lineRule="exact"/>
        <w:ind w:firstLine="141" w:firstLineChars="50"/>
        <w:jc w:val="center"/>
        <w:rPr>
          <w:rFonts w:ascii="仿宋" w:hAnsi="仿宋" w:eastAsia="仿宋" w:cs="楷体"/>
          <w:b/>
          <w:bCs/>
          <w:color w:val="auto"/>
          <w:sz w:val="28"/>
          <w:szCs w:val="28"/>
          <w:highlight w:val="none"/>
          <w:u w:val="single"/>
        </w:rPr>
      </w:pPr>
      <w:r>
        <w:rPr>
          <w:rFonts w:hint="eastAsia" w:ascii="仿宋" w:hAnsi="仿宋" w:eastAsia="仿宋" w:cs="楷体"/>
          <w:b/>
          <w:bCs/>
          <w:color w:val="auto"/>
          <w:sz w:val="28"/>
          <w:szCs w:val="28"/>
          <w:highlight w:val="none"/>
          <w:u w:val="single"/>
        </w:rPr>
        <w:t>承诺书Ⅱ</w:t>
      </w:r>
    </w:p>
    <w:tbl>
      <w:tblPr>
        <w:tblStyle w:val="19"/>
        <w:tblW w:w="882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2942"/>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826" w:type="dxa"/>
            <w:gridSpan w:val="3"/>
            <w:vAlign w:val="center"/>
          </w:tcPr>
          <w:p>
            <w:pPr>
              <w:keepNext w:val="0"/>
              <w:keepLines w:val="0"/>
              <w:suppressLineNumbers w:val="0"/>
              <w:spacing w:before="0" w:beforeAutospacing="0" w:after="0" w:afterAutospacing="0" w:line="400" w:lineRule="exact"/>
              <w:ind w:left="0" w:right="0" w:firstLine="459"/>
              <w:rPr>
                <w:rFonts w:hint="default" w:ascii="仿宋" w:hAnsi="仿宋" w:eastAsia="仿宋" w:cs="楷体"/>
                <w:color w:val="auto"/>
                <w:highlight w:val="none"/>
              </w:rPr>
            </w:pPr>
            <w:r>
              <w:rPr>
                <w:rFonts w:hint="eastAsia" w:ascii="仿宋" w:hAnsi="仿宋" w:eastAsia="仿宋" w:cs="楷体"/>
                <w:color w:val="auto"/>
                <w:highlight w:val="none"/>
              </w:rPr>
              <w:t xml:space="preserve">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8826" w:type="dxa"/>
            <w:gridSpan w:val="3"/>
            <w:vAlign w:val="center"/>
          </w:tcPr>
          <w:p>
            <w:pPr>
              <w:keepNext w:val="0"/>
              <w:keepLines w:val="0"/>
              <w:suppressLineNumbers w:val="0"/>
              <w:spacing w:before="0" w:beforeAutospacing="0" w:after="0" w:afterAutospacing="0" w:line="360" w:lineRule="exact"/>
              <w:ind w:left="0" w:right="0" w:firstLine="420" w:firstLineChars="200"/>
              <w:rPr>
                <w:rFonts w:hint="default" w:ascii="仿宋" w:hAnsi="仿宋" w:eastAsia="仿宋" w:cs="楷体"/>
                <w:color w:val="auto"/>
                <w:highlight w:val="none"/>
                <w:u w:val="single"/>
              </w:rPr>
            </w:pPr>
            <w:r>
              <w:rPr>
                <w:rFonts w:hint="eastAsia" w:ascii="仿宋" w:hAnsi="仿宋" w:eastAsia="仿宋" w:cs="楷体"/>
                <w:color w:val="auto"/>
                <w:highlight w:val="none"/>
              </w:rPr>
              <w:t>作为参加贵单位组织的磋商采购项目的磋商供应商，本公司郑重申告并承诺：近三年受到有关行政主管部门的行政处理、不良行为记录为次（没有填0），如有隐瞒实情，愿承担一切责任及后果。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942"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磋商供应商</w:t>
            </w:r>
          </w:p>
        </w:tc>
        <w:tc>
          <w:tcPr>
            <w:tcW w:w="2942"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法定代表人或其授权委托人</w:t>
            </w:r>
          </w:p>
        </w:tc>
        <w:tc>
          <w:tcPr>
            <w:tcW w:w="2942"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2942"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（公章）</w:t>
            </w:r>
          </w:p>
        </w:tc>
        <w:tc>
          <w:tcPr>
            <w:tcW w:w="2942" w:type="dxa"/>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楷体"/>
                <w:color w:val="auto"/>
                <w:highlight w:val="none"/>
              </w:rPr>
            </w:pPr>
            <w:r>
              <w:rPr>
                <w:rFonts w:hint="eastAsia" w:ascii="仿宋" w:hAnsi="仿宋" w:eastAsia="仿宋" w:cs="楷体"/>
                <w:color w:val="auto"/>
                <w:highlight w:val="none"/>
              </w:rPr>
              <w:t>（签字）</w:t>
            </w:r>
          </w:p>
        </w:tc>
        <w:tc>
          <w:tcPr>
            <w:tcW w:w="2942" w:type="dxa"/>
            <w:vAlign w:val="center"/>
          </w:tcPr>
          <w:p>
            <w:pPr>
              <w:keepNext w:val="0"/>
              <w:keepLines w:val="0"/>
              <w:suppressLineNumbers w:val="0"/>
              <w:spacing w:before="0" w:beforeAutospacing="0" w:after="0" w:afterAutospacing="0" w:line="400" w:lineRule="exact"/>
              <w:ind w:left="0" w:right="0" w:firstLine="735" w:firstLineChars="350"/>
              <w:rPr>
                <w:rFonts w:hint="default" w:ascii="仿宋" w:hAnsi="仿宋" w:eastAsia="仿宋" w:cs="楷体"/>
                <w:color w:val="auto"/>
                <w:highlight w:val="none"/>
              </w:rPr>
            </w:pPr>
            <w:r>
              <w:rPr>
                <w:rFonts w:hint="eastAsia" w:ascii="仿宋" w:hAnsi="仿宋" w:eastAsia="仿宋" w:cs="楷体"/>
                <w:color w:val="auto"/>
                <w:highlight w:val="none"/>
              </w:rPr>
              <w:t>年   月   日</w:t>
            </w:r>
          </w:p>
        </w:tc>
      </w:tr>
    </w:tbl>
    <w:p>
      <w:pPr>
        <w:spacing w:line="400" w:lineRule="exact"/>
        <w:rPr>
          <w:rFonts w:ascii="仿宋" w:hAnsi="仿宋" w:eastAsia="仿宋" w:cs="楷体"/>
          <w:color w:val="auto"/>
          <w:sz w:val="36"/>
          <w:szCs w:val="36"/>
          <w:highlight w:val="none"/>
          <w:u w:val="single"/>
        </w:rPr>
      </w:pPr>
    </w:p>
    <w:p>
      <w:pPr>
        <w:spacing w:line="400" w:lineRule="exact"/>
        <w:ind w:firstLine="180" w:firstLineChars="50"/>
        <w:jc w:val="center"/>
        <w:rPr>
          <w:rFonts w:ascii="仿宋" w:hAnsi="仿宋" w:eastAsia="仿宋" w:cs="楷体"/>
          <w:color w:val="auto"/>
          <w:sz w:val="36"/>
          <w:szCs w:val="36"/>
          <w:highlight w:val="none"/>
          <w:u w:val="single"/>
        </w:rPr>
      </w:pPr>
    </w:p>
    <w:p>
      <w:pPr>
        <w:spacing w:line="400" w:lineRule="exact"/>
        <w:ind w:firstLine="180" w:firstLineChars="50"/>
        <w:jc w:val="center"/>
        <w:rPr>
          <w:rFonts w:ascii="仿宋" w:hAnsi="仿宋" w:eastAsia="仿宋" w:cs="楷体"/>
          <w:color w:val="auto"/>
          <w:sz w:val="36"/>
          <w:szCs w:val="36"/>
          <w:highlight w:val="none"/>
          <w:u w:val="single"/>
        </w:rPr>
      </w:pPr>
    </w:p>
    <w:p>
      <w:pPr>
        <w:spacing w:line="400" w:lineRule="exact"/>
        <w:ind w:firstLine="180" w:firstLineChars="50"/>
        <w:jc w:val="center"/>
        <w:rPr>
          <w:rFonts w:ascii="仿宋" w:hAnsi="仿宋" w:eastAsia="仿宋" w:cs="楷体"/>
          <w:color w:val="auto"/>
          <w:sz w:val="36"/>
          <w:szCs w:val="36"/>
          <w:highlight w:val="none"/>
          <w:u w:val="single"/>
        </w:rPr>
      </w:pPr>
    </w:p>
    <w:p>
      <w:pPr>
        <w:spacing w:line="400" w:lineRule="exact"/>
        <w:ind w:firstLine="141" w:firstLineChars="50"/>
        <w:jc w:val="center"/>
        <w:rPr>
          <w:rFonts w:ascii="仿宋" w:hAnsi="仿宋" w:eastAsia="仿宋" w:cs="楷体"/>
          <w:bCs/>
          <w:color w:val="auto"/>
          <w:sz w:val="36"/>
          <w:szCs w:val="36"/>
          <w:highlight w:val="none"/>
        </w:rPr>
      </w:pPr>
      <w:r>
        <w:rPr>
          <w:rFonts w:hint="eastAsia" w:ascii="仿宋" w:hAnsi="仿宋" w:eastAsia="仿宋" w:cs="楷体"/>
          <w:b/>
          <w:bCs/>
          <w:color w:val="auto"/>
          <w:sz w:val="28"/>
          <w:szCs w:val="28"/>
          <w:highlight w:val="none"/>
          <w:u w:val="single"/>
        </w:rPr>
        <w:t>承诺书III</w:t>
      </w:r>
    </w:p>
    <w:p>
      <w:pPr>
        <w:widowControl/>
        <w:spacing w:line="480" w:lineRule="exact"/>
        <w:jc w:val="center"/>
        <w:rPr>
          <w:rFonts w:ascii="仿宋" w:hAnsi="仿宋" w:eastAsia="仿宋" w:cs="楷体"/>
          <w:b/>
          <w:color w:val="auto"/>
          <w:sz w:val="28"/>
          <w:szCs w:val="28"/>
          <w:highlight w:val="none"/>
        </w:rPr>
      </w:pPr>
      <w:r>
        <w:rPr>
          <w:rFonts w:hint="eastAsia" w:ascii="仿宋" w:hAnsi="仿宋" w:eastAsia="仿宋" w:cs="楷体"/>
          <w:b/>
          <w:color w:val="auto"/>
          <w:sz w:val="28"/>
          <w:szCs w:val="28"/>
          <w:highlight w:val="none"/>
        </w:rPr>
        <w:t>陕西省政府采购磋商供应商</w:t>
      </w:r>
    </w:p>
    <w:p>
      <w:pPr>
        <w:widowControl/>
        <w:spacing w:line="480" w:lineRule="exact"/>
        <w:jc w:val="center"/>
        <w:rPr>
          <w:rFonts w:ascii="仿宋" w:hAnsi="仿宋" w:eastAsia="仿宋" w:cs="楷体"/>
          <w:b/>
          <w:color w:val="auto"/>
          <w:sz w:val="28"/>
          <w:szCs w:val="28"/>
          <w:highlight w:val="none"/>
        </w:rPr>
      </w:pPr>
      <w:r>
        <w:rPr>
          <w:rFonts w:hint="eastAsia" w:ascii="仿宋" w:hAnsi="仿宋" w:eastAsia="仿宋" w:cs="楷体"/>
          <w:b/>
          <w:color w:val="auto"/>
          <w:sz w:val="28"/>
          <w:szCs w:val="28"/>
          <w:highlight w:val="none"/>
        </w:rPr>
        <w:t>拒绝政府采购领域商业贿赂承诺书</w:t>
      </w:r>
    </w:p>
    <w:p>
      <w:pPr>
        <w:jc w:val="center"/>
        <w:rPr>
          <w:rFonts w:ascii="仿宋" w:hAnsi="仿宋" w:eastAsia="仿宋" w:cs="楷体"/>
          <w:bCs/>
          <w:color w:val="auto"/>
          <w:highlight w:val="none"/>
        </w:rPr>
      </w:pPr>
      <w:r>
        <w:rPr>
          <w:rFonts w:hint="eastAsia" w:ascii="仿宋" w:hAnsi="仿宋" w:eastAsia="仿宋" w:cs="楷体"/>
          <w:bCs/>
          <w:color w:val="auto"/>
          <w:highlight w:val="none"/>
        </w:rPr>
        <w:t>（执行陕财办采管[2006]21号文件）</w:t>
      </w:r>
    </w:p>
    <w:p>
      <w:pPr>
        <w:widowControl/>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为响应党中央、国务院关于治理政府采购领域商业贿赂行为的号召，我公司在此庄严承诺：</w:t>
      </w:r>
    </w:p>
    <w:p>
      <w:pPr>
        <w:widowControl/>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1、在参与政府采购活动中遵纪守法、诚信经营、公平竞标。</w:t>
      </w:r>
    </w:p>
    <w:p>
      <w:pPr>
        <w:widowControl/>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2、不向政府采购人、采购代理机构和政府采购评审专家进行任何形式的商业贿赂以谋取交易机会。</w:t>
      </w:r>
    </w:p>
    <w:p>
      <w:pPr>
        <w:widowControl/>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3、不向政府采购代理机构和采购人提供虚假资格文件或采用虚假应标方式参与政府采购市场竞争并谋取中标、成交。</w:t>
      </w:r>
    </w:p>
    <w:p>
      <w:pPr>
        <w:widowControl/>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4、不采取“围标、陪标”等商业欺诈手段获得政府采购定单。</w:t>
      </w:r>
    </w:p>
    <w:p>
      <w:pPr>
        <w:widowControl/>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5、不采取不正当手段诋毁、排挤其他磋商供应商。</w:t>
      </w:r>
    </w:p>
    <w:p>
      <w:pPr>
        <w:widowControl/>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6、不在提供商品和服务时“偷梁换柱、以次充好”损害采购人的合法权益。</w:t>
      </w:r>
    </w:p>
    <w:p>
      <w:pPr>
        <w:widowControl/>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7、不与采购人、采购代理机构政府采购评审专家或其它磋商供应商恶意串通，进行质疑和投诉，维护政府采购市场秩序。</w:t>
      </w:r>
    </w:p>
    <w:p>
      <w:pPr>
        <w:widowControl/>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8、尊重和接受政府采购监督管理部门的监督和政府采购代理机构磋商采购要求，承担因违约行为给采购人造成的损失。</w:t>
      </w:r>
    </w:p>
    <w:p>
      <w:pPr>
        <w:widowControl/>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9、不发生其他有悖于政府采购公开、公平、公正和诚信原则的行为。</w:t>
      </w:r>
    </w:p>
    <w:p>
      <w:pPr>
        <w:widowControl/>
        <w:spacing w:line="480" w:lineRule="exact"/>
        <w:ind w:firstLine="420" w:firstLineChars="200"/>
        <w:rPr>
          <w:rFonts w:ascii="仿宋" w:hAnsi="仿宋" w:eastAsia="仿宋" w:cs="楷体"/>
          <w:color w:val="auto"/>
          <w:highlight w:val="none"/>
        </w:rPr>
      </w:pPr>
    </w:p>
    <w:p>
      <w:pPr>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承诺磋商供应商：（全称、盖章）</w:t>
      </w:r>
    </w:p>
    <w:p>
      <w:pPr>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法定代表人或其授权委托人（签字）：</w:t>
      </w:r>
    </w:p>
    <w:p>
      <w:pPr>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 xml:space="preserve">地  址：                      </w:t>
      </w:r>
    </w:p>
    <w:p>
      <w:pPr>
        <w:spacing w:line="480" w:lineRule="exact"/>
        <w:ind w:firstLine="210" w:firstLineChars="100"/>
        <w:rPr>
          <w:rFonts w:ascii="仿宋" w:hAnsi="仿宋" w:eastAsia="仿宋" w:cs="楷体"/>
          <w:color w:val="auto"/>
          <w:highlight w:val="none"/>
        </w:rPr>
      </w:pPr>
      <w:r>
        <w:rPr>
          <w:rFonts w:hint="eastAsia" w:ascii="仿宋" w:hAnsi="仿宋" w:eastAsia="仿宋" w:cs="楷体"/>
          <w:color w:val="auto"/>
          <w:highlight w:val="none"/>
        </w:rPr>
        <w:t xml:space="preserve">  邮  编：</w:t>
      </w:r>
    </w:p>
    <w:p>
      <w:pPr>
        <w:spacing w:line="480" w:lineRule="exact"/>
        <w:ind w:firstLine="420" w:firstLineChars="200"/>
        <w:rPr>
          <w:rFonts w:ascii="仿宋" w:hAnsi="仿宋" w:eastAsia="仿宋" w:cs="楷体"/>
          <w:color w:val="auto"/>
          <w:highlight w:val="none"/>
        </w:rPr>
      </w:pPr>
      <w:r>
        <w:rPr>
          <w:rFonts w:hint="eastAsia" w:ascii="仿宋" w:hAnsi="仿宋" w:eastAsia="仿宋" w:cs="楷体"/>
          <w:color w:val="auto"/>
          <w:highlight w:val="none"/>
        </w:rPr>
        <w:t xml:space="preserve">电  话：                        </w:t>
      </w:r>
    </w:p>
    <w:p>
      <w:pPr>
        <w:spacing w:line="480" w:lineRule="exact"/>
        <w:ind w:firstLine="4410" w:firstLineChars="2100"/>
        <w:rPr>
          <w:rFonts w:ascii="仿宋" w:hAnsi="仿宋" w:eastAsia="仿宋" w:cs="楷体"/>
          <w:color w:val="auto"/>
          <w:highlight w:val="none"/>
        </w:rPr>
      </w:pPr>
      <w:r>
        <w:rPr>
          <w:rFonts w:hint="eastAsia" w:ascii="仿宋" w:hAnsi="仿宋" w:eastAsia="仿宋" w:cs="楷体"/>
          <w:color w:val="auto"/>
          <w:highlight w:val="none"/>
        </w:rPr>
        <w:t>年  月  日</w:t>
      </w:r>
      <w:bookmarkStart w:id="234" w:name="_Toc3938"/>
      <w:bookmarkStart w:id="235" w:name="_Toc7578"/>
      <w:bookmarkStart w:id="236" w:name="_Toc25254"/>
      <w:bookmarkStart w:id="237" w:name="_Toc23280"/>
      <w:bookmarkStart w:id="238" w:name="_Toc2458_WPSOffice_Level1"/>
      <w:bookmarkStart w:id="239" w:name="_Toc13409_WPSOffice_Level1"/>
      <w:bookmarkStart w:id="240" w:name="_Toc3990_WPSOffice_Level1"/>
      <w:bookmarkStart w:id="241" w:name="_Toc21532"/>
    </w:p>
    <w:p>
      <w:pPr>
        <w:pStyle w:val="22"/>
        <w:rPr>
          <w:rFonts w:ascii="仿宋" w:hAnsi="仿宋" w:eastAsia="仿宋" w:cs="楷体"/>
          <w:color w:val="auto"/>
          <w:highlight w:val="none"/>
        </w:rPr>
      </w:pPr>
    </w:p>
    <w:p>
      <w:pPr>
        <w:pStyle w:val="22"/>
        <w:rPr>
          <w:rFonts w:ascii="仿宋" w:hAnsi="仿宋" w:eastAsia="仿宋" w:cs="楷体"/>
          <w:color w:val="auto"/>
          <w:highlight w:val="none"/>
        </w:rPr>
      </w:pPr>
    </w:p>
    <w:p>
      <w:pPr>
        <w:pStyle w:val="22"/>
        <w:rPr>
          <w:rFonts w:ascii="仿宋" w:hAnsi="仿宋" w:eastAsia="仿宋" w:cs="楷体"/>
          <w:color w:val="auto"/>
          <w:highlight w:val="none"/>
        </w:rPr>
      </w:pPr>
    </w:p>
    <w:p>
      <w:pPr>
        <w:pStyle w:val="22"/>
        <w:rPr>
          <w:rFonts w:ascii="仿宋" w:hAnsi="仿宋" w:eastAsia="仿宋" w:cs="楷体"/>
          <w:color w:val="auto"/>
          <w:highlight w:val="none"/>
        </w:rPr>
      </w:pPr>
    </w:p>
    <w:p>
      <w:pPr>
        <w:pStyle w:val="22"/>
        <w:rPr>
          <w:rFonts w:ascii="仿宋" w:hAnsi="仿宋" w:eastAsia="仿宋" w:cs="楷体"/>
          <w:color w:val="auto"/>
          <w:highlight w:val="none"/>
        </w:rPr>
      </w:pPr>
    </w:p>
    <w:p>
      <w:pPr>
        <w:spacing w:line="480" w:lineRule="exact"/>
        <w:jc w:val="center"/>
        <w:outlineLvl w:val="0"/>
        <w:rPr>
          <w:rFonts w:ascii="仿宋" w:hAnsi="仿宋" w:eastAsia="仿宋" w:cs="楷体"/>
          <w:b/>
          <w:color w:val="auto"/>
          <w:sz w:val="32"/>
          <w:szCs w:val="32"/>
          <w:highlight w:val="none"/>
        </w:rPr>
      </w:pPr>
      <w:r>
        <w:rPr>
          <w:rFonts w:hint="eastAsia" w:ascii="仿宋" w:hAnsi="仿宋" w:eastAsia="仿宋" w:cs="楷体"/>
          <w:b/>
          <w:bCs/>
          <w:color w:val="auto"/>
          <w:sz w:val="36"/>
          <w:szCs w:val="36"/>
          <w:highlight w:val="none"/>
        </w:rPr>
        <w:t>第7部分  资格证明文</w:t>
      </w:r>
      <w:bookmarkEnd w:id="234"/>
      <w:bookmarkEnd w:id="235"/>
      <w:bookmarkEnd w:id="236"/>
      <w:bookmarkEnd w:id="237"/>
      <w:bookmarkEnd w:id="238"/>
      <w:bookmarkEnd w:id="239"/>
      <w:bookmarkEnd w:id="240"/>
      <w:bookmarkEnd w:id="241"/>
      <w:r>
        <w:rPr>
          <w:rFonts w:hint="eastAsia" w:ascii="仿宋" w:hAnsi="仿宋" w:eastAsia="仿宋" w:cs="楷体"/>
          <w:b/>
          <w:bCs/>
          <w:color w:val="auto"/>
          <w:sz w:val="36"/>
          <w:szCs w:val="36"/>
          <w:highlight w:val="none"/>
        </w:rPr>
        <w:t>件</w:t>
      </w:r>
    </w:p>
    <w:p>
      <w:pPr>
        <w:pStyle w:val="26"/>
        <w:spacing w:line="400" w:lineRule="exact"/>
        <w:ind w:firstLine="562" w:firstLineChars="200"/>
        <w:rPr>
          <w:rFonts w:hint="eastAsia" w:ascii="仿宋" w:hAnsi="仿宋" w:eastAsia="仿宋" w:cs="楷体"/>
          <w:b/>
          <w:color w:val="auto"/>
          <w:sz w:val="28"/>
          <w:szCs w:val="21"/>
          <w:highlight w:val="none"/>
        </w:rPr>
      </w:pPr>
    </w:p>
    <w:p>
      <w:pPr>
        <w:pStyle w:val="26"/>
        <w:spacing w:line="400" w:lineRule="exact"/>
        <w:ind w:firstLine="562" w:firstLineChars="200"/>
        <w:rPr>
          <w:rFonts w:hint="eastAsia" w:ascii="宋体" w:hAnsi="宋体" w:eastAsia="宋体" w:cs="宋体"/>
          <w:b/>
          <w:color w:val="auto"/>
          <w:sz w:val="24"/>
          <w:szCs w:val="24"/>
          <w:highlight w:val="none"/>
        </w:rPr>
      </w:pPr>
      <w:r>
        <w:rPr>
          <w:rFonts w:hint="eastAsia" w:ascii="仿宋" w:hAnsi="仿宋" w:eastAsia="仿宋" w:cs="楷体"/>
          <w:b/>
          <w:color w:val="auto"/>
          <w:sz w:val="28"/>
          <w:szCs w:val="21"/>
          <w:highlight w:val="none"/>
        </w:rPr>
        <w:t>7.1、</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供应商参加本次投标必须提供以下资格证明文件</w:t>
      </w:r>
    </w:p>
    <w:p>
      <w:pPr>
        <w:pStyle w:val="26"/>
        <w:spacing w:line="400" w:lineRule="exact"/>
        <w:ind w:firstLine="482" w:firstLineChars="200"/>
        <w:rPr>
          <w:rFonts w:hint="eastAsia" w:ascii="宋体" w:hAnsi="宋体" w:eastAsia="宋体" w:cs="宋体"/>
          <w:b/>
          <w:color w:val="auto"/>
          <w:sz w:val="24"/>
          <w:szCs w:val="24"/>
          <w:highlight w:val="none"/>
        </w:rPr>
      </w:pPr>
    </w:p>
    <w:p>
      <w:pPr>
        <w:spacing w:line="360" w:lineRule="auto"/>
        <w:ind w:firstLine="420" w:firstLineChars="200"/>
        <w:rPr>
          <w:rFonts w:ascii="仿宋" w:hAnsi="仿宋" w:eastAsia="仿宋" w:cs="楷体"/>
          <w:bCs/>
          <w:color w:val="auto"/>
          <w:sz w:val="22"/>
          <w:szCs w:val="18"/>
          <w:highlight w:val="none"/>
          <w:u w:val="single"/>
        </w:rPr>
      </w:pPr>
      <w:r>
        <w:rPr>
          <w:rFonts w:hint="eastAsia" w:ascii="仿宋" w:hAnsi="仿宋" w:eastAsia="仿宋" w:cs="楷体"/>
          <w:color w:val="auto"/>
          <w:highlight w:val="none"/>
        </w:rPr>
        <w:t>1、具有独立承担民事责任能力的法人、其他组织或自然人，并出具合法有效的营业执照或事业单位法人证书等国家规定的相关证明，自然人参与的提供其身份证明。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楷体"/>
          <w:bCs/>
          <w:color w:val="auto"/>
          <w:sz w:val="22"/>
          <w:szCs w:val="18"/>
          <w:highlight w:val="none"/>
          <w:u w:val="single"/>
        </w:rPr>
        <w:t>（磋商响应文件内附扫描件加盖公章）</w:t>
      </w:r>
    </w:p>
    <w:p>
      <w:pPr>
        <w:spacing w:line="360" w:lineRule="auto"/>
        <w:ind w:firstLine="420" w:firstLineChars="200"/>
        <w:rPr>
          <w:rFonts w:ascii="仿宋" w:hAnsi="仿宋" w:eastAsia="仿宋" w:cs="楷体"/>
          <w:bCs/>
          <w:color w:val="auto"/>
          <w:sz w:val="22"/>
          <w:szCs w:val="18"/>
          <w:highlight w:val="none"/>
          <w:u w:val="single"/>
        </w:rPr>
      </w:pPr>
      <w:r>
        <w:rPr>
          <w:rFonts w:ascii="仿宋" w:hAnsi="仿宋" w:eastAsia="仿宋" w:cs="楷体"/>
          <w:color w:val="auto"/>
          <w:highlight w:val="none"/>
        </w:rPr>
        <w:t>2</w:t>
      </w:r>
      <w:r>
        <w:rPr>
          <w:rFonts w:hint="eastAsia" w:ascii="仿宋" w:hAnsi="仿宋" w:eastAsia="仿宋" w:cs="楷体"/>
          <w:color w:val="auto"/>
          <w:highlight w:val="none"/>
        </w:rPr>
        <w:t xml:space="preserve">、法定代表人直接参加磋商的，须出具法人身份证；法定代表人授权代表参加磋商的，须出具法定代表人授权书及授权代表身份证； </w:t>
      </w:r>
      <w:r>
        <w:rPr>
          <w:rFonts w:hint="eastAsia" w:ascii="仿宋" w:hAnsi="仿宋" w:eastAsia="仿宋" w:cs="楷体"/>
          <w:bCs/>
          <w:color w:val="auto"/>
          <w:sz w:val="22"/>
          <w:szCs w:val="18"/>
          <w:highlight w:val="none"/>
          <w:u w:val="single"/>
        </w:rPr>
        <w:t>（磋商响应文件内附扫描件加盖公章）</w:t>
      </w:r>
    </w:p>
    <w:p>
      <w:pPr>
        <w:spacing w:line="360" w:lineRule="auto"/>
        <w:ind w:firstLine="420" w:firstLineChars="200"/>
        <w:rPr>
          <w:rFonts w:ascii="仿宋" w:hAnsi="仿宋" w:eastAsia="仿宋" w:cs="楷体"/>
          <w:bCs/>
          <w:color w:val="auto"/>
          <w:sz w:val="22"/>
          <w:szCs w:val="18"/>
          <w:highlight w:val="none"/>
          <w:u w:val="double"/>
        </w:rPr>
      </w:pPr>
      <w:r>
        <w:rPr>
          <w:rFonts w:ascii="仿宋" w:hAnsi="仿宋" w:eastAsia="仿宋" w:cs="楷体"/>
          <w:color w:val="auto"/>
          <w:highlight w:val="none"/>
        </w:rPr>
        <w:t>3</w:t>
      </w:r>
      <w:r>
        <w:rPr>
          <w:rFonts w:hint="eastAsia" w:ascii="仿宋" w:hAnsi="仿宋" w:eastAsia="仿宋" w:cs="楷体"/>
          <w:color w:val="auto"/>
          <w:highlight w:val="none"/>
        </w:rPr>
        <w:t>、</w:t>
      </w:r>
      <w:r>
        <w:rPr>
          <w:rFonts w:hint="eastAsia" w:ascii="仿宋" w:hAnsi="仿宋" w:eastAsia="仿宋" w:cs="楷体"/>
          <w:color w:val="auto"/>
          <w:szCs w:val="21"/>
          <w:highlight w:val="none"/>
        </w:rPr>
        <w:t>提供具有财务审计资质单位出具的</w:t>
      </w:r>
      <w:r>
        <w:rPr>
          <w:rFonts w:hint="eastAsia" w:ascii="仿宋" w:hAnsi="仿宋" w:eastAsia="仿宋" w:cs="楷体"/>
          <w:color w:val="auto"/>
          <w:szCs w:val="21"/>
          <w:highlight w:val="none"/>
          <w:lang w:eastAsia="zh-CN"/>
        </w:rPr>
        <w:t>2019年度至今任意一年完整的财务审计报告</w:t>
      </w:r>
      <w:r>
        <w:rPr>
          <w:rFonts w:hint="eastAsia" w:ascii="仿宋" w:hAnsi="仿宋" w:eastAsia="仿宋" w:cs="楷体"/>
          <w:color w:val="auto"/>
          <w:szCs w:val="21"/>
          <w:highlight w:val="none"/>
        </w:rPr>
        <w:t>或开标前六个月内其基本账户银行出具的资信证明（附开户许可证）或政府采购信用担保机构出具的投标担保函；</w:t>
      </w:r>
      <w:r>
        <w:rPr>
          <w:rFonts w:hint="eastAsia" w:ascii="仿宋" w:hAnsi="仿宋" w:eastAsia="仿宋" w:cs="楷体"/>
          <w:bCs/>
          <w:color w:val="auto"/>
          <w:sz w:val="22"/>
          <w:szCs w:val="18"/>
          <w:highlight w:val="none"/>
          <w:u w:val="single"/>
        </w:rPr>
        <w:t>（磋商响应文件内附扫描件加盖公章）</w:t>
      </w:r>
    </w:p>
    <w:p>
      <w:pPr>
        <w:ind w:firstLine="420" w:firstLineChars="200"/>
        <w:rPr>
          <w:rFonts w:ascii="仿宋" w:hAnsi="仿宋" w:eastAsia="仿宋" w:cs="楷体"/>
          <w:color w:val="auto"/>
          <w:highlight w:val="none"/>
        </w:rPr>
      </w:pPr>
      <w:r>
        <w:rPr>
          <w:rFonts w:ascii="仿宋" w:hAnsi="仿宋" w:eastAsia="仿宋" w:cs="楷体"/>
          <w:color w:val="auto"/>
          <w:highlight w:val="none"/>
        </w:rPr>
        <w:t>4</w:t>
      </w:r>
      <w:r>
        <w:rPr>
          <w:rFonts w:hint="eastAsia" w:ascii="仿宋" w:hAnsi="仿宋" w:eastAsia="仿宋" w:cs="楷体"/>
          <w:color w:val="auto"/>
          <w:highlight w:val="none"/>
        </w:rPr>
        <w:t>、税收缴纳证明：</w:t>
      </w:r>
      <w:r>
        <w:rPr>
          <w:rFonts w:hint="eastAsia" w:ascii="仿宋" w:hAnsi="仿宋" w:eastAsia="仿宋" w:cs="楷体"/>
          <w:color w:val="auto"/>
          <w:szCs w:val="21"/>
          <w:highlight w:val="none"/>
        </w:rPr>
        <w:t>具有依法缴纳税收的良好记录（提供递交磋商文件截止时间前十二个月内任意一个月的缴纳证明）</w:t>
      </w:r>
      <w:r>
        <w:rPr>
          <w:rFonts w:hint="eastAsia" w:ascii="仿宋" w:hAnsi="仿宋" w:eastAsia="仿宋" w:cs="楷体"/>
          <w:color w:val="auto"/>
          <w:highlight w:val="none"/>
        </w:rPr>
        <w:t>（依法免税的供应商应提供相关文件证明）；</w:t>
      </w:r>
      <w:r>
        <w:rPr>
          <w:rFonts w:hint="eastAsia" w:ascii="仿宋" w:hAnsi="仿宋" w:eastAsia="仿宋" w:cs="楷体"/>
          <w:bCs/>
          <w:color w:val="auto"/>
          <w:sz w:val="22"/>
          <w:szCs w:val="18"/>
          <w:highlight w:val="none"/>
          <w:u w:val="single"/>
        </w:rPr>
        <w:t>（磋商响应文件内附扫描件加盖公章）</w:t>
      </w:r>
    </w:p>
    <w:p>
      <w:pPr>
        <w:ind w:firstLine="420" w:firstLineChars="200"/>
        <w:rPr>
          <w:rFonts w:ascii="仿宋" w:hAnsi="仿宋" w:eastAsia="仿宋" w:cs="楷体"/>
          <w:color w:val="auto"/>
          <w:highlight w:val="none"/>
          <w:u w:val="single"/>
        </w:rPr>
      </w:pPr>
      <w:r>
        <w:rPr>
          <w:rFonts w:hint="eastAsia" w:ascii="仿宋" w:hAnsi="仿宋" w:eastAsia="仿宋" w:cs="楷体"/>
          <w:color w:val="auto"/>
          <w:highlight w:val="none"/>
        </w:rPr>
        <w:t>5、提供具有履行本合同所必需的设备和专业技术能力的说明及承诺；</w:t>
      </w:r>
      <w:r>
        <w:rPr>
          <w:rFonts w:hint="eastAsia" w:ascii="仿宋" w:hAnsi="仿宋" w:eastAsia="仿宋" w:cs="楷体"/>
          <w:color w:val="auto"/>
          <w:highlight w:val="none"/>
          <w:u w:val="single"/>
        </w:rPr>
        <w:t>（原件，格式内容自拟，加盖供应商公章）</w:t>
      </w:r>
    </w:p>
    <w:p>
      <w:pPr>
        <w:ind w:firstLine="420" w:firstLineChars="200"/>
        <w:rPr>
          <w:rFonts w:ascii="仿宋" w:hAnsi="仿宋" w:eastAsia="仿宋" w:cs="楷体"/>
          <w:b/>
          <w:bCs/>
          <w:color w:val="auto"/>
          <w:highlight w:val="none"/>
        </w:rPr>
      </w:pPr>
      <w:r>
        <w:rPr>
          <w:rFonts w:hint="eastAsia" w:ascii="仿宋" w:hAnsi="仿宋" w:eastAsia="仿宋" w:cs="楷体"/>
          <w:color w:val="auto"/>
          <w:highlight w:val="none"/>
        </w:rPr>
        <w:t>6、提供参加政府采购活动前三年内在经营活动中没有重大违法记录的书面声明。</w:t>
      </w:r>
      <w:r>
        <w:rPr>
          <w:rFonts w:hint="eastAsia" w:ascii="仿宋" w:hAnsi="仿宋" w:eastAsia="仿宋" w:cs="楷体"/>
          <w:color w:val="auto"/>
          <w:highlight w:val="none"/>
          <w:u w:val="single"/>
        </w:rPr>
        <w:t>（原件，格式内容自拟，加盖供应商公章）</w:t>
      </w:r>
    </w:p>
    <w:p>
      <w:pPr>
        <w:ind w:firstLine="420" w:firstLineChars="200"/>
        <w:rPr>
          <w:rFonts w:hint="eastAsia" w:ascii="仿宋" w:hAnsi="仿宋" w:eastAsia="仿宋" w:cs="楷体"/>
          <w:bCs/>
          <w:color w:val="auto"/>
          <w:sz w:val="22"/>
          <w:szCs w:val="18"/>
          <w:highlight w:val="none"/>
        </w:rPr>
      </w:pPr>
      <w:r>
        <w:rPr>
          <w:rFonts w:ascii="仿宋" w:hAnsi="仿宋" w:eastAsia="仿宋" w:cs="楷体"/>
          <w:color w:val="auto"/>
          <w:highlight w:val="none"/>
        </w:rPr>
        <w:t>7</w:t>
      </w:r>
      <w:r>
        <w:rPr>
          <w:rFonts w:hint="eastAsia" w:ascii="仿宋" w:hAnsi="仿宋" w:eastAsia="仿宋" w:cs="楷体"/>
          <w:color w:val="auto"/>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楷体"/>
          <w:color w:val="auto"/>
          <w:szCs w:val="21"/>
          <w:highlight w:val="none"/>
          <w:u w:val="single"/>
        </w:rPr>
        <w:t>（提供查询结果网页清晰截图并加盖供应商公章）</w:t>
      </w:r>
      <w:r>
        <w:rPr>
          <w:rFonts w:hint="eastAsia" w:ascii="仿宋" w:hAnsi="仿宋" w:eastAsia="仿宋" w:cs="楷体"/>
          <w:bCs/>
          <w:color w:val="auto"/>
          <w:sz w:val="22"/>
          <w:szCs w:val="18"/>
          <w:highlight w:val="none"/>
        </w:rPr>
        <w:t>（★</w:t>
      </w:r>
      <w:r>
        <w:rPr>
          <w:rFonts w:hint="eastAsia" w:ascii="仿宋" w:hAnsi="仿宋" w:eastAsia="仿宋" w:cs="楷体"/>
          <w:bCs/>
          <w:color w:val="auto"/>
          <w:sz w:val="22"/>
          <w:szCs w:val="18"/>
          <w:highlight w:val="none"/>
          <w:lang w:eastAsia="zh-CN"/>
        </w:rPr>
        <w:t>截止时间时点为磋商文件发售起至投标文件递交截止时间止，</w:t>
      </w:r>
      <w:r>
        <w:rPr>
          <w:rFonts w:hint="eastAsia" w:ascii="仿宋" w:hAnsi="仿宋" w:eastAsia="仿宋" w:cs="楷体"/>
          <w:bCs/>
          <w:color w:val="auto"/>
          <w:sz w:val="22"/>
          <w:szCs w:val="18"/>
          <w:highlight w:val="none"/>
        </w:rPr>
        <w:t>查询结果以电子图片或者纸质版存档并作为资格审查资料的一部分，如相关失信记录已失效，供应商需提供相关证明资料，若没有则无需提供）。</w:t>
      </w:r>
    </w:p>
    <w:p>
      <w:pPr>
        <w:ind w:firstLine="440" w:firstLineChars="200"/>
        <w:rPr>
          <w:rFonts w:hint="eastAsia" w:ascii="仿宋" w:hAnsi="仿宋" w:eastAsia="仿宋" w:cs="楷体"/>
          <w:bCs/>
          <w:color w:val="auto"/>
          <w:sz w:val="22"/>
          <w:szCs w:val="18"/>
          <w:highlight w:val="none"/>
          <w:lang w:val="en-US"/>
        </w:rPr>
      </w:pPr>
      <w:r>
        <w:rPr>
          <w:rFonts w:hint="eastAsia" w:ascii="仿宋" w:hAnsi="仿宋" w:eastAsia="仿宋" w:cs="楷体"/>
          <w:bCs/>
          <w:color w:val="auto"/>
          <w:sz w:val="22"/>
          <w:szCs w:val="18"/>
          <w:highlight w:val="none"/>
          <w:lang w:val="en-US" w:eastAsia="zh-CN"/>
        </w:rPr>
        <w:t>8、具有中国林业建设协会颁发的林业调查规划设计资质丙级及丙级以上。</w:t>
      </w:r>
    </w:p>
    <w:p>
      <w:pPr>
        <w:ind w:firstLine="420" w:firstLineChars="200"/>
        <w:rPr>
          <w:rFonts w:hint="eastAsia" w:ascii="仿宋" w:hAnsi="仿宋" w:eastAsia="仿宋" w:cs="楷体"/>
          <w:color w:val="auto"/>
          <w:highlight w:val="none"/>
        </w:rPr>
      </w:pPr>
      <w:r>
        <w:rPr>
          <w:rFonts w:hint="eastAsia" w:ascii="仿宋" w:hAnsi="仿宋" w:eastAsia="仿宋" w:cs="楷体"/>
          <w:color w:val="auto"/>
          <w:highlight w:val="none"/>
          <w:lang w:val="en-US" w:eastAsia="zh-CN"/>
        </w:rPr>
        <w:t>9</w:t>
      </w:r>
      <w:r>
        <w:rPr>
          <w:rFonts w:hint="eastAsia" w:ascii="仿宋" w:hAnsi="仿宋" w:eastAsia="仿宋" w:cs="楷体"/>
          <w:color w:val="auto"/>
          <w:highlight w:val="none"/>
        </w:rPr>
        <w:t>、投标保证金；</w:t>
      </w:r>
    </w:p>
    <w:p>
      <w:pPr>
        <w:ind w:firstLine="420" w:firstLineChars="200"/>
        <w:rPr>
          <w:rFonts w:hint="eastAsia" w:ascii="仿宋" w:hAnsi="仿宋" w:eastAsia="仿宋" w:cs="楷体"/>
          <w:color w:val="auto"/>
          <w:highlight w:val="none"/>
        </w:rPr>
      </w:pPr>
      <w:r>
        <w:rPr>
          <w:rFonts w:hint="eastAsia" w:ascii="仿宋" w:hAnsi="仿宋" w:eastAsia="仿宋" w:cs="楷体"/>
          <w:color w:val="auto"/>
          <w:highlight w:val="none"/>
          <w:lang w:val="en-US" w:eastAsia="zh-CN"/>
        </w:rPr>
        <w:t>10</w:t>
      </w:r>
      <w:r>
        <w:rPr>
          <w:rFonts w:hint="eastAsia" w:ascii="仿宋" w:hAnsi="仿宋" w:eastAsia="仿宋" w:cs="楷体"/>
          <w:color w:val="auto"/>
          <w:highlight w:val="none"/>
        </w:rPr>
        <w:t>、投标声明书；</w:t>
      </w:r>
    </w:p>
    <w:p>
      <w:pPr>
        <w:pStyle w:val="2"/>
        <w:rPr>
          <w:rFonts w:hint="eastAsia"/>
          <w:color w:val="auto"/>
          <w:highlight w:val="none"/>
        </w:rPr>
      </w:pPr>
    </w:p>
    <w:p>
      <w:pPr>
        <w:pStyle w:val="8"/>
        <w:rPr>
          <w:rFonts w:hint="default" w:eastAsia="仿宋"/>
          <w:color w:val="auto"/>
          <w:highlight w:val="none"/>
          <w:lang w:val="en-US" w:eastAsia="zh-CN"/>
        </w:rPr>
      </w:pPr>
      <w:r>
        <w:rPr>
          <w:rFonts w:hint="eastAsia" w:ascii="仿宋" w:hAnsi="仿宋" w:eastAsia="仿宋" w:cs="楷体"/>
          <w:color w:val="auto"/>
          <w:highlight w:val="none"/>
          <w:lang w:val="en-US" w:eastAsia="zh-CN"/>
        </w:rPr>
        <w:t xml:space="preserve">    </w:t>
      </w:r>
    </w:p>
    <w:p>
      <w:pPr>
        <w:pStyle w:val="5"/>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8"/>
        <w:rPr>
          <w:rFonts w:hint="eastAsia"/>
          <w:color w:val="auto"/>
          <w:highlight w:val="none"/>
        </w:rPr>
      </w:pPr>
    </w:p>
    <w:p>
      <w:pPr>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rPr>
          <w:rFonts w:hint="eastAsia"/>
          <w:color w:val="auto"/>
          <w:highlight w:val="none"/>
        </w:rPr>
      </w:pPr>
    </w:p>
    <w:p>
      <w:pPr>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8"/>
        <w:rPr>
          <w:rFonts w:hint="eastAsia"/>
          <w:color w:val="auto"/>
          <w:highlight w:val="none"/>
        </w:rPr>
      </w:pPr>
    </w:p>
    <w:p>
      <w:pPr>
        <w:rPr>
          <w:color w:val="auto"/>
          <w:highlight w:val="none"/>
        </w:rPr>
      </w:pPr>
    </w:p>
    <w:p>
      <w:pPr>
        <w:autoSpaceDE w:val="0"/>
        <w:autoSpaceDN w:val="0"/>
        <w:adjustRightInd w:val="0"/>
        <w:spacing w:after="240" w:afterLines="100" w:line="40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bCs/>
          <w:color w:val="auto"/>
          <w:kern w:val="0"/>
          <w:sz w:val="30"/>
          <w:szCs w:val="30"/>
          <w:highlight w:val="none"/>
        </w:rPr>
        <w:t>1、</w:t>
      </w:r>
      <w:r>
        <w:rPr>
          <w:rFonts w:hint="eastAsia" w:ascii="仿宋" w:hAnsi="仿宋" w:eastAsia="仿宋" w:cs="仿宋"/>
          <w:b/>
          <w:bCs/>
          <w:color w:val="auto"/>
          <w:kern w:val="0"/>
          <w:sz w:val="30"/>
          <w:szCs w:val="30"/>
          <w:highlight w:val="none"/>
          <w:lang w:eastAsia="zh-CN"/>
        </w:rPr>
        <w:t>响应</w:t>
      </w:r>
      <w:r>
        <w:rPr>
          <w:rFonts w:hint="eastAsia" w:ascii="仿宋" w:hAnsi="仿宋" w:eastAsia="仿宋" w:cs="仿宋"/>
          <w:b/>
          <w:bCs/>
          <w:color w:val="auto"/>
          <w:kern w:val="0"/>
          <w:sz w:val="30"/>
          <w:szCs w:val="30"/>
          <w:highlight w:val="none"/>
        </w:rPr>
        <w:t>供应商基本情况表</w:t>
      </w:r>
    </w:p>
    <w:tbl>
      <w:tblPr>
        <w:tblStyle w:val="19"/>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047"/>
        <w:gridCol w:w="1232"/>
        <w:gridCol w:w="1456"/>
        <w:gridCol w:w="1442"/>
        <w:gridCol w:w="244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1540"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供应商 名称</w:t>
            </w:r>
          </w:p>
        </w:tc>
        <w:tc>
          <w:tcPr>
            <w:tcW w:w="7620" w:type="dxa"/>
            <w:gridSpan w:val="5"/>
            <w:tcBorders>
              <w:top w:val="single" w:color="auto" w:sz="12"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注册地址</w:t>
            </w:r>
          </w:p>
        </w:tc>
        <w:tc>
          <w:tcPr>
            <w:tcW w:w="3735"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邮政编码</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544" w:hRule="atLeast"/>
        </w:trPr>
        <w:tc>
          <w:tcPr>
            <w:tcW w:w="1540" w:type="dxa"/>
            <w:vMerge w:val="restart"/>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联系方式</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联系人</w:t>
            </w:r>
          </w:p>
        </w:tc>
        <w:tc>
          <w:tcPr>
            <w:tcW w:w="268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电话</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54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Cs w:val="21"/>
                <w:highlight w:val="none"/>
              </w:rPr>
            </w:pP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传真</w:t>
            </w:r>
          </w:p>
        </w:tc>
        <w:tc>
          <w:tcPr>
            <w:tcW w:w="268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网址</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单位性质</w:t>
            </w:r>
          </w:p>
        </w:tc>
        <w:tc>
          <w:tcPr>
            <w:tcW w:w="7620" w:type="dxa"/>
            <w:gridSpan w:val="5"/>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法定代表人</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姓名</w:t>
            </w:r>
          </w:p>
        </w:tc>
        <w:tc>
          <w:tcPr>
            <w:tcW w:w="268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电话</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b/>
                <w:bCs/>
                <w:color w:val="auto"/>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544"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技术负责人</w:t>
            </w:r>
          </w:p>
        </w:tc>
        <w:tc>
          <w:tcPr>
            <w:tcW w:w="1047"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姓名</w:t>
            </w:r>
          </w:p>
        </w:tc>
        <w:tc>
          <w:tcPr>
            <w:tcW w:w="2688" w:type="dxa"/>
            <w:gridSpan w:val="2"/>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 w:val="21"/>
                <w:szCs w:val="21"/>
                <w:highlight w:val="none"/>
                <w:lang w:val="en-US" w:eastAsia="zh-CN" w:bidi="ar-SA"/>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电话</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b/>
                <w:bCs/>
                <w:color w:val="auto"/>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40" w:type="dxa"/>
            <w:tcBorders>
              <w:top w:val="single" w:color="auto" w:sz="6" w:space="0"/>
              <w:left w:val="single" w:color="auto" w:sz="12" w:space="0"/>
              <w:bottom w:val="single" w:color="auto" w:sz="6"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企业资质等级</w:t>
            </w:r>
          </w:p>
        </w:tc>
        <w:tc>
          <w:tcPr>
            <w:tcW w:w="22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bCs/>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bCs/>
                <w:color w:val="auto"/>
                <w:kern w:val="0"/>
                <w:szCs w:val="21"/>
                <w:highlight w:val="none"/>
              </w:rPr>
            </w:pPr>
            <w:r>
              <w:rPr>
                <w:rFonts w:hint="eastAsia" w:ascii="仿宋" w:hAnsi="仿宋" w:eastAsia="仿宋" w:cs="仿宋"/>
                <w:color w:val="auto"/>
                <w:kern w:val="0"/>
                <w:szCs w:val="21"/>
                <w:highlight w:val="none"/>
              </w:rPr>
              <w:t>成立时间</w:t>
            </w:r>
          </w:p>
        </w:tc>
        <w:tc>
          <w:tcPr>
            <w:tcW w:w="3885" w:type="dxa"/>
            <w:gridSpan w:val="2"/>
            <w:tcBorders>
              <w:top w:val="single" w:color="auto" w:sz="6" w:space="0"/>
              <w:left w:val="single" w:color="auto" w:sz="4"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bCs/>
                <w:color w:val="auto"/>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注册资金</w:t>
            </w:r>
          </w:p>
        </w:tc>
        <w:tc>
          <w:tcPr>
            <w:tcW w:w="7620" w:type="dxa"/>
            <w:gridSpan w:val="5"/>
            <w:tcBorders>
              <w:top w:val="single" w:color="auto" w:sz="4"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right"/>
              <w:rPr>
                <w:rFonts w:hint="eastAsia" w:ascii="仿宋" w:hAnsi="仿宋" w:eastAsia="仿宋" w:cs="仿宋"/>
                <w:bCs/>
                <w:color w:val="auto"/>
                <w:kern w:val="0"/>
                <w:szCs w:val="21"/>
                <w:highlight w:val="none"/>
              </w:rPr>
            </w:pPr>
            <w:r>
              <w:rPr>
                <w:rFonts w:hint="eastAsia" w:ascii="仿宋" w:hAnsi="仿宋" w:eastAsia="仿宋" w:cs="仿宋"/>
                <w:color w:val="auto"/>
                <w:kern w:val="0"/>
                <w:szCs w:val="21"/>
                <w:highlight w:val="none"/>
              </w:rPr>
              <w:t>万元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开户银行</w:t>
            </w:r>
          </w:p>
        </w:tc>
        <w:tc>
          <w:tcPr>
            <w:tcW w:w="227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p>
        </w:tc>
        <w:tc>
          <w:tcPr>
            <w:tcW w:w="1456" w:type="dxa"/>
            <w:vMerge w:val="restart"/>
            <w:tcBorders>
              <w:top w:val="single" w:color="auto" w:sz="6" w:space="0"/>
              <w:left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职工总数</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人</w:t>
            </w: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管理人员</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righ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544"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基本银行账号</w:t>
            </w:r>
          </w:p>
        </w:tc>
        <w:tc>
          <w:tcPr>
            <w:tcW w:w="227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p>
        </w:tc>
        <w:tc>
          <w:tcPr>
            <w:tcW w:w="1456" w:type="dxa"/>
            <w:vMerge w:val="continue"/>
            <w:tcBorders>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Cs w:val="21"/>
                <w:highlight w:val="none"/>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技术人员</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righ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62" w:hRule="atLeast"/>
        </w:trPr>
        <w:tc>
          <w:tcPr>
            <w:tcW w:w="1540" w:type="dxa"/>
            <w:tcBorders>
              <w:top w:val="single" w:color="auto" w:sz="6" w:space="0"/>
              <w:left w:val="single" w:color="auto" w:sz="12" w:space="0"/>
              <w:bottom w:val="single" w:color="auto" w:sz="6"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经营范围</w:t>
            </w:r>
          </w:p>
        </w:tc>
        <w:tc>
          <w:tcPr>
            <w:tcW w:w="7620" w:type="dxa"/>
            <w:gridSpan w:val="5"/>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rPr>
                <w:rFonts w:hint="eastAsia" w:ascii="仿宋" w:hAnsi="仿宋" w:eastAsia="仿宋" w:cs="仿宋"/>
                <w:b/>
                <w:bCs/>
                <w:color w:val="auto"/>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076" w:hRule="atLeast"/>
        </w:trPr>
        <w:tc>
          <w:tcPr>
            <w:tcW w:w="1540"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c>
          <w:tcPr>
            <w:tcW w:w="7620" w:type="dxa"/>
            <w:gridSpan w:val="5"/>
            <w:tcBorders>
              <w:top w:val="single" w:color="auto" w:sz="6" w:space="0"/>
              <w:left w:val="single" w:color="auto" w:sz="6" w:space="0"/>
              <w:bottom w:val="single" w:color="auto" w:sz="12" w:space="0"/>
              <w:right w:val="single" w:color="auto" w:sz="12" w:space="0"/>
            </w:tcBorders>
            <w:noWrap w:val="0"/>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color w:val="auto"/>
                <w:kern w:val="0"/>
                <w:szCs w:val="21"/>
                <w:highlight w:val="none"/>
              </w:rPr>
            </w:pPr>
          </w:p>
        </w:tc>
      </w:tr>
    </w:tbl>
    <w:p>
      <w:pPr>
        <w:adjustRightInd w:val="0"/>
        <w:spacing w:line="400" w:lineRule="exact"/>
        <w:ind w:firstLine="420" w:firstLineChars="175"/>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投标供应商名称：        （盖章）</w:t>
      </w:r>
    </w:p>
    <w:p>
      <w:pPr>
        <w:adjustRightInd w:val="0"/>
        <w:spacing w:line="400" w:lineRule="exact"/>
        <w:ind w:firstLine="420" w:firstLineChars="175"/>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法定代表人或被授权代表：  （签名或盖章）</w:t>
      </w:r>
    </w:p>
    <w:p>
      <w:pPr>
        <w:adjustRightInd w:val="0"/>
        <w:spacing w:line="400" w:lineRule="exact"/>
        <w:ind w:firstLine="420" w:firstLineChars="175"/>
        <w:jc w:val="left"/>
        <w:rPr>
          <w:rFonts w:hint="eastAsia" w:ascii="仿宋" w:hAnsi="仿宋" w:eastAsia="仿宋" w:cs="仿宋"/>
          <w:bCs/>
          <w:color w:val="auto"/>
          <w:sz w:val="24"/>
          <w:highlight w:val="none"/>
        </w:rPr>
        <w:sectPr>
          <w:headerReference r:id="rId6" w:type="default"/>
          <w:footerReference r:id="rId7" w:type="default"/>
          <w:pgSz w:w="11907" w:h="16840"/>
          <w:pgMar w:top="1417" w:right="1531" w:bottom="1474" w:left="1418" w:header="680" w:footer="680" w:gutter="0"/>
          <w:pgNumType w:fmt="decimal"/>
          <w:cols w:space="0" w:num="1"/>
          <w:rtlGutter w:val="0"/>
          <w:docGrid w:linePitch="312" w:charSpace="0"/>
        </w:sectPr>
      </w:pPr>
      <w:r>
        <w:rPr>
          <w:rFonts w:hint="eastAsia" w:ascii="仿宋" w:hAnsi="仿宋" w:eastAsia="仿宋" w:cs="仿宋"/>
          <w:bCs/>
          <w:color w:val="auto"/>
          <w:sz w:val="24"/>
          <w:highlight w:val="none"/>
        </w:rPr>
        <w:t>日  期:</w:t>
      </w:r>
      <w:bookmarkStart w:id="242" w:name="_Toc217446089"/>
    </w:p>
    <w:p>
      <w:pPr>
        <w:spacing w:before="240" w:after="240" w:line="276" w:lineRule="auto"/>
        <w:jc w:val="left"/>
        <w:rPr>
          <w:rFonts w:hint="eastAsia" w:ascii="仿宋" w:hAnsi="仿宋" w:eastAsia="仿宋" w:cs="仿宋"/>
          <w:bCs/>
          <w:color w:val="auto"/>
          <w:sz w:val="21"/>
          <w:szCs w:val="21"/>
          <w:highlight w:val="none"/>
          <w:u w:val="single"/>
        </w:rPr>
      </w:pPr>
      <w:r>
        <w:rPr>
          <w:rFonts w:hint="eastAsia" w:ascii="仿宋" w:hAnsi="仿宋" w:eastAsia="仿宋" w:cs="仿宋"/>
          <w:b/>
          <w:color w:val="auto"/>
          <w:sz w:val="21"/>
          <w:szCs w:val="21"/>
          <w:highlight w:val="none"/>
        </w:rPr>
        <w:t>2、</w:t>
      </w:r>
      <w:r>
        <w:rPr>
          <w:rFonts w:hint="eastAsia" w:ascii="仿宋" w:hAnsi="仿宋" w:eastAsia="仿宋" w:cs="仿宋"/>
          <w:color w:val="auto"/>
          <w:sz w:val="21"/>
          <w:szCs w:val="21"/>
          <w:highlight w:val="none"/>
        </w:rPr>
        <w:t xml:space="preserve">法定代表人直接参加磋商的，须出具法人身份证；法定代表人授权代表参加磋商的，须出具法定代表人授权书及授权代表身份证； </w:t>
      </w:r>
      <w:r>
        <w:rPr>
          <w:rFonts w:hint="eastAsia" w:ascii="仿宋" w:hAnsi="仿宋" w:eastAsia="仿宋" w:cs="仿宋"/>
          <w:bCs/>
          <w:color w:val="auto"/>
          <w:sz w:val="21"/>
          <w:szCs w:val="21"/>
          <w:highlight w:val="none"/>
          <w:u w:val="single"/>
        </w:rPr>
        <w:t>（磋商响应文件内附扫描件加盖公章）</w:t>
      </w:r>
    </w:p>
    <w:p>
      <w:pPr>
        <w:spacing w:before="240" w:after="240" w:line="276" w:lineRule="auto"/>
        <w:jc w:val="left"/>
        <w:rPr>
          <w:rFonts w:hint="eastAsia" w:ascii="仿宋" w:hAnsi="仿宋" w:eastAsia="仿宋" w:cs="仿宋"/>
          <w:b w:val="0"/>
          <w:bCs/>
          <w:color w:val="auto"/>
          <w:sz w:val="21"/>
          <w:szCs w:val="21"/>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val="0"/>
          <w:bCs/>
          <w:color w:val="auto"/>
          <w:sz w:val="21"/>
          <w:szCs w:val="21"/>
          <w:highlight w:val="none"/>
        </w:rPr>
        <w:t>3、提供具有财务审计资质单位出具的</w:t>
      </w:r>
      <w:r>
        <w:rPr>
          <w:rFonts w:hint="eastAsia" w:ascii="仿宋" w:hAnsi="仿宋" w:eastAsia="仿宋" w:cs="仿宋"/>
          <w:b w:val="0"/>
          <w:bCs/>
          <w:color w:val="auto"/>
          <w:sz w:val="21"/>
          <w:szCs w:val="21"/>
          <w:highlight w:val="none"/>
          <w:lang w:eastAsia="zh-CN"/>
        </w:rPr>
        <w:t>2019年度至今任意一年完整的财务审计报告</w:t>
      </w:r>
      <w:r>
        <w:rPr>
          <w:rFonts w:hint="eastAsia" w:ascii="仿宋" w:hAnsi="仿宋" w:eastAsia="仿宋" w:cs="仿宋"/>
          <w:b w:val="0"/>
          <w:bCs/>
          <w:color w:val="auto"/>
          <w:sz w:val="21"/>
          <w:szCs w:val="21"/>
          <w:highlight w:val="none"/>
        </w:rPr>
        <w:t>或开标前六个月内其基本账户银行出具的资信证明（附开户许可证）或政府采购信用担保机构出具的投标担保函；</w:t>
      </w:r>
    </w:p>
    <w:p>
      <w:pPr>
        <w:spacing w:line="360" w:lineRule="auto"/>
        <w:rPr>
          <w:rFonts w:hint="eastAsia" w:ascii="仿宋" w:hAnsi="仿宋" w:eastAsia="仿宋" w:cs="仿宋"/>
          <w:b w:val="0"/>
          <w:bCs/>
          <w:color w:val="auto"/>
          <w:sz w:val="21"/>
          <w:szCs w:val="21"/>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val="0"/>
          <w:bCs/>
          <w:color w:val="auto"/>
          <w:sz w:val="21"/>
          <w:szCs w:val="21"/>
          <w:highlight w:val="none"/>
        </w:rPr>
        <w:t>4、税收缴纳证明：具有依法缴纳税收的良好记录（提供递交磋商文件截止时间前十二个月内任意一个月的缴纳证明）（依法免税的供应商应提供相关文件证明）；</w:t>
      </w:r>
      <w:r>
        <w:rPr>
          <w:rFonts w:hint="eastAsia" w:ascii="仿宋" w:hAnsi="仿宋" w:eastAsia="仿宋" w:cs="仿宋"/>
          <w:b w:val="0"/>
          <w:bCs/>
          <w:color w:val="auto"/>
          <w:sz w:val="21"/>
          <w:szCs w:val="21"/>
          <w:highlight w:val="none"/>
        </w:rPr>
        <w:br w:type="page"/>
      </w:r>
      <w:r>
        <w:rPr>
          <w:rFonts w:hint="eastAsia" w:ascii="仿宋" w:hAnsi="仿宋" w:eastAsia="仿宋" w:cs="仿宋"/>
          <w:b w:val="0"/>
          <w:bCs/>
          <w:color w:val="auto"/>
          <w:sz w:val="21"/>
          <w:szCs w:val="21"/>
          <w:highlight w:val="none"/>
        </w:rPr>
        <w:t>5、提供具有履行本合同所必需的设备和专业技术能力的说明及承诺；</w:t>
      </w:r>
      <w:r>
        <w:rPr>
          <w:rFonts w:hint="eastAsia" w:ascii="仿宋" w:hAnsi="仿宋" w:eastAsia="仿宋" w:cs="仿宋"/>
          <w:b/>
          <w:bCs w:val="0"/>
          <w:color w:val="auto"/>
          <w:sz w:val="21"/>
          <w:szCs w:val="21"/>
          <w:highlight w:val="none"/>
        </w:rPr>
        <w:t>（参考格式）</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pacing w:val="4"/>
          <w:sz w:val="24"/>
          <w:highlight w:val="none"/>
          <w:u w:val="single"/>
        </w:rPr>
      </w:pPr>
      <w:r>
        <w:rPr>
          <w:rFonts w:hint="eastAsia" w:ascii="仿宋" w:hAnsi="仿宋" w:eastAsia="仿宋" w:cs="仿宋"/>
          <w:color w:val="auto"/>
          <w:spacing w:val="4"/>
          <w:sz w:val="24"/>
          <w:highlight w:val="none"/>
        </w:rPr>
        <w:t>致：</w:t>
      </w:r>
      <w:r>
        <w:rPr>
          <w:rFonts w:hint="eastAsia" w:ascii="仿宋" w:hAnsi="仿宋" w:eastAsia="仿宋" w:cs="仿宋"/>
          <w:color w:val="auto"/>
          <w:spacing w:val="4"/>
          <w:sz w:val="24"/>
          <w:highlight w:val="none"/>
          <w:u w:val="single"/>
        </w:rPr>
        <w:t xml:space="preserve">     （采购人名称）   </w:t>
      </w:r>
      <w:r>
        <w:rPr>
          <w:rFonts w:hint="eastAsia" w:ascii="仿宋" w:hAnsi="仿宋" w:eastAsia="仿宋" w:cs="仿宋"/>
          <w:color w:val="auto"/>
          <w:spacing w:val="4"/>
          <w:sz w:val="24"/>
          <w:highlight w:val="none"/>
        </w:rPr>
        <w:t>：</w:t>
      </w:r>
    </w:p>
    <w:p>
      <w:pPr>
        <w:spacing w:before="240" w:beforeLines="100" w:after="120" w:afterLines="50"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（公司）于</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年</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月</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240" w:beforeLines="100" w:after="120" w:afterLines="50" w:line="360" w:lineRule="auto"/>
        <w:ind w:firstLine="170"/>
        <w:rPr>
          <w:rFonts w:hint="eastAsia" w:ascii="仿宋" w:hAnsi="仿宋" w:eastAsia="仿宋" w:cs="仿宋"/>
          <w:color w:val="auto"/>
          <w:spacing w:val="4"/>
          <w:sz w:val="24"/>
          <w:highlight w:val="none"/>
        </w:rPr>
      </w:pPr>
    </w:p>
    <w:p>
      <w:pPr>
        <w:pStyle w:val="8"/>
        <w:rPr>
          <w:rFonts w:hint="eastAsia" w:ascii="仿宋" w:hAnsi="仿宋" w:eastAsia="仿宋" w:cs="仿宋"/>
          <w:color w:val="auto"/>
          <w:spacing w:val="4"/>
          <w:szCs w:val="24"/>
          <w:highlight w:val="none"/>
        </w:rPr>
      </w:pPr>
    </w:p>
    <w:p>
      <w:pPr>
        <w:rPr>
          <w:rFonts w:hint="eastAsia" w:ascii="仿宋" w:hAnsi="仿宋" w:eastAsia="仿宋" w:cs="仿宋"/>
          <w:color w:val="auto"/>
          <w:highlight w:val="none"/>
        </w:rPr>
      </w:pPr>
    </w:p>
    <w:p>
      <w:pPr>
        <w:spacing w:before="240" w:beforeLines="100" w:after="120" w:afterLines="50" w:line="360" w:lineRule="auto"/>
        <w:ind w:firstLine="2480" w:firstLineChars="1000"/>
        <w:jc w:val="left"/>
        <w:rPr>
          <w:rFonts w:hint="eastAsia" w:ascii="仿宋" w:hAnsi="仿宋" w:eastAsia="仿宋" w:cs="仿宋"/>
          <w:color w:val="auto"/>
          <w:spacing w:val="14"/>
          <w:kern w:val="0"/>
          <w:sz w:val="24"/>
          <w:highlight w:val="none"/>
        </w:rPr>
      </w:pPr>
      <w:r>
        <w:rPr>
          <w:rFonts w:hint="eastAsia" w:ascii="仿宋" w:hAnsi="仿宋" w:eastAsia="仿宋" w:cs="仿宋"/>
          <w:color w:val="auto"/>
          <w:spacing w:val="4"/>
          <w:sz w:val="24"/>
          <w:highlight w:val="none"/>
        </w:rPr>
        <w:t>供应商名称：</w:t>
      </w:r>
      <w:r>
        <w:rPr>
          <w:rFonts w:hint="eastAsia" w:ascii="仿宋" w:hAnsi="仿宋" w:eastAsia="仿宋" w:cs="仿宋"/>
          <w:color w:val="auto"/>
          <w:spacing w:val="14"/>
          <w:kern w:val="0"/>
          <w:sz w:val="24"/>
          <w:highlight w:val="none"/>
          <w:u w:val="single"/>
        </w:rPr>
        <w:t xml:space="preserve">  </w:t>
      </w:r>
      <w:r>
        <w:rPr>
          <w:rFonts w:hint="eastAsia" w:ascii="仿宋" w:hAnsi="仿宋" w:eastAsia="仿宋" w:cs="仿宋"/>
          <w:color w:val="auto"/>
          <w:spacing w:val="4"/>
          <w:sz w:val="24"/>
          <w:highlight w:val="none"/>
          <w:u w:val="single"/>
        </w:rPr>
        <w:t>（盖章）</w:t>
      </w:r>
      <w:r>
        <w:rPr>
          <w:rFonts w:hint="eastAsia" w:ascii="仿宋" w:hAnsi="仿宋" w:eastAsia="仿宋" w:cs="仿宋"/>
          <w:color w:val="auto"/>
          <w:spacing w:val="14"/>
          <w:kern w:val="0"/>
          <w:sz w:val="24"/>
          <w:highlight w:val="none"/>
          <w:u w:val="single"/>
        </w:rPr>
        <w:t xml:space="preserve">     </w:t>
      </w:r>
    </w:p>
    <w:p>
      <w:pPr>
        <w:spacing w:before="240" w:beforeLines="100" w:after="120" w:afterLines="50" w:line="360" w:lineRule="auto"/>
        <w:ind w:firstLine="2520" w:firstLineChars="1050"/>
        <w:jc w:val="left"/>
        <w:rPr>
          <w:rFonts w:hint="eastAsia" w:ascii="仿宋" w:hAnsi="仿宋" w:eastAsia="仿宋" w:cs="仿宋"/>
          <w:color w:val="auto"/>
          <w:spacing w:val="4"/>
          <w:sz w:val="24"/>
          <w:highlight w:val="none"/>
        </w:rPr>
      </w:pPr>
      <w:r>
        <w:rPr>
          <w:rFonts w:hint="eastAsia" w:ascii="仿宋" w:hAnsi="仿宋" w:eastAsia="仿宋" w:cs="仿宋"/>
          <w:color w:val="auto"/>
          <w:kern w:val="0"/>
          <w:sz w:val="24"/>
          <w:highlight w:val="none"/>
        </w:rPr>
        <w:t>法定代表人或委托代理人（签字或盖章）：</w:t>
      </w:r>
    </w:p>
    <w:p>
      <w:pPr>
        <w:spacing w:before="240" w:beforeLines="100" w:after="120" w:afterLines="50" w:line="360" w:lineRule="auto"/>
        <w:ind w:firstLine="17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日期：   年     月    日</w:t>
      </w:r>
    </w:p>
    <w:p>
      <w:pPr>
        <w:spacing w:before="240" w:after="240" w:line="276" w:lineRule="auto"/>
        <w:jc w:val="left"/>
        <w:rPr>
          <w:rFonts w:hint="eastAsia" w:ascii="仿宋" w:hAnsi="仿宋" w:eastAsia="仿宋" w:cs="仿宋"/>
          <w:b/>
          <w:color w:val="auto"/>
          <w:sz w:val="30"/>
          <w:szCs w:val="30"/>
          <w:highlight w:val="none"/>
        </w:rPr>
      </w:pPr>
    </w:p>
    <w:p>
      <w:pPr>
        <w:spacing w:before="240" w:after="240" w:line="276" w:lineRule="auto"/>
        <w:jc w:val="left"/>
        <w:rPr>
          <w:rFonts w:hint="eastAsia" w:ascii="仿宋" w:hAnsi="仿宋" w:eastAsia="仿宋" w:cs="仿宋"/>
          <w:b/>
          <w:color w:val="auto"/>
          <w:sz w:val="30"/>
          <w:szCs w:val="30"/>
          <w:highlight w:val="none"/>
        </w:rPr>
      </w:pPr>
    </w:p>
    <w:p>
      <w:pPr>
        <w:spacing w:before="240" w:after="240" w:line="276" w:lineRule="auto"/>
        <w:jc w:val="left"/>
        <w:rPr>
          <w:rFonts w:hint="eastAsia" w:ascii="仿宋" w:hAnsi="仿宋" w:eastAsia="仿宋" w:cs="仿宋"/>
          <w:b w:val="0"/>
          <w:bCs/>
          <w:color w:val="auto"/>
          <w:sz w:val="21"/>
          <w:szCs w:val="21"/>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val="0"/>
          <w:bCs/>
          <w:color w:val="auto"/>
          <w:sz w:val="21"/>
          <w:szCs w:val="21"/>
          <w:highlight w:val="none"/>
        </w:rPr>
        <w:t>6、提供参加政府采购活动前三年内在经营活动中没有重大违法记录的书面声明。</w:t>
      </w:r>
    </w:p>
    <w:p>
      <w:pPr>
        <w:spacing w:before="100" w:beforeAutospacing="1"/>
        <w:ind w:firstLine="602" w:firstLineChars="200"/>
        <w:rPr>
          <w:rFonts w:hint="eastAsia" w:ascii="仿宋" w:hAnsi="仿宋" w:eastAsia="仿宋" w:cs="仿宋"/>
          <w:b/>
          <w:bCs/>
          <w:color w:val="auto"/>
          <w:kern w:val="0"/>
          <w:sz w:val="28"/>
          <w:szCs w:val="28"/>
          <w:highlight w:val="none"/>
        </w:rPr>
        <w:sectPr>
          <w:pgSz w:w="11907" w:h="16840"/>
          <w:pgMar w:top="1418" w:right="1531" w:bottom="1474" w:left="1418" w:header="851" w:footer="992" w:gutter="0"/>
          <w:pgNumType w:fmt="decimal"/>
          <w:cols w:space="720" w:num="1"/>
          <w:docGrid w:linePitch="312" w:charSpace="0"/>
        </w:sectPr>
      </w:pPr>
      <w:r>
        <w:rPr>
          <w:rFonts w:hint="eastAsia" w:ascii="仿宋" w:hAnsi="仿宋" w:eastAsia="仿宋" w:cs="仿宋"/>
          <w:b/>
          <w:color w:val="auto"/>
          <w:sz w:val="30"/>
          <w:szCs w:val="30"/>
          <w:highlight w:val="none"/>
        </w:rPr>
        <w:br w:type="page"/>
      </w:r>
    </w:p>
    <w:p>
      <w:pPr>
        <w:spacing w:before="240" w:after="240" w:line="276" w:lineRule="auto"/>
        <w:jc w:val="left"/>
        <w:rPr>
          <w:rFonts w:hint="eastAsia" w:ascii="仿宋" w:hAnsi="仿宋" w:eastAsia="仿宋" w:cs="仿宋"/>
          <w:b/>
          <w:color w:val="auto"/>
          <w:sz w:val="30"/>
          <w:szCs w:val="30"/>
          <w:highlight w:val="none"/>
          <w:lang w:eastAsia="zh-CN"/>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、供应商不得为“信用中国”网站（www.creditchina.gov.cn）中列入失信被执行人和重大税收</w:t>
      </w:r>
      <w:r>
        <w:rPr>
          <w:rFonts w:hint="eastAsia" w:ascii="仿宋" w:hAnsi="仿宋" w:eastAsia="仿宋" w:cs="仿宋"/>
          <w:color w:val="auto"/>
          <w:sz w:val="24"/>
          <w:szCs w:val="32"/>
          <w:highlight w:val="none"/>
        </w:rPr>
        <w:t>违法案件当事人名单的供应商，不得为中国政府采购网（www.ccgp.gov.cn）政府采购严重违法失信行为记录名单中被财政部门禁止参加政府采购活动的供应商；</w:t>
      </w:r>
      <w:r>
        <w:rPr>
          <w:rFonts w:hint="eastAsia" w:ascii="仿宋" w:hAnsi="仿宋" w:eastAsia="仿宋" w:cs="仿宋"/>
          <w:color w:val="auto"/>
          <w:sz w:val="24"/>
          <w:szCs w:val="24"/>
          <w:highlight w:val="none"/>
          <w:u w:val="single"/>
        </w:rPr>
        <w:t>（提供查询结果网页清晰截图并加盖供应商公章）</w:t>
      </w:r>
    </w:p>
    <w:p>
      <w:pPr>
        <w:spacing w:before="240" w:after="240" w:line="276" w:lineRule="auto"/>
        <w:jc w:val="center"/>
        <w:rPr>
          <w:rFonts w:hint="eastAsia" w:ascii="仿宋" w:hAnsi="仿宋" w:eastAsia="仿宋" w:cs="仿宋"/>
          <w:b/>
          <w:color w:val="auto"/>
          <w:sz w:val="30"/>
          <w:szCs w:val="30"/>
          <w:highlight w:val="none"/>
        </w:rPr>
      </w:pPr>
    </w:p>
    <w:p>
      <w:pPr>
        <w:spacing w:before="240" w:after="240" w:line="276" w:lineRule="auto"/>
        <w:jc w:val="center"/>
        <w:rPr>
          <w:rFonts w:hint="eastAsia" w:ascii="仿宋" w:hAnsi="仿宋" w:eastAsia="仿宋" w:cs="仿宋"/>
          <w:b/>
          <w:color w:val="auto"/>
          <w:sz w:val="30"/>
          <w:szCs w:val="30"/>
          <w:highlight w:val="none"/>
        </w:rPr>
      </w:pPr>
    </w:p>
    <w:p>
      <w:pPr>
        <w:spacing w:before="240" w:after="240" w:line="276" w:lineRule="auto"/>
        <w:jc w:val="center"/>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br w:type="page"/>
      </w:r>
    </w:p>
    <w:p>
      <w:pPr>
        <w:ind w:firstLine="602" w:firstLineChars="200"/>
        <w:rPr>
          <w:rFonts w:hint="eastAsia" w:ascii="仿宋" w:hAnsi="仿宋" w:eastAsia="仿宋" w:cs="仿宋"/>
          <w:color w:val="auto"/>
          <w:sz w:val="24"/>
          <w:szCs w:val="32"/>
          <w:highlight w:val="none"/>
          <w:lang w:val="en-US"/>
        </w:rPr>
      </w:pPr>
      <w:r>
        <w:rPr>
          <w:rFonts w:hint="eastAsia" w:ascii="仿宋" w:hAnsi="仿宋" w:eastAsia="仿宋" w:cs="仿宋"/>
          <w:b/>
          <w:color w:val="auto"/>
          <w:sz w:val="30"/>
          <w:szCs w:val="30"/>
          <w:highlight w:val="none"/>
          <w:lang w:val="en-US" w:eastAsia="zh-CN"/>
        </w:rPr>
        <w:t>8</w:t>
      </w:r>
      <w:r>
        <w:rPr>
          <w:rFonts w:hint="eastAsia" w:ascii="仿宋" w:hAnsi="仿宋" w:eastAsia="仿宋" w:cs="仿宋"/>
          <w:b/>
          <w:color w:val="auto"/>
          <w:sz w:val="30"/>
          <w:szCs w:val="30"/>
          <w:highlight w:val="none"/>
        </w:rPr>
        <w:t>、</w:t>
      </w:r>
      <w:r>
        <w:rPr>
          <w:rFonts w:hint="eastAsia" w:ascii="仿宋" w:hAnsi="仿宋" w:eastAsia="仿宋" w:cs="楷体"/>
          <w:bCs/>
          <w:color w:val="auto"/>
          <w:sz w:val="22"/>
          <w:szCs w:val="18"/>
          <w:highlight w:val="none"/>
          <w:lang w:val="en-US" w:eastAsia="zh-CN"/>
        </w:rPr>
        <w:t>具有中国林业建设协会颁发的林业调查规划设计资质丙级及丙级以上；</w:t>
      </w:r>
    </w:p>
    <w:p>
      <w:pPr>
        <w:pStyle w:val="8"/>
        <w:jc w:val="center"/>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color w:val="auto"/>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8"/>
        <w:rPr>
          <w:rFonts w:hint="eastAsia" w:ascii="仿宋" w:hAnsi="仿宋" w:eastAsia="仿宋" w:cs="仿宋"/>
          <w:b/>
          <w:color w:val="auto"/>
          <w:sz w:val="30"/>
          <w:szCs w:val="30"/>
          <w:highlight w:val="none"/>
        </w:rPr>
      </w:pPr>
    </w:p>
    <w:p>
      <w:pPr>
        <w:rPr>
          <w:rFonts w:hint="eastAsia"/>
          <w:color w:val="auto"/>
          <w:highlight w:val="none"/>
        </w:rPr>
      </w:pPr>
    </w:p>
    <w:p>
      <w:pPr>
        <w:pStyle w:val="8"/>
        <w:jc w:val="center"/>
        <w:rPr>
          <w:rFonts w:hint="eastAsia" w:ascii="仿宋" w:hAnsi="仿宋" w:eastAsia="仿宋" w:cs="仿宋"/>
          <w:b/>
          <w:bCs/>
          <w:color w:val="auto"/>
          <w:sz w:val="30"/>
          <w:szCs w:val="30"/>
          <w:highlight w:val="none"/>
        </w:rPr>
      </w:pPr>
      <w:r>
        <w:rPr>
          <w:rFonts w:hint="eastAsia" w:ascii="仿宋" w:hAnsi="仿宋" w:eastAsia="仿宋" w:cs="仿宋"/>
          <w:b/>
          <w:color w:val="auto"/>
          <w:sz w:val="30"/>
          <w:szCs w:val="30"/>
          <w:highlight w:val="none"/>
          <w:lang w:val="en-US" w:eastAsia="zh-CN"/>
        </w:rPr>
        <w:t>9、</w:t>
      </w:r>
      <w:r>
        <w:rPr>
          <w:rFonts w:hint="eastAsia" w:ascii="仿宋" w:hAnsi="仿宋" w:eastAsia="仿宋" w:cs="仿宋"/>
          <w:b/>
          <w:color w:val="auto"/>
          <w:sz w:val="30"/>
          <w:szCs w:val="30"/>
          <w:highlight w:val="none"/>
        </w:rPr>
        <w:t>投标保证金交纳</w:t>
      </w: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Cs/>
          <w:color w:val="auto"/>
          <w:sz w:val="24"/>
          <w:highlight w:val="none"/>
        </w:rPr>
      </w:pPr>
    </w:p>
    <w:p>
      <w:pPr>
        <w:spacing w:after="24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采购代理机构开具的投标保证金凭证复印件粘贴处</w:t>
      </w:r>
    </w:p>
    <w:p>
      <w:pPr>
        <w:spacing w:after="2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基本账户转出投标保证金的转账凭证复印件</w:t>
      </w:r>
      <w:r>
        <w:rPr>
          <w:rFonts w:hint="eastAsia" w:ascii="仿宋" w:hAnsi="仿宋" w:eastAsia="仿宋" w:cs="仿宋"/>
          <w:bCs/>
          <w:color w:val="auto"/>
          <w:sz w:val="24"/>
          <w:highlight w:val="none"/>
        </w:rPr>
        <w:t>粘贴处</w:t>
      </w:r>
    </w:p>
    <w:p>
      <w:pPr>
        <w:spacing w:after="24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基本账户开户许可证复印件</w:t>
      </w:r>
      <w:r>
        <w:rPr>
          <w:rFonts w:hint="eastAsia" w:ascii="仿宋" w:hAnsi="仿宋" w:eastAsia="仿宋" w:cs="仿宋"/>
          <w:bCs/>
          <w:color w:val="auto"/>
          <w:sz w:val="24"/>
          <w:highlight w:val="none"/>
        </w:rPr>
        <w:t>粘贴处</w:t>
      </w:r>
    </w:p>
    <w:p>
      <w:pPr>
        <w:spacing w:line="500" w:lineRule="exact"/>
        <w:ind w:firstLine="235" w:firstLineChars="98"/>
        <w:rPr>
          <w:rFonts w:hint="eastAsia" w:ascii="仿宋" w:hAnsi="仿宋" w:eastAsia="仿宋" w:cs="仿宋"/>
          <w:color w:val="auto"/>
          <w:sz w:val="24"/>
          <w:highlight w:val="none"/>
        </w:rPr>
      </w:pPr>
    </w:p>
    <w:p>
      <w:pPr>
        <w:spacing w:after="240"/>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spacing w:after="240"/>
        <w:jc w:val="center"/>
        <w:rPr>
          <w:rFonts w:hint="eastAsia" w:ascii="仿宋" w:hAnsi="仿宋" w:eastAsia="仿宋" w:cs="仿宋"/>
          <w:b/>
          <w:bCs/>
          <w:color w:val="auto"/>
          <w:sz w:val="30"/>
          <w:szCs w:val="30"/>
          <w:highlight w:val="none"/>
        </w:rPr>
      </w:pPr>
    </w:p>
    <w:p>
      <w:pPr>
        <w:pStyle w:val="5"/>
        <w:rPr>
          <w:rFonts w:hint="eastAsia" w:ascii="仿宋" w:hAnsi="仿宋" w:eastAsia="仿宋" w:cs="仿宋"/>
          <w:b/>
          <w:bCs/>
          <w:color w:val="auto"/>
          <w:sz w:val="30"/>
          <w:szCs w:val="30"/>
          <w:highlight w:val="none"/>
        </w:rPr>
      </w:pPr>
    </w:p>
    <w:p>
      <w:pPr>
        <w:rPr>
          <w:rFonts w:hint="eastAsia" w:ascii="仿宋" w:hAnsi="仿宋" w:eastAsia="仿宋" w:cs="仿宋"/>
          <w:b/>
          <w:bCs/>
          <w:color w:val="auto"/>
          <w:sz w:val="30"/>
          <w:szCs w:val="30"/>
          <w:highlight w:val="none"/>
        </w:rPr>
      </w:pPr>
    </w:p>
    <w:p>
      <w:pPr>
        <w:pStyle w:val="5"/>
        <w:rPr>
          <w:rFonts w:hint="eastAsia" w:ascii="仿宋" w:hAnsi="仿宋" w:eastAsia="仿宋" w:cs="仿宋"/>
          <w:color w:val="auto"/>
          <w:highlight w:val="none"/>
        </w:rPr>
      </w:pPr>
    </w:p>
    <w:p>
      <w:pPr>
        <w:spacing w:after="240"/>
        <w:jc w:val="center"/>
        <w:rPr>
          <w:rFonts w:hint="eastAsia" w:ascii="仿宋" w:hAnsi="仿宋" w:eastAsia="仿宋" w:cs="仿宋"/>
          <w:b/>
          <w:bCs/>
          <w:color w:val="auto"/>
          <w:sz w:val="30"/>
          <w:szCs w:val="30"/>
          <w:highlight w:val="none"/>
        </w:rPr>
      </w:pPr>
    </w:p>
    <w:p>
      <w:pPr>
        <w:pStyle w:val="2"/>
        <w:ind w:firstLine="3915" w:firstLineChars="1300"/>
        <w:jc w:val="both"/>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10</w:t>
      </w:r>
      <w:r>
        <w:rPr>
          <w:rFonts w:hint="eastAsia" w:ascii="仿宋" w:hAnsi="仿宋" w:eastAsia="仿宋" w:cs="仿宋"/>
          <w:b/>
          <w:color w:val="auto"/>
          <w:sz w:val="30"/>
          <w:szCs w:val="30"/>
          <w:highlight w:val="none"/>
        </w:rPr>
        <w:t>、投标声明书</w:t>
      </w:r>
    </w:p>
    <w:p>
      <w:pPr>
        <w:pStyle w:val="2"/>
        <w:ind w:firstLine="0"/>
        <w:jc w:val="center"/>
        <w:rPr>
          <w:rFonts w:hint="eastAsia" w:ascii="仿宋" w:hAnsi="仿宋" w:eastAsia="仿宋" w:cs="仿宋"/>
          <w:b/>
          <w:color w:val="auto"/>
          <w:sz w:val="36"/>
          <w:szCs w:val="36"/>
          <w:highlight w:val="none"/>
        </w:rPr>
      </w:pPr>
    </w:p>
    <w:p>
      <w:pPr>
        <w:pStyle w:val="2"/>
        <w:ind w:firstLine="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致</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lang w:eastAsia="zh-CN"/>
        </w:rPr>
        <w:t>长信项目管理有限公司</w:t>
      </w:r>
      <w:r>
        <w:rPr>
          <w:rFonts w:hint="eastAsia" w:ascii="仿宋" w:hAnsi="仿宋" w:eastAsia="仿宋" w:cs="仿宋"/>
          <w:b/>
          <w:color w:val="auto"/>
          <w:sz w:val="24"/>
          <w:szCs w:val="24"/>
          <w:highlight w:val="none"/>
        </w:rPr>
        <w:t>：</w:t>
      </w:r>
    </w:p>
    <w:p>
      <w:pPr>
        <w:pStyle w:val="2"/>
        <w:ind w:firstLine="0"/>
        <w:rPr>
          <w:rFonts w:hint="eastAsia" w:ascii="仿宋" w:hAnsi="仿宋" w:eastAsia="仿宋" w:cs="仿宋"/>
          <w:b/>
          <w:color w:val="auto"/>
          <w:sz w:val="24"/>
          <w:szCs w:val="24"/>
          <w:highlight w:val="none"/>
        </w:rPr>
      </w:pPr>
    </w:p>
    <w:p>
      <w:pPr>
        <w:pStyle w:val="2"/>
        <w:spacing w:line="500" w:lineRule="exact"/>
        <w:ind w:firstLine="573"/>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我公司</w:t>
      </w:r>
      <w:r>
        <w:rPr>
          <w:rFonts w:hint="eastAsia" w:ascii="仿宋" w:hAnsi="仿宋" w:eastAsia="仿宋" w:cs="仿宋"/>
          <w:color w:val="auto"/>
          <w:sz w:val="24"/>
          <w:szCs w:val="24"/>
          <w:highlight w:val="none"/>
          <w:u w:val="single"/>
        </w:rPr>
        <w:t xml:space="preserve"> （投标供应商名称）</w:t>
      </w:r>
      <w:r>
        <w:rPr>
          <w:rFonts w:hint="eastAsia" w:ascii="仿宋" w:hAnsi="仿宋" w:eastAsia="仿宋" w:cs="仿宋"/>
          <w:color w:val="auto"/>
          <w:sz w:val="24"/>
          <w:szCs w:val="24"/>
          <w:highlight w:val="none"/>
        </w:rPr>
        <w:t>，就参加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项目</w:t>
      </w:r>
      <w:r>
        <w:rPr>
          <w:rFonts w:hint="eastAsia" w:ascii="仿宋" w:hAnsi="仿宋" w:eastAsia="仿宋" w:cs="仿宋"/>
          <w:color w:val="auto"/>
          <w:sz w:val="24"/>
          <w:szCs w:val="24"/>
          <w:highlight w:val="none"/>
        </w:rPr>
        <w:t>投标事宜，在此郑重声明：</w:t>
      </w:r>
    </w:p>
    <w:p>
      <w:pPr>
        <w:pStyle w:val="2"/>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1、我公司所提交的投标文件全部真实有效；</w:t>
      </w:r>
    </w:p>
    <w:p>
      <w:pPr>
        <w:pStyle w:val="2"/>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2、我公司近3年来无因安全事故、质量事故、投标违规等不良记录被政府有关部门处罚或仍在处罚期限内的情形存在；</w:t>
      </w:r>
    </w:p>
    <w:p>
      <w:pPr>
        <w:pStyle w:val="2"/>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3、我公司近3年来无违规违法经营受到责令停产(或停止经营)、 吊销生产许可证（或经营许可证）、较大数额罚款等行政处罚的情形存在；</w:t>
      </w:r>
    </w:p>
    <w:p>
      <w:pPr>
        <w:pStyle w:val="2"/>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4、我公司无企业财产被查封、冻结或处于破产状态或严重亏损状态等情形存在；</w:t>
      </w:r>
    </w:p>
    <w:p>
      <w:pPr>
        <w:pStyle w:val="2"/>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5、我公司承诺在投标过程中，保证不予其他单位围标、串标，不出让投标资格，不采取不正当手段诋毁、排挤其他投标供应商，不向采购人、采购代理机构、评标委员会成员行贿。</w:t>
      </w:r>
    </w:p>
    <w:p>
      <w:pPr>
        <w:pStyle w:val="2"/>
        <w:spacing w:line="500" w:lineRule="exact"/>
        <w:ind w:firstLine="57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以上声明若有违反，一经查实，本公司愿意接受政府有关部门的相应处罚，并愿意承担由此带来的法律后果。</w:t>
      </w:r>
    </w:p>
    <w:p>
      <w:pPr>
        <w:pStyle w:val="2"/>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pPr>
        <w:pStyle w:val="2"/>
        <w:spacing w:line="500" w:lineRule="exact"/>
        <w:ind w:firstLine="570"/>
        <w:rPr>
          <w:rFonts w:hint="eastAsia" w:ascii="仿宋" w:hAnsi="仿宋" w:eastAsia="仿宋" w:cs="仿宋"/>
          <w:color w:val="auto"/>
          <w:sz w:val="24"/>
          <w:szCs w:val="24"/>
          <w:highlight w:val="none"/>
        </w:rPr>
      </w:pPr>
    </w:p>
    <w:p>
      <w:pPr>
        <w:pStyle w:val="2"/>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声  明  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(投标供应商名称、公章)</w:t>
      </w:r>
    </w:p>
    <w:p>
      <w:pPr>
        <w:pStyle w:val="2"/>
        <w:ind w:firstLine="570"/>
        <w:rPr>
          <w:rFonts w:hint="eastAsia" w:ascii="仿宋" w:hAnsi="仿宋" w:eastAsia="仿宋" w:cs="仿宋"/>
          <w:color w:val="auto"/>
          <w:sz w:val="24"/>
          <w:szCs w:val="24"/>
          <w:highlight w:val="none"/>
        </w:rPr>
      </w:pPr>
    </w:p>
    <w:p>
      <w:pPr>
        <w:pStyle w:val="2"/>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    （盖章）</w:t>
      </w:r>
    </w:p>
    <w:p>
      <w:pPr>
        <w:pStyle w:val="2"/>
        <w:ind w:firstLine="570"/>
        <w:rPr>
          <w:rFonts w:hint="eastAsia" w:ascii="仿宋" w:hAnsi="仿宋" w:eastAsia="仿宋" w:cs="仿宋"/>
          <w:color w:val="auto"/>
          <w:sz w:val="24"/>
          <w:szCs w:val="24"/>
          <w:highlight w:val="none"/>
        </w:rPr>
      </w:pPr>
    </w:p>
    <w:p>
      <w:pPr>
        <w:spacing w:before="240" w:beforeLines="100" w:after="120" w:afterLines="50" w:line="360" w:lineRule="auto"/>
        <w:ind w:firstLine="630" w:firstLineChars="300"/>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日</w:t>
      </w:r>
      <w:r>
        <w:rPr>
          <w:rFonts w:hint="eastAsia" w:cs="Times New Roman"/>
          <w:color w:val="auto"/>
          <w:kern w:val="2"/>
          <w:sz w:val="21"/>
          <w:szCs w:val="24"/>
          <w:highlight w:val="none"/>
          <w:lang w:val="en-US" w:eastAsia="zh-CN" w:bidi="ar-SA"/>
        </w:rPr>
        <w:t xml:space="preserve">       </w:t>
      </w:r>
      <w:r>
        <w:rPr>
          <w:rFonts w:hint="eastAsia" w:ascii="Calibri" w:hAnsi="Calibri" w:eastAsia="宋体" w:cs="Times New Roman"/>
          <w:color w:val="auto"/>
          <w:kern w:val="2"/>
          <w:sz w:val="21"/>
          <w:szCs w:val="24"/>
          <w:highlight w:val="none"/>
          <w:lang w:val="en-US" w:eastAsia="zh-CN" w:bidi="ar-SA"/>
        </w:rPr>
        <w:t>期：   年     月    日</w:t>
      </w:r>
    </w:p>
    <w:p>
      <w:pPr>
        <w:pStyle w:val="2"/>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
        <w:rPr>
          <w:rFonts w:hint="eastAsia" w:ascii="宋体" w:hAnsi="宋体" w:eastAsia="宋体" w:cs="宋体"/>
          <w:color w:val="auto"/>
          <w:sz w:val="24"/>
          <w:szCs w:val="24"/>
          <w:highlight w:val="none"/>
        </w:rPr>
      </w:pPr>
    </w:p>
    <w:bookmarkEnd w:id="242"/>
    <w:p>
      <w:pPr>
        <w:spacing w:line="400" w:lineRule="exact"/>
        <w:ind w:firstLine="482" w:firstLineChars="200"/>
        <w:rPr>
          <w:rFonts w:hint="eastAsia" w:ascii="宋体" w:hAnsi="宋体" w:eastAsia="宋体" w:cs="宋体"/>
          <w:b/>
          <w:color w:val="auto"/>
          <w:sz w:val="24"/>
          <w:highlight w:val="none"/>
        </w:rPr>
      </w:pPr>
    </w:p>
    <w:p>
      <w:pPr>
        <w:pStyle w:val="2"/>
        <w:ind w:firstLine="0"/>
        <w:rPr>
          <w:rFonts w:hint="eastAsia" w:ascii="宋体" w:hAnsi="宋体" w:eastAsia="宋体" w:cs="宋体"/>
          <w:b/>
          <w:color w:val="auto"/>
          <w:sz w:val="28"/>
          <w:szCs w:val="28"/>
          <w:highlight w:val="none"/>
        </w:rPr>
        <w:sectPr>
          <w:pgSz w:w="11907" w:h="16840"/>
          <w:pgMar w:top="1418" w:right="1531" w:bottom="1474" w:left="1418" w:header="851" w:footer="992" w:gutter="0"/>
          <w:pgNumType w:fmt="decimal"/>
          <w:cols w:space="720" w:num="1"/>
          <w:docGrid w:linePitch="312" w:charSpace="0"/>
        </w:sectPr>
      </w:pPr>
      <w:bookmarkStart w:id="243" w:name="_Toc217446092"/>
    </w:p>
    <w:bookmarkEnd w:id="243"/>
    <w:p>
      <w:pPr>
        <w:tabs>
          <w:tab w:val="left" w:pos="5580"/>
        </w:tabs>
        <w:adjustRightInd w:val="0"/>
        <w:spacing w:line="48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spacing w:line="480" w:lineRule="exact"/>
        <w:jc w:val="left"/>
        <w:rPr>
          <w:rFonts w:ascii="仿宋" w:hAnsi="仿宋" w:eastAsia="仿宋" w:cs="楷体"/>
          <w:b/>
          <w:color w:val="auto"/>
          <w:sz w:val="22"/>
          <w:szCs w:val="21"/>
          <w:highlight w:val="none"/>
        </w:rPr>
      </w:pPr>
      <w:r>
        <w:rPr>
          <w:rFonts w:hint="eastAsia" w:ascii="仿宋" w:hAnsi="仿宋" w:eastAsia="仿宋" w:cs="楷体"/>
          <w:b/>
          <w:color w:val="auto"/>
          <w:sz w:val="32"/>
          <w:szCs w:val="22"/>
          <w:highlight w:val="none"/>
        </w:rPr>
        <w:t>7.2、供应商认为有必要说明的资格问题。</w:t>
      </w:r>
    </w:p>
    <w:p>
      <w:pPr>
        <w:spacing w:before="156" w:beforeLines="50" w:after="312" w:afterLines="100"/>
        <w:rPr>
          <w:rFonts w:ascii="仿宋" w:hAnsi="仿宋" w:eastAsia="仿宋" w:cs="楷体"/>
          <w:b/>
          <w:color w:val="auto"/>
          <w:spacing w:val="4"/>
          <w:sz w:val="30"/>
          <w:szCs w:val="30"/>
          <w:highlight w:val="none"/>
        </w:rPr>
      </w:pPr>
      <w:r>
        <w:rPr>
          <w:rFonts w:hint="eastAsia" w:ascii="仿宋" w:hAnsi="仿宋" w:eastAsia="仿宋" w:cs="楷体"/>
          <w:b/>
          <w:color w:val="auto"/>
          <w:spacing w:val="4"/>
          <w:sz w:val="30"/>
          <w:szCs w:val="30"/>
          <w:highlight w:val="none"/>
        </w:rPr>
        <w:t xml:space="preserve">    </w:t>
      </w:r>
      <w:r>
        <w:rPr>
          <w:rFonts w:hint="eastAsia" w:ascii="仿宋" w:hAnsi="仿宋" w:eastAsia="仿宋" w:cs="楷体"/>
          <w:b/>
          <w:color w:val="auto"/>
          <w:spacing w:val="4"/>
          <w:sz w:val="24"/>
          <w:highlight w:val="none"/>
        </w:rPr>
        <w:t xml:space="preserve"> </w:t>
      </w:r>
      <w:r>
        <w:rPr>
          <w:rFonts w:hint="eastAsia" w:ascii="仿宋" w:hAnsi="仿宋" w:eastAsia="仿宋" w:cs="楷体"/>
          <w:bCs/>
          <w:color w:val="auto"/>
          <w:spacing w:val="4"/>
          <w:sz w:val="24"/>
          <w:highlight w:val="none"/>
        </w:rPr>
        <w:t>格式内容自拟</w:t>
      </w:r>
    </w:p>
    <w:p>
      <w:pPr>
        <w:spacing w:before="156" w:beforeLines="50" w:after="312" w:afterLines="100"/>
        <w:jc w:val="center"/>
        <w:rPr>
          <w:rFonts w:ascii="仿宋" w:hAnsi="仿宋" w:eastAsia="仿宋" w:cs="楷体"/>
          <w:b/>
          <w:color w:val="auto"/>
          <w:spacing w:val="4"/>
          <w:sz w:val="30"/>
          <w:szCs w:val="30"/>
          <w:highlight w:val="none"/>
        </w:rPr>
      </w:pPr>
    </w:p>
    <w:p>
      <w:pPr>
        <w:pStyle w:val="8"/>
        <w:rPr>
          <w:rFonts w:ascii="仿宋" w:hAnsi="仿宋" w:eastAsia="仿宋" w:cs="楷体"/>
          <w:b/>
          <w:color w:val="auto"/>
          <w:spacing w:val="4"/>
          <w:sz w:val="30"/>
          <w:szCs w:val="30"/>
          <w:highlight w:val="none"/>
        </w:rPr>
      </w:pPr>
    </w:p>
    <w:p>
      <w:pPr>
        <w:rPr>
          <w:rFonts w:ascii="仿宋" w:hAnsi="仿宋" w:eastAsia="仿宋" w:cs="楷体"/>
          <w:b/>
          <w:color w:val="auto"/>
          <w:spacing w:val="4"/>
          <w:sz w:val="30"/>
          <w:szCs w:val="30"/>
          <w:highlight w:val="none"/>
        </w:rPr>
      </w:pPr>
    </w:p>
    <w:p>
      <w:pPr>
        <w:pStyle w:val="8"/>
        <w:rPr>
          <w:rFonts w:ascii="仿宋" w:hAnsi="仿宋" w:eastAsia="仿宋" w:cs="楷体"/>
          <w:b/>
          <w:color w:val="auto"/>
          <w:spacing w:val="4"/>
          <w:sz w:val="30"/>
          <w:szCs w:val="30"/>
          <w:highlight w:val="none"/>
        </w:rPr>
      </w:pPr>
    </w:p>
    <w:p>
      <w:pPr>
        <w:rPr>
          <w:rFonts w:ascii="仿宋" w:hAnsi="仿宋" w:eastAsia="仿宋" w:cs="楷体"/>
          <w:b/>
          <w:color w:val="auto"/>
          <w:spacing w:val="4"/>
          <w:sz w:val="30"/>
          <w:szCs w:val="30"/>
          <w:highlight w:val="none"/>
        </w:rPr>
      </w:pPr>
    </w:p>
    <w:p>
      <w:pPr>
        <w:pStyle w:val="8"/>
        <w:rPr>
          <w:rFonts w:ascii="仿宋" w:hAnsi="仿宋" w:eastAsia="仿宋" w:cs="楷体"/>
          <w:b/>
          <w:color w:val="auto"/>
          <w:spacing w:val="4"/>
          <w:sz w:val="30"/>
          <w:szCs w:val="30"/>
          <w:highlight w:val="none"/>
        </w:rPr>
      </w:pPr>
    </w:p>
    <w:p>
      <w:pPr>
        <w:rPr>
          <w:rFonts w:ascii="仿宋" w:hAnsi="仿宋" w:eastAsia="仿宋" w:cs="楷体"/>
          <w:b/>
          <w:color w:val="auto"/>
          <w:spacing w:val="4"/>
          <w:sz w:val="30"/>
          <w:szCs w:val="30"/>
          <w:highlight w:val="none"/>
        </w:rPr>
      </w:pPr>
    </w:p>
    <w:p>
      <w:pPr>
        <w:pStyle w:val="8"/>
        <w:rPr>
          <w:rFonts w:ascii="仿宋" w:hAnsi="仿宋" w:eastAsia="仿宋" w:cs="楷体"/>
          <w:b/>
          <w:color w:val="auto"/>
          <w:spacing w:val="4"/>
          <w:sz w:val="30"/>
          <w:szCs w:val="30"/>
          <w:highlight w:val="none"/>
        </w:rPr>
      </w:pPr>
    </w:p>
    <w:p>
      <w:pPr>
        <w:rPr>
          <w:rFonts w:ascii="仿宋" w:hAnsi="仿宋" w:eastAsia="仿宋" w:cs="楷体"/>
          <w:b/>
          <w:color w:val="auto"/>
          <w:spacing w:val="4"/>
          <w:sz w:val="30"/>
          <w:szCs w:val="30"/>
          <w:highlight w:val="none"/>
        </w:rPr>
      </w:pPr>
    </w:p>
    <w:p>
      <w:pPr>
        <w:pStyle w:val="8"/>
        <w:rPr>
          <w:rFonts w:ascii="仿宋" w:hAnsi="仿宋" w:eastAsia="仿宋" w:cs="楷体"/>
          <w:b/>
          <w:color w:val="auto"/>
          <w:spacing w:val="4"/>
          <w:sz w:val="30"/>
          <w:szCs w:val="30"/>
          <w:highlight w:val="none"/>
        </w:rPr>
      </w:pPr>
    </w:p>
    <w:p>
      <w:pPr>
        <w:rPr>
          <w:rFonts w:ascii="仿宋" w:hAnsi="仿宋" w:eastAsia="仿宋" w:cs="楷体"/>
          <w:b/>
          <w:color w:val="auto"/>
          <w:spacing w:val="4"/>
          <w:sz w:val="30"/>
          <w:szCs w:val="30"/>
          <w:highlight w:val="none"/>
        </w:rPr>
      </w:pPr>
    </w:p>
    <w:p>
      <w:pPr>
        <w:pStyle w:val="8"/>
        <w:rPr>
          <w:rFonts w:ascii="仿宋" w:hAnsi="仿宋" w:eastAsia="仿宋" w:cs="楷体"/>
          <w:b/>
          <w:color w:val="auto"/>
          <w:spacing w:val="4"/>
          <w:sz w:val="30"/>
          <w:szCs w:val="30"/>
          <w:highlight w:val="none"/>
        </w:rPr>
      </w:pPr>
    </w:p>
    <w:p>
      <w:pPr>
        <w:rPr>
          <w:rFonts w:ascii="仿宋" w:hAnsi="仿宋" w:eastAsia="仿宋" w:cs="楷体"/>
          <w:b/>
          <w:color w:val="auto"/>
          <w:spacing w:val="4"/>
          <w:sz w:val="30"/>
          <w:szCs w:val="30"/>
          <w:highlight w:val="none"/>
        </w:rPr>
      </w:pPr>
    </w:p>
    <w:p>
      <w:pPr>
        <w:pStyle w:val="8"/>
        <w:rPr>
          <w:rFonts w:ascii="仿宋" w:hAnsi="仿宋" w:eastAsia="仿宋" w:cs="楷体"/>
          <w:b/>
          <w:color w:val="auto"/>
          <w:spacing w:val="4"/>
          <w:sz w:val="30"/>
          <w:szCs w:val="30"/>
          <w:highlight w:val="none"/>
        </w:rPr>
      </w:pPr>
    </w:p>
    <w:p>
      <w:pPr>
        <w:rPr>
          <w:rFonts w:ascii="仿宋" w:hAnsi="仿宋" w:eastAsia="仿宋" w:cs="楷体"/>
          <w:b/>
          <w:color w:val="auto"/>
          <w:spacing w:val="4"/>
          <w:sz w:val="30"/>
          <w:szCs w:val="30"/>
          <w:highlight w:val="none"/>
        </w:rPr>
      </w:pPr>
    </w:p>
    <w:p>
      <w:pPr>
        <w:rPr>
          <w:rFonts w:ascii="仿宋" w:hAnsi="仿宋" w:eastAsia="仿宋" w:cs="楷体"/>
          <w:b/>
          <w:color w:val="auto"/>
          <w:spacing w:val="4"/>
          <w:sz w:val="30"/>
          <w:szCs w:val="30"/>
          <w:highlight w:val="none"/>
        </w:rPr>
      </w:pPr>
    </w:p>
    <w:p>
      <w:pPr>
        <w:rPr>
          <w:rFonts w:ascii="仿宋" w:hAnsi="仿宋" w:eastAsia="仿宋"/>
          <w:color w:val="auto"/>
          <w:highlight w:val="none"/>
        </w:rPr>
      </w:pPr>
    </w:p>
    <w:p>
      <w:pPr>
        <w:pStyle w:val="4"/>
        <w:numPr>
          <w:ilvl w:val="0"/>
          <w:numId w:val="0"/>
        </w:numPr>
        <w:spacing w:before="100" w:beforeAutospacing="1" w:after="100" w:afterAutospacing="1" w:line="440" w:lineRule="exact"/>
        <w:jc w:val="center"/>
        <w:rPr>
          <w:rFonts w:hint="eastAsia" w:ascii="仿宋" w:hAnsi="仿宋" w:eastAsia="仿宋" w:cs="楷体"/>
          <w:color w:val="auto"/>
          <w:sz w:val="30"/>
          <w:szCs w:val="30"/>
          <w:highlight w:val="none"/>
          <w:lang w:eastAsia="zh-CN"/>
        </w:rPr>
      </w:pPr>
      <w:bookmarkStart w:id="244" w:name="_Toc25740"/>
      <w:bookmarkStart w:id="245" w:name="_Toc17900"/>
      <w:bookmarkStart w:id="246" w:name="_Toc4898"/>
      <w:bookmarkStart w:id="247" w:name="_Toc24888"/>
      <w:bookmarkStart w:id="248" w:name="_Toc7240"/>
      <w:r>
        <w:rPr>
          <w:rFonts w:hint="eastAsia" w:ascii="仿宋" w:hAnsi="仿宋" w:eastAsia="仿宋" w:cs="楷体"/>
          <w:color w:val="auto"/>
          <w:sz w:val="30"/>
          <w:szCs w:val="30"/>
          <w:highlight w:val="none"/>
          <w:lang w:eastAsia="zh-CN"/>
        </w:rPr>
        <w:t>第</w:t>
      </w:r>
      <w:r>
        <w:rPr>
          <w:rFonts w:hint="eastAsia" w:ascii="仿宋" w:hAnsi="仿宋" w:eastAsia="仿宋" w:cs="楷体"/>
          <w:color w:val="auto"/>
          <w:sz w:val="30"/>
          <w:szCs w:val="30"/>
          <w:highlight w:val="none"/>
          <w:lang w:val="en-US" w:eastAsia="zh-CN"/>
        </w:rPr>
        <w:t>8部分</w:t>
      </w:r>
      <w:r>
        <w:rPr>
          <w:rFonts w:hint="eastAsia" w:ascii="仿宋" w:hAnsi="仿宋" w:eastAsia="仿宋" w:cs="楷体"/>
          <w:color w:val="auto"/>
          <w:sz w:val="30"/>
          <w:szCs w:val="30"/>
          <w:highlight w:val="none"/>
        </w:rPr>
        <w:t xml:space="preserve"> </w:t>
      </w:r>
      <w:r>
        <w:rPr>
          <w:rFonts w:hint="eastAsia" w:ascii="仿宋" w:hAnsi="仿宋" w:eastAsia="仿宋" w:cs="楷体"/>
          <w:color w:val="auto"/>
          <w:sz w:val="30"/>
          <w:szCs w:val="30"/>
          <w:highlight w:val="none"/>
          <w:lang w:eastAsia="zh-CN"/>
        </w:rPr>
        <w:t>类似项目业绩</w:t>
      </w:r>
    </w:p>
    <w:p>
      <w:pPr>
        <w:pStyle w:val="8"/>
        <w:numPr>
          <w:ilvl w:val="0"/>
          <w:numId w:val="7"/>
        </w:numPr>
        <w:jc w:val="center"/>
        <w:rPr>
          <w:rFonts w:hint="eastAsia" w:ascii="仿宋" w:hAnsi="仿宋" w:eastAsia="仿宋" w:cs="仿宋"/>
          <w:color w:val="auto"/>
          <w:sz w:val="28"/>
          <w:szCs w:val="36"/>
          <w:highlight w:val="none"/>
          <w:lang w:val="en-US" w:eastAsia="zh-CN"/>
        </w:rPr>
      </w:pPr>
      <w:r>
        <w:rPr>
          <w:rFonts w:hint="eastAsia" w:ascii="仿宋" w:hAnsi="仿宋" w:eastAsia="仿宋" w:cs="仿宋"/>
          <w:color w:val="auto"/>
          <w:sz w:val="28"/>
          <w:szCs w:val="36"/>
          <w:highlight w:val="none"/>
          <w:lang w:val="en-US" w:eastAsia="zh-CN"/>
        </w:rPr>
        <w:t>供应商类似项目业绩一览表（2018年至今）</w:t>
      </w:r>
    </w:p>
    <w:p>
      <w:pPr>
        <w:numPr>
          <w:ilvl w:val="0"/>
          <w:numId w:val="0"/>
        </w:numPr>
        <w:rPr>
          <w:rFonts w:hint="eastAsia" w:ascii="仿宋" w:hAnsi="仿宋" w:eastAsia="仿宋" w:cs="仿宋"/>
          <w:color w:val="auto"/>
          <w:highlight w:val="none"/>
          <w:lang w:val="en-US" w:eastAsia="zh-CN"/>
        </w:rPr>
      </w:pPr>
    </w:p>
    <w:p>
      <w:pPr>
        <w:rPr>
          <w:rFonts w:hint="eastAsia"/>
          <w:color w:val="auto"/>
          <w:highlight w:val="none"/>
          <w:lang w:val="en-US" w:eastAsia="zh-CN"/>
        </w:rPr>
      </w:pPr>
    </w:p>
    <w:p>
      <w:pPr>
        <w:pStyle w:val="8"/>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供应商名称：                                                    单位：万元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335"/>
        <w:gridCol w:w="1572"/>
        <w:gridCol w:w="1217"/>
        <w:gridCol w:w="1366"/>
        <w:gridCol w:w="124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年份</w:t>
            </w: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用户名称</w:t>
            </w: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项目名称</w:t>
            </w: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合同金额</w:t>
            </w: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完成时间</w:t>
            </w: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完成质量</w:t>
            </w: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lang w:val="en-US" w:eastAsia="zh-CN"/>
              </w:rPr>
            </w:pPr>
          </w:p>
          <w:p>
            <w:pPr>
              <w:pStyle w:val="8"/>
              <w:keepNext w:val="0"/>
              <w:keepLines w:val="0"/>
              <w:suppressLineNumbers w:val="0"/>
              <w:spacing w:before="0" w:beforeAutospacing="0" w:afterAutospacing="0"/>
              <w:ind w:left="0" w:right="0"/>
              <w:rPr>
                <w:rFonts w:hint="eastAsia" w:ascii="仿宋" w:hAnsi="仿宋" w:eastAsia="仿宋" w:cs="仿宋"/>
                <w:color w:val="auto"/>
                <w:highlight w:val="no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auto"/>
                <w:highlight w:val="none"/>
                <w:vertAlign w:val="baseline"/>
                <w:lang w:val="en-US" w:eastAsia="zh-CN"/>
              </w:rPr>
            </w:pPr>
          </w:p>
        </w:tc>
      </w:tr>
    </w:tbl>
    <w:p>
      <w:pPr>
        <w:rPr>
          <w:rFonts w:hint="eastAsia" w:ascii="仿宋" w:hAnsi="仿宋" w:eastAsia="仿宋" w:cs="仿宋"/>
          <w:color w:val="auto"/>
          <w:sz w:val="21"/>
          <w:szCs w:val="24"/>
          <w:highlight w:val="none"/>
          <w:lang w:eastAsia="zh-CN"/>
        </w:rPr>
      </w:pPr>
      <w:r>
        <w:rPr>
          <w:rFonts w:hint="eastAsia" w:ascii="仿宋" w:hAnsi="仿宋" w:eastAsia="仿宋" w:cs="仿宋"/>
          <w:color w:val="auto"/>
          <w:sz w:val="21"/>
          <w:szCs w:val="24"/>
          <w:highlight w:val="none"/>
          <w:lang w:eastAsia="zh-CN"/>
        </w:rPr>
        <w:t>注：</w:t>
      </w:r>
      <w:r>
        <w:rPr>
          <w:rFonts w:hint="eastAsia" w:ascii="仿宋" w:hAnsi="仿宋" w:eastAsia="仿宋" w:cs="仿宋"/>
          <w:color w:val="auto"/>
          <w:sz w:val="21"/>
          <w:szCs w:val="24"/>
          <w:highlight w:val="none"/>
          <w:lang w:val="en-US" w:eastAsia="zh-CN"/>
        </w:rPr>
        <w:t>1、</w:t>
      </w:r>
      <w:r>
        <w:rPr>
          <w:rFonts w:hint="eastAsia" w:ascii="仿宋" w:hAnsi="仿宋" w:eastAsia="仿宋" w:cs="仿宋"/>
          <w:color w:val="auto"/>
          <w:sz w:val="21"/>
          <w:szCs w:val="24"/>
          <w:highlight w:val="none"/>
          <w:lang w:eastAsia="zh-CN"/>
        </w:rPr>
        <w:t>附相关证明材料复印件，加盖公章。相关证明材料原件备查。</w:t>
      </w:r>
    </w:p>
    <w:p>
      <w:pPr>
        <w:pStyle w:val="8"/>
        <w:numPr>
          <w:ilvl w:val="0"/>
          <w:numId w:val="0"/>
        </w:numPr>
        <w:ind w:leftChars="0"/>
        <w:rPr>
          <w:rFonts w:hint="eastAsia" w:ascii="仿宋" w:hAnsi="仿宋" w:eastAsia="仿宋" w:cs="仿宋"/>
          <w:color w:val="auto"/>
          <w:sz w:val="21"/>
          <w:szCs w:val="24"/>
          <w:highlight w:val="none"/>
          <w:lang w:val="en-US" w:eastAsia="zh-CN"/>
        </w:rPr>
      </w:pPr>
      <w:r>
        <w:rPr>
          <w:rFonts w:hint="eastAsia" w:ascii="仿宋" w:hAnsi="仿宋" w:eastAsia="仿宋" w:cs="仿宋"/>
          <w:color w:val="auto"/>
          <w:sz w:val="21"/>
          <w:szCs w:val="24"/>
          <w:highlight w:val="none"/>
          <w:lang w:val="en-US" w:eastAsia="zh-CN"/>
        </w:rPr>
        <w:t xml:space="preserve">    2、投标供应商应如实列出以上情况，如有隐瞒，一经查实将导致其投标申请被拒绝。</w:t>
      </w:r>
    </w:p>
    <w:p>
      <w:pPr>
        <w:rPr>
          <w:rFonts w:hint="eastAsia" w:ascii="仿宋" w:hAnsi="仿宋" w:eastAsia="仿宋" w:cs="仿宋"/>
          <w:color w:val="auto"/>
          <w:kern w:val="2"/>
          <w:sz w:val="21"/>
          <w:szCs w:val="24"/>
          <w:highlight w:val="none"/>
          <w:lang w:val="en-US" w:eastAsia="zh-CN" w:bidi="ar-SA"/>
        </w:rPr>
      </w:pPr>
    </w:p>
    <w:p>
      <w:pP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投标供应商名称：    （盖章）</w:t>
      </w:r>
    </w:p>
    <w:p>
      <w:pP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法定代表人或委托代理人（签字或盖章）：</w:t>
      </w:r>
    </w:p>
    <w:p>
      <w:pP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日期：   年     月    日</w:t>
      </w:r>
    </w:p>
    <w:p>
      <w:pPr>
        <w:pStyle w:val="8"/>
        <w:rPr>
          <w:rFonts w:hint="eastAsia" w:ascii="仿宋" w:hAnsi="仿宋" w:eastAsia="仿宋" w:cs="仿宋"/>
          <w:color w:val="auto"/>
          <w:highlight w:val="none"/>
          <w:lang w:eastAsia="zh-CN"/>
        </w:rPr>
      </w:pPr>
    </w:p>
    <w:p>
      <w:pPr>
        <w:rPr>
          <w:rFonts w:hint="eastAsia" w:ascii="仿宋" w:hAnsi="仿宋" w:eastAsia="仿宋" w:cs="仿宋"/>
          <w:color w:val="auto"/>
          <w:highlight w:val="none"/>
          <w:lang w:eastAsia="zh-CN"/>
        </w:rPr>
      </w:pPr>
    </w:p>
    <w:p>
      <w:pPr>
        <w:pStyle w:val="8"/>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pStyle w:val="4"/>
        <w:spacing w:before="100" w:beforeAutospacing="1" w:after="100" w:afterAutospacing="1" w:line="440" w:lineRule="exact"/>
        <w:jc w:val="center"/>
        <w:rPr>
          <w:rFonts w:ascii="仿宋" w:hAnsi="仿宋" w:eastAsia="仿宋" w:cs="楷体"/>
          <w:color w:val="auto"/>
          <w:sz w:val="24"/>
          <w:szCs w:val="24"/>
          <w:highlight w:val="none"/>
        </w:rPr>
      </w:pPr>
      <w:r>
        <w:rPr>
          <w:rFonts w:hint="eastAsia" w:ascii="仿宋" w:hAnsi="仿宋" w:eastAsia="仿宋" w:cs="楷体"/>
          <w:color w:val="auto"/>
          <w:sz w:val="30"/>
          <w:szCs w:val="30"/>
          <w:highlight w:val="none"/>
          <w:lang w:eastAsia="zh-CN"/>
        </w:rPr>
        <w:t>第</w:t>
      </w:r>
      <w:r>
        <w:rPr>
          <w:rFonts w:hint="eastAsia" w:ascii="仿宋" w:hAnsi="仿宋" w:eastAsia="仿宋" w:cs="楷体"/>
          <w:color w:val="auto"/>
          <w:sz w:val="30"/>
          <w:szCs w:val="30"/>
          <w:highlight w:val="none"/>
          <w:lang w:val="en-US" w:eastAsia="zh-CN"/>
        </w:rPr>
        <w:t xml:space="preserve">9部分   </w:t>
      </w:r>
      <w:r>
        <w:rPr>
          <w:rFonts w:hint="eastAsia" w:ascii="仿宋" w:hAnsi="仿宋" w:eastAsia="仿宋" w:cs="楷体"/>
          <w:color w:val="auto"/>
          <w:sz w:val="30"/>
          <w:szCs w:val="30"/>
          <w:highlight w:val="none"/>
        </w:rPr>
        <w:t>磋商保证金退还声明</w:t>
      </w:r>
      <w:bookmarkEnd w:id="244"/>
      <w:bookmarkEnd w:id="245"/>
      <w:bookmarkEnd w:id="246"/>
      <w:bookmarkEnd w:id="247"/>
      <w:bookmarkEnd w:id="248"/>
    </w:p>
    <w:p>
      <w:pPr>
        <w:jc w:val="center"/>
        <w:rPr>
          <w:rFonts w:ascii="仿宋" w:hAnsi="仿宋" w:eastAsia="仿宋" w:cs="楷体"/>
          <w:color w:val="auto"/>
          <w:sz w:val="24"/>
          <w:highlight w:val="none"/>
        </w:rPr>
      </w:pPr>
    </w:p>
    <w:p>
      <w:pPr>
        <w:spacing w:line="360" w:lineRule="auto"/>
        <w:ind w:firstLine="440" w:firstLineChars="2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我单位关于项目（</w:t>
      </w:r>
      <w:r>
        <w:rPr>
          <w:rFonts w:hint="eastAsia" w:ascii="仿宋" w:hAnsi="仿宋" w:eastAsia="仿宋" w:cs="楷体"/>
          <w:color w:val="auto"/>
          <w:sz w:val="22"/>
          <w:szCs w:val="22"/>
          <w:highlight w:val="none"/>
          <w:u w:val="single"/>
        </w:rPr>
        <w:t xml:space="preserve">项目编号：        </w:t>
      </w:r>
      <w:r>
        <w:rPr>
          <w:rFonts w:hint="eastAsia" w:ascii="仿宋" w:hAnsi="仿宋" w:eastAsia="仿宋" w:cs="楷体"/>
          <w:color w:val="auto"/>
          <w:sz w:val="22"/>
          <w:szCs w:val="22"/>
          <w:highlight w:val="none"/>
        </w:rPr>
        <w:t>）的磋商保证金到期后请汇至如下帐号：</w:t>
      </w:r>
    </w:p>
    <w:p>
      <w:pPr>
        <w:spacing w:line="360" w:lineRule="auto"/>
        <w:ind w:firstLine="630"/>
        <w:rPr>
          <w:rFonts w:ascii="仿宋" w:hAnsi="仿宋" w:eastAsia="仿宋" w:cs="楷体"/>
          <w:color w:val="auto"/>
          <w:sz w:val="22"/>
          <w:szCs w:val="22"/>
          <w:highlight w:val="none"/>
          <w:u w:val="single"/>
        </w:rPr>
      </w:pPr>
      <w:r>
        <w:rPr>
          <w:rFonts w:hint="eastAsia" w:ascii="仿宋" w:hAnsi="仿宋" w:eastAsia="仿宋" w:cs="楷体"/>
          <w:color w:val="auto"/>
          <w:sz w:val="22"/>
          <w:szCs w:val="22"/>
          <w:highlight w:val="none"/>
        </w:rPr>
        <w:t>收款单位：</w:t>
      </w:r>
      <w:r>
        <w:rPr>
          <w:rFonts w:hint="eastAsia" w:ascii="仿宋" w:hAnsi="仿宋" w:eastAsia="仿宋" w:cs="楷体"/>
          <w:color w:val="auto"/>
          <w:sz w:val="22"/>
          <w:szCs w:val="22"/>
          <w:highlight w:val="none"/>
          <w:u w:val="single"/>
        </w:rPr>
        <w:t xml:space="preserve">                      </w:t>
      </w:r>
      <w:r>
        <w:rPr>
          <w:rFonts w:hint="eastAsia" w:ascii="仿宋" w:hAnsi="仿宋" w:eastAsia="仿宋" w:cs="楷体"/>
          <w:b/>
          <w:bCs/>
          <w:color w:val="auto"/>
          <w:sz w:val="22"/>
          <w:szCs w:val="22"/>
          <w:highlight w:val="none"/>
        </w:rPr>
        <w:t>（与磋商供应商名称一致）</w:t>
      </w:r>
    </w:p>
    <w:p>
      <w:pPr>
        <w:spacing w:line="360" w:lineRule="auto"/>
        <w:ind w:firstLine="630"/>
        <w:rPr>
          <w:rFonts w:ascii="仿宋" w:hAnsi="仿宋" w:eastAsia="仿宋" w:cs="楷体"/>
          <w:color w:val="auto"/>
          <w:sz w:val="22"/>
          <w:szCs w:val="22"/>
          <w:highlight w:val="none"/>
          <w:u w:val="single"/>
        </w:rPr>
      </w:pPr>
      <w:r>
        <w:rPr>
          <w:rFonts w:hint="eastAsia" w:ascii="仿宋" w:hAnsi="仿宋" w:eastAsia="仿宋" w:cs="楷体"/>
          <w:color w:val="auto"/>
          <w:sz w:val="22"/>
          <w:szCs w:val="22"/>
          <w:highlight w:val="none"/>
        </w:rPr>
        <w:t>开 户 行：</w:t>
      </w:r>
      <w:r>
        <w:rPr>
          <w:rFonts w:hint="eastAsia" w:ascii="仿宋" w:hAnsi="仿宋" w:eastAsia="仿宋" w:cs="楷体"/>
          <w:color w:val="auto"/>
          <w:sz w:val="22"/>
          <w:szCs w:val="22"/>
          <w:highlight w:val="none"/>
          <w:u w:val="single"/>
        </w:rPr>
        <w:t xml:space="preserve">                      </w:t>
      </w:r>
      <w:r>
        <w:rPr>
          <w:rFonts w:hint="eastAsia" w:ascii="仿宋" w:hAnsi="仿宋" w:eastAsia="仿宋" w:cs="楷体"/>
          <w:b/>
          <w:color w:val="auto"/>
          <w:sz w:val="22"/>
          <w:szCs w:val="22"/>
          <w:highlight w:val="none"/>
        </w:rPr>
        <w:t>（详细准确无误全称）</w:t>
      </w:r>
    </w:p>
    <w:p>
      <w:pPr>
        <w:spacing w:line="360" w:lineRule="auto"/>
        <w:ind w:firstLine="63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银行帐号：</w:t>
      </w:r>
      <w:r>
        <w:rPr>
          <w:rFonts w:hint="eastAsia" w:ascii="仿宋" w:hAnsi="仿宋" w:eastAsia="仿宋" w:cs="楷体"/>
          <w:color w:val="auto"/>
          <w:sz w:val="22"/>
          <w:szCs w:val="22"/>
          <w:highlight w:val="none"/>
          <w:u w:val="single"/>
        </w:rPr>
        <w:t xml:space="preserve">                      </w:t>
      </w:r>
      <w:r>
        <w:rPr>
          <w:rFonts w:hint="eastAsia" w:ascii="仿宋" w:hAnsi="仿宋" w:eastAsia="仿宋" w:cs="楷体"/>
          <w:b/>
          <w:color w:val="auto"/>
          <w:sz w:val="22"/>
          <w:szCs w:val="22"/>
          <w:highlight w:val="none"/>
        </w:rPr>
        <w:t>（详细准确无误）</w:t>
      </w:r>
    </w:p>
    <w:p>
      <w:pPr>
        <w:spacing w:line="360" w:lineRule="auto"/>
        <w:ind w:firstLine="630"/>
        <w:rPr>
          <w:rFonts w:ascii="仿宋" w:hAnsi="仿宋" w:eastAsia="仿宋" w:cs="楷体"/>
          <w:color w:val="auto"/>
          <w:sz w:val="22"/>
          <w:szCs w:val="22"/>
          <w:highlight w:val="none"/>
        </w:rPr>
      </w:pPr>
    </w:p>
    <w:p>
      <w:pPr>
        <w:spacing w:line="360" w:lineRule="auto"/>
        <w:ind w:firstLine="630"/>
        <w:rPr>
          <w:rFonts w:ascii="仿宋" w:hAnsi="仿宋" w:eastAsia="仿宋" w:cs="楷体"/>
          <w:color w:val="auto"/>
          <w:sz w:val="22"/>
          <w:szCs w:val="22"/>
          <w:highlight w:val="none"/>
        </w:rPr>
      </w:pPr>
    </w:p>
    <w:p>
      <w:pPr>
        <w:spacing w:line="360" w:lineRule="auto"/>
        <w:ind w:firstLine="630"/>
        <w:rPr>
          <w:rFonts w:ascii="仿宋" w:hAnsi="仿宋" w:eastAsia="仿宋" w:cs="楷体"/>
          <w:color w:val="auto"/>
          <w:sz w:val="22"/>
          <w:szCs w:val="22"/>
          <w:highlight w:val="none"/>
        </w:rPr>
      </w:pPr>
    </w:p>
    <w:p>
      <w:pPr>
        <w:pStyle w:val="17"/>
        <w:ind w:firstLine="220"/>
        <w:rPr>
          <w:rFonts w:ascii="仿宋" w:hAnsi="仿宋" w:eastAsia="仿宋" w:cs="楷体"/>
          <w:color w:val="auto"/>
          <w:sz w:val="22"/>
          <w:szCs w:val="22"/>
          <w:highlight w:val="none"/>
        </w:rPr>
      </w:pPr>
    </w:p>
    <w:p>
      <w:pPr>
        <w:pStyle w:val="17"/>
        <w:ind w:firstLine="220"/>
        <w:rPr>
          <w:rFonts w:ascii="仿宋" w:hAnsi="仿宋" w:eastAsia="仿宋" w:cs="楷体"/>
          <w:color w:val="auto"/>
          <w:sz w:val="22"/>
          <w:szCs w:val="22"/>
          <w:highlight w:val="none"/>
        </w:rPr>
      </w:pPr>
    </w:p>
    <w:p>
      <w:pPr>
        <w:pStyle w:val="17"/>
        <w:ind w:firstLine="220"/>
        <w:rPr>
          <w:rFonts w:ascii="仿宋" w:hAnsi="仿宋" w:eastAsia="仿宋" w:cs="楷体"/>
          <w:color w:val="auto"/>
          <w:sz w:val="22"/>
          <w:szCs w:val="22"/>
          <w:highlight w:val="none"/>
        </w:rPr>
      </w:pPr>
    </w:p>
    <w:p>
      <w:pPr>
        <w:pStyle w:val="17"/>
        <w:ind w:firstLine="220"/>
        <w:rPr>
          <w:rFonts w:ascii="仿宋" w:hAnsi="仿宋" w:eastAsia="仿宋" w:cs="楷体"/>
          <w:color w:val="auto"/>
          <w:sz w:val="22"/>
          <w:szCs w:val="22"/>
          <w:highlight w:val="none"/>
        </w:rPr>
      </w:pPr>
    </w:p>
    <w:p>
      <w:pPr>
        <w:pStyle w:val="17"/>
        <w:ind w:firstLine="220"/>
        <w:rPr>
          <w:rFonts w:ascii="仿宋" w:hAnsi="仿宋" w:eastAsia="仿宋" w:cs="楷体"/>
          <w:color w:val="auto"/>
          <w:sz w:val="22"/>
          <w:szCs w:val="22"/>
          <w:highlight w:val="none"/>
        </w:rPr>
      </w:pPr>
    </w:p>
    <w:p>
      <w:pPr>
        <w:pStyle w:val="17"/>
        <w:ind w:firstLine="220"/>
        <w:rPr>
          <w:rFonts w:ascii="仿宋" w:hAnsi="仿宋" w:eastAsia="仿宋" w:cs="楷体"/>
          <w:color w:val="auto"/>
          <w:sz w:val="22"/>
          <w:szCs w:val="22"/>
          <w:highlight w:val="none"/>
        </w:rPr>
      </w:pPr>
    </w:p>
    <w:p>
      <w:pPr>
        <w:pStyle w:val="17"/>
        <w:ind w:firstLine="220"/>
        <w:rPr>
          <w:rFonts w:ascii="仿宋" w:hAnsi="仿宋" w:eastAsia="仿宋" w:cs="楷体"/>
          <w:color w:val="auto"/>
          <w:sz w:val="22"/>
          <w:szCs w:val="22"/>
          <w:highlight w:val="none"/>
        </w:rPr>
      </w:pPr>
    </w:p>
    <w:p>
      <w:pPr>
        <w:spacing w:line="360" w:lineRule="auto"/>
        <w:ind w:firstLine="3960" w:firstLineChars="180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声明人：</w:t>
      </w:r>
      <w:r>
        <w:rPr>
          <w:rFonts w:hint="eastAsia" w:ascii="仿宋" w:hAnsi="仿宋" w:eastAsia="仿宋" w:cs="楷体"/>
          <w:color w:val="auto"/>
          <w:sz w:val="22"/>
          <w:szCs w:val="22"/>
          <w:highlight w:val="none"/>
          <w:u w:val="single"/>
        </w:rPr>
        <w:t xml:space="preserve">（全称及公章）  </w:t>
      </w:r>
    </w:p>
    <w:p>
      <w:pPr>
        <w:spacing w:line="360" w:lineRule="auto"/>
        <w:ind w:firstLine="630"/>
        <w:jc w:val="center"/>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法人代表或委托代理人（签字）：______________</w:t>
      </w:r>
    </w:p>
    <w:p>
      <w:pPr>
        <w:spacing w:line="360" w:lineRule="auto"/>
        <w:ind w:firstLine="630"/>
        <w:rPr>
          <w:rFonts w:ascii="仿宋" w:hAnsi="仿宋" w:eastAsia="仿宋" w:cs="楷体"/>
          <w:b/>
          <w:color w:val="auto"/>
          <w:sz w:val="22"/>
          <w:szCs w:val="22"/>
          <w:highlight w:val="none"/>
        </w:rPr>
      </w:pPr>
    </w:p>
    <w:p>
      <w:pPr>
        <w:spacing w:line="360" w:lineRule="auto"/>
        <w:ind w:firstLine="630"/>
        <w:rPr>
          <w:rFonts w:ascii="仿宋" w:hAnsi="仿宋" w:eastAsia="仿宋" w:cs="楷体"/>
          <w:b/>
          <w:color w:val="auto"/>
          <w:sz w:val="22"/>
          <w:szCs w:val="22"/>
          <w:highlight w:val="none"/>
        </w:rPr>
      </w:pPr>
      <w:r>
        <w:rPr>
          <w:rFonts w:hint="eastAsia" w:ascii="仿宋" w:hAnsi="仿宋" w:eastAsia="仿宋" w:cs="楷体"/>
          <w:b/>
          <w:color w:val="auto"/>
          <w:sz w:val="22"/>
          <w:szCs w:val="22"/>
          <w:highlight w:val="none"/>
        </w:rPr>
        <w:t>声明</w:t>
      </w:r>
      <w:r>
        <w:rPr>
          <w:rFonts w:hint="eastAsia" w:ascii="仿宋" w:hAnsi="仿宋" w:eastAsia="仿宋" w:cs="楷体"/>
          <w:color w:val="auto"/>
          <w:sz w:val="22"/>
          <w:szCs w:val="22"/>
          <w:highlight w:val="none"/>
        </w:rPr>
        <w:t>：</w:t>
      </w:r>
      <w:r>
        <w:rPr>
          <w:rFonts w:hint="eastAsia" w:ascii="仿宋" w:hAnsi="仿宋" w:eastAsia="仿宋" w:cs="楷体"/>
          <w:b/>
          <w:color w:val="auto"/>
          <w:sz w:val="22"/>
          <w:szCs w:val="22"/>
          <w:highlight w:val="none"/>
        </w:rPr>
        <w:t>我单位保证以上收款单位名称、开户行和银行账号与缴纳磋商保证金的单位名称、开户行和银行账号一致，否则由此造成的磋商保证金无法退还或迟延退还，一切后果由我单位自行承担，磋商</w:t>
      </w:r>
      <w:r>
        <w:rPr>
          <w:rFonts w:hint="eastAsia" w:ascii="仿宋" w:hAnsi="仿宋" w:eastAsia="仿宋" w:cs="楷体"/>
          <w:b/>
          <w:bCs/>
          <w:color w:val="auto"/>
          <w:sz w:val="22"/>
          <w:szCs w:val="22"/>
          <w:highlight w:val="none"/>
        </w:rPr>
        <w:t>组织机构</w:t>
      </w:r>
      <w:r>
        <w:rPr>
          <w:rFonts w:hint="eastAsia" w:ascii="仿宋" w:hAnsi="仿宋" w:eastAsia="仿宋" w:cs="楷体"/>
          <w:b/>
          <w:color w:val="auto"/>
          <w:sz w:val="22"/>
          <w:szCs w:val="22"/>
          <w:highlight w:val="none"/>
        </w:rPr>
        <w:t>概不负责。</w:t>
      </w:r>
    </w:p>
    <w:p>
      <w:pPr>
        <w:spacing w:line="500" w:lineRule="exact"/>
        <w:ind w:firstLine="330" w:firstLineChars="150"/>
        <w:rPr>
          <w:rFonts w:ascii="仿宋" w:hAnsi="仿宋" w:eastAsia="仿宋" w:cs="楷体"/>
          <w:color w:val="auto"/>
          <w:sz w:val="22"/>
          <w:szCs w:val="22"/>
          <w:highlight w:val="none"/>
        </w:rPr>
      </w:pPr>
      <w:r>
        <w:rPr>
          <w:rFonts w:hint="eastAsia" w:ascii="仿宋" w:hAnsi="仿宋" w:eastAsia="仿宋" w:cs="楷体"/>
          <w:color w:val="auto"/>
          <w:sz w:val="22"/>
          <w:szCs w:val="22"/>
          <w:highlight w:val="none"/>
        </w:rPr>
        <w:t>注：此页后附基本账户转出磋商保证金的转账凭证复印件、基本账户开户许可证复印件</w:t>
      </w:r>
    </w:p>
    <w:p>
      <w:pPr>
        <w:pStyle w:val="17"/>
        <w:ind w:firstLine="180"/>
        <w:rPr>
          <w:rFonts w:ascii="仿宋" w:hAnsi="仿宋" w:eastAsia="仿宋"/>
          <w:color w:val="auto"/>
          <w:highlight w:val="none"/>
        </w:rPr>
      </w:pPr>
    </w:p>
    <w:p>
      <w:pPr>
        <w:pStyle w:val="18"/>
        <w:rPr>
          <w:rFonts w:ascii="仿宋" w:hAnsi="仿宋" w:eastAsia="仿宋"/>
          <w:color w:val="auto"/>
          <w:highlight w:val="none"/>
        </w:rPr>
      </w:pPr>
    </w:p>
    <w:p>
      <w:pPr>
        <w:rPr>
          <w:rFonts w:ascii="仿宋" w:hAnsi="仿宋" w:eastAsia="仿宋" w:cs="楷体"/>
          <w:bCs/>
          <w:color w:val="auto"/>
          <w:sz w:val="32"/>
          <w:szCs w:val="32"/>
          <w:highlight w:val="none"/>
        </w:rPr>
      </w:pPr>
    </w:p>
    <w:p>
      <w:pPr>
        <w:pStyle w:val="13"/>
        <w:pBdr>
          <w:top w:val="none" w:color="auto" w:sz="0" w:space="0"/>
          <w:left w:val="none" w:color="auto" w:sz="0" w:space="0"/>
          <w:bottom w:val="none" w:color="auto" w:sz="0" w:space="0"/>
          <w:right w:val="none" w:color="auto" w:sz="0" w:space="0"/>
        </w:pBdr>
        <w:rPr>
          <w:rFonts w:ascii="仿宋" w:hAnsi="仿宋" w:eastAsia="仿宋" w:cs="楷体"/>
          <w:b/>
          <w:color w:val="auto"/>
          <w:sz w:val="32"/>
          <w:szCs w:val="32"/>
          <w:highlight w:val="none"/>
        </w:rPr>
      </w:pPr>
    </w:p>
    <w:p>
      <w:pPr>
        <w:pStyle w:val="13"/>
        <w:pBdr>
          <w:top w:val="none" w:color="auto" w:sz="0" w:space="0"/>
          <w:left w:val="none" w:color="auto" w:sz="0" w:space="0"/>
          <w:bottom w:val="none" w:color="auto" w:sz="0" w:space="0"/>
          <w:right w:val="none" w:color="auto" w:sz="0" w:space="0"/>
        </w:pBdr>
        <w:rPr>
          <w:rFonts w:ascii="仿宋" w:hAnsi="仿宋" w:eastAsia="仿宋" w:cs="楷体"/>
          <w:b/>
          <w:color w:val="auto"/>
          <w:sz w:val="32"/>
          <w:szCs w:val="32"/>
          <w:highlight w:val="none"/>
        </w:rPr>
      </w:pPr>
    </w:p>
    <w:p>
      <w:pPr>
        <w:pStyle w:val="13"/>
        <w:pBdr>
          <w:top w:val="none" w:color="auto" w:sz="0" w:space="0"/>
          <w:left w:val="none" w:color="auto" w:sz="0" w:space="0"/>
          <w:bottom w:val="none" w:color="auto" w:sz="0" w:space="0"/>
          <w:right w:val="none" w:color="auto" w:sz="0" w:space="0"/>
        </w:pBdr>
        <w:rPr>
          <w:rFonts w:ascii="仿宋" w:hAnsi="仿宋" w:eastAsia="仿宋" w:cs="楷体"/>
          <w:b/>
          <w:color w:val="auto"/>
          <w:sz w:val="32"/>
          <w:szCs w:val="32"/>
          <w:highlight w:val="none"/>
        </w:rPr>
      </w:pPr>
    </w:p>
    <w:p>
      <w:pPr>
        <w:pStyle w:val="8"/>
        <w:rPr>
          <w:rFonts w:ascii="仿宋" w:hAnsi="仿宋" w:eastAsia="仿宋" w:cs="楷体"/>
          <w:b/>
          <w:bCs/>
          <w:color w:val="auto"/>
          <w:sz w:val="32"/>
          <w:szCs w:val="40"/>
          <w:highlight w:val="none"/>
        </w:rPr>
      </w:pPr>
      <w:r>
        <w:rPr>
          <w:rFonts w:hint="eastAsia" w:ascii="仿宋" w:hAnsi="仿宋" w:eastAsia="仿宋" w:cs="楷体"/>
          <w:b/>
          <w:bCs/>
          <w:color w:val="auto"/>
          <w:sz w:val="32"/>
          <w:szCs w:val="40"/>
          <w:highlight w:val="none"/>
        </w:rPr>
        <w:t>格式A</w:t>
      </w:r>
      <w:bookmarkStart w:id="249" w:name="_Toc12611"/>
      <w:bookmarkStart w:id="250" w:name="_Toc32573"/>
      <w:bookmarkStart w:id="251" w:name="_Toc396_WPSOffice_Level1"/>
      <w:bookmarkStart w:id="252" w:name="_Toc12103"/>
      <w:bookmarkStart w:id="253" w:name="_Toc3120"/>
      <w:bookmarkStart w:id="254" w:name="_Toc16261_WPSOffice_Level1"/>
      <w:bookmarkStart w:id="255" w:name="_Toc28598_WPSOffice_Level1"/>
      <w:bookmarkStart w:id="256" w:name="_Toc5088"/>
      <w:bookmarkStart w:id="257" w:name="_Toc10581_WPSOffice_Level1"/>
    </w:p>
    <w:p>
      <w:pPr>
        <w:pStyle w:val="8"/>
        <w:ind w:firstLine="1928" w:firstLineChars="600"/>
        <w:rPr>
          <w:rFonts w:ascii="仿宋" w:hAnsi="仿宋" w:eastAsia="仿宋" w:cs="楷体"/>
          <w:b/>
          <w:bCs/>
          <w:color w:val="auto"/>
          <w:sz w:val="32"/>
          <w:szCs w:val="40"/>
          <w:highlight w:val="none"/>
        </w:rPr>
      </w:pPr>
      <w:r>
        <w:rPr>
          <w:rFonts w:hint="eastAsia" w:ascii="仿宋" w:hAnsi="仿宋" w:eastAsia="仿宋" w:cs="楷体"/>
          <w:b/>
          <w:bCs/>
          <w:color w:val="auto"/>
          <w:sz w:val="32"/>
          <w:szCs w:val="40"/>
          <w:highlight w:val="none"/>
        </w:rPr>
        <w:t>磋商响应文件正面标识式样</w:t>
      </w:r>
      <w:bookmarkEnd w:id="249"/>
      <w:bookmarkEnd w:id="250"/>
      <w:bookmarkEnd w:id="251"/>
      <w:bookmarkEnd w:id="252"/>
      <w:bookmarkEnd w:id="253"/>
      <w:bookmarkEnd w:id="254"/>
      <w:bookmarkEnd w:id="255"/>
      <w:bookmarkEnd w:id="256"/>
      <w:bookmarkEnd w:id="257"/>
    </w:p>
    <w:p>
      <w:pPr>
        <w:pStyle w:val="8"/>
        <w:ind w:firstLine="1260" w:firstLineChars="600"/>
        <w:rPr>
          <w:rFonts w:ascii="仿宋" w:hAnsi="仿宋" w:eastAsia="仿宋" w:cs="楷体"/>
          <w:b/>
          <w:color w:val="auto"/>
          <w:sz w:val="32"/>
          <w:szCs w:val="32"/>
          <w:highlight w:val="none"/>
        </w:rPr>
      </w:pPr>
      <w:r>
        <w:rPr>
          <w:rFonts w:hint="eastAsia" w:ascii="仿宋" w:hAnsi="仿宋" w:eastAsia="仿宋" w:cs="楷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238125</wp:posOffset>
                </wp:positionV>
                <wp:extent cx="5335905" cy="3230880"/>
                <wp:effectExtent l="19050" t="19050" r="36195" b="26670"/>
                <wp:wrapNone/>
                <wp:docPr id="2" name="文本框 5"/>
                <wp:cNvGraphicFramePr/>
                <a:graphic xmlns:a="http://schemas.openxmlformats.org/drawingml/2006/main">
                  <a:graphicData uri="http://schemas.microsoft.com/office/word/2010/wordprocessingShape">
                    <wps:wsp>
                      <wps:cNvSpPr txBox="1"/>
                      <wps:spPr>
                        <a:xfrm>
                          <a:off x="0" y="0"/>
                          <a:ext cx="5335905" cy="32308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ascii="方正粗黑宋简体" w:hAnsi="方正粗黑宋简体" w:eastAsia="方正粗黑宋简体" w:cs="方正粗黑宋简体"/>
                                <w:b/>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lang w:eastAsia="zh-CN"/>
                                <w14:textFill>
                                  <w14:solidFill>
                                    <w14:schemeClr w14:val="tx1"/>
                                  </w14:solidFill>
                                </w14:textFill>
                              </w:rPr>
                              <w:t>长信项目管理有限公司</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p>
                          <w:p>
                            <w:pPr>
                              <w:spacing w:line="440" w:lineRule="exact"/>
                              <w:jc w:val="center"/>
                              <w:rPr>
                                <w:rFonts w:ascii="方正粗黑宋简体" w:hAnsi="方正粗黑宋简体" w:eastAsia="方正粗黑宋简体" w:cs="方正粗黑宋简体"/>
                                <w:b/>
                                <w:sz w:val="36"/>
                                <w:szCs w:val="36"/>
                              </w:rPr>
                            </w:pPr>
                          </w:p>
                          <w:p>
                            <w:pPr>
                              <w:spacing w:line="440" w:lineRule="exact"/>
                              <w:ind w:firstLine="2319" w:firstLineChars="10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磋</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商</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响</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应</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文</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件（正本或副本）</w:t>
                            </w:r>
                          </w:p>
                          <w:p>
                            <w:pPr>
                              <w:spacing w:line="440" w:lineRule="exact"/>
                              <w:ind w:firstLine="2761" w:firstLineChars="12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（非开标大会不得启封）</w:t>
                            </w:r>
                          </w:p>
                          <w:p>
                            <w:pPr>
                              <w:rPr>
                                <w:rFonts w:ascii="方正粗黑宋简体" w:hAnsi="方正粗黑宋简体" w:eastAsia="方正粗黑宋简体" w:cs="方正粗黑宋简体"/>
                                <w:b/>
                                <w:szCs w:val="21"/>
                              </w:rPr>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磋商供应商名称：（公章）</w:t>
                            </w:r>
                          </w:p>
                          <w:p>
                            <w:pPr>
                              <w:spacing w:line="440" w:lineRule="exact"/>
                              <w:rPr>
                                <w:rFonts w:ascii="方正粗黑宋简体" w:hAnsi="方正粗黑宋简体" w:eastAsia="方正粗黑宋简体" w:cs="方正粗黑宋简体"/>
                                <w:b/>
                                <w:szCs w:val="21"/>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spacing w:line="440" w:lineRule="exact"/>
                              <w:rPr>
                                <w:rFonts w:ascii="楷体" w:hAnsi="楷体" w:eastAsia="楷体" w:cs="楷体"/>
                                <w:bCs/>
                                <w:color w:val="000000" w:themeColor="text1"/>
                                <w:sz w:val="22"/>
                                <w:szCs w:val="18"/>
                                <w14:textFill>
                                  <w14:solidFill>
                                    <w14:schemeClr w14:val="tx1"/>
                                  </w14:solidFill>
                                </w14:textFill>
                              </w:rPr>
                            </w:pPr>
                          </w:p>
                          <w:p>
                            <w:pPr>
                              <w:rPr>
                                <w:rFonts w:ascii="方正粗黑宋简体" w:hAnsi="方正粗黑宋简体" w:eastAsia="方正粗黑宋简体" w:cs="方正粗黑宋简体"/>
                                <w:szCs w:val="21"/>
                              </w:rPr>
                            </w:pPr>
                          </w:p>
                          <w:p>
                            <w:pPr>
                              <w:pStyle w:val="8"/>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8"/>
                              <w:rPr>
                                <w:rFonts w:ascii="方正粗黑宋简体" w:hAnsi="方正粗黑宋简体" w:eastAsia="方正粗黑宋简体" w:cs="方正粗黑宋简体"/>
                                <w:szCs w:val="21"/>
                              </w:rPr>
                            </w:pPr>
                          </w:p>
                          <w:p/>
                          <w:p>
                            <w:pPr>
                              <w:pStyle w:val="8"/>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8"/>
                            </w:pPr>
                          </w:p>
                          <w:p>
                            <w:pPr>
                              <w:spacing w:line="440" w:lineRule="exact"/>
                              <w:rPr>
                                <w:rFonts w:ascii="仿宋_GB2312" w:eastAsia="仿宋_GB2312"/>
                                <w:szCs w:val="21"/>
                              </w:rPr>
                            </w:pPr>
                          </w:p>
                          <w:p/>
                        </w:txbxContent>
                      </wps:txbx>
                      <wps:bodyPr upright="1"/>
                    </wps:wsp>
                  </a:graphicData>
                </a:graphic>
              </wp:anchor>
            </w:drawing>
          </mc:Choice>
          <mc:Fallback>
            <w:pict>
              <v:shape id="文本框 5" o:spid="_x0000_s1026" o:spt="202" type="#_x0000_t202" style="position:absolute;left:0pt;margin-left:-1.5pt;margin-top:18.75pt;height:254.4pt;width:420.15pt;z-index:251660288;mso-width-relative:page;mso-height-relative:page;" fillcolor="#FFFFFF" filled="t" stroked="t" coordsize="21600,21600" o:gfxdata="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D3ydtgAAAAJAQAADwAAAAAA&#10;AAABACAAAAAiAAAAZHJzL2Rvd25yZXYueG1sUEsBAhQAFAAAAAgAh07iQPri/Z0TAgAARgQAAA4A&#10;AAAAAAAAAQAgAAAAJwEAAGRycy9lMm9Eb2MueG1sUEsFBgAAAAAGAAYAWQEAAKwFAAAAAA==&#10;">
                <v:fill on="t" focussize="0,0"/>
                <v:stroke weight="3pt" color="#000000" linestyle="thinThin" joinstyle="miter"/>
                <v:imagedata o:title=""/>
                <o:lock v:ext="edit" aspectratio="f"/>
                <v:textbox>
                  <w:txbxContent>
                    <w:p>
                      <w:pPr>
                        <w:spacing w:line="440" w:lineRule="exact"/>
                        <w:rPr>
                          <w:rFonts w:ascii="方正粗黑宋简体" w:hAnsi="方正粗黑宋简体" w:eastAsia="方正粗黑宋简体" w:cs="方正粗黑宋简体"/>
                          <w:b/>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lang w:eastAsia="zh-CN"/>
                          <w14:textFill>
                            <w14:solidFill>
                              <w14:schemeClr w14:val="tx1"/>
                            </w14:solidFill>
                          </w14:textFill>
                        </w:rPr>
                        <w:t>长信项目管理有限公司</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p>
                    <w:p>
                      <w:pPr>
                        <w:spacing w:line="440" w:lineRule="exact"/>
                        <w:jc w:val="center"/>
                        <w:rPr>
                          <w:rFonts w:ascii="方正粗黑宋简体" w:hAnsi="方正粗黑宋简体" w:eastAsia="方正粗黑宋简体" w:cs="方正粗黑宋简体"/>
                          <w:b/>
                          <w:sz w:val="36"/>
                          <w:szCs w:val="36"/>
                        </w:rPr>
                      </w:pPr>
                    </w:p>
                    <w:p>
                      <w:pPr>
                        <w:spacing w:line="440" w:lineRule="exact"/>
                        <w:ind w:firstLine="2319" w:firstLineChars="10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磋</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商</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响</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应</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文</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件（正本或副本）</w:t>
                      </w:r>
                    </w:p>
                    <w:p>
                      <w:pPr>
                        <w:spacing w:line="440" w:lineRule="exact"/>
                        <w:ind w:firstLine="2761" w:firstLineChars="12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（非开标大会不得启封）</w:t>
                      </w:r>
                    </w:p>
                    <w:p>
                      <w:pPr>
                        <w:rPr>
                          <w:rFonts w:ascii="方正粗黑宋简体" w:hAnsi="方正粗黑宋简体" w:eastAsia="方正粗黑宋简体" w:cs="方正粗黑宋简体"/>
                          <w:b/>
                          <w:szCs w:val="21"/>
                        </w:rPr>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磋商供应商名称：（公章）</w:t>
                      </w:r>
                    </w:p>
                    <w:p>
                      <w:pPr>
                        <w:spacing w:line="440" w:lineRule="exact"/>
                        <w:rPr>
                          <w:rFonts w:ascii="方正粗黑宋简体" w:hAnsi="方正粗黑宋简体" w:eastAsia="方正粗黑宋简体" w:cs="方正粗黑宋简体"/>
                          <w:b/>
                          <w:szCs w:val="21"/>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spacing w:line="440" w:lineRule="exact"/>
                        <w:rPr>
                          <w:rFonts w:ascii="楷体" w:hAnsi="楷体" w:eastAsia="楷体" w:cs="楷体"/>
                          <w:bCs/>
                          <w:color w:val="000000" w:themeColor="text1"/>
                          <w:sz w:val="22"/>
                          <w:szCs w:val="18"/>
                          <w14:textFill>
                            <w14:solidFill>
                              <w14:schemeClr w14:val="tx1"/>
                            </w14:solidFill>
                          </w14:textFill>
                        </w:rPr>
                      </w:pPr>
                    </w:p>
                    <w:p>
                      <w:pPr>
                        <w:rPr>
                          <w:rFonts w:ascii="方正粗黑宋简体" w:hAnsi="方正粗黑宋简体" w:eastAsia="方正粗黑宋简体" w:cs="方正粗黑宋简体"/>
                          <w:szCs w:val="21"/>
                        </w:rPr>
                      </w:pPr>
                    </w:p>
                    <w:p>
                      <w:pPr>
                        <w:pStyle w:val="8"/>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8"/>
                        <w:rPr>
                          <w:rFonts w:ascii="方正粗黑宋简体" w:hAnsi="方正粗黑宋简体" w:eastAsia="方正粗黑宋简体" w:cs="方正粗黑宋简体"/>
                          <w:szCs w:val="21"/>
                        </w:rPr>
                      </w:pPr>
                    </w:p>
                    <w:p/>
                    <w:p>
                      <w:pPr>
                        <w:pStyle w:val="8"/>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8"/>
                      </w:pPr>
                    </w:p>
                    <w:p>
                      <w:pPr>
                        <w:spacing w:line="440" w:lineRule="exact"/>
                        <w:rPr>
                          <w:rFonts w:ascii="仿宋_GB2312" w:eastAsia="仿宋_GB2312"/>
                          <w:szCs w:val="21"/>
                        </w:rPr>
                      </w:pPr>
                    </w:p>
                    <w:p/>
                  </w:txbxContent>
                </v:textbox>
              </v:shape>
            </w:pict>
          </mc:Fallback>
        </mc:AlternateContent>
      </w:r>
    </w:p>
    <w:p>
      <w:pPr>
        <w:rPr>
          <w:rFonts w:ascii="仿宋" w:hAnsi="仿宋" w:eastAsia="仿宋" w:cs="楷体"/>
          <w:b/>
          <w:color w:val="auto"/>
          <w:sz w:val="32"/>
          <w:szCs w:val="32"/>
          <w:highlight w:val="none"/>
        </w:rPr>
      </w:pPr>
    </w:p>
    <w:p>
      <w:pPr>
        <w:rPr>
          <w:rFonts w:ascii="仿宋" w:hAnsi="仿宋" w:eastAsia="仿宋" w:cs="楷体"/>
          <w:b/>
          <w:color w:val="auto"/>
          <w:sz w:val="32"/>
          <w:szCs w:val="32"/>
          <w:highlight w:val="none"/>
        </w:rPr>
      </w:pPr>
    </w:p>
    <w:p>
      <w:pPr>
        <w:jc w:val="center"/>
        <w:outlineLvl w:val="0"/>
        <w:rPr>
          <w:rFonts w:ascii="仿宋" w:hAnsi="仿宋" w:eastAsia="仿宋" w:cs="楷体"/>
          <w:color w:val="auto"/>
          <w:sz w:val="32"/>
          <w:szCs w:val="32"/>
          <w:highlight w:val="none"/>
        </w:rPr>
      </w:pPr>
      <w:bookmarkStart w:id="258" w:name="_Toc803"/>
      <w:bookmarkStart w:id="259" w:name="_Toc11751"/>
      <w:bookmarkStart w:id="260" w:name="_Toc12278_WPSOffice_Level1"/>
      <w:bookmarkStart w:id="261" w:name="_Toc1869"/>
      <w:bookmarkStart w:id="262" w:name="_Toc27939_WPSOffice_Level1"/>
      <w:bookmarkStart w:id="263" w:name="_Toc4121"/>
      <w:bookmarkStart w:id="264" w:name="_Toc8297"/>
      <w:r>
        <w:rPr>
          <w:rFonts w:hint="eastAsia" w:ascii="仿宋" w:hAnsi="仿宋" w:eastAsia="仿宋" w:cs="楷体"/>
          <w:b/>
          <w:color w:val="auto"/>
          <w:sz w:val="32"/>
          <w:szCs w:val="32"/>
          <w:highlight w:val="none"/>
        </w:rPr>
        <w:t>磋商响应文件封袋正面标识式样</w:t>
      </w:r>
      <w:bookmarkEnd w:id="258"/>
      <w:bookmarkEnd w:id="259"/>
      <w:bookmarkEnd w:id="260"/>
      <w:bookmarkEnd w:id="261"/>
      <w:bookmarkEnd w:id="262"/>
      <w:bookmarkEnd w:id="263"/>
      <w:bookmarkEnd w:id="264"/>
    </w:p>
    <w:p>
      <w:pPr>
        <w:rPr>
          <w:rFonts w:ascii="仿宋" w:hAnsi="仿宋" w:eastAsia="仿宋" w:cs="楷体"/>
          <w:color w:val="auto"/>
          <w:sz w:val="32"/>
          <w:szCs w:val="32"/>
          <w:highlight w:val="none"/>
        </w:rPr>
      </w:pPr>
    </w:p>
    <w:p>
      <w:pPr>
        <w:rPr>
          <w:rFonts w:ascii="仿宋" w:hAnsi="仿宋" w:eastAsia="仿宋" w:cs="楷体"/>
          <w:color w:val="auto"/>
          <w:sz w:val="32"/>
          <w:szCs w:val="32"/>
          <w:highlight w:val="none"/>
        </w:rPr>
      </w:pPr>
    </w:p>
    <w:p>
      <w:pPr>
        <w:rPr>
          <w:rFonts w:ascii="仿宋" w:hAnsi="仿宋" w:eastAsia="仿宋" w:cs="楷体"/>
          <w:color w:val="auto"/>
          <w:sz w:val="32"/>
          <w:szCs w:val="32"/>
          <w:highlight w:val="none"/>
        </w:rPr>
      </w:pPr>
    </w:p>
    <w:p>
      <w:pPr>
        <w:rPr>
          <w:rFonts w:ascii="仿宋" w:hAnsi="仿宋" w:eastAsia="仿宋" w:cs="楷体"/>
          <w:color w:val="auto"/>
          <w:sz w:val="32"/>
          <w:szCs w:val="32"/>
          <w:highlight w:val="none"/>
        </w:rPr>
      </w:pPr>
    </w:p>
    <w:p>
      <w:pPr>
        <w:kinsoku w:val="0"/>
        <w:spacing w:line="360" w:lineRule="atLeast"/>
        <w:jc w:val="center"/>
        <w:rPr>
          <w:rFonts w:ascii="仿宋" w:hAnsi="仿宋" w:eastAsia="仿宋" w:cs="楷体"/>
          <w:b/>
          <w:color w:val="auto"/>
          <w:sz w:val="32"/>
          <w:szCs w:val="32"/>
          <w:highlight w:val="none"/>
        </w:rPr>
      </w:pPr>
    </w:p>
    <w:p>
      <w:pPr>
        <w:pStyle w:val="8"/>
        <w:rPr>
          <w:rFonts w:ascii="仿宋" w:hAnsi="仿宋" w:eastAsia="仿宋" w:cs="楷体"/>
          <w:b/>
          <w:bCs/>
          <w:color w:val="auto"/>
          <w:sz w:val="32"/>
          <w:szCs w:val="40"/>
          <w:highlight w:val="none"/>
        </w:rPr>
      </w:pPr>
      <w:r>
        <w:rPr>
          <w:rFonts w:hint="eastAsia" w:ascii="仿宋" w:hAnsi="仿宋" w:eastAsia="仿宋" w:cs="楷体"/>
          <w:b/>
          <w:bCs/>
          <w:color w:val="auto"/>
          <w:sz w:val="32"/>
          <w:szCs w:val="40"/>
          <w:highlight w:val="none"/>
        </w:rPr>
        <w:t>格式B</w:t>
      </w:r>
    </w:p>
    <w:p>
      <w:pPr>
        <w:ind w:firstLine="1928" w:firstLineChars="600"/>
        <w:rPr>
          <w:rFonts w:ascii="仿宋" w:hAnsi="仿宋" w:eastAsia="仿宋" w:cs="楷体"/>
          <w:b/>
          <w:bCs/>
          <w:color w:val="auto"/>
          <w:sz w:val="32"/>
          <w:szCs w:val="40"/>
          <w:highlight w:val="none"/>
        </w:rPr>
      </w:pPr>
      <w:r>
        <w:rPr>
          <w:rFonts w:hint="eastAsia" w:ascii="仿宋" w:hAnsi="仿宋" w:eastAsia="仿宋" w:cs="楷体"/>
          <w:b/>
          <w:bCs/>
          <w:color w:val="auto"/>
          <w:sz w:val="32"/>
          <w:szCs w:val="40"/>
          <w:highlight w:val="none"/>
        </w:rPr>
        <w:t>开标一览表封袋正面标识式样</w:t>
      </w:r>
    </w:p>
    <w:p>
      <w:pPr>
        <w:rPr>
          <w:rFonts w:ascii="仿宋" w:hAnsi="仿宋" w:eastAsia="仿宋" w:cs="楷体"/>
          <w:color w:val="auto"/>
          <w:highlight w:val="none"/>
        </w:rPr>
      </w:pPr>
    </w:p>
    <w:p>
      <w:pPr>
        <w:rPr>
          <w:rFonts w:ascii="仿宋" w:hAnsi="仿宋" w:eastAsia="仿宋" w:cs="楷体"/>
          <w:color w:val="auto"/>
          <w:highlight w:val="none"/>
        </w:rPr>
      </w:pPr>
      <w:r>
        <w:rPr>
          <w:rFonts w:hint="eastAsia" w:ascii="仿宋" w:hAnsi="仿宋" w:eastAsia="仿宋" w:cs="楷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38735</wp:posOffset>
                </wp:positionV>
                <wp:extent cx="5273675" cy="3247390"/>
                <wp:effectExtent l="19050" t="19050" r="22225" b="29210"/>
                <wp:wrapNone/>
                <wp:docPr id="3" name="文本框 6"/>
                <wp:cNvGraphicFramePr/>
                <a:graphic xmlns:a="http://schemas.openxmlformats.org/drawingml/2006/main">
                  <a:graphicData uri="http://schemas.microsoft.com/office/word/2010/wordprocessingShape">
                    <wps:wsp>
                      <wps:cNvSpPr txBox="1"/>
                      <wps:spPr>
                        <a:xfrm>
                          <a:off x="0" y="0"/>
                          <a:ext cx="5273675" cy="324739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lang w:eastAsia="zh-CN"/>
                                <w14:textFill>
                                  <w14:solidFill>
                                    <w14:schemeClr w14:val="tx1"/>
                                  </w14:solidFill>
                                </w14:textFill>
                              </w:rPr>
                              <w:t>长信项目管理有限公司</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ind w:firstLine="2098" w:firstLineChars="9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开标一览表、磋商响应文件电子版</w:t>
                            </w:r>
                            <w:r>
                              <w:rPr>
                                <w:rFonts w:ascii="楷体" w:hAnsi="楷体" w:eastAsia="楷体" w:cs="楷体"/>
                                <w:b/>
                                <w:color w:val="000000" w:themeColor="text1"/>
                                <w:sz w:val="22"/>
                                <w:szCs w:val="18"/>
                                <w14:textFill>
                                  <w14:solidFill>
                                    <w14:schemeClr w14:val="tx1"/>
                                  </w14:solidFill>
                                </w14:textFill>
                              </w:rPr>
                              <w:t>U</w:t>
                            </w:r>
                            <w:r>
                              <w:rPr>
                                <w:rFonts w:hint="eastAsia" w:ascii="楷体" w:hAnsi="楷体" w:eastAsia="楷体" w:cs="楷体"/>
                                <w:b/>
                                <w:color w:val="000000" w:themeColor="text1"/>
                                <w:sz w:val="22"/>
                                <w:szCs w:val="18"/>
                                <w14:textFill>
                                  <w14:solidFill>
                                    <w14:schemeClr w14:val="tx1"/>
                                  </w14:solidFill>
                                </w14:textFill>
                              </w:rPr>
                              <w:t>盘各一份</w:t>
                            </w:r>
                          </w:p>
                          <w:p>
                            <w:pPr>
                              <w:spacing w:line="440" w:lineRule="exact"/>
                              <w:ind w:firstLine="3092" w:firstLineChars="140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（非开标大会不得启封）</w:t>
                            </w:r>
                          </w:p>
                          <w:p>
                            <w:pPr>
                              <w:pStyle w:val="8"/>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磋商供应商名称：（公章）</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封装内容：开标一览表原件及磋商响应文件电子</w:t>
                            </w:r>
                            <w:r>
                              <w:rPr>
                                <w:rFonts w:ascii="楷体" w:hAnsi="楷体" w:eastAsia="楷体" w:cs="楷体"/>
                                <w:b/>
                                <w:color w:val="000000" w:themeColor="text1"/>
                                <w:sz w:val="22"/>
                                <w:szCs w:val="18"/>
                                <w14:textFill>
                                  <w14:solidFill>
                                    <w14:schemeClr w14:val="tx1"/>
                                  </w14:solidFill>
                                </w14:textFill>
                              </w:rPr>
                              <w:t>U</w:t>
                            </w:r>
                            <w:r>
                              <w:rPr>
                                <w:rFonts w:hint="eastAsia" w:ascii="楷体" w:hAnsi="楷体" w:eastAsia="楷体" w:cs="楷体"/>
                                <w:b/>
                                <w:color w:val="000000" w:themeColor="text1"/>
                                <w:sz w:val="22"/>
                                <w:szCs w:val="18"/>
                                <w14:textFill>
                                  <w14:solidFill>
                                    <w14:schemeClr w14:val="tx1"/>
                                  </w14:solidFill>
                                </w14:textFill>
                              </w:rPr>
                              <w:t>盘</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rPr>
                                <w:rFonts w:ascii="仿宋_GB2312" w:eastAsia="仿宋_GB2312"/>
                                <w:szCs w:val="21"/>
                              </w:rPr>
                            </w:pPr>
                          </w:p>
                        </w:txbxContent>
                      </wps:txbx>
                      <wps:bodyPr upright="1"/>
                    </wps:wsp>
                  </a:graphicData>
                </a:graphic>
              </wp:anchor>
            </w:drawing>
          </mc:Choice>
          <mc:Fallback>
            <w:pict>
              <v:shape id="文本框 6" o:spid="_x0000_s1026" o:spt="202" type="#_x0000_t202" style="position:absolute;left:0pt;margin-left:4.7pt;margin-top:3.05pt;height:255.7pt;width:415.25pt;z-index:251660288;mso-width-relative:page;mso-height-relative:page;" fillcolor="#FFFFFF" filled="t" stroked="t" coordsize="21600,21600" o:gfxdata="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TkaFNYAAAAHAQAADwAAAAAA&#10;AAABACAAAAAiAAAAZHJzL2Rvd25yZXYueG1sUEsBAhQAFAAAAAgAh07iQKKbCf0VAgAARgQAAA4A&#10;AAAAAAAAAQAgAAAAJQEAAGRycy9lMm9Eb2MueG1sUEsFBgAAAAAGAAYAWQEAAKwFAAAAAA==&#10;">
                <v:fill on="t" focussize="0,0"/>
                <v:stroke weight="3pt" color="#000000" linestyle="thinThin" joinstyle="miter"/>
                <v:imagedata o:title=""/>
                <o:lock v:ext="edit" aspectratio="f"/>
                <v:textbox>
                  <w:txbxContent>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lang w:eastAsia="zh-CN"/>
                          <w14:textFill>
                            <w14:solidFill>
                              <w14:schemeClr w14:val="tx1"/>
                            </w14:solidFill>
                          </w14:textFill>
                        </w:rPr>
                        <w:t>长信项目管理有限公司</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ind w:firstLine="2098" w:firstLineChars="9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开标一览表、磋商响应文件电子版</w:t>
                      </w:r>
                      <w:r>
                        <w:rPr>
                          <w:rFonts w:ascii="楷体" w:hAnsi="楷体" w:eastAsia="楷体" w:cs="楷体"/>
                          <w:b/>
                          <w:color w:val="000000" w:themeColor="text1"/>
                          <w:sz w:val="22"/>
                          <w:szCs w:val="18"/>
                          <w14:textFill>
                            <w14:solidFill>
                              <w14:schemeClr w14:val="tx1"/>
                            </w14:solidFill>
                          </w14:textFill>
                        </w:rPr>
                        <w:t>U</w:t>
                      </w:r>
                      <w:r>
                        <w:rPr>
                          <w:rFonts w:hint="eastAsia" w:ascii="楷体" w:hAnsi="楷体" w:eastAsia="楷体" w:cs="楷体"/>
                          <w:b/>
                          <w:color w:val="000000" w:themeColor="text1"/>
                          <w:sz w:val="22"/>
                          <w:szCs w:val="18"/>
                          <w14:textFill>
                            <w14:solidFill>
                              <w14:schemeClr w14:val="tx1"/>
                            </w14:solidFill>
                          </w14:textFill>
                        </w:rPr>
                        <w:t>盘各一份</w:t>
                      </w:r>
                    </w:p>
                    <w:p>
                      <w:pPr>
                        <w:spacing w:line="440" w:lineRule="exact"/>
                        <w:ind w:firstLine="3092" w:firstLineChars="140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（非开标大会不得启封）</w:t>
                      </w:r>
                    </w:p>
                    <w:p>
                      <w:pPr>
                        <w:pStyle w:val="8"/>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磋商供应商名称：（公章）</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封装内容：开标一览表原件及磋商响应文件电子</w:t>
                      </w:r>
                      <w:r>
                        <w:rPr>
                          <w:rFonts w:ascii="楷体" w:hAnsi="楷体" w:eastAsia="楷体" w:cs="楷体"/>
                          <w:b/>
                          <w:color w:val="000000" w:themeColor="text1"/>
                          <w:sz w:val="22"/>
                          <w:szCs w:val="18"/>
                          <w14:textFill>
                            <w14:solidFill>
                              <w14:schemeClr w14:val="tx1"/>
                            </w14:solidFill>
                          </w14:textFill>
                        </w:rPr>
                        <w:t>U</w:t>
                      </w:r>
                      <w:r>
                        <w:rPr>
                          <w:rFonts w:hint="eastAsia" w:ascii="楷体" w:hAnsi="楷体" w:eastAsia="楷体" w:cs="楷体"/>
                          <w:b/>
                          <w:color w:val="000000" w:themeColor="text1"/>
                          <w:sz w:val="22"/>
                          <w:szCs w:val="18"/>
                          <w14:textFill>
                            <w14:solidFill>
                              <w14:schemeClr w14:val="tx1"/>
                            </w14:solidFill>
                          </w14:textFill>
                        </w:rPr>
                        <w:t>盘</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rPr>
                          <w:rFonts w:ascii="仿宋_GB2312" w:eastAsia="仿宋_GB2312"/>
                          <w:szCs w:val="21"/>
                        </w:rPr>
                      </w:pPr>
                    </w:p>
                  </w:txbxContent>
                </v:textbox>
              </v:shape>
            </w:pict>
          </mc:Fallback>
        </mc:AlternateContent>
      </w:r>
    </w:p>
    <w:p>
      <w:pPr>
        <w:rPr>
          <w:rFonts w:ascii="仿宋" w:hAnsi="仿宋" w:eastAsia="仿宋" w:cs="楷体"/>
          <w:color w:val="auto"/>
          <w:highlight w:val="none"/>
        </w:rPr>
      </w:pPr>
    </w:p>
    <w:p>
      <w:pPr>
        <w:rPr>
          <w:rFonts w:ascii="仿宋" w:hAnsi="仿宋" w:eastAsia="仿宋" w:cs="楷体"/>
          <w:color w:val="auto"/>
          <w:highlight w:val="none"/>
        </w:rPr>
      </w:pPr>
    </w:p>
    <w:p>
      <w:pPr>
        <w:rPr>
          <w:rFonts w:ascii="仿宋" w:hAnsi="仿宋" w:eastAsia="仿宋" w:cs="楷体"/>
          <w:color w:val="auto"/>
          <w:highlight w:val="none"/>
        </w:rPr>
      </w:pPr>
    </w:p>
    <w:p>
      <w:pPr>
        <w:rPr>
          <w:rFonts w:ascii="仿宋" w:hAnsi="仿宋" w:eastAsia="仿宋" w:cs="楷体"/>
          <w:color w:val="auto"/>
          <w:highlight w:val="none"/>
        </w:rPr>
      </w:pPr>
    </w:p>
    <w:p>
      <w:pPr>
        <w:spacing w:line="500" w:lineRule="exact"/>
        <w:jc w:val="center"/>
        <w:rPr>
          <w:rFonts w:ascii="仿宋" w:hAnsi="仿宋" w:eastAsia="仿宋" w:cs="楷体"/>
          <w:color w:val="auto"/>
          <w:highlight w:val="none"/>
        </w:rPr>
      </w:pPr>
    </w:p>
    <w:p>
      <w:pPr>
        <w:spacing w:line="500" w:lineRule="exact"/>
        <w:jc w:val="center"/>
        <w:rPr>
          <w:rFonts w:ascii="仿宋" w:hAnsi="仿宋" w:eastAsia="仿宋" w:cs="楷体"/>
          <w:color w:val="auto"/>
          <w:highlight w:val="none"/>
        </w:rPr>
      </w:pPr>
    </w:p>
    <w:p>
      <w:pPr>
        <w:spacing w:line="440" w:lineRule="exact"/>
        <w:jc w:val="center"/>
        <w:rPr>
          <w:rFonts w:ascii="仿宋" w:hAnsi="仿宋" w:eastAsia="仿宋" w:cs="楷体"/>
          <w:b/>
          <w:bCs/>
          <w:color w:val="auto"/>
          <w:sz w:val="36"/>
          <w:szCs w:val="36"/>
          <w:highlight w:val="none"/>
        </w:rPr>
      </w:pPr>
    </w:p>
    <w:p>
      <w:pPr>
        <w:rPr>
          <w:rFonts w:ascii="仿宋" w:hAnsi="仿宋" w:eastAsia="仿宋" w:cs="楷体"/>
          <w:color w:val="auto"/>
          <w:highlight w:val="none"/>
        </w:rPr>
      </w:pPr>
    </w:p>
    <w:p>
      <w:pPr>
        <w:pStyle w:val="8"/>
        <w:rPr>
          <w:rFonts w:ascii="仿宋" w:hAnsi="仿宋" w:eastAsia="仿宋" w:cs="楷体"/>
          <w:color w:val="auto"/>
          <w:highlight w:val="none"/>
        </w:rPr>
      </w:pPr>
    </w:p>
    <w:p>
      <w:pPr>
        <w:rPr>
          <w:rFonts w:ascii="仿宋" w:hAnsi="仿宋" w:eastAsia="仿宋" w:cs="楷体"/>
          <w:color w:val="auto"/>
          <w:highlight w:val="none"/>
        </w:rPr>
      </w:pPr>
    </w:p>
    <w:p>
      <w:pPr>
        <w:tabs>
          <w:tab w:val="left" w:pos="544"/>
        </w:tabs>
        <w:jc w:val="left"/>
        <w:rPr>
          <w:rFonts w:ascii="仿宋" w:hAnsi="仿宋" w:eastAsia="仿宋" w:cs="楷体"/>
          <w:b/>
          <w:color w:val="auto"/>
          <w:sz w:val="32"/>
          <w:szCs w:val="32"/>
          <w:highlight w:val="none"/>
        </w:rPr>
      </w:pPr>
    </w:p>
    <w:p>
      <w:pPr>
        <w:tabs>
          <w:tab w:val="left" w:pos="544"/>
        </w:tabs>
        <w:jc w:val="left"/>
        <w:rPr>
          <w:rFonts w:ascii="仿宋" w:hAnsi="仿宋" w:eastAsia="仿宋" w:cs="楷体"/>
          <w:b/>
          <w:color w:val="auto"/>
          <w:sz w:val="32"/>
          <w:szCs w:val="32"/>
          <w:highlight w:val="none"/>
        </w:rPr>
      </w:pPr>
      <w:r>
        <w:rPr>
          <w:rFonts w:hint="eastAsia" w:ascii="仿宋" w:hAnsi="仿宋" w:eastAsia="仿宋" w:cs="楷体"/>
          <w:b/>
          <w:color w:val="auto"/>
          <w:sz w:val="32"/>
          <w:szCs w:val="32"/>
          <w:highlight w:val="none"/>
        </w:rPr>
        <w:t>格式C</w:t>
      </w:r>
    </w:p>
    <w:p>
      <w:pPr>
        <w:jc w:val="center"/>
        <w:outlineLvl w:val="0"/>
        <w:rPr>
          <w:rFonts w:ascii="仿宋" w:hAnsi="仿宋" w:eastAsia="仿宋" w:cs="楷体"/>
          <w:b/>
          <w:color w:val="auto"/>
          <w:sz w:val="32"/>
          <w:szCs w:val="32"/>
          <w:highlight w:val="none"/>
        </w:rPr>
      </w:pPr>
      <w:bookmarkStart w:id="265" w:name="_Toc19513"/>
      <w:bookmarkStart w:id="266" w:name="_Toc18064"/>
      <w:bookmarkStart w:id="267" w:name="_Toc23184"/>
      <w:r>
        <w:rPr>
          <w:rFonts w:hint="eastAsia" w:ascii="仿宋" w:hAnsi="仿宋" w:eastAsia="仿宋" w:cs="楷体"/>
          <w:b/>
          <w:color w:val="auto"/>
          <w:sz w:val="32"/>
          <w:szCs w:val="32"/>
          <w:highlight w:val="none"/>
        </w:rPr>
        <w:t>资格证明文件封袋正面标识式样</w:t>
      </w:r>
      <w:bookmarkEnd w:id="265"/>
      <w:bookmarkEnd w:id="266"/>
      <w:bookmarkEnd w:id="267"/>
    </w:p>
    <w:p>
      <w:pPr>
        <w:jc w:val="center"/>
        <w:rPr>
          <w:rFonts w:ascii="仿宋" w:hAnsi="仿宋" w:eastAsia="仿宋" w:cs="楷体"/>
          <w:b/>
          <w:color w:val="auto"/>
          <w:sz w:val="32"/>
          <w:szCs w:val="32"/>
          <w:highlight w:val="none"/>
        </w:rPr>
      </w:pPr>
    </w:p>
    <w:p>
      <w:pPr>
        <w:jc w:val="left"/>
        <w:rPr>
          <w:rFonts w:ascii="仿宋" w:hAnsi="仿宋" w:eastAsia="仿宋" w:cs="楷体"/>
          <w:b/>
          <w:bCs/>
          <w:color w:val="auto"/>
          <w:sz w:val="36"/>
          <w:szCs w:val="36"/>
          <w:highlight w:val="none"/>
        </w:rPr>
      </w:pPr>
      <w:r>
        <w:rPr>
          <w:rFonts w:hint="eastAsia" w:ascii="仿宋" w:hAnsi="仿宋" w:eastAsia="仿宋" w:cs="楷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100330</wp:posOffset>
                </wp:positionV>
                <wp:extent cx="5655310" cy="3279775"/>
                <wp:effectExtent l="19050" t="19050" r="21590" b="34925"/>
                <wp:wrapNone/>
                <wp:docPr id="1" name="文本框 7"/>
                <wp:cNvGraphicFramePr/>
                <a:graphic xmlns:a="http://schemas.openxmlformats.org/drawingml/2006/main">
                  <a:graphicData uri="http://schemas.microsoft.com/office/word/2010/wordprocessingShape">
                    <wps:wsp>
                      <wps:cNvSpPr txBox="1"/>
                      <wps:spPr>
                        <a:xfrm>
                          <a:off x="0" y="0"/>
                          <a:ext cx="5655310" cy="3279775"/>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lang w:eastAsia="zh-CN"/>
                                <w14:textFill>
                                  <w14:solidFill>
                                    <w14:schemeClr w14:val="tx1"/>
                                  </w14:solidFill>
                                </w14:textFill>
                              </w:rPr>
                              <w:t>长信项目管理有限公司</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ind w:firstLine="3202" w:firstLineChars="14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资格证明文件</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磋商供应商名称：（公章）</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封装内容：资格证明文件</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rPr>
                                <w:rFonts w:ascii="仿宋_GB2312" w:eastAsia="仿宋_GB2312"/>
                                <w:szCs w:val="21"/>
                              </w:rPr>
                            </w:pPr>
                          </w:p>
                        </w:txbxContent>
                      </wps:txbx>
                      <wps:bodyPr upright="1"/>
                    </wps:wsp>
                  </a:graphicData>
                </a:graphic>
              </wp:anchor>
            </w:drawing>
          </mc:Choice>
          <mc:Fallback>
            <w:pict>
              <v:shape id="文本框 7" o:spid="_x0000_s1026" o:spt="202" type="#_x0000_t202" style="position:absolute;left:0pt;margin-left:-14.6pt;margin-top:7.9pt;height:258.25pt;width:445.3pt;z-index:251659264;mso-width-relative:page;mso-height-relative:page;" fillcolor="#FFFFFF" filled="t" stroked="t" coordsize="21600,21600" o:gfxdata="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C7IlrZAAAACgEAAA8AAAAAAAAA&#10;AQAgAAAAIgAAAGRycy9kb3ducmV2LnhtbFBLAQIUABQAAAAIAIdO4kBGilt+EAIAAEYEAAAOAAAA&#10;AAAAAAEAIAAAACgBAABkcnMvZTJvRG9jLnhtbFBLBQYAAAAABgAGAFkBAACqBQAAAAA=&#10;">
                <v:fill on="t" focussize="0,0"/>
                <v:stroke weight="3pt" color="#000000" linestyle="thinThin" joinstyle="miter"/>
                <v:imagedata o:title=""/>
                <o:lock v:ext="edit" aspectratio="f"/>
                <v:textbox>
                  <w:txbxContent>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lang w:eastAsia="zh-CN"/>
                          <w14:textFill>
                            <w14:solidFill>
                              <w14:schemeClr w14:val="tx1"/>
                            </w14:solidFill>
                          </w14:textFill>
                        </w:rPr>
                        <w:t>长信项目管理有限公司</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ind w:firstLine="3202" w:firstLineChars="14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资格证明文件</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磋商供应商名称：（公章）</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封装内容：资格证明文件</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rPr>
                          <w:rFonts w:ascii="仿宋_GB2312" w:eastAsia="仿宋_GB2312"/>
                          <w:szCs w:val="21"/>
                        </w:rPr>
                      </w:pPr>
                    </w:p>
                  </w:txbxContent>
                </v:textbox>
              </v:shape>
            </w:pict>
          </mc:Fallback>
        </mc:AlternateContent>
      </w:r>
    </w:p>
    <w:p>
      <w:pPr>
        <w:rPr>
          <w:rFonts w:ascii="仿宋" w:hAnsi="仿宋" w:eastAsia="仿宋" w:cs="楷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distribute"/>
      <w:rPr>
        <w:rFonts w:ascii="宋体" w:cs="宋体"/>
        <w:kern w:val="1"/>
        <w:sz w:val="24"/>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distribute"/>
      <w:rPr>
        <w:rFonts w:ascii="宋体" w:cs="宋体"/>
        <w:kern w:val="1"/>
        <w:sz w:val="24"/>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LHBhY7WAQAAsAMAAA4AAAAAAAAAAQAgAAAA&#10;HwEAAGRycy9lMm9Eb2MueG1sUEsFBgAAAAAGAAYAWQEAAG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pPr>
    <w:r>
      <mc:AlternateContent>
        <mc:Choice Requires="wps">
          <w:drawing>
            <wp:anchor distT="0" distB="0" distL="114300" distR="114300" simplePos="0" relativeHeight="251661312" behindDoc="1" locked="0" layoutInCell="1" allowOverlap="1">
              <wp:simplePos x="0" y="0"/>
              <wp:positionH relativeFrom="page">
                <wp:posOffset>2959735</wp:posOffset>
              </wp:positionH>
              <wp:positionV relativeFrom="page">
                <wp:posOffset>649605</wp:posOffset>
              </wp:positionV>
              <wp:extent cx="1621155" cy="279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621155" cy="279400"/>
                      </a:xfrm>
                      <a:prstGeom prst="rect">
                        <a:avLst/>
                      </a:prstGeom>
                      <a:noFill/>
                      <a:ln>
                        <a:noFill/>
                      </a:ln>
                      <a:effectLst/>
                    </wps:spPr>
                    <wps:txbx>
                      <w:txbxContent>
                        <w:p/>
                      </w:txbxContent>
                    </wps:txbx>
                    <wps:bodyPr lIns="0" tIns="0" rIns="0" bIns="0" upright="1"/>
                  </wps:wsp>
                </a:graphicData>
              </a:graphic>
            </wp:anchor>
          </w:drawing>
        </mc:Choice>
        <mc:Fallback>
          <w:pict>
            <v:shape id="文本框 1" o:spid="_x0000_s1026" o:spt="202" type="#_x0000_t202" style="position:absolute;left:0pt;margin-left:233.05pt;margin-top:51.15pt;height:22pt;width:127.65pt;mso-position-horizontal-relative:page;mso-position-vertical-relative:page;z-index:-251655168;mso-width-relative:page;mso-height-relative:page;" filled="f" stroked="f" coordsize="21600,21600" o:gfxdata="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E4g52QAAAAsBAAAPAAAAAAAAAAEAIAAAACIAAABkcnMvZG93bnJldi54&#10;bWxQSwECFAAUAAAACACHTuJA9fGWOcABAACAAwAADgAAAAAAAAABACAAAAAoAQAAZHJzL2Uyb0Rv&#10;Yy54bWxQSwUGAAAAAAYABgBZAQAAWgUAAAAA&#10;">
              <v:fill on="f" focussize="0,0"/>
              <v:stroke on="f"/>
              <v:imagedata o:title=""/>
              <o:lock v:ext="edit" aspectratio="f"/>
              <v:textbox inset="0mm,0mm,0mm,0mm">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0"/>
        <w:right w:val="none" w:color="auto" w:sz="0" w:space="0"/>
      </w:pBdr>
      <w:ind w:firstLine="1050" w:firstLineChars="500"/>
      <w:jc w:val="left"/>
      <w:rPr>
        <w:rFonts w:hint="eastAsia"/>
        <w:sz w:val="21"/>
        <w:szCs w:val="21"/>
        <w:u w:val="none"/>
        <w:lang w:eastAsia="zh-CN"/>
      </w:rPr>
    </w:pPr>
  </w:p>
  <w:p>
    <w:pPr>
      <w:pStyle w:val="12"/>
      <w:ind w:firstLine="840" w:firstLineChars="300"/>
      <w:rPr>
        <w:rFonts w:hint="default"/>
        <w:sz w:val="28"/>
        <w:szCs w:val="28"/>
        <w:u w:val="single"/>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0"/>
        <w:right w:val="none" w:color="auto" w:sz="0" w:space="0"/>
      </w:pBdr>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8C690"/>
    <w:multiLevelType w:val="singleLevel"/>
    <w:tmpl w:val="9D88C690"/>
    <w:lvl w:ilvl="0" w:tentative="0">
      <w:start w:val="2"/>
      <w:numFmt w:val="chineseCounting"/>
      <w:suff w:val="nothing"/>
      <w:lvlText w:val="（%1）"/>
      <w:lvlJc w:val="left"/>
      <w:rPr>
        <w:rFonts w:hint="eastAsia" w:cs="Times New Roman"/>
      </w:rPr>
    </w:lvl>
  </w:abstractNum>
  <w:abstractNum w:abstractNumId="1">
    <w:nsid w:val="AF74A931"/>
    <w:multiLevelType w:val="singleLevel"/>
    <w:tmpl w:val="AF74A931"/>
    <w:lvl w:ilvl="0" w:tentative="0">
      <w:start w:val="1"/>
      <w:numFmt w:val="chineseCounting"/>
      <w:suff w:val="space"/>
      <w:lvlText w:val="第%1章"/>
      <w:lvlJc w:val="left"/>
      <w:rPr>
        <w:rFonts w:hint="eastAsia" w:cs="Times New Roman"/>
      </w:rPr>
    </w:lvl>
  </w:abstractNum>
  <w:abstractNum w:abstractNumId="2">
    <w:nsid w:val="EB202A68"/>
    <w:multiLevelType w:val="singleLevel"/>
    <w:tmpl w:val="EB202A68"/>
    <w:lvl w:ilvl="0" w:tentative="0">
      <w:start w:val="6"/>
      <w:numFmt w:val="chineseCounting"/>
      <w:suff w:val="nothing"/>
      <w:lvlText w:val="%1、"/>
      <w:lvlJc w:val="left"/>
      <w:rPr>
        <w:rFonts w:hint="eastAsia"/>
      </w:rPr>
    </w:lvl>
  </w:abstractNum>
  <w:abstractNum w:abstractNumId="3">
    <w:nsid w:val="17A68BE2"/>
    <w:multiLevelType w:val="singleLevel"/>
    <w:tmpl w:val="17A68BE2"/>
    <w:lvl w:ilvl="0" w:tentative="0">
      <w:start w:val="4"/>
      <w:numFmt w:val="chineseCounting"/>
      <w:suff w:val="space"/>
      <w:lvlText w:val="第%1章"/>
      <w:lvlJc w:val="left"/>
      <w:rPr>
        <w:rFonts w:hint="eastAsia"/>
      </w:rPr>
    </w:lvl>
  </w:abstractNum>
  <w:abstractNum w:abstractNumId="4">
    <w:nsid w:val="2677D09F"/>
    <w:multiLevelType w:val="singleLevel"/>
    <w:tmpl w:val="2677D09F"/>
    <w:lvl w:ilvl="0" w:tentative="0">
      <w:start w:val="1"/>
      <w:numFmt w:val="decimal"/>
      <w:suff w:val="nothing"/>
      <w:lvlText w:val="%1、"/>
      <w:lvlJc w:val="left"/>
    </w:lvl>
  </w:abstractNum>
  <w:abstractNum w:abstractNumId="5">
    <w:nsid w:val="2B89C35D"/>
    <w:multiLevelType w:val="singleLevel"/>
    <w:tmpl w:val="2B89C35D"/>
    <w:lvl w:ilvl="0" w:tentative="0">
      <w:start w:val="1"/>
      <w:numFmt w:val="decimal"/>
      <w:suff w:val="nothing"/>
      <w:lvlText w:val="%1、"/>
      <w:lvlJc w:val="left"/>
      <w:rPr>
        <w:rFonts w:cs="Times New Roman"/>
      </w:rPr>
    </w:lvl>
  </w:abstractNum>
  <w:abstractNum w:abstractNumId="6">
    <w:nsid w:val="59E48958"/>
    <w:multiLevelType w:val="singleLevel"/>
    <w:tmpl w:val="59E48958"/>
    <w:lvl w:ilvl="0" w:tentative="0">
      <w:start w:val="1"/>
      <w:numFmt w:val="decimal"/>
      <w:suff w:val="nothing"/>
      <w:lvlText w:val="%1、"/>
      <w:lvlJc w:val="left"/>
      <w:rPr>
        <w:rFonts w:cs="Times New Roman"/>
      </w:rPr>
    </w:lvl>
  </w:abstractNum>
  <w:num w:numId="1">
    <w:abstractNumId w:val="1"/>
  </w:num>
  <w:num w:numId="2">
    <w:abstractNumId w:val="2"/>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MzY5ZjcwMGQwOTZjMmUwMmVhNjYxYWZkODU0MDAifQ=="/>
  </w:docVars>
  <w:rsids>
    <w:rsidRoot w:val="5FC0661F"/>
    <w:rsid w:val="024C43F3"/>
    <w:rsid w:val="30FC67E2"/>
    <w:rsid w:val="360016DD"/>
    <w:rsid w:val="3C7E38F1"/>
    <w:rsid w:val="3E520BAE"/>
    <w:rsid w:val="5094035F"/>
    <w:rsid w:val="5FC0661F"/>
    <w:rsid w:val="66BD6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spacing w:before="300" w:after="150" w:line="17" w:lineRule="atLeast"/>
      <w:jc w:val="left"/>
      <w:outlineLvl w:val="0"/>
    </w:pPr>
    <w:rPr>
      <w:rFonts w:ascii="宋体" w:hAnsi="宋体"/>
      <w:b/>
      <w:kern w:val="44"/>
      <w:sz w:val="54"/>
      <w:szCs w:val="54"/>
    </w:rPr>
  </w:style>
  <w:style w:type="paragraph" w:styleId="4">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spacing w:line="320" w:lineRule="exact"/>
      <w:outlineLvl w:val="2"/>
    </w:pPr>
    <w:rPr>
      <w:rFonts w:ascii="楷体_GB2312" w:eastAsia="楷体_GB2312"/>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toa heading"/>
    <w:basedOn w:val="1"/>
    <w:next w:val="1"/>
    <w:semiHidden/>
    <w:qFormat/>
    <w:uiPriority w:val="0"/>
    <w:pPr>
      <w:spacing w:before="120"/>
    </w:pPr>
    <w:rPr>
      <w:rFonts w:ascii="Arial" w:hAnsi="Arial" w:cs="Arial"/>
      <w:sz w:val="24"/>
    </w:rPr>
  </w:style>
  <w:style w:type="paragraph" w:styleId="7">
    <w:name w:val="Salutation"/>
    <w:basedOn w:val="1"/>
    <w:next w:val="1"/>
    <w:qFormat/>
    <w:uiPriority w:val="99"/>
    <w:rPr>
      <w:sz w:val="24"/>
      <w:szCs w:val="20"/>
    </w:rPr>
  </w:style>
  <w:style w:type="paragraph" w:styleId="8">
    <w:name w:val="Body Text"/>
    <w:basedOn w:val="1"/>
    <w:next w:val="1"/>
    <w:qFormat/>
    <w:uiPriority w:val="99"/>
    <w:pPr>
      <w:spacing w:after="120"/>
    </w:pPr>
  </w:style>
  <w:style w:type="paragraph" w:styleId="9">
    <w:name w:val="Body Text Indent"/>
    <w:basedOn w:val="1"/>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10">
    <w:name w:val="Plain Text"/>
    <w:basedOn w:val="1"/>
    <w:qFormat/>
    <w:uiPriority w:val="99"/>
    <w:rPr>
      <w:rFonts w:ascii="宋体" w:hAnsi="宋体"/>
      <w:szCs w:val="21"/>
    </w:rPr>
  </w:style>
  <w:style w:type="paragraph" w:styleId="11">
    <w:name w:val="Body Text Indent 2"/>
    <w:basedOn w:val="1"/>
    <w:qFormat/>
    <w:uiPriority w:val="99"/>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Indent 3"/>
    <w:basedOn w:val="1"/>
    <w:qFormat/>
    <w:uiPriority w:val="99"/>
    <w:pPr>
      <w:autoSpaceDE w:val="0"/>
      <w:autoSpaceDN w:val="0"/>
      <w:adjustRightInd w:val="0"/>
      <w:ind w:firstLine="570"/>
    </w:pPr>
    <w:rPr>
      <w:kern w:val="0"/>
      <w:sz w:val="32"/>
      <w:szCs w:val="32"/>
    </w:rPr>
  </w:style>
  <w:style w:type="paragraph" w:styleId="15">
    <w:name w:val="Body Text 2"/>
    <w:basedOn w:val="1"/>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cs="宋体"/>
      <w:sz w:val="24"/>
    </w:rPr>
  </w:style>
  <w:style w:type="paragraph" w:styleId="17">
    <w:name w:val="Body Text First Indent"/>
    <w:basedOn w:val="8"/>
    <w:next w:val="18"/>
    <w:qFormat/>
    <w:uiPriority w:val="99"/>
    <w:pPr>
      <w:ind w:firstLine="420" w:firstLineChars="100"/>
    </w:pPr>
    <w:rPr>
      <w:rFonts w:ascii="Times New Roman" w:hAnsi="Times New Roman"/>
      <w:sz w:val="18"/>
      <w:szCs w:val="18"/>
    </w:rPr>
  </w:style>
  <w:style w:type="paragraph" w:styleId="18">
    <w:name w:val="Body Text First Indent 2"/>
    <w:basedOn w:val="9"/>
    <w:qFormat/>
    <w:uiPriority w:val="99"/>
    <w:pPr>
      <w:spacing w:after="120" w:line="240" w:lineRule="auto"/>
      <w:ind w:left="420" w:leftChars="200" w:firstLine="420" w:firstLineChars="200"/>
    </w:pPr>
    <w:rPr>
      <w:rFonts w:ascii="Times New Roman" w:hAnsi="Times New Roman"/>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样式 首行缩进:  2 字符"/>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TOC 标题1"/>
    <w:basedOn w:val="3"/>
    <w:next w:val="1"/>
    <w:qFormat/>
    <w:uiPriority w:val="99"/>
    <w:pPr>
      <w:outlineLvl w:val="9"/>
    </w:pPr>
    <w:rPr>
      <w:rFonts w:ascii="Calibri" w:hAnsi="Calibri"/>
    </w:rPr>
  </w:style>
  <w:style w:type="paragraph" w:customStyle="1" w:styleId="25">
    <w:name w:val="1正文"/>
    <w:basedOn w:val="16"/>
    <w:qFormat/>
    <w:uiPriority w:val="99"/>
    <w:pPr>
      <w:spacing w:beforeAutospacing="0" w:afterAutospacing="0" w:line="360" w:lineRule="auto"/>
      <w:ind w:firstLine="960" w:firstLineChars="200"/>
      <w:jc w:val="both"/>
    </w:pPr>
    <w:rPr>
      <w:rFonts w:ascii="Times New Roman" w:hAnsi="Times New Roman" w:cs="Times New Roman"/>
      <w:kern w:val="0"/>
    </w:rPr>
  </w:style>
  <w:style w:type="paragraph" w:customStyle="1" w:styleId="26">
    <w:name w:val="Char1"/>
    <w:basedOn w:val="1"/>
    <w:qFormat/>
    <w:uiPriority w:val="99"/>
    <w:rPr>
      <w:rFonts w:ascii="Times New Roman" w:hAnsi="Times New Roman"/>
      <w:szCs w:val="21"/>
    </w:rPr>
  </w:style>
  <w:style w:type="paragraph" w:customStyle="1" w:styleId="27">
    <w:name w:val="Table Paragraph"/>
    <w:basedOn w:val="1"/>
    <w:qFormat/>
    <w:uiPriority w:val="99"/>
    <w:rPr>
      <w:rFonts w:ascii="宋体" w:hAnsi="宋体" w:cs="宋体"/>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36234</Words>
  <Characters>38300</Characters>
  <Lines>0</Lines>
  <Paragraphs>0</Paragraphs>
  <TotalTime>22</TotalTime>
  <ScaleCrop>false</ScaleCrop>
  <LinksUpToDate>false</LinksUpToDate>
  <CharactersWithSpaces>40826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2022-06-09T07:57:00Z</dcterms:created>
  <dc:creator>zkwyuser</dc:creator>
  <cp:lastModifiedBy>zkwyuser</cp:lastModifiedBy>
  <dcterms:modified xsi:type="dcterms:W3CDTF">2022-06-23T04:04:44Z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87B890D86CA04F8FAF3E50001C9C6274</vt:lpwstr>
  </property>
</Properties>
</file>