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left" w:pos="6154"/>
        </w:tabs>
        <w:kinsoku w:val="0"/>
        <w:overflowPunct w:val="0"/>
        <w:spacing w:after="0" w:line="360" w:lineRule="auto"/>
        <w:jc w:val="right"/>
        <w:rPr>
          <w:rFonts w:hint="eastAsia" w:ascii="仿宋" w:hAnsi="仿宋" w:eastAsia="仿宋" w:cs="仿宋"/>
          <w:b/>
          <w:color w:val="auto"/>
          <w:sz w:val="56"/>
          <w:szCs w:val="28"/>
          <w:lang w:eastAsia="zh-CN"/>
        </w:rPr>
      </w:pPr>
      <w:r>
        <w:rPr>
          <w:color w:val="auto"/>
          <w:sz w:val="20"/>
          <w:szCs w:val="24"/>
        </w:rPr>
        <w:drawing>
          <wp:anchor distT="0" distB="0" distL="114300" distR="114300" simplePos="0" relativeHeight="251667456" behindDoc="0" locked="0" layoutInCell="1" allowOverlap="1">
            <wp:simplePos x="0" y="0"/>
            <wp:positionH relativeFrom="column">
              <wp:posOffset>95885</wp:posOffset>
            </wp:positionH>
            <wp:positionV relativeFrom="paragraph">
              <wp:posOffset>-132080</wp:posOffset>
            </wp:positionV>
            <wp:extent cx="1337310" cy="869950"/>
            <wp:effectExtent l="0" t="0" r="1524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1337310" cy="869950"/>
                    </a:xfrm>
                    <a:prstGeom prst="rect">
                      <a:avLst/>
                    </a:prstGeom>
                    <a:noFill/>
                    <a:ln>
                      <a:noFill/>
                    </a:ln>
                  </pic:spPr>
                </pic:pic>
              </a:graphicData>
            </a:graphic>
          </wp:anchor>
        </w:drawing>
      </w:r>
      <w:r>
        <w:rPr>
          <w:rFonts w:hint="eastAsia" w:ascii="仿宋" w:hAnsi="仿宋" w:eastAsia="仿宋" w:cs="仿宋"/>
          <w:b/>
          <w:color w:val="auto"/>
          <w:sz w:val="44"/>
          <w:szCs w:val="21"/>
          <w:shd w:val="clear" w:color="FFFFFF" w:fill="D9D9D9"/>
          <w:lang w:eastAsia="zh-CN"/>
        </w:rPr>
        <w:t>政府采购</w:t>
      </w:r>
      <w:r>
        <w:rPr>
          <w:rFonts w:hint="eastAsia" w:ascii="仿宋" w:hAnsi="仿宋" w:eastAsia="仿宋" w:cs="仿宋"/>
          <w:b/>
          <w:color w:val="auto"/>
          <w:sz w:val="56"/>
          <w:szCs w:val="28"/>
          <w:lang w:eastAsia="zh-CN"/>
        </w:rPr>
        <w:t xml:space="preserve">   </w:t>
      </w:r>
    </w:p>
    <w:p>
      <w:pPr>
        <w:pStyle w:val="14"/>
        <w:tabs>
          <w:tab w:val="left" w:pos="6154"/>
        </w:tabs>
        <w:kinsoku w:val="0"/>
        <w:overflowPunct w:val="0"/>
        <w:spacing w:after="0" w:line="240" w:lineRule="auto"/>
        <w:jc w:val="center"/>
        <w:rPr>
          <w:rFonts w:hint="eastAsia" w:ascii="仿宋" w:hAnsi="仿宋" w:eastAsia="仿宋" w:cs="仿宋"/>
          <w:b/>
          <w:color w:val="auto"/>
          <w:w w:val="95"/>
          <w:sz w:val="72"/>
          <w:szCs w:val="32"/>
          <w:lang w:eastAsia="zh-CN"/>
        </w:rPr>
      </w:pPr>
    </w:p>
    <w:p>
      <w:pPr>
        <w:pStyle w:val="14"/>
        <w:tabs>
          <w:tab w:val="left" w:pos="6154"/>
        </w:tabs>
        <w:kinsoku w:val="0"/>
        <w:overflowPunct w:val="0"/>
        <w:spacing w:after="0" w:line="360" w:lineRule="auto"/>
        <w:jc w:val="left"/>
        <w:rPr>
          <w:rFonts w:hint="eastAsia" w:ascii="仿宋" w:hAnsi="仿宋" w:eastAsia="仿宋" w:cs="仿宋"/>
          <w:b/>
          <w:color w:val="auto"/>
          <w:w w:val="95"/>
          <w:sz w:val="28"/>
          <w:szCs w:val="15"/>
          <w:lang w:eastAsia="zh-CN"/>
        </w:rPr>
      </w:pPr>
    </w:p>
    <w:p>
      <w:pPr>
        <w:pStyle w:val="14"/>
        <w:keepNext w:val="0"/>
        <w:keepLines w:val="0"/>
        <w:pageBreakBefore w:val="0"/>
        <w:widowControl w:val="0"/>
        <w:tabs>
          <w:tab w:val="left" w:pos="6154"/>
        </w:tabs>
        <w:kinsoku w:val="0"/>
        <w:wordWrap/>
        <w:overflowPunct w:val="0"/>
        <w:topLinePunct w:val="0"/>
        <w:autoSpaceDE/>
        <w:autoSpaceDN/>
        <w:bidi w:val="0"/>
        <w:adjustRightInd/>
        <w:snapToGrid/>
        <w:spacing w:after="0" w:line="1000" w:lineRule="exact"/>
        <w:jc w:val="center"/>
        <w:textAlignment w:val="auto"/>
        <w:rPr>
          <w:rFonts w:hint="eastAsia" w:ascii="仿宋" w:hAnsi="仿宋" w:eastAsia="仿宋" w:cs="仿宋"/>
          <w:b/>
          <w:color w:val="auto"/>
          <w:sz w:val="56"/>
          <w:szCs w:val="28"/>
        </w:rPr>
      </w:pPr>
      <w:r>
        <w:rPr>
          <w:rFonts w:hint="eastAsia" w:ascii="仿宋" w:hAnsi="仿宋" w:eastAsia="仿宋" w:cs="仿宋"/>
          <w:b/>
          <w:color w:val="auto"/>
          <w:w w:val="95"/>
          <w:sz w:val="72"/>
          <w:szCs w:val="32"/>
          <w:lang w:eastAsia="zh-CN"/>
        </w:rPr>
        <w:t>汉中市南郑区阳春镇基础设施建设项目</w:t>
      </w:r>
    </w:p>
    <w:p>
      <w:pPr>
        <w:pStyle w:val="14"/>
        <w:tabs>
          <w:tab w:val="left" w:pos="6154"/>
        </w:tabs>
        <w:kinsoku w:val="0"/>
        <w:overflowPunct w:val="0"/>
        <w:spacing w:after="0" w:line="360" w:lineRule="auto"/>
        <w:jc w:val="center"/>
        <w:rPr>
          <w:rFonts w:hint="eastAsia" w:ascii="仿宋" w:hAnsi="仿宋" w:eastAsia="仿宋" w:cs="仿宋"/>
          <w:b/>
          <w:color w:val="auto"/>
          <w:sz w:val="40"/>
          <w:szCs w:val="20"/>
        </w:rPr>
      </w:pPr>
    </w:p>
    <w:p>
      <w:pPr>
        <w:pStyle w:val="14"/>
        <w:tabs>
          <w:tab w:val="left" w:pos="6154"/>
        </w:tabs>
        <w:kinsoku w:val="0"/>
        <w:overflowPunct w:val="0"/>
        <w:spacing w:after="0" w:line="360" w:lineRule="auto"/>
        <w:jc w:val="center"/>
        <w:rPr>
          <w:rFonts w:hint="eastAsia" w:ascii="仿宋" w:hAnsi="仿宋" w:eastAsia="仿宋" w:cs="仿宋"/>
          <w:b/>
          <w:color w:val="auto"/>
          <w:sz w:val="72"/>
          <w:szCs w:val="32"/>
        </w:rPr>
      </w:pPr>
      <w:r>
        <w:rPr>
          <w:rFonts w:hint="eastAsia" w:ascii="仿宋" w:hAnsi="仿宋" w:eastAsia="仿宋" w:cs="仿宋"/>
          <w:b/>
          <w:color w:val="auto"/>
          <w:sz w:val="72"/>
          <w:szCs w:val="32"/>
        </w:rPr>
        <w:t>竞争性磋商文件</w:t>
      </w:r>
    </w:p>
    <w:p>
      <w:pPr>
        <w:pStyle w:val="14"/>
        <w:rPr>
          <w:rFonts w:hint="eastAsia"/>
        </w:rPr>
      </w:pPr>
    </w:p>
    <w:p>
      <w:pPr>
        <w:pStyle w:val="14"/>
        <w:tabs>
          <w:tab w:val="left" w:pos="6154"/>
        </w:tabs>
        <w:kinsoku w:val="0"/>
        <w:overflowPunct w:val="0"/>
        <w:spacing w:after="0" w:line="360" w:lineRule="auto"/>
        <w:jc w:val="center"/>
        <w:rPr>
          <w:rFonts w:hint="eastAsia" w:ascii="仿宋" w:hAnsi="仿宋" w:eastAsia="仿宋" w:cs="仿宋"/>
          <w:b/>
          <w:color w:val="auto"/>
          <w:sz w:val="21"/>
          <w:szCs w:val="20"/>
        </w:rPr>
      </w:pPr>
    </w:p>
    <w:p>
      <w:pPr>
        <w:pStyle w:val="14"/>
        <w:tabs>
          <w:tab w:val="left" w:pos="6154"/>
        </w:tabs>
        <w:kinsoku w:val="0"/>
        <w:overflowPunct w:val="0"/>
        <w:spacing w:after="0" w:line="360" w:lineRule="auto"/>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（采购项目编号：HXGC-HWD-南郑县-2022-00344</w:t>
      </w:r>
      <w:r>
        <w:rPr>
          <w:rFonts w:hint="eastAsia" w:ascii="仿宋" w:hAnsi="仿宋" w:eastAsia="仿宋" w:cs="仿宋"/>
          <w:b/>
          <w:color w:val="auto"/>
          <w:sz w:val="32"/>
          <w:szCs w:val="28"/>
          <w:lang w:val="en-US" w:eastAsia="zh-CN"/>
        </w:rPr>
        <w:t xml:space="preserve"> </w:t>
      </w:r>
      <w:r>
        <w:rPr>
          <w:rFonts w:hint="eastAsia" w:ascii="仿宋" w:hAnsi="仿宋" w:eastAsia="仿宋" w:cs="仿宋"/>
          <w:b/>
          <w:color w:val="auto"/>
          <w:sz w:val="32"/>
          <w:szCs w:val="28"/>
        </w:rPr>
        <w:t>）</w:t>
      </w:r>
    </w:p>
    <w:p>
      <w:pPr>
        <w:pStyle w:val="14"/>
        <w:tabs>
          <w:tab w:val="left" w:pos="6154"/>
        </w:tabs>
        <w:kinsoku w:val="0"/>
        <w:overflowPunct w:val="0"/>
        <w:spacing w:after="0" w:line="360" w:lineRule="auto"/>
        <w:jc w:val="both"/>
        <w:rPr>
          <w:rFonts w:hint="eastAsia" w:ascii="仿宋" w:hAnsi="仿宋" w:eastAsia="仿宋" w:cs="仿宋"/>
          <w:b/>
          <w:color w:val="auto"/>
          <w:sz w:val="24"/>
          <w:szCs w:val="21"/>
        </w:rPr>
      </w:pPr>
    </w:p>
    <w:p>
      <w:pPr>
        <w:pStyle w:val="14"/>
        <w:rPr>
          <w:rFonts w:hint="eastAsia"/>
        </w:rPr>
      </w:pPr>
    </w:p>
    <w:p>
      <w:pPr>
        <w:pStyle w:val="14"/>
        <w:tabs>
          <w:tab w:val="left" w:pos="6154"/>
        </w:tabs>
        <w:kinsoku w:val="0"/>
        <w:overflowPunct w:val="0"/>
        <w:spacing w:after="0" w:line="360" w:lineRule="auto"/>
        <w:ind w:firstLine="317" w:firstLineChars="100"/>
        <w:jc w:val="both"/>
        <w:rPr>
          <w:rFonts w:hint="eastAsia" w:ascii="仿宋" w:hAnsi="仿宋" w:eastAsia="仿宋" w:cs="仿宋"/>
          <w:b/>
          <w:color w:val="auto"/>
          <w:w w:val="88"/>
          <w:sz w:val="36"/>
          <w:szCs w:val="28"/>
        </w:rPr>
      </w:pPr>
    </w:p>
    <w:p>
      <w:pPr>
        <w:pStyle w:val="14"/>
        <w:tabs>
          <w:tab w:val="left" w:pos="6154"/>
        </w:tabs>
        <w:kinsoku w:val="0"/>
        <w:overflowPunct w:val="0"/>
        <w:spacing w:after="0" w:line="360" w:lineRule="auto"/>
        <w:ind w:firstLine="361" w:firstLineChars="100"/>
        <w:jc w:val="both"/>
        <w:rPr>
          <w:rFonts w:hint="eastAsia" w:ascii="仿宋" w:hAnsi="仿宋" w:eastAsia="仿宋" w:cs="仿宋"/>
          <w:b/>
          <w:color w:val="auto"/>
          <w:sz w:val="36"/>
          <w:szCs w:val="28"/>
          <w:u w:val="none"/>
          <w:lang w:eastAsia="zh-CN"/>
        </w:rPr>
      </w:pPr>
      <w:r>
        <w:rPr>
          <w:rFonts w:hint="eastAsia" w:ascii="仿宋" w:hAnsi="仿宋" w:eastAsia="仿宋" w:cs="仿宋"/>
          <w:b/>
          <w:color w:val="auto"/>
          <w:w w:val="100"/>
          <w:sz w:val="36"/>
          <w:szCs w:val="28"/>
        </w:rPr>
        <w:t>采</w:t>
      </w:r>
      <w:r>
        <w:rPr>
          <w:rFonts w:hint="eastAsia" w:ascii="仿宋" w:hAnsi="仿宋" w:eastAsia="仿宋" w:cs="仿宋"/>
          <w:b/>
          <w:color w:val="auto"/>
          <w:w w:val="100"/>
          <w:sz w:val="36"/>
          <w:szCs w:val="28"/>
          <w:lang w:val="en-US" w:eastAsia="zh-CN"/>
        </w:rPr>
        <w:t xml:space="preserve">  </w:t>
      </w:r>
      <w:r>
        <w:rPr>
          <w:rFonts w:hint="eastAsia" w:ascii="仿宋" w:hAnsi="仿宋" w:eastAsia="仿宋" w:cs="仿宋"/>
          <w:b/>
          <w:color w:val="auto"/>
          <w:w w:val="100"/>
          <w:sz w:val="36"/>
          <w:szCs w:val="28"/>
        </w:rPr>
        <w:t>购</w:t>
      </w:r>
      <w:r>
        <w:rPr>
          <w:rFonts w:hint="eastAsia" w:ascii="仿宋" w:hAnsi="仿宋" w:eastAsia="仿宋" w:cs="仿宋"/>
          <w:b/>
          <w:color w:val="auto"/>
          <w:w w:val="100"/>
          <w:sz w:val="36"/>
          <w:szCs w:val="28"/>
          <w:lang w:val="en-US" w:eastAsia="zh-CN"/>
        </w:rPr>
        <w:t xml:space="preserve">  </w:t>
      </w:r>
      <w:r>
        <w:rPr>
          <w:rFonts w:hint="eastAsia" w:ascii="仿宋" w:hAnsi="仿宋" w:eastAsia="仿宋" w:cs="仿宋"/>
          <w:b/>
          <w:color w:val="auto"/>
          <w:w w:val="100"/>
          <w:sz w:val="36"/>
          <w:szCs w:val="28"/>
        </w:rPr>
        <w:t>人：</w:t>
      </w:r>
      <w:r>
        <w:rPr>
          <w:rFonts w:hint="eastAsia" w:ascii="仿宋" w:hAnsi="仿宋" w:eastAsia="仿宋" w:cs="仿宋"/>
          <w:b/>
          <w:color w:val="auto"/>
          <w:w w:val="100"/>
          <w:sz w:val="36"/>
          <w:szCs w:val="28"/>
          <w:u w:val="single"/>
          <w:lang w:eastAsia="zh-CN"/>
        </w:rPr>
        <w:t>汉中市南郑区阳春镇人民政府</w:t>
      </w:r>
      <w:r>
        <w:rPr>
          <w:rFonts w:hint="eastAsia" w:ascii="仿宋" w:hAnsi="仿宋" w:eastAsia="仿宋" w:cs="仿宋"/>
          <w:b/>
          <w:color w:val="auto"/>
          <w:w w:val="88"/>
          <w:sz w:val="36"/>
          <w:szCs w:val="28"/>
          <w:u w:val="none"/>
          <w:lang w:eastAsia="zh-CN"/>
        </w:rPr>
        <w:t>（盖章）</w:t>
      </w:r>
    </w:p>
    <w:p>
      <w:pPr>
        <w:pStyle w:val="14"/>
        <w:tabs>
          <w:tab w:val="left" w:pos="6154"/>
        </w:tabs>
        <w:kinsoku w:val="0"/>
        <w:overflowPunct w:val="0"/>
        <w:spacing w:after="0" w:line="360" w:lineRule="auto"/>
        <w:jc w:val="both"/>
        <w:rPr>
          <w:rFonts w:hint="eastAsia" w:ascii="仿宋" w:hAnsi="仿宋" w:eastAsia="仿宋" w:cs="仿宋"/>
          <w:b/>
          <w:color w:val="auto"/>
          <w:sz w:val="56"/>
          <w:szCs w:val="48"/>
        </w:rPr>
      </w:pPr>
    </w:p>
    <w:p>
      <w:pPr>
        <w:rPr>
          <w:rFonts w:hint="eastAsia"/>
          <w:color w:val="auto"/>
          <w:sz w:val="2"/>
          <w:szCs w:val="6"/>
        </w:rPr>
      </w:pPr>
    </w:p>
    <w:p>
      <w:pPr>
        <w:rPr>
          <w:rFonts w:hint="eastAsia"/>
          <w:color w:val="auto"/>
        </w:rPr>
      </w:pPr>
    </w:p>
    <w:p>
      <w:pPr>
        <w:rPr>
          <w:rFonts w:hint="eastAsia" w:ascii="仿宋" w:hAnsi="仿宋" w:eastAsia="仿宋" w:cs="仿宋"/>
          <w:color w:val="auto"/>
        </w:rPr>
      </w:pPr>
    </w:p>
    <w:p>
      <w:pPr>
        <w:pStyle w:val="14"/>
        <w:tabs>
          <w:tab w:val="left" w:pos="6154"/>
        </w:tabs>
        <w:kinsoku w:val="0"/>
        <w:overflowPunct w:val="0"/>
        <w:spacing w:after="0" w:line="360" w:lineRule="auto"/>
        <w:ind w:left="0" w:leftChars="0" w:firstLine="220" w:firstLineChars="61"/>
        <w:jc w:val="center"/>
        <w:rPr>
          <w:rFonts w:hint="eastAsia" w:ascii="仿宋" w:hAnsi="仿宋" w:eastAsia="仿宋" w:cs="仿宋"/>
          <w:b/>
          <w:color w:val="auto"/>
          <w:sz w:val="36"/>
          <w:szCs w:val="28"/>
          <w:lang w:eastAsia="zh-CN"/>
        </w:rPr>
      </w:pPr>
      <w:r>
        <w:rPr>
          <w:rFonts w:hint="eastAsia" w:ascii="仿宋" w:hAnsi="仿宋" w:eastAsia="仿宋" w:cs="仿宋"/>
          <w:b/>
          <w:color w:val="auto"/>
          <w:sz w:val="36"/>
          <w:szCs w:val="28"/>
        </w:rPr>
        <w:t>采购代理机构：</w:t>
      </w:r>
      <w:r>
        <w:rPr>
          <w:rFonts w:hint="eastAsia" w:ascii="仿宋" w:hAnsi="仿宋" w:eastAsia="仿宋" w:cs="仿宋"/>
          <w:b/>
          <w:color w:val="auto"/>
          <w:sz w:val="36"/>
          <w:szCs w:val="28"/>
          <w:u w:val="single"/>
          <w:lang w:eastAsia="zh-CN"/>
        </w:rPr>
        <w:t>陕西华兴工程咨询有限公司</w:t>
      </w:r>
      <w:r>
        <w:rPr>
          <w:rFonts w:hint="eastAsia" w:ascii="仿宋" w:hAnsi="仿宋" w:eastAsia="仿宋" w:cs="仿宋"/>
          <w:b/>
          <w:color w:val="auto"/>
          <w:sz w:val="36"/>
          <w:szCs w:val="28"/>
          <w:lang w:eastAsia="zh-CN"/>
        </w:rPr>
        <w:t>（盖章）</w:t>
      </w:r>
    </w:p>
    <w:p>
      <w:pPr>
        <w:pStyle w:val="14"/>
        <w:tabs>
          <w:tab w:val="left" w:pos="6154"/>
        </w:tabs>
        <w:kinsoku w:val="0"/>
        <w:overflowPunct w:val="0"/>
        <w:spacing w:after="0" w:line="360" w:lineRule="auto"/>
        <w:ind w:left="0" w:leftChars="0" w:firstLine="220" w:firstLineChars="61"/>
        <w:jc w:val="center"/>
        <w:rPr>
          <w:rFonts w:hint="eastAsia" w:ascii="仿宋" w:hAnsi="仿宋" w:eastAsia="仿宋" w:cs="仿宋"/>
          <w:color w:val="auto"/>
        </w:rPr>
      </w:pPr>
      <w:r>
        <w:rPr>
          <w:rFonts w:hint="eastAsia" w:ascii="仿宋" w:hAnsi="仿宋" w:eastAsia="仿宋" w:cs="仿宋"/>
          <w:b/>
          <w:color w:val="auto"/>
          <w:sz w:val="36"/>
          <w:szCs w:val="28"/>
        </w:rPr>
        <w:t>二〇二</w:t>
      </w:r>
      <w:r>
        <w:rPr>
          <w:rFonts w:hint="eastAsia" w:ascii="仿宋" w:hAnsi="仿宋" w:eastAsia="仿宋" w:cs="仿宋"/>
          <w:b/>
          <w:color w:val="auto"/>
          <w:sz w:val="36"/>
          <w:szCs w:val="28"/>
          <w:lang w:eastAsia="zh-CN"/>
        </w:rPr>
        <w:t>二</w:t>
      </w:r>
      <w:r>
        <w:rPr>
          <w:rFonts w:hint="eastAsia" w:ascii="仿宋" w:hAnsi="仿宋" w:eastAsia="仿宋" w:cs="仿宋"/>
          <w:b/>
          <w:color w:val="auto"/>
          <w:sz w:val="36"/>
          <w:szCs w:val="28"/>
        </w:rPr>
        <w:t>年</w:t>
      </w:r>
      <w:r>
        <w:rPr>
          <w:rFonts w:hint="eastAsia" w:ascii="仿宋" w:hAnsi="仿宋" w:eastAsia="仿宋" w:cs="仿宋"/>
          <w:b/>
          <w:color w:val="auto"/>
          <w:sz w:val="36"/>
          <w:szCs w:val="28"/>
          <w:lang w:eastAsia="zh-CN"/>
        </w:rPr>
        <w:t>七</w:t>
      </w:r>
      <w:r>
        <w:rPr>
          <w:rFonts w:hint="eastAsia" w:ascii="仿宋" w:hAnsi="仿宋" w:eastAsia="仿宋" w:cs="仿宋"/>
          <w:b/>
          <w:color w:val="auto"/>
          <w:sz w:val="36"/>
          <w:szCs w:val="28"/>
        </w:rPr>
        <w:t>月</w:t>
      </w:r>
    </w:p>
    <w:p>
      <w:pPr>
        <w:pStyle w:val="85"/>
        <w:jc w:val="center"/>
        <w:rPr>
          <w:rFonts w:hint="eastAsia" w:ascii="仿宋" w:hAnsi="仿宋" w:eastAsia="仿宋" w:cs="仿宋"/>
          <w:color w:val="auto"/>
          <w:sz w:val="48"/>
          <w:lang w:val="zh-CN"/>
        </w:rPr>
      </w:pPr>
      <w:r>
        <w:rPr>
          <w:rFonts w:hint="eastAsia" w:ascii="仿宋" w:hAnsi="仿宋" w:eastAsia="仿宋" w:cs="仿宋"/>
          <w:color w:val="auto"/>
          <w:sz w:val="48"/>
          <w:lang w:val="zh-CN"/>
        </w:rPr>
        <w:t xml:space="preserve">目 </w:t>
      </w:r>
      <w:r>
        <w:rPr>
          <w:rFonts w:hint="eastAsia" w:ascii="仿宋" w:hAnsi="仿宋" w:eastAsia="仿宋" w:cs="仿宋"/>
          <w:color w:val="auto"/>
          <w:sz w:val="48"/>
          <w:lang w:val="en-US" w:eastAsia="zh-CN"/>
        </w:rPr>
        <w:t xml:space="preserve"> </w:t>
      </w:r>
      <w:r>
        <w:rPr>
          <w:rFonts w:hint="eastAsia" w:ascii="仿宋" w:hAnsi="仿宋" w:eastAsia="仿宋" w:cs="仿宋"/>
          <w:color w:val="auto"/>
          <w:sz w:val="48"/>
          <w:lang w:val="zh-CN"/>
        </w:rPr>
        <w:t xml:space="preserve"> 录</w:t>
      </w:r>
    </w:p>
    <w:p>
      <w:pPr>
        <w:pStyle w:val="14"/>
        <w:rPr>
          <w:rFonts w:hint="default" w:eastAsia="仿宋"/>
          <w:color w:val="auto"/>
          <w:lang w:val="en-US" w:eastAsia="zh-CN"/>
        </w:rPr>
      </w:pPr>
      <w:r>
        <w:rPr>
          <w:rFonts w:hint="eastAsia" w:ascii="仿宋" w:hAnsi="仿宋" w:eastAsia="仿宋" w:cs="仿宋"/>
          <w:color w:val="auto"/>
          <w:sz w:val="48"/>
          <w:lang w:val="en-US" w:eastAsia="zh-CN"/>
        </w:rPr>
        <w:t xml:space="preserve">                                                                                                                                                                                                                                                                                                                                                                                                                                                          </w:t>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TOC \o "1-3" \h \z \u </w:instrText>
      </w:r>
      <w:r>
        <w:rPr>
          <w:rFonts w:hint="eastAsia" w:ascii="仿宋" w:hAnsi="仿宋" w:eastAsia="仿宋" w:cs="仿宋"/>
          <w:b/>
          <w:color w:val="auto"/>
          <w:sz w:val="28"/>
          <w:szCs w:val="28"/>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"_Toc78884377"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第一章</w:t>
      </w:r>
      <w:r>
        <w:rPr>
          <w:rFonts w:hint="eastAsia" w:ascii="仿宋" w:hAnsi="仿宋" w:eastAsia="仿宋" w:cs="仿宋"/>
          <w:color w:val="auto"/>
          <w:szCs w:val="22"/>
        </w:rPr>
        <w:tab/>
      </w:r>
      <w:r>
        <w:rPr>
          <w:rStyle w:val="36"/>
          <w:rFonts w:hint="eastAsia" w:ascii="仿宋" w:hAnsi="仿宋" w:eastAsia="仿宋" w:cs="仿宋"/>
          <w:b/>
          <w:color w:val="auto"/>
          <w:spacing w:val="-20"/>
        </w:rPr>
        <w:t>竞争性磋商公告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_Toc78884378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"_Toc78884378"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第二章</w:t>
      </w:r>
      <w:r>
        <w:rPr>
          <w:rFonts w:hint="eastAsia" w:ascii="仿宋" w:hAnsi="仿宋" w:eastAsia="仿宋" w:cs="仿宋"/>
          <w:color w:val="auto"/>
          <w:szCs w:val="22"/>
        </w:rPr>
        <w:tab/>
      </w:r>
      <w:r>
        <w:rPr>
          <w:rStyle w:val="36"/>
          <w:rFonts w:hint="eastAsia" w:ascii="仿宋" w:hAnsi="仿宋" w:eastAsia="仿宋" w:cs="仿宋"/>
          <w:b/>
          <w:color w:val="auto"/>
          <w:spacing w:val="-20"/>
        </w:rPr>
        <w:t>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_Toc78884378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"_Toc78884379"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第三章</w:t>
      </w:r>
      <w:r>
        <w:rPr>
          <w:rFonts w:hint="eastAsia" w:ascii="仿宋" w:hAnsi="仿宋" w:eastAsia="仿宋" w:cs="仿宋"/>
          <w:color w:val="auto"/>
          <w:szCs w:val="22"/>
        </w:rPr>
        <w:tab/>
      </w:r>
      <w:r>
        <w:rPr>
          <w:rStyle w:val="36"/>
          <w:rFonts w:hint="eastAsia" w:ascii="仿宋" w:hAnsi="仿宋" w:eastAsia="仿宋" w:cs="仿宋"/>
          <w:b/>
          <w:color w:val="auto"/>
          <w:spacing w:val="-20"/>
        </w:rPr>
        <w:t>评审办法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_Toc78884379 \h </w:instrText>
      </w:r>
      <w:r>
        <w:rPr>
          <w:rFonts w:hint="eastAsia" w:ascii="仿宋" w:hAnsi="仿宋" w:eastAsia="仿宋" w:cs="仿宋"/>
          <w:color w:val="auto"/>
        </w:rPr>
        <w:fldChar w:fldCharType="separate"/>
      </w:r>
      <w:r>
        <w:rPr>
          <w:rFonts w:hint="eastAsia" w:ascii="仿宋" w:hAnsi="仿宋" w:eastAsia="仿宋" w:cs="仿宋"/>
          <w:color w:val="auto"/>
        </w:rPr>
        <w:t>- 26 -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"_Toc78884380"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第四章</w:t>
      </w:r>
      <w:r>
        <w:rPr>
          <w:rFonts w:hint="eastAsia" w:ascii="仿宋" w:hAnsi="仿宋" w:eastAsia="仿宋" w:cs="仿宋"/>
          <w:color w:val="auto"/>
          <w:szCs w:val="22"/>
        </w:rPr>
        <w:tab/>
      </w:r>
      <w:r>
        <w:rPr>
          <w:rStyle w:val="36"/>
          <w:rFonts w:hint="eastAsia" w:ascii="仿宋" w:hAnsi="仿宋" w:eastAsia="仿宋" w:cs="仿宋"/>
          <w:b/>
          <w:color w:val="auto"/>
          <w:spacing w:val="-20"/>
          <w:lang w:eastAsia="zh-CN"/>
        </w:rPr>
        <w:t>采购内容及商务要求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_Toc78884380 \h </w:instrText>
      </w:r>
      <w:r>
        <w:rPr>
          <w:rFonts w:hint="eastAsia" w:ascii="仿宋" w:hAnsi="仿宋" w:eastAsia="仿宋" w:cs="仿宋"/>
          <w:color w:val="auto"/>
        </w:rPr>
        <w:fldChar w:fldCharType="separate"/>
      </w:r>
      <w:r>
        <w:rPr>
          <w:rFonts w:hint="eastAsia" w:ascii="仿宋" w:hAnsi="仿宋" w:eastAsia="仿宋" w:cs="仿宋"/>
          <w:color w:val="auto"/>
        </w:rPr>
        <w:t>- 39 -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"_Toc78884381"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第五章</w:t>
      </w:r>
      <w:r>
        <w:rPr>
          <w:rFonts w:hint="eastAsia" w:ascii="仿宋" w:hAnsi="仿宋" w:eastAsia="仿宋" w:cs="仿宋"/>
          <w:color w:val="auto"/>
          <w:szCs w:val="22"/>
        </w:rPr>
        <w:tab/>
      </w:r>
      <w:r>
        <w:rPr>
          <w:rStyle w:val="36"/>
          <w:rFonts w:hint="eastAsia" w:ascii="仿宋" w:hAnsi="仿宋" w:eastAsia="仿宋" w:cs="仿宋"/>
          <w:b/>
          <w:color w:val="auto"/>
          <w:spacing w:val="-20"/>
        </w:rPr>
        <w:t>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_Toc78884381 \h </w:instrText>
      </w:r>
      <w:r>
        <w:rPr>
          <w:rFonts w:hint="eastAsia" w:ascii="仿宋" w:hAnsi="仿宋" w:eastAsia="仿宋" w:cs="仿宋"/>
          <w:color w:val="auto"/>
        </w:rPr>
        <w:fldChar w:fldCharType="separate"/>
      </w:r>
      <w:r>
        <w:rPr>
          <w:rFonts w:hint="eastAsia" w:ascii="仿宋" w:hAnsi="仿宋" w:eastAsia="仿宋" w:cs="仿宋"/>
          <w:color w:val="auto"/>
        </w:rPr>
        <w:t>- 50 -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"_Toc78884382" </w:instrText>
      </w:r>
      <w:r>
        <w:rPr>
          <w:rFonts w:hint="eastAsia" w:ascii="仿宋" w:hAnsi="仿宋" w:eastAsia="仿宋" w:cs="仿宋"/>
          <w:color w:val="auto"/>
        </w:rPr>
        <w:fldChar w:fldCharType="separate"/>
      </w:r>
      <w:r>
        <w:rPr>
          <w:rStyle w:val="36"/>
          <w:rFonts w:hint="eastAsia" w:ascii="仿宋" w:hAnsi="仿宋" w:eastAsia="仿宋" w:cs="仿宋"/>
          <w:b/>
          <w:color w:val="auto"/>
          <w:spacing w:val="-20"/>
        </w:rPr>
        <w:t>第六章</w:t>
      </w:r>
      <w:r>
        <w:rPr>
          <w:rFonts w:hint="eastAsia" w:ascii="仿宋" w:hAnsi="仿宋" w:eastAsia="仿宋" w:cs="仿宋"/>
          <w:color w:val="auto"/>
          <w:szCs w:val="22"/>
        </w:rPr>
        <w:tab/>
      </w:r>
      <w:r>
        <w:rPr>
          <w:rStyle w:val="36"/>
          <w:rFonts w:hint="eastAsia" w:ascii="仿宋" w:hAnsi="仿宋" w:eastAsia="仿宋" w:cs="仿宋"/>
          <w:b/>
          <w:color w:val="auto"/>
          <w:spacing w:val="-20"/>
        </w:rPr>
        <w:t>响应文件格式及构成</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_Toc78884382 \h </w:instrText>
      </w:r>
      <w:r>
        <w:rPr>
          <w:rFonts w:hint="eastAsia" w:ascii="仿宋" w:hAnsi="仿宋" w:eastAsia="仿宋" w:cs="仿宋"/>
          <w:color w:val="auto"/>
        </w:rPr>
        <w:fldChar w:fldCharType="separate"/>
      </w:r>
      <w:r>
        <w:rPr>
          <w:rFonts w:hint="eastAsia" w:ascii="仿宋" w:hAnsi="仿宋" w:eastAsia="仿宋" w:cs="仿宋"/>
          <w:color w:val="auto"/>
        </w:rPr>
        <w:t>- 54 -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"_Toc78884383" </w:instrText>
      </w:r>
      <w:r>
        <w:rPr>
          <w:rFonts w:hint="eastAsia" w:ascii="仿宋" w:hAnsi="仿宋" w:eastAsia="仿宋" w:cs="仿宋"/>
          <w:color w:val="auto"/>
        </w:rPr>
        <w:fldChar w:fldCharType="separate"/>
      </w:r>
      <w:r>
        <w:rPr>
          <w:rStyle w:val="36"/>
          <w:rFonts w:hint="eastAsia" w:ascii="仿宋" w:hAnsi="仿宋" w:eastAsia="仿宋" w:cs="仿宋"/>
          <w:color w:val="auto"/>
          <w:lang w:val="zh-CN"/>
        </w:rPr>
        <w:t>一、</w:t>
      </w:r>
      <w:r>
        <w:rPr>
          <w:rStyle w:val="36"/>
          <w:rFonts w:hint="eastAsia" w:ascii="仿宋" w:hAnsi="仿宋" w:eastAsia="仿宋" w:cs="仿宋"/>
          <w:color w:val="auto"/>
        </w:rPr>
        <w:t>法定代表人身份证明书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_Toc78884383 \h </w:instrText>
      </w:r>
      <w:r>
        <w:rPr>
          <w:rFonts w:hint="eastAsia" w:ascii="仿宋" w:hAnsi="仿宋" w:eastAsia="仿宋" w:cs="仿宋"/>
          <w:color w:val="auto"/>
        </w:rPr>
        <w:fldChar w:fldCharType="separate"/>
      </w:r>
      <w:r>
        <w:rPr>
          <w:rFonts w:hint="eastAsia" w:ascii="仿宋" w:hAnsi="仿宋" w:eastAsia="仿宋" w:cs="仿宋"/>
          <w:color w:val="auto"/>
        </w:rPr>
        <w:t>- 59 -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"_Toc78884384" </w:instrText>
      </w:r>
      <w:r>
        <w:rPr>
          <w:rFonts w:hint="eastAsia" w:ascii="仿宋" w:hAnsi="仿宋" w:eastAsia="仿宋" w:cs="仿宋"/>
          <w:color w:val="auto"/>
        </w:rPr>
        <w:fldChar w:fldCharType="separate"/>
      </w:r>
      <w:r>
        <w:rPr>
          <w:rStyle w:val="36"/>
          <w:rFonts w:hint="eastAsia" w:ascii="仿宋" w:hAnsi="仿宋" w:eastAsia="仿宋" w:cs="仿宋"/>
          <w:color w:val="auto"/>
        </w:rPr>
        <w:t>二、磋商响应文件授权委托书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_Toc78884384 \h </w:instrText>
      </w:r>
      <w:r>
        <w:rPr>
          <w:rFonts w:hint="eastAsia" w:ascii="仿宋" w:hAnsi="仿宋" w:eastAsia="仿宋" w:cs="仿宋"/>
          <w:color w:val="auto"/>
        </w:rPr>
        <w:fldChar w:fldCharType="separate"/>
      </w:r>
      <w:r>
        <w:rPr>
          <w:rFonts w:hint="eastAsia" w:ascii="仿宋" w:hAnsi="仿宋" w:eastAsia="仿宋" w:cs="仿宋"/>
          <w:color w:val="auto"/>
        </w:rPr>
        <w:t>- 60 -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"_Toc78884385" </w:instrText>
      </w:r>
      <w:r>
        <w:rPr>
          <w:rFonts w:hint="eastAsia" w:ascii="仿宋" w:hAnsi="仿宋" w:eastAsia="仿宋" w:cs="仿宋"/>
          <w:color w:val="auto"/>
        </w:rPr>
        <w:fldChar w:fldCharType="separate"/>
      </w:r>
      <w:r>
        <w:rPr>
          <w:rStyle w:val="36"/>
          <w:rFonts w:hint="eastAsia" w:ascii="仿宋" w:hAnsi="仿宋" w:eastAsia="仿宋" w:cs="仿宋"/>
          <w:color w:val="auto"/>
        </w:rPr>
        <w:t>三、磋商响应函</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_Toc78884385 \h </w:instrText>
      </w:r>
      <w:r>
        <w:rPr>
          <w:rFonts w:hint="eastAsia" w:ascii="仿宋" w:hAnsi="仿宋" w:eastAsia="仿宋" w:cs="仿宋"/>
          <w:color w:val="auto"/>
        </w:rPr>
        <w:fldChar w:fldCharType="separate"/>
      </w:r>
      <w:r>
        <w:rPr>
          <w:rFonts w:hint="eastAsia" w:ascii="仿宋" w:hAnsi="仿宋" w:eastAsia="仿宋" w:cs="仿宋"/>
          <w:color w:val="auto"/>
        </w:rPr>
        <w:t>- 61 -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"_Toc78884386" </w:instrText>
      </w:r>
      <w:r>
        <w:rPr>
          <w:rFonts w:hint="eastAsia" w:ascii="仿宋" w:hAnsi="仿宋" w:eastAsia="仿宋" w:cs="仿宋"/>
          <w:color w:val="auto"/>
        </w:rPr>
        <w:fldChar w:fldCharType="separate"/>
      </w:r>
      <w:r>
        <w:rPr>
          <w:rStyle w:val="36"/>
          <w:rFonts w:hint="eastAsia" w:ascii="仿宋" w:hAnsi="仿宋" w:eastAsia="仿宋" w:cs="仿宋"/>
          <w:color w:val="auto"/>
        </w:rPr>
        <w:t>四、首次磋商报价</w:t>
      </w:r>
      <w:r>
        <w:rPr>
          <w:rStyle w:val="36"/>
          <w:rFonts w:hint="eastAsia" w:ascii="仿宋" w:hAnsi="仿宋" w:eastAsia="仿宋" w:cs="仿宋"/>
          <w:color w:val="auto"/>
          <w:lang w:eastAsia="zh-CN"/>
        </w:rPr>
        <w:t>一览</w:t>
      </w:r>
      <w:r>
        <w:rPr>
          <w:rStyle w:val="36"/>
          <w:rFonts w:hint="eastAsia" w:ascii="仿宋" w:hAnsi="仿宋" w:eastAsia="仿宋" w:cs="仿宋"/>
          <w:color w:val="auto"/>
        </w:rPr>
        <w:t>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_Toc78884386 \h </w:instrText>
      </w:r>
      <w:r>
        <w:rPr>
          <w:rFonts w:hint="eastAsia" w:ascii="仿宋" w:hAnsi="仿宋" w:eastAsia="仿宋" w:cs="仿宋"/>
          <w:color w:val="auto"/>
        </w:rPr>
        <w:fldChar w:fldCharType="separate"/>
      </w:r>
      <w:r>
        <w:rPr>
          <w:rFonts w:hint="eastAsia" w:ascii="仿宋" w:hAnsi="仿宋" w:eastAsia="仿宋" w:cs="仿宋"/>
          <w:color w:val="auto"/>
        </w:rPr>
        <w:t>- 63 -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"_Toc78884387" </w:instrText>
      </w:r>
      <w:r>
        <w:rPr>
          <w:rFonts w:hint="eastAsia" w:ascii="仿宋" w:hAnsi="仿宋" w:eastAsia="仿宋" w:cs="仿宋"/>
          <w:color w:val="auto"/>
        </w:rPr>
        <w:fldChar w:fldCharType="separate"/>
      </w:r>
      <w:r>
        <w:rPr>
          <w:rStyle w:val="36"/>
          <w:rFonts w:hint="eastAsia" w:ascii="仿宋" w:hAnsi="仿宋" w:eastAsia="仿宋" w:cs="仿宋"/>
          <w:color w:val="auto"/>
        </w:rPr>
        <w:t>五、已标价工程量清单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_Toc78884387 \h </w:instrText>
      </w:r>
      <w:r>
        <w:rPr>
          <w:rFonts w:hint="eastAsia" w:ascii="仿宋" w:hAnsi="仿宋" w:eastAsia="仿宋" w:cs="仿宋"/>
          <w:color w:val="auto"/>
        </w:rPr>
        <w:fldChar w:fldCharType="separate"/>
      </w:r>
      <w:r>
        <w:rPr>
          <w:rFonts w:hint="eastAsia" w:ascii="仿宋" w:hAnsi="仿宋" w:eastAsia="仿宋" w:cs="仿宋"/>
          <w:color w:val="auto"/>
        </w:rPr>
        <w:t>- 65 -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"_Toc78884388" </w:instrText>
      </w:r>
      <w:r>
        <w:rPr>
          <w:rFonts w:hint="eastAsia" w:ascii="仿宋" w:hAnsi="仿宋" w:eastAsia="仿宋" w:cs="仿宋"/>
          <w:color w:val="auto"/>
        </w:rPr>
        <w:fldChar w:fldCharType="separate"/>
      </w:r>
      <w:r>
        <w:rPr>
          <w:rStyle w:val="36"/>
          <w:rFonts w:hint="eastAsia" w:ascii="仿宋" w:hAnsi="仿宋" w:eastAsia="仿宋" w:cs="仿宋"/>
          <w:color w:val="auto"/>
        </w:rPr>
        <w:t>六、磋商保证金</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_Toc78884388 \h </w:instrText>
      </w:r>
      <w:r>
        <w:rPr>
          <w:rFonts w:hint="eastAsia" w:ascii="仿宋" w:hAnsi="仿宋" w:eastAsia="仿宋" w:cs="仿宋"/>
          <w:color w:val="auto"/>
        </w:rPr>
        <w:fldChar w:fldCharType="separate"/>
      </w:r>
      <w:r>
        <w:rPr>
          <w:rFonts w:hint="eastAsia" w:ascii="仿宋" w:hAnsi="仿宋" w:eastAsia="仿宋" w:cs="仿宋"/>
          <w:color w:val="auto"/>
        </w:rPr>
        <w:t>- 66 -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"_Toc78884389" </w:instrText>
      </w:r>
      <w:r>
        <w:rPr>
          <w:rFonts w:hint="eastAsia" w:ascii="仿宋" w:hAnsi="仿宋" w:eastAsia="仿宋" w:cs="仿宋"/>
          <w:color w:val="auto"/>
        </w:rPr>
        <w:fldChar w:fldCharType="separate"/>
      </w:r>
      <w:r>
        <w:rPr>
          <w:rStyle w:val="36"/>
          <w:rFonts w:hint="eastAsia" w:ascii="仿宋" w:hAnsi="仿宋" w:eastAsia="仿宋" w:cs="仿宋"/>
          <w:color w:val="auto"/>
        </w:rPr>
        <w:t>七、供应商资质审查资料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_Toc78884389 \h </w:instrText>
      </w:r>
      <w:r>
        <w:rPr>
          <w:rFonts w:hint="eastAsia" w:ascii="仿宋" w:hAnsi="仿宋" w:eastAsia="仿宋" w:cs="仿宋"/>
          <w:color w:val="auto"/>
        </w:rPr>
        <w:fldChar w:fldCharType="separate"/>
      </w:r>
      <w:r>
        <w:rPr>
          <w:rFonts w:hint="eastAsia" w:ascii="仿宋" w:hAnsi="仿宋" w:eastAsia="仿宋" w:cs="仿宋"/>
          <w:color w:val="auto"/>
        </w:rPr>
        <w:t>- 67 -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"_Toc78884390" </w:instrText>
      </w:r>
      <w:r>
        <w:rPr>
          <w:rFonts w:hint="eastAsia" w:ascii="仿宋" w:hAnsi="仿宋" w:eastAsia="仿宋" w:cs="仿宋"/>
          <w:color w:val="auto"/>
        </w:rPr>
        <w:fldChar w:fldCharType="separate"/>
      </w:r>
      <w:r>
        <w:rPr>
          <w:rStyle w:val="36"/>
          <w:rFonts w:hint="eastAsia" w:ascii="仿宋" w:hAnsi="仿宋" w:eastAsia="仿宋" w:cs="仿宋"/>
          <w:color w:val="auto"/>
        </w:rPr>
        <w:t>八、 技术投标方案</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_Toc78884390 \h </w:instrText>
      </w:r>
      <w:r>
        <w:rPr>
          <w:rFonts w:hint="eastAsia" w:ascii="仿宋" w:hAnsi="仿宋" w:eastAsia="仿宋" w:cs="仿宋"/>
          <w:color w:val="auto"/>
        </w:rPr>
        <w:fldChar w:fldCharType="separate"/>
      </w:r>
      <w:r>
        <w:rPr>
          <w:rFonts w:hint="eastAsia" w:ascii="仿宋" w:hAnsi="仿宋" w:eastAsia="仿宋" w:cs="仿宋"/>
          <w:color w:val="auto"/>
        </w:rPr>
        <w:t>- 69 -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"_Toc78884391" </w:instrText>
      </w:r>
      <w:r>
        <w:rPr>
          <w:rFonts w:hint="eastAsia" w:ascii="仿宋" w:hAnsi="仿宋" w:eastAsia="仿宋" w:cs="仿宋"/>
          <w:color w:val="auto"/>
        </w:rPr>
        <w:fldChar w:fldCharType="separate"/>
      </w:r>
      <w:r>
        <w:rPr>
          <w:rStyle w:val="36"/>
          <w:rFonts w:hint="eastAsia" w:ascii="仿宋" w:hAnsi="仿宋" w:eastAsia="仿宋" w:cs="仿宋"/>
          <w:color w:val="auto"/>
        </w:rPr>
        <w:t>九、商务投标方案</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_Toc78884391 \h </w:instrText>
      </w:r>
      <w:r>
        <w:rPr>
          <w:rFonts w:hint="eastAsia" w:ascii="仿宋" w:hAnsi="仿宋" w:eastAsia="仿宋" w:cs="仿宋"/>
          <w:color w:val="auto"/>
        </w:rPr>
        <w:fldChar w:fldCharType="separate"/>
      </w:r>
      <w:r>
        <w:rPr>
          <w:rFonts w:hint="eastAsia" w:ascii="仿宋" w:hAnsi="仿宋" w:eastAsia="仿宋" w:cs="仿宋"/>
          <w:color w:val="auto"/>
        </w:rPr>
        <w:t>- 70 -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4"/>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"_Toc78884392" </w:instrText>
      </w:r>
      <w:r>
        <w:rPr>
          <w:rFonts w:hint="eastAsia" w:ascii="仿宋" w:hAnsi="仿宋" w:eastAsia="仿宋" w:cs="仿宋"/>
          <w:color w:val="auto"/>
        </w:rPr>
        <w:fldChar w:fldCharType="separate"/>
      </w:r>
      <w:r>
        <w:rPr>
          <w:rStyle w:val="36"/>
          <w:rFonts w:hint="eastAsia" w:ascii="仿宋" w:hAnsi="仿宋" w:eastAsia="仿宋" w:cs="仿宋"/>
          <w:color w:val="auto"/>
        </w:rPr>
        <w:t>十、供应商认为有必要说明的其他问题</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_Toc78884392 \h </w:instrText>
      </w:r>
      <w:r>
        <w:rPr>
          <w:rFonts w:hint="eastAsia" w:ascii="仿宋" w:hAnsi="仿宋" w:eastAsia="仿宋" w:cs="仿宋"/>
          <w:color w:val="auto"/>
        </w:rPr>
        <w:fldChar w:fldCharType="separate"/>
      </w:r>
      <w:r>
        <w:rPr>
          <w:rFonts w:hint="eastAsia" w:ascii="仿宋" w:hAnsi="仿宋" w:eastAsia="仿宋" w:cs="仿宋"/>
          <w:color w:val="auto"/>
        </w:rPr>
        <w:t>- 81 -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spacing w:line="600" w:lineRule="auto"/>
        <w:rPr>
          <w:rFonts w:hint="eastAsia" w:ascii="仿宋" w:hAnsi="仿宋" w:eastAsia="仿宋" w:cs="仿宋"/>
          <w:color w:val="auto"/>
          <w:lang w:val="zh-CN"/>
        </w:rPr>
      </w:pPr>
      <w:r>
        <w:rPr>
          <w:rFonts w:hint="eastAsia" w:ascii="仿宋" w:hAnsi="仿宋" w:eastAsia="仿宋" w:cs="仿宋"/>
          <w:color w:val="auto"/>
          <w:lang w:val="zh-CN"/>
        </w:rPr>
        <w:fldChar w:fldCharType="end"/>
      </w:r>
    </w:p>
    <w:p>
      <w:pPr>
        <w:pStyle w:val="14"/>
        <w:rPr>
          <w:rFonts w:hint="eastAsia"/>
          <w:color w:val="auto"/>
          <w:lang w:val="zh-CN"/>
        </w:rPr>
      </w:pPr>
      <w:bookmarkStart w:id="138" w:name="_GoBack"/>
      <w:bookmarkEnd w:id="138"/>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4"/>
        <w:numPr>
          <w:ilvl w:val="0"/>
          <w:numId w:val="1"/>
        </w:numPr>
        <w:rPr>
          <w:rFonts w:hint="default" w:ascii="仿宋" w:hAnsi="仿宋" w:eastAsia="仿宋" w:cs="仿宋"/>
          <w:b/>
          <w:color w:val="auto"/>
          <w:spacing w:val="-20"/>
          <w:sz w:val="32"/>
          <w:szCs w:val="24"/>
          <w:lang w:val="en-US" w:eastAsia="zh-CN"/>
        </w:rPr>
      </w:pPr>
      <w:r>
        <w:rPr>
          <w:rFonts w:hint="eastAsia" w:ascii="仿宋" w:hAnsi="仿宋" w:eastAsia="仿宋" w:cs="仿宋"/>
          <w:b/>
          <w:color w:val="auto"/>
          <w:spacing w:val="-20"/>
          <w:sz w:val="32"/>
          <w:szCs w:val="24"/>
          <w:lang w:val="en-US" w:eastAsia="zh-CN"/>
        </w:rPr>
        <w:t xml:space="preserve"> 竞争性磋商公告</w:t>
      </w:r>
    </w:p>
    <w:p>
      <w:pPr>
        <w:rPr>
          <w:rFonts w:hint="eastAsia" w:ascii="仿宋" w:hAnsi="仿宋" w:eastAsia="仿宋" w:cs="仿宋"/>
          <w:b/>
          <w:color w:val="auto"/>
          <w:spacing w:val="-20"/>
          <w:sz w:val="32"/>
          <w:szCs w:val="24"/>
          <w:lang w:val="en-US" w:eastAsia="zh-CN"/>
        </w:rPr>
      </w:pP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242570</wp:posOffset>
                </wp:positionV>
                <wp:extent cx="5749925" cy="1281430"/>
                <wp:effectExtent l="4445" t="4445" r="17780" b="9525"/>
                <wp:wrapNone/>
                <wp:docPr id="8" name="文本框 8"/>
                <wp:cNvGraphicFramePr/>
                <a:graphic xmlns:a="http://schemas.openxmlformats.org/drawingml/2006/main">
                  <a:graphicData uri="http://schemas.microsoft.com/office/word/2010/wordprocessingShape">
                    <wps:wsp>
                      <wps:cNvSpPr txBox="1"/>
                      <wps:spPr>
                        <a:xfrm>
                          <a:off x="909320" y="1289685"/>
                          <a:ext cx="5749925" cy="1281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firstLine="480"/>
                              <w:rPr>
                                <w:rFonts w:hint="eastAsia" w:ascii="仿宋" w:hAnsi="仿宋" w:eastAsia="仿宋" w:cs="仿宋"/>
                                <w:color w:val="C00000"/>
                                <w:sz w:val="6"/>
                                <w:szCs w:val="6"/>
                                <w:lang w:eastAsia="zh-CN"/>
                              </w:rPr>
                            </w:pPr>
                          </w:p>
                          <w:p>
                            <w:pPr>
                              <w:snapToGrid w:val="0"/>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汉中市南郑区阳春镇基础设施建设项目</w:t>
                            </w:r>
                            <w:r>
                              <w:rPr>
                                <w:rFonts w:hint="eastAsia" w:ascii="仿宋" w:hAnsi="仿宋" w:eastAsia="仿宋" w:cs="仿宋"/>
                                <w:color w:val="auto"/>
                                <w:sz w:val="24"/>
                                <w:szCs w:val="24"/>
                                <w:lang w:eastAsia="zh-CN"/>
                              </w:rPr>
                              <w:t>潜在的供应</w:t>
                            </w:r>
                            <w:r>
                              <w:rPr>
                                <w:rFonts w:hint="eastAsia" w:ascii="仿宋" w:hAnsi="仿宋" w:eastAsia="仿宋" w:cs="仿宋"/>
                                <w:b w:val="0"/>
                                <w:sz w:val="24"/>
                                <w:szCs w:val="24"/>
                              </w:rPr>
                              <w:t>商可在</w:t>
                            </w:r>
                            <w:r>
                              <w:rPr>
                                <w:rFonts w:hint="eastAsia" w:ascii="仿宋" w:hAnsi="仿宋" w:eastAsia="仿宋" w:cs="仿宋"/>
                                <w:b w:val="0"/>
                                <w:sz w:val="24"/>
                                <w:szCs w:val="24"/>
                                <w:lang w:eastAsia="zh-CN"/>
                              </w:rPr>
                              <w:t>陕西华兴工程咨询有限公司代理部办公室（地址：汉中市汉台区南门十字西南角</w:t>
                            </w:r>
                            <w:r>
                              <w:rPr>
                                <w:rFonts w:hint="eastAsia" w:ascii="仿宋" w:hAnsi="仿宋" w:eastAsia="仿宋" w:cs="仿宋"/>
                                <w:b w:val="0"/>
                                <w:sz w:val="24"/>
                                <w:szCs w:val="24"/>
                                <w:lang w:val="en-US" w:eastAsia="zh-CN"/>
                              </w:rPr>
                              <w:t>35#颐馨园商住楼11楼1102室</w:t>
                            </w:r>
                            <w:r>
                              <w:rPr>
                                <w:rFonts w:hint="eastAsia" w:ascii="仿宋" w:hAnsi="仿宋" w:eastAsia="仿宋" w:cs="仿宋"/>
                                <w:b w:val="0"/>
                                <w:sz w:val="24"/>
                                <w:szCs w:val="24"/>
                                <w:lang w:eastAsia="zh-CN"/>
                              </w:rPr>
                              <w:t>）</w:t>
                            </w:r>
                            <w:r>
                              <w:rPr>
                                <w:rFonts w:hint="eastAsia" w:ascii="仿宋" w:hAnsi="仿宋" w:eastAsia="仿宋" w:cs="仿宋"/>
                                <w:b w:val="0"/>
                                <w:sz w:val="24"/>
                                <w:szCs w:val="24"/>
                              </w:rPr>
                              <w:t>获取采购文</w:t>
                            </w:r>
                            <w:r>
                              <w:rPr>
                                <w:rFonts w:hint="eastAsia" w:ascii="仿宋" w:hAnsi="仿宋" w:eastAsia="仿宋" w:cs="仿宋"/>
                                <w:b w:val="0"/>
                                <w:color w:val="auto"/>
                                <w:sz w:val="24"/>
                                <w:szCs w:val="24"/>
                              </w:rPr>
                              <w:t>件，并于</w:t>
                            </w:r>
                            <w:r>
                              <w:rPr>
                                <w:rFonts w:hint="eastAsia" w:ascii="仿宋" w:hAnsi="仿宋" w:eastAsia="仿宋" w:cs="仿宋"/>
                                <w:b/>
                                <w:bCs/>
                                <w:color w:val="auto"/>
                                <w:sz w:val="24"/>
                                <w:szCs w:val="24"/>
                                <w:u w:val="single"/>
                              </w:rPr>
                              <w:t>202</w:t>
                            </w:r>
                            <w:r>
                              <w:rPr>
                                <w:rFonts w:hint="eastAsia" w:ascii="仿宋" w:hAnsi="仿宋" w:eastAsia="仿宋" w:cs="仿宋"/>
                                <w:b/>
                                <w:bCs/>
                                <w:color w:val="auto"/>
                                <w:sz w:val="24"/>
                                <w:szCs w:val="24"/>
                                <w:u w:val="single"/>
                                <w:lang w:val="en-US" w:eastAsia="zh-CN"/>
                              </w:rPr>
                              <w:t>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07</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19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09</w:t>
                            </w:r>
                            <w:r>
                              <w:rPr>
                                <w:rFonts w:hint="eastAsia" w:ascii="仿宋" w:hAnsi="仿宋" w:eastAsia="仿宋" w:cs="仿宋"/>
                                <w:b/>
                                <w:bCs/>
                                <w:color w:val="auto"/>
                                <w:sz w:val="24"/>
                                <w:szCs w:val="24"/>
                                <w:u w:val="single"/>
                              </w:rPr>
                              <w:t>:</w:t>
                            </w:r>
                            <w:r>
                              <w:rPr>
                                <w:rFonts w:hint="eastAsia" w:ascii="仿宋" w:hAnsi="仿宋" w:eastAsia="仿宋" w:cs="仿宋"/>
                                <w:b/>
                                <w:bCs/>
                                <w:color w:val="auto"/>
                                <w:sz w:val="24"/>
                                <w:szCs w:val="24"/>
                                <w:u w:val="single"/>
                                <w:lang w:val="en-US" w:eastAsia="zh-CN"/>
                              </w:rPr>
                              <w:t>30</w:t>
                            </w:r>
                            <w:r>
                              <w:rPr>
                                <w:rFonts w:hint="eastAsia" w:ascii="仿宋" w:hAnsi="仿宋" w:eastAsia="仿宋" w:cs="仿宋"/>
                                <w:b/>
                                <w:bCs/>
                                <w:color w:val="auto"/>
                                <w:sz w:val="24"/>
                                <w:szCs w:val="24"/>
                                <w:u w:val="single"/>
                              </w:rPr>
                              <w:t>:00</w:t>
                            </w:r>
                            <w:r>
                              <w:rPr>
                                <w:rFonts w:hint="eastAsia" w:ascii="仿宋" w:hAnsi="仿宋" w:eastAsia="仿宋" w:cs="仿宋"/>
                                <w:b w:val="0"/>
                                <w:color w:val="auto"/>
                                <w:sz w:val="24"/>
                                <w:szCs w:val="24"/>
                              </w:rPr>
                              <w:t>（北京时间）前提交响应文件</w:t>
                            </w:r>
                            <w:r>
                              <w:rPr>
                                <w:rFonts w:hint="eastAsia" w:ascii="仿宋" w:hAnsi="仿宋" w:eastAsia="仿宋" w:cs="仿宋"/>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9.1pt;height:100.9pt;width:452.75pt;z-index:251668480;mso-width-relative:page;mso-height-relative:page;" fillcolor="#FFFFFF [3201]" filled="t" stroked="t" coordsize="21600,21600" o:gfxdata="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jqA1AAAAAgBAAAPAAAAAAAAAAEAIAAAACIAAABkcnMvZG93bnJldi54bWxQSwECFAAUAAAA&#10;CACHTuJAWv1EMWQCAADDBAAADgAAAAAAAAABACAAAAAjAQAAZHJzL2Uyb0RvYy54bWxQSwUGAAAA&#10;AAYABgBZAQAA+QUAAAAA&#10;">
                <v:fill on="t" focussize="0,0"/>
                <v:stroke weight="0.5pt" color="#000000 [3204]"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snapToGrid w:val="0"/>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汉中市南郑区阳春镇基础设施建设项目</w:t>
                      </w:r>
                      <w:r>
                        <w:rPr>
                          <w:rFonts w:hint="eastAsia" w:ascii="仿宋" w:hAnsi="仿宋" w:eastAsia="仿宋" w:cs="仿宋"/>
                          <w:color w:val="auto"/>
                          <w:sz w:val="24"/>
                          <w:szCs w:val="24"/>
                          <w:lang w:eastAsia="zh-CN"/>
                        </w:rPr>
                        <w:t>潜在的供应</w:t>
                      </w:r>
                      <w:r>
                        <w:rPr>
                          <w:rFonts w:hint="eastAsia" w:ascii="仿宋" w:hAnsi="仿宋" w:eastAsia="仿宋" w:cs="仿宋"/>
                          <w:b w:val="0"/>
                          <w:sz w:val="24"/>
                          <w:szCs w:val="24"/>
                        </w:rPr>
                        <w:t>商可在</w:t>
                      </w:r>
                      <w:r>
                        <w:rPr>
                          <w:rFonts w:hint="eastAsia" w:ascii="仿宋" w:hAnsi="仿宋" w:eastAsia="仿宋" w:cs="仿宋"/>
                          <w:b w:val="0"/>
                          <w:sz w:val="24"/>
                          <w:szCs w:val="24"/>
                          <w:lang w:eastAsia="zh-CN"/>
                        </w:rPr>
                        <w:t>陕西华兴工程咨询有限公司代理部办公室（地址：汉中市汉台区南门十字西南角</w:t>
                      </w:r>
                      <w:r>
                        <w:rPr>
                          <w:rFonts w:hint="eastAsia" w:ascii="仿宋" w:hAnsi="仿宋" w:eastAsia="仿宋" w:cs="仿宋"/>
                          <w:b w:val="0"/>
                          <w:sz w:val="24"/>
                          <w:szCs w:val="24"/>
                          <w:lang w:val="en-US" w:eastAsia="zh-CN"/>
                        </w:rPr>
                        <w:t>35#颐馨园商住楼11楼1102室</w:t>
                      </w:r>
                      <w:r>
                        <w:rPr>
                          <w:rFonts w:hint="eastAsia" w:ascii="仿宋" w:hAnsi="仿宋" w:eastAsia="仿宋" w:cs="仿宋"/>
                          <w:b w:val="0"/>
                          <w:sz w:val="24"/>
                          <w:szCs w:val="24"/>
                          <w:lang w:eastAsia="zh-CN"/>
                        </w:rPr>
                        <w:t>）</w:t>
                      </w:r>
                      <w:r>
                        <w:rPr>
                          <w:rFonts w:hint="eastAsia" w:ascii="仿宋" w:hAnsi="仿宋" w:eastAsia="仿宋" w:cs="仿宋"/>
                          <w:b w:val="0"/>
                          <w:sz w:val="24"/>
                          <w:szCs w:val="24"/>
                        </w:rPr>
                        <w:t>获取采购文</w:t>
                      </w:r>
                      <w:r>
                        <w:rPr>
                          <w:rFonts w:hint="eastAsia" w:ascii="仿宋" w:hAnsi="仿宋" w:eastAsia="仿宋" w:cs="仿宋"/>
                          <w:b w:val="0"/>
                          <w:color w:val="auto"/>
                          <w:sz w:val="24"/>
                          <w:szCs w:val="24"/>
                        </w:rPr>
                        <w:t>件，并于</w:t>
                      </w:r>
                      <w:r>
                        <w:rPr>
                          <w:rFonts w:hint="eastAsia" w:ascii="仿宋" w:hAnsi="仿宋" w:eastAsia="仿宋" w:cs="仿宋"/>
                          <w:b/>
                          <w:bCs/>
                          <w:color w:val="auto"/>
                          <w:sz w:val="24"/>
                          <w:szCs w:val="24"/>
                          <w:u w:val="single"/>
                        </w:rPr>
                        <w:t>202</w:t>
                      </w:r>
                      <w:r>
                        <w:rPr>
                          <w:rFonts w:hint="eastAsia" w:ascii="仿宋" w:hAnsi="仿宋" w:eastAsia="仿宋" w:cs="仿宋"/>
                          <w:b/>
                          <w:bCs/>
                          <w:color w:val="auto"/>
                          <w:sz w:val="24"/>
                          <w:szCs w:val="24"/>
                          <w:u w:val="single"/>
                          <w:lang w:val="en-US" w:eastAsia="zh-CN"/>
                        </w:rPr>
                        <w:t>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07</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19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09</w:t>
                      </w:r>
                      <w:r>
                        <w:rPr>
                          <w:rFonts w:hint="eastAsia" w:ascii="仿宋" w:hAnsi="仿宋" w:eastAsia="仿宋" w:cs="仿宋"/>
                          <w:b/>
                          <w:bCs/>
                          <w:color w:val="auto"/>
                          <w:sz w:val="24"/>
                          <w:szCs w:val="24"/>
                          <w:u w:val="single"/>
                        </w:rPr>
                        <w:t>:</w:t>
                      </w:r>
                      <w:r>
                        <w:rPr>
                          <w:rFonts w:hint="eastAsia" w:ascii="仿宋" w:hAnsi="仿宋" w:eastAsia="仿宋" w:cs="仿宋"/>
                          <w:b/>
                          <w:bCs/>
                          <w:color w:val="auto"/>
                          <w:sz w:val="24"/>
                          <w:szCs w:val="24"/>
                          <w:u w:val="single"/>
                          <w:lang w:val="en-US" w:eastAsia="zh-CN"/>
                        </w:rPr>
                        <w:t>30</w:t>
                      </w:r>
                      <w:r>
                        <w:rPr>
                          <w:rFonts w:hint="eastAsia" w:ascii="仿宋" w:hAnsi="仿宋" w:eastAsia="仿宋" w:cs="仿宋"/>
                          <w:b/>
                          <w:bCs/>
                          <w:color w:val="auto"/>
                          <w:sz w:val="24"/>
                          <w:szCs w:val="24"/>
                          <w:u w:val="single"/>
                        </w:rPr>
                        <w:t>:00</w:t>
                      </w:r>
                      <w:r>
                        <w:rPr>
                          <w:rFonts w:hint="eastAsia" w:ascii="仿宋" w:hAnsi="仿宋" w:eastAsia="仿宋" w:cs="仿宋"/>
                          <w:b w:val="0"/>
                          <w:color w:val="auto"/>
                          <w:sz w:val="24"/>
                          <w:szCs w:val="24"/>
                        </w:rPr>
                        <w:t>（北京时间）前提交响应文件</w:t>
                      </w:r>
                      <w:r>
                        <w:rPr>
                          <w:rFonts w:hint="eastAsia" w:ascii="仿宋" w:hAnsi="仿宋" w:eastAsia="仿宋" w:cs="仿宋"/>
                          <w:color w:val="auto"/>
                          <w:sz w:val="24"/>
                          <w:szCs w:val="24"/>
                          <w:lang w:eastAsia="zh-CN"/>
                        </w:rPr>
                        <w:t>。</w:t>
                      </w:r>
                    </w:p>
                  </w:txbxContent>
                </v:textbox>
              </v:shape>
            </w:pict>
          </mc:Fallback>
        </mc:AlternateContent>
      </w:r>
    </w:p>
    <w:p>
      <w:pPr>
        <w:pStyle w:val="14"/>
        <w:rPr>
          <w:rFonts w:hint="eastAsia" w:ascii="仿宋" w:hAnsi="仿宋" w:eastAsia="仿宋" w:cs="仿宋"/>
          <w:b/>
          <w:color w:val="auto"/>
          <w:spacing w:val="-20"/>
          <w:sz w:val="32"/>
          <w:szCs w:val="24"/>
          <w:lang w:val="en-US" w:eastAsia="zh-CN"/>
        </w:rPr>
      </w:pPr>
    </w:p>
    <w:p>
      <w:pPr>
        <w:rPr>
          <w:rFonts w:hint="default"/>
          <w:color w:val="auto"/>
          <w:lang w:val="en-US" w:eastAsia="zh-CN"/>
        </w:rPr>
      </w:pPr>
    </w:p>
    <w:p>
      <w:pPr>
        <w:rPr>
          <w:rFonts w:hint="default"/>
          <w:b/>
          <w:bCs/>
          <w:color w:val="auto"/>
          <w:lang w:val="en-US" w:eastAsia="zh-CN"/>
        </w:rPr>
      </w:pP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w:t>
      </w:r>
    </w:p>
    <w:p>
      <w:pPr>
        <w:snapToGrid w:val="0"/>
        <w:spacing w:after="120" w:afterLines="50" w:line="276" w:lineRule="auto"/>
        <w:ind w:firstLine="482"/>
        <w:rPr>
          <w:rFonts w:hint="eastAsia" w:ascii="仿宋" w:hAnsi="仿宋" w:eastAsia="仿宋" w:cs="仿宋"/>
          <w:b/>
          <w:color w:val="auto"/>
          <w:sz w:val="28"/>
        </w:rPr>
      </w:pPr>
    </w:p>
    <w:p>
      <w:pPr>
        <w:snapToGrid w:val="0"/>
        <w:spacing w:after="120" w:afterLines="50" w:line="276" w:lineRule="auto"/>
        <w:ind w:firstLine="482"/>
        <w:rPr>
          <w:rFonts w:hint="eastAsia" w:ascii="仿宋" w:hAnsi="仿宋" w:eastAsia="仿宋" w:cs="仿宋"/>
          <w:b/>
          <w:color w:val="auto"/>
          <w:sz w:val="4"/>
          <w:szCs w:val="2"/>
        </w:rPr>
      </w:pPr>
    </w:p>
    <w:p>
      <w:pPr>
        <w:snapToGrid w:val="0"/>
        <w:spacing w:after="120" w:afterLines="50" w:line="276" w:lineRule="auto"/>
        <w:ind w:firstLine="482"/>
        <w:rPr>
          <w:rFonts w:hint="eastAsia" w:ascii="仿宋" w:hAnsi="仿宋" w:eastAsia="仿宋" w:cs="仿宋"/>
          <w:b/>
          <w:color w:val="auto"/>
          <w:sz w:val="28"/>
        </w:rPr>
      </w:pPr>
      <w:r>
        <w:rPr>
          <w:rFonts w:hint="eastAsia" w:ascii="仿宋" w:hAnsi="仿宋" w:eastAsia="仿宋" w:cs="仿宋"/>
          <w:b/>
          <w:color w:val="auto"/>
          <w:sz w:val="28"/>
        </w:rPr>
        <w:t>一、项目基本情况：</w:t>
      </w: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1、项目编号：HXGC-HWD-南郑县-2022-00344</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2、项目名称：</w:t>
      </w:r>
      <w:r>
        <w:rPr>
          <w:rFonts w:hint="eastAsia" w:ascii="仿宋" w:hAnsi="仿宋" w:eastAsia="仿宋" w:cs="仿宋"/>
          <w:color w:val="auto"/>
          <w:w w:val="100"/>
          <w:sz w:val="24"/>
          <w:lang w:eastAsia="zh-CN"/>
        </w:rPr>
        <w:t>汉中市南郑区阳春镇基础设施建设项目</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3、预算金额：</w:t>
      </w:r>
      <w:r>
        <w:rPr>
          <w:rFonts w:hint="eastAsia" w:ascii="仿宋" w:hAnsi="仿宋" w:eastAsia="仿宋" w:cs="仿宋"/>
          <w:b/>
          <w:bCs/>
          <w:color w:val="auto"/>
          <w:sz w:val="24"/>
          <w:lang w:val="en-US" w:eastAsia="zh-CN"/>
        </w:rPr>
        <w:t>1,014,579.78</w:t>
      </w:r>
      <w:r>
        <w:rPr>
          <w:rFonts w:hint="eastAsia" w:ascii="仿宋" w:hAnsi="仿宋" w:eastAsia="仿宋" w:cs="仿宋"/>
          <w:b/>
          <w:bCs/>
          <w:color w:val="auto"/>
          <w:sz w:val="24"/>
        </w:rPr>
        <w:t>元</w:t>
      </w:r>
    </w:p>
    <w:p>
      <w:pPr>
        <w:snapToGrid w:val="0"/>
        <w:spacing w:line="360" w:lineRule="auto"/>
        <w:ind w:firstLine="480"/>
        <w:rPr>
          <w:rFonts w:hint="default"/>
          <w:color w:val="auto"/>
          <w:lang w:val="en-US" w:eastAsia="zh-CN"/>
        </w:rPr>
      </w:pPr>
      <w:r>
        <w:rPr>
          <w:rFonts w:hint="eastAsia" w:ascii="仿宋" w:hAnsi="仿宋" w:eastAsia="仿宋" w:cs="仿宋"/>
          <w:b/>
          <w:bCs/>
          <w:color w:val="auto"/>
          <w:sz w:val="24"/>
        </w:rPr>
        <w:t>4、最高限价：</w:t>
      </w:r>
      <w:r>
        <w:rPr>
          <w:rFonts w:hint="eastAsia" w:ascii="仿宋" w:hAnsi="仿宋" w:eastAsia="仿宋" w:cs="仿宋"/>
          <w:b/>
          <w:bCs/>
          <w:color w:val="auto"/>
          <w:sz w:val="24"/>
          <w:lang w:val="en-US" w:eastAsia="zh-CN"/>
        </w:rPr>
        <w:t>1,014,579.78</w:t>
      </w:r>
      <w:r>
        <w:rPr>
          <w:rFonts w:hint="eastAsia" w:ascii="仿宋" w:hAnsi="仿宋" w:eastAsia="仿宋" w:cs="仿宋"/>
          <w:b/>
          <w:bCs/>
          <w:color w:val="auto"/>
          <w:sz w:val="24"/>
        </w:rPr>
        <w:t>元</w:t>
      </w:r>
    </w:p>
    <w:p>
      <w:pPr>
        <w:numPr>
          <w:ilvl w:val="0"/>
          <w:numId w:val="0"/>
        </w:numPr>
        <w:snapToGrid w:val="0"/>
        <w:spacing w:line="360" w:lineRule="auto"/>
        <w:ind w:firstLine="482" w:firstLineChars="200"/>
        <w:rPr>
          <w:rFonts w:hint="eastAsia" w:ascii="仿宋" w:hAnsi="仿宋" w:eastAsia="仿宋" w:cs="仿宋"/>
          <w:color w:val="auto"/>
          <w:sz w:val="24"/>
          <w:lang w:eastAsia="zh-CN"/>
        </w:rPr>
      </w:pP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采购需求：</w:t>
      </w:r>
      <w:r>
        <w:rPr>
          <w:rFonts w:hint="eastAsia" w:ascii="仿宋" w:hAnsi="仿宋" w:eastAsia="仿宋" w:cs="仿宋"/>
          <w:b/>
          <w:bCs/>
          <w:color w:val="auto"/>
          <w:sz w:val="24"/>
          <w:lang w:eastAsia="zh-CN"/>
        </w:rPr>
        <w:t>汉中市南郑区阳春镇基础设施建设项目</w:t>
      </w:r>
      <w:r>
        <w:rPr>
          <w:rFonts w:hint="eastAsia" w:ascii="仿宋" w:hAnsi="仿宋" w:eastAsia="仿宋" w:cs="仿宋"/>
          <w:b/>
          <w:bCs/>
          <w:color w:val="auto"/>
          <w:sz w:val="24"/>
        </w:rPr>
        <w:t>，1项，采购预算</w:t>
      </w:r>
      <w:r>
        <w:rPr>
          <w:rFonts w:hint="eastAsia" w:ascii="仿宋" w:hAnsi="仿宋" w:eastAsia="仿宋" w:cs="仿宋"/>
          <w:b/>
          <w:bCs/>
          <w:color w:val="auto"/>
          <w:sz w:val="24"/>
          <w:lang w:eastAsia="zh-CN"/>
        </w:rPr>
        <w:t>（最高限价）</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1,014,579.78</w:t>
      </w:r>
      <w:r>
        <w:rPr>
          <w:rFonts w:hint="eastAsia" w:ascii="仿宋" w:hAnsi="仿宋" w:eastAsia="仿宋" w:cs="仿宋"/>
          <w:b/>
          <w:bCs/>
          <w:color w:val="auto"/>
          <w:sz w:val="24"/>
        </w:rPr>
        <w:t>元。</w:t>
      </w:r>
      <w:r>
        <w:rPr>
          <w:rFonts w:hint="eastAsia" w:ascii="仿宋" w:hAnsi="仿宋" w:eastAsia="仿宋" w:cs="仿宋"/>
          <w:color w:val="auto"/>
          <w:sz w:val="24"/>
        </w:rPr>
        <w:t>项目概况：</w:t>
      </w:r>
      <w:r>
        <w:rPr>
          <w:rFonts w:hint="eastAsia" w:ascii="仿宋" w:hAnsi="仿宋" w:eastAsia="仿宋" w:cs="仿宋"/>
          <w:color w:val="auto"/>
          <w:sz w:val="24"/>
          <w:lang w:eastAsia="zh-CN"/>
        </w:rPr>
        <w:t>新做混凝土路面，</w:t>
      </w:r>
      <w:r>
        <w:rPr>
          <w:rFonts w:hint="eastAsia" w:ascii="仿宋" w:hAnsi="仿宋" w:eastAsia="仿宋" w:cs="仿宋"/>
          <w:color w:val="auto"/>
          <w:sz w:val="24"/>
          <w:lang w:val="en-US" w:eastAsia="zh-CN"/>
        </w:rPr>
        <w:t>新砌砖砌盖板水沟，原水沟清淤、更换排水沟盖板等</w:t>
      </w:r>
      <w:r>
        <w:rPr>
          <w:rFonts w:hint="eastAsia" w:ascii="仿宋" w:hAnsi="仿宋" w:eastAsia="仿宋" w:cs="仿宋"/>
          <w:color w:val="auto"/>
          <w:sz w:val="24"/>
          <w:lang w:eastAsia="zh-CN"/>
        </w:rPr>
        <w:t>（</w:t>
      </w:r>
      <w:r>
        <w:rPr>
          <w:rFonts w:hint="eastAsia" w:ascii="仿宋" w:hAnsi="仿宋" w:eastAsia="仿宋" w:cs="仿宋"/>
          <w:color w:val="auto"/>
          <w:sz w:val="24"/>
        </w:rPr>
        <w:t>具体详见施工图及工程量清单</w:t>
      </w:r>
      <w:r>
        <w:rPr>
          <w:rFonts w:hint="eastAsia" w:ascii="仿宋" w:hAnsi="仿宋" w:eastAsia="仿宋" w:cs="仿宋"/>
          <w:color w:val="auto"/>
          <w:sz w:val="24"/>
          <w:lang w:eastAsia="zh-CN"/>
        </w:rPr>
        <w:t>）</w:t>
      </w:r>
      <w:r>
        <w:rPr>
          <w:rFonts w:hint="eastAsia" w:ascii="仿宋" w:hAnsi="仿宋" w:eastAsia="仿宋" w:cs="仿宋"/>
          <w:color w:val="auto"/>
          <w:sz w:val="24"/>
        </w:rPr>
        <w:t>。简要技术要求、用途：</w:t>
      </w:r>
      <w:r>
        <w:rPr>
          <w:rFonts w:hint="eastAsia" w:ascii="仿宋" w:hAnsi="仿宋" w:eastAsia="仿宋" w:cs="仿宋"/>
          <w:color w:val="auto"/>
          <w:sz w:val="24"/>
          <w:lang w:eastAsia="zh-CN"/>
        </w:rPr>
        <w:t>单位自用。</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6、合同履行期限：20</w:t>
      </w:r>
      <w:r>
        <w:rPr>
          <w:rFonts w:hint="eastAsia" w:ascii="仿宋" w:hAnsi="仿宋" w:eastAsia="仿宋" w:cs="仿宋"/>
          <w:color w:val="auto"/>
          <w:sz w:val="24"/>
          <w:lang w:val="en-US" w:eastAsia="zh-CN"/>
        </w:rPr>
        <w:t>22</w:t>
      </w:r>
      <w:r>
        <w:rPr>
          <w:rFonts w:hint="eastAsia" w:ascii="仿宋" w:hAnsi="仿宋" w:eastAsia="仿宋" w:cs="仿宋"/>
          <w:color w:val="auto"/>
          <w:sz w:val="24"/>
        </w:rPr>
        <w:t>-</w:t>
      </w:r>
      <w:r>
        <w:rPr>
          <w:rFonts w:hint="eastAsia" w:ascii="仿宋" w:hAnsi="仿宋" w:eastAsia="仿宋" w:cs="仿宋"/>
          <w:color w:val="auto"/>
          <w:sz w:val="24"/>
          <w:lang w:val="en-US" w:eastAsia="zh-CN"/>
        </w:rPr>
        <w:t>07</w:t>
      </w:r>
      <w:r>
        <w:rPr>
          <w:rFonts w:hint="eastAsia" w:ascii="仿宋" w:hAnsi="仿宋" w:eastAsia="仿宋" w:cs="仿宋"/>
          <w:color w:val="auto"/>
          <w:sz w:val="24"/>
        </w:rPr>
        <w:t>-</w:t>
      </w:r>
      <w:r>
        <w:rPr>
          <w:rFonts w:hint="eastAsia" w:ascii="仿宋" w:hAnsi="仿宋" w:eastAsia="仿宋" w:cs="仿宋"/>
          <w:color w:val="auto"/>
          <w:sz w:val="24"/>
          <w:lang w:val="en-US" w:eastAsia="zh-CN"/>
        </w:rPr>
        <w:t>25</w:t>
      </w:r>
      <w:r>
        <w:rPr>
          <w:rFonts w:hint="eastAsia" w:ascii="仿宋" w:hAnsi="仿宋" w:eastAsia="仿宋" w:cs="仿宋"/>
          <w:color w:val="auto"/>
          <w:sz w:val="24"/>
        </w:rPr>
        <w:t xml:space="preserve"> 00:00:00 至 20</w:t>
      </w:r>
      <w:r>
        <w:rPr>
          <w:rFonts w:hint="eastAsia" w:ascii="仿宋" w:hAnsi="仿宋" w:eastAsia="仿宋" w:cs="仿宋"/>
          <w:color w:val="auto"/>
          <w:sz w:val="24"/>
          <w:lang w:val="en-US" w:eastAsia="zh-CN"/>
        </w:rPr>
        <w:t>22</w:t>
      </w:r>
      <w:r>
        <w:rPr>
          <w:rFonts w:hint="eastAsia" w:ascii="仿宋" w:hAnsi="仿宋" w:eastAsia="仿宋" w:cs="仿宋"/>
          <w:color w:val="auto"/>
          <w:sz w:val="24"/>
        </w:rPr>
        <w:t>-</w:t>
      </w:r>
      <w:r>
        <w:rPr>
          <w:rFonts w:hint="eastAsia" w:ascii="仿宋" w:hAnsi="仿宋" w:eastAsia="仿宋" w:cs="仿宋"/>
          <w:color w:val="auto"/>
          <w:sz w:val="24"/>
          <w:lang w:val="en-US" w:eastAsia="zh-CN"/>
        </w:rPr>
        <w:t>09</w:t>
      </w:r>
      <w:r>
        <w:rPr>
          <w:rFonts w:hint="eastAsia" w:ascii="仿宋" w:hAnsi="仿宋" w:eastAsia="仿宋" w:cs="仿宋"/>
          <w:color w:val="auto"/>
          <w:sz w:val="24"/>
        </w:rPr>
        <w:t>-</w:t>
      </w:r>
      <w:r>
        <w:rPr>
          <w:rFonts w:hint="eastAsia" w:ascii="仿宋" w:hAnsi="仿宋" w:eastAsia="仿宋" w:cs="仿宋"/>
          <w:color w:val="auto"/>
          <w:sz w:val="24"/>
          <w:lang w:val="en-US" w:eastAsia="zh-CN"/>
        </w:rPr>
        <w:t>07</w:t>
      </w:r>
      <w:r>
        <w:rPr>
          <w:rFonts w:hint="eastAsia" w:ascii="仿宋" w:hAnsi="仿宋" w:eastAsia="仿宋" w:cs="仿宋"/>
          <w:color w:val="auto"/>
          <w:sz w:val="24"/>
        </w:rPr>
        <w:t xml:space="preserve"> 00:00:00（具体服务起止日期可随合同签订时间相应顺延）</w:t>
      </w: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7、本项目是否接受联合体投标：否</w:t>
      </w:r>
    </w:p>
    <w:p>
      <w:pPr>
        <w:snapToGrid w:val="0"/>
        <w:spacing w:after="120" w:afterLines="50" w:line="276" w:lineRule="auto"/>
        <w:ind w:firstLine="482"/>
        <w:rPr>
          <w:rFonts w:hint="eastAsia" w:ascii="仿宋" w:hAnsi="仿宋" w:eastAsia="仿宋" w:cs="仿宋"/>
          <w:b/>
          <w:color w:val="auto"/>
          <w:sz w:val="28"/>
          <w:lang w:eastAsia="zh-CN"/>
        </w:rPr>
      </w:pPr>
      <w:r>
        <w:rPr>
          <w:rFonts w:hint="eastAsia" w:ascii="仿宋" w:hAnsi="仿宋" w:eastAsia="仿宋" w:cs="仿宋"/>
          <w:b/>
          <w:color w:val="auto"/>
          <w:sz w:val="28"/>
        </w:rPr>
        <w:t>二、申请人的资格要求</w:t>
      </w:r>
      <w:r>
        <w:rPr>
          <w:rFonts w:hint="eastAsia" w:ascii="仿宋" w:hAnsi="仿宋" w:eastAsia="仿宋" w:cs="仿宋"/>
          <w:b/>
          <w:color w:val="auto"/>
          <w:sz w:val="28"/>
          <w:lang w:eastAsia="zh-CN"/>
        </w:rPr>
        <w:t>：</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1、符合《中华人民共和国政府采购法》第二十二条的规定；</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⑥《财政部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⑦《财政部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⑧《关于印发环境标志产品政府采购品目清单的通知》（财库〔2019〕18号）；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⑨《关于印发节能产品政府采购品目清单的通知》（财库〔2019〕19号）；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⑩《财政部 农业农村部 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⑪《陕西省财政厅关于印发陕西省中小企业政府采购信用融资办法》（陕财办采〔2018〕23号）；</w:t>
      </w:r>
    </w:p>
    <w:p>
      <w:pPr>
        <w:snapToGrid w:val="0"/>
        <w:spacing w:line="360" w:lineRule="auto"/>
        <w:ind w:firstLine="480"/>
        <w:rPr>
          <w:rFonts w:hint="eastAsia" w:ascii="仿宋" w:hAnsi="仿宋" w:eastAsia="仿宋" w:cs="仿宋"/>
          <w:color w:val="auto"/>
          <w:sz w:val="22"/>
          <w:szCs w:val="22"/>
          <w:lang w:eastAsia="zh-CN"/>
        </w:rPr>
      </w:pPr>
      <w:r>
        <w:rPr>
          <w:rFonts w:hint="eastAsia" w:ascii="仿宋" w:hAnsi="仿宋" w:eastAsia="仿宋" w:cs="仿宋"/>
          <w:color w:val="auto"/>
          <w:sz w:val="24"/>
          <w:szCs w:val="24"/>
          <w:lang w:eastAsia="zh-CN"/>
        </w:rPr>
        <w:t>⑫《陕西省财政厅关于加快推进我省中小企业政府采购信用融资工作的通知》（陕财办采〔2020〕15号）</w:t>
      </w:r>
      <w:r>
        <w:rPr>
          <w:rFonts w:hint="eastAsia" w:ascii="仿宋" w:hAnsi="仿宋" w:eastAsia="仿宋" w:cs="仿宋"/>
          <w:color w:val="auto"/>
          <w:sz w:val="22"/>
          <w:szCs w:val="22"/>
          <w:lang w:eastAsia="zh-CN"/>
        </w:rPr>
        <w:t>。</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3、本项目的特定资格要求：</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①具有独立承担民事责任的能力：供应商为具有独立承担民事责任能力的企业法人、事业法人、其他组织，提供营业执照原件（事业单位须事业单位法人证、组织机构代码证等证明文件；其他组织应提供合法证明文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②具有履行合同所必须的设备和专业技术能力：Ⅰ、供应商具有建设行政主管部门核发的</w:t>
      </w:r>
      <w:r>
        <w:rPr>
          <w:rFonts w:hint="eastAsia" w:ascii="仿宋" w:hAnsi="仿宋" w:eastAsia="仿宋" w:cs="仿宋"/>
          <w:color w:val="auto"/>
          <w:sz w:val="24"/>
          <w:lang w:eastAsia="zh-CN"/>
        </w:rPr>
        <w:t>市政公用</w:t>
      </w:r>
      <w:r>
        <w:rPr>
          <w:rFonts w:hint="eastAsia" w:ascii="仿宋" w:hAnsi="仿宋" w:eastAsia="仿宋" w:cs="仿宋"/>
          <w:color w:val="auto"/>
          <w:sz w:val="24"/>
        </w:rPr>
        <w:t>工程施工总承包三级及以上资质等级，</w:t>
      </w:r>
      <w:r>
        <w:rPr>
          <w:rFonts w:hint="eastAsia" w:ascii="仿宋" w:hAnsi="仿宋" w:eastAsia="仿宋" w:cs="仿宋"/>
          <w:color w:val="auto"/>
          <w:sz w:val="24"/>
          <w:lang w:eastAsia="zh-CN"/>
        </w:rPr>
        <w:t>且</w:t>
      </w:r>
      <w:r>
        <w:rPr>
          <w:rFonts w:hint="eastAsia" w:ascii="仿宋" w:hAnsi="仿宋" w:eastAsia="仿宋" w:cs="仿宋"/>
          <w:color w:val="auto"/>
          <w:sz w:val="24"/>
        </w:rPr>
        <w:t>具有有效的安全生产许可证；Ⅱ、拟派项目经理须</w:t>
      </w:r>
      <w:r>
        <w:rPr>
          <w:rFonts w:hint="eastAsia" w:ascii="仿宋" w:hAnsi="仿宋" w:eastAsia="仿宋" w:cs="仿宋"/>
          <w:color w:val="auto"/>
          <w:sz w:val="24"/>
          <w:lang w:eastAsia="zh-CN"/>
        </w:rPr>
        <w:t>具备市政公用</w:t>
      </w:r>
      <w:r>
        <w:rPr>
          <w:rFonts w:hint="eastAsia" w:ascii="仿宋" w:hAnsi="仿宋" w:eastAsia="仿宋" w:cs="仿宋"/>
          <w:color w:val="auto"/>
          <w:sz w:val="24"/>
        </w:rPr>
        <w:t>工程专业注册建造师二级（含二级）以上</w:t>
      </w:r>
      <w:r>
        <w:rPr>
          <w:rFonts w:hint="eastAsia" w:ascii="仿宋" w:hAnsi="仿宋" w:eastAsia="仿宋" w:cs="仿宋"/>
          <w:color w:val="auto"/>
          <w:sz w:val="24"/>
          <w:lang w:eastAsia="zh-CN"/>
        </w:rPr>
        <w:t>执业</w:t>
      </w:r>
      <w:r>
        <w:rPr>
          <w:rFonts w:hint="eastAsia" w:ascii="仿宋" w:hAnsi="仿宋" w:eastAsia="仿宋" w:cs="仿宋"/>
          <w:color w:val="auto"/>
          <w:sz w:val="24"/>
        </w:rPr>
        <w:t>资格和安全生产考核合格B 证，且无在建项目</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 xml:space="preserve">③有依法缴纳税收和社会保障资金的良好记录：Ⅰ、供应商须提供自 </w:t>
      </w:r>
      <w:r>
        <w:rPr>
          <w:rFonts w:hint="eastAsia" w:ascii="仿宋" w:hAnsi="仿宋" w:eastAsia="仿宋" w:cs="仿宋"/>
          <w:color w:val="auto"/>
          <w:sz w:val="24"/>
          <w:lang w:val="en-US" w:eastAsia="zh-CN"/>
        </w:rPr>
        <w:t>2022</w:t>
      </w:r>
      <w:r>
        <w:rPr>
          <w:rFonts w:hint="eastAsia" w:ascii="仿宋" w:hAnsi="仿宋" w:eastAsia="仿宋" w:cs="仿宋"/>
          <w:color w:val="auto"/>
          <w:sz w:val="24"/>
        </w:rPr>
        <w:t xml:space="preserve">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w:t>
      </w:r>
      <w:r>
        <w:rPr>
          <w:rFonts w:hint="eastAsia" w:ascii="仿宋" w:hAnsi="仿宋" w:eastAsia="仿宋" w:cs="仿宋"/>
          <w:color w:val="auto"/>
          <w:sz w:val="24"/>
          <w:lang w:val="en-US" w:eastAsia="zh-CN"/>
        </w:rPr>
        <w:t>2022</w:t>
      </w:r>
      <w:r>
        <w:rPr>
          <w:rFonts w:hint="eastAsia" w:ascii="仿宋" w:hAnsi="仿宋" w:eastAsia="仿宋" w:cs="仿宋"/>
          <w:color w:val="auto"/>
          <w:sz w:val="24"/>
        </w:rPr>
        <w:t>年 1 月 1 日起已缴纳的至少一个月的社保机构出具的社会保险参保缴费情况证明复印件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④具有良好的商业信誉和健全的财务会计制度：I、提供 2019</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2020 </w:t>
      </w:r>
      <w:r>
        <w:rPr>
          <w:rFonts w:hint="eastAsia" w:ascii="仿宋" w:hAnsi="仿宋" w:eastAsia="仿宋" w:cs="仿宋"/>
          <w:color w:val="auto"/>
          <w:sz w:val="24"/>
          <w:lang w:eastAsia="zh-CN"/>
        </w:rPr>
        <w:t>或</w:t>
      </w:r>
      <w:r>
        <w:rPr>
          <w:rFonts w:hint="eastAsia" w:ascii="仿宋" w:hAnsi="仿宋" w:eastAsia="仿宋" w:cs="仿宋"/>
          <w:color w:val="auto"/>
          <w:sz w:val="24"/>
          <w:lang w:val="en-US" w:eastAsia="zh-CN"/>
        </w:rPr>
        <w:t>2021年</w:t>
      </w:r>
      <w:r>
        <w:rPr>
          <w:rFonts w:hint="eastAsia" w:ascii="仿宋" w:hAnsi="仿宋" w:eastAsia="仿宋" w:cs="仿宋"/>
          <w:color w:val="auto"/>
          <w:sz w:val="24"/>
        </w:rPr>
        <w:t>年度经会计师事务所或审计机构审计的财务会计报表，包括资产负债表、现金流量表、利润表和财务情况说明书的复印件</w:t>
      </w:r>
      <w:r>
        <w:rPr>
          <w:rFonts w:hint="eastAsia" w:ascii="仿宋" w:hAnsi="仿宋" w:eastAsia="仿宋" w:cs="仿宋"/>
          <w:color w:val="auto"/>
          <w:sz w:val="24"/>
          <w:lang w:eastAsia="zh-CN"/>
        </w:rPr>
        <w:t>（</w:t>
      </w:r>
      <w:r>
        <w:rPr>
          <w:rFonts w:hint="eastAsia" w:ascii="仿宋" w:hAnsi="仿宋" w:eastAsia="仿宋" w:cs="仿宋"/>
          <w:color w:val="auto"/>
          <w:sz w:val="24"/>
        </w:rPr>
        <w:t>若供应商成立时间至提交响应文件截止时间不足一年，提供成立后任意时段的资产负债表复印件</w:t>
      </w:r>
      <w:r>
        <w:rPr>
          <w:rFonts w:hint="eastAsia" w:ascii="仿宋" w:hAnsi="仿宋" w:eastAsia="仿宋" w:cs="仿宋"/>
          <w:color w:val="auto"/>
          <w:sz w:val="24"/>
          <w:lang w:eastAsia="zh-CN"/>
        </w:rPr>
        <w:t>）</w:t>
      </w:r>
      <w:r>
        <w:rPr>
          <w:rFonts w:hint="eastAsia" w:ascii="仿宋" w:hAnsi="仿宋" w:eastAsia="仿宋" w:cs="仿宋"/>
          <w:color w:val="auto"/>
          <w:sz w:val="24"/>
        </w:rPr>
        <w:t>；II、、提供成交前三个月内基本存款账户开户银行出具的资信证明及基本存款账户开户信息复印件；</w:t>
      </w:r>
      <w:r>
        <w:rPr>
          <w:rFonts w:hint="eastAsia" w:ascii="仿宋" w:hAnsi="仿宋" w:eastAsia="仿宋" w:cs="仿宋"/>
          <w:color w:val="auto"/>
          <w:sz w:val="24"/>
          <w:lang w:val="en-US" w:eastAsia="zh-CN"/>
        </w:rPr>
        <w:t>III</w:t>
      </w:r>
      <w:r>
        <w:rPr>
          <w:rFonts w:hint="eastAsia" w:ascii="仿宋" w:hAnsi="仿宋" w:eastAsia="仿宋" w:cs="仿宋"/>
          <w:color w:val="auto"/>
          <w:sz w:val="24"/>
        </w:rPr>
        <w:t>、提供信用担保机构出具的磋商担保函复印件。</w:t>
      </w:r>
      <w:r>
        <w:rPr>
          <w:rFonts w:hint="eastAsia" w:ascii="仿宋" w:hAnsi="仿宋" w:eastAsia="仿宋" w:cs="仿宋"/>
          <w:b w:val="0"/>
          <w:bCs w:val="0"/>
          <w:color w:val="auto"/>
          <w:sz w:val="24"/>
        </w:rPr>
        <w:t>（</w:t>
      </w:r>
      <w:r>
        <w:rPr>
          <w:rFonts w:hint="eastAsia" w:ascii="仿宋" w:hAnsi="仿宋" w:eastAsia="仿宋" w:cs="仿宋"/>
          <w:b w:val="0"/>
          <w:bCs w:val="0"/>
          <w:color w:val="auto"/>
          <w:sz w:val="24"/>
          <w:lang w:val="en-US" w:eastAsia="zh-CN"/>
        </w:rPr>
        <w:t>以上三种形式的证明资料提供任意一种即可，但成交现场以第II种或第III种形式提交资料的，需提供上述证明材料原件备查</w:t>
      </w:r>
      <w:r>
        <w:rPr>
          <w:rFonts w:hint="eastAsia" w:ascii="仿宋" w:hAnsi="仿宋" w:eastAsia="仿宋" w:cs="仿宋"/>
          <w:b w:val="0"/>
          <w:bCs w:val="0"/>
          <w:color w:val="auto"/>
          <w:sz w:val="24"/>
        </w:rPr>
        <w:t>）</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⑤供应商应授权合法的人员参加磋商</w:t>
      </w:r>
      <w:r>
        <w:rPr>
          <w:rFonts w:hint="eastAsia" w:ascii="仿宋" w:hAnsi="仿宋" w:eastAsia="仿宋" w:cs="仿宋"/>
          <w:color w:val="auto"/>
          <w:sz w:val="24"/>
          <w:lang w:eastAsia="zh-CN"/>
        </w:rPr>
        <w:t>会议</w:t>
      </w:r>
      <w:r>
        <w:rPr>
          <w:rFonts w:hint="eastAsia" w:ascii="仿宋" w:hAnsi="仿宋" w:eastAsia="仿宋" w:cs="仿宋"/>
          <w:color w:val="auto"/>
          <w:sz w:val="24"/>
        </w:rPr>
        <w:t>，其中法定代表人直接参加的，须出具法人身份证原件，并与营业执照上信息一致；授权代表参加的，须出具法定代表人授权书及被授权人身份证原件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⑥出具参加本次采购活动前三年内在经营活动中没有重大违法记录的书面声明</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⑦供应商未被列入“信用中国”网站（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"http://www.creditchina.gov.cn/"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http://www.creditchina.gov.cn</w:t>
      </w:r>
      <w:r>
        <w:rPr>
          <w:rFonts w:hint="eastAsia" w:ascii="仿宋" w:hAnsi="仿宋" w:eastAsia="仿宋" w:cs="仿宋"/>
          <w:color w:val="auto"/>
          <w:sz w:val="24"/>
        </w:rPr>
        <w:fldChar w:fldCharType="end"/>
      </w:r>
      <w:r>
        <w:rPr>
          <w:rFonts w:hint="eastAsia" w:ascii="仿宋" w:hAnsi="仿宋" w:eastAsia="仿宋" w:cs="仿宋"/>
          <w:color w:val="auto"/>
          <w:sz w:val="24"/>
        </w:rPr>
        <w:t>） 失信黑名单中和“中国政府采购网”(</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"http://www.ccgp.gov.cn/"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 xml:space="preserve">www.ccgp.gov.cn </w:t>
      </w:r>
      <w:r>
        <w:rPr>
          <w:rFonts w:hint="eastAsia" w:ascii="仿宋" w:hAnsi="仿宋" w:eastAsia="仿宋" w:cs="仿宋"/>
          <w:color w:val="auto"/>
          <w:sz w:val="24"/>
        </w:rPr>
        <w:fldChar w:fldCharType="end"/>
      </w:r>
      <w:r>
        <w:rPr>
          <w:rFonts w:hint="eastAsia" w:ascii="仿宋" w:hAnsi="仿宋" w:eastAsia="仿宋" w:cs="仿宋"/>
          <w:color w:val="auto"/>
          <w:sz w:val="24"/>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⑧本项目不接受联合体磋商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单位负责人为同一人或者存在控股、管理关系的不同单位不得同时投标</w:t>
      </w:r>
      <w:r>
        <w:rPr>
          <w:rFonts w:hint="eastAsia" w:ascii="仿宋" w:hAnsi="仿宋" w:eastAsia="仿宋" w:cs="仿宋"/>
          <w:color w:val="auto"/>
          <w:sz w:val="24"/>
        </w:rPr>
        <w:t>。</w:t>
      </w:r>
    </w:p>
    <w:p>
      <w:pPr>
        <w:snapToGrid w:val="0"/>
        <w:spacing w:line="360" w:lineRule="auto"/>
        <w:ind w:firstLine="480"/>
        <w:rPr>
          <w:rFonts w:hint="eastAsia" w:ascii="仿宋" w:hAnsi="仿宋" w:eastAsia="仿宋" w:cs="仿宋"/>
          <w:b/>
          <w:color w:val="auto"/>
          <w:sz w:val="28"/>
          <w:lang w:val="en-US" w:eastAsia="zh-CN"/>
        </w:rPr>
      </w:pPr>
      <w:r>
        <w:rPr>
          <w:rFonts w:hint="eastAsia" w:ascii="仿宋" w:hAnsi="仿宋" w:eastAsia="仿宋" w:cs="仿宋"/>
          <w:b/>
          <w:color w:val="auto"/>
          <w:sz w:val="28"/>
        </w:rPr>
        <w:t>三、</w:t>
      </w:r>
      <w:r>
        <w:rPr>
          <w:rFonts w:hint="eastAsia" w:ascii="仿宋" w:hAnsi="仿宋" w:eastAsia="仿宋" w:cs="仿宋"/>
          <w:b/>
          <w:color w:val="auto"/>
          <w:sz w:val="28"/>
          <w:lang w:val="en-US" w:eastAsia="zh-CN"/>
        </w:rPr>
        <w:t>采购文件的获取方式</w:t>
      </w:r>
    </w:p>
    <w:p>
      <w:pPr>
        <w:snapToGrid w:val="0"/>
        <w:spacing w:line="360" w:lineRule="auto"/>
        <w:ind w:firstLine="480"/>
        <w:rPr>
          <w:rFonts w:hint="eastAsia" w:ascii="仿宋" w:hAnsi="仿宋" w:eastAsia="仿宋" w:cs="仿宋"/>
          <w:b w:val="0"/>
          <w:bCs/>
          <w:color w:val="auto"/>
          <w:sz w:val="24"/>
          <w:szCs w:val="22"/>
          <w:lang w:val="en-US" w:eastAsia="zh-CN"/>
        </w:rPr>
      </w:pPr>
      <w:r>
        <w:rPr>
          <w:rFonts w:hint="eastAsia" w:ascii="仿宋" w:hAnsi="仿宋" w:eastAsia="仿宋" w:cs="仿宋"/>
          <w:b w:val="0"/>
          <w:bCs/>
          <w:color w:val="auto"/>
          <w:sz w:val="24"/>
          <w:szCs w:val="22"/>
          <w:lang w:eastAsia="zh-CN"/>
        </w:rPr>
        <w:t>时间：</w:t>
      </w:r>
      <w:r>
        <w:rPr>
          <w:rFonts w:hint="eastAsia" w:ascii="仿宋" w:hAnsi="仿宋" w:eastAsia="仿宋" w:cs="仿宋"/>
          <w:b/>
          <w:bCs w:val="0"/>
          <w:color w:val="auto"/>
          <w:sz w:val="24"/>
          <w:szCs w:val="22"/>
          <w:u w:val="single"/>
          <w:lang w:eastAsia="zh-CN"/>
        </w:rPr>
        <w:t>202</w:t>
      </w:r>
      <w:r>
        <w:rPr>
          <w:rFonts w:hint="eastAsia" w:ascii="仿宋" w:hAnsi="仿宋" w:eastAsia="仿宋" w:cs="仿宋"/>
          <w:b/>
          <w:bCs w:val="0"/>
          <w:color w:val="auto"/>
          <w:sz w:val="24"/>
          <w:szCs w:val="22"/>
          <w:u w:val="single"/>
          <w:lang w:val="en-US" w:eastAsia="zh-CN"/>
        </w:rPr>
        <w:t>2</w:t>
      </w:r>
      <w:r>
        <w:rPr>
          <w:rFonts w:hint="eastAsia" w:ascii="仿宋" w:hAnsi="仿宋" w:eastAsia="仿宋" w:cs="仿宋"/>
          <w:b/>
          <w:bCs w:val="0"/>
          <w:color w:val="auto"/>
          <w:sz w:val="24"/>
          <w:szCs w:val="22"/>
          <w:u w:val="single"/>
          <w:lang w:eastAsia="zh-CN"/>
        </w:rPr>
        <w:t xml:space="preserve"> </w:t>
      </w:r>
      <w:r>
        <w:rPr>
          <w:rFonts w:hint="eastAsia" w:ascii="仿宋" w:hAnsi="仿宋" w:eastAsia="仿宋" w:cs="仿宋"/>
          <w:b/>
          <w:bCs w:val="0"/>
          <w:color w:val="auto"/>
          <w:sz w:val="24"/>
          <w:szCs w:val="22"/>
          <w:lang w:eastAsia="zh-CN"/>
        </w:rPr>
        <w:t>年</w:t>
      </w:r>
      <w:r>
        <w:rPr>
          <w:rFonts w:hint="eastAsia" w:ascii="仿宋" w:hAnsi="仿宋" w:eastAsia="仿宋" w:cs="仿宋"/>
          <w:b/>
          <w:bCs w:val="0"/>
          <w:color w:val="auto"/>
          <w:sz w:val="24"/>
          <w:szCs w:val="22"/>
          <w:u w:val="single"/>
          <w:lang w:val="en-US" w:eastAsia="zh-CN"/>
        </w:rPr>
        <w:t>07</w:t>
      </w:r>
      <w:r>
        <w:rPr>
          <w:rFonts w:hint="eastAsia" w:ascii="仿宋" w:hAnsi="仿宋" w:eastAsia="仿宋" w:cs="仿宋"/>
          <w:b/>
          <w:bCs w:val="0"/>
          <w:color w:val="auto"/>
          <w:sz w:val="24"/>
          <w:szCs w:val="22"/>
          <w:lang w:eastAsia="zh-CN"/>
        </w:rPr>
        <w:t>月</w:t>
      </w:r>
      <w:r>
        <w:rPr>
          <w:rFonts w:hint="eastAsia" w:ascii="仿宋" w:hAnsi="仿宋" w:eastAsia="仿宋" w:cs="仿宋"/>
          <w:b/>
          <w:bCs w:val="0"/>
          <w:color w:val="auto"/>
          <w:sz w:val="24"/>
          <w:szCs w:val="22"/>
          <w:u w:val="single"/>
          <w:lang w:val="en-US" w:eastAsia="zh-CN"/>
        </w:rPr>
        <w:t>06</w:t>
      </w:r>
      <w:r>
        <w:rPr>
          <w:rFonts w:hint="eastAsia" w:ascii="仿宋" w:hAnsi="仿宋" w:eastAsia="仿宋" w:cs="仿宋"/>
          <w:b/>
          <w:bCs w:val="0"/>
          <w:color w:val="auto"/>
          <w:sz w:val="24"/>
          <w:szCs w:val="22"/>
          <w:lang w:eastAsia="zh-CN"/>
        </w:rPr>
        <w:t>日至</w:t>
      </w:r>
      <w:r>
        <w:rPr>
          <w:rFonts w:hint="eastAsia" w:ascii="仿宋" w:hAnsi="仿宋" w:eastAsia="仿宋" w:cs="仿宋"/>
          <w:b/>
          <w:bCs w:val="0"/>
          <w:color w:val="auto"/>
          <w:sz w:val="24"/>
          <w:szCs w:val="22"/>
          <w:u w:val="single"/>
          <w:lang w:eastAsia="zh-CN"/>
        </w:rPr>
        <w:t>20</w:t>
      </w:r>
      <w:r>
        <w:rPr>
          <w:rFonts w:hint="eastAsia" w:ascii="仿宋" w:hAnsi="仿宋" w:eastAsia="仿宋" w:cs="仿宋"/>
          <w:b/>
          <w:bCs w:val="0"/>
          <w:color w:val="auto"/>
          <w:sz w:val="24"/>
          <w:szCs w:val="22"/>
          <w:u w:val="single"/>
          <w:lang w:val="en-US" w:eastAsia="zh-CN"/>
        </w:rPr>
        <w:t>22</w:t>
      </w:r>
      <w:r>
        <w:rPr>
          <w:rFonts w:hint="eastAsia" w:ascii="仿宋" w:hAnsi="仿宋" w:eastAsia="仿宋" w:cs="仿宋"/>
          <w:b/>
          <w:bCs w:val="0"/>
          <w:color w:val="auto"/>
          <w:sz w:val="24"/>
          <w:szCs w:val="22"/>
          <w:lang w:eastAsia="zh-CN"/>
        </w:rPr>
        <w:t>年</w:t>
      </w:r>
      <w:r>
        <w:rPr>
          <w:rFonts w:hint="eastAsia" w:ascii="仿宋" w:hAnsi="仿宋" w:eastAsia="仿宋" w:cs="仿宋"/>
          <w:b/>
          <w:bCs w:val="0"/>
          <w:color w:val="auto"/>
          <w:sz w:val="24"/>
          <w:szCs w:val="22"/>
          <w:u w:val="single"/>
          <w:lang w:val="en-US" w:eastAsia="zh-CN"/>
        </w:rPr>
        <w:t>07</w:t>
      </w:r>
      <w:r>
        <w:rPr>
          <w:rFonts w:hint="eastAsia" w:ascii="仿宋" w:hAnsi="仿宋" w:eastAsia="仿宋" w:cs="仿宋"/>
          <w:b/>
          <w:bCs w:val="0"/>
          <w:color w:val="auto"/>
          <w:sz w:val="24"/>
          <w:szCs w:val="22"/>
          <w:lang w:eastAsia="zh-CN"/>
        </w:rPr>
        <w:t>月</w:t>
      </w:r>
      <w:r>
        <w:rPr>
          <w:rFonts w:hint="eastAsia" w:ascii="仿宋" w:hAnsi="仿宋" w:eastAsia="仿宋" w:cs="仿宋"/>
          <w:b/>
          <w:bCs w:val="0"/>
          <w:color w:val="auto"/>
          <w:sz w:val="24"/>
          <w:szCs w:val="22"/>
          <w:u w:val="single"/>
          <w:lang w:val="en-US" w:eastAsia="zh-CN"/>
        </w:rPr>
        <w:t>12</w:t>
      </w:r>
      <w:r>
        <w:rPr>
          <w:rFonts w:hint="eastAsia" w:ascii="仿宋" w:hAnsi="仿宋" w:eastAsia="仿宋" w:cs="仿宋"/>
          <w:b/>
          <w:bCs w:val="0"/>
          <w:color w:val="auto"/>
          <w:sz w:val="24"/>
          <w:szCs w:val="22"/>
          <w:lang w:eastAsia="zh-CN"/>
        </w:rPr>
        <w:t>日</w:t>
      </w:r>
      <w:r>
        <w:rPr>
          <w:rFonts w:hint="eastAsia" w:ascii="仿宋" w:hAnsi="仿宋" w:eastAsia="仿宋" w:cs="仿宋"/>
          <w:b w:val="0"/>
          <w:bCs/>
          <w:color w:val="auto"/>
          <w:sz w:val="24"/>
          <w:szCs w:val="22"/>
          <w:lang w:eastAsia="zh-CN"/>
        </w:rPr>
        <w:t xml:space="preserve">，每天上午 </w:t>
      </w:r>
      <w:r>
        <w:rPr>
          <w:rFonts w:hint="eastAsia" w:ascii="仿宋" w:hAnsi="仿宋" w:eastAsia="仿宋" w:cs="仿宋"/>
          <w:b w:val="0"/>
          <w:bCs/>
          <w:color w:val="auto"/>
          <w:sz w:val="24"/>
          <w:szCs w:val="22"/>
          <w:lang w:val="en-US" w:eastAsia="zh-CN"/>
        </w:rPr>
        <w:t>08:30</w:t>
      </w:r>
      <w:r>
        <w:rPr>
          <w:rFonts w:hint="eastAsia" w:ascii="仿宋" w:hAnsi="仿宋" w:eastAsia="仿宋" w:cs="仿宋"/>
          <w:b w:val="0"/>
          <w:bCs/>
          <w:color w:val="auto"/>
          <w:sz w:val="24"/>
          <w:szCs w:val="22"/>
          <w:lang w:eastAsia="zh-CN"/>
        </w:rPr>
        <w:t xml:space="preserve"> 至12：00，下午 </w:t>
      </w:r>
      <w:r>
        <w:rPr>
          <w:rFonts w:hint="eastAsia" w:ascii="仿宋" w:hAnsi="仿宋" w:eastAsia="仿宋" w:cs="仿宋"/>
          <w:b w:val="0"/>
          <w:bCs/>
          <w:color w:val="auto"/>
          <w:sz w:val="24"/>
          <w:szCs w:val="22"/>
          <w:lang w:val="en-US" w:eastAsia="zh-CN"/>
        </w:rPr>
        <w:t>15</w:t>
      </w:r>
      <w:r>
        <w:rPr>
          <w:rFonts w:hint="eastAsia" w:ascii="仿宋" w:hAnsi="仿宋" w:eastAsia="仿宋" w:cs="仿宋"/>
          <w:b w:val="0"/>
          <w:bCs/>
          <w:color w:val="auto"/>
          <w:sz w:val="24"/>
          <w:szCs w:val="22"/>
          <w:lang w:eastAsia="zh-CN"/>
        </w:rPr>
        <w:t>:</w:t>
      </w:r>
      <w:r>
        <w:rPr>
          <w:rFonts w:hint="eastAsia" w:ascii="仿宋" w:hAnsi="仿宋" w:eastAsia="仿宋" w:cs="仿宋"/>
          <w:b w:val="0"/>
          <w:bCs/>
          <w:color w:val="auto"/>
          <w:sz w:val="24"/>
          <w:szCs w:val="22"/>
          <w:lang w:val="en-US" w:eastAsia="zh-CN"/>
        </w:rPr>
        <w:t>00</w:t>
      </w:r>
      <w:r>
        <w:rPr>
          <w:rFonts w:hint="eastAsia" w:ascii="仿宋" w:hAnsi="仿宋" w:eastAsia="仿宋" w:cs="仿宋"/>
          <w:b w:val="0"/>
          <w:bCs/>
          <w:color w:val="auto"/>
          <w:sz w:val="24"/>
          <w:szCs w:val="22"/>
          <w:lang w:eastAsia="zh-CN"/>
        </w:rPr>
        <w:t xml:space="preserve"> 至 17:</w:t>
      </w:r>
      <w:r>
        <w:rPr>
          <w:rFonts w:hint="eastAsia" w:ascii="仿宋" w:hAnsi="仿宋" w:eastAsia="仿宋" w:cs="仿宋"/>
          <w:b w:val="0"/>
          <w:bCs/>
          <w:color w:val="auto"/>
          <w:sz w:val="24"/>
          <w:szCs w:val="22"/>
          <w:lang w:val="en-US" w:eastAsia="zh-CN"/>
        </w:rPr>
        <w:t>30</w:t>
      </w:r>
      <w:r>
        <w:rPr>
          <w:rFonts w:hint="eastAsia" w:ascii="仿宋" w:hAnsi="仿宋" w:eastAsia="仿宋" w:cs="仿宋"/>
          <w:b w:val="0"/>
          <w:bCs/>
          <w:color w:val="auto"/>
          <w:sz w:val="24"/>
          <w:szCs w:val="22"/>
          <w:lang w:eastAsia="zh-CN"/>
        </w:rPr>
        <w:t>（北京时间，法定节假日除外）。</w:t>
      </w:r>
    </w:p>
    <w:p>
      <w:pPr>
        <w:snapToGrid w:val="0"/>
        <w:spacing w:line="360" w:lineRule="auto"/>
        <w:ind w:firstLine="480"/>
        <w:rPr>
          <w:rFonts w:hint="eastAsia" w:ascii="仿宋" w:hAnsi="仿宋" w:eastAsia="仿宋" w:cs="仿宋"/>
          <w:b w:val="0"/>
          <w:bCs/>
          <w:color w:val="auto"/>
          <w:sz w:val="24"/>
          <w:szCs w:val="22"/>
          <w:lang w:val="en-US" w:eastAsia="zh-CN"/>
        </w:rPr>
      </w:pPr>
      <w:r>
        <w:rPr>
          <w:rFonts w:hint="eastAsia" w:ascii="仿宋" w:hAnsi="仿宋" w:eastAsia="仿宋" w:cs="仿宋"/>
          <w:b w:val="0"/>
          <w:bCs/>
          <w:color w:val="auto"/>
          <w:sz w:val="24"/>
          <w:szCs w:val="22"/>
          <w:lang w:eastAsia="zh-CN"/>
        </w:rPr>
        <w:t>地点：陕西华兴工程咨询有限公司代理部办公室（地址：汉中市汉台区南门十字西南角</w:t>
      </w:r>
      <w:r>
        <w:rPr>
          <w:rFonts w:hint="eastAsia" w:ascii="仿宋" w:hAnsi="仿宋" w:eastAsia="仿宋" w:cs="仿宋"/>
          <w:b w:val="0"/>
          <w:bCs/>
          <w:color w:val="auto"/>
          <w:sz w:val="24"/>
          <w:szCs w:val="22"/>
          <w:lang w:val="en-US" w:eastAsia="zh-CN"/>
        </w:rPr>
        <w:t>35#颐馨园商住楼11楼1102室</w:t>
      </w:r>
      <w:r>
        <w:rPr>
          <w:rFonts w:hint="eastAsia" w:ascii="仿宋" w:hAnsi="仿宋" w:eastAsia="仿宋" w:cs="仿宋"/>
          <w:b w:val="0"/>
          <w:bCs/>
          <w:color w:val="auto"/>
          <w:sz w:val="24"/>
          <w:szCs w:val="22"/>
          <w:lang w:eastAsia="zh-CN"/>
        </w:rPr>
        <w:t>）</w:t>
      </w:r>
    </w:p>
    <w:p>
      <w:pPr>
        <w:snapToGrid w:val="0"/>
        <w:spacing w:line="360" w:lineRule="auto"/>
        <w:ind w:firstLine="480"/>
        <w:rPr>
          <w:rFonts w:hint="eastAsia" w:ascii="仿宋" w:hAnsi="仿宋" w:eastAsia="仿宋" w:cs="仿宋"/>
          <w:b w:val="0"/>
          <w:bCs/>
          <w:color w:val="auto"/>
          <w:sz w:val="24"/>
          <w:szCs w:val="22"/>
          <w:lang w:eastAsia="zh-CN"/>
        </w:rPr>
      </w:pPr>
      <w:r>
        <w:rPr>
          <w:rFonts w:hint="eastAsia" w:ascii="仿宋" w:hAnsi="仿宋" w:eastAsia="仿宋" w:cs="仿宋"/>
          <w:b w:val="0"/>
          <w:bCs/>
          <w:color w:val="auto"/>
          <w:sz w:val="24"/>
          <w:szCs w:val="22"/>
          <w:lang w:eastAsia="zh-CN"/>
        </w:rPr>
        <w:t>方式：</w:t>
      </w:r>
      <w:r>
        <w:rPr>
          <w:rFonts w:hint="eastAsia" w:ascii="仿宋" w:hAnsi="仿宋" w:eastAsia="仿宋" w:cs="仿宋"/>
          <w:b w:val="0"/>
          <w:bCs/>
          <w:color w:val="auto"/>
          <w:sz w:val="24"/>
          <w:szCs w:val="22"/>
          <w:lang w:eastAsia="zh-CN"/>
        </w:rPr>
        <w:sym w:font="Wingdings 2" w:char="0052"/>
      </w:r>
      <w:r>
        <w:rPr>
          <w:rFonts w:hint="eastAsia" w:ascii="仿宋" w:hAnsi="仿宋" w:eastAsia="仿宋" w:cs="仿宋"/>
          <w:b w:val="0"/>
          <w:bCs/>
          <w:color w:val="auto"/>
          <w:sz w:val="24"/>
          <w:szCs w:val="22"/>
          <w:lang w:eastAsia="zh-CN"/>
        </w:rPr>
        <w:t>现场购买/</w:t>
      </w:r>
      <w:r>
        <w:rPr>
          <w:rFonts w:hint="eastAsia" w:ascii="仿宋" w:hAnsi="仿宋" w:eastAsia="仿宋" w:cs="仿宋"/>
          <w:b w:val="0"/>
          <w:bCs/>
          <w:color w:val="auto"/>
          <w:sz w:val="24"/>
          <w:szCs w:val="22"/>
          <w:lang w:eastAsia="zh-CN"/>
        </w:rPr>
        <w:sym w:font="Wingdings 2" w:char="00A3"/>
      </w:r>
      <w:r>
        <w:rPr>
          <w:rFonts w:hint="eastAsia" w:ascii="仿宋" w:hAnsi="仿宋" w:eastAsia="仿宋" w:cs="仿宋"/>
          <w:b w:val="0"/>
          <w:bCs/>
          <w:color w:val="auto"/>
          <w:sz w:val="24"/>
          <w:szCs w:val="22"/>
          <w:lang w:eastAsia="zh-CN"/>
        </w:rPr>
        <w:t>邮寄</w:t>
      </w:r>
    </w:p>
    <w:p>
      <w:pPr>
        <w:snapToGrid w:val="0"/>
        <w:spacing w:line="360" w:lineRule="auto"/>
        <w:ind w:firstLine="480"/>
        <w:rPr>
          <w:rFonts w:hint="eastAsia" w:ascii="仿宋" w:hAnsi="仿宋" w:eastAsia="仿宋" w:cs="仿宋"/>
          <w:b w:val="0"/>
          <w:bCs/>
          <w:color w:val="auto"/>
          <w:sz w:val="24"/>
        </w:rPr>
      </w:pPr>
      <w:r>
        <w:rPr>
          <w:rFonts w:hint="eastAsia" w:ascii="仿宋" w:hAnsi="仿宋" w:eastAsia="仿宋" w:cs="仿宋"/>
          <w:b w:val="0"/>
          <w:bCs/>
          <w:color w:val="auto"/>
          <w:sz w:val="24"/>
          <w:szCs w:val="22"/>
          <w:lang w:eastAsia="zh-CN"/>
        </w:rPr>
        <w:t>售价：每套500元（人民币），售后不退</w:t>
      </w:r>
      <w:r>
        <w:rPr>
          <w:rFonts w:hint="eastAsia" w:ascii="仿宋" w:hAnsi="仿宋" w:eastAsia="仿宋" w:cs="仿宋"/>
          <w:b w:val="0"/>
          <w:bCs/>
          <w:color w:val="auto"/>
          <w:sz w:val="22"/>
          <w:szCs w:val="22"/>
        </w:rPr>
        <w:t>。</w:t>
      </w:r>
    </w:p>
    <w:p>
      <w:pPr>
        <w:snapToGrid w:val="0"/>
        <w:spacing w:line="360" w:lineRule="auto"/>
        <w:ind w:firstLine="480"/>
        <w:rPr>
          <w:rFonts w:hint="eastAsia" w:ascii="仿宋" w:hAnsi="仿宋" w:eastAsia="仿宋" w:cs="仿宋"/>
          <w:b/>
          <w:color w:val="auto"/>
          <w:sz w:val="28"/>
        </w:rPr>
      </w:pPr>
      <w:r>
        <w:rPr>
          <w:rFonts w:hint="eastAsia" w:ascii="仿宋" w:hAnsi="仿宋" w:eastAsia="仿宋" w:cs="仿宋"/>
          <w:b/>
          <w:color w:val="auto"/>
          <w:sz w:val="28"/>
        </w:rPr>
        <w:t>四、响应文件</w:t>
      </w:r>
      <w:r>
        <w:rPr>
          <w:rFonts w:hint="eastAsia" w:ascii="仿宋" w:hAnsi="仿宋" w:eastAsia="仿宋" w:cs="仿宋"/>
          <w:b/>
          <w:color w:val="auto"/>
          <w:sz w:val="28"/>
          <w:lang w:eastAsia="zh-CN"/>
        </w:rPr>
        <w:t>提</w:t>
      </w:r>
      <w:r>
        <w:rPr>
          <w:rFonts w:hint="eastAsia" w:ascii="仿宋" w:hAnsi="仿宋" w:eastAsia="仿宋" w:cs="仿宋"/>
          <w:b/>
          <w:color w:val="auto"/>
          <w:sz w:val="28"/>
        </w:rPr>
        <w:t>交</w:t>
      </w:r>
    </w:p>
    <w:p>
      <w:pPr>
        <w:snapToGrid w:val="0"/>
        <w:spacing w:line="360" w:lineRule="auto"/>
        <w:ind w:firstLine="480"/>
        <w:rPr>
          <w:rFonts w:hint="eastAsia" w:ascii="仿宋" w:hAnsi="仿宋" w:eastAsia="仿宋" w:cs="仿宋"/>
          <w:b w:val="0"/>
          <w:bCs/>
          <w:color w:val="auto"/>
          <w:sz w:val="24"/>
          <w:szCs w:val="22"/>
        </w:rPr>
      </w:pPr>
      <w:r>
        <w:rPr>
          <w:rFonts w:hint="eastAsia" w:ascii="仿宋" w:hAnsi="仿宋" w:eastAsia="仿宋" w:cs="仿宋"/>
          <w:b w:val="0"/>
          <w:bCs/>
          <w:color w:val="auto"/>
          <w:sz w:val="24"/>
          <w:szCs w:val="22"/>
        </w:rPr>
        <w:t xml:space="preserve">截止时间： </w:t>
      </w:r>
      <w:r>
        <w:rPr>
          <w:rFonts w:hint="eastAsia" w:ascii="仿宋" w:hAnsi="仿宋" w:eastAsia="仿宋" w:cs="仿宋"/>
          <w:b/>
          <w:bCs w:val="0"/>
          <w:color w:val="auto"/>
          <w:sz w:val="24"/>
          <w:szCs w:val="22"/>
        </w:rPr>
        <w:t>202</w:t>
      </w:r>
      <w:r>
        <w:rPr>
          <w:rFonts w:hint="eastAsia" w:ascii="仿宋" w:hAnsi="仿宋" w:eastAsia="仿宋" w:cs="仿宋"/>
          <w:b/>
          <w:bCs w:val="0"/>
          <w:color w:val="auto"/>
          <w:sz w:val="24"/>
          <w:szCs w:val="22"/>
          <w:lang w:val="en-US" w:eastAsia="zh-CN"/>
        </w:rPr>
        <w:t>2</w:t>
      </w:r>
      <w:r>
        <w:rPr>
          <w:rFonts w:hint="eastAsia" w:ascii="仿宋" w:hAnsi="仿宋" w:eastAsia="仿宋" w:cs="仿宋"/>
          <w:b/>
          <w:bCs w:val="0"/>
          <w:color w:val="auto"/>
          <w:sz w:val="24"/>
          <w:szCs w:val="22"/>
        </w:rPr>
        <w:t>年</w:t>
      </w:r>
      <w:r>
        <w:rPr>
          <w:rFonts w:hint="eastAsia" w:ascii="仿宋" w:hAnsi="仿宋" w:eastAsia="仿宋" w:cs="仿宋"/>
          <w:b/>
          <w:bCs w:val="0"/>
          <w:color w:val="auto"/>
          <w:sz w:val="24"/>
          <w:szCs w:val="22"/>
          <w:lang w:val="en-US" w:eastAsia="zh-CN"/>
        </w:rPr>
        <w:t>07</w:t>
      </w:r>
      <w:r>
        <w:rPr>
          <w:rFonts w:hint="eastAsia" w:ascii="仿宋" w:hAnsi="仿宋" w:eastAsia="仿宋" w:cs="仿宋"/>
          <w:b/>
          <w:bCs w:val="0"/>
          <w:color w:val="auto"/>
          <w:sz w:val="24"/>
          <w:szCs w:val="22"/>
        </w:rPr>
        <w:t>月</w:t>
      </w:r>
      <w:r>
        <w:rPr>
          <w:rFonts w:hint="eastAsia" w:ascii="仿宋" w:hAnsi="仿宋" w:eastAsia="仿宋" w:cs="仿宋"/>
          <w:b/>
          <w:bCs w:val="0"/>
          <w:color w:val="auto"/>
          <w:sz w:val="24"/>
          <w:szCs w:val="22"/>
          <w:lang w:val="en-US" w:eastAsia="zh-CN"/>
        </w:rPr>
        <w:t>19</w:t>
      </w:r>
      <w:r>
        <w:rPr>
          <w:rFonts w:hint="eastAsia" w:ascii="仿宋" w:hAnsi="仿宋" w:eastAsia="仿宋" w:cs="仿宋"/>
          <w:b/>
          <w:bCs w:val="0"/>
          <w:color w:val="auto"/>
          <w:sz w:val="24"/>
          <w:szCs w:val="22"/>
        </w:rPr>
        <w:t>日</w:t>
      </w:r>
      <w:r>
        <w:rPr>
          <w:rFonts w:hint="eastAsia" w:ascii="仿宋" w:hAnsi="仿宋" w:eastAsia="仿宋" w:cs="仿宋"/>
          <w:b/>
          <w:bCs w:val="0"/>
          <w:color w:val="auto"/>
          <w:sz w:val="24"/>
          <w:szCs w:val="22"/>
          <w:lang w:val="en-US" w:eastAsia="zh-CN"/>
        </w:rPr>
        <w:t>09</w:t>
      </w:r>
      <w:r>
        <w:rPr>
          <w:rFonts w:hint="eastAsia" w:ascii="仿宋" w:hAnsi="仿宋" w:eastAsia="仿宋" w:cs="仿宋"/>
          <w:b/>
          <w:bCs w:val="0"/>
          <w:color w:val="auto"/>
          <w:sz w:val="24"/>
          <w:szCs w:val="22"/>
        </w:rPr>
        <w:t>时</w:t>
      </w:r>
      <w:r>
        <w:rPr>
          <w:rFonts w:hint="eastAsia" w:ascii="仿宋" w:hAnsi="仿宋" w:eastAsia="仿宋" w:cs="仿宋"/>
          <w:b/>
          <w:bCs w:val="0"/>
          <w:color w:val="auto"/>
          <w:sz w:val="24"/>
          <w:szCs w:val="22"/>
          <w:lang w:val="en-US" w:eastAsia="zh-CN"/>
        </w:rPr>
        <w:t>30</w:t>
      </w:r>
      <w:r>
        <w:rPr>
          <w:rFonts w:hint="eastAsia" w:ascii="仿宋" w:hAnsi="仿宋" w:eastAsia="仿宋" w:cs="仿宋"/>
          <w:b/>
          <w:bCs w:val="0"/>
          <w:color w:val="auto"/>
          <w:sz w:val="24"/>
          <w:szCs w:val="22"/>
        </w:rPr>
        <w:t>分</w:t>
      </w:r>
      <w:r>
        <w:rPr>
          <w:rFonts w:hint="eastAsia" w:ascii="仿宋" w:hAnsi="仿宋" w:eastAsia="仿宋" w:cs="仿宋"/>
          <w:b w:val="0"/>
          <w:bCs/>
          <w:color w:val="auto"/>
          <w:sz w:val="24"/>
          <w:szCs w:val="22"/>
        </w:rPr>
        <w:t>（北京时间）</w:t>
      </w:r>
    </w:p>
    <w:p>
      <w:pPr>
        <w:snapToGrid w:val="0"/>
        <w:spacing w:line="360" w:lineRule="auto"/>
        <w:ind w:firstLine="480"/>
        <w:rPr>
          <w:rFonts w:hint="eastAsia" w:ascii="仿宋" w:hAnsi="仿宋" w:eastAsia="仿宋" w:cs="仿宋"/>
          <w:b w:val="0"/>
          <w:bCs/>
          <w:color w:val="auto"/>
          <w:sz w:val="22"/>
          <w:szCs w:val="22"/>
        </w:rPr>
      </w:pPr>
      <w:r>
        <w:rPr>
          <w:rFonts w:hint="eastAsia" w:ascii="仿宋" w:hAnsi="仿宋" w:eastAsia="仿宋" w:cs="仿宋"/>
          <w:b w:val="0"/>
          <w:bCs/>
          <w:color w:val="auto"/>
          <w:sz w:val="24"/>
          <w:szCs w:val="22"/>
        </w:rPr>
        <w:t>地点：</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p>
    <w:p>
      <w:pPr>
        <w:snapToGrid w:val="0"/>
        <w:spacing w:line="276" w:lineRule="auto"/>
        <w:ind w:firstLine="480"/>
        <w:rPr>
          <w:rFonts w:hint="eastAsia" w:ascii="仿宋" w:hAnsi="仿宋" w:eastAsia="仿宋" w:cs="仿宋"/>
          <w:b/>
          <w:color w:val="auto"/>
          <w:sz w:val="28"/>
          <w:szCs w:val="24"/>
        </w:rPr>
      </w:pPr>
      <w:r>
        <w:rPr>
          <w:rFonts w:hint="eastAsia" w:ascii="仿宋" w:hAnsi="仿宋" w:eastAsia="仿宋" w:cs="仿宋"/>
          <w:b/>
          <w:color w:val="auto"/>
          <w:sz w:val="28"/>
          <w:szCs w:val="24"/>
        </w:rPr>
        <w:t>五、开启：</w:t>
      </w:r>
    </w:p>
    <w:p>
      <w:pPr>
        <w:snapToGrid w:val="0"/>
        <w:spacing w:line="360" w:lineRule="auto"/>
        <w:ind w:firstLine="480"/>
        <w:rPr>
          <w:rFonts w:hint="eastAsia" w:ascii="仿宋" w:hAnsi="仿宋" w:eastAsia="仿宋" w:cs="仿宋"/>
          <w:b w:val="0"/>
          <w:bCs/>
          <w:color w:val="auto"/>
          <w:sz w:val="24"/>
          <w:szCs w:val="22"/>
        </w:rPr>
      </w:pPr>
      <w:r>
        <w:rPr>
          <w:rFonts w:hint="eastAsia" w:ascii="仿宋" w:hAnsi="仿宋" w:eastAsia="仿宋" w:cs="仿宋"/>
          <w:b w:val="0"/>
          <w:bCs/>
          <w:color w:val="auto"/>
          <w:sz w:val="24"/>
          <w:szCs w:val="22"/>
        </w:rPr>
        <w:t xml:space="preserve">时间： </w:t>
      </w:r>
      <w:r>
        <w:rPr>
          <w:rFonts w:hint="eastAsia" w:ascii="仿宋" w:hAnsi="仿宋" w:eastAsia="仿宋" w:cs="仿宋"/>
          <w:b/>
          <w:bCs w:val="0"/>
          <w:color w:val="auto"/>
          <w:sz w:val="24"/>
          <w:szCs w:val="22"/>
        </w:rPr>
        <w:t>202</w:t>
      </w:r>
      <w:r>
        <w:rPr>
          <w:rFonts w:hint="eastAsia" w:ascii="仿宋" w:hAnsi="仿宋" w:eastAsia="仿宋" w:cs="仿宋"/>
          <w:b/>
          <w:bCs w:val="0"/>
          <w:color w:val="auto"/>
          <w:sz w:val="24"/>
          <w:szCs w:val="22"/>
          <w:lang w:val="en-US" w:eastAsia="zh-CN"/>
        </w:rPr>
        <w:t>2</w:t>
      </w:r>
      <w:r>
        <w:rPr>
          <w:rFonts w:hint="eastAsia" w:ascii="仿宋" w:hAnsi="仿宋" w:eastAsia="仿宋" w:cs="仿宋"/>
          <w:b/>
          <w:bCs w:val="0"/>
          <w:color w:val="auto"/>
          <w:sz w:val="24"/>
          <w:szCs w:val="22"/>
        </w:rPr>
        <w:t>年</w:t>
      </w:r>
      <w:r>
        <w:rPr>
          <w:rFonts w:hint="eastAsia" w:ascii="仿宋" w:hAnsi="仿宋" w:eastAsia="仿宋" w:cs="仿宋"/>
          <w:b/>
          <w:bCs w:val="0"/>
          <w:color w:val="auto"/>
          <w:sz w:val="24"/>
          <w:szCs w:val="22"/>
          <w:lang w:val="en-US" w:eastAsia="zh-CN"/>
        </w:rPr>
        <w:t>07</w:t>
      </w:r>
      <w:r>
        <w:rPr>
          <w:rFonts w:hint="eastAsia" w:ascii="仿宋" w:hAnsi="仿宋" w:eastAsia="仿宋" w:cs="仿宋"/>
          <w:b/>
          <w:bCs w:val="0"/>
          <w:color w:val="auto"/>
          <w:sz w:val="24"/>
          <w:szCs w:val="22"/>
        </w:rPr>
        <w:t>月</w:t>
      </w:r>
      <w:r>
        <w:rPr>
          <w:rFonts w:hint="eastAsia" w:ascii="仿宋" w:hAnsi="仿宋" w:eastAsia="仿宋" w:cs="仿宋"/>
          <w:b/>
          <w:bCs w:val="0"/>
          <w:color w:val="auto"/>
          <w:sz w:val="24"/>
          <w:szCs w:val="22"/>
          <w:lang w:val="en-US" w:eastAsia="zh-CN"/>
        </w:rPr>
        <w:t>19</w:t>
      </w:r>
      <w:r>
        <w:rPr>
          <w:rFonts w:hint="eastAsia" w:ascii="仿宋" w:hAnsi="仿宋" w:eastAsia="仿宋" w:cs="仿宋"/>
          <w:b/>
          <w:bCs w:val="0"/>
          <w:color w:val="auto"/>
          <w:sz w:val="24"/>
          <w:szCs w:val="22"/>
        </w:rPr>
        <w:t>日</w:t>
      </w:r>
      <w:r>
        <w:rPr>
          <w:rFonts w:hint="eastAsia" w:ascii="仿宋" w:hAnsi="仿宋" w:eastAsia="仿宋" w:cs="仿宋"/>
          <w:b/>
          <w:bCs w:val="0"/>
          <w:color w:val="auto"/>
          <w:sz w:val="24"/>
          <w:szCs w:val="22"/>
          <w:lang w:val="en-US" w:eastAsia="zh-CN"/>
        </w:rPr>
        <w:t>09</w:t>
      </w:r>
      <w:r>
        <w:rPr>
          <w:rFonts w:hint="eastAsia" w:ascii="仿宋" w:hAnsi="仿宋" w:eastAsia="仿宋" w:cs="仿宋"/>
          <w:b/>
          <w:bCs w:val="0"/>
          <w:color w:val="auto"/>
          <w:sz w:val="24"/>
          <w:szCs w:val="22"/>
        </w:rPr>
        <w:t>时</w:t>
      </w:r>
      <w:r>
        <w:rPr>
          <w:rFonts w:hint="eastAsia" w:ascii="仿宋" w:hAnsi="仿宋" w:eastAsia="仿宋" w:cs="仿宋"/>
          <w:b/>
          <w:bCs w:val="0"/>
          <w:color w:val="auto"/>
          <w:sz w:val="24"/>
          <w:szCs w:val="22"/>
          <w:lang w:val="en-US" w:eastAsia="zh-CN"/>
        </w:rPr>
        <w:t>30</w:t>
      </w:r>
      <w:r>
        <w:rPr>
          <w:rFonts w:hint="eastAsia" w:ascii="仿宋" w:hAnsi="仿宋" w:eastAsia="仿宋" w:cs="仿宋"/>
          <w:b/>
          <w:bCs w:val="0"/>
          <w:color w:val="auto"/>
          <w:sz w:val="24"/>
          <w:szCs w:val="22"/>
        </w:rPr>
        <w:t>分</w:t>
      </w:r>
      <w:r>
        <w:rPr>
          <w:rFonts w:hint="eastAsia" w:ascii="仿宋" w:hAnsi="仿宋" w:eastAsia="仿宋" w:cs="仿宋"/>
          <w:b w:val="0"/>
          <w:bCs/>
          <w:color w:val="auto"/>
          <w:sz w:val="24"/>
          <w:szCs w:val="22"/>
        </w:rPr>
        <w:t>（北京时间）</w:t>
      </w:r>
    </w:p>
    <w:p>
      <w:pPr>
        <w:snapToGrid w:val="0"/>
        <w:spacing w:line="360" w:lineRule="auto"/>
        <w:ind w:left="1259" w:leftChars="228" w:hanging="780" w:firstLineChars="0"/>
        <w:rPr>
          <w:rFonts w:hint="eastAsia" w:ascii="仿宋" w:hAnsi="仿宋" w:eastAsia="仿宋" w:cs="仿宋"/>
          <w:b w:val="0"/>
          <w:bCs/>
          <w:color w:val="auto"/>
          <w:sz w:val="28"/>
        </w:rPr>
      </w:pPr>
      <w:r>
        <w:rPr>
          <w:rFonts w:hint="eastAsia" w:ascii="仿宋" w:hAnsi="仿宋" w:eastAsia="仿宋" w:cs="仿宋"/>
          <w:b w:val="0"/>
          <w:bCs/>
          <w:color w:val="auto"/>
          <w:sz w:val="24"/>
          <w:szCs w:val="22"/>
        </w:rPr>
        <w:t>地点：</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r>
        <w:rPr>
          <w:rFonts w:hint="eastAsia" w:ascii="仿宋" w:hAnsi="仿宋" w:eastAsia="仿宋" w:cs="仿宋"/>
          <w:b w:val="0"/>
          <w:bCs/>
          <w:color w:val="auto"/>
          <w:sz w:val="28"/>
        </w:rPr>
        <w:t>。</w:t>
      </w:r>
    </w:p>
    <w:p>
      <w:pPr>
        <w:snapToGrid w:val="0"/>
        <w:spacing w:after="120" w:afterLines="50" w:line="276" w:lineRule="auto"/>
        <w:ind w:firstLine="482"/>
        <w:rPr>
          <w:rFonts w:hint="eastAsia" w:ascii="仿宋" w:hAnsi="仿宋" w:eastAsia="仿宋" w:cs="仿宋"/>
          <w:b/>
          <w:color w:val="auto"/>
          <w:sz w:val="28"/>
          <w:lang w:val="en-US" w:eastAsia="zh-CN"/>
        </w:rPr>
      </w:pPr>
      <w:r>
        <w:rPr>
          <w:rFonts w:hint="eastAsia" w:ascii="仿宋" w:hAnsi="仿宋" w:eastAsia="仿宋" w:cs="仿宋"/>
          <w:b/>
          <w:color w:val="auto"/>
          <w:sz w:val="28"/>
        </w:rPr>
        <w:t>六、</w:t>
      </w:r>
      <w:r>
        <w:rPr>
          <w:rFonts w:hint="eastAsia" w:ascii="仿宋" w:hAnsi="仿宋" w:eastAsia="仿宋" w:cs="仿宋"/>
          <w:b/>
          <w:color w:val="auto"/>
          <w:sz w:val="28"/>
          <w:lang w:val="en-US" w:eastAsia="zh-CN"/>
        </w:rPr>
        <w:t>公告期限</w:t>
      </w:r>
    </w:p>
    <w:p>
      <w:pPr>
        <w:snapToGrid w:val="0"/>
        <w:spacing w:after="120" w:afterLines="50" w:line="276" w:lineRule="auto"/>
        <w:ind w:firstLine="1031" w:firstLineChars="428"/>
        <w:rPr>
          <w:rFonts w:hint="eastAsia" w:ascii="仿宋" w:hAnsi="仿宋" w:eastAsia="仿宋" w:cs="仿宋"/>
          <w:b/>
          <w:color w:val="auto"/>
          <w:sz w:val="28"/>
          <w:lang w:val="en-US" w:eastAsia="zh-CN"/>
        </w:rPr>
      </w:pPr>
      <w:r>
        <w:rPr>
          <w:rFonts w:hint="eastAsia" w:ascii="仿宋" w:hAnsi="仿宋" w:eastAsia="仿宋" w:cs="仿宋"/>
          <w:b/>
          <w:color w:val="auto"/>
          <w:sz w:val="24"/>
          <w:szCs w:val="22"/>
          <w:lang w:val="en-US" w:eastAsia="zh-CN"/>
        </w:rPr>
        <w:t>自本公告发布之日起</w:t>
      </w:r>
      <w:r>
        <w:rPr>
          <w:rFonts w:hint="eastAsia" w:ascii="仿宋" w:hAnsi="仿宋" w:eastAsia="仿宋" w:cs="仿宋"/>
          <w:b/>
          <w:color w:val="auto"/>
          <w:sz w:val="24"/>
          <w:szCs w:val="22"/>
          <w:u w:val="single"/>
          <w:lang w:val="en-US" w:eastAsia="zh-CN"/>
        </w:rPr>
        <w:t xml:space="preserve"> 3 </w:t>
      </w:r>
      <w:r>
        <w:rPr>
          <w:rFonts w:hint="eastAsia" w:ascii="仿宋" w:hAnsi="仿宋" w:eastAsia="仿宋" w:cs="仿宋"/>
          <w:b/>
          <w:color w:val="auto"/>
          <w:sz w:val="24"/>
          <w:szCs w:val="22"/>
          <w:lang w:val="en-US" w:eastAsia="zh-CN"/>
        </w:rPr>
        <w:t>个工作日</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eastAsia="zh-CN"/>
        </w:rPr>
        <w:t>七、</w:t>
      </w:r>
      <w:r>
        <w:rPr>
          <w:rFonts w:hint="eastAsia" w:ascii="仿宋" w:hAnsi="仿宋" w:eastAsia="仿宋" w:cs="仿宋"/>
          <w:b/>
          <w:bCs/>
          <w:color w:val="auto"/>
          <w:kern w:val="0"/>
          <w:sz w:val="28"/>
          <w:szCs w:val="28"/>
        </w:rPr>
        <w:t>其他补充事宜：</w:t>
      </w:r>
    </w:p>
    <w:p>
      <w:pPr>
        <w:pageBreakBefore w:val="0"/>
        <w:widowControl w:val="0"/>
        <w:kinsoku/>
        <w:wordWrap/>
        <w:overflowPunct/>
        <w:topLinePunct w:val="0"/>
        <w:autoSpaceDE/>
        <w:autoSpaceDN/>
        <w:bidi w:val="0"/>
        <w:adjustRightInd/>
        <w:snapToGrid/>
        <w:spacing w:line="360" w:lineRule="auto"/>
        <w:ind w:left="420" w:leftChars="200" w:firstLine="600" w:firstLineChars="25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注：1</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经办人持企业单位介绍信、授权委托书 (委托代理人办理的，代理人必须持有企业法人代表签署的授权委托书原件）加盖公章的身份证复印件、原件购买竞争性磋商文件（谢绝邮寄）；</w:t>
      </w:r>
    </w:p>
    <w:p>
      <w:pPr>
        <w:pageBreakBefore w:val="0"/>
        <w:widowControl w:val="0"/>
        <w:kinsoku/>
        <w:wordWrap/>
        <w:overflowPunct/>
        <w:topLinePunct w:val="0"/>
        <w:autoSpaceDE/>
        <w:autoSpaceDN/>
        <w:bidi w:val="0"/>
        <w:adjustRightInd/>
        <w:snapToGrid/>
        <w:spacing w:line="360" w:lineRule="auto"/>
        <w:ind w:left="420" w:leftChars="200" w:firstLine="600" w:firstLineChars="250"/>
        <w:textAlignment w:val="auto"/>
        <w:rPr>
          <w:rFonts w:hint="eastAsia"/>
          <w:color w:val="auto"/>
          <w:sz w:val="20"/>
          <w:szCs w:val="22"/>
        </w:rPr>
      </w:pPr>
      <w:r>
        <w:rPr>
          <w:rFonts w:hint="eastAsia" w:ascii="仿宋" w:hAnsi="仿宋" w:eastAsia="仿宋" w:cs="仿宋"/>
          <w:color w:val="auto"/>
          <w:sz w:val="24"/>
          <w:szCs w:val="24"/>
          <w:u w:val="none"/>
          <w:lang w:eastAsia="zh-CN"/>
        </w:rPr>
        <w:t>2.请供应商按照陕西省财政厅关于政府采购供应商注册登记有关事项的通知中的要求，通过陕西省政府采购（</w:t>
      </w:r>
      <w:r>
        <w:rPr>
          <w:rFonts w:hint="eastAsia" w:ascii="仿宋" w:hAnsi="仿宋" w:eastAsia="仿宋" w:cs="仿宋"/>
          <w:color w:val="auto"/>
          <w:sz w:val="24"/>
          <w:szCs w:val="24"/>
          <w:u w:val="none"/>
          <w:lang w:eastAsia="zh-CN"/>
        </w:rPr>
        <w:fldChar w:fldCharType="begin"/>
      </w:r>
      <w:r>
        <w:rPr>
          <w:rFonts w:hint="eastAsia" w:ascii="仿宋" w:hAnsi="仿宋" w:eastAsia="仿宋" w:cs="仿宋"/>
          <w:color w:val="auto"/>
          <w:sz w:val="24"/>
          <w:szCs w:val="24"/>
          <w:u w:val="none"/>
          <w:lang w:eastAsia="zh-CN"/>
        </w:rPr>
        <w:instrText xml:space="preserve"> HYPERLINK "http://www.ccgp-shaanxi.gov.cn/" \h </w:instrText>
      </w:r>
      <w:r>
        <w:rPr>
          <w:rFonts w:hint="eastAsia" w:ascii="仿宋" w:hAnsi="仿宋" w:eastAsia="仿宋" w:cs="仿宋"/>
          <w:color w:val="auto"/>
          <w:sz w:val="24"/>
          <w:szCs w:val="24"/>
          <w:u w:val="none"/>
          <w:lang w:eastAsia="zh-CN"/>
        </w:rPr>
        <w:fldChar w:fldCharType="separate"/>
      </w:r>
      <w:r>
        <w:rPr>
          <w:rFonts w:hint="eastAsia" w:ascii="仿宋" w:hAnsi="仿宋" w:eastAsia="仿宋" w:cs="仿宋"/>
          <w:color w:val="auto"/>
          <w:sz w:val="24"/>
          <w:szCs w:val="24"/>
          <w:u w:val="none"/>
          <w:lang w:eastAsia="zh-CN"/>
        </w:rPr>
        <w:t>http://www.ccgp-shaanxi.gov.cn/</w:t>
      </w:r>
      <w:r>
        <w:rPr>
          <w:rFonts w:hint="eastAsia" w:ascii="仿宋" w:hAnsi="仿宋" w:eastAsia="仿宋" w:cs="仿宋"/>
          <w:color w:val="auto"/>
          <w:sz w:val="24"/>
          <w:szCs w:val="24"/>
          <w:u w:val="none"/>
          <w:lang w:eastAsia="zh-CN"/>
        </w:rPr>
        <w:fldChar w:fldCharType="end"/>
      </w:r>
      <w:r>
        <w:rPr>
          <w:rFonts w:hint="eastAsia" w:ascii="仿宋" w:hAnsi="仿宋" w:eastAsia="仿宋" w:cs="仿宋"/>
          <w:color w:val="auto"/>
          <w:sz w:val="24"/>
          <w:szCs w:val="24"/>
          <w:u w:val="none"/>
          <w:lang w:eastAsia="zh-CN"/>
        </w:rPr>
        <w:t>） 注册登记加入陕西省政府采购供应商库。</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eastAsia="zh-CN"/>
        </w:rPr>
        <w:t>八</w:t>
      </w:r>
      <w:r>
        <w:rPr>
          <w:rFonts w:hint="eastAsia" w:ascii="仿宋" w:hAnsi="仿宋" w:eastAsia="仿宋" w:cs="仿宋"/>
          <w:b/>
          <w:bCs/>
          <w:color w:val="auto"/>
          <w:kern w:val="0"/>
          <w:sz w:val="28"/>
          <w:szCs w:val="28"/>
        </w:rPr>
        <w:t>、对本次采购提出询问，请按以下方式联系。</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1、采购人信息：</w:t>
      </w:r>
      <w:r>
        <w:rPr>
          <w:rFonts w:hint="eastAsia" w:ascii="仿宋" w:hAnsi="仿宋" w:eastAsia="仿宋" w:cs="仿宋"/>
          <w:color w:val="auto"/>
          <w:sz w:val="24"/>
          <w:lang w:eastAsia="zh-CN"/>
        </w:rPr>
        <w:t>汉中市南郑区阳春镇人民政府</w:t>
      </w:r>
    </w:p>
    <w:p>
      <w:pPr>
        <w:snapToGrid w:val="0"/>
        <w:spacing w:line="360" w:lineRule="auto"/>
        <w:ind w:left="0" w:leftChars="0" w:firstLine="840" w:firstLineChars="350"/>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eastAsia="zh-CN"/>
        </w:rPr>
        <w:t>汉中市南郑区阳春镇人民政府经办</w:t>
      </w:r>
      <w:r>
        <w:rPr>
          <w:rFonts w:hint="eastAsia" w:ascii="仿宋" w:hAnsi="仿宋" w:eastAsia="仿宋" w:cs="仿宋"/>
          <w:color w:val="auto"/>
          <w:sz w:val="24"/>
        </w:rPr>
        <w:t xml:space="preserve"> </w:t>
      </w:r>
    </w:p>
    <w:p>
      <w:pPr>
        <w:snapToGrid w:val="0"/>
        <w:spacing w:line="360" w:lineRule="auto"/>
        <w:ind w:firstLine="787" w:firstLineChars="328"/>
        <w:rPr>
          <w:rFonts w:hint="eastAsia" w:ascii="仿宋" w:hAnsi="仿宋" w:eastAsia="仿宋" w:cs="仿宋"/>
          <w:color w:val="auto"/>
          <w:sz w:val="24"/>
          <w:lang w:eastAsia="zh-CN"/>
        </w:rPr>
      </w:pPr>
      <w:r>
        <w:rPr>
          <w:rFonts w:hint="eastAsia" w:ascii="仿宋" w:hAnsi="仿宋" w:eastAsia="仿宋" w:cs="仿宋"/>
          <w:color w:val="auto"/>
          <w:sz w:val="24"/>
        </w:rPr>
        <w:t>联系地址：</w:t>
      </w:r>
      <w:r>
        <w:rPr>
          <w:rFonts w:hint="eastAsia" w:ascii="仿宋" w:hAnsi="仿宋" w:eastAsia="仿宋" w:cs="仿宋"/>
          <w:color w:val="auto"/>
          <w:sz w:val="24"/>
          <w:lang w:eastAsia="zh-CN"/>
        </w:rPr>
        <w:t>汉中市南郑区阳春镇安坎村</w:t>
      </w:r>
    </w:p>
    <w:p>
      <w:pPr>
        <w:snapToGrid w:val="0"/>
        <w:spacing w:line="360" w:lineRule="auto"/>
        <w:ind w:firstLine="787" w:firstLineChars="328"/>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0916-5679137</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采购代理机构信息</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名称：陕西华兴工程咨询有限公司</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地址：汉中市汉台区南门十字西南角35#颐馨园商住楼11楼</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联系方式：18691605987</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eastAsia="zh-CN"/>
        </w:rPr>
        <w:t>项目联系方式</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项目联系人：鲁女士</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电话：18691605987</w:t>
      </w:r>
    </w:p>
    <w:p>
      <w:pPr>
        <w:pStyle w:val="14"/>
        <w:rPr>
          <w:rFonts w:hint="eastAsia" w:ascii="仿宋" w:hAnsi="仿宋" w:eastAsia="仿宋" w:cs="仿宋"/>
          <w:color w:val="auto"/>
          <w:sz w:val="24"/>
          <w:lang w:val="en-US" w:eastAsia="zh-CN"/>
        </w:rPr>
      </w:pPr>
    </w:p>
    <w:p>
      <w:pPr>
        <w:rPr>
          <w:rFonts w:hint="eastAsia" w:ascii="仿宋" w:hAnsi="仿宋" w:eastAsia="仿宋" w:cs="仿宋"/>
          <w:color w:val="auto"/>
          <w:sz w:val="24"/>
          <w:lang w:val="en-US" w:eastAsia="zh-CN"/>
        </w:rPr>
      </w:pPr>
    </w:p>
    <w:p>
      <w:pPr>
        <w:pStyle w:val="14"/>
        <w:rPr>
          <w:rFonts w:hint="eastAsia" w:ascii="仿宋" w:hAnsi="仿宋" w:eastAsia="仿宋" w:cs="仿宋"/>
          <w:color w:val="auto"/>
          <w:sz w:val="24"/>
          <w:lang w:val="en-US" w:eastAsia="zh-CN"/>
        </w:rPr>
      </w:pPr>
    </w:p>
    <w:p>
      <w:pPr>
        <w:rPr>
          <w:rFonts w:hint="eastAsia"/>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pStyle w:val="4"/>
        <w:numPr>
          <w:ilvl w:val="0"/>
          <w:numId w:val="1"/>
        </w:numPr>
        <w:rPr>
          <w:rFonts w:hint="eastAsia" w:ascii="仿宋" w:hAnsi="仿宋" w:eastAsia="仿宋" w:cs="仿宋"/>
          <w:b/>
          <w:color w:val="auto"/>
          <w:spacing w:val="-20"/>
          <w:sz w:val="32"/>
          <w:szCs w:val="24"/>
        </w:rPr>
      </w:pPr>
      <w:bookmarkStart w:id="0" w:name="_Toc78884378"/>
      <w:r>
        <w:rPr>
          <w:rFonts w:hint="eastAsia" w:ascii="仿宋" w:hAnsi="仿宋" w:eastAsia="仿宋" w:cs="仿宋"/>
          <w:b/>
          <w:color w:val="auto"/>
          <w:spacing w:val="-20"/>
          <w:sz w:val="32"/>
          <w:szCs w:val="24"/>
        </w:rPr>
        <w:t>供应商须知</w:t>
      </w:r>
      <w:bookmarkEnd w:id="0"/>
    </w:p>
    <w:p>
      <w:pPr>
        <w:rPr>
          <w:rFonts w:hint="eastAsia" w:ascii="仿宋" w:hAnsi="仿宋" w:eastAsia="仿宋" w:cs="仿宋"/>
          <w:color w:val="auto"/>
          <w:sz w:val="24"/>
        </w:rPr>
      </w:pPr>
    </w:p>
    <w:p>
      <w:pPr>
        <w:pStyle w:val="23"/>
        <w:spacing w:line="360" w:lineRule="auto"/>
        <w:ind w:firstLine="0"/>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1、供应商须知前附表</w:t>
      </w:r>
    </w:p>
    <w:tbl>
      <w:tblPr>
        <w:tblStyle w:val="29"/>
        <w:tblW w:w="95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66"/>
        <w:gridCol w:w="7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03" w:type="dxa"/>
            <w:vAlign w:val="center"/>
          </w:tcPr>
          <w:p>
            <w:pPr>
              <w:pStyle w:val="23"/>
              <w:spacing w:line="360" w:lineRule="auto"/>
              <w:ind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866" w:type="dxa"/>
            <w:vAlign w:val="center"/>
          </w:tcPr>
          <w:p>
            <w:pPr>
              <w:pStyle w:val="23"/>
              <w:spacing w:line="360" w:lineRule="auto"/>
              <w:ind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7023" w:type="dxa"/>
            <w:vAlign w:val="center"/>
          </w:tcPr>
          <w:p>
            <w:pPr>
              <w:pStyle w:val="23"/>
              <w:spacing w:line="360" w:lineRule="auto"/>
              <w:ind w:left="-183"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要求与说明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项目名称及</w:t>
            </w:r>
          </w:p>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采购项目编号</w:t>
            </w:r>
          </w:p>
        </w:tc>
        <w:tc>
          <w:tcPr>
            <w:tcW w:w="7023" w:type="dxa"/>
            <w:vAlign w:val="center"/>
          </w:tcPr>
          <w:p>
            <w:pPr>
              <w:pStyle w:val="23"/>
              <w:spacing w:line="360" w:lineRule="auto"/>
              <w:ind w:firstLine="0"/>
              <w:rPr>
                <w:rFonts w:hint="eastAsia" w:ascii="仿宋" w:hAnsi="仿宋" w:eastAsia="仿宋" w:cs="仿宋"/>
                <w:color w:val="auto"/>
                <w:sz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lang w:eastAsia="zh-CN"/>
              </w:rPr>
              <w:t>汉中市南郑区阳春镇基础设施建设项目</w:t>
            </w:r>
          </w:p>
          <w:p>
            <w:pPr>
              <w:pStyle w:val="23"/>
              <w:spacing w:line="360" w:lineRule="auto"/>
              <w:ind w:firstLine="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采购项目编号：HXGC-HWD-南郑县-2022-00344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703"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采购人信息</w:t>
            </w:r>
          </w:p>
        </w:tc>
        <w:tc>
          <w:tcPr>
            <w:tcW w:w="7023" w:type="dxa"/>
            <w:vAlign w:val="center"/>
          </w:tcPr>
          <w:p>
            <w:pPr>
              <w:spacing w:line="360" w:lineRule="auto"/>
              <w:rPr>
                <w:rFonts w:hint="eastAsia" w:ascii="仿宋" w:hAnsi="仿宋" w:eastAsia="仿宋" w:cs="仿宋"/>
                <w:color w:val="auto"/>
                <w:kern w:val="0"/>
                <w:sz w:val="24"/>
                <w:lang w:eastAsia="zh-CN"/>
              </w:rPr>
            </w:pPr>
            <w:r>
              <w:rPr>
                <w:rFonts w:hint="eastAsia" w:ascii="仿宋" w:hAnsi="仿宋" w:eastAsia="仿宋" w:cs="仿宋"/>
                <w:color w:val="auto"/>
                <w:sz w:val="24"/>
              </w:rPr>
              <w:t>采购人名称：</w:t>
            </w:r>
            <w:r>
              <w:rPr>
                <w:rFonts w:hint="eastAsia" w:ascii="仿宋" w:hAnsi="仿宋" w:eastAsia="仿宋" w:cs="仿宋"/>
                <w:color w:val="auto"/>
                <w:kern w:val="0"/>
                <w:sz w:val="24"/>
                <w:lang w:eastAsia="zh-CN"/>
              </w:rPr>
              <w:t>汉中市南郑区阳春镇人民政府</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采购联系人</w:t>
            </w:r>
            <w:r>
              <w:rPr>
                <w:rFonts w:hint="eastAsia" w:ascii="仿宋" w:hAnsi="仿宋" w:eastAsia="仿宋" w:cs="仿宋"/>
                <w:color w:val="auto"/>
                <w:sz w:val="24"/>
                <w:lang w:eastAsia="zh-CN"/>
              </w:rPr>
              <w:t>：汉中市南郑区阳春镇人民政府经办</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地址：汉中市南郑区阳春镇安坎村</w:t>
            </w:r>
          </w:p>
          <w:p>
            <w:pPr>
              <w:spacing w:line="360" w:lineRule="auto"/>
              <w:rPr>
                <w:rFonts w:hint="default" w:ascii="仿宋" w:hAnsi="仿宋" w:eastAsia="仿宋" w:cs="仿宋"/>
                <w:color w:val="auto"/>
                <w:sz w:val="24"/>
                <w:lang w:val="en-US"/>
              </w:rPr>
            </w:pPr>
            <w:r>
              <w:rPr>
                <w:rFonts w:hint="eastAsia" w:ascii="仿宋" w:hAnsi="仿宋" w:eastAsia="仿宋" w:cs="仿宋"/>
                <w:color w:val="auto"/>
                <w:sz w:val="24"/>
                <w:lang w:eastAsia="zh-CN"/>
              </w:rPr>
              <w:t>联系电话：</w:t>
            </w:r>
            <w:r>
              <w:rPr>
                <w:rFonts w:hint="eastAsia" w:ascii="仿宋" w:hAnsi="仿宋" w:eastAsia="仿宋" w:cs="仿宋"/>
                <w:color w:val="auto"/>
                <w:sz w:val="24"/>
                <w:lang w:val="en-US" w:eastAsia="zh-CN"/>
              </w:rPr>
              <w:t>0916-5679137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采购代理机构信息</w:t>
            </w:r>
          </w:p>
        </w:tc>
        <w:tc>
          <w:tcPr>
            <w:tcW w:w="7023" w:type="dxa"/>
            <w:vAlign w:val="center"/>
          </w:tcPr>
          <w:p>
            <w:pPr>
              <w:pStyle w:val="23"/>
              <w:spacing w:line="360" w:lineRule="auto"/>
              <w:ind w:firstLine="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eastAsia="zh-CN"/>
              </w:rPr>
              <w:t>陕西华兴工程咨询有限公司</w:t>
            </w:r>
          </w:p>
          <w:p>
            <w:pPr>
              <w:spacing w:line="360" w:lineRule="auto"/>
              <w:rPr>
                <w:rFonts w:hint="eastAsia" w:ascii="仿宋" w:hAnsi="仿宋" w:eastAsia="仿宋" w:cs="仿宋"/>
                <w:color w:val="auto"/>
                <w:kern w:val="0"/>
                <w:sz w:val="24"/>
                <w:lang w:eastAsia="zh-CN"/>
              </w:rPr>
            </w:pPr>
            <w:r>
              <w:rPr>
                <w:rFonts w:hint="eastAsia" w:ascii="仿宋" w:hAnsi="仿宋" w:eastAsia="仿宋" w:cs="仿宋"/>
                <w:color w:val="auto"/>
                <w:sz w:val="24"/>
              </w:rPr>
              <w:t>地址：</w:t>
            </w:r>
            <w:r>
              <w:rPr>
                <w:rFonts w:hint="eastAsia" w:ascii="仿宋" w:hAnsi="仿宋" w:eastAsia="仿宋" w:cs="仿宋"/>
                <w:color w:val="auto"/>
                <w:kern w:val="0"/>
                <w:sz w:val="24"/>
                <w:lang w:eastAsia="zh-CN"/>
              </w:rPr>
              <w:t>汉中市汉台区南门十字西南角35#颐馨园商住楼11楼1102室</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联系人：</w:t>
            </w:r>
            <w:r>
              <w:rPr>
                <w:rFonts w:hint="eastAsia" w:ascii="仿宋" w:hAnsi="仿宋" w:eastAsia="仿宋" w:cs="仿宋"/>
                <w:color w:val="auto"/>
                <w:sz w:val="24"/>
                <w:lang w:eastAsia="zh-CN"/>
              </w:rPr>
              <w:t>鲁女士</w:t>
            </w:r>
          </w:p>
          <w:p>
            <w:pPr>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0916-2524867/18691605987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采购内容</w:t>
            </w:r>
          </w:p>
        </w:tc>
        <w:tc>
          <w:tcPr>
            <w:tcW w:w="7023" w:type="dxa"/>
            <w:vAlign w:val="center"/>
          </w:tcPr>
          <w:p>
            <w:pPr>
              <w:pStyle w:val="23"/>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主要采购内容见第四章采购内容及具体要求。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采购方式</w:t>
            </w:r>
          </w:p>
        </w:tc>
        <w:tc>
          <w:tcPr>
            <w:tcW w:w="7023" w:type="dxa"/>
            <w:vAlign w:val="center"/>
          </w:tcPr>
          <w:p>
            <w:pPr>
              <w:pStyle w:val="23"/>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866" w:type="dxa"/>
            <w:vAlign w:val="center"/>
          </w:tcPr>
          <w:p>
            <w:pPr>
              <w:pStyle w:val="23"/>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磋商限价及质量标准、工期</w:t>
            </w:r>
          </w:p>
        </w:tc>
        <w:tc>
          <w:tcPr>
            <w:tcW w:w="7023" w:type="dxa"/>
            <w:vAlign w:val="center"/>
          </w:tcPr>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项目内容</w:t>
            </w:r>
            <w:r>
              <w:rPr>
                <w:rFonts w:hint="eastAsia" w:ascii="仿宋" w:hAnsi="仿宋" w:eastAsia="仿宋" w:cs="仿宋"/>
                <w:b/>
                <w:bCs/>
                <w:color w:val="auto"/>
                <w:sz w:val="28"/>
                <w:szCs w:val="28"/>
                <w:lang w:eastAsia="zh-CN"/>
              </w:rPr>
              <w:t>：</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第1包：最高限价：小写：1,014,579.78元</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大写：壹佰零壹万肆仟伍佰柒拾玖元柒角捌分。</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工程概况：该工程为汉中市南郑区阳春镇基础设施建设项目工程，主要内容包括：</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1、路线1总长138.47m，路面宽4m，新做20cm水泥混凝土路面553.88㎡，20cm水泥稳定砂砾553.88㎡，50cm天然砂夹石垫层553.88㎡；新砌砖砌盖板水沟276.94m；</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2、路线2总长80m，路面宽4m，新做20cm水泥混凝土路面320㎡，20cm水泥稳定砂砾320㎡，50cm天然砂夹石垫层320㎡；原水沟清淤、更换排水沟盖板64m；</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3、路线3总长112.87m，路面宽8m，新做20cm水泥混凝土路面902.96㎡，20cm水泥稳定砂砾902.96㎡，30cm天然砂夹石垫层902.96㎡；新砌砖砌盖板水沟225.74m；</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4、路线4原水沟清淤、更换排水沟盖板158.3m；</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5、新建钢结构垃圾收集转运房一座，工程量暂按270㎡计算。</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注：响应人的磋商报价超过最高限价的，视为未响应磋商文件要求，其磋商文件按无效处理。</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资金来源：</w:t>
            </w:r>
            <w:r>
              <w:rPr>
                <w:rFonts w:hint="eastAsia" w:ascii="仿宋" w:hAnsi="仿宋" w:eastAsia="仿宋" w:cs="仿宋"/>
                <w:color w:val="auto"/>
                <w:sz w:val="24"/>
                <w:szCs w:val="24"/>
                <w:lang w:val="en-US" w:eastAsia="zh-CN"/>
              </w:rPr>
              <w:t>2021年省级城镇化发展专项资金</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质量标准：合格</w:t>
            </w:r>
            <w:r>
              <w:rPr>
                <w:rFonts w:hint="eastAsia" w:ascii="仿宋" w:hAnsi="仿宋" w:eastAsia="仿宋" w:cs="仿宋"/>
                <w:color w:val="auto"/>
                <w:sz w:val="24"/>
                <w:szCs w:val="24"/>
                <w:lang w:val="en-US" w:eastAsia="zh-CN"/>
              </w:rPr>
              <w:t xml:space="preserve">  </w:t>
            </w:r>
          </w:p>
          <w:p>
            <w:pPr>
              <w:pStyle w:val="23"/>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FFFFFF" w:fill="D9D9D9"/>
              </w:rPr>
              <w:t>工</w:t>
            </w:r>
            <w:r>
              <w:rPr>
                <w:rFonts w:hint="eastAsia" w:ascii="仿宋" w:hAnsi="仿宋" w:eastAsia="仿宋" w:cs="仿宋"/>
                <w:b/>
                <w:bCs/>
                <w:color w:val="auto"/>
                <w:sz w:val="24"/>
                <w:szCs w:val="24"/>
                <w:shd w:val="clear" w:color="FFFFFF" w:fill="D9D9D9"/>
                <w:lang w:val="en-US" w:eastAsia="zh-CN"/>
              </w:rPr>
              <w:t xml:space="preserve">    </w:t>
            </w:r>
            <w:r>
              <w:rPr>
                <w:rFonts w:hint="eastAsia" w:ascii="仿宋" w:hAnsi="仿宋" w:eastAsia="仿宋" w:cs="仿宋"/>
                <w:b/>
                <w:bCs/>
                <w:color w:val="auto"/>
                <w:sz w:val="24"/>
                <w:szCs w:val="24"/>
                <w:shd w:val="clear" w:color="FFFFFF" w:fill="D9D9D9"/>
              </w:rPr>
              <w:t>期：</w:t>
            </w:r>
            <w:r>
              <w:rPr>
                <w:rFonts w:hint="eastAsia" w:ascii="仿宋" w:hAnsi="仿宋" w:eastAsia="仿宋" w:cs="仿宋"/>
                <w:b/>
                <w:bCs/>
                <w:color w:val="auto"/>
                <w:sz w:val="24"/>
                <w:szCs w:val="24"/>
                <w:shd w:val="clear" w:color="FFFFFF" w:fill="D9D9D9"/>
                <w:lang w:val="en-US" w:eastAsia="zh-CN"/>
              </w:rPr>
              <w:t>45日历天【第1、2包通用】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866"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p>
          <w:p>
            <w:pPr>
              <w:pStyle w:val="23"/>
              <w:spacing w:line="36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资格要求</w:t>
            </w:r>
            <w:r>
              <w:rPr>
                <w:rFonts w:hint="eastAsia" w:ascii="仿宋" w:hAnsi="仿宋" w:eastAsia="仿宋" w:cs="仿宋"/>
                <w:color w:val="auto"/>
                <w:sz w:val="24"/>
                <w:szCs w:val="24"/>
                <w:lang w:eastAsia="zh-CN"/>
              </w:rPr>
              <w:t>（第</w:t>
            </w:r>
            <w:r>
              <w:rPr>
                <w:rFonts w:hint="eastAsia" w:ascii="仿宋" w:hAnsi="仿宋" w:eastAsia="仿宋" w:cs="仿宋"/>
                <w:color w:val="auto"/>
                <w:sz w:val="24"/>
                <w:szCs w:val="24"/>
                <w:lang w:val="en-US" w:eastAsia="zh-CN"/>
              </w:rPr>
              <w:t>1、2包通用</w:t>
            </w:r>
            <w:r>
              <w:rPr>
                <w:rFonts w:hint="eastAsia" w:ascii="仿宋" w:hAnsi="仿宋" w:eastAsia="仿宋" w:cs="仿宋"/>
                <w:color w:val="auto"/>
                <w:sz w:val="24"/>
                <w:szCs w:val="24"/>
                <w:lang w:eastAsia="zh-CN"/>
              </w:rPr>
              <w:t>）</w:t>
            </w:r>
          </w:p>
        </w:tc>
        <w:tc>
          <w:tcPr>
            <w:tcW w:w="7023" w:type="dxa"/>
            <w:vAlign w:val="center"/>
          </w:tcPr>
          <w:p>
            <w:pPr>
              <w:snapToGrid w:val="0"/>
              <w:spacing w:line="24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供应商须符合《中华人民共和国政府采购法》第二十二条有关规定；</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1、具有独立承担民事责任的能力：供应商为具有独立承担民事责任能力的企业法人、事业法人、其他组织，提供营业执照原件（事业单位须事业单位法人证、组织机构代码证等证明文件；其他组织应提供合法证明文件）</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【提供加盖公章的电子件或复印件】</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2、具有履行合同所必须的设备和专业技术能力：Ⅰ、供应商具有建设行政主管部门核发的</w:t>
            </w:r>
            <w:r>
              <w:rPr>
                <w:rFonts w:hint="eastAsia" w:ascii="仿宋" w:hAnsi="仿宋" w:eastAsia="仿宋" w:cs="仿宋"/>
                <w:color w:val="auto"/>
                <w:sz w:val="24"/>
                <w:lang w:eastAsia="zh-CN"/>
              </w:rPr>
              <w:t>市政公用</w:t>
            </w:r>
            <w:r>
              <w:rPr>
                <w:rFonts w:hint="eastAsia" w:ascii="仿宋" w:hAnsi="仿宋" w:eastAsia="仿宋" w:cs="仿宋"/>
                <w:color w:val="auto"/>
                <w:sz w:val="24"/>
              </w:rPr>
              <w:t>工程施工总承包三级及以上资质等级，</w:t>
            </w:r>
            <w:r>
              <w:rPr>
                <w:rFonts w:hint="eastAsia" w:ascii="仿宋" w:hAnsi="仿宋" w:eastAsia="仿宋" w:cs="仿宋"/>
                <w:color w:val="auto"/>
                <w:sz w:val="24"/>
                <w:lang w:eastAsia="zh-CN"/>
              </w:rPr>
              <w:t>且</w:t>
            </w:r>
            <w:r>
              <w:rPr>
                <w:rFonts w:hint="eastAsia" w:ascii="仿宋" w:hAnsi="仿宋" w:eastAsia="仿宋" w:cs="仿宋"/>
                <w:color w:val="auto"/>
                <w:sz w:val="24"/>
              </w:rPr>
              <w:t>具有有效的安全生产许可证；Ⅱ、拟派项目经理须</w:t>
            </w:r>
            <w:r>
              <w:rPr>
                <w:rFonts w:hint="eastAsia" w:ascii="仿宋" w:hAnsi="仿宋" w:eastAsia="仿宋" w:cs="仿宋"/>
                <w:color w:val="auto"/>
                <w:sz w:val="24"/>
                <w:lang w:eastAsia="zh-CN"/>
              </w:rPr>
              <w:t>具备市政公用</w:t>
            </w:r>
            <w:r>
              <w:rPr>
                <w:rFonts w:hint="eastAsia" w:ascii="仿宋" w:hAnsi="仿宋" w:eastAsia="仿宋" w:cs="仿宋"/>
                <w:color w:val="auto"/>
                <w:sz w:val="24"/>
              </w:rPr>
              <w:t>工程专业注册建造师二级（含二级）以上</w:t>
            </w:r>
            <w:r>
              <w:rPr>
                <w:rFonts w:hint="eastAsia" w:ascii="仿宋" w:hAnsi="仿宋" w:eastAsia="仿宋" w:cs="仿宋"/>
                <w:color w:val="auto"/>
                <w:sz w:val="24"/>
                <w:lang w:eastAsia="zh-CN"/>
              </w:rPr>
              <w:t>执业</w:t>
            </w:r>
            <w:r>
              <w:rPr>
                <w:rFonts w:hint="eastAsia" w:ascii="仿宋" w:hAnsi="仿宋" w:eastAsia="仿宋" w:cs="仿宋"/>
                <w:color w:val="auto"/>
                <w:sz w:val="24"/>
              </w:rPr>
              <w:t>资格和安全生产考核合格B 证，且无在建项目</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【提供加盖公章的电子件或复印件，“无在建证明”提供原件】</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3、有依法缴纳税收和社会保障资金的良好记录：Ⅰ、供应商须提供自 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 1 月 1 日起已缴纳的至少一个月的社保机构出具的社会保险参保缴费情况证明复印件</w:t>
            </w:r>
            <w:r>
              <w:rPr>
                <w:rFonts w:hint="eastAsia" w:ascii="仿宋" w:hAnsi="仿宋" w:eastAsia="仿宋" w:cs="仿宋"/>
                <w:color w:val="auto"/>
                <w:sz w:val="24"/>
                <w:lang w:eastAsia="zh-CN"/>
              </w:rPr>
              <w:t>（注：社会保险参保缴费情况证明须在有效期内）；</w:t>
            </w:r>
            <w:r>
              <w:rPr>
                <w:rFonts w:hint="eastAsia" w:ascii="仿宋" w:hAnsi="仿宋" w:eastAsia="仿宋" w:cs="仿宋"/>
                <w:b/>
                <w:bCs/>
                <w:color w:val="auto"/>
                <w:sz w:val="24"/>
                <w:lang w:eastAsia="zh-CN"/>
              </w:rPr>
              <w:t>【提供加盖公章的复印件，原件备查】</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4、具有良好的商业信誉和健全的财务会计制度：I、提供 2019</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2020 </w:t>
            </w:r>
            <w:r>
              <w:rPr>
                <w:rFonts w:hint="eastAsia" w:ascii="仿宋" w:hAnsi="仿宋" w:eastAsia="仿宋" w:cs="仿宋"/>
                <w:color w:val="auto"/>
                <w:sz w:val="24"/>
                <w:lang w:eastAsia="zh-CN"/>
              </w:rPr>
              <w:t>或</w:t>
            </w:r>
            <w:r>
              <w:rPr>
                <w:rFonts w:hint="eastAsia" w:ascii="仿宋" w:hAnsi="仿宋" w:eastAsia="仿宋" w:cs="仿宋"/>
                <w:color w:val="auto"/>
                <w:sz w:val="24"/>
                <w:lang w:val="en-US" w:eastAsia="zh-CN"/>
              </w:rPr>
              <w:t>2021年</w:t>
            </w:r>
            <w:r>
              <w:rPr>
                <w:rFonts w:hint="eastAsia" w:ascii="仿宋" w:hAnsi="仿宋" w:eastAsia="仿宋" w:cs="仿宋"/>
                <w:color w:val="auto"/>
                <w:sz w:val="24"/>
              </w:rPr>
              <w:t>年度经会计师事务所或审计机构审计的财务会计报表，包括资产负债表、现金流量表、利润表和财务情况说明书的复印件</w:t>
            </w:r>
            <w:r>
              <w:rPr>
                <w:rFonts w:hint="eastAsia" w:ascii="仿宋" w:hAnsi="仿宋" w:eastAsia="仿宋" w:cs="仿宋"/>
                <w:color w:val="auto"/>
                <w:sz w:val="24"/>
                <w:lang w:eastAsia="zh-CN"/>
              </w:rPr>
              <w:t>（</w:t>
            </w:r>
            <w:r>
              <w:rPr>
                <w:rFonts w:hint="eastAsia" w:ascii="仿宋" w:hAnsi="仿宋" w:eastAsia="仿宋" w:cs="仿宋"/>
                <w:color w:val="auto"/>
                <w:sz w:val="24"/>
              </w:rPr>
              <w:t>若供应商成立时间至提交响应文件截止时间不足一年，提供成立后任意时段的资产负债表复印件</w:t>
            </w:r>
            <w:r>
              <w:rPr>
                <w:rFonts w:hint="eastAsia" w:ascii="仿宋" w:hAnsi="仿宋" w:eastAsia="仿宋" w:cs="仿宋"/>
                <w:color w:val="auto"/>
                <w:sz w:val="24"/>
                <w:lang w:eastAsia="zh-CN"/>
              </w:rPr>
              <w:t>）</w:t>
            </w:r>
            <w:r>
              <w:rPr>
                <w:rFonts w:hint="eastAsia" w:ascii="仿宋" w:hAnsi="仿宋" w:eastAsia="仿宋" w:cs="仿宋"/>
                <w:color w:val="auto"/>
                <w:sz w:val="24"/>
              </w:rPr>
              <w:t>；II、、提供成交前三个月内基本存款账户开户银行出具的资信证明及基本存款账户开户信息复印件；</w:t>
            </w:r>
            <w:r>
              <w:rPr>
                <w:rFonts w:hint="eastAsia" w:ascii="仿宋" w:hAnsi="仿宋" w:eastAsia="仿宋" w:cs="仿宋"/>
                <w:color w:val="auto"/>
                <w:sz w:val="24"/>
                <w:lang w:val="en-US" w:eastAsia="zh-CN"/>
              </w:rPr>
              <w:t>III</w:t>
            </w:r>
            <w:r>
              <w:rPr>
                <w:rFonts w:hint="eastAsia" w:ascii="仿宋" w:hAnsi="仿宋" w:eastAsia="仿宋" w:cs="仿宋"/>
                <w:color w:val="auto"/>
                <w:sz w:val="24"/>
              </w:rPr>
              <w:t>、提供信用担保机构出具的磋商担保函复印件。（</w:t>
            </w:r>
            <w:r>
              <w:rPr>
                <w:rFonts w:hint="eastAsia" w:ascii="仿宋" w:hAnsi="仿宋" w:eastAsia="仿宋" w:cs="仿宋"/>
                <w:color w:val="auto"/>
                <w:sz w:val="24"/>
                <w:lang w:val="en-US" w:eastAsia="zh-CN"/>
              </w:rPr>
              <w:t>以上三种形式的证明资料提供任意一种即可，但成交现场以第II种或第III种形式提交资料的，需提供上述证明材料原件备查</w:t>
            </w:r>
            <w:r>
              <w:rPr>
                <w:rFonts w:hint="eastAsia" w:ascii="仿宋" w:hAnsi="仿宋" w:eastAsia="仿宋" w:cs="仿宋"/>
                <w:color w:val="auto"/>
                <w:sz w:val="24"/>
              </w:rPr>
              <w:t>）</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【提供加盖公章的复印件，原件备查】</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5、供应商应授权合法的人员参加磋商</w:t>
            </w:r>
            <w:r>
              <w:rPr>
                <w:rFonts w:hint="eastAsia" w:ascii="仿宋" w:hAnsi="仿宋" w:eastAsia="仿宋" w:cs="仿宋"/>
                <w:color w:val="auto"/>
                <w:sz w:val="24"/>
                <w:lang w:eastAsia="zh-CN"/>
              </w:rPr>
              <w:t>会议</w:t>
            </w:r>
            <w:r>
              <w:rPr>
                <w:rFonts w:hint="eastAsia" w:ascii="仿宋" w:hAnsi="仿宋" w:eastAsia="仿宋" w:cs="仿宋"/>
                <w:color w:val="auto"/>
                <w:sz w:val="24"/>
              </w:rPr>
              <w:t>，其中法定代表人直接参加的，须出具法人身份证原件，并与营业执照上信息一致；授权代表参加的，须出具法定代表人授权书及被授权人身份证原件</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【提供原件及加盖公章的复印件】</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6、出具参加本次采购活动前三年内在经营活动中没有重大违法记录的书面声明</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【提供“书面声明”原件】</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7、供应商未被列入“信用中国”网站（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"http://www.creditchina.gov.cn/"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http://www.creditchina.gov.cn</w:t>
            </w:r>
            <w:r>
              <w:rPr>
                <w:rFonts w:hint="eastAsia" w:ascii="仿宋" w:hAnsi="仿宋" w:eastAsia="仿宋" w:cs="仿宋"/>
                <w:color w:val="auto"/>
                <w:sz w:val="24"/>
              </w:rPr>
              <w:fldChar w:fldCharType="end"/>
            </w:r>
            <w:r>
              <w:rPr>
                <w:rFonts w:hint="eastAsia" w:ascii="仿宋" w:hAnsi="仿宋" w:eastAsia="仿宋" w:cs="仿宋"/>
                <w:color w:val="auto"/>
                <w:sz w:val="24"/>
              </w:rPr>
              <w:t>） 失信黑名单中和“中国政府采购网”(</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"http://www.ccgp.gov.cn/"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 xml:space="preserve">www.ccgp.gov.cn </w:t>
            </w:r>
            <w:r>
              <w:rPr>
                <w:rFonts w:hint="eastAsia" w:ascii="仿宋" w:hAnsi="仿宋" w:eastAsia="仿宋" w:cs="仿宋"/>
                <w:color w:val="auto"/>
                <w:sz w:val="24"/>
              </w:rPr>
              <w:fldChar w:fldCharType="end"/>
            </w:r>
            <w:r>
              <w:rPr>
                <w:rFonts w:hint="eastAsia" w:ascii="仿宋" w:hAnsi="仿宋" w:eastAsia="仿宋" w:cs="仿宋"/>
                <w:color w:val="auto"/>
                <w:sz w:val="24"/>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【提供加盖公章的网查截图复印件】</w:t>
            </w:r>
          </w:p>
          <w:p>
            <w:pPr>
              <w:snapToGrid w:val="0"/>
              <w:spacing w:line="360" w:lineRule="auto"/>
              <w:rPr>
                <w:rFonts w:hint="default" w:ascii="仿宋" w:hAnsi="仿宋" w:eastAsia="仿宋" w:cs="仿宋"/>
                <w:color w:val="auto"/>
                <w:kern w:val="2"/>
                <w:sz w:val="24"/>
                <w:lang w:val="en-US" w:eastAsia="zh-CN"/>
              </w:rPr>
            </w:pPr>
            <w:r>
              <w:rPr>
                <w:rFonts w:hint="eastAsia" w:ascii="仿宋" w:hAnsi="仿宋" w:eastAsia="仿宋" w:cs="仿宋"/>
                <w:b w:val="0"/>
                <w:bCs w:val="0"/>
                <w:color w:val="auto"/>
                <w:sz w:val="24"/>
                <w:lang w:val="en-US" w:eastAsia="zh-CN"/>
              </w:rPr>
              <w:t>8、</w:t>
            </w:r>
            <w:r>
              <w:rPr>
                <w:rFonts w:hint="eastAsia" w:ascii="仿宋" w:hAnsi="仿宋" w:eastAsia="仿宋" w:cs="仿宋"/>
                <w:color w:val="auto"/>
                <w:sz w:val="24"/>
              </w:rPr>
              <w:t>本项目不接受联合体磋商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单位负责人为同一人或者存在控股、管理关系的不同单位不得同时投标。</w:t>
            </w:r>
            <w:r>
              <w:rPr>
                <w:rFonts w:hint="eastAsia" w:ascii="仿宋" w:hAnsi="仿宋" w:eastAsia="仿宋" w:cs="仿宋"/>
                <w:b/>
                <w:bCs/>
                <w:color w:val="auto"/>
                <w:sz w:val="24"/>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03"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866" w:type="dxa"/>
            <w:vAlign w:val="center"/>
          </w:tcPr>
          <w:p>
            <w:pPr>
              <w:pStyle w:val="23"/>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7023" w:type="dxa"/>
            <w:vAlign w:val="center"/>
          </w:tcPr>
          <w:p>
            <w:pPr>
              <w:pStyle w:val="23"/>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自磋商响应文件递交截止之日起90日历天。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3"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866"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文件份数</w:t>
            </w:r>
          </w:p>
        </w:tc>
        <w:tc>
          <w:tcPr>
            <w:tcW w:w="7023" w:type="dxa"/>
            <w:vAlign w:val="center"/>
          </w:tcPr>
          <w:p>
            <w:pPr>
              <w:pStyle w:val="23"/>
              <w:spacing w:line="240" w:lineRule="auto"/>
              <w:ind w:firstLine="0"/>
              <w:rPr>
                <w:rFonts w:hint="eastAsia" w:ascii="仿宋" w:hAnsi="仿宋" w:eastAsia="仿宋" w:cs="仿宋"/>
                <w:b/>
                <w:color w:val="auto"/>
                <w:kern w:val="1"/>
                <w:sz w:val="24"/>
                <w:szCs w:val="24"/>
              </w:rPr>
            </w:pPr>
            <w:r>
              <w:rPr>
                <w:rFonts w:hint="eastAsia" w:ascii="仿宋" w:hAnsi="仿宋" w:eastAsia="仿宋" w:cs="仿宋"/>
                <w:color w:val="auto"/>
                <w:sz w:val="24"/>
                <w:szCs w:val="24"/>
              </w:rPr>
              <w:t>响应文件包含正本</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lang w:eastAsia="zh-CN"/>
              </w:rPr>
              <w:t>贰</w:t>
            </w:r>
            <w:r>
              <w:rPr>
                <w:rFonts w:hint="eastAsia" w:ascii="仿宋" w:hAnsi="仿宋" w:eastAsia="仿宋" w:cs="仿宋"/>
                <w:color w:val="auto"/>
                <w:sz w:val="24"/>
                <w:szCs w:val="24"/>
              </w:rPr>
              <w:t>份、</w:t>
            </w:r>
            <w:r>
              <w:rPr>
                <w:rFonts w:hint="eastAsia" w:ascii="仿宋" w:hAnsi="仿宋" w:eastAsia="仿宋" w:cs="仿宋"/>
                <w:color w:val="auto"/>
                <w:sz w:val="24"/>
                <w:szCs w:val="24"/>
                <w:lang w:eastAsia="zh-CN"/>
              </w:rPr>
              <w:t>磋商报价一览表</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lang w:eastAsia="zh-CN"/>
              </w:rPr>
              <w:t>份（单独另附）、资格审查资料</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lang w:eastAsia="zh-CN"/>
              </w:rPr>
              <w:t>份及</w:t>
            </w:r>
            <w:r>
              <w:rPr>
                <w:rFonts w:hint="eastAsia" w:ascii="仿宋" w:hAnsi="仿宋" w:eastAsia="仿宋" w:cs="仿宋"/>
                <w:color w:val="auto"/>
                <w:sz w:val="24"/>
                <w:szCs w:val="24"/>
              </w:rPr>
              <w:t>电子版</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rPr>
              <w:t>份（U盘</w:t>
            </w:r>
            <w:r>
              <w:rPr>
                <w:rFonts w:hint="eastAsia" w:ascii="仿宋" w:hAnsi="仿宋" w:eastAsia="仿宋" w:cs="仿宋"/>
                <w:color w:val="auto"/>
                <w:sz w:val="24"/>
                <w:szCs w:val="24"/>
                <w:lang w:eastAsia="zh-CN"/>
              </w:rPr>
              <w:t>或光盘</w:t>
            </w:r>
            <w:r>
              <w:rPr>
                <w:rFonts w:hint="eastAsia" w:ascii="仿宋" w:hAnsi="仿宋" w:eastAsia="仿宋" w:cs="仿宋"/>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03" w:type="dxa"/>
            <w:vAlign w:val="center"/>
          </w:tcPr>
          <w:p>
            <w:pPr>
              <w:pStyle w:val="23"/>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866" w:type="dxa"/>
            <w:vAlign w:val="center"/>
          </w:tcPr>
          <w:p>
            <w:pPr>
              <w:pStyle w:val="68"/>
              <w:spacing w:line="276" w:lineRule="auto"/>
              <w:jc w:val="center"/>
              <w:rPr>
                <w:rFonts w:hint="eastAsia" w:ascii="仿宋" w:hAnsi="仿宋" w:eastAsia="仿宋" w:cs="仿宋"/>
                <w:color w:val="auto"/>
                <w:sz w:val="24"/>
                <w:szCs w:val="24"/>
              </w:rPr>
            </w:pPr>
            <w:r>
              <w:rPr>
                <w:rFonts w:hint="eastAsia" w:ascii="仿宋" w:hAnsi="仿宋" w:eastAsia="仿宋" w:cs="仿宋"/>
                <w:color w:val="auto"/>
                <w:lang w:val="zh-CN"/>
              </w:rPr>
              <w:t>签字盖章</w:t>
            </w:r>
          </w:p>
        </w:tc>
        <w:tc>
          <w:tcPr>
            <w:tcW w:w="7023"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rPr>
              <w:t>投标供应商必须按照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文件的规定和要求签字、盖章。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66" w:type="dxa"/>
            <w:vAlign w:val="center"/>
          </w:tcPr>
          <w:p>
            <w:pPr>
              <w:pStyle w:val="68"/>
              <w:spacing w:line="276" w:lineRule="auto"/>
              <w:jc w:val="center"/>
              <w:rPr>
                <w:rFonts w:hint="eastAsia" w:ascii="仿宋" w:hAnsi="仿宋" w:eastAsia="仿宋" w:cs="仿宋"/>
                <w:color w:val="auto"/>
                <w:sz w:val="24"/>
                <w:szCs w:val="24"/>
              </w:rPr>
            </w:pPr>
            <w:r>
              <w:rPr>
                <w:rFonts w:hint="eastAsia" w:ascii="仿宋" w:hAnsi="仿宋" w:eastAsia="仿宋" w:cs="仿宋"/>
                <w:color w:val="auto"/>
                <w:lang w:val="zh-CN"/>
              </w:rPr>
              <w:t>响应文件的装订</w:t>
            </w:r>
          </w:p>
        </w:tc>
        <w:tc>
          <w:tcPr>
            <w:tcW w:w="7023"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rPr>
              <w:t>一律采用A4纸装订成册（禁止使用活页），正本</w:t>
            </w:r>
            <w:r>
              <w:rPr>
                <w:rFonts w:hint="eastAsia" w:ascii="仿宋" w:hAnsi="仿宋" w:eastAsia="仿宋" w:cs="仿宋"/>
                <w:color w:val="auto"/>
                <w:sz w:val="24"/>
                <w:lang w:eastAsia="zh-CN"/>
              </w:rPr>
              <w:t>、所有</w:t>
            </w:r>
            <w:r>
              <w:rPr>
                <w:rFonts w:hint="eastAsia" w:ascii="仿宋" w:hAnsi="仿宋" w:eastAsia="仿宋" w:cs="仿宋"/>
                <w:color w:val="auto"/>
                <w:sz w:val="24"/>
              </w:rPr>
              <w:t>副本分别装订，正本</w:t>
            </w:r>
            <w:r>
              <w:rPr>
                <w:rFonts w:hint="eastAsia" w:ascii="仿宋" w:hAnsi="仿宋" w:eastAsia="仿宋" w:cs="仿宋"/>
                <w:color w:val="auto"/>
                <w:sz w:val="24"/>
                <w:lang w:eastAsia="zh-CN"/>
              </w:rPr>
              <w:t>、所有</w:t>
            </w:r>
            <w:r>
              <w:rPr>
                <w:rFonts w:hint="eastAsia" w:ascii="仿宋" w:hAnsi="仿宋" w:eastAsia="仿宋" w:cs="仿宋"/>
                <w:color w:val="auto"/>
                <w:sz w:val="24"/>
              </w:rPr>
              <w:t>副本</w:t>
            </w:r>
            <w:r>
              <w:rPr>
                <w:rFonts w:hint="eastAsia" w:ascii="仿宋" w:hAnsi="仿宋" w:eastAsia="仿宋" w:cs="仿宋"/>
                <w:color w:val="auto"/>
                <w:sz w:val="24"/>
                <w:lang w:eastAsia="zh-CN"/>
              </w:rPr>
              <w:t>、磋商报价一览表（单页）及资格审查文件</w:t>
            </w:r>
            <w:r>
              <w:rPr>
                <w:rFonts w:hint="eastAsia" w:ascii="仿宋" w:hAnsi="仿宋" w:eastAsia="仿宋" w:cs="仿宋"/>
                <w:color w:val="auto"/>
                <w:sz w:val="24"/>
              </w:rPr>
              <w:t>分别密封，电子版放置正本密封袋中。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03" w:type="dxa"/>
            <w:vAlign w:val="center"/>
          </w:tcPr>
          <w:p>
            <w:pPr>
              <w:pStyle w:val="23"/>
              <w:spacing w:line="360" w:lineRule="auto"/>
              <w:ind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12</w:t>
            </w:r>
          </w:p>
        </w:tc>
        <w:tc>
          <w:tcPr>
            <w:tcW w:w="1866" w:type="dxa"/>
            <w:vAlign w:val="center"/>
          </w:tcPr>
          <w:p>
            <w:pPr>
              <w:pStyle w:val="23"/>
              <w:spacing w:line="360" w:lineRule="auto"/>
              <w:ind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评审方法</w:t>
            </w:r>
          </w:p>
        </w:tc>
        <w:tc>
          <w:tcPr>
            <w:tcW w:w="7023" w:type="dxa"/>
            <w:vAlign w:val="center"/>
          </w:tcPr>
          <w:p>
            <w:pPr>
              <w:pStyle w:val="23"/>
              <w:spacing w:line="360" w:lineRule="auto"/>
              <w:ind w:firstLine="0" w:firstLineChars="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详见《第三章》评审方法（综合评</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踏勘现场</w:t>
            </w:r>
          </w:p>
        </w:tc>
        <w:tc>
          <w:tcPr>
            <w:tcW w:w="7023" w:type="dxa"/>
            <w:vAlign w:val="center"/>
          </w:tcPr>
          <w:p>
            <w:pPr>
              <w:pStyle w:val="23"/>
              <w:spacing w:line="36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踏勘现场：本项目不统一组织现场踏勘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1"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866" w:type="dxa"/>
            <w:vAlign w:val="center"/>
          </w:tcPr>
          <w:p>
            <w:pPr>
              <w:pStyle w:val="11"/>
              <w:spacing w:before="120" w:beforeLines="50" w:line="24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响应文件递交</w:t>
            </w:r>
          </w:p>
          <w:p>
            <w:pPr>
              <w:pStyle w:val="11"/>
              <w:spacing w:before="120" w:beforeLines="50" w:line="24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截止时间</w:t>
            </w:r>
          </w:p>
        </w:tc>
        <w:tc>
          <w:tcPr>
            <w:tcW w:w="7023" w:type="dxa"/>
            <w:vAlign w:val="center"/>
          </w:tcPr>
          <w:p>
            <w:pPr>
              <w:pStyle w:val="23"/>
              <w:spacing w:line="240" w:lineRule="auto"/>
              <w:ind w:firstLine="0"/>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磋商响应文件递交截止时间：</w:t>
            </w:r>
            <w:r>
              <w:rPr>
                <w:rFonts w:hint="eastAsia" w:ascii="仿宋" w:hAnsi="仿宋" w:eastAsia="仿宋" w:cs="仿宋"/>
                <w:b/>
                <w:bCs/>
                <w:color w:val="auto"/>
                <w:sz w:val="24"/>
                <w:szCs w:val="24"/>
                <w:u w:val="single"/>
              </w:rPr>
              <w:t>20</w:t>
            </w:r>
            <w:r>
              <w:rPr>
                <w:rFonts w:hint="eastAsia" w:ascii="仿宋" w:hAnsi="仿宋" w:eastAsia="仿宋" w:cs="仿宋"/>
                <w:b/>
                <w:bCs/>
                <w:color w:val="auto"/>
                <w:sz w:val="24"/>
                <w:szCs w:val="24"/>
                <w:u w:val="single"/>
                <w:lang w:val="en-US" w:eastAsia="zh-CN"/>
              </w:rPr>
              <w:t>22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07</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19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09时30分</w:t>
            </w:r>
            <w:r>
              <w:rPr>
                <w:rFonts w:hint="eastAsia" w:ascii="仿宋" w:hAnsi="仿宋" w:eastAsia="仿宋" w:cs="仿宋"/>
                <w:b/>
                <w:bCs/>
                <w:color w:val="auto"/>
                <w:sz w:val="24"/>
                <w:szCs w:val="24"/>
                <w:lang w:val="zh-CN"/>
              </w:rPr>
              <w:t>投标截止时间后送达的磋商响应文件将被拒收。</w:t>
            </w:r>
          </w:p>
          <w:p>
            <w:pPr>
              <w:pStyle w:val="23"/>
              <w:spacing w:line="240" w:lineRule="auto"/>
              <w:ind w:firstLine="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磋商响应文件递交地点：</w:t>
            </w:r>
            <w:r>
              <w:rPr>
                <w:rFonts w:hint="eastAsia" w:ascii="仿宋" w:hAnsi="仿宋" w:eastAsia="仿宋" w:cs="仿宋"/>
                <w:color w:val="auto"/>
                <w:sz w:val="24"/>
                <w:szCs w:val="24"/>
                <w:lang w:val="zh-CN" w:eastAsia="zh-CN"/>
              </w:rPr>
              <w:t>陕西华兴工程咨询有限公司第一会议室（地址：汉中市汉台区将坛西路南侧35#颐馨园商住楼11楼1102室）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磋商保证金交纳金额、账户及方式</w:t>
            </w:r>
          </w:p>
        </w:tc>
        <w:tc>
          <w:tcPr>
            <w:tcW w:w="7023" w:type="dxa"/>
            <w:vAlign w:val="center"/>
          </w:tcPr>
          <w:p>
            <w:pPr>
              <w:pStyle w:val="23"/>
              <w:spacing w:line="360" w:lineRule="auto"/>
              <w:ind w:firstLine="0"/>
              <w:rPr>
                <w:rFonts w:hint="eastAsia" w:ascii="仿宋" w:hAnsi="仿宋" w:eastAsia="仿宋" w:cs="仿宋"/>
                <w:b/>
                <w:bCs/>
                <w:color w:val="auto"/>
                <w:sz w:val="28"/>
                <w:szCs w:val="28"/>
                <w:u w:val="single"/>
                <w:shd w:val="clear" w:color="FFFFFF" w:fill="D9D9D9"/>
              </w:rPr>
            </w:pPr>
            <w:r>
              <w:rPr>
                <w:rFonts w:hint="eastAsia" w:ascii="仿宋" w:hAnsi="仿宋" w:eastAsia="仿宋" w:cs="仿宋"/>
                <w:b/>
                <w:bCs/>
                <w:color w:val="auto"/>
                <w:sz w:val="28"/>
                <w:szCs w:val="28"/>
                <w:u w:val="single"/>
                <w:shd w:val="clear" w:color="FFFFFF" w:fill="D9D9D9"/>
              </w:rPr>
              <w:t>磋商保证金（RMB）：</w:t>
            </w:r>
            <w:r>
              <w:rPr>
                <w:rFonts w:hint="eastAsia" w:ascii="仿宋" w:hAnsi="仿宋" w:eastAsia="仿宋" w:cs="仿宋"/>
                <w:b/>
                <w:bCs/>
                <w:color w:val="auto"/>
                <w:sz w:val="28"/>
                <w:szCs w:val="28"/>
                <w:u w:val="single"/>
                <w:shd w:val="clear" w:color="FFFFFF" w:fill="D9D9D9"/>
                <w:lang w:eastAsia="zh-CN"/>
              </w:rPr>
              <w:t>壹万元整</w:t>
            </w:r>
            <w:r>
              <w:rPr>
                <w:rFonts w:hint="eastAsia" w:ascii="仿宋" w:hAnsi="仿宋" w:eastAsia="仿宋" w:cs="仿宋"/>
                <w:b/>
                <w:bCs/>
                <w:color w:val="auto"/>
                <w:sz w:val="28"/>
                <w:szCs w:val="28"/>
                <w:u w:val="single"/>
                <w:shd w:val="clear" w:color="FFFFFF" w:fill="D9D9D9"/>
              </w:rPr>
              <w:t>（¥</w:t>
            </w:r>
            <w:r>
              <w:rPr>
                <w:rFonts w:hint="eastAsia" w:ascii="仿宋" w:hAnsi="仿宋" w:eastAsia="仿宋" w:cs="仿宋"/>
                <w:b/>
                <w:bCs/>
                <w:color w:val="auto"/>
                <w:sz w:val="28"/>
                <w:szCs w:val="28"/>
                <w:u w:val="single"/>
                <w:shd w:val="clear" w:color="FFFFFF" w:fill="D9D9D9"/>
                <w:lang w:val="en-US" w:eastAsia="zh-CN"/>
              </w:rPr>
              <w:t>10,000.00</w:t>
            </w:r>
            <w:r>
              <w:rPr>
                <w:rFonts w:hint="eastAsia" w:ascii="仿宋" w:hAnsi="仿宋" w:eastAsia="仿宋" w:cs="仿宋"/>
                <w:b/>
                <w:bCs/>
                <w:color w:val="auto"/>
                <w:sz w:val="28"/>
                <w:szCs w:val="28"/>
                <w:u w:val="single"/>
                <w:shd w:val="clear" w:color="FFFFFF" w:fill="D9D9D9"/>
              </w:rPr>
              <w:t>）</w:t>
            </w:r>
          </w:p>
          <w:p>
            <w:pPr>
              <w:pStyle w:val="23"/>
              <w:spacing w:line="360" w:lineRule="auto"/>
              <w:ind w:firstLine="0"/>
              <w:rPr>
                <w:rFonts w:hint="eastAsia" w:ascii="仿宋" w:hAnsi="仿宋" w:eastAsia="仿宋" w:cs="仿宋"/>
                <w:b/>
                <w:color w:val="auto"/>
                <w:sz w:val="24"/>
                <w:szCs w:val="24"/>
                <w:lang w:eastAsia="zh-CN"/>
              </w:rPr>
            </w:pPr>
            <w:r>
              <w:rPr>
                <w:rFonts w:hint="eastAsia" w:ascii="仿宋" w:hAnsi="仿宋" w:eastAsia="仿宋" w:cs="仿宋"/>
                <w:color w:val="auto"/>
                <w:sz w:val="24"/>
                <w:szCs w:val="24"/>
              </w:rPr>
              <w:t>磋商保证金缴纳截止时间：</w:t>
            </w:r>
            <w:r>
              <w:rPr>
                <w:rFonts w:hint="eastAsia" w:ascii="仿宋" w:hAnsi="仿宋" w:eastAsia="仿宋" w:cs="仿宋"/>
                <w:color w:val="auto"/>
                <w:sz w:val="24"/>
                <w:szCs w:val="24"/>
                <w:lang w:val="zh-CN"/>
              </w:rPr>
              <w:t>磋商响应文件递交截止时间之前</w:t>
            </w:r>
            <w:r>
              <w:rPr>
                <w:rFonts w:hint="eastAsia" w:ascii="仿宋" w:hAnsi="仿宋" w:eastAsia="仿宋" w:cs="仿宋"/>
                <w:b/>
                <w:color w:val="auto"/>
                <w:sz w:val="24"/>
                <w:szCs w:val="24"/>
              </w:rPr>
              <w:t>（供应商逾期未提交或逾期到账视为放弃投标，以银行实际到账时间为准）</w:t>
            </w:r>
            <w:r>
              <w:rPr>
                <w:rFonts w:hint="eastAsia" w:ascii="仿宋" w:hAnsi="仿宋" w:eastAsia="仿宋" w:cs="仿宋"/>
                <w:b/>
                <w:color w:val="auto"/>
                <w:sz w:val="24"/>
                <w:szCs w:val="24"/>
                <w:lang w:eastAsia="zh-CN"/>
              </w:rPr>
              <w:t>；</w:t>
            </w:r>
          </w:p>
          <w:p>
            <w:pPr>
              <w:pStyle w:val="23"/>
              <w:spacing w:line="360" w:lineRule="auto"/>
              <w:ind w:firstLine="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收款收据</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换取时间:磋商响应文件递交截止时间</w:t>
            </w:r>
            <w:r>
              <w:rPr>
                <w:rFonts w:hint="eastAsia" w:ascii="仿宋" w:hAnsi="仿宋" w:eastAsia="仿宋" w:cs="仿宋"/>
                <w:color w:val="auto"/>
                <w:sz w:val="24"/>
                <w:szCs w:val="24"/>
                <w:lang w:eastAsia="zh-CN"/>
              </w:rPr>
              <w:t>之</w:t>
            </w:r>
            <w:r>
              <w:rPr>
                <w:rFonts w:hint="eastAsia" w:ascii="仿宋" w:hAnsi="仿宋" w:eastAsia="仿宋" w:cs="仿宋"/>
                <w:color w:val="auto"/>
                <w:sz w:val="24"/>
                <w:szCs w:val="24"/>
              </w:rPr>
              <w:t>前</w:t>
            </w:r>
            <w:r>
              <w:rPr>
                <w:rFonts w:hint="eastAsia" w:ascii="仿宋" w:hAnsi="仿宋" w:eastAsia="仿宋" w:cs="仿宋"/>
                <w:color w:val="auto"/>
                <w:sz w:val="24"/>
                <w:szCs w:val="24"/>
                <w:lang w:eastAsia="zh-CN"/>
              </w:rPr>
              <w:t>在采购代理机构财务处</w:t>
            </w:r>
            <w:r>
              <w:rPr>
                <w:rFonts w:hint="eastAsia" w:ascii="仿宋" w:hAnsi="仿宋" w:eastAsia="仿宋" w:cs="仿宋"/>
                <w:color w:val="auto"/>
                <w:sz w:val="24"/>
                <w:szCs w:val="24"/>
              </w:rPr>
              <w:t>换取收款收据</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 xml:space="preserve"> (供应商逾期未换取</w:t>
            </w:r>
            <w:r>
              <w:rPr>
                <w:rFonts w:hint="eastAsia" w:ascii="仿宋" w:hAnsi="仿宋" w:eastAsia="仿宋" w:cs="仿宋"/>
                <w:color w:val="auto"/>
                <w:sz w:val="24"/>
                <w:szCs w:val="24"/>
                <w:lang w:eastAsia="zh-CN"/>
              </w:rPr>
              <w:t>收款收据原件</w:t>
            </w:r>
            <w:r>
              <w:rPr>
                <w:rFonts w:hint="eastAsia" w:ascii="仿宋" w:hAnsi="仿宋" w:eastAsia="仿宋" w:cs="仿宋"/>
                <w:color w:val="auto"/>
                <w:sz w:val="24"/>
                <w:szCs w:val="24"/>
              </w:rPr>
              <w:t>的视为放弃磋商，以在采购代理机构换取收款收据时间为准)</w:t>
            </w:r>
            <w:r>
              <w:rPr>
                <w:rFonts w:hint="eastAsia" w:ascii="仿宋" w:hAnsi="仿宋" w:eastAsia="仿宋" w:cs="仿宋"/>
                <w:color w:val="auto"/>
                <w:sz w:val="24"/>
                <w:szCs w:val="24"/>
                <w:lang w:eastAsia="zh-CN"/>
              </w:rPr>
              <w:t>；</w:t>
            </w:r>
          </w:p>
          <w:p>
            <w:pPr>
              <w:pStyle w:val="23"/>
              <w:spacing w:line="36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缴纳方式：以银行转账或者金融机构、担保机构出具的保函等非现金形式。银行转账可以采取支票、电汇、网银、汇票、本票等方式，均应从基本账户转出。</w:t>
            </w:r>
          </w:p>
          <w:p>
            <w:pPr>
              <w:tabs>
                <w:tab w:val="left" w:pos="0"/>
              </w:tabs>
              <w:spacing w:line="336" w:lineRule="auto"/>
              <w:ind w:left="14" w:hanging="14" w:hangingChars="6"/>
              <w:rPr>
                <w:rFonts w:hint="eastAsia" w:ascii="仿宋" w:hAnsi="仿宋" w:eastAsia="仿宋" w:cs="仿宋"/>
                <w:b/>
                <w:bCs/>
                <w:color w:val="auto"/>
                <w:kern w:val="0"/>
                <w:sz w:val="24"/>
              </w:rPr>
            </w:pPr>
            <w:r>
              <w:rPr>
                <w:rFonts w:hint="eastAsia" w:ascii="仿宋" w:hAnsi="仿宋" w:eastAsia="仿宋" w:cs="仿宋"/>
                <w:b/>
                <w:bCs/>
                <w:color w:val="auto"/>
                <w:kern w:val="0"/>
                <w:sz w:val="24"/>
              </w:rPr>
              <w:t>户  名：</w:t>
            </w:r>
            <w:r>
              <w:rPr>
                <w:rFonts w:hint="eastAsia" w:ascii="仿宋" w:hAnsi="仿宋" w:eastAsia="仿宋" w:cs="仿宋"/>
                <w:b/>
                <w:bCs/>
                <w:color w:val="auto"/>
                <w:kern w:val="0"/>
                <w:sz w:val="24"/>
                <w:lang w:eastAsia="zh-CN"/>
              </w:rPr>
              <w:t>陕西华兴工程咨询有限公司汉中分公司</w:t>
            </w:r>
          </w:p>
          <w:p>
            <w:pPr>
              <w:tabs>
                <w:tab w:val="left" w:pos="0"/>
              </w:tabs>
              <w:spacing w:line="336" w:lineRule="auto"/>
              <w:ind w:left="14" w:hanging="14" w:hangingChars="6"/>
              <w:rPr>
                <w:rFonts w:hint="eastAsia" w:ascii="仿宋" w:hAnsi="仿宋" w:eastAsia="仿宋" w:cs="仿宋"/>
                <w:b/>
                <w:bCs/>
                <w:color w:val="auto"/>
                <w:kern w:val="0"/>
                <w:sz w:val="24"/>
              </w:rPr>
            </w:pPr>
            <w:r>
              <w:rPr>
                <w:rFonts w:hint="eastAsia" w:ascii="仿宋" w:hAnsi="仿宋" w:eastAsia="仿宋" w:cs="仿宋"/>
                <w:b/>
                <w:bCs/>
                <w:color w:val="auto"/>
                <w:kern w:val="0"/>
                <w:sz w:val="24"/>
              </w:rPr>
              <w:t>开户行：</w:t>
            </w:r>
            <w:r>
              <w:rPr>
                <w:rFonts w:hint="eastAsia" w:ascii="仿宋" w:hAnsi="仿宋" w:eastAsia="仿宋" w:cs="仿宋"/>
                <w:b/>
                <w:bCs/>
                <w:color w:val="auto"/>
                <w:kern w:val="0"/>
                <w:sz w:val="24"/>
                <w:lang w:eastAsia="zh-CN"/>
              </w:rPr>
              <w:t>中国银行股份有限公司汉中天汉大道支行</w:t>
            </w:r>
            <w:r>
              <w:rPr>
                <w:rFonts w:hint="eastAsia" w:ascii="仿宋" w:hAnsi="仿宋" w:eastAsia="仿宋" w:cs="仿宋"/>
                <w:b/>
                <w:bCs/>
                <w:color w:val="auto"/>
                <w:kern w:val="0"/>
                <w:sz w:val="24"/>
              </w:rPr>
              <w:t xml:space="preserve"> </w:t>
            </w:r>
          </w:p>
          <w:p>
            <w:pPr>
              <w:tabs>
                <w:tab w:val="left" w:pos="0"/>
              </w:tabs>
              <w:spacing w:line="336" w:lineRule="auto"/>
              <w:ind w:left="14" w:hanging="14" w:hangingChars="6"/>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rPr>
              <w:t>账  号：</w:t>
            </w:r>
            <w:r>
              <w:rPr>
                <w:rFonts w:hint="eastAsia" w:ascii="仿宋" w:hAnsi="仿宋" w:eastAsia="仿宋" w:cs="仿宋"/>
                <w:b/>
                <w:bCs/>
                <w:color w:val="auto"/>
                <w:kern w:val="0"/>
                <w:sz w:val="24"/>
                <w:lang w:val="en-US" w:eastAsia="zh-CN"/>
              </w:rPr>
              <w:t>1024 8277 3591</w:t>
            </w:r>
          </w:p>
          <w:p>
            <w:pPr>
              <w:tabs>
                <w:tab w:val="left" w:pos="0"/>
              </w:tabs>
              <w:spacing w:line="336" w:lineRule="auto"/>
              <w:ind w:left="14" w:hanging="14" w:hangingChars="6"/>
              <w:rPr>
                <w:rFonts w:hint="eastAsia" w:ascii="仿宋" w:hAnsi="仿宋" w:eastAsia="仿宋" w:cs="仿宋"/>
                <w:color w:val="auto"/>
                <w:lang w:eastAsia="zh-CN"/>
              </w:rPr>
            </w:pPr>
            <w:r>
              <w:rPr>
                <w:rFonts w:hint="eastAsia" w:ascii="仿宋" w:hAnsi="仿宋" w:eastAsia="仿宋" w:cs="仿宋"/>
                <w:b/>
                <w:bCs/>
                <w:color w:val="auto"/>
                <w:kern w:val="0"/>
                <w:sz w:val="24"/>
                <w:lang w:eastAsia="zh-CN"/>
              </w:rPr>
              <w:t>注：</w:t>
            </w:r>
            <w:r>
              <w:rPr>
                <w:rFonts w:hint="eastAsia" w:ascii="仿宋" w:hAnsi="仿宋" w:eastAsia="仿宋" w:cs="仿宋"/>
                <w:b/>
                <w:bCs/>
                <w:color w:val="auto"/>
                <w:kern w:val="0"/>
                <w:sz w:val="24"/>
                <w:lang w:val="en-US" w:eastAsia="zh-CN"/>
              </w:rPr>
              <w:t>1、</w:t>
            </w:r>
            <w:r>
              <w:rPr>
                <w:rFonts w:hint="eastAsia" w:ascii="仿宋" w:hAnsi="仿宋" w:eastAsia="仿宋" w:cs="仿宋"/>
                <w:b/>
                <w:bCs/>
                <w:color w:val="auto"/>
                <w:kern w:val="0"/>
                <w:sz w:val="24"/>
              </w:rPr>
              <w:t>转账时请注明：</w:t>
            </w:r>
            <w:r>
              <w:rPr>
                <w:rFonts w:hint="eastAsia" w:ascii="仿宋" w:hAnsi="仿宋" w:eastAsia="仿宋" w:cs="仿宋"/>
                <w:b/>
                <w:bCs/>
                <w:color w:val="auto"/>
                <w:kern w:val="0"/>
                <w:sz w:val="24"/>
                <w:u w:val="single"/>
              </w:rPr>
              <w:t xml:space="preserve">      （项目名称）</w:t>
            </w:r>
            <w:r>
              <w:rPr>
                <w:rFonts w:hint="eastAsia" w:ascii="仿宋" w:hAnsi="仿宋" w:eastAsia="仿宋" w:cs="仿宋"/>
                <w:b/>
                <w:bCs/>
                <w:color w:val="auto"/>
                <w:kern w:val="0"/>
                <w:sz w:val="24"/>
                <w:lang w:eastAsia="zh-CN"/>
              </w:rPr>
              <w:t>磋商</w:t>
            </w:r>
            <w:r>
              <w:rPr>
                <w:rFonts w:hint="eastAsia" w:ascii="仿宋" w:hAnsi="仿宋" w:eastAsia="仿宋" w:cs="仿宋"/>
                <w:b/>
                <w:bCs/>
                <w:color w:val="auto"/>
                <w:kern w:val="0"/>
                <w:sz w:val="24"/>
              </w:rPr>
              <w:t>保证金，以便核查</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lang w:val="en-US" w:eastAsia="zh-CN"/>
              </w:rPr>
              <w:t>2、</w:t>
            </w:r>
            <w:r>
              <w:rPr>
                <w:rFonts w:hint="eastAsia" w:ascii="仿宋" w:hAnsi="仿宋" w:eastAsia="仿宋" w:cs="仿宋"/>
                <w:b/>
                <w:bCs/>
                <w:color w:val="auto"/>
                <w:kern w:val="0"/>
                <w:sz w:val="24"/>
                <w:lang w:val="zh-CN" w:eastAsia="zh-CN"/>
              </w:rPr>
              <w:t>供应商在资格审查环节时，资格审查文件密封袋中未能附招标代理机构开出的收款收据原件或保函原件的，其磋商响应文件将被拒绝接收，资格审查环节不予通过，不能参与后续评审</w:t>
            </w:r>
            <w:r>
              <w:rPr>
                <w:rFonts w:hint="eastAsia" w:ascii="仿宋" w:hAnsi="仿宋" w:eastAsia="仿宋" w:cs="仿宋"/>
                <w:b/>
                <w:bCs/>
                <w:color w:val="auto"/>
                <w:kern w:val="0"/>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递交磋商文件</w:t>
            </w:r>
            <w:r>
              <w:rPr>
                <w:rFonts w:hint="eastAsia" w:ascii="仿宋" w:hAnsi="仿宋" w:eastAsia="仿宋" w:cs="仿宋"/>
                <w:color w:val="auto"/>
                <w:sz w:val="24"/>
                <w:szCs w:val="24"/>
                <w:lang w:val="zh-CN"/>
              </w:rPr>
              <w:t>时间和地点</w:t>
            </w:r>
          </w:p>
        </w:tc>
        <w:tc>
          <w:tcPr>
            <w:tcW w:w="7023" w:type="dxa"/>
            <w:vAlign w:val="center"/>
          </w:tcPr>
          <w:p>
            <w:pPr>
              <w:pStyle w:val="23"/>
              <w:spacing w:line="360" w:lineRule="auto"/>
              <w:ind w:firstLine="0"/>
              <w:rPr>
                <w:rFonts w:hint="eastAsia" w:ascii="仿宋" w:hAnsi="仿宋" w:eastAsia="仿宋" w:cs="仿宋"/>
                <w:color w:val="auto"/>
                <w:sz w:val="24"/>
                <w:szCs w:val="24"/>
                <w:lang w:val="zh-CN"/>
              </w:rPr>
            </w:pPr>
            <w:r>
              <w:rPr>
                <w:rFonts w:hint="eastAsia" w:ascii="仿宋" w:hAnsi="仿宋" w:eastAsia="仿宋" w:cs="仿宋"/>
                <w:color w:val="auto"/>
                <w:sz w:val="24"/>
                <w:szCs w:val="24"/>
              </w:rPr>
              <w:t>开标时间：</w:t>
            </w:r>
            <w:r>
              <w:rPr>
                <w:rFonts w:hint="eastAsia" w:ascii="仿宋" w:hAnsi="仿宋" w:eastAsia="仿宋" w:cs="仿宋"/>
                <w:b/>
                <w:bCs/>
                <w:color w:val="auto"/>
                <w:sz w:val="24"/>
                <w:szCs w:val="24"/>
                <w:u w:val="single"/>
              </w:rPr>
              <w:t>20</w:t>
            </w:r>
            <w:r>
              <w:rPr>
                <w:rFonts w:hint="eastAsia" w:ascii="仿宋" w:hAnsi="仿宋" w:eastAsia="仿宋" w:cs="仿宋"/>
                <w:b/>
                <w:bCs/>
                <w:color w:val="auto"/>
                <w:sz w:val="24"/>
                <w:szCs w:val="24"/>
                <w:u w:val="single"/>
                <w:lang w:val="en-US" w:eastAsia="zh-CN"/>
              </w:rPr>
              <w:t>22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07</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19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09时30分</w:t>
            </w:r>
            <w:r>
              <w:rPr>
                <w:rFonts w:hint="eastAsia" w:ascii="仿宋" w:hAnsi="仿宋" w:eastAsia="仿宋" w:cs="仿宋"/>
                <w:b/>
                <w:bCs/>
                <w:color w:val="auto"/>
                <w:sz w:val="24"/>
                <w:szCs w:val="24"/>
                <w:u w:val="single"/>
                <w:lang w:val="zh-CN"/>
              </w:rPr>
              <w:t>（北京时间）</w:t>
            </w:r>
          </w:p>
          <w:p>
            <w:pPr>
              <w:pStyle w:val="23"/>
              <w:spacing w:line="360" w:lineRule="auto"/>
              <w:ind w:firstLine="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 xml:space="preserve">开标地点: </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磋商小组</w:t>
            </w:r>
          </w:p>
        </w:tc>
        <w:tc>
          <w:tcPr>
            <w:tcW w:w="7023" w:type="dxa"/>
            <w:vAlign w:val="center"/>
          </w:tcPr>
          <w:p>
            <w:pPr>
              <w:pStyle w:val="11"/>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根据《中华人民共和国政府采购法》及其实施条例、《政府采购竞争性磋商采购方式管理暂行办法》的通知（财库【2014】号）等规定，依法组建磋商小组。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7023" w:type="dxa"/>
            <w:vAlign w:val="center"/>
          </w:tcPr>
          <w:p>
            <w:pPr>
              <w:pStyle w:val="11"/>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履约保证金形式：银行转账、银行保函或现金、支票等。</w:t>
            </w:r>
          </w:p>
          <w:p>
            <w:pPr>
              <w:pStyle w:val="11"/>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w:t>
            </w:r>
            <w:r>
              <w:rPr>
                <w:rFonts w:hint="eastAsia" w:ascii="仿宋" w:hAnsi="仿宋" w:eastAsia="仿宋" w:cs="仿宋"/>
                <w:color w:val="auto"/>
                <w:sz w:val="24"/>
                <w:szCs w:val="24"/>
                <w:lang w:eastAsia="zh-CN"/>
              </w:rPr>
              <w:t>双方合同约定</w:t>
            </w:r>
            <w:r>
              <w:rPr>
                <w:rFonts w:hint="eastAsia" w:ascii="仿宋" w:hAnsi="仿宋" w:eastAsia="仿宋" w:cs="仿宋"/>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特别说明</w:t>
            </w:r>
          </w:p>
        </w:tc>
        <w:tc>
          <w:tcPr>
            <w:tcW w:w="7023" w:type="dxa"/>
            <w:vAlign w:val="center"/>
          </w:tcPr>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依据陕西省财政厅《陕西省财政厅关于政府采购供应商注册登记有关事项的通知》：所有供应商须在开标前通过陕西省政府采购网（http://www.ccgp-shaanxi.gov.cn/）注册登记加入陕西省政府采购供应商库。供应商填报信息并提交后，供应商的基本信息将通过陕西省政府采购网进行公示，公示期为5个工作日。公示期内无异议的，公示期满后自动加入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供应商注册登记咨询电话：029-96702-7   87611761。</w:t>
            </w:r>
          </w:p>
          <w:p>
            <w:pPr>
              <w:pStyle w:val="11"/>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如因供应商未及时加入陕西省政府采购供应商库而导致成交公告无法发布的，由其供应商承担相关责任。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3"/>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866" w:type="dxa"/>
            <w:vAlign w:val="center"/>
          </w:tcPr>
          <w:p>
            <w:pPr>
              <w:pStyle w:val="11"/>
              <w:spacing w:before="120" w:beforeLines="50" w:line="360" w:lineRule="auto"/>
              <w:ind w:right="115" w:rightChars="55"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采购代理服务费</w:t>
            </w:r>
          </w:p>
        </w:tc>
        <w:tc>
          <w:tcPr>
            <w:tcW w:w="7023" w:type="dxa"/>
            <w:vAlign w:val="center"/>
          </w:tcPr>
          <w:p>
            <w:pPr>
              <w:pStyle w:val="11"/>
              <w:spacing w:before="120" w:beforeLines="50" w:line="360" w:lineRule="auto"/>
              <w:ind w:right="115" w:rightChars="55" w:firstLine="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采购代理服务费：</w:t>
            </w:r>
          </w:p>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1、本项目采购代理费依据《服务收费管理暂行办法》计价格[2002]1980 号文和发改价格[2011]534 号文件或代理合同为标准，由中标供应商支付。</w:t>
            </w:r>
          </w:p>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2、采购代理服务费缴纳时间：中标供应商在中标通知书发出 5 个工作日内向采购代理机构支付招标代理服务费。</w:t>
            </w:r>
          </w:p>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缴纳方式：以现金或转账的方式，不得以投标保证金冲抵。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9592" w:type="dxa"/>
            <w:gridSpan w:val="3"/>
            <w:vAlign w:val="center"/>
          </w:tcPr>
          <w:p>
            <w:pPr>
              <w:pStyle w:val="11"/>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本招标文件未明确的其他事项，按照有关法律、法规或省市有关规定执行。</w:t>
            </w:r>
          </w:p>
        </w:tc>
      </w:tr>
    </w:tbl>
    <w:p>
      <w:pPr>
        <w:pStyle w:val="14"/>
        <w:rPr>
          <w:rFonts w:hint="eastAsia"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一、总则</w:t>
      </w:r>
    </w:p>
    <w:p>
      <w:pPr>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1、释义</w:t>
      </w:r>
    </w:p>
    <w:p>
      <w:pPr>
        <w:kinsoku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1.1、采   购   人：</w:t>
      </w:r>
      <w:r>
        <w:rPr>
          <w:rFonts w:hint="eastAsia" w:ascii="仿宋" w:hAnsi="仿宋" w:eastAsia="仿宋" w:cs="仿宋"/>
          <w:color w:val="auto"/>
          <w:sz w:val="24"/>
          <w:lang w:eastAsia="zh-CN"/>
        </w:rPr>
        <w:t>汉中市南郑区阳春镇人民政府</w:t>
      </w:r>
    </w:p>
    <w:p>
      <w:pPr>
        <w:kinsoku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1.2、采购代理机构：</w:t>
      </w:r>
      <w:r>
        <w:rPr>
          <w:rFonts w:hint="eastAsia" w:ascii="仿宋" w:hAnsi="仿宋" w:eastAsia="仿宋" w:cs="仿宋"/>
          <w:color w:val="auto"/>
          <w:sz w:val="24"/>
          <w:lang w:eastAsia="zh-CN"/>
        </w:rPr>
        <w:t>陕西华兴工程咨询有限公司</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1.3、监督管理部门：</w:t>
      </w:r>
      <w:r>
        <w:rPr>
          <w:rFonts w:hint="eastAsia" w:ascii="仿宋" w:hAnsi="仿宋" w:eastAsia="仿宋" w:cs="仿宋"/>
          <w:color w:val="auto"/>
          <w:sz w:val="24"/>
          <w:lang w:eastAsia="zh-CN"/>
        </w:rPr>
        <w:t>汉中市南郑区财政局</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1.4、标        书：磋商文件与响应文件的统称，竞争性磋商文件编制依据为《中华人民共和国政府采购法》、《中华人民共和国政府采购法实施条例》（第658号）、《政府采购货物和服务招标投标管理办法》（财政部令第87号）等相关的文件。</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1.5、供应商：符合《中华人民共和国政府采购法》第二十二条及《中华人民共和国国务院令（第658号）》第十七条规定的条件，且从采购代理机构购买竞争性磋商文件，并自愿参加投标活动的供应商。</w:t>
      </w:r>
    </w:p>
    <w:p>
      <w:pPr>
        <w:tabs>
          <w:tab w:val="left" w:pos="980"/>
        </w:tabs>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2、供应商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2.1、合格的供应商应具备以下条件：</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2.1.1、具备且满足《竞争性磋商公告》要求的；</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2.1.2、向采购代理机构购买了竞争性磋商文件并登记备案的；</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2.1.3、一个供应商只能提交一个响应文件，法定代表人为同一人的两个及两个以上法人，不得同时参加本项目投标；</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2.1.4、有隶属关系的两个公司或有控股关系的两个公司不能同时参加同一项目的投标；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2.1.5、遵守国家、陕西省有关政府采购的法律、条例和法规；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2.1.6、竞争性磋商文件和法律、行政法规规定的其他条件。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2.2、供应商存在下列情形之一，属于不合格供应商，其响应文件或中标资格将被取消：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2.2.1、与采购人、采购代理机构存在隶属关系或者其他利害关系；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2.2.2、与其他供应商的法定代表人（或者负责人）为同一人，或者与其他供应商存在控股、管理关系；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2.2.3、提供虚假材料谋取成交资格；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2.2.4、采取不正当手段诋毁、排挤其他供应商；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2.2.5、与采购人、采购代理机构、其他供应商恶意串通；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2.2.6、向采购人、采购代理机构、磋商小组成员行贿或者提供其他不正当利益；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2.2.7、拒绝有关部门的监督检查或者向监督检查部门提供虚假情况。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175"/>
        <w:rPr>
          <w:rFonts w:hint="eastAsia" w:ascii="仿宋" w:hAnsi="仿宋" w:eastAsia="仿宋" w:cs="仿宋"/>
          <w:color w:val="auto"/>
          <w:sz w:val="24"/>
        </w:rPr>
      </w:pPr>
      <w:r>
        <w:rPr>
          <w:rFonts w:hint="eastAsia" w:ascii="仿宋" w:hAnsi="仿宋" w:eastAsia="仿宋" w:cs="仿宋"/>
          <w:color w:val="auto"/>
          <w:sz w:val="24"/>
        </w:rPr>
        <w:t>2.3、供应商的风险：竞争性磋商文件各章内容已对投标事宜提出明确要求，供应商应认真阅读和充分理解竞争性磋商文件中所有的事项、格式条款和规范要求，任何对竞争性磋商文件的忽略或误解不能作为响应文件存在缺陷或瑕疵的理由；供应商没有按照竞争性磋商文件要求提供全部资料，或对竞争性磋商文件未全面做出实质性响应是供应商的风险，而导致投标不利后果或其响应文件被拒绝、被废标的，其责任由供应商自负。</w:t>
      </w:r>
    </w:p>
    <w:p>
      <w:pPr>
        <w:adjustRightInd w:val="0"/>
        <w:snapToGrid w:val="0"/>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二、竞争性磋商文件</w:t>
      </w:r>
    </w:p>
    <w:p>
      <w:pPr>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3、竞争性磋商文件的构成</w:t>
      </w:r>
    </w:p>
    <w:p>
      <w:pPr>
        <w:tabs>
          <w:tab w:val="left" w:pos="7665"/>
        </w:tabs>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竞争性磋商文件是供应商准备响应文件和参加投标的依据，同时也是评审的重要依据。竞争性磋商文件用以阐明采购项目所需的资质、技术、服务及报价等要求、采购程序、评审办法与标准、有关规定和注意事项以及合同主要条款等。本竞争性磋商文件包括以下内容：</w:t>
      </w:r>
    </w:p>
    <w:p>
      <w:pPr>
        <w:tabs>
          <w:tab w:val="left" w:pos="7665"/>
        </w:tabs>
        <w:spacing w:line="360" w:lineRule="auto"/>
        <w:ind w:firstLine="480" w:firstLineChars="200"/>
        <w:rPr>
          <w:rFonts w:hint="eastAsia" w:ascii="仿宋" w:hAnsi="仿宋" w:eastAsia="仿宋" w:cs="仿宋"/>
          <w:color w:val="auto"/>
          <w:sz w:val="24"/>
        </w:rPr>
      </w:pPr>
      <w:bookmarkStart w:id="1" w:name="_Toc183582211"/>
      <w:bookmarkStart w:id="2" w:name="_Toc183682348"/>
      <w:bookmarkStart w:id="3" w:name="_Toc217446040"/>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1.1、竞争性磋商公告</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1.2、供应商须知</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1.3、评审方法</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1.4、采购内容及具体要求</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1.5、合同主要条款</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1.6、响应文件格式及构成</w:t>
      </w:r>
    </w:p>
    <w:p>
      <w:pPr>
        <w:spacing w:before="120" w:beforeLines="50" w:line="360" w:lineRule="auto"/>
        <w:rPr>
          <w:rFonts w:hint="eastAsia" w:ascii="仿宋" w:hAnsi="仿宋" w:eastAsia="仿宋" w:cs="仿宋"/>
          <w:b/>
          <w:color w:val="auto"/>
          <w:sz w:val="24"/>
        </w:rPr>
      </w:pPr>
      <w:r>
        <w:rPr>
          <w:rFonts w:hint="eastAsia" w:ascii="仿宋" w:hAnsi="仿宋" w:eastAsia="仿宋" w:cs="仿宋"/>
          <w:b/>
          <w:color w:val="auto"/>
          <w:sz w:val="24"/>
        </w:rPr>
        <w:t>4、踏勘现场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4.1、本项目不统一组织现场勘查。</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4.2、踏勘现场所发生的一切费用由供应商自行承担。</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4.3、采购人不对供应商因踏勘现场而做出的推论、理解和结论负责。一旦成交，成交供应商不得以任何借口，提出额外补偿或延长合同期限的要求。</w:t>
      </w:r>
    </w:p>
    <w:p>
      <w:pPr>
        <w:spacing w:before="120" w:beforeLines="50" w:line="360" w:lineRule="auto"/>
        <w:rPr>
          <w:rFonts w:hint="eastAsia" w:ascii="仿宋" w:hAnsi="仿宋" w:eastAsia="仿宋" w:cs="仿宋"/>
          <w:b/>
          <w:color w:val="auto"/>
          <w:sz w:val="24"/>
        </w:rPr>
      </w:pPr>
      <w:r>
        <w:rPr>
          <w:rFonts w:hint="eastAsia" w:ascii="仿宋" w:hAnsi="仿宋" w:eastAsia="仿宋" w:cs="仿宋"/>
          <w:b/>
          <w:color w:val="auto"/>
          <w:sz w:val="24"/>
        </w:rPr>
        <w:t>5、竞争性磋商文件的澄清</w:t>
      </w:r>
      <w:bookmarkEnd w:id="1"/>
      <w:bookmarkEnd w:id="2"/>
      <w:r>
        <w:rPr>
          <w:rFonts w:hint="eastAsia" w:ascii="仿宋" w:hAnsi="仿宋" w:eastAsia="仿宋" w:cs="仿宋"/>
          <w:b/>
          <w:color w:val="auto"/>
          <w:sz w:val="24"/>
        </w:rPr>
        <w:t>和修改</w:t>
      </w:r>
      <w:bookmarkEnd w:id="3"/>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5.1、采购代理机构可对已发出的磋商文件进行必要的修改、澄清或补正，修改、澄清或补正的内容在磋商截止时间前，以书面形式通知所有磋商文件收受人，该澄清或修改的内容为磋商文件的组成部分。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供应商要求对磋商文件进行澄清的（技术参数有误、表述不清或认为磋商文件存在排他性条款），必须在磋商响应文件递交截止时间前，以书面形式送达采购代理机构（涉及技术参数问题的由采购组织机构转交采购人，由采购人在规定的时间内予以解释，其他问题由采购组织机构解释）；采购代理机构在磋商响应文件递交截止时间前以书面形式予以答复；必要时将书面答复传送给所有磋商文件收受人。没有提出异议视同完全接受磋商文件所有条款内容。</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5.3、采购代理机构可以视采购具体情况，延长磋商响应文件递交截止时间和磋商时间，但至少在磋商文件要求的递交磋商响应文件的截止时间5日前，将变更时间书面通知所有磋商文件收受人，并在政府采购信息发布媒体上发布变更公告。 </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5.4、磋商文件由采购代理机构登记发售，一经售出，恕不能退。</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5.5、供应商不得擅自转让、变卖或复制磋商文件进行磋商。</w:t>
      </w:r>
    </w:p>
    <w:p>
      <w:pPr>
        <w:adjustRightInd w:val="0"/>
        <w:snapToGrid w:val="0"/>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6、竞争性磋商文件的解释权：</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本项目竞争性磋商文件的解释权归采购代理机构所有，如发现竞争性磋商文件内容与现行相关法律法规不相符的情况，以现行法律法规为准。</w:t>
      </w:r>
    </w:p>
    <w:p>
      <w:pPr>
        <w:tabs>
          <w:tab w:val="left" w:pos="7665"/>
        </w:tabs>
        <w:spacing w:before="120" w:beforeLines="50" w:after="120" w:afterLines="50" w:line="360" w:lineRule="auto"/>
        <w:rPr>
          <w:rFonts w:hint="eastAsia" w:ascii="仿宋" w:hAnsi="仿宋" w:eastAsia="仿宋" w:cs="仿宋"/>
          <w:b/>
          <w:color w:val="auto"/>
          <w:kern w:val="0"/>
          <w:sz w:val="24"/>
        </w:rPr>
      </w:pPr>
      <w:r>
        <w:rPr>
          <w:rFonts w:hint="eastAsia" w:ascii="仿宋" w:hAnsi="仿宋" w:eastAsia="仿宋" w:cs="仿宋"/>
          <w:b/>
          <w:bCs/>
          <w:color w:val="auto"/>
          <w:sz w:val="24"/>
        </w:rPr>
        <w:t>三、响应文件</w:t>
      </w:r>
    </w:p>
    <w:p>
      <w:pPr>
        <w:tabs>
          <w:tab w:val="left" w:pos="720"/>
        </w:tabs>
        <w:snapToGrid w:val="0"/>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7、响应文件的组成</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7.1、响应文件由下列部分组成：</w:t>
      </w:r>
    </w:p>
    <w:p>
      <w:pPr>
        <w:adjustRightInd w:val="0"/>
        <w:snapToGrid w:val="0"/>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t>7.1.1、磋商报价部分：</w:t>
      </w:r>
      <w:r>
        <w:rPr>
          <w:rFonts w:hint="eastAsia" w:ascii="仿宋" w:hAnsi="仿宋" w:eastAsia="仿宋" w:cs="仿宋"/>
          <w:b/>
          <w:bCs/>
          <w:color w:val="auto"/>
          <w:sz w:val="24"/>
        </w:rPr>
        <w:t>磋商响应报价是供应商响应采购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7.1.1.1、供应商应在响应文件中的首次磋商响应报价表上标明磋商响应总报价、工期等所列内容。</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7.1.1.2、磋商响应报价货币：人民币；</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7.1.1.3、磋商响应报价金额的小写与大写不一致时，以大写为准。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7.1.1.4、供应商在磋商截止时间前修改磋商函中的磋商总报价，应同时修改投标文件“已标价工程量清单”中的相应报价。</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7.1.1.5、供应商如果发现工程量清单中的数量与图纸中数量不一致时，应立即通知采购人核查，除非采购人以书面方式予以更正，否则，应以工程量清单中列出的数量为准。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7.1.1.6、除采购人须知前附表另有规定外，采购人不接受调价函。</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7.1.1.7、采购人设有最高限价的，供应商的磋商总报价不得超过最高限价，最高限价在供应商须知前附表中载明。</w:t>
      </w:r>
    </w:p>
    <w:p>
      <w:pPr>
        <w:adjustRightInd w:val="0"/>
        <w:snapToGrid w:val="0"/>
        <w:spacing w:line="360" w:lineRule="auto"/>
        <w:ind w:firstLine="480" w:firstLineChars="200"/>
        <w:rPr>
          <w:rFonts w:hint="eastAsia" w:ascii="仿宋" w:hAnsi="仿宋" w:eastAsia="仿宋" w:cs="仿宋"/>
          <w:b/>
          <w:bCs/>
          <w:color w:val="auto"/>
          <w:sz w:val="24"/>
          <w:shd w:val="clear" w:color="FFFFFF" w:fill="D9D9D9"/>
        </w:rPr>
      </w:pPr>
      <w:r>
        <w:rPr>
          <w:rFonts w:hint="eastAsia" w:ascii="仿宋" w:hAnsi="仿宋" w:eastAsia="仿宋" w:cs="仿宋"/>
          <w:color w:val="auto"/>
          <w:sz w:val="24"/>
          <w:shd w:val="clear" w:color="FFFFFF" w:fill="D9D9D9"/>
        </w:rPr>
        <w:t>7.1.1.8、</w:t>
      </w:r>
      <w:r>
        <w:rPr>
          <w:rFonts w:hint="eastAsia" w:ascii="仿宋" w:hAnsi="仿宋" w:eastAsia="仿宋" w:cs="仿宋"/>
          <w:b/>
          <w:bCs/>
          <w:color w:val="auto"/>
          <w:sz w:val="24"/>
          <w:shd w:val="clear" w:color="FFFFFF" w:fill="D9D9D9"/>
        </w:rPr>
        <w:t>供应商不得以低于成本的报价参与投标。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7.1.2、技术部分：供应商按照竞争性磋商文件要求做出技术应答。</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7.1.3、商务部分：供应商按照竞争性磋商文件要求做出完全响应。</w:t>
      </w:r>
    </w:p>
    <w:p>
      <w:pPr>
        <w:pStyle w:val="11"/>
        <w:spacing w:before="120" w:beforeLines="50" w:after="120" w:afterLines="50" w:line="360" w:lineRule="auto"/>
        <w:ind w:firstLine="0"/>
        <w:rPr>
          <w:rFonts w:hint="eastAsia" w:ascii="仿宋" w:hAnsi="仿宋" w:eastAsia="仿宋" w:cs="仿宋"/>
          <w:b/>
          <w:color w:val="auto"/>
          <w:sz w:val="24"/>
          <w:szCs w:val="24"/>
        </w:rPr>
      </w:pPr>
      <w:r>
        <w:rPr>
          <w:rFonts w:hint="eastAsia" w:ascii="仿宋" w:hAnsi="仿宋" w:eastAsia="仿宋" w:cs="仿宋"/>
          <w:b/>
          <w:bCs/>
          <w:color w:val="auto"/>
          <w:sz w:val="24"/>
          <w:szCs w:val="24"/>
        </w:rPr>
        <w:t>8、磋商保证金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8.1、磋商保证金数额见供应商须知前列表。</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8.2、磋商保证金是为了保护采购人和采购代理机构免遭供应商的不良行为而蒙受损失。采购人和采购代理机构在因供应商的不良行为受到损害时，可根据竞争性磋商文件的规定不予退还其磋商保证金。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8.3、磋商保证金的提交</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8.3.1、磋商保证金逾期缴纳的供应商，磋商响应文件将被拒绝。</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8.3.2、磋商保证金应以银行转账或者金融机构、担保机构出具的保函等非现金形式提交。</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8.3.3、提交投标保证金后，各供应商须将其缴纳的保证金凭证的复印件（加盖供应商红章）附在响应文件中，否则视为无效标书。</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8.4、磋商保证金的退还：</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8.4.1、未成交供应商的磋商保证金，将在成交通知书发出之日起</w:t>
      </w:r>
      <w:r>
        <w:rPr>
          <w:rFonts w:hint="eastAsia" w:ascii="仿宋" w:hAnsi="仿宋" w:eastAsia="仿宋" w:cs="仿宋"/>
          <w:color w:val="auto"/>
          <w:sz w:val="24"/>
          <w:lang w:eastAsia="zh-CN"/>
        </w:rPr>
        <w:t>后</w:t>
      </w:r>
      <w:r>
        <w:rPr>
          <w:rFonts w:hint="eastAsia" w:ascii="仿宋" w:hAnsi="仿宋" w:eastAsia="仿宋" w:cs="仿宋"/>
          <w:color w:val="auto"/>
          <w:sz w:val="24"/>
        </w:rPr>
        <w:t>5个工作日内全额退还。成交供应商的磋商保证金，将在采购合同签订生效后5个工作日内全额退还。未及时办理退还者，由供应商自行负责。</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8.4.2、下列任何情况发生时，采购代理机构将不予退还供应商交纳的磋商保证金：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8.4.2.1、供应商在竞争性磋商文件规定的投标有效期内撤回磋商响应文件的；</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8.4.2.2、由于成交供应商的原因未能按照竞争性磋商文件的规定与采购人签订合同的；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8.4.2.3、由于成交供应商的原因未能在规定时间内领取《成交通知书》的；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8.4.2.4、由于成交供应商的原因未能按竞争性磋商文件规定支付采购代理服务费的（</w:t>
      </w:r>
      <w:r>
        <w:rPr>
          <w:rFonts w:hint="eastAsia" w:ascii="仿宋" w:hAnsi="仿宋" w:eastAsia="仿宋" w:cs="仿宋"/>
          <w:color w:val="auto"/>
          <w:sz w:val="24"/>
          <w:lang w:eastAsia="zh-CN"/>
        </w:rPr>
        <w:t>注：</w:t>
      </w:r>
      <w:r>
        <w:rPr>
          <w:rFonts w:hint="eastAsia" w:ascii="仿宋" w:hAnsi="仿宋" w:eastAsia="仿宋" w:cs="仿宋"/>
          <w:color w:val="auto"/>
          <w:sz w:val="24"/>
        </w:rPr>
        <w:t>视采购代理协议条款约定）；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8.4.2.5、由于成交供应商的原因未能按竞争性磋商文件规定缴纳履约保证金的；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8.4.2.6、供应商违反磋商响应文件中承诺函相关内容和条款的；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8.4.2.7、投标有效期内，供应商在政府采购活动中有违规、违纪和违法行为的；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8.4.2.8、法律法规规定的其他情况。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8.4.3、磋商保证金退还方式：公司财务部通过银行转账将磋商保证金退还至供应商基本账户。</w:t>
      </w:r>
    </w:p>
    <w:p>
      <w:pPr>
        <w:pStyle w:val="11"/>
        <w:spacing w:before="120" w:beforeLines="50" w:after="120" w:afterLines="50" w:line="360" w:lineRule="auto"/>
        <w:ind w:firstLine="0"/>
        <w:rPr>
          <w:rFonts w:hint="eastAsia" w:ascii="仿宋" w:hAnsi="仿宋" w:eastAsia="仿宋" w:cs="仿宋"/>
          <w:b/>
          <w:bCs/>
          <w:color w:val="auto"/>
          <w:sz w:val="24"/>
          <w:szCs w:val="24"/>
        </w:rPr>
      </w:pPr>
      <w:bookmarkStart w:id="4" w:name="_Toc53231785"/>
      <w:bookmarkStart w:id="5" w:name="_Toc53231529"/>
      <w:bookmarkStart w:id="6" w:name="_Toc53231741"/>
      <w:r>
        <w:rPr>
          <w:rFonts w:hint="eastAsia" w:ascii="仿宋" w:hAnsi="仿宋" w:eastAsia="仿宋" w:cs="仿宋"/>
          <w:b/>
          <w:bCs/>
          <w:color w:val="auto"/>
          <w:sz w:val="24"/>
          <w:szCs w:val="24"/>
        </w:rPr>
        <w:t>9、响应文件的编制</w:t>
      </w:r>
      <w:bookmarkEnd w:id="4"/>
      <w:bookmarkEnd w:id="5"/>
      <w:bookmarkEnd w:id="6"/>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9.1、供应商应仔细阅读竞争性磋商文件的所有内容，按竞争性磋商文件规定及要求编制，应当对竞争性磋商文件提出的实质性要求做出响应，并提交完整的响应文件。供应商应填写全称，同时</w:t>
      </w:r>
      <w:r>
        <w:rPr>
          <w:rFonts w:hint="eastAsia" w:ascii="仿宋" w:hAnsi="仿宋" w:eastAsia="仿宋" w:cs="仿宋"/>
          <w:color w:val="auto"/>
          <w:sz w:val="24"/>
          <w:lang w:eastAsia="zh-CN"/>
        </w:rPr>
        <w:t>按要求</w:t>
      </w:r>
      <w:r>
        <w:rPr>
          <w:rFonts w:hint="eastAsia" w:ascii="仿宋" w:hAnsi="仿宋" w:eastAsia="仿宋" w:cs="仿宋"/>
          <w:color w:val="auto"/>
          <w:sz w:val="24"/>
        </w:rPr>
        <w:t>加盖公章，签署、盖章和内容应完整，如有遗漏，将被视为无效。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9.2、供应商必须保证其编制、递交的响应文件所有内容真实、合法、有效，并承担相应的法律责任。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响应文件的语言：供应商提交的响应文件以及供应商与采购代理机构就有关本项目所有文件、资料、邮件文字均应使用中文（通用缩写、代号、名称除外）。响应文件中如附有外文资料，必须逐一对应翻译成中文并加盖供应商公章后附在相关外文资料后面，否则，其响应文件将作为无效响应文件处理。</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9.4、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9.5、响应文件形式：本项目响应文件应采用书面文件形式，电报、传真、电子邮件形式的响应文件不予接受。</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9.6、备选方案：本项目不接受备选响应方案。</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9.7、响应文件有效期：响应文件有效期自开标大会之日起90日历天。</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9.8、响应文件格式：供应商应严格按照竞争性磋商文件《第六章响应文件格式及构成》填写相关内容。</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9.10、响应文件的签署</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9.10.1、响应文件应使用A4纸打印或使用不褪色蓝（黑）墨水书写；</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9.10.2、响应文件的任何行间插字、涂改和增删，改动处须由法定代表人签字并加盖公章方为有效；因字迹潦草或表达不清所引起的后果由供应商自行负责。</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9.10.3、供应商须按竞争性磋商文件要求在指定页面落款处，加盖法人公章以及由法定代表人或其被授权委托人签名（或盖章）。</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9.11、响应文件的装订、密封及标识</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9.11.1、供应商应编制响应文件正本1份、副本2份，</w:t>
      </w:r>
      <w:r>
        <w:rPr>
          <w:rFonts w:hint="eastAsia" w:ascii="仿宋" w:hAnsi="仿宋" w:eastAsia="仿宋" w:cs="仿宋"/>
          <w:color w:val="auto"/>
          <w:sz w:val="24"/>
          <w:lang w:eastAsia="zh-CN"/>
        </w:rPr>
        <w:t>磋商报价一览表（单独另附）</w:t>
      </w:r>
      <w:r>
        <w:rPr>
          <w:rFonts w:hint="eastAsia" w:ascii="仿宋" w:hAnsi="仿宋" w:eastAsia="仿宋" w:cs="仿宋"/>
          <w:color w:val="auto"/>
          <w:sz w:val="24"/>
          <w:lang w:val="en-US" w:eastAsia="zh-CN"/>
        </w:rPr>
        <w:t>1份、资格审查文件1份</w:t>
      </w:r>
      <w:r>
        <w:rPr>
          <w:rFonts w:hint="eastAsia" w:ascii="仿宋" w:hAnsi="仿宋" w:eastAsia="仿宋" w:cs="仿宋"/>
          <w:color w:val="auto"/>
          <w:sz w:val="24"/>
        </w:rPr>
        <w:t>各自装订成册、单独密封，响应文件须在封面及封袋注明“正本”</w:t>
      </w:r>
      <w:r>
        <w:rPr>
          <w:rFonts w:hint="eastAsia" w:ascii="仿宋" w:hAnsi="仿宋" w:eastAsia="仿宋" w:cs="仿宋"/>
          <w:color w:val="auto"/>
          <w:sz w:val="24"/>
          <w:lang w:eastAsia="zh-CN"/>
        </w:rPr>
        <w:t>、</w:t>
      </w:r>
      <w:r>
        <w:rPr>
          <w:rFonts w:hint="eastAsia" w:ascii="仿宋" w:hAnsi="仿宋" w:eastAsia="仿宋" w:cs="仿宋"/>
          <w:color w:val="auto"/>
          <w:sz w:val="24"/>
        </w:rPr>
        <w:t>“副本”</w:t>
      </w:r>
      <w:r>
        <w:rPr>
          <w:rFonts w:hint="eastAsia" w:ascii="仿宋" w:hAnsi="仿宋" w:eastAsia="仿宋" w:cs="仿宋"/>
          <w:color w:val="auto"/>
          <w:sz w:val="24"/>
          <w:lang w:eastAsia="zh-CN"/>
        </w:rPr>
        <w:t>、“磋商报价一览表”和“资格审查资料”</w:t>
      </w:r>
      <w:r>
        <w:rPr>
          <w:rFonts w:hint="eastAsia" w:ascii="仿宋" w:hAnsi="仿宋" w:eastAsia="仿宋" w:cs="仿宋"/>
          <w:color w:val="auto"/>
          <w:sz w:val="24"/>
        </w:rPr>
        <w:t>字样。如果正本与副本不符，以正本响应文件为准。</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9.11.2、响应文件的正本、副本</w:t>
      </w:r>
      <w:r>
        <w:rPr>
          <w:rFonts w:hint="eastAsia" w:ascii="仿宋" w:hAnsi="仿宋" w:eastAsia="仿宋" w:cs="仿宋"/>
          <w:color w:val="auto"/>
          <w:sz w:val="24"/>
          <w:lang w:eastAsia="zh-CN"/>
        </w:rPr>
        <w:t>、磋商报价一览表及资格审查文件（电子版密封于磋商响应文件正本封袋中）</w:t>
      </w:r>
      <w:r>
        <w:rPr>
          <w:rFonts w:hint="eastAsia" w:ascii="仿宋" w:hAnsi="仿宋" w:eastAsia="仿宋" w:cs="仿宋"/>
          <w:color w:val="auto"/>
          <w:sz w:val="24"/>
        </w:rPr>
        <w:t>要求各自分装密封（封袋不得有破损），同时在封口处加贴封条并在骑缝处加盖供应商公章及法定代表人印章。</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9.11.3、正本、副本</w:t>
      </w:r>
      <w:r>
        <w:rPr>
          <w:rFonts w:hint="eastAsia" w:ascii="仿宋" w:hAnsi="仿宋" w:eastAsia="仿宋" w:cs="仿宋"/>
          <w:color w:val="auto"/>
          <w:sz w:val="24"/>
          <w:lang w:eastAsia="zh-CN"/>
        </w:rPr>
        <w:t>、磋商报价一览表、资格审查文件</w:t>
      </w:r>
      <w:r>
        <w:rPr>
          <w:rFonts w:hint="eastAsia" w:ascii="仿宋" w:hAnsi="仿宋" w:eastAsia="仿宋" w:cs="仿宋"/>
          <w:color w:val="auto"/>
          <w:sz w:val="24"/>
        </w:rPr>
        <w:t>的封袋标识式样详见格式。</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9.11.4、响应文件正本和副本一律采用A4纸幅面加胶装分别装订成册。文件胶装装订后，页面不可抽取，不得有活动页，无破损、不可拆分。</w:t>
      </w:r>
    </w:p>
    <w:p>
      <w:pPr>
        <w:tabs>
          <w:tab w:val="left" w:pos="0"/>
          <w:tab w:val="left" w:pos="42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9.12、响应文件的递交</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9.12.1、</w:t>
      </w:r>
      <w:r>
        <w:rPr>
          <w:rFonts w:hint="eastAsia" w:ascii="仿宋" w:hAnsi="仿宋" w:eastAsia="仿宋" w:cs="仿宋"/>
          <w:color w:val="auto"/>
          <w:sz w:val="24"/>
        </w:rPr>
        <w:t>供应商应仔细阅读竞争性磋商文件中的所有事项、格式、条款和要求，对竞争性磋商文件的全部内容及要求作出实质性响应，提交相应资料。</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9.11.2、截止响应文件递交时间前</w:t>
      </w:r>
      <w:r>
        <w:rPr>
          <w:rFonts w:hint="eastAsia" w:ascii="仿宋" w:hAnsi="仿宋" w:eastAsia="仿宋" w:cs="仿宋"/>
          <w:color w:val="auto"/>
          <w:kern w:val="0"/>
          <w:sz w:val="24"/>
        </w:rPr>
        <w:t>供应商应将响应文件所有正本、副本</w:t>
      </w:r>
      <w:r>
        <w:rPr>
          <w:rFonts w:hint="eastAsia" w:ascii="仿宋" w:hAnsi="仿宋" w:eastAsia="仿宋" w:cs="仿宋"/>
          <w:color w:val="auto"/>
          <w:kern w:val="0"/>
          <w:sz w:val="24"/>
          <w:lang w:eastAsia="zh-CN"/>
        </w:rPr>
        <w:t>、磋商报价一览表及资格审查文件</w:t>
      </w:r>
      <w:r>
        <w:rPr>
          <w:rFonts w:hint="eastAsia" w:ascii="仿宋" w:hAnsi="仿宋" w:eastAsia="仿宋" w:cs="仿宋"/>
          <w:color w:val="auto"/>
          <w:kern w:val="0"/>
          <w:sz w:val="24"/>
        </w:rPr>
        <w:t>按要求密封递交</w:t>
      </w:r>
      <w:r>
        <w:rPr>
          <w:rFonts w:hint="eastAsia" w:ascii="仿宋" w:hAnsi="仿宋" w:eastAsia="仿宋" w:cs="仿宋"/>
          <w:color w:val="auto"/>
          <w:kern w:val="1"/>
          <w:sz w:val="24"/>
        </w:rPr>
        <w:t>。</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bCs/>
          <w:color w:val="auto"/>
          <w:kern w:val="1"/>
          <w:sz w:val="24"/>
        </w:rPr>
        <w:t>9.11.3</w:t>
      </w:r>
      <w:r>
        <w:rPr>
          <w:rFonts w:hint="eastAsia" w:ascii="仿宋" w:hAnsi="仿宋" w:eastAsia="仿宋" w:cs="仿宋"/>
          <w:color w:val="auto"/>
          <w:kern w:val="1"/>
          <w:sz w:val="24"/>
        </w:rPr>
        <w:t>、核查、信息确认完毕的响应文件由采购代理机构妥善保管，任何人不得擅自拆封、调换和退回。</w:t>
      </w:r>
    </w:p>
    <w:p>
      <w:pPr>
        <w:tabs>
          <w:tab w:val="left" w:pos="0"/>
        </w:tabs>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10、响应文件的修改和撤回</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10.1、供应商在递交了响应文件后，可以修改或撤回其响应文件，但必须在规定的响应文件截止时间前，以书面形式通知采购代理机构。</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10.2、供应商的修改书或撤回通知书，应由其法定代表人或其被授权委托人签署并盖单位公章，并在密封袋上标注“响应文件修改”或“响应文件撤回通知”字样，“修改文件”作为响应文件的组成部分；采购代理机构不退还供应商已撤回的响应文件（包括纸质和电子版）。</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10.3、供应商撤回响应文件的，采购代理机构自收到供应商书面撤回通知之日起5个工作日内退还已收取的磋商保证金。</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10.4、在响应文件递交截止时间之后，供应商不得对其递交的响应文件做任何修改或撤回，否则，磋商保证金将不予退还；但供应商在提交最后报价之前，可以根据情况退出投标。</w:t>
      </w:r>
    </w:p>
    <w:p>
      <w:pPr>
        <w:tabs>
          <w:tab w:val="left" w:pos="0"/>
          <w:tab w:val="left" w:pos="420"/>
        </w:tabs>
        <w:spacing w:line="360" w:lineRule="auto"/>
        <w:rPr>
          <w:rFonts w:hint="eastAsia" w:ascii="仿宋" w:hAnsi="仿宋" w:eastAsia="仿宋" w:cs="仿宋"/>
          <w:color w:val="auto"/>
          <w:kern w:val="1"/>
          <w:sz w:val="24"/>
        </w:rPr>
      </w:pPr>
      <w:r>
        <w:rPr>
          <w:rFonts w:hint="eastAsia" w:ascii="仿宋" w:hAnsi="仿宋" w:eastAsia="仿宋" w:cs="仿宋"/>
          <w:color w:val="auto"/>
          <w:kern w:val="1"/>
          <w:sz w:val="24"/>
        </w:rPr>
        <w:t xml:space="preserve">    10.5、无论供应商中标与否，其响应文件不予退还。</w:t>
      </w:r>
    </w:p>
    <w:p>
      <w:pPr>
        <w:tabs>
          <w:tab w:val="left" w:pos="1080"/>
        </w:tabs>
        <w:spacing w:line="360" w:lineRule="auto"/>
        <w:rPr>
          <w:rFonts w:hint="eastAsia" w:ascii="仿宋" w:hAnsi="仿宋" w:eastAsia="仿宋" w:cs="仿宋"/>
          <w:b/>
          <w:color w:val="auto"/>
          <w:kern w:val="1"/>
          <w:sz w:val="24"/>
          <w:u w:val="double"/>
        </w:rPr>
      </w:pPr>
      <w:r>
        <w:rPr>
          <w:rFonts w:hint="eastAsia" w:ascii="仿宋" w:hAnsi="仿宋" w:eastAsia="仿宋" w:cs="仿宋"/>
          <w:b/>
          <w:color w:val="auto"/>
          <w:kern w:val="1"/>
          <w:sz w:val="24"/>
        </w:rPr>
        <w:t>11、关于参与采购活动供应商数量不足问题。</w:t>
      </w:r>
    </w:p>
    <w:p>
      <w:pPr>
        <w:tabs>
          <w:tab w:val="left" w:pos="1080"/>
        </w:tabs>
        <w:spacing w:line="360" w:lineRule="auto"/>
        <w:ind w:firstLine="465"/>
        <w:rPr>
          <w:rFonts w:hint="eastAsia" w:ascii="仿宋" w:hAnsi="仿宋" w:eastAsia="仿宋" w:cs="仿宋"/>
          <w:bCs/>
          <w:color w:val="auto"/>
          <w:kern w:val="1"/>
          <w:sz w:val="24"/>
        </w:rPr>
      </w:pPr>
      <w:r>
        <w:rPr>
          <w:rFonts w:hint="eastAsia" w:ascii="仿宋" w:hAnsi="仿宋" w:eastAsia="仿宋" w:cs="仿宋"/>
          <w:bCs/>
          <w:color w:val="auto"/>
          <w:kern w:val="1"/>
          <w:sz w:val="24"/>
        </w:rPr>
        <w:t>依据《陕西省财政厅关于政府采购有关问题的通知（陕财办采资[2014]143号）》的规定执行。</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bCs/>
          <w:color w:val="auto"/>
          <w:sz w:val="24"/>
        </w:rPr>
        <w:t>四、采购程序</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12、评审工作按下列工作程序进行：</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12.1、组建评审小组；</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12.2、开标会议；</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12.3、响应文件初步评审；</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12.4、响应文件的澄清；</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12.5、响应文件详细评审；</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12.6、磋商及二次报价；</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12.7、汇总评审结果；</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12.8、推荐成交供应商；</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12.9、编写评审报告。</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13、开标会议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13.1、开标会议由采购代理机构主持。主持人按照竞争性磋商文件规定的开标时间宣布会议开始，会议将按以下程序进行（包含但不限于）：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13.1.1、宣布会场纪律和有关注意事项。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13.1.2、宣布参加会议的现场监督人员和主持人、会议记录等会议工作人员，根据响应文件递交签到表宣布参加会议的供应商名单。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13.1.3、介绍竞争性磋商文件中规定的评审定标原则，并由采购人审查供应商证书证件原件有效性，并公布复审结果。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13.1.4、宣布检查响应文件的密封情况。由供应商法定代表人或其被授权委托人与监督管理机构共同检查响应文件密封情况，经检查无误后，签字确认。对检查出的不符合密封规定要求的响应文件作为无效文件处理不得启封，经该供应商签字确认将其响应文件退回。</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13.1.5主持人宣布启封响应文件，现场工作人员按顺序对供应商的响应文件正本、副本</w:t>
      </w:r>
      <w:r>
        <w:rPr>
          <w:rFonts w:hint="eastAsia" w:ascii="仿宋" w:hAnsi="仿宋" w:eastAsia="仿宋" w:cs="仿宋"/>
          <w:color w:val="auto"/>
          <w:sz w:val="24"/>
          <w:lang w:eastAsia="zh-CN"/>
        </w:rPr>
        <w:t>及磋商报价一览表密封袋</w:t>
      </w:r>
      <w:r>
        <w:rPr>
          <w:rFonts w:hint="eastAsia" w:ascii="仿宋" w:hAnsi="仿宋" w:eastAsia="仿宋" w:cs="仿宋"/>
          <w:color w:val="auto"/>
          <w:sz w:val="24"/>
        </w:rPr>
        <w:t>当众进行拆封，并送至磋商小组进行评审。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13.1.6、磋商小组与供应商磋商并进行二次报价。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13.1.7、供应商通过《陕西省政府采购网》查看评审结果。</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14、磋商小组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14.1、采购人或者采购代理机构应当从省级及以上财政部门设立的政府采购评审专家库中，通过随机方式抽取评审专家。</w:t>
      </w:r>
      <w:r>
        <w:rPr>
          <w:rFonts w:hint="eastAsia" w:ascii="仿宋" w:hAnsi="仿宋" w:eastAsia="仿宋" w:cs="仿宋"/>
          <w:color w:val="auto"/>
          <w:sz w:val="24"/>
          <w:lang w:eastAsia="zh-CN"/>
        </w:rPr>
        <w:t>磋商小组</w:t>
      </w:r>
      <w:r>
        <w:rPr>
          <w:rFonts w:hint="eastAsia" w:ascii="仿宋" w:hAnsi="仿宋" w:eastAsia="仿宋" w:cs="仿宋"/>
          <w:color w:val="auto"/>
          <w:sz w:val="24"/>
        </w:rPr>
        <w:t>由采购人代表和评审专家组成。</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14.2、磋商小组成员到位后，推荐一名评审委员成员担任磋商小组组长，并由磋商小组组长负责组织该项目评审工作。</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14.3、磋商小组成员有下列情形之一的，应当回避：</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14.3.1、采购人或供应商的主要负责人的近亲属；</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14.3.2、与供应商有经济利益关系，可能影响对响应文件公正评审的；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14.3.3、曾因在招标、评审以及其他与招标投标有关活动中从事违法行为而受过行政处罚或刑事处罚的。</w:t>
      </w:r>
    </w:p>
    <w:p>
      <w:pPr>
        <w:spacing w:line="360" w:lineRule="auto"/>
        <w:ind w:firstLine="461"/>
        <w:rPr>
          <w:rFonts w:hint="eastAsia" w:ascii="仿宋" w:hAnsi="仿宋" w:eastAsia="仿宋" w:cs="仿宋"/>
          <w:color w:val="auto"/>
          <w:kern w:val="1"/>
          <w:sz w:val="24"/>
        </w:rPr>
      </w:pPr>
      <w:r>
        <w:rPr>
          <w:rFonts w:hint="eastAsia" w:ascii="仿宋" w:hAnsi="仿宋" w:eastAsia="仿宋" w:cs="仿宋"/>
          <w:color w:val="auto"/>
          <w:kern w:val="1"/>
          <w:sz w:val="24"/>
        </w:rPr>
        <w:t>14.4、本项目采用综合评</w:t>
      </w:r>
      <w:r>
        <w:rPr>
          <w:rFonts w:hint="eastAsia" w:ascii="仿宋" w:hAnsi="仿宋" w:eastAsia="仿宋" w:cs="仿宋"/>
          <w:color w:val="auto"/>
          <w:kern w:val="1"/>
          <w:sz w:val="24"/>
          <w:lang w:eastAsia="zh-CN"/>
        </w:rPr>
        <w:t>分</w:t>
      </w:r>
      <w:r>
        <w:rPr>
          <w:rFonts w:hint="eastAsia" w:ascii="仿宋" w:hAnsi="仿宋" w:eastAsia="仿宋" w:cs="仿宋"/>
          <w:color w:val="auto"/>
          <w:kern w:val="1"/>
          <w:sz w:val="24"/>
        </w:rPr>
        <w:t>法，具体评审方法、评审工作程序等详见《第三章评审方法》章节的规定。</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15、定标</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bCs/>
          <w:color w:val="auto"/>
          <w:kern w:val="1"/>
          <w:sz w:val="24"/>
        </w:rPr>
        <w:t>15.1</w:t>
      </w:r>
      <w:r>
        <w:rPr>
          <w:rFonts w:hint="eastAsia" w:ascii="仿宋" w:hAnsi="仿宋" w:eastAsia="仿宋" w:cs="仿宋"/>
          <w:color w:val="auto"/>
          <w:kern w:val="1"/>
          <w:sz w:val="24"/>
        </w:rPr>
        <w:t>、</w:t>
      </w:r>
      <w:r>
        <w:rPr>
          <w:rFonts w:hint="eastAsia" w:ascii="仿宋" w:hAnsi="仿宋" w:eastAsia="仿宋" w:cs="仿宋"/>
          <w:color w:val="auto"/>
          <w:sz w:val="24"/>
        </w:rPr>
        <w:t>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招标文件规定的方式确定成交人。采购人在收到评标报告5个工作日内未按评标报告推荐的成交候选人顺序确定中标人，又不能说明合法理由的，视同按评标报告推荐的顺序确定排名第一的成交候选人为成交人。</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15.2、采购人或者采购代理机构应当自成交人确定之日起2个工作日内，</w:t>
      </w:r>
      <w:r>
        <w:rPr>
          <w:rFonts w:hint="eastAsia" w:ascii="仿宋" w:hAnsi="仿宋" w:eastAsia="仿宋" w:cs="仿宋"/>
          <w:color w:val="auto"/>
          <w:sz w:val="24"/>
        </w:rPr>
        <w:t>在省级及以上财政部门指定的媒体《陕西省政府采购网》发布成交结果</w:t>
      </w:r>
      <w:r>
        <w:rPr>
          <w:rFonts w:hint="eastAsia" w:ascii="仿宋" w:hAnsi="仿宋" w:eastAsia="仿宋" w:cs="仿宋"/>
          <w:color w:val="auto"/>
          <w:kern w:val="1"/>
          <w:sz w:val="24"/>
        </w:rPr>
        <w:t>，磋商文件应当随成交结果同时公告。成交结果公告内容应当包括采购人及其委托的采购代理机构的名称、地址、联系方式，项目名称、成交人名称、地址和成交金额，工期、成交公告期限以及评审专家名单。成交公告期限为1个工作日。</w:t>
      </w:r>
    </w:p>
    <w:p>
      <w:pPr>
        <w:tabs>
          <w:tab w:val="left" w:pos="0"/>
        </w:tabs>
        <w:spacing w:line="360" w:lineRule="auto"/>
        <w:ind w:firstLine="480"/>
        <w:rPr>
          <w:rFonts w:hint="eastAsia" w:ascii="仿宋" w:hAnsi="仿宋" w:eastAsia="仿宋" w:cs="仿宋"/>
          <w:color w:val="auto"/>
          <w:sz w:val="24"/>
        </w:rPr>
      </w:pPr>
      <w:r>
        <w:rPr>
          <w:rFonts w:hint="eastAsia" w:ascii="仿宋" w:hAnsi="仿宋" w:eastAsia="仿宋" w:cs="仿宋"/>
          <w:color w:val="auto"/>
          <w:kern w:val="1"/>
          <w:sz w:val="24"/>
        </w:rPr>
        <w:t>15.3、</w:t>
      </w:r>
      <w:r>
        <w:rPr>
          <w:rFonts w:hint="eastAsia" w:ascii="仿宋" w:hAnsi="仿宋" w:eastAsia="仿宋" w:cs="仿宋"/>
          <w:color w:val="auto"/>
          <w:sz w:val="24"/>
        </w:rPr>
        <w:t>在公布公示成交公告的同时，发出成交通知书，成交通知书应当由采购人与采购代理机构共同盖章后向成交人发出成交通知书。</w:t>
      </w:r>
    </w:p>
    <w:p>
      <w:pPr>
        <w:tabs>
          <w:tab w:val="left" w:pos="0"/>
        </w:tabs>
        <w:spacing w:line="360" w:lineRule="auto"/>
        <w:ind w:firstLine="480"/>
        <w:rPr>
          <w:rFonts w:hint="eastAsia" w:ascii="仿宋" w:hAnsi="仿宋" w:eastAsia="仿宋" w:cs="仿宋"/>
          <w:color w:val="auto"/>
          <w:kern w:val="1"/>
          <w:sz w:val="24"/>
        </w:rPr>
      </w:pPr>
      <w:r>
        <w:rPr>
          <w:rFonts w:hint="eastAsia" w:ascii="仿宋" w:hAnsi="仿宋" w:eastAsia="仿宋" w:cs="仿宋"/>
          <w:color w:val="auto"/>
          <w:kern w:val="1"/>
          <w:sz w:val="24"/>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before="120" w:beforeLines="50" w:after="120" w:afterLines="50" w:line="360" w:lineRule="auto"/>
        <w:rPr>
          <w:rFonts w:hint="eastAsia" w:ascii="仿宋" w:hAnsi="仿宋" w:eastAsia="仿宋" w:cs="仿宋"/>
          <w:b/>
          <w:bCs/>
          <w:color w:val="auto"/>
          <w:sz w:val="24"/>
        </w:rPr>
      </w:pPr>
      <w:r>
        <w:rPr>
          <w:rFonts w:hint="eastAsia" w:ascii="仿宋" w:hAnsi="仿宋" w:eastAsia="仿宋" w:cs="仿宋"/>
          <w:b/>
          <w:bCs/>
          <w:color w:val="auto"/>
          <w:sz w:val="24"/>
        </w:rPr>
        <w:t>五、签订合同</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16、签订合同</w:t>
      </w:r>
    </w:p>
    <w:p>
      <w:pPr>
        <w:tabs>
          <w:tab w:val="left" w:pos="1155"/>
        </w:tabs>
        <w:spacing w:line="360" w:lineRule="auto"/>
        <w:ind w:firstLine="540"/>
        <w:rPr>
          <w:rFonts w:hint="eastAsia" w:ascii="仿宋" w:hAnsi="仿宋" w:eastAsia="仿宋" w:cs="仿宋"/>
          <w:color w:val="auto"/>
          <w:kern w:val="1"/>
          <w:sz w:val="24"/>
        </w:rPr>
      </w:pPr>
      <w:r>
        <w:rPr>
          <w:rFonts w:hint="eastAsia" w:ascii="仿宋" w:hAnsi="仿宋" w:eastAsia="仿宋" w:cs="仿宋"/>
          <w:color w:val="auto"/>
          <w:kern w:val="1"/>
          <w:sz w:val="24"/>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投标，取消其成交资格，其磋商保证金不予退还；给采购人造成的损失超过磋商保证金数额的，采购人将对其超过部分予以追偿。</w:t>
      </w:r>
    </w:p>
    <w:p>
      <w:pPr>
        <w:tabs>
          <w:tab w:val="left" w:pos="1155"/>
        </w:tabs>
        <w:spacing w:line="360" w:lineRule="auto"/>
        <w:ind w:firstLine="540"/>
        <w:rPr>
          <w:rFonts w:hint="eastAsia" w:ascii="仿宋" w:hAnsi="仿宋" w:eastAsia="仿宋" w:cs="仿宋"/>
          <w:color w:val="auto"/>
          <w:kern w:val="1"/>
          <w:sz w:val="24"/>
        </w:rPr>
      </w:pPr>
      <w:r>
        <w:rPr>
          <w:rFonts w:hint="eastAsia" w:ascii="仿宋" w:hAnsi="仿宋" w:eastAsia="仿宋" w:cs="仿宋"/>
          <w:color w:val="auto"/>
          <w:kern w:val="1"/>
          <w:sz w:val="24"/>
        </w:rPr>
        <w:t>16.2、政府采购合同应当包括采购人与中标人的名称和住所、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16.3、采购人应当自合同签订之日起七个工作日内，按照有关规定将合同副本报政府采购监管机关备案。</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16.5.1、成交后无正当理由不与采购人签订合同的；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16.5.2、未按照采购文件确定的事项签订政府采购合同，或者与采购人另行订立背离合同实质性内容的协议的；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16.5.3、拒绝履行合同义务的；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16.5.4、违反法律、规章、规范性文件规定的。</w:t>
      </w:r>
    </w:p>
    <w:p>
      <w:pPr>
        <w:tabs>
          <w:tab w:val="left" w:pos="1155"/>
        </w:tabs>
        <w:spacing w:line="360" w:lineRule="auto"/>
        <w:rPr>
          <w:rFonts w:hint="eastAsia" w:ascii="仿宋" w:hAnsi="仿宋" w:eastAsia="仿宋" w:cs="仿宋"/>
          <w:b/>
          <w:bCs/>
          <w:color w:val="auto"/>
          <w:kern w:val="1"/>
          <w:sz w:val="24"/>
        </w:rPr>
      </w:pPr>
      <w:r>
        <w:rPr>
          <w:rFonts w:hint="eastAsia" w:ascii="仿宋" w:hAnsi="仿宋" w:eastAsia="仿宋" w:cs="仿宋"/>
          <w:b/>
          <w:color w:val="auto"/>
          <w:kern w:val="1"/>
          <w:sz w:val="24"/>
        </w:rPr>
        <w:t>17.</w:t>
      </w:r>
      <w:r>
        <w:rPr>
          <w:rFonts w:hint="eastAsia" w:ascii="仿宋" w:hAnsi="仿宋" w:eastAsia="仿宋" w:cs="仿宋"/>
          <w:b/>
          <w:bCs/>
          <w:color w:val="auto"/>
          <w:sz w:val="24"/>
        </w:rPr>
        <w:t xml:space="preserve"> </w:t>
      </w:r>
      <w:r>
        <w:rPr>
          <w:rFonts w:hint="eastAsia" w:ascii="仿宋" w:hAnsi="仿宋" w:eastAsia="仿宋" w:cs="仿宋"/>
          <w:b/>
          <w:bCs/>
          <w:color w:val="auto"/>
          <w:kern w:val="1"/>
          <w:sz w:val="24"/>
        </w:rPr>
        <w:t>合同履行</w:t>
      </w:r>
    </w:p>
    <w:p>
      <w:pPr>
        <w:tabs>
          <w:tab w:val="left" w:pos="1155"/>
        </w:tabs>
        <w:spacing w:line="360" w:lineRule="auto"/>
        <w:ind w:firstLine="480" w:firstLineChars="200"/>
        <w:rPr>
          <w:rFonts w:hint="eastAsia" w:ascii="仿宋" w:hAnsi="仿宋" w:eastAsia="仿宋" w:cs="仿宋"/>
          <w:b/>
          <w:bCs/>
          <w:color w:val="auto"/>
          <w:kern w:val="1"/>
          <w:sz w:val="24"/>
        </w:rPr>
      </w:pPr>
      <w:r>
        <w:rPr>
          <w:rFonts w:hint="eastAsia" w:ascii="仿宋" w:hAnsi="仿宋" w:eastAsia="仿宋" w:cs="仿宋"/>
          <w:color w:val="auto"/>
          <w:kern w:val="1"/>
          <w:sz w:val="24"/>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17.2、政府采购合同履行中，采购人需追加与合同标的相同的服务或货物的，在不改变合同其他条款的前提下，可以与供应商签订补充合同。</w:t>
      </w:r>
    </w:p>
    <w:p>
      <w:pPr>
        <w:spacing w:line="360" w:lineRule="auto"/>
        <w:rPr>
          <w:rFonts w:hint="eastAsia" w:ascii="仿宋" w:hAnsi="仿宋" w:eastAsia="仿宋" w:cs="仿宋"/>
          <w:b/>
          <w:bCs/>
          <w:color w:val="auto"/>
          <w:sz w:val="24"/>
        </w:rPr>
      </w:pPr>
      <w:r>
        <w:rPr>
          <w:rFonts w:hint="eastAsia" w:ascii="仿宋" w:hAnsi="仿宋" w:eastAsia="仿宋" w:cs="仿宋"/>
          <w:b/>
          <w:color w:val="auto"/>
          <w:kern w:val="1"/>
          <w:sz w:val="24"/>
        </w:rPr>
        <w:t>六、终止采购</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18、出现下列情形之一的，采购人或者采购代理机构应当终止采购活动，发布项目终止公告并说明原因，重新开展采购活动：</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18.1、因情况变化，不再符合规定的采购方式适用情形的；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18.2、出现影响采购公正的违法、违规行为的；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18.3、投标截止后供应商不足3家或者通过资格审查或符合性审查的供应商不足3家的。</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七、相关费用</w:t>
      </w:r>
    </w:p>
    <w:p>
      <w:pPr>
        <w:spacing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19、采购代理服务费数额及缴纳方式</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19.1、采购代理服务费数额：</w:t>
      </w:r>
      <w:r>
        <w:rPr>
          <w:rFonts w:hint="eastAsia" w:ascii="仿宋" w:hAnsi="仿宋" w:eastAsia="仿宋" w:cs="仿宋"/>
          <w:color w:val="auto"/>
          <w:kern w:val="1"/>
          <w:sz w:val="24"/>
          <w:lang w:val="en-US" w:eastAsia="zh-CN"/>
        </w:rPr>
        <w:t>采购代理服务费的金额按照国家计委颁发的《采购代理服务收费管理暂行办法》（计价格[2002]1980号）、国家发展改革委员会办公厅颁发的《关于采购代理服务收费有关问题的通知》（发改办价格[2003] 857号）、《国家发展改革委关于降低部分建设项目收费标准规范收费行为等有关问题的通知》（发改价格[2011]534号）的有关规定执行或双方合同约定。</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19.2、采购代理服务费缴纳方式：</w:t>
      </w:r>
      <w:r>
        <w:rPr>
          <w:rFonts w:hint="eastAsia" w:ascii="仿宋" w:hAnsi="仿宋" w:eastAsia="仿宋" w:cs="仿宋"/>
          <w:color w:val="auto"/>
          <w:kern w:val="1"/>
          <w:sz w:val="24"/>
          <w:lang w:eastAsia="zh-CN"/>
        </w:rPr>
        <w:t>本想采购代理服务费由中标供应商支付，</w:t>
      </w:r>
      <w:r>
        <w:rPr>
          <w:rFonts w:hint="eastAsia" w:ascii="仿宋" w:hAnsi="仿宋" w:eastAsia="仿宋" w:cs="仿宋"/>
          <w:color w:val="auto"/>
          <w:kern w:val="1"/>
          <w:sz w:val="24"/>
        </w:rPr>
        <w:t>可以采取支票、银行汇票、电汇、网银、现金等方式缴纳</w:t>
      </w:r>
      <w:r>
        <w:rPr>
          <w:rFonts w:hint="eastAsia" w:ascii="仿宋" w:hAnsi="仿宋" w:eastAsia="仿宋" w:cs="仿宋"/>
          <w:color w:val="auto"/>
          <w:kern w:val="1"/>
          <w:sz w:val="24"/>
          <w:lang w:eastAsia="zh-CN"/>
        </w:rPr>
        <w:t>，不得以磋商保证金冲抵</w:t>
      </w:r>
      <w:r>
        <w:rPr>
          <w:rFonts w:hint="eastAsia" w:ascii="仿宋" w:hAnsi="仿宋" w:eastAsia="仿宋" w:cs="仿宋"/>
          <w:color w:val="auto"/>
          <w:kern w:val="1"/>
          <w:sz w:val="24"/>
        </w:rPr>
        <w:t>。</w:t>
      </w:r>
    </w:p>
    <w:p>
      <w:pPr>
        <w:pStyle w:val="23"/>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rPr>
        <w:t>20、其他费用</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20.1、为了保证采购活动顺利进行，要求各供应商要认真仔细阅读采购文件，严格按采购文件中规定条款制作响应文件。因供应商自身工作失误（如：①不按采购文件约定交纳投标保证金的；②不按磋商文件约定制作、封装“法定代表人授权书”的；③报价计算错误的；④评委会一致认定的其它行为）造成有效响应供应商不足三家而导致采购活动失败的，须供应商赔偿造成的经济损失，情节严重的按《政府采购法》有关规定予以处罚。</w:t>
      </w:r>
    </w:p>
    <w:p>
      <w:pPr>
        <w:spacing w:before="120" w:beforeLines="50" w:after="120" w:afterLines="50" w:line="360" w:lineRule="auto"/>
        <w:rPr>
          <w:rFonts w:hint="eastAsia" w:ascii="仿宋" w:hAnsi="仿宋" w:eastAsia="仿宋" w:cs="仿宋"/>
          <w:b/>
          <w:bCs/>
          <w:color w:val="auto"/>
          <w:sz w:val="24"/>
        </w:rPr>
      </w:pPr>
      <w:r>
        <w:rPr>
          <w:rFonts w:hint="eastAsia" w:ascii="仿宋" w:hAnsi="仿宋" w:eastAsia="仿宋" w:cs="仿宋"/>
          <w:b/>
          <w:color w:val="auto"/>
          <w:kern w:val="1"/>
          <w:sz w:val="24"/>
        </w:rPr>
        <w:t>八、</w:t>
      </w:r>
      <w:r>
        <w:rPr>
          <w:rFonts w:hint="eastAsia" w:ascii="仿宋" w:hAnsi="仿宋" w:eastAsia="仿宋" w:cs="仿宋"/>
          <w:b/>
          <w:bCs/>
          <w:color w:val="auto"/>
          <w:sz w:val="24"/>
        </w:rPr>
        <w:t>质疑与投诉</w:t>
      </w:r>
    </w:p>
    <w:p>
      <w:pPr>
        <w:tabs>
          <w:tab w:val="left" w:pos="1155"/>
        </w:tabs>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21、关于质疑函的提出与答复：</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21.1 如供应商对本次采购活动有疑问，认为需要提出质疑和投诉的，应当按照《政府采购质疑投诉办法》（财政部94号令）的有关规定办理。</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21.2 供应商对采购文件、采购过程或成交结果使自身的合法权益受到损害，应当在法定期限内，按照质疑函范本格式要求以书面形式向采购代理机构或采购人提出质疑，并附必要的证明材料。</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21.3质疑函应当包括下列内容：</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（1）供应商的姓名或者名称、地址、邮编、联系人及联系电话；</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（2）质疑项目的名称、编号；</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（3）具体、明确的质疑事项和与质疑事项相关的请求；</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（4）事实依据；</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（5）必要的法律依据；</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（6）提出质疑的日期。</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21.4供应商为法人的，应当由法定代表人或者其委托代理人签字或者盖章，并加盖单位章。</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21.5质疑人可以委托代理人办理质疑事项，代理人办理质疑事项时，除提交质疑函外，还应当提交质疑人的授权委托书及代理人的有效身份证明，授权委托书应当载明委托代理的具体权限期限和相关事项。</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21.6 质疑函范本格式在中国政府采购网站（http://www.ccgp.gov.cn/）自行下载。</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21.7 接收质疑函的联系部门、联系电话和通讯地址同磋商公告。</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21.8 有下列情形之一的，属于无效质疑，采购代理机构和采购人不予受理：</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（1）质疑人不是参与本次政府采购项目的供应商；</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（2）质疑人与质疑事项不存在利害关系的；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（3）未在法定期限内提出质疑的；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（4）质疑未以书面形式提出，以传真、电子邮件、移动通信等形式即时收悉提交的质疑材料；</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（5）质疑未按质疑函范本格式提出的；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（6）未提交营业执照或法人证书复印件，由授权代表签字的，未提交授权委托书；</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（7）质疑书没有合法有效的签字、盖章的；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（8）以非法手段取得证据、材料的；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（9）质疑答复后，同一质疑人就同一事项再次提出质疑的；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（10）不符合法律、法规、规章和政府采购监管机构规定的其他条件的。</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21.9采购代理机构或采购人将在收到书面质疑后7个工作日内做出答复，并以书面形式通知质疑人和其他有关供应商。</w:t>
      </w:r>
    </w:p>
    <w:p>
      <w:pPr>
        <w:tabs>
          <w:tab w:val="left" w:pos="115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22、投诉提出</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22.1 质疑人对采购代理机构或采购人的答复不满意，或者采购人、采购代理机构未在规定时间内作出答复的，可以在答复期满后15个工作日内向</w:t>
      </w:r>
      <w:r>
        <w:rPr>
          <w:rFonts w:hint="eastAsia" w:ascii="仿宋" w:hAnsi="仿宋" w:eastAsia="仿宋" w:cs="仿宋"/>
          <w:bCs/>
          <w:color w:val="auto"/>
          <w:sz w:val="24"/>
          <w:lang w:eastAsia="zh-CN"/>
        </w:rPr>
        <w:t>同级</w:t>
      </w:r>
      <w:r>
        <w:rPr>
          <w:rFonts w:hint="eastAsia" w:ascii="仿宋" w:hAnsi="仿宋" w:eastAsia="仿宋" w:cs="仿宋"/>
          <w:bCs/>
          <w:color w:val="auto"/>
          <w:sz w:val="24"/>
        </w:rPr>
        <w:t>财政部门提起投诉。</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22.2供应商投诉时,应当提交投诉书和必要的证明材料，并按照被投诉采购人、采购代理机构（以下简称被投诉人）和与投诉事项有关的供应商数量提供投诉书的副本。投诉书应当包括下列内容：</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（1）投诉人和被投诉人的姓名或者名称、通讯地址、邮编、联系人及联系电话；</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（2）质疑和质疑答复情况说明及相关证明材料；</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（3）具体、明确的投诉事项和与投诉事项相关的投诉请求；</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（4）事实依据；</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（5）法律依据；</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（6）提起投诉的日期。</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投诉人为自然人的，应当由本人签字；投诉人为法人或者其他组织的，应当由法定代表人、主要负责人，或者其委托代理人签字或者盖章，并加盖单位章。</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22.3投诉书范本格式在中国政府采购网站（http://www.ccgp.gov.cn/）自行下载。</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22.4投诉人提起投诉应当符合下列条件：</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（1）提起投诉前已依法进行质疑；</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（2）投诉书内容符合财政部94号令的规定；</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（3）在投诉有效期限内提起投诉；</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（4）同一投诉事项未经财政部门投诉处理；</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（5）财政部规定的其他条件。</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22.5 投诉人投诉的事项不得超出已质疑事项的范围，但基于质疑答复内容提出的投诉事项除外。</w:t>
      </w:r>
    </w:p>
    <w:p>
      <w:pPr>
        <w:tabs>
          <w:tab w:val="left" w:pos="1155"/>
        </w:tabs>
        <w:spacing w:line="360" w:lineRule="auto"/>
        <w:rPr>
          <w:rFonts w:hint="eastAsia" w:ascii="仿宋" w:hAnsi="仿宋" w:eastAsia="仿宋" w:cs="仿宋"/>
          <w:b/>
          <w:color w:val="auto"/>
          <w:sz w:val="24"/>
        </w:rPr>
      </w:pPr>
      <w:r>
        <w:rPr>
          <w:rFonts w:hint="eastAsia" w:ascii="仿宋" w:hAnsi="仿宋" w:eastAsia="仿宋" w:cs="仿宋"/>
          <w:b/>
          <w:color w:val="auto"/>
          <w:sz w:val="24"/>
        </w:rPr>
        <w:t>23、法律责任</w:t>
      </w:r>
    </w:p>
    <w:p>
      <w:pPr>
        <w:tabs>
          <w:tab w:val="left" w:pos="1155"/>
        </w:tabs>
        <w:spacing w:line="360" w:lineRule="auto"/>
        <w:ind w:firstLine="481"/>
        <w:rPr>
          <w:rFonts w:hint="eastAsia" w:ascii="仿宋" w:hAnsi="仿宋" w:eastAsia="仿宋" w:cs="仿宋"/>
          <w:bCs/>
          <w:color w:val="auto"/>
          <w:sz w:val="24"/>
        </w:rPr>
      </w:pPr>
      <w:r>
        <w:rPr>
          <w:rFonts w:hint="eastAsia" w:ascii="仿宋" w:hAnsi="仿宋" w:eastAsia="仿宋" w:cs="仿宋"/>
          <w:bCs/>
          <w:color w:val="auto"/>
          <w:sz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仿宋" w:hAnsi="仿宋" w:eastAsia="仿宋" w:cs="仿宋"/>
          <w:b/>
          <w:color w:val="auto"/>
          <w:sz w:val="24"/>
        </w:rPr>
      </w:pPr>
      <w:r>
        <w:rPr>
          <w:rFonts w:hint="eastAsia" w:ascii="仿宋" w:hAnsi="仿宋" w:eastAsia="仿宋" w:cs="仿宋"/>
          <w:b/>
          <w:color w:val="auto"/>
          <w:sz w:val="24"/>
        </w:rPr>
        <w:t>24、其他说明</w:t>
      </w:r>
    </w:p>
    <w:p>
      <w:pPr>
        <w:tabs>
          <w:tab w:val="left" w:pos="1155"/>
        </w:tabs>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24.1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1"/>
        <w:rPr>
          <w:rFonts w:hint="eastAsia" w:ascii="仿宋" w:hAnsi="仿宋" w:eastAsia="仿宋" w:cs="仿宋"/>
          <w:bCs/>
          <w:color w:val="auto"/>
          <w:sz w:val="24"/>
        </w:rPr>
      </w:pPr>
      <w:r>
        <w:rPr>
          <w:rFonts w:hint="eastAsia" w:ascii="仿宋" w:hAnsi="仿宋" w:eastAsia="仿宋" w:cs="仿宋"/>
          <w:bCs/>
          <w:color w:val="auto"/>
          <w:sz w:val="24"/>
        </w:rPr>
        <w:t>24.2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tabs>
          <w:tab w:val="left" w:pos="1155"/>
        </w:tabs>
        <w:spacing w:line="360" w:lineRule="auto"/>
        <w:ind w:firstLine="481"/>
        <w:rPr>
          <w:rFonts w:hint="eastAsia" w:ascii="仿宋" w:hAnsi="仿宋" w:eastAsia="仿宋" w:cs="仿宋"/>
          <w:b/>
          <w:bCs/>
          <w:color w:val="auto"/>
          <w:sz w:val="24"/>
        </w:rPr>
      </w:pPr>
      <w:r>
        <w:rPr>
          <w:rFonts w:hint="eastAsia" w:ascii="仿宋" w:hAnsi="仿宋" w:eastAsia="仿宋" w:cs="仿宋"/>
          <w:bCs/>
          <w:color w:val="auto"/>
          <w:sz w:val="24"/>
        </w:rPr>
        <w:t>24.3、质疑与投诉事宜依据《中华人民共和国政府采购法》、《政府采购法实施条例（国务院第658号令）》、《政府采购供应商质疑答复与投诉处理办法（试行）》、中华人民共和国财政部令第94号《政府采购质疑和投诉办法》和《陕财办采资（2014）143号》等规定执行。</w:t>
      </w:r>
    </w:p>
    <w:p>
      <w:pPr>
        <w:pStyle w:val="14"/>
        <w:rPr>
          <w:rFonts w:hint="eastAsia" w:ascii="仿宋" w:hAnsi="仿宋" w:eastAsia="仿宋" w:cs="仿宋"/>
          <w:color w:val="auto"/>
          <w:sz w:val="24"/>
        </w:rPr>
        <w:sectPr>
          <w:headerReference r:id="rId4" w:type="first"/>
          <w:footerReference r:id="rId7" w:type="first"/>
          <w:headerReference r:id="rId3" w:type="default"/>
          <w:footerReference r:id="rId5" w:type="default"/>
          <w:footerReference r:id="rId6" w:type="even"/>
          <w:pgSz w:w="11906" w:h="16838"/>
          <w:pgMar w:top="1588" w:right="1417" w:bottom="1474" w:left="1417" w:header="851" w:footer="850" w:gutter="0"/>
          <w:pgNumType w:fmt="numberInDash" w:start="1"/>
          <w:cols w:space="720" w:num="1"/>
          <w:titlePg/>
          <w:docGrid w:linePitch="312" w:charSpace="0"/>
        </w:sectPr>
      </w:pPr>
    </w:p>
    <w:p>
      <w:pPr>
        <w:pStyle w:val="4"/>
        <w:numPr>
          <w:ilvl w:val="0"/>
          <w:numId w:val="1"/>
        </w:numPr>
        <w:rPr>
          <w:rFonts w:hint="eastAsia" w:ascii="仿宋" w:hAnsi="仿宋" w:eastAsia="仿宋" w:cs="仿宋"/>
          <w:b/>
          <w:color w:val="auto"/>
          <w:spacing w:val="-20"/>
          <w:sz w:val="32"/>
          <w:szCs w:val="24"/>
        </w:rPr>
      </w:pPr>
      <w:bookmarkStart w:id="7" w:name="_Toc78884379"/>
      <w:r>
        <w:rPr>
          <w:rFonts w:hint="eastAsia" w:ascii="仿宋" w:hAnsi="仿宋" w:eastAsia="仿宋" w:cs="仿宋"/>
          <w:b/>
          <w:color w:val="auto"/>
          <w:spacing w:val="-20"/>
          <w:sz w:val="32"/>
          <w:szCs w:val="24"/>
        </w:rPr>
        <w:t>评审办法</w:t>
      </w:r>
      <w:bookmarkEnd w:id="7"/>
    </w:p>
    <w:p>
      <w:pPr>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本项目是根据《中华人民共和国政府采购法》及《政府采购法实施条例》等法律法规的规定，结合采购项目特点制定的评审办法。</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color w:val="auto"/>
          <w:sz w:val="24"/>
        </w:rPr>
        <w:t>一、</w:t>
      </w:r>
      <w:r>
        <w:rPr>
          <w:rFonts w:hint="eastAsia" w:ascii="仿宋" w:hAnsi="仿宋" w:eastAsia="仿宋" w:cs="仿宋"/>
          <w:b/>
          <w:color w:val="auto"/>
          <w:sz w:val="24"/>
        </w:rPr>
        <w:t xml:space="preserve">总则 </w:t>
      </w:r>
    </w:p>
    <w:p>
      <w:pPr>
        <w:spacing w:before="120" w:beforeLines="50" w:after="120" w:afterLines="50" w:line="360" w:lineRule="auto"/>
        <w:rPr>
          <w:rFonts w:hint="eastAsia" w:ascii="仿宋" w:hAnsi="仿宋" w:eastAsia="仿宋" w:cs="仿宋"/>
          <w:color w:val="auto"/>
          <w:sz w:val="24"/>
        </w:rPr>
      </w:pPr>
      <w:r>
        <w:rPr>
          <w:rFonts w:hint="eastAsia" w:ascii="仿宋" w:hAnsi="仿宋" w:eastAsia="仿宋" w:cs="仿宋"/>
          <w:b/>
          <w:color w:val="auto"/>
          <w:sz w:val="24"/>
        </w:rPr>
        <w:t>1、原则</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1.1、“公平、公正、择优、效益”为本次评审的基本原则，磋商小组按照这一原则的要求，公正、平等地对待各供应商。同时，在评审中恪守以下原则：</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1.1.1、统一性原则：磋商小组将按照统一的原则和方法，用统一标准进行评审。</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1.1.2、独立性原则:评审工作在磋商小组内部独立进行，不受外界任何因素的干扰和影响。磋商小组成员对其出具的意见承担个人责任。</w:t>
      </w:r>
      <w:r>
        <w:rPr>
          <w:rFonts w:hint="eastAsia" w:ascii="仿宋" w:hAnsi="仿宋" w:eastAsia="仿宋" w:cs="仿宋"/>
          <w:color w:val="auto"/>
          <w:kern w:val="0"/>
          <w:sz w:val="24"/>
        </w:rPr>
        <w:t>供应商试图影响或干预评审的任何行为，将导致其丧失投标的资格，并承担相应的法律责任。</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1.1.3、客观性原则：磋商小组将严格按照竞争性磋商文件要求，对供应商的响应文件进行认真评审；磋商小组对响应文件的评审仅依据响应文件本身，而不依据响应文件以外的任何因素。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1.1.4、保密性原则：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1.1.5、综合性原则:磋商小组将综合分析供应商的各项指标，而不以单项指标的优劣评定出成交供应商。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磋商小组有权对整个投标和评审过程中出现的所有问题，根据《中华人民共和国政府采购法》、《中华人民共和国政府采购法实施条例》（第658号）、《政府采购货物和服务招标投标管理办法》（财政部令第87号）等相关规定进行处理。</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2、磋商小组、采购人或者采购代理机构的职责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2.1、磋商小组独立履行下列职责：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2.1.1、审查、评价投标文件是否符合磋商文件的商务、技术等实质性要求；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2.1.2、要求供应商对投标文件有关事项作出澄清或者说明；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2.1.3、对投标文件进行比较和评价；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2.1.4、确定中标候选人名单，以及根据采购人委托直接确定中标人；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2.1.5、向采购人、采购代理机构或者有关部门报告评标中发现的违法行为。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2.2、采购人或者采购代理机构负责组织评标工作，并履行下列职责：</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2.2.1、核对评审专家身份和采购人代表授权函，对评审专家在政府采购活动中的职责履行情况予以记录，并及时将有关违法违规行为向财政部门报告；</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2.2.2、宣布评标纪律；</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2.2.3、公布供应商名单，告知评审专家应当回避的情形；</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2.2.4、组织磋商小组推选评标组长，采购人代表不得担任组长；</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2.2.5、在评标期间采取必要的通讯管理措施，保证评标活动不受外界干扰；</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2.2.6、根据磋商小组的要求介绍政府采购相关政策法规、招标文件；</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2.2.7、维护评标秩序，监督磋商小组依照招标文件规定的评标程序、方法和标准进行独立评审，及时制止和纠正采购人代表、评审专家的倾向性言论或者违法违规行为；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2.2.8、核对评标结果，如要求磋商小组复核或者书面说明理由，磋商小组拒绝的，应予记录并向本级财政部门报告；</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2.2.9、处理与评标有关的其他事项。</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2.2.10、采购人可以在评标前说明项目背景和采购需求，说明内容不得含有歧视性、倾向性意见，不得超出招标文件所述范围。说明应当提交书面材料，并随采购文件一并存档。</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2.3、磋商小组根据全体评标成员签字的原始评标记录和评标结果编写评标报告。</w:t>
      </w:r>
    </w:p>
    <w:p>
      <w:pPr>
        <w:widowControl/>
        <w:autoSpaceDE w:val="0"/>
        <w:autoSpaceDN w:val="0"/>
        <w:spacing w:line="360" w:lineRule="auto"/>
        <w:ind w:right="51"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2.4、磋商小组及其成员，在评审中不得有下列行为：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2.4.1、确定参与评标至评标结束前私自接触供应商；</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2.4.2、接受供应商提出的与投标文件不一致的澄清或者说明，本章第4.1条规定的情形除外；</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2.4.3、违反评标纪律发表倾向性意见或者征询采购人的倾向性意见；</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2.4.4、对需要专业判断的主观评审因素协商评分；</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2.4.5、在评标过程中擅离职守，影响评标程序正常进行的；</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2.4.6、记录、复制或者带走任何评标资料；</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2.4.7、其他不遵守评标纪律的行为；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2.4.8、磋商小组成员有前款第一至五项行为之一的，其评审意见无效。</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二、评审步骤与评审方法</w:t>
      </w:r>
    </w:p>
    <w:p>
      <w:pPr>
        <w:spacing w:before="120" w:beforeLines="50" w:after="120" w:afterLines="50" w:line="360" w:lineRule="auto"/>
        <w:rPr>
          <w:rFonts w:hint="eastAsia" w:ascii="仿宋" w:hAnsi="仿宋" w:eastAsia="仿宋" w:cs="仿宋"/>
          <w:b/>
          <w:color w:val="auto"/>
          <w:sz w:val="24"/>
          <w:lang w:eastAsia="zh-CN"/>
        </w:rPr>
      </w:pPr>
      <w:r>
        <w:rPr>
          <w:rFonts w:hint="eastAsia" w:ascii="仿宋" w:hAnsi="仿宋" w:eastAsia="仿宋" w:cs="仿宋"/>
          <w:b/>
          <w:color w:val="auto"/>
          <w:sz w:val="24"/>
        </w:rPr>
        <w:t>3、响应文件初审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hd w:val="clear" w:color="FFFFFF" w:fill="D9D9D9"/>
        </w:rPr>
        <w:t>3.1、</w:t>
      </w:r>
      <w:r>
        <w:rPr>
          <w:rFonts w:hint="eastAsia" w:ascii="仿宋" w:hAnsi="仿宋" w:eastAsia="仿宋" w:cs="仿宋"/>
          <w:b/>
          <w:bCs/>
          <w:color w:val="auto"/>
          <w:sz w:val="24"/>
          <w:shd w:val="clear" w:color="FFFFFF" w:fill="D9D9D9"/>
        </w:rPr>
        <w:t>资格性审查。</w:t>
      </w:r>
      <w:r>
        <w:rPr>
          <w:rFonts w:hint="eastAsia" w:ascii="仿宋" w:hAnsi="仿宋" w:eastAsia="仿宋" w:cs="仿宋"/>
          <w:b w:val="0"/>
          <w:bCs w:val="0"/>
          <w:color w:val="auto"/>
          <w:sz w:val="24"/>
          <w:shd w:val="clear" w:color="auto" w:fill="auto"/>
          <w:lang w:eastAsia="zh-CN"/>
        </w:rPr>
        <w:t>采购代理机构派出</w:t>
      </w:r>
      <w:r>
        <w:rPr>
          <w:rFonts w:hint="eastAsia" w:ascii="仿宋" w:hAnsi="仿宋" w:eastAsia="仿宋" w:cs="仿宋"/>
          <w:b w:val="0"/>
          <w:bCs w:val="0"/>
          <w:color w:val="auto"/>
          <w:sz w:val="24"/>
          <w:shd w:val="clear" w:color="auto" w:fill="auto"/>
          <w:lang w:val="en-US" w:eastAsia="zh-CN"/>
        </w:rPr>
        <w:t>1名工作人员协助</w:t>
      </w:r>
      <w:r>
        <w:rPr>
          <w:rFonts w:hint="eastAsia" w:ascii="仿宋" w:hAnsi="仿宋" w:eastAsia="仿宋" w:cs="仿宋"/>
          <w:color w:val="auto"/>
          <w:sz w:val="24"/>
        </w:rPr>
        <w:t>采购人依据竞争性磋商文件</w:t>
      </w:r>
      <w:r>
        <w:rPr>
          <w:rFonts w:hint="eastAsia" w:ascii="仿宋" w:hAnsi="仿宋" w:eastAsia="仿宋" w:cs="仿宋"/>
          <w:color w:val="auto"/>
          <w:sz w:val="24"/>
          <w:lang w:eastAsia="zh-CN"/>
        </w:rPr>
        <w:t>资格审查内容，</w:t>
      </w:r>
      <w:r>
        <w:rPr>
          <w:rFonts w:hint="eastAsia" w:ascii="仿宋" w:hAnsi="仿宋" w:eastAsia="仿宋" w:cs="仿宋"/>
          <w:color w:val="auto"/>
          <w:sz w:val="24"/>
        </w:rPr>
        <w:t>对供应商进行资格审查，以确定其是否具备相应资格。</w:t>
      </w:r>
      <w:r>
        <w:rPr>
          <w:rFonts w:hint="eastAsia" w:ascii="仿宋" w:hAnsi="仿宋" w:eastAsia="仿宋" w:cs="仿宋"/>
          <w:color w:val="auto"/>
          <w:kern w:val="0"/>
          <w:sz w:val="24"/>
        </w:rPr>
        <w:t>如果供应商不具备资格、不满足竞争性磋商文件所规定的资格标准或提供资格证明文件不全,将被视为未实质性响应竞争性磋商文件。</w:t>
      </w:r>
      <w:r>
        <w:rPr>
          <w:rFonts w:hint="eastAsia" w:ascii="仿宋" w:hAnsi="仿宋" w:eastAsia="仿宋" w:cs="仿宋"/>
          <w:color w:val="auto"/>
          <w:sz w:val="24"/>
        </w:rPr>
        <w:t>资格性审查标准如下：</w:t>
      </w:r>
    </w:p>
    <w:tbl>
      <w:tblPr>
        <w:tblStyle w:val="29"/>
        <w:tblW w:w="9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676"/>
        <w:gridCol w:w="2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9" w:type="dxa"/>
            <w:vAlign w:val="center"/>
          </w:tcPr>
          <w:p>
            <w:pPr>
              <w:autoSpaceDE w:val="0"/>
              <w:autoSpaceDN w:val="0"/>
              <w:adjustRightInd w:val="0"/>
              <w:spacing w:before="2" w:line="400" w:lineRule="exact"/>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5676" w:type="dxa"/>
            <w:tcBorders>
              <w:right w:val="single" w:color="auto" w:sz="4" w:space="0"/>
            </w:tcBorders>
            <w:vAlign w:val="center"/>
          </w:tcPr>
          <w:p>
            <w:pPr>
              <w:autoSpaceDE w:val="0"/>
              <w:autoSpaceDN w:val="0"/>
              <w:adjustRightInd w:val="0"/>
              <w:spacing w:before="2"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rPr>
              <w:t>审查</w:t>
            </w:r>
            <w:r>
              <w:rPr>
                <w:rFonts w:hint="eastAsia" w:ascii="仿宋" w:hAnsi="仿宋" w:eastAsia="仿宋" w:cs="仿宋"/>
                <w:b/>
                <w:bCs/>
                <w:color w:val="auto"/>
                <w:sz w:val="24"/>
                <w:lang w:eastAsia="zh-CN"/>
              </w:rPr>
              <w:t>内容</w:t>
            </w:r>
          </w:p>
        </w:tc>
        <w:tc>
          <w:tcPr>
            <w:tcW w:w="2757" w:type="dxa"/>
            <w:tcBorders>
              <w:left w:val="single" w:color="auto" w:sz="4" w:space="0"/>
            </w:tcBorders>
            <w:vAlign w:val="center"/>
          </w:tcPr>
          <w:p>
            <w:pPr>
              <w:autoSpaceDE w:val="0"/>
              <w:autoSpaceDN w:val="0"/>
              <w:adjustRightInd w:val="0"/>
              <w:spacing w:before="2"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审查</w:t>
            </w:r>
            <w:r>
              <w:rPr>
                <w:rFonts w:hint="eastAsia" w:ascii="仿宋" w:hAnsi="仿宋" w:eastAsia="仿宋" w:cs="仿宋"/>
                <w:b/>
                <w:bCs/>
                <w:color w:val="auto"/>
                <w:sz w:val="24"/>
                <w:lang w:eastAsia="zh-CN"/>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5676" w:type="dxa"/>
            <w:tcBorders>
              <w:right w:val="single" w:color="auto" w:sz="4" w:space="0"/>
            </w:tcBorders>
            <w:vAlign w:val="center"/>
          </w:tcPr>
          <w:p>
            <w:pP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具有独立承担民事责任的能力：供应商为具有独立承担民事责任能力的企业法人、事业法人、其他组织，提供营业执照原件（事业单位须事业单位法人证、组织机构代码证等证明文件；其他组织应提供合法证明文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p>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【提供加盖公章的电子件或复印件】</w:t>
            </w:r>
          </w:p>
          <w:p>
            <w:pPr>
              <w:jc w:val="center"/>
              <w:rPr>
                <w:rFonts w:hint="eastAsia" w:ascii="仿宋" w:hAnsi="仿宋" w:eastAsia="仿宋" w:cs="仿宋"/>
                <w:b/>
                <w:bCs/>
                <w:color w:val="auto"/>
                <w:sz w:val="22"/>
                <w:szCs w:val="2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9"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rPr>
            </w:pPr>
            <w:r>
              <w:rPr>
                <w:rFonts w:hint="eastAsia" w:ascii="仿宋" w:hAnsi="仿宋" w:eastAsia="仿宋" w:cs="仿宋"/>
                <w:color w:val="auto"/>
                <w:sz w:val="22"/>
                <w:szCs w:val="22"/>
              </w:rPr>
              <w:t>具有履行合同所必须的设备和专业技术能力：Ⅰ、供应商具有建设行政主管部门核发的</w:t>
            </w:r>
            <w:r>
              <w:rPr>
                <w:rFonts w:hint="eastAsia" w:ascii="仿宋" w:hAnsi="仿宋" w:eastAsia="仿宋" w:cs="仿宋"/>
                <w:color w:val="auto"/>
                <w:sz w:val="22"/>
                <w:szCs w:val="22"/>
                <w:lang w:eastAsia="zh-CN"/>
              </w:rPr>
              <w:t>市政公用</w:t>
            </w:r>
            <w:r>
              <w:rPr>
                <w:rFonts w:hint="eastAsia" w:ascii="仿宋" w:hAnsi="仿宋" w:eastAsia="仿宋" w:cs="仿宋"/>
                <w:color w:val="auto"/>
                <w:sz w:val="22"/>
                <w:szCs w:val="22"/>
              </w:rPr>
              <w:t>工程施工总承包三级及以上资质等级，</w:t>
            </w:r>
            <w:r>
              <w:rPr>
                <w:rFonts w:hint="eastAsia" w:ascii="仿宋" w:hAnsi="仿宋" w:eastAsia="仿宋" w:cs="仿宋"/>
                <w:color w:val="auto"/>
                <w:sz w:val="22"/>
                <w:szCs w:val="22"/>
                <w:lang w:eastAsia="zh-CN"/>
              </w:rPr>
              <w:t>且</w:t>
            </w:r>
            <w:r>
              <w:rPr>
                <w:rFonts w:hint="eastAsia" w:ascii="仿宋" w:hAnsi="仿宋" w:eastAsia="仿宋" w:cs="仿宋"/>
                <w:color w:val="auto"/>
                <w:sz w:val="22"/>
                <w:szCs w:val="22"/>
              </w:rPr>
              <w:t>具有有效的安全生产许可证；Ⅱ、拟派项目经理须</w:t>
            </w:r>
            <w:r>
              <w:rPr>
                <w:rFonts w:hint="eastAsia" w:ascii="仿宋" w:hAnsi="仿宋" w:eastAsia="仿宋" w:cs="仿宋"/>
                <w:color w:val="auto"/>
                <w:sz w:val="22"/>
                <w:szCs w:val="22"/>
                <w:lang w:eastAsia="zh-CN"/>
              </w:rPr>
              <w:t>具备市政公用</w:t>
            </w:r>
            <w:r>
              <w:rPr>
                <w:rFonts w:hint="eastAsia" w:ascii="仿宋" w:hAnsi="仿宋" w:eastAsia="仿宋" w:cs="仿宋"/>
                <w:color w:val="auto"/>
                <w:sz w:val="22"/>
                <w:szCs w:val="22"/>
              </w:rPr>
              <w:t>工程专业注册建造师二级（含二级）以上</w:t>
            </w:r>
            <w:r>
              <w:rPr>
                <w:rFonts w:hint="eastAsia" w:ascii="仿宋" w:hAnsi="仿宋" w:eastAsia="仿宋" w:cs="仿宋"/>
                <w:color w:val="auto"/>
                <w:sz w:val="22"/>
                <w:szCs w:val="22"/>
                <w:lang w:eastAsia="zh-CN"/>
              </w:rPr>
              <w:t>执业</w:t>
            </w:r>
            <w:r>
              <w:rPr>
                <w:rFonts w:hint="eastAsia" w:ascii="仿宋" w:hAnsi="仿宋" w:eastAsia="仿宋" w:cs="仿宋"/>
                <w:color w:val="auto"/>
                <w:sz w:val="22"/>
                <w:szCs w:val="22"/>
              </w:rPr>
              <w:t>资格和安全生产考核合格B 证，且无在建项目</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【提供加盖公章的电子件或复印件，“无在建证明”提供原件】</w:t>
            </w:r>
          </w:p>
          <w:p>
            <w:pPr>
              <w:jc w:val="center"/>
              <w:rPr>
                <w:rFonts w:hint="eastAsia" w:ascii="仿宋" w:hAnsi="仿宋" w:eastAsia="仿宋" w:cs="仿宋"/>
                <w:b/>
                <w:bCs/>
                <w:color w:val="auto"/>
                <w:sz w:val="22"/>
                <w:szCs w:val="2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71"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有依法缴纳税收和社会保障资金的良好记录：Ⅰ、供应商须提供自 20</w:t>
            </w:r>
            <w:r>
              <w:rPr>
                <w:rFonts w:hint="eastAsia" w:ascii="仿宋" w:hAnsi="仿宋" w:eastAsia="仿宋" w:cs="仿宋"/>
                <w:color w:val="auto"/>
                <w:sz w:val="22"/>
                <w:szCs w:val="22"/>
                <w:lang w:val="en-US" w:eastAsia="zh-CN"/>
              </w:rPr>
              <w:t>22</w:t>
            </w:r>
            <w:r>
              <w:rPr>
                <w:rFonts w:hint="eastAsia" w:ascii="仿宋" w:hAnsi="仿宋" w:eastAsia="仿宋" w:cs="仿宋"/>
                <w:color w:val="auto"/>
                <w:sz w:val="22"/>
                <w:szCs w:val="22"/>
                <w:lang w:eastAsia="zh-CN"/>
              </w:rPr>
              <w:t>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w:t>
            </w:r>
            <w:r>
              <w:rPr>
                <w:rFonts w:hint="eastAsia" w:ascii="仿宋" w:hAnsi="仿宋" w:eastAsia="仿宋" w:cs="仿宋"/>
                <w:color w:val="auto"/>
                <w:sz w:val="22"/>
                <w:szCs w:val="22"/>
                <w:lang w:val="en-US" w:eastAsia="zh-CN"/>
              </w:rPr>
              <w:t>22</w:t>
            </w:r>
            <w:r>
              <w:rPr>
                <w:rFonts w:hint="eastAsia" w:ascii="仿宋" w:hAnsi="仿宋" w:eastAsia="仿宋" w:cs="仿宋"/>
                <w:color w:val="auto"/>
                <w:sz w:val="22"/>
                <w:szCs w:val="22"/>
                <w:lang w:eastAsia="zh-CN"/>
              </w:rPr>
              <w:t>年 1 月 1 日起已缴纳的至少一个月的社保机构出具的社会保险参保缴费情况证明复印件（注：社会保险参保缴费情况证明须在有效期内）；</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9"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具有良好的商业信誉和健全的财务会计制度：I、提供 2019、 2020 或</w:t>
            </w:r>
            <w:r>
              <w:rPr>
                <w:rFonts w:hint="eastAsia" w:ascii="仿宋" w:hAnsi="仿宋" w:eastAsia="仿宋" w:cs="仿宋"/>
                <w:color w:val="auto"/>
                <w:sz w:val="22"/>
                <w:szCs w:val="22"/>
                <w:lang w:val="en-US" w:eastAsia="zh-CN"/>
              </w:rPr>
              <w:t>2021年</w:t>
            </w:r>
            <w:r>
              <w:rPr>
                <w:rFonts w:hint="eastAsia" w:ascii="仿宋" w:hAnsi="仿宋" w:eastAsia="仿宋" w:cs="仿宋"/>
                <w:color w:val="auto"/>
                <w:sz w:val="22"/>
                <w:szCs w:val="22"/>
                <w:lang w:eastAsia="zh-CN"/>
              </w:rPr>
              <w:t>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w:t>
            </w:r>
            <w:r>
              <w:rPr>
                <w:rFonts w:hint="eastAsia" w:ascii="仿宋" w:hAnsi="仿宋" w:eastAsia="仿宋" w:cs="仿宋"/>
                <w:color w:val="auto"/>
                <w:sz w:val="22"/>
                <w:szCs w:val="22"/>
                <w:lang w:val="en-US" w:eastAsia="zh-CN"/>
              </w:rPr>
              <w:t>III</w:t>
            </w:r>
            <w:r>
              <w:rPr>
                <w:rFonts w:hint="eastAsia" w:ascii="仿宋" w:hAnsi="仿宋" w:eastAsia="仿宋" w:cs="仿宋"/>
                <w:color w:val="auto"/>
                <w:sz w:val="22"/>
                <w:szCs w:val="22"/>
                <w:lang w:eastAsia="zh-CN"/>
              </w:rPr>
              <w:t>、提供信用担保机构出具的磋商担保函复印件。（</w:t>
            </w:r>
            <w:r>
              <w:rPr>
                <w:rFonts w:hint="eastAsia" w:ascii="仿宋" w:hAnsi="仿宋" w:eastAsia="仿宋" w:cs="仿宋"/>
                <w:color w:val="auto"/>
                <w:sz w:val="22"/>
                <w:szCs w:val="22"/>
                <w:lang w:val="en-US" w:eastAsia="zh-CN"/>
              </w:rPr>
              <w:t>以上三种形式的证明资料提供任意一种即可，但成交现场以第II种或第III种形式提交资料的，需提供上述证明材料原件备查</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供应商应授权合法的人员参加磋商会议，其中法定代表人直接参加的，须出具法人身份证原件，并与营业执照上信息一致；授权代表参加的，须出具法定代表人授权书及被授权人身份证原件；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【提供原件及加盖公章的复印件】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rPr>
            </w:pPr>
            <w:r>
              <w:rPr>
                <w:rFonts w:hint="eastAsia" w:ascii="仿宋" w:hAnsi="仿宋" w:eastAsia="仿宋" w:cs="仿宋"/>
                <w:color w:val="auto"/>
                <w:sz w:val="22"/>
                <w:szCs w:val="22"/>
              </w:rPr>
              <w:t>出具参加本次采购活动前三年内在经营活动中没有重大违法记录的书面声明</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both"/>
              <w:rPr>
                <w:rFonts w:hint="eastAsia" w:ascii="仿宋" w:hAnsi="仿宋" w:eastAsia="仿宋" w:cs="仿宋"/>
                <w:b/>
                <w:bCs/>
                <w:color w:val="auto"/>
                <w:sz w:val="22"/>
                <w:szCs w:val="22"/>
                <w:lang w:eastAsia="zh-CN"/>
              </w:rPr>
            </w:pPr>
          </w:p>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【提供“书面声明”原件】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3"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供应商未被列入“信用中国”网站（</w:t>
            </w:r>
            <w:r>
              <w:rPr>
                <w:rFonts w:hint="eastAsia" w:ascii="仿宋" w:hAnsi="仿宋" w:eastAsia="仿宋" w:cs="仿宋"/>
                <w:color w:val="auto"/>
                <w:sz w:val="22"/>
                <w:szCs w:val="22"/>
                <w:lang w:eastAsia="zh-CN"/>
              </w:rPr>
              <w:fldChar w:fldCharType="begin"/>
            </w:r>
            <w:r>
              <w:rPr>
                <w:rFonts w:hint="eastAsia" w:ascii="仿宋" w:hAnsi="仿宋" w:eastAsia="仿宋" w:cs="仿宋"/>
                <w:color w:val="auto"/>
                <w:sz w:val="22"/>
                <w:szCs w:val="22"/>
                <w:lang w:eastAsia="zh-CN"/>
              </w:rPr>
              <w:instrText xml:space="preserve"> HYPERLINK "http://www.creditchina.gov.cn/" \h </w:instrText>
            </w:r>
            <w:r>
              <w:rPr>
                <w:rFonts w:hint="eastAsia" w:ascii="仿宋" w:hAnsi="仿宋" w:eastAsia="仿宋" w:cs="仿宋"/>
                <w:color w:val="auto"/>
                <w:sz w:val="22"/>
                <w:szCs w:val="22"/>
                <w:lang w:eastAsia="zh-CN"/>
              </w:rPr>
              <w:fldChar w:fldCharType="separate"/>
            </w:r>
            <w:r>
              <w:rPr>
                <w:rFonts w:hint="eastAsia" w:ascii="仿宋" w:hAnsi="仿宋" w:eastAsia="仿宋" w:cs="仿宋"/>
                <w:color w:val="auto"/>
                <w:sz w:val="22"/>
                <w:szCs w:val="22"/>
                <w:lang w:eastAsia="zh-CN"/>
              </w:rPr>
              <w:t>http://www.creditchina.gov.cn</w:t>
            </w:r>
            <w:r>
              <w:rPr>
                <w:rFonts w:hint="eastAsia" w:ascii="仿宋" w:hAnsi="仿宋" w:eastAsia="仿宋" w:cs="仿宋"/>
                <w:color w:val="auto"/>
                <w:sz w:val="22"/>
                <w:szCs w:val="22"/>
                <w:lang w:eastAsia="zh-CN"/>
              </w:rPr>
              <w:fldChar w:fldCharType="end"/>
            </w:r>
            <w:r>
              <w:rPr>
                <w:rFonts w:hint="eastAsia" w:ascii="仿宋" w:hAnsi="仿宋" w:eastAsia="仿宋" w:cs="仿宋"/>
                <w:color w:val="auto"/>
                <w:sz w:val="22"/>
                <w:szCs w:val="22"/>
                <w:lang w:eastAsia="zh-CN"/>
              </w:rPr>
              <w:t>） 失信黑名单中和“中国政府采购网”(</w:t>
            </w:r>
            <w:r>
              <w:rPr>
                <w:rFonts w:hint="eastAsia" w:ascii="仿宋" w:hAnsi="仿宋" w:eastAsia="仿宋" w:cs="仿宋"/>
                <w:color w:val="auto"/>
                <w:sz w:val="22"/>
                <w:szCs w:val="22"/>
                <w:lang w:eastAsia="zh-CN"/>
              </w:rPr>
              <w:fldChar w:fldCharType="begin"/>
            </w:r>
            <w:r>
              <w:rPr>
                <w:rFonts w:hint="eastAsia" w:ascii="仿宋" w:hAnsi="仿宋" w:eastAsia="仿宋" w:cs="仿宋"/>
                <w:color w:val="auto"/>
                <w:sz w:val="22"/>
                <w:szCs w:val="22"/>
                <w:lang w:eastAsia="zh-CN"/>
              </w:rPr>
              <w:instrText xml:space="preserve"> HYPERLINK "http://www.ccgp.gov.cn/" \h </w:instrText>
            </w:r>
            <w:r>
              <w:rPr>
                <w:rFonts w:hint="eastAsia" w:ascii="仿宋" w:hAnsi="仿宋" w:eastAsia="仿宋" w:cs="仿宋"/>
                <w:color w:val="auto"/>
                <w:sz w:val="22"/>
                <w:szCs w:val="22"/>
                <w:lang w:eastAsia="zh-CN"/>
              </w:rPr>
              <w:fldChar w:fldCharType="separate"/>
            </w:r>
            <w:r>
              <w:rPr>
                <w:rFonts w:hint="eastAsia" w:ascii="仿宋" w:hAnsi="仿宋" w:eastAsia="仿宋" w:cs="仿宋"/>
                <w:color w:val="auto"/>
                <w:sz w:val="22"/>
                <w:szCs w:val="22"/>
                <w:lang w:eastAsia="zh-CN"/>
              </w:rPr>
              <w:t xml:space="preserve">www.ccgp.gov.cn </w:t>
            </w:r>
            <w:r>
              <w:rPr>
                <w:rFonts w:hint="eastAsia" w:ascii="仿宋" w:hAnsi="仿宋" w:eastAsia="仿宋" w:cs="仿宋"/>
                <w:color w:val="auto"/>
                <w:sz w:val="22"/>
                <w:szCs w:val="22"/>
                <w:lang w:eastAsia="zh-CN"/>
              </w:rPr>
              <w:fldChar w:fldCharType="end"/>
            </w:r>
            <w:r>
              <w:rPr>
                <w:rFonts w:hint="eastAsia" w:ascii="仿宋" w:hAnsi="仿宋" w:eastAsia="仿宋" w:cs="仿宋"/>
                <w:color w:val="auto"/>
                <w:sz w:val="22"/>
                <w:szCs w:val="22"/>
                <w:lang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【提供加盖公章的网查截图复印件】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本项目不接受联合体磋商；</w:t>
            </w:r>
            <w:r>
              <w:rPr>
                <w:rFonts w:hint="eastAsia" w:ascii="仿宋" w:hAnsi="仿宋" w:eastAsia="仿宋" w:cs="仿宋"/>
                <w:color w:val="auto"/>
                <w:sz w:val="22"/>
                <w:szCs w:val="22"/>
                <w:lang w:val="en-US" w:eastAsia="zh-CN"/>
              </w:rPr>
              <w:t>单位负责人为同一人或者存在控股、管理关系的不同单位不得同时投标；</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09" w:type="dxa"/>
            <w:vAlign w:val="center"/>
          </w:tcPr>
          <w:p>
            <w:pPr>
              <w:widowControl/>
              <w:tabs>
                <w:tab w:val="left" w:pos="1620"/>
              </w:tabs>
              <w:spacing w:line="360" w:lineRule="auto"/>
              <w:jc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9</w:t>
            </w:r>
          </w:p>
        </w:tc>
        <w:tc>
          <w:tcPr>
            <w:tcW w:w="5676" w:type="dxa"/>
            <w:tcBorders>
              <w:right w:val="single" w:color="auto" w:sz="4" w:space="0"/>
            </w:tcBorders>
            <w:vAlign w:val="center"/>
          </w:tcPr>
          <w:p>
            <w:pPr>
              <w:snapToGrid w:val="0"/>
              <w:spacing w:line="36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磋商</w:t>
            </w:r>
            <w:r>
              <w:rPr>
                <w:rFonts w:hint="eastAsia" w:ascii="仿宋" w:hAnsi="仿宋" w:eastAsia="仿宋" w:cs="仿宋"/>
                <w:color w:val="auto"/>
                <w:sz w:val="22"/>
                <w:szCs w:val="22"/>
              </w:rPr>
              <w:t>保证金收款收据原件或保函</w:t>
            </w:r>
            <w:r>
              <w:rPr>
                <w:rFonts w:hint="eastAsia" w:ascii="仿宋" w:hAnsi="仿宋" w:eastAsia="仿宋" w:cs="仿宋"/>
                <w:color w:val="auto"/>
                <w:sz w:val="22"/>
                <w:szCs w:val="22"/>
                <w:lang w:eastAsia="zh-CN"/>
              </w:rPr>
              <w:t>原件。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9142" w:type="dxa"/>
            <w:gridSpan w:val="3"/>
            <w:vAlign w:val="center"/>
          </w:tcPr>
          <w:p>
            <w:pPr>
              <w:pStyle w:val="14"/>
              <w:rPr>
                <w:rFonts w:hint="eastAsia" w:ascii="仿宋" w:hAnsi="仿宋" w:eastAsia="仿宋" w:cs="仿宋"/>
                <w:color w:val="auto"/>
                <w:sz w:val="22"/>
                <w:szCs w:val="22"/>
              </w:rPr>
            </w:pPr>
            <w:r>
              <w:rPr>
                <w:rFonts w:hint="eastAsia" w:ascii="仿宋" w:hAnsi="仿宋" w:eastAsia="仿宋" w:cs="仿宋"/>
                <w:b/>
                <w:bCs/>
                <w:color w:val="auto"/>
                <w:sz w:val="22"/>
                <w:szCs w:val="22"/>
              </w:rPr>
              <w:t>注：</w:t>
            </w:r>
            <w:r>
              <w:rPr>
                <w:rFonts w:hint="eastAsia" w:ascii="仿宋" w:hAnsi="仿宋" w:eastAsia="仿宋" w:cs="仿宋"/>
                <w:b/>
                <w:color w:val="auto"/>
                <w:sz w:val="22"/>
                <w:szCs w:val="22"/>
              </w:rPr>
              <w:t xml:space="preserve"> 1、以上证书证件原件或复印件及网页截图等资格证明材料要求供应商开标时单独携带一套以备资格审查。2、若资格审查不合格，退回响应文件将不得进入后续评审</w:t>
            </w:r>
            <w:r>
              <w:rPr>
                <w:rFonts w:hint="eastAsia" w:ascii="仿宋" w:hAnsi="仿宋" w:eastAsia="仿宋" w:cs="仿宋"/>
                <w:color w:val="auto"/>
                <w:sz w:val="22"/>
                <w:szCs w:val="22"/>
              </w:rPr>
              <w:t>。</w:t>
            </w:r>
          </w:p>
        </w:tc>
      </w:tr>
    </w:tbl>
    <w:p>
      <w:pPr>
        <w:spacing w:before="360" w:beforeLines="150" w:after="120" w:afterLines="50" w:line="360" w:lineRule="auto"/>
        <w:rPr>
          <w:rFonts w:hint="eastAsia" w:ascii="仿宋" w:hAnsi="仿宋" w:eastAsia="仿宋" w:cs="仿宋"/>
          <w:color w:val="auto"/>
          <w:sz w:val="24"/>
        </w:rPr>
      </w:pPr>
      <w:r>
        <w:rPr>
          <w:rFonts w:hint="eastAsia" w:ascii="仿宋" w:hAnsi="仿宋" w:eastAsia="仿宋" w:cs="仿宋"/>
          <w:b/>
          <w:bCs/>
          <w:color w:val="auto"/>
          <w:sz w:val="24"/>
          <w:shd w:val="clear" w:color="FFFFFF" w:fill="D9D9D9"/>
        </w:rPr>
        <w:t>3.2、符合性审查。</w:t>
      </w:r>
      <w:r>
        <w:rPr>
          <w:rFonts w:hint="eastAsia" w:ascii="仿宋" w:hAnsi="仿宋" w:eastAsia="仿宋" w:cs="仿宋"/>
          <w:color w:val="auto"/>
          <w:sz w:val="24"/>
        </w:rPr>
        <w:t>磋商小组从响应文件的有效性、完整性和对竞争性磋商文件的响应程度进行符合性审查，以确定其是否对竞争性磋商文件实质性内容作出响应</w:t>
      </w:r>
      <w:r>
        <w:rPr>
          <w:rFonts w:hint="eastAsia" w:ascii="仿宋" w:hAnsi="仿宋" w:eastAsia="仿宋" w:cs="仿宋"/>
          <w:color w:val="auto"/>
          <w:kern w:val="0"/>
          <w:sz w:val="24"/>
        </w:rPr>
        <w:t>（采购人可根据具体项目的情况对实质性要求作特别的具体规定）</w:t>
      </w:r>
      <w:r>
        <w:rPr>
          <w:rFonts w:hint="eastAsia" w:ascii="仿宋" w:hAnsi="仿宋" w:eastAsia="仿宋" w:cs="仿宋"/>
          <w:color w:val="auto"/>
          <w:sz w:val="24"/>
        </w:rPr>
        <w:t>。符合性审查标准如下：</w:t>
      </w:r>
    </w:p>
    <w:tbl>
      <w:tblPr>
        <w:tblStyle w:val="29"/>
        <w:tblpPr w:leftFromText="180" w:rightFromText="180" w:vertAnchor="text" w:horzAnchor="page" w:tblpX="1570"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2835"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评审项目</w:t>
            </w:r>
          </w:p>
        </w:tc>
        <w:tc>
          <w:tcPr>
            <w:tcW w:w="5528"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响应文件的签署盖章</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响应文件格式</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响应文件递交</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报价唯一</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只能有一个有效报价，不得提交选择性报价，且报价不超过采购预算（最高限价）；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报价合理</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投标报价未超出采购预算的或投标报价明显低于成本价却能合理说明；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响应文件密封和标记</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响应文件份数</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应符合“供应商须知前附表”规定的正本、副本、电子文件及磋商报价一览表数量；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响应文件内容</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对响应文件响应程度</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响应文件符合法律法规要求的。</w:t>
            </w:r>
          </w:p>
        </w:tc>
      </w:tr>
    </w:tbl>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3.3、若前款3.1条或3.2条有1项不合格，评审不予通过，作为未实质性响应竞争性磋商文件，按无效标处理。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3.4、磋商小组通过上述评审，确定入围供应商名单，只有入围的供应商才能进入后续评审环节。</w:t>
      </w:r>
    </w:p>
    <w:p>
      <w:pPr>
        <w:spacing w:before="120" w:beforeLines="50" w:after="120" w:afterLines="50" w:line="460" w:lineRule="exact"/>
        <w:rPr>
          <w:rFonts w:hint="eastAsia" w:ascii="仿宋" w:hAnsi="仿宋" w:eastAsia="仿宋" w:cs="仿宋"/>
          <w:b/>
          <w:color w:val="auto"/>
          <w:sz w:val="24"/>
        </w:rPr>
      </w:pPr>
      <w:r>
        <w:rPr>
          <w:rFonts w:hint="eastAsia" w:ascii="仿宋" w:hAnsi="仿宋" w:eastAsia="仿宋" w:cs="仿宋"/>
          <w:b/>
          <w:color w:val="auto"/>
          <w:sz w:val="24"/>
        </w:rPr>
        <w:t>4、响应文件的澄清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以下情况属于非实质性偏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4.1.1、文字表述的内容含义不明确；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4.1.2、同类问题表述不一致；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4.1.3、有明显文字和计算错误；</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4.1.4、提供的技术信息和数据资料不完整；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4.1.5、响应文件未按竞争性磋商文件要求进行编制目录；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4.1.6、磋商小组认定的其他非实质性偏离。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4.1.7、响应文件有上述4.1.1-4.1.4情形之一的，磋商小组应当书面要求供应商在规定的时间内予以澄清、说明或补正。供应商有关澄清、说明或者更正不得超出响应文件的范围或者改变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响应文件按最大风险进行评审。磋商小组不接受供应商主动提出的澄清、说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4.2、有效的书面澄清材料，是供应商响应文件的补充材料，成为供应商响应文件的组成部分。</w:t>
      </w:r>
    </w:p>
    <w:p>
      <w:pPr>
        <w:tabs>
          <w:tab w:val="left" w:pos="7665"/>
        </w:tabs>
        <w:spacing w:line="360" w:lineRule="auto"/>
        <w:rPr>
          <w:rFonts w:hint="eastAsia" w:ascii="仿宋" w:hAnsi="仿宋" w:eastAsia="仿宋" w:cs="仿宋"/>
          <w:color w:val="auto"/>
          <w:sz w:val="24"/>
        </w:rPr>
      </w:pPr>
      <w:r>
        <w:rPr>
          <w:rFonts w:hint="eastAsia" w:ascii="仿宋" w:hAnsi="仿宋" w:eastAsia="仿宋" w:cs="仿宋"/>
          <w:b/>
          <w:bCs/>
          <w:color w:val="auto"/>
          <w:sz w:val="24"/>
        </w:rPr>
        <w:t>5、磋商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最后报价。最后报价是供应商响应文件的有效组成部分。符合《政府采购竞争性磋商采购方式管理暂行办法》第二十一条：最后报价是供应商响应文件的有效组成部分。符合本办法第三条第四项情形的，提交最后报价的供应商可以为2家。</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5.3、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6、响应文件详细评审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w:t>
      </w:r>
      <w:r>
        <w:rPr>
          <w:rFonts w:hint="eastAsia" w:ascii="仿宋" w:hAnsi="仿宋" w:eastAsia="仿宋" w:cs="仿宋"/>
          <w:color w:val="auto"/>
          <w:kern w:val="1"/>
          <w:sz w:val="24"/>
        </w:rPr>
        <w:t>比较与评价。磋商小组应当按照磋商文件中规定的评标方法和标准，只对符合性审查合格的响应文件进行商务和技术评估，综合比较与评价，不合格的不再参与评审。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6.2、评审因素的设定与供应商所提供服务的质量相关，包括投标报价、商务、技术或者服务水平、履约能力等。资格条件不得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6.3、由磋商小组成员独立地根据各项因素的评分标准，结合各供应商的实际情况，分别就报价以外的各项评审因素对各供应商独立评审赋分。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6.5、磋商小组成员对需要共同认定的事项存在争议的，应当按照少数服从多数的原则作出结论。持不同意见的磋商小组成员应当在评标报告上签署不同意见及理由，否则视为同意评标报告。</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三、评审细则及标准</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7、综合评</w:t>
      </w:r>
      <w:r>
        <w:rPr>
          <w:rFonts w:hint="eastAsia" w:ascii="仿宋" w:hAnsi="仿宋" w:eastAsia="仿宋" w:cs="仿宋"/>
          <w:b/>
          <w:color w:val="auto"/>
          <w:kern w:val="1"/>
          <w:sz w:val="24"/>
          <w:lang w:eastAsia="zh-CN"/>
        </w:rPr>
        <w:t>分</w:t>
      </w:r>
      <w:r>
        <w:rPr>
          <w:rFonts w:hint="eastAsia" w:ascii="仿宋" w:hAnsi="仿宋" w:eastAsia="仿宋" w:cs="仿宋"/>
          <w:b/>
          <w:color w:val="auto"/>
          <w:kern w:val="1"/>
          <w:sz w:val="24"/>
        </w:rPr>
        <w:t>法</w:t>
      </w:r>
    </w:p>
    <w:p>
      <w:pPr>
        <w:spacing w:line="360" w:lineRule="auto"/>
        <w:ind w:firstLine="482" w:firstLineChars="200"/>
        <w:rPr>
          <w:rFonts w:hint="eastAsia" w:ascii="仿宋" w:hAnsi="仿宋" w:eastAsia="仿宋" w:cs="仿宋"/>
          <w:color w:val="auto"/>
          <w:kern w:val="1"/>
          <w:sz w:val="24"/>
        </w:rPr>
      </w:pPr>
      <w:r>
        <w:rPr>
          <w:rFonts w:hint="eastAsia" w:ascii="仿宋" w:hAnsi="仿宋" w:eastAsia="仿宋" w:cs="仿宋"/>
          <w:b/>
          <w:bCs/>
          <w:color w:val="auto"/>
          <w:kern w:val="1"/>
          <w:sz w:val="24"/>
        </w:rPr>
        <w:t>本采购项目评审方法采用综合评</w:t>
      </w:r>
      <w:r>
        <w:rPr>
          <w:rFonts w:hint="eastAsia" w:ascii="仿宋" w:hAnsi="仿宋" w:eastAsia="仿宋" w:cs="仿宋"/>
          <w:b/>
          <w:bCs/>
          <w:color w:val="auto"/>
          <w:kern w:val="1"/>
          <w:sz w:val="24"/>
          <w:lang w:eastAsia="zh-CN"/>
        </w:rPr>
        <w:t>分</w:t>
      </w:r>
      <w:r>
        <w:rPr>
          <w:rFonts w:hint="eastAsia" w:ascii="仿宋" w:hAnsi="仿宋" w:eastAsia="仿宋" w:cs="仿宋"/>
          <w:b/>
          <w:bCs/>
          <w:color w:val="auto"/>
          <w:kern w:val="1"/>
          <w:sz w:val="24"/>
        </w:rPr>
        <w:t>法</w:t>
      </w:r>
      <w:r>
        <w:rPr>
          <w:rFonts w:hint="eastAsia" w:ascii="仿宋" w:hAnsi="仿宋" w:eastAsia="仿宋" w:cs="仿宋"/>
          <w:color w:val="auto"/>
          <w:kern w:val="1"/>
          <w:sz w:val="24"/>
        </w:rPr>
        <w:t>。评标时，磋商小组各成员应当独立对每个供应商的投标文件进行评价，并汇总每个供应商的得分。即响应文件能够最大限度的满足竞争性磋商文件规定的各项综合评分标准，且经评审得分最高的供应商为中标候选人。</w:t>
      </w:r>
    </w:p>
    <w:p>
      <w:pPr>
        <w:widowControl/>
        <w:autoSpaceDE w:val="0"/>
        <w:autoSpaceDN w:val="0"/>
        <w:spacing w:before="120" w:beforeLines="50" w:after="120" w:afterLines="50" w:line="360" w:lineRule="auto"/>
        <w:ind w:right="51"/>
        <w:textAlignment w:val="bottom"/>
        <w:rPr>
          <w:rFonts w:hint="eastAsia" w:ascii="仿宋" w:hAnsi="仿宋" w:eastAsia="仿宋" w:cs="仿宋"/>
          <w:b/>
          <w:color w:val="auto"/>
          <w:sz w:val="24"/>
        </w:rPr>
      </w:pPr>
      <w:r>
        <w:rPr>
          <w:rFonts w:hint="eastAsia" w:ascii="仿宋" w:hAnsi="仿宋" w:eastAsia="仿宋" w:cs="仿宋"/>
          <w:b/>
          <w:color w:val="auto"/>
          <w:sz w:val="24"/>
        </w:rPr>
        <w:t>8、评审细则及标准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8.1、评标委员会将综合分析供应商的各项评审因素，而不以单项评审因素的优劣评选出成交供应商。对所有供应商的响应评估，都采用相同的程序和标准，严格按照竞争性磋商文件的要求和条件进行。</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8.2、评审因素包括：报价、技术、商务及对竞争性磋商文件的响应程度。</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8.3、政策性扣减</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根据《陕西省财政厅关于政府采购有关问题的通知》（陕财办采资（2016）53号）对政府采购相关政策落实如下：</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1、财政部、工业和信息化部《关于印发&lt;政府采购促进中小企业发展管理办法&gt;的通知》(财库〔2020〕46号)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评标委员会根据《政府采购促进中小企业发展管理办法》的相关规定，对小微企业报价给予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 xml:space="preserve">2、《财政部 司法部关于政府采购支持监狱企业发展有关问题的通知》—财库[2014]68号 </w:t>
      </w:r>
    </w:p>
    <w:p>
      <w:pPr>
        <w:spacing w:line="360" w:lineRule="auto"/>
        <w:ind w:left="0" w:leftChars="0"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评标委员会对监狱企业的价格给予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3、《财政部民政部中国残疾人联合会关于促进残疾人就业政府采购政策的通知》—财库[2017]141号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评标委员会对供应商提供的残疾人福利性单位的证明文件进行核实后，根据相关规定，对残疾人福利性单位的价格给予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4、《国务院办公厅关于建立政府强制采购节能产品制度的通知》--国办发[2007]51号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5、《节能产品政府采购实施意见》--财库[2004]185号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在磋商时磋商供应商应提供有效证明材料（证明材料须加盖投标供应商红色公章）。（注：节能产品是指由财政部、国家发改委颁布的“节能产品政府采购清单”中的有效期内的产品）。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6、《环境标志产品政府采购实施的意见》—财库[2006]90号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在磋商时磋商供应商应提供有效证明材料（证明材料须加盖磋商供应商红色公章）。（注：环境标志产品是指由财政部、国家环境保护总局颁布的“环境标志产品政府采购清单”中的有效期内的产品）。</w:t>
      </w:r>
    </w:p>
    <w:p>
      <w:pPr>
        <w:pStyle w:val="14"/>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kern w:val="2"/>
          <w:sz w:val="24"/>
        </w:rPr>
        <w:t>8.4、</w:t>
      </w:r>
      <w:r>
        <w:rPr>
          <w:rFonts w:hint="eastAsia" w:ascii="仿宋" w:hAnsi="仿宋" w:eastAsia="仿宋" w:cs="仿宋"/>
          <w:bCs/>
          <w:color w:val="auto"/>
          <w:sz w:val="24"/>
        </w:rPr>
        <w:t>评审要素一览表：</w:t>
      </w:r>
    </w:p>
    <w:p>
      <w:pPr>
        <w:rPr>
          <w:rFonts w:hint="eastAsia" w:ascii="仿宋" w:hAnsi="仿宋" w:eastAsia="仿宋" w:cs="仿宋"/>
          <w:color w:val="auto"/>
        </w:rPr>
      </w:pP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1935"/>
        <w:gridCol w:w="5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474"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项别及分值</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（100）</w:t>
            </w:r>
          </w:p>
        </w:tc>
        <w:tc>
          <w:tcPr>
            <w:tcW w:w="7927" w:type="dxa"/>
            <w:gridSpan w:val="2"/>
            <w:vAlign w:val="center"/>
          </w:tcPr>
          <w:p>
            <w:pPr>
              <w:tabs>
                <w:tab w:val="left" w:pos="1180"/>
              </w:tabs>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评审要素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474"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报价得分</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0分）</w:t>
            </w: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评标基准价计算方法</w:t>
            </w:r>
          </w:p>
        </w:tc>
        <w:tc>
          <w:tcPr>
            <w:tcW w:w="5992" w:type="dxa"/>
            <w:tcBorders>
              <w:left w:val="single" w:color="auto" w:sz="4" w:space="0"/>
              <w:bottom w:val="single" w:color="auto" w:sz="4" w:space="0"/>
            </w:tcBorders>
            <w:vAlign w:val="center"/>
          </w:tcPr>
          <w:p>
            <w:pPr>
              <w:tabs>
                <w:tab w:val="left" w:pos="1180"/>
              </w:tabs>
              <w:spacing w:line="360" w:lineRule="auto"/>
              <w:rPr>
                <w:rFonts w:hint="eastAsia" w:ascii="仿宋" w:hAnsi="仿宋" w:eastAsia="仿宋" w:cs="仿宋"/>
                <w:color w:val="auto"/>
                <w:sz w:val="24"/>
              </w:rPr>
            </w:pPr>
            <w:r>
              <w:rPr>
                <w:rFonts w:hint="eastAsia" w:ascii="仿宋" w:hAnsi="仿宋" w:eastAsia="仿宋" w:cs="仿宋"/>
                <w:color w:val="auto"/>
                <w:sz w:val="24"/>
              </w:rPr>
              <w:t>1、满足磋商文件要求且磋商响应最低的报价（最后的响应报价）为评标基准价，其价格分为满分。其他磋商供应商的价格分统一按照下列公式计算：磋商报价得分=（评标基准价/评标报价）×</w:t>
            </w:r>
            <w:r>
              <w:rPr>
                <w:rFonts w:hint="eastAsia" w:ascii="仿宋" w:hAnsi="仿宋" w:eastAsia="仿宋" w:cs="仿宋"/>
                <w:color w:val="auto"/>
                <w:sz w:val="24"/>
                <w:lang w:val="en-US" w:eastAsia="zh-CN"/>
              </w:rPr>
              <w:t>30；</w:t>
            </w:r>
          </w:p>
          <w:p>
            <w:pPr>
              <w:tabs>
                <w:tab w:val="left" w:pos="1180"/>
              </w:tabs>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2、符合磋商文件规定的中小企业、监狱企业、残疾人福利性单位优惠条件的供应商，价格给予</w:t>
            </w:r>
            <w:r>
              <w:rPr>
                <w:rFonts w:hint="eastAsia" w:ascii="仿宋" w:hAnsi="仿宋" w:eastAsia="仿宋" w:cs="仿宋"/>
                <w:color w:val="auto"/>
                <w:sz w:val="24"/>
                <w:lang w:val="en-US" w:eastAsia="zh-CN"/>
              </w:rPr>
              <w:t>5</w:t>
            </w:r>
            <w:r>
              <w:rPr>
                <w:rFonts w:hint="eastAsia" w:ascii="仿宋" w:hAnsi="仿宋" w:eastAsia="仿宋" w:cs="仿宋"/>
                <w:color w:val="auto"/>
                <w:sz w:val="24"/>
              </w:rPr>
              <w:t>%的扣除，用扣除后的价格参与评审</w:t>
            </w:r>
            <w:r>
              <w:rPr>
                <w:rFonts w:hint="eastAsia" w:ascii="仿宋" w:hAnsi="仿宋" w:eastAsia="仿宋" w:cs="仿宋"/>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1474" w:type="dxa"/>
            <w:vMerge w:val="restart"/>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商务标得分（10分）</w:t>
            </w: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项目部组成</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分</w:t>
            </w:r>
          </w:p>
        </w:tc>
        <w:tc>
          <w:tcPr>
            <w:tcW w:w="59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机构设置及主要管理人员专业配置合理，齐全，符合本项目实际需求；（优6-4分，良3-2分，一般1-0分）；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1" w:hRule="atLeast"/>
          <w:jc w:val="center"/>
        </w:trPr>
        <w:tc>
          <w:tcPr>
            <w:tcW w:w="1474" w:type="dxa"/>
            <w:vMerge w:val="continue"/>
            <w:vAlign w:val="center"/>
          </w:tcPr>
          <w:p>
            <w:pPr>
              <w:tabs>
                <w:tab w:val="left" w:pos="1180"/>
              </w:tabs>
              <w:adjustRightInd w:val="0"/>
              <w:snapToGrid w:val="0"/>
              <w:spacing w:line="240" w:lineRule="atLeast"/>
              <w:jc w:val="center"/>
              <w:rPr>
                <w:rFonts w:hint="eastAsia" w:ascii="仿宋" w:hAnsi="仿宋" w:eastAsia="仿宋" w:cs="仿宋"/>
                <w:color w:val="auto"/>
                <w:sz w:val="24"/>
              </w:rPr>
            </w:pP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类似业绩</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4分</w:t>
            </w:r>
          </w:p>
        </w:tc>
        <w:tc>
          <w:tcPr>
            <w:tcW w:w="59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仿宋" w:hAnsi="仿宋" w:eastAsia="仿宋" w:cs="仿宋"/>
                <w:color w:val="auto"/>
                <w:sz w:val="24"/>
                <w:lang w:eastAsia="zh-CN"/>
              </w:rPr>
            </w:pPr>
            <w:r>
              <w:rPr>
                <w:rFonts w:hint="eastAsia" w:ascii="仿宋" w:hAnsi="仿宋" w:eastAsia="仿宋" w:cs="仿宋"/>
                <w:color w:val="auto"/>
                <w:sz w:val="24"/>
              </w:rPr>
              <w:t>供应商提供2018年至今完成类似项目业绩，每提供</w:t>
            </w:r>
            <w:r>
              <w:rPr>
                <w:rFonts w:hint="eastAsia" w:ascii="仿宋" w:hAnsi="仿宋" w:eastAsia="仿宋" w:cs="仿宋"/>
                <w:color w:val="auto"/>
                <w:sz w:val="24"/>
                <w:lang w:val="en-US" w:eastAsia="zh-CN"/>
              </w:rPr>
              <w:t>1个业绩</w:t>
            </w:r>
            <w:r>
              <w:rPr>
                <w:rFonts w:hint="eastAsia" w:ascii="仿宋" w:hAnsi="仿宋" w:eastAsia="仿宋" w:cs="仿宋"/>
                <w:color w:val="auto"/>
                <w:sz w:val="24"/>
              </w:rPr>
              <w:t>得</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分，此项最高得4分； </w:t>
            </w:r>
            <w:r>
              <w:rPr>
                <w:rFonts w:hint="eastAsia" w:ascii="仿宋" w:hAnsi="仿宋" w:eastAsia="仿宋" w:cs="仿宋"/>
                <w:color w:val="auto"/>
                <w:sz w:val="24"/>
                <w:lang w:eastAsia="zh-CN"/>
              </w:rPr>
              <w:t>（注：业绩评审需提供项目中标通知书及施工合同复印件，缺一无效）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1474" w:type="dxa"/>
            <w:vMerge w:val="restart"/>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技术标得分</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60</w:t>
            </w:r>
            <w:r>
              <w:rPr>
                <w:rFonts w:hint="eastAsia" w:ascii="仿宋" w:hAnsi="仿宋" w:eastAsia="仿宋" w:cs="仿宋"/>
                <w:color w:val="auto"/>
                <w:sz w:val="24"/>
              </w:rPr>
              <w:t>分）</w:t>
            </w: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施工方案10分</w:t>
            </w:r>
          </w:p>
        </w:tc>
        <w:tc>
          <w:tcPr>
            <w:tcW w:w="5992" w:type="dxa"/>
            <w:vAlign w:val="center"/>
          </w:tcPr>
          <w:p>
            <w:pPr>
              <w:tabs>
                <w:tab w:val="left" w:pos="1180"/>
              </w:tabs>
              <w:adjustRightInd w:val="0"/>
              <w:snapToGrid w:val="0"/>
              <w:spacing w:line="240" w:lineRule="atLeast"/>
              <w:jc w:val="left"/>
              <w:rPr>
                <w:rFonts w:hint="eastAsia" w:ascii="仿宋" w:hAnsi="仿宋" w:eastAsia="仿宋" w:cs="仿宋"/>
                <w:color w:val="auto"/>
                <w:sz w:val="24"/>
              </w:rPr>
            </w:pPr>
            <w:r>
              <w:rPr>
                <w:rFonts w:hint="eastAsia" w:ascii="仿宋" w:hAnsi="仿宋" w:eastAsia="仿宋" w:cs="仿宋"/>
                <w:color w:val="auto"/>
                <w:sz w:val="24"/>
              </w:rPr>
              <w:t>针对本项目提供科学、可行、合理的施工方案；（优10-7分，良6-4分，一般3-0分）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施工质量保证措施10分</w:t>
            </w:r>
          </w:p>
        </w:tc>
        <w:tc>
          <w:tcPr>
            <w:tcW w:w="5992" w:type="dxa"/>
            <w:vAlign w:val="center"/>
          </w:tcPr>
          <w:p>
            <w:pPr>
              <w:tabs>
                <w:tab w:val="left" w:pos="1180"/>
              </w:tabs>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施工安全保证措施10分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施工进度计划及工期保证措施10分</w:t>
            </w:r>
          </w:p>
        </w:tc>
        <w:tc>
          <w:tcPr>
            <w:tcW w:w="5992" w:type="dxa"/>
            <w:vAlign w:val="center"/>
          </w:tcPr>
          <w:p>
            <w:pPr>
              <w:tabs>
                <w:tab w:val="left" w:pos="1180"/>
              </w:tabs>
              <w:adjustRightInd w:val="0"/>
              <w:snapToGrid w:val="0"/>
              <w:spacing w:line="240" w:lineRule="atLeast"/>
              <w:jc w:val="lef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文明施工及环境保护措施</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主要机械设备、劳动力安排计划</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机械设备配备齐全、劳动力配置全面、科学、合理；（优10-7分，良6-4分，一般3-0分）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jc w:val="center"/>
        </w:trPr>
        <w:tc>
          <w:tcPr>
            <w:tcW w:w="9401" w:type="dxa"/>
            <w:gridSpan w:val="3"/>
            <w:vAlign w:val="center"/>
          </w:tcPr>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1、本一览表各种计算数字“四舍五入”保留小数点后两位，第三位四舍五入。</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2、磋商响应文件中缺少某分项时，该分项为0分。磋商小组成员的赋分超过分值界限或未按本表规定赋分的，则该成员的打分作废，不计入汇总分。</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3、各磋商小组成员必须按照本评审要素据实打分。凡打分不符合本评审要素要求者，均按无效打分对待。</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4、汇总报价得分、技术商务得分的总和，按得分由高至低的排序推荐三名候选成交供应商。</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5、若得分相同的，按最后投标报价由低到高的顺序推荐。得分且最后报价相同的，按照技术指标优劣顺序推荐。</w:t>
            </w:r>
          </w:p>
          <w:p>
            <w:pPr>
              <w:tabs>
                <w:tab w:val="left" w:pos="1180"/>
              </w:tabs>
              <w:spacing w:line="276" w:lineRule="auto"/>
              <w:rPr>
                <w:rFonts w:hint="eastAsia" w:ascii="仿宋" w:hAnsi="仿宋" w:eastAsia="仿宋" w:cs="仿宋"/>
                <w:color w:val="auto"/>
                <w:sz w:val="24"/>
              </w:rPr>
            </w:pPr>
            <w:r>
              <w:rPr>
                <w:rFonts w:hint="eastAsia" w:ascii="仿宋" w:hAnsi="仿宋" w:eastAsia="仿宋" w:cs="仿宋"/>
                <w:b/>
                <w:color w:val="auto"/>
                <w:sz w:val="22"/>
                <w:szCs w:val="22"/>
              </w:rPr>
              <w:t>6、磋商小组成员对评审报告有异议的，应当在评审报告上签署不同意见，并说明理由，否则视为同意。对拒绝说明理由的，须报政府采购监管部门处理，并将其评审情况如实计入考核表。</w:t>
            </w:r>
          </w:p>
        </w:tc>
      </w:tr>
    </w:tbl>
    <w:p>
      <w:pPr>
        <w:rPr>
          <w:rFonts w:hint="eastAsia" w:ascii="仿宋" w:hAnsi="仿宋" w:eastAsia="仿宋" w:cs="仿宋"/>
          <w:color w:val="auto"/>
        </w:rPr>
      </w:pPr>
    </w:p>
    <w:p>
      <w:pPr>
        <w:pStyle w:val="3"/>
        <w:tabs>
          <w:tab w:val="left" w:pos="600"/>
        </w:tabs>
        <w:spacing w:before="240" w:beforeLines="100" w:after="120" w:afterLines="50" w:line="360" w:lineRule="auto"/>
        <w:ind w:firstLine="0"/>
        <w:jc w:val="left"/>
        <w:rPr>
          <w:rFonts w:hint="eastAsia" w:ascii="仿宋" w:hAnsi="仿宋" w:eastAsia="仿宋" w:cs="仿宋"/>
          <w:b/>
          <w:color w:val="auto"/>
          <w:sz w:val="24"/>
          <w:szCs w:val="24"/>
        </w:rPr>
      </w:pPr>
      <w:r>
        <w:rPr>
          <w:rFonts w:hint="eastAsia" w:ascii="仿宋" w:hAnsi="仿宋" w:eastAsia="仿宋" w:cs="仿宋"/>
          <w:b/>
          <w:color w:val="auto"/>
          <w:sz w:val="24"/>
          <w:szCs w:val="24"/>
        </w:rPr>
        <w:t>9、无效响应文件的认定</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9.1、供应商存在下列情况之一的，投标无效：</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9.1.1、未按照招标文件的规定提交投标保证金的；</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9.1.2、投标文件未按招标文件要求签署、盖章的；</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9.1.3、不具备招标文件中规定的资格要求的；</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9.1.4、报价超过招标文件中规定的预算金额或者最高限价的；</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9.1.5、投标文件含有采购人不能接受的附加条件的;</w:t>
      </w:r>
    </w:p>
    <w:p>
      <w:pPr>
        <w:pStyle w:val="3"/>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9.1.6、法律、法规和招标文件规定的其他无效情形。</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9.2、有下列情形之一的，视为供应商相互恶意串通投标，其投标取消：</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9.2.1、不同供应商的投标文件由同一单位或者个人编制；</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9.2.2、不同供应商委托同一单位或者个人办理投标事宜；</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9.2.3、不同供应商的投标文件载明的项目管理成员或者联系人员为同一人；</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9.2.4、不同供应商的投标文件异常一致或者投标报价呈规律性差异；</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9.2.5、不同供应商的投标文件相互混装；</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9.2.6、不同供应商的投标保证金从同一单位或者个人的账户转出。</w:t>
      </w:r>
    </w:p>
    <w:p>
      <w:pPr>
        <w:widowControl/>
        <w:autoSpaceDE w:val="0"/>
        <w:autoSpaceDN w:val="0"/>
        <w:spacing w:before="120" w:beforeLines="50" w:after="120" w:afterLines="50" w:line="360" w:lineRule="auto"/>
        <w:ind w:right="51"/>
        <w:textAlignment w:val="bottom"/>
        <w:rPr>
          <w:rFonts w:hint="eastAsia" w:ascii="仿宋" w:hAnsi="仿宋" w:eastAsia="仿宋" w:cs="仿宋"/>
          <w:b/>
          <w:color w:val="auto"/>
          <w:sz w:val="24"/>
        </w:rPr>
      </w:pPr>
      <w:r>
        <w:rPr>
          <w:rFonts w:hint="eastAsia" w:ascii="仿宋" w:hAnsi="仿宋" w:eastAsia="仿宋" w:cs="仿宋"/>
          <w:b/>
          <w:color w:val="auto"/>
          <w:sz w:val="24"/>
        </w:rPr>
        <w:t>10、特殊情况的处理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10.1、响应文件中如果出现前后不一致的，按照下列规定修正：</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10.1.1、响应文件大写金额和小写金额不一致的，以大写金额为准；总价金额与按单价汇总金额不一致的，以单价金额计算结果为准。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10.1.2、响应文件中图表与文字表述不一致的，以文字表述为准；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10.1.3、响应文件正本与副本不一致的，以正本为准；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10.1.4、对不同文字文本响应文件的解释发生异议的，以中文文本为准。；</w:t>
      </w:r>
    </w:p>
    <w:p>
      <w:pPr>
        <w:widowControl/>
        <w:autoSpaceDE w:val="0"/>
        <w:autoSpaceDN w:val="0"/>
        <w:spacing w:line="360" w:lineRule="auto"/>
        <w:ind w:right="51" w:firstLine="470" w:firstLineChars="196"/>
        <w:textAlignment w:val="bottom"/>
        <w:rPr>
          <w:rFonts w:hint="eastAsia" w:ascii="仿宋" w:hAnsi="仿宋" w:eastAsia="仿宋" w:cs="仿宋"/>
          <w:color w:val="auto"/>
          <w:sz w:val="24"/>
        </w:rPr>
      </w:pPr>
      <w:r>
        <w:rPr>
          <w:rFonts w:hint="eastAsia" w:ascii="仿宋" w:hAnsi="仿宋" w:eastAsia="仿宋" w:cs="仿宋"/>
          <w:color w:val="auto"/>
          <w:sz w:val="24"/>
        </w:rPr>
        <w:t>10.1.5、同时出现两种以上不一致的，按照前款规定的顺序修正。修正后的报价按照本章4.1条的规定经供应商确认后产生约束力，供应商不确认的，其磋商无效。</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10.2、评审过程中，若出现本评审办法以外的特殊情况时，将暂停评审，待磋商小组商榷后，再进行评定。</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10.3、评审结果汇总完成后，除下列情形外，任何人不得修改评审结果：</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10.3.1、分值汇总计算错误的；</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10.3.2、分项评分超出评分标准范围的；</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10.3.3、磋商小组成员对客观评审因素评分不一致的；</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10.3.4、经磋商小组认定评分畸高、畸低的。</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10.4、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10.5、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10.6、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bookmarkStart w:id="8" w:name="_Toc455956649"/>
    </w:p>
    <w:p>
      <w:pPr>
        <w:widowControl/>
        <w:autoSpaceDE w:val="0"/>
        <w:autoSpaceDN w:val="0"/>
        <w:spacing w:line="360" w:lineRule="auto"/>
        <w:ind w:right="53"/>
        <w:textAlignment w:val="bottom"/>
        <w:rPr>
          <w:rFonts w:hint="eastAsia" w:ascii="仿宋" w:hAnsi="仿宋" w:eastAsia="仿宋" w:cs="仿宋"/>
          <w:b/>
          <w:color w:val="auto"/>
          <w:sz w:val="24"/>
        </w:rPr>
      </w:pPr>
      <w:r>
        <w:rPr>
          <w:rFonts w:hint="eastAsia" w:ascii="仿宋" w:hAnsi="仿宋" w:eastAsia="仿宋" w:cs="仿宋"/>
          <w:b/>
          <w:color w:val="auto"/>
          <w:sz w:val="24"/>
        </w:rPr>
        <w:t>四、中标结果</w:t>
      </w:r>
      <w:bookmarkEnd w:id="8"/>
    </w:p>
    <w:p>
      <w:pPr>
        <w:widowControl/>
        <w:spacing w:before="120" w:beforeLines="50" w:line="360" w:lineRule="auto"/>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11、中标原则</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11.1、采购人从评审报告中推荐的中标候选供应商中，按照排序由高到低的原则确定成交供应商。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11.2、评标结果按评审后得分由高到低顺序排列。得分相同的，按最后投标报价由低到高顺序排列，得分且最后投标报价相同的，按照技术指标优劣顺序推荐第一中标候选人。</w:t>
      </w:r>
    </w:p>
    <w:p>
      <w:pPr>
        <w:widowControl/>
        <w:spacing w:before="120" w:beforeLines="50" w:after="120" w:afterLines="50" w:line="360" w:lineRule="auto"/>
        <w:jc w:val="left"/>
        <w:rPr>
          <w:rFonts w:hint="eastAsia" w:ascii="仿宋" w:hAnsi="仿宋" w:eastAsia="仿宋" w:cs="仿宋"/>
          <w:b/>
          <w:color w:val="auto"/>
          <w:sz w:val="24"/>
        </w:rPr>
      </w:pPr>
      <w:r>
        <w:rPr>
          <w:rFonts w:hint="eastAsia" w:ascii="仿宋" w:hAnsi="仿宋" w:eastAsia="仿宋" w:cs="仿宋"/>
          <w:b/>
          <w:color w:val="auto"/>
          <w:sz w:val="24"/>
        </w:rPr>
        <w:t>12、确定中标候选人</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招标文件规定的方式确定成交人。采购人在收到评标报告5个工作日内未按评标报告推荐的成交候选人顺序确定中标人，又不能说明合法理由的，视同按评标报告推荐的顺序确定排名第一的成交候选人为成交人。</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12.2、采购人或者采购代理机构应当自成交人确定之日起2个工作日内，在省级以上财政部门指定的媒体《陕西省政府采购网》发布成交结果，磋商文件应当随成交结果同时公告。成交结果公告的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12.3、在公布成交结果的同时，采购人或者采购代理机构应当向成交人发出成交通知书。</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12.4、采购代理机构将评审过程与采购人情况书面报送有关监督机构备案。</w:t>
      </w:r>
    </w:p>
    <w:p>
      <w:pPr>
        <w:spacing w:before="120" w:beforeLines="50" w:after="120" w:afterLines="50" w:line="360" w:lineRule="auto"/>
        <w:rPr>
          <w:rFonts w:hint="eastAsia" w:ascii="仿宋" w:hAnsi="仿宋" w:eastAsia="仿宋" w:cs="仿宋"/>
          <w:b/>
          <w:color w:val="auto"/>
          <w:sz w:val="24"/>
        </w:rPr>
      </w:pPr>
      <w:bookmarkStart w:id="9" w:name="_Toc183682375"/>
      <w:bookmarkStart w:id="10" w:name="_Toc217446063"/>
      <w:bookmarkStart w:id="11" w:name="_Toc183582238"/>
      <w:r>
        <w:rPr>
          <w:rFonts w:hint="eastAsia" w:ascii="仿宋" w:hAnsi="仿宋" w:eastAsia="仿宋" w:cs="仿宋"/>
          <w:b/>
          <w:bCs/>
          <w:color w:val="auto"/>
          <w:sz w:val="24"/>
        </w:rPr>
        <w:t>13、</w:t>
      </w:r>
      <w:bookmarkEnd w:id="9"/>
      <w:bookmarkEnd w:id="10"/>
      <w:bookmarkEnd w:id="11"/>
      <w:r>
        <w:rPr>
          <w:rFonts w:hint="eastAsia" w:ascii="仿宋" w:hAnsi="仿宋" w:eastAsia="仿宋" w:cs="仿宋"/>
          <w:b/>
          <w:bCs/>
          <w:color w:val="auto"/>
          <w:sz w:val="24"/>
        </w:rPr>
        <w:t>成交通知书</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13.1、成交通知书是合同文件的组成部分，对采购人和成交供应商具有同等法律效力。成交通知书发出后，采购人改变中标结果或者成交供应商放弃成交，应按相关法律、规章、规范性文件的要求承担相应的法律责任。</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13.2、成交供应商应当在接到采购代理机构通知之日起5个工作日内，领取《成交通知书》。</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13.4、成交供应商应在领成交通知书后的5日内，按照供应商须知前附表规定的形式和金额，向采购人提交履约保证金或履约担保。</w:t>
      </w:r>
    </w:p>
    <w:p>
      <w:pPr>
        <w:pStyle w:val="4"/>
        <w:numPr>
          <w:ilvl w:val="0"/>
          <w:numId w:val="1"/>
        </w:numPr>
        <w:rPr>
          <w:rFonts w:hint="eastAsia" w:ascii="仿宋" w:hAnsi="仿宋" w:eastAsia="仿宋" w:cs="仿宋"/>
          <w:b/>
          <w:color w:val="auto"/>
          <w:spacing w:val="-20"/>
          <w:sz w:val="32"/>
          <w:szCs w:val="24"/>
        </w:rPr>
      </w:pPr>
      <w:r>
        <w:rPr>
          <w:rFonts w:hint="eastAsia" w:ascii="仿宋" w:hAnsi="仿宋" w:eastAsia="仿宋" w:cs="仿宋"/>
          <w:b/>
          <w:color w:val="auto"/>
          <w:sz w:val="24"/>
          <w:szCs w:val="24"/>
        </w:rPr>
        <w:br w:type="page"/>
      </w:r>
      <w:bookmarkStart w:id="12" w:name="_Toc78884380"/>
      <w:r>
        <w:rPr>
          <w:rFonts w:hint="eastAsia" w:ascii="仿宋" w:hAnsi="仿宋" w:eastAsia="仿宋" w:cs="仿宋"/>
          <w:b/>
          <w:color w:val="auto"/>
          <w:spacing w:val="-20"/>
          <w:sz w:val="32"/>
          <w:szCs w:val="24"/>
        </w:rPr>
        <w:t>采购内容及</w:t>
      </w:r>
      <w:r>
        <w:rPr>
          <w:rFonts w:hint="eastAsia" w:ascii="仿宋" w:hAnsi="仿宋" w:eastAsia="仿宋" w:cs="仿宋"/>
          <w:b/>
          <w:color w:val="auto"/>
          <w:spacing w:val="-20"/>
          <w:sz w:val="32"/>
          <w:szCs w:val="24"/>
          <w:lang w:eastAsia="zh-CN"/>
        </w:rPr>
        <w:t>商务</w:t>
      </w:r>
      <w:r>
        <w:rPr>
          <w:rFonts w:hint="eastAsia" w:ascii="仿宋" w:hAnsi="仿宋" w:eastAsia="仿宋" w:cs="仿宋"/>
          <w:b/>
          <w:color w:val="auto"/>
          <w:spacing w:val="-20"/>
          <w:sz w:val="32"/>
          <w:szCs w:val="24"/>
        </w:rPr>
        <w:t>要求</w:t>
      </w:r>
      <w:bookmarkEnd w:id="12"/>
    </w:p>
    <w:p>
      <w:pPr>
        <w:pStyle w:val="3"/>
        <w:snapToGrid w:val="0"/>
        <w:spacing w:line="360" w:lineRule="auto"/>
        <w:ind w:firstLine="480" w:firstLineChars="200"/>
        <w:rPr>
          <w:rFonts w:hint="eastAsia" w:ascii="仿宋" w:hAnsi="仿宋" w:eastAsia="仿宋" w:cs="仿宋"/>
          <w:color w:val="auto"/>
          <w:sz w:val="24"/>
          <w:szCs w:val="24"/>
        </w:rPr>
      </w:pPr>
      <w:bookmarkStart w:id="13" w:name="_Toc278642593"/>
      <w:bookmarkStart w:id="14" w:name="_Toc234293073"/>
      <w:bookmarkStart w:id="15" w:name="_Toc236109235"/>
      <w:bookmarkStart w:id="16" w:name="_Toc278642591"/>
      <w:bookmarkStart w:id="17" w:name="_Toc321678705"/>
    </w:p>
    <w:p>
      <w:pPr>
        <w:pStyle w:val="27"/>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一、工程概述</w:t>
      </w:r>
    </w:p>
    <w:p>
      <w:pPr>
        <w:pStyle w:val="27"/>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（一）项目概况：</w:t>
      </w:r>
    </w:p>
    <w:p>
      <w:pPr>
        <w:pStyle w:val="27"/>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该工程为汉中市南郑区阳春镇基础设施建设项目工程，主要内容包括：</w:t>
      </w:r>
    </w:p>
    <w:p>
      <w:pPr>
        <w:pStyle w:val="27"/>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w:t>
      </w:r>
      <w:r>
        <w:rPr>
          <w:rFonts w:hint="eastAsia" w:ascii="仿宋" w:hAnsi="仿宋" w:eastAsia="仿宋" w:cs="仿宋"/>
          <w:color w:val="auto"/>
          <w:lang w:eastAsia="zh-CN"/>
        </w:rPr>
        <w:t>路线</w:t>
      </w:r>
      <w:r>
        <w:rPr>
          <w:rFonts w:hint="eastAsia" w:ascii="仿宋" w:hAnsi="仿宋" w:eastAsia="仿宋" w:cs="仿宋"/>
          <w:color w:val="auto"/>
          <w:lang w:val="en-US" w:eastAsia="zh-CN"/>
        </w:rPr>
        <w:t>1总长138.47m，路面宽4m，</w:t>
      </w:r>
      <w:r>
        <w:rPr>
          <w:rFonts w:hint="eastAsia" w:ascii="仿宋" w:hAnsi="仿宋" w:eastAsia="仿宋" w:cs="仿宋"/>
          <w:color w:val="auto"/>
          <w:lang w:eastAsia="zh-CN"/>
        </w:rPr>
        <w:t>新做</w:t>
      </w:r>
      <w:r>
        <w:rPr>
          <w:rFonts w:hint="eastAsia" w:ascii="仿宋" w:hAnsi="仿宋" w:eastAsia="仿宋" w:cs="仿宋"/>
          <w:color w:val="auto"/>
          <w:lang w:val="en-US" w:eastAsia="zh-CN"/>
        </w:rPr>
        <w:t>20cm水泥混凝土路面553.88㎡，20cm水泥稳定砂砾553.88㎡，50cm天然砂夹石垫层553.88㎡；新砌砖砌盖板水沟276.94m；</w:t>
      </w:r>
    </w:p>
    <w:p>
      <w:pPr>
        <w:pStyle w:val="27"/>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w:t>
      </w:r>
      <w:r>
        <w:rPr>
          <w:rFonts w:hint="eastAsia" w:ascii="仿宋" w:hAnsi="仿宋" w:eastAsia="仿宋" w:cs="仿宋"/>
          <w:color w:val="auto"/>
          <w:lang w:eastAsia="zh-CN"/>
        </w:rPr>
        <w:t>路线</w:t>
      </w:r>
      <w:r>
        <w:rPr>
          <w:rFonts w:hint="eastAsia" w:ascii="仿宋" w:hAnsi="仿宋" w:eastAsia="仿宋" w:cs="仿宋"/>
          <w:color w:val="auto"/>
          <w:lang w:val="en-US" w:eastAsia="zh-CN"/>
        </w:rPr>
        <w:t>2总长80m，路面宽4m，</w:t>
      </w:r>
      <w:r>
        <w:rPr>
          <w:rFonts w:hint="eastAsia" w:ascii="仿宋" w:hAnsi="仿宋" w:eastAsia="仿宋" w:cs="仿宋"/>
          <w:color w:val="auto"/>
          <w:lang w:eastAsia="zh-CN"/>
        </w:rPr>
        <w:t>新做</w:t>
      </w:r>
      <w:r>
        <w:rPr>
          <w:rFonts w:hint="eastAsia" w:ascii="仿宋" w:hAnsi="仿宋" w:eastAsia="仿宋" w:cs="仿宋"/>
          <w:color w:val="auto"/>
          <w:lang w:val="en-US" w:eastAsia="zh-CN"/>
        </w:rPr>
        <w:t>20cm水泥混凝土路面320㎡，20cm水泥稳定砂砾320㎡，50cm天然砂夹石垫层320㎡；原水沟清淤、更换排水沟盖板64m；</w:t>
      </w:r>
    </w:p>
    <w:p>
      <w:pPr>
        <w:pStyle w:val="27"/>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w:t>
      </w:r>
      <w:r>
        <w:rPr>
          <w:rFonts w:hint="eastAsia" w:ascii="仿宋" w:hAnsi="仿宋" w:eastAsia="仿宋" w:cs="仿宋"/>
          <w:color w:val="auto"/>
          <w:lang w:eastAsia="zh-CN"/>
        </w:rPr>
        <w:t>路线</w:t>
      </w:r>
      <w:r>
        <w:rPr>
          <w:rFonts w:hint="eastAsia" w:ascii="仿宋" w:hAnsi="仿宋" w:eastAsia="仿宋" w:cs="仿宋"/>
          <w:color w:val="auto"/>
          <w:lang w:val="en-US" w:eastAsia="zh-CN"/>
        </w:rPr>
        <w:t>3总长112.87m，路面宽8m，</w:t>
      </w:r>
      <w:r>
        <w:rPr>
          <w:rFonts w:hint="eastAsia" w:ascii="仿宋" w:hAnsi="仿宋" w:eastAsia="仿宋" w:cs="仿宋"/>
          <w:color w:val="auto"/>
          <w:lang w:eastAsia="zh-CN"/>
        </w:rPr>
        <w:t>新做</w:t>
      </w:r>
      <w:r>
        <w:rPr>
          <w:rFonts w:hint="eastAsia" w:ascii="仿宋" w:hAnsi="仿宋" w:eastAsia="仿宋" w:cs="仿宋"/>
          <w:color w:val="auto"/>
          <w:lang w:val="en-US" w:eastAsia="zh-CN"/>
        </w:rPr>
        <w:t>20cm水泥混凝土路面902.96㎡，20cm水泥稳定砂砾902.96㎡，30cm天然砂夹石垫层902.96㎡；新砌砖砌盖板水沟225.74m；</w:t>
      </w:r>
    </w:p>
    <w:p>
      <w:pPr>
        <w:pStyle w:val="27"/>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路线</w:t>
      </w:r>
      <w:r>
        <w:rPr>
          <w:rFonts w:hint="eastAsia" w:ascii="仿宋" w:hAnsi="仿宋" w:eastAsia="仿宋" w:cs="仿宋"/>
          <w:color w:val="auto"/>
          <w:lang w:val="en-US" w:eastAsia="zh-CN"/>
        </w:rPr>
        <w:t>4原水沟清淤、更换排水沟盖板158.3m。</w:t>
      </w:r>
    </w:p>
    <w:p>
      <w:pPr>
        <w:pStyle w:val="27"/>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5、新建钢结构垃圾收集转运房一座，工程量暂按270㎡计算</w:t>
      </w:r>
      <w:r>
        <w:rPr>
          <w:rFonts w:hint="eastAsia" w:ascii="仿宋" w:hAnsi="仿宋" w:eastAsia="仿宋" w:cs="仿宋"/>
          <w:color w:val="auto"/>
        </w:rPr>
        <w:t>。</w:t>
      </w:r>
    </w:p>
    <w:p>
      <w:pPr>
        <w:pStyle w:val="27"/>
        <w:spacing w:before="0" w:beforeAutospacing="0" w:after="0" w:afterAutospacing="0" w:line="480" w:lineRule="auto"/>
        <w:ind w:firstLine="482" w:firstLineChars="200"/>
        <w:rPr>
          <w:rFonts w:hint="eastAsia" w:ascii="仿宋" w:hAnsi="仿宋" w:eastAsia="仿宋" w:cs="仿宋"/>
          <w:b/>
          <w:bCs/>
          <w:color w:val="auto"/>
          <w:u w:val="none"/>
          <w:lang w:val="en-US" w:eastAsia="zh-CN"/>
        </w:rPr>
      </w:pPr>
      <w:r>
        <w:rPr>
          <w:rFonts w:hint="eastAsia" w:ascii="仿宋" w:hAnsi="仿宋" w:eastAsia="仿宋" w:cs="仿宋"/>
          <w:b/>
          <w:bCs/>
          <w:color w:val="auto"/>
        </w:rPr>
        <w:t>（二）计划工期：</w:t>
      </w:r>
      <w:r>
        <w:rPr>
          <w:rFonts w:hint="eastAsia" w:ascii="仿宋" w:hAnsi="仿宋" w:eastAsia="仿宋" w:cs="仿宋"/>
          <w:b/>
          <w:bCs/>
          <w:color w:val="auto"/>
          <w:u w:val="single"/>
          <w:lang w:val="en-US" w:eastAsia="zh-CN"/>
        </w:rPr>
        <w:t>45</w:t>
      </w:r>
      <w:r>
        <w:rPr>
          <w:rFonts w:hint="eastAsia" w:ascii="仿宋" w:hAnsi="仿宋" w:eastAsia="仿宋" w:cs="仿宋"/>
          <w:b/>
          <w:bCs/>
          <w:color w:val="auto"/>
          <w:u w:val="single"/>
        </w:rPr>
        <w:t>日历天</w:t>
      </w:r>
      <w:r>
        <w:rPr>
          <w:rFonts w:hint="eastAsia" w:ascii="仿宋" w:hAnsi="仿宋" w:eastAsia="仿宋" w:cs="仿宋"/>
          <w:b/>
          <w:bCs/>
          <w:color w:val="auto"/>
          <w:u w:val="none"/>
          <w:lang w:eastAsia="zh-CN"/>
        </w:rPr>
        <w:t>。</w:t>
      </w:r>
    </w:p>
    <w:p>
      <w:pPr>
        <w:pStyle w:val="27"/>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（三）</w:t>
      </w:r>
      <w:r>
        <w:rPr>
          <w:rFonts w:hint="eastAsia" w:ascii="仿宋" w:hAnsi="仿宋" w:eastAsia="仿宋" w:cs="仿宋"/>
          <w:color w:val="auto"/>
        </w:rPr>
        <w:t>安全目标：无不安全责任事故发生</w:t>
      </w:r>
      <w:r>
        <w:rPr>
          <w:rFonts w:hint="eastAsia" w:ascii="仿宋" w:hAnsi="仿宋" w:eastAsia="仿宋" w:cs="仿宋"/>
          <w:color w:val="auto"/>
          <w:lang w:eastAsia="zh-CN"/>
        </w:rPr>
        <w:t>。</w:t>
      </w:r>
    </w:p>
    <w:p>
      <w:pPr>
        <w:pStyle w:val="27"/>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二、采购要求</w:t>
      </w:r>
    </w:p>
    <w:p>
      <w:pPr>
        <w:pStyle w:val="27"/>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质量要求：交工验收的质量评定：</w:t>
      </w:r>
      <w:r>
        <w:rPr>
          <w:rFonts w:hint="eastAsia" w:ascii="仿宋" w:hAnsi="仿宋" w:eastAsia="仿宋" w:cs="仿宋"/>
          <w:b/>
          <w:bCs/>
          <w:color w:val="auto"/>
        </w:rPr>
        <w:t>合格</w:t>
      </w:r>
      <w:r>
        <w:rPr>
          <w:rFonts w:hint="eastAsia" w:ascii="仿宋" w:hAnsi="仿宋" w:eastAsia="仿宋" w:cs="仿宋"/>
          <w:color w:val="auto"/>
        </w:rPr>
        <w:t>；竣工验收的质量评定：</w:t>
      </w:r>
      <w:r>
        <w:rPr>
          <w:rFonts w:hint="eastAsia" w:ascii="仿宋" w:hAnsi="仿宋" w:eastAsia="仿宋" w:cs="仿宋"/>
          <w:b/>
          <w:bCs/>
          <w:color w:val="auto"/>
        </w:rPr>
        <w:t>合格</w:t>
      </w:r>
      <w:r>
        <w:rPr>
          <w:rFonts w:hint="eastAsia" w:ascii="仿宋" w:hAnsi="仿宋" w:eastAsia="仿宋" w:cs="仿宋"/>
          <w:color w:val="auto"/>
        </w:rPr>
        <w:t>。</w:t>
      </w:r>
    </w:p>
    <w:p>
      <w:pPr>
        <w:pStyle w:val="27"/>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三、图纸（另册装订）</w:t>
      </w:r>
    </w:p>
    <w:p>
      <w:pPr>
        <w:pStyle w:val="27"/>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四、工程量清单（后附）</w:t>
      </w:r>
    </w:p>
    <w:p>
      <w:pPr>
        <w:pStyle w:val="27"/>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仿宋"/>
          <w:color w:val="auto"/>
          <w:lang w:eastAsia="zh-CN"/>
        </w:rPr>
        <w:t>编制依据</w:t>
      </w:r>
    </w:p>
    <w:p>
      <w:pPr>
        <w:pStyle w:val="27"/>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、2009《陕西省建筑工程工程量清单计价规则》；</w:t>
      </w:r>
    </w:p>
    <w:p>
      <w:pPr>
        <w:pStyle w:val="27"/>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w:t>
      </w:r>
      <w:r>
        <w:rPr>
          <w:rFonts w:hint="eastAsia" w:ascii="仿宋" w:hAnsi="仿宋" w:eastAsia="仿宋" w:cs="仿宋"/>
          <w:color w:val="auto"/>
          <w:lang w:eastAsia="zh-CN"/>
        </w:rPr>
        <w:t>汉中市南郑区阳春镇集镇基础设施提升改造工程施工图纸；</w:t>
      </w:r>
    </w:p>
    <w:p>
      <w:pPr>
        <w:pStyle w:val="27"/>
        <w:spacing w:before="0" w:beforeAutospacing="0" w:after="0" w:afterAutospacing="0" w:line="480" w:lineRule="auto"/>
        <w:ind w:firstLine="480" w:firstLineChars="200"/>
        <w:rPr>
          <w:rFonts w:hint="eastAsia" w:ascii="仿宋" w:hAnsi="仿宋" w:eastAsia="仿宋" w:cs="仿宋"/>
          <w:b/>
          <w:color w:val="auto"/>
          <w:lang w:val="en-US" w:eastAsia="zh-CN"/>
        </w:rPr>
      </w:pPr>
      <w:r>
        <w:rPr>
          <w:rFonts w:hint="eastAsia" w:ascii="仿宋" w:hAnsi="仿宋" w:eastAsia="仿宋" w:cs="仿宋"/>
          <w:color w:val="auto"/>
          <w:lang w:val="en-US" w:eastAsia="zh-CN"/>
        </w:rPr>
        <w:t>1.</w:t>
      </w:r>
      <w:r>
        <w:rPr>
          <w:rFonts w:hint="eastAsia" w:ascii="仿宋" w:hAnsi="仿宋" w:eastAsia="仿宋" w:cs="仿宋"/>
          <w:color w:val="auto"/>
        </w:rPr>
        <w:t>3、《陕西省建筑装饰、安装、市政</w:t>
      </w:r>
      <w:r>
        <w:rPr>
          <w:rFonts w:hint="eastAsia" w:ascii="仿宋" w:hAnsi="仿宋" w:eastAsia="仿宋" w:cs="仿宋"/>
          <w:color w:val="auto"/>
          <w:lang w:eastAsia="zh-CN"/>
        </w:rPr>
        <w:t>、园林绿化景观</w:t>
      </w:r>
      <w:r>
        <w:rPr>
          <w:rFonts w:hint="eastAsia" w:ascii="仿宋" w:hAnsi="仿宋" w:eastAsia="仿宋" w:cs="仿宋"/>
          <w:color w:val="auto"/>
        </w:rPr>
        <w:t>工程消耗量定额（2004）》、《陕西省建筑装饰、安装、市政</w:t>
      </w:r>
      <w:r>
        <w:rPr>
          <w:rFonts w:hint="eastAsia" w:ascii="仿宋" w:hAnsi="仿宋" w:eastAsia="仿宋" w:cs="仿宋"/>
          <w:color w:val="auto"/>
          <w:lang w:eastAsia="zh-CN"/>
        </w:rPr>
        <w:t>、园林绿化景观</w:t>
      </w:r>
      <w:r>
        <w:rPr>
          <w:rFonts w:hint="eastAsia" w:ascii="仿宋" w:hAnsi="仿宋" w:eastAsia="仿宋" w:cs="仿宋"/>
          <w:color w:val="auto"/>
        </w:rPr>
        <w:t>工程价目表2009》及配套使用的相关计价文件，及其他相关计价依据等依据。</w:t>
      </w: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附件</w:t>
      </w: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lang w:eastAsia="zh-CN"/>
        </w:rPr>
        <w:t>：</w:t>
      </w:r>
    </w:p>
    <w:p>
      <w:pPr>
        <w:pStyle w:val="27"/>
        <w:spacing w:before="0" w:beforeAutospacing="0" w:after="0" w:afterAutospacing="0" w:line="360" w:lineRule="auto"/>
        <w:jc w:val="center"/>
        <w:rPr>
          <w:rFonts w:hint="eastAsia" w:ascii="仿宋" w:hAnsi="仿宋" w:eastAsia="仿宋" w:cs="仿宋"/>
          <w:b/>
          <w:bCs/>
          <w:color w:val="auto"/>
          <w:w w:val="100"/>
          <w:sz w:val="36"/>
          <w:szCs w:val="36"/>
          <w:lang w:eastAsia="zh-CN"/>
        </w:rPr>
      </w:pPr>
      <w:r>
        <w:rPr>
          <w:rFonts w:hint="eastAsia" w:ascii="仿宋" w:hAnsi="仿宋" w:eastAsia="仿宋" w:cs="仿宋"/>
          <w:b/>
          <w:bCs/>
          <w:color w:val="auto"/>
          <w:w w:val="100"/>
          <w:sz w:val="36"/>
          <w:szCs w:val="36"/>
          <w:lang w:eastAsia="zh-CN"/>
        </w:rPr>
        <w:t>汉中市南郑区阳春镇基础设施建设项目</w:t>
      </w:r>
    </w:p>
    <w:p>
      <w:pPr>
        <w:pStyle w:val="27"/>
        <w:spacing w:before="0" w:beforeAutospacing="0" w:after="0" w:afterAutospacing="0" w:line="360" w:lineRule="auto"/>
        <w:jc w:val="center"/>
        <w:rPr>
          <w:rFonts w:hint="eastAsia"/>
          <w:color w:val="auto"/>
          <w:lang w:eastAsia="zh-CN"/>
        </w:rPr>
      </w:pPr>
      <w:r>
        <w:rPr>
          <w:rFonts w:hint="eastAsia" w:ascii="仿宋" w:hAnsi="仿宋" w:eastAsia="仿宋" w:cs="仿宋"/>
          <w:b/>
          <w:bCs/>
          <w:color w:val="auto"/>
          <w:sz w:val="36"/>
          <w:szCs w:val="36"/>
          <w:lang w:eastAsia="zh-CN"/>
        </w:rPr>
        <w:t>工程量清单</w:t>
      </w: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480" w:lineRule="auto"/>
        <w:rPr>
          <w:rFonts w:hint="eastAsia" w:ascii="仿宋" w:hAnsi="仿宋" w:eastAsia="仿宋" w:cs="仿宋"/>
          <w:b/>
          <w:color w:val="auto"/>
          <w:lang w:val="en-US" w:eastAsia="zh-CN"/>
        </w:rPr>
        <w:sectPr>
          <w:headerReference r:id="rId8" w:type="default"/>
          <w:footerReference r:id="rId9" w:type="default"/>
          <w:pgSz w:w="11906" w:h="16838"/>
          <w:pgMar w:top="1440" w:right="1242" w:bottom="1440" w:left="1502" w:header="851" w:footer="992" w:gutter="0"/>
          <w:pgNumType w:fmt="numberInDash"/>
          <w:cols w:space="720" w:num="1"/>
          <w:docGrid w:linePitch="312" w:charSpace="0"/>
        </w:sectPr>
      </w:pPr>
    </w:p>
    <w:p>
      <w:pPr>
        <w:pStyle w:val="27"/>
        <w:spacing w:before="0" w:beforeAutospacing="0" w:after="0" w:afterAutospacing="0" w:line="360" w:lineRule="auto"/>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附件</w:t>
      </w: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lang w:eastAsia="zh-CN"/>
        </w:rPr>
        <w:t>：</w:t>
      </w:r>
    </w:p>
    <w:p>
      <w:pPr>
        <w:pStyle w:val="27"/>
        <w:spacing w:before="0" w:beforeAutospacing="0" w:after="0" w:afterAutospacing="0" w:line="480" w:lineRule="auto"/>
        <w:rPr>
          <w:rFonts w:hint="eastAsia" w:ascii="仿宋" w:hAnsi="仿宋" w:eastAsia="仿宋" w:cs="仿宋"/>
          <w:b/>
          <w:color w:val="auto"/>
          <w:lang w:val="en-US" w:eastAsia="zh-CN"/>
        </w:rPr>
      </w:pPr>
    </w:p>
    <w:p>
      <w:pPr>
        <w:pStyle w:val="27"/>
        <w:spacing w:before="0" w:beforeAutospacing="0" w:after="0" w:afterAutospacing="0" w:line="360" w:lineRule="auto"/>
        <w:jc w:val="center"/>
        <w:rPr>
          <w:rFonts w:hint="eastAsia" w:ascii="仿宋" w:hAnsi="仿宋" w:eastAsia="仿宋" w:cs="仿宋"/>
          <w:b/>
          <w:bCs/>
          <w:color w:val="auto"/>
          <w:w w:val="100"/>
          <w:sz w:val="36"/>
          <w:szCs w:val="36"/>
          <w:lang w:eastAsia="zh-CN"/>
        </w:rPr>
      </w:pPr>
      <w:r>
        <w:rPr>
          <w:rFonts w:hint="eastAsia" w:ascii="仿宋" w:hAnsi="仿宋" w:eastAsia="仿宋" w:cs="仿宋"/>
          <w:b/>
          <w:bCs/>
          <w:color w:val="auto"/>
          <w:w w:val="100"/>
          <w:sz w:val="36"/>
          <w:szCs w:val="36"/>
          <w:lang w:eastAsia="zh-CN"/>
        </w:rPr>
        <w:t>汉中市南郑区阳春镇基础设施建设项目</w:t>
      </w:r>
    </w:p>
    <w:p>
      <w:pPr>
        <w:pStyle w:val="27"/>
        <w:spacing w:before="0" w:beforeAutospacing="0" w:after="0" w:afterAutospacing="0" w:line="360" w:lineRule="auto"/>
        <w:jc w:val="center"/>
        <w:rPr>
          <w:rFonts w:hint="eastAsia" w:ascii="仿宋" w:hAnsi="仿宋" w:eastAsia="仿宋" w:cs="仿宋"/>
          <w:b/>
          <w:bCs/>
          <w:color w:val="auto"/>
          <w:w w:val="100"/>
          <w:sz w:val="36"/>
          <w:szCs w:val="36"/>
          <w:lang w:val="en-US" w:eastAsia="zh-CN"/>
        </w:rPr>
      </w:pPr>
      <w:r>
        <w:rPr>
          <w:rFonts w:hint="eastAsia" w:ascii="仿宋" w:hAnsi="仿宋" w:eastAsia="仿宋" w:cs="仿宋"/>
          <w:b/>
          <w:bCs/>
          <w:color w:val="auto"/>
          <w:w w:val="100"/>
          <w:sz w:val="36"/>
          <w:szCs w:val="36"/>
          <w:lang w:val="en-US" w:eastAsia="zh-CN"/>
        </w:rPr>
        <w:t>最高限价公示</w:t>
      </w:r>
    </w:p>
    <w:p>
      <w:pPr>
        <w:spacing w:line="600" w:lineRule="exact"/>
        <w:ind w:firstLine="843" w:firstLineChars="300"/>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1、最高限价：</w:t>
      </w:r>
      <w:r>
        <w:rPr>
          <w:rFonts w:hint="eastAsia" w:ascii="仿宋" w:hAnsi="仿宋" w:eastAsia="仿宋" w:cs="仿宋"/>
          <w:b/>
          <w:color w:val="000000"/>
          <w:sz w:val="28"/>
          <w:szCs w:val="28"/>
          <w:highlight w:val="none"/>
          <w:lang w:val="en-US" w:eastAsia="zh-CN"/>
        </w:rPr>
        <w:t>1,014,579.78元</w:t>
      </w:r>
    </w:p>
    <w:p>
      <w:pPr>
        <w:spacing w:line="600" w:lineRule="exact"/>
        <w:ind w:firstLine="1254" w:firstLineChars="448"/>
        <w:rPr>
          <w:rFonts w:hint="default" w:ascii="仿宋" w:hAnsi="仿宋" w:eastAsia="仿宋" w:cs="仿宋"/>
          <w:color w:val="000000"/>
          <w:sz w:val="28"/>
          <w:szCs w:val="28"/>
          <w:highlight w:val="none"/>
          <w:u w:val="single"/>
          <w:lang w:val="en-US"/>
        </w:rPr>
      </w:pPr>
      <w:r>
        <w:rPr>
          <w:rFonts w:hint="eastAsia" w:ascii="仿宋" w:hAnsi="仿宋" w:eastAsia="仿宋" w:cs="仿宋"/>
          <w:color w:val="000000"/>
          <w:sz w:val="28"/>
          <w:szCs w:val="28"/>
          <w:highlight w:val="none"/>
        </w:rPr>
        <w:t xml:space="preserve">大写: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壹佰零壹万肆仟伍佰柒拾玖元柒角捌分 </w:t>
      </w:r>
      <w:r>
        <w:rPr>
          <w:rFonts w:hint="eastAsia" w:ascii="仿宋" w:hAnsi="仿宋" w:eastAsia="仿宋" w:cs="仿宋"/>
          <w:color w:val="000000"/>
          <w:sz w:val="28"/>
          <w:szCs w:val="28"/>
          <w:highlight w:val="none"/>
          <w:u w:val="none"/>
          <w:lang w:val="en-US" w:eastAsia="zh-CN"/>
        </w:rPr>
        <w:t xml:space="preserve"> </w:t>
      </w:r>
      <w:r>
        <w:rPr>
          <w:rFonts w:hint="eastAsia" w:ascii="仿宋" w:hAnsi="仿宋" w:eastAsia="仿宋" w:cs="仿宋"/>
          <w:color w:val="000000"/>
          <w:sz w:val="28"/>
          <w:szCs w:val="28"/>
          <w:highlight w:val="none"/>
          <w:u w:val="single"/>
          <w:lang w:val="en-US" w:eastAsia="zh-CN"/>
        </w:rPr>
        <w:t xml:space="preserve">   </w:t>
      </w:r>
    </w:p>
    <w:p>
      <w:pPr>
        <w:tabs>
          <w:tab w:val="left" w:pos="5835"/>
        </w:tabs>
        <w:spacing w:line="600" w:lineRule="exact"/>
        <w:ind w:left="899" w:leftChars="428"/>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2、措施项目费汇总价：</w:t>
      </w:r>
      <w:r>
        <w:rPr>
          <w:rFonts w:hint="eastAsia" w:ascii="仿宋" w:hAnsi="仿宋" w:eastAsia="仿宋" w:cs="仿宋"/>
          <w:b/>
          <w:color w:val="000000"/>
          <w:spacing w:val="10"/>
          <w:sz w:val="28"/>
          <w:szCs w:val="28"/>
          <w:highlight w:val="none"/>
          <w:lang w:val="en-US" w:eastAsia="zh-CN"/>
        </w:rPr>
        <w:t>48,284.72元</w:t>
      </w:r>
      <w:r>
        <w:rPr>
          <w:rFonts w:hint="eastAsia" w:ascii="仿宋" w:hAnsi="仿宋" w:eastAsia="仿宋" w:cs="仿宋"/>
          <w:b/>
          <w:color w:val="000000"/>
          <w:sz w:val="28"/>
          <w:szCs w:val="28"/>
          <w:highlight w:val="none"/>
        </w:rPr>
        <w:tab/>
      </w:r>
    </w:p>
    <w:p>
      <w:pPr>
        <w:spacing w:line="600" w:lineRule="exact"/>
        <w:ind w:left="899" w:leftChars="428" w:firstLine="420" w:firstLineChars="15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大写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lang w:eastAsia="zh-CN"/>
        </w:rPr>
        <w:t>肆万捌仟贰佰捌拾肆元柒角贰分</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FFFFFF" w:themeColor="background1"/>
          <w:sz w:val="28"/>
          <w:szCs w:val="28"/>
          <w:highlight w:val="none"/>
          <w:u w:val="none"/>
          <w:lang w:eastAsia="zh-CN"/>
          <w14:textFill>
            <w14:solidFill>
              <w14:schemeClr w14:val="bg1"/>
            </w14:solidFill>
          </w14:textFill>
        </w:rPr>
        <w:t>分</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p>
    <w:p>
      <w:pPr>
        <w:spacing w:line="600" w:lineRule="exact"/>
        <w:ind w:left="899" w:leftChars="428"/>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3、分部分项工程费汇总价：</w:t>
      </w:r>
      <w:r>
        <w:rPr>
          <w:rFonts w:hint="eastAsia" w:ascii="仿宋" w:hAnsi="仿宋" w:eastAsia="仿宋" w:cs="仿宋"/>
          <w:b/>
          <w:color w:val="000000"/>
          <w:spacing w:val="10"/>
          <w:sz w:val="28"/>
          <w:szCs w:val="28"/>
          <w:highlight w:val="none"/>
          <w:lang w:val="en-US" w:eastAsia="zh-CN"/>
        </w:rPr>
        <w:t>866,889.29元</w:t>
      </w:r>
    </w:p>
    <w:p>
      <w:pPr>
        <w:spacing w:line="600" w:lineRule="exact"/>
        <w:ind w:firstLine="1260" w:firstLineChars="45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大写：</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lang w:eastAsia="zh-CN"/>
        </w:rPr>
        <w:t>捌拾陆万陆仟捌佰捌拾玖元贰角玖分</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FFFFFF" w:themeColor="background1"/>
          <w:sz w:val="28"/>
          <w:szCs w:val="28"/>
          <w:highlight w:val="none"/>
          <w:u w:val="single"/>
          <w:lang w:eastAsia="zh-CN"/>
          <w14:textFill>
            <w14:solidFill>
              <w14:schemeClr w14:val="bg1"/>
            </w14:solidFill>
          </w14:textFill>
        </w:rPr>
        <w:t>分</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p>
    <w:p>
      <w:pPr>
        <w:pStyle w:val="27"/>
        <w:spacing w:before="0" w:beforeAutospacing="0" w:after="0" w:afterAutospacing="0" w:line="360" w:lineRule="auto"/>
        <w:jc w:val="center"/>
        <w:rPr>
          <w:rFonts w:hint="eastAsia" w:ascii="仿宋" w:hAnsi="仿宋" w:eastAsia="仿宋" w:cs="仿宋"/>
          <w:color w:val="000000"/>
          <w:sz w:val="30"/>
          <w:szCs w:val="30"/>
          <w:highlight w:val="none"/>
        </w:rPr>
      </w:pPr>
    </w:p>
    <w:p>
      <w:pPr>
        <w:pStyle w:val="27"/>
        <w:spacing w:before="0" w:beforeAutospacing="0" w:after="0" w:afterAutospacing="0" w:line="360" w:lineRule="auto"/>
        <w:jc w:val="center"/>
        <w:rPr>
          <w:rFonts w:hint="eastAsia" w:ascii="仿宋" w:hAnsi="仿宋" w:eastAsia="仿宋" w:cs="仿宋"/>
          <w:b/>
          <w:bCs/>
          <w:color w:val="000000"/>
          <w:sz w:val="30"/>
          <w:szCs w:val="30"/>
          <w:highlight w:val="none"/>
          <w:lang w:eastAsia="zh-CN"/>
        </w:rPr>
      </w:pPr>
      <w:r>
        <w:rPr>
          <w:rFonts w:hint="eastAsia" w:ascii="仿宋" w:hAnsi="仿宋" w:eastAsia="仿宋" w:cs="仿宋"/>
          <w:b/>
          <w:bCs/>
          <w:color w:val="000000"/>
          <w:sz w:val="30"/>
          <w:szCs w:val="30"/>
          <w:highlight w:val="none"/>
        </w:rPr>
        <w:t>注：</w:t>
      </w:r>
      <w:r>
        <w:rPr>
          <w:rFonts w:hint="eastAsia" w:ascii="仿宋" w:hAnsi="仿宋" w:eastAsia="仿宋" w:cs="仿宋"/>
          <w:b/>
          <w:bCs/>
          <w:color w:val="000000"/>
          <w:sz w:val="30"/>
          <w:szCs w:val="30"/>
          <w:highlight w:val="none"/>
          <w:lang w:eastAsia="zh-CN"/>
        </w:rPr>
        <w:t>招标控制价</w:t>
      </w:r>
      <w:r>
        <w:rPr>
          <w:rFonts w:hint="eastAsia" w:ascii="仿宋" w:hAnsi="仿宋" w:eastAsia="仿宋" w:cs="仿宋"/>
          <w:b/>
          <w:bCs/>
          <w:color w:val="000000"/>
          <w:sz w:val="30"/>
          <w:szCs w:val="30"/>
          <w:highlight w:val="none"/>
        </w:rPr>
        <w:t>中</w:t>
      </w:r>
      <w:r>
        <w:rPr>
          <w:rFonts w:hint="eastAsia" w:ascii="仿宋" w:hAnsi="仿宋" w:eastAsia="仿宋" w:cs="仿宋"/>
          <w:b/>
          <w:bCs/>
          <w:color w:val="000000"/>
          <w:sz w:val="30"/>
          <w:szCs w:val="30"/>
          <w:highlight w:val="none"/>
          <w:lang w:eastAsia="zh-CN"/>
        </w:rPr>
        <w:t>含劳保统筹费32488.68元。</w:t>
      </w:r>
    </w:p>
    <w:p>
      <w:pPr>
        <w:pStyle w:val="27"/>
        <w:spacing w:before="0" w:beforeAutospacing="0" w:after="0" w:afterAutospacing="0" w:line="360" w:lineRule="auto"/>
        <w:jc w:val="center"/>
        <w:rPr>
          <w:rFonts w:hint="eastAsia" w:ascii="仿宋" w:hAnsi="仿宋" w:eastAsia="仿宋" w:cs="仿宋"/>
          <w:color w:val="000000"/>
          <w:sz w:val="30"/>
          <w:szCs w:val="30"/>
          <w:highlight w:val="none"/>
          <w:lang w:eastAsia="zh-CN"/>
        </w:rPr>
      </w:pPr>
    </w:p>
    <w:p>
      <w:pPr>
        <w:pStyle w:val="27"/>
        <w:spacing w:before="0" w:beforeAutospacing="0" w:after="0" w:afterAutospacing="0" w:line="360" w:lineRule="auto"/>
        <w:jc w:val="center"/>
        <w:rPr>
          <w:rFonts w:hint="eastAsia" w:ascii="仿宋" w:hAnsi="仿宋" w:eastAsia="仿宋" w:cs="仿宋"/>
          <w:color w:val="000000"/>
          <w:sz w:val="30"/>
          <w:szCs w:val="30"/>
          <w:highlight w:val="none"/>
          <w:lang w:eastAsia="zh-CN"/>
        </w:rPr>
      </w:pPr>
    </w:p>
    <w:p>
      <w:pPr>
        <w:pStyle w:val="27"/>
        <w:spacing w:before="0" w:beforeAutospacing="0" w:after="0" w:afterAutospacing="0" w:line="360" w:lineRule="auto"/>
        <w:jc w:val="center"/>
        <w:rPr>
          <w:rFonts w:hint="eastAsia" w:ascii="仿宋" w:hAnsi="仿宋" w:eastAsia="仿宋" w:cs="仿宋"/>
          <w:color w:val="000000"/>
          <w:sz w:val="30"/>
          <w:szCs w:val="30"/>
          <w:highlight w:val="none"/>
          <w:lang w:eastAsia="zh-CN"/>
        </w:rPr>
      </w:pPr>
    </w:p>
    <w:p>
      <w:pPr>
        <w:pStyle w:val="27"/>
        <w:spacing w:before="0" w:beforeAutospacing="0" w:after="0" w:afterAutospacing="0" w:line="360" w:lineRule="auto"/>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eastAsia="zh-CN"/>
        </w:rPr>
        <w:t>编制人：</w:t>
      </w:r>
      <w:r>
        <w:rPr>
          <w:rFonts w:hint="eastAsia" w:ascii="仿宋" w:hAnsi="仿宋" w:eastAsia="仿宋" w:cs="仿宋"/>
          <w:color w:val="000000"/>
          <w:sz w:val="28"/>
          <w:szCs w:val="28"/>
          <w:highlight w:val="none"/>
          <w:lang w:val="en-US" w:eastAsia="zh-CN"/>
        </w:rPr>
        <w:t xml:space="preserve">                              复核人：</w:t>
      </w:r>
    </w:p>
    <w:p>
      <w:pPr>
        <w:pStyle w:val="27"/>
        <w:spacing w:before="0" w:beforeAutospacing="0" w:after="0" w:afterAutospacing="0" w:line="360" w:lineRule="auto"/>
        <w:ind w:firstLine="720" w:firstLineChars="300"/>
        <w:jc w:val="both"/>
        <w:rPr>
          <w:rFonts w:hint="eastAsia" w:ascii="仿宋" w:hAnsi="仿宋" w:eastAsia="仿宋" w:cs="仿宋"/>
          <w:color w:val="000000"/>
          <w:sz w:val="24"/>
          <w:szCs w:val="24"/>
          <w:highlight w:val="none"/>
          <w:lang w:val="en-US" w:eastAsia="zh-CN"/>
        </w:rPr>
      </w:pPr>
    </w:p>
    <w:p>
      <w:pPr>
        <w:pStyle w:val="27"/>
        <w:spacing w:before="0" w:beforeAutospacing="0" w:after="0" w:afterAutospacing="0" w:line="360" w:lineRule="auto"/>
        <w:ind w:firstLine="720" w:firstLineChars="300"/>
        <w:jc w:val="both"/>
        <w:rPr>
          <w:rFonts w:hint="eastAsia" w:ascii="仿宋" w:hAnsi="仿宋" w:eastAsia="仿宋" w:cs="仿宋"/>
          <w:color w:val="000000"/>
          <w:sz w:val="24"/>
          <w:szCs w:val="24"/>
          <w:highlight w:val="none"/>
          <w:lang w:val="en-US" w:eastAsia="zh-CN"/>
        </w:rPr>
      </w:pPr>
    </w:p>
    <w:p>
      <w:pPr>
        <w:pStyle w:val="27"/>
        <w:spacing w:before="0" w:beforeAutospacing="0" w:after="0" w:afterAutospacing="0" w:line="360" w:lineRule="auto"/>
        <w:ind w:firstLine="720" w:firstLineChars="300"/>
        <w:jc w:val="both"/>
        <w:rPr>
          <w:rFonts w:hint="eastAsia" w:ascii="仿宋" w:hAnsi="仿宋" w:eastAsia="仿宋" w:cs="仿宋"/>
          <w:color w:val="000000"/>
          <w:sz w:val="24"/>
          <w:szCs w:val="24"/>
          <w:highlight w:val="none"/>
          <w:lang w:val="en-US" w:eastAsia="zh-CN"/>
        </w:rPr>
      </w:pPr>
    </w:p>
    <w:p>
      <w:pPr>
        <w:pStyle w:val="27"/>
        <w:spacing w:before="0" w:beforeAutospacing="0" w:after="0" w:afterAutospacing="0" w:line="360" w:lineRule="auto"/>
        <w:ind w:firstLine="720" w:firstLineChars="300"/>
        <w:jc w:val="both"/>
        <w:rPr>
          <w:rFonts w:hint="eastAsia" w:ascii="仿宋" w:hAnsi="仿宋" w:eastAsia="仿宋" w:cs="仿宋"/>
          <w:color w:val="000000"/>
          <w:sz w:val="24"/>
          <w:szCs w:val="24"/>
          <w:highlight w:val="none"/>
          <w:lang w:val="en-US" w:eastAsia="zh-CN"/>
        </w:rPr>
      </w:pPr>
    </w:p>
    <w:p>
      <w:pPr>
        <w:pStyle w:val="27"/>
        <w:spacing w:before="0" w:beforeAutospacing="0" w:after="0" w:afterAutospacing="0" w:line="360" w:lineRule="auto"/>
        <w:ind w:firstLine="720" w:firstLineChars="300"/>
        <w:jc w:val="both"/>
        <w:rPr>
          <w:rFonts w:hint="eastAsia" w:ascii="仿宋" w:hAnsi="仿宋" w:eastAsia="仿宋" w:cs="仿宋"/>
          <w:color w:val="000000"/>
          <w:sz w:val="24"/>
          <w:szCs w:val="24"/>
          <w:highlight w:val="none"/>
          <w:lang w:val="en-US" w:eastAsia="zh-CN"/>
        </w:rPr>
      </w:pPr>
    </w:p>
    <w:p>
      <w:pPr>
        <w:pStyle w:val="27"/>
        <w:spacing w:before="0" w:beforeAutospacing="0" w:after="0" w:afterAutospacing="0" w:line="360" w:lineRule="auto"/>
        <w:ind w:firstLine="840" w:firstLineChars="300"/>
        <w:jc w:val="righ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陕西华兴工程咨询有限公司</w:t>
      </w:r>
    </w:p>
    <w:p>
      <w:pPr>
        <w:pStyle w:val="27"/>
        <w:spacing w:before="0" w:beforeAutospacing="0" w:after="0" w:afterAutospacing="0" w:line="360" w:lineRule="auto"/>
        <w:ind w:firstLine="840" w:firstLineChars="300"/>
        <w:jc w:val="right"/>
        <w:rPr>
          <w:rFonts w:hint="default" w:ascii="仿宋" w:hAnsi="仿宋" w:eastAsia="仿宋" w:cs="仿宋"/>
          <w:color w:val="000000"/>
          <w:sz w:val="28"/>
          <w:szCs w:val="28"/>
          <w:highlight w:val="none"/>
          <w:lang w:val="en-US" w:eastAsia="zh-CN"/>
        </w:rPr>
        <w:sectPr>
          <w:footerReference r:id="rId10" w:type="default"/>
          <w:pgSz w:w="11906" w:h="16838"/>
          <w:pgMar w:top="1440" w:right="1242" w:bottom="1440" w:left="1502" w:header="851" w:footer="992" w:gutter="0"/>
          <w:pgNumType w:fmt="numberInDash" w:start="48"/>
          <w:cols w:space="720" w:num="1"/>
          <w:docGrid w:linePitch="312" w:charSpace="0"/>
        </w:sectPr>
      </w:pPr>
      <w:r>
        <w:rPr>
          <w:rFonts w:hint="eastAsia" w:ascii="仿宋" w:hAnsi="仿宋" w:eastAsia="仿宋" w:cs="仿宋"/>
          <w:color w:val="000000"/>
          <w:sz w:val="28"/>
          <w:szCs w:val="28"/>
          <w:highlight w:val="none"/>
          <w:lang w:val="en-US" w:eastAsia="zh-CN"/>
        </w:rPr>
        <w:t>2022年7月4日</w:t>
      </w:r>
    </w:p>
    <w:p>
      <w:pPr>
        <w:pStyle w:val="27"/>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五、违约责任：</w:t>
      </w:r>
    </w:p>
    <w:p>
      <w:pPr>
        <w:pStyle w:val="27"/>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）按《中华人民共和国合同法》中的相关条款执行。</w:t>
      </w:r>
    </w:p>
    <w:p>
      <w:pPr>
        <w:pStyle w:val="27"/>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）未按合同要求施工、工程质量不能满足技术要求，采购人有权终止合同，并对供方违约行为进行追究，同时按《政府采购法》的有关规定进行处罚。</w:t>
      </w:r>
    </w:p>
    <w:p>
      <w:pPr>
        <w:pStyle w:val="27"/>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六、其他：</w:t>
      </w:r>
    </w:p>
    <w:p>
      <w:pPr>
        <w:pStyle w:val="27"/>
        <w:spacing w:before="0" w:beforeAutospacing="0" w:after="0" w:afterAutospacing="0" w:line="480" w:lineRule="auto"/>
        <w:ind w:firstLine="442" w:firstLineChars="200"/>
        <w:rPr>
          <w:rFonts w:hint="eastAsia" w:ascii="仿宋" w:hAnsi="仿宋" w:eastAsia="仿宋" w:cs="仿宋"/>
          <w:b/>
          <w:bCs w:val="0"/>
          <w:color w:val="auto"/>
          <w:lang w:val="en-US" w:eastAsia="zh-CN"/>
        </w:rPr>
      </w:pPr>
      <w:r>
        <w:rPr>
          <w:rFonts w:hint="eastAsia" w:ascii="宋体" w:hAnsi="宋体" w:eastAsia="宋体" w:cs="宋体"/>
          <w:b/>
          <w:color w:val="auto"/>
          <w:sz w:val="22"/>
          <w:szCs w:val="22"/>
          <w:lang w:val="en-US" w:eastAsia="zh-CN"/>
        </w:rPr>
        <w:t xml:space="preserve">  </w:t>
      </w:r>
      <w:r>
        <w:rPr>
          <w:rFonts w:hint="eastAsia" w:ascii="宋体" w:hAnsi="宋体" w:eastAsia="宋体" w:cs="宋体"/>
          <w:b/>
          <w:bCs w:val="0"/>
          <w:color w:val="auto"/>
          <w:sz w:val="22"/>
          <w:szCs w:val="22"/>
          <w:lang w:val="en-US" w:eastAsia="zh-CN"/>
        </w:rPr>
        <w:t xml:space="preserve"> </w:t>
      </w:r>
      <w:r>
        <w:rPr>
          <w:rFonts w:hint="eastAsia" w:ascii="仿宋" w:hAnsi="仿宋" w:eastAsia="仿宋" w:cs="仿宋"/>
          <w:b/>
          <w:bCs w:val="0"/>
          <w:color w:val="auto"/>
          <w:lang w:val="en-US" w:eastAsia="zh-CN"/>
        </w:rPr>
        <w:t>投标供应商按时提交</w:t>
      </w:r>
      <w:r>
        <w:rPr>
          <w:rFonts w:hint="eastAsia" w:ascii="仿宋" w:hAnsi="仿宋" w:eastAsia="仿宋" w:cs="仿宋"/>
          <w:b/>
          <w:bCs w:val="0"/>
          <w:color w:val="auto"/>
          <w:lang w:eastAsia="zh-CN"/>
        </w:rPr>
        <w:t>磋商</w:t>
      </w:r>
      <w:r>
        <w:rPr>
          <w:rFonts w:hint="eastAsia" w:ascii="仿宋" w:hAnsi="仿宋" w:eastAsia="仿宋" w:cs="仿宋"/>
          <w:b/>
          <w:bCs w:val="0"/>
          <w:color w:val="auto"/>
          <w:lang w:val="en-US" w:eastAsia="zh-CN"/>
        </w:rPr>
        <w:t>响应文件即视为响应全部商务要求，不得偏离。</w:t>
      </w:r>
    </w:p>
    <w:p>
      <w:pPr>
        <w:pStyle w:val="27"/>
        <w:spacing w:before="0" w:beforeAutospacing="0" w:after="0" w:afterAutospacing="0" w:line="480" w:lineRule="auto"/>
        <w:ind w:firstLine="723" w:firstLineChars="300"/>
        <w:rPr>
          <w:rFonts w:hint="eastAsia" w:ascii="仿宋" w:hAnsi="仿宋" w:eastAsia="仿宋" w:cs="仿宋"/>
          <w:b/>
          <w:bCs/>
          <w:color w:val="auto"/>
          <w:sz w:val="36"/>
          <w:szCs w:val="36"/>
          <w:lang w:eastAsia="zh-CN"/>
        </w:rPr>
      </w:pPr>
      <w:r>
        <w:rPr>
          <w:rFonts w:hint="eastAsia" w:ascii="仿宋" w:hAnsi="仿宋" w:eastAsia="仿宋" w:cs="仿宋"/>
          <w:b/>
          <w:bCs w:val="0"/>
          <w:color w:val="auto"/>
          <w:lang w:eastAsia="zh-CN"/>
        </w:rPr>
        <w:t>注：商务要求为实质性要求，不得负偏离。</w:t>
      </w:r>
      <w:bookmarkEnd w:id="13"/>
      <w:bookmarkEnd w:id="14"/>
      <w:bookmarkEnd w:id="15"/>
      <w:bookmarkEnd w:id="16"/>
      <w:bookmarkEnd w:id="17"/>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rPr>
          <w:rFonts w:hint="eastAsia"/>
          <w:color w:val="auto"/>
          <w:lang w:eastAsia="zh-CN"/>
        </w:rPr>
      </w:pPr>
    </w:p>
    <w:p>
      <w:pPr>
        <w:pStyle w:val="14"/>
        <w:rPr>
          <w:rFonts w:hint="eastAsia"/>
          <w:color w:val="auto"/>
          <w:lang w:eastAsia="zh-CN"/>
        </w:rPr>
      </w:pPr>
    </w:p>
    <w:p>
      <w:pPr>
        <w:pStyle w:val="27"/>
        <w:spacing w:before="0" w:beforeAutospacing="0" w:after="0" w:afterAutospacing="0" w:line="480" w:lineRule="auto"/>
        <w:jc w:val="center"/>
        <w:rPr>
          <w:rFonts w:hint="eastAsia" w:ascii="仿宋" w:hAnsi="仿宋" w:eastAsia="仿宋" w:cs="仿宋"/>
          <w:b/>
          <w:color w:val="auto"/>
          <w:spacing w:val="-20"/>
          <w:sz w:val="32"/>
          <w:szCs w:val="24"/>
        </w:rPr>
        <w:sectPr>
          <w:footerReference r:id="rId11" w:type="default"/>
          <w:pgSz w:w="11906" w:h="16838"/>
          <w:pgMar w:top="1440" w:right="1242" w:bottom="1440" w:left="1502" w:header="851" w:footer="992" w:gutter="0"/>
          <w:pgNumType w:fmt="numberInDash" w:start="49"/>
          <w:cols w:space="720" w:num="1"/>
          <w:docGrid w:linePitch="312" w:charSpace="0"/>
        </w:sectPr>
      </w:pPr>
    </w:p>
    <w:p>
      <w:pPr>
        <w:pStyle w:val="4"/>
        <w:numPr>
          <w:ilvl w:val="0"/>
          <w:numId w:val="1"/>
        </w:numPr>
        <w:rPr>
          <w:rFonts w:hint="eastAsia" w:ascii="仿宋" w:hAnsi="仿宋" w:eastAsia="仿宋" w:cs="仿宋"/>
          <w:b/>
          <w:color w:val="auto"/>
          <w:spacing w:val="-20"/>
          <w:sz w:val="32"/>
          <w:szCs w:val="24"/>
        </w:rPr>
      </w:pPr>
      <w:bookmarkStart w:id="18" w:name="_Toc78884381"/>
      <w:r>
        <w:rPr>
          <w:rFonts w:hint="eastAsia" w:ascii="仿宋" w:hAnsi="仿宋" w:eastAsia="仿宋" w:cs="仿宋"/>
          <w:b/>
          <w:color w:val="auto"/>
          <w:spacing w:val="-20"/>
          <w:sz w:val="32"/>
          <w:szCs w:val="24"/>
        </w:rPr>
        <w:t>合同条款及格式</w:t>
      </w:r>
      <w:bookmarkEnd w:id="18"/>
    </w:p>
    <w:p>
      <w:pPr>
        <w:jc w:val="left"/>
        <w:rPr>
          <w:rFonts w:hint="eastAsia" w:ascii="仿宋" w:hAnsi="仿宋" w:eastAsia="仿宋" w:cs="仿宋"/>
          <w:color w:val="auto"/>
          <w:sz w:val="15"/>
          <w:szCs w:val="15"/>
        </w:rPr>
      </w:pPr>
    </w:p>
    <w:p>
      <w:pPr>
        <w:pStyle w:val="27"/>
        <w:spacing w:before="0" w:beforeAutospacing="0" w:after="0" w:afterAutospacing="0"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建设工程施工合同（仅供参考）</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column">
                  <wp:posOffset>823595</wp:posOffset>
                </wp:positionH>
                <wp:positionV relativeFrom="paragraph">
                  <wp:posOffset>200025</wp:posOffset>
                </wp:positionV>
                <wp:extent cx="29845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85pt;margin-top:15.75pt;height:0pt;width:235pt;z-index:251660288;mso-width-relative:page;mso-height-relative:page;" filled="f" stroked="t" coordsize="21600,21600" o:gfxdata="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Nev01gAAAAkBAAAPAAAAAAAAAAEAIAAAACIAAABkcnMvZG93bnJldi54bWxQSwECFAAUAAAA&#10;CACHTuJAs45IoP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甲方：</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pStyle w:val="27"/>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mc:AlternateContent>
          <mc:Choice Requires="wps">
            <w:drawing>
              <wp:anchor distT="0" distB="0" distL="114300" distR="114300" simplePos="0" relativeHeight="251664384" behindDoc="0" locked="0" layoutInCell="1" allowOverlap="1">
                <wp:simplePos x="0" y="0"/>
                <wp:positionH relativeFrom="column">
                  <wp:posOffset>820420</wp:posOffset>
                </wp:positionH>
                <wp:positionV relativeFrom="paragraph">
                  <wp:posOffset>152400</wp:posOffset>
                </wp:positionV>
                <wp:extent cx="2984500" cy="0"/>
                <wp:effectExtent l="0" t="0" r="25400" b="19050"/>
                <wp:wrapNone/>
                <wp:docPr id="7" name="直接连接符 7"/>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6pt;margin-top:12pt;height:0pt;width:235pt;z-index:251664384;mso-width-relative:page;mso-height-relative:page;" filled="f" stroked="t" coordsize="21600,21600" o:gfxdata="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yfz3VAAAACQEAAA8AAAAAAAAAAQAgAAAAIgAAAGRycy9kb3ducmV2LnhtbFBLAQIUABQAAAAI&#10;AIdO4kCZFa1o8AEAANIDAAAOAAAAAAAAAAEAIAAAACQBAABkcnMvZTJvRG9jLnhtbFBLBQYAAAAA&#10;BgAGAFkBAACGBQ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乙方： </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根据《中华人民共和国合同法》、《中华人民共和国建筑法》及《建筑工程质量管理条例》的原则，结合本工程实际情况，为明确甲乙双方的权利、义务和经济责任，经双方洽商达成如下协议。</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1312" behindDoc="0" locked="0" layoutInCell="1" allowOverlap="1">
                <wp:simplePos x="0" y="0"/>
                <wp:positionH relativeFrom="column">
                  <wp:posOffset>1318895</wp:posOffset>
                </wp:positionH>
                <wp:positionV relativeFrom="paragraph">
                  <wp:posOffset>154305</wp:posOffset>
                </wp:positionV>
                <wp:extent cx="2984500" cy="0"/>
                <wp:effectExtent l="0" t="0" r="25400" b="19050"/>
                <wp:wrapNone/>
                <wp:docPr id="3" name="直接连接符 3"/>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5pt;height:0pt;width:235pt;z-index:251661312;mso-width-relative:page;mso-height-relative:page;" filled="f" stroked="t" coordsize="21600,21600" o:gfxdata="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dusj1gAAAAkBAAAPAAAAAAAAAAEAIAAAACIAAABkcnMvZG93bnJldi54bWxQSwECFAAUAAAA&#10;CACHTuJAEaMpnf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一、工程名称： </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2336" behindDoc="0" locked="0" layoutInCell="1" allowOverlap="1">
                <wp:simplePos x="0" y="0"/>
                <wp:positionH relativeFrom="column">
                  <wp:posOffset>1318895</wp:posOffset>
                </wp:positionH>
                <wp:positionV relativeFrom="paragraph">
                  <wp:posOffset>176530</wp:posOffset>
                </wp:positionV>
                <wp:extent cx="2984500" cy="0"/>
                <wp:effectExtent l="0" t="0" r="25400" b="19050"/>
                <wp:wrapNone/>
                <wp:docPr id="4" name="直接连接符 4"/>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3.9pt;height:0pt;width:235pt;z-index:251662336;mso-width-relative:page;mso-height-relative:page;" filled="f" stroked="t" coordsize="21600,21600" o:gfxdata="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VlGjVAAAACQEAAA8AAAAAAAAAAQAgAAAAIgAAAGRycy9kb3ducmV2LnhtbFBLAQIUABQAAAAI&#10;AIdO4kB/Yw4v8AEAANIDAAAOAAAAAAAAAAEAIAAAACQBAABkcnMvZTJvRG9jLnhtbFBLBQYAAAAA&#10;BgAGAFkBAACGBQ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二、工程地点：                                </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3360" behindDoc="0" locked="0" layoutInCell="1" allowOverlap="1">
                <wp:simplePos x="0" y="0"/>
                <wp:positionH relativeFrom="column">
                  <wp:posOffset>1318895</wp:posOffset>
                </wp:positionH>
                <wp:positionV relativeFrom="paragraph">
                  <wp:posOffset>153670</wp:posOffset>
                </wp:positionV>
                <wp:extent cx="2984500" cy="0"/>
                <wp:effectExtent l="0" t="0" r="25400" b="19050"/>
                <wp:wrapNone/>
                <wp:docPr id="5" name="直接连接符 5"/>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pt;height:0pt;width:235pt;z-index:251663360;mso-width-relative:page;mso-height-relative:page;" filled="f" stroked="t" coordsize="21600,21600" o:gfxdata="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Inlh1gAAAAkBAAAPAAAAAAAAAAEAIAAAACIAAABkcnMvZG93bnJldi54bWxQSwECFAAUAAAA&#10;CACHTuJA3U5vEv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三、工作内容:                                                               </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四、承包方式及材料供应方式：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（一）承包方式：施工总承包。</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（二）材料供应方式：本工程所需材料全部由乙方采购供应。所有进场材料必须符合产品质量及规范要求，并按规定进行材料复验，并能满足工程项目设计要求及有关行业特殊使用要求。</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（三）所有材料，成品，半成品均应有产品合格证及检验报告，须经现场甲方代表及监理工程师检查验收，报验合格方可进场，无质量证明文件的产品不得用于本项目工程。</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五、工程价款及结算办法</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（一）根据工程量清单所列的预计数量和单价或总额价计算的签约合同价：人民币（大写）</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 xml:space="preserve"> 元）。</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（二）合同总价包括完成该工程项目的直接费、间接费、利润、税金、保险费、其它费用以及合同明示或暗示的所有风险、责任和义务等全部费用。</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（三）合同总价、单价按照成交确定的价格和合同中明确的工程范围，在工程实施过程中一次性包死。除此之外的工程范围和工程量的变动部分在征得甲方同意后实行现场签证，依照磋商报价增加或扣减。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付款方式及工期：</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（一）付款方式：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1.工程款支付：</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1-1.根据施工进度拨付进度款，具体以甲乙双方最终签订的合同为准，待工程完工验收合格、经审计部门审定后留审定总价3%的尾款作为质保金，项目缺陷责任期满后退还质保金。</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1-2.乙方不得因甲方资金暂时不到位而影响工期。</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2.结算方式：银行转账。</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3.付款方式：乙方在接受每次付款前，开具相应额度发票给甲方。</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（二）工期：20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日至 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七、质量保证</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工程质量符合国家有关规范，确保达到合格。</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八、双方责任</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（一）甲方责任：</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1.甲方负责施工场地的提供，排除施工障碍的协调。</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2.组织设计、施工单位进行图纸交底，负责设计图纸问题的处理，设计变更及现场签证，工程结算的审定等工作。</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3.对工程进度、质量进行监督检查。</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4.组织有关单位对工程进行竣工验收。</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5.按时支付工程款。</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（二）乙方责任：</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1.负责办理完成项目使用审批手续，负责工程安全文明施工、承担一切风险，满足甲方工程的需要。保证甲方正式投入使用，再无其他费用发生。</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4.隐蔽工程在覆盖前必须经甲方代表或现场监理代表验收签章后，方可进行下一道工序。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5.遵守甲方施工场地的规章制度和管理，做到安全文明施工，做好成品保护，对甲方提出的问题应在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6.采取有效的安全保障措施，确保施工安全，包括悬挂警示标牌、装设围栏、配备安全人员等，并承担事故的全部费用和责任。</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7.工程竣工后提供竣工验收技术资料及竣工图肆套，办理工程竣工结算手续，参加工程竣工验收。</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8.已完工的项目，在交工前乙方应负责保管，清理现场达到建筑物无污染，现场无建筑垃圾。</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9.乙方应在设备运行过程中，对安全隐患进行全面的不定期检查与维护，并对不按安全规程操作的施工单位及时制止，并报甲方进行处理。</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10.乙方不能按合同规定的工期竣工的，应向甲方支付违约金，每逾期一日，支付合同总价款万分之二的违约金，造成甲方损失的，还应赔偿甲方损失。</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九、验收</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（一）主材到现场后，由甲方对其进行验收，确认材料的产地、规格、数量。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（二）乙方工程完工后，进行自检，合格后准备验收文件，并书面通知甲方。</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（三）甲方确认乙方的自检内容，验收合格作为工程的最终认可。</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（四）验收依据：</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1.合同、磋商文件、磋商响应文件及承诺。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2.国家相关标准、规范及有关技术文件。</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十、工程保修</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本项目保修期参照国家相关规定执行。在保修期限内，对甲方提出的有关维修、维护要求，乙方应在24小时内予以解决。乙方未能按时予以维修、维护的，甲方可另行委托第三方进行，因此而产生的费用由乙方承担，甲方有权从质保金中直接扣除，不足部分由乙方支付，乙方不得提出任何异议，给甲方造成损失的，乙方须给予赔偿。</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十一、争议的解决方式</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合同执行过程中如发生争议，双方应及时协商解决，协商不成，双方均可向项目所在地人民法院起诉。</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十二、其他</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本合同未定事宜，双方可根据具体情况结合有关规定另行签订补充协议，补充协议与本合同具有同等法律效力。</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十三、附则</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（一）本合同一式八份，正本两份，甲、乙方各执一份，副本六份，甲方执三份，乙方执三份。</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（二）合同经双方盖章后生效，各条款执行完毕后终止。</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甲方（公章）：                      乙方（公章）：</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法定代表人：                        法定代表人：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委托代表人：                        委托代表人：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经办人：                            经办人：</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电话：                              电话：</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地址：                              地址：</w:t>
      </w:r>
    </w:p>
    <w:p>
      <w:pPr>
        <w:pStyle w:val="2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签订时间：  年   月   日           签订时间：  年   月   日</w:t>
      </w:r>
    </w:p>
    <w:p>
      <w:pPr>
        <w:spacing w:line="360" w:lineRule="auto"/>
        <w:ind w:right="-218" w:rightChars="-104"/>
        <w:outlineLvl w:val="0"/>
        <w:rPr>
          <w:rFonts w:hint="eastAsia" w:ascii="仿宋" w:hAnsi="仿宋" w:eastAsia="仿宋" w:cs="仿宋"/>
          <w:b/>
          <w:color w:val="auto"/>
          <w:sz w:val="24"/>
        </w:rPr>
      </w:pPr>
      <w:r>
        <w:rPr>
          <w:rStyle w:val="87"/>
          <w:rFonts w:hint="eastAsia" w:ascii="仿宋" w:hAnsi="仿宋" w:eastAsia="仿宋" w:cs="仿宋"/>
          <w:b/>
          <w:bCs/>
          <w:color w:val="auto"/>
          <w:sz w:val="24"/>
          <w:lang w:val="zh-CN"/>
        </w:rPr>
        <w:br w:type="page"/>
      </w:r>
    </w:p>
    <w:p>
      <w:pPr>
        <w:pStyle w:val="4"/>
        <w:numPr>
          <w:ilvl w:val="0"/>
          <w:numId w:val="1"/>
        </w:numPr>
        <w:rPr>
          <w:rFonts w:hint="eastAsia" w:ascii="仿宋" w:hAnsi="仿宋" w:eastAsia="仿宋" w:cs="仿宋"/>
          <w:b/>
          <w:color w:val="auto"/>
          <w:spacing w:val="-20"/>
          <w:sz w:val="32"/>
          <w:szCs w:val="24"/>
        </w:rPr>
      </w:pPr>
      <w:bookmarkStart w:id="19" w:name="_Toc78884382"/>
      <w:r>
        <w:rPr>
          <w:rFonts w:hint="eastAsia" w:ascii="仿宋" w:hAnsi="仿宋" w:eastAsia="仿宋" w:cs="仿宋"/>
          <w:b/>
          <w:color w:val="auto"/>
          <w:spacing w:val="-20"/>
          <w:sz w:val="32"/>
          <w:szCs w:val="24"/>
        </w:rPr>
        <w:t>响应文件格式及构成</w:t>
      </w:r>
      <w:bookmarkEnd w:id="19"/>
    </w:p>
    <w:p>
      <w:pPr>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1、响应文件格式由本章目录所列第1部分至第10部分构成。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2、供应商应认真审阅本章内容，并参照格式要求编制响应文件。凡未按格式要求编制响应文件而造成的不利后果，由供应商自行承担。</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3、响应文件的正、副本必须按照要求编制，</w:t>
      </w:r>
      <w:r>
        <w:rPr>
          <w:rFonts w:hint="eastAsia" w:ascii="仿宋" w:hAnsi="仿宋" w:eastAsia="仿宋" w:cs="仿宋"/>
          <w:bCs/>
          <w:color w:val="auto"/>
          <w:sz w:val="24"/>
        </w:rPr>
        <w:t>凡正、副本不相符的，以正本为准。</w:t>
      </w:r>
    </w:p>
    <w:p>
      <w:pPr>
        <w:spacing w:line="360" w:lineRule="auto"/>
        <w:jc w:val="left"/>
        <w:rPr>
          <w:rFonts w:hint="eastAsia" w:ascii="仿宋" w:hAnsi="仿宋" w:eastAsia="仿宋" w:cs="仿宋"/>
          <w:color w:val="auto"/>
          <w:sz w:val="24"/>
        </w:rPr>
      </w:pPr>
    </w:p>
    <w:p>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rPr>
        <w:t>磋商响应文件封袋样式</w:t>
      </w:r>
      <w:r>
        <w:rPr>
          <w:rFonts w:hint="eastAsia" w:ascii="仿宋" w:hAnsi="仿宋" w:eastAsia="仿宋" w:cs="仿宋"/>
          <w:b/>
          <w:bCs/>
          <w:color w:val="auto"/>
          <w:sz w:val="24"/>
          <w:lang w:val="en-US" w:eastAsia="zh-CN"/>
        </w:rPr>
        <w:t>I</w:t>
      </w:r>
    </w:p>
    <w:p>
      <w:pPr>
        <w:pStyle w:val="14"/>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格式A</w:t>
      </w:r>
    </w:p>
    <w:p>
      <w:pPr>
        <w:pStyle w:val="14"/>
        <w:rPr>
          <w:rFonts w:hint="eastAsia" w:ascii="仿宋" w:hAnsi="仿宋" w:eastAsia="仿宋" w:cs="仿宋"/>
          <w:color w:val="auto"/>
          <w:sz w:val="22"/>
          <w:szCs w:val="22"/>
        </w:rPr>
      </w:pPr>
      <w:r>
        <w:rPr>
          <w:rFonts w:hint="eastAsia" w:ascii="仿宋" w:hAnsi="仿宋" w:eastAsia="仿宋" w:cs="仿宋"/>
          <w:b/>
          <w:bCs/>
          <w:color w:val="auto"/>
          <w:sz w:val="24"/>
          <w:szCs w:val="32"/>
          <w:highlight w:val="none"/>
          <w:lang w:eastAsia="zh-CN"/>
        </w:rPr>
        <w:t>磋商</w:t>
      </w:r>
      <w:r>
        <w:rPr>
          <w:rFonts w:hint="eastAsia" w:ascii="仿宋" w:hAnsi="仿宋" w:eastAsia="仿宋" w:cs="仿宋"/>
          <w:b/>
          <w:bCs/>
          <w:color w:val="auto"/>
          <w:sz w:val="24"/>
          <w:szCs w:val="32"/>
          <w:highlight w:val="none"/>
        </w:rPr>
        <w:t>响应文件正面标识式样</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160655</wp:posOffset>
                </wp:positionV>
                <wp:extent cx="5422900" cy="4457700"/>
                <wp:effectExtent l="0" t="0" r="2540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2900" cy="4457700"/>
                        </a:xfrm>
                        <a:prstGeom prst="rect">
                          <a:avLst/>
                        </a:prstGeom>
                        <a:solidFill>
                          <a:srgbClr val="FFFFFF"/>
                        </a:solidFill>
                        <a:ln w="12700">
                          <a:solidFill>
                            <a:srgbClr val="000000"/>
                          </a:solidFill>
                          <a:round/>
                        </a:ln>
                      </wps:spPr>
                      <wps:txb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响应文件（正本</w:t>
                            </w:r>
                            <w:r>
                              <w:rPr>
                                <w:rFonts w:hint="eastAsia" w:ascii="方正楷体_GBK" w:hAnsi="等线" w:eastAsia="方正楷体_GBK" w:cs="仿宋"/>
                                <w:sz w:val="28"/>
                                <w:lang w:val="en-US" w:eastAsia="zh-CN"/>
                              </w:rPr>
                              <w:t>或</w:t>
                            </w:r>
                            <w:r>
                              <w:rPr>
                                <w:rFonts w:hint="eastAsia" w:ascii="方正楷体_GBK" w:hAnsi="等线" w:eastAsia="方正楷体_GBK" w:cs="仿宋"/>
                                <w:sz w:val="28"/>
                              </w:rPr>
                              <w:t>副本）</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351pt;width:427pt;z-index:251659264;mso-width-relative:page;mso-height-relative:page;" fillcolor="#FFFFFF" filled="t" stroked="t" coordsize="21600,21600" o:gfxdata="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WMGRNsAAAAJAQAADwAAAAAAAAABACAAAAAiAAAAZHJzL2Rv&#10;d25yZXYueG1sUEsBAhQAFAAAAAgAh07iQHVBrIA3AgAAfAQAAA4AAAAAAAAAAQAgAAAAKgEAAGRy&#10;cy9lMm9Eb2MueG1sUEsFBgAAAAAGAAYAWQEAANMFAAAAAA==&#10;">
                <v:fill on="t" focussize="0,0"/>
                <v:stroke weight="1pt" color="#000000" joinstyle="round"/>
                <v:imagedata o:title=""/>
                <o:lock v:ext="edit" aspectratio="f"/>
                <v:textbo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响应文件（正本</w:t>
                      </w:r>
                      <w:r>
                        <w:rPr>
                          <w:rFonts w:hint="eastAsia" w:ascii="方正楷体_GBK" w:hAnsi="等线" w:eastAsia="方正楷体_GBK" w:cs="仿宋"/>
                          <w:sz w:val="28"/>
                          <w:lang w:val="en-US" w:eastAsia="zh-CN"/>
                        </w:rPr>
                        <w:t>或</w:t>
                      </w:r>
                      <w:r>
                        <w:rPr>
                          <w:rFonts w:hint="eastAsia" w:ascii="方正楷体_GBK" w:hAnsi="等线" w:eastAsia="方正楷体_GBK" w:cs="仿宋"/>
                          <w:sz w:val="28"/>
                        </w:rPr>
                        <w:t>副本）</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v:textbox>
              </v:shape>
            </w:pict>
          </mc:Fallback>
        </mc:AlternateContent>
      </w: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pStyle w:val="4"/>
        <w:rPr>
          <w:rFonts w:hint="eastAsia" w:ascii="仿宋" w:hAnsi="仿宋" w:eastAsia="仿宋" w:cs="仿宋"/>
          <w:color w:val="auto"/>
          <w:sz w:val="24"/>
          <w:szCs w:val="24"/>
          <w:lang w:val="zh-CN"/>
        </w:rPr>
        <w:sectPr>
          <w:footerReference r:id="rId12" w:type="default"/>
          <w:pgSz w:w="11906" w:h="16838"/>
          <w:pgMar w:top="1440" w:right="1242" w:bottom="1440" w:left="1502" w:header="851" w:footer="992" w:gutter="0"/>
          <w:pgNumType w:fmt="numberInDash" w:start="50"/>
          <w:cols w:space="720" w:num="1"/>
          <w:docGrid w:linePitch="312" w:charSpace="0"/>
        </w:sectPr>
      </w:pPr>
      <w:bookmarkStart w:id="20" w:name="_Toc7507165"/>
      <w:bookmarkStart w:id="21" w:name="_Toc21134_WPSOffice_Level1"/>
      <w:bookmarkStart w:id="22" w:name="_Toc20761_WPSOffice_Level1"/>
      <w:bookmarkStart w:id="23" w:name="_Toc476917588"/>
      <w:r>
        <w:rPr>
          <w:rFonts w:hint="eastAsia" w:ascii="仿宋" w:hAnsi="仿宋" w:eastAsia="仿宋" w:cs="仿宋"/>
          <w:color w:val="auto"/>
          <w:sz w:val="24"/>
          <w:szCs w:val="24"/>
          <w:lang w:val="zh-CN"/>
        </w:rPr>
        <w:br w:type="page"/>
      </w:r>
    </w:p>
    <w:p>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rPr>
        <w:t>磋商响应文件封袋样式</w:t>
      </w:r>
      <w:r>
        <w:rPr>
          <w:rFonts w:hint="eastAsia" w:ascii="仿宋" w:hAnsi="仿宋" w:eastAsia="仿宋" w:cs="仿宋"/>
          <w:b/>
          <w:bCs/>
          <w:color w:val="auto"/>
          <w:sz w:val="24"/>
          <w:lang w:val="en-US" w:eastAsia="zh-CN"/>
        </w:rPr>
        <w:t>II</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格式B</w:t>
      </w:r>
    </w:p>
    <w:p>
      <w:pPr>
        <w:pStyle w:val="1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2"/>
          <w:szCs w:val="22"/>
        </w:rPr>
      </w:pPr>
      <w:r>
        <w:rPr>
          <w:rFonts w:hint="eastAsia" w:ascii="仿宋" w:hAnsi="仿宋" w:eastAsia="仿宋" w:cs="仿宋"/>
          <w:b/>
          <w:bCs/>
          <w:color w:val="auto"/>
          <w:sz w:val="24"/>
          <w:szCs w:val="32"/>
          <w:highlight w:val="none"/>
          <w:lang w:eastAsia="zh-CN"/>
        </w:rPr>
        <w:t>磋商报价一览表</w:t>
      </w:r>
      <w:r>
        <w:rPr>
          <w:rFonts w:hint="eastAsia" w:ascii="仿宋" w:hAnsi="仿宋" w:eastAsia="仿宋" w:cs="仿宋"/>
          <w:b/>
          <w:bCs/>
          <w:color w:val="auto"/>
          <w:sz w:val="24"/>
          <w:szCs w:val="32"/>
          <w:highlight w:val="none"/>
        </w:rPr>
        <w:t>标识式样</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6432" behindDoc="0" locked="0" layoutInCell="1" allowOverlap="1">
                <wp:simplePos x="0" y="0"/>
                <wp:positionH relativeFrom="column">
                  <wp:posOffset>74295</wp:posOffset>
                </wp:positionH>
                <wp:positionV relativeFrom="paragraph">
                  <wp:posOffset>160655</wp:posOffset>
                </wp:positionV>
                <wp:extent cx="5422900" cy="4457700"/>
                <wp:effectExtent l="6350" t="6350" r="19050" b="1270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422900" cy="4457700"/>
                        </a:xfrm>
                        <a:prstGeom prst="rect">
                          <a:avLst/>
                        </a:prstGeom>
                        <a:solidFill>
                          <a:srgbClr val="FFFFFF"/>
                        </a:solidFill>
                        <a:ln w="12700">
                          <a:solidFill>
                            <a:srgbClr val="000000"/>
                          </a:solidFill>
                          <a:round/>
                        </a:ln>
                      </wps:spPr>
                      <wps:txb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w:t>
                            </w:r>
                            <w:r>
                              <w:rPr>
                                <w:rFonts w:hint="eastAsia" w:ascii="方正楷体_GBK" w:hAnsi="等线" w:eastAsia="方正楷体_GBK" w:cs="仿宋"/>
                                <w:sz w:val="28"/>
                                <w:lang w:eastAsia="zh-CN"/>
                              </w:rPr>
                              <w:t>磋商报价一览表</w:t>
                            </w:r>
                            <w:r>
                              <w:rPr>
                                <w:rFonts w:hint="eastAsia" w:ascii="方正楷体_GBK" w:hAnsi="等线" w:eastAsia="方正楷体_GBK" w:cs="仿宋"/>
                                <w:sz w:val="28"/>
                              </w:rPr>
                              <w:t>）</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351pt;width:427pt;z-index:251666432;mso-width-relative:page;mso-height-relative:page;" fillcolor="#FFFFFF" filled="t" stroked="t" coordsize="21600,21600" o:gfxdata="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WMGRNsAAAAJAQAADwAAAAAAAAABACAAAAAiAAAAZHJzL2Rv&#10;d25yZXYueG1sUEsBAhQAFAAAAAgAh07iQBD0JFE3AgAAfgQAAA4AAAAAAAAAAQAgAAAAKgEAAGRy&#10;cy9lMm9Eb2MueG1sUEsFBgAAAAAGAAYAWQEAANMFAAAAAA==&#10;">
                <v:fill on="t" focussize="0,0"/>
                <v:stroke weight="1pt" color="#000000" joinstyle="round"/>
                <v:imagedata o:title=""/>
                <o:lock v:ext="edit" aspectratio="f"/>
                <v:textbo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w:t>
                      </w:r>
                      <w:r>
                        <w:rPr>
                          <w:rFonts w:hint="eastAsia" w:ascii="方正楷体_GBK" w:hAnsi="等线" w:eastAsia="方正楷体_GBK" w:cs="仿宋"/>
                          <w:sz w:val="28"/>
                          <w:lang w:eastAsia="zh-CN"/>
                        </w:rPr>
                        <w:t>磋商报价一览表</w:t>
                      </w:r>
                      <w:r>
                        <w:rPr>
                          <w:rFonts w:hint="eastAsia" w:ascii="方正楷体_GBK" w:hAnsi="等线" w:eastAsia="方正楷体_GBK" w:cs="仿宋"/>
                          <w:sz w:val="28"/>
                        </w:rPr>
                        <w:t>）</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v:textbox>
              </v:shape>
            </w:pict>
          </mc:Fallback>
        </mc:AlternateContent>
      </w: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pStyle w:val="4"/>
        <w:rPr>
          <w:rFonts w:hint="eastAsia" w:ascii="仿宋" w:hAnsi="仿宋" w:eastAsia="仿宋" w:cs="仿宋"/>
          <w:color w:val="auto"/>
          <w:sz w:val="24"/>
          <w:szCs w:val="24"/>
          <w:lang w:val="zh-CN"/>
        </w:rPr>
        <w:sectPr>
          <w:headerReference r:id="rId13" w:type="default"/>
          <w:footerReference r:id="rId14" w:type="default"/>
          <w:pgSz w:w="11906" w:h="16838"/>
          <w:pgMar w:top="1440" w:right="1242" w:bottom="1440" w:left="1502" w:header="851" w:footer="992" w:gutter="0"/>
          <w:pgNumType w:fmt="numberInDash"/>
          <w:cols w:space="720" w:num="1"/>
          <w:docGrid w:linePitch="312" w:charSpace="0"/>
        </w:sectPr>
      </w:pPr>
      <w:r>
        <w:rPr>
          <w:rFonts w:hint="eastAsia" w:ascii="仿宋" w:hAnsi="仿宋" w:eastAsia="仿宋" w:cs="仿宋"/>
          <w:color w:val="auto"/>
          <w:sz w:val="24"/>
          <w:szCs w:val="24"/>
          <w:lang w:val="zh-CN"/>
        </w:rPr>
        <w:br w:type="page"/>
      </w:r>
    </w:p>
    <w:p>
      <w:pPr>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eastAsia="zh-CN"/>
        </w:rPr>
        <w:t>资格审查</w:t>
      </w:r>
      <w:r>
        <w:rPr>
          <w:rFonts w:hint="eastAsia" w:ascii="仿宋" w:hAnsi="仿宋" w:eastAsia="仿宋" w:cs="仿宋"/>
          <w:b/>
          <w:bCs/>
          <w:color w:val="auto"/>
          <w:sz w:val="24"/>
        </w:rPr>
        <w:t>文件封袋样式</w:t>
      </w:r>
      <w:r>
        <w:rPr>
          <w:rFonts w:hint="eastAsia" w:ascii="仿宋" w:hAnsi="仿宋" w:eastAsia="仿宋" w:cs="仿宋"/>
          <w:b/>
          <w:bCs/>
          <w:color w:val="auto"/>
          <w:sz w:val="24"/>
          <w:lang w:val="en-US" w:eastAsia="zh-CN"/>
        </w:rPr>
        <w:t>III</w:t>
      </w:r>
    </w:p>
    <w:p>
      <w:pPr>
        <w:pStyle w:val="14"/>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sz w:val="24"/>
          <w:szCs w:val="32"/>
          <w:highlight w:val="none"/>
        </w:rPr>
        <w:t>格式</w:t>
      </w:r>
      <w:r>
        <w:rPr>
          <w:rFonts w:hint="eastAsia" w:ascii="仿宋" w:hAnsi="仿宋" w:eastAsia="仿宋" w:cs="仿宋"/>
          <w:b/>
          <w:bCs/>
          <w:color w:val="auto"/>
          <w:sz w:val="24"/>
          <w:szCs w:val="32"/>
          <w:highlight w:val="none"/>
          <w:lang w:val="en-US" w:eastAsia="zh-CN"/>
        </w:rPr>
        <w:t>C</w:t>
      </w:r>
    </w:p>
    <w:p>
      <w:pPr>
        <w:pStyle w:val="14"/>
        <w:rPr>
          <w:rFonts w:hint="eastAsia" w:ascii="仿宋" w:hAnsi="仿宋" w:eastAsia="仿宋" w:cs="仿宋"/>
          <w:b/>
          <w:bCs/>
          <w:color w:val="auto"/>
          <w:sz w:val="24"/>
          <w:szCs w:val="32"/>
          <w:highlight w:val="none"/>
          <w:lang w:val="zh-CN"/>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color w:val="auto"/>
          <w:sz w:val="24"/>
        </w:rPr>
        <mc:AlternateContent>
          <mc:Choice Requires="wps">
            <w:drawing>
              <wp:anchor distT="0" distB="0" distL="114300" distR="114300" simplePos="0" relativeHeight="251672576" behindDoc="0" locked="0" layoutInCell="1" allowOverlap="1">
                <wp:simplePos x="0" y="0"/>
                <wp:positionH relativeFrom="column">
                  <wp:posOffset>28575</wp:posOffset>
                </wp:positionH>
                <wp:positionV relativeFrom="paragraph">
                  <wp:posOffset>448945</wp:posOffset>
                </wp:positionV>
                <wp:extent cx="5422900" cy="4457700"/>
                <wp:effectExtent l="6350" t="6350" r="19050" b="1270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422900" cy="4457700"/>
                        </a:xfrm>
                        <a:prstGeom prst="rect">
                          <a:avLst/>
                        </a:prstGeom>
                        <a:solidFill>
                          <a:srgbClr val="FFFFFF"/>
                        </a:solidFill>
                        <a:ln w="12700">
                          <a:solidFill>
                            <a:srgbClr val="000000"/>
                          </a:solidFill>
                          <a:round/>
                        </a:ln>
                      </wps:spPr>
                      <wps:txb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hint="eastAsia" w:ascii="方正楷体_GBK" w:hAnsi="等线" w:eastAsia="方正楷体_GBK" w:cs="仿宋"/>
                                <w:sz w:val="28"/>
                              </w:rPr>
                            </w:pPr>
                            <w:r>
                              <w:rPr>
                                <w:rFonts w:hint="eastAsia" w:ascii="方正楷体_GBK" w:hAnsi="等线" w:eastAsia="方正楷体_GBK" w:cs="仿宋"/>
                                <w:sz w:val="28"/>
                                <w:lang w:eastAsia="zh-CN"/>
                              </w:rPr>
                              <w:t>资格审查</w:t>
                            </w:r>
                            <w:r>
                              <w:rPr>
                                <w:rFonts w:hint="eastAsia" w:ascii="方正楷体_GBK" w:hAnsi="等线" w:eastAsia="方正楷体_GBK" w:cs="仿宋"/>
                                <w:sz w:val="28"/>
                              </w:rPr>
                              <w:t>文件</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35.35pt;height:351pt;width:427pt;z-index:251672576;mso-width-relative:page;mso-height-relative:page;" fillcolor="#FFFFFF" filled="t" stroked="t" coordsize="21600,21600" o:gfxdata="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2312gAAAAgBAAAPAAAAAAAAAAEAIAAAACIAAABkcnMvZG93&#10;bnJldi54bWxQSwECFAAUAAAACACHTuJAR0TZbzcCAAB+BAAADgAAAAAAAAABACAAAAApAQAAZHJz&#10;L2Uyb0RvYy54bWxQSwUGAAAAAAYABgBZAQAA0gUAAAAA&#10;">
                <v:fill on="t" focussize="0,0"/>
                <v:stroke weight="1pt" color="#000000" joinstyle="round"/>
                <v:imagedata o:title=""/>
                <o:lock v:ext="edit" aspectratio="f"/>
                <v:textbo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汉中市南郑区阳春镇基础设施建设项目</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hint="eastAsia" w:ascii="方正楷体_GBK" w:hAnsi="等线" w:eastAsia="方正楷体_GBK" w:cs="仿宋"/>
                          <w:sz w:val="28"/>
                        </w:rPr>
                      </w:pPr>
                      <w:r>
                        <w:rPr>
                          <w:rFonts w:hint="eastAsia" w:ascii="方正楷体_GBK" w:hAnsi="等线" w:eastAsia="方正楷体_GBK" w:cs="仿宋"/>
                          <w:sz w:val="28"/>
                          <w:lang w:eastAsia="zh-CN"/>
                        </w:rPr>
                        <w:t>资格审查</w:t>
                      </w:r>
                      <w:r>
                        <w:rPr>
                          <w:rFonts w:hint="eastAsia" w:ascii="方正楷体_GBK" w:hAnsi="等线" w:eastAsia="方正楷体_GBK" w:cs="仿宋"/>
                          <w:sz w:val="28"/>
                        </w:rPr>
                        <w:t>文件</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14"/>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14"/>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v:textbox>
              </v:shape>
            </w:pict>
          </mc:Fallback>
        </mc:AlternateContent>
      </w:r>
      <w:r>
        <w:rPr>
          <w:rFonts w:hint="eastAsia" w:ascii="仿宋" w:hAnsi="仿宋" w:eastAsia="仿宋" w:cs="仿宋"/>
          <w:b/>
          <w:bCs/>
          <w:color w:val="auto"/>
          <w:sz w:val="24"/>
          <w:szCs w:val="32"/>
          <w:highlight w:val="none"/>
          <w:lang w:eastAsia="zh-CN"/>
        </w:rPr>
        <w:t>资格审查</w:t>
      </w:r>
      <w:r>
        <w:rPr>
          <w:rFonts w:hint="eastAsia" w:ascii="仿宋" w:hAnsi="仿宋" w:eastAsia="仿宋" w:cs="仿宋"/>
          <w:b/>
          <w:bCs/>
          <w:color w:val="auto"/>
          <w:sz w:val="24"/>
          <w:szCs w:val="32"/>
          <w:highlight w:val="none"/>
        </w:rPr>
        <w:t>文件正面标识式</w:t>
      </w:r>
    </w:p>
    <w:bookmarkEnd w:id="20"/>
    <w:bookmarkEnd w:id="21"/>
    <w:bookmarkEnd w:id="22"/>
    <w:bookmarkEnd w:id="23"/>
    <w:p>
      <w:pPr>
        <w:pStyle w:val="14"/>
        <w:jc w:val="both"/>
        <w:rPr>
          <w:rFonts w:hint="eastAsia" w:ascii="仿宋" w:hAnsi="仿宋" w:eastAsia="仿宋" w:cs="仿宋"/>
          <w:b/>
          <w:color w:val="auto"/>
          <w:sz w:val="36"/>
          <w:szCs w:val="28"/>
          <w:lang w:eastAsia="zh-CN"/>
        </w:rPr>
      </w:pPr>
    </w:p>
    <w:p>
      <w:pPr>
        <w:pStyle w:val="14"/>
        <w:jc w:val="right"/>
        <w:rPr>
          <w:rFonts w:hint="eastAsia" w:ascii="仿宋" w:hAnsi="仿宋" w:eastAsia="仿宋" w:cs="仿宋"/>
          <w:b/>
          <w:color w:val="auto"/>
          <w:sz w:val="36"/>
          <w:szCs w:val="28"/>
        </w:rPr>
      </w:pPr>
      <w:r>
        <w:rPr>
          <w:rFonts w:hint="eastAsia" w:ascii="仿宋" w:hAnsi="仿宋" w:eastAsia="仿宋" w:cs="仿宋"/>
          <w:b/>
          <w:color w:val="auto"/>
          <w:sz w:val="36"/>
          <w:szCs w:val="28"/>
          <w:lang w:eastAsia="zh-CN"/>
        </w:rPr>
        <w:t>【</w:t>
      </w:r>
      <w:r>
        <w:rPr>
          <w:rFonts w:hint="eastAsia" w:ascii="仿宋" w:hAnsi="仿宋" w:eastAsia="仿宋" w:cs="仿宋"/>
          <w:b/>
          <w:color w:val="auto"/>
          <w:sz w:val="36"/>
          <w:szCs w:val="28"/>
        </w:rPr>
        <w:t>正本</w:t>
      </w:r>
      <w:r>
        <w:rPr>
          <w:rFonts w:hint="eastAsia" w:ascii="仿宋" w:hAnsi="仿宋" w:eastAsia="仿宋" w:cs="仿宋"/>
          <w:b/>
          <w:color w:val="auto"/>
          <w:sz w:val="36"/>
          <w:szCs w:val="28"/>
          <w:lang w:val="en-US" w:eastAsia="zh-CN"/>
        </w:rPr>
        <w:t>/</w:t>
      </w:r>
      <w:r>
        <w:rPr>
          <w:rFonts w:hint="eastAsia" w:ascii="仿宋" w:hAnsi="仿宋" w:eastAsia="仿宋" w:cs="仿宋"/>
          <w:b/>
          <w:color w:val="auto"/>
          <w:sz w:val="36"/>
          <w:szCs w:val="28"/>
        </w:rPr>
        <w:t>副本</w:t>
      </w:r>
      <w:r>
        <w:rPr>
          <w:rFonts w:hint="eastAsia" w:ascii="仿宋" w:hAnsi="仿宋" w:eastAsia="仿宋" w:cs="仿宋"/>
          <w:b/>
          <w:color w:val="auto"/>
          <w:sz w:val="36"/>
          <w:szCs w:val="28"/>
          <w:lang w:eastAsia="zh-CN"/>
        </w:rPr>
        <w:t>】</w:t>
      </w:r>
    </w:p>
    <w:p>
      <w:pPr>
        <w:pStyle w:val="14"/>
        <w:rPr>
          <w:rFonts w:hint="eastAsia" w:ascii="仿宋" w:hAnsi="仿宋" w:eastAsia="仿宋" w:cs="仿宋"/>
          <w:color w:val="auto"/>
          <w:sz w:val="24"/>
        </w:rPr>
      </w:pPr>
    </w:p>
    <w:p>
      <w:pPr>
        <w:rPr>
          <w:rFonts w:hint="eastAsia" w:ascii="仿宋" w:hAnsi="仿宋" w:eastAsia="仿宋" w:cs="仿宋"/>
          <w:snapToGrid w:val="0"/>
          <w:color w:val="auto"/>
          <w:sz w:val="24"/>
        </w:rPr>
      </w:pPr>
    </w:p>
    <w:p>
      <w:pPr>
        <w:pStyle w:val="14"/>
        <w:spacing w:line="360" w:lineRule="auto"/>
        <w:jc w:val="center"/>
        <w:rPr>
          <w:rFonts w:hint="eastAsia" w:ascii="仿宋" w:hAnsi="仿宋" w:eastAsia="仿宋" w:cs="仿宋"/>
          <w:b/>
          <w:color w:val="auto"/>
          <w:kern w:val="2"/>
          <w:sz w:val="52"/>
          <w:szCs w:val="28"/>
          <w:lang w:eastAsia="zh-CN"/>
        </w:rPr>
      </w:pPr>
      <w:r>
        <w:rPr>
          <w:rFonts w:hint="eastAsia" w:ascii="仿宋" w:hAnsi="仿宋" w:eastAsia="仿宋" w:cs="仿宋"/>
          <w:b/>
          <w:color w:val="auto"/>
          <w:kern w:val="2"/>
          <w:sz w:val="52"/>
          <w:szCs w:val="28"/>
          <w:lang w:eastAsia="zh-CN"/>
        </w:rPr>
        <w:t>汉中市南郑区阳春镇基础设施建设项目</w:t>
      </w:r>
    </w:p>
    <w:p>
      <w:pPr>
        <w:jc w:val="center"/>
        <w:rPr>
          <w:rFonts w:hint="eastAsia"/>
          <w:lang w:eastAsia="zh-CN"/>
        </w:rPr>
      </w:pPr>
    </w:p>
    <w:p>
      <w:pPr>
        <w:pStyle w:val="14"/>
        <w:rPr>
          <w:rFonts w:hint="eastAsia" w:ascii="仿宋" w:hAnsi="仿宋" w:eastAsia="仿宋" w:cs="仿宋"/>
          <w:b/>
          <w:color w:val="auto"/>
          <w:sz w:val="24"/>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jc w:val="center"/>
        <w:rPr>
          <w:rFonts w:hint="eastAsia" w:ascii="仿宋" w:hAnsi="仿宋" w:eastAsia="仿宋" w:cs="仿宋"/>
          <w:b/>
          <w:bCs/>
          <w:color w:val="auto"/>
          <w:sz w:val="24"/>
        </w:rPr>
      </w:pPr>
      <w:r>
        <w:rPr>
          <w:rFonts w:hint="eastAsia" w:ascii="仿宋" w:hAnsi="仿宋" w:eastAsia="仿宋" w:cs="仿宋"/>
          <w:b/>
          <w:color w:val="auto"/>
          <w:sz w:val="56"/>
          <w:szCs w:val="56"/>
          <w:lang w:eastAsia="zh-CN"/>
        </w:rPr>
        <w:t>竞争性磋商响应</w:t>
      </w:r>
      <w:r>
        <w:rPr>
          <w:rFonts w:hint="eastAsia" w:ascii="仿宋" w:hAnsi="仿宋" w:eastAsia="仿宋" w:cs="仿宋"/>
          <w:b/>
          <w:color w:val="auto"/>
          <w:sz w:val="56"/>
          <w:szCs w:val="56"/>
        </w:rPr>
        <w:t>文件</w:t>
      </w:r>
    </w:p>
    <w:p>
      <w:pPr>
        <w:rPr>
          <w:rFonts w:hint="eastAsia" w:ascii="仿宋" w:hAnsi="仿宋" w:eastAsia="仿宋" w:cs="仿宋"/>
          <w:b/>
          <w:bCs/>
          <w:color w:val="auto"/>
          <w:sz w:val="24"/>
        </w:rPr>
      </w:pPr>
    </w:p>
    <w:p>
      <w:pPr>
        <w:rPr>
          <w:rFonts w:hint="eastAsia" w:ascii="仿宋" w:hAnsi="仿宋" w:eastAsia="仿宋" w:cs="仿宋"/>
          <w:b/>
          <w:bCs/>
          <w:color w:val="auto"/>
          <w:sz w:val="24"/>
        </w:rPr>
      </w:pPr>
    </w:p>
    <w:p>
      <w:pPr>
        <w:spacing w:line="560" w:lineRule="exact"/>
        <w:rPr>
          <w:rFonts w:hint="eastAsia" w:ascii="仿宋" w:hAnsi="仿宋" w:eastAsia="仿宋" w:cs="仿宋"/>
          <w:b/>
          <w:color w:val="auto"/>
          <w:sz w:val="24"/>
        </w:rPr>
      </w:pPr>
    </w:p>
    <w:p>
      <w:pPr>
        <w:spacing w:line="560" w:lineRule="exact"/>
        <w:rPr>
          <w:rFonts w:hint="eastAsia" w:ascii="仿宋" w:hAnsi="仿宋" w:eastAsia="仿宋" w:cs="仿宋"/>
          <w:b/>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spacing w:line="480" w:lineRule="auto"/>
        <w:rPr>
          <w:rFonts w:hint="eastAsia" w:ascii="仿宋" w:hAnsi="仿宋" w:eastAsia="仿宋" w:cs="仿宋"/>
          <w:color w:val="auto"/>
          <w:sz w:val="28"/>
          <w:u w:val="single"/>
        </w:rPr>
      </w:pPr>
      <w:bookmarkStart w:id="24" w:name="_Toc11672_WPSOffice_Level1"/>
      <w:bookmarkStart w:id="25" w:name="_Toc1574_WPSOffice_Level1"/>
      <w:r>
        <w:rPr>
          <w:rFonts w:hint="eastAsia" w:ascii="仿宋" w:hAnsi="仿宋" w:eastAsia="仿宋" w:cs="仿宋"/>
          <w:color w:val="auto"/>
          <w:sz w:val="28"/>
        </w:rPr>
        <w:t>采购项目编号：</w:t>
      </w:r>
      <w:r>
        <w:rPr>
          <w:rFonts w:hint="eastAsia" w:ascii="仿宋" w:hAnsi="仿宋" w:eastAsia="仿宋" w:cs="仿宋"/>
          <w:color w:val="auto"/>
          <w:sz w:val="28"/>
          <w:u w:val="single"/>
        </w:rPr>
        <w:t xml:space="preserve">                                                 </w:t>
      </w:r>
    </w:p>
    <w:p>
      <w:pPr>
        <w:spacing w:line="480" w:lineRule="auto"/>
        <w:rPr>
          <w:rFonts w:hint="eastAsia" w:ascii="仿宋" w:hAnsi="仿宋" w:eastAsia="仿宋" w:cs="仿宋"/>
          <w:color w:val="auto"/>
          <w:sz w:val="28"/>
        </w:rPr>
      </w:pPr>
      <w:r>
        <w:rPr>
          <w:rFonts w:hint="eastAsia" w:ascii="仿宋" w:hAnsi="仿宋" w:eastAsia="仿宋" w:cs="仿宋"/>
          <w:color w:val="auto"/>
          <w:sz w:val="28"/>
        </w:rPr>
        <w:t>供 应 商：</w:t>
      </w:r>
      <w:r>
        <w:rPr>
          <w:rFonts w:hint="eastAsia" w:ascii="仿宋" w:hAnsi="仿宋" w:eastAsia="仿宋" w:cs="仿宋"/>
          <w:color w:val="auto"/>
          <w:sz w:val="28"/>
          <w:u w:val="single"/>
        </w:rPr>
        <w:t xml:space="preserve">                                             </w:t>
      </w:r>
    </w:p>
    <w:p>
      <w:pPr>
        <w:spacing w:line="480" w:lineRule="auto"/>
        <w:rPr>
          <w:rFonts w:hint="eastAsia" w:ascii="仿宋" w:hAnsi="仿宋" w:eastAsia="仿宋" w:cs="仿宋"/>
          <w:color w:val="auto"/>
          <w:sz w:val="28"/>
        </w:rPr>
      </w:pPr>
      <w:r>
        <w:rPr>
          <w:rFonts w:hint="eastAsia" w:ascii="仿宋" w:hAnsi="仿宋" w:eastAsia="仿宋" w:cs="仿宋"/>
          <w:color w:val="auto"/>
          <w:sz w:val="28"/>
        </w:rPr>
        <w:t>法定代表人或其被授权委托代理人 ：</w:t>
      </w:r>
      <w:r>
        <w:rPr>
          <w:rFonts w:hint="eastAsia" w:ascii="仿宋" w:hAnsi="仿宋" w:eastAsia="仿宋" w:cs="仿宋"/>
          <w:color w:val="auto"/>
          <w:sz w:val="28"/>
          <w:u w:val="single"/>
        </w:rPr>
        <w:t xml:space="preserve">         </w:t>
      </w:r>
      <w:r>
        <w:rPr>
          <w:rFonts w:hint="eastAsia" w:ascii="仿宋" w:hAnsi="仿宋" w:eastAsia="仿宋" w:cs="仿宋"/>
          <w:b/>
          <w:bCs/>
          <w:color w:val="auto"/>
          <w:sz w:val="28"/>
        </w:rPr>
        <w:t>（签字或盖章）</w:t>
      </w:r>
    </w:p>
    <w:p>
      <w:pPr>
        <w:autoSpaceDE w:val="0"/>
        <w:autoSpaceDN w:val="0"/>
        <w:adjustRightInd w:val="0"/>
        <w:snapToGrid w:val="0"/>
        <w:spacing w:line="480" w:lineRule="auto"/>
        <w:rPr>
          <w:rFonts w:hint="eastAsia" w:ascii="仿宋" w:hAnsi="仿宋" w:eastAsia="仿宋" w:cs="仿宋"/>
          <w:b/>
          <w:bCs/>
          <w:color w:val="auto"/>
          <w:sz w:val="24"/>
          <w:u w:val="single"/>
          <w:lang w:val="zh-CN"/>
        </w:rPr>
      </w:pPr>
      <w:r>
        <w:rPr>
          <w:rFonts w:hint="eastAsia" w:ascii="仿宋" w:hAnsi="仿宋" w:eastAsia="仿宋" w:cs="仿宋"/>
          <w:color w:val="auto"/>
          <w:sz w:val="28"/>
        </w:rPr>
        <w:t>日    期：</w:t>
      </w:r>
      <w:r>
        <w:rPr>
          <w:rFonts w:hint="eastAsia" w:ascii="仿宋" w:hAnsi="仿宋" w:eastAsia="仿宋" w:cs="仿宋"/>
          <w:color w:val="auto"/>
          <w:sz w:val="28"/>
          <w:u w:val="single"/>
        </w:rPr>
        <w:t>                               </w:t>
      </w:r>
    </w:p>
    <w:p>
      <w:pPr>
        <w:autoSpaceDE w:val="0"/>
        <w:autoSpaceDN w:val="0"/>
        <w:adjustRightInd w:val="0"/>
        <w:snapToGrid w:val="0"/>
        <w:spacing w:line="360" w:lineRule="auto"/>
        <w:jc w:val="center"/>
        <w:rPr>
          <w:rFonts w:hint="eastAsia" w:ascii="仿宋" w:hAnsi="仿宋" w:eastAsia="仿宋" w:cs="仿宋"/>
          <w:b/>
          <w:bCs/>
          <w:color w:val="auto"/>
          <w:sz w:val="24"/>
          <w:lang w:val="zh-CN"/>
        </w:rPr>
      </w:pPr>
    </w:p>
    <w:p>
      <w:pPr>
        <w:pStyle w:val="14"/>
        <w:rPr>
          <w:rFonts w:hint="eastAsia" w:ascii="仿宋" w:hAnsi="仿宋" w:eastAsia="仿宋" w:cs="仿宋"/>
          <w:color w:val="auto"/>
          <w:lang w:val="zh-CN"/>
        </w:rPr>
      </w:pPr>
    </w:p>
    <w:p>
      <w:pPr>
        <w:pStyle w:val="14"/>
        <w:rPr>
          <w:rFonts w:hint="eastAsia" w:ascii="仿宋" w:hAnsi="仿宋" w:eastAsia="仿宋" w:cs="仿宋"/>
          <w:color w:val="auto"/>
          <w:lang w:val="zh-CN"/>
        </w:rPr>
      </w:pPr>
    </w:p>
    <w:p>
      <w:pPr>
        <w:autoSpaceDE w:val="0"/>
        <w:autoSpaceDN w:val="0"/>
        <w:adjustRightInd w:val="0"/>
        <w:snapToGrid w:val="0"/>
        <w:spacing w:line="360" w:lineRule="auto"/>
        <w:jc w:val="center"/>
        <w:rPr>
          <w:rFonts w:hint="eastAsia" w:ascii="仿宋" w:hAnsi="仿宋" w:eastAsia="仿宋" w:cs="仿宋"/>
          <w:b/>
          <w:bCs/>
          <w:color w:val="auto"/>
          <w:sz w:val="32"/>
          <w:lang w:val="zh-CN"/>
        </w:rPr>
      </w:pPr>
    </w:p>
    <w:p>
      <w:pPr>
        <w:autoSpaceDE w:val="0"/>
        <w:autoSpaceDN w:val="0"/>
        <w:adjustRightInd w:val="0"/>
        <w:snapToGrid w:val="0"/>
        <w:spacing w:line="360" w:lineRule="auto"/>
        <w:jc w:val="center"/>
        <w:rPr>
          <w:rFonts w:hint="eastAsia" w:ascii="仿宋" w:hAnsi="仿宋" w:eastAsia="仿宋" w:cs="仿宋"/>
          <w:b/>
          <w:bCs/>
          <w:color w:val="auto"/>
          <w:sz w:val="32"/>
          <w:lang w:val="zh-CN"/>
        </w:rPr>
      </w:pPr>
      <w:r>
        <w:rPr>
          <w:rFonts w:hint="eastAsia" w:ascii="仿宋" w:hAnsi="仿宋" w:eastAsia="仿宋" w:cs="仿宋"/>
          <w:b/>
          <w:bCs/>
          <w:color w:val="auto"/>
          <w:sz w:val="32"/>
          <w:lang w:val="zh-CN"/>
        </w:rPr>
        <w:t>目</w:t>
      </w:r>
      <w:r>
        <w:rPr>
          <w:rFonts w:hint="eastAsia" w:ascii="仿宋" w:hAnsi="仿宋" w:eastAsia="仿宋" w:cs="仿宋"/>
          <w:b/>
          <w:bCs/>
          <w:color w:val="auto"/>
          <w:sz w:val="32"/>
        </w:rPr>
        <w:t xml:space="preserve">    </w:t>
      </w:r>
      <w:r>
        <w:rPr>
          <w:rFonts w:hint="eastAsia" w:ascii="仿宋" w:hAnsi="仿宋" w:eastAsia="仿宋" w:cs="仿宋"/>
          <w:b/>
          <w:bCs/>
          <w:color w:val="auto"/>
          <w:sz w:val="32"/>
          <w:lang w:val="zh-CN"/>
        </w:rPr>
        <w:t>录</w:t>
      </w:r>
      <w:bookmarkEnd w:id="24"/>
      <w:bookmarkEnd w:id="25"/>
    </w:p>
    <w:p>
      <w:pPr>
        <w:pStyle w:val="14"/>
        <w:rPr>
          <w:rFonts w:hint="eastAsia" w:ascii="仿宋" w:hAnsi="仿宋" w:eastAsia="仿宋" w:cs="仿宋"/>
          <w:color w:val="auto"/>
          <w:sz w:val="24"/>
          <w:lang w:val="zh-CN"/>
        </w:rPr>
      </w:pPr>
    </w:p>
    <w:p>
      <w:pPr>
        <w:spacing w:line="720" w:lineRule="auto"/>
        <w:rPr>
          <w:rFonts w:hint="eastAsia" w:ascii="仿宋" w:hAnsi="仿宋" w:eastAsia="仿宋" w:cs="仿宋"/>
          <w:b/>
          <w:color w:val="auto"/>
          <w:sz w:val="24"/>
        </w:rPr>
      </w:pPr>
      <w:bookmarkStart w:id="26" w:name="_Toc53231530"/>
      <w:bookmarkStart w:id="27" w:name="_Toc7507166"/>
      <w:bookmarkStart w:id="28" w:name="_Toc29805_WPSOffice_Level1"/>
      <w:bookmarkStart w:id="29" w:name="_Toc25608_WPSOffice_Level1"/>
      <w:bookmarkStart w:id="30" w:name="_Toc53231742"/>
      <w:bookmarkStart w:id="31" w:name="_Toc53231786"/>
      <w:r>
        <w:rPr>
          <w:rFonts w:hint="eastAsia" w:ascii="仿宋" w:hAnsi="仿宋" w:eastAsia="仿宋" w:cs="仿宋"/>
          <w:b/>
          <w:color w:val="auto"/>
          <w:sz w:val="24"/>
        </w:rPr>
        <w:t>一、法定代表人身份证明书</w:t>
      </w:r>
      <w:bookmarkEnd w:id="26"/>
      <w:bookmarkEnd w:id="27"/>
      <w:bookmarkEnd w:id="28"/>
      <w:bookmarkEnd w:id="29"/>
      <w:bookmarkEnd w:id="30"/>
      <w:bookmarkEnd w:id="31"/>
    </w:p>
    <w:p>
      <w:pPr>
        <w:spacing w:line="720" w:lineRule="auto"/>
        <w:rPr>
          <w:rFonts w:hint="eastAsia" w:ascii="仿宋" w:hAnsi="仿宋" w:eastAsia="仿宋" w:cs="仿宋"/>
          <w:b/>
          <w:color w:val="auto"/>
          <w:sz w:val="24"/>
        </w:rPr>
      </w:pPr>
      <w:bookmarkStart w:id="32" w:name="_Toc53231743"/>
      <w:bookmarkStart w:id="33" w:name="_Toc53231787"/>
      <w:bookmarkStart w:id="34" w:name="_Toc53231531"/>
      <w:bookmarkStart w:id="35" w:name="_Toc17108_WPSOffice_Level1"/>
      <w:bookmarkStart w:id="36" w:name="_Toc21344_WPSOffice_Level1"/>
      <w:bookmarkStart w:id="37" w:name="_Toc7507167"/>
      <w:r>
        <w:rPr>
          <w:rFonts w:hint="eastAsia" w:ascii="仿宋" w:hAnsi="仿宋" w:eastAsia="仿宋" w:cs="仿宋"/>
          <w:b/>
          <w:color w:val="auto"/>
          <w:sz w:val="24"/>
        </w:rPr>
        <w:t>二、磋商响应文件授权委托书</w:t>
      </w:r>
      <w:bookmarkEnd w:id="32"/>
      <w:bookmarkEnd w:id="33"/>
      <w:bookmarkEnd w:id="34"/>
      <w:bookmarkEnd w:id="35"/>
      <w:bookmarkEnd w:id="36"/>
      <w:bookmarkEnd w:id="37"/>
    </w:p>
    <w:p>
      <w:pPr>
        <w:spacing w:line="720" w:lineRule="auto"/>
        <w:rPr>
          <w:rFonts w:hint="eastAsia" w:ascii="仿宋" w:hAnsi="仿宋" w:eastAsia="仿宋" w:cs="仿宋"/>
          <w:b/>
          <w:color w:val="auto"/>
          <w:sz w:val="24"/>
        </w:rPr>
      </w:pPr>
      <w:bookmarkStart w:id="38" w:name="_Toc6664_WPSOffice_Level1"/>
      <w:bookmarkStart w:id="39" w:name="_Toc53231744"/>
      <w:bookmarkStart w:id="40" w:name="_Toc24936_WPSOffice_Level1"/>
      <w:bookmarkStart w:id="41" w:name="_Toc53231788"/>
      <w:bookmarkStart w:id="42" w:name="_Toc53231532"/>
      <w:bookmarkStart w:id="43" w:name="_Toc7507168"/>
      <w:r>
        <w:rPr>
          <w:rFonts w:hint="eastAsia" w:ascii="仿宋" w:hAnsi="仿宋" w:eastAsia="仿宋" w:cs="仿宋"/>
          <w:b/>
          <w:color w:val="auto"/>
          <w:sz w:val="24"/>
        </w:rPr>
        <w:t>三、磋商响应函</w:t>
      </w:r>
      <w:bookmarkEnd w:id="38"/>
      <w:bookmarkEnd w:id="39"/>
      <w:bookmarkEnd w:id="40"/>
      <w:bookmarkEnd w:id="41"/>
      <w:bookmarkEnd w:id="42"/>
      <w:bookmarkEnd w:id="43"/>
    </w:p>
    <w:p>
      <w:pPr>
        <w:spacing w:line="720" w:lineRule="auto"/>
        <w:rPr>
          <w:rFonts w:hint="eastAsia" w:ascii="仿宋" w:hAnsi="仿宋" w:eastAsia="仿宋" w:cs="仿宋"/>
          <w:b/>
          <w:color w:val="auto"/>
          <w:sz w:val="24"/>
        </w:rPr>
      </w:pPr>
      <w:bookmarkStart w:id="44" w:name="_Toc10012_WPSOffice_Level1"/>
      <w:bookmarkStart w:id="45" w:name="_Toc53231745"/>
      <w:bookmarkStart w:id="46" w:name="_Toc7507169"/>
      <w:bookmarkStart w:id="47" w:name="_Toc53231533"/>
      <w:bookmarkStart w:id="48" w:name="_Toc53231789"/>
      <w:bookmarkStart w:id="49" w:name="_Toc25298_WPSOffice_Level1"/>
      <w:r>
        <w:rPr>
          <w:rFonts w:hint="eastAsia" w:ascii="仿宋" w:hAnsi="仿宋" w:eastAsia="仿宋" w:cs="仿宋"/>
          <w:b/>
          <w:color w:val="auto"/>
          <w:sz w:val="24"/>
        </w:rPr>
        <w:t>四、首次磋商报价表</w:t>
      </w:r>
      <w:bookmarkEnd w:id="44"/>
      <w:bookmarkEnd w:id="45"/>
      <w:bookmarkEnd w:id="46"/>
      <w:bookmarkEnd w:id="47"/>
      <w:bookmarkEnd w:id="48"/>
      <w:bookmarkEnd w:id="49"/>
      <w:r>
        <w:rPr>
          <w:rFonts w:hint="eastAsia" w:ascii="仿宋" w:hAnsi="仿宋" w:eastAsia="仿宋" w:cs="仿宋"/>
          <w:b/>
          <w:color w:val="auto"/>
          <w:sz w:val="24"/>
        </w:rPr>
        <w:t xml:space="preserve"> </w:t>
      </w:r>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五、已标价工程量清单</w:t>
      </w:r>
    </w:p>
    <w:p>
      <w:pPr>
        <w:spacing w:line="720" w:lineRule="auto"/>
        <w:rPr>
          <w:rFonts w:hint="eastAsia" w:ascii="仿宋" w:hAnsi="仿宋" w:eastAsia="仿宋" w:cs="仿宋"/>
          <w:b/>
          <w:color w:val="auto"/>
          <w:sz w:val="24"/>
        </w:rPr>
      </w:pPr>
      <w:bookmarkStart w:id="50" w:name="_Toc53231534"/>
      <w:bookmarkStart w:id="51" w:name="_Toc53231746"/>
      <w:bookmarkStart w:id="52" w:name="_Toc53231790"/>
      <w:bookmarkStart w:id="53" w:name="_Toc25010_WPSOffice_Level1"/>
      <w:bookmarkStart w:id="54" w:name="_Toc30027_WPSOffice_Level1"/>
      <w:bookmarkStart w:id="55" w:name="_Toc7507170"/>
      <w:r>
        <w:rPr>
          <w:rFonts w:hint="eastAsia" w:ascii="仿宋" w:hAnsi="仿宋" w:eastAsia="仿宋" w:cs="仿宋"/>
          <w:b/>
          <w:color w:val="auto"/>
          <w:sz w:val="24"/>
        </w:rPr>
        <w:t>六、磋商保证金</w:t>
      </w:r>
      <w:bookmarkEnd w:id="50"/>
      <w:bookmarkEnd w:id="51"/>
      <w:bookmarkEnd w:id="52"/>
      <w:bookmarkEnd w:id="53"/>
      <w:bookmarkEnd w:id="54"/>
      <w:bookmarkEnd w:id="55"/>
    </w:p>
    <w:p>
      <w:pPr>
        <w:spacing w:line="720" w:lineRule="auto"/>
        <w:rPr>
          <w:rFonts w:hint="eastAsia" w:ascii="仿宋" w:hAnsi="仿宋" w:eastAsia="仿宋" w:cs="仿宋"/>
          <w:b/>
          <w:color w:val="auto"/>
          <w:sz w:val="24"/>
        </w:rPr>
      </w:pPr>
      <w:bookmarkStart w:id="56" w:name="_Toc53231535"/>
      <w:bookmarkStart w:id="57" w:name="_Toc53231791"/>
      <w:bookmarkStart w:id="58" w:name="_Toc53231747"/>
      <w:bookmarkStart w:id="59" w:name="_Toc16474_WPSOffice_Level1"/>
      <w:bookmarkStart w:id="60" w:name="_Toc16392_WPSOffice_Level1"/>
      <w:bookmarkStart w:id="61" w:name="_Toc7507173"/>
      <w:r>
        <w:rPr>
          <w:rFonts w:hint="eastAsia" w:ascii="仿宋" w:hAnsi="仿宋" w:eastAsia="仿宋" w:cs="仿宋"/>
          <w:b/>
          <w:color w:val="auto"/>
          <w:sz w:val="24"/>
        </w:rPr>
        <w:t>七、供应商资质审查资料</w:t>
      </w:r>
      <w:bookmarkEnd w:id="56"/>
      <w:bookmarkEnd w:id="57"/>
      <w:bookmarkEnd w:id="58"/>
    </w:p>
    <w:bookmarkEnd w:id="59"/>
    <w:bookmarkEnd w:id="60"/>
    <w:bookmarkEnd w:id="61"/>
    <w:p>
      <w:pPr>
        <w:spacing w:line="720" w:lineRule="auto"/>
        <w:rPr>
          <w:rFonts w:hint="eastAsia" w:ascii="仿宋" w:hAnsi="仿宋" w:eastAsia="仿宋" w:cs="仿宋"/>
          <w:b/>
          <w:color w:val="auto"/>
          <w:sz w:val="24"/>
        </w:rPr>
      </w:pPr>
      <w:bookmarkStart w:id="62" w:name="_Toc3825_WPSOffice_Level1"/>
      <w:bookmarkStart w:id="63" w:name="_Toc53231748"/>
      <w:bookmarkStart w:id="64" w:name="_Toc53231792"/>
      <w:bookmarkStart w:id="65" w:name="_Toc21297_WPSOffice_Level1"/>
      <w:bookmarkStart w:id="66" w:name="_Toc53231536"/>
      <w:r>
        <w:rPr>
          <w:rFonts w:hint="eastAsia" w:ascii="仿宋" w:hAnsi="仿宋" w:eastAsia="仿宋" w:cs="仿宋"/>
          <w:b/>
          <w:color w:val="auto"/>
          <w:sz w:val="24"/>
        </w:rPr>
        <w:t>八、技术投标方案</w:t>
      </w:r>
      <w:bookmarkEnd w:id="62"/>
      <w:bookmarkEnd w:id="63"/>
      <w:bookmarkEnd w:id="64"/>
      <w:bookmarkEnd w:id="65"/>
      <w:bookmarkEnd w:id="66"/>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九、商务标投标方案</w:t>
      </w:r>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十、供应商认为有必要说明的其他问题</w:t>
      </w:r>
    </w:p>
    <w:p>
      <w:pPr>
        <w:pStyle w:val="14"/>
        <w:rPr>
          <w:rFonts w:hint="eastAsia" w:ascii="仿宋" w:hAnsi="仿宋" w:eastAsia="仿宋" w:cs="仿宋"/>
          <w:color w:val="auto"/>
          <w:sz w:val="24"/>
        </w:rPr>
      </w:pPr>
    </w:p>
    <w:p>
      <w:pPr>
        <w:pStyle w:val="5"/>
        <w:jc w:val="center"/>
        <w:rPr>
          <w:rFonts w:hint="eastAsia" w:ascii="仿宋" w:hAnsi="仿宋" w:eastAsia="仿宋" w:cs="仿宋"/>
          <w:bCs w:val="0"/>
          <w:color w:val="auto"/>
          <w:sz w:val="24"/>
          <w:szCs w:val="24"/>
        </w:rPr>
      </w:pPr>
      <w:r>
        <w:rPr>
          <w:rFonts w:hint="eastAsia" w:ascii="仿宋" w:hAnsi="仿宋" w:eastAsia="仿宋" w:cs="仿宋"/>
          <w:color w:val="auto"/>
          <w:sz w:val="24"/>
          <w:szCs w:val="24"/>
          <w:lang w:val="zh-CN"/>
        </w:rPr>
        <w:br w:type="page"/>
      </w:r>
      <w:bookmarkStart w:id="67" w:name="_Toc78884383"/>
      <w:bookmarkStart w:id="68" w:name="_Toc53231749"/>
      <w:bookmarkStart w:id="69" w:name="_Toc53231537"/>
      <w:bookmarkStart w:id="70" w:name="_Toc8457_WPSOffice_Level1"/>
      <w:bookmarkStart w:id="71" w:name="_Toc29627_WPSOffice_Level1"/>
      <w:bookmarkStart w:id="72" w:name="_Toc53231793"/>
      <w:bookmarkStart w:id="73" w:name="_Toc7507174"/>
      <w:r>
        <w:rPr>
          <w:rFonts w:hint="eastAsia" w:ascii="仿宋" w:hAnsi="仿宋" w:eastAsia="仿宋" w:cs="仿宋"/>
          <w:color w:val="auto"/>
          <w:sz w:val="24"/>
          <w:szCs w:val="24"/>
          <w:lang w:val="zh-CN"/>
        </w:rPr>
        <w:t>一、</w:t>
      </w:r>
      <w:r>
        <w:rPr>
          <w:rFonts w:hint="eastAsia" w:ascii="仿宋" w:hAnsi="仿宋" w:eastAsia="仿宋" w:cs="仿宋"/>
          <w:bCs w:val="0"/>
          <w:color w:val="auto"/>
          <w:sz w:val="24"/>
          <w:szCs w:val="24"/>
        </w:rPr>
        <w:t>法定代表人身份证明书</w:t>
      </w:r>
      <w:bookmarkEnd w:id="67"/>
      <w:bookmarkEnd w:id="68"/>
      <w:bookmarkEnd w:id="69"/>
      <w:bookmarkEnd w:id="70"/>
      <w:bookmarkEnd w:id="71"/>
      <w:bookmarkEnd w:id="72"/>
      <w:bookmarkEnd w:id="73"/>
    </w:p>
    <w:tbl>
      <w:tblPr>
        <w:tblStyle w:val="29"/>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344"/>
        <w:gridCol w:w="1186"/>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65" w:type="dxa"/>
            <w:gridSpan w:val="5"/>
          </w:tcPr>
          <w:p>
            <w:pPr>
              <w:tabs>
                <w:tab w:val="left" w:pos="1260"/>
              </w:tabs>
              <w:spacing w:line="440" w:lineRule="exact"/>
              <w:rPr>
                <w:rFonts w:hint="eastAsia" w:ascii="仿宋" w:hAnsi="仿宋" w:eastAsia="仿宋" w:cs="仿宋"/>
                <w:b/>
                <w:bCs/>
                <w:color w:val="auto"/>
                <w:sz w:val="24"/>
                <w:lang w:eastAsia="zh-CN"/>
              </w:rPr>
            </w:pPr>
            <w:bookmarkStart w:id="74" w:name="_Toc7507176"/>
            <w:bookmarkStart w:id="75" w:name="_Toc13868_WPSOffice_Level1"/>
            <w:bookmarkStart w:id="76" w:name="_Toc28634_WPSOffice_Level1"/>
            <w:bookmarkStart w:id="77" w:name="_Toc501033964"/>
            <w:r>
              <w:rPr>
                <w:rFonts w:hint="eastAsia" w:ascii="仿宋" w:hAnsi="仿宋" w:eastAsia="仿宋" w:cs="仿宋"/>
                <w:color w:val="auto"/>
                <w:sz w:val="24"/>
              </w:rPr>
              <w:t>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企业基本信息</w:t>
            </w: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企业名称</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法定地址</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工商登记机关</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税务登记机关</w:t>
            </w:r>
          </w:p>
        </w:tc>
        <w:tc>
          <w:tcPr>
            <w:tcW w:w="5215" w:type="dxa"/>
            <w:gridSpan w:val="3"/>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组织机构代码证号</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法定代表人</w:t>
            </w: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186" w:type="dxa"/>
          </w:tcPr>
          <w:p>
            <w:pPr>
              <w:tabs>
                <w:tab w:val="left" w:pos="1260"/>
              </w:tabs>
              <w:spacing w:line="440" w:lineRule="exact"/>
              <w:rPr>
                <w:rFonts w:hint="eastAsia" w:ascii="仿宋" w:hAnsi="仿宋" w:eastAsia="仿宋" w:cs="仿宋"/>
                <w:color w:val="auto"/>
                <w:sz w:val="24"/>
              </w:rPr>
            </w:pPr>
            <w:r>
              <w:rPr>
                <w:rFonts w:hint="eastAsia" w:ascii="仿宋" w:hAnsi="仿宋" w:eastAsia="仿宋" w:cs="仿宋"/>
                <w:color w:val="auto"/>
                <w:sz w:val="24"/>
              </w:rPr>
              <w:t>（签名）</w:t>
            </w:r>
          </w:p>
        </w:tc>
        <w:tc>
          <w:tcPr>
            <w:tcW w:w="2022"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007"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186" w:type="dxa"/>
          </w:tcPr>
          <w:p>
            <w:pPr>
              <w:tabs>
                <w:tab w:val="left" w:pos="1260"/>
              </w:tabs>
              <w:spacing w:line="440" w:lineRule="exact"/>
              <w:rPr>
                <w:rFonts w:hint="eastAsia" w:ascii="仿宋" w:hAnsi="仿宋" w:eastAsia="仿宋" w:cs="仿宋"/>
                <w:color w:val="auto"/>
                <w:sz w:val="24"/>
              </w:rPr>
            </w:pPr>
          </w:p>
        </w:tc>
        <w:tc>
          <w:tcPr>
            <w:tcW w:w="2022"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c>
          <w:tcPr>
            <w:tcW w:w="2007"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5215" w:type="dxa"/>
            <w:gridSpan w:val="3"/>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w:t>
            </w:r>
          </w:p>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身份证复印件</w:t>
            </w:r>
          </w:p>
        </w:tc>
        <w:tc>
          <w:tcPr>
            <w:tcW w:w="3530" w:type="dxa"/>
            <w:gridSpan w:val="2"/>
            <w:vMerge w:val="restart"/>
            <w:vAlign w:val="center"/>
          </w:tcPr>
          <w:p>
            <w:pPr>
              <w:tabs>
                <w:tab w:val="left" w:pos="1260"/>
              </w:tabs>
              <w:jc w:val="center"/>
              <w:rPr>
                <w:rFonts w:hint="eastAsia" w:ascii="仿宋" w:hAnsi="仿宋" w:eastAsia="仿宋" w:cs="仿宋"/>
                <w:b/>
                <w:bCs/>
                <w:color w:val="auto"/>
                <w:sz w:val="24"/>
              </w:rPr>
            </w:pPr>
            <w:r>
              <w:rPr>
                <w:rFonts w:hint="eastAsia" w:ascii="仿宋" w:hAnsi="仿宋" w:eastAsia="仿宋" w:cs="仿宋"/>
                <w:color w:val="auto"/>
                <w:sz w:val="24"/>
              </w:rPr>
              <w:t>（粘贴处）</w:t>
            </w:r>
          </w:p>
        </w:tc>
        <w:tc>
          <w:tcPr>
            <w:tcW w:w="4029" w:type="dxa"/>
            <w:gridSpan w:val="2"/>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tcPr>
          <w:p>
            <w:pPr>
              <w:tabs>
                <w:tab w:val="left" w:pos="1260"/>
              </w:tabs>
              <w:spacing w:line="440" w:lineRule="exact"/>
              <w:rPr>
                <w:rFonts w:hint="eastAsia" w:ascii="仿宋" w:hAnsi="仿宋" w:eastAsia="仿宋" w:cs="仿宋"/>
                <w:b/>
                <w:bCs/>
                <w:color w:val="auto"/>
                <w:sz w:val="24"/>
              </w:rPr>
            </w:pPr>
          </w:p>
        </w:tc>
        <w:tc>
          <w:tcPr>
            <w:tcW w:w="3530" w:type="dxa"/>
            <w:gridSpan w:val="2"/>
            <w:vMerge w:val="continue"/>
          </w:tcPr>
          <w:p>
            <w:pPr>
              <w:tabs>
                <w:tab w:val="left" w:pos="1260"/>
              </w:tabs>
              <w:spacing w:line="440" w:lineRule="exact"/>
              <w:rPr>
                <w:rFonts w:hint="eastAsia" w:ascii="仿宋" w:hAnsi="仿宋" w:eastAsia="仿宋" w:cs="仿宋"/>
                <w:b/>
                <w:bCs/>
                <w:color w:val="auto"/>
                <w:sz w:val="24"/>
              </w:rPr>
            </w:pPr>
          </w:p>
        </w:tc>
        <w:tc>
          <w:tcPr>
            <w:tcW w:w="4029" w:type="dxa"/>
            <w:gridSpan w:val="2"/>
            <w:vAlign w:val="center"/>
          </w:tcPr>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（法人公章）</w:t>
            </w: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right="280" w:firstLine="459"/>
              <w:jc w:val="right"/>
              <w:rPr>
                <w:rFonts w:hint="eastAsia" w:ascii="仿宋" w:hAnsi="仿宋" w:eastAsia="仿宋" w:cs="仿宋"/>
                <w:color w:val="auto"/>
                <w:sz w:val="24"/>
              </w:rPr>
            </w:pPr>
            <w:r>
              <w:rPr>
                <w:rFonts w:hint="eastAsia" w:ascii="仿宋" w:hAnsi="仿宋" w:eastAsia="仿宋" w:cs="仿宋"/>
                <w:color w:val="auto"/>
                <w:sz w:val="24"/>
              </w:rPr>
              <w:t>年   月   日</w:t>
            </w:r>
          </w:p>
        </w:tc>
      </w:tr>
    </w:tbl>
    <w:p>
      <w:pPr>
        <w:tabs>
          <w:tab w:val="left" w:pos="1260"/>
        </w:tabs>
        <w:spacing w:line="440" w:lineRule="exact"/>
        <w:jc w:val="center"/>
        <w:rPr>
          <w:rFonts w:hint="eastAsia" w:ascii="仿宋" w:hAnsi="仿宋" w:eastAsia="仿宋" w:cs="仿宋"/>
          <w:b/>
          <w:bCs/>
          <w:color w:val="auto"/>
          <w:sz w:val="24"/>
          <w:u w:val="single"/>
        </w:rPr>
      </w:pPr>
    </w:p>
    <w:p>
      <w:pPr>
        <w:tabs>
          <w:tab w:val="left" w:pos="1260"/>
        </w:tabs>
        <w:spacing w:line="440" w:lineRule="exact"/>
        <w:jc w:val="center"/>
        <w:rPr>
          <w:rFonts w:hint="eastAsia" w:ascii="仿宋" w:hAnsi="仿宋" w:eastAsia="仿宋" w:cs="仿宋"/>
          <w:b/>
          <w:bCs/>
          <w:color w:val="auto"/>
          <w:sz w:val="24"/>
          <w:u w:val="single"/>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5"/>
        <w:jc w:val="center"/>
        <w:rPr>
          <w:rFonts w:hint="eastAsia" w:ascii="仿宋" w:hAnsi="仿宋" w:eastAsia="仿宋" w:cs="仿宋"/>
          <w:bCs w:val="0"/>
          <w:color w:val="auto"/>
          <w:sz w:val="24"/>
          <w:szCs w:val="24"/>
        </w:rPr>
      </w:pPr>
      <w:bookmarkStart w:id="78" w:name="_Toc53231750"/>
      <w:bookmarkStart w:id="79" w:name="_Toc78884384"/>
      <w:bookmarkStart w:id="80" w:name="_Toc53231794"/>
      <w:r>
        <w:rPr>
          <w:rFonts w:hint="eastAsia" w:ascii="仿宋" w:hAnsi="仿宋" w:eastAsia="仿宋" w:cs="仿宋"/>
          <w:bCs w:val="0"/>
          <w:color w:val="auto"/>
          <w:sz w:val="24"/>
          <w:szCs w:val="24"/>
        </w:rPr>
        <w:t>二、</w:t>
      </w:r>
      <w:bookmarkStart w:id="81" w:name="_Toc53231538"/>
      <w:r>
        <w:rPr>
          <w:rFonts w:hint="eastAsia" w:ascii="仿宋" w:hAnsi="仿宋" w:eastAsia="仿宋" w:cs="仿宋"/>
          <w:bCs w:val="0"/>
          <w:color w:val="auto"/>
          <w:sz w:val="24"/>
          <w:szCs w:val="24"/>
        </w:rPr>
        <w:t>磋商响应文件授权委托书</w:t>
      </w:r>
      <w:bookmarkEnd w:id="78"/>
      <w:bookmarkEnd w:id="79"/>
      <w:bookmarkEnd w:id="80"/>
      <w:bookmarkEnd w:id="8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56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6"/>
            <w:vAlign w:val="center"/>
          </w:tcPr>
          <w:p>
            <w:pPr>
              <w:tabs>
                <w:tab w:val="left" w:pos="1260"/>
              </w:tabs>
              <w:spacing w:line="440" w:lineRule="exact"/>
              <w:ind w:firstLine="134" w:firstLineChars="56"/>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vAlign w:val="center"/>
          </w:tcPr>
          <w:p>
            <w:pPr>
              <w:tabs>
                <w:tab w:val="left" w:pos="1260"/>
              </w:tabs>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t>被授权人</w:t>
            </w: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图文传真</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vAlign w:val="center"/>
          </w:tcPr>
          <w:p>
            <w:pPr>
              <w:tabs>
                <w:tab w:val="left" w:pos="1260"/>
              </w:tabs>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被授权项目与内容</w:t>
            </w: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项目编号</w:t>
            </w:r>
          </w:p>
        </w:tc>
        <w:tc>
          <w:tcPr>
            <w:tcW w:w="6142" w:type="dxa"/>
            <w:gridSpan w:val="4"/>
          </w:tcPr>
          <w:p>
            <w:pPr>
              <w:tabs>
                <w:tab w:val="left" w:pos="1260"/>
              </w:tabs>
              <w:spacing w:line="440" w:lineRule="exact"/>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授权范围</w:t>
            </w:r>
          </w:p>
        </w:tc>
        <w:tc>
          <w:tcPr>
            <w:tcW w:w="6142" w:type="dxa"/>
            <w:gridSpan w:val="4"/>
            <w:vAlign w:val="center"/>
          </w:tcPr>
          <w:p>
            <w:pPr>
              <w:tabs>
                <w:tab w:val="left" w:pos="1260"/>
              </w:tabs>
              <w:spacing w:line="360" w:lineRule="exact"/>
              <w:rPr>
                <w:rFonts w:hint="eastAsia" w:ascii="仿宋" w:hAnsi="仿宋" w:eastAsia="仿宋" w:cs="仿宋"/>
                <w:color w:val="auto"/>
                <w:sz w:val="24"/>
              </w:rPr>
            </w:pPr>
            <w:r>
              <w:rPr>
                <w:rFonts w:hint="eastAsia" w:ascii="仿宋" w:hAnsi="仿宋" w:eastAsia="仿宋" w:cs="仿宋"/>
                <w:color w:val="auto"/>
                <w:sz w:val="24"/>
              </w:rPr>
              <w:t>全权办理本招标采购项目的投标、联系、洽谈、签约、执行等具体事务，签署全部有关的文件、文书、协议及合同。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法律责任</w:t>
            </w:r>
          </w:p>
        </w:tc>
        <w:tc>
          <w:tcPr>
            <w:tcW w:w="6142" w:type="dxa"/>
            <w:gridSpan w:val="4"/>
            <w:vAlign w:val="center"/>
          </w:tcPr>
          <w:p>
            <w:pPr>
              <w:tabs>
                <w:tab w:val="left" w:pos="1260"/>
              </w:tabs>
              <w:spacing w:line="360" w:lineRule="exact"/>
              <w:rPr>
                <w:rFonts w:hint="eastAsia" w:ascii="仿宋" w:hAnsi="仿宋" w:eastAsia="仿宋" w:cs="仿宋"/>
                <w:color w:val="auto"/>
                <w:sz w:val="24"/>
              </w:rPr>
            </w:pPr>
            <w:r>
              <w:rPr>
                <w:rFonts w:hint="eastAsia" w:ascii="仿宋" w:hAnsi="仿宋" w:eastAsia="仿宋" w:cs="仿宋"/>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授权期限</w:t>
            </w:r>
          </w:p>
        </w:tc>
        <w:tc>
          <w:tcPr>
            <w:tcW w:w="6142" w:type="dxa"/>
            <w:gridSpan w:val="4"/>
            <w:vAlign w:val="center"/>
          </w:tcPr>
          <w:p>
            <w:pPr>
              <w:tabs>
                <w:tab w:val="left" w:pos="1260"/>
              </w:tabs>
              <w:spacing w:line="360" w:lineRule="exact"/>
              <w:ind w:firstLine="236" w:firstLineChars="98"/>
              <w:rPr>
                <w:rFonts w:hint="eastAsia" w:ascii="仿宋" w:hAnsi="仿宋" w:eastAsia="仿宋" w:cs="仿宋"/>
                <w:b/>
                <w:color w:val="auto"/>
                <w:sz w:val="24"/>
              </w:rPr>
            </w:pPr>
            <w:r>
              <w:rPr>
                <w:rFonts w:hint="eastAsia" w:ascii="仿宋" w:hAnsi="仿宋" w:eastAsia="仿宋" w:cs="仿宋"/>
                <w:b/>
                <w:color w:val="auto"/>
                <w:sz w:val="24"/>
              </w:rPr>
              <w:t>本授权书自开标大会之日计算有效期为</w:t>
            </w:r>
            <w:r>
              <w:rPr>
                <w:rFonts w:hint="eastAsia" w:ascii="仿宋" w:hAnsi="仿宋" w:eastAsia="仿宋" w:cs="仿宋"/>
                <w:b/>
                <w:color w:val="auto"/>
                <w:sz w:val="24"/>
                <w:u w:val="single"/>
              </w:rPr>
              <w:t xml:space="preserve"> </w:t>
            </w:r>
            <w:r>
              <w:rPr>
                <w:rFonts w:hint="eastAsia" w:ascii="仿宋" w:hAnsi="仿宋" w:eastAsia="仿宋" w:cs="仿宋"/>
                <w:b/>
                <w:color w:val="auto"/>
                <w:sz w:val="24"/>
                <w:u w:val="single"/>
                <w:lang w:val="en-US" w:eastAsia="zh-CN"/>
              </w:rPr>
              <w:t xml:space="preserve"> </w:t>
            </w:r>
            <w:r>
              <w:rPr>
                <w:rFonts w:hint="eastAsia" w:ascii="仿宋" w:hAnsi="仿宋" w:eastAsia="仿宋" w:cs="仿宋"/>
                <w:b/>
                <w:color w:val="auto"/>
                <w:sz w:val="24"/>
                <w:u w:val="single"/>
              </w:rPr>
              <w:t xml:space="preserve">  </w:t>
            </w:r>
            <w:r>
              <w:rPr>
                <w:rFonts w:hint="eastAsia" w:ascii="仿宋" w:hAnsi="仿宋" w:eastAsia="仿宋" w:cs="仿宋"/>
                <w:b/>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3"/>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（粘贴处）</w:t>
            </w: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4371" w:type="dxa"/>
            <w:gridSpan w:val="3"/>
            <w:vMerge w:val="continue"/>
            <w:vAlign w:val="center"/>
          </w:tcPr>
          <w:p>
            <w:pPr>
              <w:tabs>
                <w:tab w:val="left" w:pos="1260"/>
              </w:tabs>
              <w:spacing w:line="440" w:lineRule="exact"/>
              <w:rPr>
                <w:rFonts w:hint="eastAsia" w:ascii="仿宋" w:hAnsi="仿宋" w:eastAsia="仿宋" w:cs="仿宋"/>
                <w:color w:val="auto"/>
                <w:sz w:val="24"/>
              </w:rPr>
            </w:pP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（法定代表人签字或盖章）</w:t>
            </w:r>
          </w:p>
          <w:p>
            <w:pPr>
              <w:tabs>
                <w:tab w:val="left" w:pos="1260"/>
              </w:tabs>
              <w:spacing w:line="220" w:lineRule="exact"/>
              <w:jc w:val="center"/>
              <w:rPr>
                <w:rFonts w:hint="eastAsia" w:ascii="仿宋" w:hAnsi="仿宋" w:eastAsia="仿宋" w:cs="仿宋"/>
                <w:color w:val="auto"/>
                <w:sz w:val="24"/>
              </w:rPr>
            </w:pPr>
          </w:p>
          <w:p>
            <w:pPr>
              <w:tabs>
                <w:tab w:val="left" w:pos="1260"/>
              </w:tabs>
              <w:spacing w:line="440" w:lineRule="exact"/>
              <w:jc w:val="right"/>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480" w:lineRule="exact"/>
        <w:rPr>
          <w:rFonts w:hint="eastAsia" w:ascii="仿宋" w:hAnsi="仿宋" w:eastAsia="仿宋" w:cs="仿宋"/>
          <w:b/>
          <w:color w:val="auto"/>
          <w:sz w:val="24"/>
        </w:rPr>
      </w:pPr>
      <w:r>
        <w:rPr>
          <w:rFonts w:hint="eastAsia" w:ascii="仿宋" w:hAnsi="仿宋" w:eastAsia="仿宋" w:cs="仿宋"/>
          <w:b/>
          <w:color w:val="auto"/>
          <w:sz w:val="24"/>
        </w:rPr>
        <w:t>重要提示：</w:t>
      </w:r>
    </w:p>
    <w:p>
      <w:pPr>
        <w:numPr>
          <w:ilvl w:val="0"/>
          <w:numId w:val="2"/>
        </w:numPr>
        <w:tabs>
          <w:tab w:val="left" w:pos="360"/>
        </w:tabs>
        <w:autoSpaceDE w:val="0"/>
        <w:autoSpaceDN w:val="0"/>
        <w:adjustRightInd w:val="0"/>
        <w:spacing w:line="400" w:lineRule="exact"/>
        <w:ind w:left="0" w:firstLine="307" w:firstLineChars="128"/>
        <w:rPr>
          <w:rFonts w:hint="eastAsia" w:ascii="仿宋" w:hAnsi="仿宋" w:eastAsia="仿宋" w:cs="仿宋"/>
          <w:color w:val="auto"/>
          <w:sz w:val="24"/>
        </w:rPr>
      </w:pPr>
      <w:r>
        <w:rPr>
          <w:rFonts w:hint="eastAsia" w:ascii="仿宋" w:hAnsi="仿宋" w:eastAsia="仿宋" w:cs="仿宋"/>
          <w:color w:val="auto"/>
          <w:sz w:val="24"/>
        </w:rPr>
        <w:t>非法定代表人投标的须有法定代表人授权，并要求投标</w:t>
      </w:r>
      <w:r>
        <w:rPr>
          <w:rFonts w:hint="eastAsia" w:ascii="仿宋" w:hAnsi="仿宋" w:eastAsia="仿宋" w:cs="仿宋"/>
          <w:bCs/>
          <w:color w:val="auto"/>
          <w:sz w:val="24"/>
        </w:rPr>
        <w:t>文件正本内装订授权书原件</w:t>
      </w:r>
      <w:r>
        <w:rPr>
          <w:rFonts w:hint="eastAsia" w:ascii="仿宋" w:hAnsi="仿宋" w:eastAsia="仿宋" w:cs="仿宋"/>
          <w:color w:val="auto"/>
          <w:sz w:val="24"/>
        </w:rPr>
        <w:t>，</w:t>
      </w:r>
      <w:r>
        <w:rPr>
          <w:rFonts w:hint="eastAsia" w:ascii="仿宋" w:hAnsi="仿宋" w:eastAsia="仿宋" w:cs="仿宋"/>
          <w:bCs/>
          <w:color w:val="auto"/>
          <w:sz w:val="24"/>
        </w:rPr>
        <w:t xml:space="preserve">否则作为符合性审查不合格处理，投标文件自动失效。 </w:t>
      </w:r>
    </w:p>
    <w:p>
      <w:pPr>
        <w:numPr>
          <w:ilvl w:val="0"/>
          <w:numId w:val="2"/>
        </w:numPr>
        <w:tabs>
          <w:tab w:val="left" w:pos="360"/>
        </w:tabs>
        <w:autoSpaceDE w:val="0"/>
        <w:autoSpaceDN w:val="0"/>
        <w:adjustRightInd w:val="0"/>
        <w:spacing w:line="400" w:lineRule="exact"/>
        <w:ind w:left="0" w:firstLine="307" w:firstLineChars="128"/>
        <w:rPr>
          <w:rFonts w:hint="eastAsia" w:ascii="仿宋" w:hAnsi="仿宋" w:eastAsia="仿宋" w:cs="仿宋"/>
          <w:color w:val="auto"/>
          <w:sz w:val="24"/>
        </w:rPr>
      </w:pPr>
      <w:r>
        <w:rPr>
          <w:rFonts w:hint="eastAsia" w:ascii="仿宋" w:hAnsi="仿宋" w:eastAsia="仿宋" w:cs="仿宋"/>
          <w:color w:val="auto"/>
          <w:sz w:val="24"/>
        </w:rPr>
        <w:t>本授权书有效期应自开标大会之日计算不得少于九十天。</w:t>
      </w:r>
    </w:p>
    <w:p>
      <w:pPr>
        <w:tabs>
          <w:tab w:val="left" w:pos="1260"/>
        </w:tabs>
        <w:spacing w:line="440" w:lineRule="exact"/>
        <w:rPr>
          <w:rFonts w:hint="eastAsia" w:ascii="仿宋" w:hAnsi="仿宋" w:eastAsia="仿宋" w:cs="仿宋"/>
          <w:b/>
          <w:bCs/>
          <w:color w:val="auto"/>
          <w:sz w:val="24"/>
        </w:rPr>
      </w:pPr>
    </w:p>
    <w:p>
      <w:pPr>
        <w:pStyle w:val="5"/>
        <w:jc w:val="center"/>
        <w:rPr>
          <w:rFonts w:hint="eastAsia" w:ascii="仿宋" w:hAnsi="仿宋" w:eastAsia="仿宋" w:cs="仿宋"/>
          <w:color w:val="auto"/>
          <w:sz w:val="24"/>
          <w:szCs w:val="24"/>
        </w:rPr>
      </w:pPr>
      <w:bookmarkStart w:id="82" w:name="_Toc53231795"/>
      <w:bookmarkStart w:id="83" w:name="_Toc53231751"/>
      <w:bookmarkStart w:id="84" w:name="_Toc78884385"/>
      <w:bookmarkStart w:id="85" w:name="_Toc53231539"/>
      <w:r>
        <w:rPr>
          <w:rFonts w:hint="eastAsia" w:ascii="仿宋" w:hAnsi="仿宋" w:eastAsia="仿宋" w:cs="仿宋"/>
          <w:bCs w:val="0"/>
          <w:color w:val="auto"/>
          <w:sz w:val="24"/>
          <w:szCs w:val="24"/>
        </w:rPr>
        <w:t>三、磋商响应函</w:t>
      </w:r>
      <w:bookmarkEnd w:id="74"/>
      <w:bookmarkEnd w:id="75"/>
      <w:bookmarkEnd w:id="76"/>
      <w:bookmarkEnd w:id="77"/>
      <w:bookmarkEnd w:id="82"/>
      <w:bookmarkEnd w:id="83"/>
      <w:bookmarkEnd w:id="84"/>
      <w:bookmarkEnd w:id="85"/>
    </w:p>
    <w:p>
      <w:pPr>
        <w:autoSpaceDE w:val="0"/>
        <w:autoSpaceDN w:val="0"/>
        <w:spacing w:line="360" w:lineRule="auto"/>
        <w:jc w:val="left"/>
        <w:rPr>
          <w:rFonts w:hint="default" w:ascii="仿宋" w:hAnsi="仿宋" w:eastAsia="仿宋" w:cs="仿宋"/>
          <w:snapToGrid w:val="0"/>
          <w:color w:val="auto"/>
          <w:spacing w:val="8"/>
          <w:kern w:val="0"/>
          <w:sz w:val="24"/>
          <w:u w:val="single"/>
          <w:lang w:val="en-US" w:eastAsia="zh-CN"/>
        </w:rPr>
      </w:pPr>
      <w:r>
        <w:rPr>
          <w:rFonts w:hint="eastAsia" w:ascii="仿宋" w:hAnsi="仿宋" w:eastAsia="仿宋" w:cs="仿宋"/>
          <w:color w:val="auto"/>
          <w:kern w:val="0"/>
          <w:sz w:val="24"/>
        </w:rPr>
        <w:t>致（采购人）：</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none"/>
          <w:lang w:val="en-US" w:eastAsia="zh-CN"/>
        </w:rPr>
        <w:t>.</w:t>
      </w:r>
      <w:r>
        <w:rPr>
          <w:rFonts w:hint="eastAsia" w:ascii="仿宋" w:hAnsi="仿宋" w:eastAsia="仿宋" w:cs="仿宋"/>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我们收到贵方</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u w:val="single"/>
          <w:lang w:val="en-US" w:eastAsia="zh-CN"/>
        </w:rPr>
        <w:t xml:space="preserve">                （项目名称）</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磋商文件（采购项目编号</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rPr>
        <w:t>），经详细研究，我们决定参加本项目的磋商。并授权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rPr>
        <w:t>（姓名、职务），全权代表我供应商提交下述文件正本</w:t>
      </w:r>
      <w:r>
        <w:rPr>
          <w:rFonts w:hint="eastAsia" w:ascii="仿宋" w:hAnsi="仿宋" w:eastAsia="仿宋" w:cs="仿宋"/>
          <w:snapToGrid w:val="0"/>
          <w:color w:val="auto"/>
          <w:spacing w:val="8"/>
          <w:kern w:val="0"/>
          <w:sz w:val="24"/>
          <w:u w:val="single"/>
        </w:rPr>
        <w:t>壹</w:t>
      </w:r>
      <w:r>
        <w:rPr>
          <w:rFonts w:hint="eastAsia" w:ascii="仿宋" w:hAnsi="仿宋" w:eastAsia="仿宋" w:cs="仿宋"/>
          <w:snapToGrid w:val="0"/>
          <w:color w:val="auto"/>
          <w:spacing w:val="8"/>
          <w:kern w:val="0"/>
          <w:sz w:val="24"/>
        </w:rPr>
        <w:t>份，副本</w:t>
      </w:r>
      <w:r>
        <w:rPr>
          <w:rFonts w:hint="eastAsia" w:ascii="仿宋" w:hAnsi="仿宋" w:eastAsia="仿宋" w:cs="仿宋"/>
          <w:snapToGrid w:val="0"/>
          <w:color w:val="auto"/>
          <w:spacing w:val="8"/>
          <w:kern w:val="0"/>
          <w:sz w:val="24"/>
          <w:u w:val="single"/>
        </w:rPr>
        <w:t>贰</w:t>
      </w:r>
      <w:r>
        <w:rPr>
          <w:rFonts w:hint="eastAsia" w:ascii="仿宋" w:hAnsi="仿宋" w:eastAsia="仿宋" w:cs="仿宋"/>
          <w:snapToGrid w:val="0"/>
          <w:color w:val="auto"/>
          <w:spacing w:val="8"/>
          <w:kern w:val="0"/>
          <w:sz w:val="24"/>
        </w:rPr>
        <w:t>份、</w:t>
      </w:r>
      <w:r>
        <w:rPr>
          <w:rFonts w:hint="eastAsia" w:ascii="仿宋" w:hAnsi="仿宋" w:eastAsia="仿宋" w:cs="仿宋"/>
          <w:snapToGrid w:val="0"/>
          <w:color w:val="auto"/>
          <w:spacing w:val="8"/>
          <w:kern w:val="0"/>
          <w:sz w:val="24"/>
          <w:lang w:eastAsia="zh-CN"/>
        </w:rPr>
        <w:t>磋商报价一览表</w:t>
      </w:r>
      <w:r>
        <w:rPr>
          <w:rFonts w:hint="eastAsia" w:ascii="仿宋" w:hAnsi="仿宋" w:eastAsia="仿宋" w:cs="仿宋"/>
          <w:snapToGrid w:val="0"/>
          <w:color w:val="auto"/>
          <w:spacing w:val="8"/>
          <w:kern w:val="0"/>
          <w:sz w:val="24"/>
          <w:u w:val="single"/>
          <w:lang w:eastAsia="zh-CN"/>
        </w:rPr>
        <w:t>壹</w:t>
      </w:r>
      <w:r>
        <w:rPr>
          <w:rFonts w:hint="eastAsia" w:ascii="仿宋" w:hAnsi="仿宋" w:eastAsia="仿宋" w:cs="仿宋"/>
          <w:snapToGrid w:val="0"/>
          <w:color w:val="auto"/>
          <w:spacing w:val="8"/>
          <w:kern w:val="0"/>
          <w:sz w:val="24"/>
          <w:lang w:eastAsia="zh-CN"/>
        </w:rPr>
        <w:t>份及</w:t>
      </w:r>
      <w:r>
        <w:rPr>
          <w:rFonts w:hint="eastAsia" w:ascii="仿宋" w:hAnsi="仿宋" w:eastAsia="仿宋" w:cs="仿宋"/>
          <w:snapToGrid w:val="0"/>
          <w:color w:val="auto"/>
          <w:spacing w:val="8"/>
          <w:kern w:val="0"/>
          <w:sz w:val="24"/>
        </w:rPr>
        <w:t>电子版文件</w:t>
      </w:r>
      <w:r>
        <w:rPr>
          <w:rFonts w:hint="eastAsia" w:ascii="仿宋" w:hAnsi="仿宋" w:eastAsia="仿宋" w:cs="仿宋"/>
          <w:snapToGrid w:val="0"/>
          <w:color w:val="auto"/>
          <w:spacing w:val="8"/>
          <w:kern w:val="0"/>
          <w:sz w:val="24"/>
          <w:u w:val="single"/>
          <w:lang w:eastAsia="zh-CN"/>
        </w:rPr>
        <w:t>壹</w:t>
      </w:r>
      <w:r>
        <w:rPr>
          <w:rFonts w:hint="eastAsia" w:ascii="仿宋" w:hAnsi="仿宋" w:eastAsia="仿宋" w:cs="仿宋"/>
          <w:snapToGrid w:val="0"/>
          <w:color w:val="auto"/>
          <w:spacing w:val="8"/>
          <w:kern w:val="0"/>
          <w:sz w:val="24"/>
        </w:rPr>
        <w:t>份。并同时宣布愿意遵守下列条款：</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一、愿意按照磋商文件中的要求，包工包料，完成合同的责任和义务。</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二、我公司首次磋商总报价：人民币（大写）：</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（小写）￥</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元。工期</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日历天，</w:t>
      </w:r>
      <w:r>
        <w:rPr>
          <w:rFonts w:hint="eastAsia" w:ascii="仿宋" w:hAnsi="仿宋" w:eastAsia="仿宋" w:cs="仿宋"/>
          <w:snapToGrid w:val="0"/>
          <w:color w:val="auto"/>
          <w:spacing w:val="8"/>
          <w:kern w:val="0"/>
          <w:sz w:val="24"/>
          <w:lang w:eastAsia="zh-CN"/>
        </w:rPr>
        <w:t>安全目标</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u w:val="none"/>
          <w:lang w:val="en-US" w:eastAsia="zh-CN"/>
        </w:rPr>
        <w:t>，</w:t>
      </w:r>
      <w:r>
        <w:rPr>
          <w:rFonts w:hint="eastAsia" w:ascii="仿宋" w:hAnsi="仿宋" w:eastAsia="仿宋" w:cs="仿宋"/>
          <w:snapToGrid w:val="0"/>
          <w:color w:val="auto"/>
          <w:spacing w:val="8"/>
          <w:kern w:val="0"/>
          <w:sz w:val="24"/>
        </w:rPr>
        <w:t>质量达到</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，并对其后的磋商报价负法律责任。</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三、我们已详细阅读了磋商文件，完全理解并放弃提出含糊不清或易形成歧义的表述和资料。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四、我们同意在磋商有效期内（自磋商之日起</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天），本磋商响应函对我方具有约束力。</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五、我方完全理解并同意</w:t>
      </w:r>
      <w:r>
        <w:rPr>
          <w:rFonts w:hint="eastAsia" w:ascii="仿宋" w:hAnsi="仿宋" w:eastAsia="仿宋" w:cs="仿宋"/>
          <w:snapToGrid w:val="0"/>
          <w:color w:val="auto"/>
          <w:spacing w:val="8"/>
          <w:kern w:val="0"/>
          <w:sz w:val="24"/>
          <w:lang w:eastAsia="zh-CN"/>
        </w:rPr>
        <w:t>竞争性磋商</w:t>
      </w:r>
      <w:r>
        <w:rPr>
          <w:rFonts w:hint="eastAsia" w:ascii="仿宋" w:hAnsi="仿宋" w:eastAsia="仿宋" w:cs="仿宋"/>
          <w:snapToGrid w:val="0"/>
          <w:color w:val="auto"/>
          <w:spacing w:val="8"/>
          <w:kern w:val="0"/>
          <w:sz w:val="24"/>
        </w:rPr>
        <w:t>文件中有关不退还</w:t>
      </w:r>
      <w:r>
        <w:rPr>
          <w:rFonts w:hint="eastAsia" w:ascii="仿宋" w:hAnsi="仿宋" w:eastAsia="仿宋" w:cs="仿宋"/>
          <w:snapToGrid w:val="0"/>
          <w:color w:val="auto"/>
          <w:spacing w:val="8"/>
          <w:kern w:val="0"/>
          <w:sz w:val="24"/>
          <w:lang w:eastAsia="zh-CN"/>
        </w:rPr>
        <w:t>磋商</w:t>
      </w:r>
      <w:r>
        <w:rPr>
          <w:rFonts w:hint="eastAsia" w:ascii="仿宋" w:hAnsi="仿宋" w:eastAsia="仿宋" w:cs="仿宋"/>
          <w:snapToGrid w:val="0"/>
          <w:color w:val="auto"/>
          <w:spacing w:val="8"/>
          <w:kern w:val="0"/>
          <w:sz w:val="24"/>
        </w:rPr>
        <w:t>保证金条款所规定的情形。</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lang w:eastAsia="zh-CN"/>
        </w:rPr>
      </w:pPr>
      <w:r>
        <w:rPr>
          <w:rFonts w:hint="eastAsia" w:ascii="仿宋" w:hAnsi="仿宋" w:eastAsia="仿宋" w:cs="仿宋"/>
          <w:snapToGrid w:val="0"/>
          <w:color w:val="auto"/>
          <w:spacing w:val="8"/>
          <w:kern w:val="0"/>
          <w:sz w:val="24"/>
          <w:lang w:eastAsia="zh-CN"/>
        </w:rPr>
        <w:t>六、我方愿意提供采购人可能另外要求的，与磋商有关的任何文件资料，并保证我方已提供和将要提供的文件资料是真实、准确的。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lang w:eastAsia="zh-CN"/>
        </w:rPr>
      </w:pPr>
      <w:r>
        <w:rPr>
          <w:rFonts w:hint="eastAsia" w:ascii="仿宋" w:hAnsi="仿宋" w:eastAsia="仿宋" w:cs="仿宋"/>
          <w:snapToGrid w:val="0"/>
          <w:color w:val="auto"/>
          <w:spacing w:val="8"/>
          <w:kern w:val="0"/>
          <w:sz w:val="24"/>
          <w:lang w:eastAsia="zh-CN"/>
        </w:rPr>
        <w:t>七、我方完全理解最低报价不是中标的唯一条件，且尊重磋商小组的评标结论和定标结果</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eastAsia="zh-CN"/>
        </w:rPr>
        <w:t>八</w:t>
      </w:r>
      <w:r>
        <w:rPr>
          <w:rFonts w:hint="eastAsia" w:ascii="仿宋" w:hAnsi="仿宋" w:eastAsia="仿宋" w:cs="仿宋"/>
          <w:snapToGrid w:val="0"/>
          <w:color w:val="auto"/>
          <w:spacing w:val="8"/>
          <w:kern w:val="0"/>
          <w:sz w:val="24"/>
        </w:rPr>
        <w:t>、我方在此声明，所递交的磋商响应文件及有关资料内容完整、真实和准确。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eastAsia="zh-CN"/>
        </w:rPr>
        <w:t>九</w:t>
      </w:r>
      <w:r>
        <w:rPr>
          <w:rFonts w:hint="eastAsia" w:ascii="仿宋" w:hAnsi="仿宋" w:eastAsia="仿宋" w:cs="仿宋"/>
          <w:snapToGrid w:val="0"/>
          <w:color w:val="auto"/>
          <w:spacing w:val="8"/>
          <w:kern w:val="0"/>
          <w:sz w:val="24"/>
        </w:rPr>
        <w:t>、如我方成交：</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1.我方承诺在收到成交通知书后，在成交通知书规定的期限内与采购人签订合同。</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2.我方承诺在合同约定的期限内完成并移交全部合同工程。</w:t>
      </w:r>
    </w:p>
    <w:p>
      <w:pPr>
        <w:pStyle w:val="14"/>
        <w:rPr>
          <w:rFonts w:hint="eastAsia" w:ascii="仿宋" w:hAnsi="仿宋" w:eastAsia="仿宋" w:cs="仿宋"/>
          <w:color w:val="auto"/>
          <w:sz w:val="24"/>
        </w:rPr>
      </w:pP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 xml:space="preserve">                       </w:t>
      </w: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val="en-US" w:eastAsia="zh-CN"/>
        </w:rPr>
        <w:t xml:space="preserve">                </w:t>
      </w:r>
      <w:r>
        <w:rPr>
          <w:rFonts w:hint="eastAsia" w:ascii="仿宋" w:hAnsi="仿宋" w:eastAsia="仿宋" w:cs="仿宋"/>
          <w:snapToGrid w:val="0"/>
          <w:color w:val="auto"/>
          <w:spacing w:val="8"/>
          <w:kern w:val="0"/>
          <w:sz w:val="24"/>
        </w:rPr>
        <w:t>供应商：</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（单位公章）</w:t>
      </w: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 xml:space="preserve">                法定代表人或授权代表：</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w:t>
      </w:r>
      <w:r>
        <w:rPr>
          <w:rFonts w:hint="eastAsia" w:ascii="仿宋" w:hAnsi="仿宋" w:eastAsia="仿宋" w:cs="仿宋"/>
          <w:color w:val="auto"/>
          <w:kern w:val="0"/>
          <w:sz w:val="24"/>
        </w:rPr>
        <w:t>签字或盖章</w:t>
      </w:r>
      <w:r>
        <w:rPr>
          <w:rFonts w:hint="eastAsia" w:ascii="仿宋" w:hAnsi="仿宋" w:eastAsia="仿宋" w:cs="仿宋"/>
          <w:snapToGrid w:val="0"/>
          <w:color w:val="auto"/>
          <w:spacing w:val="8"/>
          <w:kern w:val="0"/>
          <w:sz w:val="24"/>
        </w:rPr>
        <w:t>）</w:t>
      </w:r>
    </w:p>
    <w:p>
      <w:pPr>
        <w:autoSpaceDE w:val="0"/>
        <w:autoSpaceDN w:val="0"/>
        <w:adjustRightInd w:val="0"/>
        <w:snapToGrid w:val="0"/>
        <w:spacing w:line="480" w:lineRule="auto"/>
        <w:jc w:val="center"/>
        <w:rPr>
          <w:rFonts w:hint="eastAsia" w:ascii="仿宋" w:hAnsi="仿宋" w:eastAsia="仿宋" w:cs="仿宋"/>
          <w:color w:val="auto"/>
        </w:rPr>
      </w:pPr>
      <w:r>
        <w:rPr>
          <w:rFonts w:hint="eastAsia" w:ascii="仿宋" w:hAnsi="仿宋" w:eastAsia="仿宋" w:cs="仿宋"/>
          <w:snapToGrid w:val="0"/>
          <w:color w:val="auto"/>
          <w:spacing w:val="8"/>
          <w:kern w:val="0"/>
          <w:sz w:val="24"/>
        </w:rPr>
        <w:t xml:space="preserve">                                    </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年</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月</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日</w:t>
      </w:r>
    </w:p>
    <w:p>
      <w:pPr>
        <w:pStyle w:val="5"/>
        <w:jc w:val="center"/>
        <w:rPr>
          <w:rFonts w:hint="eastAsia" w:ascii="仿宋" w:hAnsi="仿宋" w:eastAsia="仿宋" w:cs="仿宋"/>
          <w:bCs w:val="0"/>
          <w:color w:val="auto"/>
          <w:sz w:val="24"/>
          <w:szCs w:val="24"/>
        </w:rPr>
      </w:pPr>
      <w:bookmarkStart w:id="86" w:name="_Toc53231796"/>
      <w:bookmarkStart w:id="87" w:name="_Toc78884386"/>
      <w:bookmarkStart w:id="88" w:name="_Toc24751_WPSOffice_Level1"/>
      <w:bookmarkStart w:id="89" w:name="_Toc4179_WPSOffice_Level1"/>
      <w:bookmarkStart w:id="90" w:name="_Toc53231540"/>
      <w:bookmarkStart w:id="91" w:name="_Toc53231752"/>
    </w:p>
    <w:p>
      <w:pPr>
        <w:pStyle w:val="5"/>
        <w:jc w:val="center"/>
        <w:rPr>
          <w:rFonts w:hint="eastAsia" w:ascii="仿宋" w:hAnsi="仿宋" w:eastAsia="仿宋" w:cs="仿宋"/>
          <w:bCs w:val="0"/>
          <w:color w:val="auto"/>
          <w:sz w:val="24"/>
          <w:szCs w:val="24"/>
        </w:rPr>
      </w:pPr>
    </w:p>
    <w:p>
      <w:pPr>
        <w:pStyle w:val="5"/>
        <w:jc w:val="center"/>
        <w:rPr>
          <w:rFonts w:hint="eastAsia" w:ascii="仿宋" w:hAnsi="仿宋" w:eastAsia="仿宋" w:cs="仿宋"/>
          <w:bCs w:val="0"/>
          <w:color w:val="auto"/>
          <w:sz w:val="24"/>
          <w:szCs w:val="24"/>
        </w:rPr>
      </w:pPr>
    </w:p>
    <w:p>
      <w:pPr>
        <w:pStyle w:val="5"/>
        <w:jc w:val="both"/>
        <w:rPr>
          <w:rFonts w:hint="eastAsia" w:ascii="仿宋" w:hAnsi="仿宋" w:eastAsia="仿宋" w:cs="仿宋"/>
          <w:bCs w:val="0"/>
          <w:color w:val="auto"/>
          <w:sz w:val="24"/>
          <w:szCs w:val="24"/>
        </w:rPr>
      </w:pPr>
    </w:p>
    <w:p>
      <w:pPr>
        <w:pStyle w:val="5"/>
        <w:jc w:val="center"/>
        <w:rPr>
          <w:rFonts w:hint="eastAsia" w:ascii="仿宋" w:hAnsi="仿宋" w:eastAsia="仿宋" w:cs="仿宋"/>
          <w:bCs w:val="0"/>
          <w:color w:val="auto"/>
          <w:sz w:val="24"/>
          <w:szCs w:val="24"/>
        </w:rPr>
      </w:pPr>
    </w:p>
    <w:p>
      <w:pPr>
        <w:pStyle w:val="5"/>
        <w:jc w:val="center"/>
        <w:rPr>
          <w:rFonts w:hint="eastAsia" w:ascii="仿宋" w:hAnsi="仿宋" w:eastAsia="仿宋" w:cs="仿宋"/>
          <w:bCs w:val="0"/>
          <w:color w:val="auto"/>
          <w:sz w:val="24"/>
          <w:szCs w:val="24"/>
        </w:rPr>
      </w:pPr>
    </w:p>
    <w:p>
      <w:pPr>
        <w:pStyle w:val="5"/>
        <w:jc w:val="center"/>
        <w:rPr>
          <w:rFonts w:hint="eastAsia" w:ascii="仿宋" w:hAnsi="仿宋" w:eastAsia="仿宋" w:cs="仿宋"/>
          <w:bCs w:val="0"/>
          <w:color w:val="auto"/>
          <w:sz w:val="24"/>
          <w:szCs w:val="24"/>
        </w:rPr>
      </w:pPr>
    </w:p>
    <w:p>
      <w:pPr>
        <w:rPr>
          <w:rFonts w:hint="eastAsia" w:ascii="仿宋" w:hAnsi="仿宋" w:eastAsia="仿宋" w:cs="仿宋"/>
          <w:bCs w:val="0"/>
          <w:color w:val="auto"/>
          <w:sz w:val="24"/>
          <w:szCs w:val="24"/>
        </w:rPr>
      </w:pPr>
    </w:p>
    <w:p>
      <w:pPr>
        <w:pStyle w:val="14"/>
        <w:rPr>
          <w:rFonts w:hint="eastAsia"/>
          <w:color w:val="auto"/>
        </w:rPr>
      </w:pPr>
    </w:p>
    <w:p>
      <w:pPr>
        <w:pStyle w:val="5"/>
        <w:jc w:val="center"/>
        <w:rPr>
          <w:rFonts w:hint="eastAsia" w:ascii="仿宋" w:hAnsi="仿宋" w:eastAsia="仿宋" w:cs="仿宋"/>
          <w:color w:val="auto"/>
          <w:sz w:val="24"/>
        </w:rPr>
      </w:pPr>
      <w:r>
        <w:rPr>
          <w:rFonts w:hint="eastAsia" w:ascii="仿宋" w:hAnsi="仿宋" w:eastAsia="仿宋" w:cs="仿宋"/>
          <w:bCs w:val="0"/>
          <w:color w:val="auto"/>
          <w:sz w:val="24"/>
          <w:szCs w:val="24"/>
        </w:rPr>
        <w:t>四、 首次磋商报价</w:t>
      </w:r>
      <w:r>
        <w:rPr>
          <w:rFonts w:hint="eastAsia" w:ascii="仿宋" w:hAnsi="仿宋" w:eastAsia="仿宋" w:cs="仿宋"/>
          <w:bCs w:val="0"/>
          <w:color w:val="auto"/>
          <w:sz w:val="24"/>
          <w:szCs w:val="24"/>
          <w:lang w:eastAsia="zh-CN"/>
        </w:rPr>
        <w:t>一览</w:t>
      </w:r>
      <w:r>
        <w:rPr>
          <w:rFonts w:hint="eastAsia" w:ascii="仿宋" w:hAnsi="仿宋" w:eastAsia="仿宋" w:cs="仿宋"/>
          <w:bCs w:val="0"/>
          <w:color w:val="auto"/>
          <w:sz w:val="24"/>
          <w:szCs w:val="24"/>
        </w:rPr>
        <w:t>表</w:t>
      </w:r>
      <w:bookmarkEnd w:id="86"/>
      <w:bookmarkEnd w:id="87"/>
      <w:bookmarkEnd w:id="88"/>
      <w:bookmarkEnd w:id="89"/>
      <w:bookmarkEnd w:id="90"/>
      <w:bookmarkEnd w:id="91"/>
      <w:r>
        <w:rPr>
          <w:rFonts w:hint="eastAsia" w:ascii="仿宋" w:hAnsi="仿宋" w:eastAsia="仿宋" w:cs="仿宋"/>
          <w:color w:val="auto"/>
          <w:sz w:val="24"/>
        </w:rPr>
        <w:t xml:space="preserve">                                                         </w:t>
      </w:r>
    </w:p>
    <w:p>
      <w:pPr>
        <w:kinsoku w:val="0"/>
        <w:spacing w:line="500" w:lineRule="exact"/>
        <w:rPr>
          <w:rFonts w:hint="eastAsia" w:ascii="仿宋" w:hAnsi="仿宋" w:eastAsia="仿宋" w:cs="仿宋"/>
          <w:b/>
          <w:bCs/>
          <w:color w:val="auto"/>
          <w:sz w:val="24"/>
          <w:lang w:eastAsia="zh-CN"/>
        </w:rPr>
      </w:pPr>
      <w:r>
        <w:rPr>
          <w:rFonts w:hint="eastAsia" w:ascii="仿宋" w:hAnsi="仿宋" w:eastAsia="仿宋" w:cs="仿宋"/>
          <w:color w:val="auto"/>
          <w:sz w:val="24"/>
        </w:rPr>
        <w:t>项目编号：</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7127"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33" w:type="dxa"/>
            <w:vMerge w:val="restart"/>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pPr>
              <w:pStyle w:val="14"/>
              <w:jc w:val="center"/>
              <w:rPr>
                <w:rFonts w:hint="eastAsia" w:ascii="仿宋" w:hAnsi="仿宋" w:eastAsia="仿宋" w:cs="仿宋"/>
                <w:color w:val="auto"/>
                <w:lang w:eastAsia="zh-CN"/>
              </w:rPr>
            </w:pPr>
            <w:r>
              <w:rPr>
                <w:rFonts w:hint="eastAsia" w:ascii="仿宋" w:hAnsi="仿宋" w:eastAsia="仿宋" w:cs="仿宋"/>
                <w:color w:val="auto"/>
                <w:sz w:val="24"/>
              </w:rPr>
              <w:t>人民币</w:t>
            </w:r>
            <w:r>
              <w:rPr>
                <w:rFonts w:hint="eastAsia" w:ascii="仿宋" w:hAnsi="仿宋" w:eastAsia="仿宋" w:cs="仿宋"/>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3" w:type="dxa"/>
            <w:vMerge w:val="continue"/>
            <w:vAlign w:val="center"/>
          </w:tcPr>
          <w:p>
            <w:pPr>
              <w:autoSpaceDE w:val="0"/>
              <w:autoSpaceDN w:val="0"/>
              <w:adjustRightInd w:val="0"/>
              <w:snapToGrid w:val="0"/>
              <w:spacing w:line="360" w:lineRule="auto"/>
              <w:jc w:val="center"/>
              <w:rPr>
                <w:rFonts w:hint="eastAsia" w:ascii="仿宋" w:hAnsi="仿宋" w:eastAsia="仿宋" w:cs="仿宋"/>
                <w:color w:val="auto"/>
                <w:sz w:val="24"/>
              </w:rPr>
            </w:pP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 xml:space="preserve">小写： </w:t>
            </w:r>
            <w:r>
              <w:rPr>
                <w:rFonts w:hint="eastAsia" w:ascii="仿宋" w:hAnsi="仿宋" w:eastAsia="仿宋" w:cs="仿宋"/>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工期（日历天）</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质量标准</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bl>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磋商供应商：</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（盖章）</w:t>
      </w:r>
    </w:p>
    <w:p>
      <w:pPr>
        <w:pStyle w:val="14"/>
        <w:rPr>
          <w:rFonts w:hint="eastAsia" w:ascii="仿宋" w:hAnsi="仿宋" w:eastAsia="仿宋" w:cs="仿宋"/>
          <w:color w:val="auto"/>
          <w:sz w:val="24"/>
        </w:rPr>
      </w:pPr>
    </w:p>
    <w:p>
      <w:pPr>
        <w:tabs>
          <w:tab w:val="left" w:pos="7920"/>
        </w:tabs>
        <w:rPr>
          <w:rFonts w:hint="eastAsia" w:ascii="仿宋" w:hAnsi="仿宋" w:eastAsia="仿宋" w:cs="仿宋"/>
          <w:bCs/>
          <w:color w:val="auto"/>
          <w:sz w:val="24"/>
        </w:rPr>
      </w:pP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法定代表人或其被授权委托代理人：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 xml:space="preserve">（签字或盖章） </w:t>
      </w:r>
    </w:p>
    <w:p>
      <w:pPr>
        <w:autoSpaceDE w:val="0"/>
        <w:autoSpaceDN w:val="0"/>
        <w:adjustRightInd w:val="0"/>
        <w:snapToGrid w:val="0"/>
        <w:spacing w:line="360" w:lineRule="auto"/>
        <w:rPr>
          <w:rFonts w:hint="eastAsia" w:ascii="仿宋" w:hAnsi="仿宋" w:eastAsia="仿宋" w:cs="仿宋"/>
          <w:bCs/>
          <w:color w:val="auto"/>
          <w:sz w:val="24"/>
          <w:lang w:val="zh-CN"/>
        </w:rPr>
      </w:pPr>
    </w:p>
    <w:p>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pStyle w:val="14"/>
        <w:rPr>
          <w:rFonts w:hint="eastAsia" w:ascii="仿宋" w:hAnsi="仿宋" w:eastAsia="仿宋" w:cs="仿宋"/>
          <w:color w:val="auto"/>
          <w:sz w:val="24"/>
          <w:lang w:val="zh-CN"/>
        </w:rPr>
      </w:pPr>
    </w:p>
    <w:p>
      <w:pPr>
        <w:autoSpaceDE w:val="0"/>
        <w:autoSpaceDN w:val="0"/>
        <w:adjustRightInd w:val="0"/>
        <w:snapToGrid w:val="0"/>
        <w:spacing w:line="360" w:lineRule="auto"/>
        <w:ind w:firstLine="221" w:firstLineChars="100"/>
        <w:rPr>
          <w:rFonts w:hint="eastAsia" w:ascii="仿宋" w:hAnsi="仿宋" w:eastAsia="仿宋" w:cs="仿宋"/>
          <w:b/>
          <w:color w:val="auto"/>
          <w:sz w:val="22"/>
          <w:szCs w:val="22"/>
        </w:rPr>
      </w:pPr>
      <w:r>
        <w:rPr>
          <w:rFonts w:hint="eastAsia" w:ascii="仿宋" w:hAnsi="仿宋" w:eastAsia="仿宋" w:cs="仿宋"/>
          <w:b/>
          <w:color w:val="auto"/>
          <w:sz w:val="22"/>
          <w:szCs w:val="22"/>
        </w:rPr>
        <w:t>注：1、报价应按投标总价填写，</w:t>
      </w:r>
      <w:r>
        <w:rPr>
          <w:rFonts w:hint="eastAsia" w:ascii="仿宋" w:hAnsi="仿宋" w:eastAsia="仿宋" w:cs="仿宋"/>
          <w:b/>
          <w:color w:val="auto"/>
          <w:sz w:val="22"/>
          <w:szCs w:val="22"/>
          <w:lang w:eastAsia="zh-CN"/>
        </w:rPr>
        <w:t>单位精确到“元”</w:t>
      </w:r>
      <w:r>
        <w:rPr>
          <w:rFonts w:hint="eastAsia" w:ascii="仿宋" w:hAnsi="仿宋" w:eastAsia="仿宋" w:cs="仿宋"/>
          <w:b/>
          <w:color w:val="auto"/>
          <w:sz w:val="22"/>
          <w:szCs w:val="22"/>
        </w:rPr>
        <w:t>。</w:t>
      </w:r>
    </w:p>
    <w:p>
      <w:pPr>
        <w:autoSpaceDE w:val="0"/>
        <w:autoSpaceDN w:val="0"/>
        <w:adjustRightInd w:val="0"/>
        <w:snapToGrid w:val="0"/>
        <w:spacing w:line="360" w:lineRule="auto"/>
        <w:ind w:firstLine="663" w:firstLineChars="300"/>
        <w:rPr>
          <w:rFonts w:hint="eastAsia" w:ascii="仿宋" w:hAnsi="仿宋" w:eastAsia="仿宋" w:cs="仿宋"/>
          <w:b/>
          <w:color w:val="auto"/>
          <w:sz w:val="22"/>
          <w:szCs w:val="22"/>
        </w:rPr>
      </w:pPr>
      <w:r>
        <w:rPr>
          <w:rFonts w:hint="eastAsia" w:ascii="仿宋" w:hAnsi="仿宋" w:eastAsia="仿宋" w:cs="仿宋"/>
          <w:b/>
          <w:color w:val="auto"/>
          <w:sz w:val="22"/>
          <w:szCs w:val="22"/>
          <w:lang w:val="en-US" w:eastAsia="zh-CN"/>
        </w:rPr>
        <w:t>2、</w:t>
      </w:r>
      <w:r>
        <w:rPr>
          <w:rFonts w:hint="eastAsia" w:ascii="仿宋" w:hAnsi="仿宋" w:eastAsia="仿宋" w:cs="仿宋"/>
          <w:b/>
          <w:color w:val="auto"/>
          <w:sz w:val="22"/>
          <w:szCs w:val="22"/>
        </w:rPr>
        <w:t>此</w:t>
      </w:r>
      <w:r>
        <w:rPr>
          <w:rFonts w:hint="eastAsia" w:ascii="仿宋" w:hAnsi="仿宋" w:eastAsia="仿宋" w:cs="仿宋"/>
          <w:b/>
          <w:color w:val="auto"/>
          <w:sz w:val="22"/>
          <w:szCs w:val="22"/>
          <w:lang w:eastAsia="zh-CN"/>
        </w:rPr>
        <w:t>磋商报价</w:t>
      </w:r>
      <w:r>
        <w:rPr>
          <w:rFonts w:hint="eastAsia" w:ascii="仿宋" w:hAnsi="仿宋" w:eastAsia="仿宋" w:cs="仿宋"/>
          <w:b/>
          <w:color w:val="auto"/>
          <w:sz w:val="22"/>
          <w:szCs w:val="22"/>
        </w:rPr>
        <w:t>一览表总报价与投标函总报价一致。</w:t>
      </w:r>
    </w:p>
    <w:p>
      <w:pPr>
        <w:autoSpaceDE w:val="0"/>
        <w:autoSpaceDN w:val="0"/>
        <w:adjustRightInd w:val="0"/>
        <w:snapToGrid w:val="0"/>
        <w:spacing w:line="360" w:lineRule="auto"/>
        <w:ind w:left="239" w:leftChars="114" w:firstLine="442" w:firstLineChars="200"/>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3、若供应商属于磋商文件规定的中小企业、监狱企业、残疾人福利性单位，请在备注一览填写注明，若无如实填写，后果自负。</w:t>
      </w:r>
    </w:p>
    <w:p>
      <w:pPr>
        <w:autoSpaceDE w:val="0"/>
        <w:autoSpaceDN w:val="0"/>
        <w:adjustRightInd w:val="0"/>
        <w:snapToGrid w:val="0"/>
        <w:spacing w:line="360" w:lineRule="auto"/>
        <w:ind w:left="239" w:leftChars="114" w:firstLine="442" w:firstLineChars="200"/>
        <w:rPr>
          <w:rFonts w:hint="eastAsia"/>
          <w:color w:val="auto"/>
        </w:rPr>
      </w:pPr>
      <w:r>
        <w:rPr>
          <w:rFonts w:hint="eastAsia" w:ascii="仿宋" w:hAnsi="仿宋" w:eastAsia="仿宋" w:cs="仿宋"/>
          <w:b/>
          <w:color w:val="auto"/>
          <w:sz w:val="22"/>
          <w:szCs w:val="22"/>
          <w:lang w:val="en-US" w:eastAsia="zh-CN"/>
        </w:rPr>
        <w:t>4、特别提示：磋商供应商除按要求编制、装订磋商响应文件正、副本外，为便于登记，还须提供本项目磋商报价一览表（原件）一份，并进行单独封装密封（参见格式），磋商会议大会签到时，与磋商响应文件正副本一并递交。本表报价大小写不符的以大写为准</w:t>
      </w:r>
      <w:r>
        <w:rPr>
          <w:rFonts w:hint="eastAsia" w:ascii="仿宋" w:hAnsi="仿宋" w:eastAsia="仿宋" w:cs="仿宋"/>
          <w:b/>
          <w:color w:val="auto"/>
          <w:sz w:val="22"/>
          <w:szCs w:val="22"/>
        </w:rPr>
        <w:t>。</w:t>
      </w:r>
    </w:p>
    <w:p>
      <w:pPr>
        <w:autoSpaceDE w:val="0"/>
        <w:autoSpaceDN w:val="0"/>
        <w:adjustRightInd w:val="0"/>
        <w:snapToGrid w:val="0"/>
        <w:spacing w:line="360" w:lineRule="auto"/>
        <w:jc w:val="center"/>
        <w:rPr>
          <w:rFonts w:hint="eastAsia" w:ascii="仿宋" w:hAnsi="仿宋" w:eastAsia="仿宋" w:cs="仿宋"/>
          <w:color w:val="auto"/>
          <w:sz w:val="28"/>
          <w:szCs w:val="28"/>
        </w:rPr>
      </w:pPr>
      <w:bookmarkStart w:id="92" w:name="_Toc26483_WPSOffice_Level1"/>
      <w:bookmarkStart w:id="93" w:name="_Toc5317_WPSOffice_Level1"/>
      <w:r>
        <w:rPr>
          <w:rFonts w:hint="eastAsia" w:ascii="仿宋" w:hAnsi="仿宋" w:eastAsia="仿宋" w:cs="仿宋"/>
          <w:b/>
          <w:bCs/>
          <w:color w:val="auto"/>
          <w:sz w:val="28"/>
          <w:szCs w:val="28"/>
          <w:lang w:val="zh-CN"/>
        </w:rPr>
        <w:t>二次</w:t>
      </w:r>
      <w:r>
        <w:rPr>
          <w:rFonts w:hint="eastAsia" w:ascii="仿宋" w:hAnsi="仿宋" w:eastAsia="仿宋" w:cs="仿宋"/>
          <w:b/>
          <w:bCs/>
          <w:color w:val="auto"/>
          <w:sz w:val="28"/>
          <w:szCs w:val="28"/>
        </w:rPr>
        <w:t>磋商</w:t>
      </w:r>
      <w:r>
        <w:rPr>
          <w:rFonts w:hint="eastAsia" w:ascii="仿宋" w:hAnsi="仿宋" w:eastAsia="仿宋" w:cs="仿宋"/>
          <w:b/>
          <w:bCs/>
          <w:color w:val="auto"/>
          <w:sz w:val="28"/>
          <w:szCs w:val="28"/>
          <w:lang w:val="zh-CN"/>
        </w:rPr>
        <w:t>报价表</w:t>
      </w:r>
      <w:bookmarkEnd w:id="92"/>
      <w:bookmarkEnd w:id="93"/>
    </w:p>
    <w:p>
      <w:pPr>
        <w:kinsoku w:val="0"/>
        <w:spacing w:line="500" w:lineRule="exact"/>
        <w:rPr>
          <w:rFonts w:hint="eastAsia" w:ascii="仿宋" w:hAnsi="仿宋" w:eastAsia="仿宋" w:cs="仿宋"/>
          <w:b/>
          <w:bCs/>
          <w:color w:val="auto"/>
          <w:sz w:val="24"/>
          <w:lang w:eastAsia="zh-CN"/>
        </w:rPr>
      </w:pPr>
      <w:r>
        <w:rPr>
          <w:rFonts w:hint="eastAsia" w:ascii="仿宋" w:hAnsi="仿宋" w:eastAsia="仿宋" w:cs="仿宋"/>
          <w:color w:val="auto"/>
          <w:sz w:val="24"/>
        </w:rPr>
        <w:t>项目编号：</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3" w:type="dxa"/>
            <w:vMerge w:val="restart"/>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pPr>
              <w:pStyle w:val="14"/>
              <w:jc w:val="center"/>
              <w:rPr>
                <w:rFonts w:hint="eastAsia" w:ascii="仿宋" w:hAnsi="仿宋" w:eastAsia="仿宋" w:cs="仿宋"/>
                <w:color w:val="auto"/>
              </w:rPr>
            </w:pPr>
            <w:r>
              <w:rPr>
                <w:rFonts w:hint="eastAsia" w:ascii="仿宋" w:hAnsi="仿宋" w:eastAsia="仿宋" w:cs="仿宋"/>
                <w:color w:val="auto"/>
                <w:sz w:val="24"/>
              </w:rPr>
              <w:t>人民币</w:t>
            </w:r>
            <w:r>
              <w:rPr>
                <w:rFonts w:hint="eastAsia" w:ascii="仿宋" w:hAnsi="仿宋" w:eastAsia="仿宋" w:cs="仿宋"/>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3" w:type="dxa"/>
            <w:vMerge w:val="continue"/>
            <w:vAlign w:val="center"/>
          </w:tcPr>
          <w:p>
            <w:pPr>
              <w:autoSpaceDE w:val="0"/>
              <w:autoSpaceDN w:val="0"/>
              <w:adjustRightInd w:val="0"/>
              <w:snapToGrid w:val="0"/>
              <w:spacing w:line="360" w:lineRule="auto"/>
              <w:jc w:val="center"/>
              <w:rPr>
                <w:rFonts w:hint="eastAsia" w:ascii="仿宋" w:hAnsi="仿宋" w:eastAsia="仿宋" w:cs="仿宋"/>
                <w:color w:val="auto"/>
                <w:sz w:val="24"/>
              </w:rPr>
            </w:pP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 xml:space="preserve">小写： </w:t>
            </w:r>
            <w:r>
              <w:rPr>
                <w:rFonts w:hint="eastAsia" w:ascii="仿宋" w:hAnsi="仿宋" w:eastAsia="仿宋" w:cs="仿宋"/>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工期（日历天）</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质量标准</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bl>
    <w:p>
      <w:pPr>
        <w:autoSpaceDE w:val="0"/>
        <w:autoSpaceDN w:val="0"/>
        <w:adjustRightInd w:val="0"/>
        <w:snapToGrid w:val="0"/>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磋商供应商：</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（盖章）</w:t>
      </w:r>
    </w:p>
    <w:p>
      <w:pPr>
        <w:pStyle w:val="14"/>
        <w:rPr>
          <w:rFonts w:hint="eastAsia" w:ascii="仿宋" w:hAnsi="仿宋" w:eastAsia="仿宋" w:cs="仿宋"/>
          <w:color w:val="auto"/>
          <w:sz w:val="24"/>
        </w:rPr>
      </w:pPr>
    </w:p>
    <w:p>
      <w:pPr>
        <w:tabs>
          <w:tab w:val="left" w:pos="7920"/>
        </w:tabs>
        <w:rPr>
          <w:rFonts w:hint="eastAsia" w:ascii="仿宋" w:hAnsi="仿宋" w:eastAsia="仿宋" w:cs="仿宋"/>
          <w:bCs/>
          <w:color w:val="auto"/>
          <w:sz w:val="24"/>
        </w:rPr>
      </w:pP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法定代表人或其被授权委托代理人：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 xml:space="preserve">（签字或盖章） </w:t>
      </w:r>
    </w:p>
    <w:p>
      <w:pPr>
        <w:autoSpaceDE w:val="0"/>
        <w:autoSpaceDN w:val="0"/>
        <w:adjustRightInd w:val="0"/>
        <w:snapToGrid w:val="0"/>
        <w:spacing w:line="360" w:lineRule="auto"/>
        <w:rPr>
          <w:rFonts w:hint="eastAsia" w:ascii="仿宋" w:hAnsi="仿宋" w:eastAsia="仿宋" w:cs="仿宋"/>
          <w:bCs/>
          <w:color w:val="auto"/>
          <w:sz w:val="24"/>
          <w:lang w:val="zh-CN"/>
        </w:rPr>
      </w:pPr>
    </w:p>
    <w:p>
      <w:pPr>
        <w:autoSpaceDE w:val="0"/>
        <w:autoSpaceDN w:val="0"/>
        <w:adjustRightInd w:val="0"/>
        <w:snapToGrid w:val="0"/>
        <w:spacing w:line="360" w:lineRule="auto"/>
        <w:rPr>
          <w:rFonts w:hint="eastAsia" w:ascii="仿宋" w:hAnsi="仿宋" w:eastAsia="仿宋" w:cs="仿宋"/>
          <w:color w:val="auto"/>
          <w:sz w:val="24"/>
          <w:lang w:val="zh-CN"/>
        </w:rPr>
      </w:pPr>
    </w:p>
    <w:p>
      <w:pPr>
        <w:autoSpaceDE w:val="0"/>
        <w:autoSpaceDN w:val="0"/>
        <w:adjustRightInd w:val="0"/>
        <w:snapToGrid w:val="0"/>
        <w:spacing w:line="360" w:lineRule="auto"/>
        <w:ind w:firstLine="240" w:firstLineChars="100"/>
        <w:rPr>
          <w:rFonts w:hint="eastAsia"/>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r>
        <w:rPr>
          <w:rFonts w:hint="eastAsia" w:ascii="仿宋" w:hAnsi="仿宋" w:eastAsia="仿宋" w:cs="仿宋"/>
          <w:b/>
          <w:color w:val="auto"/>
          <w:sz w:val="22"/>
          <w:szCs w:val="22"/>
        </w:rPr>
        <w:t>特别提示：</w:t>
      </w:r>
    </w:p>
    <w:p>
      <w:pPr>
        <w:autoSpaceDE w:val="0"/>
        <w:autoSpaceDN w:val="0"/>
        <w:adjustRightInd w:val="0"/>
        <w:snapToGrid w:val="0"/>
        <w:spacing w:line="360" w:lineRule="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lang w:eastAsia="zh-CN"/>
        </w:rPr>
        <w:t>注：1、二次磋商报价应按投标总价填写，单位精确到“元”；</w:t>
      </w:r>
    </w:p>
    <w:p>
      <w:pPr>
        <w:autoSpaceDE w:val="0"/>
        <w:autoSpaceDN w:val="0"/>
        <w:adjustRightInd w:val="0"/>
        <w:snapToGrid w:val="0"/>
        <w:spacing w:line="360" w:lineRule="auto"/>
        <w:ind w:left="15" w:leftChars="7" w:firstLine="406" w:firstLineChars="184"/>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2、供应商须自备该表格，加盖单位公章，在最终磋商报价环节时填写提交此表，若最终磋商报价环节未单独提供此表，视为二次磋商报价无效；</w:t>
      </w:r>
    </w:p>
    <w:p>
      <w:pPr>
        <w:autoSpaceDE w:val="0"/>
        <w:autoSpaceDN w:val="0"/>
        <w:adjustRightInd w:val="0"/>
        <w:snapToGrid w:val="0"/>
        <w:spacing w:line="360" w:lineRule="auto"/>
        <w:ind w:left="15" w:leftChars="7" w:firstLine="406" w:firstLineChars="184"/>
        <w:rPr>
          <w:rFonts w:hint="eastAsia" w:ascii="仿宋" w:hAnsi="仿宋" w:eastAsia="仿宋" w:cs="仿宋"/>
          <w:color w:val="auto"/>
          <w:sz w:val="24"/>
        </w:rPr>
      </w:pPr>
      <w:r>
        <w:rPr>
          <w:rFonts w:hint="eastAsia" w:ascii="仿宋" w:hAnsi="仿宋" w:eastAsia="仿宋" w:cs="仿宋"/>
          <w:b/>
          <w:color w:val="auto"/>
          <w:sz w:val="22"/>
          <w:szCs w:val="22"/>
          <w:lang w:val="en-US" w:eastAsia="zh-CN"/>
        </w:rPr>
        <w:t>3、若供应商属于磋商文件规定的中小企业、监狱企业、残疾人福利性单位，请在备注一览填写注明，若无如实填写，后果自负</w:t>
      </w:r>
      <w:r>
        <w:rPr>
          <w:rFonts w:hint="eastAsia" w:ascii="仿宋" w:hAnsi="仿宋" w:eastAsia="仿宋" w:cs="仿宋"/>
          <w:b/>
          <w:color w:val="auto"/>
          <w:sz w:val="22"/>
          <w:szCs w:val="22"/>
        </w:rPr>
        <w:t>。</w:t>
      </w:r>
    </w:p>
    <w:p>
      <w:pPr>
        <w:pStyle w:val="5"/>
        <w:numPr>
          <w:ilvl w:val="0"/>
          <w:numId w:val="3"/>
        </w:numPr>
        <w:jc w:val="center"/>
        <w:rPr>
          <w:rFonts w:hint="eastAsia" w:ascii="仿宋" w:hAnsi="仿宋" w:eastAsia="仿宋" w:cs="仿宋"/>
          <w:bCs w:val="0"/>
          <w:color w:val="auto"/>
          <w:sz w:val="24"/>
          <w:szCs w:val="24"/>
        </w:rPr>
      </w:pPr>
      <w:bookmarkStart w:id="94" w:name="_Toc78884387"/>
      <w:r>
        <w:rPr>
          <w:rFonts w:hint="eastAsia" w:ascii="仿宋" w:hAnsi="仿宋" w:eastAsia="仿宋" w:cs="仿宋"/>
          <w:bCs w:val="0"/>
          <w:color w:val="auto"/>
          <w:sz w:val="24"/>
          <w:szCs w:val="24"/>
        </w:rPr>
        <w:t>已标价工程量清单</w:t>
      </w:r>
      <w:bookmarkEnd w:id="94"/>
    </w:p>
    <w:p>
      <w:pPr>
        <w:numPr>
          <w:ilvl w:val="0"/>
          <w:numId w:val="0"/>
        </w:numPr>
        <w:rPr>
          <w:rFonts w:hint="eastAsia"/>
          <w:color w:val="auto"/>
        </w:rPr>
      </w:pPr>
    </w:p>
    <w:p>
      <w:pPr>
        <w:pStyle w:val="14"/>
        <w:rPr>
          <w:rFonts w:hint="eastAsia" w:ascii="仿宋" w:hAnsi="仿宋" w:eastAsia="仿宋" w:cs="仿宋"/>
          <w:color w:val="auto"/>
          <w:sz w:val="24"/>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bookmarkStart w:id="95" w:name="_Toc7507177"/>
      <w:bookmarkStart w:id="96" w:name="_Toc6703_WPSOffice_Level1"/>
      <w:bookmarkStart w:id="97" w:name="_Toc9868_WPSOffice_Level1"/>
      <w:bookmarkStart w:id="98" w:name="_Toc53231541"/>
      <w:bookmarkStart w:id="99" w:name="_Toc53231753"/>
      <w:bookmarkStart w:id="100" w:name="_Toc53231797"/>
    </w:p>
    <w:p>
      <w:pPr>
        <w:pStyle w:val="5"/>
        <w:jc w:val="center"/>
        <w:rPr>
          <w:rFonts w:hint="eastAsia" w:ascii="仿宋" w:hAnsi="仿宋" w:eastAsia="仿宋" w:cs="仿宋"/>
          <w:bCs w:val="0"/>
          <w:color w:val="auto"/>
          <w:sz w:val="24"/>
          <w:szCs w:val="24"/>
        </w:rPr>
      </w:pPr>
      <w:bookmarkStart w:id="101" w:name="_Toc78884388"/>
      <w:r>
        <w:rPr>
          <w:rFonts w:hint="eastAsia" w:ascii="仿宋" w:hAnsi="仿宋" w:eastAsia="仿宋" w:cs="仿宋"/>
          <w:bCs w:val="0"/>
          <w:color w:val="auto"/>
          <w:sz w:val="24"/>
          <w:szCs w:val="24"/>
        </w:rPr>
        <w:t>六、磋商保证金</w:t>
      </w:r>
      <w:bookmarkEnd w:id="95"/>
      <w:bookmarkEnd w:id="96"/>
      <w:bookmarkEnd w:id="97"/>
      <w:bookmarkEnd w:id="98"/>
      <w:bookmarkEnd w:id="99"/>
      <w:bookmarkEnd w:id="100"/>
      <w:bookmarkEnd w:id="101"/>
    </w:p>
    <w:p>
      <w:pPr>
        <w:jc w:val="center"/>
        <w:rPr>
          <w:rFonts w:hint="eastAsia" w:ascii="仿宋" w:hAnsi="仿宋" w:eastAsia="仿宋" w:cs="仿宋"/>
          <w:color w:val="auto"/>
          <w:sz w:val="24"/>
        </w:rPr>
      </w:pPr>
    </w:p>
    <w:p>
      <w:pPr>
        <w:jc w:val="center"/>
        <w:rPr>
          <w:rFonts w:hint="eastAsia" w:ascii="仿宋" w:hAnsi="仿宋" w:eastAsia="仿宋" w:cs="仿宋"/>
          <w:b/>
          <w:bCs/>
          <w:color w:val="auto"/>
          <w:sz w:val="24"/>
        </w:rPr>
      </w:pPr>
      <w:r>
        <w:rPr>
          <w:rFonts w:hint="eastAsia" w:ascii="仿宋" w:hAnsi="仿宋" w:eastAsia="仿宋" w:cs="仿宋"/>
          <w:b/>
          <w:bCs/>
          <w:color w:val="auto"/>
          <w:sz w:val="24"/>
        </w:rPr>
        <w:t>（一）以转账形式提交磋商担保的附以下证明材料</w:t>
      </w:r>
    </w:p>
    <w:p>
      <w:pPr>
        <w:jc w:val="center"/>
        <w:rPr>
          <w:rFonts w:hint="eastAsia" w:ascii="仿宋" w:hAnsi="仿宋" w:eastAsia="仿宋" w:cs="仿宋"/>
          <w:b/>
          <w:bCs/>
          <w:color w:val="auto"/>
          <w:sz w:val="24"/>
        </w:rPr>
      </w:pPr>
    </w:p>
    <w:p>
      <w:pPr>
        <w:spacing w:line="600" w:lineRule="auto"/>
        <w:ind w:firstLine="1680" w:firstLineChars="700"/>
        <w:jc w:val="both"/>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rPr>
        <w:t>.1银行转账凭复印件</w:t>
      </w:r>
    </w:p>
    <w:p>
      <w:pPr>
        <w:spacing w:line="600" w:lineRule="auto"/>
        <w:ind w:firstLine="1680" w:firstLineChars="700"/>
        <w:jc w:val="both"/>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rPr>
        <w:t>.2采购代理机构出具的投标保证金收据复印件</w:t>
      </w:r>
    </w:p>
    <w:p>
      <w:pPr>
        <w:spacing w:line="600" w:lineRule="auto"/>
        <w:ind w:firstLine="1680" w:firstLineChars="700"/>
        <w:jc w:val="both"/>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6.3</w:t>
      </w:r>
      <w:r>
        <w:rPr>
          <w:rFonts w:hint="eastAsia" w:ascii="仿宋" w:hAnsi="仿宋" w:eastAsia="仿宋" w:cs="仿宋"/>
          <w:b w:val="0"/>
          <w:bCs w:val="0"/>
          <w:color w:val="auto"/>
          <w:sz w:val="24"/>
        </w:rPr>
        <w:t>基本账户开户许可证</w:t>
      </w:r>
      <w:r>
        <w:rPr>
          <w:rFonts w:hint="eastAsia" w:ascii="仿宋" w:hAnsi="仿宋" w:eastAsia="仿宋" w:cs="仿宋"/>
          <w:b w:val="0"/>
          <w:bCs w:val="0"/>
          <w:color w:val="auto"/>
          <w:sz w:val="24"/>
          <w:lang w:eastAsia="zh-CN"/>
        </w:rPr>
        <w:t>或基本账户开户证明</w:t>
      </w:r>
      <w:r>
        <w:rPr>
          <w:rFonts w:hint="eastAsia" w:ascii="仿宋" w:hAnsi="仿宋" w:eastAsia="仿宋" w:cs="仿宋"/>
          <w:b w:val="0"/>
          <w:bCs w:val="0"/>
          <w:color w:val="auto"/>
          <w:sz w:val="24"/>
        </w:rPr>
        <w:t>复印件</w:t>
      </w:r>
    </w:p>
    <w:p>
      <w:pPr>
        <w:pStyle w:val="14"/>
        <w:jc w:val="center"/>
        <w:rPr>
          <w:rFonts w:hint="eastAsia" w:ascii="仿宋" w:hAnsi="仿宋" w:eastAsia="仿宋" w:cs="仿宋"/>
          <w:color w:val="auto"/>
          <w:sz w:val="24"/>
        </w:rPr>
      </w:pPr>
    </w:p>
    <w:p>
      <w:pPr>
        <w:jc w:val="center"/>
        <w:rPr>
          <w:rFonts w:hint="eastAsia" w:ascii="仿宋" w:hAnsi="仿宋" w:eastAsia="仿宋" w:cs="仿宋"/>
          <w:b/>
          <w:bCs/>
          <w:color w:val="auto"/>
          <w:sz w:val="24"/>
        </w:rPr>
      </w:pPr>
    </w:p>
    <w:p>
      <w:pPr>
        <w:jc w:val="center"/>
        <w:rPr>
          <w:rFonts w:hint="eastAsia" w:ascii="仿宋" w:hAnsi="仿宋" w:eastAsia="仿宋" w:cs="仿宋"/>
          <w:b/>
          <w:bCs/>
          <w:color w:val="auto"/>
          <w:sz w:val="24"/>
        </w:rPr>
      </w:pPr>
    </w:p>
    <w:p>
      <w:pPr>
        <w:jc w:val="center"/>
        <w:rPr>
          <w:rFonts w:hint="eastAsia" w:ascii="仿宋" w:hAnsi="仿宋" w:eastAsia="仿宋" w:cs="仿宋"/>
          <w:b/>
          <w:bCs/>
          <w:color w:val="auto"/>
          <w:sz w:val="24"/>
        </w:rPr>
      </w:pPr>
    </w:p>
    <w:p>
      <w:pPr>
        <w:numPr>
          <w:ilvl w:val="0"/>
          <w:numId w:val="4"/>
        </w:numPr>
        <w:jc w:val="center"/>
        <w:rPr>
          <w:rFonts w:hint="eastAsia" w:ascii="仿宋" w:hAnsi="仿宋" w:eastAsia="仿宋" w:cs="仿宋"/>
          <w:b/>
          <w:bCs/>
          <w:color w:val="auto"/>
          <w:sz w:val="24"/>
          <w:lang w:eastAsia="zh-CN"/>
        </w:rPr>
      </w:pPr>
      <w:r>
        <w:rPr>
          <w:rFonts w:hint="eastAsia" w:ascii="仿宋" w:hAnsi="仿宋" w:eastAsia="仿宋" w:cs="仿宋"/>
          <w:b/>
          <w:bCs/>
          <w:color w:val="auto"/>
          <w:sz w:val="24"/>
        </w:rPr>
        <w:t>以保函形式提交磋商担保的提供担保机构出具的保函复印件</w:t>
      </w:r>
      <w:r>
        <w:rPr>
          <w:rFonts w:hint="eastAsia" w:ascii="仿宋" w:hAnsi="仿宋" w:eastAsia="仿宋" w:cs="仿宋"/>
          <w:b/>
          <w:bCs/>
          <w:color w:val="auto"/>
          <w:sz w:val="24"/>
          <w:lang w:eastAsia="zh-CN"/>
        </w:rPr>
        <w:t>（原件备查）</w:t>
      </w:r>
    </w:p>
    <w:p>
      <w:pPr>
        <w:pStyle w:val="2"/>
        <w:numPr>
          <w:ilvl w:val="0"/>
          <w:numId w:val="0"/>
        </w:numPr>
        <w:ind w:firstLine="1200" w:firstLineChars="500"/>
        <w:rPr>
          <w:rFonts w:hint="eastAsia" w:ascii="仿宋" w:hAnsi="仿宋" w:eastAsia="仿宋" w:cs="仿宋"/>
          <w:color w:val="auto"/>
          <w:sz w:val="24"/>
          <w:szCs w:val="24"/>
          <w:lang w:eastAsia="zh-CN"/>
        </w:rPr>
      </w:pPr>
    </w:p>
    <w:p>
      <w:pPr>
        <w:pStyle w:val="2"/>
        <w:numPr>
          <w:ilvl w:val="0"/>
          <w:numId w:val="0"/>
        </w:numPr>
        <w:ind w:firstLine="1200" w:firstLineChars="500"/>
        <w:rPr>
          <w:rFonts w:hint="eastAsia"/>
          <w:lang w:eastAsia="zh-CN"/>
        </w:rPr>
      </w:pPr>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rPr>
        <w:t>以银行转账或者金融机构、担保机构出具的保函等非现金形式。</w:t>
      </w:r>
    </w:p>
    <w:p>
      <w:pPr>
        <w:pStyle w:val="14"/>
        <w:rPr>
          <w:rFonts w:hint="eastAsia" w:ascii="仿宋" w:hAnsi="仿宋" w:eastAsia="仿宋" w:cs="仿宋"/>
          <w:color w:val="auto"/>
          <w:sz w:val="24"/>
        </w:rPr>
      </w:pPr>
    </w:p>
    <w:p>
      <w:pPr>
        <w:spacing w:before="240" w:beforeLines="100" w:after="120" w:afterLines="50"/>
        <w:jc w:val="center"/>
        <w:rPr>
          <w:rFonts w:hint="eastAsia" w:ascii="仿宋" w:hAnsi="仿宋" w:eastAsia="仿宋" w:cs="仿宋"/>
          <w:b/>
          <w:color w:val="auto"/>
          <w:sz w:val="24"/>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rPr>
          <w:rFonts w:hint="eastAsia" w:ascii="仿宋" w:hAnsi="仿宋" w:eastAsia="仿宋" w:cs="仿宋"/>
          <w:color w:val="auto"/>
          <w:lang w:val="zh-CN"/>
        </w:rPr>
      </w:pPr>
    </w:p>
    <w:p>
      <w:pPr>
        <w:pStyle w:val="5"/>
        <w:jc w:val="center"/>
        <w:rPr>
          <w:rFonts w:hint="eastAsia" w:ascii="仿宋" w:hAnsi="仿宋" w:eastAsia="仿宋" w:cs="仿宋"/>
          <w:bCs w:val="0"/>
          <w:color w:val="auto"/>
          <w:sz w:val="24"/>
          <w:szCs w:val="24"/>
        </w:rPr>
      </w:pPr>
      <w:bookmarkStart w:id="102" w:name="_Toc7507179"/>
      <w:bookmarkStart w:id="103" w:name="_Toc13384_WPSOffice_Level1"/>
      <w:bookmarkStart w:id="104" w:name="_Toc501033968"/>
      <w:bookmarkStart w:id="105" w:name="_Toc8829_WPSOffice_Level1"/>
      <w:bookmarkStart w:id="106" w:name="_Toc53231754"/>
      <w:bookmarkStart w:id="107" w:name="_Toc53231798"/>
      <w:bookmarkStart w:id="108" w:name="_Toc53231542"/>
      <w:bookmarkStart w:id="109" w:name="_Toc78884389"/>
      <w:r>
        <w:rPr>
          <w:rFonts w:hint="eastAsia" w:ascii="仿宋" w:hAnsi="仿宋" w:eastAsia="仿宋" w:cs="仿宋"/>
          <w:bCs w:val="0"/>
          <w:color w:val="auto"/>
          <w:sz w:val="24"/>
          <w:szCs w:val="24"/>
        </w:rPr>
        <w:t>七、供应商资质</w:t>
      </w:r>
      <w:bookmarkEnd w:id="102"/>
      <w:bookmarkEnd w:id="103"/>
      <w:bookmarkEnd w:id="104"/>
      <w:bookmarkEnd w:id="105"/>
      <w:r>
        <w:rPr>
          <w:rFonts w:hint="eastAsia" w:ascii="仿宋" w:hAnsi="仿宋" w:eastAsia="仿宋" w:cs="仿宋"/>
          <w:bCs w:val="0"/>
          <w:color w:val="auto"/>
          <w:sz w:val="24"/>
          <w:szCs w:val="24"/>
        </w:rPr>
        <w:t>审查资料</w:t>
      </w:r>
      <w:bookmarkEnd w:id="106"/>
      <w:bookmarkEnd w:id="107"/>
      <w:bookmarkEnd w:id="108"/>
      <w:bookmarkEnd w:id="109"/>
      <w:bookmarkStart w:id="110" w:name="_Toc53231755"/>
      <w:bookmarkStart w:id="111" w:name="_Toc15359"/>
      <w:bookmarkStart w:id="112" w:name="_Toc53231543"/>
      <w:bookmarkStart w:id="113" w:name="_Toc53231799"/>
    </w:p>
    <w:p>
      <w:pPr>
        <w:spacing w:line="440" w:lineRule="exact"/>
        <w:jc w:val="center"/>
        <w:rPr>
          <w:rFonts w:hint="eastAsia" w:ascii="仿宋" w:hAnsi="仿宋" w:eastAsia="仿宋" w:cs="仿宋"/>
          <w:b/>
          <w:color w:val="auto"/>
          <w:sz w:val="24"/>
        </w:rPr>
      </w:pPr>
      <w:r>
        <w:rPr>
          <w:rFonts w:hint="eastAsia" w:ascii="仿宋" w:hAnsi="仿宋" w:eastAsia="仿宋" w:cs="仿宋"/>
          <w:b/>
          <w:color w:val="auto"/>
          <w:sz w:val="24"/>
        </w:rPr>
        <w:t>（一）投标</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基本情况表</w:t>
      </w:r>
      <w:bookmarkEnd w:id="110"/>
      <w:bookmarkEnd w:id="111"/>
      <w:bookmarkEnd w:id="112"/>
      <w:bookmarkEnd w:id="11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37"/>
        <w:gridCol w:w="1419"/>
        <w:gridCol w:w="1068"/>
        <w:gridCol w:w="200"/>
        <w:gridCol w:w="1399"/>
        <w:gridCol w:w="18"/>
        <w:gridCol w:w="161"/>
        <w:gridCol w:w="53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投标</w:t>
            </w:r>
            <w:r>
              <w:rPr>
                <w:rFonts w:hint="eastAsia" w:ascii="仿宋" w:hAnsi="仿宋" w:eastAsia="仿宋" w:cs="仿宋"/>
                <w:color w:val="auto"/>
                <w:sz w:val="24"/>
                <w:lang w:eastAsia="zh-CN"/>
              </w:rPr>
              <w:t>供应商</w:t>
            </w:r>
            <w:r>
              <w:rPr>
                <w:rFonts w:hint="eastAsia" w:ascii="仿宋" w:hAnsi="仿宋" w:eastAsia="仿宋" w:cs="仿宋"/>
                <w:color w:val="auto"/>
                <w:sz w:val="24"/>
              </w:rPr>
              <w:t>名称</w:t>
            </w:r>
          </w:p>
        </w:tc>
        <w:tc>
          <w:tcPr>
            <w:tcW w:w="6877" w:type="dxa"/>
            <w:gridSpan w:val="9"/>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注册地址</w:t>
            </w:r>
          </w:p>
        </w:tc>
        <w:tc>
          <w:tcPr>
            <w:tcW w:w="3624" w:type="dxa"/>
            <w:gridSpan w:val="4"/>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Merge w:val="restart"/>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联系人</w:t>
            </w:r>
          </w:p>
        </w:tc>
        <w:tc>
          <w:tcPr>
            <w:tcW w:w="2687" w:type="dxa"/>
            <w:gridSpan w:val="3"/>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　　话</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13" w:type="dxa"/>
            <w:vMerge w:val="continue"/>
            <w:vAlign w:val="center"/>
          </w:tcPr>
          <w:p>
            <w:pPr>
              <w:spacing w:line="440" w:lineRule="exact"/>
              <w:jc w:val="center"/>
              <w:rPr>
                <w:rFonts w:hint="eastAsia" w:ascii="仿宋" w:hAnsi="仿宋" w:eastAsia="仿宋" w:cs="仿宋"/>
                <w:color w:val="auto"/>
                <w:sz w:val="24"/>
              </w:rPr>
            </w:pP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2687" w:type="dxa"/>
            <w:gridSpan w:val="3"/>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电子邮件</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419" w:type="dxa"/>
            <w:vAlign w:val="center"/>
          </w:tcPr>
          <w:p>
            <w:pPr>
              <w:spacing w:line="440" w:lineRule="exact"/>
              <w:jc w:val="center"/>
              <w:rPr>
                <w:rFonts w:hint="eastAsia" w:ascii="仿宋" w:hAnsi="仿宋" w:eastAsia="仿宋" w:cs="仿宋"/>
                <w:color w:val="auto"/>
                <w:sz w:val="24"/>
              </w:rPr>
            </w:pPr>
          </w:p>
        </w:tc>
        <w:tc>
          <w:tcPr>
            <w:tcW w:w="1268"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399" w:type="dxa"/>
            <w:vAlign w:val="center"/>
          </w:tcPr>
          <w:p>
            <w:pPr>
              <w:spacing w:line="440" w:lineRule="exact"/>
              <w:jc w:val="center"/>
              <w:rPr>
                <w:rFonts w:hint="eastAsia" w:ascii="仿宋" w:hAnsi="仿宋" w:eastAsia="仿宋" w:cs="仿宋"/>
                <w:color w:val="auto"/>
                <w:sz w:val="24"/>
              </w:rPr>
            </w:pPr>
          </w:p>
        </w:tc>
        <w:tc>
          <w:tcPr>
            <w:tcW w:w="715" w:type="dxa"/>
            <w:gridSpan w:val="3"/>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139"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技术负责人</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419" w:type="dxa"/>
            <w:vAlign w:val="center"/>
          </w:tcPr>
          <w:p>
            <w:pPr>
              <w:spacing w:line="440" w:lineRule="exact"/>
              <w:jc w:val="center"/>
              <w:rPr>
                <w:rFonts w:hint="eastAsia" w:ascii="仿宋" w:hAnsi="仿宋" w:eastAsia="仿宋" w:cs="仿宋"/>
                <w:color w:val="auto"/>
                <w:sz w:val="24"/>
              </w:rPr>
            </w:pPr>
          </w:p>
        </w:tc>
        <w:tc>
          <w:tcPr>
            <w:tcW w:w="1268"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399" w:type="dxa"/>
            <w:vAlign w:val="center"/>
          </w:tcPr>
          <w:p>
            <w:pPr>
              <w:spacing w:line="440" w:lineRule="exact"/>
              <w:jc w:val="center"/>
              <w:rPr>
                <w:rFonts w:hint="eastAsia" w:ascii="仿宋" w:hAnsi="仿宋" w:eastAsia="仿宋" w:cs="仿宋"/>
                <w:color w:val="auto"/>
                <w:sz w:val="24"/>
              </w:rPr>
            </w:pPr>
          </w:p>
        </w:tc>
        <w:tc>
          <w:tcPr>
            <w:tcW w:w="715" w:type="dxa"/>
            <w:gridSpan w:val="3"/>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139"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成立时间</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4521" w:type="dxa"/>
            <w:gridSpan w:val="7"/>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企业资质等级</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restart"/>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其中</w:t>
            </w: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项目经理</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营业执照号</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高级职称人员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注册资金</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中级职称人员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基本账户开户银行</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初级职称人员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基本账户账号</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　　工</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经营范围</w:t>
            </w:r>
          </w:p>
        </w:tc>
        <w:tc>
          <w:tcPr>
            <w:tcW w:w="6877" w:type="dxa"/>
            <w:gridSpan w:val="9"/>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投标人关联企业情况</w:t>
            </w:r>
          </w:p>
        </w:tc>
        <w:tc>
          <w:tcPr>
            <w:tcW w:w="6877" w:type="dxa"/>
            <w:gridSpan w:val="9"/>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6877" w:type="dxa"/>
            <w:gridSpan w:val="9"/>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tc>
      </w:tr>
    </w:tbl>
    <w:p>
      <w:pPr>
        <w:jc w:val="center"/>
        <w:rPr>
          <w:rFonts w:hint="eastAsia" w:ascii="仿宋" w:hAnsi="仿宋" w:eastAsia="仿宋" w:cs="仿宋"/>
          <w:b/>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rPr>
      </w:pPr>
    </w:p>
    <w:p>
      <w:pPr>
        <w:rPr>
          <w:rFonts w:hint="eastAsia" w:ascii="仿宋" w:hAnsi="仿宋" w:eastAsia="仿宋" w:cs="仿宋"/>
          <w:color w:val="auto"/>
          <w:sz w:val="24"/>
        </w:rPr>
      </w:pPr>
    </w:p>
    <w:p>
      <w:pPr>
        <w:pStyle w:val="14"/>
        <w:rPr>
          <w:rFonts w:hint="eastAsia"/>
          <w:color w:val="auto"/>
        </w:rPr>
      </w:pPr>
    </w:p>
    <w:p>
      <w:pPr>
        <w:widowControl/>
        <w:numPr>
          <w:ilvl w:val="0"/>
          <w:numId w:val="5"/>
        </w:numPr>
        <w:tabs>
          <w:tab w:val="left" w:pos="1620"/>
        </w:tabs>
        <w:spacing w:line="360" w:lineRule="auto"/>
        <w:ind w:firstLine="482" w:firstLineChars="200"/>
        <w:jc w:val="center"/>
        <w:rPr>
          <w:rFonts w:hint="eastAsia" w:ascii="仿宋" w:hAnsi="仿宋" w:eastAsia="仿宋" w:cs="仿宋"/>
          <w:b/>
          <w:bCs/>
          <w:color w:val="auto"/>
          <w:sz w:val="24"/>
        </w:rPr>
      </w:pPr>
      <w:r>
        <w:rPr>
          <w:rFonts w:hint="eastAsia" w:ascii="仿宋" w:hAnsi="仿宋" w:eastAsia="仿宋" w:cs="仿宋"/>
          <w:b/>
          <w:bCs/>
          <w:color w:val="auto"/>
          <w:sz w:val="24"/>
        </w:rPr>
        <w:t>投标</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应附的资格证明文件</w:t>
      </w:r>
    </w:p>
    <w:p>
      <w:pPr>
        <w:pStyle w:val="14"/>
        <w:spacing w:line="480" w:lineRule="auto"/>
        <w:ind w:firstLine="482" w:firstLineChars="200"/>
        <w:rPr>
          <w:rFonts w:hint="eastAsia" w:ascii="仿宋" w:hAnsi="仿宋" w:eastAsia="仿宋" w:cs="仿宋"/>
          <w:b/>
          <w:bCs/>
          <w:color w:val="auto"/>
          <w:sz w:val="24"/>
          <w:lang w:eastAsia="zh-CN"/>
        </w:rPr>
      </w:pPr>
    </w:p>
    <w:p>
      <w:pPr>
        <w:pStyle w:val="14"/>
        <w:spacing w:line="480" w:lineRule="auto"/>
        <w:ind w:firstLine="482" w:firstLineChars="200"/>
        <w:rPr>
          <w:rFonts w:hint="eastAsia" w:eastAsia="仿宋"/>
          <w:lang w:eastAsia="zh-CN"/>
        </w:rPr>
      </w:pPr>
      <w:r>
        <w:rPr>
          <w:rFonts w:hint="eastAsia" w:ascii="仿宋" w:hAnsi="仿宋" w:eastAsia="仿宋" w:cs="仿宋"/>
          <w:b/>
          <w:bCs/>
          <w:color w:val="auto"/>
          <w:sz w:val="24"/>
          <w:lang w:eastAsia="zh-CN"/>
        </w:rPr>
        <w:t>详见竞争性磋商文件第二章“供应商须知前附表”及竞争性磋商文件第三章“评审内容”中“资格审查”评审表。</w:t>
      </w:r>
    </w:p>
    <w:p>
      <w:pPr>
        <w:pStyle w:val="14"/>
        <w:numPr>
          <w:ilvl w:val="0"/>
          <w:numId w:val="0"/>
        </w:numPr>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 xml:space="preserve">         </w:t>
      </w:r>
    </w:p>
    <w:p>
      <w:pPr>
        <w:pStyle w:val="14"/>
        <w:numPr>
          <w:ilvl w:val="0"/>
          <w:numId w:val="0"/>
        </w:numPr>
        <w:jc w:val="center"/>
        <w:rPr>
          <w:rFonts w:hint="eastAsia"/>
          <w:color w:val="auto"/>
          <w:sz w:val="21"/>
          <w:szCs w:val="28"/>
        </w:rPr>
      </w:pPr>
      <w:r>
        <w:rPr>
          <w:rFonts w:hint="eastAsia" w:ascii="仿宋" w:hAnsi="仿宋" w:eastAsia="仿宋" w:cs="仿宋"/>
          <w:b/>
          <w:color w:val="auto"/>
          <w:sz w:val="28"/>
          <w:szCs w:val="28"/>
        </w:rPr>
        <w:t>（注：磋商</w:t>
      </w:r>
      <w:r>
        <w:rPr>
          <w:rFonts w:hint="eastAsia" w:ascii="仿宋" w:hAnsi="仿宋" w:eastAsia="仿宋" w:cs="仿宋"/>
          <w:b/>
          <w:color w:val="auto"/>
          <w:sz w:val="28"/>
          <w:szCs w:val="28"/>
          <w:lang w:eastAsia="zh-CN"/>
        </w:rPr>
        <w:t>响应</w:t>
      </w:r>
      <w:r>
        <w:rPr>
          <w:rFonts w:hint="eastAsia" w:ascii="仿宋" w:hAnsi="仿宋" w:eastAsia="仿宋" w:cs="仿宋"/>
          <w:b/>
          <w:color w:val="auto"/>
          <w:sz w:val="28"/>
          <w:szCs w:val="28"/>
        </w:rPr>
        <w:t>文件中附以上证明文件的复印件并加盖公章）</w:t>
      </w:r>
    </w:p>
    <w:p>
      <w:pPr>
        <w:pStyle w:val="14"/>
        <w:ind w:firstLine="482" w:firstLineChars="200"/>
        <w:rPr>
          <w:rFonts w:hint="eastAsia" w:ascii="仿宋" w:hAnsi="仿宋" w:eastAsia="仿宋" w:cs="仿宋"/>
          <w:b/>
          <w:color w:val="auto"/>
          <w:sz w:val="24"/>
        </w:rPr>
      </w:pPr>
    </w:p>
    <w:p>
      <w:pPr>
        <w:rPr>
          <w:rFonts w:hint="eastAsia" w:ascii="仿宋" w:hAnsi="仿宋" w:eastAsia="仿宋" w:cs="仿宋"/>
          <w:b/>
          <w:color w:val="auto"/>
          <w:sz w:val="24"/>
        </w:rPr>
      </w:pPr>
    </w:p>
    <w:p>
      <w:pPr>
        <w:pStyle w:val="14"/>
        <w:rPr>
          <w:rFonts w:hint="eastAsia" w:ascii="仿宋" w:hAnsi="仿宋" w:eastAsia="仿宋" w:cs="仿宋"/>
          <w:b/>
          <w:color w:val="auto"/>
          <w:sz w:val="24"/>
        </w:rPr>
      </w:pPr>
    </w:p>
    <w:p>
      <w:pPr>
        <w:rPr>
          <w:rFonts w:hint="eastAsia" w:ascii="仿宋" w:hAnsi="仿宋" w:eastAsia="仿宋" w:cs="仿宋"/>
          <w:b/>
          <w:color w:val="auto"/>
          <w:sz w:val="24"/>
        </w:rPr>
      </w:pPr>
    </w:p>
    <w:p>
      <w:pPr>
        <w:pStyle w:val="14"/>
        <w:rPr>
          <w:rFonts w:hint="eastAsia" w:ascii="仿宋" w:hAnsi="仿宋" w:eastAsia="仿宋" w:cs="仿宋"/>
          <w:b/>
          <w:color w:val="auto"/>
          <w:sz w:val="24"/>
        </w:rPr>
      </w:pPr>
    </w:p>
    <w:p>
      <w:pPr>
        <w:rPr>
          <w:rFonts w:hint="eastAsia" w:ascii="仿宋" w:hAnsi="仿宋" w:eastAsia="仿宋" w:cs="仿宋"/>
          <w:b/>
          <w:color w:val="auto"/>
          <w:sz w:val="24"/>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rPr>
      </w:pPr>
    </w:p>
    <w:p>
      <w:pPr>
        <w:pStyle w:val="5"/>
        <w:jc w:val="center"/>
        <w:rPr>
          <w:rFonts w:hint="eastAsia" w:ascii="仿宋" w:hAnsi="仿宋" w:eastAsia="仿宋" w:cs="仿宋"/>
          <w:bCs w:val="0"/>
          <w:color w:val="auto"/>
          <w:sz w:val="24"/>
          <w:szCs w:val="24"/>
        </w:rPr>
      </w:pPr>
      <w:bookmarkStart w:id="114" w:name="_Toc53231544"/>
      <w:bookmarkStart w:id="115" w:name="_Toc53231756"/>
      <w:bookmarkStart w:id="116" w:name="_Toc53231800"/>
      <w:bookmarkStart w:id="117" w:name="_Toc78884390"/>
      <w:r>
        <w:rPr>
          <w:rFonts w:hint="eastAsia" w:ascii="仿宋" w:hAnsi="仿宋" w:eastAsia="仿宋" w:cs="仿宋"/>
          <w:bCs w:val="0"/>
          <w:color w:val="auto"/>
          <w:sz w:val="24"/>
          <w:szCs w:val="24"/>
        </w:rPr>
        <w:t>八、 技术投标方案</w:t>
      </w:r>
      <w:bookmarkEnd w:id="114"/>
      <w:bookmarkEnd w:id="115"/>
      <w:bookmarkEnd w:id="116"/>
      <w:bookmarkEnd w:id="117"/>
    </w:p>
    <w:p>
      <w:pPr>
        <w:jc w:val="center"/>
        <w:rPr>
          <w:rFonts w:hint="eastAsia" w:ascii="仿宋" w:hAnsi="仿宋" w:eastAsia="仿宋" w:cs="仿宋"/>
          <w:b/>
          <w:color w:val="auto"/>
          <w:sz w:val="24"/>
        </w:rPr>
      </w:pPr>
      <w:r>
        <w:rPr>
          <w:rFonts w:hint="eastAsia" w:ascii="仿宋" w:hAnsi="仿宋" w:eastAsia="仿宋" w:cs="仿宋"/>
          <w:b/>
          <w:color w:val="auto"/>
          <w:sz w:val="24"/>
        </w:rPr>
        <w:t>（格式自拟）</w:t>
      </w: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sz w:val="24"/>
        </w:rPr>
      </w:pPr>
    </w:p>
    <w:p>
      <w:pPr>
        <w:pStyle w:val="5"/>
        <w:jc w:val="center"/>
        <w:rPr>
          <w:rFonts w:hint="eastAsia" w:ascii="仿宋" w:hAnsi="仿宋" w:eastAsia="仿宋" w:cs="仿宋"/>
          <w:bCs w:val="0"/>
          <w:color w:val="auto"/>
          <w:sz w:val="24"/>
          <w:szCs w:val="24"/>
        </w:rPr>
      </w:pPr>
      <w:bookmarkStart w:id="118" w:name="_Toc78884391"/>
      <w:r>
        <w:rPr>
          <w:rFonts w:hint="eastAsia" w:ascii="仿宋" w:hAnsi="仿宋" w:eastAsia="仿宋" w:cs="仿宋"/>
          <w:bCs w:val="0"/>
          <w:color w:val="auto"/>
          <w:sz w:val="24"/>
          <w:szCs w:val="24"/>
        </w:rPr>
        <w:t>九、商务投标方案</w:t>
      </w:r>
      <w:bookmarkEnd w:id="118"/>
    </w:p>
    <w:p>
      <w:pPr>
        <w:pStyle w:val="83"/>
        <w:jc w:val="center"/>
        <w:rPr>
          <w:rFonts w:hint="eastAsia" w:ascii="仿宋" w:hAnsi="仿宋" w:eastAsia="仿宋" w:cs="仿宋"/>
          <w:b/>
          <w:bCs/>
          <w:color w:val="auto"/>
          <w:szCs w:val="24"/>
        </w:rPr>
      </w:pPr>
      <w:r>
        <w:rPr>
          <w:rFonts w:hint="eastAsia" w:ascii="仿宋" w:hAnsi="仿宋" w:eastAsia="仿宋" w:cs="仿宋"/>
          <w:b/>
          <w:bCs/>
          <w:color w:val="auto"/>
          <w:szCs w:val="24"/>
        </w:rPr>
        <w:t>（一）供应商2018年至今完成类似业绩情况</w:t>
      </w:r>
    </w:p>
    <w:p>
      <w:pPr>
        <w:rPr>
          <w:rFonts w:hint="eastAsia" w:ascii="仿宋" w:hAnsi="仿宋" w:eastAsia="仿宋" w:cs="仿宋"/>
          <w:color w:val="auto"/>
          <w:sz w:val="24"/>
        </w:rPr>
      </w:pP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4"/>
        <w:gridCol w:w="2931"/>
        <w:gridCol w:w="18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5"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1504"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建设单位</w:t>
            </w:r>
          </w:p>
        </w:tc>
        <w:tc>
          <w:tcPr>
            <w:tcW w:w="2931"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项目名称及合同金额</w:t>
            </w:r>
          </w:p>
          <w:p>
            <w:pPr>
              <w:jc w:val="center"/>
              <w:rPr>
                <w:rFonts w:hint="eastAsia" w:ascii="仿宋" w:hAnsi="仿宋" w:eastAsia="仿宋" w:cs="仿宋"/>
                <w:bCs/>
                <w:color w:val="auto"/>
                <w:sz w:val="24"/>
              </w:rPr>
            </w:pPr>
            <w:r>
              <w:rPr>
                <w:rFonts w:hint="eastAsia" w:ascii="仿宋" w:hAnsi="仿宋" w:eastAsia="仿宋" w:cs="仿宋"/>
                <w:bCs/>
                <w:color w:val="auto"/>
                <w:sz w:val="24"/>
              </w:rPr>
              <w:t>（万元）</w:t>
            </w:r>
          </w:p>
        </w:tc>
        <w:tc>
          <w:tcPr>
            <w:tcW w:w="1846"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竣工时间</w:t>
            </w:r>
          </w:p>
        </w:tc>
        <w:tc>
          <w:tcPr>
            <w:tcW w:w="1843"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bl>
    <w:p>
      <w:pPr>
        <w:jc w:val="left"/>
        <w:rPr>
          <w:rFonts w:hint="eastAsia" w:ascii="仿宋" w:hAnsi="仿宋" w:eastAsia="仿宋" w:cs="仿宋"/>
          <w:color w:val="auto"/>
          <w:sz w:val="24"/>
        </w:rPr>
      </w:pPr>
    </w:p>
    <w:p>
      <w:pPr>
        <w:ind w:left="482" w:hanging="482" w:hangingChars="200"/>
        <w:jc w:val="left"/>
        <w:rPr>
          <w:rFonts w:hint="eastAsia" w:ascii="仿宋" w:hAnsi="仿宋" w:eastAsia="仿宋" w:cs="仿宋"/>
          <w:b/>
          <w:bCs/>
          <w:color w:val="auto"/>
          <w:sz w:val="24"/>
        </w:rPr>
      </w:pPr>
      <w:r>
        <w:rPr>
          <w:rFonts w:hint="eastAsia" w:ascii="仿宋" w:hAnsi="仿宋" w:eastAsia="仿宋" w:cs="仿宋"/>
          <w:b/>
          <w:bCs/>
          <w:color w:val="auto"/>
          <w:sz w:val="24"/>
        </w:rPr>
        <w:t>注：</w:t>
      </w:r>
      <w:r>
        <w:rPr>
          <w:rFonts w:hint="eastAsia" w:ascii="仿宋" w:hAnsi="仿宋" w:eastAsia="仿宋" w:cs="仿宋"/>
          <w:b/>
          <w:bCs/>
          <w:color w:val="auto"/>
          <w:sz w:val="24"/>
          <w:lang w:eastAsia="zh-CN"/>
        </w:rPr>
        <w:t>业绩评审需提供本项目中标通知书及施工合同复印件，缺一无效，</w:t>
      </w:r>
      <w:r>
        <w:rPr>
          <w:rFonts w:hint="eastAsia" w:ascii="仿宋" w:hAnsi="仿宋" w:eastAsia="仿宋" w:cs="仿宋"/>
          <w:b/>
          <w:bCs/>
          <w:color w:val="auto"/>
          <w:sz w:val="24"/>
        </w:rPr>
        <w:t>证明材料在响应文件中附复印件。</w:t>
      </w: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83"/>
        <w:jc w:val="center"/>
        <w:rPr>
          <w:rFonts w:hint="eastAsia" w:ascii="仿宋" w:hAnsi="仿宋" w:eastAsia="仿宋" w:cs="仿宋"/>
          <w:b/>
          <w:bCs/>
          <w:color w:val="auto"/>
          <w:szCs w:val="24"/>
        </w:rPr>
      </w:pPr>
      <w:bookmarkStart w:id="119" w:name="_Toc8554"/>
      <w:r>
        <w:rPr>
          <w:rFonts w:hint="eastAsia" w:ascii="仿宋" w:hAnsi="仿宋" w:eastAsia="仿宋" w:cs="仿宋"/>
          <w:b/>
          <w:bCs/>
          <w:color w:val="auto"/>
          <w:szCs w:val="24"/>
        </w:rPr>
        <w:t>（二）项目管理机构组成表</w:t>
      </w:r>
      <w:bookmarkEnd w:id="119"/>
    </w:p>
    <w:p>
      <w:pPr>
        <w:rPr>
          <w:rFonts w:hint="eastAsia" w:ascii="仿宋" w:hAnsi="仿宋" w:eastAsia="仿宋" w:cs="仿宋"/>
          <w:color w:val="auto"/>
          <w:sz w:val="24"/>
        </w:rPr>
      </w:pPr>
    </w:p>
    <w:tbl>
      <w:tblPr>
        <w:tblStyle w:val="29"/>
        <w:tblW w:w="92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73"/>
        <w:gridCol w:w="732"/>
        <w:gridCol w:w="1497"/>
        <w:gridCol w:w="851"/>
        <w:gridCol w:w="1417"/>
        <w:gridCol w:w="167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543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执业或职业资格证明</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证书名称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级别</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证号</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bl>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83"/>
        <w:ind w:firstLine="0"/>
        <w:jc w:val="center"/>
        <w:rPr>
          <w:rFonts w:hint="eastAsia" w:ascii="仿宋" w:hAnsi="仿宋" w:eastAsia="仿宋" w:cs="仿宋"/>
          <w:b/>
          <w:bCs/>
          <w:color w:val="auto"/>
          <w:szCs w:val="24"/>
        </w:rPr>
      </w:pPr>
      <w:r>
        <w:rPr>
          <w:rFonts w:hint="eastAsia" w:ascii="仿宋" w:hAnsi="仿宋" w:eastAsia="仿宋" w:cs="仿宋"/>
          <w:b/>
          <w:bCs/>
          <w:color w:val="auto"/>
          <w:szCs w:val="24"/>
        </w:rPr>
        <w:t>（三）主要人员资历表</w:t>
      </w:r>
    </w:p>
    <w:p>
      <w:pPr>
        <w:pStyle w:val="83"/>
        <w:jc w:val="center"/>
        <w:rPr>
          <w:rFonts w:hint="eastAsia" w:ascii="仿宋" w:hAnsi="仿宋" w:eastAsia="仿宋" w:cs="仿宋"/>
          <w:b/>
          <w:bCs/>
          <w:color w:val="auto"/>
          <w:szCs w:val="24"/>
        </w:rPr>
      </w:pPr>
    </w:p>
    <w:tbl>
      <w:tblPr>
        <w:tblStyle w:val="2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
        <w:gridCol w:w="1315"/>
        <w:gridCol w:w="720"/>
        <w:gridCol w:w="803"/>
        <w:gridCol w:w="1526"/>
        <w:gridCol w:w="152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330" w:type="dxa"/>
            <w:gridSpan w:val="2"/>
            <w:vAlign w:val="center"/>
          </w:tcPr>
          <w:p>
            <w:pPr>
              <w:spacing w:line="440" w:lineRule="exact"/>
              <w:jc w:val="center"/>
              <w:rPr>
                <w:rFonts w:hint="eastAsia" w:ascii="仿宋" w:hAnsi="仿宋" w:eastAsia="仿宋" w:cs="仿宋"/>
                <w:color w:val="auto"/>
                <w:sz w:val="24"/>
              </w:rPr>
            </w:pPr>
          </w:p>
        </w:tc>
        <w:tc>
          <w:tcPr>
            <w:tcW w:w="1523"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年　龄</w:t>
            </w:r>
          </w:p>
        </w:tc>
        <w:tc>
          <w:tcPr>
            <w:tcW w:w="1526" w:type="dxa"/>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专　业</w:t>
            </w: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称</w:t>
            </w:r>
          </w:p>
        </w:tc>
        <w:tc>
          <w:tcPr>
            <w:tcW w:w="1330" w:type="dxa"/>
            <w:gridSpan w:val="2"/>
            <w:vAlign w:val="center"/>
          </w:tcPr>
          <w:p>
            <w:pPr>
              <w:spacing w:line="440" w:lineRule="exact"/>
              <w:jc w:val="center"/>
              <w:rPr>
                <w:rFonts w:hint="eastAsia" w:ascii="仿宋" w:hAnsi="仿宋" w:eastAsia="仿宋" w:cs="仿宋"/>
                <w:color w:val="auto"/>
                <w:sz w:val="24"/>
              </w:rPr>
            </w:pPr>
          </w:p>
        </w:tc>
        <w:tc>
          <w:tcPr>
            <w:tcW w:w="1523"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公司单位</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526" w:type="dxa"/>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拟在本工程担任职务</w:t>
            </w: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7428" w:type="dxa"/>
            <w:gridSpan w:val="7"/>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w:t>
            </w:r>
            <w:r>
              <w:rPr>
                <w:rFonts w:hint="eastAsia" w:ascii="仿宋" w:hAnsi="仿宋" w:eastAsia="仿宋" w:cs="仿宋"/>
                <w:color w:val="auto"/>
                <w:sz w:val="24"/>
              </w:rPr>
              <w:t>月毕业于</w:t>
            </w:r>
            <w:r>
              <w:rPr>
                <w:rFonts w:hint="eastAsia" w:ascii="仿宋" w:hAnsi="仿宋" w:eastAsia="仿宋" w:cs="仿宋"/>
                <w:color w:val="auto"/>
                <w:sz w:val="24"/>
                <w:u w:val="single"/>
              </w:rPr>
              <w:t>　     　</w:t>
            </w:r>
            <w:r>
              <w:rPr>
                <w:rFonts w:hint="eastAsia" w:ascii="仿宋" w:hAnsi="仿宋" w:eastAsia="仿宋" w:cs="仿宋"/>
                <w:color w:val="auto"/>
                <w:sz w:val="24"/>
              </w:rPr>
              <w:t>专业，学制</w:t>
            </w:r>
            <w:r>
              <w:rPr>
                <w:rFonts w:hint="eastAsia" w:ascii="仿宋" w:hAnsi="仿宋" w:eastAsia="仿宋" w:cs="仿宋"/>
                <w:color w:val="auto"/>
                <w:sz w:val="24"/>
                <w:u w:val="single"/>
              </w:rPr>
              <w:t>　 　</w:t>
            </w:r>
            <w:r>
              <w:rPr>
                <w:rFonts w:hint="eastAsia" w:ascii="仿宋" w:hAnsi="仿宋" w:eastAsia="仿宋" w:cs="仿宋"/>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44" w:type="dxa"/>
            <w:gridSpan w:val="8"/>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731"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tc>
        <w:tc>
          <w:tcPr>
            <w:tcW w:w="4364"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参加过的工程项目名称</w:t>
            </w: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担任何职</w:t>
            </w:r>
          </w:p>
        </w:tc>
        <w:tc>
          <w:tcPr>
            <w:tcW w:w="1525"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发包人及</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ind w:left="3360" w:hanging="3360" w:hangingChars="1400"/>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tcPr>
          <w:p>
            <w:pPr>
              <w:spacing w:line="440" w:lineRule="exact"/>
              <w:jc w:val="center"/>
              <w:rPr>
                <w:rFonts w:hint="eastAsia" w:ascii="仿宋" w:hAnsi="仿宋" w:eastAsia="仿宋" w:cs="仿宋"/>
                <w:color w:val="auto"/>
                <w:sz w:val="24"/>
              </w:rPr>
            </w:pPr>
          </w:p>
        </w:tc>
        <w:tc>
          <w:tcPr>
            <w:tcW w:w="4364" w:type="dxa"/>
            <w:gridSpan w:val="4"/>
          </w:tcPr>
          <w:p>
            <w:pPr>
              <w:spacing w:line="440" w:lineRule="exact"/>
              <w:jc w:val="center"/>
              <w:rPr>
                <w:rFonts w:hint="eastAsia" w:ascii="仿宋" w:hAnsi="仿宋" w:eastAsia="仿宋" w:cs="仿宋"/>
                <w:color w:val="auto"/>
                <w:sz w:val="24"/>
              </w:rPr>
            </w:pPr>
          </w:p>
        </w:tc>
        <w:tc>
          <w:tcPr>
            <w:tcW w:w="1524" w:type="dxa"/>
          </w:tcPr>
          <w:p>
            <w:pPr>
              <w:spacing w:line="440" w:lineRule="exact"/>
              <w:jc w:val="center"/>
              <w:rPr>
                <w:rFonts w:hint="eastAsia" w:ascii="仿宋" w:hAnsi="仿宋" w:eastAsia="仿宋" w:cs="仿宋"/>
                <w:color w:val="auto"/>
                <w:sz w:val="24"/>
              </w:rPr>
            </w:pPr>
          </w:p>
        </w:tc>
        <w:tc>
          <w:tcPr>
            <w:tcW w:w="1525" w:type="dxa"/>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766"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5378" w:type="dxa"/>
            <w:gridSpan w:val="4"/>
            <w:vAlign w:val="center"/>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tc>
      </w:tr>
    </w:tbl>
    <w:p>
      <w:pPr>
        <w:pStyle w:val="14"/>
        <w:rPr>
          <w:rFonts w:hint="eastAsia" w:ascii="仿宋" w:hAnsi="仿宋" w:eastAsia="仿宋" w:cs="仿宋"/>
          <w:b/>
          <w:bCs/>
          <w:color w:val="auto"/>
          <w:sz w:val="16"/>
          <w:szCs w:val="16"/>
        </w:rPr>
      </w:pPr>
    </w:p>
    <w:p>
      <w:pPr>
        <w:pStyle w:val="14"/>
        <w:rPr>
          <w:rFonts w:hint="eastAsia" w:ascii="仿宋" w:hAnsi="仿宋" w:eastAsia="仿宋" w:cs="仿宋"/>
          <w:b/>
          <w:bCs/>
          <w:color w:val="auto"/>
          <w:sz w:val="24"/>
        </w:rPr>
      </w:pPr>
      <w:r>
        <w:rPr>
          <w:rFonts w:hint="eastAsia" w:ascii="仿宋" w:hAnsi="仿宋" w:eastAsia="仿宋" w:cs="仿宋"/>
          <w:b/>
          <w:bCs/>
          <w:color w:val="auto"/>
          <w:sz w:val="24"/>
        </w:rPr>
        <w:t>注：项目经理应附建造师执业注册证书、安全生产考核合格证书、身份证、职称证等证明材料的复印件；其他主要人员应附相关证明材料复印件。</w:t>
      </w: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spacing w:before="240" w:beforeLines="100" w:after="240" w:afterLines="100"/>
        <w:jc w:val="center"/>
        <w:rPr>
          <w:rFonts w:hint="eastAsia" w:ascii="仿宋" w:hAnsi="仿宋" w:eastAsia="仿宋" w:cs="仿宋"/>
          <w:b/>
          <w:bCs/>
          <w:color w:val="auto"/>
          <w:sz w:val="24"/>
        </w:rPr>
      </w:pPr>
      <w:bookmarkStart w:id="120" w:name="_Toc9605_WPSOffice_Level1"/>
      <w:bookmarkStart w:id="121" w:name="_Toc23710_WPSOffice_Level1"/>
      <w:r>
        <w:rPr>
          <w:rFonts w:hint="eastAsia" w:ascii="仿宋" w:hAnsi="仿宋" w:eastAsia="仿宋" w:cs="仿宋"/>
          <w:b/>
          <w:bCs/>
          <w:color w:val="auto"/>
          <w:sz w:val="24"/>
        </w:rPr>
        <w:t>承 诺 书</w:t>
      </w:r>
      <w:bookmarkEnd w:id="120"/>
      <w:bookmarkEnd w:id="121"/>
    </w:p>
    <w:p>
      <w:pPr>
        <w:spacing w:after="240" w:afterLines="100" w:line="440" w:lineRule="exact"/>
        <w:rPr>
          <w:rFonts w:hint="eastAsia" w:ascii="仿宋" w:hAnsi="仿宋" w:eastAsia="仿宋" w:cs="仿宋"/>
          <w:color w:val="auto"/>
          <w:sz w:val="24"/>
          <w:u w:val="single"/>
        </w:rPr>
      </w:pPr>
      <w:r>
        <w:rPr>
          <w:rFonts w:hint="eastAsia" w:ascii="仿宋" w:hAnsi="仿宋" w:eastAsia="仿宋" w:cs="仿宋"/>
          <w:color w:val="auto"/>
          <w:sz w:val="24"/>
          <w:u w:val="none"/>
          <w:lang w:eastAsia="zh-CN"/>
        </w:rPr>
        <w:t>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single"/>
        </w:rPr>
        <w:t xml:space="preserve">（ 采购人）    </w:t>
      </w:r>
      <w:r>
        <w:rPr>
          <w:rFonts w:hint="eastAsia" w:ascii="仿宋" w:hAnsi="仿宋" w:eastAsia="仿宋" w:cs="仿宋"/>
          <w:color w:val="auto"/>
          <w:sz w:val="24"/>
        </w:rPr>
        <w:t>：</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我方在此声明，我方拟派往</w:t>
      </w:r>
      <w:r>
        <w:rPr>
          <w:rFonts w:hint="eastAsia" w:ascii="仿宋" w:hAnsi="仿宋" w:eastAsia="仿宋" w:cs="仿宋"/>
          <w:color w:val="auto"/>
          <w:spacing w:val="6"/>
          <w:sz w:val="24"/>
          <w:u w:val="single"/>
        </w:rPr>
        <w:t xml:space="preserve">        （项目名称</w:t>
      </w:r>
      <w:r>
        <w:rPr>
          <w:rFonts w:hint="eastAsia" w:ascii="仿宋" w:hAnsi="仿宋" w:eastAsia="仿宋" w:cs="仿宋"/>
          <w:color w:val="auto"/>
          <w:spacing w:val="6"/>
          <w:sz w:val="24"/>
          <w:u w:val="single"/>
          <w:lang w:eastAsia="zh-CN"/>
        </w:rPr>
        <w:t>，第</w:t>
      </w:r>
      <w:r>
        <w:rPr>
          <w:rFonts w:hint="eastAsia" w:ascii="仿宋" w:hAnsi="仿宋" w:eastAsia="仿宋" w:cs="仿宋"/>
          <w:color w:val="auto"/>
          <w:spacing w:val="6"/>
          <w:sz w:val="24"/>
          <w:u w:val="single"/>
          <w:lang w:val="en-US" w:eastAsia="zh-CN"/>
        </w:rPr>
        <w:t xml:space="preserve">  包</w:t>
      </w:r>
      <w:r>
        <w:rPr>
          <w:rFonts w:hint="eastAsia" w:ascii="仿宋" w:hAnsi="仿宋" w:eastAsia="仿宋" w:cs="仿宋"/>
          <w:color w:val="auto"/>
          <w:spacing w:val="6"/>
          <w:sz w:val="24"/>
          <w:u w:val="single"/>
        </w:rPr>
        <w:t>）</w:t>
      </w:r>
      <w:r>
        <w:rPr>
          <w:rFonts w:hint="eastAsia" w:ascii="仿宋" w:hAnsi="仿宋" w:eastAsia="仿宋" w:cs="仿宋"/>
          <w:color w:val="auto"/>
          <w:spacing w:val="6"/>
          <w:sz w:val="24"/>
        </w:rPr>
        <w:t>（以下简称“本工程”）的</w:t>
      </w:r>
      <w:r>
        <w:rPr>
          <w:rFonts w:hint="eastAsia" w:ascii="仿宋" w:hAnsi="仿宋" w:eastAsia="仿宋" w:cs="仿宋"/>
          <w:color w:val="auto"/>
          <w:spacing w:val="6"/>
          <w:sz w:val="24"/>
          <w:u w:val="single"/>
        </w:rPr>
        <w:t>项目经理       （项目经理姓名）</w:t>
      </w:r>
      <w:r>
        <w:rPr>
          <w:rFonts w:hint="eastAsia" w:ascii="仿宋" w:hAnsi="仿宋" w:eastAsia="仿宋" w:cs="仿宋"/>
          <w:color w:val="auto"/>
          <w:spacing w:val="6"/>
          <w:sz w:val="24"/>
        </w:rPr>
        <w:t>为我公司注册员工，现阶段没有担任任何在施建设工程项目的项目经理。</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我方保证上述信息的真实和准确，并愿意承担因我方就此弄虚作假所引起的一切法律后果。</w:t>
      </w:r>
    </w:p>
    <w:p>
      <w:pPr>
        <w:spacing w:line="360" w:lineRule="auto"/>
        <w:ind w:firstLine="504" w:firstLineChars="200"/>
        <w:rPr>
          <w:rFonts w:hint="eastAsia" w:ascii="仿宋" w:hAnsi="仿宋" w:eastAsia="仿宋" w:cs="仿宋"/>
          <w:color w:val="auto"/>
          <w:spacing w:val="6"/>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特此承诺</w:t>
      </w:r>
      <w:r>
        <w:rPr>
          <w:rFonts w:hint="eastAsia" w:ascii="仿宋" w:hAnsi="仿宋" w:eastAsia="仿宋" w:cs="仿宋"/>
          <w:color w:val="auto"/>
          <w:sz w:val="24"/>
          <w:lang w:eastAsia="zh-CN"/>
        </w:rPr>
        <w:t>。</w:t>
      </w: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600" w:lineRule="auto"/>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供应商：</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（盖单位章）</w:t>
      </w:r>
    </w:p>
    <w:p>
      <w:pPr>
        <w:spacing w:line="600" w:lineRule="auto"/>
        <w:rPr>
          <w:rFonts w:hint="eastAsia" w:ascii="仿宋" w:hAnsi="仿宋" w:eastAsia="仿宋" w:cs="仿宋"/>
          <w:color w:val="auto"/>
          <w:sz w:val="24"/>
        </w:rPr>
      </w:pPr>
      <w:r>
        <w:rPr>
          <w:rFonts w:hint="eastAsia" w:ascii="仿宋" w:hAnsi="仿宋" w:eastAsia="仿宋" w:cs="仿宋"/>
          <w:snapToGrid w:val="0"/>
          <w:color w:val="auto"/>
          <w:kern w:val="0"/>
          <w:sz w:val="24"/>
        </w:rPr>
        <w:t>法定代表人</w:t>
      </w:r>
      <w:r>
        <w:rPr>
          <w:rFonts w:hint="eastAsia" w:ascii="仿宋" w:hAnsi="仿宋" w:eastAsia="仿宋" w:cs="仿宋"/>
          <w:color w:val="auto"/>
          <w:spacing w:val="8"/>
          <w:sz w:val="24"/>
        </w:rPr>
        <w:t>或授权代表</w:t>
      </w:r>
      <w:r>
        <w:rPr>
          <w:rFonts w:hint="eastAsia" w:ascii="仿宋" w:hAnsi="仿宋" w:eastAsia="仿宋" w:cs="仿宋"/>
          <w:snapToGrid w:val="0"/>
          <w:color w:val="auto"/>
          <w:kern w:val="0"/>
          <w:sz w:val="24"/>
        </w:rPr>
        <w:t>：</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w:t>
      </w:r>
      <w:r>
        <w:rPr>
          <w:rFonts w:hint="eastAsia" w:ascii="仿宋" w:hAnsi="仿宋" w:eastAsia="仿宋" w:cs="仿宋"/>
          <w:color w:val="auto"/>
          <w:spacing w:val="8"/>
          <w:sz w:val="24"/>
        </w:rPr>
        <w:t>签字或签章</w:t>
      </w:r>
      <w:r>
        <w:rPr>
          <w:rFonts w:hint="eastAsia" w:ascii="仿宋" w:hAnsi="仿宋" w:eastAsia="仿宋" w:cs="仿宋"/>
          <w:snapToGrid w:val="0"/>
          <w:color w:val="auto"/>
          <w:kern w:val="0"/>
          <w:sz w:val="24"/>
        </w:rPr>
        <w:t>）</w:t>
      </w:r>
    </w:p>
    <w:p>
      <w:pPr>
        <w:spacing w:line="600" w:lineRule="auto"/>
        <w:ind w:right="420"/>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360" w:lineRule="auto"/>
        <w:jc w:val="center"/>
        <w:rPr>
          <w:rFonts w:hint="eastAsia" w:ascii="仿宋" w:hAnsi="仿宋" w:eastAsia="仿宋" w:cs="仿宋"/>
          <w:b/>
          <w:bCs/>
          <w:color w:val="auto"/>
          <w:sz w:val="24"/>
          <w:lang w:val="zh-CN"/>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pStyle w:val="83"/>
        <w:jc w:val="center"/>
        <w:rPr>
          <w:rFonts w:hint="eastAsia" w:ascii="仿宋" w:hAnsi="仿宋" w:eastAsia="仿宋" w:cs="仿宋"/>
          <w:b/>
          <w:bCs/>
          <w:color w:val="auto"/>
          <w:szCs w:val="24"/>
        </w:rPr>
      </w:pPr>
    </w:p>
    <w:p>
      <w:pPr>
        <w:pStyle w:val="83"/>
        <w:ind w:left="0" w:leftChars="0" w:firstLine="0" w:firstLineChars="0"/>
        <w:jc w:val="both"/>
        <w:rPr>
          <w:rFonts w:hint="eastAsia" w:ascii="仿宋" w:hAnsi="仿宋" w:eastAsia="仿宋" w:cs="仿宋"/>
          <w:b/>
          <w:bCs/>
          <w:color w:val="auto"/>
          <w:szCs w:val="24"/>
        </w:rPr>
      </w:pPr>
    </w:p>
    <w:p>
      <w:pPr>
        <w:jc w:val="center"/>
        <w:rPr>
          <w:rFonts w:hint="eastAsia" w:ascii="仿宋" w:hAnsi="仿宋" w:eastAsia="仿宋" w:cs="仿宋"/>
          <w:b/>
          <w:bCs/>
          <w:color w:val="auto"/>
          <w:sz w:val="24"/>
        </w:rPr>
      </w:pPr>
      <w:r>
        <w:rPr>
          <w:rFonts w:hint="eastAsia" w:ascii="仿宋" w:hAnsi="仿宋" w:eastAsia="仿宋" w:cs="仿宋"/>
          <w:b/>
          <w:bCs/>
          <w:color w:val="auto"/>
          <w:sz w:val="24"/>
        </w:rPr>
        <w:t>（四）供应商签署的承诺书</w:t>
      </w:r>
    </w:p>
    <w:p>
      <w:pPr>
        <w:jc w:val="center"/>
        <w:rPr>
          <w:rFonts w:hint="eastAsia" w:ascii="仿宋" w:hAnsi="仿宋" w:eastAsia="仿宋" w:cs="仿宋"/>
          <w:b/>
          <w:color w:val="auto"/>
          <w:sz w:val="24"/>
        </w:rPr>
      </w:pPr>
      <w:bookmarkStart w:id="122" w:name="_Toc26019_WPSOffice_Level1"/>
      <w:bookmarkStart w:id="123" w:name="_Toc28017_WPSOffice_Level1"/>
    </w:p>
    <w:p>
      <w:pPr>
        <w:jc w:val="center"/>
        <w:rPr>
          <w:rFonts w:hint="eastAsia" w:ascii="仿宋" w:hAnsi="仿宋" w:eastAsia="仿宋" w:cs="仿宋"/>
          <w:b/>
          <w:color w:val="auto"/>
          <w:sz w:val="24"/>
        </w:rPr>
      </w:pPr>
      <w:r>
        <w:rPr>
          <w:rFonts w:hint="eastAsia" w:ascii="仿宋" w:hAnsi="仿宋" w:eastAsia="仿宋" w:cs="仿宋"/>
          <w:b/>
          <w:color w:val="auto"/>
          <w:sz w:val="24"/>
        </w:rPr>
        <w:t>承诺书1</w:t>
      </w:r>
      <w:bookmarkEnd w:id="122"/>
      <w:bookmarkEnd w:id="123"/>
    </w:p>
    <w:p>
      <w:pPr>
        <w:rPr>
          <w:rFonts w:hint="eastAsia" w:ascii="仿宋" w:hAnsi="仿宋" w:eastAsia="仿宋" w:cs="仿宋"/>
          <w:color w:val="auto"/>
          <w:sz w:val="24"/>
        </w:rPr>
      </w:pPr>
    </w:p>
    <w:p>
      <w:pPr>
        <w:jc w:val="center"/>
        <w:rPr>
          <w:rFonts w:hint="eastAsia" w:ascii="仿宋" w:hAnsi="仿宋" w:eastAsia="仿宋" w:cs="仿宋"/>
          <w:b/>
          <w:color w:val="auto"/>
          <w:sz w:val="24"/>
        </w:rPr>
      </w:pPr>
      <w:bookmarkStart w:id="124" w:name="_Toc14380_WPSOffice_Level1"/>
      <w:bookmarkStart w:id="125" w:name="_Toc26903_WPSOffice_Level1"/>
      <w:r>
        <w:rPr>
          <w:rFonts w:hint="eastAsia" w:ascii="仿宋" w:hAnsi="仿宋" w:eastAsia="仿宋" w:cs="仿宋"/>
          <w:b/>
          <w:color w:val="auto"/>
          <w:sz w:val="24"/>
        </w:rPr>
        <w:t>供应商符合《政府采购法》第二十二条规定条件的承诺函</w:t>
      </w:r>
      <w:bookmarkEnd w:id="124"/>
      <w:bookmarkEnd w:id="125"/>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pStyle w:val="3"/>
        <w:spacing w:line="360" w:lineRule="auto"/>
        <w:rPr>
          <w:rFonts w:hint="default" w:ascii="仿宋" w:hAnsi="仿宋" w:eastAsia="仿宋" w:cs="仿宋"/>
          <w:color w:val="auto"/>
          <w:spacing w:val="8"/>
          <w:sz w:val="24"/>
          <w:szCs w:val="24"/>
          <w:u w:val="single"/>
          <w:lang w:val="en-US" w:eastAsia="zh-CN"/>
        </w:rPr>
      </w:pPr>
      <w:r>
        <w:rPr>
          <w:rFonts w:hint="eastAsia" w:ascii="仿宋" w:hAnsi="仿宋" w:eastAsia="仿宋" w:cs="仿宋"/>
          <w:color w:val="auto"/>
          <w:spacing w:val="8"/>
          <w:sz w:val="24"/>
          <w:szCs w:val="24"/>
        </w:rPr>
        <w:t>致：</w:t>
      </w:r>
      <w:r>
        <w:rPr>
          <w:rFonts w:hint="eastAsia" w:ascii="仿宋" w:hAnsi="仿宋" w:eastAsia="仿宋" w:cs="仿宋"/>
          <w:color w:val="auto"/>
          <w:spacing w:val="8"/>
          <w:sz w:val="24"/>
          <w:szCs w:val="24"/>
          <w:u w:val="single"/>
          <w:lang w:val="en-US" w:eastAsia="zh-CN"/>
        </w:rPr>
        <w:t xml:space="preserve">          （采购人）      </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本公司</w:t>
      </w:r>
      <w:r>
        <w:rPr>
          <w:rFonts w:hint="eastAsia" w:ascii="仿宋" w:hAnsi="仿宋" w:eastAsia="仿宋" w:cs="仿宋"/>
          <w:color w:val="auto"/>
          <w:spacing w:val="8"/>
          <w:sz w:val="24"/>
          <w:szCs w:val="24"/>
          <w:u w:val="single"/>
        </w:rPr>
        <w:t xml:space="preserve">                   </w:t>
      </w:r>
      <w:r>
        <w:rPr>
          <w:rFonts w:hint="eastAsia" w:ascii="仿宋" w:hAnsi="仿宋" w:eastAsia="仿宋" w:cs="仿宋"/>
          <w:color w:val="auto"/>
          <w:spacing w:val="8"/>
          <w:sz w:val="24"/>
          <w:szCs w:val="24"/>
        </w:rPr>
        <w:t>（公司名称）参加</w:t>
      </w:r>
      <w:r>
        <w:rPr>
          <w:rFonts w:hint="eastAsia" w:ascii="仿宋" w:hAnsi="仿宋" w:eastAsia="仿宋" w:cs="仿宋"/>
          <w:color w:val="auto"/>
          <w:spacing w:val="8"/>
          <w:sz w:val="24"/>
          <w:szCs w:val="24"/>
          <w:u w:val="single"/>
        </w:rPr>
        <w:t xml:space="preserve">         </w:t>
      </w:r>
      <w:r>
        <w:rPr>
          <w:rFonts w:hint="eastAsia" w:ascii="仿宋" w:hAnsi="仿宋" w:eastAsia="仿宋" w:cs="仿宋"/>
          <w:color w:val="auto"/>
          <w:spacing w:val="8"/>
          <w:sz w:val="24"/>
          <w:szCs w:val="24"/>
        </w:rPr>
        <w:t>（项目名称</w:t>
      </w:r>
      <w:r>
        <w:rPr>
          <w:rFonts w:hint="eastAsia" w:ascii="仿宋" w:hAnsi="仿宋" w:eastAsia="仿宋" w:cs="仿宋"/>
          <w:color w:val="auto"/>
          <w:spacing w:val="8"/>
          <w:sz w:val="24"/>
          <w:szCs w:val="24"/>
          <w:lang w:eastAsia="zh-CN"/>
        </w:rPr>
        <w:t>，第</w:t>
      </w:r>
      <w:r>
        <w:rPr>
          <w:rFonts w:hint="eastAsia" w:ascii="仿宋" w:hAnsi="仿宋" w:eastAsia="仿宋" w:cs="仿宋"/>
          <w:color w:val="auto"/>
          <w:spacing w:val="8"/>
          <w:sz w:val="24"/>
          <w:szCs w:val="24"/>
          <w:u w:val="single"/>
          <w:lang w:val="en-US" w:eastAsia="zh-CN"/>
        </w:rPr>
        <w:t xml:space="preserve">  </w:t>
      </w:r>
      <w:r>
        <w:rPr>
          <w:rFonts w:hint="eastAsia" w:ascii="仿宋" w:hAnsi="仿宋" w:eastAsia="仿宋" w:cs="仿宋"/>
          <w:color w:val="auto"/>
          <w:spacing w:val="8"/>
          <w:sz w:val="24"/>
          <w:szCs w:val="24"/>
          <w:lang w:val="en-US" w:eastAsia="zh-CN"/>
        </w:rPr>
        <w:t>包</w:t>
      </w:r>
      <w:r>
        <w:rPr>
          <w:rFonts w:hint="eastAsia" w:ascii="仿宋" w:hAnsi="仿宋" w:eastAsia="仿宋" w:cs="仿宋"/>
          <w:color w:val="auto"/>
          <w:spacing w:val="8"/>
          <w:sz w:val="24"/>
          <w:szCs w:val="24"/>
        </w:rPr>
        <w:t>）的磋商活动，现承诺：</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我公司满足政府采购法第二十二条关于供应商的资格要求：</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（一）具有独立承担民事责任的能力；</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（二）具有良好的商业信誉和健全的财务会计制度；</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（三）具有履行合同所必需的设备和专业技术能力；</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（四）有依法缴纳税收和社会保障资金的良好记录；</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 xml:space="preserve">（五）参加政府采购活动前三年内，在经营活动中没有重大违法记录； </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（六）法律、行政法规规定的其他条件。</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同时也满足本项目法律法规规章规定关于供应商的其他资格性条件，未参与本采购项目前期咨询论证，不属于禁止参加磋商的供应商。</w:t>
      </w:r>
    </w:p>
    <w:p>
      <w:pPr>
        <w:pStyle w:val="3"/>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如违反以上承诺，本公司愿承担一切法律责任。</w:t>
      </w:r>
    </w:p>
    <w:p>
      <w:pPr>
        <w:pStyle w:val="3"/>
        <w:rPr>
          <w:rFonts w:hint="eastAsia" w:ascii="仿宋" w:hAnsi="仿宋" w:eastAsia="仿宋" w:cs="仿宋"/>
          <w:color w:val="auto"/>
          <w:sz w:val="24"/>
          <w:szCs w:val="24"/>
        </w:rPr>
      </w:pP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供应商名称：_______________________________</w:t>
      </w:r>
      <w:r>
        <w:rPr>
          <w:rFonts w:hint="eastAsia" w:ascii="仿宋" w:hAnsi="仿宋" w:eastAsia="仿宋" w:cs="仿宋"/>
          <w:bCs/>
          <w:color w:val="auto"/>
          <w:sz w:val="24"/>
        </w:rPr>
        <w:t>（盖公章）</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snapToGrid w:val="0"/>
          <w:color w:val="auto"/>
          <w:kern w:val="0"/>
          <w:sz w:val="24"/>
        </w:rPr>
        <w:t>法定代表人</w:t>
      </w:r>
      <w:r>
        <w:rPr>
          <w:rFonts w:hint="eastAsia" w:ascii="仿宋" w:hAnsi="仿宋" w:eastAsia="仿宋" w:cs="仿宋"/>
          <w:color w:val="auto"/>
          <w:spacing w:val="8"/>
          <w:sz w:val="24"/>
        </w:rPr>
        <w:t>或授权代表</w:t>
      </w:r>
      <w:r>
        <w:rPr>
          <w:rFonts w:hint="eastAsia" w:ascii="仿宋" w:hAnsi="仿宋" w:eastAsia="仿宋" w:cs="仿宋"/>
          <w:snapToGrid w:val="0"/>
          <w:color w:val="auto"/>
          <w:kern w:val="0"/>
          <w:sz w:val="24"/>
        </w:rPr>
        <w:t>：</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w:t>
      </w:r>
      <w:r>
        <w:rPr>
          <w:rFonts w:hint="eastAsia" w:ascii="仿宋" w:hAnsi="仿宋" w:eastAsia="仿宋" w:cs="仿宋"/>
          <w:color w:val="auto"/>
          <w:spacing w:val="8"/>
          <w:sz w:val="24"/>
        </w:rPr>
        <w:t>签字或签章</w:t>
      </w:r>
      <w:r>
        <w:rPr>
          <w:rFonts w:hint="eastAsia" w:ascii="仿宋" w:hAnsi="仿宋" w:eastAsia="仿宋" w:cs="仿宋"/>
          <w:snapToGrid w:val="0"/>
          <w:color w:val="auto"/>
          <w:kern w:val="0"/>
          <w:sz w:val="24"/>
        </w:rPr>
        <w:t>）</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      期：____________________________________________</w:t>
      </w: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sz w:val="24"/>
        </w:rPr>
      </w:pPr>
    </w:p>
    <w:p>
      <w:pPr>
        <w:rPr>
          <w:rFonts w:hint="eastAsia" w:ascii="仿宋" w:hAnsi="仿宋" w:eastAsia="仿宋" w:cs="仿宋"/>
          <w:color w:val="auto"/>
          <w:sz w:val="24"/>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jc w:val="center"/>
        <w:rPr>
          <w:rFonts w:hint="eastAsia" w:ascii="仿宋" w:hAnsi="仿宋" w:eastAsia="仿宋" w:cs="仿宋"/>
          <w:b/>
          <w:color w:val="auto"/>
          <w:sz w:val="24"/>
        </w:rPr>
      </w:pPr>
      <w:r>
        <w:rPr>
          <w:rFonts w:hint="eastAsia" w:ascii="仿宋" w:hAnsi="仿宋" w:eastAsia="仿宋" w:cs="仿宋"/>
          <w:b/>
          <w:color w:val="auto"/>
          <w:sz w:val="24"/>
        </w:rPr>
        <w:t>承诺书2</w:t>
      </w:r>
    </w:p>
    <w:p>
      <w:pPr>
        <w:pStyle w:val="14"/>
        <w:rPr>
          <w:rFonts w:hint="eastAsia" w:ascii="仿宋" w:hAnsi="仿宋" w:eastAsia="仿宋" w:cs="仿宋"/>
          <w:color w:val="auto"/>
          <w:sz w:val="24"/>
        </w:rPr>
      </w:pPr>
    </w:p>
    <w:p>
      <w:pPr>
        <w:spacing w:line="480" w:lineRule="auto"/>
        <w:jc w:val="center"/>
        <w:rPr>
          <w:rFonts w:hint="eastAsia" w:ascii="仿宋" w:hAnsi="仿宋" w:eastAsia="仿宋" w:cs="仿宋"/>
          <w:b/>
          <w:color w:val="auto"/>
          <w:sz w:val="24"/>
        </w:rPr>
      </w:pPr>
      <w:bookmarkStart w:id="126" w:name="_Toc7754_WPSOffice_Level1"/>
      <w:bookmarkStart w:id="127" w:name="_Toc22838_WPSOffice_Level1"/>
      <w:r>
        <w:rPr>
          <w:rFonts w:hint="eastAsia" w:ascii="仿宋" w:hAnsi="仿宋" w:eastAsia="仿宋" w:cs="仿宋"/>
          <w:b/>
          <w:color w:val="auto"/>
          <w:sz w:val="24"/>
        </w:rPr>
        <w:t>参加政府采购活动前3年内在经营活动中没有重大违法记录的</w:t>
      </w:r>
      <w:bookmarkEnd w:id="126"/>
      <w:bookmarkEnd w:id="127"/>
    </w:p>
    <w:p>
      <w:pPr>
        <w:spacing w:line="480" w:lineRule="auto"/>
        <w:jc w:val="center"/>
        <w:rPr>
          <w:rFonts w:hint="eastAsia" w:ascii="仿宋" w:hAnsi="仿宋" w:eastAsia="仿宋" w:cs="仿宋"/>
          <w:b/>
          <w:color w:val="auto"/>
          <w:sz w:val="24"/>
        </w:rPr>
      </w:pPr>
      <w:bookmarkStart w:id="128" w:name="_Toc24114_WPSOffice_Level1"/>
      <w:bookmarkStart w:id="129" w:name="_Toc13779_WPSOffice_Level1"/>
      <w:r>
        <w:rPr>
          <w:rFonts w:hint="eastAsia" w:ascii="仿宋" w:hAnsi="仿宋" w:eastAsia="仿宋" w:cs="仿宋"/>
          <w:b/>
          <w:color w:val="auto"/>
          <w:sz w:val="24"/>
        </w:rPr>
        <w:t>书面声明</w:t>
      </w:r>
      <w:bookmarkEnd w:id="128"/>
      <w:bookmarkEnd w:id="129"/>
    </w:p>
    <w:p>
      <w:pPr>
        <w:spacing w:before="120" w:beforeLines="50" w:after="120" w:afterLines="50" w:line="480" w:lineRule="auto"/>
        <w:rPr>
          <w:rFonts w:hint="eastAsia" w:ascii="仿宋" w:hAnsi="仿宋" w:eastAsia="仿宋" w:cs="仿宋"/>
          <w:color w:val="auto"/>
          <w:spacing w:val="8"/>
          <w:sz w:val="24"/>
        </w:rPr>
      </w:pPr>
    </w:p>
    <w:p>
      <w:pPr>
        <w:pStyle w:val="3"/>
        <w:spacing w:line="360" w:lineRule="auto"/>
        <w:rPr>
          <w:rFonts w:hint="default" w:ascii="仿宋" w:hAnsi="仿宋" w:eastAsia="仿宋" w:cs="仿宋"/>
          <w:color w:val="auto"/>
          <w:spacing w:val="8"/>
          <w:kern w:val="2"/>
          <w:sz w:val="24"/>
          <w:szCs w:val="24"/>
          <w:u w:val="single"/>
          <w:lang w:val="en-US" w:eastAsia="zh-CN"/>
        </w:rPr>
      </w:pPr>
      <w:r>
        <w:rPr>
          <w:rFonts w:hint="eastAsia" w:ascii="仿宋" w:hAnsi="仿宋" w:eastAsia="仿宋" w:cs="仿宋"/>
          <w:color w:val="auto"/>
          <w:spacing w:val="8"/>
          <w:kern w:val="2"/>
          <w:sz w:val="24"/>
          <w:szCs w:val="24"/>
        </w:rPr>
        <w:t>致</w:t>
      </w:r>
      <w:r>
        <w:rPr>
          <w:rFonts w:hint="eastAsia" w:ascii="仿宋" w:hAnsi="仿宋" w:eastAsia="仿宋" w:cs="仿宋"/>
          <w:color w:val="auto"/>
          <w:spacing w:val="8"/>
          <w:kern w:val="2"/>
          <w:sz w:val="24"/>
          <w:szCs w:val="24"/>
          <w:lang w:eastAsia="zh-CN"/>
        </w:rPr>
        <w:t>：</w:t>
      </w:r>
      <w:r>
        <w:rPr>
          <w:rFonts w:hint="eastAsia" w:ascii="仿宋" w:hAnsi="仿宋" w:eastAsia="仿宋" w:cs="仿宋"/>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仿宋" w:hAnsi="仿宋" w:eastAsia="仿宋" w:cs="仿宋"/>
          <w:color w:val="auto"/>
          <w:spacing w:val="8"/>
          <w:sz w:val="24"/>
        </w:rPr>
      </w:pPr>
      <w:r>
        <w:rPr>
          <w:rFonts w:hint="eastAsia" w:ascii="仿宋" w:hAnsi="仿宋" w:eastAsia="仿宋" w:cs="仿宋"/>
          <w:color w:val="auto"/>
          <w:spacing w:val="8"/>
          <w:sz w:val="24"/>
        </w:rPr>
        <w:t>我公司参加（</w:t>
      </w:r>
      <w:r>
        <w:rPr>
          <w:rFonts w:hint="eastAsia" w:ascii="仿宋" w:hAnsi="仿宋" w:eastAsia="仿宋" w:cs="仿宋"/>
          <w:color w:val="auto"/>
          <w:spacing w:val="8"/>
          <w:sz w:val="24"/>
          <w:u w:val="single"/>
        </w:rPr>
        <w:t xml:space="preserve">填写项目编号     </w:t>
      </w:r>
      <w:r>
        <w:rPr>
          <w:rFonts w:hint="eastAsia" w:ascii="仿宋" w:hAnsi="仿宋" w:eastAsia="仿宋" w:cs="仿宋"/>
          <w:color w:val="auto"/>
          <w:spacing w:val="8"/>
          <w:sz w:val="24"/>
        </w:rPr>
        <w:t>）（</w:t>
      </w:r>
      <w:r>
        <w:rPr>
          <w:rFonts w:hint="eastAsia" w:ascii="仿宋" w:hAnsi="仿宋" w:eastAsia="仿宋" w:cs="仿宋"/>
          <w:color w:val="auto"/>
          <w:spacing w:val="8"/>
          <w:sz w:val="24"/>
          <w:u w:val="single"/>
        </w:rPr>
        <w:t xml:space="preserve">填写项目名称       </w:t>
      </w:r>
      <w:r>
        <w:rPr>
          <w:rFonts w:hint="eastAsia" w:ascii="仿宋" w:hAnsi="仿宋" w:eastAsia="仿宋" w:cs="仿宋"/>
          <w:color w:val="auto"/>
          <w:spacing w:val="8"/>
          <w:sz w:val="24"/>
          <w:u w:val="single"/>
          <w:lang w:eastAsia="zh-CN"/>
        </w:rPr>
        <w:t>（第</w:t>
      </w:r>
      <w:r>
        <w:rPr>
          <w:rFonts w:hint="eastAsia" w:ascii="仿宋" w:hAnsi="仿宋" w:eastAsia="仿宋" w:cs="仿宋"/>
          <w:color w:val="auto"/>
          <w:spacing w:val="8"/>
          <w:sz w:val="24"/>
          <w:u w:val="single"/>
          <w:lang w:val="en-US" w:eastAsia="zh-CN"/>
        </w:rPr>
        <w:t xml:space="preserve">  包</w:t>
      </w:r>
      <w:r>
        <w:rPr>
          <w:rFonts w:hint="eastAsia" w:ascii="仿宋" w:hAnsi="仿宋" w:eastAsia="仿宋" w:cs="仿宋"/>
          <w:color w:val="auto"/>
          <w:spacing w:val="8"/>
          <w:sz w:val="24"/>
          <w:u w:val="single"/>
          <w:lang w:eastAsia="zh-CN"/>
        </w:rPr>
        <w:t>）</w:t>
      </w:r>
      <w:r>
        <w:rPr>
          <w:rFonts w:hint="eastAsia" w:ascii="仿宋" w:hAnsi="仿宋" w:eastAsia="仿宋" w:cs="仿宋"/>
          <w:color w:val="auto"/>
          <w:spacing w:val="8"/>
          <w:sz w:val="24"/>
        </w:rPr>
        <w:t>）项目的磋商，本公司郑重声明，我司参加本项目政府采购活动前</w:t>
      </w:r>
      <w:r>
        <w:rPr>
          <w:rFonts w:hint="eastAsia" w:ascii="仿宋" w:hAnsi="仿宋" w:eastAsia="仿宋" w:cs="仿宋"/>
          <w:color w:val="auto"/>
          <w:spacing w:val="8"/>
          <w:sz w:val="24"/>
          <w:u w:val="single"/>
        </w:rPr>
        <w:t xml:space="preserve">    </w:t>
      </w:r>
      <w:r>
        <w:rPr>
          <w:rFonts w:hint="eastAsia" w:ascii="仿宋" w:hAnsi="仿宋" w:eastAsia="仿宋" w:cs="仿宋"/>
          <w:color w:val="auto"/>
          <w:spacing w:val="8"/>
          <w:sz w:val="24"/>
        </w:rPr>
        <w:t>年内</w:t>
      </w:r>
      <w:r>
        <w:rPr>
          <w:rFonts w:hint="eastAsia" w:ascii="仿宋" w:hAnsi="仿宋" w:eastAsia="仿宋" w:cs="仿宋"/>
          <w:color w:val="auto"/>
          <w:spacing w:val="8"/>
          <w:sz w:val="24"/>
          <w:u w:val="single"/>
        </w:rPr>
        <w:t xml:space="preserve">     </w:t>
      </w:r>
      <w:r>
        <w:rPr>
          <w:rFonts w:hint="eastAsia" w:ascii="仿宋" w:hAnsi="仿宋" w:eastAsia="仿宋" w:cs="仿宋"/>
          <w:color w:val="auto"/>
          <w:spacing w:val="8"/>
          <w:sz w:val="24"/>
        </w:rPr>
        <w:t>（有或无）重大违纪，以及未被列入失信被执行人、重大税收违法案件当事人名单、政府采购严重违法失信行为记录名单，符合政府采购法等法律法规的规定，我司对此声明负全部法律责任。</w:t>
      </w:r>
    </w:p>
    <w:p>
      <w:pPr>
        <w:spacing w:before="120" w:beforeLines="50" w:after="120" w:afterLines="50" w:line="360" w:lineRule="auto"/>
        <w:ind w:firstLine="501" w:firstLineChars="196"/>
        <w:rPr>
          <w:rFonts w:hint="eastAsia" w:ascii="仿宋" w:hAnsi="仿宋" w:eastAsia="仿宋" w:cs="仿宋"/>
          <w:color w:val="auto"/>
          <w:spacing w:val="8"/>
          <w:sz w:val="24"/>
        </w:rPr>
      </w:pPr>
      <w:r>
        <w:rPr>
          <w:rFonts w:hint="eastAsia" w:ascii="仿宋" w:hAnsi="仿宋" w:eastAsia="仿宋" w:cs="仿宋"/>
          <w:color w:val="auto"/>
          <w:spacing w:val="8"/>
          <w:sz w:val="24"/>
        </w:rPr>
        <w:t>特此声明！</w:t>
      </w:r>
    </w:p>
    <w:p>
      <w:pPr>
        <w:pStyle w:val="14"/>
        <w:spacing w:line="360" w:lineRule="auto"/>
        <w:rPr>
          <w:rFonts w:hint="eastAsia" w:ascii="仿宋" w:hAnsi="仿宋" w:eastAsia="仿宋" w:cs="仿宋"/>
          <w:b/>
          <w:bCs/>
          <w:color w:val="auto"/>
          <w:sz w:val="24"/>
          <w:lang w:val="zh-CN"/>
        </w:rPr>
      </w:pPr>
    </w:p>
    <w:p>
      <w:pPr>
        <w:pStyle w:val="3"/>
        <w:spacing w:line="360" w:lineRule="auto"/>
        <w:rPr>
          <w:rFonts w:hint="eastAsia" w:ascii="仿宋" w:hAnsi="仿宋" w:eastAsia="仿宋" w:cs="仿宋"/>
          <w:color w:val="auto"/>
          <w:sz w:val="24"/>
          <w:szCs w:val="24"/>
          <w:lang w:val="zh-CN"/>
        </w:rPr>
      </w:pPr>
    </w:p>
    <w:p>
      <w:pPr>
        <w:pStyle w:val="14"/>
        <w:spacing w:line="360" w:lineRule="auto"/>
        <w:rPr>
          <w:rFonts w:hint="eastAsia" w:ascii="仿宋" w:hAnsi="仿宋" w:eastAsia="仿宋" w:cs="仿宋"/>
          <w:b/>
          <w:bCs/>
          <w:color w:val="auto"/>
          <w:sz w:val="24"/>
          <w:lang w:val="zh-CN"/>
        </w:rPr>
      </w:pPr>
    </w:p>
    <w:p>
      <w:pPr>
        <w:adjustRightInd w:val="0"/>
        <w:snapToGrid w:val="0"/>
        <w:spacing w:line="360" w:lineRule="auto"/>
        <w:ind w:firstLine="512" w:firstLineChars="200"/>
        <w:jc w:val="left"/>
        <w:rPr>
          <w:rFonts w:hint="eastAsia" w:ascii="仿宋" w:hAnsi="仿宋" w:eastAsia="仿宋" w:cs="仿宋"/>
          <w:color w:val="auto"/>
          <w:spacing w:val="8"/>
          <w:sz w:val="24"/>
          <w:u w:val="single"/>
        </w:rPr>
      </w:pPr>
      <w:r>
        <w:rPr>
          <w:rFonts w:hint="eastAsia" w:ascii="仿宋" w:hAnsi="仿宋" w:eastAsia="仿宋" w:cs="仿宋"/>
          <w:color w:val="auto"/>
          <w:spacing w:val="8"/>
          <w:sz w:val="24"/>
        </w:rPr>
        <w:t>声明人名称：</w:t>
      </w:r>
      <w:r>
        <w:rPr>
          <w:rFonts w:hint="eastAsia" w:ascii="仿宋" w:hAnsi="仿宋" w:eastAsia="仿宋" w:cs="仿宋"/>
          <w:color w:val="auto"/>
          <w:spacing w:val="8"/>
          <w:sz w:val="24"/>
          <w:u w:val="single"/>
        </w:rPr>
        <w:t xml:space="preserve">                       （盖公章）</w:t>
      </w:r>
    </w:p>
    <w:p>
      <w:pPr>
        <w:adjustRightInd w:val="0"/>
        <w:snapToGrid w:val="0"/>
        <w:spacing w:line="360" w:lineRule="auto"/>
        <w:ind w:firstLine="512" w:firstLineChars="200"/>
        <w:jc w:val="left"/>
        <w:rPr>
          <w:rFonts w:hint="eastAsia" w:ascii="仿宋" w:hAnsi="仿宋" w:eastAsia="仿宋" w:cs="仿宋"/>
          <w:color w:val="auto"/>
          <w:spacing w:val="8"/>
          <w:sz w:val="24"/>
          <w:u w:val="single"/>
        </w:rPr>
      </w:pPr>
      <w:r>
        <w:rPr>
          <w:rFonts w:hint="eastAsia" w:ascii="仿宋" w:hAnsi="仿宋" w:eastAsia="仿宋" w:cs="仿宋"/>
          <w:color w:val="auto"/>
          <w:spacing w:val="8"/>
          <w:sz w:val="24"/>
        </w:rPr>
        <w:t>法定代表人或授权代表：</w:t>
      </w:r>
      <w:r>
        <w:rPr>
          <w:rFonts w:hint="eastAsia" w:ascii="仿宋" w:hAnsi="仿宋" w:eastAsia="仿宋" w:cs="仿宋"/>
          <w:color w:val="auto"/>
          <w:spacing w:val="8"/>
          <w:sz w:val="24"/>
          <w:u w:val="single"/>
        </w:rPr>
        <w:t xml:space="preserve">           （签字或盖章）</w:t>
      </w:r>
    </w:p>
    <w:p>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lang w:val="zh-CN"/>
        </w:rPr>
      </w:pPr>
    </w:p>
    <w:p>
      <w:pPr>
        <w:spacing w:before="360" w:beforeLines="150"/>
        <w:jc w:val="both"/>
        <w:rPr>
          <w:rFonts w:hint="eastAsia" w:ascii="仿宋" w:hAnsi="仿宋" w:eastAsia="仿宋" w:cs="仿宋"/>
          <w:b/>
          <w:color w:val="auto"/>
          <w:sz w:val="24"/>
        </w:rPr>
      </w:pPr>
      <w:bookmarkStart w:id="130" w:name="_Toc76138099"/>
    </w:p>
    <w:p>
      <w:pPr>
        <w:spacing w:before="360" w:beforeLines="150"/>
        <w:jc w:val="center"/>
        <w:rPr>
          <w:rFonts w:hint="eastAsia" w:ascii="仿宋" w:hAnsi="仿宋" w:eastAsia="仿宋" w:cs="仿宋"/>
          <w:b/>
          <w:color w:val="auto"/>
          <w:sz w:val="24"/>
        </w:rPr>
      </w:pPr>
      <w:r>
        <w:rPr>
          <w:rFonts w:hint="eastAsia" w:ascii="仿宋" w:hAnsi="仿宋" w:eastAsia="仿宋" w:cs="仿宋"/>
          <w:b/>
          <w:color w:val="auto"/>
          <w:sz w:val="24"/>
        </w:rPr>
        <w:t>承诺书3</w:t>
      </w:r>
    </w:p>
    <w:p>
      <w:pPr>
        <w:jc w:val="center"/>
        <w:rPr>
          <w:rFonts w:hint="eastAsia" w:ascii="仿宋" w:hAnsi="仿宋" w:eastAsia="仿宋" w:cs="仿宋"/>
          <w:b/>
          <w:color w:val="auto"/>
          <w:sz w:val="24"/>
        </w:rPr>
      </w:pPr>
    </w:p>
    <w:p>
      <w:pPr>
        <w:jc w:val="center"/>
        <w:rPr>
          <w:rFonts w:hint="eastAsia" w:ascii="仿宋" w:hAnsi="仿宋" w:eastAsia="仿宋" w:cs="仿宋"/>
          <w:b/>
          <w:color w:val="auto"/>
          <w:sz w:val="24"/>
        </w:rPr>
      </w:pPr>
      <w:r>
        <w:rPr>
          <w:rFonts w:hint="eastAsia" w:ascii="仿宋" w:hAnsi="仿宋" w:eastAsia="仿宋" w:cs="仿宋"/>
          <w:b/>
          <w:color w:val="auto"/>
          <w:sz w:val="24"/>
        </w:rPr>
        <w:t>陕西省政府采购供应商拒绝政府采购领域商业贿赂承诺书</w:t>
      </w:r>
      <w:bookmarkEnd w:id="130"/>
    </w:p>
    <w:p>
      <w:pPr>
        <w:pStyle w:val="93"/>
        <w:ind w:firstLine="482"/>
        <w:rPr>
          <w:rFonts w:hint="eastAsia" w:ascii="仿宋" w:hAnsi="仿宋" w:eastAsia="仿宋" w:cs="仿宋"/>
          <w:b/>
          <w:color w:val="auto"/>
          <w:sz w:val="24"/>
        </w:rPr>
      </w:pPr>
    </w:p>
    <w:p>
      <w:pPr>
        <w:widowControl/>
        <w:spacing w:line="408" w:lineRule="auto"/>
        <w:ind w:left="239" w:leftChars="114" w:firstLine="470" w:firstLineChars="196"/>
        <w:jc w:val="left"/>
        <w:rPr>
          <w:rFonts w:hint="eastAsia" w:ascii="仿宋" w:hAnsi="仿宋" w:eastAsia="仿宋" w:cs="仿宋"/>
          <w:color w:val="auto"/>
          <w:kern w:val="0"/>
          <w:sz w:val="24"/>
        </w:rPr>
      </w:pPr>
      <w:r>
        <w:rPr>
          <w:rFonts w:hint="eastAsia" w:ascii="仿宋" w:hAnsi="仿宋" w:eastAsia="仿宋" w:cs="仿宋"/>
          <w:color w:val="auto"/>
          <w:kern w:val="0"/>
          <w:sz w:val="24"/>
        </w:rPr>
        <w:t>为响应党中央、国务院关于治理政府采购领域商业贿赂行为的号召，我公司在此庄严承诺：</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1、在参与政府采购活动中遵纪守法、诚信经营、公平竞标。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2、不向政府采购人、采购代理机构和政府采购评审专家进行任何形式的商业贿赂以谋取交易机会。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3、不向政府采购代理机构和采购人提供虚假资质文件或采用虚假应标方式参与政府采购市场竞争并谋取中标、成交。</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4、不采取“围标、陪标”等商业欺诈手段获得政府采购定单。</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5、不采取不正当手段诋毁、排挤其他供应商。</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6、不在提供商品和服务时“偷梁换柱、以次充好”损害采购人的合法权益。</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7、不与采购人、采购代理机构政府采购评审专家或其它供应商恶意串通，进行质疑和投诉，维护政府采购市场秩序。</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8、尊重和接受政府采购监督管理部门的监督和政府采购代理机构招标采购要求，承担因违约行为给采购人造成的损失。</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9、不发生其他有悖于政府采购公开、公平、公正和诚信原则的行为。</w:t>
      </w:r>
      <w:r>
        <w:rPr>
          <w:rFonts w:hint="eastAsia" w:ascii="仿宋" w:hAnsi="仿宋" w:eastAsia="仿宋" w:cs="仿宋"/>
          <w:color w:val="auto"/>
          <w:kern w:val="0"/>
          <w:sz w:val="24"/>
        </w:rPr>
        <w:br w:type="textWrapping"/>
      </w:r>
    </w:p>
    <w:p>
      <w:pPr>
        <w:widowControl/>
        <w:spacing w:line="408" w:lineRule="auto"/>
        <w:ind w:left="239" w:leftChars="114"/>
        <w:jc w:val="left"/>
        <w:rPr>
          <w:rFonts w:hint="eastAsia" w:ascii="仿宋" w:hAnsi="仿宋" w:eastAsia="仿宋" w:cs="仿宋"/>
          <w:color w:val="auto"/>
          <w:kern w:val="0"/>
          <w:sz w:val="24"/>
        </w:rPr>
      </w:pPr>
      <w:r>
        <w:rPr>
          <w:rFonts w:hint="eastAsia" w:ascii="仿宋" w:hAnsi="仿宋" w:eastAsia="仿宋" w:cs="仿宋"/>
          <w:color w:val="auto"/>
          <w:kern w:val="0"/>
          <w:sz w:val="24"/>
        </w:rPr>
        <w:t>承诺单位：（盖章）</w:t>
      </w:r>
      <w:r>
        <w:rPr>
          <w:rFonts w:hint="eastAsia" w:ascii="仿宋" w:hAnsi="仿宋" w:eastAsia="仿宋" w:cs="仿宋"/>
          <w:color w:val="auto"/>
          <w:kern w:val="0"/>
          <w:sz w:val="24"/>
        </w:rPr>
        <w:br w:type="textWrapping"/>
      </w:r>
      <w:r>
        <w:rPr>
          <w:rFonts w:hint="eastAsia" w:ascii="仿宋" w:hAnsi="仿宋" w:eastAsia="仿宋" w:cs="仿宋"/>
          <w:color w:val="auto"/>
          <w:sz w:val="24"/>
        </w:rPr>
        <w:t>法定代表人或授权代表</w:t>
      </w:r>
      <w:r>
        <w:rPr>
          <w:rFonts w:hint="eastAsia" w:ascii="仿宋" w:hAnsi="仿宋" w:eastAsia="仿宋" w:cs="仿宋"/>
          <w:color w:val="auto"/>
          <w:kern w:val="0"/>
          <w:sz w:val="24"/>
        </w:rPr>
        <w:t>：（签字或盖章）</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地  址：                        </w:t>
      </w:r>
    </w:p>
    <w:p>
      <w:pPr>
        <w:widowControl/>
        <w:spacing w:line="408" w:lineRule="auto"/>
        <w:ind w:left="239" w:leftChars="114"/>
        <w:jc w:val="left"/>
        <w:rPr>
          <w:rFonts w:hint="eastAsia" w:ascii="仿宋" w:hAnsi="仿宋" w:eastAsia="仿宋" w:cs="仿宋"/>
          <w:color w:val="auto"/>
          <w:kern w:val="0"/>
          <w:sz w:val="24"/>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color w:val="auto"/>
          <w:kern w:val="0"/>
          <w:sz w:val="24"/>
        </w:rPr>
        <w:t>邮  编：</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电  话：                                                            年  月  日</w:t>
      </w: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附件：</w:t>
      </w:r>
    </w:p>
    <w:p>
      <w:pPr>
        <w:spacing w:line="360" w:lineRule="auto"/>
        <w:jc w:val="center"/>
        <w:rPr>
          <w:rFonts w:hint="eastAsia" w:ascii="仿宋" w:hAnsi="仿宋" w:eastAsia="仿宋" w:cs="仿宋"/>
          <w:b/>
          <w:color w:val="auto"/>
          <w:spacing w:val="6"/>
          <w:sz w:val="32"/>
        </w:rPr>
      </w:pPr>
      <w:r>
        <w:rPr>
          <w:rFonts w:hint="eastAsia" w:ascii="仿宋" w:hAnsi="仿宋" w:eastAsia="仿宋" w:cs="仿宋"/>
          <w:b/>
          <w:color w:val="auto"/>
          <w:spacing w:val="6"/>
          <w:sz w:val="32"/>
        </w:rPr>
        <w:t>供应商性质承诺说明</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中小企业、残疾人福利性单位磋商时，应提供声明函（按下文给定格式）。未提供或未按给定格式提供声明函的，其投标产品中的小型、微型企业产品、残疾人福利性单位生产的产品将不能享受磋商文件规定的价格扣除，但不影响磋商响应文件的有效性。</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监狱企业磋商时，应当提供由省级以上监狱管理局、戒毒管理局（含新疆生产建设兵团）出具的属于监狱企业的证明文件（格式不做要求）。未提供证明文件的不能享受磋商文件规定的价格扣除，但不影响磋商响应文件的有效性。</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磋商文件允许联合体投标的，联合体成员应分别提供上述声明函或证明文件。此外，联合体未提供联合体协议书的，其磋商响应文件无效。</w:t>
      </w:r>
    </w:p>
    <w:p>
      <w:pPr>
        <w:spacing w:line="360" w:lineRule="auto"/>
        <w:ind w:firstLine="506" w:firstLineChars="200"/>
        <w:rPr>
          <w:rFonts w:hint="eastAsia" w:ascii="仿宋" w:hAnsi="仿宋" w:eastAsia="仿宋" w:cs="仿宋"/>
          <w:b/>
          <w:color w:val="auto"/>
          <w:spacing w:val="6"/>
          <w:sz w:val="24"/>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b/>
          <w:color w:val="auto"/>
          <w:spacing w:val="6"/>
          <w:sz w:val="24"/>
        </w:rPr>
        <w:t>非中小企业、残疾人福利性单位、监狱企业，也无联合体情况的，可不提供此项内容。</w:t>
      </w:r>
    </w:p>
    <w:p>
      <w:pPr>
        <w:jc w:val="center"/>
        <w:rPr>
          <w:rFonts w:hint="eastAsia" w:ascii="仿宋" w:hAnsi="仿宋" w:eastAsia="仿宋" w:cs="仿宋"/>
          <w:b/>
          <w:color w:val="auto"/>
          <w:sz w:val="24"/>
        </w:rPr>
      </w:pPr>
      <w:r>
        <w:rPr>
          <w:rFonts w:hint="eastAsia" w:ascii="仿宋" w:hAnsi="仿宋" w:eastAsia="仿宋" w:cs="仿宋"/>
          <w:b/>
          <w:color w:val="auto"/>
          <w:sz w:val="24"/>
        </w:rPr>
        <w:t>投标声明（格式）</w:t>
      </w:r>
    </w:p>
    <w:p>
      <w:pPr>
        <w:pStyle w:val="14"/>
        <w:rPr>
          <w:rFonts w:hint="eastAsia" w:ascii="仿宋" w:hAnsi="仿宋" w:eastAsia="仿宋" w:cs="仿宋"/>
          <w:color w:val="auto"/>
        </w:rPr>
      </w:pPr>
    </w:p>
    <w:p>
      <w:pPr>
        <w:rPr>
          <w:rFonts w:hint="eastAsia" w:ascii="仿宋" w:hAnsi="仿宋" w:eastAsia="仿宋" w:cs="仿宋"/>
          <w:color w:val="auto"/>
        </w:rPr>
      </w:pPr>
    </w:p>
    <w:p>
      <w:pPr>
        <w:spacing w:line="360" w:lineRule="auto"/>
        <w:rPr>
          <w:rFonts w:hint="eastAsia" w:ascii="仿宋" w:hAnsi="仿宋" w:eastAsia="仿宋" w:cs="仿宋"/>
          <w:color w:val="auto"/>
          <w:spacing w:val="4"/>
          <w:sz w:val="24"/>
          <w:u w:val="single"/>
        </w:rPr>
      </w:pPr>
      <w:r>
        <w:rPr>
          <w:rFonts w:hint="eastAsia" w:ascii="仿宋" w:hAnsi="仿宋" w:eastAsia="仿宋" w:cs="仿宋"/>
          <w:color w:val="auto"/>
          <w:spacing w:val="4"/>
          <w:sz w:val="24"/>
        </w:rPr>
        <w:t>致：</w:t>
      </w:r>
      <w:r>
        <w:rPr>
          <w:rFonts w:hint="eastAsia" w:ascii="仿宋" w:hAnsi="仿宋" w:eastAsia="仿宋" w:cs="仿宋"/>
          <w:color w:val="auto"/>
          <w:spacing w:val="4"/>
          <w:sz w:val="24"/>
          <w:u w:val="single"/>
        </w:rPr>
        <w:t xml:space="preserve">    </w:t>
      </w:r>
      <w:r>
        <w:rPr>
          <w:rFonts w:hint="eastAsia" w:ascii="仿宋" w:hAnsi="仿宋" w:eastAsia="仿宋" w:cs="仿宋"/>
          <w:color w:val="auto"/>
          <w:spacing w:val="4"/>
          <w:sz w:val="24"/>
          <w:u w:val="single"/>
          <w:lang w:val="en-US" w:eastAsia="zh-CN"/>
        </w:rPr>
        <w:t xml:space="preserve">  </w:t>
      </w:r>
      <w:r>
        <w:rPr>
          <w:rFonts w:hint="eastAsia" w:ascii="仿宋" w:hAnsi="仿宋" w:eastAsia="仿宋" w:cs="仿宋"/>
          <w:color w:val="auto"/>
          <w:spacing w:val="4"/>
          <w:sz w:val="24"/>
          <w:u w:val="single"/>
        </w:rPr>
        <w:t xml:space="preserve"> （采购人）   </w:t>
      </w:r>
      <w:r>
        <w:rPr>
          <w:rFonts w:hint="eastAsia" w:ascii="仿宋" w:hAnsi="仿宋" w:eastAsia="仿宋" w:cs="仿宋"/>
          <w:color w:val="auto"/>
          <w:spacing w:val="4"/>
          <w:sz w:val="24"/>
        </w:rPr>
        <w:t>：</w:t>
      </w:r>
    </w:p>
    <w:p>
      <w:pPr>
        <w:spacing w:before="240" w:beforeLines="100" w:after="120" w:afterLines="50" w:line="360" w:lineRule="auto"/>
        <w:ind w:firstLine="496" w:firstLineChars="200"/>
        <w:rPr>
          <w:rFonts w:hint="eastAsia" w:ascii="仿宋" w:hAnsi="仿宋" w:eastAsia="仿宋" w:cs="仿宋"/>
          <w:color w:val="auto"/>
          <w:spacing w:val="4"/>
          <w:sz w:val="24"/>
        </w:rPr>
      </w:pPr>
      <w:r>
        <w:rPr>
          <w:rFonts w:hint="eastAsia" w:ascii="仿宋" w:hAnsi="仿宋" w:eastAsia="仿宋" w:cs="仿宋"/>
          <w:color w:val="auto"/>
          <w:spacing w:val="4"/>
          <w:sz w:val="24"/>
        </w:rPr>
        <w:t>我公司参与本项目以单个主体进行参与，没有与其他供应商组成联合体。我公司的</w:t>
      </w:r>
      <w:r>
        <w:rPr>
          <w:rFonts w:hint="eastAsia" w:ascii="仿宋" w:hAnsi="仿宋" w:eastAsia="仿宋" w:cs="仿宋"/>
          <w:color w:val="auto"/>
          <w:sz w:val="24"/>
          <w:lang w:val="zh-CN"/>
        </w:rPr>
        <w:t>单位负责人</w:t>
      </w:r>
      <w:r>
        <w:rPr>
          <w:rFonts w:hint="eastAsia" w:ascii="仿宋" w:hAnsi="仿宋" w:eastAsia="仿宋" w:cs="仿宋"/>
          <w:color w:val="auto"/>
          <w:sz w:val="24"/>
        </w:rPr>
        <w:t>不与其他投标供应商的单位负责人</w:t>
      </w:r>
      <w:r>
        <w:rPr>
          <w:rFonts w:hint="eastAsia" w:ascii="仿宋" w:hAnsi="仿宋" w:eastAsia="仿宋" w:cs="仿宋"/>
          <w:color w:val="auto"/>
          <w:sz w:val="24"/>
          <w:lang w:val="zh-CN"/>
        </w:rPr>
        <w:t>为同一人，</w:t>
      </w:r>
      <w:r>
        <w:rPr>
          <w:rFonts w:hint="eastAsia" w:ascii="仿宋" w:hAnsi="仿宋" w:eastAsia="仿宋" w:cs="仿宋"/>
          <w:color w:val="auto"/>
          <w:sz w:val="24"/>
        </w:rPr>
        <w:t>不存在与其他供应商有</w:t>
      </w:r>
      <w:r>
        <w:rPr>
          <w:rFonts w:hint="eastAsia" w:ascii="仿宋" w:hAnsi="仿宋" w:eastAsia="仿宋" w:cs="仿宋"/>
          <w:color w:val="auto"/>
          <w:sz w:val="24"/>
          <w:lang w:val="zh-CN"/>
        </w:rPr>
        <w:t>直接控股、管理关系。</w:t>
      </w:r>
    </w:p>
    <w:p>
      <w:pPr>
        <w:spacing w:before="240" w:beforeLines="100" w:after="120" w:afterLines="50" w:line="360" w:lineRule="auto"/>
        <w:ind w:firstLine="170"/>
        <w:rPr>
          <w:rFonts w:hint="eastAsia" w:ascii="仿宋" w:hAnsi="仿宋" w:eastAsia="仿宋" w:cs="仿宋"/>
          <w:color w:val="auto"/>
          <w:spacing w:val="4"/>
          <w:sz w:val="24"/>
        </w:rPr>
      </w:pPr>
    </w:p>
    <w:p>
      <w:pPr>
        <w:spacing w:before="240" w:beforeLines="100" w:after="120" w:afterLines="50" w:line="360" w:lineRule="auto"/>
        <w:ind w:firstLine="170"/>
        <w:rPr>
          <w:rFonts w:hint="eastAsia" w:ascii="仿宋" w:hAnsi="仿宋" w:eastAsia="仿宋" w:cs="仿宋"/>
          <w:color w:val="auto"/>
          <w:spacing w:val="4"/>
          <w:sz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供应商（公章）：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法定代表人/被授权人（签字或盖章）：</w:t>
      </w:r>
    </w:p>
    <w:p>
      <w:pPr>
        <w:spacing w:line="360" w:lineRule="auto"/>
        <w:ind w:firstLine="643" w:firstLineChars="200"/>
        <w:jc w:val="center"/>
        <w:rPr>
          <w:rFonts w:hint="eastAsia" w:ascii="仿宋" w:hAnsi="仿宋" w:eastAsia="仿宋" w:cs="仿宋"/>
          <w:b/>
          <w:bCs/>
          <w:color w:val="auto"/>
          <w:kern w:val="44"/>
          <w:sz w:val="32"/>
          <w:szCs w:val="44"/>
        </w:rPr>
      </w:pPr>
    </w:p>
    <w:p>
      <w:pPr>
        <w:pStyle w:val="14"/>
        <w:rPr>
          <w:rFonts w:hint="eastAsia"/>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b/>
          <w:bCs/>
          <w:color w:val="auto"/>
          <w:kern w:val="44"/>
          <w:sz w:val="32"/>
          <w:szCs w:val="44"/>
        </w:rPr>
        <w:t xml:space="preserve">                    </w:t>
      </w:r>
      <w:r>
        <w:rPr>
          <w:rFonts w:hint="eastAsia" w:ascii="仿宋" w:hAnsi="仿宋" w:eastAsia="仿宋" w:cs="仿宋"/>
          <w:color w:val="auto"/>
          <w:sz w:val="24"/>
        </w:rPr>
        <w:t xml:space="preserve">  年   月   日</w:t>
      </w:r>
    </w:p>
    <w:p>
      <w:pPr>
        <w:rPr>
          <w:rFonts w:hint="eastAsia"/>
        </w:rPr>
      </w:pPr>
    </w:p>
    <w:p>
      <w:pPr>
        <w:spacing w:line="588" w:lineRule="exact"/>
        <w:ind w:firstLine="667"/>
        <w:jc w:val="center"/>
        <w:rPr>
          <w:rFonts w:hint="eastAsia" w:ascii="仿宋" w:hAnsi="仿宋" w:eastAsia="仿宋" w:cs="仿宋"/>
          <w:b/>
          <w:color w:val="auto"/>
          <w:spacing w:val="6"/>
          <w:sz w:val="32"/>
          <w:szCs w:val="32"/>
        </w:rPr>
      </w:pPr>
      <w:bookmarkStart w:id="131" w:name="_Toc28341_WPSOffice_Level1"/>
      <w:bookmarkStart w:id="132" w:name="_Toc19451_WPSOffice_Level1"/>
      <w:r>
        <w:rPr>
          <w:rFonts w:hint="eastAsia" w:ascii="仿宋" w:hAnsi="仿宋" w:eastAsia="仿宋" w:cs="仿宋"/>
          <w:b/>
          <w:color w:val="auto"/>
          <w:spacing w:val="6"/>
          <w:sz w:val="32"/>
          <w:szCs w:val="32"/>
        </w:rPr>
        <w:t>中小企业声明函（工程）</w:t>
      </w:r>
    </w:p>
    <w:p>
      <w:pPr>
        <w:pStyle w:val="9"/>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本公司（联合体）郑重声明，根据《政府采购促进中小企业发展暂行办法》（财库[2020]46号）的规定，本公司（联合体）参加</w:t>
      </w:r>
      <w:r>
        <w:rPr>
          <w:rFonts w:hint="eastAsia" w:ascii="仿宋" w:hAnsi="仿宋" w:eastAsia="仿宋" w:cs="仿宋"/>
          <w:bCs/>
          <w:color w:val="auto"/>
          <w:sz w:val="24"/>
          <w:u w:val="single"/>
        </w:rPr>
        <w:t xml:space="preserve"> （单位名称） </w:t>
      </w:r>
      <w:r>
        <w:rPr>
          <w:rFonts w:hint="eastAsia" w:ascii="仿宋" w:hAnsi="仿宋" w:eastAsia="仿宋" w:cs="仿宋"/>
          <w:bCs/>
          <w:color w:val="auto"/>
          <w:sz w:val="24"/>
        </w:rPr>
        <w:t>的 （项目名称）采购活动，工程的施工单位全部为符合政策要求的中小企业承接。相关企业（含联合体中的中小企业、签订分包意向协议的中小企业）的具体情况如下：</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u w:val="single"/>
        </w:rPr>
        <w:t>（标的名称）</w:t>
      </w:r>
      <w:r>
        <w:rPr>
          <w:rFonts w:hint="eastAsia" w:ascii="仿宋" w:hAnsi="仿宋" w:eastAsia="仿宋" w:cs="仿宋"/>
          <w:bCs/>
          <w:color w:val="auto"/>
          <w:sz w:val="24"/>
        </w:rPr>
        <w:t>，属于</w:t>
      </w:r>
      <w:r>
        <w:rPr>
          <w:rFonts w:hint="eastAsia" w:ascii="仿宋" w:hAnsi="仿宋" w:eastAsia="仿宋" w:cs="仿宋"/>
          <w:bCs/>
          <w:color w:val="auto"/>
          <w:sz w:val="24"/>
          <w:u w:val="single"/>
        </w:rPr>
        <w:t>（采购文件中明确的所属行业）</w:t>
      </w:r>
      <w:r>
        <w:rPr>
          <w:rFonts w:hint="eastAsia" w:ascii="仿宋" w:hAnsi="仿宋" w:eastAsia="仿宋" w:cs="仿宋"/>
          <w:bCs/>
          <w:color w:val="auto"/>
          <w:sz w:val="24"/>
        </w:rPr>
        <w:t>；承建（承接）企业为</w:t>
      </w:r>
      <w:r>
        <w:rPr>
          <w:rFonts w:hint="eastAsia" w:ascii="仿宋" w:hAnsi="仿宋" w:eastAsia="仿宋" w:cs="仿宋"/>
          <w:bCs/>
          <w:color w:val="auto"/>
          <w:sz w:val="24"/>
          <w:u w:val="single"/>
        </w:rPr>
        <w:t>（企业名称）</w:t>
      </w:r>
      <w:r>
        <w:rPr>
          <w:rFonts w:hint="eastAsia" w:ascii="仿宋" w:hAnsi="仿宋" w:eastAsia="仿宋" w:cs="仿宋"/>
          <w:bCs/>
          <w:color w:val="auto"/>
          <w:sz w:val="24"/>
        </w:rPr>
        <w:t>，从业人员</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人，营业收入为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万元，资产总额为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万元，属于</w:t>
      </w:r>
      <w:r>
        <w:rPr>
          <w:rFonts w:hint="eastAsia" w:ascii="仿宋" w:hAnsi="仿宋" w:eastAsia="仿宋" w:cs="仿宋"/>
          <w:bCs/>
          <w:color w:val="auto"/>
          <w:sz w:val="24"/>
          <w:u w:val="single"/>
        </w:rPr>
        <w:t>（中小企业、小型企业、微型企业）</w:t>
      </w:r>
      <w:r>
        <w:rPr>
          <w:rFonts w:hint="eastAsia" w:ascii="仿宋" w:hAnsi="仿宋" w:eastAsia="仿宋" w:cs="仿宋"/>
          <w:bCs/>
          <w:color w:val="auto"/>
          <w:sz w:val="24"/>
        </w:rPr>
        <w:t>；</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u w:val="single"/>
        </w:rPr>
        <w:t>（标的名称）</w:t>
      </w:r>
      <w:r>
        <w:rPr>
          <w:rFonts w:hint="eastAsia" w:ascii="仿宋" w:hAnsi="仿宋" w:eastAsia="仿宋" w:cs="仿宋"/>
          <w:bCs/>
          <w:color w:val="auto"/>
          <w:sz w:val="24"/>
        </w:rPr>
        <w:t>，属于</w:t>
      </w:r>
      <w:r>
        <w:rPr>
          <w:rFonts w:hint="eastAsia" w:ascii="仿宋" w:hAnsi="仿宋" w:eastAsia="仿宋" w:cs="仿宋"/>
          <w:bCs/>
          <w:color w:val="auto"/>
          <w:sz w:val="24"/>
          <w:u w:val="single"/>
        </w:rPr>
        <w:t>（采购文件中明确的所属行业）</w:t>
      </w:r>
      <w:r>
        <w:rPr>
          <w:rFonts w:hint="eastAsia" w:ascii="仿宋" w:hAnsi="仿宋" w:eastAsia="仿宋" w:cs="仿宋"/>
          <w:bCs/>
          <w:color w:val="auto"/>
          <w:sz w:val="24"/>
        </w:rPr>
        <w:t>；承建（承接）企业为</w:t>
      </w:r>
      <w:r>
        <w:rPr>
          <w:rFonts w:hint="eastAsia" w:ascii="仿宋" w:hAnsi="仿宋" w:eastAsia="仿宋" w:cs="仿宋"/>
          <w:bCs/>
          <w:color w:val="auto"/>
          <w:sz w:val="24"/>
          <w:u w:val="single"/>
        </w:rPr>
        <w:t>（企业名称）</w:t>
      </w:r>
      <w:r>
        <w:rPr>
          <w:rFonts w:hint="eastAsia" w:ascii="仿宋" w:hAnsi="仿宋" w:eastAsia="仿宋" w:cs="仿宋"/>
          <w:bCs/>
          <w:color w:val="auto"/>
          <w:sz w:val="24"/>
        </w:rPr>
        <w:t>，从业人员</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人，营业收入为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万元，资产总额为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万元，属于</w:t>
      </w:r>
      <w:r>
        <w:rPr>
          <w:rFonts w:hint="eastAsia" w:ascii="仿宋" w:hAnsi="仿宋" w:eastAsia="仿宋" w:cs="仿宋"/>
          <w:bCs/>
          <w:color w:val="auto"/>
          <w:sz w:val="24"/>
          <w:u w:val="single"/>
        </w:rPr>
        <w:t>（中小企业、小型企业、微型企业）</w:t>
      </w:r>
      <w:r>
        <w:rPr>
          <w:rFonts w:hint="eastAsia" w:ascii="仿宋" w:hAnsi="仿宋" w:eastAsia="仿宋" w:cs="仿宋"/>
          <w:bCs/>
          <w:color w:val="auto"/>
          <w:sz w:val="24"/>
        </w:rPr>
        <w:t>；</w:t>
      </w:r>
    </w:p>
    <w:p>
      <w:pPr>
        <w:pStyle w:val="91"/>
        <w:spacing w:line="360" w:lineRule="auto"/>
        <w:ind w:firstLine="480"/>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以上企业，不属于大企业的分支机构，不存在控股股东为大企业的情形，也不存在与大企业的负责人为同一人的情形。</w:t>
      </w:r>
    </w:p>
    <w:p>
      <w:pPr>
        <w:pStyle w:val="91"/>
        <w:spacing w:line="360" w:lineRule="auto"/>
        <w:ind w:firstLine="480"/>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本企业对上述声明内容的真实性负责。如有虚假，将依法承担相应责任。</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特此声明！</w:t>
      </w:r>
    </w:p>
    <w:p>
      <w:pPr>
        <w:spacing w:line="360" w:lineRule="auto"/>
        <w:ind w:right="-60" w:firstLine="480"/>
        <w:jc w:val="left"/>
        <w:rPr>
          <w:rFonts w:hint="eastAsia" w:ascii="仿宋" w:hAnsi="仿宋" w:eastAsia="仿宋" w:cs="仿宋"/>
          <w:bCs/>
          <w:color w:val="auto"/>
          <w:sz w:val="24"/>
        </w:rPr>
      </w:pPr>
    </w:p>
    <w:p>
      <w:pPr>
        <w:pStyle w:val="14"/>
        <w:spacing w:before="120"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企业名称（盖章）：</w:t>
      </w:r>
    </w:p>
    <w:p>
      <w:pPr>
        <w:pStyle w:val="14"/>
        <w:spacing w:before="120" w:line="360" w:lineRule="auto"/>
        <w:ind w:firstLine="480"/>
        <w:rPr>
          <w:rFonts w:hint="eastAsia" w:ascii="仿宋" w:hAnsi="仿宋" w:eastAsia="仿宋" w:cs="仿宋"/>
          <w:color w:val="auto"/>
          <w:sz w:val="24"/>
        </w:rPr>
      </w:pPr>
      <w:r>
        <w:rPr>
          <w:rFonts w:hint="eastAsia" w:ascii="仿宋" w:hAnsi="仿宋" w:eastAsia="仿宋" w:cs="仿宋"/>
          <w:bCs/>
          <w:color w:val="auto"/>
          <w:sz w:val="24"/>
        </w:rPr>
        <w:t>日期：</w:t>
      </w:r>
    </w:p>
    <w:p>
      <w:pPr>
        <w:pStyle w:val="14"/>
        <w:spacing w:line="360" w:lineRule="auto"/>
        <w:ind w:firstLine="480" w:firstLineChars="200"/>
        <w:rPr>
          <w:rFonts w:hint="eastAsia" w:ascii="仿宋" w:hAnsi="仿宋" w:eastAsia="仿宋" w:cs="仿宋"/>
          <w:b/>
          <w:color w:val="auto"/>
          <w:spacing w:val="6"/>
          <w:sz w:val="24"/>
        </w:rPr>
      </w:pPr>
      <w:r>
        <w:rPr>
          <w:rFonts w:hint="eastAsia" w:ascii="仿宋" w:hAnsi="仿宋" w:eastAsia="仿宋" w:cs="仿宋"/>
          <w:color w:val="auto"/>
          <w:sz w:val="24"/>
        </w:rPr>
        <w:br w:type="page"/>
      </w:r>
      <w:bookmarkEnd w:id="131"/>
      <w:bookmarkEnd w:id="132"/>
      <w:bookmarkStart w:id="133" w:name="OLE_LINK13"/>
      <w:bookmarkStart w:id="134" w:name="OLE_LINK14"/>
    </w:p>
    <w:p>
      <w:pPr>
        <w:spacing w:line="588" w:lineRule="exact"/>
        <w:ind w:firstLine="667"/>
        <w:jc w:val="center"/>
        <w:rPr>
          <w:rFonts w:hint="eastAsia" w:ascii="仿宋" w:hAnsi="仿宋" w:eastAsia="仿宋" w:cs="仿宋"/>
          <w:b/>
          <w:color w:val="auto"/>
          <w:spacing w:val="6"/>
          <w:sz w:val="32"/>
          <w:szCs w:val="32"/>
        </w:rPr>
      </w:pPr>
      <w:bookmarkStart w:id="135" w:name="_Toc28640_WPSOffice_Level1"/>
      <w:bookmarkStart w:id="136" w:name="_Toc8033_WPSOffice_Level1"/>
      <w:r>
        <w:rPr>
          <w:rFonts w:hint="eastAsia" w:ascii="仿宋" w:hAnsi="仿宋" w:eastAsia="仿宋" w:cs="仿宋"/>
          <w:b/>
          <w:color w:val="auto"/>
          <w:spacing w:val="6"/>
          <w:sz w:val="32"/>
          <w:szCs w:val="32"/>
        </w:rPr>
        <w:t>残疾人福利性单位声明函</w:t>
      </w:r>
      <w:bookmarkEnd w:id="135"/>
      <w:bookmarkEnd w:id="136"/>
    </w:p>
    <w:bookmarkEnd w:id="133"/>
    <w:bookmarkEnd w:id="134"/>
    <w:p>
      <w:pPr>
        <w:spacing w:line="588" w:lineRule="exact"/>
        <w:rPr>
          <w:rFonts w:hint="eastAsia" w:ascii="仿宋" w:hAnsi="仿宋" w:eastAsia="仿宋" w:cs="仿宋"/>
          <w:b/>
          <w:color w:val="auto"/>
          <w:spacing w:val="6"/>
          <w:sz w:val="24"/>
        </w:rPr>
      </w:pP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本单位郑重声明，根据《财政部 民政部 中国残疾人联合会关于促进残疾人就业政府采购政策的通知》（财库</w:t>
      </w:r>
      <w:r>
        <w:rPr>
          <w:rFonts w:hint="eastAsia" w:ascii="仿宋" w:hAnsi="仿宋" w:eastAsia="仿宋" w:cs="仿宋"/>
          <w:color w:val="auto"/>
          <w:sz w:val="24"/>
        </w:rPr>
        <w:t>〔2017〕 141</w:t>
      </w:r>
      <w:r>
        <w:rPr>
          <w:rFonts w:hint="eastAsia" w:ascii="仿宋" w:hAnsi="仿宋" w:eastAsia="仿宋" w:cs="仿宋"/>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本单位对上述声明的真实性负责。如有虚假，将依法承担相应责任。</w:t>
      </w:r>
    </w:p>
    <w:p>
      <w:pPr>
        <w:spacing w:line="360" w:lineRule="auto"/>
        <w:ind w:firstLine="504" w:firstLineChars="200"/>
        <w:rPr>
          <w:rFonts w:hint="eastAsia" w:ascii="仿宋" w:hAnsi="仿宋" w:eastAsia="仿宋" w:cs="仿宋"/>
          <w:color w:val="auto"/>
          <w:spacing w:val="6"/>
          <w:sz w:val="24"/>
        </w:rPr>
      </w:pPr>
    </w:p>
    <w:p>
      <w:pPr>
        <w:spacing w:line="360" w:lineRule="auto"/>
        <w:ind w:firstLine="504" w:firstLineChars="200"/>
        <w:rPr>
          <w:rFonts w:hint="eastAsia" w:ascii="仿宋" w:hAnsi="仿宋" w:eastAsia="仿宋" w:cs="仿宋"/>
          <w:color w:val="auto"/>
          <w:spacing w:val="6"/>
          <w:sz w:val="24"/>
        </w:rPr>
      </w:pPr>
    </w:p>
    <w:p>
      <w:pPr>
        <w:spacing w:line="480" w:lineRule="auto"/>
        <w:ind w:right="-60"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声  明  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(磋商供应商名称、公章)</w:t>
      </w:r>
    </w:p>
    <w:p>
      <w:pPr>
        <w:spacing w:line="480" w:lineRule="auto"/>
        <w:ind w:right="-60" w:firstLine="480" w:firstLineChars="200"/>
        <w:jc w:val="left"/>
        <w:rPr>
          <w:rFonts w:hint="eastAsia" w:ascii="仿宋" w:hAnsi="仿宋" w:eastAsia="仿宋" w:cs="仿宋"/>
          <w:bCs/>
          <w:color w:val="auto"/>
          <w:sz w:val="24"/>
          <w:u w:val="single"/>
        </w:rPr>
      </w:pPr>
      <w:r>
        <w:rPr>
          <w:rFonts w:hint="eastAsia" w:ascii="仿宋" w:hAnsi="仿宋" w:eastAsia="仿宋" w:cs="仿宋"/>
          <w:bCs/>
          <w:color w:val="auto"/>
          <w:sz w:val="24"/>
        </w:rPr>
        <w:t>法定代表人：</w:t>
      </w:r>
      <w:r>
        <w:rPr>
          <w:rFonts w:hint="eastAsia" w:ascii="仿宋" w:hAnsi="仿宋" w:eastAsia="仿宋" w:cs="仿宋"/>
          <w:bCs/>
          <w:color w:val="auto"/>
          <w:sz w:val="24"/>
          <w:u w:val="single"/>
        </w:rPr>
        <w:t xml:space="preserve">      （签名或盖章）</w:t>
      </w:r>
    </w:p>
    <w:p>
      <w:pPr>
        <w:tabs>
          <w:tab w:val="left" w:pos="4860"/>
        </w:tabs>
        <w:spacing w:line="480" w:lineRule="auto"/>
        <w:ind w:right="1560"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日      期：</w:t>
      </w:r>
      <w:r>
        <w:rPr>
          <w:rFonts w:hint="eastAsia" w:ascii="仿宋" w:hAnsi="仿宋" w:eastAsia="仿宋" w:cs="仿宋"/>
          <w:bCs/>
          <w:color w:val="auto"/>
          <w:sz w:val="24"/>
          <w:u w:val="single"/>
        </w:rPr>
        <w:t>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w:t>
      </w:r>
      <w:r>
        <w:rPr>
          <w:rFonts w:hint="eastAsia" w:ascii="仿宋" w:hAnsi="仿宋" w:eastAsia="仿宋" w:cs="仿宋"/>
          <w:bCs/>
          <w:color w:val="auto"/>
          <w:sz w:val="24"/>
        </w:rPr>
        <w:t xml:space="preserve"> </w:t>
      </w:r>
      <w:r>
        <w:rPr>
          <w:rFonts w:hint="eastAsia" w:ascii="仿宋" w:hAnsi="仿宋" w:eastAsia="仿宋" w:cs="仿宋"/>
          <w:bCs/>
          <w:color w:val="auto"/>
          <w:sz w:val="24"/>
          <w:u w:val="single"/>
        </w:rPr>
        <w:t xml:space="preserve">                 </w:t>
      </w:r>
    </w:p>
    <w:p>
      <w:pPr>
        <w:pStyle w:val="14"/>
        <w:rPr>
          <w:rFonts w:hint="eastAsia" w:ascii="仿宋" w:hAnsi="仿宋" w:eastAsia="仿宋" w:cs="仿宋"/>
          <w:bCs/>
          <w:color w:val="auto"/>
          <w:sz w:val="24"/>
          <w:u w:val="single"/>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pStyle w:val="14"/>
        <w:rPr>
          <w:rFonts w:hint="eastAsia" w:ascii="仿宋" w:hAnsi="仿宋" w:eastAsia="仿宋" w:cs="仿宋"/>
          <w:b/>
          <w:bCs/>
          <w:color w:val="auto"/>
          <w:sz w:val="24"/>
          <w:lang w:val="zh-CN"/>
        </w:rPr>
      </w:pPr>
    </w:p>
    <w:p>
      <w:pPr>
        <w:rPr>
          <w:rFonts w:hint="eastAsia" w:ascii="仿宋" w:hAnsi="仿宋" w:eastAsia="仿宋" w:cs="仿宋"/>
          <w:color w:val="auto"/>
          <w:sz w:val="24"/>
          <w:lang w:val="zh-CN"/>
        </w:rPr>
      </w:pPr>
    </w:p>
    <w:p>
      <w:pPr>
        <w:pStyle w:val="14"/>
        <w:rPr>
          <w:rFonts w:hint="eastAsia" w:ascii="仿宋" w:hAnsi="仿宋" w:eastAsia="仿宋" w:cs="仿宋"/>
          <w:color w:val="auto"/>
          <w:sz w:val="24"/>
          <w:lang w:val="zh-CN"/>
        </w:rPr>
      </w:pPr>
    </w:p>
    <w:p>
      <w:pPr>
        <w:rPr>
          <w:rFonts w:hint="eastAsia" w:ascii="仿宋" w:hAnsi="仿宋" w:eastAsia="仿宋" w:cs="仿宋"/>
          <w:color w:val="auto"/>
          <w:sz w:val="24"/>
          <w:lang w:val="zh-CN"/>
        </w:rPr>
      </w:pPr>
    </w:p>
    <w:p>
      <w:pPr>
        <w:pStyle w:val="14"/>
        <w:rPr>
          <w:rFonts w:hint="eastAsia" w:ascii="仿宋" w:hAnsi="仿宋" w:eastAsia="仿宋" w:cs="仿宋"/>
          <w:color w:val="auto"/>
          <w:sz w:val="24"/>
          <w:lang w:val="zh-CN"/>
        </w:rPr>
      </w:pPr>
    </w:p>
    <w:p>
      <w:pPr>
        <w:rPr>
          <w:rFonts w:hint="eastAsia" w:ascii="仿宋" w:hAnsi="仿宋" w:eastAsia="仿宋" w:cs="仿宋"/>
          <w:color w:val="auto"/>
          <w:lang w:val="zh-CN"/>
        </w:rPr>
      </w:pPr>
    </w:p>
    <w:p>
      <w:pPr>
        <w:pStyle w:val="14"/>
        <w:rPr>
          <w:rFonts w:hint="eastAsia" w:ascii="仿宋" w:hAnsi="仿宋" w:eastAsia="仿宋" w:cs="仿宋"/>
          <w:color w:val="auto"/>
          <w:lang w:val="zh-CN"/>
        </w:rPr>
      </w:pPr>
    </w:p>
    <w:p>
      <w:pPr>
        <w:rPr>
          <w:rFonts w:hint="eastAsia" w:ascii="仿宋" w:hAnsi="仿宋" w:eastAsia="仿宋" w:cs="仿宋"/>
          <w:color w:val="auto"/>
          <w:sz w:val="24"/>
          <w:lang w:val="zh-CN"/>
        </w:rPr>
      </w:pPr>
    </w:p>
    <w:p>
      <w:pPr>
        <w:pStyle w:val="14"/>
        <w:rPr>
          <w:rFonts w:hint="eastAsia" w:ascii="仿宋" w:hAnsi="仿宋" w:eastAsia="仿宋" w:cs="仿宋"/>
          <w:color w:val="auto"/>
          <w:sz w:val="24"/>
          <w:lang w:val="zh-CN"/>
        </w:rPr>
      </w:pPr>
    </w:p>
    <w:p>
      <w:pPr>
        <w:pStyle w:val="5"/>
        <w:jc w:val="center"/>
        <w:rPr>
          <w:rFonts w:hint="eastAsia" w:ascii="仿宋" w:hAnsi="仿宋" w:eastAsia="仿宋" w:cs="仿宋"/>
          <w:bCs w:val="0"/>
          <w:color w:val="auto"/>
          <w:sz w:val="24"/>
          <w:szCs w:val="24"/>
        </w:rPr>
        <w:sectPr>
          <w:pgSz w:w="11906" w:h="16838"/>
          <w:pgMar w:top="1440" w:right="1242" w:bottom="1440" w:left="1559" w:header="851" w:footer="992" w:gutter="0"/>
          <w:pgNumType w:fmt="numberInDash"/>
          <w:cols w:space="720" w:num="1"/>
          <w:docGrid w:linePitch="312" w:charSpace="0"/>
        </w:sectPr>
      </w:pPr>
      <w:bookmarkStart w:id="137" w:name="_Toc78884392"/>
      <w:r>
        <w:rPr>
          <w:rFonts w:hint="eastAsia" w:ascii="仿宋" w:hAnsi="仿宋" w:eastAsia="仿宋" w:cs="仿宋"/>
          <w:bCs w:val="0"/>
          <w:color w:val="auto"/>
          <w:sz w:val="24"/>
          <w:szCs w:val="24"/>
        </w:rPr>
        <w:t>十、供应商认为有必要说明的其他问题</w:t>
      </w:r>
      <w:bookmarkEnd w:id="137"/>
    </w:p>
    <w:p>
      <w:pPr>
        <w:rPr>
          <w:rFonts w:hint="eastAsia"/>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r>
        <w:drawing>
          <wp:anchor distT="0" distB="0" distL="114300" distR="114300" simplePos="0" relativeHeight="251670528" behindDoc="0" locked="0" layoutInCell="1" allowOverlap="1">
            <wp:simplePos x="0" y="0"/>
            <wp:positionH relativeFrom="column">
              <wp:posOffset>884555</wp:posOffset>
            </wp:positionH>
            <wp:positionV relativeFrom="paragraph">
              <wp:posOffset>382270</wp:posOffset>
            </wp:positionV>
            <wp:extent cx="4010660" cy="2678430"/>
            <wp:effectExtent l="0" t="0" r="8890" b="762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7"/>
                    <a:stretch>
                      <a:fillRect/>
                    </a:stretch>
                  </pic:blipFill>
                  <pic:spPr>
                    <a:xfrm>
                      <a:off x="0" y="0"/>
                      <a:ext cx="4010660" cy="2678430"/>
                    </a:xfrm>
                    <a:prstGeom prst="rect">
                      <a:avLst/>
                    </a:prstGeom>
                    <a:noFill/>
                    <a:ln>
                      <a:noFill/>
                    </a:ln>
                  </pic:spPr>
                </pic:pic>
              </a:graphicData>
            </a:graphic>
          </wp:anchor>
        </w:drawing>
      </w: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rPr>
          <w:rFonts w:hint="eastAsia"/>
        </w:rPr>
      </w:pPr>
    </w:p>
    <w:p>
      <w:pPr>
        <w:pStyle w:val="14"/>
        <w:rPr>
          <w:rFonts w:hint="eastAsia"/>
        </w:rPr>
      </w:pPr>
    </w:p>
    <w:p>
      <w:pPr>
        <w:rPr>
          <w:sz w:val="21"/>
        </w:rPr>
      </w:pPr>
      <w:r>
        <w:rPr>
          <w:sz w:val="21"/>
        </w:rPr>
        <mc:AlternateContent>
          <mc:Choice Requires="wps">
            <w:drawing>
              <wp:anchor distT="0" distB="0" distL="114300" distR="114300" simplePos="0" relativeHeight="251669504" behindDoc="0" locked="0" layoutInCell="1" allowOverlap="1">
                <wp:simplePos x="0" y="0"/>
                <wp:positionH relativeFrom="column">
                  <wp:posOffset>-167005</wp:posOffset>
                </wp:positionH>
                <wp:positionV relativeFrom="paragraph">
                  <wp:posOffset>146050</wp:posOffset>
                </wp:positionV>
                <wp:extent cx="6057900" cy="2324100"/>
                <wp:effectExtent l="12700" t="12700" r="25400" b="25400"/>
                <wp:wrapNone/>
                <wp:docPr id="15" name="圆角矩形 15"/>
                <wp:cNvGraphicFramePr/>
                <a:graphic xmlns:a="http://schemas.openxmlformats.org/drawingml/2006/main">
                  <a:graphicData uri="http://schemas.microsoft.com/office/word/2010/wordprocessingShape">
                    <wps:wsp>
                      <wps:cNvSpPr/>
                      <wps:spPr>
                        <a:xfrm>
                          <a:off x="822960" y="7122160"/>
                          <a:ext cx="6057900" cy="2324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4"/>
                              <w:spacing w:before="4"/>
                              <w:rPr>
                                <w:rFonts w:hint="eastAsia"/>
                                <w:spacing w:val="0"/>
                                <w:w w:val="100"/>
                                <w:sz w:val="28"/>
                                <w:szCs w:val="32"/>
                                <w:lang w:eastAsia="zh-CN"/>
                              </w:rPr>
                            </w:pPr>
                            <w:r>
                              <w:rPr>
                                <w:rFonts w:hint="eastAsia"/>
                                <w:spacing w:val="0"/>
                                <w:w w:val="100"/>
                                <w:sz w:val="72"/>
                                <w:szCs w:val="96"/>
                                <w:u w:val="single"/>
                                <w:lang w:val="en-US" w:eastAsia="zh-CN"/>
                              </w:rPr>
                              <w:t xml:space="preserve">                                                                              </w:t>
                            </w:r>
                            <w:r>
                              <w:rPr>
                                <w:rFonts w:hint="eastAsia"/>
                                <w:spacing w:val="0"/>
                                <w:w w:val="100"/>
                                <w:sz w:val="23"/>
                                <w:u w:val="single"/>
                                <w:lang w:val="en-US" w:eastAsia="zh-CN"/>
                              </w:rPr>
                              <w:t xml:space="preserve">       </w:t>
                            </w:r>
                          </w:p>
                          <w:p>
                            <w:pPr>
                              <w:pStyle w:val="14"/>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    真：0916-2524867</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11.5pt;height:183pt;width:477pt;z-index:251669504;v-text-anchor:middle;mso-width-relative:page;mso-height-relative:page;" fillcolor="#FFFFFF [3201]" filled="t" stroked="t" coordsize="21600,21600" arcsize="0.166666666666667" o:gfxdata="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vP9ptsAAAAKAQAA&#10;DwAAAAAAAAABACAAAAAiAAAAZHJzL2Rvd25yZXYueG1sUEsBAhQAFAAAAAgAh07iQJNsFK+IAgAA&#10;AQUAAA4AAAAAAAAAAQAgAAAAKgEAAGRycy9lMm9Eb2MueG1sUEsFBgAAAAAGAAYAWQEAACQGAAAA&#10;AA==&#10;">
                <v:fill on="t" focussize="0,0"/>
                <v:stroke weight="2pt" color="#F79646 [3209]" joinstyle="round"/>
                <v:imagedata o:title=""/>
                <o:lock v:ext="edit" aspectratio="f"/>
                <v:textbo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14"/>
                        <w:spacing w:before="4"/>
                        <w:rPr>
                          <w:rFonts w:hint="eastAsia"/>
                          <w:spacing w:val="0"/>
                          <w:w w:val="100"/>
                          <w:sz w:val="28"/>
                          <w:szCs w:val="32"/>
                          <w:lang w:eastAsia="zh-CN"/>
                        </w:rPr>
                      </w:pPr>
                      <w:r>
                        <w:rPr>
                          <w:rFonts w:hint="eastAsia"/>
                          <w:spacing w:val="0"/>
                          <w:w w:val="100"/>
                          <w:sz w:val="72"/>
                          <w:szCs w:val="96"/>
                          <w:u w:val="single"/>
                          <w:lang w:val="en-US" w:eastAsia="zh-CN"/>
                        </w:rPr>
                        <w:t xml:space="preserve">                                                                              </w:t>
                      </w:r>
                      <w:r>
                        <w:rPr>
                          <w:rFonts w:hint="eastAsia"/>
                          <w:spacing w:val="0"/>
                          <w:w w:val="100"/>
                          <w:sz w:val="23"/>
                          <w:u w:val="single"/>
                          <w:lang w:val="en-US" w:eastAsia="zh-CN"/>
                        </w:rPr>
                        <w:t xml:space="preserve">       </w:t>
                      </w:r>
                    </w:p>
                    <w:p>
                      <w:pPr>
                        <w:pStyle w:val="14"/>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    真：0916-2524867</w:t>
                      </w:r>
                    </w:p>
                    <w:p>
                      <w:pPr>
                        <w:jc w:val="center"/>
                      </w:pPr>
                    </w:p>
                  </w:txbxContent>
                </v:textbox>
              </v:roundrect>
            </w:pict>
          </mc:Fallback>
        </mc:AlternateContent>
      </w:r>
    </w:p>
    <w:p>
      <w:pPr>
        <w:pStyle w:val="14"/>
        <w:rPr>
          <w:rFonts w:hint="eastAsia"/>
        </w:rPr>
      </w:pPr>
    </w:p>
    <w:sectPr>
      <w:pgSz w:w="11906" w:h="16838"/>
      <w:pgMar w:top="1440" w:right="1242" w:bottom="1440" w:left="155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1" w:fontKey="{4904BCC9-E18D-4E4C-934C-6CEED9B4E495}"/>
  </w:font>
  <w:font w:name="Wingdings 2">
    <w:panose1 w:val="05020102010507070707"/>
    <w:charset w:val="00"/>
    <w:family w:val="auto"/>
    <w:pitch w:val="default"/>
    <w:sig w:usb0="00000000" w:usb1="00000000" w:usb2="00000000" w:usb3="00000000" w:csb0="80000000" w:csb1="00000000"/>
    <w:embedRegular r:id="rId2" w:fontKey="{4447018B-33BD-4EFB-81B9-F44F4045C9AB}"/>
  </w:font>
  <w:font w:name="方正楷体_GBK">
    <w:altName w:val="微软雅黑"/>
    <w:panose1 w:val="03000509000000000000"/>
    <w:charset w:val="86"/>
    <w:family w:val="script"/>
    <w:pitch w:val="default"/>
    <w:sig w:usb0="00000000" w:usb1="00000000" w:usb2="00000010" w:usb3="00000000" w:csb0="00040000" w:csb1="00000000"/>
    <w:embedRegular r:id="rId3" w:fontKey="{A9007A68-37C1-4122-8AA2-AC8A7257C864}"/>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embedRegular r:id="rId4" w:fontKey="{A88F8CDD-95DA-42BB-AC01-00EF6E9D845A}"/>
  </w:font>
  <w:font w:name="标准行书简繁">
    <w:panose1 w:val="03000600000000000000"/>
    <w:charset w:val="86"/>
    <w:family w:val="auto"/>
    <w:pitch w:val="default"/>
    <w:sig w:usb0="00000283" w:usb1="180F1C10" w:usb2="00000016" w:usb3="00000000" w:csb0="40040001" w:csb1="C0D60000"/>
    <w:embedRegular r:id="rId5" w:fontKey="{39764894-2C47-4BA4-83AA-9432C3ED302B}"/>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仿宋" w:hAnsi="仿宋" w:eastAsia="仿宋"/>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ascii="仿宋" w:hAnsi="仿宋" w:eastAsia="仿宋"/>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u w:val="single"/>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u w:val="single"/>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u w:val="single"/>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u w:val="single"/>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- 60 -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u w:val="single"/>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- 65 -</w:t>
                    </w:r>
                    <w:r>
                      <w:fldChar w:fldCharType="end"/>
                    </w:r>
                  </w:p>
                </w:txbxContent>
              </v:textbox>
            </v:shape>
          </w:pict>
        </mc:Fallback>
      </mc:AlternateContent>
    </w:r>
    <w:r>
      <w:rPr>
        <w:rFonts w:hint="eastAsia"/>
        <w:sz w:val="18"/>
        <w:lang w:eastAsia="zh-CN"/>
      </w:rPr>
      <w:t>陕西华兴工程咨询有限公司</w:t>
    </w:r>
    <w:r>
      <w:rPr>
        <w:rFonts w:hint="eastAsia"/>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right w:val="none" w:color="auto" w:sz="0" w:space="0"/>
      </w:pBdr>
    </w:pPr>
    <w:r>
      <w:rPr>
        <w:rFonts w:hint="eastAsia"/>
        <w:sz w:val="18"/>
        <w:szCs w:val="22"/>
        <w:u w:val="single"/>
        <w:lang w:val="en-US" w:eastAsia="zh-CN"/>
      </w:rPr>
      <w:t xml:space="preserve">汉中市南郑区阳春镇基础设施建设项目                                                                 .                                            </w:t>
    </w:r>
    <w:r>
      <w:rPr>
        <w:rFonts w:hint="eastAsia"/>
        <w:sz w:val="18"/>
        <w:szCs w:val="22"/>
        <w:u w:val="none"/>
        <w:lang w:val="en-US" w:eastAsia="zh-CN"/>
      </w:rPr>
      <w:t xml:space="preserve">  </w:t>
    </w:r>
    <w:r>
      <w:rPr>
        <w:rFonts w:hint="eastAsia"/>
        <w:sz w:val="18"/>
        <w:szCs w:val="22"/>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_x0000_s2050" o:spid="_x0000_s2050" o:spt="136" type="#_x0000_t136" style="position:absolute;left:0pt;height:105.85pt;width:481.4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right w:val="none" w:color="auto" w:sz="0" w:space="0"/>
      </w:pBdr>
    </w:pPr>
    <w:r>
      <w:rPr>
        <w:rFonts w:hint="eastAsia"/>
        <w:sz w:val="18"/>
        <w:szCs w:val="22"/>
        <w:u w:val="single"/>
        <w:lang w:val="en-US" w:eastAsia="zh-CN"/>
      </w:rPr>
      <w:t xml:space="preserve">汉中市南郑区阳春镇基础设施建设项目                                                                   .                   </w:t>
    </w:r>
    <w:r>
      <w:rPr>
        <w:sz w:val="18"/>
      </w:rPr>
      <w:pict>
        <v:shape id="_x0000_s2051" o:spid="_x0000_s2051" o:spt="136" type="#_x0000_t136" style="position:absolute;left:0pt;height:105.85pt;width:481.4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r>
      <w:rPr>
        <w:sz w:val="20"/>
      </w:rPr>
      <w:t xml:space="preserve">            </w:t>
    </w:r>
    <w:r>
      <w:rPr>
        <w:rFonts w:hint="eastAsia"/>
        <w:sz w:val="20"/>
      </w:rPr>
      <w:t xml:space="preserve"> </w:t>
    </w:r>
    <w:r>
      <w:rPr>
        <w:sz w:val="20"/>
      </w:rPr>
      <w:t xml:space="preserve">  </w:t>
    </w:r>
    <w:r>
      <w:rPr>
        <w:rFonts w:hint="eastAsia"/>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right w:val="none" w:color="auto" w:sz="0" w:space="0"/>
      </w:pBdr>
    </w:pPr>
    <w:r>
      <w:rPr>
        <w:rFonts w:hint="eastAsia"/>
        <w:sz w:val="18"/>
        <w:szCs w:val="22"/>
        <w:u w:val="single"/>
        <w:lang w:val="en-US" w:eastAsia="zh-CN"/>
      </w:rPr>
      <w:t xml:space="preserve">汉中市南郑区阳春镇基础设施建设项目                                                                  . </w:t>
    </w:r>
    <w:r>
      <w:rPr>
        <w:sz w:val="18"/>
      </w:rPr>
      <w:pict>
        <v:shape id="_x0000_s2052" o:spid="_x0000_s2052" o:spt="136" type="#_x0000_t136" style="position:absolute;left:0pt;height:105.85pt;width:481.4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r>
      <w:rPr>
        <w:sz w:val="20"/>
      </w:rPr>
      <w:t xml:space="preserve">            </w:t>
    </w:r>
    <w:r>
      <w:rPr>
        <w:rFonts w:hint="eastAsia"/>
        <w:sz w:val="20"/>
      </w:rPr>
      <w:t xml:space="preserve"> </w:t>
    </w:r>
    <w:r>
      <w:rPr>
        <w:sz w:val="20"/>
      </w:rPr>
      <w:t xml:space="preserve">  </w:t>
    </w:r>
    <w:r>
      <w:rPr>
        <w:rFonts w:hint="eastAsi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713E"/>
    <w:multiLevelType w:val="singleLevel"/>
    <w:tmpl w:val="D8FC713E"/>
    <w:lvl w:ilvl="0" w:tentative="0">
      <w:start w:val="5"/>
      <w:numFmt w:val="chineseCounting"/>
      <w:suff w:val="nothing"/>
      <w:lvlText w:val="%1、"/>
      <w:lvlJc w:val="left"/>
      <w:rPr>
        <w:rFonts w:hint="eastAsia"/>
      </w:rPr>
    </w:lvl>
  </w:abstractNum>
  <w:abstractNum w:abstractNumId="1">
    <w:nsid w:val="FB9217B4"/>
    <w:multiLevelType w:val="singleLevel"/>
    <w:tmpl w:val="FB9217B4"/>
    <w:lvl w:ilvl="0" w:tentative="0">
      <w:start w:val="2"/>
      <w:numFmt w:val="chineseCounting"/>
      <w:suff w:val="nothing"/>
      <w:lvlText w:val="（%1）"/>
      <w:lvlJc w:val="left"/>
      <w:rPr>
        <w:rFonts w:hint="eastAsia"/>
      </w:rPr>
    </w:lvl>
  </w:abstractNum>
  <w:abstractNum w:abstractNumId="2">
    <w:nsid w:val="0B7EB440"/>
    <w:multiLevelType w:val="singleLevel"/>
    <w:tmpl w:val="0B7EB440"/>
    <w:lvl w:ilvl="0" w:tentative="0">
      <w:start w:val="2"/>
      <w:numFmt w:val="chineseCounting"/>
      <w:suff w:val="nothing"/>
      <w:lvlText w:val="（%1）"/>
      <w:lvlJc w:val="left"/>
      <w:rPr>
        <w:rFonts w:hint="eastAsia"/>
      </w:rPr>
    </w:lvl>
  </w:abstractNum>
  <w:abstractNum w:abstractNumId="3">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EC0FE9"/>
    <w:multiLevelType w:val="multilevel"/>
    <w:tmpl w:val="46EC0FE9"/>
    <w:lvl w:ilvl="0" w:tentative="0">
      <w:start w:val="1"/>
      <w:numFmt w:val="japaneseCounting"/>
      <w:lvlText w:val="第%1章"/>
      <w:lvlJc w:val="left"/>
      <w:pPr>
        <w:ind w:left="1236" w:hanging="123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VmMmJkZWQyYmE1ZDBmNjJkZDQyM2QzODU2ZjUifQ=="/>
  </w:docVars>
  <w:rsids>
    <w:rsidRoot w:val="000168A4"/>
    <w:rsid w:val="0000224A"/>
    <w:rsid w:val="0000418A"/>
    <w:rsid w:val="000045FD"/>
    <w:rsid w:val="00012B5F"/>
    <w:rsid w:val="000168A4"/>
    <w:rsid w:val="000172A3"/>
    <w:rsid w:val="000229AC"/>
    <w:rsid w:val="00025A97"/>
    <w:rsid w:val="00026016"/>
    <w:rsid w:val="0002694C"/>
    <w:rsid w:val="00027592"/>
    <w:rsid w:val="000304B6"/>
    <w:rsid w:val="00032142"/>
    <w:rsid w:val="00036C63"/>
    <w:rsid w:val="000402E1"/>
    <w:rsid w:val="00043286"/>
    <w:rsid w:val="0004402D"/>
    <w:rsid w:val="0005098D"/>
    <w:rsid w:val="00051424"/>
    <w:rsid w:val="00053177"/>
    <w:rsid w:val="0005443A"/>
    <w:rsid w:val="0005560E"/>
    <w:rsid w:val="000563B6"/>
    <w:rsid w:val="00057CE3"/>
    <w:rsid w:val="00060E36"/>
    <w:rsid w:val="000632B4"/>
    <w:rsid w:val="00066350"/>
    <w:rsid w:val="00067E14"/>
    <w:rsid w:val="00067EE8"/>
    <w:rsid w:val="00071D18"/>
    <w:rsid w:val="000727F4"/>
    <w:rsid w:val="000763AF"/>
    <w:rsid w:val="00086AD2"/>
    <w:rsid w:val="000922E9"/>
    <w:rsid w:val="00097065"/>
    <w:rsid w:val="000A159D"/>
    <w:rsid w:val="000A560A"/>
    <w:rsid w:val="000B0FA6"/>
    <w:rsid w:val="000B1471"/>
    <w:rsid w:val="000B1EDC"/>
    <w:rsid w:val="000B701C"/>
    <w:rsid w:val="000C041D"/>
    <w:rsid w:val="000C19FC"/>
    <w:rsid w:val="000C1D67"/>
    <w:rsid w:val="000C58B6"/>
    <w:rsid w:val="000C5B8A"/>
    <w:rsid w:val="000C64AC"/>
    <w:rsid w:val="000C6B5A"/>
    <w:rsid w:val="000C6ECF"/>
    <w:rsid w:val="000D10EB"/>
    <w:rsid w:val="000D12B7"/>
    <w:rsid w:val="000D1991"/>
    <w:rsid w:val="000D1B5C"/>
    <w:rsid w:val="000E1268"/>
    <w:rsid w:val="000E3723"/>
    <w:rsid w:val="000E4CCA"/>
    <w:rsid w:val="000E6DFC"/>
    <w:rsid w:val="000E7E38"/>
    <w:rsid w:val="000F0501"/>
    <w:rsid w:val="000F1E30"/>
    <w:rsid w:val="000F4C0C"/>
    <w:rsid w:val="000F5E87"/>
    <w:rsid w:val="000F6EA3"/>
    <w:rsid w:val="000F734B"/>
    <w:rsid w:val="00100C92"/>
    <w:rsid w:val="00101B39"/>
    <w:rsid w:val="001060A5"/>
    <w:rsid w:val="0011110E"/>
    <w:rsid w:val="00111918"/>
    <w:rsid w:val="001144E8"/>
    <w:rsid w:val="00114C1D"/>
    <w:rsid w:val="00115299"/>
    <w:rsid w:val="00116F9F"/>
    <w:rsid w:val="00122139"/>
    <w:rsid w:val="00125965"/>
    <w:rsid w:val="00126821"/>
    <w:rsid w:val="00134B8E"/>
    <w:rsid w:val="00143BF4"/>
    <w:rsid w:val="00144FBD"/>
    <w:rsid w:val="00146233"/>
    <w:rsid w:val="00147F11"/>
    <w:rsid w:val="00150DF3"/>
    <w:rsid w:val="0015221D"/>
    <w:rsid w:val="00152CAF"/>
    <w:rsid w:val="00155E3C"/>
    <w:rsid w:val="00157042"/>
    <w:rsid w:val="00157406"/>
    <w:rsid w:val="001578BF"/>
    <w:rsid w:val="00160D8B"/>
    <w:rsid w:val="001624FF"/>
    <w:rsid w:val="001720B8"/>
    <w:rsid w:val="001741DC"/>
    <w:rsid w:val="00176EFF"/>
    <w:rsid w:val="00180FA3"/>
    <w:rsid w:val="00181180"/>
    <w:rsid w:val="001825E4"/>
    <w:rsid w:val="00183CBD"/>
    <w:rsid w:val="00193095"/>
    <w:rsid w:val="00194071"/>
    <w:rsid w:val="0019638D"/>
    <w:rsid w:val="00196603"/>
    <w:rsid w:val="001A048E"/>
    <w:rsid w:val="001A1A70"/>
    <w:rsid w:val="001A1B3D"/>
    <w:rsid w:val="001A28A8"/>
    <w:rsid w:val="001A34AE"/>
    <w:rsid w:val="001A5684"/>
    <w:rsid w:val="001A5B0E"/>
    <w:rsid w:val="001A71C7"/>
    <w:rsid w:val="001A734F"/>
    <w:rsid w:val="001A7E7D"/>
    <w:rsid w:val="001B06B7"/>
    <w:rsid w:val="001B2C6B"/>
    <w:rsid w:val="001B42F2"/>
    <w:rsid w:val="001B4890"/>
    <w:rsid w:val="001B614F"/>
    <w:rsid w:val="001B6733"/>
    <w:rsid w:val="001C538E"/>
    <w:rsid w:val="001C7666"/>
    <w:rsid w:val="001D2CCB"/>
    <w:rsid w:val="001D6C7A"/>
    <w:rsid w:val="001D6CCB"/>
    <w:rsid w:val="001E0319"/>
    <w:rsid w:val="001E2C7D"/>
    <w:rsid w:val="001E5E74"/>
    <w:rsid w:val="001E64AB"/>
    <w:rsid w:val="001F293C"/>
    <w:rsid w:val="001F32D3"/>
    <w:rsid w:val="001F5B1A"/>
    <w:rsid w:val="002000E0"/>
    <w:rsid w:val="00200F48"/>
    <w:rsid w:val="00201139"/>
    <w:rsid w:val="00205E2A"/>
    <w:rsid w:val="00210580"/>
    <w:rsid w:val="00210669"/>
    <w:rsid w:val="00211BF0"/>
    <w:rsid w:val="0021225B"/>
    <w:rsid w:val="00217CAC"/>
    <w:rsid w:val="00217D4F"/>
    <w:rsid w:val="00225D88"/>
    <w:rsid w:val="00225DC7"/>
    <w:rsid w:val="00225E1B"/>
    <w:rsid w:val="002269C9"/>
    <w:rsid w:val="002302BA"/>
    <w:rsid w:val="0023769A"/>
    <w:rsid w:val="00237DDD"/>
    <w:rsid w:val="0024053D"/>
    <w:rsid w:val="0024059C"/>
    <w:rsid w:val="0024368B"/>
    <w:rsid w:val="002441C1"/>
    <w:rsid w:val="00247140"/>
    <w:rsid w:val="00247FF1"/>
    <w:rsid w:val="00255CF6"/>
    <w:rsid w:val="00256268"/>
    <w:rsid w:val="002608CF"/>
    <w:rsid w:val="002614A0"/>
    <w:rsid w:val="00263AC7"/>
    <w:rsid w:val="002719F9"/>
    <w:rsid w:val="002738E5"/>
    <w:rsid w:val="0027747C"/>
    <w:rsid w:val="002776ED"/>
    <w:rsid w:val="00282941"/>
    <w:rsid w:val="0028477F"/>
    <w:rsid w:val="002864F8"/>
    <w:rsid w:val="002A1099"/>
    <w:rsid w:val="002A19CE"/>
    <w:rsid w:val="002A47B6"/>
    <w:rsid w:val="002A5D24"/>
    <w:rsid w:val="002A67D7"/>
    <w:rsid w:val="002B2BA6"/>
    <w:rsid w:val="002B344C"/>
    <w:rsid w:val="002B3B89"/>
    <w:rsid w:val="002C208A"/>
    <w:rsid w:val="002C4309"/>
    <w:rsid w:val="002C688C"/>
    <w:rsid w:val="002D00AE"/>
    <w:rsid w:val="002D200F"/>
    <w:rsid w:val="002D35B9"/>
    <w:rsid w:val="002D533C"/>
    <w:rsid w:val="002E262C"/>
    <w:rsid w:val="002E3937"/>
    <w:rsid w:val="002F4527"/>
    <w:rsid w:val="002F7FC2"/>
    <w:rsid w:val="003001DD"/>
    <w:rsid w:val="00304196"/>
    <w:rsid w:val="0030444A"/>
    <w:rsid w:val="00306ADF"/>
    <w:rsid w:val="003142B1"/>
    <w:rsid w:val="0031459D"/>
    <w:rsid w:val="00314C0A"/>
    <w:rsid w:val="00314E70"/>
    <w:rsid w:val="00315BA1"/>
    <w:rsid w:val="00316269"/>
    <w:rsid w:val="00316412"/>
    <w:rsid w:val="003213FF"/>
    <w:rsid w:val="003233F1"/>
    <w:rsid w:val="0032433A"/>
    <w:rsid w:val="00324C63"/>
    <w:rsid w:val="00325602"/>
    <w:rsid w:val="003402ED"/>
    <w:rsid w:val="003406C8"/>
    <w:rsid w:val="00344220"/>
    <w:rsid w:val="003443A5"/>
    <w:rsid w:val="00352957"/>
    <w:rsid w:val="00354487"/>
    <w:rsid w:val="0035735F"/>
    <w:rsid w:val="003573B4"/>
    <w:rsid w:val="00357C60"/>
    <w:rsid w:val="00363073"/>
    <w:rsid w:val="003636B6"/>
    <w:rsid w:val="00363A27"/>
    <w:rsid w:val="003654B6"/>
    <w:rsid w:val="00365DF6"/>
    <w:rsid w:val="00367B80"/>
    <w:rsid w:val="003731D5"/>
    <w:rsid w:val="0037377F"/>
    <w:rsid w:val="00375C9D"/>
    <w:rsid w:val="003763E4"/>
    <w:rsid w:val="0037696A"/>
    <w:rsid w:val="00376A58"/>
    <w:rsid w:val="00376FCE"/>
    <w:rsid w:val="003771A0"/>
    <w:rsid w:val="00380590"/>
    <w:rsid w:val="0038363C"/>
    <w:rsid w:val="00391D0C"/>
    <w:rsid w:val="003921D3"/>
    <w:rsid w:val="003924AA"/>
    <w:rsid w:val="00393260"/>
    <w:rsid w:val="003969F9"/>
    <w:rsid w:val="00397355"/>
    <w:rsid w:val="003A0916"/>
    <w:rsid w:val="003A70D2"/>
    <w:rsid w:val="003B19AC"/>
    <w:rsid w:val="003B4097"/>
    <w:rsid w:val="003B609C"/>
    <w:rsid w:val="003B6730"/>
    <w:rsid w:val="003B7E34"/>
    <w:rsid w:val="003C1458"/>
    <w:rsid w:val="003C4181"/>
    <w:rsid w:val="003C47BA"/>
    <w:rsid w:val="003C4A04"/>
    <w:rsid w:val="003C7350"/>
    <w:rsid w:val="003D04C1"/>
    <w:rsid w:val="003D225D"/>
    <w:rsid w:val="003D3E2D"/>
    <w:rsid w:val="003D59BB"/>
    <w:rsid w:val="003D5E1E"/>
    <w:rsid w:val="003D608E"/>
    <w:rsid w:val="003E0277"/>
    <w:rsid w:val="003E03F1"/>
    <w:rsid w:val="003E1D7B"/>
    <w:rsid w:val="003E2DC2"/>
    <w:rsid w:val="003E57DC"/>
    <w:rsid w:val="003E7B74"/>
    <w:rsid w:val="00402E97"/>
    <w:rsid w:val="0041540B"/>
    <w:rsid w:val="00420CD3"/>
    <w:rsid w:val="00422481"/>
    <w:rsid w:val="00425011"/>
    <w:rsid w:val="00430706"/>
    <w:rsid w:val="004309FC"/>
    <w:rsid w:val="004320C7"/>
    <w:rsid w:val="004338FB"/>
    <w:rsid w:val="0043620E"/>
    <w:rsid w:val="00436D37"/>
    <w:rsid w:val="00441624"/>
    <w:rsid w:val="00443396"/>
    <w:rsid w:val="0044411D"/>
    <w:rsid w:val="00444563"/>
    <w:rsid w:val="00450608"/>
    <w:rsid w:val="00454586"/>
    <w:rsid w:val="00455496"/>
    <w:rsid w:val="004559F0"/>
    <w:rsid w:val="0045654D"/>
    <w:rsid w:val="004624D2"/>
    <w:rsid w:val="00463493"/>
    <w:rsid w:val="00464933"/>
    <w:rsid w:val="004659D9"/>
    <w:rsid w:val="00466DF5"/>
    <w:rsid w:val="00470C14"/>
    <w:rsid w:val="004717EE"/>
    <w:rsid w:val="00471EDF"/>
    <w:rsid w:val="00475A08"/>
    <w:rsid w:val="00475E13"/>
    <w:rsid w:val="0047646F"/>
    <w:rsid w:val="004774BE"/>
    <w:rsid w:val="0047773A"/>
    <w:rsid w:val="00480A69"/>
    <w:rsid w:val="00482483"/>
    <w:rsid w:val="004830B3"/>
    <w:rsid w:val="004852ED"/>
    <w:rsid w:val="00486A5F"/>
    <w:rsid w:val="004906F0"/>
    <w:rsid w:val="004958A0"/>
    <w:rsid w:val="004A3FE4"/>
    <w:rsid w:val="004A66EB"/>
    <w:rsid w:val="004A67D7"/>
    <w:rsid w:val="004B0091"/>
    <w:rsid w:val="004B0A50"/>
    <w:rsid w:val="004B3A27"/>
    <w:rsid w:val="004B5012"/>
    <w:rsid w:val="004C1269"/>
    <w:rsid w:val="004C5074"/>
    <w:rsid w:val="004C7361"/>
    <w:rsid w:val="004D75DC"/>
    <w:rsid w:val="004D7ADE"/>
    <w:rsid w:val="004E2820"/>
    <w:rsid w:val="004E2933"/>
    <w:rsid w:val="004E2AB4"/>
    <w:rsid w:val="004E33FD"/>
    <w:rsid w:val="004E584B"/>
    <w:rsid w:val="004F1298"/>
    <w:rsid w:val="004F17FE"/>
    <w:rsid w:val="004F1C80"/>
    <w:rsid w:val="004F2A60"/>
    <w:rsid w:val="004F51FE"/>
    <w:rsid w:val="004F6F1F"/>
    <w:rsid w:val="004F7FC7"/>
    <w:rsid w:val="005017F6"/>
    <w:rsid w:val="00501ECD"/>
    <w:rsid w:val="0050302E"/>
    <w:rsid w:val="00505ED3"/>
    <w:rsid w:val="0050635D"/>
    <w:rsid w:val="00511391"/>
    <w:rsid w:val="00512D88"/>
    <w:rsid w:val="00512F9F"/>
    <w:rsid w:val="005146B0"/>
    <w:rsid w:val="00517745"/>
    <w:rsid w:val="00520381"/>
    <w:rsid w:val="00521A88"/>
    <w:rsid w:val="00525643"/>
    <w:rsid w:val="00533645"/>
    <w:rsid w:val="00533D2C"/>
    <w:rsid w:val="00536C92"/>
    <w:rsid w:val="00537126"/>
    <w:rsid w:val="00537D9C"/>
    <w:rsid w:val="005477A1"/>
    <w:rsid w:val="00551D9D"/>
    <w:rsid w:val="00553FCC"/>
    <w:rsid w:val="00556B90"/>
    <w:rsid w:val="005577B6"/>
    <w:rsid w:val="00560AE5"/>
    <w:rsid w:val="0056296A"/>
    <w:rsid w:val="0056344C"/>
    <w:rsid w:val="00565431"/>
    <w:rsid w:val="00565958"/>
    <w:rsid w:val="005711B8"/>
    <w:rsid w:val="005719A6"/>
    <w:rsid w:val="00573222"/>
    <w:rsid w:val="0057334E"/>
    <w:rsid w:val="00573E7B"/>
    <w:rsid w:val="00573F57"/>
    <w:rsid w:val="00574DB7"/>
    <w:rsid w:val="0057576C"/>
    <w:rsid w:val="00576D8E"/>
    <w:rsid w:val="00581C6D"/>
    <w:rsid w:val="00582B62"/>
    <w:rsid w:val="005836CA"/>
    <w:rsid w:val="00584B0C"/>
    <w:rsid w:val="00584B8D"/>
    <w:rsid w:val="00586287"/>
    <w:rsid w:val="00590578"/>
    <w:rsid w:val="005921B0"/>
    <w:rsid w:val="0059234A"/>
    <w:rsid w:val="005A1265"/>
    <w:rsid w:val="005A1FDD"/>
    <w:rsid w:val="005A3147"/>
    <w:rsid w:val="005A5415"/>
    <w:rsid w:val="005A7512"/>
    <w:rsid w:val="005B150A"/>
    <w:rsid w:val="005B287F"/>
    <w:rsid w:val="005B3227"/>
    <w:rsid w:val="005B352E"/>
    <w:rsid w:val="005B3CC8"/>
    <w:rsid w:val="005B5121"/>
    <w:rsid w:val="005B6674"/>
    <w:rsid w:val="005B7036"/>
    <w:rsid w:val="005B7137"/>
    <w:rsid w:val="005C29BD"/>
    <w:rsid w:val="005C2BCD"/>
    <w:rsid w:val="005C2C01"/>
    <w:rsid w:val="005C483D"/>
    <w:rsid w:val="005C588B"/>
    <w:rsid w:val="005C6A96"/>
    <w:rsid w:val="005C7803"/>
    <w:rsid w:val="005C788F"/>
    <w:rsid w:val="005D0400"/>
    <w:rsid w:val="005D0D4F"/>
    <w:rsid w:val="005D7955"/>
    <w:rsid w:val="005D7A62"/>
    <w:rsid w:val="005E05C1"/>
    <w:rsid w:val="005E1472"/>
    <w:rsid w:val="005F06BD"/>
    <w:rsid w:val="005F2933"/>
    <w:rsid w:val="005F3125"/>
    <w:rsid w:val="005F5F56"/>
    <w:rsid w:val="005F6ADF"/>
    <w:rsid w:val="006051C4"/>
    <w:rsid w:val="0060535D"/>
    <w:rsid w:val="00606A64"/>
    <w:rsid w:val="00606BCF"/>
    <w:rsid w:val="0061115F"/>
    <w:rsid w:val="00615C39"/>
    <w:rsid w:val="00617624"/>
    <w:rsid w:val="00617A17"/>
    <w:rsid w:val="0062219A"/>
    <w:rsid w:val="00627FF6"/>
    <w:rsid w:val="00632C54"/>
    <w:rsid w:val="0063588C"/>
    <w:rsid w:val="00642DFE"/>
    <w:rsid w:val="00643908"/>
    <w:rsid w:val="006439C6"/>
    <w:rsid w:val="00646466"/>
    <w:rsid w:val="006470A8"/>
    <w:rsid w:val="00647928"/>
    <w:rsid w:val="00654AAF"/>
    <w:rsid w:val="0065716E"/>
    <w:rsid w:val="00660C02"/>
    <w:rsid w:val="006702F4"/>
    <w:rsid w:val="0067053D"/>
    <w:rsid w:val="006719CD"/>
    <w:rsid w:val="00672442"/>
    <w:rsid w:val="006740EA"/>
    <w:rsid w:val="0067506A"/>
    <w:rsid w:val="00676161"/>
    <w:rsid w:val="006801CC"/>
    <w:rsid w:val="006805F7"/>
    <w:rsid w:val="00680CC5"/>
    <w:rsid w:val="0068472E"/>
    <w:rsid w:val="00685F6C"/>
    <w:rsid w:val="006867F7"/>
    <w:rsid w:val="0069116C"/>
    <w:rsid w:val="0069188D"/>
    <w:rsid w:val="006927B5"/>
    <w:rsid w:val="00694B79"/>
    <w:rsid w:val="006950A0"/>
    <w:rsid w:val="006968B1"/>
    <w:rsid w:val="00696BE2"/>
    <w:rsid w:val="006A19A9"/>
    <w:rsid w:val="006A1AAA"/>
    <w:rsid w:val="006B3691"/>
    <w:rsid w:val="006B3F7E"/>
    <w:rsid w:val="006B4C26"/>
    <w:rsid w:val="006B679B"/>
    <w:rsid w:val="006C346B"/>
    <w:rsid w:val="006C3B64"/>
    <w:rsid w:val="006C570A"/>
    <w:rsid w:val="006C5AC4"/>
    <w:rsid w:val="006C6451"/>
    <w:rsid w:val="006C662C"/>
    <w:rsid w:val="006D48A7"/>
    <w:rsid w:val="006D5456"/>
    <w:rsid w:val="006D69FF"/>
    <w:rsid w:val="006D6F3C"/>
    <w:rsid w:val="006F14E7"/>
    <w:rsid w:val="006F4A85"/>
    <w:rsid w:val="006F576B"/>
    <w:rsid w:val="006F729F"/>
    <w:rsid w:val="007028AC"/>
    <w:rsid w:val="00703210"/>
    <w:rsid w:val="0070535D"/>
    <w:rsid w:val="007071FF"/>
    <w:rsid w:val="00707455"/>
    <w:rsid w:val="007115D2"/>
    <w:rsid w:val="007117C5"/>
    <w:rsid w:val="007169B9"/>
    <w:rsid w:val="0072400A"/>
    <w:rsid w:val="007241A3"/>
    <w:rsid w:val="007242E1"/>
    <w:rsid w:val="00724C78"/>
    <w:rsid w:val="007266BF"/>
    <w:rsid w:val="00726C83"/>
    <w:rsid w:val="00730F63"/>
    <w:rsid w:val="00734E08"/>
    <w:rsid w:val="00737063"/>
    <w:rsid w:val="0074095C"/>
    <w:rsid w:val="00740BDB"/>
    <w:rsid w:val="00742490"/>
    <w:rsid w:val="007425EA"/>
    <w:rsid w:val="00743E31"/>
    <w:rsid w:val="007440CE"/>
    <w:rsid w:val="00755EBE"/>
    <w:rsid w:val="00756114"/>
    <w:rsid w:val="007640F8"/>
    <w:rsid w:val="0076571E"/>
    <w:rsid w:val="00767295"/>
    <w:rsid w:val="00767DC4"/>
    <w:rsid w:val="00770B78"/>
    <w:rsid w:val="007718D1"/>
    <w:rsid w:val="007723A9"/>
    <w:rsid w:val="00772FA9"/>
    <w:rsid w:val="00773D1B"/>
    <w:rsid w:val="00775A8C"/>
    <w:rsid w:val="007820D7"/>
    <w:rsid w:val="0078514C"/>
    <w:rsid w:val="00785EF7"/>
    <w:rsid w:val="007933DB"/>
    <w:rsid w:val="00794B5C"/>
    <w:rsid w:val="00796429"/>
    <w:rsid w:val="007964FC"/>
    <w:rsid w:val="007A1B25"/>
    <w:rsid w:val="007A3F19"/>
    <w:rsid w:val="007B086D"/>
    <w:rsid w:val="007B13E9"/>
    <w:rsid w:val="007B16E1"/>
    <w:rsid w:val="007B310F"/>
    <w:rsid w:val="007B3AE9"/>
    <w:rsid w:val="007B5514"/>
    <w:rsid w:val="007B6EB2"/>
    <w:rsid w:val="007B7135"/>
    <w:rsid w:val="007C1116"/>
    <w:rsid w:val="007C31B3"/>
    <w:rsid w:val="007C3395"/>
    <w:rsid w:val="007C3408"/>
    <w:rsid w:val="007C63D2"/>
    <w:rsid w:val="007D10E9"/>
    <w:rsid w:val="007D1C31"/>
    <w:rsid w:val="007D2EE7"/>
    <w:rsid w:val="007D3B65"/>
    <w:rsid w:val="007E1630"/>
    <w:rsid w:val="007E6AFD"/>
    <w:rsid w:val="007F28C3"/>
    <w:rsid w:val="007F44EC"/>
    <w:rsid w:val="007F4816"/>
    <w:rsid w:val="007F79B5"/>
    <w:rsid w:val="0080138F"/>
    <w:rsid w:val="008021D6"/>
    <w:rsid w:val="00806805"/>
    <w:rsid w:val="00806C4A"/>
    <w:rsid w:val="00810B10"/>
    <w:rsid w:val="008111AA"/>
    <w:rsid w:val="0081277E"/>
    <w:rsid w:val="008127CC"/>
    <w:rsid w:val="00813B3B"/>
    <w:rsid w:val="00814431"/>
    <w:rsid w:val="00814E43"/>
    <w:rsid w:val="00815065"/>
    <w:rsid w:val="008150AB"/>
    <w:rsid w:val="008171FE"/>
    <w:rsid w:val="0081730E"/>
    <w:rsid w:val="00820AB0"/>
    <w:rsid w:val="00823409"/>
    <w:rsid w:val="00823A72"/>
    <w:rsid w:val="00825001"/>
    <w:rsid w:val="008277E6"/>
    <w:rsid w:val="00827D3E"/>
    <w:rsid w:val="00830770"/>
    <w:rsid w:val="00834FAB"/>
    <w:rsid w:val="00835501"/>
    <w:rsid w:val="00842422"/>
    <w:rsid w:val="00844DEA"/>
    <w:rsid w:val="00847124"/>
    <w:rsid w:val="008479C3"/>
    <w:rsid w:val="00847DBE"/>
    <w:rsid w:val="00855ED4"/>
    <w:rsid w:val="00860540"/>
    <w:rsid w:val="00861393"/>
    <w:rsid w:val="0086143F"/>
    <w:rsid w:val="00861B16"/>
    <w:rsid w:val="00861E59"/>
    <w:rsid w:val="00862043"/>
    <w:rsid w:val="00864A83"/>
    <w:rsid w:val="008655C7"/>
    <w:rsid w:val="00867970"/>
    <w:rsid w:val="008762A9"/>
    <w:rsid w:val="00876386"/>
    <w:rsid w:val="00877302"/>
    <w:rsid w:val="008776FB"/>
    <w:rsid w:val="00880D70"/>
    <w:rsid w:val="00881A69"/>
    <w:rsid w:val="0089694D"/>
    <w:rsid w:val="0089781E"/>
    <w:rsid w:val="008A3F23"/>
    <w:rsid w:val="008A4182"/>
    <w:rsid w:val="008A6C34"/>
    <w:rsid w:val="008A75C0"/>
    <w:rsid w:val="008B13C5"/>
    <w:rsid w:val="008B3405"/>
    <w:rsid w:val="008B352C"/>
    <w:rsid w:val="008B4BC1"/>
    <w:rsid w:val="008B6FDD"/>
    <w:rsid w:val="008C10F4"/>
    <w:rsid w:val="008C1670"/>
    <w:rsid w:val="008C372B"/>
    <w:rsid w:val="008D0A48"/>
    <w:rsid w:val="008D11D6"/>
    <w:rsid w:val="008D127A"/>
    <w:rsid w:val="008D14CA"/>
    <w:rsid w:val="008D19D8"/>
    <w:rsid w:val="008D2D4F"/>
    <w:rsid w:val="008D5F5D"/>
    <w:rsid w:val="008E0C33"/>
    <w:rsid w:val="008E25B5"/>
    <w:rsid w:val="008E6E9C"/>
    <w:rsid w:val="008F5011"/>
    <w:rsid w:val="008F60D4"/>
    <w:rsid w:val="00901497"/>
    <w:rsid w:val="0090325B"/>
    <w:rsid w:val="009046CA"/>
    <w:rsid w:val="00905B53"/>
    <w:rsid w:val="00907EEB"/>
    <w:rsid w:val="009102F5"/>
    <w:rsid w:val="0091270C"/>
    <w:rsid w:val="00912830"/>
    <w:rsid w:val="00912D3D"/>
    <w:rsid w:val="00920333"/>
    <w:rsid w:val="00921B27"/>
    <w:rsid w:val="009272E6"/>
    <w:rsid w:val="00930192"/>
    <w:rsid w:val="00930C9C"/>
    <w:rsid w:val="0093510E"/>
    <w:rsid w:val="00937068"/>
    <w:rsid w:val="00944A00"/>
    <w:rsid w:val="0094585A"/>
    <w:rsid w:val="00945E55"/>
    <w:rsid w:val="00947E17"/>
    <w:rsid w:val="009508DD"/>
    <w:rsid w:val="00951306"/>
    <w:rsid w:val="00952F24"/>
    <w:rsid w:val="00953086"/>
    <w:rsid w:val="00954FA9"/>
    <w:rsid w:val="00956224"/>
    <w:rsid w:val="00961065"/>
    <w:rsid w:val="0096153A"/>
    <w:rsid w:val="009635CB"/>
    <w:rsid w:val="00963B25"/>
    <w:rsid w:val="009650C0"/>
    <w:rsid w:val="009704EE"/>
    <w:rsid w:val="009714EE"/>
    <w:rsid w:val="009752C6"/>
    <w:rsid w:val="00976BDF"/>
    <w:rsid w:val="009774B0"/>
    <w:rsid w:val="00983CDC"/>
    <w:rsid w:val="00984665"/>
    <w:rsid w:val="009874D1"/>
    <w:rsid w:val="00987B41"/>
    <w:rsid w:val="00987F60"/>
    <w:rsid w:val="00994717"/>
    <w:rsid w:val="009950FF"/>
    <w:rsid w:val="009A0476"/>
    <w:rsid w:val="009A3C47"/>
    <w:rsid w:val="009A57FB"/>
    <w:rsid w:val="009B2C6D"/>
    <w:rsid w:val="009B3477"/>
    <w:rsid w:val="009B7B40"/>
    <w:rsid w:val="009C22F8"/>
    <w:rsid w:val="009C2355"/>
    <w:rsid w:val="009C2AA7"/>
    <w:rsid w:val="009C580A"/>
    <w:rsid w:val="009D03DC"/>
    <w:rsid w:val="009D2BB5"/>
    <w:rsid w:val="009D2F24"/>
    <w:rsid w:val="009D4EDC"/>
    <w:rsid w:val="009F4ED2"/>
    <w:rsid w:val="00A014E0"/>
    <w:rsid w:val="00A02AFB"/>
    <w:rsid w:val="00A0389D"/>
    <w:rsid w:val="00A03D55"/>
    <w:rsid w:val="00A04CC6"/>
    <w:rsid w:val="00A060F8"/>
    <w:rsid w:val="00A0612C"/>
    <w:rsid w:val="00A1270E"/>
    <w:rsid w:val="00A13A87"/>
    <w:rsid w:val="00A26D2A"/>
    <w:rsid w:val="00A26D64"/>
    <w:rsid w:val="00A275ED"/>
    <w:rsid w:val="00A27EB7"/>
    <w:rsid w:val="00A27F5D"/>
    <w:rsid w:val="00A31235"/>
    <w:rsid w:val="00A345A2"/>
    <w:rsid w:val="00A36B29"/>
    <w:rsid w:val="00A37D78"/>
    <w:rsid w:val="00A42B69"/>
    <w:rsid w:val="00A43456"/>
    <w:rsid w:val="00A43519"/>
    <w:rsid w:val="00A453DD"/>
    <w:rsid w:val="00A51431"/>
    <w:rsid w:val="00A51B9B"/>
    <w:rsid w:val="00A52621"/>
    <w:rsid w:val="00A53B1A"/>
    <w:rsid w:val="00A54C7A"/>
    <w:rsid w:val="00A565E1"/>
    <w:rsid w:val="00A62597"/>
    <w:rsid w:val="00A63F3E"/>
    <w:rsid w:val="00A65452"/>
    <w:rsid w:val="00A704D2"/>
    <w:rsid w:val="00A711CF"/>
    <w:rsid w:val="00A7125D"/>
    <w:rsid w:val="00A71BE5"/>
    <w:rsid w:val="00A76635"/>
    <w:rsid w:val="00A76D89"/>
    <w:rsid w:val="00A80504"/>
    <w:rsid w:val="00A81722"/>
    <w:rsid w:val="00A81E53"/>
    <w:rsid w:val="00A823EF"/>
    <w:rsid w:val="00A838C7"/>
    <w:rsid w:val="00A8481E"/>
    <w:rsid w:val="00A84E33"/>
    <w:rsid w:val="00A860BD"/>
    <w:rsid w:val="00A8644E"/>
    <w:rsid w:val="00A874DB"/>
    <w:rsid w:val="00A91F2A"/>
    <w:rsid w:val="00A925BC"/>
    <w:rsid w:val="00A93288"/>
    <w:rsid w:val="00A935E7"/>
    <w:rsid w:val="00A966EB"/>
    <w:rsid w:val="00A972CD"/>
    <w:rsid w:val="00AA77BF"/>
    <w:rsid w:val="00AB1564"/>
    <w:rsid w:val="00AB1D47"/>
    <w:rsid w:val="00AB4908"/>
    <w:rsid w:val="00AB604F"/>
    <w:rsid w:val="00AB61C8"/>
    <w:rsid w:val="00AC1D93"/>
    <w:rsid w:val="00AC7097"/>
    <w:rsid w:val="00AC73C2"/>
    <w:rsid w:val="00AC7F89"/>
    <w:rsid w:val="00AD1D0A"/>
    <w:rsid w:val="00AD3F86"/>
    <w:rsid w:val="00AD4483"/>
    <w:rsid w:val="00AD4CA1"/>
    <w:rsid w:val="00AD5A1F"/>
    <w:rsid w:val="00AD5E32"/>
    <w:rsid w:val="00AD696A"/>
    <w:rsid w:val="00AD78D4"/>
    <w:rsid w:val="00AD7959"/>
    <w:rsid w:val="00AE2B91"/>
    <w:rsid w:val="00AE3E37"/>
    <w:rsid w:val="00AF2E61"/>
    <w:rsid w:val="00AF4ABC"/>
    <w:rsid w:val="00AF67AE"/>
    <w:rsid w:val="00AF7159"/>
    <w:rsid w:val="00B01E49"/>
    <w:rsid w:val="00B04315"/>
    <w:rsid w:val="00B10DD5"/>
    <w:rsid w:val="00B12144"/>
    <w:rsid w:val="00B16D56"/>
    <w:rsid w:val="00B171C9"/>
    <w:rsid w:val="00B1766B"/>
    <w:rsid w:val="00B26B35"/>
    <w:rsid w:val="00B3036C"/>
    <w:rsid w:val="00B42954"/>
    <w:rsid w:val="00B43879"/>
    <w:rsid w:val="00B46679"/>
    <w:rsid w:val="00B51BC5"/>
    <w:rsid w:val="00B5270A"/>
    <w:rsid w:val="00B534D1"/>
    <w:rsid w:val="00B561D9"/>
    <w:rsid w:val="00B610E3"/>
    <w:rsid w:val="00B61D2D"/>
    <w:rsid w:val="00B63E51"/>
    <w:rsid w:val="00B65501"/>
    <w:rsid w:val="00B740CE"/>
    <w:rsid w:val="00B759F7"/>
    <w:rsid w:val="00B75B63"/>
    <w:rsid w:val="00B807A4"/>
    <w:rsid w:val="00B8136D"/>
    <w:rsid w:val="00B82181"/>
    <w:rsid w:val="00B84F44"/>
    <w:rsid w:val="00B85ED4"/>
    <w:rsid w:val="00B924F1"/>
    <w:rsid w:val="00B95C30"/>
    <w:rsid w:val="00B968A5"/>
    <w:rsid w:val="00BA062F"/>
    <w:rsid w:val="00BA348E"/>
    <w:rsid w:val="00BA60B8"/>
    <w:rsid w:val="00BA7B73"/>
    <w:rsid w:val="00BB3063"/>
    <w:rsid w:val="00BB3BF1"/>
    <w:rsid w:val="00BB3F96"/>
    <w:rsid w:val="00BB5934"/>
    <w:rsid w:val="00BB627B"/>
    <w:rsid w:val="00BB712D"/>
    <w:rsid w:val="00BC2CAA"/>
    <w:rsid w:val="00BC2E99"/>
    <w:rsid w:val="00BC4BAC"/>
    <w:rsid w:val="00BC5060"/>
    <w:rsid w:val="00BC728D"/>
    <w:rsid w:val="00BD058B"/>
    <w:rsid w:val="00BD0855"/>
    <w:rsid w:val="00BD1D35"/>
    <w:rsid w:val="00BD34E4"/>
    <w:rsid w:val="00BD6DB6"/>
    <w:rsid w:val="00BE04C7"/>
    <w:rsid w:val="00BE100A"/>
    <w:rsid w:val="00BE1CA5"/>
    <w:rsid w:val="00BE30AD"/>
    <w:rsid w:val="00BE5635"/>
    <w:rsid w:val="00BE59E5"/>
    <w:rsid w:val="00BE7775"/>
    <w:rsid w:val="00BE7C2B"/>
    <w:rsid w:val="00BF173D"/>
    <w:rsid w:val="00BF42AD"/>
    <w:rsid w:val="00BF608D"/>
    <w:rsid w:val="00BF70A2"/>
    <w:rsid w:val="00C031C1"/>
    <w:rsid w:val="00C10290"/>
    <w:rsid w:val="00C1161B"/>
    <w:rsid w:val="00C13C42"/>
    <w:rsid w:val="00C13E8C"/>
    <w:rsid w:val="00C149B4"/>
    <w:rsid w:val="00C20E6E"/>
    <w:rsid w:val="00C215BF"/>
    <w:rsid w:val="00C2192D"/>
    <w:rsid w:val="00C24516"/>
    <w:rsid w:val="00C26CF9"/>
    <w:rsid w:val="00C32F0C"/>
    <w:rsid w:val="00C333C4"/>
    <w:rsid w:val="00C3765B"/>
    <w:rsid w:val="00C427CD"/>
    <w:rsid w:val="00C471AE"/>
    <w:rsid w:val="00C471BC"/>
    <w:rsid w:val="00C5158E"/>
    <w:rsid w:val="00C51B17"/>
    <w:rsid w:val="00C532FA"/>
    <w:rsid w:val="00C5748B"/>
    <w:rsid w:val="00C61FD0"/>
    <w:rsid w:val="00C62EFE"/>
    <w:rsid w:val="00C65475"/>
    <w:rsid w:val="00C662A4"/>
    <w:rsid w:val="00C6653E"/>
    <w:rsid w:val="00C66F24"/>
    <w:rsid w:val="00C702EB"/>
    <w:rsid w:val="00C74CCC"/>
    <w:rsid w:val="00C74EBE"/>
    <w:rsid w:val="00C75D6B"/>
    <w:rsid w:val="00C76FB2"/>
    <w:rsid w:val="00C77E70"/>
    <w:rsid w:val="00C81E5F"/>
    <w:rsid w:val="00C829D7"/>
    <w:rsid w:val="00C82F15"/>
    <w:rsid w:val="00C8458B"/>
    <w:rsid w:val="00C85192"/>
    <w:rsid w:val="00C86A2A"/>
    <w:rsid w:val="00C86BBA"/>
    <w:rsid w:val="00C879D3"/>
    <w:rsid w:val="00C90D79"/>
    <w:rsid w:val="00C94387"/>
    <w:rsid w:val="00C96178"/>
    <w:rsid w:val="00C966A0"/>
    <w:rsid w:val="00CA2058"/>
    <w:rsid w:val="00CA47DA"/>
    <w:rsid w:val="00CA6915"/>
    <w:rsid w:val="00CB2DBB"/>
    <w:rsid w:val="00CB4373"/>
    <w:rsid w:val="00CB4D9C"/>
    <w:rsid w:val="00CC154F"/>
    <w:rsid w:val="00CC5F0F"/>
    <w:rsid w:val="00CC723D"/>
    <w:rsid w:val="00CD1114"/>
    <w:rsid w:val="00CD2A82"/>
    <w:rsid w:val="00CD3AB8"/>
    <w:rsid w:val="00CD4AC2"/>
    <w:rsid w:val="00CD5BE4"/>
    <w:rsid w:val="00CD61F1"/>
    <w:rsid w:val="00CE2E22"/>
    <w:rsid w:val="00CE4F5C"/>
    <w:rsid w:val="00CE78FE"/>
    <w:rsid w:val="00CE7D3C"/>
    <w:rsid w:val="00CF10CE"/>
    <w:rsid w:val="00CF1A39"/>
    <w:rsid w:val="00CF3E11"/>
    <w:rsid w:val="00CF4A00"/>
    <w:rsid w:val="00CF6979"/>
    <w:rsid w:val="00D000D9"/>
    <w:rsid w:val="00D0121D"/>
    <w:rsid w:val="00D02638"/>
    <w:rsid w:val="00D02EAE"/>
    <w:rsid w:val="00D0751E"/>
    <w:rsid w:val="00D1103A"/>
    <w:rsid w:val="00D133BE"/>
    <w:rsid w:val="00D14AF7"/>
    <w:rsid w:val="00D161BD"/>
    <w:rsid w:val="00D16AB1"/>
    <w:rsid w:val="00D16B4E"/>
    <w:rsid w:val="00D22C05"/>
    <w:rsid w:val="00D24379"/>
    <w:rsid w:val="00D24503"/>
    <w:rsid w:val="00D25518"/>
    <w:rsid w:val="00D264EA"/>
    <w:rsid w:val="00D3106A"/>
    <w:rsid w:val="00D334D2"/>
    <w:rsid w:val="00D36B2B"/>
    <w:rsid w:val="00D37956"/>
    <w:rsid w:val="00D402DE"/>
    <w:rsid w:val="00D40C12"/>
    <w:rsid w:val="00D40CBB"/>
    <w:rsid w:val="00D41201"/>
    <w:rsid w:val="00D41552"/>
    <w:rsid w:val="00D41B5A"/>
    <w:rsid w:val="00D43649"/>
    <w:rsid w:val="00D44148"/>
    <w:rsid w:val="00D441B1"/>
    <w:rsid w:val="00D50773"/>
    <w:rsid w:val="00D5223E"/>
    <w:rsid w:val="00D526C5"/>
    <w:rsid w:val="00D530B1"/>
    <w:rsid w:val="00D530F5"/>
    <w:rsid w:val="00D554B6"/>
    <w:rsid w:val="00D60D0E"/>
    <w:rsid w:val="00D61657"/>
    <w:rsid w:val="00D61EF6"/>
    <w:rsid w:val="00D62A02"/>
    <w:rsid w:val="00D652EB"/>
    <w:rsid w:val="00D65324"/>
    <w:rsid w:val="00D65E2F"/>
    <w:rsid w:val="00D65ECC"/>
    <w:rsid w:val="00D67893"/>
    <w:rsid w:val="00D67E45"/>
    <w:rsid w:val="00D70AD8"/>
    <w:rsid w:val="00D735D4"/>
    <w:rsid w:val="00D761E2"/>
    <w:rsid w:val="00D773E9"/>
    <w:rsid w:val="00D81C41"/>
    <w:rsid w:val="00D83C6D"/>
    <w:rsid w:val="00D86840"/>
    <w:rsid w:val="00D86B62"/>
    <w:rsid w:val="00D90EDE"/>
    <w:rsid w:val="00D92791"/>
    <w:rsid w:val="00D92924"/>
    <w:rsid w:val="00D94E0C"/>
    <w:rsid w:val="00D962E9"/>
    <w:rsid w:val="00D963FB"/>
    <w:rsid w:val="00DA2A11"/>
    <w:rsid w:val="00DA4807"/>
    <w:rsid w:val="00DA4C65"/>
    <w:rsid w:val="00DA7022"/>
    <w:rsid w:val="00DA709B"/>
    <w:rsid w:val="00DB141E"/>
    <w:rsid w:val="00DB1671"/>
    <w:rsid w:val="00DB3A15"/>
    <w:rsid w:val="00DC31C4"/>
    <w:rsid w:val="00DD2916"/>
    <w:rsid w:val="00DD5E21"/>
    <w:rsid w:val="00DD7106"/>
    <w:rsid w:val="00DE1AAA"/>
    <w:rsid w:val="00DF0FA4"/>
    <w:rsid w:val="00DF4558"/>
    <w:rsid w:val="00DF48D5"/>
    <w:rsid w:val="00DF6246"/>
    <w:rsid w:val="00DF7FDB"/>
    <w:rsid w:val="00E126FB"/>
    <w:rsid w:val="00E13F7B"/>
    <w:rsid w:val="00E164DD"/>
    <w:rsid w:val="00E16EE1"/>
    <w:rsid w:val="00E206C0"/>
    <w:rsid w:val="00E22105"/>
    <w:rsid w:val="00E22452"/>
    <w:rsid w:val="00E22D43"/>
    <w:rsid w:val="00E24B99"/>
    <w:rsid w:val="00E32698"/>
    <w:rsid w:val="00E327FB"/>
    <w:rsid w:val="00E37151"/>
    <w:rsid w:val="00E4039D"/>
    <w:rsid w:val="00E412E2"/>
    <w:rsid w:val="00E43504"/>
    <w:rsid w:val="00E441F4"/>
    <w:rsid w:val="00E45308"/>
    <w:rsid w:val="00E472D6"/>
    <w:rsid w:val="00E47C7C"/>
    <w:rsid w:val="00E56D84"/>
    <w:rsid w:val="00E57D40"/>
    <w:rsid w:val="00E60F29"/>
    <w:rsid w:val="00E63425"/>
    <w:rsid w:val="00E664A6"/>
    <w:rsid w:val="00E6799D"/>
    <w:rsid w:val="00E7121E"/>
    <w:rsid w:val="00E72046"/>
    <w:rsid w:val="00E7378B"/>
    <w:rsid w:val="00E73E60"/>
    <w:rsid w:val="00E761D2"/>
    <w:rsid w:val="00E77562"/>
    <w:rsid w:val="00E8388F"/>
    <w:rsid w:val="00E86150"/>
    <w:rsid w:val="00E86819"/>
    <w:rsid w:val="00E86AAA"/>
    <w:rsid w:val="00E901D3"/>
    <w:rsid w:val="00E90D50"/>
    <w:rsid w:val="00E92883"/>
    <w:rsid w:val="00E94A7F"/>
    <w:rsid w:val="00E94EB4"/>
    <w:rsid w:val="00EA1455"/>
    <w:rsid w:val="00EA3075"/>
    <w:rsid w:val="00EA4101"/>
    <w:rsid w:val="00EA48AA"/>
    <w:rsid w:val="00EA59CF"/>
    <w:rsid w:val="00EB00B8"/>
    <w:rsid w:val="00EB07F6"/>
    <w:rsid w:val="00EB2E40"/>
    <w:rsid w:val="00EB3BB5"/>
    <w:rsid w:val="00EB68DB"/>
    <w:rsid w:val="00EB713B"/>
    <w:rsid w:val="00EB7A56"/>
    <w:rsid w:val="00EC08B6"/>
    <w:rsid w:val="00EC3155"/>
    <w:rsid w:val="00EC63D1"/>
    <w:rsid w:val="00ED1C20"/>
    <w:rsid w:val="00ED3A78"/>
    <w:rsid w:val="00ED524B"/>
    <w:rsid w:val="00ED6D76"/>
    <w:rsid w:val="00ED73A5"/>
    <w:rsid w:val="00EE2370"/>
    <w:rsid w:val="00EE4CDA"/>
    <w:rsid w:val="00EF387C"/>
    <w:rsid w:val="00EF44BF"/>
    <w:rsid w:val="00EF6639"/>
    <w:rsid w:val="00EF6FFB"/>
    <w:rsid w:val="00F01A8B"/>
    <w:rsid w:val="00F02110"/>
    <w:rsid w:val="00F030C9"/>
    <w:rsid w:val="00F0319C"/>
    <w:rsid w:val="00F050EC"/>
    <w:rsid w:val="00F108CB"/>
    <w:rsid w:val="00F12A23"/>
    <w:rsid w:val="00F166B8"/>
    <w:rsid w:val="00F16DFF"/>
    <w:rsid w:val="00F21390"/>
    <w:rsid w:val="00F234ED"/>
    <w:rsid w:val="00F23775"/>
    <w:rsid w:val="00F24235"/>
    <w:rsid w:val="00F25473"/>
    <w:rsid w:val="00F25DEF"/>
    <w:rsid w:val="00F32FC4"/>
    <w:rsid w:val="00F33281"/>
    <w:rsid w:val="00F34A5A"/>
    <w:rsid w:val="00F42C38"/>
    <w:rsid w:val="00F43669"/>
    <w:rsid w:val="00F47125"/>
    <w:rsid w:val="00F4761B"/>
    <w:rsid w:val="00F508F1"/>
    <w:rsid w:val="00F521E5"/>
    <w:rsid w:val="00F52A7B"/>
    <w:rsid w:val="00F53968"/>
    <w:rsid w:val="00F53E2B"/>
    <w:rsid w:val="00F71514"/>
    <w:rsid w:val="00F75089"/>
    <w:rsid w:val="00F8129F"/>
    <w:rsid w:val="00F871FB"/>
    <w:rsid w:val="00F87A9B"/>
    <w:rsid w:val="00F90A89"/>
    <w:rsid w:val="00F9482B"/>
    <w:rsid w:val="00F9712F"/>
    <w:rsid w:val="00F97C08"/>
    <w:rsid w:val="00FA1078"/>
    <w:rsid w:val="00FA16FD"/>
    <w:rsid w:val="00FA1E74"/>
    <w:rsid w:val="00FA3A7E"/>
    <w:rsid w:val="00FA5445"/>
    <w:rsid w:val="00FA54C6"/>
    <w:rsid w:val="00FB02A1"/>
    <w:rsid w:val="00FB0992"/>
    <w:rsid w:val="00FB2254"/>
    <w:rsid w:val="00FB3DF8"/>
    <w:rsid w:val="00FB573E"/>
    <w:rsid w:val="00FC06B8"/>
    <w:rsid w:val="00FC11C9"/>
    <w:rsid w:val="00FC1E44"/>
    <w:rsid w:val="00FC51DD"/>
    <w:rsid w:val="00FC5B26"/>
    <w:rsid w:val="00FD0A3E"/>
    <w:rsid w:val="00FD2720"/>
    <w:rsid w:val="00FD375F"/>
    <w:rsid w:val="00FD3F09"/>
    <w:rsid w:val="00FE27B4"/>
    <w:rsid w:val="00FE69F7"/>
    <w:rsid w:val="00FF1F2D"/>
    <w:rsid w:val="00FF29F4"/>
    <w:rsid w:val="00FF2F45"/>
    <w:rsid w:val="00FF398E"/>
    <w:rsid w:val="00FF49B4"/>
    <w:rsid w:val="0116721B"/>
    <w:rsid w:val="015D6500"/>
    <w:rsid w:val="018966E2"/>
    <w:rsid w:val="018E6BBB"/>
    <w:rsid w:val="01906663"/>
    <w:rsid w:val="01B763DE"/>
    <w:rsid w:val="01BE1520"/>
    <w:rsid w:val="01D53B29"/>
    <w:rsid w:val="01DC7122"/>
    <w:rsid w:val="01E24C01"/>
    <w:rsid w:val="01EF3D2D"/>
    <w:rsid w:val="0215549A"/>
    <w:rsid w:val="021B3C1A"/>
    <w:rsid w:val="02681CB5"/>
    <w:rsid w:val="029B3D65"/>
    <w:rsid w:val="02B706CA"/>
    <w:rsid w:val="02C02B0B"/>
    <w:rsid w:val="02CA0A21"/>
    <w:rsid w:val="02CA34CE"/>
    <w:rsid w:val="02D7007D"/>
    <w:rsid w:val="02ED62A7"/>
    <w:rsid w:val="02FC5B90"/>
    <w:rsid w:val="032115CC"/>
    <w:rsid w:val="035018DA"/>
    <w:rsid w:val="035F3F4D"/>
    <w:rsid w:val="03813363"/>
    <w:rsid w:val="03D340F7"/>
    <w:rsid w:val="040573AB"/>
    <w:rsid w:val="04204F45"/>
    <w:rsid w:val="0439535F"/>
    <w:rsid w:val="044E5BB7"/>
    <w:rsid w:val="04607108"/>
    <w:rsid w:val="046B28E7"/>
    <w:rsid w:val="0473478D"/>
    <w:rsid w:val="04854128"/>
    <w:rsid w:val="04A35768"/>
    <w:rsid w:val="05055064"/>
    <w:rsid w:val="05423EC4"/>
    <w:rsid w:val="054C1098"/>
    <w:rsid w:val="05A56C7D"/>
    <w:rsid w:val="05AE31EB"/>
    <w:rsid w:val="05B17F9E"/>
    <w:rsid w:val="05D800A1"/>
    <w:rsid w:val="05DC63D6"/>
    <w:rsid w:val="062A7DD5"/>
    <w:rsid w:val="06542F5B"/>
    <w:rsid w:val="06620D04"/>
    <w:rsid w:val="067F5C58"/>
    <w:rsid w:val="06AB5156"/>
    <w:rsid w:val="06BC2283"/>
    <w:rsid w:val="06C072C7"/>
    <w:rsid w:val="06C34A71"/>
    <w:rsid w:val="06E457DA"/>
    <w:rsid w:val="06E53983"/>
    <w:rsid w:val="07002A4F"/>
    <w:rsid w:val="07100DD0"/>
    <w:rsid w:val="0718448D"/>
    <w:rsid w:val="071E694B"/>
    <w:rsid w:val="072726E4"/>
    <w:rsid w:val="072D667F"/>
    <w:rsid w:val="07422DA7"/>
    <w:rsid w:val="0759781D"/>
    <w:rsid w:val="075E36F1"/>
    <w:rsid w:val="0766337B"/>
    <w:rsid w:val="077212FD"/>
    <w:rsid w:val="077B17F0"/>
    <w:rsid w:val="078516BA"/>
    <w:rsid w:val="07E11087"/>
    <w:rsid w:val="07E22EBD"/>
    <w:rsid w:val="07E572CB"/>
    <w:rsid w:val="07EA76D4"/>
    <w:rsid w:val="07FA2D56"/>
    <w:rsid w:val="08167BF1"/>
    <w:rsid w:val="08341C14"/>
    <w:rsid w:val="08346CCF"/>
    <w:rsid w:val="08515EAF"/>
    <w:rsid w:val="085519A3"/>
    <w:rsid w:val="0893031F"/>
    <w:rsid w:val="08931EE1"/>
    <w:rsid w:val="08947DD1"/>
    <w:rsid w:val="08E43AB8"/>
    <w:rsid w:val="08E80E2C"/>
    <w:rsid w:val="09071FE5"/>
    <w:rsid w:val="09073629"/>
    <w:rsid w:val="0910058F"/>
    <w:rsid w:val="091737D9"/>
    <w:rsid w:val="093640FB"/>
    <w:rsid w:val="093C56FD"/>
    <w:rsid w:val="097F19A3"/>
    <w:rsid w:val="09CB2583"/>
    <w:rsid w:val="09CD1175"/>
    <w:rsid w:val="0A204877"/>
    <w:rsid w:val="0A2F38BD"/>
    <w:rsid w:val="0A372EF9"/>
    <w:rsid w:val="0A377BF5"/>
    <w:rsid w:val="0A3B188C"/>
    <w:rsid w:val="0A4505E1"/>
    <w:rsid w:val="0A4535DA"/>
    <w:rsid w:val="0A590549"/>
    <w:rsid w:val="0A710A8F"/>
    <w:rsid w:val="0A9E6909"/>
    <w:rsid w:val="0AA20B30"/>
    <w:rsid w:val="0AAA4F94"/>
    <w:rsid w:val="0AAD5C9E"/>
    <w:rsid w:val="0AC4409C"/>
    <w:rsid w:val="0AEA395C"/>
    <w:rsid w:val="0AF724A5"/>
    <w:rsid w:val="0AF95039"/>
    <w:rsid w:val="0AFF6639"/>
    <w:rsid w:val="0B084399"/>
    <w:rsid w:val="0B122E98"/>
    <w:rsid w:val="0B1A74EF"/>
    <w:rsid w:val="0B5943E0"/>
    <w:rsid w:val="0B5B1E3B"/>
    <w:rsid w:val="0B8B28A0"/>
    <w:rsid w:val="0BB934F3"/>
    <w:rsid w:val="0BBE689D"/>
    <w:rsid w:val="0BD15663"/>
    <w:rsid w:val="0BE65FBB"/>
    <w:rsid w:val="0C000FF1"/>
    <w:rsid w:val="0C181D73"/>
    <w:rsid w:val="0C295BE0"/>
    <w:rsid w:val="0C2F5910"/>
    <w:rsid w:val="0C3636A8"/>
    <w:rsid w:val="0C666D65"/>
    <w:rsid w:val="0C6956AF"/>
    <w:rsid w:val="0C725E04"/>
    <w:rsid w:val="0C9B7698"/>
    <w:rsid w:val="0CB37644"/>
    <w:rsid w:val="0CDA0458"/>
    <w:rsid w:val="0CE117D7"/>
    <w:rsid w:val="0CE560AB"/>
    <w:rsid w:val="0CEF02E8"/>
    <w:rsid w:val="0CF072B0"/>
    <w:rsid w:val="0D083FD1"/>
    <w:rsid w:val="0D4C30B2"/>
    <w:rsid w:val="0D4E5D05"/>
    <w:rsid w:val="0D5005DB"/>
    <w:rsid w:val="0D5D77B6"/>
    <w:rsid w:val="0D7F7790"/>
    <w:rsid w:val="0D8B0AA3"/>
    <w:rsid w:val="0DAF12D7"/>
    <w:rsid w:val="0DE82AD4"/>
    <w:rsid w:val="0DF447F8"/>
    <w:rsid w:val="0DFE6D5B"/>
    <w:rsid w:val="0E071122"/>
    <w:rsid w:val="0E0A7650"/>
    <w:rsid w:val="0E24774A"/>
    <w:rsid w:val="0E3A35A8"/>
    <w:rsid w:val="0E4B0794"/>
    <w:rsid w:val="0E517894"/>
    <w:rsid w:val="0E5F645B"/>
    <w:rsid w:val="0E68167C"/>
    <w:rsid w:val="0E9177A9"/>
    <w:rsid w:val="0EAA055A"/>
    <w:rsid w:val="0EAA1764"/>
    <w:rsid w:val="0EC1535F"/>
    <w:rsid w:val="0ECE56C7"/>
    <w:rsid w:val="0EEB7B93"/>
    <w:rsid w:val="0EFD07C8"/>
    <w:rsid w:val="0F190BDE"/>
    <w:rsid w:val="0F1A36D2"/>
    <w:rsid w:val="0F1E3ED5"/>
    <w:rsid w:val="0F225469"/>
    <w:rsid w:val="0F242670"/>
    <w:rsid w:val="0F3A1391"/>
    <w:rsid w:val="0F583303"/>
    <w:rsid w:val="0F936C10"/>
    <w:rsid w:val="0FA745E7"/>
    <w:rsid w:val="0FCA105F"/>
    <w:rsid w:val="10086DFA"/>
    <w:rsid w:val="100A6BC8"/>
    <w:rsid w:val="10182AF8"/>
    <w:rsid w:val="10373737"/>
    <w:rsid w:val="1048610F"/>
    <w:rsid w:val="1074572F"/>
    <w:rsid w:val="10A557CF"/>
    <w:rsid w:val="10AA21DC"/>
    <w:rsid w:val="111573C2"/>
    <w:rsid w:val="11182FC4"/>
    <w:rsid w:val="115F467E"/>
    <w:rsid w:val="119476C5"/>
    <w:rsid w:val="119D6F55"/>
    <w:rsid w:val="11A566CD"/>
    <w:rsid w:val="11F1627E"/>
    <w:rsid w:val="1202350F"/>
    <w:rsid w:val="124D51F0"/>
    <w:rsid w:val="12747EAA"/>
    <w:rsid w:val="127E68C4"/>
    <w:rsid w:val="128E6E57"/>
    <w:rsid w:val="12B501C2"/>
    <w:rsid w:val="12B80A24"/>
    <w:rsid w:val="12BC08D8"/>
    <w:rsid w:val="12CA2983"/>
    <w:rsid w:val="12E21729"/>
    <w:rsid w:val="12E7388D"/>
    <w:rsid w:val="13004D07"/>
    <w:rsid w:val="13037E7F"/>
    <w:rsid w:val="130A7705"/>
    <w:rsid w:val="13272FBC"/>
    <w:rsid w:val="1343207E"/>
    <w:rsid w:val="13661C41"/>
    <w:rsid w:val="137C2C39"/>
    <w:rsid w:val="138D2BB9"/>
    <w:rsid w:val="13950682"/>
    <w:rsid w:val="13985E83"/>
    <w:rsid w:val="13BF36CF"/>
    <w:rsid w:val="13EB0E89"/>
    <w:rsid w:val="141316F0"/>
    <w:rsid w:val="141D3D7B"/>
    <w:rsid w:val="14262E25"/>
    <w:rsid w:val="142E658A"/>
    <w:rsid w:val="142F45DC"/>
    <w:rsid w:val="14360868"/>
    <w:rsid w:val="144960A8"/>
    <w:rsid w:val="145B00E2"/>
    <w:rsid w:val="14682B04"/>
    <w:rsid w:val="14704590"/>
    <w:rsid w:val="14723E76"/>
    <w:rsid w:val="148054E2"/>
    <w:rsid w:val="14AD235F"/>
    <w:rsid w:val="14D60687"/>
    <w:rsid w:val="14DE3563"/>
    <w:rsid w:val="14E11116"/>
    <w:rsid w:val="14EA3909"/>
    <w:rsid w:val="14F872A7"/>
    <w:rsid w:val="150B7589"/>
    <w:rsid w:val="151D26E3"/>
    <w:rsid w:val="151E2FAF"/>
    <w:rsid w:val="15420ACA"/>
    <w:rsid w:val="15576C5E"/>
    <w:rsid w:val="15632701"/>
    <w:rsid w:val="156C2EC6"/>
    <w:rsid w:val="157C12BD"/>
    <w:rsid w:val="157E2DEF"/>
    <w:rsid w:val="158B2FB9"/>
    <w:rsid w:val="15995DC4"/>
    <w:rsid w:val="15DB004C"/>
    <w:rsid w:val="15EF3AA5"/>
    <w:rsid w:val="15F031B5"/>
    <w:rsid w:val="16343790"/>
    <w:rsid w:val="164C1178"/>
    <w:rsid w:val="165E6240"/>
    <w:rsid w:val="1672710E"/>
    <w:rsid w:val="1689179C"/>
    <w:rsid w:val="1693787E"/>
    <w:rsid w:val="16B556EF"/>
    <w:rsid w:val="16C13555"/>
    <w:rsid w:val="16D61656"/>
    <w:rsid w:val="172F6689"/>
    <w:rsid w:val="17757F04"/>
    <w:rsid w:val="177A138D"/>
    <w:rsid w:val="17882F3C"/>
    <w:rsid w:val="178F2FEA"/>
    <w:rsid w:val="17B00FAE"/>
    <w:rsid w:val="17B772AD"/>
    <w:rsid w:val="17CA7E64"/>
    <w:rsid w:val="17D36936"/>
    <w:rsid w:val="17E036B6"/>
    <w:rsid w:val="17F90536"/>
    <w:rsid w:val="1831151E"/>
    <w:rsid w:val="184A4E79"/>
    <w:rsid w:val="18556FC4"/>
    <w:rsid w:val="18812683"/>
    <w:rsid w:val="18866763"/>
    <w:rsid w:val="18941A8B"/>
    <w:rsid w:val="18971C31"/>
    <w:rsid w:val="18E27A9F"/>
    <w:rsid w:val="18ED58EB"/>
    <w:rsid w:val="191023FF"/>
    <w:rsid w:val="19275F06"/>
    <w:rsid w:val="192B12EA"/>
    <w:rsid w:val="196F567B"/>
    <w:rsid w:val="198D67AA"/>
    <w:rsid w:val="19B36B33"/>
    <w:rsid w:val="19D4420B"/>
    <w:rsid w:val="19D463FB"/>
    <w:rsid w:val="19E063CD"/>
    <w:rsid w:val="1A005C8A"/>
    <w:rsid w:val="1A011838"/>
    <w:rsid w:val="1A063673"/>
    <w:rsid w:val="1A2A3350"/>
    <w:rsid w:val="1A390A36"/>
    <w:rsid w:val="1A4B5895"/>
    <w:rsid w:val="1A507B8B"/>
    <w:rsid w:val="1A575AC8"/>
    <w:rsid w:val="1A6A4F0E"/>
    <w:rsid w:val="1A6C501B"/>
    <w:rsid w:val="1A7D55F7"/>
    <w:rsid w:val="1A9D74A6"/>
    <w:rsid w:val="1AD31C39"/>
    <w:rsid w:val="1AF21901"/>
    <w:rsid w:val="1AFF3716"/>
    <w:rsid w:val="1B085AC6"/>
    <w:rsid w:val="1B0B2FA9"/>
    <w:rsid w:val="1B150D45"/>
    <w:rsid w:val="1B1740B3"/>
    <w:rsid w:val="1B1E635B"/>
    <w:rsid w:val="1B3B3924"/>
    <w:rsid w:val="1B4E215B"/>
    <w:rsid w:val="1B5720F0"/>
    <w:rsid w:val="1B6923B6"/>
    <w:rsid w:val="1B7E1BA5"/>
    <w:rsid w:val="1B8317C8"/>
    <w:rsid w:val="1BEA176C"/>
    <w:rsid w:val="1BF20A30"/>
    <w:rsid w:val="1C2672F0"/>
    <w:rsid w:val="1C5F22F1"/>
    <w:rsid w:val="1C694506"/>
    <w:rsid w:val="1C7C335E"/>
    <w:rsid w:val="1C8054A9"/>
    <w:rsid w:val="1CC959DE"/>
    <w:rsid w:val="1CCD67BE"/>
    <w:rsid w:val="1CD06430"/>
    <w:rsid w:val="1CE343B6"/>
    <w:rsid w:val="1CEB1101"/>
    <w:rsid w:val="1CF205CC"/>
    <w:rsid w:val="1CF319D1"/>
    <w:rsid w:val="1D08683B"/>
    <w:rsid w:val="1D193D78"/>
    <w:rsid w:val="1D3508F5"/>
    <w:rsid w:val="1D394B35"/>
    <w:rsid w:val="1D3D5BF4"/>
    <w:rsid w:val="1D43117C"/>
    <w:rsid w:val="1D4B2BC1"/>
    <w:rsid w:val="1D6911A3"/>
    <w:rsid w:val="1D695127"/>
    <w:rsid w:val="1D7813A6"/>
    <w:rsid w:val="1D7B029F"/>
    <w:rsid w:val="1D7D680A"/>
    <w:rsid w:val="1D8A479B"/>
    <w:rsid w:val="1D9E1C57"/>
    <w:rsid w:val="1DAD7104"/>
    <w:rsid w:val="1DAF3536"/>
    <w:rsid w:val="1DB018CF"/>
    <w:rsid w:val="1DB156F3"/>
    <w:rsid w:val="1DBF5B11"/>
    <w:rsid w:val="1DC05368"/>
    <w:rsid w:val="1DC1150C"/>
    <w:rsid w:val="1DD457BD"/>
    <w:rsid w:val="1DF55E56"/>
    <w:rsid w:val="1DFE42D4"/>
    <w:rsid w:val="1E096999"/>
    <w:rsid w:val="1E1B02D9"/>
    <w:rsid w:val="1E394AA5"/>
    <w:rsid w:val="1E71582A"/>
    <w:rsid w:val="1F1C048A"/>
    <w:rsid w:val="1F20009E"/>
    <w:rsid w:val="1F40423A"/>
    <w:rsid w:val="1F575D56"/>
    <w:rsid w:val="1F6B3D9D"/>
    <w:rsid w:val="1F82049B"/>
    <w:rsid w:val="1F831014"/>
    <w:rsid w:val="1F8654CC"/>
    <w:rsid w:val="1FCD6C57"/>
    <w:rsid w:val="20124FB2"/>
    <w:rsid w:val="20144F06"/>
    <w:rsid w:val="20231199"/>
    <w:rsid w:val="2062647F"/>
    <w:rsid w:val="20711CD8"/>
    <w:rsid w:val="20925C47"/>
    <w:rsid w:val="20995593"/>
    <w:rsid w:val="20B4309F"/>
    <w:rsid w:val="20C0450F"/>
    <w:rsid w:val="20C50302"/>
    <w:rsid w:val="20D27F57"/>
    <w:rsid w:val="20E174CD"/>
    <w:rsid w:val="20EE062D"/>
    <w:rsid w:val="20FA3829"/>
    <w:rsid w:val="20FB6C28"/>
    <w:rsid w:val="2106758C"/>
    <w:rsid w:val="21082523"/>
    <w:rsid w:val="211F0265"/>
    <w:rsid w:val="211F530E"/>
    <w:rsid w:val="212111FC"/>
    <w:rsid w:val="21211C5A"/>
    <w:rsid w:val="214B581D"/>
    <w:rsid w:val="21501739"/>
    <w:rsid w:val="21591452"/>
    <w:rsid w:val="21690939"/>
    <w:rsid w:val="2177335A"/>
    <w:rsid w:val="2178141F"/>
    <w:rsid w:val="21BB00F0"/>
    <w:rsid w:val="21C24669"/>
    <w:rsid w:val="2232062C"/>
    <w:rsid w:val="223C67F4"/>
    <w:rsid w:val="225D3BF3"/>
    <w:rsid w:val="2260284D"/>
    <w:rsid w:val="22684F70"/>
    <w:rsid w:val="2280028D"/>
    <w:rsid w:val="22B43642"/>
    <w:rsid w:val="22BD7176"/>
    <w:rsid w:val="22E05D1F"/>
    <w:rsid w:val="22ED0A04"/>
    <w:rsid w:val="22EF3423"/>
    <w:rsid w:val="23002A9A"/>
    <w:rsid w:val="23023B35"/>
    <w:rsid w:val="230F0D84"/>
    <w:rsid w:val="233C0B94"/>
    <w:rsid w:val="233D4101"/>
    <w:rsid w:val="23562EF0"/>
    <w:rsid w:val="23655114"/>
    <w:rsid w:val="236F5190"/>
    <w:rsid w:val="23832A0A"/>
    <w:rsid w:val="23B21A9D"/>
    <w:rsid w:val="2416550E"/>
    <w:rsid w:val="241D5C15"/>
    <w:rsid w:val="243C434E"/>
    <w:rsid w:val="246B6A3F"/>
    <w:rsid w:val="246C1AE4"/>
    <w:rsid w:val="24813198"/>
    <w:rsid w:val="249C1E11"/>
    <w:rsid w:val="24A54395"/>
    <w:rsid w:val="24A667D2"/>
    <w:rsid w:val="24AF2B3A"/>
    <w:rsid w:val="24C47881"/>
    <w:rsid w:val="24C745BD"/>
    <w:rsid w:val="24C84C97"/>
    <w:rsid w:val="24CD5B13"/>
    <w:rsid w:val="24E37464"/>
    <w:rsid w:val="24E758CB"/>
    <w:rsid w:val="24EE7D9B"/>
    <w:rsid w:val="24F13DEA"/>
    <w:rsid w:val="24F430E0"/>
    <w:rsid w:val="250232CD"/>
    <w:rsid w:val="250A7405"/>
    <w:rsid w:val="25320ED8"/>
    <w:rsid w:val="25453475"/>
    <w:rsid w:val="25694473"/>
    <w:rsid w:val="256C6A61"/>
    <w:rsid w:val="256C728C"/>
    <w:rsid w:val="257A796F"/>
    <w:rsid w:val="258D7A1F"/>
    <w:rsid w:val="25975FEE"/>
    <w:rsid w:val="259B306F"/>
    <w:rsid w:val="25A8619C"/>
    <w:rsid w:val="25C03191"/>
    <w:rsid w:val="25E22D30"/>
    <w:rsid w:val="25E66CC5"/>
    <w:rsid w:val="25F15CDE"/>
    <w:rsid w:val="262C69FC"/>
    <w:rsid w:val="263F3057"/>
    <w:rsid w:val="26437292"/>
    <w:rsid w:val="26524220"/>
    <w:rsid w:val="266F5AD5"/>
    <w:rsid w:val="267312CC"/>
    <w:rsid w:val="26C534A7"/>
    <w:rsid w:val="26D1146C"/>
    <w:rsid w:val="26D63BF7"/>
    <w:rsid w:val="271D2989"/>
    <w:rsid w:val="2727453A"/>
    <w:rsid w:val="27387112"/>
    <w:rsid w:val="274C0689"/>
    <w:rsid w:val="27870033"/>
    <w:rsid w:val="27A531B2"/>
    <w:rsid w:val="27BB07C7"/>
    <w:rsid w:val="27C1081B"/>
    <w:rsid w:val="27EB2F09"/>
    <w:rsid w:val="27F27DA4"/>
    <w:rsid w:val="28017DE6"/>
    <w:rsid w:val="28381790"/>
    <w:rsid w:val="28460951"/>
    <w:rsid w:val="284F6542"/>
    <w:rsid w:val="28524094"/>
    <w:rsid w:val="28581A20"/>
    <w:rsid w:val="286959CE"/>
    <w:rsid w:val="288024B4"/>
    <w:rsid w:val="288556CC"/>
    <w:rsid w:val="288822B5"/>
    <w:rsid w:val="28AE0322"/>
    <w:rsid w:val="28E45402"/>
    <w:rsid w:val="290D2E15"/>
    <w:rsid w:val="29206387"/>
    <w:rsid w:val="292F62E8"/>
    <w:rsid w:val="29507157"/>
    <w:rsid w:val="295201CD"/>
    <w:rsid w:val="29652B4F"/>
    <w:rsid w:val="296B3AE6"/>
    <w:rsid w:val="29724EB0"/>
    <w:rsid w:val="29AD357F"/>
    <w:rsid w:val="29B913E0"/>
    <w:rsid w:val="29C3073C"/>
    <w:rsid w:val="29CE7CDA"/>
    <w:rsid w:val="29D66833"/>
    <w:rsid w:val="2A3F4BF5"/>
    <w:rsid w:val="2A4E194B"/>
    <w:rsid w:val="2A8730C1"/>
    <w:rsid w:val="2AD76BDC"/>
    <w:rsid w:val="2AE476D8"/>
    <w:rsid w:val="2AF72697"/>
    <w:rsid w:val="2B111E63"/>
    <w:rsid w:val="2B412A8F"/>
    <w:rsid w:val="2B4F554B"/>
    <w:rsid w:val="2B8A50D2"/>
    <w:rsid w:val="2BA9008F"/>
    <w:rsid w:val="2BAD4B0D"/>
    <w:rsid w:val="2BB30DC0"/>
    <w:rsid w:val="2BC67F75"/>
    <w:rsid w:val="2BE54B1D"/>
    <w:rsid w:val="2BF17BDD"/>
    <w:rsid w:val="2C05059D"/>
    <w:rsid w:val="2C602936"/>
    <w:rsid w:val="2C610E53"/>
    <w:rsid w:val="2C7414E9"/>
    <w:rsid w:val="2C8763E0"/>
    <w:rsid w:val="2C8A3ED2"/>
    <w:rsid w:val="2CA74FD3"/>
    <w:rsid w:val="2CB76563"/>
    <w:rsid w:val="2CD036DD"/>
    <w:rsid w:val="2CE97C95"/>
    <w:rsid w:val="2CEE5FA7"/>
    <w:rsid w:val="2CF45A68"/>
    <w:rsid w:val="2D202ABC"/>
    <w:rsid w:val="2D253992"/>
    <w:rsid w:val="2D322C0E"/>
    <w:rsid w:val="2D510EC7"/>
    <w:rsid w:val="2D663463"/>
    <w:rsid w:val="2D6849E6"/>
    <w:rsid w:val="2D760252"/>
    <w:rsid w:val="2D870D8D"/>
    <w:rsid w:val="2DAD2ACA"/>
    <w:rsid w:val="2DCD5BD1"/>
    <w:rsid w:val="2DD65871"/>
    <w:rsid w:val="2DDD5F57"/>
    <w:rsid w:val="2DE36CDD"/>
    <w:rsid w:val="2DEC7221"/>
    <w:rsid w:val="2DFF2861"/>
    <w:rsid w:val="2E15680E"/>
    <w:rsid w:val="2E191ACB"/>
    <w:rsid w:val="2E536792"/>
    <w:rsid w:val="2E5F7614"/>
    <w:rsid w:val="2E8D54C0"/>
    <w:rsid w:val="2EA16A1B"/>
    <w:rsid w:val="2EA35CB5"/>
    <w:rsid w:val="2EAB6F96"/>
    <w:rsid w:val="2EFB0A2C"/>
    <w:rsid w:val="2F0C2CED"/>
    <w:rsid w:val="2F25682C"/>
    <w:rsid w:val="2F3807F3"/>
    <w:rsid w:val="2F5838BC"/>
    <w:rsid w:val="2F5C1DA5"/>
    <w:rsid w:val="2F7F62E2"/>
    <w:rsid w:val="2F8049A5"/>
    <w:rsid w:val="2F8D1332"/>
    <w:rsid w:val="2F9C1D8B"/>
    <w:rsid w:val="2FA10281"/>
    <w:rsid w:val="2FB533DF"/>
    <w:rsid w:val="2FB852EB"/>
    <w:rsid w:val="2FF42F8E"/>
    <w:rsid w:val="2FF7387C"/>
    <w:rsid w:val="303D6CDA"/>
    <w:rsid w:val="3062264C"/>
    <w:rsid w:val="30786340"/>
    <w:rsid w:val="30814C0B"/>
    <w:rsid w:val="308A76EE"/>
    <w:rsid w:val="308B54DC"/>
    <w:rsid w:val="30A00A33"/>
    <w:rsid w:val="30FC28C9"/>
    <w:rsid w:val="310A1A91"/>
    <w:rsid w:val="31317742"/>
    <w:rsid w:val="31494143"/>
    <w:rsid w:val="3178160E"/>
    <w:rsid w:val="31977428"/>
    <w:rsid w:val="31994BEB"/>
    <w:rsid w:val="31B4024B"/>
    <w:rsid w:val="31C478AD"/>
    <w:rsid w:val="31CB0685"/>
    <w:rsid w:val="31CE7424"/>
    <w:rsid w:val="31D56771"/>
    <w:rsid w:val="31D603B5"/>
    <w:rsid w:val="31DB0833"/>
    <w:rsid w:val="31DF29E0"/>
    <w:rsid w:val="322F11A3"/>
    <w:rsid w:val="32BD6343"/>
    <w:rsid w:val="32CE0CF1"/>
    <w:rsid w:val="32F11663"/>
    <w:rsid w:val="332545C6"/>
    <w:rsid w:val="33314445"/>
    <w:rsid w:val="335214F5"/>
    <w:rsid w:val="335502AA"/>
    <w:rsid w:val="33671257"/>
    <w:rsid w:val="339F3BB0"/>
    <w:rsid w:val="33A43263"/>
    <w:rsid w:val="33AF1934"/>
    <w:rsid w:val="33C723AA"/>
    <w:rsid w:val="33E252B3"/>
    <w:rsid w:val="3429114A"/>
    <w:rsid w:val="342E1D0B"/>
    <w:rsid w:val="34421272"/>
    <w:rsid w:val="346F1ACC"/>
    <w:rsid w:val="34A21A54"/>
    <w:rsid w:val="34B75015"/>
    <w:rsid w:val="34C21A8B"/>
    <w:rsid w:val="34C467DC"/>
    <w:rsid w:val="34E20F17"/>
    <w:rsid w:val="34FD36F4"/>
    <w:rsid w:val="35302CF9"/>
    <w:rsid w:val="35331B32"/>
    <w:rsid w:val="35577297"/>
    <w:rsid w:val="3564193B"/>
    <w:rsid w:val="35832B5E"/>
    <w:rsid w:val="35837D96"/>
    <w:rsid w:val="35AA1635"/>
    <w:rsid w:val="35BA007A"/>
    <w:rsid w:val="35E62A4F"/>
    <w:rsid w:val="35E7428C"/>
    <w:rsid w:val="35FB7349"/>
    <w:rsid w:val="36013477"/>
    <w:rsid w:val="36486BE0"/>
    <w:rsid w:val="366478CA"/>
    <w:rsid w:val="366D19F9"/>
    <w:rsid w:val="36881890"/>
    <w:rsid w:val="368E6AA3"/>
    <w:rsid w:val="36937F53"/>
    <w:rsid w:val="36C25ECB"/>
    <w:rsid w:val="36CE09EA"/>
    <w:rsid w:val="36E86E54"/>
    <w:rsid w:val="37012159"/>
    <w:rsid w:val="37056857"/>
    <w:rsid w:val="37353EB6"/>
    <w:rsid w:val="374F723C"/>
    <w:rsid w:val="3764739F"/>
    <w:rsid w:val="377D2200"/>
    <w:rsid w:val="37852347"/>
    <w:rsid w:val="37865863"/>
    <w:rsid w:val="37976071"/>
    <w:rsid w:val="379A7005"/>
    <w:rsid w:val="37CC77C2"/>
    <w:rsid w:val="37DE5E7F"/>
    <w:rsid w:val="37EC1FAA"/>
    <w:rsid w:val="38064CE0"/>
    <w:rsid w:val="38215A50"/>
    <w:rsid w:val="383A3843"/>
    <w:rsid w:val="38573298"/>
    <w:rsid w:val="38661A0C"/>
    <w:rsid w:val="3895224D"/>
    <w:rsid w:val="38A64207"/>
    <w:rsid w:val="38AE23CB"/>
    <w:rsid w:val="38B8729C"/>
    <w:rsid w:val="38FF7BD7"/>
    <w:rsid w:val="39144C73"/>
    <w:rsid w:val="39206E07"/>
    <w:rsid w:val="394815F3"/>
    <w:rsid w:val="395567FB"/>
    <w:rsid w:val="39757160"/>
    <w:rsid w:val="39981084"/>
    <w:rsid w:val="39F16B31"/>
    <w:rsid w:val="39FF7C1B"/>
    <w:rsid w:val="3A1E1082"/>
    <w:rsid w:val="3A2236F0"/>
    <w:rsid w:val="3A3A2C30"/>
    <w:rsid w:val="3A6063B0"/>
    <w:rsid w:val="3A7D79DC"/>
    <w:rsid w:val="3A8C4DD1"/>
    <w:rsid w:val="3AC7708E"/>
    <w:rsid w:val="3ACF7908"/>
    <w:rsid w:val="3ADA5ABB"/>
    <w:rsid w:val="3AE26C1E"/>
    <w:rsid w:val="3B0F5EB0"/>
    <w:rsid w:val="3B27451C"/>
    <w:rsid w:val="3B3B11C1"/>
    <w:rsid w:val="3B5800AA"/>
    <w:rsid w:val="3B602185"/>
    <w:rsid w:val="3B6A0881"/>
    <w:rsid w:val="3BBA34E3"/>
    <w:rsid w:val="3BD36F08"/>
    <w:rsid w:val="3BDF40F8"/>
    <w:rsid w:val="3BE13D5E"/>
    <w:rsid w:val="3BFE4A41"/>
    <w:rsid w:val="3C1D6A67"/>
    <w:rsid w:val="3C304BF7"/>
    <w:rsid w:val="3C403F2F"/>
    <w:rsid w:val="3C661219"/>
    <w:rsid w:val="3C6B5A44"/>
    <w:rsid w:val="3CAA3B8C"/>
    <w:rsid w:val="3CBD718B"/>
    <w:rsid w:val="3CC229BF"/>
    <w:rsid w:val="3CD875DD"/>
    <w:rsid w:val="3CFC0234"/>
    <w:rsid w:val="3CFC050D"/>
    <w:rsid w:val="3D1039F4"/>
    <w:rsid w:val="3D243093"/>
    <w:rsid w:val="3D25238F"/>
    <w:rsid w:val="3D2B072B"/>
    <w:rsid w:val="3D4D0785"/>
    <w:rsid w:val="3D502363"/>
    <w:rsid w:val="3D513400"/>
    <w:rsid w:val="3D5C1FDF"/>
    <w:rsid w:val="3D9F0C48"/>
    <w:rsid w:val="3DB47E3E"/>
    <w:rsid w:val="3DB82B5C"/>
    <w:rsid w:val="3DBA0884"/>
    <w:rsid w:val="3DDE542B"/>
    <w:rsid w:val="3E067AAC"/>
    <w:rsid w:val="3E203C09"/>
    <w:rsid w:val="3E42584D"/>
    <w:rsid w:val="3E461661"/>
    <w:rsid w:val="3E4C2A5E"/>
    <w:rsid w:val="3E806F30"/>
    <w:rsid w:val="3EA730A3"/>
    <w:rsid w:val="3EBD51F0"/>
    <w:rsid w:val="3EF13E88"/>
    <w:rsid w:val="3EFF1385"/>
    <w:rsid w:val="3F4D69AD"/>
    <w:rsid w:val="3F566811"/>
    <w:rsid w:val="3F6308C4"/>
    <w:rsid w:val="3FC508BF"/>
    <w:rsid w:val="3FDA1D48"/>
    <w:rsid w:val="3FE47551"/>
    <w:rsid w:val="4010695E"/>
    <w:rsid w:val="403109EF"/>
    <w:rsid w:val="403355AB"/>
    <w:rsid w:val="404E3DB4"/>
    <w:rsid w:val="405B156C"/>
    <w:rsid w:val="405D308E"/>
    <w:rsid w:val="4065664E"/>
    <w:rsid w:val="40A16563"/>
    <w:rsid w:val="40D33DB9"/>
    <w:rsid w:val="40D43E92"/>
    <w:rsid w:val="40D5265B"/>
    <w:rsid w:val="40F45A6F"/>
    <w:rsid w:val="410246DB"/>
    <w:rsid w:val="412C3817"/>
    <w:rsid w:val="4155573E"/>
    <w:rsid w:val="41656248"/>
    <w:rsid w:val="41684CBB"/>
    <w:rsid w:val="416E6FA1"/>
    <w:rsid w:val="41763222"/>
    <w:rsid w:val="41825B76"/>
    <w:rsid w:val="41950D12"/>
    <w:rsid w:val="41B13DAB"/>
    <w:rsid w:val="41B55807"/>
    <w:rsid w:val="41CF7AB2"/>
    <w:rsid w:val="41F848C7"/>
    <w:rsid w:val="421A369E"/>
    <w:rsid w:val="4223641B"/>
    <w:rsid w:val="423555C0"/>
    <w:rsid w:val="423C13A1"/>
    <w:rsid w:val="42424E2B"/>
    <w:rsid w:val="42456971"/>
    <w:rsid w:val="425A2F65"/>
    <w:rsid w:val="426E269A"/>
    <w:rsid w:val="42877E24"/>
    <w:rsid w:val="428C644F"/>
    <w:rsid w:val="42921694"/>
    <w:rsid w:val="42AD2E20"/>
    <w:rsid w:val="42CC5100"/>
    <w:rsid w:val="42DB0868"/>
    <w:rsid w:val="42E0222C"/>
    <w:rsid w:val="431821B1"/>
    <w:rsid w:val="431915BC"/>
    <w:rsid w:val="43394B64"/>
    <w:rsid w:val="43434567"/>
    <w:rsid w:val="4371301B"/>
    <w:rsid w:val="43730AB0"/>
    <w:rsid w:val="437D49AC"/>
    <w:rsid w:val="438D54E0"/>
    <w:rsid w:val="43A669E4"/>
    <w:rsid w:val="43AC3F83"/>
    <w:rsid w:val="43BC4006"/>
    <w:rsid w:val="43CB1C85"/>
    <w:rsid w:val="43CE1B59"/>
    <w:rsid w:val="43E1649B"/>
    <w:rsid w:val="43E221D3"/>
    <w:rsid w:val="43F07B37"/>
    <w:rsid w:val="43FF7077"/>
    <w:rsid w:val="44092324"/>
    <w:rsid w:val="441141A6"/>
    <w:rsid w:val="44130C85"/>
    <w:rsid w:val="442073EE"/>
    <w:rsid w:val="44224B19"/>
    <w:rsid w:val="444D53D6"/>
    <w:rsid w:val="44753B35"/>
    <w:rsid w:val="44755D16"/>
    <w:rsid w:val="447F61D9"/>
    <w:rsid w:val="448219D9"/>
    <w:rsid w:val="449505FC"/>
    <w:rsid w:val="44A06460"/>
    <w:rsid w:val="44C80C38"/>
    <w:rsid w:val="45226B22"/>
    <w:rsid w:val="457C7736"/>
    <w:rsid w:val="45A0091B"/>
    <w:rsid w:val="45B1220E"/>
    <w:rsid w:val="45B13BD6"/>
    <w:rsid w:val="45B2395D"/>
    <w:rsid w:val="45B3793D"/>
    <w:rsid w:val="45D26432"/>
    <w:rsid w:val="45D37D55"/>
    <w:rsid w:val="46485687"/>
    <w:rsid w:val="46664411"/>
    <w:rsid w:val="46694F98"/>
    <w:rsid w:val="467865A0"/>
    <w:rsid w:val="468414E0"/>
    <w:rsid w:val="468851FF"/>
    <w:rsid w:val="46AF1C0B"/>
    <w:rsid w:val="46CA3AD2"/>
    <w:rsid w:val="46D84902"/>
    <w:rsid w:val="46DB13AA"/>
    <w:rsid w:val="46E34B8D"/>
    <w:rsid w:val="471223E4"/>
    <w:rsid w:val="47480D31"/>
    <w:rsid w:val="474A0C9A"/>
    <w:rsid w:val="47536391"/>
    <w:rsid w:val="475520D1"/>
    <w:rsid w:val="475D4E9F"/>
    <w:rsid w:val="477D2CCA"/>
    <w:rsid w:val="4783411C"/>
    <w:rsid w:val="47992349"/>
    <w:rsid w:val="479B5EF5"/>
    <w:rsid w:val="47A520E4"/>
    <w:rsid w:val="47A60E8E"/>
    <w:rsid w:val="47AB7FEA"/>
    <w:rsid w:val="47DD32EA"/>
    <w:rsid w:val="48330485"/>
    <w:rsid w:val="48523EE0"/>
    <w:rsid w:val="485D29BF"/>
    <w:rsid w:val="489B7043"/>
    <w:rsid w:val="48C77E38"/>
    <w:rsid w:val="48D06360"/>
    <w:rsid w:val="48F32E6D"/>
    <w:rsid w:val="490309CB"/>
    <w:rsid w:val="49176DDD"/>
    <w:rsid w:val="492C3F9A"/>
    <w:rsid w:val="493C492D"/>
    <w:rsid w:val="498139D2"/>
    <w:rsid w:val="498C1835"/>
    <w:rsid w:val="49AA0996"/>
    <w:rsid w:val="49CC6861"/>
    <w:rsid w:val="49CD399C"/>
    <w:rsid w:val="49E14D3E"/>
    <w:rsid w:val="49E335D2"/>
    <w:rsid w:val="4A1376F9"/>
    <w:rsid w:val="4A1A0E9F"/>
    <w:rsid w:val="4A6C4586"/>
    <w:rsid w:val="4A8159BA"/>
    <w:rsid w:val="4A8B659A"/>
    <w:rsid w:val="4AA27C74"/>
    <w:rsid w:val="4AA64708"/>
    <w:rsid w:val="4ABA2887"/>
    <w:rsid w:val="4ADC2AE1"/>
    <w:rsid w:val="4AF30EC8"/>
    <w:rsid w:val="4B116791"/>
    <w:rsid w:val="4B130EAE"/>
    <w:rsid w:val="4B5E0F27"/>
    <w:rsid w:val="4B6A073A"/>
    <w:rsid w:val="4B773D82"/>
    <w:rsid w:val="4B877645"/>
    <w:rsid w:val="4BB51C3A"/>
    <w:rsid w:val="4BCF5167"/>
    <w:rsid w:val="4BD66C55"/>
    <w:rsid w:val="4BF22562"/>
    <w:rsid w:val="4C1475C8"/>
    <w:rsid w:val="4C1D2D3B"/>
    <w:rsid w:val="4C664F49"/>
    <w:rsid w:val="4C6F204A"/>
    <w:rsid w:val="4CA31E8C"/>
    <w:rsid w:val="4CB515A8"/>
    <w:rsid w:val="4CB66B41"/>
    <w:rsid w:val="4CE13C99"/>
    <w:rsid w:val="4CEB5EDE"/>
    <w:rsid w:val="4D08581C"/>
    <w:rsid w:val="4D150A90"/>
    <w:rsid w:val="4D7175E9"/>
    <w:rsid w:val="4D7E739B"/>
    <w:rsid w:val="4D976936"/>
    <w:rsid w:val="4DA10C51"/>
    <w:rsid w:val="4DA91FD9"/>
    <w:rsid w:val="4DA93185"/>
    <w:rsid w:val="4DB40C45"/>
    <w:rsid w:val="4DC27B64"/>
    <w:rsid w:val="4DCD06C5"/>
    <w:rsid w:val="4DD04557"/>
    <w:rsid w:val="4DFB7717"/>
    <w:rsid w:val="4DFE2E01"/>
    <w:rsid w:val="4E122EAB"/>
    <w:rsid w:val="4E1B4105"/>
    <w:rsid w:val="4E2C749A"/>
    <w:rsid w:val="4E3D70E2"/>
    <w:rsid w:val="4E941B6A"/>
    <w:rsid w:val="4EA0667D"/>
    <w:rsid w:val="4EB34307"/>
    <w:rsid w:val="4EC56BC8"/>
    <w:rsid w:val="4ED56F53"/>
    <w:rsid w:val="4EEB015D"/>
    <w:rsid w:val="4EEC416D"/>
    <w:rsid w:val="4EFC66E8"/>
    <w:rsid w:val="4F063F00"/>
    <w:rsid w:val="4F0D18BA"/>
    <w:rsid w:val="4F112281"/>
    <w:rsid w:val="4F176CDE"/>
    <w:rsid w:val="4F31425D"/>
    <w:rsid w:val="4F35328E"/>
    <w:rsid w:val="4F4622BD"/>
    <w:rsid w:val="4F705413"/>
    <w:rsid w:val="4F7D15D5"/>
    <w:rsid w:val="4F826496"/>
    <w:rsid w:val="4F9B208F"/>
    <w:rsid w:val="4FAC24F8"/>
    <w:rsid w:val="4FCC7793"/>
    <w:rsid w:val="4FE40EFF"/>
    <w:rsid w:val="4FE7025B"/>
    <w:rsid w:val="50054FC5"/>
    <w:rsid w:val="500D6A78"/>
    <w:rsid w:val="50156B9F"/>
    <w:rsid w:val="501F1F64"/>
    <w:rsid w:val="502D4446"/>
    <w:rsid w:val="50365133"/>
    <w:rsid w:val="504845D2"/>
    <w:rsid w:val="504A3037"/>
    <w:rsid w:val="505A77E4"/>
    <w:rsid w:val="505F00E3"/>
    <w:rsid w:val="50821C75"/>
    <w:rsid w:val="50835F76"/>
    <w:rsid w:val="50FB1E1C"/>
    <w:rsid w:val="50FB2BC5"/>
    <w:rsid w:val="511D58A5"/>
    <w:rsid w:val="51306E50"/>
    <w:rsid w:val="51351BA0"/>
    <w:rsid w:val="513D513B"/>
    <w:rsid w:val="517477D5"/>
    <w:rsid w:val="51763875"/>
    <w:rsid w:val="51805CF3"/>
    <w:rsid w:val="51821571"/>
    <w:rsid w:val="518731EF"/>
    <w:rsid w:val="51A258E6"/>
    <w:rsid w:val="51A67184"/>
    <w:rsid w:val="51D5017E"/>
    <w:rsid w:val="51ED7CDA"/>
    <w:rsid w:val="5201085F"/>
    <w:rsid w:val="52284D9F"/>
    <w:rsid w:val="52333AA7"/>
    <w:rsid w:val="523A5B1F"/>
    <w:rsid w:val="52635075"/>
    <w:rsid w:val="526B627D"/>
    <w:rsid w:val="527A5F1B"/>
    <w:rsid w:val="52D1138D"/>
    <w:rsid w:val="52D26F3E"/>
    <w:rsid w:val="52D63A99"/>
    <w:rsid w:val="5302499B"/>
    <w:rsid w:val="531C0756"/>
    <w:rsid w:val="532B7B64"/>
    <w:rsid w:val="532F73BA"/>
    <w:rsid w:val="53302440"/>
    <w:rsid w:val="53305333"/>
    <w:rsid w:val="53595699"/>
    <w:rsid w:val="535B67CB"/>
    <w:rsid w:val="535E3EE2"/>
    <w:rsid w:val="536D36EB"/>
    <w:rsid w:val="537D1EC1"/>
    <w:rsid w:val="53807924"/>
    <w:rsid w:val="538A7261"/>
    <w:rsid w:val="53937DD9"/>
    <w:rsid w:val="53A1230F"/>
    <w:rsid w:val="53A81C8D"/>
    <w:rsid w:val="53AB52AC"/>
    <w:rsid w:val="53C47D96"/>
    <w:rsid w:val="53DA436D"/>
    <w:rsid w:val="540B600F"/>
    <w:rsid w:val="54534670"/>
    <w:rsid w:val="547A48F8"/>
    <w:rsid w:val="548C4545"/>
    <w:rsid w:val="54B074DB"/>
    <w:rsid w:val="54C8124B"/>
    <w:rsid w:val="54EC7BFD"/>
    <w:rsid w:val="54F621D1"/>
    <w:rsid w:val="54FD052E"/>
    <w:rsid w:val="55391209"/>
    <w:rsid w:val="557B1255"/>
    <w:rsid w:val="55B11C17"/>
    <w:rsid w:val="55FD54EB"/>
    <w:rsid w:val="56151B3A"/>
    <w:rsid w:val="561804EC"/>
    <w:rsid w:val="561F3043"/>
    <w:rsid w:val="5669191D"/>
    <w:rsid w:val="567D5D10"/>
    <w:rsid w:val="56801044"/>
    <w:rsid w:val="568F0738"/>
    <w:rsid w:val="56996840"/>
    <w:rsid w:val="56AA23A1"/>
    <w:rsid w:val="56B066E9"/>
    <w:rsid w:val="56BC169B"/>
    <w:rsid w:val="56BE7193"/>
    <w:rsid w:val="56D047EA"/>
    <w:rsid w:val="56F146C5"/>
    <w:rsid w:val="56F34B82"/>
    <w:rsid w:val="57047ADF"/>
    <w:rsid w:val="57426B12"/>
    <w:rsid w:val="57526450"/>
    <w:rsid w:val="577218B7"/>
    <w:rsid w:val="577E6E34"/>
    <w:rsid w:val="58151F5F"/>
    <w:rsid w:val="58211D7D"/>
    <w:rsid w:val="58811498"/>
    <w:rsid w:val="58994482"/>
    <w:rsid w:val="58A35462"/>
    <w:rsid w:val="58AB1526"/>
    <w:rsid w:val="58CB08E9"/>
    <w:rsid w:val="591F0ED8"/>
    <w:rsid w:val="593A1F01"/>
    <w:rsid w:val="595A2F5E"/>
    <w:rsid w:val="59634F40"/>
    <w:rsid w:val="5983693A"/>
    <w:rsid w:val="599307A6"/>
    <w:rsid w:val="59947D1D"/>
    <w:rsid w:val="599B3391"/>
    <w:rsid w:val="59C53F20"/>
    <w:rsid w:val="5A082425"/>
    <w:rsid w:val="5A2141B4"/>
    <w:rsid w:val="5A4E6713"/>
    <w:rsid w:val="5A5E3F69"/>
    <w:rsid w:val="5A653116"/>
    <w:rsid w:val="5ACB40C5"/>
    <w:rsid w:val="5ACC2C66"/>
    <w:rsid w:val="5ACC3218"/>
    <w:rsid w:val="5ADE29C9"/>
    <w:rsid w:val="5AEA2B30"/>
    <w:rsid w:val="5B062A6E"/>
    <w:rsid w:val="5B146983"/>
    <w:rsid w:val="5B3579AB"/>
    <w:rsid w:val="5B37580C"/>
    <w:rsid w:val="5B467749"/>
    <w:rsid w:val="5B546FFF"/>
    <w:rsid w:val="5B5A6E36"/>
    <w:rsid w:val="5B5F4441"/>
    <w:rsid w:val="5B7C2AC7"/>
    <w:rsid w:val="5B8027F1"/>
    <w:rsid w:val="5B8508DD"/>
    <w:rsid w:val="5B893604"/>
    <w:rsid w:val="5B977F9B"/>
    <w:rsid w:val="5BAE7ECE"/>
    <w:rsid w:val="5BB35010"/>
    <w:rsid w:val="5BCD3652"/>
    <w:rsid w:val="5BDB2D52"/>
    <w:rsid w:val="5BDC5956"/>
    <w:rsid w:val="5C091B83"/>
    <w:rsid w:val="5C122108"/>
    <w:rsid w:val="5C1967A5"/>
    <w:rsid w:val="5C4A0EFD"/>
    <w:rsid w:val="5C86590B"/>
    <w:rsid w:val="5C893005"/>
    <w:rsid w:val="5CA53E61"/>
    <w:rsid w:val="5CB47235"/>
    <w:rsid w:val="5CB56BE4"/>
    <w:rsid w:val="5CBC2007"/>
    <w:rsid w:val="5CC8102D"/>
    <w:rsid w:val="5D100CB8"/>
    <w:rsid w:val="5D3A68C1"/>
    <w:rsid w:val="5D4378B0"/>
    <w:rsid w:val="5D44644E"/>
    <w:rsid w:val="5D681B13"/>
    <w:rsid w:val="5D6A61AF"/>
    <w:rsid w:val="5D6D6DB8"/>
    <w:rsid w:val="5D9823E5"/>
    <w:rsid w:val="5D9E663F"/>
    <w:rsid w:val="5DA904EA"/>
    <w:rsid w:val="5DAC4026"/>
    <w:rsid w:val="5DB20C8E"/>
    <w:rsid w:val="5DD35DFF"/>
    <w:rsid w:val="5DE82328"/>
    <w:rsid w:val="5DFA02D5"/>
    <w:rsid w:val="5E4F5007"/>
    <w:rsid w:val="5E5031D7"/>
    <w:rsid w:val="5E5C21E6"/>
    <w:rsid w:val="5E6866B2"/>
    <w:rsid w:val="5E794F22"/>
    <w:rsid w:val="5E8D3B86"/>
    <w:rsid w:val="5EDA5EC1"/>
    <w:rsid w:val="5EEF723A"/>
    <w:rsid w:val="5EF10B78"/>
    <w:rsid w:val="5F315E8D"/>
    <w:rsid w:val="5F441D8B"/>
    <w:rsid w:val="5F5426FC"/>
    <w:rsid w:val="5F7509AC"/>
    <w:rsid w:val="5F9C0508"/>
    <w:rsid w:val="5FA12D76"/>
    <w:rsid w:val="5FBC71AF"/>
    <w:rsid w:val="5FF26453"/>
    <w:rsid w:val="60104FD8"/>
    <w:rsid w:val="60184B5B"/>
    <w:rsid w:val="60434AD3"/>
    <w:rsid w:val="607D5362"/>
    <w:rsid w:val="60B35CA5"/>
    <w:rsid w:val="60B372E2"/>
    <w:rsid w:val="60E16A07"/>
    <w:rsid w:val="60EB56D0"/>
    <w:rsid w:val="610303EC"/>
    <w:rsid w:val="61034C31"/>
    <w:rsid w:val="611112CA"/>
    <w:rsid w:val="611352CB"/>
    <w:rsid w:val="614D50A8"/>
    <w:rsid w:val="616379EA"/>
    <w:rsid w:val="618A75D0"/>
    <w:rsid w:val="61B94C10"/>
    <w:rsid w:val="61BD37EE"/>
    <w:rsid w:val="61C24DE8"/>
    <w:rsid w:val="61EB2991"/>
    <w:rsid w:val="622E6486"/>
    <w:rsid w:val="622E7D47"/>
    <w:rsid w:val="6250370F"/>
    <w:rsid w:val="62572C74"/>
    <w:rsid w:val="627A69B3"/>
    <w:rsid w:val="62893AEB"/>
    <w:rsid w:val="62991749"/>
    <w:rsid w:val="62B6628B"/>
    <w:rsid w:val="62BB3FF3"/>
    <w:rsid w:val="62CA457F"/>
    <w:rsid w:val="62E95383"/>
    <w:rsid w:val="633C098C"/>
    <w:rsid w:val="634F41A1"/>
    <w:rsid w:val="63533DDE"/>
    <w:rsid w:val="637C3472"/>
    <w:rsid w:val="63A56595"/>
    <w:rsid w:val="63AE41E2"/>
    <w:rsid w:val="63ED3DCC"/>
    <w:rsid w:val="63F45B19"/>
    <w:rsid w:val="6417316B"/>
    <w:rsid w:val="64181695"/>
    <w:rsid w:val="64197A66"/>
    <w:rsid w:val="642D27BF"/>
    <w:rsid w:val="643961E4"/>
    <w:rsid w:val="649E639D"/>
    <w:rsid w:val="64A665F8"/>
    <w:rsid w:val="64B87F41"/>
    <w:rsid w:val="64BA766C"/>
    <w:rsid w:val="64BD69C6"/>
    <w:rsid w:val="64C33F5D"/>
    <w:rsid w:val="64D20AEB"/>
    <w:rsid w:val="64E77440"/>
    <w:rsid w:val="64ED2EA4"/>
    <w:rsid w:val="65257DF4"/>
    <w:rsid w:val="655F6DFD"/>
    <w:rsid w:val="65B75967"/>
    <w:rsid w:val="65E01E05"/>
    <w:rsid w:val="65ED311F"/>
    <w:rsid w:val="66310C29"/>
    <w:rsid w:val="666D3065"/>
    <w:rsid w:val="66A05B76"/>
    <w:rsid w:val="66AC1F27"/>
    <w:rsid w:val="66CD3A13"/>
    <w:rsid w:val="6708713C"/>
    <w:rsid w:val="671F5DEC"/>
    <w:rsid w:val="67377FE4"/>
    <w:rsid w:val="677049C5"/>
    <w:rsid w:val="679D6C87"/>
    <w:rsid w:val="679D796D"/>
    <w:rsid w:val="67B47EB3"/>
    <w:rsid w:val="67CD3F83"/>
    <w:rsid w:val="67DC7C6E"/>
    <w:rsid w:val="68054390"/>
    <w:rsid w:val="68057108"/>
    <w:rsid w:val="68155746"/>
    <w:rsid w:val="68216AE6"/>
    <w:rsid w:val="68225692"/>
    <w:rsid w:val="686917EA"/>
    <w:rsid w:val="687954F5"/>
    <w:rsid w:val="68C219CA"/>
    <w:rsid w:val="69391026"/>
    <w:rsid w:val="693C76BB"/>
    <w:rsid w:val="69463E67"/>
    <w:rsid w:val="695E079C"/>
    <w:rsid w:val="699666BD"/>
    <w:rsid w:val="69987623"/>
    <w:rsid w:val="69AE28C4"/>
    <w:rsid w:val="69AE638F"/>
    <w:rsid w:val="69CC61E8"/>
    <w:rsid w:val="69D054A7"/>
    <w:rsid w:val="69F254F6"/>
    <w:rsid w:val="69F4707A"/>
    <w:rsid w:val="6A1C2EE1"/>
    <w:rsid w:val="6A226C98"/>
    <w:rsid w:val="6A2C7534"/>
    <w:rsid w:val="6A3424F2"/>
    <w:rsid w:val="6A353A7B"/>
    <w:rsid w:val="6A5407CD"/>
    <w:rsid w:val="6A57551E"/>
    <w:rsid w:val="6A6041BF"/>
    <w:rsid w:val="6A722744"/>
    <w:rsid w:val="6A73532E"/>
    <w:rsid w:val="6A90057A"/>
    <w:rsid w:val="6AD42AF2"/>
    <w:rsid w:val="6ADC1157"/>
    <w:rsid w:val="6AFE4A54"/>
    <w:rsid w:val="6B033829"/>
    <w:rsid w:val="6B2979BE"/>
    <w:rsid w:val="6B914AB8"/>
    <w:rsid w:val="6B9F2072"/>
    <w:rsid w:val="6BB6207E"/>
    <w:rsid w:val="6BC30347"/>
    <w:rsid w:val="6BE52346"/>
    <w:rsid w:val="6BEB3505"/>
    <w:rsid w:val="6BF2440B"/>
    <w:rsid w:val="6C0E2AD7"/>
    <w:rsid w:val="6C1A459F"/>
    <w:rsid w:val="6C2373D7"/>
    <w:rsid w:val="6C3E3692"/>
    <w:rsid w:val="6C44786E"/>
    <w:rsid w:val="6C552D59"/>
    <w:rsid w:val="6C5B1E09"/>
    <w:rsid w:val="6C8574C7"/>
    <w:rsid w:val="6C885EF1"/>
    <w:rsid w:val="6C8D08AC"/>
    <w:rsid w:val="6CB54E00"/>
    <w:rsid w:val="6CC52E48"/>
    <w:rsid w:val="6CE86B76"/>
    <w:rsid w:val="6CF66F0A"/>
    <w:rsid w:val="6D0B3EE8"/>
    <w:rsid w:val="6D176800"/>
    <w:rsid w:val="6D180CED"/>
    <w:rsid w:val="6D2F1292"/>
    <w:rsid w:val="6D31698C"/>
    <w:rsid w:val="6D36262F"/>
    <w:rsid w:val="6D5B2405"/>
    <w:rsid w:val="6D696330"/>
    <w:rsid w:val="6D755768"/>
    <w:rsid w:val="6DBB76BC"/>
    <w:rsid w:val="6DED37B9"/>
    <w:rsid w:val="6E1109AE"/>
    <w:rsid w:val="6E2179B1"/>
    <w:rsid w:val="6E5A2429"/>
    <w:rsid w:val="6E6715B8"/>
    <w:rsid w:val="6EA20AE5"/>
    <w:rsid w:val="6F1F0BF9"/>
    <w:rsid w:val="6F3809B5"/>
    <w:rsid w:val="6F616041"/>
    <w:rsid w:val="6F84307F"/>
    <w:rsid w:val="6FA41824"/>
    <w:rsid w:val="6FB54C87"/>
    <w:rsid w:val="6FD56396"/>
    <w:rsid w:val="6FEC2DC1"/>
    <w:rsid w:val="70007D58"/>
    <w:rsid w:val="700E5E4B"/>
    <w:rsid w:val="700F090C"/>
    <w:rsid w:val="70453BB5"/>
    <w:rsid w:val="70461D0A"/>
    <w:rsid w:val="704B11CB"/>
    <w:rsid w:val="70502198"/>
    <w:rsid w:val="70577355"/>
    <w:rsid w:val="7085580E"/>
    <w:rsid w:val="708C5E3D"/>
    <w:rsid w:val="70940133"/>
    <w:rsid w:val="70DC4C61"/>
    <w:rsid w:val="70F93192"/>
    <w:rsid w:val="71084BDE"/>
    <w:rsid w:val="71167B19"/>
    <w:rsid w:val="711E79AE"/>
    <w:rsid w:val="711F45F3"/>
    <w:rsid w:val="71416ED3"/>
    <w:rsid w:val="715F1572"/>
    <w:rsid w:val="717209D9"/>
    <w:rsid w:val="718324A8"/>
    <w:rsid w:val="71BA69D5"/>
    <w:rsid w:val="71C57AA9"/>
    <w:rsid w:val="71CD20B4"/>
    <w:rsid w:val="71E879E6"/>
    <w:rsid w:val="725A7D17"/>
    <w:rsid w:val="725E11A0"/>
    <w:rsid w:val="72BA48F9"/>
    <w:rsid w:val="72D861AB"/>
    <w:rsid w:val="72FA6627"/>
    <w:rsid w:val="73396C3B"/>
    <w:rsid w:val="734A75F3"/>
    <w:rsid w:val="736C0655"/>
    <w:rsid w:val="73A250C9"/>
    <w:rsid w:val="73E270B8"/>
    <w:rsid w:val="74092BF3"/>
    <w:rsid w:val="740B2A1F"/>
    <w:rsid w:val="74E05105"/>
    <w:rsid w:val="74ED346D"/>
    <w:rsid w:val="750A7675"/>
    <w:rsid w:val="75351ABD"/>
    <w:rsid w:val="755B0994"/>
    <w:rsid w:val="758252D2"/>
    <w:rsid w:val="759439EC"/>
    <w:rsid w:val="75AE7B06"/>
    <w:rsid w:val="75BA1298"/>
    <w:rsid w:val="75ED3256"/>
    <w:rsid w:val="75F84426"/>
    <w:rsid w:val="76250054"/>
    <w:rsid w:val="76332CB1"/>
    <w:rsid w:val="76657885"/>
    <w:rsid w:val="766F2E21"/>
    <w:rsid w:val="76714E6D"/>
    <w:rsid w:val="76923824"/>
    <w:rsid w:val="76A35191"/>
    <w:rsid w:val="76D43997"/>
    <w:rsid w:val="76E94A05"/>
    <w:rsid w:val="77186BBB"/>
    <w:rsid w:val="7737205F"/>
    <w:rsid w:val="773A10D4"/>
    <w:rsid w:val="773D596A"/>
    <w:rsid w:val="77446875"/>
    <w:rsid w:val="77534141"/>
    <w:rsid w:val="77581360"/>
    <w:rsid w:val="775F7BD2"/>
    <w:rsid w:val="7781070A"/>
    <w:rsid w:val="77980300"/>
    <w:rsid w:val="77AC1B86"/>
    <w:rsid w:val="77BA3175"/>
    <w:rsid w:val="77C0539D"/>
    <w:rsid w:val="77D34D48"/>
    <w:rsid w:val="77F260C0"/>
    <w:rsid w:val="78285EA8"/>
    <w:rsid w:val="7832484D"/>
    <w:rsid w:val="78545364"/>
    <w:rsid w:val="78935930"/>
    <w:rsid w:val="78956B19"/>
    <w:rsid w:val="789A3FB9"/>
    <w:rsid w:val="78B402EF"/>
    <w:rsid w:val="790D7AC0"/>
    <w:rsid w:val="79234497"/>
    <w:rsid w:val="79286AA6"/>
    <w:rsid w:val="793107C4"/>
    <w:rsid w:val="7932575E"/>
    <w:rsid w:val="793E2571"/>
    <w:rsid w:val="79457F51"/>
    <w:rsid w:val="7980398E"/>
    <w:rsid w:val="798968C0"/>
    <w:rsid w:val="79A1291D"/>
    <w:rsid w:val="79A834A9"/>
    <w:rsid w:val="79AE1324"/>
    <w:rsid w:val="79F97139"/>
    <w:rsid w:val="7A19325D"/>
    <w:rsid w:val="7A397B94"/>
    <w:rsid w:val="7A441E07"/>
    <w:rsid w:val="7A511AB2"/>
    <w:rsid w:val="7A710134"/>
    <w:rsid w:val="7A7A47FC"/>
    <w:rsid w:val="7A854B36"/>
    <w:rsid w:val="7A8614A7"/>
    <w:rsid w:val="7AA215AC"/>
    <w:rsid w:val="7AAA7D7B"/>
    <w:rsid w:val="7AB155DA"/>
    <w:rsid w:val="7ACC480F"/>
    <w:rsid w:val="7ADB3D4F"/>
    <w:rsid w:val="7AFA066F"/>
    <w:rsid w:val="7B0D51AF"/>
    <w:rsid w:val="7B1367F0"/>
    <w:rsid w:val="7B146680"/>
    <w:rsid w:val="7B204CD8"/>
    <w:rsid w:val="7B4C229B"/>
    <w:rsid w:val="7BBE0B2E"/>
    <w:rsid w:val="7BE12086"/>
    <w:rsid w:val="7BE66F1E"/>
    <w:rsid w:val="7BF46B66"/>
    <w:rsid w:val="7C115438"/>
    <w:rsid w:val="7C157BDD"/>
    <w:rsid w:val="7C17525F"/>
    <w:rsid w:val="7C4D483E"/>
    <w:rsid w:val="7C5F0165"/>
    <w:rsid w:val="7C624CEC"/>
    <w:rsid w:val="7C7A173F"/>
    <w:rsid w:val="7C7D7C0D"/>
    <w:rsid w:val="7CD10E03"/>
    <w:rsid w:val="7CD210C9"/>
    <w:rsid w:val="7CEF2D32"/>
    <w:rsid w:val="7CF67FEB"/>
    <w:rsid w:val="7D293783"/>
    <w:rsid w:val="7D540C24"/>
    <w:rsid w:val="7D630A3A"/>
    <w:rsid w:val="7D715FE9"/>
    <w:rsid w:val="7D9B5151"/>
    <w:rsid w:val="7DAE508D"/>
    <w:rsid w:val="7DBE5B02"/>
    <w:rsid w:val="7DC71B6D"/>
    <w:rsid w:val="7E066C25"/>
    <w:rsid w:val="7E104A7E"/>
    <w:rsid w:val="7E1C13B0"/>
    <w:rsid w:val="7E1D130E"/>
    <w:rsid w:val="7E341784"/>
    <w:rsid w:val="7E5B64E4"/>
    <w:rsid w:val="7E760CBF"/>
    <w:rsid w:val="7E8514C2"/>
    <w:rsid w:val="7EB56661"/>
    <w:rsid w:val="7EC16630"/>
    <w:rsid w:val="7ED854F3"/>
    <w:rsid w:val="7EEB1471"/>
    <w:rsid w:val="7EFB3AA2"/>
    <w:rsid w:val="7F083939"/>
    <w:rsid w:val="7F10538E"/>
    <w:rsid w:val="7F1E221E"/>
    <w:rsid w:val="7F361298"/>
    <w:rsid w:val="7F5161DC"/>
    <w:rsid w:val="7FA21D87"/>
    <w:rsid w:val="7FAA66A3"/>
    <w:rsid w:val="7FBB6096"/>
    <w:rsid w:val="7FCA0976"/>
    <w:rsid w:val="7FEC2773"/>
    <w:rsid w:val="7FFA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paragraph" w:styleId="5">
    <w:name w:val="heading 2"/>
    <w:basedOn w:val="1"/>
    <w:next w:val="1"/>
    <w:link w:val="46"/>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oc 7"/>
    <w:basedOn w:val="1"/>
    <w:next w:val="1"/>
    <w:qFormat/>
    <w:uiPriority w:val="0"/>
    <w:pPr>
      <w:ind w:left="2520" w:leftChars="1200"/>
    </w:pPr>
  </w:style>
  <w:style w:type="paragraph" w:styleId="10">
    <w:name w:val="table of authorities"/>
    <w:basedOn w:val="1"/>
    <w:next w:val="1"/>
    <w:qFormat/>
    <w:uiPriority w:val="0"/>
    <w:pPr>
      <w:ind w:left="420" w:leftChars="200"/>
    </w:pPr>
  </w:style>
  <w:style w:type="paragraph" w:styleId="11">
    <w:name w:val="Normal Indent"/>
    <w:basedOn w:val="1"/>
    <w:next w:val="12"/>
    <w:link w:val="45"/>
    <w:qFormat/>
    <w:uiPriority w:val="0"/>
    <w:pPr>
      <w:ind w:firstLine="420"/>
    </w:pPr>
    <w:rPr>
      <w:szCs w:val="20"/>
    </w:rPr>
  </w:style>
  <w:style w:type="paragraph" w:styleId="12">
    <w:name w:val="toc 4"/>
    <w:basedOn w:val="1"/>
    <w:next w:val="1"/>
    <w:qFormat/>
    <w:uiPriority w:val="0"/>
    <w:pPr>
      <w:ind w:left="1260" w:leftChars="600"/>
    </w:pPr>
  </w:style>
  <w:style w:type="paragraph" w:styleId="13">
    <w:name w:val="Salutation"/>
    <w:basedOn w:val="1"/>
    <w:next w:val="1"/>
    <w:qFormat/>
    <w:uiPriority w:val="0"/>
    <w:rPr>
      <w:sz w:val="24"/>
      <w:szCs w:val="20"/>
    </w:rPr>
  </w:style>
  <w:style w:type="paragraph" w:styleId="14">
    <w:name w:val="Body Text"/>
    <w:basedOn w:val="1"/>
    <w:next w:val="1"/>
    <w:qFormat/>
    <w:uiPriority w:val="0"/>
    <w:pPr>
      <w:spacing w:after="120"/>
    </w:pPr>
    <w:rPr>
      <w:kern w:val="0"/>
      <w:sz w:val="20"/>
    </w:rPr>
  </w:style>
  <w:style w:type="paragraph" w:styleId="15">
    <w:name w:val="toc 3"/>
    <w:basedOn w:val="1"/>
    <w:next w:val="1"/>
    <w:qFormat/>
    <w:uiPriority w:val="39"/>
    <w:pPr>
      <w:ind w:left="840" w:leftChars="400"/>
    </w:pPr>
  </w:style>
  <w:style w:type="paragraph" w:styleId="16">
    <w:name w:val="Plain Text"/>
    <w:basedOn w:val="1"/>
    <w:link w:val="41"/>
    <w:qFormat/>
    <w:uiPriority w:val="0"/>
    <w:rPr>
      <w:rFonts w:ascii="宋体" w:hAnsi="宋体"/>
      <w:szCs w:val="21"/>
    </w:rPr>
  </w:style>
  <w:style w:type="paragraph" w:styleId="17">
    <w:name w:val="Date"/>
    <w:basedOn w:val="1"/>
    <w:next w:val="1"/>
    <w:qFormat/>
    <w:uiPriority w:val="0"/>
    <w:pPr>
      <w:autoSpaceDE w:val="0"/>
      <w:autoSpaceDN w:val="0"/>
      <w:adjustRightInd w:val="0"/>
    </w:pPr>
    <w:rPr>
      <w:rFonts w:ascii="Copperplate Gothic Bold" w:hAnsi="Copperplate Gothic Bold"/>
      <w:kern w:val="0"/>
      <w:sz w:val="32"/>
      <w:szCs w:val="32"/>
    </w:rPr>
  </w:style>
  <w:style w:type="paragraph" w:styleId="18">
    <w:name w:val="Body Text Indent 2"/>
    <w:basedOn w:val="1"/>
    <w:link w:val="58"/>
    <w:qFormat/>
    <w:uiPriority w:val="0"/>
    <w:pPr>
      <w:spacing w:after="120" w:line="480" w:lineRule="auto"/>
      <w:ind w:left="420" w:leftChars="200"/>
    </w:pPr>
  </w:style>
  <w:style w:type="paragraph" w:styleId="19">
    <w:name w:val="Balloon Text"/>
    <w:basedOn w:val="1"/>
    <w:link w:val="86"/>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0"/>
    <w:qFormat/>
    <w:uiPriority w:val="39"/>
  </w:style>
  <w:style w:type="paragraph" w:styleId="23">
    <w:name w:val="Body Text Indent 3"/>
    <w:basedOn w:val="1"/>
    <w:qFormat/>
    <w:uiPriority w:val="0"/>
    <w:pPr>
      <w:autoSpaceDE w:val="0"/>
      <w:autoSpaceDN w:val="0"/>
      <w:adjustRightInd w:val="0"/>
      <w:ind w:firstLine="570"/>
    </w:pPr>
    <w:rPr>
      <w:kern w:val="0"/>
      <w:sz w:val="32"/>
      <w:szCs w:val="32"/>
    </w:rPr>
  </w:style>
  <w:style w:type="paragraph" w:styleId="24">
    <w:name w:val="toc 2"/>
    <w:basedOn w:val="1"/>
    <w:next w:val="1"/>
    <w:qFormat/>
    <w:uiPriority w:val="39"/>
    <w:pPr>
      <w:ind w:left="420" w:leftChars="200"/>
    </w:pPr>
  </w:style>
  <w:style w:type="paragraph" w:styleId="25">
    <w:name w:val="Body Text 2"/>
    <w:basedOn w:val="1"/>
    <w:qFormat/>
    <w:uiPriority w:val="0"/>
    <w:rPr>
      <w:sz w:val="24"/>
      <w:szCs w:val="20"/>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7">
    <w:name w:val="Normal (Web)"/>
    <w:basedOn w:val="1"/>
    <w:qFormat/>
    <w:uiPriority w:val="0"/>
    <w:pPr>
      <w:widowControl/>
      <w:spacing w:before="100" w:beforeAutospacing="1" w:after="100" w:afterAutospacing="1"/>
      <w:jc w:val="left"/>
    </w:pPr>
    <w:rPr>
      <w:rFonts w:ascii="宋体" w:hAnsi="宋体" w:cs="宋体"/>
      <w:sz w:val="24"/>
    </w:rPr>
  </w:style>
  <w:style w:type="paragraph" w:styleId="28">
    <w:name w:val="Body Text First Indent"/>
    <w:basedOn w:val="14"/>
    <w:qFormat/>
    <w:uiPriority w:val="0"/>
    <w:pPr>
      <w:ind w:firstLine="420" w:firstLineChars="100"/>
    </w:pPr>
    <w:rPr>
      <w:rFonts w:ascii="Calibri" w:hAnsi="Calibri"/>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3D3D3D"/>
      <w:u w:val="none"/>
    </w:rPr>
  </w:style>
  <w:style w:type="character" w:styleId="35">
    <w:name w:val="Emphasis"/>
    <w:qFormat/>
    <w:uiPriority w:val="0"/>
    <w:rPr>
      <w:i/>
      <w:iCs/>
    </w:rPr>
  </w:style>
  <w:style w:type="character" w:styleId="36">
    <w:name w:val="Hyperlink"/>
    <w:qFormat/>
    <w:uiPriority w:val="99"/>
    <w:rPr>
      <w:color w:val="3D3D3D"/>
      <w:u w:val="none"/>
    </w:rPr>
  </w:style>
  <w:style w:type="character" w:customStyle="1" w:styleId="37">
    <w:name w:val="font21"/>
    <w:qFormat/>
    <w:uiPriority w:val="0"/>
    <w:rPr>
      <w:rFonts w:hint="eastAsia" w:ascii="宋体" w:hAnsi="宋体" w:eastAsia="宋体" w:cs="宋体"/>
      <w:color w:val="000000"/>
      <w:sz w:val="28"/>
      <w:szCs w:val="28"/>
      <w:u w:val="none"/>
    </w:rPr>
  </w:style>
  <w:style w:type="character" w:customStyle="1" w:styleId="38">
    <w:name w:val="r-text"/>
    <w:qFormat/>
    <w:uiPriority w:val="0"/>
    <w:rPr>
      <w:color w:val="00349B"/>
    </w:rPr>
  </w:style>
  <w:style w:type="character" w:customStyle="1" w:styleId="39">
    <w:name w:val="列出段落 Char"/>
    <w:link w:val="40"/>
    <w:qFormat/>
    <w:uiPriority w:val="0"/>
    <w:rPr>
      <w:rFonts w:eastAsia="宋体"/>
      <w:kern w:val="2"/>
      <w:sz w:val="21"/>
      <w:szCs w:val="24"/>
      <w:lang w:bidi="ar-SA"/>
    </w:rPr>
  </w:style>
  <w:style w:type="paragraph" w:customStyle="1" w:styleId="40">
    <w:name w:val="列出段落1"/>
    <w:basedOn w:val="1"/>
    <w:link w:val="39"/>
    <w:qFormat/>
    <w:uiPriority w:val="0"/>
    <w:pPr>
      <w:ind w:firstLine="420" w:firstLineChars="200"/>
    </w:pPr>
  </w:style>
  <w:style w:type="character" w:customStyle="1" w:styleId="41">
    <w:name w:val="纯文本 Char"/>
    <w:link w:val="16"/>
    <w:qFormat/>
    <w:locked/>
    <w:uiPriority w:val="0"/>
    <w:rPr>
      <w:rFonts w:ascii="宋体" w:hAnsi="宋体"/>
      <w:kern w:val="2"/>
      <w:sz w:val="21"/>
      <w:szCs w:val="21"/>
    </w:rPr>
  </w:style>
  <w:style w:type="character" w:customStyle="1" w:styleId="42">
    <w:name w:val="stclosebtn"/>
    <w:basedOn w:val="31"/>
    <w:qFormat/>
    <w:uiPriority w:val="0"/>
  </w:style>
  <w:style w:type="character" w:customStyle="1" w:styleId="43">
    <w:name w:val="页脚 Char"/>
    <w:link w:val="20"/>
    <w:unhideWhenUsed/>
    <w:qFormat/>
    <w:locked/>
    <w:uiPriority w:val="0"/>
    <w:rPr>
      <w:rFonts w:eastAsia="宋体"/>
      <w:kern w:val="2"/>
      <w:sz w:val="18"/>
      <w:szCs w:val="24"/>
      <w:lang w:val="en-US" w:eastAsia="zh-CN" w:bidi="ar-SA"/>
    </w:rPr>
  </w:style>
  <w:style w:type="character" w:customStyle="1" w:styleId="44">
    <w:name w:val="beforeinfotext"/>
    <w:qFormat/>
    <w:uiPriority w:val="0"/>
    <w:rPr>
      <w:color w:val="666666"/>
    </w:rPr>
  </w:style>
  <w:style w:type="character" w:customStyle="1" w:styleId="45">
    <w:name w:val="正文缩进 Char"/>
    <w:link w:val="11"/>
    <w:qFormat/>
    <w:uiPriority w:val="0"/>
    <w:rPr>
      <w:kern w:val="2"/>
      <w:sz w:val="21"/>
    </w:rPr>
  </w:style>
  <w:style w:type="character" w:customStyle="1" w:styleId="46">
    <w:name w:val="标题 2 Char"/>
    <w:link w:val="5"/>
    <w:semiHidden/>
    <w:qFormat/>
    <w:uiPriority w:val="0"/>
    <w:rPr>
      <w:rFonts w:ascii="Cambria" w:hAnsi="Cambria" w:eastAsia="宋体" w:cs="Times New Roman"/>
      <w:b/>
      <w:bCs/>
      <w:kern w:val="2"/>
      <w:sz w:val="32"/>
      <w:szCs w:val="32"/>
    </w:rPr>
  </w:style>
  <w:style w:type="character" w:customStyle="1" w:styleId="47">
    <w:name w:val="number"/>
    <w:qFormat/>
    <w:uiPriority w:val="0"/>
    <w:rPr>
      <w:color w:val="FF8833"/>
      <w:sz w:val="18"/>
      <w:szCs w:val="18"/>
    </w:rPr>
  </w:style>
  <w:style w:type="character" w:customStyle="1" w:styleId="48">
    <w:name w:val="phone"/>
    <w:qFormat/>
    <w:uiPriority w:val="0"/>
    <w:rPr>
      <w:color w:val="FF8833"/>
      <w:sz w:val="18"/>
      <w:szCs w:val="18"/>
    </w:rPr>
  </w:style>
  <w:style w:type="character" w:customStyle="1" w:styleId="49">
    <w:name w:val="content1"/>
    <w:qFormat/>
    <w:uiPriority w:val="0"/>
    <w:rPr>
      <w:sz w:val="21"/>
      <w:szCs w:val="21"/>
    </w:rPr>
  </w:style>
  <w:style w:type="character" w:customStyle="1" w:styleId="50">
    <w:name w:val="font11"/>
    <w:qFormat/>
    <w:uiPriority w:val="0"/>
    <w:rPr>
      <w:rFonts w:hint="eastAsia" w:ascii="宋体" w:hAnsi="宋体" w:eastAsia="宋体" w:cs="宋体"/>
      <w:color w:val="000000"/>
      <w:sz w:val="28"/>
      <w:szCs w:val="28"/>
      <w:u w:val="none"/>
    </w:rPr>
  </w:style>
  <w:style w:type="character" w:customStyle="1" w:styleId="51">
    <w:name w:val="Char Char9"/>
    <w:qFormat/>
    <w:uiPriority w:val="0"/>
    <w:rPr>
      <w:rFonts w:eastAsia="宋体"/>
      <w:kern w:val="2"/>
      <w:sz w:val="18"/>
      <w:lang w:val="en-US" w:eastAsia="zh-CN"/>
    </w:rPr>
  </w:style>
  <w:style w:type="character" w:customStyle="1" w:styleId="52">
    <w:name w:val="r-time"/>
    <w:qFormat/>
    <w:uiPriority w:val="0"/>
    <w:rPr>
      <w:color w:val="B30000"/>
    </w:rPr>
  </w:style>
  <w:style w:type="character" w:customStyle="1" w:styleId="53">
    <w:name w:val="p0 Char"/>
    <w:link w:val="54"/>
    <w:qFormat/>
    <w:uiPriority w:val="0"/>
    <w:rPr>
      <w:sz w:val="21"/>
      <w:szCs w:val="21"/>
    </w:rPr>
  </w:style>
  <w:style w:type="paragraph" w:customStyle="1" w:styleId="54">
    <w:name w:val="p0"/>
    <w:basedOn w:val="1"/>
    <w:link w:val="53"/>
    <w:qFormat/>
    <w:uiPriority w:val="0"/>
    <w:pPr>
      <w:widowControl/>
    </w:pPr>
    <w:rPr>
      <w:kern w:val="0"/>
      <w:szCs w:val="21"/>
    </w:rPr>
  </w:style>
  <w:style w:type="character" w:customStyle="1" w:styleId="55">
    <w:name w:val="font31"/>
    <w:qFormat/>
    <w:uiPriority w:val="0"/>
    <w:rPr>
      <w:rFonts w:hint="eastAsia" w:ascii="宋体" w:hAnsi="宋体" w:eastAsia="宋体" w:cs="宋体"/>
      <w:color w:val="000000"/>
      <w:sz w:val="24"/>
      <w:szCs w:val="24"/>
      <w:u w:val="none"/>
    </w:rPr>
  </w:style>
  <w:style w:type="character" w:customStyle="1" w:styleId="56">
    <w:name w:val="Char Char3"/>
    <w:qFormat/>
    <w:uiPriority w:val="0"/>
    <w:rPr>
      <w:kern w:val="2"/>
      <w:sz w:val="21"/>
      <w:lang w:bidi="ar-SA"/>
    </w:rPr>
  </w:style>
  <w:style w:type="character" w:customStyle="1" w:styleId="57">
    <w:name w:val="proollist"/>
    <w:basedOn w:val="31"/>
    <w:qFormat/>
    <w:uiPriority w:val="0"/>
  </w:style>
  <w:style w:type="character" w:customStyle="1" w:styleId="58">
    <w:name w:val="正文文本缩进 2 Char"/>
    <w:link w:val="18"/>
    <w:qFormat/>
    <w:uiPriority w:val="0"/>
    <w:rPr>
      <w:kern w:val="2"/>
      <w:sz w:val="21"/>
      <w:szCs w:val="24"/>
    </w:rPr>
  </w:style>
  <w:style w:type="paragraph" w:customStyle="1" w:styleId="59">
    <w:name w:val="Char1"/>
    <w:basedOn w:val="1"/>
    <w:qFormat/>
    <w:uiPriority w:val="0"/>
    <w:rPr>
      <w:szCs w:val="21"/>
    </w:rPr>
  </w:style>
  <w:style w:type="paragraph" w:customStyle="1" w:styleId="60">
    <w:name w:val="title12"/>
    <w:basedOn w:val="1"/>
    <w:semiHidden/>
    <w:qFormat/>
    <w:uiPriority w:val="0"/>
    <w:pPr>
      <w:widowControl/>
      <w:spacing w:before="150" w:line="510" w:lineRule="atLeast"/>
      <w:jc w:val="left"/>
    </w:pPr>
    <w:rPr>
      <w:rFonts w:ascii="宋体" w:hAnsi="宋体" w:cs="宋体"/>
      <w:b/>
      <w:bCs/>
      <w:kern w:val="0"/>
      <w:sz w:val="23"/>
      <w:szCs w:val="23"/>
    </w:rPr>
  </w:style>
  <w:style w:type="paragraph" w:customStyle="1" w:styleId="6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2">
    <w:name w:val="一级条标题"/>
    <w:next w:val="63"/>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3">
    <w:name w:val="段"/>
    <w:qFormat/>
    <w:uiPriority w:val="0"/>
    <w:pPr>
      <w:autoSpaceDE w:val="0"/>
      <w:autoSpaceDN w:val="0"/>
      <w:ind w:firstLine="200" w:firstLineChars="200"/>
      <w:jc w:val="both"/>
    </w:pPr>
    <w:rPr>
      <w:rFonts w:ascii="宋体" w:hAnsi="宋体" w:eastAsia="宋体" w:cs="Calibri"/>
      <w:kern w:val="2"/>
      <w:sz w:val="21"/>
      <w:szCs w:val="22"/>
      <w:lang w:val="en-US" w:eastAsia="zh-CN" w:bidi="ar-SA"/>
    </w:rPr>
  </w:style>
  <w:style w:type="paragraph" w:customStyle="1" w:styleId="64">
    <w:name w:val="cr6"/>
    <w:basedOn w:val="65"/>
    <w:qFormat/>
    <w:uiPriority w:val="0"/>
    <w:pPr>
      <w:tabs>
        <w:tab w:val="left" w:pos="360"/>
        <w:tab w:val="left" w:pos="2268"/>
      </w:tabs>
      <w:ind w:left="284"/>
      <w:outlineLvl w:val="4"/>
    </w:pPr>
  </w:style>
  <w:style w:type="paragraph" w:customStyle="1" w:styleId="65">
    <w:name w:val="cr5"/>
    <w:basedOn w:val="8"/>
    <w:next w:val="64"/>
    <w:qFormat/>
    <w:uiPriority w:val="0"/>
    <w:pPr>
      <w:tabs>
        <w:tab w:val="left" w:pos="360"/>
        <w:tab w:val="left" w:pos="2268"/>
      </w:tabs>
      <w:spacing w:before="0" w:after="0" w:line="360" w:lineRule="auto"/>
      <w:outlineLvl w:val="3"/>
    </w:pPr>
    <w:rPr>
      <w:rFonts w:ascii="黑体" w:eastAsia="黑体"/>
      <w:sz w:val="24"/>
      <w:szCs w:val="24"/>
    </w:rPr>
  </w:style>
  <w:style w:type="paragraph" w:customStyle="1" w:styleId="66">
    <w:name w:val="Char11"/>
    <w:basedOn w:val="1"/>
    <w:qFormat/>
    <w:uiPriority w:val="0"/>
  </w:style>
  <w:style w:type="paragraph" w:customStyle="1" w:styleId="67">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文档正文"/>
    <w:basedOn w:val="1"/>
    <w:qFormat/>
    <w:uiPriority w:val="0"/>
    <w:pPr>
      <w:adjustRightInd w:val="0"/>
      <w:snapToGrid w:val="0"/>
      <w:spacing w:line="440" w:lineRule="exact"/>
      <w:ind w:firstLine="567"/>
      <w:textAlignment w:val="baseline"/>
    </w:pPr>
    <w:rPr>
      <w:rFonts w:ascii="Arial Narrow" w:hAnsi="Arial Narrow"/>
      <w:kern w:val="0"/>
      <w:sz w:val="24"/>
      <w:szCs w:val="20"/>
    </w:rPr>
  </w:style>
  <w:style w:type="paragraph" w:customStyle="1" w:styleId="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r3"/>
    <w:basedOn w:val="6"/>
    <w:next w:val="72"/>
    <w:qFormat/>
    <w:uiPriority w:val="0"/>
    <w:pPr>
      <w:spacing w:beforeLines="25" w:afterLines="25" w:line="360" w:lineRule="auto"/>
      <w:ind w:left="720"/>
      <w:outlineLvl w:val="1"/>
    </w:pPr>
    <w:rPr>
      <w:rFonts w:ascii="宋体" w:hAnsi="宋体"/>
    </w:rPr>
  </w:style>
  <w:style w:type="paragraph" w:customStyle="1" w:styleId="72">
    <w:name w:val="cr4"/>
    <w:basedOn w:val="7"/>
    <w:next w:val="65"/>
    <w:qFormat/>
    <w:uiPriority w:val="0"/>
    <w:pPr>
      <w:spacing w:beforeLines="25" w:afterLines="25" w:line="360" w:lineRule="auto"/>
      <w:ind w:left="568"/>
      <w:outlineLvl w:val="2"/>
    </w:pPr>
    <w:rPr>
      <w:rFonts w:ascii="黑体" w:hAnsi="宋体" w:eastAsia="黑体"/>
      <w:bCs w:val="0"/>
      <w:color w:val="000000"/>
      <w:kern w:val="0"/>
    </w:rPr>
  </w:style>
  <w:style w:type="paragraph" w:customStyle="1" w:styleId="73">
    <w:name w:val="样式 首行缩进:  2 字符"/>
    <w:basedOn w:val="1"/>
    <w:qFormat/>
    <w:uiPriority w:val="0"/>
    <w:pPr>
      <w:spacing w:line="400" w:lineRule="exact"/>
      <w:ind w:firstLine="200" w:firstLineChars="200"/>
    </w:pPr>
    <w:rPr>
      <w:rFonts w:cs="宋体"/>
      <w:sz w:val="24"/>
    </w:rPr>
  </w:style>
  <w:style w:type="paragraph" w:customStyle="1" w:styleId="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5">
    <w:name w:val="_Style 2"/>
    <w:basedOn w:val="1"/>
    <w:qFormat/>
    <w:uiPriority w:val="34"/>
    <w:pPr>
      <w:ind w:firstLine="420" w:firstLineChars="200"/>
    </w:pPr>
  </w:style>
  <w:style w:type="paragraph" w:customStyle="1" w:styleId="76">
    <w:name w:val="title11"/>
    <w:basedOn w:val="1"/>
    <w:qFormat/>
    <w:uiPriority w:val="0"/>
    <w:pPr>
      <w:spacing w:before="150"/>
      <w:jc w:val="left"/>
    </w:pPr>
    <w:rPr>
      <w:b/>
      <w:kern w:val="0"/>
      <w:sz w:val="22"/>
      <w:szCs w:val="22"/>
    </w:rPr>
  </w:style>
  <w:style w:type="paragraph" w:customStyle="1" w:styleId="77">
    <w:name w:val="二级条标题"/>
    <w:basedOn w:val="62"/>
    <w:next w:val="63"/>
    <w:qFormat/>
    <w:uiPriority w:val="99"/>
    <w:pPr>
      <w:spacing w:before="50" w:after="50"/>
      <w:outlineLvl w:val="3"/>
    </w:pPr>
  </w:style>
  <w:style w:type="paragraph" w:styleId="78">
    <w:name w:val="List Paragraph"/>
    <w:basedOn w:val="1"/>
    <w:qFormat/>
    <w:uiPriority w:val="34"/>
    <w:pPr>
      <w:ind w:firstLine="420" w:firstLineChars="200"/>
    </w:pPr>
  </w:style>
  <w:style w:type="paragraph" w:customStyle="1" w:styleId="79">
    <w:name w:val="Table Paragraph"/>
    <w:basedOn w:val="1"/>
    <w:qFormat/>
    <w:uiPriority w:val="0"/>
    <w:pPr>
      <w:autoSpaceDE w:val="0"/>
      <w:autoSpaceDN w:val="0"/>
      <w:adjustRightInd w:val="0"/>
      <w:jc w:val="left"/>
    </w:pPr>
    <w:rPr>
      <w:rFonts w:ascii="宋体" w:cs="宋体"/>
      <w:kern w:val="0"/>
      <w:sz w:val="24"/>
    </w:rPr>
  </w:style>
  <w:style w:type="paragraph" w:customStyle="1" w:styleId="80">
    <w:name w:val="Char Char Char"/>
    <w:basedOn w:val="1"/>
    <w:qFormat/>
    <w:uiPriority w:val="0"/>
    <w:rPr>
      <w:rFonts w:ascii="Tahoma" w:hAnsi="Tahoma"/>
      <w:sz w:val="24"/>
      <w:szCs w:val="20"/>
    </w:rPr>
  </w:style>
  <w:style w:type="paragraph" w:customStyle="1" w:styleId="81">
    <w:name w:val="RFI Heading 3rd Level"/>
    <w:basedOn w:val="1"/>
    <w:qFormat/>
    <w:uiPriority w:val="0"/>
    <w:pPr>
      <w:widowControl/>
      <w:tabs>
        <w:tab w:val="left" w:pos="720"/>
      </w:tabs>
      <w:ind w:left="720" w:hanging="720"/>
      <w:jc w:val="left"/>
    </w:pPr>
    <w:rPr>
      <w:rFonts w:ascii="Arial (W1)" w:hAnsi="Arial (W1)"/>
      <w:color w:val="000000"/>
      <w:kern w:val="0"/>
      <w:sz w:val="24"/>
      <w:lang w:val="en-GB" w:eastAsia="en-US"/>
    </w:rPr>
  </w:style>
  <w:style w:type="paragraph" w:customStyle="1" w:styleId="82">
    <w:name w:val="_Style 3"/>
    <w:basedOn w:val="1"/>
    <w:qFormat/>
    <w:uiPriority w:val="34"/>
    <w:pPr>
      <w:ind w:firstLine="420" w:firstLineChars="200"/>
    </w:pPr>
  </w:style>
  <w:style w:type="paragraph" w:customStyle="1" w:styleId="83">
    <w:name w:val="正文11"/>
    <w:basedOn w:val="1"/>
    <w:qFormat/>
    <w:uiPriority w:val="0"/>
    <w:pPr>
      <w:snapToGrid w:val="0"/>
      <w:spacing w:line="500" w:lineRule="atLeast"/>
      <w:ind w:firstLine="539"/>
    </w:pPr>
    <w:rPr>
      <w:rFonts w:ascii="宋体"/>
      <w:spacing w:val="14"/>
      <w:sz w:val="24"/>
      <w:szCs w:val="20"/>
    </w:rPr>
  </w:style>
  <w:style w:type="paragraph" w:customStyle="1" w:styleId="84">
    <w:name w:val="正文文本1"/>
    <w:basedOn w:val="1"/>
    <w:qFormat/>
    <w:uiPriority w:val="0"/>
    <w:pPr>
      <w:shd w:val="clear" w:color="auto" w:fill="FFFFFF"/>
      <w:spacing w:line="418" w:lineRule="auto"/>
      <w:ind w:firstLine="40"/>
    </w:pPr>
    <w:rPr>
      <w:rFonts w:ascii="MingLiU" w:hAnsi="MingLiU" w:eastAsia="MingLiU" w:cs="MingLiU"/>
    </w:rPr>
  </w:style>
  <w:style w:type="paragraph" w:customStyle="1" w:styleId="85">
    <w:name w:val="TOC Heading"/>
    <w:basedOn w:val="4"/>
    <w:next w:val="1"/>
    <w:semiHidden/>
    <w:unhideWhenUsed/>
    <w:qFormat/>
    <w:uiPriority w:val="39"/>
    <w:pPr>
      <w:keepLines/>
      <w:widowControl/>
      <w:autoSpaceDE/>
      <w:autoSpaceDN/>
      <w:adjustRightInd/>
      <w:spacing w:before="480" w:line="276" w:lineRule="auto"/>
      <w:jc w:val="left"/>
      <w:outlineLvl w:val="9"/>
    </w:pPr>
    <w:rPr>
      <w:rFonts w:ascii="Cambria" w:hAnsi="Cambria" w:eastAsia="宋体"/>
      <w:b/>
      <w:bCs/>
      <w:color w:val="365F91"/>
    </w:rPr>
  </w:style>
  <w:style w:type="character" w:customStyle="1" w:styleId="86">
    <w:name w:val="批注框文本 Char"/>
    <w:link w:val="19"/>
    <w:qFormat/>
    <w:uiPriority w:val="0"/>
    <w:rPr>
      <w:kern w:val="2"/>
      <w:sz w:val="18"/>
      <w:szCs w:val="18"/>
    </w:rPr>
  </w:style>
  <w:style w:type="character" w:customStyle="1" w:styleId="87">
    <w:name w:val="NormalCharacter"/>
    <w:semiHidden/>
    <w:qFormat/>
    <w:uiPriority w:val="0"/>
  </w:style>
  <w:style w:type="paragraph" w:customStyle="1" w:styleId="88">
    <w:name w:val="UserStyle_58"/>
    <w:basedOn w:val="1"/>
    <w:qFormat/>
    <w:uiPriority w:val="0"/>
    <w:pPr>
      <w:widowControl/>
    </w:pPr>
    <w:rPr>
      <w:sz w:val="24"/>
      <w:szCs w:val="21"/>
    </w:rPr>
  </w:style>
  <w:style w:type="character" w:customStyle="1" w:styleId="89">
    <w:name w:val="UserStyle_33"/>
    <w:link w:val="90"/>
    <w:qFormat/>
    <w:locked/>
    <w:uiPriority w:val="0"/>
    <w:rPr>
      <w:sz w:val="21"/>
      <w:szCs w:val="21"/>
    </w:rPr>
  </w:style>
  <w:style w:type="paragraph" w:customStyle="1" w:styleId="90">
    <w:name w:val="BodyText"/>
    <w:basedOn w:val="1"/>
    <w:link w:val="89"/>
    <w:qFormat/>
    <w:uiPriority w:val="0"/>
    <w:pPr>
      <w:widowControl/>
      <w:jc w:val="left"/>
    </w:pPr>
    <w:rPr>
      <w:kern w:val="0"/>
      <w:szCs w:val="21"/>
    </w:rPr>
  </w:style>
  <w:style w:type="paragraph" w:customStyle="1" w:styleId="91">
    <w:name w:val="TOC1"/>
    <w:basedOn w:val="1"/>
    <w:next w:val="1"/>
    <w:qFormat/>
    <w:uiPriority w:val="0"/>
    <w:pPr>
      <w:textAlignment w:val="baseline"/>
    </w:pPr>
  </w:style>
  <w:style w:type="paragraph" w:customStyle="1" w:styleId="92">
    <w:name w:val="Char12"/>
    <w:basedOn w:val="1"/>
    <w:qFormat/>
    <w:uiPriority w:val="0"/>
  </w:style>
  <w:style w:type="paragraph" w:customStyle="1" w:styleId="9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4">
    <w:name w:val="1正文"/>
    <w:basedOn w:val="27"/>
    <w:qFormat/>
    <w:uiPriority w:val="99"/>
    <w:pPr>
      <w:spacing w:beforeAutospacing="0" w:afterAutospacing="0" w:line="360" w:lineRule="auto"/>
      <w:ind w:firstLine="960" w:firstLineChars="200"/>
      <w:jc w:val="both"/>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20F3-88EB-453B-9217-C8E35DA5A553}">
  <ds:schemaRefs/>
</ds:datastoreItem>
</file>

<file path=docProps/app.xml><?xml version="1.0" encoding="utf-8"?>
<Properties xmlns="http://schemas.openxmlformats.org/officeDocument/2006/extended-properties" xmlns:vt="http://schemas.openxmlformats.org/officeDocument/2006/docPropsVTypes">
  <Template>Normal</Template>
  <Pages>76</Pages>
  <Words>33023</Words>
  <Characters>35287</Characters>
  <Lines>285</Lines>
  <Paragraphs>80</Paragraphs>
  <TotalTime>38</TotalTime>
  <ScaleCrop>false</ScaleCrop>
  <LinksUpToDate>false</LinksUpToDate>
  <CharactersWithSpaces>37780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2021-02-24T04:13:00Z</dcterms:created>
  <dc:creator>Administrator</dc:creator>
  <cp:lastModifiedBy>鲁清</cp:lastModifiedBy>
  <cp:lastPrinted>2022-07-06T08:59:00Z</cp:lastPrinted>
  <dcterms:modified xsi:type="dcterms:W3CDTF">2022-07-15T06:51:15Z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7AE509B656F0417BB684853E6FB6317C</vt:lpwstr>
  </property>
</Properties>
</file>