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3"/>
        <w:tabs>
          <w:tab w:val="left" w:pos="6154"/>
        </w:tabs>
        <w:kinsoku w:val="0"/>
        <w:overflowPunct w:val="0"/>
        <w:spacing w:after="0" w:line="360" w:lineRule="auto"/>
        <w:jc w:val="right"/>
        <w:rPr>
          <w:rFonts w:hint="eastAsia" w:ascii="宋体" w:hAnsi="宋体" w:eastAsia="宋体" w:cs="宋体"/>
          <w:b/>
          <w:color w:val="auto"/>
          <w:sz w:val="56"/>
          <w:szCs w:val="28"/>
          <w:lang w:eastAsia="zh-CN"/>
        </w:rPr>
      </w:pPr>
      <w:r>
        <w:rPr>
          <w:rFonts w:hint="eastAsia" w:ascii="宋体" w:hAnsi="宋体" w:eastAsia="宋体" w:cs="宋体"/>
          <w:color w:val="auto"/>
          <w:sz w:val="20"/>
          <w:szCs w:val="24"/>
        </w:rPr>
        <w:drawing>
          <wp:anchor distT="0" distB="0" distL="114300" distR="114300" simplePos="0" relativeHeight="251667456" behindDoc="0" locked="0" layoutInCell="1" allowOverlap="1">
            <wp:simplePos x="0" y="0"/>
            <wp:positionH relativeFrom="column">
              <wp:posOffset>95885</wp:posOffset>
            </wp:positionH>
            <wp:positionV relativeFrom="paragraph">
              <wp:posOffset>-132080</wp:posOffset>
            </wp:positionV>
            <wp:extent cx="1337310" cy="869950"/>
            <wp:effectExtent l="0" t="0" r="15240" b="6350"/>
            <wp:wrapSquare wrapText="bothSides"/>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pic:cNvPicPr>
                  </pic:nvPicPr>
                  <pic:blipFill>
                    <a:blip r:embed="rId34"/>
                    <a:stretch>
                      <a:fillRect/>
                    </a:stretch>
                  </pic:blipFill>
                  <pic:spPr>
                    <a:xfrm>
                      <a:off x="0" y="0"/>
                      <a:ext cx="1337310" cy="869950"/>
                    </a:xfrm>
                    <a:prstGeom prst="rect">
                      <a:avLst/>
                    </a:prstGeom>
                    <a:noFill/>
                    <a:ln>
                      <a:noFill/>
                    </a:ln>
                  </pic:spPr>
                </pic:pic>
              </a:graphicData>
            </a:graphic>
          </wp:anchor>
        </w:drawing>
      </w:r>
      <w:r>
        <w:rPr>
          <w:rFonts w:hint="eastAsia" w:ascii="宋体" w:hAnsi="宋体" w:eastAsia="宋体" w:cs="宋体"/>
          <w:b/>
          <w:color w:val="auto"/>
          <w:sz w:val="44"/>
          <w:szCs w:val="21"/>
          <w:shd w:val="clear" w:color="FFFFFF" w:fill="D9D9D9"/>
          <w:lang w:eastAsia="zh-CN"/>
        </w:rPr>
        <w:t>政府采购</w:t>
      </w:r>
    </w:p>
    <w:p>
      <w:pPr>
        <w:pStyle w:val="13"/>
        <w:tabs>
          <w:tab w:val="left" w:pos="6154"/>
        </w:tabs>
        <w:kinsoku w:val="0"/>
        <w:overflowPunct w:val="0"/>
        <w:spacing w:after="0" w:line="240" w:lineRule="auto"/>
        <w:jc w:val="center"/>
        <w:rPr>
          <w:rFonts w:hint="eastAsia" w:ascii="宋体" w:hAnsi="宋体" w:eastAsia="宋体" w:cs="宋体"/>
          <w:b/>
          <w:color w:val="auto"/>
          <w:w w:val="95"/>
          <w:sz w:val="72"/>
          <w:szCs w:val="32"/>
          <w:lang w:eastAsia="zh-CN"/>
        </w:rPr>
      </w:pPr>
    </w:p>
    <w:p>
      <w:pPr>
        <w:pStyle w:val="13"/>
        <w:tabs>
          <w:tab w:val="left" w:pos="6154"/>
        </w:tabs>
        <w:kinsoku w:val="0"/>
        <w:overflowPunct w:val="0"/>
        <w:spacing w:after="0" w:line="360" w:lineRule="auto"/>
        <w:jc w:val="left"/>
        <w:rPr>
          <w:rFonts w:hint="eastAsia" w:ascii="宋体" w:hAnsi="宋体" w:eastAsia="宋体" w:cs="宋体"/>
          <w:b/>
          <w:color w:val="auto"/>
          <w:w w:val="95"/>
          <w:sz w:val="28"/>
          <w:szCs w:val="15"/>
          <w:lang w:eastAsia="zh-CN"/>
        </w:rPr>
      </w:pPr>
    </w:p>
    <w:p>
      <w:pPr>
        <w:pStyle w:val="13"/>
        <w:keepNext w:val="0"/>
        <w:keepLines w:val="0"/>
        <w:pageBreakBefore w:val="0"/>
        <w:widowControl w:val="0"/>
        <w:tabs>
          <w:tab w:val="left" w:pos="6154"/>
        </w:tabs>
        <w:kinsoku w:val="0"/>
        <w:wordWrap/>
        <w:overflowPunct w:val="0"/>
        <w:topLinePunct w:val="0"/>
        <w:autoSpaceDE/>
        <w:autoSpaceDN/>
        <w:bidi w:val="0"/>
        <w:adjustRightInd/>
        <w:snapToGrid/>
        <w:spacing w:after="0" w:line="1000" w:lineRule="exact"/>
        <w:jc w:val="center"/>
        <w:textAlignment w:val="auto"/>
        <w:rPr>
          <w:rFonts w:hint="eastAsia" w:ascii="宋体" w:hAnsi="宋体" w:eastAsia="宋体" w:cs="宋体"/>
          <w:b/>
          <w:color w:val="auto"/>
          <w:sz w:val="48"/>
          <w:szCs w:val="22"/>
        </w:rPr>
      </w:pPr>
      <w:r>
        <w:rPr>
          <w:rFonts w:hint="eastAsia" w:ascii="宋体" w:hAnsi="宋体" w:cs="宋体"/>
          <w:b/>
          <w:color w:val="auto"/>
          <w:sz w:val="52"/>
          <w:szCs w:val="24"/>
          <w:lang w:val="en-US" w:eastAsia="zh-CN"/>
        </w:rPr>
        <w:t>汉中市南郑区“四改一拆一通一落地”-汉山街道办高庄村背街小巷硬化工程</w:t>
      </w:r>
    </w:p>
    <w:p>
      <w:pPr>
        <w:pStyle w:val="13"/>
        <w:tabs>
          <w:tab w:val="left" w:pos="6154"/>
        </w:tabs>
        <w:kinsoku w:val="0"/>
        <w:overflowPunct w:val="0"/>
        <w:spacing w:after="0" w:line="360" w:lineRule="auto"/>
        <w:jc w:val="center"/>
        <w:rPr>
          <w:rFonts w:hint="eastAsia" w:ascii="宋体" w:hAnsi="宋体" w:eastAsia="宋体" w:cs="宋体"/>
          <w:b/>
          <w:color w:val="auto"/>
          <w:sz w:val="40"/>
          <w:szCs w:val="20"/>
        </w:rPr>
      </w:pPr>
    </w:p>
    <w:p>
      <w:pPr>
        <w:pStyle w:val="13"/>
        <w:tabs>
          <w:tab w:val="left" w:pos="6154"/>
        </w:tabs>
        <w:kinsoku w:val="0"/>
        <w:overflowPunct w:val="0"/>
        <w:spacing w:after="0" w:line="360" w:lineRule="auto"/>
        <w:jc w:val="center"/>
        <w:rPr>
          <w:rFonts w:hint="eastAsia" w:ascii="宋体" w:hAnsi="宋体" w:eastAsia="宋体" w:cs="宋体"/>
          <w:b/>
          <w:color w:val="auto"/>
          <w:sz w:val="40"/>
          <w:szCs w:val="20"/>
        </w:rPr>
      </w:pPr>
    </w:p>
    <w:p>
      <w:pPr>
        <w:pStyle w:val="13"/>
        <w:tabs>
          <w:tab w:val="left" w:pos="6154"/>
        </w:tabs>
        <w:kinsoku w:val="0"/>
        <w:overflowPunct w:val="0"/>
        <w:spacing w:after="0" w:line="360" w:lineRule="auto"/>
        <w:jc w:val="center"/>
        <w:rPr>
          <w:rFonts w:hint="eastAsia" w:ascii="宋体" w:hAnsi="宋体" w:eastAsia="宋体" w:cs="宋体"/>
          <w:b/>
          <w:color w:val="auto"/>
          <w:sz w:val="52"/>
          <w:szCs w:val="24"/>
        </w:rPr>
      </w:pPr>
      <w:r>
        <w:rPr>
          <w:rFonts w:hint="eastAsia" w:ascii="宋体" w:hAnsi="宋体" w:eastAsia="宋体" w:cs="宋体"/>
          <w:b/>
          <w:color w:val="auto"/>
          <w:sz w:val="56"/>
          <w:szCs w:val="28"/>
        </w:rPr>
        <w:t>竞争性磋商文件</w:t>
      </w:r>
    </w:p>
    <w:p>
      <w:pPr>
        <w:pStyle w:val="13"/>
        <w:rPr>
          <w:rFonts w:hint="eastAsia" w:ascii="宋体" w:hAnsi="宋体" w:eastAsia="宋体" w:cs="宋体"/>
        </w:rPr>
      </w:pPr>
    </w:p>
    <w:p>
      <w:pPr>
        <w:pStyle w:val="13"/>
        <w:tabs>
          <w:tab w:val="left" w:pos="6154"/>
        </w:tabs>
        <w:kinsoku w:val="0"/>
        <w:overflowPunct w:val="0"/>
        <w:spacing w:after="0" w:line="360" w:lineRule="auto"/>
        <w:jc w:val="center"/>
        <w:rPr>
          <w:rFonts w:hint="eastAsia" w:ascii="宋体" w:hAnsi="宋体" w:eastAsia="宋体" w:cs="宋体"/>
          <w:b/>
          <w:color w:val="auto"/>
          <w:sz w:val="21"/>
          <w:szCs w:val="20"/>
        </w:rPr>
      </w:pPr>
    </w:p>
    <w:p>
      <w:pPr>
        <w:pStyle w:val="13"/>
        <w:tabs>
          <w:tab w:val="left" w:pos="6154"/>
        </w:tabs>
        <w:kinsoku w:val="0"/>
        <w:overflowPunct w:val="0"/>
        <w:spacing w:after="0" w:line="360" w:lineRule="auto"/>
        <w:jc w:val="center"/>
        <w:rPr>
          <w:rFonts w:hint="eastAsia" w:ascii="宋体" w:hAnsi="宋体" w:eastAsia="宋体" w:cs="宋体"/>
          <w:b/>
          <w:color w:val="auto"/>
          <w:sz w:val="32"/>
          <w:szCs w:val="28"/>
        </w:rPr>
      </w:pPr>
      <w:r>
        <w:rPr>
          <w:rFonts w:hint="eastAsia" w:ascii="宋体" w:hAnsi="宋体" w:eastAsia="宋体" w:cs="宋体"/>
          <w:b/>
          <w:color w:val="auto"/>
          <w:sz w:val="32"/>
          <w:szCs w:val="28"/>
        </w:rPr>
        <w:t>（采购项目编号：</w:t>
      </w:r>
      <w:r>
        <w:rPr>
          <w:rFonts w:hint="eastAsia" w:ascii="宋体" w:hAnsi="宋体" w:cs="宋体"/>
          <w:b/>
          <w:color w:val="auto"/>
          <w:sz w:val="32"/>
          <w:szCs w:val="28"/>
          <w:lang w:val="en-US" w:eastAsia="zh-CN"/>
        </w:rPr>
        <w:t>HXGC-HWD-南郑区-2022-0705</w:t>
      </w:r>
      <w:r>
        <w:rPr>
          <w:rFonts w:hint="eastAsia" w:ascii="宋体" w:hAnsi="宋体" w:eastAsia="宋体" w:cs="宋体"/>
          <w:b/>
          <w:color w:val="auto"/>
          <w:sz w:val="32"/>
          <w:szCs w:val="28"/>
        </w:rPr>
        <w:t>）</w:t>
      </w:r>
    </w:p>
    <w:p>
      <w:pPr>
        <w:pStyle w:val="13"/>
        <w:tabs>
          <w:tab w:val="left" w:pos="6154"/>
        </w:tabs>
        <w:kinsoku w:val="0"/>
        <w:overflowPunct w:val="0"/>
        <w:spacing w:after="0" w:line="360" w:lineRule="auto"/>
        <w:jc w:val="both"/>
        <w:rPr>
          <w:rFonts w:hint="eastAsia" w:ascii="宋体" w:hAnsi="宋体" w:eastAsia="宋体" w:cs="宋体"/>
          <w:b/>
          <w:color w:val="auto"/>
          <w:sz w:val="24"/>
          <w:szCs w:val="21"/>
        </w:rPr>
      </w:pPr>
    </w:p>
    <w:p>
      <w:pPr>
        <w:pStyle w:val="13"/>
        <w:rPr>
          <w:rFonts w:hint="eastAsia" w:ascii="宋体" w:hAnsi="宋体" w:eastAsia="宋体" w:cs="宋体"/>
        </w:rPr>
      </w:pPr>
    </w:p>
    <w:p>
      <w:pPr>
        <w:pStyle w:val="13"/>
        <w:tabs>
          <w:tab w:val="left" w:pos="6154"/>
        </w:tabs>
        <w:kinsoku w:val="0"/>
        <w:overflowPunct w:val="0"/>
        <w:spacing w:after="0" w:line="360" w:lineRule="auto"/>
        <w:ind w:firstLine="317" w:firstLineChars="100"/>
        <w:jc w:val="both"/>
        <w:rPr>
          <w:rFonts w:hint="eastAsia" w:ascii="宋体" w:hAnsi="宋体" w:eastAsia="宋体" w:cs="宋体"/>
          <w:b/>
          <w:color w:val="auto"/>
          <w:w w:val="88"/>
          <w:sz w:val="36"/>
          <w:szCs w:val="28"/>
        </w:rPr>
      </w:pPr>
    </w:p>
    <w:p>
      <w:pPr>
        <w:pStyle w:val="13"/>
        <w:tabs>
          <w:tab w:val="left" w:pos="6154"/>
        </w:tabs>
        <w:kinsoku w:val="0"/>
        <w:overflowPunct w:val="0"/>
        <w:spacing w:after="0" w:line="360" w:lineRule="auto"/>
        <w:ind w:firstLine="361" w:firstLineChars="100"/>
        <w:jc w:val="both"/>
        <w:rPr>
          <w:rFonts w:hint="eastAsia" w:ascii="宋体" w:hAnsi="宋体" w:eastAsia="宋体" w:cs="宋体"/>
          <w:b/>
          <w:color w:val="auto"/>
          <w:w w:val="85"/>
          <w:sz w:val="36"/>
          <w:szCs w:val="28"/>
          <w:u w:val="none"/>
          <w:lang w:eastAsia="zh-CN"/>
        </w:rPr>
      </w:pPr>
      <w:r>
        <w:rPr>
          <w:rFonts w:hint="eastAsia" w:ascii="宋体" w:hAnsi="宋体" w:eastAsia="宋体" w:cs="宋体"/>
          <w:b/>
          <w:color w:val="auto"/>
          <w:w w:val="100"/>
          <w:sz w:val="36"/>
          <w:szCs w:val="28"/>
        </w:rPr>
        <w:t>采</w:t>
      </w:r>
      <w:r>
        <w:rPr>
          <w:rFonts w:hint="eastAsia" w:ascii="宋体" w:hAnsi="宋体" w:cs="宋体"/>
          <w:b/>
          <w:color w:val="auto"/>
          <w:w w:val="100"/>
          <w:sz w:val="36"/>
          <w:szCs w:val="28"/>
          <w:lang w:val="en-US" w:eastAsia="zh-CN"/>
        </w:rPr>
        <w:t xml:space="preserve">  </w:t>
      </w:r>
      <w:r>
        <w:rPr>
          <w:rFonts w:hint="eastAsia" w:ascii="宋体" w:hAnsi="宋体" w:eastAsia="宋体" w:cs="宋体"/>
          <w:b/>
          <w:color w:val="auto"/>
          <w:w w:val="100"/>
          <w:sz w:val="36"/>
          <w:szCs w:val="28"/>
        </w:rPr>
        <w:t>购</w:t>
      </w:r>
      <w:r>
        <w:rPr>
          <w:rFonts w:hint="eastAsia" w:ascii="宋体" w:hAnsi="宋体" w:cs="宋体"/>
          <w:b/>
          <w:color w:val="auto"/>
          <w:w w:val="100"/>
          <w:sz w:val="36"/>
          <w:szCs w:val="28"/>
          <w:lang w:val="en-US" w:eastAsia="zh-CN"/>
        </w:rPr>
        <w:t xml:space="preserve">  </w:t>
      </w:r>
      <w:r>
        <w:rPr>
          <w:rFonts w:hint="eastAsia" w:ascii="宋体" w:hAnsi="宋体" w:eastAsia="宋体" w:cs="宋体"/>
          <w:b/>
          <w:color w:val="auto"/>
          <w:w w:val="100"/>
          <w:sz w:val="36"/>
          <w:szCs w:val="28"/>
        </w:rPr>
        <w:t>人：</w:t>
      </w:r>
      <w:r>
        <w:rPr>
          <w:rFonts w:hint="eastAsia" w:ascii="宋体" w:hAnsi="宋体" w:cs="宋体"/>
          <w:b/>
          <w:color w:val="auto"/>
          <w:w w:val="100"/>
          <w:sz w:val="36"/>
          <w:szCs w:val="28"/>
          <w:u w:val="single"/>
          <w:lang w:eastAsia="zh-CN"/>
        </w:rPr>
        <w:t>汉中市南郑区汉山街道办事处</w:t>
      </w:r>
      <w:r>
        <w:rPr>
          <w:rFonts w:hint="eastAsia" w:ascii="宋体" w:hAnsi="宋体" w:eastAsia="宋体" w:cs="宋体"/>
          <w:b/>
          <w:color w:val="auto"/>
          <w:w w:val="100"/>
          <w:sz w:val="36"/>
          <w:szCs w:val="28"/>
          <w:u w:val="none"/>
          <w:lang w:eastAsia="zh-CN"/>
        </w:rPr>
        <w:t>（盖章）</w:t>
      </w:r>
    </w:p>
    <w:p>
      <w:pPr>
        <w:pStyle w:val="13"/>
        <w:tabs>
          <w:tab w:val="left" w:pos="6154"/>
        </w:tabs>
        <w:kinsoku w:val="0"/>
        <w:overflowPunct w:val="0"/>
        <w:spacing w:after="0" w:line="360" w:lineRule="auto"/>
        <w:jc w:val="both"/>
        <w:rPr>
          <w:rFonts w:hint="eastAsia" w:ascii="宋体" w:hAnsi="宋体" w:eastAsia="宋体" w:cs="宋体"/>
          <w:b/>
          <w:color w:val="auto"/>
          <w:sz w:val="56"/>
          <w:szCs w:val="48"/>
        </w:rPr>
      </w:pPr>
    </w:p>
    <w:p>
      <w:pPr>
        <w:rPr>
          <w:rFonts w:hint="eastAsia" w:ascii="宋体" w:hAnsi="宋体" w:eastAsia="宋体" w:cs="宋体"/>
          <w:color w:val="auto"/>
          <w:sz w:val="2"/>
          <w:szCs w:val="6"/>
        </w:rPr>
      </w:pPr>
    </w:p>
    <w:p>
      <w:pPr>
        <w:rPr>
          <w:rFonts w:hint="eastAsia" w:ascii="宋体" w:hAnsi="宋体" w:eastAsia="宋体" w:cs="宋体"/>
          <w:color w:val="auto"/>
        </w:rPr>
      </w:pPr>
    </w:p>
    <w:p>
      <w:pPr>
        <w:rPr>
          <w:rFonts w:hint="eastAsia" w:ascii="宋体" w:hAnsi="宋体" w:eastAsia="宋体" w:cs="宋体"/>
          <w:color w:val="auto"/>
        </w:rPr>
      </w:pPr>
    </w:p>
    <w:p>
      <w:pPr>
        <w:pStyle w:val="13"/>
        <w:tabs>
          <w:tab w:val="left" w:pos="6154"/>
        </w:tabs>
        <w:kinsoku w:val="0"/>
        <w:overflowPunct w:val="0"/>
        <w:spacing w:after="0" w:line="360" w:lineRule="auto"/>
        <w:ind w:left="0" w:leftChars="0" w:firstLine="220" w:firstLineChars="61"/>
        <w:jc w:val="center"/>
        <w:rPr>
          <w:rFonts w:hint="eastAsia" w:ascii="宋体" w:hAnsi="宋体" w:eastAsia="宋体" w:cs="宋体"/>
          <w:b/>
          <w:color w:val="auto"/>
          <w:sz w:val="36"/>
          <w:szCs w:val="28"/>
          <w:lang w:eastAsia="zh-CN"/>
        </w:rPr>
      </w:pPr>
      <w:r>
        <w:rPr>
          <w:rFonts w:hint="eastAsia" w:ascii="宋体" w:hAnsi="宋体" w:eastAsia="宋体" w:cs="宋体"/>
          <w:b/>
          <w:color w:val="auto"/>
          <w:sz w:val="36"/>
          <w:szCs w:val="28"/>
        </w:rPr>
        <w:t>采购代理机构：</w:t>
      </w:r>
      <w:r>
        <w:rPr>
          <w:rFonts w:hint="eastAsia" w:ascii="宋体" w:hAnsi="宋体" w:eastAsia="宋体" w:cs="宋体"/>
          <w:b/>
          <w:color w:val="auto"/>
          <w:sz w:val="36"/>
          <w:szCs w:val="28"/>
          <w:u w:val="single"/>
          <w:lang w:eastAsia="zh-CN"/>
        </w:rPr>
        <w:t>陕西华兴工程咨询有限公司</w:t>
      </w:r>
      <w:r>
        <w:rPr>
          <w:rFonts w:hint="eastAsia" w:ascii="宋体" w:hAnsi="宋体" w:eastAsia="宋体" w:cs="宋体"/>
          <w:b/>
          <w:color w:val="auto"/>
          <w:sz w:val="36"/>
          <w:szCs w:val="28"/>
          <w:lang w:eastAsia="zh-CN"/>
        </w:rPr>
        <w:t>（盖章）</w:t>
      </w:r>
    </w:p>
    <w:p>
      <w:pPr>
        <w:pStyle w:val="13"/>
        <w:tabs>
          <w:tab w:val="left" w:pos="6154"/>
        </w:tabs>
        <w:kinsoku w:val="0"/>
        <w:overflowPunct w:val="0"/>
        <w:spacing w:after="0" w:line="360" w:lineRule="auto"/>
        <w:ind w:left="0" w:leftChars="0" w:firstLine="220" w:firstLineChars="61"/>
        <w:jc w:val="center"/>
        <w:rPr>
          <w:rFonts w:hint="eastAsia" w:ascii="宋体" w:hAnsi="宋体" w:eastAsia="宋体" w:cs="宋体"/>
          <w:color w:val="auto"/>
        </w:rPr>
      </w:pPr>
      <w:r>
        <w:rPr>
          <w:rFonts w:hint="eastAsia" w:ascii="宋体" w:hAnsi="宋体" w:eastAsia="宋体" w:cs="宋体"/>
          <w:b/>
          <w:color w:val="auto"/>
          <w:sz w:val="36"/>
          <w:szCs w:val="28"/>
        </w:rPr>
        <w:t>二〇二</w:t>
      </w:r>
      <w:r>
        <w:rPr>
          <w:rFonts w:hint="eastAsia" w:ascii="宋体" w:hAnsi="宋体" w:eastAsia="宋体" w:cs="宋体"/>
          <w:b/>
          <w:color w:val="auto"/>
          <w:sz w:val="36"/>
          <w:szCs w:val="28"/>
          <w:lang w:eastAsia="zh-CN"/>
        </w:rPr>
        <w:t>二</w:t>
      </w:r>
      <w:r>
        <w:rPr>
          <w:rFonts w:hint="eastAsia" w:ascii="宋体" w:hAnsi="宋体" w:eastAsia="宋体" w:cs="宋体"/>
          <w:b/>
          <w:color w:val="auto"/>
          <w:sz w:val="36"/>
          <w:szCs w:val="28"/>
        </w:rPr>
        <w:t>年</w:t>
      </w:r>
      <w:r>
        <w:rPr>
          <w:rFonts w:hint="eastAsia" w:ascii="宋体" w:hAnsi="宋体" w:cs="宋体"/>
          <w:b/>
          <w:color w:val="auto"/>
          <w:sz w:val="36"/>
          <w:szCs w:val="28"/>
          <w:lang w:eastAsia="zh-CN"/>
        </w:rPr>
        <w:t>八</w:t>
      </w:r>
      <w:r>
        <w:rPr>
          <w:rFonts w:hint="eastAsia" w:ascii="宋体" w:hAnsi="宋体" w:eastAsia="宋体" w:cs="宋体"/>
          <w:b/>
          <w:color w:val="auto"/>
          <w:sz w:val="36"/>
          <w:szCs w:val="28"/>
        </w:rPr>
        <w:t>月</w:t>
      </w:r>
    </w:p>
    <w:p>
      <w:pPr>
        <w:pStyle w:val="84"/>
        <w:jc w:val="center"/>
        <w:rPr>
          <w:rFonts w:hint="eastAsia" w:ascii="宋体" w:hAnsi="宋体" w:eastAsia="宋体" w:cs="宋体"/>
          <w:color w:val="auto"/>
          <w:sz w:val="48"/>
          <w:lang w:val="zh-CN"/>
        </w:rPr>
      </w:pPr>
      <w:r>
        <w:rPr>
          <w:rFonts w:hint="eastAsia" w:ascii="宋体" w:hAnsi="宋体" w:eastAsia="宋体" w:cs="宋体"/>
          <w:color w:val="auto"/>
          <w:sz w:val="48"/>
          <w:lang w:val="zh-CN"/>
        </w:rPr>
        <w:t>目</w:t>
      </w:r>
      <w:r>
        <w:rPr>
          <w:rFonts w:hint="eastAsia" w:ascii="宋体" w:hAnsi="宋体" w:cs="宋体"/>
          <w:color w:val="auto"/>
          <w:sz w:val="48"/>
          <w:lang w:val="en-US" w:eastAsia="zh-CN"/>
        </w:rPr>
        <w:t xml:space="preserve">   </w:t>
      </w:r>
      <w:r>
        <w:rPr>
          <w:rFonts w:hint="eastAsia" w:ascii="宋体" w:hAnsi="宋体" w:eastAsia="宋体" w:cs="宋体"/>
          <w:color w:val="auto"/>
          <w:sz w:val="48"/>
          <w:lang w:val="zh-CN"/>
        </w:rPr>
        <w:t>录</w:t>
      </w:r>
    </w:p>
    <w:p>
      <w:pPr>
        <w:pStyle w:val="13"/>
        <w:rPr>
          <w:rFonts w:hint="eastAsia" w:ascii="宋体" w:hAnsi="宋体" w:eastAsia="宋体" w:cs="宋体"/>
          <w:color w:val="auto"/>
          <w:lang w:val="en-US" w:eastAsia="zh-CN"/>
        </w:rPr>
      </w:pPr>
    </w:p>
    <w:p>
      <w:pPr>
        <w:pStyle w:val="21"/>
        <w:tabs>
          <w:tab w:val="left" w:pos="840"/>
          <w:tab w:val="right" w:leader="dot" w:pos="8720"/>
        </w:tabs>
        <w:spacing w:line="600" w:lineRule="auto"/>
        <w:rPr>
          <w:rFonts w:hint="eastAsia" w:ascii="宋体" w:hAnsi="宋体" w:eastAsia="宋体" w:cs="宋体"/>
          <w:color w:val="auto"/>
          <w:szCs w:val="22"/>
        </w:rPr>
      </w:pPr>
      <w:r>
        <w:rPr>
          <w:rFonts w:hint="eastAsia" w:ascii="宋体" w:hAnsi="宋体" w:eastAsia="宋体" w:cs="宋体"/>
          <w:b/>
          <w:color w:val="auto"/>
          <w:sz w:val="28"/>
          <w:szCs w:val="28"/>
        </w:rPr>
        <w:fldChar w:fldCharType="begin"/>
      </w:r>
      <w:r>
        <w:rPr>
          <w:rFonts w:hint="eastAsia" w:ascii="宋体" w:hAnsi="宋体" w:eastAsia="宋体" w:cs="宋体"/>
          <w:b/>
          <w:color w:val="auto"/>
          <w:sz w:val="28"/>
          <w:szCs w:val="28"/>
        </w:rPr>
        <w:instrText xml:space="preserve"> TOC \o "1-3" \h \z \u </w:instrText>
      </w:r>
      <w:r>
        <w:rPr>
          <w:rFonts w:hint="eastAsia" w:ascii="宋体" w:hAnsi="宋体" w:eastAsia="宋体" w:cs="宋体"/>
          <w:b/>
          <w:color w:val="auto"/>
          <w:sz w:val="28"/>
          <w:szCs w:val="28"/>
        </w:rPr>
        <w:fldChar w:fldCharType="separate"/>
      </w:r>
      <w:r>
        <w:rPr>
          <w:rFonts w:hint="eastAsia" w:ascii="宋体" w:hAnsi="宋体" w:eastAsia="宋体" w:cs="宋体"/>
          <w:color w:val="auto"/>
        </w:rPr>
        <w:fldChar w:fldCharType="begin"/>
      </w:r>
      <w:r>
        <w:rPr>
          <w:rFonts w:hint="eastAsia" w:ascii="宋体" w:hAnsi="宋体" w:eastAsia="宋体" w:cs="宋体"/>
          <w:color w:val="auto"/>
        </w:rPr>
        <w:instrText xml:space="preserve"> HYPERLINK \l "_Toc78884377" </w:instrText>
      </w:r>
      <w:r>
        <w:rPr>
          <w:rFonts w:hint="eastAsia" w:ascii="宋体" w:hAnsi="宋体" w:eastAsia="宋体" w:cs="宋体"/>
          <w:color w:val="auto"/>
        </w:rPr>
        <w:fldChar w:fldCharType="separate"/>
      </w:r>
      <w:r>
        <w:rPr>
          <w:rStyle w:val="35"/>
          <w:rFonts w:hint="eastAsia" w:ascii="宋体" w:hAnsi="宋体" w:eastAsia="宋体" w:cs="宋体"/>
          <w:b/>
          <w:color w:val="auto"/>
          <w:spacing w:val="-20"/>
        </w:rPr>
        <w:t>第一章</w:t>
      </w:r>
      <w:r>
        <w:rPr>
          <w:rFonts w:hint="eastAsia" w:ascii="宋体" w:hAnsi="宋体" w:eastAsia="宋体" w:cs="宋体"/>
          <w:color w:val="auto"/>
          <w:szCs w:val="22"/>
        </w:rPr>
        <w:tab/>
      </w:r>
      <w:r>
        <w:rPr>
          <w:rStyle w:val="35"/>
          <w:rFonts w:hint="eastAsia" w:ascii="宋体" w:hAnsi="宋体" w:eastAsia="宋体" w:cs="宋体"/>
          <w:b/>
          <w:color w:val="auto"/>
          <w:spacing w:val="-20"/>
        </w:rPr>
        <w:t>竞争性磋商公告</w:t>
      </w:r>
      <w:r>
        <w:rPr>
          <w:rFonts w:hint="eastAsia" w:ascii="宋体" w:hAnsi="宋体" w:eastAsia="宋体" w:cs="宋体"/>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_Toc78884378 \h </w:instrText>
      </w:r>
      <w:r>
        <w:rPr>
          <w:rFonts w:hint="eastAsia" w:ascii="宋体" w:hAnsi="宋体" w:eastAsia="宋体" w:cs="宋体"/>
          <w:color w:val="auto"/>
        </w:rPr>
        <w:fldChar w:fldCharType="separate"/>
      </w:r>
      <w:r>
        <w:rPr>
          <w:rFonts w:hint="eastAsia" w:ascii="宋体" w:hAnsi="宋体" w:eastAsia="宋体" w:cs="宋体"/>
          <w:color w:val="auto"/>
        </w:rPr>
        <w:t>- 9 -</w:t>
      </w:r>
      <w:r>
        <w:rPr>
          <w:rFonts w:hint="eastAsia" w:ascii="宋体" w:hAnsi="宋体" w:eastAsia="宋体" w:cs="宋体"/>
          <w:color w:val="auto"/>
        </w:rPr>
        <w:fldChar w:fldCharType="end"/>
      </w:r>
      <w:r>
        <w:rPr>
          <w:rFonts w:hint="eastAsia" w:ascii="宋体" w:hAnsi="宋体" w:eastAsia="宋体" w:cs="宋体"/>
          <w:color w:val="auto"/>
        </w:rPr>
        <w:fldChar w:fldCharType="end"/>
      </w:r>
    </w:p>
    <w:p>
      <w:pPr>
        <w:pStyle w:val="21"/>
        <w:tabs>
          <w:tab w:val="left" w:pos="840"/>
          <w:tab w:val="right" w:leader="dot" w:pos="8720"/>
        </w:tabs>
        <w:spacing w:line="600" w:lineRule="auto"/>
        <w:rPr>
          <w:rFonts w:hint="eastAsia" w:ascii="宋体" w:hAnsi="宋体" w:eastAsia="宋体" w:cs="宋体"/>
          <w:color w:val="auto"/>
          <w:szCs w:val="22"/>
        </w:rPr>
      </w:pPr>
      <w:r>
        <w:rPr>
          <w:rFonts w:hint="eastAsia" w:ascii="宋体" w:hAnsi="宋体" w:eastAsia="宋体" w:cs="宋体"/>
          <w:color w:val="auto"/>
        </w:rPr>
        <w:fldChar w:fldCharType="begin"/>
      </w:r>
      <w:r>
        <w:rPr>
          <w:rFonts w:hint="eastAsia" w:ascii="宋体" w:hAnsi="宋体" w:eastAsia="宋体" w:cs="宋体"/>
          <w:color w:val="auto"/>
        </w:rPr>
        <w:instrText xml:space="preserve"> HYPERLINK \l "_Toc78884378" </w:instrText>
      </w:r>
      <w:r>
        <w:rPr>
          <w:rFonts w:hint="eastAsia" w:ascii="宋体" w:hAnsi="宋体" w:eastAsia="宋体" w:cs="宋体"/>
          <w:color w:val="auto"/>
        </w:rPr>
        <w:fldChar w:fldCharType="separate"/>
      </w:r>
      <w:r>
        <w:rPr>
          <w:rStyle w:val="35"/>
          <w:rFonts w:hint="eastAsia" w:ascii="宋体" w:hAnsi="宋体" w:eastAsia="宋体" w:cs="宋体"/>
          <w:b/>
          <w:color w:val="auto"/>
          <w:spacing w:val="-20"/>
        </w:rPr>
        <w:t>第二章</w:t>
      </w:r>
      <w:r>
        <w:rPr>
          <w:rFonts w:hint="eastAsia" w:ascii="宋体" w:hAnsi="宋体" w:eastAsia="宋体" w:cs="宋体"/>
          <w:color w:val="auto"/>
          <w:szCs w:val="22"/>
        </w:rPr>
        <w:tab/>
      </w:r>
      <w:r>
        <w:rPr>
          <w:rStyle w:val="35"/>
          <w:rFonts w:hint="eastAsia" w:ascii="宋体" w:hAnsi="宋体" w:eastAsia="宋体" w:cs="宋体"/>
          <w:b/>
          <w:color w:val="auto"/>
          <w:spacing w:val="-20"/>
        </w:rPr>
        <w:t>供应商须知</w:t>
      </w:r>
      <w:r>
        <w:rPr>
          <w:rFonts w:hint="eastAsia" w:ascii="宋体" w:hAnsi="宋体" w:eastAsia="宋体" w:cs="宋体"/>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_Toc78884378 \h </w:instrText>
      </w:r>
      <w:r>
        <w:rPr>
          <w:rFonts w:hint="eastAsia" w:ascii="宋体" w:hAnsi="宋体" w:eastAsia="宋体" w:cs="宋体"/>
          <w:color w:val="auto"/>
        </w:rPr>
        <w:fldChar w:fldCharType="separate"/>
      </w:r>
      <w:r>
        <w:rPr>
          <w:rFonts w:hint="eastAsia" w:ascii="宋体" w:hAnsi="宋体" w:eastAsia="宋体" w:cs="宋体"/>
          <w:color w:val="auto"/>
        </w:rPr>
        <w:t>- 9 -</w:t>
      </w:r>
      <w:r>
        <w:rPr>
          <w:rFonts w:hint="eastAsia" w:ascii="宋体" w:hAnsi="宋体" w:eastAsia="宋体" w:cs="宋体"/>
          <w:color w:val="auto"/>
        </w:rPr>
        <w:fldChar w:fldCharType="end"/>
      </w:r>
      <w:r>
        <w:rPr>
          <w:rFonts w:hint="eastAsia" w:ascii="宋体" w:hAnsi="宋体" w:eastAsia="宋体" w:cs="宋体"/>
          <w:color w:val="auto"/>
        </w:rPr>
        <w:fldChar w:fldCharType="end"/>
      </w:r>
    </w:p>
    <w:p>
      <w:pPr>
        <w:pStyle w:val="21"/>
        <w:tabs>
          <w:tab w:val="left" w:pos="840"/>
          <w:tab w:val="right" w:leader="dot" w:pos="8720"/>
        </w:tabs>
        <w:spacing w:line="600" w:lineRule="auto"/>
        <w:rPr>
          <w:rFonts w:hint="eastAsia" w:ascii="宋体" w:hAnsi="宋体" w:eastAsia="宋体" w:cs="宋体"/>
          <w:color w:val="auto"/>
          <w:szCs w:val="22"/>
        </w:rPr>
      </w:pPr>
      <w:r>
        <w:rPr>
          <w:rFonts w:hint="eastAsia" w:ascii="宋体" w:hAnsi="宋体" w:eastAsia="宋体" w:cs="宋体"/>
          <w:color w:val="auto"/>
        </w:rPr>
        <w:fldChar w:fldCharType="begin"/>
      </w:r>
      <w:r>
        <w:rPr>
          <w:rFonts w:hint="eastAsia" w:ascii="宋体" w:hAnsi="宋体" w:eastAsia="宋体" w:cs="宋体"/>
          <w:color w:val="auto"/>
        </w:rPr>
        <w:instrText xml:space="preserve"> HYPERLINK \l "_Toc78884379" </w:instrText>
      </w:r>
      <w:r>
        <w:rPr>
          <w:rFonts w:hint="eastAsia" w:ascii="宋体" w:hAnsi="宋体" w:eastAsia="宋体" w:cs="宋体"/>
          <w:color w:val="auto"/>
        </w:rPr>
        <w:fldChar w:fldCharType="separate"/>
      </w:r>
      <w:r>
        <w:rPr>
          <w:rStyle w:val="35"/>
          <w:rFonts w:hint="eastAsia" w:ascii="宋体" w:hAnsi="宋体" w:eastAsia="宋体" w:cs="宋体"/>
          <w:b/>
          <w:color w:val="auto"/>
          <w:spacing w:val="-20"/>
        </w:rPr>
        <w:t>第三章</w:t>
      </w:r>
      <w:r>
        <w:rPr>
          <w:rFonts w:hint="eastAsia" w:ascii="宋体" w:hAnsi="宋体" w:eastAsia="宋体" w:cs="宋体"/>
          <w:color w:val="auto"/>
          <w:szCs w:val="22"/>
        </w:rPr>
        <w:tab/>
      </w:r>
      <w:r>
        <w:rPr>
          <w:rStyle w:val="35"/>
          <w:rFonts w:hint="eastAsia" w:ascii="宋体" w:hAnsi="宋体" w:eastAsia="宋体" w:cs="宋体"/>
          <w:b/>
          <w:color w:val="auto"/>
          <w:spacing w:val="-20"/>
        </w:rPr>
        <w:t>评审办法</w:t>
      </w:r>
      <w:r>
        <w:rPr>
          <w:rFonts w:hint="eastAsia" w:ascii="宋体" w:hAnsi="宋体" w:eastAsia="宋体" w:cs="宋体"/>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_Toc78884379 \h </w:instrText>
      </w:r>
      <w:r>
        <w:rPr>
          <w:rFonts w:hint="eastAsia" w:ascii="宋体" w:hAnsi="宋体" w:eastAsia="宋体" w:cs="宋体"/>
          <w:color w:val="auto"/>
        </w:rPr>
        <w:fldChar w:fldCharType="separate"/>
      </w:r>
      <w:r>
        <w:rPr>
          <w:rFonts w:hint="eastAsia" w:ascii="宋体" w:hAnsi="宋体" w:eastAsia="宋体" w:cs="宋体"/>
          <w:color w:val="auto"/>
        </w:rPr>
        <w:t>- 35 -</w:t>
      </w:r>
      <w:r>
        <w:rPr>
          <w:rFonts w:hint="eastAsia" w:ascii="宋体" w:hAnsi="宋体" w:eastAsia="宋体" w:cs="宋体"/>
          <w:color w:val="auto"/>
        </w:rPr>
        <w:fldChar w:fldCharType="end"/>
      </w:r>
      <w:r>
        <w:rPr>
          <w:rFonts w:hint="eastAsia" w:ascii="宋体" w:hAnsi="宋体" w:eastAsia="宋体" w:cs="宋体"/>
          <w:color w:val="auto"/>
        </w:rPr>
        <w:fldChar w:fldCharType="end"/>
      </w:r>
    </w:p>
    <w:p>
      <w:pPr>
        <w:pStyle w:val="21"/>
        <w:tabs>
          <w:tab w:val="left" w:pos="840"/>
          <w:tab w:val="right" w:leader="dot" w:pos="8720"/>
        </w:tabs>
        <w:spacing w:line="600" w:lineRule="auto"/>
        <w:rPr>
          <w:rFonts w:hint="eastAsia" w:ascii="宋体" w:hAnsi="宋体" w:eastAsia="宋体" w:cs="宋体"/>
          <w:color w:val="auto"/>
          <w:szCs w:val="22"/>
        </w:rPr>
      </w:pPr>
      <w:r>
        <w:rPr>
          <w:rFonts w:hint="eastAsia" w:ascii="宋体" w:hAnsi="宋体" w:eastAsia="宋体" w:cs="宋体"/>
          <w:color w:val="auto"/>
        </w:rPr>
        <w:fldChar w:fldCharType="begin"/>
      </w:r>
      <w:r>
        <w:rPr>
          <w:rFonts w:hint="eastAsia" w:ascii="宋体" w:hAnsi="宋体" w:eastAsia="宋体" w:cs="宋体"/>
          <w:color w:val="auto"/>
        </w:rPr>
        <w:instrText xml:space="preserve"> HYPERLINK \l "_Toc78884380" </w:instrText>
      </w:r>
      <w:r>
        <w:rPr>
          <w:rFonts w:hint="eastAsia" w:ascii="宋体" w:hAnsi="宋体" w:eastAsia="宋体" w:cs="宋体"/>
          <w:color w:val="auto"/>
        </w:rPr>
        <w:fldChar w:fldCharType="separate"/>
      </w:r>
      <w:r>
        <w:rPr>
          <w:rStyle w:val="35"/>
          <w:rFonts w:hint="eastAsia" w:ascii="宋体" w:hAnsi="宋体" w:eastAsia="宋体" w:cs="宋体"/>
          <w:b/>
          <w:color w:val="auto"/>
          <w:spacing w:val="-20"/>
        </w:rPr>
        <w:t>第四章</w:t>
      </w:r>
      <w:r>
        <w:rPr>
          <w:rFonts w:hint="eastAsia" w:ascii="宋体" w:hAnsi="宋体" w:eastAsia="宋体" w:cs="宋体"/>
          <w:color w:val="auto"/>
          <w:szCs w:val="22"/>
        </w:rPr>
        <w:tab/>
      </w:r>
      <w:r>
        <w:rPr>
          <w:rStyle w:val="35"/>
          <w:rFonts w:hint="eastAsia" w:ascii="宋体" w:hAnsi="宋体" w:eastAsia="宋体" w:cs="宋体"/>
          <w:b/>
          <w:color w:val="auto"/>
          <w:spacing w:val="-20"/>
          <w:lang w:eastAsia="zh-CN"/>
        </w:rPr>
        <w:t>采购内容及商务要求</w:t>
      </w:r>
      <w:r>
        <w:rPr>
          <w:rFonts w:hint="eastAsia" w:ascii="宋体" w:hAnsi="宋体" w:eastAsia="宋体" w:cs="宋体"/>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_Toc78884380 \h </w:instrText>
      </w:r>
      <w:r>
        <w:rPr>
          <w:rFonts w:hint="eastAsia" w:ascii="宋体" w:hAnsi="宋体" w:eastAsia="宋体" w:cs="宋体"/>
          <w:color w:val="auto"/>
        </w:rPr>
        <w:fldChar w:fldCharType="separate"/>
      </w:r>
      <w:r>
        <w:rPr>
          <w:rFonts w:hint="eastAsia" w:ascii="宋体" w:hAnsi="宋体" w:eastAsia="宋体" w:cs="宋体"/>
          <w:color w:val="auto"/>
        </w:rPr>
        <w:t>- 49 -</w:t>
      </w:r>
      <w:r>
        <w:rPr>
          <w:rFonts w:hint="eastAsia" w:ascii="宋体" w:hAnsi="宋体" w:eastAsia="宋体" w:cs="宋体"/>
          <w:color w:val="auto"/>
        </w:rPr>
        <w:fldChar w:fldCharType="end"/>
      </w:r>
      <w:r>
        <w:rPr>
          <w:rFonts w:hint="eastAsia" w:ascii="宋体" w:hAnsi="宋体" w:eastAsia="宋体" w:cs="宋体"/>
          <w:color w:val="auto"/>
        </w:rPr>
        <w:fldChar w:fldCharType="end"/>
      </w:r>
    </w:p>
    <w:p>
      <w:pPr>
        <w:pStyle w:val="21"/>
        <w:tabs>
          <w:tab w:val="left" w:pos="840"/>
          <w:tab w:val="right" w:leader="dot" w:pos="8720"/>
        </w:tabs>
        <w:spacing w:line="600" w:lineRule="auto"/>
        <w:rPr>
          <w:rFonts w:hint="eastAsia" w:ascii="宋体" w:hAnsi="宋体" w:eastAsia="宋体" w:cs="宋体"/>
          <w:color w:val="auto"/>
          <w:szCs w:val="22"/>
        </w:rPr>
      </w:pPr>
      <w:r>
        <w:rPr>
          <w:rFonts w:hint="eastAsia" w:ascii="宋体" w:hAnsi="宋体" w:eastAsia="宋体" w:cs="宋体"/>
          <w:color w:val="auto"/>
        </w:rPr>
        <w:fldChar w:fldCharType="begin"/>
      </w:r>
      <w:r>
        <w:rPr>
          <w:rFonts w:hint="eastAsia" w:ascii="宋体" w:hAnsi="宋体" w:eastAsia="宋体" w:cs="宋体"/>
          <w:color w:val="auto"/>
        </w:rPr>
        <w:instrText xml:space="preserve"> HYPERLINK \l "_Toc78884381" </w:instrText>
      </w:r>
      <w:r>
        <w:rPr>
          <w:rFonts w:hint="eastAsia" w:ascii="宋体" w:hAnsi="宋体" w:eastAsia="宋体" w:cs="宋体"/>
          <w:color w:val="auto"/>
        </w:rPr>
        <w:fldChar w:fldCharType="separate"/>
      </w:r>
      <w:r>
        <w:rPr>
          <w:rStyle w:val="35"/>
          <w:rFonts w:hint="eastAsia" w:ascii="宋体" w:hAnsi="宋体" w:eastAsia="宋体" w:cs="宋体"/>
          <w:b/>
          <w:color w:val="auto"/>
          <w:spacing w:val="-20"/>
        </w:rPr>
        <w:t>第五章</w:t>
      </w:r>
      <w:r>
        <w:rPr>
          <w:rFonts w:hint="eastAsia" w:ascii="宋体" w:hAnsi="宋体" w:eastAsia="宋体" w:cs="宋体"/>
          <w:color w:val="auto"/>
          <w:szCs w:val="22"/>
        </w:rPr>
        <w:tab/>
      </w:r>
      <w:r>
        <w:rPr>
          <w:rStyle w:val="35"/>
          <w:rFonts w:hint="eastAsia" w:ascii="宋体" w:hAnsi="宋体" w:eastAsia="宋体" w:cs="宋体"/>
          <w:b/>
          <w:color w:val="auto"/>
          <w:spacing w:val="-20"/>
        </w:rPr>
        <w:t>合同条款及格式</w:t>
      </w:r>
      <w:r>
        <w:rPr>
          <w:rFonts w:hint="eastAsia" w:ascii="宋体" w:hAnsi="宋体" w:eastAsia="宋体" w:cs="宋体"/>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_Toc78884381 \h </w:instrText>
      </w:r>
      <w:r>
        <w:rPr>
          <w:rFonts w:hint="eastAsia" w:ascii="宋体" w:hAnsi="宋体" w:eastAsia="宋体" w:cs="宋体"/>
          <w:color w:val="auto"/>
        </w:rPr>
        <w:fldChar w:fldCharType="separate"/>
      </w:r>
      <w:r>
        <w:rPr>
          <w:rFonts w:hint="eastAsia" w:ascii="宋体" w:hAnsi="宋体" w:eastAsia="宋体" w:cs="宋体"/>
          <w:color w:val="auto"/>
        </w:rPr>
        <w:t>- 70 -</w:t>
      </w:r>
      <w:r>
        <w:rPr>
          <w:rFonts w:hint="eastAsia" w:ascii="宋体" w:hAnsi="宋体" w:eastAsia="宋体" w:cs="宋体"/>
          <w:color w:val="auto"/>
        </w:rPr>
        <w:fldChar w:fldCharType="end"/>
      </w:r>
      <w:r>
        <w:rPr>
          <w:rFonts w:hint="eastAsia" w:ascii="宋体" w:hAnsi="宋体" w:eastAsia="宋体" w:cs="宋体"/>
          <w:color w:val="auto"/>
        </w:rPr>
        <w:fldChar w:fldCharType="end"/>
      </w:r>
    </w:p>
    <w:p>
      <w:pPr>
        <w:pStyle w:val="21"/>
        <w:tabs>
          <w:tab w:val="left" w:pos="840"/>
          <w:tab w:val="right" w:leader="dot" w:pos="8720"/>
        </w:tabs>
        <w:spacing w:line="600" w:lineRule="auto"/>
        <w:rPr>
          <w:rFonts w:hint="eastAsia" w:ascii="宋体" w:hAnsi="宋体" w:eastAsia="宋体" w:cs="宋体"/>
          <w:color w:val="auto"/>
          <w:szCs w:val="22"/>
        </w:rPr>
      </w:pPr>
      <w:r>
        <w:rPr>
          <w:rFonts w:hint="eastAsia" w:ascii="宋体" w:hAnsi="宋体" w:eastAsia="宋体" w:cs="宋体"/>
          <w:color w:val="auto"/>
        </w:rPr>
        <w:fldChar w:fldCharType="begin"/>
      </w:r>
      <w:r>
        <w:rPr>
          <w:rFonts w:hint="eastAsia" w:ascii="宋体" w:hAnsi="宋体" w:eastAsia="宋体" w:cs="宋体"/>
          <w:color w:val="auto"/>
        </w:rPr>
        <w:instrText xml:space="preserve"> HYPERLINK \l "_Toc78884382" </w:instrText>
      </w:r>
      <w:r>
        <w:rPr>
          <w:rFonts w:hint="eastAsia" w:ascii="宋体" w:hAnsi="宋体" w:eastAsia="宋体" w:cs="宋体"/>
          <w:color w:val="auto"/>
        </w:rPr>
        <w:fldChar w:fldCharType="separate"/>
      </w:r>
      <w:r>
        <w:rPr>
          <w:rStyle w:val="35"/>
          <w:rFonts w:hint="eastAsia" w:ascii="宋体" w:hAnsi="宋体" w:eastAsia="宋体" w:cs="宋体"/>
          <w:b/>
          <w:color w:val="auto"/>
          <w:spacing w:val="-20"/>
        </w:rPr>
        <w:t>第六章</w:t>
      </w:r>
      <w:r>
        <w:rPr>
          <w:rFonts w:hint="eastAsia" w:ascii="宋体" w:hAnsi="宋体" w:eastAsia="宋体" w:cs="宋体"/>
          <w:color w:val="auto"/>
          <w:szCs w:val="22"/>
        </w:rPr>
        <w:tab/>
      </w:r>
      <w:r>
        <w:rPr>
          <w:rStyle w:val="35"/>
          <w:rFonts w:hint="eastAsia" w:ascii="宋体" w:hAnsi="宋体" w:eastAsia="宋体" w:cs="宋体"/>
          <w:b/>
          <w:color w:val="auto"/>
          <w:spacing w:val="-20"/>
        </w:rPr>
        <w:t>响应文件格式及构成</w:t>
      </w:r>
      <w:r>
        <w:rPr>
          <w:rFonts w:hint="eastAsia" w:ascii="宋体" w:hAnsi="宋体" w:eastAsia="宋体" w:cs="宋体"/>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_Toc78884382 \h </w:instrText>
      </w:r>
      <w:r>
        <w:rPr>
          <w:rFonts w:hint="eastAsia" w:ascii="宋体" w:hAnsi="宋体" w:eastAsia="宋体" w:cs="宋体"/>
          <w:color w:val="auto"/>
        </w:rPr>
        <w:fldChar w:fldCharType="separate"/>
      </w:r>
      <w:r>
        <w:rPr>
          <w:rFonts w:hint="eastAsia" w:ascii="宋体" w:hAnsi="宋体" w:eastAsia="宋体" w:cs="宋体"/>
          <w:color w:val="auto"/>
        </w:rPr>
        <w:t>- 140 -</w:t>
      </w:r>
      <w:r>
        <w:rPr>
          <w:rFonts w:hint="eastAsia" w:ascii="宋体" w:hAnsi="宋体" w:eastAsia="宋体" w:cs="宋体"/>
          <w:color w:val="auto"/>
        </w:rPr>
        <w:fldChar w:fldCharType="end"/>
      </w:r>
      <w:r>
        <w:rPr>
          <w:rFonts w:hint="eastAsia" w:ascii="宋体" w:hAnsi="宋体" w:eastAsia="宋体" w:cs="宋体"/>
          <w:color w:val="auto"/>
        </w:rPr>
        <w:fldChar w:fldCharType="end"/>
      </w:r>
    </w:p>
    <w:p>
      <w:pPr>
        <w:pStyle w:val="23"/>
        <w:tabs>
          <w:tab w:val="right" w:leader="dot" w:pos="8720"/>
        </w:tabs>
        <w:spacing w:line="600" w:lineRule="auto"/>
        <w:rPr>
          <w:rFonts w:hint="eastAsia" w:ascii="宋体" w:hAnsi="宋体" w:eastAsia="宋体" w:cs="宋体"/>
          <w:color w:val="auto"/>
          <w:szCs w:val="22"/>
        </w:rPr>
      </w:pPr>
      <w:r>
        <w:rPr>
          <w:rFonts w:hint="eastAsia" w:ascii="宋体" w:hAnsi="宋体" w:eastAsia="宋体" w:cs="宋体"/>
          <w:color w:val="auto"/>
        </w:rPr>
        <w:fldChar w:fldCharType="begin"/>
      </w:r>
      <w:r>
        <w:rPr>
          <w:rFonts w:hint="eastAsia" w:ascii="宋体" w:hAnsi="宋体" w:eastAsia="宋体" w:cs="宋体"/>
          <w:color w:val="auto"/>
        </w:rPr>
        <w:instrText xml:space="preserve"> HYPERLINK \l "_Toc78884383" </w:instrText>
      </w:r>
      <w:r>
        <w:rPr>
          <w:rFonts w:hint="eastAsia" w:ascii="宋体" w:hAnsi="宋体" w:eastAsia="宋体" w:cs="宋体"/>
          <w:color w:val="auto"/>
        </w:rPr>
        <w:fldChar w:fldCharType="separate"/>
      </w:r>
      <w:r>
        <w:rPr>
          <w:rStyle w:val="35"/>
          <w:rFonts w:hint="eastAsia" w:ascii="宋体" w:hAnsi="宋体" w:eastAsia="宋体" w:cs="宋体"/>
          <w:color w:val="auto"/>
          <w:lang w:val="zh-CN"/>
        </w:rPr>
        <w:t>一、</w:t>
      </w:r>
      <w:r>
        <w:rPr>
          <w:rStyle w:val="35"/>
          <w:rFonts w:hint="eastAsia" w:ascii="宋体" w:hAnsi="宋体" w:eastAsia="宋体" w:cs="宋体"/>
          <w:color w:val="auto"/>
        </w:rPr>
        <w:t>法定代表人身份证明书</w:t>
      </w:r>
      <w:r>
        <w:rPr>
          <w:rFonts w:hint="eastAsia" w:ascii="宋体" w:hAnsi="宋体" w:eastAsia="宋体" w:cs="宋体"/>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_Toc78884383 \h </w:instrText>
      </w:r>
      <w:r>
        <w:rPr>
          <w:rFonts w:hint="eastAsia" w:ascii="宋体" w:hAnsi="宋体" w:eastAsia="宋体" w:cs="宋体"/>
          <w:color w:val="auto"/>
        </w:rPr>
        <w:fldChar w:fldCharType="separate"/>
      </w:r>
      <w:r>
        <w:rPr>
          <w:rFonts w:hint="eastAsia" w:ascii="宋体" w:hAnsi="宋体" w:eastAsia="宋体" w:cs="宋体"/>
          <w:color w:val="auto"/>
        </w:rPr>
        <w:t>- 154 -</w:t>
      </w:r>
      <w:r>
        <w:rPr>
          <w:rFonts w:hint="eastAsia" w:ascii="宋体" w:hAnsi="宋体" w:eastAsia="宋体" w:cs="宋体"/>
          <w:color w:val="auto"/>
        </w:rPr>
        <w:fldChar w:fldCharType="end"/>
      </w:r>
      <w:r>
        <w:rPr>
          <w:rFonts w:hint="eastAsia" w:ascii="宋体" w:hAnsi="宋体" w:eastAsia="宋体" w:cs="宋体"/>
          <w:color w:val="auto"/>
        </w:rPr>
        <w:fldChar w:fldCharType="end"/>
      </w:r>
    </w:p>
    <w:p>
      <w:pPr>
        <w:pStyle w:val="23"/>
        <w:tabs>
          <w:tab w:val="right" w:leader="dot" w:pos="8720"/>
        </w:tabs>
        <w:spacing w:line="600" w:lineRule="auto"/>
        <w:rPr>
          <w:rFonts w:hint="eastAsia" w:ascii="宋体" w:hAnsi="宋体" w:eastAsia="宋体" w:cs="宋体"/>
          <w:color w:val="auto"/>
          <w:szCs w:val="22"/>
        </w:rPr>
      </w:pPr>
      <w:r>
        <w:rPr>
          <w:rFonts w:hint="eastAsia" w:ascii="宋体" w:hAnsi="宋体" w:eastAsia="宋体" w:cs="宋体"/>
          <w:color w:val="auto"/>
        </w:rPr>
        <w:fldChar w:fldCharType="begin"/>
      </w:r>
      <w:r>
        <w:rPr>
          <w:rFonts w:hint="eastAsia" w:ascii="宋体" w:hAnsi="宋体" w:eastAsia="宋体" w:cs="宋体"/>
          <w:color w:val="auto"/>
        </w:rPr>
        <w:instrText xml:space="preserve"> HYPERLINK \l "_Toc78884384" </w:instrText>
      </w:r>
      <w:r>
        <w:rPr>
          <w:rFonts w:hint="eastAsia" w:ascii="宋体" w:hAnsi="宋体" w:eastAsia="宋体" w:cs="宋体"/>
          <w:color w:val="auto"/>
        </w:rPr>
        <w:fldChar w:fldCharType="separate"/>
      </w:r>
      <w:r>
        <w:rPr>
          <w:rStyle w:val="35"/>
          <w:rFonts w:hint="eastAsia" w:ascii="宋体" w:hAnsi="宋体" w:eastAsia="宋体" w:cs="宋体"/>
          <w:color w:val="auto"/>
        </w:rPr>
        <w:t>二、磋商响应文件授权委托书</w:t>
      </w:r>
      <w:r>
        <w:rPr>
          <w:rFonts w:hint="eastAsia" w:ascii="宋体" w:hAnsi="宋体" w:eastAsia="宋体" w:cs="宋体"/>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_Toc78884384 \h </w:instrText>
      </w:r>
      <w:r>
        <w:rPr>
          <w:rFonts w:hint="eastAsia" w:ascii="宋体" w:hAnsi="宋体" w:eastAsia="宋体" w:cs="宋体"/>
          <w:color w:val="auto"/>
        </w:rPr>
        <w:fldChar w:fldCharType="separate"/>
      </w:r>
      <w:r>
        <w:rPr>
          <w:rFonts w:hint="eastAsia" w:ascii="宋体" w:hAnsi="宋体" w:eastAsia="宋体" w:cs="宋体"/>
          <w:color w:val="auto"/>
        </w:rPr>
        <w:t>- 155 -</w:t>
      </w:r>
      <w:r>
        <w:rPr>
          <w:rFonts w:hint="eastAsia" w:ascii="宋体" w:hAnsi="宋体" w:eastAsia="宋体" w:cs="宋体"/>
          <w:color w:val="auto"/>
        </w:rPr>
        <w:fldChar w:fldCharType="end"/>
      </w:r>
      <w:r>
        <w:rPr>
          <w:rFonts w:hint="eastAsia" w:ascii="宋体" w:hAnsi="宋体" w:eastAsia="宋体" w:cs="宋体"/>
          <w:color w:val="auto"/>
        </w:rPr>
        <w:fldChar w:fldCharType="end"/>
      </w:r>
    </w:p>
    <w:p>
      <w:pPr>
        <w:pStyle w:val="23"/>
        <w:tabs>
          <w:tab w:val="right" w:leader="dot" w:pos="8720"/>
        </w:tabs>
        <w:spacing w:line="600" w:lineRule="auto"/>
        <w:rPr>
          <w:rFonts w:hint="eastAsia" w:ascii="宋体" w:hAnsi="宋体" w:eastAsia="宋体" w:cs="宋体"/>
          <w:color w:val="auto"/>
          <w:szCs w:val="22"/>
        </w:rPr>
      </w:pPr>
      <w:r>
        <w:rPr>
          <w:rFonts w:hint="eastAsia" w:ascii="宋体" w:hAnsi="宋体" w:eastAsia="宋体" w:cs="宋体"/>
          <w:color w:val="auto"/>
        </w:rPr>
        <w:fldChar w:fldCharType="begin"/>
      </w:r>
      <w:r>
        <w:rPr>
          <w:rFonts w:hint="eastAsia" w:ascii="宋体" w:hAnsi="宋体" w:eastAsia="宋体" w:cs="宋体"/>
          <w:color w:val="auto"/>
        </w:rPr>
        <w:instrText xml:space="preserve"> HYPERLINK \l "_Toc78884385" </w:instrText>
      </w:r>
      <w:r>
        <w:rPr>
          <w:rFonts w:hint="eastAsia" w:ascii="宋体" w:hAnsi="宋体" w:eastAsia="宋体" w:cs="宋体"/>
          <w:color w:val="auto"/>
        </w:rPr>
        <w:fldChar w:fldCharType="separate"/>
      </w:r>
      <w:r>
        <w:rPr>
          <w:rStyle w:val="35"/>
          <w:rFonts w:hint="eastAsia" w:ascii="宋体" w:hAnsi="宋体" w:eastAsia="宋体" w:cs="宋体"/>
          <w:color w:val="auto"/>
        </w:rPr>
        <w:t>三、磋商响应函</w:t>
      </w:r>
      <w:r>
        <w:rPr>
          <w:rFonts w:hint="eastAsia" w:ascii="宋体" w:hAnsi="宋体" w:eastAsia="宋体" w:cs="宋体"/>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_Toc78884385 \h </w:instrText>
      </w:r>
      <w:r>
        <w:rPr>
          <w:rFonts w:hint="eastAsia" w:ascii="宋体" w:hAnsi="宋体" w:eastAsia="宋体" w:cs="宋体"/>
          <w:color w:val="auto"/>
        </w:rPr>
        <w:fldChar w:fldCharType="separate"/>
      </w:r>
      <w:r>
        <w:rPr>
          <w:rFonts w:hint="eastAsia" w:ascii="宋体" w:hAnsi="宋体" w:eastAsia="宋体" w:cs="宋体"/>
          <w:color w:val="auto"/>
        </w:rPr>
        <w:t>- 156 -</w:t>
      </w:r>
      <w:r>
        <w:rPr>
          <w:rFonts w:hint="eastAsia" w:ascii="宋体" w:hAnsi="宋体" w:eastAsia="宋体" w:cs="宋体"/>
          <w:color w:val="auto"/>
        </w:rPr>
        <w:fldChar w:fldCharType="end"/>
      </w:r>
      <w:r>
        <w:rPr>
          <w:rFonts w:hint="eastAsia" w:ascii="宋体" w:hAnsi="宋体" w:eastAsia="宋体" w:cs="宋体"/>
          <w:color w:val="auto"/>
        </w:rPr>
        <w:fldChar w:fldCharType="end"/>
      </w:r>
    </w:p>
    <w:p>
      <w:pPr>
        <w:pStyle w:val="23"/>
        <w:tabs>
          <w:tab w:val="right" w:leader="dot" w:pos="8720"/>
        </w:tabs>
        <w:spacing w:line="600" w:lineRule="auto"/>
        <w:rPr>
          <w:rFonts w:hint="eastAsia" w:ascii="宋体" w:hAnsi="宋体" w:eastAsia="宋体" w:cs="宋体"/>
          <w:color w:val="auto"/>
          <w:szCs w:val="22"/>
        </w:rPr>
      </w:pPr>
      <w:r>
        <w:rPr>
          <w:rFonts w:hint="eastAsia" w:ascii="宋体" w:hAnsi="宋体" w:eastAsia="宋体" w:cs="宋体"/>
          <w:color w:val="auto"/>
        </w:rPr>
        <w:fldChar w:fldCharType="begin"/>
      </w:r>
      <w:r>
        <w:rPr>
          <w:rFonts w:hint="eastAsia" w:ascii="宋体" w:hAnsi="宋体" w:eastAsia="宋体" w:cs="宋体"/>
          <w:color w:val="auto"/>
        </w:rPr>
        <w:instrText xml:space="preserve"> HYPERLINK \l "_Toc78884386" </w:instrText>
      </w:r>
      <w:r>
        <w:rPr>
          <w:rFonts w:hint="eastAsia" w:ascii="宋体" w:hAnsi="宋体" w:eastAsia="宋体" w:cs="宋体"/>
          <w:color w:val="auto"/>
        </w:rPr>
        <w:fldChar w:fldCharType="separate"/>
      </w:r>
      <w:r>
        <w:rPr>
          <w:rStyle w:val="35"/>
          <w:rFonts w:hint="eastAsia" w:ascii="宋体" w:hAnsi="宋体" w:eastAsia="宋体" w:cs="宋体"/>
          <w:color w:val="auto"/>
        </w:rPr>
        <w:t>四、首次磋商报价</w:t>
      </w:r>
      <w:r>
        <w:rPr>
          <w:rStyle w:val="35"/>
          <w:rFonts w:hint="eastAsia" w:ascii="宋体" w:hAnsi="宋体" w:eastAsia="宋体" w:cs="宋体"/>
          <w:color w:val="auto"/>
          <w:lang w:eastAsia="zh-CN"/>
        </w:rPr>
        <w:t>一览</w:t>
      </w:r>
      <w:r>
        <w:rPr>
          <w:rStyle w:val="35"/>
          <w:rFonts w:hint="eastAsia" w:ascii="宋体" w:hAnsi="宋体" w:eastAsia="宋体" w:cs="宋体"/>
          <w:color w:val="auto"/>
        </w:rPr>
        <w:t>表</w:t>
      </w:r>
      <w:r>
        <w:rPr>
          <w:rFonts w:hint="eastAsia" w:ascii="宋体" w:hAnsi="宋体" w:eastAsia="宋体" w:cs="宋体"/>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_Toc78884386 \h </w:instrText>
      </w:r>
      <w:r>
        <w:rPr>
          <w:rFonts w:hint="eastAsia" w:ascii="宋体" w:hAnsi="宋体" w:eastAsia="宋体" w:cs="宋体"/>
          <w:color w:val="auto"/>
        </w:rPr>
        <w:fldChar w:fldCharType="separate"/>
      </w:r>
      <w:r>
        <w:rPr>
          <w:rFonts w:hint="eastAsia" w:ascii="宋体" w:hAnsi="宋体" w:eastAsia="宋体" w:cs="宋体"/>
          <w:color w:val="auto"/>
        </w:rPr>
        <w:t>- 158 -</w:t>
      </w:r>
      <w:r>
        <w:rPr>
          <w:rFonts w:hint="eastAsia" w:ascii="宋体" w:hAnsi="宋体" w:eastAsia="宋体" w:cs="宋体"/>
          <w:color w:val="auto"/>
        </w:rPr>
        <w:fldChar w:fldCharType="end"/>
      </w:r>
      <w:r>
        <w:rPr>
          <w:rFonts w:hint="eastAsia" w:ascii="宋体" w:hAnsi="宋体" w:eastAsia="宋体" w:cs="宋体"/>
          <w:color w:val="auto"/>
        </w:rPr>
        <w:fldChar w:fldCharType="end"/>
      </w:r>
    </w:p>
    <w:p>
      <w:pPr>
        <w:pStyle w:val="23"/>
        <w:tabs>
          <w:tab w:val="right" w:leader="dot" w:pos="8720"/>
        </w:tabs>
        <w:spacing w:line="600" w:lineRule="auto"/>
        <w:rPr>
          <w:rFonts w:hint="eastAsia" w:ascii="宋体" w:hAnsi="宋体" w:eastAsia="宋体" w:cs="宋体"/>
          <w:color w:val="auto"/>
          <w:szCs w:val="22"/>
        </w:rPr>
      </w:pPr>
      <w:r>
        <w:rPr>
          <w:rFonts w:hint="eastAsia" w:ascii="宋体" w:hAnsi="宋体" w:eastAsia="宋体" w:cs="宋体"/>
          <w:color w:val="auto"/>
        </w:rPr>
        <w:fldChar w:fldCharType="begin"/>
      </w:r>
      <w:r>
        <w:rPr>
          <w:rFonts w:hint="eastAsia" w:ascii="宋体" w:hAnsi="宋体" w:eastAsia="宋体" w:cs="宋体"/>
          <w:color w:val="auto"/>
        </w:rPr>
        <w:instrText xml:space="preserve"> HYPERLINK \l "_Toc78884387" </w:instrText>
      </w:r>
      <w:r>
        <w:rPr>
          <w:rFonts w:hint="eastAsia" w:ascii="宋体" w:hAnsi="宋体" w:eastAsia="宋体" w:cs="宋体"/>
          <w:color w:val="auto"/>
        </w:rPr>
        <w:fldChar w:fldCharType="separate"/>
      </w:r>
      <w:r>
        <w:rPr>
          <w:rStyle w:val="35"/>
          <w:rFonts w:hint="eastAsia" w:ascii="宋体" w:hAnsi="宋体" w:eastAsia="宋体" w:cs="宋体"/>
          <w:color w:val="auto"/>
        </w:rPr>
        <w:t>五、已标价工程量清单</w:t>
      </w:r>
      <w:r>
        <w:rPr>
          <w:rFonts w:hint="eastAsia" w:ascii="宋体" w:hAnsi="宋体" w:eastAsia="宋体" w:cs="宋体"/>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_Toc78884387 \h </w:instrText>
      </w:r>
      <w:r>
        <w:rPr>
          <w:rFonts w:hint="eastAsia" w:ascii="宋体" w:hAnsi="宋体" w:eastAsia="宋体" w:cs="宋体"/>
          <w:color w:val="auto"/>
        </w:rPr>
        <w:fldChar w:fldCharType="separate"/>
      </w:r>
      <w:r>
        <w:rPr>
          <w:rFonts w:hint="eastAsia" w:ascii="宋体" w:hAnsi="宋体" w:eastAsia="宋体" w:cs="宋体"/>
          <w:color w:val="auto"/>
        </w:rPr>
        <w:t>- 160 -</w:t>
      </w:r>
      <w:r>
        <w:rPr>
          <w:rFonts w:hint="eastAsia" w:ascii="宋体" w:hAnsi="宋体" w:eastAsia="宋体" w:cs="宋体"/>
          <w:color w:val="auto"/>
        </w:rPr>
        <w:fldChar w:fldCharType="end"/>
      </w:r>
      <w:r>
        <w:rPr>
          <w:rFonts w:hint="eastAsia" w:ascii="宋体" w:hAnsi="宋体" w:eastAsia="宋体" w:cs="宋体"/>
          <w:color w:val="auto"/>
        </w:rPr>
        <w:fldChar w:fldCharType="end"/>
      </w:r>
    </w:p>
    <w:p>
      <w:pPr>
        <w:pStyle w:val="23"/>
        <w:tabs>
          <w:tab w:val="right" w:leader="dot" w:pos="8720"/>
        </w:tabs>
        <w:spacing w:line="600" w:lineRule="auto"/>
        <w:rPr>
          <w:rFonts w:hint="eastAsia" w:ascii="宋体" w:hAnsi="宋体" w:eastAsia="宋体" w:cs="宋体"/>
          <w:color w:val="auto"/>
          <w:szCs w:val="22"/>
        </w:rPr>
      </w:pPr>
      <w:r>
        <w:rPr>
          <w:rFonts w:hint="eastAsia" w:ascii="宋体" w:hAnsi="宋体" w:eastAsia="宋体" w:cs="宋体"/>
          <w:color w:val="auto"/>
        </w:rPr>
        <w:fldChar w:fldCharType="begin"/>
      </w:r>
      <w:r>
        <w:rPr>
          <w:rFonts w:hint="eastAsia" w:ascii="宋体" w:hAnsi="宋体" w:eastAsia="宋体" w:cs="宋体"/>
          <w:color w:val="auto"/>
        </w:rPr>
        <w:instrText xml:space="preserve"> HYPERLINK \l "_Toc78884388" </w:instrText>
      </w:r>
      <w:r>
        <w:rPr>
          <w:rFonts w:hint="eastAsia" w:ascii="宋体" w:hAnsi="宋体" w:eastAsia="宋体" w:cs="宋体"/>
          <w:color w:val="auto"/>
        </w:rPr>
        <w:fldChar w:fldCharType="separate"/>
      </w:r>
      <w:r>
        <w:rPr>
          <w:rStyle w:val="35"/>
          <w:rFonts w:hint="eastAsia" w:ascii="宋体" w:hAnsi="宋体" w:eastAsia="宋体" w:cs="宋体"/>
          <w:color w:val="auto"/>
        </w:rPr>
        <w:t>六、磋商保证金</w:t>
      </w:r>
      <w:r>
        <w:rPr>
          <w:rFonts w:hint="eastAsia" w:ascii="宋体" w:hAnsi="宋体" w:eastAsia="宋体" w:cs="宋体"/>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_Toc78884388 \h </w:instrText>
      </w:r>
      <w:r>
        <w:rPr>
          <w:rFonts w:hint="eastAsia" w:ascii="宋体" w:hAnsi="宋体" w:eastAsia="宋体" w:cs="宋体"/>
          <w:color w:val="auto"/>
        </w:rPr>
        <w:fldChar w:fldCharType="separate"/>
      </w:r>
      <w:r>
        <w:rPr>
          <w:rFonts w:hint="eastAsia" w:ascii="宋体" w:hAnsi="宋体" w:eastAsia="宋体" w:cs="宋体"/>
          <w:color w:val="auto"/>
        </w:rPr>
        <w:t>- 161 -</w:t>
      </w:r>
      <w:r>
        <w:rPr>
          <w:rFonts w:hint="eastAsia" w:ascii="宋体" w:hAnsi="宋体" w:eastAsia="宋体" w:cs="宋体"/>
          <w:color w:val="auto"/>
        </w:rPr>
        <w:fldChar w:fldCharType="end"/>
      </w:r>
      <w:r>
        <w:rPr>
          <w:rFonts w:hint="eastAsia" w:ascii="宋体" w:hAnsi="宋体" w:eastAsia="宋体" w:cs="宋体"/>
          <w:color w:val="auto"/>
        </w:rPr>
        <w:fldChar w:fldCharType="end"/>
      </w:r>
    </w:p>
    <w:p>
      <w:pPr>
        <w:pStyle w:val="23"/>
        <w:tabs>
          <w:tab w:val="right" w:leader="dot" w:pos="8720"/>
        </w:tabs>
        <w:spacing w:line="600" w:lineRule="auto"/>
        <w:rPr>
          <w:rFonts w:hint="eastAsia" w:ascii="宋体" w:hAnsi="宋体" w:eastAsia="宋体" w:cs="宋体"/>
          <w:color w:val="auto"/>
          <w:szCs w:val="22"/>
        </w:rPr>
      </w:pPr>
      <w:r>
        <w:rPr>
          <w:rFonts w:hint="eastAsia" w:ascii="宋体" w:hAnsi="宋体" w:eastAsia="宋体" w:cs="宋体"/>
          <w:color w:val="auto"/>
        </w:rPr>
        <w:fldChar w:fldCharType="begin"/>
      </w:r>
      <w:r>
        <w:rPr>
          <w:rFonts w:hint="eastAsia" w:ascii="宋体" w:hAnsi="宋体" w:eastAsia="宋体" w:cs="宋体"/>
          <w:color w:val="auto"/>
        </w:rPr>
        <w:instrText xml:space="preserve"> HYPERLINK \l "_Toc78884389" </w:instrText>
      </w:r>
      <w:r>
        <w:rPr>
          <w:rFonts w:hint="eastAsia" w:ascii="宋体" w:hAnsi="宋体" w:eastAsia="宋体" w:cs="宋体"/>
          <w:color w:val="auto"/>
        </w:rPr>
        <w:fldChar w:fldCharType="separate"/>
      </w:r>
      <w:r>
        <w:rPr>
          <w:rStyle w:val="35"/>
          <w:rFonts w:hint="eastAsia" w:ascii="宋体" w:hAnsi="宋体" w:eastAsia="宋体" w:cs="宋体"/>
          <w:color w:val="auto"/>
        </w:rPr>
        <w:t>七、供应商资质审查资料</w:t>
      </w:r>
      <w:r>
        <w:rPr>
          <w:rFonts w:hint="eastAsia" w:ascii="宋体" w:hAnsi="宋体" w:eastAsia="宋体" w:cs="宋体"/>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_Toc78884389 \h </w:instrText>
      </w:r>
      <w:r>
        <w:rPr>
          <w:rFonts w:hint="eastAsia" w:ascii="宋体" w:hAnsi="宋体" w:eastAsia="宋体" w:cs="宋体"/>
          <w:color w:val="auto"/>
        </w:rPr>
        <w:fldChar w:fldCharType="separate"/>
      </w:r>
      <w:r>
        <w:rPr>
          <w:rFonts w:hint="eastAsia" w:ascii="宋体" w:hAnsi="宋体" w:eastAsia="宋体" w:cs="宋体"/>
          <w:color w:val="auto"/>
        </w:rPr>
        <w:t>- 162 -</w:t>
      </w:r>
      <w:r>
        <w:rPr>
          <w:rFonts w:hint="eastAsia" w:ascii="宋体" w:hAnsi="宋体" w:eastAsia="宋体" w:cs="宋体"/>
          <w:color w:val="auto"/>
        </w:rPr>
        <w:fldChar w:fldCharType="end"/>
      </w:r>
      <w:r>
        <w:rPr>
          <w:rFonts w:hint="eastAsia" w:ascii="宋体" w:hAnsi="宋体" w:eastAsia="宋体" w:cs="宋体"/>
          <w:color w:val="auto"/>
        </w:rPr>
        <w:fldChar w:fldCharType="end"/>
      </w:r>
    </w:p>
    <w:p>
      <w:pPr>
        <w:pStyle w:val="23"/>
        <w:tabs>
          <w:tab w:val="right" w:leader="dot" w:pos="8720"/>
        </w:tabs>
        <w:spacing w:line="600" w:lineRule="auto"/>
        <w:rPr>
          <w:rFonts w:hint="eastAsia" w:ascii="宋体" w:hAnsi="宋体" w:eastAsia="宋体" w:cs="宋体"/>
          <w:color w:val="auto"/>
          <w:szCs w:val="22"/>
        </w:rPr>
      </w:pPr>
      <w:r>
        <w:rPr>
          <w:rFonts w:hint="eastAsia" w:ascii="宋体" w:hAnsi="宋体" w:eastAsia="宋体" w:cs="宋体"/>
          <w:color w:val="auto"/>
        </w:rPr>
        <w:fldChar w:fldCharType="begin"/>
      </w:r>
      <w:r>
        <w:rPr>
          <w:rFonts w:hint="eastAsia" w:ascii="宋体" w:hAnsi="宋体" w:eastAsia="宋体" w:cs="宋体"/>
          <w:color w:val="auto"/>
        </w:rPr>
        <w:instrText xml:space="preserve"> HYPERLINK \l "_Toc78884390" </w:instrText>
      </w:r>
      <w:r>
        <w:rPr>
          <w:rFonts w:hint="eastAsia" w:ascii="宋体" w:hAnsi="宋体" w:eastAsia="宋体" w:cs="宋体"/>
          <w:color w:val="auto"/>
        </w:rPr>
        <w:fldChar w:fldCharType="separate"/>
      </w:r>
      <w:r>
        <w:rPr>
          <w:rStyle w:val="35"/>
          <w:rFonts w:hint="eastAsia" w:ascii="宋体" w:hAnsi="宋体" w:eastAsia="宋体" w:cs="宋体"/>
          <w:color w:val="auto"/>
        </w:rPr>
        <w:t>八、技术投标方案</w:t>
      </w:r>
      <w:r>
        <w:rPr>
          <w:rFonts w:hint="eastAsia" w:ascii="宋体" w:hAnsi="宋体" w:eastAsia="宋体" w:cs="宋体"/>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_Toc78884390 \h </w:instrText>
      </w:r>
      <w:r>
        <w:rPr>
          <w:rFonts w:hint="eastAsia" w:ascii="宋体" w:hAnsi="宋体" w:eastAsia="宋体" w:cs="宋体"/>
          <w:color w:val="auto"/>
        </w:rPr>
        <w:fldChar w:fldCharType="separate"/>
      </w:r>
      <w:r>
        <w:rPr>
          <w:rFonts w:hint="eastAsia" w:ascii="宋体" w:hAnsi="宋体" w:eastAsia="宋体" w:cs="宋体"/>
          <w:color w:val="auto"/>
        </w:rPr>
        <w:t>- 164 -</w:t>
      </w:r>
      <w:r>
        <w:rPr>
          <w:rFonts w:hint="eastAsia" w:ascii="宋体" w:hAnsi="宋体" w:eastAsia="宋体" w:cs="宋体"/>
          <w:color w:val="auto"/>
        </w:rPr>
        <w:fldChar w:fldCharType="end"/>
      </w:r>
      <w:r>
        <w:rPr>
          <w:rFonts w:hint="eastAsia" w:ascii="宋体" w:hAnsi="宋体" w:eastAsia="宋体" w:cs="宋体"/>
          <w:color w:val="auto"/>
        </w:rPr>
        <w:fldChar w:fldCharType="end"/>
      </w:r>
    </w:p>
    <w:p>
      <w:pPr>
        <w:pStyle w:val="23"/>
        <w:tabs>
          <w:tab w:val="right" w:leader="dot" w:pos="8720"/>
        </w:tabs>
        <w:spacing w:line="600" w:lineRule="auto"/>
        <w:rPr>
          <w:rFonts w:hint="eastAsia" w:ascii="宋体" w:hAnsi="宋体" w:eastAsia="宋体" w:cs="宋体"/>
          <w:color w:val="auto"/>
          <w:szCs w:val="22"/>
        </w:rPr>
      </w:pPr>
      <w:r>
        <w:rPr>
          <w:rFonts w:hint="eastAsia" w:ascii="宋体" w:hAnsi="宋体" w:eastAsia="宋体" w:cs="宋体"/>
          <w:color w:val="auto"/>
        </w:rPr>
        <w:fldChar w:fldCharType="begin"/>
      </w:r>
      <w:r>
        <w:rPr>
          <w:rFonts w:hint="eastAsia" w:ascii="宋体" w:hAnsi="宋体" w:eastAsia="宋体" w:cs="宋体"/>
          <w:color w:val="auto"/>
        </w:rPr>
        <w:instrText xml:space="preserve"> HYPERLINK \l "_Toc78884391" </w:instrText>
      </w:r>
      <w:r>
        <w:rPr>
          <w:rFonts w:hint="eastAsia" w:ascii="宋体" w:hAnsi="宋体" w:eastAsia="宋体" w:cs="宋体"/>
          <w:color w:val="auto"/>
        </w:rPr>
        <w:fldChar w:fldCharType="separate"/>
      </w:r>
      <w:r>
        <w:rPr>
          <w:rStyle w:val="35"/>
          <w:rFonts w:hint="eastAsia" w:ascii="宋体" w:hAnsi="宋体" w:eastAsia="宋体" w:cs="宋体"/>
          <w:color w:val="auto"/>
        </w:rPr>
        <w:t>九、商务投标方案</w:t>
      </w:r>
      <w:r>
        <w:rPr>
          <w:rFonts w:hint="eastAsia" w:ascii="宋体" w:hAnsi="宋体" w:eastAsia="宋体" w:cs="宋体"/>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_Toc78884391 \h </w:instrText>
      </w:r>
      <w:r>
        <w:rPr>
          <w:rFonts w:hint="eastAsia" w:ascii="宋体" w:hAnsi="宋体" w:eastAsia="宋体" w:cs="宋体"/>
          <w:color w:val="auto"/>
        </w:rPr>
        <w:fldChar w:fldCharType="separate"/>
      </w:r>
      <w:r>
        <w:rPr>
          <w:rFonts w:hint="eastAsia" w:ascii="宋体" w:hAnsi="宋体" w:eastAsia="宋体" w:cs="宋体"/>
          <w:color w:val="auto"/>
        </w:rPr>
        <w:t>- 165 -</w:t>
      </w:r>
      <w:r>
        <w:rPr>
          <w:rFonts w:hint="eastAsia" w:ascii="宋体" w:hAnsi="宋体" w:eastAsia="宋体" w:cs="宋体"/>
          <w:color w:val="auto"/>
        </w:rPr>
        <w:fldChar w:fldCharType="end"/>
      </w:r>
      <w:r>
        <w:rPr>
          <w:rFonts w:hint="eastAsia" w:ascii="宋体" w:hAnsi="宋体" w:eastAsia="宋体" w:cs="宋体"/>
          <w:color w:val="auto"/>
        </w:rPr>
        <w:fldChar w:fldCharType="end"/>
      </w:r>
    </w:p>
    <w:p>
      <w:pPr>
        <w:pStyle w:val="23"/>
        <w:tabs>
          <w:tab w:val="right" w:leader="dot" w:pos="8720"/>
        </w:tabs>
        <w:spacing w:line="600" w:lineRule="auto"/>
        <w:rPr>
          <w:rFonts w:hint="eastAsia" w:ascii="宋体" w:hAnsi="宋体" w:eastAsia="宋体" w:cs="宋体"/>
          <w:color w:val="auto"/>
          <w:szCs w:val="22"/>
        </w:rPr>
      </w:pPr>
      <w:r>
        <w:rPr>
          <w:rFonts w:hint="eastAsia" w:ascii="宋体" w:hAnsi="宋体" w:eastAsia="宋体" w:cs="宋体"/>
          <w:color w:val="auto"/>
        </w:rPr>
        <w:fldChar w:fldCharType="begin"/>
      </w:r>
      <w:r>
        <w:rPr>
          <w:rFonts w:hint="eastAsia" w:ascii="宋体" w:hAnsi="宋体" w:eastAsia="宋体" w:cs="宋体"/>
          <w:color w:val="auto"/>
        </w:rPr>
        <w:instrText xml:space="preserve"> HYPERLINK \l "_Toc78884392" </w:instrText>
      </w:r>
      <w:r>
        <w:rPr>
          <w:rFonts w:hint="eastAsia" w:ascii="宋体" w:hAnsi="宋体" w:eastAsia="宋体" w:cs="宋体"/>
          <w:color w:val="auto"/>
        </w:rPr>
        <w:fldChar w:fldCharType="separate"/>
      </w:r>
      <w:r>
        <w:rPr>
          <w:rStyle w:val="35"/>
          <w:rFonts w:hint="eastAsia" w:ascii="宋体" w:hAnsi="宋体" w:eastAsia="宋体" w:cs="宋体"/>
          <w:color w:val="auto"/>
        </w:rPr>
        <w:t>十、供应商认为有必要说明的其他问题</w:t>
      </w:r>
      <w:r>
        <w:rPr>
          <w:rFonts w:hint="eastAsia" w:ascii="宋体" w:hAnsi="宋体" w:eastAsia="宋体" w:cs="宋体"/>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_Toc78884392 \h </w:instrText>
      </w:r>
      <w:r>
        <w:rPr>
          <w:rFonts w:hint="eastAsia" w:ascii="宋体" w:hAnsi="宋体" w:eastAsia="宋体" w:cs="宋体"/>
          <w:color w:val="auto"/>
        </w:rPr>
        <w:fldChar w:fldCharType="separate"/>
      </w:r>
      <w:r>
        <w:rPr>
          <w:rFonts w:hint="eastAsia" w:ascii="宋体" w:hAnsi="宋体" w:eastAsia="宋体" w:cs="宋体"/>
          <w:color w:val="auto"/>
        </w:rPr>
        <w:t>- 176 -</w:t>
      </w:r>
      <w:r>
        <w:rPr>
          <w:rFonts w:hint="eastAsia" w:ascii="宋体" w:hAnsi="宋体" w:eastAsia="宋体" w:cs="宋体"/>
          <w:color w:val="auto"/>
        </w:rPr>
        <w:fldChar w:fldCharType="end"/>
      </w:r>
      <w:r>
        <w:rPr>
          <w:rFonts w:hint="eastAsia" w:ascii="宋体" w:hAnsi="宋体" w:eastAsia="宋体" w:cs="宋体"/>
          <w:color w:val="auto"/>
        </w:rPr>
        <w:fldChar w:fldCharType="end"/>
      </w:r>
    </w:p>
    <w:p>
      <w:pPr>
        <w:spacing w:line="600" w:lineRule="auto"/>
        <w:rPr>
          <w:rFonts w:hint="eastAsia" w:ascii="宋体" w:hAnsi="宋体" w:eastAsia="宋体" w:cs="宋体"/>
          <w:color w:val="auto"/>
          <w:lang w:val="zh-CN"/>
        </w:rPr>
      </w:pPr>
      <w:r>
        <w:rPr>
          <w:rFonts w:hint="eastAsia" w:ascii="宋体" w:hAnsi="宋体" w:eastAsia="宋体" w:cs="宋体"/>
          <w:color w:val="auto"/>
          <w:lang w:val="zh-CN"/>
        </w:rPr>
        <w:fldChar w:fldCharType="end"/>
      </w:r>
    </w:p>
    <w:p>
      <w:pPr>
        <w:pStyle w:val="13"/>
        <w:rPr>
          <w:rFonts w:hint="eastAsia" w:ascii="宋体" w:hAnsi="宋体" w:eastAsia="宋体" w:cs="宋体"/>
          <w:color w:val="auto"/>
          <w:lang w:val="zh-CN"/>
        </w:rPr>
      </w:pPr>
    </w:p>
    <w:p>
      <w:pPr>
        <w:pStyle w:val="13"/>
        <w:rPr>
          <w:rFonts w:hint="eastAsia" w:ascii="宋体" w:hAnsi="宋体" w:eastAsia="宋体" w:cs="宋体"/>
          <w:color w:val="auto"/>
          <w:lang w:val="zh-CN"/>
        </w:rPr>
      </w:pPr>
    </w:p>
    <w:p>
      <w:pPr>
        <w:rPr>
          <w:rFonts w:hint="eastAsia" w:ascii="宋体" w:hAnsi="宋体" w:eastAsia="宋体" w:cs="宋体"/>
          <w:color w:val="auto"/>
          <w:lang w:val="zh-CN"/>
        </w:rPr>
      </w:pPr>
    </w:p>
    <w:p>
      <w:pPr>
        <w:pStyle w:val="4"/>
        <w:numPr>
          <w:ilvl w:val="0"/>
          <w:numId w:val="1"/>
        </w:numPr>
        <w:ind w:left="4176" w:leftChars="0" w:firstLineChars="0"/>
        <w:jc w:val="left"/>
        <w:rPr>
          <w:rFonts w:hint="eastAsia" w:ascii="宋体" w:hAnsi="宋体" w:eastAsia="宋体" w:cs="宋体"/>
          <w:b/>
          <w:color w:val="auto"/>
          <w:spacing w:val="-20"/>
          <w:sz w:val="32"/>
          <w:szCs w:val="24"/>
          <w:lang w:val="en-US" w:eastAsia="zh-CN"/>
        </w:rPr>
      </w:pPr>
      <w:r>
        <w:rPr>
          <w:rFonts w:hint="eastAsia" w:ascii="宋体" w:hAnsi="宋体" w:eastAsia="宋体" w:cs="宋体"/>
          <w:b/>
          <w:color w:val="auto"/>
          <w:spacing w:val="-20"/>
          <w:sz w:val="32"/>
          <w:szCs w:val="24"/>
          <w:lang w:val="en-US" w:eastAsia="zh-CN"/>
        </w:rPr>
        <w:t>竞争性磋商公告</w:t>
      </w:r>
    </w:p>
    <w:p>
      <w:pPr>
        <w:rPr>
          <w:rFonts w:hint="eastAsia" w:ascii="宋体" w:hAnsi="宋体" w:eastAsia="宋体" w:cs="宋体"/>
          <w:b/>
          <w:color w:val="auto"/>
          <w:spacing w:val="-20"/>
          <w:sz w:val="32"/>
          <w:szCs w:val="24"/>
          <w:lang w:val="en-US" w:eastAsia="zh-CN"/>
        </w:rPr>
      </w:pPr>
      <w:r>
        <w:rPr>
          <w:rFonts w:hint="eastAsia" w:ascii="宋体" w:hAnsi="宋体" w:eastAsia="宋体" w:cs="宋体"/>
          <w:color w:val="auto"/>
          <w:sz w:val="32"/>
        </w:rPr>
        <mc:AlternateContent>
          <mc:Choice Requires="wps">
            <w:drawing>
              <wp:anchor distT="0" distB="0" distL="114300" distR="114300" simplePos="0" relativeHeight="251668480" behindDoc="0" locked="0" layoutInCell="1" allowOverlap="1">
                <wp:simplePos x="0" y="0"/>
                <wp:positionH relativeFrom="column">
                  <wp:posOffset>9525</wp:posOffset>
                </wp:positionH>
                <wp:positionV relativeFrom="paragraph">
                  <wp:posOffset>242570</wp:posOffset>
                </wp:positionV>
                <wp:extent cx="5749925" cy="1634490"/>
                <wp:effectExtent l="5080" t="4445" r="17145" b="18415"/>
                <wp:wrapNone/>
                <wp:docPr id="8" name="文本框 8"/>
                <wp:cNvGraphicFramePr/>
                <a:graphic xmlns:a="http://schemas.openxmlformats.org/drawingml/2006/main">
                  <a:graphicData uri="http://schemas.microsoft.com/office/word/2010/wordprocessingShape">
                    <wps:wsp>
                      <wps:cNvSpPr txBox="1"/>
                      <wps:spPr>
                        <a:xfrm>
                          <a:off x="909320" y="1289685"/>
                          <a:ext cx="5749925" cy="163449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snapToGrid w:val="0"/>
                              <w:spacing w:line="360" w:lineRule="auto"/>
                              <w:ind w:firstLine="480"/>
                              <w:rPr>
                                <w:rFonts w:hint="eastAsia" w:ascii="仿宋" w:hAnsi="仿宋" w:eastAsia="仿宋" w:cs="仿宋"/>
                                <w:color w:val="C00000"/>
                                <w:sz w:val="6"/>
                                <w:szCs w:val="6"/>
                                <w:lang w:eastAsia="zh-CN"/>
                              </w:rPr>
                            </w:pPr>
                          </w:p>
                          <w:p>
                            <w:pPr>
                              <w:pStyle w:val="26"/>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textAlignment w:val="auto"/>
                              <w:rPr>
                                <w:rFonts w:hint="eastAsia" w:ascii="宋体" w:hAnsi="宋体" w:eastAsia="宋体" w:cs="宋体"/>
                                <w:b/>
                                <w:bCs w:val="0"/>
                                <w:color w:val="333333"/>
                                <w:sz w:val="24"/>
                                <w:szCs w:val="24"/>
                                <w:highlight w:val="none"/>
                                <w:shd w:val="clear" w:color="auto" w:fill="FFFFFF"/>
                              </w:rPr>
                            </w:pPr>
                            <w:r>
                              <w:rPr>
                                <w:rFonts w:hint="eastAsia" w:ascii="宋体" w:hAnsi="宋体" w:eastAsia="宋体" w:cs="宋体"/>
                                <w:b/>
                                <w:bCs w:val="0"/>
                                <w:color w:val="333333"/>
                                <w:sz w:val="24"/>
                                <w:szCs w:val="24"/>
                                <w:highlight w:val="none"/>
                                <w:shd w:val="clear" w:color="auto" w:fill="FFFFFF"/>
                              </w:rPr>
                              <w:t>项目概况</w:t>
                            </w:r>
                          </w:p>
                          <w:p>
                            <w:pPr>
                              <w:snapToGrid w:val="0"/>
                              <w:spacing w:line="360" w:lineRule="auto"/>
                              <w:ind w:firstLine="480"/>
                              <w:rPr>
                                <w:rFonts w:hint="eastAsia" w:ascii="宋体" w:hAnsi="宋体" w:eastAsia="宋体" w:cs="宋体"/>
                                <w:color w:val="auto"/>
                                <w:sz w:val="24"/>
                                <w:szCs w:val="24"/>
                                <w:lang w:eastAsia="zh-CN"/>
                              </w:rPr>
                            </w:pPr>
                            <w:r>
                              <w:rPr>
                                <w:rFonts w:hint="eastAsia" w:ascii="宋体" w:hAnsi="宋体" w:cs="宋体"/>
                                <w:color w:val="auto"/>
                                <w:sz w:val="24"/>
                                <w:szCs w:val="24"/>
                                <w:u w:val="single"/>
                                <w:lang w:val="en-US" w:eastAsia="zh-CN"/>
                              </w:rPr>
                              <w:t>汉中市南郑区“四改一拆一通一落地”-汉山街道办高庄村背街小巷硬化工程</w:t>
                            </w:r>
                            <w:r>
                              <w:rPr>
                                <w:rFonts w:hint="eastAsia" w:ascii="宋体" w:hAnsi="宋体" w:eastAsia="宋体" w:cs="宋体"/>
                                <w:color w:val="auto"/>
                                <w:sz w:val="24"/>
                                <w:szCs w:val="24"/>
                                <w:lang w:eastAsia="zh-CN"/>
                              </w:rPr>
                              <w:t>潜在的供应</w:t>
                            </w:r>
                            <w:r>
                              <w:rPr>
                                <w:rFonts w:hint="eastAsia" w:ascii="宋体" w:hAnsi="宋体" w:eastAsia="宋体" w:cs="宋体"/>
                                <w:b w:val="0"/>
                                <w:sz w:val="24"/>
                                <w:szCs w:val="24"/>
                              </w:rPr>
                              <w:t>商可在</w:t>
                            </w:r>
                            <w:r>
                              <w:rPr>
                                <w:rFonts w:hint="eastAsia" w:ascii="宋体" w:hAnsi="宋体" w:eastAsia="宋体" w:cs="宋体"/>
                                <w:b w:val="0"/>
                                <w:sz w:val="24"/>
                                <w:szCs w:val="24"/>
                                <w:lang w:eastAsia="zh-CN"/>
                              </w:rPr>
                              <w:t>陕西华兴工程咨询有限公司代理部办公室（地址：汉中市汉台区南门十字西南角</w:t>
                            </w:r>
                            <w:r>
                              <w:rPr>
                                <w:rFonts w:hint="eastAsia" w:ascii="宋体" w:hAnsi="宋体" w:eastAsia="宋体" w:cs="宋体"/>
                                <w:b w:val="0"/>
                                <w:sz w:val="24"/>
                                <w:szCs w:val="24"/>
                                <w:lang w:val="en-US" w:eastAsia="zh-CN"/>
                              </w:rPr>
                              <w:t>35#颐馨园商住楼11楼1102室</w:t>
                            </w:r>
                            <w:r>
                              <w:rPr>
                                <w:rFonts w:hint="eastAsia" w:ascii="宋体" w:hAnsi="宋体" w:eastAsia="宋体" w:cs="宋体"/>
                                <w:b w:val="0"/>
                                <w:sz w:val="24"/>
                                <w:szCs w:val="24"/>
                                <w:lang w:eastAsia="zh-CN"/>
                              </w:rPr>
                              <w:t>）</w:t>
                            </w:r>
                            <w:r>
                              <w:rPr>
                                <w:rFonts w:hint="eastAsia" w:ascii="宋体" w:hAnsi="宋体" w:eastAsia="宋体" w:cs="宋体"/>
                                <w:b w:val="0"/>
                                <w:sz w:val="24"/>
                                <w:szCs w:val="24"/>
                              </w:rPr>
                              <w:t>获取采购文</w:t>
                            </w:r>
                            <w:r>
                              <w:rPr>
                                <w:rFonts w:hint="eastAsia" w:ascii="宋体" w:hAnsi="宋体" w:eastAsia="宋体" w:cs="宋体"/>
                                <w:b w:val="0"/>
                                <w:color w:val="auto"/>
                                <w:sz w:val="24"/>
                                <w:szCs w:val="24"/>
                              </w:rPr>
                              <w:t>件，并于</w:t>
                            </w:r>
                            <w:r>
                              <w:rPr>
                                <w:rFonts w:hint="eastAsia" w:ascii="宋体" w:hAnsi="宋体" w:eastAsia="宋体" w:cs="宋体"/>
                                <w:b/>
                                <w:bCs/>
                                <w:color w:val="auto"/>
                                <w:sz w:val="24"/>
                                <w:szCs w:val="24"/>
                                <w:u w:val="single"/>
                              </w:rPr>
                              <w:t>202</w:t>
                            </w:r>
                            <w:r>
                              <w:rPr>
                                <w:rFonts w:hint="eastAsia" w:ascii="宋体" w:hAnsi="宋体" w:eastAsia="宋体" w:cs="宋体"/>
                                <w:b/>
                                <w:bCs/>
                                <w:color w:val="auto"/>
                                <w:sz w:val="24"/>
                                <w:szCs w:val="24"/>
                                <w:u w:val="single"/>
                                <w:lang w:val="en-US" w:eastAsia="zh-CN"/>
                              </w:rPr>
                              <w:t>2</w:t>
                            </w:r>
                            <w:r>
                              <w:rPr>
                                <w:rFonts w:hint="eastAsia" w:ascii="宋体" w:hAnsi="宋体" w:eastAsia="宋体" w:cs="宋体"/>
                                <w:b/>
                                <w:bCs/>
                                <w:color w:val="auto"/>
                                <w:sz w:val="24"/>
                                <w:szCs w:val="24"/>
                                <w:u w:val="single"/>
                              </w:rPr>
                              <w:t>年</w:t>
                            </w:r>
                            <w:r>
                              <w:rPr>
                                <w:rFonts w:hint="eastAsia" w:ascii="宋体" w:hAnsi="宋体" w:eastAsia="宋体" w:cs="宋体"/>
                                <w:b/>
                                <w:bCs/>
                                <w:color w:val="auto"/>
                                <w:sz w:val="24"/>
                                <w:szCs w:val="24"/>
                                <w:u w:val="single"/>
                                <w:lang w:val="en-US" w:eastAsia="zh-CN"/>
                              </w:rPr>
                              <w:t>08</w:t>
                            </w:r>
                            <w:r>
                              <w:rPr>
                                <w:rFonts w:hint="eastAsia" w:ascii="宋体" w:hAnsi="宋体" w:eastAsia="宋体" w:cs="宋体"/>
                                <w:b/>
                                <w:bCs/>
                                <w:color w:val="auto"/>
                                <w:sz w:val="24"/>
                                <w:szCs w:val="24"/>
                                <w:u w:val="single"/>
                              </w:rPr>
                              <w:t>月</w:t>
                            </w:r>
                            <w:r>
                              <w:rPr>
                                <w:rFonts w:hint="eastAsia" w:ascii="宋体" w:hAnsi="宋体" w:cs="宋体"/>
                                <w:b/>
                                <w:bCs/>
                                <w:color w:val="auto"/>
                                <w:sz w:val="24"/>
                                <w:szCs w:val="24"/>
                                <w:u w:val="single"/>
                                <w:lang w:val="en-US" w:eastAsia="zh-CN"/>
                              </w:rPr>
                              <w:t>24</w:t>
                            </w:r>
                            <w:r>
                              <w:rPr>
                                <w:rFonts w:hint="eastAsia" w:ascii="宋体" w:hAnsi="宋体" w:eastAsia="宋体" w:cs="宋体"/>
                                <w:b/>
                                <w:bCs/>
                                <w:color w:val="auto"/>
                                <w:sz w:val="24"/>
                                <w:szCs w:val="24"/>
                                <w:u w:val="single"/>
                              </w:rPr>
                              <w:t>日</w:t>
                            </w:r>
                            <w:r>
                              <w:rPr>
                                <w:rFonts w:hint="eastAsia" w:ascii="宋体" w:hAnsi="宋体" w:cs="宋体"/>
                                <w:b/>
                                <w:bCs/>
                                <w:color w:val="auto"/>
                                <w:sz w:val="24"/>
                                <w:szCs w:val="24"/>
                                <w:u w:val="single"/>
                                <w:lang w:val="en-US" w:eastAsia="zh-CN"/>
                              </w:rPr>
                              <w:t>10</w:t>
                            </w:r>
                            <w:r>
                              <w:rPr>
                                <w:rFonts w:hint="eastAsia" w:ascii="宋体" w:hAnsi="宋体" w:eastAsia="宋体" w:cs="宋体"/>
                                <w:b/>
                                <w:bCs/>
                                <w:color w:val="auto"/>
                                <w:sz w:val="24"/>
                                <w:szCs w:val="24"/>
                                <w:u w:val="single"/>
                              </w:rPr>
                              <w:t>:</w:t>
                            </w:r>
                            <w:r>
                              <w:rPr>
                                <w:rFonts w:hint="eastAsia" w:ascii="宋体" w:hAnsi="宋体" w:cs="宋体"/>
                                <w:b/>
                                <w:bCs/>
                                <w:color w:val="auto"/>
                                <w:sz w:val="24"/>
                                <w:szCs w:val="24"/>
                                <w:u w:val="single"/>
                                <w:lang w:val="en-US" w:eastAsia="zh-CN"/>
                              </w:rPr>
                              <w:t>30</w:t>
                            </w:r>
                            <w:r>
                              <w:rPr>
                                <w:rFonts w:hint="eastAsia" w:ascii="宋体" w:hAnsi="宋体" w:eastAsia="宋体" w:cs="宋体"/>
                                <w:b/>
                                <w:bCs/>
                                <w:color w:val="auto"/>
                                <w:sz w:val="24"/>
                                <w:szCs w:val="24"/>
                                <w:u w:val="single"/>
                              </w:rPr>
                              <w:t>:00</w:t>
                            </w:r>
                            <w:r>
                              <w:rPr>
                                <w:rFonts w:hint="eastAsia" w:ascii="宋体" w:hAnsi="宋体" w:eastAsia="宋体" w:cs="宋体"/>
                                <w:b w:val="0"/>
                                <w:color w:val="auto"/>
                                <w:sz w:val="24"/>
                                <w:szCs w:val="24"/>
                              </w:rPr>
                              <w:t>（北京时间）前提交响应文件</w:t>
                            </w:r>
                            <w:r>
                              <w:rPr>
                                <w:rFonts w:hint="eastAsia" w:ascii="宋体" w:hAnsi="宋体" w:eastAsia="宋体" w:cs="宋体"/>
                                <w:color w:val="auto"/>
                                <w:sz w:val="24"/>
                                <w:szCs w:val="24"/>
                                <w:lang w:eastAsia="zh-CN"/>
                              </w:rPr>
                              <w:t>。</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0.75pt;margin-top:19.1pt;height:128.7pt;width:452.75pt;z-index:251668480;mso-width-relative:page;mso-height-relative:page;" fillcolor="#FFFFFF [3201]" filled="t" stroked="t" coordsize="21600,21600" o:gfxdata="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">
                <v:fill on="t" focussize="0,0"/>
                <v:stroke weight="0.5pt" color="#000000 [3204]" joinstyle="round"/>
                <v:imagedata o:title=""/>
                <o:lock v:ext="edit" aspectratio="f"/>
                <v:textbox>
                  <w:txbxContent>
                    <w:p>
                      <w:pPr>
                        <w:snapToGrid w:val="0"/>
                        <w:spacing w:line="360" w:lineRule="auto"/>
                        <w:ind w:firstLine="480"/>
                        <w:rPr>
                          <w:rFonts w:hint="eastAsia" w:ascii="仿宋" w:hAnsi="仿宋" w:eastAsia="仿宋" w:cs="仿宋"/>
                          <w:color w:val="C00000"/>
                          <w:sz w:val="6"/>
                          <w:szCs w:val="6"/>
                          <w:lang w:eastAsia="zh-CN"/>
                        </w:rPr>
                      </w:pPr>
                    </w:p>
                    <w:p>
                      <w:pPr>
                        <w:pStyle w:val="26"/>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textAlignment w:val="auto"/>
                        <w:rPr>
                          <w:rFonts w:hint="eastAsia" w:ascii="宋体" w:hAnsi="宋体" w:eastAsia="宋体" w:cs="宋体"/>
                          <w:b/>
                          <w:bCs w:val="0"/>
                          <w:color w:val="333333"/>
                          <w:sz w:val="24"/>
                          <w:szCs w:val="24"/>
                          <w:highlight w:val="none"/>
                          <w:shd w:val="clear" w:color="auto" w:fill="FFFFFF"/>
                        </w:rPr>
                      </w:pPr>
                      <w:r>
                        <w:rPr>
                          <w:rFonts w:hint="eastAsia" w:ascii="宋体" w:hAnsi="宋体" w:eastAsia="宋体" w:cs="宋体"/>
                          <w:b/>
                          <w:bCs w:val="0"/>
                          <w:color w:val="333333"/>
                          <w:sz w:val="24"/>
                          <w:szCs w:val="24"/>
                          <w:highlight w:val="none"/>
                          <w:shd w:val="clear" w:color="auto" w:fill="FFFFFF"/>
                        </w:rPr>
                        <w:t>项目概况</w:t>
                      </w:r>
                    </w:p>
                    <w:p>
                      <w:pPr>
                        <w:snapToGrid w:val="0"/>
                        <w:spacing w:line="360" w:lineRule="auto"/>
                        <w:ind w:firstLine="480"/>
                        <w:rPr>
                          <w:rFonts w:hint="eastAsia" w:ascii="宋体" w:hAnsi="宋体" w:eastAsia="宋体" w:cs="宋体"/>
                          <w:color w:val="auto"/>
                          <w:sz w:val="24"/>
                          <w:szCs w:val="24"/>
                          <w:lang w:eastAsia="zh-CN"/>
                        </w:rPr>
                      </w:pPr>
                      <w:r>
                        <w:rPr>
                          <w:rFonts w:hint="eastAsia" w:ascii="宋体" w:hAnsi="宋体" w:cs="宋体"/>
                          <w:color w:val="auto"/>
                          <w:sz w:val="24"/>
                          <w:szCs w:val="24"/>
                          <w:u w:val="single"/>
                          <w:lang w:val="en-US" w:eastAsia="zh-CN"/>
                        </w:rPr>
                        <w:t>汉中市南郑区“四改一拆一通一落地”-汉山街道办高庄村背街小巷硬化工程</w:t>
                      </w:r>
                      <w:r>
                        <w:rPr>
                          <w:rFonts w:hint="eastAsia" w:ascii="宋体" w:hAnsi="宋体" w:eastAsia="宋体" w:cs="宋体"/>
                          <w:color w:val="auto"/>
                          <w:sz w:val="24"/>
                          <w:szCs w:val="24"/>
                          <w:lang w:eastAsia="zh-CN"/>
                        </w:rPr>
                        <w:t>潜在的供应</w:t>
                      </w:r>
                      <w:r>
                        <w:rPr>
                          <w:rFonts w:hint="eastAsia" w:ascii="宋体" w:hAnsi="宋体" w:eastAsia="宋体" w:cs="宋体"/>
                          <w:b w:val="0"/>
                          <w:sz w:val="24"/>
                          <w:szCs w:val="24"/>
                        </w:rPr>
                        <w:t>商可在</w:t>
                      </w:r>
                      <w:r>
                        <w:rPr>
                          <w:rFonts w:hint="eastAsia" w:ascii="宋体" w:hAnsi="宋体" w:eastAsia="宋体" w:cs="宋体"/>
                          <w:b w:val="0"/>
                          <w:sz w:val="24"/>
                          <w:szCs w:val="24"/>
                          <w:lang w:eastAsia="zh-CN"/>
                        </w:rPr>
                        <w:t>陕西华兴工程咨询有限公司代理部办公室（地址：汉中市汉台区南门十字西南角</w:t>
                      </w:r>
                      <w:r>
                        <w:rPr>
                          <w:rFonts w:hint="eastAsia" w:ascii="宋体" w:hAnsi="宋体" w:eastAsia="宋体" w:cs="宋体"/>
                          <w:b w:val="0"/>
                          <w:sz w:val="24"/>
                          <w:szCs w:val="24"/>
                          <w:lang w:val="en-US" w:eastAsia="zh-CN"/>
                        </w:rPr>
                        <w:t>35#颐馨园商住楼11楼1102室</w:t>
                      </w:r>
                      <w:r>
                        <w:rPr>
                          <w:rFonts w:hint="eastAsia" w:ascii="宋体" w:hAnsi="宋体" w:eastAsia="宋体" w:cs="宋体"/>
                          <w:b w:val="0"/>
                          <w:sz w:val="24"/>
                          <w:szCs w:val="24"/>
                          <w:lang w:eastAsia="zh-CN"/>
                        </w:rPr>
                        <w:t>）</w:t>
                      </w:r>
                      <w:r>
                        <w:rPr>
                          <w:rFonts w:hint="eastAsia" w:ascii="宋体" w:hAnsi="宋体" w:eastAsia="宋体" w:cs="宋体"/>
                          <w:b w:val="0"/>
                          <w:sz w:val="24"/>
                          <w:szCs w:val="24"/>
                        </w:rPr>
                        <w:t>获取采购文</w:t>
                      </w:r>
                      <w:r>
                        <w:rPr>
                          <w:rFonts w:hint="eastAsia" w:ascii="宋体" w:hAnsi="宋体" w:eastAsia="宋体" w:cs="宋体"/>
                          <w:b w:val="0"/>
                          <w:color w:val="auto"/>
                          <w:sz w:val="24"/>
                          <w:szCs w:val="24"/>
                        </w:rPr>
                        <w:t>件，并于</w:t>
                      </w:r>
                      <w:r>
                        <w:rPr>
                          <w:rFonts w:hint="eastAsia" w:ascii="宋体" w:hAnsi="宋体" w:eastAsia="宋体" w:cs="宋体"/>
                          <w:b/>
                          <w:bCs/>
                          <w:color w:val="auto"/>
                          <w:sz w:val="24"/>
                          <w:szCs w:val="24"/>
                          <w:u w:val="single"/>
                        </w:rPr>
                        <w:t>202</w:t>
                      </w:r>
                      <w:r>
                        <w:rPr>
                          <w:rFonts w:hint="eastAsia" w:ascii="宋体" w:hAnsi="宋体" w:eastAsia="宋体" w:cs="宋体"/>
                          <w:b/>
                          <w:bCs/>
                          <w:color w:val="auto"/>
                          <w:sz w:val="24"/>
                          <w:szCs w:val="24"/>
                          <w:u w:val="single"/>
                          <w:lang w:val="en-US" w:eastAsia="zh-CN"/>
                        </w:rPr>
                        <w:t>2</w:t>
                      </w:r>
                      <w:r>
                        <w:rPr>
                          <w:rFonts w:hint="eastAsia" w:ascii="宋体" w:hAnsi="宋体" w:eastAsia="宋体" w:cs="宋体"/>
                          <w:b/>
                          <w:bCs/>
                          <w:color w:val="auto"/>
                          <w:sz w:val="24"/>
                          <w:szCs w:val="24"/>
                          <w:u w:val="single"/>
                        </w:rPr>
                        <w:t>年</w:t>
                      </w:r>
                      <w:r>
                        <w:rPr>
                          <w:rFonts w:hint="eastAsia" w:ascii="宋体" w:hAnsi="宋体" w:eastAsia="宋体" w:cs="宋体"/>
                          <w:b/>
                          <w:bCs/>
                          <w:color w:val="auto"/>
                          <w:sz w:val="24"/>
                          <w:szCs w:val="24"/>
                          <w:u w:val="single"/>
                          <w:lang w:val="en-US" w:eastAsia="zh-CN"/>
                        </w:rPr>
                        <w:t>08</w:t>
                      </w:r>
                      <w:r>
                        <w:rPr>
                          <w:rFonts w:hint="eastAsia" w:ascii="宋体" w:hAnsi="宋体" w:eastAsia="宋体" w:cs="宋体"/>
                          <w:b/>
                          <w:bCs/>
                          <w:color w:val="auto"/>
                          <w:sz w:val="24"/>
                          <w:szCs w:val="24"/>
                          <w:u w:val="single"/>
                        </w:rPr>
                        <w:t>月</w:t>
                      </w:r>
                      <w:r>
                        <w:rPr>
                          <w:rFonts w:hint="eastAsia" w:ascii="宋体" w:hAnsi="宋体" w:cs="宋体"/>
                          <w:b/>
                          <w:bCs/>
                          <w:color w:val="auto"/>
                          <w:sz w:val="24"/>
                          <w:szCs w:val="24"/>
                          <w:u w:val="single"/>
                          <w:lang w:val="en-US" w:eastAsia="zh-CN"/>
                        </w:rPr>
                        <w:t>24</w:t>
                      </w:r>
                      <w:r>
                        <w:rPr>
                          <w:rFonts w:hint="eastAsia" w:ascii="宋体" w:hAnsi="宋体" w:eastAsia="宋体" w:cs="宋体"/>
                          <w:b/>
                          <w:bCs/>
                          <w:color w:val="auto"/>
                          <w:sz w:val="24"/>
                          <w:szCs w:val="24"/>
                          <w:u w:val="single"/>
                        </w:rPr>
                        <w:t>日</w:t>
                      </w:r>
                      <w:r>
                        <w:rPr>
                          <w:rFonts w:hint="eastAsia" w:ascii="宋体" w:hAnsi="宋体" w:cs="宋体"/>
                          <w:b/>
                          <w:bCs/>
                          <w:color w:val="auto"/>
                          <w:sz w:val="24"/>
                          <w:szCs w:val="24"/>
                          <w:u w:val="single"/>
                          <w:lang w:val="en-US" w:eastAsia="zh-CN"/>
                        </w:rPr>
                        <w:t>10</w:t>
                      </w:r>
                      <w:r>
                        <w:rPr>
                          <w:rFonts w:hint="eastAsia" w:ascii="宋体" w:hAnsi="宋体" w:eastAsia="宋体" w:cs="宋体"/>
                          <w:b/>
                          <w:bCs/>
                          <w:color w:val="auto"/>
                          <w:sz w:val="24"/>
                          <w:szCs w:val="24"/>
                          <w:u w:val="single"/>
                        </w:rPr>
                        <w:t>:</w:t>
                      </w:r>
                      <w:r>
                        <w:rPr>
                          <w:rFonts w:hint="eastAsia" w:ascii="宋体" w:hAnsi="宋体" w:cs="宋体"/>
                          <w:b/>
                          <w:bCs/>
                          <w:color w:val="auto"/>
                          <w:sz w:val="24"/>
                          <w:szCs w:val="24"/>
                          <w:u w:val="single"/>
                          <w:lang w:val="en-US" w:eastAsia="zh-CN"/>
                        </w:rPr>
                        <w:t>30</w:t>
                      </w:r>
                      <w:r>
                        <w:rPr>
                          <w:rFonts w:hint="eastAsia" w:ascii="宋体" w:hAnsi="宋体" w:eastAsia="宋体" w:cs="宋体"/>
                          <w:b/>
                          <w:bCs/>
                          <w:color w:val="auto"/>
                          <w:sz w:val="24"/>
                          <w:szCs w:val="24"/>
                          <w:u w:val="single"/>
                        </w:rPr>
                        <w:t>:00</w:t>
                      </w:r>
                      <w:r>
                        <w:rPr>
                          <w:rFonts w:hint="eastAsia" w:ascii="宋体" w:hAnsi="宋体" w:eastAsia="宋体" w:cs="宋体"/>
                          <w:b w:val="0"/>
                          <w:color w:val="auto"/>
                          <w:sz w:val="24"/>
                          <w:szCs w:val="24"/>
                        </w:rPr>
                        <w:t>（北京时间）前提交响应文件</w:t>
                      </w:r>
                      <w:r>
                        <w:rPr>
                          <w:rFonts w:hint="eastAsia" w:ascii="宋体" w:hAnsi="宋体" w:eastAsia="宋体" w:cs="宋体"/>
                          <w:color w:val="auto"/>
                          <w:sz w:val="24"/>
                          <w:szCs w:val="24"/>
                          <w:lang w:eastAsia="zh-CN"/>
                        </w:rPr>
                        <w:t>。</w:t>
                      </w:r>
                    </w:p>
                  </w:txbxContent>
                </v:textbox>
              </v:shape>
            </w:pict>
          </mc:Fallback>
        </mc:AlternateContent>
      </w:r>
    </w:p>
    <w:p>
      <w:pPr>
        <w:pStyle w:val="13"/>
        <w:rPr>
          <w:rFonts w:hint="eastAsia" w:ascii="宋体" w:hAnsi="宋体" w:eastAsia="宋体" w:cs="宋体"/>
          <w:b/>
          <w:color w:val="auto"/>
          <w:spacing w:val="-20"/>
          <w:sz w:val="32"/>
          <w:szCs w:val="24"/>
          <w:lang w:val="en-US" w:eastAsia="zh-CN"/>
        </w:rPr>
      </w:pPr>
    </w:p>
    <w:p>
      <w:pPr>
        <w:rPr>
          <w:rFonts w:hint="eastAsia" w:ascii="宋体" w:hAnsi="宋体" w:eastAsia="宋体" w:cs="宋体"/>
          <w:color w:val="auto"/>
          <w:lang w:val="en-US" w:eastAsia="zh-CN"/>
        </w:rPr>
      </w:pPr>
    </w:p>
    <w:p>
      <w:pPr>
        <w:rPr>
          <w:rFonts w:hint="eastAsia" w:ascii="宋体" w:hAnsi="宋体" w:eastAsia="宋体" w:cs="宋体"/>
          <w:b/>
          <w:bCs/>
          <w:color w:val="auto"/>
          <w:lang w:val="en-US" w:eastAsia="zh-CN"/>
        </w:rPr>
      </w:pPr>
    </w:p>
    <w:p>
      <w:pPr>
        <w:snapToGrid w:val="0"/>
        <w:spacing w:line="360" w:lineRule="auto"/>
        <w:ind w:firstLine="480"/>
        <w:rPr>
          <w:rFonts w:hint="eastAsia" w:ascii="宋体" w:hAnsi="宋体" w:eastAsia="宋体" w:cs="宋体"/>
          <w:color w:val="auto"/>
          <w:sz w:val="24"/>
        </w:rPr>
      </w:pPr>
      <w:r>
        <w:rPr>
          <w:rFonts w:hint="eastAsia" w:ascii="宋体" w:hAnsi="宋体" w:eastAsia="宋体" w:cs="宋体"/>
          <w:color w:val="auto"/>
          <w:sz w:val="24"/>
        </w:rPr>
        <w:t>。</w:t>
      </w:r>
    </w:p>
    <w:p>
      <w:pPr>
        <w:keepNext w:val="0"/>
        <w:keepLines w:val="0"/>
        <w:pageBreakBefore w:val="0"/>
        <w:widowControl w:val="0"/>
        <w:kinsoku/>
        <w:wordWrap/>
        <w:overflowPunct/>
        <w:topLinePunct w:val="0"/>
        <w:autoSpaceDE/>
        <w:autoSpaceDN/>
        <w:bidi w:val="0"/>
        <w:adjustRightInd/>
        <w:snapToGrid w:val="0"/>
        <w:spacing w:after="120" w:afterLines="50" w:line="408" w:lineRule="auto"/>
        <w:textAlignment w:val="auto"/>
        <w:rPr>
          <w:rFonts w:hint="eastAsia" w:ascii="宋体" w:hAnsi="宋体" w:eastAsia="宋体" w:cs="宋体"/>
          <w:b/>
          <w:color w:val="auto"/>
          <w:sz w:val="28"/>
        </w:rPr>
      </w:pPr>
    </w:p>
    <w:p>
      <w:pPr>
        <w:pStyle w:val="2"/>
        <w:rPr>
          <w:rFonts w:hint="eastAsia"/>
        </w:rPr>
      </w:pPr>
    </w:p>
    <w:p>
      <w:pPr>
        <w:pStyle w:val="26"/>
        <w:numPr>
          <w:ilvl w:val="0"/>
          <w:numId w:val="0"/>
        </w:numPr>
        <w:spacing w:before="0" w:beforeAutospacing="0" w:after="0" w:afterAutospacing="0" w:line="360" w:lineRule="auto"/>
        <w:rPr>
          <w:rFonts w:hint="eastAsia" w:ascii="宋体" w:hAnsi="宋体" w:eastAsia="宋体" w:cs="宋体"/>
          <w:b/>
          <w:color w:val="333333"/>
          <w:sz w:val="24"/>
          <w:szCs w:val="24"/>
          <w:highlight w:val="none"/>
          <w:shd w:val="clear" w:color="auto" w:fill="FFFFFF"/>
        </w:rPr>
      </w:pPr>
      <w:r>
        <w:rPr>
          <w:rFonts w:hint="eastAsia" w:eastAsia="宋体" w:cs="宋体"/>
          <w:b/>
          <w:color w:val="333333"/>
          <w:sz w:val="24"/>
          <w:szCs w:val="24"/>
          <w:highlight w:val="none"/>
          <w:shd w:val="clear" w:color="auto" w:fill="FFFFFF"/>
          <w:lang w:eastAsia="zh-CN"/>
        </w:rPr>
        <w:t>一、</w:t>
      </w:r>
      <w:r>
        <w:rPr>
          <w:rFonts w:hint="eastAsia" w:ascii="宋体" w:hAnsi="宋体" w:eastAsia="宋体" w:cs="宋体"/>
          <w:b/>
          <w:color w:val="333333"/>
          <w:sz w:val="24"/>
          <w:szCs w:val="24"/>
          <w:highlight w:val="none"/>
          <w:shd w:val="clear" w:color="auto" w:fill="FFFFFF"/>
        </w:rPr>
        <w:t>项目基本情况：</w:t>
      </w:r>
    </w:p>
    <w:p>
      <w:pPr>
        <w:snapToGrid w:val="0"/>
        <w:spacing w:line="480" w:lineRule="auto"/>
        <w:ind w:firstLine="480"/>
        <w:rPr>
          <w:rFonts w:hint="eastAsia" w:ascii="宋体" w:hAnsi="宋体" w:eastAsia="宋体" w:cs="宋体"/>
          <w:color w:val="auto"/>
          <w:sz w:val="24"/>
        </w:rPr>
      </w:pPr>
      <w:r>
        <w:rPr>
          <w:rFonts w:hint="eastAsia" w:ascii="宋体" w:hAnsi="宋体" w:eastAsia="宋体" w:cs="宋体"/>
          <w:color w:val="auto"/>
          <w:sz w:val="24"/>
        </w:rPr>
        <w:t>1、项目编号：</w:t>
      </w:r>
      <w:r>
        <w:rPr>
          <w:rFonts w:hint="eastAsia" w:ascii="宋体" w:hAnsi="宋体" w:cs="宋体"/>
          <w:color w:val="auto"/>
          <w:sz w:val="24"/>
          <w:lang w:val="en-US" w:eastAsia="zh-CN"/>
        </w:rPr>
        <w:t>HXGC-HWD-南郑区-2022-0705</w:t>
      </w:r>
    </w:p>
    <w:p>
      <w:pPr>
        <w:snapToGrid w:val="0"/>
        <w:spacing w:line="480" w:lineRule="auto"/>
        <w:ind w:firstLine="480"/>
        <w:rPr>
          <w:rFonts w:hint="eastAsia" w:ascii="宋体" w:hAnsi="宋体" w:eastAsia="宋体" w:cs="宋体"/>
          <w:color w:val="auto"/>
          <w:sz w:val="24"/>
          <w:lang w:eastAsia="zh-CN"/>
        </w:rPr>
      </w:pPr>
      <w:r>
        <w:rPr>
          <w:rFonts w:hint="eastAsia" w:ascii="宋体" w:hAnsi="宋体" w:eastAsia="宋体" w:cs="宋体"/>
          <w:color w:val="auto"/>
          <w:sz w:val="24"/>
        </w:rPr>
        <w:t>2、项目名称：</w:t>
      </w:r>
      <w:r>
        <w:rPr>
          <w:rFonts w:hint="eastAsia" w:ascii="宋体" w:hAnsi="宋体" w:cs="宋体"/>
          <w:color w:val="auto"/>
          <w:sz w:val="24"/>
          <w:lang w:val="en-US" w:eastAsia="zh-CN"/>
        </w:rPr>
        <w:t>汉中市南郑区“四改一拆一通一落地”-汉山街道办高庄村背街小巷硬化工程</w:t>
      </w:r>
    </w:p>
    <w:p>
      <w:pPr>
        <w:snapToGrid w:val="0"/>
        <w:spacing w:line="480" w:lineRule="auto"/>
        <w:ind w:firstLine="480"/>
        <w:rPr>
          <w:rFonts w:hint="eastAsia" w:ascii="宋体" w:hAnsi="宋体" w:eastAsia="宋体" w:cs="宋体"/>
          <w:b/>
          <w:bCs/>
          <w:color w:val="auto"/>
          <w:sz w:val="24"/>
        </w:rPr>
      </w:pPr>
      <w:r>
        <w:rPr>
          <w:rFonts w:hint="eastAsia" w:ascii="宋体" w:hAnsi="宋体" w:eastAsia="宋体" w:cs="宋体"/>
          <w:b/>
          <w:bCs/>
          <w:color w:val="auto"/>
          <w:sz w:val="24"/>
        </w:rPr>
        <w:t>3、预算金额：</w:t>
      </w:r>
      <w:r>
        <w:rPr>
          <w:rFonts w:hint="eastAsia" w:ascii="宋体" w:hAnsi="宋体" w:cs="宋体"/>
          <w:b/>
          <w:bCs/>
          <w:color w:val="auto"/>
          <w:sz w:val="24"/>
          <w:lang w:val="en-US" w:eastAsia="zh-CN"/>
        </w:rPr>
        <w:t>1,767,954.26</w:t>
      </w:r>
      <w:r>
        <w:rPr>
          <w:rFonts w:hint="eastAsia" w:ascii="宋体" w:hAnsi="宋体" w:eastAsia="宋体" w:cs="宋体"/>
          <w:b/>
          <w:bCs/>
          <w:color w:val="auto"/>
          <w:sz w:val="24"/>
        </w:rPr>
        <w:t>元</w:t>
      </w:r>
    </w:p>
    <w:p>
      <w:pPr>
        <w:snapToGrid w:val="0"/>
        <w:spacing w:line="480" w:lineRule="auto"/>
        <w:ind w:firstLine="480"/>
        <w:rPr>
          <w:rFonts w:hint="eastAsia" w:ascii="宋体" w:hAnsi="宋体" w:eastAsia="宋体" w:cs="宋体"/>
          <w:color w:val="auto"/>
          <w:lang w:val="en-US" w:eastAsia="zh-CN"/>
        </w:rPr>
      </w:pPr>
      <w:r>
        <w:rPr>
          <w:rFonts w:hint="eastAsia" w:ascii="宋体" w:hAnsi="宋体" w:eastAsia="宋体" w:cs="宋体"/>
          <w:b/>
          <w:bCs/>
          <w:color w:val="auto"/>
          <w:sz w:val="24"/>
        </w:rPr>
        <w:t>4、最高限价：</w:t>
      </w:r>
      <w:r>
        <w:rPr>
          <w:rFonts w:hint="eastAsia" w:ascii="宋体" w:hAnsi="宋体" w:cs="宋体"/>
          <w:b/>
          <w:bCs/>
          <w:color w:val="auto"/>
          <w:sz w:val="24"/>
          <w:lang w:val="en-US" w:eastAsia="zh-CN"/>
        </w:rPr>
        <w:t>1,767,954.26</w:t>
      </w:r>
      <w:r>
        <w:rPr>
          <w:rFonts w:hint="eastAsia" w:ascii="宋体" w:hAnsi="宋体" w:eastAsia="宋体" w:cs="宋体"/>
          <w:b/>
          <w:bCs/>
          <w:color w:val="auto"/>
          <w:sz w:val="24"/>
        </w:rPr>
        <w:t>元</w:t>
      </w:r>
    </w:p>
    <w:p>
      <w:pPr>
        <w:numPr>
          <w:ilvl w:val="0"/>
          <w:numId w:val="0"/>
        </w:numPr>
        <w:snapToGrid w:val="0"/>
        <w:spacing w:line="480" w:lineRule="auto"/>
        <w:ind w:firstLine="482" w:firstLineChars="200"/>
        <w:rPr>
          <w:rFonts w:hint="eastAsia" w:ascii="宋体" w:hAnsi="宋体" w:eastAsia="宋体" w:cs="宋体"/>
          <w:color w:val="auto"/>
          <w:sz w:val="24"/>
          <w:lang w:eastAsia="zh-CN"/>
        </w:rPr>
      </w:pPr>
      <w:r>
        <w:rPr>
          <w:rFonts w:hint="eastAsia" w:ascii="宋体" w:hAnsi="宋体" w:eastAsia="宋体" w:cs="宋体"/>
          <w:b/>
          <w:bCs/>
          <w:color w:val="auto"/>
          <w:sz w:val="24"/>
          <w:lang w:val="en-US" w:eastAsia="zh-CN"/>
        </w:rPr>
        <w:t>5、</w:t>
      </w:r>
      <w:r>
        <w:rPr>
          <w:rFonts w:hint="eastAsia" w:ascii="宋体" w:hAnsi="宋体" w:eastAsia="宋体" w:cs="宋体"/>
          <w:b/>
          <w:bCs/>
          <w:color w:val="auto"/>
          <w:sz w:val="24"/>
        </w:rPr>
        <w:t>采购需求：</w:t>
      </w:r>
      <w:r>
        <w:rPr>
          <w:rFonts w:hint="eastAsia" w:ascii="宋体" w:hAnsi="宋体" w:cs="宋体"/>
          <w:b/>
          <w:bCs/>
          <w:color w:val="auto"/>
          <w:sz w:val="24"/>
          <w:lang w:val="en-US" w:eastAsia="zh-CN"/>
        </w:rPr>
        <w:t>汉中市南郑区“四改一拆一通一落地”-汉山街道办高庄村背街小巷硬化工程</w:t>
      </w:r>
      <w:r>
        <w:rPr>
          <w:rFonts w:hint="eastAsia" w:ascii="宋体" w:hAnsi="宋体" w:eastAsia="宋体" w:cs="宋体"/>
          <w:b/>
          <w:bCs/>
          <w:color w:val="auto"/>
          <w:sz w:val="24"/>
        </w:rPr>
        <w:t>，1项，采购预算</w:t>
      </w:r>
      <w:r>
        <w:rPr>
          <w:rFonts w:hint="eastAsia" w:ascii="宋体" w:hAnsi="宋体" w:eastAsia="宋体" w:cs="宋体"/>
          <w:b/>
          <w:bCs/>
          <w:color w:val="auto"/>
          <w:sz w:val="24"/>
          <w:lang w:eastAsia="zh-CN"/>
        </w:rPr>
        <w:t>（最高限价）</w:t>
      </w:r>
      <w:r>
        <w:rPr>
          <w:rFonts w:hint="eastAsia" w:ascii="宋体" w:hAnsi="宋体" w:eastAsia="宋体" w:cs="宋体"/>
          <w:b/>
          <w:bCs/>
          <w:color w:val="auto"/>
          <w:sz w:val="24"/>
        </w:rPr>
        <w:t>：</w:t>
      </w:r>
      <w:r>
        <w:rPr>
          <w:rFonts w:hint="eastAsia" w:ascii="宋体" w:hAnsi="宋体" w:eastAsia="宋体" w:cs="宋体"/>
          <w:b/>
          <w:bCs/>
          <w:color w:val="auto"/>
          <w:sz w:val="24"/>
          <w:lang w:val="en-US" w:eastAsia="zh-CN"/>
        </w:rPr>
        <w:t>1,767,954.26</w:t>
      </w:r>
      <w:r>
        <w:rPr>
          <w:rFonts w:hint="eastAsia" w:ascii="宋体" w:hAnsi="宋体" w:eastAsia="宋体" w:cs="宋体"/>
          <w:b/>
          <w:bCs/>
          <w:color w:val="auto"/>
          <w:sz w:val="24"/>
        </w:rPr>
        <w:t>元。</w:t>
      </w:r>
      <w:r>
        <w:rPr>
          <w:rFonts w:hint="eastAsia" w:ascii="宋体" w:hAnsi="宋体" w:eastAsia="宋体" w:cs="宋体"/>
          <w:color w:val="auto"/>
          <w:sz w:val="24"/>
        </w:rPr>
        <w:t>项目概况：</w:t>
      </w:r>
      <w:r>
        <w:rPr>
          <w:rFonts w:hint="eastAsia" w:ascii="宋体" w:hAnsi="宋体" w:eastAsia="宋体" w:cs="宋体"/>
          <w:color w:val="auto"/>
          <w:sz w:val="24"/>
          <w:lang w:eastAsia="zh-CN"/>
        </w:rPr>
        <w:t>南郑大道非机动车道铺沥青混凝土路面，村内道路加铺沥青混凝土面层及水泥混凝土地面硬化；混凝土路肩浇筑，混凝土道沿安装，成品</w:t>
      </w:r>
      <w:r>
        <w:rPr>
          <w:rFonts w:hint="eastAsia" w:ascii="宋体" w:hAnsi="宋体" w:eastAsia="宋体" w:cs="宋体"/>
          <w:color w:val="auto"/>
          <w:sz w:val="24"/>
          <w:lang w:val="en-US" w:eastAsia="zh-CN"/>
        </w:rPr>
        <w:t>80U型渠</w:t>
      </w:r>
      <w:r>
        <w:rPr>
          <w:rFonts w:hint="eastAsia" w:ascii="宋体" w:hAnsi="宋体" w:eastAsia="宋体" w:cs="宋体"/>
          <w:color w:val="auto"/>
          <w:sz w:val="24"/>
          <w:lang w:eastAsia="zh-CN"/>
        </w:rPr>
        <w:t>砌筑，混凝土挡墙砌筑，雨污水混凝土管道铺设，砖砌检查井砌筑，砖砌雨水口砌筑，电缆铺设及绿化工程</w:t>
      </w:r>
      <w:r>
        <w:rPr>
          <w:rFonts w:hint="eastAsia" w:ascii="宋体" w:hAnsi="宋体" w:eastAsia="宋体" w:cs="宋体"/>
          <w:color w:val="auto"/>
          <w:sz w:val="24"/>
          <w:lang w:val="en-US" w:eastAsia="zh-CN"/>
        </w:rPr>
        <w:t>等</w:t>
      </w:r>
      <w:r>
        <w:rPr>
          <w:rFonts w:hint="eastAsia" w:ascii="宋体" w:hAnsi="宋体" w:eastAsia="宋体" w:cs="宋体"/>
          <w:color w:val="auto"/>
          <w:sz w:val="24"/>
          <w:lang w:eastAsia="zh-CN"/>
        </w:rPr>
        <w:t>（</w:t>
      </w:r>
      <w:r>
        <w:rPr>
          <w:rFonts w:hint="eastAsia" w:ascii="宋体" w:hAnsi="宋体" w:eastAsia="宋体" w:cs="宋体"/>
          <w:color w:val="auto"/>
          <w:sz w:val="24"/>
        </w:rPr>
        <w:t>具体</w:t>
      </w:r>
      <w:r>
        <w:rPr>
          <w:rFonts w:hint="eastAsia" w:ascii="宋体" w:hAnsi="宋体" w:eastAsia="宋体" w:cs="宋体"/>
          <w:color w:val="auto"/>
          <w:sz w:val="24"/>
          <w:lang w:eastAsia="zh-CN"/>
        </w:rPr>
        <w:t>内容</w:t>
      </w:r>
      <w:r>
        <w:rPr>
          <w:rFonts w:hint="eastAsia" w:ascii="宋体" w:hAnsi="宋体" w:eastAsia="宋体" w:cs="宋体"/>
          <w:color w:val="auto"/>
          <w:sz w:val="24"/>
        </w:rPr>
        <w:t>详见施工图及工程量清单</w:t>
      </w:r>
      <w:r>
        <w:rPr>
          <w:rFonts w:hint="eastAsia" w:ascii="宋体" w:hAnsi="宋体" w:eastAsia="宋体" w:cs="宋体"/>
          <w:color w:val="auto"/>
          <w:sz w:val="24"/>
          <w:lang w:eastAsia="zh-CN"/>
        </w:rPr>
        <w:t>）</w:t>
      </w:r>
      <w:r>
        <w:rPr>
          <w:rFonts w:hint="eastAsia" w:ascii="宋体" w:hAnsi="宋体" w:eastAsia="宋体" w:cs="宋体"/>
          <w:color w:val="auto"/>
          <w:sz w:val="24"/>
        </w:rPr>
        <w:t>。简要技术要求、用途：</w:t>
      </w:r>
      <w:r>
        <w:rPr>
          <w:rFonts w:hint="eastAsia" w:ascii="宋体" w:hAnsi="宋体" w:eastAsia="宋体" w:cs="宋体"/>
          <w:color w:val="auto"/>
          <w:sz w:val="24"/>
          <w:lang w:eastAsia="zh-CN"/>
        </w:rPr>
        <w:t>单位自用。</w:t>
      </w:r>
    </w:p>
    <w:p>
      <w:pPr>
        <w:snapToGrid w:val="0"/>
        <w:spacing w:line="480" w:lineRule="auto"/>
        <w:ind w:firstLine="480"/>
        <w:rPr>
          <w:rFonts w:hint="eastAsia" w:ascii="宋体" w:hAnsi="宋体" w:eastAsia="宋体" w:cs="宋体"/>
          <w:color w:val="auto"/>
          <w:sz w:val="24"/>
          <w:lang w:eastAsia="zh-CN"/>
        </w:rPr>
      </w:pPr>
      <w:r>
        <w:rPr>
          <w:rFonts w:hint="eastAsia" w:ascii="宋体" w:hAnsi="宋体" w:eastAsia="宋体" w:cs="宋体"/>
          <w:color w:val="auto"/>
          <w:sz w:val="24"/>
        </w:rPr>
        <w:t>6、合同履行期限：20</w:t>
      </w:r>
      <w:r>
        <w:rPr>
          <w:rFonts w:hint="eastAsia" w:ascii="宋体" w:hAnsi="宋体" w:eastAsia="宋体" w:cs="宋体"/>
          <w:color w:val="auto"/>
          <w:sz w:val="24"/>
          <w:lang w:val="en-US" w:eastAsia="zh-CN"/>
        </w:rPr>
        <w:t>22</w:t>
      </w:r>
      <w:r>
        <w:rPr>
          <w:rFonts w:hint="eastAsia" w:ascii="宋体" w:hAnsi="宋体" w:eastAsia="宋体" w:cs="宋体"/>
          <w:color w:val="auto"/>
          <w:sz w:val="24"/>
        </w:rPr>
        <w:t>-</w:t>
      </w:r>
      <w:r>
        <w:rPr>
          <w:rFonts w:hint="eastAsia" w:ascii="宋体" w:hAnsi="宋体" w:cs="宋体"/>
          <w:color w:val="auto"/>
          <w:sz w:val="24"/>
          <w:lang w:val="en-US" w:eastAsia="zh-CN"/>
        </w:rPr>
        <w:t>08</w:t>
      </w:r>
      <w:r>
        <w:rPr>
          <w:rFonts w:hint="eastAsia" w:ascii="宋体" w:hAnsi="宋体" w:eastAsia="宋体" w:cs="宋体"/>
          <w:color w:val="auto"/>
          <w:sz w:val="24"/>
        </w:rPr>
        <w:t>-</w:t>
      </w:r>
      <w:r>
        <w:rPr>
          <w:rFonts w:hint="eastAsia" w:ascii="宋体" w:hAnsi="宋体" w:cs="宋体"/>
          <w:color w:val="auto"/>
          <w:sz w:val="24"/>
          <w:lang w:val="en-US" w:eastAsia="zh-CN"/>
        </w:rPr>
        <w:t>30</w:t>
      </w:r>
      <w:r>
        <w:rPr>
          <w:rFonts w:hint="eastAsia" w:ascii="宋体" w:hAnsi="宋体" w:eastAsia="宋体" w:cs="宋体"/>
          <w:color w:val="auto"/>
          <w:sz w:val="24"/>
        </w:rPr>
        <w:t xml:space="preserve"> 00:00:00 至 20</w:t>
      </w:r>
      <w:r>
        <w:rPr>
          <w:rFonts w:hint="eastAsia" w:ascii="宋体" w:hAnsi="宋体" w:eastAsia="宋体" w:cs="宋体"/>
          <w:color w:val="auto"/>
          <w:sz w:val="24"/>
          <w:lang w:val="en-US" w:eastAsia="zh-CN"/>
        </w:rPr>
        <w:t>22</w:t>
      </w:r>
      <w:r>
        <w:rPr>
          <w:rFonts w:hint="eastAsia" w:ascii="宋体" w:hAnsi="宋体" w:eastAsia="宋体" w:cs="宋体"/>
          <w:color w:val="auto"/>
          <w:sz w:val="24"/>
        </w:rPr>
        <w:t>-</w:t>
      </w:r>
      <w:r>
        <w:rPr>
          <w:rFonts w:hint="eastAsia" w:ascii="宋体" w:hAnsi="宋体" w:eastAsia="宋体" w:cs="宋体"/>
          <w:color w:val="auto"/>
          <w:sz w:val="24"/>
          <w:lang w:val="en-US" w:eastAsia="zh-CN"/>
        </w:rPr>
        <w:t>11</w:t>
      </w:r>
      <w:r>
        <w:rPr>
          <w:rFonts w:hint="eastAsia" w:ascii="宋体" w:hAnsi="宋体" w:eastAsia="宋体" w:cs="宋体"/>
          <w:color w:val="auto"/>
          <w:sz w:val="24"/>
        </w:rPr>
        <w:t>-</w:t>
      </w:r>
      <w:r>
        <w:rPr>
          <w:rFonts w:hint="eastAsia" w:ascii="宋体" w:hAnsi="宋体" w:cs="宋体"/>
          <w:color w:val="auto"/>
          <w:sz w:val="24"/>
          <w:lang w:val="en-US" w:eastAsia="zh-CN"/>
        </w:rPr>
        <w:t>30</w:t>
      </w:r>
      <w:r>
        <w:rPr>
          <w:rFonts w:hint="eastAsia" w:ascii="宋体" w:hAnsi="宋体" w:eastAsia="宋体" w:cs="宋体"/>
          <w:color w:val="auto"/>
          <w:sz w:val="24"/>
        </w:rPr>
        <w:t xml:space="preserve"> 00:00:00（具体服务起止日期可随合同签订时间相应顺延）</w:t>
      </w:r>
    </w:p>
    <w:p>
      <w:pPr>
        <w:snapToGrid w:val="0"/>
        <w:spacing w:line="480" w:lineRule="auto"/>
        <w:ind w:firstLine="480"/>
        <w:rPr>
          <w:rFonts w:hint="eastAsia" w:ascii="宋体" w:hAnsi="宋体" w:eastAsia="宋体" w:cs="宋体"/>
          <w:color w:val="auto"/>
          <w:sz w:val="24"/>
        </w:rPr>
      </w:pPr>
      <w:r>
        <w:rPr>
          <w:rFonts w:hint="eastAsia" w:ascii="宋体" w:hAnsi="宋体" w:eastAsia="宋体" w:cs="宋体"/>
          <w:color w:val="auto"/>
          <w:sz w:val="24"/>
        </w:rPr>
        <w:t>7、本项目是否接受联合体投标：否</w:t>
      </w:r>
    </w:p>
    <w:p>
      <w:pPr>
        <w:snapToGrid w:val="0"/>
        <w:spacing w:after="120" w:afterLines="50" w:line="480" w:lineRule="auto"/>
        <w:ind w:firstLine="482"/>
        <w:rPr>
          <w:rFonts w:hint="eastAsia" w:ascii="宋体" w:hAnsi="宋体" w:eastAsia="宋体" w:cs="宋体"/>
          <w:b/>
          <w:color w:val="auto"/>
          <w:sz w:val="28"/>
          <w:lang w:eastAsia="zh-CN"/>
        </w:rPr>
      </w:pPr>
      <w:r>
        <w:rPr>
          <w:rFonts w:hint="eastAsia" w:ascii="宋体" w:hAnsi="宋体" w:eastAsia="宋体" w:cs="宋体"/>
          <w:b/>
          <w:color w:val="auto"/>
          <w:sz w:val="28"/>
        </w:rPr>
        <w:t>二、申请人的资格要求</w:t>
      </w:r>
      <w:r>
        <w:rPr>
          <w:rFonts w:hint="eastAsia" w:ascii="宋体" w:hAnsi="宋体" w:eastAsia="宋体" w:cs="宋体"/>
          <w:b/>
          <w:color w:val="auto"/>
          <w:sz w:val="28"/>
          <w:lang w:eastAsia="zh-CN"/>
        </w:rPr>
        <w:t>：</w:t>
      </w:r>
    </w:p>
    <w:p>
      <w:pPr>
        <w:snapToGrid w:val="0"/>
        <w:spacing w:line="480" w:lineRule="auto"/>
        <w:ind w:firstLine="480"/>
        <w:rPr>
          <w:rFonts w:hint="eastAsia" w:ascii="宋体" w:hAnsi="宋体" w:eastAsia="宋体" w:cs="宋体"/>
          <w:b/>
          <w:bCs/>
          <w:color w:val="auto"/>
          <w:sz w:val="24"/>
        </w:rPr>
      </w:pPr>
      <w:r>
        <w:rPr>
          <w:rFonts w:hint="eastAsia" w:ascii="宋体" w:hAnsi="宋体" w:eastAsia="宋体" w:cs="宋体"/>
          <w:b/>
          <w:bCs/>
          <w:color w:val="auto"/>
          <w:sz w:val="24"/>
        </w:rPr>
        <w:t>1、符合《中华人民共和国政府采购法》第二十二条的规定；</w:t>
      </w:r>
    </w:p>
    <w:p>
      <w:pPr>
        <w:snapToGrid w:val="0"/>
        <w:spacing w:line="480" w:lineRule="auto"/>
        <w:ind w:firstLine="480"/>
        <w:rPr>
          <w:rFonts w:hint="eastAsia" w:ascii="宋体" w:hAnsi="宋体" w:eastAsia="宋体" w:cs="宋体"/>
          <w:b/>
          <w:bCs/>
          <w:color w:val="auto"/>
          <w:sz w:val="24"/>
        </w:rPr>
      </w:pPr>
      <w:r>
        <w:rPr>
          <w:rFonts w:hint="eastAsia" w:ascii="宋体" w:hAnsi="宋体" w:eastAsia="宋体" w:cs="宋体"/>
          <w:b/>
          <w:bCs/>
          <w:color w:val="auto"/>
          <w:sz w:val="24"/>
        </w:rPr>
        <w:t>2、落实政府采购政策需满足的资格要求：</w:t>
      </w:r>
    </w:p>
    <w:p>
      <w:pPr>
        <w:snapToGrid w:val="0"/>
        <w:spacing w:line="480" w:lineRule="auto"/>
        <w:ind w:firstLine="480" w:firstLineChars="200"/>
        <w:rPr>
          <w:rFonts w:hint="eastAsia" w:ascii="宋体" w:hAnsi="宋体" w:cs="宋体"/>
          <w:color w:val="auto"/>
          <w:sz w:val="24"/>
          <w:szCs w:val="24"/>
          <w:lang w:eastAsia="zh-CN"/>
        </w:rPr>
      </w:pPr>
      <w:r>
        <w:rPr>
          <w:rFonts w:hint="eastAsia" w:ascii="宋体" w:hAnsi="宋体" w:cs="宋体"/>
          <w:color w:val="auto"/>
          <w:sz w:val="24"/>
          <w:szCs w:val="24"/>
          <w:lang w:eastAsia="zh-CN"/>
        </w:rPr>
        <w:t>（</w:t>
      </w:r>
      <w:r>
        <w:rPr>
          <w:rFonts w:hint="eastAsia" w:ascii="宋体" w:hAnsi="宋体" w:cs="宋体"/>
          <w:color w:val="auto"/>
          <w:sz w:val="24"/>
          <w:szCs w:val="24"/>
          <w:lang w:val="en-US" w:eastAsia="zh-CN"/>
        </w:rPr>
        <w:t>1</w:t>
      </w:r>
      <w:r>
        <w:rPr>
          <w:rFonts w:hint="eastAsia" w:ascii="宋体" w:hAnsi="宋体" w:cs="宋体"/>
          <w:color w:val="auto"/>
          <w:sz w:val="24"/>
          <w:szCs w:val="24"/>
          <w:lang w:eastAsia="zh-CN"/>
        </w:rPr>
        <w:t>）中小企业发展政策：①《政府采购促进中小企业发展管理办法》(财库[2020]46号)；《财政部、司法部关于政府采购支持监狱企业发展有关问题的通知》(财库[2014]68号)；②《关于促进残疾人就业政府采购政策的通知》(财库[2017]141号)；③《陕西省中小企业政府采购信用融资办法》(陕财办采[2018]23号)；④陕西省财政厅关于印发《陕西省中小企业政府采购信用融资办法》(陕财办采〔2018〕23号)；⑤《陕西省财政厅关于加快推进我省中小企业政府采购信用融资工作的通知》(陕财办采〔2020〕15号)；⑥《陕西省财政厅关于进一步加大政府采购支持中小企业力度的通知》(陕财办采〔2022〕5号)；</w:t>
      </w:r>
    </w:p>
    <w:p>
      <w:pPr>
        <w:numPr>
          <w:ilvl w:val="0"/>
          <w:numId w:val="0"/>
        </w:numPr>
        <w:snapToGrid w:val="0"/>
        <w:spacing w:line="480" w:lineRule="auto"/>
        <w:ind w:firstLine="480" w:firstLineChars="200"/>
        <w:rPr>
          <w:rFonts w:hint="eastAsia" w:ascii="宋体" w:hAnsi="宋体" w:cs="宋体"/>
          <w:color w:val="auto"/>
          <w:sz w:val="24"/>
          <w:szCs w:val="24"/>
          <w:lang w:eastAsia="zh-CN"/>
        </w:rPr>
      </w:pPr>
      <w:r>
        <w:rPr>
          <w:rFonts w:hint="eastAsia" w:ascii="宋体" w:hAnsi="宋体" w:cs="宋体"/>
          <w:color w:val="auto"/>
          <w:sz w:val="24"/>
          <w:szCs w:val="24"/>
          <w:lang w:eastAsia="zh-CN"/>
        </w:rPr>
        <w:t>（</w:t>
      </w:r>
      <w:r>
        <w:rPr>
          <w:rFonts w:hint="eastAsia" w:ascii="宋体" w:hAnsi="宋体" w:cs="宋体"/>
          <w:color w:val="auto"/>
          <w:sz w:val="24"/>
          <w:szCs w:val="24"/>
          <w:lang w:val="en-US" w:eastAsia="zh-CN"/>
        </w:rPr>
        <w:t>2</w:t>
      </w:r>
      <w:r>
        <w:rPr>
          <w:rFonts w:hint="eastAsia" w:ascii="宋体" w:hAnsi="宋体" w:cs="宋体"/>
          <w:color w:val="auto"/>
          <w:sz w:val="24"/>
          <w:szCs w:val="24"/>
          <w:lang w:eastAsia="zh-CN"/>
        </w:rPr>
        <w:t>）绿色发展政策：①《国务院办公厅关于建立政府强制采购节能产品制度的通知》(国办发[2007]51号)；②《财政部、国家发展改革委关于印发&lt;节能产品政府采购实施意见&gt;的通知》(财库[2004]185号)；③《财政部、国家环保总局关于环境标志产品政府采购实施的意见》(财库[2006]90号)；④《财政部、国家发展改革委、生态环境部、市场监管总局关于调整优化节能产品、环境标志产品政府采购执行机制的通知》(财库[2019]9号)；⑤《商品包装政府采购需求标准(试行)》和《快递包装政府采购需求标准(试行)》(财办库[2020]123号)；</w:t>
      </w:r>
    </w:p>
    <w:p>
      <w:pPr>
        <w:numPr>
          <w:ilvl w:val="0"/>
          <w:numId w:val="0"/>
        </w:numPr>
        <w:snapToGrid w:val="0"/>
        <w:spacing w:line="480" w:lineRule="auto"/>
        <w:ind w:firstLine="480" w:firstLineChars="200"/>
        <w:rPr>
          <w:rFonts w:hint="eastAsia" w:ascii="宋体" w:hAnsi="宋体" w:cs="宋体"/>
          <w:color w:val="auto"/>
          <w:sz w:val="24"/>
          <w:szCs w:val="24"/>
          <w:lang w:eastAsia="zh-CN"/>
        </w:rPr>
      </w:pPr>
      <w:r>
        <w:rPr>
          <w:rFonts w:hint="eastAsia" w:ascii="宋体" w:hAnsi="宋体" w:cs="宋体"/>
          <w:color w:val="auto"/>
          <w:sz w:val="24"/>
          <w:szCs w:val="24"/>
          <w:lang w:eastAsia="zh-CN"/>
        </w:rPr>
        <w:t>（</w:t>
      </w:r>
      <w:r>
        <w:rPr>
          <w:rFonts w:hint="eastAsia" w:ascii="宋体" w:hAnsi="宋体" w:cs="宋体"/>
          <w:color w:val="auto"/>
          <w:sz w:val="24"/>
          <w:szCs w:val="24"/>
          <w:lang w:val="en-US" w:eastAsia="zh-CN"/>
        </w:rPr>
        <w:t>3</w:t>
      </w:r>
      <w:r>
        <w:rPr>
          <w:rFonts w:hint="eastAsia" w:ascii="宋体" w:hAnsi="宋体" w:cs="宋体"/>
          <w:color w:val="auto"/>
          <w:sz w:val="24"/>
          <w:szCs w:val="24"/>
          <w:lang w:eastAsia="zh-CN"/>
        </w:rPr>
        <w:t>）《财政部关于印发&lt;进口产品管理办法&gt;的通知》(财库[2007]119号)；《财政部办公厅关于政府采购进口产品管理有关问题的通知》(财办库[2008]248号)；</w:t>
      </w:r>
    </w:p>
    <w:p>
      <w:pPr>
        <w:numPr>
          <w:ilvl w:val="0"/>
          <w:numId w:val="0"/>
        </w:numPr>
        <w:snapToGrid w:val="0"/>
        <w:spacing w:line="480" w:lineRule="auto"/>
        <w:ind w:firstLine="480" w:firstLineChars="200"/>
        <w:rPr>
          <w:rFonts w:hint="eastAsia" w:ascii="宋体" w:hAnsi="宋体" w:cs="宋体"/>
          <w:color w:val="auto"/>
          <w:sz w:val="24"/>
          <w:szCs w:val="24"/>
          <w:lang w:eastAsia="zh-CN"/>
        </w:rPr>
      </w:pPr>
      <w:r>
        <w:rPr>
          <w:rFonts w:hint="eastAsia" w:ascii="宋体" w:hAnsi="宋体" w:cs="宋体"/>
          <w:color w:val="auto"/>
          <w:sz w:val="24"/>
          <w:szCs w:val="24"/>
          <w:lang w:eastAsia="zh-CN"/>
        </w:rPr>
        <w:t>（</w:t>
      </w:r>
      <w:r>
        <w:rPr>
          <w:rFonts w:hint="eastAsia" w:ascii="宋体" w:hAnsi="宋体" w:cs="宋体"/>
          <w:color w:val="auto"/>
          <w:sz w:val="24"/>
          <w:szCs w:val="24"/>
          <w:lang w:val="en-US" w:eastAsia="zh-CN"/>
        </w:rPr>
        <w:t>4</w:t>
      </w:r>
      <w:r>
        <w:rPr>
          <w:rFonts w:hint="eastAsia" w:ascii="宋体" w:hAnsi="宋体" w:cs="宋体"/>
          <w:color w:val="auto"/>
          <w:sz w:val="24"/>
          <w:szCs w:val="24"/>
          <w:lang w:eastAsia="zh-CN"/>
        </w:rPr>
        <w:t>）支持创新等政府采购政策；</w:t>
      </w:r>
    </w:p>
    <w:p>
      <w:pPr>
        <w:numPr>
          <w:ilvl w:val="0"/>
          <w:numId w:val="0"/>
        </w:numPr>
        <w:snapToGrid w:val="0"/>
        <w:spacing w:line="480" w:lineRule="auto"/>
        <w:ind w:firstLine="480" w:firstLineChars="200"/>
        <w:rPr>
          <w:rFonts w:hint="eastAsia" w:ascii="宋体" w:hAnsi="宋体" w:eastAsia="宋体" w:cs="宋体"/>
          <w:color w:val="auto"/>
          <w:sz w:val="22"/>
          <w:szCs w:val="22"/>
          <w:lang w:val="en-US" w:eastAsia="zh-CN"/>
        </w:rPr>
      </w:pPr>
      <w:r>
        <w:rPr>
          <w:rFonts w:hint="eastAsia" w:ascii="宋体" w:hAnsi="宋体" w:cs="宋体"/>
          <w:color w:val="auto"/>
          <w:sz w:val="24"/>
          <w:szCs w:val="24"/>
          <w:lang w:eastAsia="zh-CN"/>
        </w:rPr>
        <w:t>（</w:t>
      </w:r>
      <w:r>
        <w:rPr>
          <w:rFonts w:hint="eastAsia" w:ascii="宋体" w:hAnsi="宋体" w:cs="宋体"/>
          <w:color w:val="auto"/>
          <w:sz w:val="24"/>
          <w:szCs w:val="24"/>
          <w:lang w:val="en-US" w:eastAsia="zh-CN"/>
        </w:rPr>
        <w:t>5</w:t>
      </w:r>
      <w:r>
        <w:rPr>
          <w:rFonts w:hint="eastAsia" w:ascii="宋体" w:hAnsi="宋体" w:cs="宋体"/>
          <w:color w:val="auto"/>
          <w:sz w:val="24"/>
          <w:szCs w:val="24"/>
          <w:lang w:eastAsia="zh-CN"/>
        </w:rPr>
        <w:t>）《财政部国务院扶贫办关于运用政府采购政策支持脱贫攻坚的通知》(财库〔2019〕27号)、《关于运用政府采购政策支持乡村产业振兴的通知》(财库〔2021〕19号)。</w:t>
      </w:r>
    </w:p>
    <w:p>
      <w:pPr>
        <w:snapToGrid w:val="0"/>
        <w:spacing w:line="480" w:lineRule="auto"/>
        <w:ind w:firstLine="480"/>
        <w:rPr>
          <w:rFonts w:hint="eastAsia" w:ascii="宋体" w:hAnsi="宋体" w:eastAsia="宋体" w:cs="宋体"/>
          <w:b/>
          <w:bCs/>
          <w:color w:val="auto"/>
          <w:sz w:val="24"/>
        </w:rPr>
      </w:pPr>
      <w:r>
        <w:rPr>
          <w:rFonts w:hint="eastAsia" w:ascii="宋体" w:hAnsi="宋体" w:eastAsia="宋体" w:cs="宋体"/>
          <w:b/>
          <w:bCs/>
          <w:color w:val="auto"/>
          <w:sz w:val="24"/>
        </w:rPr>
        <w:t>3、本项目的特定资格要求：</w:t>
      </w:r>
    </w:p>
    <w:p>
      <w:pPr>
        <w:snapToGrid w:val="0"/>
        <w:spacing w:line="480" w:lineRule="auto"/>
        <w:ind w:firstLine="480"/>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①具有独立承担民事责任的能力：供应商为具有独立承担民事责任能力的企业法人、事业法人、其他组织，提供营业执照原件（事业单位须事业单位法人证、组织机构代码证等证明文件；其他组织应提供合法证明文件）；</w:t>
      </w:r>
    </w:p>
    <w:p>
      <w:pPr>
        <w:snapToGrid w:val="0"/>
        <w:spacing w:line="480" w:lineRule="auto"/>
        <w:ind w:firstLine="480"/>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②具有履行合同所必须的设备和专业技术能力：Ⅰ、供应商具有建设行政主管部门核发的市政公用工程施工总承包三级及以上资质等级，且具有有效的安全生产许可证；Ⅱ、拟派项目经理须具备市政公用工程专业注册建造师二级（含二级）以上执业资格和安全生产考核合格B证，且无在建项目；陕西省内供应商提供《陕西省建筑市场监管与诚信信息发布平台》登记的供应商及建造师信息网页截图复印件，陕西省外供应商提供《全国建筑市场监管与诚信信息发布平台》或供应商注册地省市《建筑市场监管与诚信信息发布平台》登记的供应商及建造师信息网页截图复印件；</w:t>
      </w:r>
    </w:p>
    <w:p>
      <w:pPr>
        <w:snapToGrid w:val="0"/>
        <w:spacing w:line="480" w:lineRule="auto"/>
        <w:ind w:firstLine="480"/>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③有依法缴纳税收和社会保障资金的良好记录：Ⅰ、供应商须提供自 2022年 1 月 1 日至今已缴纳的至少一个月的纳税证明或完税证明，纳税证明或完税证明上应有代收机构或税务机关的公章或业务专用章复印件；Ⅱ、供应商须提供供应商为法定代表人或其被授权委托人（磋商函签署人）和项目经理自 2022年 1 月 1 日起已缴纳的至少一个月的社保机构出具的社会保险参保缴费情况证明复印件；</w:t>
      </w:r>
    </w:p>
    <w:p>
      <w:pPr>
        <w:snapToGrid w:val="0"/>
        <w:spacing w:line="480" w:lineRule="auto"/>
        <w:ind w:firstLine="480"/>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④具有良好的商业信誉和健全的财务会计制度：I、提供 2019、 2020 或2021年年度经会计师事务所或审计机构审计的财务会计报表，包括资产负债表、现金流量表、利润表和财务情况说明书的复印件（若供应商成立时间至提交响应文件截止时间不足一年，提供成立后任意时段的资产负债表复印件）；II、、提供成交前三个月内基本存款账户开户银行出具的资信证明及基本存款账户开户信息复印件；III、提供信用担保机构出具的磋商担保函复印件。（以上三种形式的证明资料提供任意一种即可，但成交现场以第II种或第III种形式提交资料的，需提供上述证明材料原件备查）；</w:t>
      </w:r>
    </w:p>
    <w:p>
      <w:pPr>
        <w:snapToGrid w:val="0"/>
        <w:spacing w:line="480" w:lineRule="auto"/>
        <w:ind w:firstLine="480"/>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⑤供应商应授权合法的人员参加磋商会议，其中法定代表人直接参加的，须出具法人身份证原件，并与营业执照上信息一致；授权代表参加的，须出具法定代表人授权书及被授权人身份证原件；</w:t>
      </w:r>
    </w:p>
    <w:p>
      <w:pPr>
        <w:snapToGrid w:val="0"/>
        <w:spacing w:line="480" w:lineRule="auto"/>
        <w:ind w:firstLine="480"/>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⑥出具参加本次采购活动前三年内在经营活动中没有重大违法记录的书面声明；</w:t>
      </w:r>
    </w:p>
    <w:p>
      <w:pPr>
        <w:snapToGrid w:val="0"/>
        <w:spacing w:line="480" w:lineRule="auto"/>
        <w:ind w:firstLine="480"/>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⑦供应商未被列入“信用中国”网站（</w:t>
      </w:r>
      <w:r>
        <w:rPr>
          <w:rFonts w:hint="eastAsia" w:ascii="宋体" w:hAnsi="宋体" w:eastAsia="宋体" w:cs="宋体"/>
          <w:color w:val="auto"/>
          <w:sz w:val="24"/>
          <w:lang w:val="en-US" w:eastAsia="zh-CN"/>
        </w:rPr>
        <w:fldChar w:fldCharType="begin"/>
      </w:r>
      <w:r>
        <w:rPr>
          <w:rFonts w:hint="eastAsia" w:ascii="宋体" w:hAnsi="宋体" w:eastAsia="宋体" w:cs="宋体"/>
          <w:color w:val="auto"/>
          <w:sz w:val="24"/>
          <w:lang w:val="en-US" w:eastAsia="zh-CN"/>
        </w:rPr>
        <w:instrText xml:space="preserve"> HYPERLINK "http://www.creditchina.gov.cn/" \h </w:instrText>
      </w:r>
      <w:r>
        <w:rPr>
          <w:rFonts w:hint="eastAsia" w:ascii="宋体" w:hAnsi="宋体" w:eastAsia="宋体" w:cs="宋体"/>
          <w:color w:val="auto"/>
          <w:sz w:val="24"/>
          <w:lang w:val="en-US" w:eastAsia="zh-CN"/>
        </w:rPr>
        <w:fldChar w:fldCharType="separate"/>
      </w:r>
      <w:r>
        <w:rPr>
          <w:rFonts w:hint="eastAsia" w:ascii="宋体" w:hAnsi="宋体" w:eastAsia="宋体" w:cs="宋体"/>
          <w:color w:val="auto"/>
          <w:sz w:val="24"/>
          <w:lang w:val="en-US" w:eastAsia="zh-CN"/>
        </w:rPr>
        <w:t>http://www.creditchina.gov.cn</w:t>
      </w:r>
      <w:r>
        <w:rPr>
          <w:rFonts w:hint="eastAsia" w:ascii="宋体" w:hAnsi="宋体" w:eastAsia="宋体" w:cs="宋体"/>
          <w:color w:val="auto"/>
          <w:sz w:val="24"/>
          <w:lang w:val="en-US" w:eastAsia="zh-CN"/>
        </w:rPr>
        <w:fldChar w:fldCharType="end"/>
      </w:r>
      <w:r>
        <w:rPr>
          <w:rFonts w:hint="eastAsia" w:ascii="宋体" w:hAnsi="宋体" w:eastAsia="宋体" w:cs="宋体"/>
          <w:color w:val="auto"/>
          <w:sz w:val="24"/>
          <w:lang w:val="en-US" w:eastAsia="zh-CN"/>
        </w:rPr>
        <w:t>） 失信黑名单中和“中国政府采购网”(</w:t>
      </w:r>
      <w:r>
        <w:rPr>
          <w:rFonts w:hint="eastAsia" w:ascii="宋体" w:hAnsi="宋体" w:eastAsia="宋体" w:cs="宋体"/>
          <w:color w:val="auto"/>
          <w:sz w:val="24"/>
          <w:lang w:val="en-US" w:eastAsia="zh-CN"/>
        </w:rPr>
        <w:fldChar w:fldCharType="begin"/>
      </w:r>
      <w:r>
        <w:rPr>
          <w:rFonts w:hint="eastAsia" w:ascii="宋体" w:hAnsi="宋体" w:eastAsia="宋体" w:cs="宋体"/>
          <w:color w:val="auto"/>
          <w:sz w:val="24"/>
          <w:lang w:val="en-US" w:eastAsia="zh-CN"/>
        </w:rPr>
        <w:instrText xml:space="preserve"> HYPERLINK "http://www.ccgp.gov.cn/" \h </w:instrText>
      </w:r>
      <w:r>
        <w:rPr>
          <w:rFonts w:hint="eastAsia" w:ascii="宋体" w:hAnsi="宋体" w:eastAsia="宋体" w:cs="宋体"/>
          <w:color w:val="auto"/>
          <w:sz w:val="24"/>
          <w:lang w:val="en-US" w:eastAsia="zh-CN"/>
        </w:rPr>
        <w:fldChar w:fldCharType="separate"/>
      </w:r>
      <w:r>
        <w:rPr>
          <w:rFonts w:hint="eastAsia" w:ascii="宋体" w:hAnsi="宋体" w:eastAsia="宋体" w:cs="宋体"/>
          <w:color w:val="auto"/>
          <w:sz w:val="24"/>
          <w:lang w:val="en-US" w:eastAsia="zh-CN"/>
        </w:rPr>
        <w:t xml:space="preserve">www.ccgp.gov.cn </w:t>
      </w:r>
      <w:r>
        <w:rPr>
          <w:rFonts w:hint="eastAsia" w:ascii="宋体" w:hAnsi="宋体" w:eastAsia="宋体" w:cs="宋体"/>
          <w:color w:val="auto"/>
          <w:sz w:val="24"/>
          <w:lang w:val="en-US" w:eastAsia="zh-CN"/>
        </w:rPr>
        <w:fldChar w:fldCharType="end"/>
      </w:r>
      <w:r>
        <w:rPr>
          <w:rFonts w:hint="eastAsia" w:ascii="宋体" w:hAnsi="宋体" w:eastAsia="宋体" w:cs="宋体"/>
          <w:color w:val="auto"/>
          <w:sz w:val="24"/>
          <w:lang w:val="en-US" w:eastAsia="zh-CN"/>
        </w:rPr>
        <w:t>)政府采购严重违法失信行为记录名单的供应商（不得为“信用中国”网站中列入失信被执行人和重大税收违法案件当事人名单，不得为中国政府采购网政府采购严重违法失信行为记录名单中被财政部门禁止参加政府采购活动）；</w:t>
      </w:r>
    </w:p>
    <w:p>
      <w:pPr>
        <w:snapToGrid w:val="0"/>
        <w:spacing w:line="480" w:lineRule="auto"/>
        <w:ind w:firstLine="480"/>
        <w:rPr>
          <w:rFonts w:hint="default" w:ascii="宋体" w:hAnsi="宋体" w:eastAsia="宋体" w:cs="宋体"/>
          <w:color w:val="auto"/>
          <w:sz w:val="24"/>
          <w:lang w:val="en-US" w:eastAsia="zh-CN"/>
        </w:rPr>
      </w:pPr>
      <w:r>
        <w:rPr>
          <w:rFonts w:hint="eastAsia" w:ascii="宋体" w:hAnsi="宋体" w:eastAsia="宋体" w:cs="宋体"/>
          <w:color w:val="auto"/>
          <w:sz w:val="24"/>
          <w:lang w:val="en-US" w:eastAsia="zh-CN"/>
        </w:rPr>
        <w:t>⑧</w:t>
      </w:r>
      <w:r>
        <w:rPr>
          <w:rFonts w:hint="eastAsia" w:ascii="宋体" w:hAnsi="宋体" w:cs="宋体"/>
          <w:color w:val="auto"/>
          <w:sz w:val="24"/>
          <w:lang w:val="en-US" w:eastAsia="zh-CN"/>
        </w:rPr>
        <w:t>供应商需提供人社部门出具的近三年无拖欠农民工工资证明原件；</w:t>
      </w:r>
    </w:p>
    <w:p>
      <w:pPr>
        <w:snapToGrid w:val="0"/>
        <w:spacing w:line="480" w:lineRule="auto"/>
        <w:ind w:firstLine="480"/>
        <w:rPr>
          <w:rFonts w:hint="eastAsia" w:ascii="宋体" w:hAnsi="宋体" w:eastAsia="宋体" w:cs="宋体"/>
          <w:color w:val="auto"/>
          <w:sz w:val="24"/>
        </w:rPr>
      </w:pPr>
      <w:r>
        <w:rPr>
          <w:rFonts w:hint="eastAsia" w:ascii="宋体" w:hAnsi="宋体" w:cs="宋体"/>
          <w:color w:val="auto"/>
          <w:sz w:val="24"/>
          <w:lang w:val="en-US" w:eastAsia="zh-CN"/>
        </w:rPr>
        <w:t>⑨</w:t>
      </w:r>
      <w:r>
        <w:rPr>
          <w:rFonts w:hint="eastAsia" w:ascii="宋体" w:hAnsi="宋体" w:eastAsia="宋体" w:cs="宋体"/>
          <w:color w:val="auto"/>
          <w:sz w:val="24"/>
          <w:lang w:val="en-US" w:eastAsia="zh-CN"/>
        </w:rPr>
        <w:t>本项目不接受联合体磋商；单位负责人为同一人或者存在控股、管理关系的不同单位不得同时参加本次磋商活动</w:t>
      </w:r>
      <w:r>
        <w:rPr>
          <w:rFonts w:hint="eastAsia" w:ascii="宋体" w:hAnsi="宋体" w:eastAsia="宋体" w:cs="宋体"/>
          <w:color w:val="auto"/>
          <w:sz w:val="24"/>
        </w:rPr>
        <w:t>。</w:t>
      </w:r>
    </w:p>
    <w:p>
      <w:pPr>
        <w:snapToGrid w:val="0"/>
        <w:spacing w:line="480" w:lineRule="auto"/>
        <w:ind w:firstLine="480"/>
        <w:rPr>
          <w:rFonts w:hint="eastAsia" w:ascii="宋体" w:hAnsi="宋体" w:eastAsia="宋体" w:cs="宋体"/>
          <w:b/>
          <w:color w:val="auto"/>
          <w:sz w:val="28"/>
          <w:lang w:val="en-US" w:eastAsia="zh-CN"/>
        </w:rPr>
      </w:pPr>
      <w:r>
        <w:rPr>
          <w:rFonts w:hint="eastAsia" w:ascii="宋体" w:hAnsi="宋体" w:eastAsia="宋体" w:cs="宋体"/>
          <w:b/>
          <w:color w:val="auto"/>
          <w:sz w:val="28"/>
        </w:rPr>
        <w:t>三、</w:t>
      </w:r>
      <w:r>
        <w:rPr>
          <w:rFonts w:hint="eastAsia" w:ascii="宋体" w:hAnsi="宋体" w:eastAsia="宋体" w:cs="宋体"/>
          <w:b/>
          <w:color w:val="auto"/>
          <w:sz w:val="28"/>
          <w:lang w:val="en-US" w:eastAsia="zh-CN"/>
        </w:rPr>
        <w:t>采购文件的获取方式</w:t>
      </w:r>
    </w:p>
    <w:p>
      <w:pPr>
        <w:snapToGrid w:val="0"/>
        <w:spacing w:line="480" w:lineRule="auto"/>
        <w:ind w:firstLine="480"/>
        <w:rPr>
          <w:rFonts w:hint="eastAsia" w:ascii="宋体" w:hAnsi="宋体" w:eastAsia="宋体" w:cs="宋体"/>
          <w:b w:val="0"/>
          <w:bCs/>
          <w:color w:val="auto"/>
          <w:sz w:val="24"/>
          <w:szCs w:val="22"/>
          <w:lang w:val="en-US" w:eastAsia="zh-CN"/>
        </w:rPr>
      </w:pPr>
      <w:r>
        <w:rPr>
          <w:rFonts w:hint="eastAsia" w:ascii="宋体" w:hAnsi="宋体" w:eastAsia="宋体" w:cs="宋体"/>
          <w:b w:val="0"/>
          <w:bCs/>
          <w:color w:val="auto"/>
          <w:sz w:val="24"/>
          <w:szCs w:val="22"/>
          <w:lang w:eastAsia="zh-CN"/>
        </w:rPr>
        <w:t>时间：</w:t>
      </w:r>
      <w:r>
        <w:rPr>
          <w:rFonts w:hint="eastAsia" w:ascii="宋体" w:hAnsi="宋体" w:eastAsia="宋体" w:cs="宋体"/>
          <w:b/>
          <w:bCs w:val="0"/>
          <w:color w:val="auto"/>
          <w:sz w:val="24"/>
          <w:szCs w:val="22"/>
          <w:u w:val="single"/>
          <w:lang w:eastAsia="zh-CN"/>
        </w:rPr>
        <w:t>202</w:t>
      </w:r>
      <w:r>
        <w:rPr>
          <w:rFonts w:hint="eastAsia" w:ascii="宋体" w:hAnsi="宋体" w:eastAsia="宋体" w:cs="宋体"/>
          <w:b/>
          <w:bCs w:val="0"/>
          <w:color w:val="auto"/>
          <w:sz w:val="24"/>
          <w:szCs w:val="22"/>
          <w:u w:val="single"/>
          <w:lang w:val="en-US" w:eastAsia="zh-CN"/>
        </w:rPr>
        <w:t>2</w:t>
      </w:r>
      <w:r>
        <w:rPr>
          <w:rFonts w:hint="eastAsia" w:ascii="宋体" w:hAnsi="宋体" w:eastAsia="宋体" w:cs="宋体"/>
          <w:b/>
          <w:bCs w:val="0"/>
          <w:color w:val="auto"/>
          <w:sz w:val="24"/>
          <w:szCs w:val="22"/>
          <w:u w:val="single"/>
          <w:lang w:eastAsia="zh-CN"/>
        </w:rPr>
        <w:t xml:space="preserve"> </w:t>
      </w:r>
      <w:r>
        <w:rPr>
          <w:rFonts w:hint="eastAsia" w:ascii="宋体" w:hAnsi="宋体" w:eastAsia="宋体" w:cs="宋体"/>
          <w:b/>
          <w:bCs w:val="0"/>
          <w:color w:val="auto"/>
          <w:sz w:val="24"/>
          <w:szCs w:val="22"/>
          <w:lang w:eastAsia="zh-CN"/>
        </w:rPr>
        <w:t>年</w:t>
      </w:r>
      <w:r>
        <w:rPr>
          <w:rFonts w:hint="eastAsia" w:ascii="宋体" w:hAnsi="宋体" w:eastAsia="宋体" w:cs="宋体"/>
          <w:b/>
          <w:bCs w:val="0"/>
          <w:color w:val="auto"/>
          <w:sz w:val="24"/>
          <w:szCs w:val="22"/>
          <w:u w:val="single"/>
          <w:lang w:val="en-US" w:eastAsia="zh-CN"/>
        </w:rPr>
        <w:t>08</w:t>
      </w:r>
      <w:r>
        <w:rPr>
          <w:rFonts w:hint="eastAsia" w:ascii="宋体" w:hAnsi="宋体" w:eastAsia="宋体" w:cs="宋体"/>
          <w:b/>
          <w:bCs w:val="0"/>
          <w:color w:val="auto"/>
          <w:sz w:val="24"/>
          <w:szCs w:val="22"/>
          <w:lang w:eastAsia="zh-CN"/>
        </w:rPr>
        <w:t>月</w:t>
      </w:r>
      <w:r>
        <w:rPr>
          <w:rFonts w:hint="eastAsia" w:ascii="宋体" w:hAnsi="宋体" w:cs="宋体"/>
          <w:b/>
          <w:bCs w:val="0"/>
          <w:color w:val="auto"/>
          <w:sz w:val="24"/>
          <w:szCs w:val="22"/>
          <w:u w:val="single"/>
          <w:lang w:val="en-US" w:eastAsia="zh-CN"/>
        </w:rPr>
        <w:t>10</w:t>
      </w:r>
      <w:r>
        <w:rPr>
          <w:rFonts w:hint="eastAsia" w:ascii="宋体" w:hAnsi="宋体" w:eastAsia="宋体" w:cs="宋体"/>
          <w:b/>
          <w:bCs w:val="0"/>
          <w:color w:val="auto"/>
          <w:sz w:val="24"/>
          <w:szCs w:val="22"/>
          <w:lang w:eastAsia="zh-CN"/>
        </w:rPr>
        <w:t>日至</w:t>
      </w:r>
      <w:r>
        <w:rPr>
          <w:rFonts w:hint="eastAsia" w:ascii="宋体" w:hAnsi="宋体" w:eastAsia="宋体" w:cs="宋体"/>
          <w:b/>
          <w:bCs w:val="0"/>
          <w:color w:val="auto"/>
          <w:sz w:val="24"/>
          <w:szCs w:val="22"/>
          <w:u w:val="single"/>
          <w:lang w:eastAsia="zh-CN"/>
        </w:rPr>
        <w:t>20</w:t>
      </w:r>
      <w:r>
        <w:rPr>
          <w:rFonts w:hint="eastAsia" w:ascii="宋体" w:hAnsi="宋体" w:eastAsia="宋体" w:cs="宋体"/>
          <w:b/>
          <w:bCs w:val="0"/>
          <w:color w:val="auto"/>
          <w:sz w:val="24"/>
          <w:szCs w:val="22"/>
          <w:u w:val="single"/>
          <w:lang w:val="en-US" w:eastAsia="zh-CN"/>
        </w:rPr>
        <w:t>22</w:t>
      </w:r>
      <w:r>
        <w:rPr>
          <w:rFonts w:hint="eastAsia" w:ascii="宋体" w:hAnsi="宋体" w:eastAsia="宋体" w:cs="宋体"/>
          <w:b/>
          <w:bCs w:val="0"/>
          <w:color w:val="auto"/>
          <w:sz w:val="24"/>
          <w:szCs w:val="22"/>
          <w:lang w:eastAsia="zh-CN"/>
        </w:rPr>
        <w:t>年</w:t>
      </w:r>
      <w:r>
        <w:rPr>
          <w:rFonts w:hint="eastAsia" w:ascii="宋体" w:hAnsi="宋体" w:eastAsia="宋体" w:cs="宋体"/>
          <w:b/>
          <w:bCs w:val="0"/>
          <w:color w:val="auto"/>
          <w:sz w:val="24"/>
          <w:szCs w:val="22"/>
          <w:u w:val="single"/>
          <w:lang w:val="en-US" w:eastAsia="zh-CN"/>
        </w:rPr>
        <w:t>08</w:t>
      </w:r>
      <w:r>
        <w:rPr>
          <w:rFonts w:hint="eastAsia" w:ascii="宋体" w:hAnsi="宋体" w:eastAsia="宋体" w:cs="宋体"/>
          <w:b/>
          <w:bCs w:val="0"/>
          <w:color w:val="auto"/>
          <w:sz w:val="24"/>
          <w:szCs w:val="22"/>
          <w:lang w:eastAsia="zh-CN"/>
        </w:rPr>
        <w:t>月</w:t>
      </w:r>
      <w:r>
        <w:rPr>
          <w:rFonts w:hint="eastAsia" w:ascii="宋体" w:hAnsi="宋体" w:cs="宋体"/>
          <w:b/>
          <w:bCs w:val="0"/>
          <w:color w:val="auto"/>
          <w:sz w:val="24"/>
          <w:szCs w:val="22"/>
          <w:u w:val="single"/>
          <w:lang w:val="en-US" w:eastAsia="zh-CN"/>
        </w:rPr>
        <w:t>16</w:t>
      </w:r>
      <w:r>
        <w:rPr>
          <w:rFonts w:hint="eastAsia" w:ascii="宋体" w:hAnsi="宋体" w:eastAsia="宋体" w:cs="宋体"/>
          <w:b/>
          <w:bCs w:val="0"/>
          <w:color w:val="auto"/>
          <w:sz w:val="24"/>
          <w:szCs w:val="22"/>
          <w:lang w:eastAsia="zh-CN"/>
        </w:rPr>
        <w:t>日</w:t>
      </w:r>
      <w:r>
        <w:rPr>
          <w:rFonts w:hint="eastAsia" w:ascii="宋体" w:hAnsi="宋体" w:eastAsia="宋体" w:cs="宋体"/>
          <w:b w:val="0"/>
          <w:bCs/>
          <w:color w:val="auto"/>
          <w:sz w:val="24"/>
          <w:szCs w:val="22"/>
          <w:lang w:eastAsia="zh-CN"/>
        </w:rPr>
        <w:t xml:space="preserve">，每天上午 </w:t>
      </w:r>
      <w:r>
        <w:rPr>
          <w:rFonts w:hint="eastAsia" w:ascii="宋体" w:hAnsi="宋体" w:eastAsia="宋体" w:cs="宋体"/>
          <w:b w:val="0"/>
          <w:bCs/>
          <w:color w:val="auto"/>
          <w:sz w:val="24"/>
          <w:szCs w:val="22"/>
          <w:lang w:val="en-US" w:eastAsia="zh-CN"/>
        </w:rPr>
        <w:t>08:30</w:t>
      </w:r>
      <w:r>
        <w:rPr>
          <w:rFonts w:hint="eastAsia" w:ascii="宋体" w:hAnsi="宋体" w:eastAsia="宋体" w:cs="宋体"/>
          <w:b w:val="0"/>
          <w:bCs/>
          <w:color w:val="auto"/>
          <w:sz w:val="24"/>
          <w:szCs w:val="22"/>
          <w:lang w:eastAsia="zh-CN"/>
        </w:rPr>
        <w:t xml:space="preserve"> 至12：00，下午 </w:t>
      </w:r>
      <w:r>
        <w:rPr>
          <w:rFonts w:hint="eastAsia" w:ascii="宋体" w:hAnsi="宋体" w:eastAsia="宋体" w:cs="宋体"/>
          <w:b w:val="0"/>
          <w:bCs/>
          <w:color w:val="auto"/>
          <w:sz w:val="24"/>
          <w:szCs w:val="22"/>
          <w:lang w:val="en-US" w:eastAsia="zh-CN"/>
        </w:rPr>
        <w:t>15</w:t>
      </w:r>
      <w:r>
        <w:rPr>
          <w:rFonts w:hint="eastAsia" w:ascii="宋体" w:hAnsi="宋体" w:eastAsia="宋体" w:cs="宋体"/>
          <w:b w:val="0"/>
          <w:bCs/>
          <w:color w:val="auto"/>
          <w:sz w:val="24"/>
          <w:szCs w:val="22"/>
          <w:lang w:eastAsia="zh-CN"/>
        </w:rPr>
        <w:t>:</w:t>
      </w:r>
      <w:r>
        <w:rPr>
          <w:rFonts w:hint="eastAsia" w:ascii="宋体" w:hAnsi="宋体" w:eastAsia="宋体" w:cs="宋体"/>
          <w:b w:val="0"/>
          <w:bCs/>
          <w:color w:val="auto"/>
          <w:sz w:val="24"/>
          <w:szCs w:val="22"/>
          <w:lang w:val="en-US" w:eastAsia="zh-CN"/>
        </w:rPr>
        <w:t>00</w:t>
      </w:r>
      <w:r>
        <w:rPr>
          <w:rFonts w:hint="eastAsia" w:ascii="宋体" w:hAnsi="宋体" w:eastAsia="宋体" w:cs="宋体"/>
          <w:b w:val="0"/>
          <w:bCs/>
          <w:color w:val="auto"/>
          <w:sz w:val="24"/>
          <w:szCs w:val="22"/>
          <w:lang w:eastAsia="zh-CN"/>
        </w:rPr>
        <w:t xml:space="preserve"> 至 17:</w:t>
      </w:r>
      <w:r>
        <w:rPr>
          <w:rFonts w:hint="eastAsia" w:ascii="宋体" w:hAnsi="宋体" w:eastAsia="宋体" w:cs="宋体"/>
          <w:b w:val="0"/>
          <w:bCs/>
          <w:color w:val="auto"/>
          <w:sz w:val="24"/>
          <w:szCs w:val="22"/>
          <w:lang w:val="en-US" w:eastAsia="zh-CN"/>
        </w:rPr>
        <w:t>30</w:t>
      </w:r>
      <w:r>
        <w:rPr>
          <w:rFonts w:hint="eastAsia" w:ascii="宋体" w:hAnsi="宋体" w:eastAsia="宋体" w:cs="宋体"/>
          <w:b w:val="0"/>
          <w:bCs/>
          <w:color w:val="auto"/>
          <w:sz w:val="24"/>
          <w:szCs w:val="22"/>
          <w:lang w:eastAsia="zh-CN"/>
        </w:rPr>
        <w:t>（北京时间，法定节假日除外）。</w:t>
      </w:r>
    </w:p>
    <w:p>
      <w:pPr>
        <w:snapToGrid w:val="0"/>
        <w:spacing w:line="480" w:lineRule="auto"/>
        <w:ind w:firstLine="480"/>
        <w:rPr>
          <w:rFonts w:hint="eastAsia" w:ascii="宋体" w:hAnsi="宋体" w:eastAsia="宋体" w:cs="宋体"/>
          <w:b w:val="0"/>
          <w:bCs/>
          <w:color w:val="auto"/>
          <w:sz w:val="24"/>
          <w:szCs w:val="22"/>
          <w:lang w:val="en-US" w:eastAsia="zh-CN"/>
        </w:rPr>
      </w:pPr>
      <w:r>
        <w:rPr>
          <w:rFonts w:hint="eastAsia" w:ascii="宋体" w:hAnsi="宋体" w:eastAsia="宋体" w:cs="宋体"/>
          <w:b w:val="0"/>
          <w:bCs/>
          <w:color w:val="auto"/>
          <w:sz w:val="24"/>
          <w:szCs w:val="22"/>
          <w:lang w:eastAsia="zh-CN"/>
        </w:rPr>
        <w:t>地点：陕西华兴工程咨询有限公司代理部办公室（地址：汉中市汉台区南门十字西南角</w:t>
      </w:r>
      <w:r>
        <w:rPr>
          <w:rFonts w:hint="eastAsia" w:ascii="宋体" w:hAnsi="宋体" w:eastAsia="宋体" w:cs="宋体"/>
          <w:b w:val="0"/>
          <w:bCs/>
          <w:color w:val="auto"/>
          <w:sz w:val="24"/>
          <w:szCs w:val="22"/>
          <w:lang w:val="en-US" w:eastAsia="zh-CN"/>
        </w:rPr>
        <w:t>35#颐馨园商住楼11楼1102室</w:t>
      </w:r>
      <w:r>
        <w:rPr>
          <w:rFonts w:hint="eastAsia" w:ascii="宋体" w:hAnsi="宋体" w:eastAsia="宋体" w:cs="宋体"/>
          <w:b w:val="0"/>
          <w:bCs/>
          <w:color w:val="auto"/>
          <w:sz w:val="24"/>
          <w:szCs w:val="22"/>
          <w:lang w:eastAsia="zh-CN"/>
        </w:rPr>
        <w:t>）</w:t>
      </w:r>
    </w:p>
    <w:p>
      <w:pPr>
        <w:snapToGrid w:val="0"/>
        <w:spacing w:line="480" w:lineRule="auto"/>
        <w:ind w:firstLine="480"/>
        <w:rPr>
          <w:rFonts w:hint="eastAsia" w:ascii="宋体" w:hAnsi="宋体" w:eastAsia="宋体" w:cs="宋体"/>
          <w:b w:val="0"/>
          <w:bCs/>
          <w:color w:val="auto"/>
          <w:sz w:val="24"/>
          <w:szCs w:val="22"/>
          <w:lang w:eastAsia="zh-CN"/>
        </w:rPr>
      </w:pPr>
      <w:r>
        <w:rPr>
          <w:rFonts w:hint="eastAsia" w:ascii="宋体" w:hAnsi="宋体" w:eastAsia="宋体" w:cs="宋体"/>
          <w:b w:val="0"/>
          <w:bCs/>
          <w:color w:val="auto"/>
          <w:sz w:val="24"/>
          <w:szCs w:val="22"/>
          <w:lang w:eastAsia="zh-CN"/>
        </w:rPr>
        <w:t>方式：</w:t>
      </w:r>
      <w:r>
        <w:rPr>
          <w:rFonts w:hint="eastAsia" w:ascii="宋体" w:hAnsi="宋体" w:eastAsia="宋体" w:cs="宋体"/>
          <w:b w:val="0"/>
          <w:bCs/>
          <w:color w:val="auto"/>
          <w:sz w:val="24"/>
          <w:szCs w:val="22"/>
          <w:lang w:eastAsia="zh-CN"/>
        </w:rPr>
        <w:sym w:font="Wingdings 2" w:char="0052"/>
      </w:r>
      <w:r>
        <w:rPr>
          <w:rFonts w:hint="eastAsia" w:ascii="宋体" w:hAnsi="宋体" w:eastAsia="宋体" w:cs="宋体"/>
          <w:b w:val="0"/>
          <w:bCs/>
          <w:color w:val="auto"/>
          <w:sz w:val="24"/>
          <w:szCs w:val="22"/>
          <w:lang w:eastAsia="zh-CN"/>
        </w:rPr>
        <w:t>现场购买/</w:t>
      </w:r>
      <w:r>
        <w:rPr>
          <w:rFonts w:hint="eastAsia" w:ascii="宋体" w:hAnsi="宋体" w:eastAsia="宋体" w:cs="宋体"/>
          <w:b w:val="0"/>
          <w:bCs/>
          <w:color w:val="auto"/>
          <w:sz w:val="24"/>
          <w:szCs w:val="22"/>
          <w:lang w:eastAsia="zh-CN"/>
        </w:rPr>
        <w:sym w:font="Wingdings 2" w:char="00A3"/>
      </w:r>
      <w:r>
        <w:rPr>
          <w:rFonts w:hint="eastAsia" w:ascii="宋体" w:hAnsi="宋体" w:eastAsia="宋体" w:cs="宋体"/>
          <w:b w:val="0"/>
          <w:bCs/>
          <w:color w:val="auto"/>
          <w:sz w:val="24"/>
          <w:szCs w:val="22"/>
          <w:lang w:eastAsia="zh-CN"/>
        </w:rPr>
        <w:t>邮寄</w:t>
      </w:r>
    </w:p>
    <w:p>
      <w:pPr>
        <w:snapToGrid w:val="0"/>
        <w:spacing w:line="480" w:lineRule="auto"/>
        <w:ind w:firstLine="480"/>
        <w:rPr>
          <w:rFonts w:hint="eastAsia" w:ascii="宋体" w:hAnsi="宋体" w:eastAsia="宋体" w:cs="宋体"/>
          <w:b w:val="0"/>
          <w:bCs/>
          <w:color w:val="auto"/>
          <w:sz w:val="24"/>
        </w:rPr>
      </w:pPr>
      <w:r>
        <w:rPr>
          <w:rFonts w:hint="eastAsia" w:ascii="宋体" w:hAnsi="宋体" w:eastAsia="宋体" w:cs="宋体"/>
          <w:b w:val="0"/>
          <w:bCs/>
          <w:color w:val="auto"/>
          <w:sz w:val="24"/>
          <w:szCs w:val="22"/>
          <w:lang w:eastAsia="zh-CN"/>
        </w:rPr>
        <w:t>售价：每套500元（人民币），售后不退</w:t>
      </w:r>
      <w:r>
        <w:rPr>
          <w:rFonts w:hint="eastAsia" w:ascii="宋体" w:hAnsi="宋体" w:eastAsia="宋体" w:cs="宋体"/>
          <w:b w:val="0"/>
          <w:bCs/>
          <w:color w:val="auto"/>
          <w:sz w:val="22"/>
          <w:szCs w:val="22"/>
        </w:rPr>
        <w:t>。</w:t>
      </w:r>
    </w:p>
    <w:p>
      <w:pPr>
        <w:snapToGrid w:val="0"/>
        <w:spacing w:line="480" w:lineRule="auto"/>
        <w:ind w:firstLine="480"/>
        <w:rPr>
          <w:rFonts w:hint="eastAsia" w:ascii="宋体" w:hAnsi="宋体" w:eastAsia="宋体" w:cs="宋体"/>
          <w:b/>
          <w:color w:val="auto"/>
          <w:sz w:val="28"/>
        </w:rPr>
      </w:pPr>
      <w:r>
        <w:rPr>
          <w:rFonts w:hint="eastAsia" w:ascii="宋体" w:hAnsi="宋体" w:eastAsia="宋体" w:cs="宋体"/>
          <w:b/>
          <w:color w:val="auto"/>
          <w:sz w:val="28"/>
        </w:rPr>
        <w:t>四、响应文件</w:t>
      </w:r>
      <w:r>
        <w:rPr>
          <w:rFonts w:hint="eastAsia" w:ascii="宋体" w:hAnsi="宋体" w:eastAsia="宋体" w:cs="宋体"/>
          <w:b/>
          <w:color w:val="auto"/>
          <w:sz w:val="28"/>
          <w:lang w:eastAsia="zh-CN"/>
        </w:rPr>
        <w:t>提</w:t>
      </w:r>
      <w:r>
        <w:rPr>
          <w:rFonts w:hint="eastAsia" w:ascii="宋体" w:hAnsi="宋体" w:eastAsia="宋体" w:cs="宋体"/>
          <w:b/>
          <w:color w:val="auto"/>
          <w:sz w:val="28"/>
        </w:rPr>
        <w:t>交</w:t>
      </w:r>
    </w:p>
    <w:p>
      <w:pPr>
        <w:snapToGrid w:val="0"/>
        <w:spacing w:line="480" w:lineRule="auto"/>
        <w:ind w:firstLine="480"/>
        <w:rPr>
          <w:rFonts w:hint="eastAsia" w:ascii="宋体" w:hAnsi="宋体" w:eastAsia="宋体" w:cs="宋体"/>
          <w:b w:val="0"/>
          <w:bCs/>
          <w:color w:val="auto"/>
          <w:sz w:val="24"/>
          <w:szCs w:val="22"/>
        </w:rPr>
      </w:pPr>
      <w:r>
        <w:rPr>
          <w:rFonts w:hint="eastAsia" w:ascii="宋体" w:hAnsi="宋体" w:eastAsia="宋体" w:cs="宋体"/>
          <w:b w:val="0"/>
          <w:bCs/>
          <w:color w:val="auto"/>
          <w:sz w:val="24"/>
          <w:szCs w:val="22"/>
        </w:rPr>
        <w:t xml:space="preserve">截止时间： </w:t>
      </w:r>
      <w:r>
        <w:rPr>
          <w:rFonts w:hint="eastAsia" w:ascii="宋体" w:hAnsi="宋体" w:eastAsia="宋体" w:cs="宋体"/>
          <w:b/>
          <w:bCs w:val="0"/>
          <w:color w:val="auto"/>
          <w:sz w:val="24"/>
          <w:szCs w:val="22"/>
        </w:rPr>
        <w:t>202</w:t>
      </w:r>
      <w:r>
        <w:rPr>
          <w:rFonts w:hint="eastAsia" w:ascii="宋体" w:hAnsi="宋体" w:eastAsia="宋体" w:cs="宋体"/>
          <w:b/>
          <w:bCs w:val="0"/>
          <w:color w:val="auto"/>
          <w:sz w:val="24"/>
          <w:szCs w:val="22"/>
          <w:lang w:val="en-US" w:eastAsia="zh-CN"/>
        </w:rPr>
        <w:t>2</w:t>
      </w:r>
      <w:r>
        <w:rPr>
          <w:rFonts w:hint="eastAsia" w:ascii="宋体" w:hAnsi="宋体" w:eastAsia="宋体" w:cs="宋体"/>
          <w:b/>
          <w:bCs w:val="0"/>
          <w:color w:val="auto"/>
          <w:sz w:val="24"/>
          <w:szCs w:val="22"/>
        </w:rPr>
        <w:t>年</w:t>
      </w:r>
      <w:r>
        <w:rPr>
          <w:rFonts w:hint="eastAsia" w:ascii="宋体" w:hAnsi="宋体" w:eastAsia="宋体" w:cs="宋体"/>
          <w:b/>
          <w:bCs w:val="0"/>
          <w:color w:val="auto"/>
          <w:sz w:val="24"/>
          <w:szCs w:val="22"/>
          <w:lang w:val="en-US" w:eastAsia="zh-CN"/>
        </w:rPr>
        <w:t>08</w:t>
      </w:r>
      <w:r>
        <w:rPr>
          <w:rFonts w:hint="eastAsia" w:ascii="宋体" w:hAnsi="宋体" w:eastAsia="宋体" w:cs="宋体"/>
          <w:b/>
          <w:bCs w:val="0"/>
          <w:color w:val="auto"/>
          <w:sz w:val="24"/>
          <w:szCs w:val="22"/>
        </w:rPr>
        <w:t>月</w:t>
      </w:r>
      <w:r>
        <w:rPr>
          <w:rFonts w:hint="eastAsia" w:ascii="宋体" w:hAnsi="宋体" w:cs="宋体"/>
          <w:b/>
          <w:bCs w:val="0"/>
          <w:color w:val="auto"/>
          <w:sz w:val="24"/>
          <w:szCs w:val="22"/>
          <w:lang w:val="en-US" w:eastAsia="zh-CN"/>
        </w:rPr>
        <w:t>24</w:t>
      </w:r>
      <w:r>
        <w:rPr>
          <w:rFonts w:hint="eastAsia" w:ascii="宋体" w:hAnsi="宋体" w:eastAsia="宋体" w:cs="宋体"/>
          <w:b/>
          <w:bCs w:val="0"/>
          <w:color w:val="auto"/>
          <w:sz w:val="24"/>
          <w:szCs w:val="22"/>
        </w:rPr>
        <w:t>日</w:t>
      </w:r>
      <w:r>
        <w:rPr>
          <w:rFonts w:hint="eastAsia" w:ascii="宋体" w:hAnsi="宋体" w:cs="宋体"/>
          <w:b/>
          <w:bCs w:val="0"/>
          <w:color w:val="auto"/>
          <w:sz w:val="24"/>
          <w:szCs w:val="22"/>
          <w:lang w:val="en-US" w:eastAsia="zh-CN"/>
        </w:rPr>
        <w:t>10</w:t>
      </w:r>
      <w:r>
        <w:rPr>
          <w:rFonts w:hint="eastAsia" w:ascii="宋体" w:hAnsi="宋体" w:eastAsia="宋体" w:cs="宋体"/>
          <w:b/>
          <w:bCs w:val="0"/>
          <w:color w:val="auto"/>
          <w:sz w:val="24"/>
          <w:szCs w:val="22"/>
        </w:rPr>
        <w:t>时</w:t>
      </w:r>
      <w:r>
        <w:rPr>
          <w:rFonts w:hint="eastAsia" w:ascii="宋体" w:hAnsi="宋体" w:cs="宋体"/>
          <w:b/>
          <w:bCs w:val="0"/>
          <w:color w:val="auto"/>
          <w:sz w:val="24"/>
          <w:szCs w:val="22"/>
          <w:lang w:val="en-US" w:eastAsia="zh-CN"/>
        </w:rPr>
        <w:t>30</w:t>
      </w:r>
      <w:r>
        <w:rPr>
          <w:rFonts w:hint="eastAsia" w:ascii="宋体" w:hAnsi="宋体" w:eastAsia="宋体" w:cs="宋体"/>
          <w:b/>
          <w:bCs w:val="0"/>
          <w:color w:val="auto"/>
          <w:sz w:val="24"/>
          <w:szCs w:val="22"/>
        </w:rPr>
        <w:t>分</w:t>
      </w:r>
      <w:r>
        <w:rPr>
          <w:rFonts w:hint="eastAsia" w:ascii="宋体" w:hAnsi="宋体" w:eastAsia="宋体" w:cs="宋体"/>
          <w:b w:val="0"/>
          <w:bCs/>
          <w:color w:val="auto"/>
          <w:sz w:val="24"/>
          <w:szCs w:val="22"/>
        </w:rPr>
        <w:t>（北京时间）</w:t>
      </w:r>
    </w:p>
    <w:p>
      <w:pPr>
        <w:snapToGrid w:val="0"/>
        <w:spacing w:line="480" w:lineRule="auto"/>
        <w:ind w:firstLine="480"/>
        <w:rPr>
          <w:rFonts w:hint="eastAsia" w:ascii="宋体" w:hAnsi="宋体" w:eastAsia="宋体" w:cs="宋体"/>
          <w:b w:val="0"/>
          <w:bCs/>
          <w:color w:val="auto"/>
          <w:sz w:val="22"/>
          <w:szCs w:val="22"/>
        </w:rPr>
      </w:pPr>
      <w:r>
        <w:rPr>
          <w:rFonts w:hint="eastAsia" w:ascii="宋体" w:hAnsi="宋体" w:eastAsia="宋体" w:cs="宋体"/>
          <w:b w:val="0"/>
          <w:bCs/>
          <w:color w:val="auto"/>
          <w:sz w:val="24"/>
          <w:szCs w:val="22"/>
        </w:rPr>
        <w:t>地点：</w:t>
      </w:r>
      <w:r>
        <w:rPr>
          <w:rFonts w:hint="eastAsia" w:ascii="宋体" w:hAnsi="宋体" w:eastAsia="宋体" w:cs="宋体"/>
          <w:b w:val="0"/>
          <w:bCs/>
          <w:color w:val="auto"/>
          <w:sz w:val="24"/>
          <w:szCs w:val="22"/>
          <w:lang w:eastAsia="zh-CN"/>
        </w:rPr>
        <w:t>东方禾元大酒店五楼会议室（地址：汉中市汉台区将坛西路与天汉大道交汇处向西</w:t>
      </w:r>
      <w:r>
        <w:rPr>
          <w:rFonts w:hint="eastAsia" w:ascii="宋体" w:hAnsi="宋体" w:eastAsia="宋体" w:cs="宋体"/>
          <w:b w:val="0"/>
          <w:bCs/>
          <w:color w:val="auto"/>
          <w:sz w:val="24"/>
          <w:szCs w:val="22"/>
          <w:lang w:val="en-US" w:eastAsia="zh-CN"/>
        </w:rPr>
        <w:t>100米</w:t>
      </w:r>
      <w:r>
        <w:rPr>
          <w:rFonts w:hint="eastAsia" w:ascii="宋体" w:hAnsi="宋体" w:eastAsia="宋体" w:cs="宋体"/>
          <w:b w:val="0"/>
          <w:bCs/>
          <w:color w:val="auto"/>
          <w:sz w:val="24"/>
          <w:szCs w:val="22"/>
          <w:lang w:eastAsia="zh-CN"/>
        </w:rPr>
        <w:t>）</w:t>
      </w:r>
    </w:p>
    <w:p>
      <w:pPr>
        <w:snapToGrid w:val="0"/>
        <w:spacing w:line="480" w:lineRule="auto"/>
        <w:ind w:firstLine="480"/>
        <w:rPr>
          <w:rFonts w:hint="eastAsia" w:ascii="宋体" w:hAnsi="宋体" w:eastAsia="宋体" w:cs="宋体"/>
          <w:b/>
          <w:color w:val="auto"/>
          <w:sz w:val="28"/>
          <w:szCs w:val="24"/>
        </w:rPr>
      </w:pPr>
      <w:r>
        <w:rPr>
          <w:rFonts w:hint="eastAsia" w:ascii="宋体" w:hAnsi="宋体" w:eastAsia="宋体" w:cs="宋体"/>
          <w:b/>
          <w:color w:val="auto"/>
          <w:sz w:val="28"/>
          <w:szCs w:val="24"/>
        </w:rPr>
        <w:t>五、开启：</w:t>
      </w:r>
    </w:p>
    <w:p>
      <w:pPr>
        <w:snapToGrid w:val="0"/>
        <w:spacing w:line="480" w:lineRule="auto"/>
        <w:ind w:firstLine="480"/>
        <w:rPr>
          <w:rFonts w:hint="eastAsia" w:ascii="宋体" w:hAnsi="宋体" w:eastAsia="宋体" w:cs="宋体"/>
          <w:b w:val="0"/>
          <w:bCs/>
          <w:color w:val="auto"/>
          <w:sz w:val="24"/>
          <w:szCs w:val="22"/>
        </w:rPr>
      </w:pPr>
      <w:r>
        <w:rPr>
          <w:rFonts w:hint="eastAsia" w:ascii="宋体" w:hAnsi="宋体" w:eastAsia="宋体" w:cs="宋体"/>
          <w:b w:val="0"/>
          <w:bCs/>
          <w:color w:val="auto"/>
          <w:sz w:val="24"/>
          <w:szCs w:val="22"/>
        </w:rPr>
        <w:t xml:space="preserve">时间： </w:t>
      </w:r>
      <w:r>
        <w:rPr>
          <w:rFonts w:hint="eastAsia" w:ascii="宋体" w:hAnsi="宋体" w:eastAsia="宋体" w:cs="宋体"/>
          <w:b/>
          <w:bCs w:val="0"/>
          <w:color w:val="auto"/>
          <w:sz w:val="24"/>
          <w:szCs w:val="22"/>
        </w:rPr>
        <w:t>202</w:t>
      </w:r>
      <w:r>
        <w:rPr>
          <w:rFonts w:hint="eastAsia" w:ascii="宋体" w:hAnsi="宋体" w:eastAsia="宋体" w:cs="宋体"/>
          <w:b/>
          <w:bCs w:val="0"/>
          <w:color w:val="auto"/>
          <w:sz w:val="24"/>
          <w:szCs w:val="22"/>
          <w:lang w:val="en-US" w:eastAsia="zh-CN"/>
        </w:rPr>
        <w:t>2</w:t>
      </w:r>
      <w:r>
        <w:rPr>
          <w:rFonts w:hint="eastAsia" w:ascii="宋体" w:hAnsi="宋体" w:eastAsia="宋体" w:cs="宋体"/>
          <w:b/>
          <w:bCs w:val="0"/>
          <w:color w:val="auto"/>
          <w:sz w:val="24"/>
          <w:szCs w:val="22"/>
        </w:rPr>
        <w:t>年</w:t>
      </w:r>
      <w:r>
        <w:rPr>
          <w:rFonts w:hint="eastAsia" w:ascii="宋体" w:hAnsi="宋体" w:eastAsia="宋体" w:cs="宋体"/>
          <w:b/>
          <w:bCs w:val="0"/>
          <w:color w:val="auto"/>
          <w:sz w:val="24"/>
          <w:szCs w:val="22"/>
          <w:lang w:val="en-US" w:eastAsia="zh-CN"/>
        </w:rPr>
        <w:t>08</w:t>
      </w:r>
      <w:r>
        <w:rPr>
          <w:rFonts w:hint="eastAsia" w:ascii="宋体" w:hAnsi="宋体" w:eastAsia="宋体" w:cs="宋体"/>
          <w:b/>
          <w:bCs w:val="0"/>
          <w:color w:val="auto"/>
          <w:sz w:val="24"/>
          <w:szCs w:val="22"/>
        </w:rPr>
        <w:t>月</w:t>
      </w:r>
      <w:r>
        <w:rPr>
          <w:rFonts w:hint="eastAsia" w:ascii="宋体" w:hAnsi="宋体" w:cs="宋体"/>
          <w:b/>
          <w:bCs w:val="0"/>
          <w:color w:val="auto"/>
          <w:sz w:val="24"/>
          <w:szCs w:val="22"/>
          <w:lang w:val="en-US" w:eastAsia="zh-CN"/>
        </w:rPr>
        <w:t>24</w:t>
      </w:r>
      <w:r>
        <w:rPr>
          <w:rFonts w:hint="eastAsia" w:ascii="宋体" w:hAnsi="宋体" w:eastAsia="宋体" w:cs="宋体"/>
          <w:b/>
          <w:bCs w:val="0"/>
          <w:color w:val="auto"/>
          <w:sz w:val="24"/>
          <w:szCs w:val="22"/>
        </w:rPr>
        <w:t>日</w:t>
      </w:r>
      <w:r>
        <w:rPr>
          <w:rFonts w:hint="eastAsia" w:ascii="宋体" w:hAnsi="宋体" w:cs="宋体"/>
          <w:b/>
          <w:bCs w:val="0"/>
          <w:color w:val="auto"/>
          <w:sz w:val="24"/>
          <w:szCs w:val="22"/>
          <w:lang w:val="en-US" w:eastAsia="zh-CN"/>
        </w:rPr>
        <w:t>10</w:t>
      </w:r>
      <w:r>
        <w:rPr>
          <w:rFonts w:hint="eastAsia" w:ascii="宋体" w:hAnsi="宋体" w:eastAsia="宋体" w:cs="宋体"/>
          <w:b/>
          <w:bCs w:val="0"/>
          <w:color w:val="auto"/>
          <w:sz w:val="24"/>
          <w:szCs w:val="22"/>
        </w:rPr>
        <w:t>时</w:t>
      </w:r>
      <w:r>
        <w:rPr>
          <w:rFonts w:hint="eastAsia" w:ascii="宋体" w:hAnsi="宋体" w:cs="宋体"/>
          <w:b/>
          <w:bCs w:val="0"/>
          <w:color w:val="auto"/>
          <w:sz w:val="24"/>
          <w:szCs w:val="22"/>
          <w:lang w:val="en-US" w:eastAsia="zh-CN"/>
        </w:rPr>
        <w:t>30</w:t>
      </w:r>
      <w:r>
        <w:rPr>
          <w:rFonts w:hint="eastAsia" w:ascii="宋体" w:hAnsi="宋体" w:eastAsia="宋体" w:cs="宋体"/>
          <w:b/>
          <w:bCs w:val="0"/>
          <w:color w:val="auto"/>
          <w:sz w:val="24"/>
          <w:szCs w:val="22"/>
        </w:rPr>
        <w:t>分</w:t>
      </w:r>
      <w:r>
        <w:rPr>
          <w:rFonts w:hint="eastAsia" w:ascii="宋体" w:hAnsi="宋体" w:eastAsia="宋体" w:cs="宋体"/>
          <w:b w:val="0"/>
          <w:bCs/>
          <w:color w:val="auto"/>
          <w:sz w:val="24"/>
          <w:szCs w:val="22"/>
        </w:rPr>
        <w:t>（北京时间）</w:t>
      </w:r>
    </w:p>
    <w:p>
      <w:pPr>
        <w:snapToGrid w:val="0"/>
        <w:spacing w:line="480" w:lineRule="auto"/>
        <w:ind w:left="1259" w:leftChars="228" w:hanging="780" w:firstLineChars="0"/>
        <w:rPr>
          <w:rFonts w:hint="eastAsia" w:ascii="宋体" w:hAnsi="宋体" w:eastAsia="宋体" w:cs="宋体"/>
          <w:b w:val="0"/>
          <w:bCs/>
          <w:color w:val="auto"/>
          <w:sz w:val="28"/>
        </w:rPr>
      </w:pPr>
      <w:r>
        <w:rPr>
          <w:rFonts w:hint="eastAsia" w:ascii="宋体" w:hAnsi="宋体" w:eastAsia="宋体" w:cs="宋体"/>
          <w:b w:val="0"/>
          <w:bCs/>
          <w:color w:val="auto"/>
          <w:sz w:val="24"/>
          <w:szCs w:val="22"/>
        </w:rPr>
        <w:t>地点：</w:t>
      </w:r>
      <w:r>
        <w:rPr>
          <w:rFonts w:hint="eastAsia" w:ascii="宋体" w:hAnsi="宋体" w:eastAsia="宋体" w:cs="宋体"/>
          <w:b w:val="0"/>
          <w:bCs/>
          <w:color w:val="auto"/>
          <w:sz w:val="24"/>
          <w:szCs w:val="22"/>
          <w:lang w:eastAsia="zh-CN"/>
        </w:rPr>
        <w:t>东方禾元大酒店五楼会议室（地址：汉中市汉台区将坛西路与天汉大道交汇处向西</w:t>
      </w:r>
      <w:r>
        <w:rPr>
          <w:rFonts w:hint="eastAsia" w:ascii="宋体" w:hAnsi="宋体" w:eastAsia="宋体" w:cs="宋体"/>
          <w:b w:val="0"/>
          <w:bCs/>
          <w:color w:val="auto"/>
          <w:sz w:val="24"/>
          <w:szCs w:val="22"/>
          <w:lang w:val="en-US" w:eastAsia="zh-CN"/>
        </w:rPr>
        <w:t>100米</w:t>
      </w:r>
      <w:r>
        <w:rPr>
          <w:rFonts w:hint="eastAsia" w:ascii="宋体" w:hAnsi="宋体" w:eastAsia="宋体" w:cs="宋体"/>
          <w:b w:val="0"/>
          <w:bCs/>
          <w:color w:val="auto"/>
          <w:sz w:val="24"/>
          <w:szCs w:val="22"/>
          <w:lang w:eastAsia="zh-CN"/>
        </w:rPr>
        <w:t>）</w:t>
      </w:r>
      <w:r>
        <w:rPr>
          <w:rFonts w:hint="eastAsia" w:ascii="宋体" w:hAnsi="宋体" w:eastAsia="宋体" w:cs="宋体"/>
          <w:b w:val="0"/>
          <w:bCs/>
          <w:color w:val="auto"/>
          <w:sz w:val="28"/>
        </w:rPr>
        <w:t>。</w:t>
      </w:r>
    </w:p>
    <w:p>
      <w:pPr>
        <w:snapToGrid w:val="0"/>
        <w:spacing w:after="120" w:afterLines="50" w:line="480" w:lineRule="auto"/>
        <w:ind w:firstLine="482"/>
        <w:rPr>
          <w:rFonts w:hint="eastAsia" w:ascii="宋体" w:hAnsi="宋体" w:eastAsia="宋体" w:cs="宋体"/>
          <w:b/>
          <w:color w:val="auto"/>
          <w:sz w:val="28"/>
          <w:lang w:val="en-US" w:eastAsia="zh-CN"/>
        </w:rPr>
      </w:pPr>
      <w:r>
        <w:rPr>
          <w:rFonts w:hint="eastAsia" w:ascii="宋体" w:hAnsi="宋体" w:eastAsia="宋体" w:cs="宋体"/>
          <w:b/>
          <w:color w:val="auto"/>
          <w:sz w:val="28"/>
        </w:rPr>
        <w:t>六、</w:t>
      </w:r>
      <w:r>
        <w:rPr>
          <w:rFonts w:hint="eastAsia" w:ascii="宋体" w:hAnsi="宋体" w:eastAsia="宋体" w:cs="宋体"/>
          <w:b/>
          <w:color w:val="auto"/>
          <w:sz w:val="28"/>
          <w:lang w:val="en-US" w:eastAsia="zh-CN"/>
        </w:rPr>
        <w:t>公告期限</w:t>
      </w:r>
    </w:p>
    <w:p>
      <w:pPr>
        <w:snapToGrid w:val="0"/>
        <w:spacing w:after="120" w:afterLines="50" w:line="480" w:lineRule="auto"/>
        <w:ind w:firstLine="1031" w:firstLineChars="428"/>
        <w:rPr>
          <w:rFonts w:hint="eastAsia" w:ascii="宋体" w:hAnsi="宋体" w:eastAsia="宋体" w:cs="宋体"/>
          <w:b/>
          <w:color w:val="auto"/>
          <w:sz w:val="28"/>
          <w:lang w:val="en-US" w:eastAsia="zh-CN"/>
        </w:rPr>
      </w:pPr>
      <w:r>
        <w:rPr>
          <w:rFonts w:hint="eastAsia" w:ascii="宋体" w:hAnsi="宋体" w:eastAsia="宋体" w:cs="宋体"/>
          <w:b/>
          <w:color w:val="auto"/>
          <w:sz w:val="24"/>
          <w:szCs w:val="22"/>
          <w:lang w:val="en-US" w:eastAsia="zh-CN"/>
        </w:rPr>
        <w:t>自本公告发布之日起</w:t>
      </w:r>
      <w:r>
        <w:rPr>
          <w:rFonts w:hint="eastAsia" w:ascii="宋体" w:hAnsi="宋体" w:eastAsia="宋体" w:cs="宋体"/>
          <w:b/>
          <w:color w:val="auto"/>
          <w:sz w:val="24"/>
          <w:szCs w:val="22"/>
          <w:u w:val="single"/>
          <w:lang w:val="en-US" w:eastAsia="zh-CN"/>
        </w:rPr>
        <w:t xml:space="preserve"> 3 </w:t>
      </w:r>
      <w:r>
        <w:rPr>
          <w:rFonts w:hint="eastAsia" w:ascii="宋体" w:hAnsi="宋体" w:eastAsia="宋体" w:cs="宋体"/>
          <w:b/>
          <w:color w:val="auto"/>
          <w:sz w:val="24"/>
          <w:szCs w:val="22"/>
          <w:lang w:val="en-US" w:eastAsia="zh-CN"/>
        </w:rPr>
        <w:t>个工作日</w:t>
      </w:r>
    </w:p>
    <w:p>
      <w:pPr>
        <w:pageBreakBefore w:val="0"/>
        <w:widowControl w:val="0"/>
        <w:numPr>
          <w:ilvl w:val="0"/>
          <w:numId w:val="0"/>
        </w:numPr>
        <w:kinsoku/>
        <w:wordWrap/>
        <w:overflowPunct/>
        <w:topLinePunct w:val="0"/>
        <w:autoSpaceDE/>
        <w:autoSpaceDN/>
        <w:bidi w:val="0"/>
        <w:adjustRightInd/>
        <w:snapToGrid/>
        <w:spacing w:line="480" w:lineRule="auto"/>
        <w:ind w:firstLine="562" w:firstLineChars="200"/>
        <w:textAlignment w:val="auto"/>
        <w:rPr>
          <w:rFonts w:hint="eastAsia" w:ascii="宋体" w:hAnsi="宋体" w:eastAsia="宋体" w:cs="宋体"/>
          <w:b/>
          <w:bCs/>
          <w:color w:val="auto"/>
          <w:kern w:val="0"/>
          <w:sz w:val="28"/>
          <w:szCs w:val="28"/>
        </w:rPr>
      </w:pPr>
      <w:r>
        <w:rPr>
          <w:rFonts w:hint="eastAsia" w:ascii="宋体" w:hAnsi="宋体" w:eastAsia="宋体" w:cs="宋体"/>
          <w:b/>
          <w:bCs/>
          <w:color w:val="auto"/>
          <w:kern w:val="0"/>
          <w:sz w:val="28"/>
          <w:szCs w:val="28"/>
          <w:lang w:eastAsia="zh-CN"/>
        </w:rPr>
        <w:t>七、</w:t>
      </w:r>
      <w:r>
        <w:rPr>
          <w:rFonts w:hint="eastAsia" w:ascii="宋体" w:hAnsi="宋体" w:eastAsia="宋体" w:cs="宋体"/>
          <w:b/>
          <w:bCs/>
          <w:color w:val="auto"/>
          <w:kern w:val="0"/>
          <w:sz w:val="28"/>
          <w:szCs w:val="28"/>
        </w:rPr>
        <w:t>其他补充事宜：</w:t>
      </w:r>
    </w:p>
    <w:p>
      <w:pPr>
        <w:pageBreakBefore w:val="0"/>
        <w:widowControl w:val="0"/>
        <w:kinsoku/>
        <w:wordWrap/>
        <w:overflowPunct/>
        <w:topLinePunct w:val="0"/>
        <w:autoSpaceDE/>
        <w:autoSpaceDN/>
        <w:bidi w:val="0"/>
        <w:adjustRightInd/>
        <w:snapToGrid/>
        <w:spacing w:line="480" w:lineRule="auto"/>
        <w:ind w:left="420" w:leftChars="200" w:firstLine="600" w:firstLineChars="250"/>
        <w:textAlignment w:val="auto"/>
        <w:rPr>
          <w:rFonts w:hint="eastAsia" w:ascii="宋体" w:hAnsi="宋体" w:eastAsia="宋体" w:cs="宋体"/>
          <w:color w:val="auto"/>
          <w:sz w:val="24"/>
          <w:szCs w:val="24"/>
          <w:u w:val="none"/>
          <w:lang w:eastAsia="zh-CN"/>
        </w:rPr>
      </w:pPr>
      <w:r>
        <w:rPr>
          <w:rFonts w:hint="eastAsia" w:ascii="宋体" w:hAnsi="宋体" w:eastAsia="宋体" w:cs="宋体"/>
          <w:color w:val="auto"/>
          <w:sz w:val="24"/>
          <w:szCs w:val="24"/>
          <w:u w:val="none"/>
          <w:lang w:eastAsia="zh-CN"/>
        </w:rPr>
        <w:t>注：1</w:t>
      </w:r>
      <w:r>
        <w:rPr>
          <w:rFonts w:hint="eastAsia" w:ascii="宋体" w:hAnsi="宋体" w:eastAsia="宋体" w:cs="宋体"/>
          <w:color w:val="auto"/>
          <w:sz w:val="24"/>
          <w:szCs w:val="24"/>
          <w:u w:val="none"/>
          <w:lang w:val="en-US" w:eastAsia="zh-CN"/>
        </w:rPr>
        <w:t>.</w:t>
      </w:r>
      <w:r>
        <w:rPr>
          <w:rFonts w:hint="eastAsia" w:ascii="宋体" w:hAnsi="宋体" w:eastAsia="宋体" w:cs="宋体"/>
          <w:color w:val="auto"/>
          <w:sz w:val="24"/>
          <w:szCs w:val="24"/>
          <w:u w:val="none"/>
          <w:lang w:eastAsia="zh-CN"/>
        </w:rPr>
        <w:t>经办人持企业单位介绍信、授权委托书 (委托代理人办理的，代理人必须持有企业法人代表签署的授权委托书原件）加盖公章的身份证复印件、原件购买竞争性磋商文件（谢绝邮寄）；</w:t>
      </w:r>
    </w:p>
    <w:p>
      <w:pPr>
        <w:pageBreakBefore w:val="0"/>
        <w:widowControl w:val="0"/>
        <w:kinsoku/>
        <w:wordWrap/>
        <w:overflowPunct/>
        <w:topLinePunct w:val="0"/>
        <w:autoSpaceDE/>
        <w:autoSpaceDN/>
        <w:bidi w:val="0"/>
        <w:adjustRightInd/>
        <w:snapToGrid/>
        <w:spacing w:line="480" w:lineRule="auto"/>
        <w:ind w:left="420" w:leftChars="200" w:firstLine="600" w:firstLineChars="250"/>
        <w:textAlignment w:val="auto"/>
        <w:rPr>
          <w:rFonts w:hint="eastAsia" w:ascii="宋体" w:hAnsi="宋体" w:eastAsia="宋体" w:cs="宋体"/>
          <w:color w:val="auto"/>
          <w:sz w:val="20"/>
          <w:szCs w:val="22"/>
        </w:rPr>
      </w:pPr>
      <w:r>
        <w:rPr>
          <w:rFonts w:hint="eastAsia" w:ascii="宋体" w:hAnsi="宋体" w:eastAsia="宋体" w:cs="宋体"/>
          <w:color w:val="auto"/>
          <w:sz w:val="24"/>
          <w:szCs w:val="24"/>
          <w:u w:val="none"/>
          <w:lang w:eastAsia="zh-CN"/>
        </w:rPr>
        <w:t>2.请供应商按照陕西省财政厅关于政府采购供应商注册登记有关事项的通知中的要求，通过陕西省政府采购（</w:t>
      </w:r>
      <w:r>
        <w:rPr>
          <w:rFonts w:hint="eastAsia" w:ascii="宋体" w:hAnsi="宋体" w:eastAsia="宋体" w:cs="宋体"/>
          <w:color w:val="auto"/>
          <w:sz w:val="24"/>
          <w:szCs w:val="24"/>
          <w:u w:val="none"/>
          <w:lang w:eastAsia="zh-CN"/>
        </w:rPr>
        <w:fldChar w:fldCharType="begin"/>
      </w:r>
      <w:r>
        <w:rPr>
          <w:rFonts w:hint="eastAsia" w:ascii="宋体" w:hAnsi="宋体" w:eastAsia="宋体" w:cs="宋体"/>
          <w:color w:val="auto"/>
          <w:sz w:val="24"/>
          <w:szCs w:val="24"/>
          <w:u w:val="none"/>
          <w:lang w:eastAsia="zh-CN"/>
        </w:rPr>
        <w:instrText xml:space="preserve"> HYPERLINK "http://www.ccgp-shaanxi.gov.cn/" \h </w:instrText>
      </w:r>
      <w:r>
        <w:rPr>
          <w:rFonts w:hint="eastAsia" w:ascii="宋体" w:hAnsi="宋体" w:eastAsia="宋体" w:cs="宋体"/>
          <w:color w:val="auto"/>
          <w:sz w:val="24"/>
          <w:szCs w:val="24"/>
          <w:u w:val="none"/>
          <w:lang w:eastAsia="zh-CN"/>
        </w:rPr>
        <w:fldChar w:fldCharType="separate"/>
      </w:r>
      <w:r>
        <w:rPr>
          <w:rFonts w:hint="eastAsia" w:ascii="宋体" w:hAnsi="宋体" w:eastAsia="宋体" w:cs="宋体"/>
          <w:color w:val="auto"/>
          <w:sz w:val="24"/>
          <w:szCs w:val="24"/>
          <w:u w:val="none"/>
          <w:lang w:eastAsia="zh-CN"/>
        </w:rPr>
        <w:t>http://www.ccgp-shaanxi.gov.cn/</w:t>
      </w:r>
      <w:r>
        <w:rPr>
          <w:rFonts w:hint="eastAsia" w:ascii="宋体" w:hAnsi="宋体" w:eastAsia="宋体" w:cs="宋体"/>
          <w:color w:val="auto"/>
          <w:sz w:val="24"/>
          <w:szCs w:val="24"/>
          <w:u w:val="none"/>
          <w:lang w:eastAsia="zh-CN"/>
        </w:rPr>
        <w:fldChar w:fldCharType="end"/>
      </w:r>
      <w:r>
        <w:rPr>
          <w:rFonts w:hint="eastAsia" w:ascii="宋体" w:hAnsi="宋体" w:eastAsia="宋体" w:cs="宋体"/>
          <w:color w:val="auto"/>
          <w:sz w:val="24"/>
          <w:szCs w:val="24"/>
          <w:u w:val="none"/>
          <w:lang w:eastAsia="zh-CN"/>
        </w:rPr>
        <w:t>） 注册登记加入陕西省政府采购供应商库。</w:t>
      </w:r>
    </w:p>
    <w:p>
      <w:pPr>
        <w:pageBreakBefore w:val="0"/>
        <w:widowControl w:val="0"/>
        <w:numPr>
          <w:ilvl w:val="0"/>
          <w:numId w:val="0"/>
        </w:numPr>
        <w:kinsoku/>
        <w:wordWrap/>
        <w:overflowPunct/>
        <w:topLinePunct w:val="0"/>
        <w:autoSpaceDE/>
        <w:autoSpaceDN/>
        <w:bidi w:val="0"/>
        <w:adjustRightInd/>
        <w:snapToGrid/>
        <w:spacing w:line="480" w:lineRule="auto"/>
        <w:ind w:firstLine="562" w:firstLineChars="200"/>
        <w:textAlignment w:val="auto"/>
        <w:rPr>
          <w:rFonts w:hint="eastAsia" w:ascii="宋体" w:hAnsi="宋体" w:eastAsia="宋体" w:cs="宋体"/>
          <w:b/>
          <w:bCs/>
          <w:color w:val="auto"/>
          <w:kern w:val="0"/>
          <w:sz w:val="28"/>
          <w:szCs w:val="28"/>
        </w:rPr>
      </w:pPr>
      <w:r>
        <w:rPr>
          <w:rFonts w:hint="eastAsia" w:ascii="宋体" w:hAnsi="宋体" w:eastAsia="宋体" w:cs="宋体"/>
          <w:b/>
          <w:bCs/>
          <w:color w:val="auto"/>
          <w:kern w:val="0"/>
          <w:sz w:val="28"/>
          <w:szCs w:val="28"/>
          <w:lang w:eastAsia="zh-CN"/>
        </w:rPr>
        <w:t>八</w:t>
      </w:r>
      <w:r>
        <w:rPr>
          <w:rFonts w:hint="eastAsia" w:ascii="宋体" w:hAnsi="宋体" w:eastAsia="宋体" w:cs="宋体"/>
          <w:b/>
          <w:bCs/>
          <w:color w:val="auto"/>
          <w:kern w:val="0"/>
          <w:sz w:val="28"/>
          <w:szCs w:val="28"/>
        </w:rPr>
        <w:t>、对本次采购提出询问，请按以下方式联系。</w:t>
      </w:r>
    </w:p>
    <w:p>
      <w:pPr>
        <w:snapToGrid w:val="0"/>
        <w:spacing w:line="480" w:lineRule="auto"/>
        <w:ind w:firstLine="480"/>
        <w:rPr>
          <w:rFonts w:hint="eastAsia" w:ascii="宋体" w:hAnsi="宋体" w:eastAsia="宋体" w:cs="宋体"/>
          <w:color w:val="auto"/>
          <w:sz w:val="24"/>
          <w:lang w:eastAsia="zh-CN"/>
        </w:rPr>
      </w:pPr>
      <w:r>
        <w:rPr>
          <w:rFonts w:hint="eastAsia" w:ascii="宋体" w:hAnsi="宋体" w:eastAsia="宋体" w:cs="宋体"/>
          <w:color w:val="auto"/>
          <w:sz w:val="24"/>
        </w:rPr>
        <w:t>1、采购人信息：</w:t>
      </w:r>
      <w:r>
        <w:rPr>
          <w:rFonts w:hint="eastAsia" w:ascii="宋体" w:hAnsi="宋体" w:eastAsia="宋体" w:cs="宋体"/>
          <w:color w:val="auto"/>
          <w:sz w:val="24"/>
          <w:lang w:val="en-US" w:eastAsia="zh-CN"/>
        </w:rPr>
        <w:t>汉中市南郑区汉山街道办事处</w:t>
      </w:r>
    </w:p>
    <w:p>
      <w:pPr>
        <w:snapToGrid w:val="0"/>
        <w:spacing w:line="480" w:lineRule="auto"/>
        <w:ind w:left="0" w:leftChars="0" w:firstLine="840" w:firstLineChars="350"/>
        <w:rPr>
          <w:rFonts w:hint="eastAsia" w:ascii="宋体" w:hAnsi="宋体" w:eastAsia="宋体" w:cs="宋体"/>
          <w:color w:val="auto"/>
          <w:sz w:val="24"/>
        </w:rPr>
      </w:pPr>
      <w:r>
        <w:rPr>
          <w:rFonts w:hint="eastAsia" w:ascii="宋体" w:hAnsi="宋体" w:eastAsia="宋体" w:cs="宋体"/>
          <w:color w:val="auto"/>
          <w:sz w:val="24"/>
        </w:rPr>
        <w:t>联系人：</w:t>
      </w:r>
      <w:r>
        <w:rPr>
          <w:rFonts w:hint="eastAsia" w:ascii="宋体" w:hAnsi="宋体" w:eastAsia="宋体" w:cs="宋体"/>
          <w:color w:val="auto"/>
          <w:sz w:val="24"/>
          <w:lang w:val="en-US" w:eastAsia="zh-CN"/>
        </w:rPr>
        <w:t>汉中市南郑区汉山街道办事处</w:t>
      </w:r>
      <w:r>
        <w:rPr>
          <w:rFonts w:hint="eastAsia" w:ascii="宋体" w:hAnsi="宋体" w:eastAsia="宋体" w:cs="宋体"/>
          <w:color w:val="auto"/>
          <w:sz w:val="24"/>
          <w:lang w:eastAsia="zh-CN"/>
        </w:rPr>
        <w:t>经办</w:t>
      </w:r>
      <w:r>
        <w:rPr>
          <w:rFonts w:hint="eastAsia" w:ascii="宋体" w:hAnsi="宋体" w:eastAsia="宋体" w:cs="宋体"/>
          <w:color w:val="auto"/>
          <w:sz w:val="24"/>
        </w:rPr>
        <w:t xml:space="preserve"> </w:t>
      </w:r>
    </w:p>
    <w:p>
      <w:pPr>
        <w:snapToGrid w:val="0"/>
        <w:spacing w:line="480" w:lineRule="auto"/>
        <w:ind w:firstLine="787" w:firstLineChars="328"/>
        <w:rPr>
          <w:rFonts w:hint="eastAsia" w:ascii="宋体" w:hAnsi="宋体" w:eastAsia="宋体" w:cs="宋体"/>
          <w:color w:val="auto"/>
          <w:sz w:val="24"/>
          <w:lang w:eastAsia="zh-CN"/>
        </w:rPr>
      </w:pPr>
      <w:r>
        <w:rPr>
          <w:rFonts w:hint="eastAsia" w:ascii="宋体" w:hAnsi="宋体" w:eastAsia="宋体" w:cs="宋体"/>
          <w:color w:val="auto"/>
          <w:sz w:val="24"/>
        </w:rPr>
        <w:t>联系地址：</w:t>
      </w:r>
      <w:r>
        <w:rPr>
          <w:rFonts w:hint="eastAsia" w:ascii="宋体" w:hAnsi="宋体" w:eastAsia="宋体" w:cs="宋体"/>
          <w:color w:val="auto"/>
          <w:sz w:val="24"/>
          <w:lang w:val="en-US" w:eastAsia="zh-CN"/>
        </w:rPr>
        <w:t>汉中市南郑区城区南环路</w:t>
      </w:r>
    </w:p>
    <w:p>
      <w:pPr>
        <w:snapToGrid w:val="0"/>
        <w:spacing w:line="480" w:lineRule="auto"/>
        <w:ind w:firstLine="787" w:firstLineChars="328"/>
        <w:rPr>
          <w:rFonts w:hint="eastAsia" w:ascii="宋体" w:hAnsi="宋体" w:eastAsia="宋体" w:cs="宋体"/>
          <w:color w:val="auto"/>
          <w:sz w:val="24"/>
          <w:lang w:val="en-US" w:eastAsia="zh-CN"/>
        </w:rPr>
      </w:pPr>
      <w:r>
        <w:rPr>
          <w:rFonts w:hint="eastAsia" w:ascii="宋体" w:hAnsi="宋体" w:eastAsia="宋体" w:cs="宋体"/>
          <w:color w:val="auto"/>
          <w:sz w:val="24"/>
        </w:rPr>
        <w:t>联系电话：</w:t>
      </w:r>
      <w:r>
        <w:rPr>
          <w:rFonts w:hint="eastAsia" w:ascii="宋体" w:hAnsi="宋体" w:eastAsia="宋体" w:cs="宋体"/>
          <w:color w:val="auto"/>
          <w:sz w:val="24"/>
          <w:lang w:val="en-US" w:eastAsia="zh-CN"/>
        </w:rPr>
        <w:t>0916-5512288</w:t>
      </w:r>
    </w:p>
    <w:p>
      <w:pPr>
        <w:snapToGrid w:val="0"/>
        <w:spacing w:line="480" w:lineRule="auto"/>
        <w:ind w:firstLine="480"/>
        <w:rPr>
          <w:rFonts w:hint="eastAsia" w:ascii="宋体" w:hAnsi="宋体" w:eastAsia="宋体" w:cs="宋体"/>
          <w:color w:val="auto"/>
          <w:sz w:val="24"/>
          <w:lang w:eastAsia="zh-CN"/>
        </w:rPr>
      </w:pPr>
      <w:r>
        <w:rPr>
          <w:rFonts w:hint="eastAsia" w:ascii="宋体" w:hAnsi="宋体" w:eastAsia="宋体" w:cs="宋体"/>
          <w:color w:val="auto"/>
          <w:sz w:val="24"/>
        </w:rPr>
        <w:t>2、</w:t>
      </w:r>
      <w:r>
        <w:rPr>
          <w:rFonts w:hint="eastAsia" w:ascii="宋体" w:hAnsi="宋体" w:eastAsia="宋体" w:cs="宋体"/>
          <w:color w:val="auto"/>
          <w:sz w:val="24"/>
          <w:lang w:eastAsia="zh-CN"/>
        </w:rPr>
        <w:t>采购代理机构信息</w:t>
      </w:r>
    </w:p>
    <w:p>
      <w:pPr>
        <w:snapToGrid w:val="0"/>
        <w:spacing w:line="480" w:lineRule="auto"/>
        <w:ind w:firstLine="787" w:firstLineChars="328"/>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名称：陕西华兴工程咨询有限公司</w:t>
      </w:r>
    </w:p>
    <w:p>
      <w:pPr>
        <w:snapToGrid w:val="0"/>
        <w:spacing w:line="480" w:lineRule="auto"/>
        <w:ind w:firstLine="787" w:firstLineChars="328"/>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地址：汉中市汉台区南门十字西南角35#颐馨园商住楼11楼</w:t>
      </w:r>
    </w:p>
    <w:p>
      <w:pPr>
        <w:snapToGrid w:val="0"/>
        <w:spacing w:line="480" w:lineRule="auto"/>
        <w:ind w:firstLine="787" w:firstLineChars="328"/>
        <w:rPr>
          <w:rFonts w:hint="default" w:ascii="宋体" w:hAnsi="宋体" w:eastAsia="宋体" w:cs="宋体"/>
          <w:color w:val="auto"/>
          <w:sz w:val="24"/>
          <w:lang w:val="en-US" w:eastAsia="zh-CN"/>
        </w:rPr>
      </w:pPr>
      <w:r>
        <w:rPr>
          <w:rFonts w:hint="eastAsia" w:ascii="宋体" w:hAnsi="宋体" w:eastAsia="宋体" w:cs="宋体"/>
          <w:color w:val="auto"/>
          <w:sz w:val="24"/>
          <w:lang w:val="en-US" w:eastAsia="zh-CN"/>
        </w:rPr>
        <w:t>联系方式：0916-2524867</w:t>
      </w:r>
    </w:p>
    <w:p>
      <w:pPr>
        <w:snapToGrid w:val="0"/>
        <w:spacing w:line="480" w:lineRule="auto"/>
        <w:ind w:firstLine="480"/>
        <w:rPr>
          <w:rFonts w:hint="eastAsia" w:ascii="宋体" w:hAnsi="宋体" w:eastAsia="宋体" w:cs="宋体"/>
          <w:color w:val="auto"/>
          <w:sz w:val="24"/>
          <w:lang w:eastAsia="zh-CN"/>
        </w:rPr>
      </w:pPr>
      <w:r>
        <w:rPr>
          <w:rFonts w:hint="eastAsia" w:ascii="宋体" w:hAnsi="宋体" w:eastAsia="宋体" w:cs="宋体"/>
          <w:color w:val="auto"/>
          <w:sz w:val="24"/>
        </w:rPr>
        <w:t>3、</w:t>
      </w:r>
      <w:r>
        <w:rPr>
          <w:rFonts w:hint="eastAsia" w:ascii="宋体" w:hAnsi="宋体" w:eastAsia="宋体" w:cs="宋体"/>
          <w:color w:val="auto"/>
          <w:sz w:val="24"/>
          <w:lang w:eastAsia="zh-CN"/>
        </w:rPr>
        <w:t>项目联系方式</w:t>
      </w:r>
    </w:p>
    <w:p>
      <w:pPr>
        <w:snapToGrid w:val="0"/>
        <w:spacing w:line="480" w:lineRule="auto"/>
        <w:ind w:firstLine="787" w:firstLineChars="328"/>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项目联系人：鲁女士</w:t>
      </w:r>
    </w:p>
    <w:p>
      <w:pPr>
        <w:keepNext w:val="0"/>
        <w:keepLines w:val="0"/>
        <w:pageBreakBefore w:val="0"/>
        <w:widowControl w:val="0"/>
        <w:kinsoku/>
        <w:wordWrap/>
        <w:overflowPunct/>
        <w:topLinePunct w:val="0"/>
        <w:autoSpaceDE/>
        <w:autoSpaceDN/>
        <w:bidi w:val="0"/>
        <w:adjustRightInd/>
        <w:snapToGrid w:val="0"/>
        <w:spacing w:line="360" w:lineRule="auto"/>
        <w:ind w:firstLine="787" w:firstLineChars="328"/>
        <w:textAlignment w:val="auto"/>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电话：18691605987</w:t>
      </w:r>
    </w:p>
    <w:p>
      <w:pPr>
        <w:pStyle w:val="2"/>
        <w:rPr>
          <w:rFonts w:hint="eastAsia" w:ascii="宋体" w:hAnsi="宋体" w:eastAsia="宋体" w:cs="宋体"/>
          <w:color w:val="auto"/>
          <w:sz w:val="24"/>
          <w:lang w:val="en-US" w:eastAsia="zh-CN"/>
        </w:rPr>
      </w:pPr>
    </w:p>
    <w:p>
      <w:pPr>
        <w:pStyle w:val="2"/>
        <w:rPr>
          <w:rFonts w:hint="eastAsia" w:ascii="宋体" w:hAnsi="宋体" w:eastAsia="宋体" w:cs="宋体"/>
          <w:color w:val="auto"/>
          <w:sz w:val="24"/>
          <w:lang w:val="en-US" w:eastAsia="zh-CN"/>
        </w:rPr>
      </w:pPr>
    </w:p>
    <w:p>
      <w:pPr>
        <w:pStyle w:val="2"/>
        <w:rPr>
          <w:rFonts w:hint="eastAsia" w:ascii="宋体" w:hAnsi="宋体" w:eastAsia="宋体" w:cs="宋体"/>
          <w:color w:val="auto"/>
          <w:sz w:val="24"/>
          <w:lang w:val="en-US" w:eastAsia="zh-CN"/>
        </w:rPr>
      </w:pPr>
    </w:p>
    <w:p>
      <w:pPr>
        <w:pStyle w:val="2"/>
        <w:rPr>
          <w:rFonts w:hint="eastAsia" w:ascii="宋体" w:hAnsi="宋体" w:eastAsia="宋体" w:cs="宋体"/>
          <w:color w:val="auto"/>
          <w:sz w:val="24"/>
          <w:lang w:val="en-US" w:eastAsia="zh-CN"/>
        </w:rPr>
      </w:pPr>
    </w:p>
    <w:p>
      <w:pPr>
        <w:pStyle w:val="2"/>
        <w:rPr>
          <w:rFonts w:hint="eastAsia" w:ascii="宋体" w:hAnsi="宋体" w:eastAsia="宋体" w:cs="宋体"/>
          <w:color w:val="auto"/>
          <w:sz w:val="24"/>
          <w:lang w:val="en-US" w:eastAsia="zh-CN"/>
        </w:rPr>
      </w:pPr>
    </w:p>
    <w:p>
      <w:pPr>
        <w:pStyle w:val="2"/>
        <w:rPr>
          <w:rFonts w:hint="eastAsia" w:ascii="宋体" w:hAnsi="宋体" w:eastAsia="宋体" w:cs="宋体"/>
          <w:color w:val="auto"/>
          <w:sz w:val="24"/>
          <w:lang w:val="en-US" w:eastAsia="zh-CN"/>
        </w:rPr>
      </w:pPr>
    </w:p>
    <w:p>
      <w:pPr>
        <w:pStyle w:val="2"/>
        <w:rPr>
          <w:rFonts w:hint="eastAsia" w:ascii="宋体" w:hAnsi="宋体" w:eastAsia="宋体" w:cs="宋体"/>
          <w:color w:val="auto"/>
          <w:sz w:val="24"/>
          <w:lang w:val="en-US" w:eastAsia="zh-CN"/>
        </w:rPr>
      </w:pPr>
    </w:p>
    <w:p>
      <w:pPr>
        <w:pStyle w:val="2"/>
        <w:rPr>
          <w:rFonts w:hint="eastAsia" w:ascii="宋体" w:hAnsi="宋体" w:eastAsia="宋体" w:cs="宋体"/>
          <w:color w:val="auto"/>
          <w:sz w:val="24"/>
          <w:lang w:val="en-US" w:eastAsia="zh-CN"/>
        </w:rPr>
      </w:pPr>
    </w:p>
    <w:p>
      <w:pPr>
        <w:pStyle w:val="2"/>
        <w:rPr>
          <w:rFonts w:hint="eastAsia" w:ascii="宋体" w:hAnsi="宋体" w:eastAsia="宋体" w:cs="宋体"/>
          <w:color w:val="auto"/>
          <w:sz w:val="24"/>
          <w:lang w:val="en-US" w:eastAsia="zh-CN"/>
        </w:rPr>
      </w:pPr>
    </w:p>
    <w:p>
      <w:pPr>
        <w:pStyle w:val="2"/>
        <w:rPr>
          <w:rFonts w:hint="eastAsia" w:ascii="宋体" w:hAnsi="宋体" w:eastAsia="宋体" w:cs="宋体"/>
          <w:color w:val="auto"/>
          <w:sz w:val="24"/>
          <w:lang w:val="en-US" w:eastAsia="zh-CN"/>
        </w:rPr>
      </w:pPr>
    </w:p>
    <w:p>
      <w:pPr>
        <w:pStyle w:val="2"/>
        <w:rPr>
          <w:rFonts w:hint="eastAsia" w:ascii="宋体" w:hAnsi="宋体" w:eastAsia="宋体" w:cs="宋体"/>
          <w:color w:val="auto"/>
          <w:sz w:val="24"/>
          <w:lang w:val="en-US" w:eastAsia="zh-CN"/>
        </w:rPr>
      </w:pPr>
    </w:p>
    <w:p>
      <w:pPr>
        <w:pStyle w:val="2"/>
        <w:rPr>
          <w:rFonts w:hint="eastAsia" w:ascii="宋体" w:hAnsi="宋体" w:eastAsia="宋体" w:cs="宋体"/>
          <w:color w:val="auto"/>
          <w:sz w:val="24"/>
          <w:lang w:val="en-US" w:eastAsia="zh-CN"/>
        </w:rPr>
      </w:pPr>
    </w:p>
    <w:p>
      <w:pPr>
        <w:pStyle w:val="2"/>
        <w:rPr>
          <w:rFonts w:hint="eastAsia" w:ascii="宋体" w:hAnsi="宋体" w:eastAsia="宋体" w:cs="宋体"/>
          <w:color w:val="auto"/>
          <w:sz w:val="24"/>
          <w:lang w:val="en-US" w:eastAsia="zh-CN"/>
        </w:rPr>
      </w:pPr>
    </w:p>
    <w:p>
      <w:pPr>
        <w:pStyle w:val="4"/>
        <w:numPr>
          <w:ilvl w:val="0"/>
          <w:numId w:val="0"/>
        </w:numPr>
        <w:ind w:leftChars="0"/>
        <w:jc w:val="both"/>
        <w:rPr>
          <w:rFonts w:hint="eastAsia" w:ascii="宋体" w:hAnsi="宋体" w:eastAsia="宋体" w:cs="宋体"/>
          <w:b/>
          <w:color w:val="auto"/>
          <w:spacing w:val="-20"/>
          <w:sz w:val="32"/>
          <w:szCs w:val="24"/>
          <w:lang w:eastAsia="zh-CN"/>
        </w:rPr>
      </w:pPr>
      <w:bookmarkStart w:id="0" w:name="_Toc78884378"/>
    </w:p>
    <w:p>
      <w:pPr>
        <w:rPr>
          <w:rFonts w:hint="eastAsia" w:ascii="宋体" w:hAnsi="宋体" w:eastAsia="宋体" w:cs="宋体"/>
          <w:b/>
          <w:color w:val="auto"/>
          <w:spacing w:val="-20"/>
          <w:sz w:val="32"/>
          <w:szCs w:val="24"/>
          <w:lang w:eastAsia="zh-CN"/>
        </w:rPr>
      </w:pPr>
    </w:p>
    <w:p>
      <w:pPr>
        <w:pStyle w:val="2"/>
        <w:rPr>
          <w:rFonts w:hint="eastAsia"/>
          <w:lang w:eastAsia="zh-CN"/>
        </w:rPr>
      </w:pPr>
    </w:p>
    <w:p>
      <w:pPr>
        <w:rPr>
          <w:rFonts w:hint="eastAsia"/>
          <w:lang w:eastAsia="zh-CN"/>
        </w:rPr>
      </w:pPr>
    </w:p>
    <w:p>
      <w:pPr>
        <w:pStyle w:val="4"/>
        <w:numPr>
          <w:ilvl w:val="0"/>
          <w:numId w:val="0"/>
        </w:numPr>
        <w:ind w:leftChars="0"/>
        <w:jc w:val="center"/>
        <w:rPr>
          <w:rFonts w:hint="eastAsia" w:ascii="宋体" w:hAnsi="宋体" w:eastAsia="宋体" w:cs="宋体"/>
          <w:b/>
          <w:color w:val="auto"/>
          <w:spacing w:val="-20"/>
          <w:sz w:val="32"/>
          <w:szCs w:val="24"/>
        </w:rPr>
      </w:pPr>
      <w:r>
        <w:rPr>
          <w:rFonts w:hint="eastAsia" w:ascii="宋体" w:hAnsi="宋体" w:eastAsia="宋体" w:cs="宋体"/>
          <w:b/>
          <w:color w:val="auto"/>
          <w:spacing w:val="-20"/>
          <w:sz w:val="32"/>
          <w:szCs w:val="24"/>
          <w:lang w:eastAsia="zh-CN"/>
        </w:rPr>
        <w:t>第二章</w:t>
      </w:r>
      <w:r>
        <w:rPr>
          <w:rFonts w:hint="eastAsia" w:ascii="宋体" w:hAnsi="宋体" w:eastAsia="宋体" w:cs="宋体"/>
          <w:b/>
          <w:color w:val="auto"/>
          <w:spacing w:val="-20"/>
          <w:sz w:val="32"/>
          <w:szCs w:val="24"/>
          <w:lang w:val="en-US" w:eastAsia="zh-CN"/>
        </w:rPr>
        <w:t xml:space="preserve">   </w:t>
      </w:r>
      <w:r>
        <w:rPr>
          <w:rFonts w:hint="eastAsia" w:ascii="宋体" w:hAnsi="宋体" w:eastAsia="宋体" w:cs="宋体"/>
          <w:b/>
          <w:color w:val="auto"/>
          <w:spacing w:val="-20"/>
          <w:sz w:val="32"/>
          <w:szCs w:val="24"/>
        </w:rPr>
        <w:t>供应商须知</w:t>
      </w:r>
      <w:bookmarkEnd w:id="0"/>
    </w:p>
    <w:p>
      <w:pPr>
        <w:rPr>
          <w:rFonts w:hint="eastAsia" w:ascii="宋体" w:hAnsi="宋体" w:eastAsia="宋体" w:cs="宋体"/>
          <w:color w:val="auto"/>
          <w:sz w:val="24"/>
        </w:rPr>
      </w:pPr>
    </w:p>
    <w:p>
      <w:pPr>
        <w:pStyle w:val="22"/>
        <w:spacing w:line="360" w:lineRule="auto"/>
        <w:ind w:firstLine="0"/>
        <w:jc w:val="center"/>
        <w:rPr>
          <w:rFonts w:hint="eastAsia" w:ascii="宋体" w:hAnsi="宋体" w:eastAsia="宋体" w:cs="宋体"/>
          <w:b/>
          <w:color w:val="auto"/>
          <w:sz w:val="24"/>
          <w:szCs w:val="24"/>
          <w:lang w:eastAsia="zh-CN"/>
        </w:rPr>
      </w:pPr>
      <w:r>
        <w:rPr>
          <w:rFonts w:hint="eastAsia" w:ascii="宋体" w:hAnsi="宋体" w:eastAsia="宋体" w:cs="宋体"/>
          <w:b/>
          <w:color w:val="auto"/>
          <w:sz w:val="24"/>
          <w:szCs w:val="24"/>
        </w:rPr>
        <w:t>1、供应商须知前附表</w:t>
      </w:r>
    </w:p>
    <w:tbl>
      <w:tblPr>
        <w:tblStyle w:val="28"/>
        <w:tblW w:w="9592"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703"/>
        <w:gridCol w:w="1866"/>
        <w:gridCol w:w="7023"/>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98" w:hRule="atLeast"/>
          <w:jc w:val="center"/>
        </w:trPr>
        <w:tc>
          <w:tcPr>
            <w:tcW w:w="703" w:type="dxa"/>
            <w:vAlign w:val="center"/>
          </w:tcPr>
          <w:p>
            <w:pPr>
              <w:pStyle w:val="22"/>
              <w:spacing w:line="360" w:lineRule="auto"/>
              <w:ind w:firstLine="0"/>
              <w:jc w:val="center"/>
              <w:rPr>
                <w:rFonts w:hint="eastAsia" w:ascii="宋体" w:hAnsi="宋体" w:eastAsia="宋体" w:cs="宋体"/>
                <w:b/>
                <w:color w:val="auto"/>
                <w:sz w:val="24"/>
                <w:szCs w:val="24"/>
              </w:rPr>
            </w:pPr>
            <w:r>
              <w:rPr>
                <w:rFonts w:hint="eastAsia" w:ascii="宋体" w:hAnsi="宋体" w:eastAsia="宋体" w:cs="宋体"/>
                <w:b/>
                <w:color w:val="auto"/>
                <w:sz w:val="24"/>
                <w:szCs w:val="24"/>
              </w:rPr>
              <w:t>序号</w:t>
            </w:r>
          </w:p>
        </w:tc>
        <w:tc>
          <w:tcPr>
            <w:tcW w:w="1866" w:type="dxa"/>
            <w:vAlign w:val="center"/>
          </w:tcPr>
          <w:p>
            <w:pPr>
              <w:pStyle w:val="22"/>
              <w:spacing w:line="360" w:lineRule="auto"/>
              <w:ind w:firstLine="0"/>
              <w:jc w:val="center"/>
              <w:rPr>
                <w:rFonts w:hint="eastAsia" w:ascii="宋体" w:hAnsi="宋体" w:eastAsia="宋体" w:cs="宋体"/>
                <w:b/>
                <w:color w:val="auto"/>
                <w:sz w:val="24"/>
                <w:szCs w:val="24"/>
              </w:rPr>
            </w:pPr>
            <w:r>
              <w:rPr>
                <w:rFonts w:hint="eastAsia" w:ascii="宋体" w:hAnsi="宋体" w:eastAsia="宋体" w:cs="宋体"/>
                <w:b/>
                <w:color w:val="auto"/>
                <w:sz w:val="24"/>
                <w:szCs w:val="24"/>
              </w:rPr>
              <w:t>内容</w:t>
            </w:r>
          </w:p>
        </w:tc>
        <w:tc>
          <w:tcPr>
            <w:tcW w:w="7023" w:type="dxa"/>
            <w:vAlign w:val="center"/>
          </w:tcPr>
          <w:p>
            <w:pPr>
              <w:pStyle w:val="22"/>
              <w:spacing w:line="360" w:lineRule="auto"/>
              <w:ind w:left="-183" w:firstLine="0"/>
              <w:jc w:val="center"/>
              <w:rPr>
                <w:rFonts w:hint="eastAsia" w:ascii="宋体" w:hAnsi="宋体" w:eastAsia="宋体" w:cs="宋体"/>
                <w:b/>
                <w:color w:val="auto"/>
                <w:sz w:val="24"/>
                <w:szCs w:val="24"/>
              </w:rPr>
            </w:pPr>
            <w:r>
              <w:rPr>
                <w:rFonts w:hint="eastAsia" w:ascii="宋体" w:hAnsi="宋体" w:eastAsia="宋体" w:cs="宋体"/>
                <w:b/>
                <w:color w:val="auto"/>
                <w:sz w:val="24"/>
                <w:szCs w:val="24"/>
              </w:rPr>
              <w:t>要求与说明</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30" w:hRule="atLeast"/>
          <w:jc w:val="center"/>
        </w:trPr>
        <w:tc>
          <w:tcPr>
            <w:tcW w:w="703" w:type="dxa"/>
            <w:vAlign w:val="center"/>
          </w:tcPr>
          <w:p>
            <w:pPr>
              <w:spacing w:line="360" w:lineRule="auto"/>
              <w:jc w:val="center"/>
              <w:rPr>
                <w:rFonts w:hint="eastAsia" w:ascii="宋体" w:hAnsi="宋体" w:eastAsia="宋体" w:cs="宋体"/>
                <w:color w:val="auto"/>
                <w:sz w:val="24"/>
              </w:rPr>
            </w:pPr>
            <w:r>
              <w:rPr>
                <w:rFonts w:hint="eastAsia" w:ascii="宋体" w:hAnsi="宋体" w:eastAsia="宋体" w:cs="宋体"/>
                <w:color w:val="auto"/>
                <w:sz w:val="24"/>
              </w:rPr>
              <w:t>1</w:t>
            </w:r>
          </w:p>
        </w:tc>
        <w:tc>
          <w:tcPr>
            <w:tcW w:w="1866" w:type="dxa"/>
            <w:vAlign w:val="center"/>
          </w:tcPr>
          <w:p>
            <w:pPr>
              <w:pStyle w:val="22"/>
              <w:spacing w:line="360" w:lineRule="auto"/>
              <w:ind w:left="4" w:firstLine="0"/>
              <w:jc w:val="center"/>
              <w:rPr>
                <w:rFonts w:hint="eastAsia" w:ascii="宋体" w:hAnsi="宋体" w:eastAsia="宋体" w:cs="宋体"/>
                <w:color w:val="auto"/>
                <w:sz w:val="24"/>
                <w:szCs w:val="24"/>
              </w:rPr>
            </w:pPr>
            <w:r>
              <w:rPr>
                <w:rFonts w:hint="eastAsia" w:ascii="宋体" w:hAnsi="宋体" w:eastAsia="宋体" w:cs="宋体"/>
                <w:color w:val="auto"/>
                <w:sz w:val="24"/>
                <w:szCs w:val="24"/>
              </w:rPr>
              <w:t>项目名称及</w:t>
            </w:r>
          </w:p>
          <w:p>
            <w:pPr>
              <w:pStyle w:val="22"/>
              <w:spacing w:line="360" w:lineRule="auto"/>
              <w:ind w:left="4" w:firstLine="0"/>
              <w:jc w:val="center"/>
              <w:rPr>
                <w:rFonts w:hint="eastAsia" w:ascii="宋体" w:hAnsi="宋体" w:eastAsia="宋体" w:cs="宋体"/>
                <w:color w:val="auto"/>
                <w:sz w:val="24"/>
                <w:szCs w:val="24"/>
              </w:rPr>
            </w:pPr>
            <w:r>
              <w:rPr>
                <w:rFonts w:hint="eastAsia" w:ascii="宋体" w:hAnsi="宋体" w:eastAsia="宋体" w:cs="宋体"/>
                <w:color w:val="auto"/>
                <w:sz w:val="24"/>
                <w:szCs w:val="24"/>
              </w:rPr>
              <w:t>采购项目编号</w:t>
            </w:r>
          </w:p>
        </w:tc>
        <w:tc>
          <w:tcPr>
            <w:tcW w:w="7023" w:type="dxa"/>
            <w:vAlign w:val="center"/>
          </w:tcPr>
          <w:p>
            <w:pPr>
              <w:pStyle w:val="22"/>
              <w:spacing w:line="360" w:lineRule="auto"/>
              <w:ind w:firstLine="0"/>
              <w:rPr>
                <w:rFonts w:hint="eastAsia" w:ascii="宋体" w:hAnsi="宋体" w:eastAsia="宋体" w:cs="宋体"/>
                <w:color w:val="auto"/>
                <w:sz w:val="24"/>
                <w:lang w:eastAsia="zh-CN"/>
              </w:rPr>
            </w:pPr>
            <w:r>
              <w:rPr>
                <w:rFonts w:hint="eastAsia" w:ascii="宋体" w:hAnsi="宋体" w:eastAsia="宋体" w:cs="宋体"/>
                <w:color w:val="auto"/>
                <w:sz w:val="24"/>
                <w:szCs w:val="24"/>
              </w:rPr>
              <w:t>项目名称：</w:t>
            </w:r>
            <w:r>
              <w:rPr>
                <w:rFonts w:hint="eastAsia" w:ascii="宋体" w:hAnsi="宋体" w:cs="宋体"/>
                <w:color w:val="auto"/>
                <w:sz w:val="24"/>
                <w:lang w:eastAsia="zh-CN"/>
              </w:rPr>
              <w:t>汉中市南郑区“四改一拆一通一落地”-汉山街道办高庄村背街小巷硬化工程</w:t>
            </w:r>
          </w:p>
          <w:p>
            <w:pPr>
              <w:pStyle w:val="22"/>
              <w:spacing w:line="360" w:lineRule="auto"/>
              <w:ind w:firstLine="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采购项目编号：</w:t>
            </w:r>
            <w:r>
              <w:rPr>
                <w:rFonts w:hint="eastAsia" w:ascii="宋体" w:hAnsi="宋体" w:cs="宋体"/>
                <w:color w:val="auto"/>
                <w:sz w:val="24"/>
                <w:szCs w:val="24"/>
                <w:lang w:eastAsia="zh-CN"/>
              </w:rPr>
              <w:t>HXGC-HWD-南郑区-2022-0705</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460" w:hRule="atLeast"/>
          <w:jc w:val="center"/>
        </w:trPr>
        <w:tc>
          <w:tcPr>
            <w:tcW w:w="703" w:type="dxa"/>
            <w:vAlign w:val="center"/>
          </w:tcPr>
          <w:p>
            <w:pPr>
              <w:pStyle w:val="22"/>
              <w:spacing w:line="360" w:lineRule="auto"/>
              <w:ind w:firstLine="0"/>
              <w:jc w:val="center"/>
              <w:rPr>
                <w:rFonts w:hint="eastAsia" w:ascii="宋体" w:hAnsi="宋体" w:eastAsia="宋体" w:cs="宋体"/>
                <w:color w:val="auto"/>
                <w:sz w:val="24"/>
                <w:szCs w:val="24"/>
              </w:rPr>
            </w:pPr>
            <w:r>
              <w:rPr>
                <w:rFonts w:hint="eastAsia" w:ascii="宋体" w:hAnsi="宋体" w:eastAsia="宋体" w:cs="宋体"/>
                <w:color w:val="auto"/>
                <w:sz w:val="24"/>
                <w:szCs w:val="24"/>
              </w:rPr>
              <w:t>2</w:t>
            </w:r>
          </w:p>
        </w:tc>
        <w:tc>
          <w:tcPr>
            <w:tcW w:w="1866" w:type="dxa"/>
            <w:vAlign w:val="center"/>
          </w:tcPr>
          <w:p>
            <w:pPr>
              <w:pStyle w:val="22"/>
              <w:spacing w:line="360" w:lineRule="auto"/>
              <w:ind w:left="4" w:firstLine="0"/>
              <w:jc w:val="center"/>
              <w:rPr>
                <w:rFonts w:hint="eastAsia" w:ascii="宋体" w:hAnsi="宋体" w:eastAsia="宋体" w:cs="宋体"/>
                <w:color w:val="auto"/>
                <w:sz w:val="24"/>
                <w:szCs w:val="24"/>
              </w:rPr>
            </w:pPr>
            <w:r>
              <w:rPr>
                <w:rFonts w:hint="eastAsia" w:ascii="宋体" w:hAnsi="宋体" w:eastAsia="宋体" w:cs="宋体"/>
                <w:color w:val="auto"/>
                <w:sz w:val="24"/>
                <w:szCs w:val="24"/>
              </w:rPr>
              <w:t>采购人信息</w:t>
            </w:r>
          </w:p>
        </w:tc>
        <w:tc>
          <w:tcPr>
            <w:tcW w:w="7023" w:type="dxa"/>
            <w:vAlign w:val="center"/>
          </w:tcPr>
          <w:p>
            <w:pPr>
              <w:spacing w:line="360" w:lineRule="auto"/>
              <w:rPr>
                <w:rFonts w:hint="eastAsia" w:ascii="宋体" w:hAnsi="宋体" w:eastAsia="宋体" w:cs="宋体"/>
                <w:color w:val="auto"/>
                <w:sz w:val="24"/>
                <w:lang w:eastAsia="zh-CN"/>
              </w:rPr>
            </w:pPr>
            <w:r>
              <w:rPr>
                <w:rFonts w:hint="eastAsia" w:ascii="宋体" w:hAnsi="宋体" w:eastAsia="宋体" w:cs="宋体"/>
                <w:color w:val="auto"/>
                <w:sz w:val="24"/>
              </w:rPr>
              <w:t>采购人名称：</w:t>
            </w:r>
            <w:r>
              <w:rPr>
                <w:rFonts w:hint="eastAsia" w:ascii="宋体" w:hAnsi="宋体" w:cs="宋体"/>
                <w:color w:val="auto"/>
                <w:sz w:val="24"/>
                <w:lang w:eastAsia="zh-CN"/>
              </w:rPr>
              <w:t>汉中市南郑区汉山街道办事处</w:t>
            </w:r>
          </w:p>
          <w:p>
            <w:pPr>
              <w:spacing w:line="360" w:lineRule="auto"/>
              <w:rPr>
                <w:rFonts w:hint="eastAsia" w:ascii="宋体" w:hAnsi="宋体" w:eastAsia="宋体" w:cs="宋体"/>
                <w:color w:val="auto"/>
                <w:sz w:val="24"/>
                <w:lang w:eastAsia="zh-CN"/>
              </w:rPr>
            </w:pPr>
            <w:r>
              <w:rPr>
                <w:rFonts w:hint="eastAsia" w:ascii="宋体" w:hAnsi="宋体" w:eastAsia="宋体" w:cs="宋体"/>
                <w:color w:val="auto"/>
                <w:sz w:val="24"/>
                <w:lang w:eastAsia="zh-CN"/>
              </w:rPr>
              <w:t>地址：</w:t>
            </w:r>
            <w:r>
              <w:rPr>
                <w:rFonts w:hint="eastAsia" w:ascii="宋体" w:hAnsi="宋体" w:eastAsia="宋体" w:cs="宋体"/>
                <w:color w:val="auto"/>
                <w:sz w:val="24"/>
                <w:lang w:val="en-US" w:eastAsia="zh-CN"/>
              </w:rPr>
              <w:t>汉中市南郑区城区南环路</w:t>
            </w:r>
          </w:p>
          <w:p>
            <w:pPr>
              <w:spacing w:line="360" w:lineRule="auto"/>
              <w:rPr>
                <w:rFonts w:hint="eastAsia" w:ascii="宋体" w:hAnsi="宋体" w:eastAsia="宋体" w:cs="宋体"/>
                <w:color w:val="auto"/>
                <w:sz w:val="24"/>
                <w:lang w:eastAsia="zh-CN"/>
              </w:rPr>
            </w:pPr>
            <w:r>
              <w:rPr>
                <w:rFonts w:hint="eastAsia" w:ascii="宋体" w:hAnsi="宋体" w:eastAsia="宋体" w:cs="宋体"/>
                <w:color w:val="auto"/>
                <w:sz w:val="24"/>
              </w:rPr>
              <w:t>采购联系人</w:t>
            </w:r>
            <w:r>
              <w:rPr>
                <w:rFonts w:hint="eastAsia" w:ascii="宋体" w:hAnsi="宋体" w:eastAsia="宋体" w:cs="宋体"/>
                <w:color w:val="auto"/>
                <w:sz w:val="24"/>
                <w:lang w:eastAsia="zh-CN"/>
              </w:rPr>
              <w:t>：</w:t>
            </w:r>
            <w:r>
              <w:rPr>
                <w:rFonts w:hint="eastAsia" w:ascii="宋体" w:hAnsi="宋体" w:cs="宋体"/>
                <w:color w:val="auto"/>
                <w:sz w:val="24"/>
                <w:lang w:eastAsia="zh-CN"/>
              </w:rPr>
              <w:t>汉中市南郑区汉山街道办事处</w:t>
            </w:r>
            <w:r>
              <w:rPr>
                <w:rFonts w:hint="eastAsia" w:ascii="宋体" w:hAnsi="宋体" w:eastAsia="宋体" w:cs="宋体"/>
                <w:color w:val="auto"/>
                <w:sz w:val="24"/>
                <w:lang w:eastAsia="zh-CN"/>
              </w:rPr>
              <w:t>经办</w:t>
            </w:r>
          </w:p>
          <w:p>
            <w:pPr>
              <w:spacing w:line="360" w:lineRule="auto"/>
              <w:rPr>
                <w:rFonts w:hint="default" w:ascii="宋体" w:hAnsi="宋体" w:eastAsia="宋体" w:cs="宋体"/>
                <w:color w:val="auto"/>
                <w:sz w:val="24"/>
                <w:lang w:val="en-US"/>
              </w:rPr>
            </w:pPr>
            <w:r>
              <w:rPr>
                <w:rFonts w:hint="eastAsia" w:ascii="宋体" w:hAnsi="宋体" w:eastAsia="宋体" w:cs="宋体"/>
                <w:color w:val="auto"/>
                <w:sz w:val="24"/>
                <w:lang w:eastAsia="zh-CN"/>
              </w:rPr>
              <w:t>联系电话：</w:t>
            </w:r>
            <w:r>
              <w:rPr>
                <w:rFonts w:hint="eastAsia" w:ascii="宋体" w:hAnsi="宋体" w:eastAsia="宋体" w:cs="宋体"/>
                <w:color w:val="auto"/>
                <w:sz w:val="24"/>
                <w:lang w:val="en-US" w:eastAsia="zh-CN"/>
              </w:rPr>
              <w:t>0916-5512288</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72" w:hRule="atLeast"/>
          <w:jc w:val="center"/>
        </w:trPr>
        <w:tc>
          <w:tcPr>
            <w:tcW w:w="703" w:type="dxa"/>
            <w:vAlign w:val="center"/>
          </w:tcPr>
          <w:p>
            <w:pPr>
              <w:spacing w:line="360" w:lineRule="auto"/>
              <w:jc w:val="center"/>
              <w:rPr>
                <w:rFonts w:hint="eastAsia" w:ascii="宋体" w:hAnsi="宋体" w:eastAsia="宋体" w:cs="宋体"/>
                <w:color w:val="auto"/>
                <w:sz w:val="24"/>
              </w:rPr>
            </w:pPr>
            <w:r>
              <w:rPr>
                <w:rFonts w:hint="eastAsia" w:ascii="宋体" w:hAnsi="宋体" w:eastAsia="宋体" w:cs="宋体"/>
                <w:color w:val="auto"/>
                <w:sz w:val="24"/>
              </w:rPr>
              <w:t>3</w:t>
            </w:r>
          </w:p>
        </w:tc>
        <w:tc>
          <w:tcPr>
            <w:tcW w:w="1866" w:type="dxa"/>
            <w:vAlign w:val="center"/>
          </w:tcPr>
          <w:p>
            <w:pPr>
              <w:pStyle w:val="22"/>
              <w:spacing w:line="360" w:lineRule="auto"/>
              <w:ind w:left="4" w:firstLine="0"/>
              <w:jc w:val="center"/>
              <w:rPr>
                <w:rFonts w:hint="eastAsia" w:ascii="宋体" w:hAnsi="宋体" w:eastAsia="宋体" w:cs="宋体"/>
                <w:color w:val="auto"/>
                <w:sz w:val="24"/>
                <w:szCs w:val="24"/>
              </w:rPr>
            </w:pPr>
            <w:r>
              <w:rPr>
                <w:rFonts w:hint="eastAsia" w:ascii="宋体" w:hAnsi="宋体" w:eastAsia="宋体" w:cs="宋体"/>
                <w:color w:val="auto"/>
                <w:sz w:val="24"/>
                <w:szCs w:val="24"/>
              </w:rPr>
              <w:t>采购代理机构信息</w:t>
            </w:r>
          </w:p>
        </w:tc>
        <w:tc>
          <w:tcPr>
            <w:tcW w:w="7023" w:type="dxa"/>
            <w:vAlign w:val="center"/>
          </w:tcPr>
          <w:p>
            <w:pPr>
              <w:pStyle w:val="22"/>
              <w:spacing w:line="360" w:lineRule="auto"/>
              <w:ind w:firstLine="0"/>
              <w:rPr>
                <w:rFonts w:hint="eastAsia" w:ascii="宋体" w:hAnsi="宋体" w:eastAsia="宋体" w:cs="宋体"/>
                <w:color w:val="auto"/>
                <w:sz w:val="24"/>
                <w:szCs w:val="24"/>
                <w:lang w:eastAsia="zh-CN"/>
              </w:rPr>
            </w:pPr>
            <w:r>
              <w:rPr>
                <w:rFonts w:hint="eastAsia" w:ascii="宋体" w:hAnsi="宋体" w:eastAsia="宋体" w:cs="宋体"/>
                <w:color w:val="auto"/>
                <w:sz w:val="24"/>
                <w:szCs w:val="24"/>
              </w:rPr>
              <w:t>采购代理机构：</w:t>
            </w:r>
            <w:r>
              <w:rPr>
                <w:rFonts w:hint="eastAsia" w:ascii="宋体" w:hAnsi="宋体" w:eastAsia="宋体" w:cs="宋体"/>
                <w:color w:val="auto"/>
                <w:sz w:val="24"/>
                <w:szCs w:val="24"/>
                <w:lang w:eastAsia="zh-CN"/>
              </w:rPr>
              <w:t>陕西华兴工程咨询有限公司</w:t>
            </w:r>
          </w:p>
          <w:p>
            <w:pPr>
              <w:spacing w:line="360" w:lineRule="auto"/>
              <w:rPr>
                <w:rFonts w:hint="eastAsia" w:ascii="宋体" w:hAnsi="宋体" w:eastAsia="宋体" w:cs="宋体"/>
                <w:color w:val="auto"/>
                <w:kern w:val="0"/>
                <w:sz w:val="24"/>
                <w:lang w:eastAsia="zh-CN"/>
              </w:rPr>
            </w:pPr>
            <w:r>
              <w:rPr>
                <w:rFonts w:hint="eastAsia" w:ascii="宋体" w:hAnsi="宋体" w:eastAsia="宋体" w:cs="宋体"/>
                <w:color w:val="auto"/>
                <w:sz w:val="24"/>
              </w:rPr>
              <w:t>地址：</w:t>
            </w:r>
            <w:r>
              <w:rPr>
                <w:rFonts w:hint="eastAsia" w:ascii="宋体" w:hAnsi="宋体" w:eastAsia="宋体" w:cs="宋体"/>
                <w:color w:val="auto"/>
                <w:kern w:val="0"/>
                <w:sz w:val="24"/>
                <w:lang w:eastAsia="zh-CN"/>
              </w:rPr>
              <w:t>汉中市汉台区南门十字西南角35#颐馨园商住楼11楼1102室</w:t>
            </w:r>
          </w:p>
          <w:p>
            <w:pPr>
              <w:spacing w:line="360" w:lineRule="auto"/>
              <w:rPr>
                <w:rFonts w:hint="eastAsia" w:ascii="宋体" w:hAnsi="宋体" w:eastAsia="宋体" w:cs="宋体"/>
                <w:color w:val="auto"/>
                <w:sz w:val="24"/>
                <w:lang w:eastAsia="zh-CN"/>
              </w:rPr>
            </w:pPr>
            <w:r>
              <w:rPr>
                <w:rFonts w:hint="eastAsia" w:ascii="宋体" w:hAnsi="宋体" w:eastAsia="宋体" w:cs="宋体"/>
                <w:color w:val="auto"/>
                <w:sz w:val="24"/>
              </w:rPr>
              <w:t>联系人：</w:t>
            </w:r>
            <w:r>
              <w:rPr>
                <w:rFonts w:hint="eastAsia" w:ascii="宋体" w:hAnsi="宋体" w:eastAsia="宋体" w:cs="宋体"/>
                <w:color w:val="auto"/>
                <w:sz w:val="24"/>
                <w:lang w:eastAsia="zh-CN"/>
              </w:rPr>
              <w:t>鲁女士</w:t>
            </w:r>
          </w:p>
          <w:p>
            <w:pPr>
              <w:spacing w:line="360" w:lineRule="auto"/>
              <w:rPr>
                <w:rFonts w:hint="eastAsia" w:ascii="宋体" w:hAnsi="宋体" w:eastAsia="宋体" w:cs="宋体"/>
                <w:color w:val="auto"/>
                <w:sz w:val="24"/>
                <w:lang w:val="en-US" w:eastAsia="zh-CN"/>
              </w:rPr>
            </w:pPr>
            <w:r>
              <w:rPr>
                <w:rFonts w:hint="eastAsia" w:ascii="宋体" w:hAnsi="宋体" w:eastAsia="宋体" w:cs="宋体"/>
                <w:color w:val="auto"/>
                <w:sz w:val="24"/>
              </w:rPr>
              <w:t>电话：</w:t>
            </w:r>
            <w:r>
              <w:rPr>
                <w:rFonts w:hint="eastAsia" w:ascii="宋体" w:hAnsi="宋体" w:eastAsia="宋体" w:cs="宋体"/>
                <w:color w:val="auto"/>
                <w:sz w:val="24"/>
                <w:lang w:val="en-US" w:eastAsia="zh-CN"/>
              </w:rPr>
              <w:t>0916-2524867/18691605987</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424" w:hRule="atLeast"/>
          <w:jc w:val="center"/>
        </w:trPr>
        <w:tc>
          <w:tcPr>
            <w:tcW w:w="703" w:type="dxa"/>
            <w:vAlign w:val="center"/>
          </w:tcPr>
          <w:p>
            <w:pPr>
              <w:spacing w:line="360" w:lineRule="auto"/>
              <w:jc w:val="center"/>
              <w:rPr>
                <w:rFonts w:hint="eastAsia" w:ascii="宋体" w:hAnsi="宋体" w:eastAsia="宋体" w:cs="宋体"/>
                <w:color w:val="auto"/>
                <w:sz w:val="24"/>
              </w:rPr>
            </w:pPr>
            <w:r>
              <w:rPr>
                <w:rFonts w:hint="eastAsia" w:ascii="宋体" w:hAnsi="宋体" w:eastAsia="宋体" w:cs="宋体"/>
                <w:color w:val="auto"/>
                <w:sz w:val="24"/>
              </w:rPr>
              <w:t>4</w:t>
            </w:r>
          </w:p>
        </w:tc>
        <w:tc>
          <w:tcPr>
            <w:tcW w:w="1866" w:type="dxa"/>
            <w:vAlign w:val="center"/>
          </w:tcPr>
          <w:p>
            <w:pPr>
              <w:pStyle w:val="22"/>
              <w:spacing w:line="360" w:lineRule="auto"/>
              <w:ind w:left="4" w:firstLine="0"/>
              <w:jc w:val="center"/>
              <w:rPr>
                <w:rFonts w:hint="eastAsia" w:ascii="宋体" w:hAnsi="宋体" w:eastAsia="宋体" w:cs="宋体"/>
                <w:color w:val="auto"/>
                <w:sz w:val="24"/>
                <w:szCs w:val="24"/>
                <w:lang w:eastAsia="zh-CN"/>
              </w:rPr>
            </w:pPr>
            <w:r>
              <w:rPr>
                <w:rFonts w:hint="eastAsia" w:ascii="宋体" w:hAnsi="宋体" w:cs="宋体"/>
                <w:color w:val="auto"/>
                <w:sz w:val="24"/>
                <w:szCs w:val="24"/>
                <w:lang w:eastAsia="zh-CN"/>
              </w:rPr>
              <w:t>项目概况</w:t>
            </w:r>
          </w:p>
        </w:tc>
        <w:tc>
          <w:tcPr>
            <w:tcW w:w="7023" w:type="dxa"/>
            <w:vAlign w:val="center"/>
          </w:tcPr>
          <w:p>
            <w:pPr>
              <w:pStyle w:val="22"/>
              <w:spacing w:line="360" w:lineRule="auto"/>
              <w:ind w:firstLine="0"/>
              <w:jc w:val="both"/>
              <w:rPr>
                <w:rFonts w:hint="eastAsia" w:ascii="宋体" w:hAnsi="宋体" w:eastAsia="宋体" w:cs="宋体"/>
                <w:color w:val="auto"/>
                <w:sz w:val="24"/>
                <w:szCs w:val="24"/>
              </w:rPr>
            </w:pPr>
            <w:r>
              <w:rPr>
                <w:rFonts w:hint="eastAsia" w:ascii="宋体" w:hAnsi="宋体" w:eastAsia="宋体" w:cs="宋体"/>
                <w:color w:val="auto"/>
                <w:sz w:val="24"/>
                <w:szCs w:val="24"/>
                <w:lang w:eastAsia="zh-CN"/>
              </w:rPr>
              <w:t>南郑大道非机动车道铺沥青混凝土路面，村内道路加铺沥青混凝土面层及水泥混凝土地面硬化；混凝土路肩浇筑，混凝土道沿安装，成品</w:t>
            </w:r>
            <w:r>
              <w:rPr>
                <w:rFonts w:hint="eastAsia" w:ascii="宋体" w:hAnsi="宋体" w:eastAsia="宋体" w:cs="宋体"/>
                <w:color w:val="auto"/>
                <w:sz w:val="24"/>
                <w:szCs w:val="24"/>
                <w:lang w:val="en-US" w:eastAsia="zh-CN"/>
              </w:rPr>
              <w:t>80U型渠</w:t>
            </w:r>
            <w:r>
              <w:rPr>
                <w:rFonts w:hint="eastAsia" w:ascii="宋体" w:hAnsi="宋体" w:eastAsia="宋体" w:cs="宋体"/>
                <w:color w:val="auto"/>
                <w:sz w:val="24"/>
                <w:szCs w:val="24"/>
                <w:lang w:eastAsia="zh-CN"/>
              </w:rPr>
              <w:t>砌筑，混凝土挡墙砌筑，雨污水混凝土管道铺设，砖砌检查井砌筑，砖砌雨水口砌筑，电缆铺设及绿化工程</w:t>
            </w:r>
            <w:r>
              <w:rPr>
                <w:rFonts w:hint="eastAsia" w:ascii="宋体" w:hAnsi="宋体" w:eastAsia="宋体" w:cs="宋体"/>
                <w:color w:val="auto"/>
                <w:sz w:val="24"/>
                <w:szCs w:val="24"/>
                <w:lang w:val="en-US" w:eastAsia="zh-CN"/>
              </w:rPr>
              <w:t>等</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具体</w:t>
            </w:r>
            <w:r>
              <w:rPr>
                <w:rFonts w:hint="eastAsia" w:ascii="宋体" w:hAnsi="宋体" w:eastAsia="宋体" w:cs="宋体"/>
                <w:color w:val="auto"/>
                <w:sz w:val="24"/>
                <w:szCs w:val="24"/>
                <w:lang w:eastAsia="zh-CN"/>
              </w:rPr>
              <w:t>内容</w:t>
            </w:r>
            <w:r>
              <w:rPr>
                <w:rFonts w:hint="eastAsia" w:ascii="宋体" w:hAnsi="宋体" w:eastAsia="宋体" w:cs="宋体"/>
                <w:color w:val="auto"/>
                <w:sz w:val="24"/>
                <w:szCs w:val="24"/>
              </w:rPr>
              <w:t>详见施工图及工程量清单</w:t>
            </w:r>
            <w:r>
              <w:rPr>
                <w:rFonts w:hint="eastAsia" w:ascii="宋体" w:hAnsi="宋体" w:eastAsia="宋体" w:cs="宋体"/>
                <w:color w:val="auto"/>
                <w:sz w:val="24"/>
                <w:szCs w:val="24"/>
                <w:lang w:eastAsia="zh-CN"/>
              </w:rPr>
              <w:t>）</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703" w:type="dxa"/>
            <w:vAlign w:val="center"/>
          </w:tcPr>
          <w:p>
            <w:pPr>
              <w:spacing w:line="360" w:lineRule="auto"/>
              <w:jc w:val="center"/>
              <w:rPr>
                <w:rFonts w:hint="eastAsia" w:ascii="宋体" w:hAnsi="宋体" w:eastAsia="宋体" w:cs="宋体"/>
                <w:color w:val="auto"/>
                <w:sz w:val="24"/>
              </w:rPr>
            </w:pPr>
            <w:r>
              <w:rPr>
                <w:rFonts w:hint="eastAsia" w:ascii="宋体" w:hAnsi="宋体" w:eastAsia="宋体" w:cs="宋体"/>
                <w:color w:val="auto"/>
                <w:sz w:val="24"/>
              </w:rPr>
              <w:t>5</w:t>
            </w:r>
          </w:p>
        </w:tc>
        <w:tc>
          <w:tcPr>
            <w:tcW w:w="1866" w:type="dxa"/>
            <w:vAlign w:val="center"/>
          </w:tcPr>
          <w:p>
            <w:pPr>
              <w:pStyle w:val="22"/>
              <w:spacing w:line="360" w:lineRule="auto"/>
              <w:ind w:left="4" w:firstLine="0"/>
              <w:jc w:val="center"/>
              <w:rPr>
                <w:rFonts w:hint="eastAsia" w:ascii="宋体" w:hAnsi="宋体" w:eastAsia="宋体" w:cs="宋体"/>
                <w:color w:val="auto"/>
                <w:sz w:val="24"/>
                <w:szCs w:val="24"/>
              </w:rPr>
            </w:pPr>
            <w:r>
              <w:rPr>
                <w:rFonts w:hint="eastAsia" w:ascii="宋体" w:hAnsi="宋体" w:eastAsia="宋体" w:cs="宋体"/>
                <w:color w:val="auto"/>
                <w:sz w:val="24"/>
                <w:szCs w:val="24"/>
              </w:rPr>
              <w:t>采购方式</w:t>
            </w:r>
          </w:p>
        </w:tc>
        <w:tc>
          <w:tcPr>
            <w:tcW w:w="7023" w:type="dxa"/>
            <w:vAlign w:val="center"/>
          </w:tcPr>
          <w:p>
            <w:pPr>
              <w:pStyle w:val="22"/>
              <w:spacing w:line="360" w:lineRule="auto"/>
              <w:ind w:firstLine="0"/>
              <w:jc w:val="left"/>
              <w:rPr>
                <w:rFonts w:hint="eastAsia" w:ascii="宋体" w:hAnsi="宋体" w:eastAsia="宋体" w:cs="宋体"/>
                <w:color w:val="auto"/>
                <w:sz w:val="24"/>
                <w:szCs w:val="24"/>
              </w:rPr>
            </w:pPr>
            <w:r>
              <w:rPr>
                <w:rFonts w:hint="eastAsia" w:ascii="宋体" w:hAnsi="宋体" w:eastAsia="宋体" w:cs="宋体"/>
                <w:color w:val="auto"/>
                <w:sz w:val="24"/>
                <w:szCs w:val="24"/>
              </w:rPr>
              <w:t>竞争性磋商</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70" w:hRule="atLeast"/>
          <w:jc w:val="center"/>
        </w:trPr>
        <w:tc>
          <w:tcPr>
            <w:tcW w:w="703" w:type="dxa"/>
            <w:vAlign w:val="center"/>
          </w:tcPr>
          <w:p>
            <w:pPr>
              <w:spacing w:line="360" w:lineRule="auto"/>
              <w:jc w:val="center"/>
              <w:rPr>
                <w:rFonts w:hint="eastAsia" w:ascii="宋体" w:hAnsi="宋体" w:eastAsia="宋体" w:cs="宋体"/>
                <w:color w:val="auto"/>
                <w:sz w:val="24"/>
              </w:rPr>
            </w:pPr>
            <w:r>
              <w:rPr>
                <w:rFonts w:hint="eastAsia" w:ascii="宋体" w:hAnsi="宋体" w:eastAsia="宋体" w:cs="宋体"/>
                <w:color w:val="auto"/>
                <w:sz w:val="24"/>
              </w:rPr>
              <w:t>6</w:t>
            </w:r>
          </w:p>
        </w:tc>
        <w:tc>
          <w:tcPr>
            <w:tcW w:w="1866" w:type="dxa"/>
            <w:vAlign w:val="center"/>
          </w:tcPr>
          <w:p>
            <w:pPr>
              <w:pStyle w:val="22"/>
              <w:spacing w:line="360" w:lineRule="auto"/>
              <w:ind w:left="4" w:firstLine="0"/>
              <w:jc w:val="center"/>
              <w:rPr>
                <w:rFonts w:hint="eastAsia" w:ascii="宋体" w:hAnsi="宋体" w:eastAsia="宋体" w:cs="宋体"/>
                <w:color w:val="auto"/>
                <w:sz w:val="24"/>
                <w:szCs w:val="24"/>
                <w:lang w:eastAsia="zh-CN"/>
              </w:rPr>
            </w:pPr>
            <w:r>
              <w:rPr>
                <w:rFonts w:hint="eastAsia" w:ascii="宋体" w:hAnsi="宋体" w:cs="宋体"/>
                <w:color w:val="auto"/>
                <w:sz w:val="24"/>
                <w:szCs w:val="24"/>
                <w:lang w:eastAsia="zh-CN"/>
              </w:rPr>
              <w:t>最高</w:t>
            </w:r>
            <w:r>
              <w:rPr>
                <w:rFonts w:hint="eastAsia" w:ascii="宋体" w:hAnsi="宋体" w:eastAsia="宋体" w:cs="宋体"/>
                <w:color w:val="auto"/>
                <w:sz w:val="24"/>
                <w:szCs w:val="24"/>
              </w:rPr>
              <w:t>限价</w:t>
            </w:r>
            <w:r>
              <w:rPr>
                <w:rFonts w:hint="eastAsia" w:ascii="宋体" w:hAnsi="宋体" w:cs="宋体"/>
                <w:color w:val="auto"/>
                <w:sz w:val="24"/>
                <w:szCs w:val="24"/>
                <w:lang w:eastAsia="zh-CN"/>
              </w:rPr>
              <w:t>、</w:t>
            </w:r>
            <w:r>
              <w:rPr>
                <w:rFonts w:hint="eastAsia" w:ascii="宋体" w:hAnsi="宋体" w:eastAsia="宋体" w:cs="宋体"/>
                <w:color w:val="auto"/>
                <w:sz w:val="24"/>
                <w:szCs w:val="24"/>
              </w:rPr>
              <w:t>质量标准</w:t>
            </w:r>
            <w:r>
              <w:rPr>
                <w:rFonts w:hint="eastAsia" w:ascii="宋体" w:hAnsi="宋体" w:cs="宋体"/>
                <w:color w:val="auto"/>
                <w:sz w:val="24"/>
                <w:szCs w:val="24"/>
                <w:lang w:eastAsia="zh-CN"/>
              </w:rPr>
              <w:t>及</w:t>
            </w:r>
            <w:r>
              <w:rPr>
                <w:rFonts w:hint="eastAsia" w:ascii="宋体" w:hAnsi="宋体" w:eastAsia="宋体" w:cs="宋体"/>
                <w:color w:val="auto"/>
                <w:sz w:val="24"/>
                <w:szCs w:val="24"/>
              </w:rPr>
              <w:t>工期</w:t>
            </w:r>
            <w:r>
              <w:rPr>
                <w:rFonts w:hint="eastAsia" w:ascii="宋体" w:hAnsi="宋体" w:cs="宋体"/>
                <w:color w:val="auto"/>
                <w:sz w:val="24"/>
                <w:szCs w:val="24"/>
                <w:lang w:eastAsia="zh-CN"/>
              </w:rPr>
              <w:t>要求</w:t>
            </w:r>
          </w:p>
        </w:tc>
        <w:tc>
          <w:tcPr>
            <w:tcW w:w="7023" w:type="dxa"/>
            <w:vAlign w:val="center"/>
          </w:tcPr>
          <w:p>
            <w:pPr>
              <w:pStyle w:val="22"/>
              <w:keepNext w:val="0"/>
              <w:keepLines w:val="0"/>
              <w:pageBreakBefore w:val="0"/>
              <w:widowControl w:val="0"/>
              <w:kinsoku/>
              <w:wordWrap/>
              <w:overflowPunct/>
              <w:topLinePunct w:val="0"/>
              <w:autoSpaceDE w:val="0"/>
              <w:autoSpaceDN w:val="0"/>
              <w:bidi w:val="0"/>
              <w:adjustRightInd w:val="0"/>
              <w:snapToGrid/>
              <w:spacing w:line="420" w:lineRule="exact"/>
              <w:ind w:firstLine="0"/>
              <w:textAlignment w:val="auto"/>
              <w:rPr>
                <w:rFonts w:hint="eastAsia" w:ascii="宋体" w:hAnsi="宋体" w:eastAsia="宋体" w:cs="宋体"/>
                <w:b/>
                <w:bCs/>
                <w:color w:val="auto"/>
                <w:sz w:val="28"/>
                <w:szCs w:val="28"/>
                <w:lang w:eastAsia="zh-CN"/>
              </w:rPr>
            </w:pPr>
            <w:r>
              <w:rPr>
                <w:rFonts w:hint="eastAsia" w:ascii="宋体" w:hAnsi="宋体" w:eastAsia="宋体" w:cs="宋体"/>
                <w:b/>
                <w:bCs/>
                <w:color w:val="auto"/>
                <w:sz w:val="28"/>
                <w:szCs w:val="28"/>
                <w:lang w:eastAsia="zh-CN"/>
              </w:rPr>
              <w:t>采购</w:t>
            </w:r>
            <w:r>
              <w:rPr>
                <w:rFonts w:hint="eastAsia" w:ascii="宋体" w:hAnsi="宋体" w:eastAsia="宋体" w:cs="宋体"/>
                <w:b/>
                <w:bCs/>
                <w:color w:val="auto"/>
                <w:sz w:val="28"/>
                <w:szCs w:val="28"/>
              </w:rPr>
              <w:t>项目内容</w:t>
            </w:r>
            <w:r>
              <w:rPr>
                <w:rFonts w:hint="eastAsia" w:ascii="宋体" w:hAnsi="宋体" w:eastAsia="宋体" w:cs="宋体"/>
                <w:b/>
                <w:bCs/>
                <w:color w:val="auto"/>
                <w:sz w:val="28"/>
                <w:szCs w:val="28"/>
                <w:lang w:eastAsia="zh-CN"/>
              </w:rPr>
              <w:t>：</w:t>
            </w:r>
          </w:p>
          <w:p>
            <w:pPr>
              <w:pStyle w:val="22"/>
              <w:keepNext w:val="0"/>
              <w:keepLines w:val="0"/>
              <w:pageBreakBefore w:val="0"/>
              <w:widowControl w:val="0"/>
              <w:kinsoku/>
              <w:wordWrap/>
              <w:overflowPunct/>
              <w:topLinePunct w:val="0"/>
              <w:autoSpaceDE w:val="0"/>
              <w:autoSpaceDN w:val="0"/>
              <w:bidi w:val="0"/>
              <w:adjustRightInd w:val="0"/>
              <w:snapToGrid/>
              <w:spacing w:line="420" w:lineRule="exact"/>
              <w:ind w:firstLine="0"/>
              <w:textAlignment w:val="auto"/>
              <w:rPr>
                <w:rFonts w:hint="eastAsia" w:ascii="宋体" w:hAnsi="宋体" w:eastAsia="宋体" w:cs="宋体"/>
                <w:b/>
                <w:bCs/>
                <w:color w:val="auto"/>
                <w:sz w:val="24"/>
                <w:szCs w:val="24"/>
                <w:shd w:val="clear" w:color="FFFFFF" w:fill="D9D9D9"/>
                <w:lang w:val="en-US" w:eastAsia="zh-CN"/>
              </w:rPr>
            </w:pPr>
            <w:r>
              <w:rPr>
                <w:rFonts w:hint="eastAsia" w:ascii="宋体" w:hAnsi="宋体" w:eastAsia="宋体" w:cs="宋体"/>
                <w:b/>
                <w:bCs/>
                <w:color w:val="auto"/>
                <w:sz w:val="24"/>
                <w:szCs w:val="24"/>
                <w:shd w:val="clear" w:color="FFFFFF" w:fill="D9D9D9"/>
                <w:lang w:val="en-US" w:eastAsia="zh-CN"/>
              </w:rPr>
              <w:t>最高限价：小写：1,767,954.26元</w:t>
            </w:r>
          </w:p>
          <w:p>
            <w:pPr>
              <w:pStyle w:val="22"/>
              <w:keepNext w:val="0"/>
              <w:keepLines w:val="0"/>
              <w:pageBreakBefore w:val="0"/>
              <w:widowControl w:val="0"/>
              <w:kinsoku/>
              <w:wordWrap/>
              <w:overflowPunct/>
              <w:topLinePunct w:val="0"/>
              <w:autoSpaceDE w:val="0"/>
              <w:autoSpaceDN w:val="0"/>
              <w:bidi w:val="0"/>
              <w:adjustRightInd w:val="0"/>
              <w:snapToGrid/>
              <w:spacing w:line="420" w:lineRule="exact"/>
              <w:ind w:firstLine="0"/>
              <w:textAlignment w:val="auto"/>
              <w:rPr>
                <w:rFonts w:hint="eastAsia" w:ascii="宋体" w:hAnsi="宋体" w:eastAsia="宋体" w:cs="宋体"/>
                <w:b/>
                <w:bCs/>
                <w:color w:val="auto"/>
                <w:sz w:val="24"/>
                <w:szCs w:val="24"/>
                <w:shd w:val="clear" w:color="FFFFFF" w:fill="D9D9D9"/>
                <w:lang w:val="en-US" w:eastAsia="zh-CN"/>
              </w:rPr>
            </w:pPr>
            <w:r>
              <w:rPr>
                <w:rFonts w:hint="eastAsia" w:ascii="宋体" w:hAnsi="宋体" w:eastAsia="宋体" w:cs="宋体"/>
                <w:b/>
                <w:bCs/>
                <w:color w:val="auto"/>
                <w:sz w:val="24"/>
                <w:szCs w:val="24"/>
                <w:shd w:val="clear" w:color="FFFFFF" w:fill="D9D9D9"/>
                <w:lang w:val="en-US" w:eastAsia="zh-CN"/>
              </w:rPr>
              <w:t>大写：</w:t>
            </w:r>
            <w:r>
              <w:rPr>
                <w:rFonts w:hint="eastAsia" w:ascii="宋体" w:hAnsi="宋体" w:cs="宋体"/>
                <w:b/>
                <w:bCs/>
                <w:color w:val="auto"/>
                <w:sz w:val="24"/>
                <w:szCs w:val="24"/>
                <w:shd w:val="clear" w:color="FFFFFF" w:fill="D9D9D9"/>
                <w:lang w:val="en-US" w:eastAsia="zh-CN"/>
              </w:rPr>
              <w:t>壹佰柒拾陆万柒仟玖佰伍拾肆元贰角陆分</w:t>
            </w:r>
            <w:r>
              <w:rPr>
                <w:rFonts w:hint="eastAsia" w:ascii="宋体" w:hAnsi="宋体" w:eastAsia="宋体" w:cs="宋体"/>
                <w:b/>
                <w:bCs/>
                <w:color w:val="auto"/>
                <w:sz w:val="24"/>
                <w:szCs w:val="24"/>
                <w:shd w:val="clear" w:color="FFFFFF" w:fill="D9D9D9"/>
                <w:lang w:val="en-US" w:eastAsia="zh-CN"/>
              </w:rPr>
              <w:t>。</w:t>
            </w:r>
          </w:p>
          <w:p>
            <w:pPr>
              <w:pStyle w:val="22"/>
              <w:keepNext w:val="0"/>
              <w:keepLines w:val="0"/>
              <w:pageBreakBefore w:val="0"/>
              <w:widowControl w:val="0"/>
              <w:kinsoku/>
              <w:wordWrap/>
              <w:overflowPunct/>
              <w:topLinePunct w:val="0"/>
              <w:autoSpaceDE w:val="0"/>
              <w:autoSpaceDN w:val="0"/>
              <w:bidi w:val="0"/>
              <w:adjustRightInd w:val="0"/>
              <w:snapToGrid/>
              <w:spacing w:line="420" w:lineRule="exact"/>
              <w:ind w:firstLine="0"/>
              <w:textAlignment w:val="auto"/>
              <w:rPr>
                <w:rFonts w:hint="eastAsia" w:ascii="宋体" w:hAnsi="宋体" w:eastAsia="宋体" w:cs="宋体"/>
                <w:color w:val="auto"/>
                <w:sz w:val="24"/>
                <w:szCs w:val="24"/>
                <w:lang w:val="en-US" w:eastAsia="zh-CN"/>
              </w:rPr>
            </w:pPr>
            <w:r>
              <w:rPr>
                <w:rFonts w:hint="eastAsia" w:ascii="宋体" w:hAnsi="宋体" w:eastAsia="宋体" w:cs="宋体"/>
                <w:b/>
                <w:bCs/>
                <w:color w:val="auto"/>
                <w:sz w:val="24"/>
                <w:szCs w:val="24"/>
                <w:lang w:val="en-US" w:eastAsia="zh-CN"/>
              </w:rPr>
              <w:t>注：响应人的磋商报价超过最高限价的，视为未响应磋商文件要求，其磋商文件按无效处理。</w:t>
            </w:r>
          </w:p>
          <w:p>
            <w:pPr>
              <w:pStyle w:val="22"/>
              <w:keepNext w:val="0"/>
              <w:keepLines w:val="0"/>
              <w:pageBreakBefore w:val="0"/>
              <w:widowControl w:val="0"/>
              <w:kinsoku/>
              <w:wordWrap/>
              <w:overflowPunct/>
              <w:topLinePunct w:val="0"/>
              <w:autoSpaceDE w:val="0"/>
              <w:autoSpaceDN w:val="0"/>
              <w:bidi w:val="0"/>
              <w:adjustRightInd w:val="0"/>
              <w:snapToGrid/>
              <w:spacing w:line="420" w:lineRule="exact"/>
              <w:ind w:firstLine="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资金来源：</w:t>
            </w:r>
            <w:r>
              <w:rPr>
                <w:rFonts w:hint="eastAsia" w:ascii="宋体" w:hAnsi="宋体" w:cs="宋体"/>
                <w:color w:val="auto"/>
                <w:sz w:val="24"/>
                <w:szCs w:val="24"/>
                <w:lang w:eastAsia="zh-CN"/>
              </w:rPr>
              <w:t>已落实</w:t>
            </w:r>
          </w:p>
          <w:p>
            <w:pPr>
              <w:pStyle w:val="22"/>
              <w:keepNext w:val="0"/>
              <w:keepLines w:val="0"/>
              <w:pageBreakBefore w:val="0"/>
              <w:widowControl w:val="0"/>
              <w:kinsoku/>
              <w:wordWrap/>
              <w:overflowPunct/>
              <w:topLinePunct w:val="0"/>
              <w:autoSpaceDE w:val="0"/>
              <w:autoSpaceDN w:val="0"/>
              <w:bidi w:val="0"/>
              <w:adjustRightInd w:val="0"/>
              <w:snapToGrid/>
              <w:spacing w:line="420" w:lineRule="exact"/>
              <w:ind w:firstLine="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质量标准：合格</w:t>
            </w:r>
          </w:p>
          <w:p>
            <w:pPr>
              <w:pStyle w:val="22"/>
              <w:keepNext w:val="0"/>
              <w:keepLines w:val="0"/>
              <w:pageBreakBefore w:val="0"/>
              <w:widowControl w:val="0"/>
              <w:kinsoku/>
              <w:wordWrap/>
              <w:overflowPunct/>
              <w:topLinePunct w:val="0"/>
              <w:autoSpaceDE w:val="0"/>
              <w:autoSpaceDN w:val="0"/>
              <w:bidi w:val="0"/>
              <w:adjustRightInd w:val="0"/>
              <w:snapToGrid/>
              <w:spacing w:line="420" w:lineRule="exact"/>
              <w:ind w:firstLine="0"/>
              <w:textAlignment w:val="auto"/>
              <w:rPr>
                <w:rFonts w:hint="eastAsia" w:ascii="宋体" w:hAnsi="宋体" w:eastAsia="宋体" w:cs="宋体"/>
                <w:b/>
                <w:bCs/>
                <w:color w:val="auto"/>
                <w:sz w:val="24"/>
                <w:szCs w:val="24"/>
                <w:shd w:val="clear" w:color="auto" w:fill="auto"/>
                <w:lang w:val="en-US" w:eastAsia="zh-CN"/>
              </w:rPr>
            </w:pPr>
            <w:r>
              <w:rPr>
                <w:rFonts w:hint="eastAsia" w:ascii="宋体" w:hAnsi="宋体" w:eastAsia="宋体" w:cs="宋体"/>
                <w:b/>
                <w:bCs/>
                <w:color w:val="auto"/>
                <w:sz w:val="24"/>
                <w:szCs w:val="24"/>
                <w:shd w:val="clear" w:color="auto" w:fill="auto"/>
              </w:rPr>
              <w:t>工期：</w:t>
            </w:r>
            <w:r>
              <w:rPr>
                <w:rFonts w:hint="eastAsia" w:ascii="宋体" w:hAnsi="宋体" w:cs="宋体"/>
                <w:b/>
                <w:bCs/>
                <w:color w:val="auto"/>
                <w:sz w:val="24"/>
                <w:szCs w:val="24"/>
                <w:shd w:val="clear" w:color="auto" w:fill="auto"/>
                <w:lang w:val="en-US" w:eastAsia="zh-CN"/>
              </w:rPr>
              <w:t>90</w:t>
            </w:r>
            <w:r>
              <w:rPr>
                <w:rFonts w:hint="eastAsia" w:ascii="宋体" w:hAnsi="宋体" w:eastAsia="宋体" w:cs="宋体"/>
                <w:b/>
                <w:bCs/>
                <w:color w:val="auto"/>
                <w:sz w:val="24"/>
                <w:szCs w:val="24"/>
                <w:shd w:val="clear" w:color="auto" w:fill="auto"/>
                <w:lang w:val="en-US" w:eastAsia="zh-CN"/>
              </w:rPr>
              <w:t>日历天</w:t>
            </w:r>
          </w:p>
          <w:p>
            <w:pPr>
              <w:pStyle w:val="22"/>
              <w:keepNext w:val="0"/>
              <w:keepLines w:val="0"/>
              <w:pageBreakBefore w:val="0"/>
              <w:widowControl w:val="0"/>
              <w:kinsoku/>
              <w:wordWrap/>
              <w:overflowPunct/>
              <w:topLinePunct w:val="0"/>
              <w:autoSpaceDE w:val="0"/>
              <w:autoSpaceDN w:val="0"/>
              <w:bidi w:val="0"/>
              <w:adjustRightInd w:val="0"/>
              <w:snapToGrid/>
              <w:spacing w:line="420" w:lineRule="exact"/>
              <w:ind w:firstLine="0"/>
              <w:textAlignment w:val="auto"/>
              <w:rPr>
                <w:rFonts w:hint="default" w:ascii="宋体" w:hAnsi="宋体" w:eastAsia="宋体" w:cs="宋体"/>
                <w:b/>
                <w:bCs/>
                <w:color w:val="auto"/>
                <w:sz w:val="24"/>
                <w:szCs w:val="24"/>
                <w:shd w:val="clear" w:color="auto" w:fill="auto"/>
                <w:lang w:val="en-US" w:eastAsia="zh-CN"/>
              </w:rPr>
            </w:pPr>
            <w:r>
              <w:rPr>
                <w:rFonts w:hint="eastAsia" w:ascii="宋体" w:hAnsi="宋体" w:cs="宋体"/>
                <w:b/>
                <w:bCs/>
                <w:color w:val="auto"/>
                <w:sz w:val="24"/>
                <w:szCs w:val="24"/>
                <w:shd w:val="clear" w:color="auto" w:fill="auto"/>
                <w:lang w:val="en-US" w:eastAsia="zh-CN"/>
              </w:rPr>
              <w:t>注；</w:t>
            </w:r>
            <w:r>
              <w:rPr>
                <w:rFonts w:hint="eastAsia" w:ascii="宋体" w:hAnsi="宋体" w:eastAsia="宋体" w:cs="宋体"/>
                <w:b/>
                <w:bCs/>
                <w:color w:val="auto"/>
                <w:sz w:val="24"/>
                <w:szCs w:val="24"/>
                <w:shd w:val="clear" w:color="auto" w:fill="auto"/>
                <w:lang w:val="en-US" w:eastAsia="zh-CN"/>
              </w:rPr>
              <w:t>具体开工日期以采购人发出的开工指令之日为准</w:t>
            </w:r>
            <w:r>
              <w:rPr>
                <w:rFonts w:hint="eastAsia" w:ascii="宋体" w:hAnsi="宋体" w:cs="宋体"/>
                <w:b/>
                <w:bCs/>
                <w:color w:val="auto"/>
                <w:sz w:val="24"/>
                <w:szCs w:val="24"/>
                <w:shd w:val="clear" w:color="auto" w:fill="auto"/>
                <w:lang w:val="en-US" w:eastAsia="zh-CN"/>
              </w:rPr>
              <w:t>。</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1617" w:hRule="atLeast"/>
          <w:jc w:val="center"/>
        </w:trPr>
        <w:tc>
          <w:tcPr>
            <w:tcW w:w="703" w:type="dxa"/>
            <w:vAlign w:val="center"/>
          </w:tcPr>
          <w:p>
            <w:pPr>
              <w:pStyle w:val="22"/>
              <w:spacing w:line="360" w:lineRule="auto"/>
              <w:ind w:firstLine="0"/>
              <w:jc w:val="center"/>
              <w:rPr>
                <w:rFonts w:hint="eastAsia" w:ascii="宋体" w:hAnsi="宋体" w:eastAsia="宋体" w:cs="宋体"/>
                <w:color w:val="auto"/>
                <w:sz w:val="24"/>
                <w:szCs w:val="24"/>
              </w:rPr>
            </w:pPr>
            <w:r>
              <w:rPr>
                <w:rFonts w:hint="eastAsia" w:ascii="宋体" w:hAnsi="宋体" w:eastAsia="宋体" w:cs="宋体"/>
                <w:color w:val="auto"/>
                <w:sz w:val="24"/>
                <w:szCs w:val="24"/>
              </w:rPr>
              <w:t>7</w:t>
            </w:r>
          </w:p>
        </w:tc>
        <w:tc>
          <w:tcPr>
            <w:tcW w:w="1866" w:type="dxa"/>
            <w:vAlign w:val="center"/>
          </w:tcPr>
          <w:p>
            <w:pPr>
              <w:pStyle w:val="22"/>
              <w:spacing w:line="360" w:lineRule="auto"/>
              <w:ind w:firstLine="0"/>
              <w:jc w:val="center"/>
              <w:rPr>
                <w:rFonts w:hint="eastAsia" w:ascii="宋体" w:hAnsi="宋体" w:eastAsia="宋体" w:cs="宋体"/>
                <w:color w:val="auto"/>
                <w:sz w:val="24"/>
                <w:szCs w:val="24"/>
              </w:rPr>
            </w:pPr>
            <w:r>
              <w:rPr>
                <w:rFonts w:hint="eastAsia" w:ascii="宋体" w:hAnsi="宋体" w:eastAsia="宋体" w:cs="宋体"/>
                <w:color w:val="auto"/>
                <w:sz w:val="24"/>
                <w:szCs w:val="24"/>
              </w:rPr>
              <w:t>供应商</w:t>
            </w:r>
          </w:p>
          <w:p>
            <w:pPr>
              <w:pStyle w:val="22"/>
              <w:spacing w:line="360" w:lineRule="auto"/>
              <w:ind w:firstLine="0"/>
              <w:jc w:val="center"/>
              <w:rPr>
                <w:rFonts w:hint="eastAsia" w:ascii="宋体" w:hAnsi="宋体" w:eastAsia="宋体" w:cs="宋体"/>
                <w:color w:val="auto"/>
                <w:sz w:val="24"/>
                <w:szCs w:val="24"/>
                <w:lang w:eastAsia="zh-CN"/>
              </w:rPr>
            </w:pPr>
            <w:r>
              <w:rPr>
                <w:rFonts w:hint="eastAsia" w:ascii="宋体" w:hAnsi="宋体" w:eastAsia="宋体" w:cs="宋体"/>
                <w:color w:val="auto"/>
                <w:sz w:val="24"/>
                <w:szCs w:val="24"/>
              </w:rPr>
              <w:t>资格要求</w:t>
            </w:r>
          </w:p>
        </w:tc>
        <w:tc>
          <w:tcPr>
            <w:tcW w:w="7023" w:type="dxa"/>
            <w:vAlign w:val="center"/>
          </w:tcPr>
          <w:p>
            <w:pPr>
              <w:snapToGrid w:val="0"/>
              <w:spacing w:line="240" w:lineRule="auto"/>
              <w:rPr>
                <w:rFonts w:hint="eastAsia" w:ascii="宋体" w:hAnsi="宋体" w:eastAsia="宋体" w:cs="宋体"/>
                <w:b/>
                <w:bCs/>
                <w:color w:val="auto"/>
                <w:sz w:val="28"/>
                <w:szCs w:val="28"/>
              </w:rPr>
            </w:pPr>
            <w:r>
              <w:rPr>
                <w:rFonts w:hint="eastAsia" w:ascii="宋体" w:hAnsi="宋体" w:eastAsia="宋体" w:cs="宋体"/>
                <w:b/>
                <w:bCs/>
                <w:color w:val="auto"/>
                <w:sz w:val="28"/>
                <w:szCs w:val="28"/>
                <w:lang w:eastAsia="zh-CN"/>
              </w:rPr>
              <w:t>※</w:t>
            </w:r>
            <w:r>
              <w:rPr>
                <w:rFonts w:hint="eastAsia" w:ascii="宋体" w:hAnsi="宋体" w:eastAsia="宋体" w:cs="宋体"/>
                <w:b/>
                <w:bCs/>
                <w:color w:val="auto"/>
                <w:sz w:val="28"/>
                <w:szCs w:val="28"/>
              </w:rPr>
              <w:t>供应商须符合《中华人民共和国政府采购法》第二十二条有关规定；</w:t>
            </w:r>
          </w:p>
          <w:p>
            <w:pPr>
              <w:snapToGrid w:val="0"/>
              <w:spacing w:line="360" w:lineRule="auto"/>
              <w:rPr>
                <w:rFonts w:hint="eastAsia" w:ascii="宋体" w:hAnsi="宋体" w:eastAsia="宋体" w:cs="宋体"/>
                <w:color w:val="auto"/>
                <w:kern w:val="2"/>
                <w:sz w:val="24"/>
                <w:lang w:val="en-US" w:eastAsia="zh-CN"/>
              </w:rPr>
            </w:pPr>
            <w:r>
              <w:rPr>
                <w:rFonts w:hint="eastAsia" w:ascii="宋体" w:hAnsi="宋体" w:cs="宋体"/>
                <w:color w:val="auto"/>
                <w:kern w:val="2"/>
                <w:sz w:val="24"/>
                <w:lang w:val="en-US" w:eastAsia="zh-CN"/>
              </w:rPr>
              <w:t>（1）</w:t>
            </w:r>
            <w:r>
              <w:rPr>
                <w:rFonts w:hint="eastAsia" w:ascii="宋体" w:hAnsi="宋体" w:eastAsia="宋体" w:cs="宋体"/>
                <w:color w:val="auto"/>
                <w:kern w:val="2"/>
                <w:sz w:val="24"/>
                <w:lang w:val="en-US" w:eastAsia="zh-CN"/>
              </w:rPr>
              <w:t>具有独立承担民事责任的能力：供应商为具有独立承担民事责任能力的企业法人、事业法人、其他组织，提供营业执照原件（事业单位须事业单位法人证、组织机构代码证等证明文件；其他组织应提供合法证明文件）；</w:t>
            </w:r>
          </w:p>
          <w:p>
            <w:pPr>
              <w:snapToGrid w:val="0"/>
              <w:spacing w:line="360" w:lineRule="auto"/>
              <w:rPr>
                <w:rFonts w:hint="eastAsia" w:ascii="宋体" w:hAnsi="宋体" w:eastAsia="宋体" w:cs="宋体"/>
                <w:color w:val="auto"/>
                <w:kern w:val="2"/>
                <w:sz w:val="24"/>
                <w:lang w:val="en-US" w:eastAsia="zh-CN"/>
              </w:rPr>
            </w:pPr>
            <w:r>
              <w:rPr>
                <w:rFonts w:hint="eastAsia" w:ascii="宋体" w:hAnsi="宋体" w:cs="宋体"/>
                <w:color w:val="auto"/>
                <w:kern w:val="2"/>
                <w:sz w:val="24"/>
                <w:lang w:val="en-US" w:eastAsia="zh-CN"/>
              </w:rPr>
              <w:t>（2）</w:t>
            </w:r>
            <w:r>
              <w:rPr>
                <w:rFonts w:hint="eastAsia" w:ascii="宋体" w:hAnsi="宋体" w:eastAsia="宋体" w:cs="宋体"/>
                <w:color w:val="auto"/>
                <w:kern w:val="2"/>
                <w:sz w:val="24"/>
                <w:lang w:val="en-US" w:eastAsia="zh-CN"/>
              </w:rPr>
              <w:t>具有履行合同所必须的设备和专业技术能力：Ⅰ、供应商具有建设行政主管部门核发的市政公用工程施工总承包三级及以上资质等级，且具有有效的安全生产许可证；Ⅱ、拟派项目经理须具备市政公用工程专业注册建造师二级（含二级）以上执业资格和安全生产考核合格B证，且无在建项目；陕西省内供应商提供《陕西省建筑市场监管与诚信信息发布平台》登记的供应商及建造师信息网页截图复印件，陕西省外供应商提供《全国建筑市场监管与诚信信息发布平台》或供应商注册地省市《建筑市场监管与诚信信息发布平台》登记的供应商及建造师信息网页截图复印件；</w:t>
            </w:r>
          </w:p>
          <w:p>
            <w:pPr>
              <w:snapToGrid w:val="0"/>
              <w:spacing w:line="360" w:lineRule="auto"/>
              <w:rPr>
                <w:rFonts w:hint="eastAsia" w:ascii="宋体" w:hAnsi="宋体" w:eastAsia="宋体" w:cs="宋体"/>
                <w:color w:val="auto"/>
                <w:kern w:val="2"/>
                <w:sz w:val="24"/>
                <w:lang w:val="en-US" w:eastAsia="zh-CN"/>
              </w:rPr>
            </w:pPr>
            <w:r>
              <w:rPr>
                <w:rFonts w:hint="eastAsia" w:ascii="宋体" w:hAnsi="宋体" w:cs="宋体"/>
                <w:color w:val="auto"/>
                <w:kern w:val="2"/>
                <w:sz w:val="24"/>
                <w:lang w:val="en-US" w:eastAsia="zh-CN"/>
              </w:rPr>
              <w:t>（3）</w:t>
            </w:r>
            <w:r>
              <w:rPr>
                <w:rFonts w:hint="eastAsia" w:ascii="宋体" w:hAnsi="宋体" w:eastAsia="宋体" w:cs="宋体"/>
                <w:color w:val="auto"/>
                <w:kern w:val="2"/>
                <w:sz w:val="24"/>
                <w:lang w:val="en-US" w:eastAsia="zh-CN"/>
              </w:rPr>
              <w:t>有依法缴纳税收和社会保障资金的良好记录：Ⅰ、供应商须提供自2022年1月1日至今已缴纳的至少一个月的纳税证明或完税证明，纳税证明或完税证明上应有代收机构或税务机关的公章或业务专用章复印件；Ⅱ、供应商须提供供应商为法定代表人或其被授权委托人（磋商函签署人）和项目经理自2022年1月1日起已缴纳的至少一个月的社保机构出具的社会保险参保缴费情况证明复印件；</w:t>
            </w:r>
          </w:p>
          <w:p>
            <w:pPr>
              <w:snapToGrid w:val="0"/>
              <w:spacing w:line="360" w:lineRule="auto"/>
              <w:rPr>
                <w:rFonts w:hint="eastAsia" w:ascii="宋体" w:hAnsi="宋体" w:eastAsia="宋体" w:cs="宋体"/>
                <w:color w:val="auto"/>
                <w:kern w:val="2"/>
                <w:sz w:val="24"/>
                <w:lang w:val="en-US" w:eastAsia="zh-CN"/>
              </w:rPr>
            </w:pPr>
            <w:r>
              <w:rPr>
                <w:rFonts w:hint="eastAsia" w:ascii="宋体" w:hAnsi="宋体" w:cs="宋体"/>
                <w:color w:val="auto"/>
                <w:kern w:val="2"/>
                <w:sz w:val="24"/>
                <w:lang w:val="en-US" w:eastAsia="zh-CN"/>
              </w:rPr>
              <w:t>（4）</w:t>
            </w:r>
            <w:r>
              <w:rPr>
                <w:rFonts w:hint="eastAsia" w:ascii="宋体" w:hAnsi="宋体" w:eastAsia="宋体" w:cs="宋体"/>
                <w:color w:val="auto"/>
                <w:kern w:val="2"/>
                <w:sz w:val="24"/>
                <w:lang w:val="en-US" w:eastAsia="zh-CN"/>
              </w:rPr>
              <w:t>具有良好的商业信誉和健全的财务会计制度：I、提供2019、2020或2021年年度经会计师事务所或审计机构审计的财务会计报表，包括资产负债表、现金流量表、利润表和财务情况说明书的复印件（若供应商成立时间至提交响应文件截止时间不足一年，提供成立后任意时段的资产负债表复印件）；II、、提供成交前三个月内基本存款账户开户银行出具的资信证明及基本存款账户开户信息复印件；III、提供信用担保机构出具的磋商担保函复印件。（以上三种形式的证明资料提供任意一种即可，但成交现场以第II种或第III种形式提交资料的，需提供上述证明材料原件备查）；</w:t>
            </w:r>
          </w:p>
          <w:p>
            <w:pPr>
              <w:snapToGrid w:val="0"/>
              <w:spacing w:line="360" w:lineRule="auto"/>
              <w:rPr>
                <w:rFonts w:hint="eastAsia" w:ascii="宋体" w:hAnsi="宋体" w:eastAsia="宋体" w:cs="宋体"/>
                <w:color w:val="auto"/>
                <w:kern w:val="2"/>
                <w:sz w:val="24"/>
                <w:lang w:val="en-US" w:eastAsia="zh-CN"/>
              </w:rPr>
            </w:pPr>
            <w:r>
              <w:rPr>
                <w:rFonts w:hint="eastAsia" w:ascii="宋体" w:hAnsi="宋体" w:cs="宋体"/>
                <w:color w:val="auto"/>
                <w:kern w:val="2"/>
                <w:sz w:val="24"/>
                <w:lang w:val="en-US" w:eastAsia="zh-CN"/>
              </w:rPr>
              <w:t>（5）</w:t>
            </w:r>
            <w:r>
              <w:rPr>
                <w:rFonts w:hint="eastAsia" w:ascii="宋体" w:hAnsi="宋体" w:eastAsia="宋体" w:cs="宋体"/>
                <w:color w:val="auto"/>
                <w:kern w:val="2"/>
                <w:sz w:val="24"/>
                <w:lang w:val="en-US" w:eastAsia="zh-CN"/>
              </w:rPr>
              <w:t>供应商应授权合法的人员参加磋商会议，其中法定代表人直接参加的，须出具法人身份证原件，并与营业执照上信息一致；授权代表参加的，须出具法定代表人授权书及被授权人身份证原件；</w:t>
            </w:r>
          </w:p>
          <w:p>
            <w:pPr>
              <w:snapToGrid w:val="0"/>
              <w:spacing w:line="360" w:lineRule="auto"/>
              <w:rPr>
                <w:rFonts w:hint="eastAsia" w:ascii="宋体" w:hAnsi="宋体" w:eastAsia="宋体" w:cs="宋体"/>
                <w:color w:val="auto"/>
                <w:kern w:val="2"/>
                <w:sz w:val="24"/>
                <w:lang w:val="en-US" w:eastAsia="zh-CN"/>
              </w:rPr>
            </w:pPr>
            <w:r>
              <w:rPr>
                <w:rFonts w:hint="eastAsia" w:ascii="宋体" w:hAnsi="宋体" w:cs="宋体"/>
                <w:color w:val="auto"/>
                <w:kern w:val="2"/>
                <w:sz w:val="24"/>
                <w:lang w:val="en-US" w:eastAsia="zh-CN"/>
              </w:rPr>
              <w:t>（6）</w:t>
            </w:r>
            <w:r>
              <w:rPr>
                <w:rFonts w:hint="eastAsia" w:ascii="宋体" w:hAnsi="宋体" w:eastAsia="宋体" w:cs="宋体"/>
                <w:color w:val="auto"/>
                <w:kern w:val="2"/>
                <w:sz w:val="24"/>
                <w:lang w:val="en-US" w:eastAsia="zh-CN"/>
              </w:rPr>
              <w:t>出具参加本次采购活动前三年内在经营活动中没有重大违法记录的书面声明；</w:t>
            </w:r>
          </w:p>
          <w:p>
            <w:pPr>
              <w:snapToGrid w:val="0"/>
              <w:spacing w:line="360" w:lineRule="auto"/>
              <w:rPr>
                <w:rFonts w:hint="eastAsia" w:ascii="宋体" w:hAnsi="宋体" w:eastAsia="宋体" w:cs="宋体"/>
                <w:color w:val="auto"/>
                <w:kern w:val="2"/>
                <w:sz w:val="24"/>
                <w:lang w:val="en-US" w:eastAsia="zh-CN"/>
              </w:rPr>
            </w:pPr>
            <w:r>
              <w:rPr>
                <w:rFonts w:hint="eastAsia" w:ascii="宋体" w:hAnsi="宋体" w:cs="宋体"/>
                <w:color w:val="auto"/>
                <w:kern w:val="2"/>
                <w:sz w:val="24"/>
                <w:lang w:val="en-US" w:eastAsia="zh-CN"/>
              </w:rPr>
              <w:t>（7）</w:t>
            </w:r>
            <w:r>
              <w:rPr>
                <w:rFonts w:hint="eastAsia" w:ascii="宋体" w:hAnsi="宋体" w:eastAsia="宋体" w:cs="宋体"/>
                <w:color w:val="auto"/>
                <w:kern w:val="2"/>
                <w:sz w:val="24"/>
                <w:lang w:val="en-US" w:eastAsia="zh-CN"/>
              </w:rPr>
              <w:t>供应商未被列入“信用中国”网站（</w:t>
            </w:r>
            <w:r>
              <w:rPr>
                <w:rFonts w:hint="eastAsia" w:ascii="宋体" w:hAnsi="宋体" w:eastAsia="宋体" w:cs="宋体"/>
                <w:color w:val="auto"/>
                <w:kern w:val="2"/>
                <w:sz w:val="24"/>
                <w:lang w:val="en-US" w:eastAsia="zh-CN"/>
              </w:rPr>
              <w:fldChar w:fldCharType="begin"/>
            </w:r>
            <w:r>
              <w:rPr>
                <w:rFonts w:hint="eastAsia" w:ascii="宋体" w:hAnsi="宋体" w:eastAsia="宋体" w:cs="宋体"/>
                <w:color w:val="auto"/>
                <w:kern w:val="2"/>
                <w:sz w:val="24"/>
                <w:lang w:val="en-US" w:eastAsia="zh-CN"/>
              </w:rPr>
              <w:instrText xml:space="preserve"> HYPERLINK "http://www.creditchina.gov.cn/" \h </w:instrText>
            </w:r>
            <w:r>
              <w:rPr>
                <w:rFonts w:hint="eastAsia" w:ascii="宋体" w:hAnsi="宋体" w:eastAsia="宋体" w:cs="宋体"/>
                <w:color w:val="auto"/>
                <w:kern w:val="2"/>
                <w:sz w:val="24"/>
                <w:lang w:val="en-US" w:eastAsia="zh-CN"/>
              </w:rPr>
              <w:fldChar w:fldCharType="separate"/>
            </w:r>
            <w:r>
              <w:rPr>
                <w:rFonts w:hint="eastAsia" w:ascii="宋体" w:hAnsi="宋体" w:eastAsia="宋体" w:cs="宋体"/>
                <w:color w:val="auto"/>
                <w:kern w:val="2"/>
                <w:sz w:val="24"/>
                <w:lang w:val="en-US" w:eastAsia="zh-CN"/>
              </w:rPr>
              <w:t>http://www.creditchina.gov.cn</w:t>
            </w:r>
            <w:r>
              <w:rPr>
                <w:rFonts w:hint="eastAsia" w:ascii="宋体" w:hAnsi="宋体" w:eastAsia="宋体" w:cs="宋体"/>
                <w:color w:val="auto"/>
                <w:kern w:val="2"/>
                <w:sz w:val="24"/>
                <w:lang w:val="en-US" w:eastAsia="zh-CN"/>
              </w:rPr>
              <w:fldChar w:fldCharType="end"/>
            </w:r>
            <w:r>
              <w:rPr>
                <w:rFonts w:hint="eastAsia" w:ascii="宋体" w:hAnsi="宋体" w:eastAsia="宋体" w:cs="宋体"/>
                <w:color w:val="auto"/>
                <w:kern w:val="2"/>
                <w:sz w:val="24"/>
                <w:lang w:val="en-US" w:eastAsia="zh-CN"/>
              </w:rPr>
              <w:t>）失信黑名单中和“中国政府采购网”(</w:t>
            </w:r>
            <w:r>
              <w:rPr>
                <w:rFonts w:hint="eastAsia" w:ascii="宋体" w:hAnsi="宋体" w:eastAsia="宋体" w:cs="宋体"/>
                <w:color w:val="auto"/>
                <w:kern w:val="2"/>
                <w:sz w:val="24"/>
                <w:lang w:val="en-US" w:eastAsia="zh-CN"/>
              </w:rPr>
              <w:fldChar w:fldCharType="begin"/>
            </w:r>
            <w:r>
              <w:rPr>
                <w:rFonts w:hint="eastAsia" w:ascii="宋体" w:hAnsi="宋体" w:eastAsia="宋体" w:cs="宋体"/>
                <w:color w:val="auto"/>
                <w:kern w:val="2"/>
                <w:sz w:val="24"/>
                <w:lang w:val="en-US" w:eastAsia="zh-CN"/>
              </w:rPr>
              <w:instrText xml:space="preserve"> HYPERLINK "http://www.ccgp.gov.cn/" \h </w:instrText>
            </w:r>
            <w:r>
              <w:rPr>
                <w:rFonts w:hint="eastAsia" w:ascii="宋体" w:hAnsi="宋体" w:eastAsia="宋体" w:cs="宋体"/>
                <w:color w:val="auto"/>
                <w:kern w:val="2"/>
                <w:sz w:val="24"/>
                <w:lang w:val="en-US" w:eastAsia="zh-CN"/>
              </w:rPr>
              <w:fldChar w:fldCharType="separate"/>
            </w:r>
            <w:r>
              <w:rPr>
                <w:rFonts w:hint="eastAsia" w:ascii="宋体" w:hAnsi="宋体" w:eastAsia="宋体" w:cs="宋体"/>
                <w:color w:val="auto"/>
                <w:kern w:val="2"/>
                <w:sz w:val="24"/>
                <w:lang w:val="en-US" w:eastAsia="zh-CN"/>
              </w:rPr>
              <w:t>www.ccgp.gov.cn</w:t>
            </w:r>
            <w:r>
              <w:rPr>
                <w:rFonts w:hint="eastAsia" w:ascii="宋体" w:hAnsi="宋体" w:eastAsia="宋体" w:cs="宋体"/>
                <w:color w:val="auto"/>
                <w:kern w:val="2"/>
                <w:sz w:val="24"/>
                <w:lang w:val="en-US" w:eastAsia="zh-CN"/>
              </w:rPr>
              <w:fldChar w:fldCharType="end"/>
            </w:r>
            <w:r>
              <w:rPr>
                <w:rFonts w:hint="eastAsia" w:ascii="宋体" w:hAnsi="宋体" w:eastAsia="宋体" w:cs="宋体"/>
                <w:color w:val="auto"/>
                <w:kern w:val="2"/>
                <w:sz w:val="24"/>
                <w:lang w:val="en-US" w:eastAsia="zh-CN"/>
              </w:rPr>
              <w:t>)政府采购严重违法失信行为记录名单的供应商（不得为“信用中国”网站中列入失信被执行人和重大税收违法案件当事人名单，不得为中国政府采购网政府采购严重违法失信行为记录名单中被财政部门禁止参加政府采购活动）；</w:t>
            </w:r>
          </w:p>
          <w:p>
            <w:pPr>
              <w:snapToGrid w:val="0"/>
              <w:spacing w:line="360" w:lineRule="auto"/>
              <w:rPr>
                <w:rFonts w:hint="eastAsia" w:ascii="宋体" w:hAnsi="宋体" w:eastAsia="宋体" w:cs="宋体"/>
                <w:color w:val="auto"/>
                <w:kern w:val="2"/>
                <w:sz w:val="24"/>
                <w:lang w:val="en-US" w:eastAsia="zh-CN"/>
              </w:rPr>
            </w:pPr>
            <w:r>
              <w:rPr>
                <w:rFonts w:hint="eastAsia" w:ascii="宋体" w:hAnsi="宋体" w:cs="宋体"/>
                <w:color w:val="auto"/>
                <w:kern w:val="2"/>
                <w:sz w:val="24"/>
                <w:lang w:val="en-US" w:eastAsia="zh-CN"/>
              </w:rPr>
              <w:t>（8）</w:t>
            </w:r>
            <w:r>
              <w:rPr>
                <w:rFonts w:hint="eastAsia" w:ascii="宋体" w:hAnsi="宋体" w:eastAsia="宋体" w:cs="宋体"/>
                <w:color w:val="auto"/>
                <w:kern w:val="2"/>
                <w:sz w:val="24"/>
                <w:lang w:val="en-US" w:eastAsia="zh-CN"/>
              </w:rPr>
              <w:t>供应商需提供人社部门出具的近三年无拖欠农民工工资证明原件；</w:t>
            </w:r>
          </w:p>
          <w:p>
            <w:pPr>
              <w:snapToGrid w:val="0"/>
              <w:spacing w:line="360" w:lineRule="auto"/>
              <w:rPr>
                <w:rFonts w:hint="eastAsia" w:ascii="宋体" w:hAnsi="宋体" w:eastAsia="宋体" w:cs="宋体"/>
                <w:color w:val="auto"/>
                <w:kern w:val="2"/>
                <w:sz w:val="24"/>
                <w:lang w:val="en-US" w:eastAsia="zh-CN"/>
              </w:rPr>
            </w:pPr>
            <w:r>
              <w:rPr>
                <w:rFonts w:hint="eastAsia" w:ascii="宋体" w:hAnsi="宋体" w:cs="宋体"/>
                <w:color w:val="auto"/>
                <w:kern w:val="2"/>
                <w:sz w:val="24"/>
                <w:lang w:val="en-US" w:eastAsia="zh-CN"/>
              </w:rPr>
              <w:t>（9）</w:t>
            </w:r>
            <w:r>
              <w:rPr>
                <w:rFonts w:hint="eastAsia" w:ascii="宋体" w:hAnsi="宋体" w:eastAsia="宋体" w:cs="宋体"/>
                <w:color w:val="auto"/>
                <w:kern w:val="2"/>
                <w:sz w:val="24"/>
                <w:lang w:val="en-US" w:eastAsia="zh-CN"/>
              </w:rPr>
              <w:t>本项目不接受联合体磋商；单位负责人为同一人或者存在控股、管理关系的不同单位不得同时参加本次磋商活动；</w:t>
            </w:r>
          </w:p>
          <w:p>
            <w:pPr>
              <w:snapToGrid w:val="0"/>
              <w:spacing w:line="360" w:lineRule="auto"/>
              <w:rPr>
                <w:rFonts w:hint="eastAsia" w:ascii="宋体" w:hAnsi="宋体" w:eastAsia="宋体" w:cs="宋体"/>
                <w:b w:val="0"/>
                <w:bCs w:val="0"/>
                <w:color w:val="auto"/>
                <w:kern w:val="2"/>
                <w:sz w:val="24"/>
                <w:lang w:val="en-US" w:eastAsia="zh-CN"/>
              </w:rPr>
            </w:pPr>
            <w:r>
              <w:rPr>
                <w:rFonts w:hint="eastAsia" w:ascii="宋体" w:hAnsi="宋体" w:cs="宋体"/>
                <w:b w:val="0"/>
                <w:bCs w:val="0"/>
                <w:color w:val="auto"/>
                <w:kern w:val="2"/>
                <w:sz w:val="24"/>
                <w:lang w:val="en-US" w:eastAsia="zh-CN"/>
              </w:rPr>
              <w:t>（10）</w:t>
            </w:r>
            <w:r>
              <w:rPr>
                <w:rFonts w:hint="eastAsia" w:ascii="宋体" w:hAnsi="宋体" w:eastAsia="宋体" w:cs="宋体"/>
                <w:b w:val="0"/>
                <w:bCs w:val="0"/>
                <w:color w:val="auto"/>
                <w:kern w:val="2"/>
                <w:sz w:val="24"/>
                <w:lang w:val="en-US" w:eastAsia="zh-CN"/>
              </w:rPr>
              <w:t>磋商保证金收款收据原件或磋商保函原件。</w:t>
            </w:r>
          </w:p>
          <w:p>
            <w:pPr>
              <w:snapToGrid w:val="0"/>
              <w:spacing w:line="360" w:lineRule="auto"/>
              <w:rPr>
                <w:rFonts w:hint="eastAsia" w:ascii="宋体" w:hAnsi="宋体" w:eastAsia="宋体" w:cs="宋体"/>
                <w:color w:val="auto"/>
                <w:kern w:val="2"/>
                <w:sz w:val="24"/>
                <w:lang w:val="en-US" w:eastAsia="zh-CN"/>
              </w:rPr>
            </w:pPr>
            <w:r>
              <w:rPr>
                <w:rFonts w:hint="eastAsia" w:ascii="宋体" w:hAnsi="宋体" w:eastAsia="宋体" w:cs="宋体"/>
                <w:b/>
                <w:bCs/>
                <w:color w:val="auto"/>
                <w:kern w:val="2"/>
                <w:sz w:val="24"/>
                <w:lang w:val="en-US" w:eastAsia="zh-CN"/>
              </w:rPr>
              <w:t>注：</w:t>
            </w:r>
            <w:r>
              <w:rPr>
                <w:rFonts w:hint="eastAsia" w:ascii="宋体" w:hAnsi="宋体" w:eastAsia="宋体" w:cs="宋体"/>
                <w:b/>
                <w:color w:val="auto"/>
                <w:sz w:val="22"/>
                <w:szCs w:val="22"/>
              </w:rPr>
              <w:t>1、以上证书证件原件</w:t>
            </w:r>
            <w:r>
              <w:rPr>
                <w:rFonts w:hint="eastAsia" w:ascii="宋体" w:hAnsi="宋体" w:cs="宋体"/>
                <w:b/>
                <w:color w:val="auto"/>
                <w:sz w:val="22"/>
                <w:szCs w:val="22"/>
                <w:lang w:eastAsia="zh-CN"/>
              </w:rPr>
              <w:t>、</w:t>
            </w:r>
            <w:r>
              <w:rPr>
                <w:rFonts w:hint="eastAsia" w:ascii="宋体" w:hAnsi="宋体" w:eastAsia="宋体" w:cs="宋体"/>
                <w:b/>
                <w:color w:val="auto"/>
                <w:sz w:val="22"/>
                <w:szCs w:val="22"/>
              </w:rPr>
              <w:t>复印件及网页截图等资格证明材料要求供应商</w:t>
            </w:r>
            <w:r>
              <w:rPr>
                <w:rFonts w:hint="eastAsia" w:ascii="宋体" w:hAnsi="宋体" w:eastAsia="宋体" w:cs="宋体"/>
                <w:b/>
                <w:color w:val="auto"/>
                <w:sz w:val="22"/>
                <w:szCs w:val="22"/>
                <w:lang w:eastAsia="zh-CN"/>
              </w:rPr>
              <w:t>作为资格审查资料，密封同磋商响应文件正、副本及磋商报价一览表（单独一页）密封袋一同递交；</w:t>
            </w:r>
            <w:r>
              <w:rPr>
                <w:rFonts w:hint="eastAsia" w:ascii="宋体" w:hAnsi="宋体" w:eastAsia="宋体" w:cs="宋体"/>
                <w:b/>
                <w:color w:val="auto"/>
                <w:sz w:val="22"/>
                <w:szCs w:val="22"/>
              </w:rPr>
              <w:t>2、若资格审查不合格，退回响应文件将不得进入后续评审</w:t>
            </w:r>
            <w:r>
              <w:rPr>
                <w:rFonts w:hint="eastAsia" w:ascii="宋体" w:hAnsi="宋体" w:eastAsia="宋体" w:cs="宋体"/>
                <w:b/>
                <w:color w:val="auto"/>
                <w:sz w:val="22"/>
                <w:szCs w:val="22"/>
                <w:lang w:eastAsia="zh-CN"/>
              </w:rPr>
              <w:t>。</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64" w:hRule="atLeast"/>
          <w:jc w:val="center"/>
        </w:trPr>
        <w:tc>
          <w:tcPr>
            <w:tcW w:w="703" w:type="dxa"/>
            <w:vAlign w:val="center"/>
          </w:tcPr>
          <w:p>
            <w:pPr>
              <w:pStyle w:val="22"/>
              <w:spacing w:line="360" w:lineRule="auto"/>
              <w:ind w:firstLine="0"/>
              <w:jc w:val="center"/>
              <w:rPr>
                <w:rFonts w:hint="eastAsia" w:ascii="宋体" w:hAnsi="宋体" w:eastAsia="宋体" w:cs="宋体"/>
                <w:color w:val="auto"/>
                <w:sz w:val="24"/>
                <w:szCs w:val="24"/>
              </w:rPr>
            </w:pPr>
            <w:r>
              <w:rPr>
                <w:rFonts w:hint="eastAsia" w:ascii="宋体" w:hAnsi="宋体" w:eastAsia="宋体" w:cs="宋体"/>
                <w:color w:val="auto"/>
                <w:sz w:val="24"/>
                <w:szCs w:val="24"/>
              </w:rPr>
              <w:t>8</w:t>
            </w:r>
          </w:p>
        </w:tc>
        <w:tc>
          <w:tcPr>
            <w:tcW w:w="1866" w:type="dxa"/>
            <w:vAlign w:val="center"/>
          </w:tcPr>
          <w:p>
            <w:pPr>
              <w:pStyle w:val="22"/>
              <w:spacing w:line="240" w:lineRule="auto"/>
              <w:ind w:firstLine="0"/>
              <w:jc w:val="center"/>
              <w:rPr>
                <w:rFonts w:hint="eastAsia" w:ascii="宋体" w:hAnsi="宋体" w:eastAsia="宋体" w:cs="宋体"/>
                <w:color w:val="auto"/>
                <w:sz w:val="24"/>
                <w:szCs w:val="24"/>
                <w:lang w:eastAsia="zh-CN"/>
              </w:rPr>
            </w:pPr>
            <w:r>
              <w:rPr>
                <w:rFonts w:hint="eastAsia" w:ascii="宋体" w:hAnsi="宋体" w:cs="宋体"/>
                <w:color w:val="auto"/>
                <w:sz w:val="24"/>
                <w:szCs w:val="24"/>
                <w:lang w:eastAsia="zh-CN"/>
              </w:rPr>
              <w:t>执行相关政策</w:t>
            </w:r>
          </w:p>
        </w:tc>
        <w:tc>
          <w:tcPr>
            <w:tcW w:w="7023" w:type="dxa"/>
            <w:vAlign w:val="center"/>
          </w:tcPr>
          <w:p>
            <w:pPr>
              <w:pStyle w:val="22"/>
              <w:spacing w:line="360" w:lineRule="auto"/>
              <w:ind w:firstLine="0"/>
              <w:jc w:val="left"/>
              <w:rPr>
                <w:rFonts w:hint="eastAsia" w:ascii="宋体" w:hAnsi="宋体" w:eastAsia="宋体" w:cs="宋体"/>
                <w:color w:val="auto"/>
                <w:sz w:val="24"/>
                <w:szCs w:val="24"/>
              </w:rPr>
            </w:pPr>
            <w:r>
              <w:rPr>
                <w:rFonts w:hint="eastAsia" w:ascii="宋体" w:hAnsi="宋体" w:eastAsia="宋体" w:cs="宋体"/>
                <w:b w:val="0"/>
                <w:bCs w:val="0"/>
                <w:color w:val="auto"/>
                <w:kern w:val="2"/>
                <w:sz w:val="24"/>
                <w:szCs w:val="24"/>
                <w:lang w:val="en-US" w:eastAsia="zh-CN" w:bidi="ar-SA"/>
              </w:rPr>
              <w:t>本项目专门面向中小企业采购</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94" w:hRule="atLeast"/>
          <w:jc w:val="center"/>
        </w:trPr>
        <w:tc>
          <w:tcPr>
            <w:tcW w:w="703" w:type="dxa"/>
            <w:vAlign w:val="center"/>
          </w:tcPr>
          <w:p>
            <w:pPr>
              <w:pStyle w:val="22"/>
              <w:spacing w:line="360" w:lineRule="auto"/>
              <w:ind w:firstLine="0"/>
              <w:jc w:val="center"/>
              <w:rPr>
                <w:rFonts w:hint="eastAsia" w:ascii="宋体" w:hAnsi="宋体" w:eastAsia="宋体" w:cs="宋体"/>
                <w:color w:val="auto"/>
                <w:sz w:val="24"/>
                <w:szCs w:val="24"/>
                <w:lang w:val="en-US" w:eastAsia="zh-CN"/>
              </w:rPr>
            </w:pPr>
            <w:r>
              <w:rPr>
                <w:rFonts w:hint="eastAsia" w:ascii="宋体" w:hAnsi="宋体" w:cs="宋体"/>
                <w:color w:val="auto"/>
                <w:sz w:val="24"/>
                <w:szCs w:val="24"/>
                <w:lang w:val="en-US" w:eastAsia="zh-CN"/>
              </w:rPr>
              <w:t>9</w:t>
            </w:r>
          </w:p>
        </w:tc>
        <w:tc>
          <w:tcPr>
            <w:tcW w:w="1866" w:type="dxa"/>
            <w:vAlign w:val="center"/>
          </w:tcPr>
          <w:p>
            <w:pPr>
              <w:pStyle w:val="22"/>
              <w:spacing w:line="240" w:lineRule="auto"/>
              <w:ind w:firstLine="0" w:firstLineChars="0"/>
              <w:jc w:val="center"/>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sz w:val="24"/>
                <w:szCs w:val="24"/>
              </w:rPr>
              <w:t>响应文件有效期</w:t>
            </w:r>
          </w:p>
        </w:tc>
        <w:tc>
          <w:tcPr>
            <w:tcW w:w="7023" w:type="dxa"/>
            <w:vAlign w:val="center"/>
          </w:tcPr>
          <w:p>
            <w:pPr>
              <w:pStyle w:val="22"/>
              <w:spacing w:line="360" w:lineRule="auto"/>
              <w:ind w:firstLine="0" w:firstLineChars="0"/>
              <w:jc w:val="left"/>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sz w:val="24"/>
                <w:szCs w:val="24"/>
              </w:rPr>
              <w:t>自磋商响应文件递交截止之日起</w:t>
            </w:r>
            <w:r>
              <w:rPr>
                <w:rFonts w:hint="eastAsia" w:ascii="宋体" w:hAnsi="宋体" w:eastAsia="宋体" w:cs="宋体"/>
                <w:b/>
                <w:bCs/>
                <w:color w:val="auto"/>
                <w:sz w:val="24"/>
                <w:szCs w:val="24"/>
              </w:rPr>
              <w:t>90</w:t>
            </w:r>
            <w:r>
              <w:rPr>
                <w:rFonts w:hint="eastAsia" w:ascii="宋体" w:hAnsi="宋体" w:eastAsia="宋体" w:cs="宋体"/>
                <w:color w:val="auto"/>
                <w:sz w:val="24"/>
                <w:szCs w:val="24"/>
              </w:rPr>
              <w:t>日历天。</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077" w:hRule="atLeast"/>
          <w:jc w:val="center"/>
        </w:trPr>
        <w:tc>
          <w:tcPr>
            <w:tcW w:w="703" w:type="dxa"/>
            <w:vAlign w:val="center"/>
          </w:tcPr>
          <w:p>
            <w:pPr>
              <w:pStyle w:val="22"/>
              <w:spacing w:line="360" w:lineRule="auto"/>
              <w:ind w:firstLine="0"/>
              <w:jc w:val="center"/>
              <w:rPr>
                <w:rFonts w:hint="default" w:ascii="宋体" w:hAnsi="宋体" w:eastAsia="宋体" w:cs="宋体"/>
                <w:color w:val="auto"/>
                <w:sz w:val="24"/>
                <w:szCs w:val="24"/>
                <w:lang w:val="en-US" w:eastAsia="zh-CN"/>
              </w:rPr>
            </w:pPr>
            <w:r>
              <w:rPr>
                <w:rFonts w:hint="eastAsia" w:ascii="宋体" w:hAnsi="宋体" w:cs="宋体"/>
                <w:color w:val="auto"/>
                <w:sz w:val="24"/>
                <w:szCs w:val="24"/>
                <w:lang w:val="en-US" w:eastAsia="zh-CN"/>
              </w:rPr>
              <w:t>10</w:t>
            </w:r>
          </w:p>
        </w:tc>
        <w:tc>
          <w:tcPr>
            <w:tcW w:w="1866" w:type="dxa"/>
            <w:vAlign w:val="center"/>
          </w:tcPr>
          <w:p>
            <w:pPr>
              <w:pStyle w:val="22"/>
              <w:spacing w:line="360" w:lineRule="auto"/>
              <w:ind w:firstLine="0"/>
              <w:jc w:val="center"/>
              <w:rPr>
                <w:rFonts w:hint="eastAsia" w:ascii="宋体" w:hAnsi="宋体" w:eastAsia="宋体" w:cs="宋体"/>
                <w:color w:val="auto"/>
                <w:sz w:val="24"/>
                <w:szCs w:val="24"/>
              </w:rPr>
            </w:pPr>
            <w:r>
              <w:rPr>
                <w:rFonts w:hint="eastAsia" w:ascii="宋体" w:hAnsi="宋体" w:eastAsia="宋体" w:cs="宋体"/>
                <w:color w:val="auto"/>
                <w:sz w:val="24"/>
                <w:szCs w:val="24"/>
                <w:lang w:eastAsia="zh-CN"/>
              </w:rPr>
              <w:t>响应</w:t>
            </w:r>
            <w:r>
              <w:rPr>
                <w:rFonts w:hint="eastAsia" w:ascii="宋体" w:hAnsi="宋体" w:eastAsia="宋体" w:cs="宋体"/>
                <w:color w:val="auto"/>
                <w:sz w:val="24"/>
                <w:szCs w:val="24"/>
              </w:rPr>
              <w:t>文件份数</w:t>
            </w:r>
          </w:p>
        </w:tc>
        <w:tc>
          <w:tcPr>
            <w:tcW w:w="7023" w:type="dxa"/>
            <w:vAlign w:val="center"/>
          </w:tcPr>
          <w:p>
            <w:pPr>
              <w:pStyle w:val="22"/>
              <w:spacing w:line="240" w:lineRule="auto"/>
              <w:ind w:firstLine="0"/>
              <w:rPr>
                <w:rFonts w:hint="eastAsia" w:ascii="宋体" w:hAnsi="宋体" w:eastAsia="宋体" w:cs="宋体"/>
                <w:b/>
                <w:color w:val="auto"/>
                <w:kern w:val="1"/>
                <w:sz w:val="24"/>
                <w:szCs w:val="24"/>
              </w:rPr>
            </w:pPr>
            <w:r>
              <w:rPr>
                <w:rFonts w:hint="eastAsia" w:ascii="宋体" w:hAnsi="宋体" w:eastAsia="宋体" w:cs="宋体"/>
                <w:color w:val="auto"/>
                <w:sz w:val="24"/>
                <w:szCs w:val="24"/>
                <w:lang w:eastAsia="zh-CN"/>
              </w:rPr>
              <w:t>磋商</w:t>
            </w:r>
            <w:r>
              <w:rPr>
                <w:rFonts w:hint="eastAsia" w:ascii="宋体" w:hAnsi="宋体" w:eastAsia="宋体" w:cs="宋体"/>
                <w:color w:val="auto"/>
                <w:sz w:val="24"/>
                <w:szCs w:val="24"/>
              </w:rPr>
              <w:t>响应文件包含正本</w:t>
            </w:r>
            <w:r>
              <w:rPr>
                <w:rFonts w:hint="eastAsia" w:ascii="宋体" w:hAnsi="宋体" w:eastAsia="宋体" w:cs="宋体"/>
                <w:color w:val="auto"/>
                <w:sz w:val="24"/>
                <w:szCs w:val="24"/>
                <w:u w:val="single"/>
                <w:lang w:eastAsia="zh-CN"/>
              </w:rPr>
              <w:t>壹</w:t>
            </w:r>
            <w:r>
              <w:rPr>
                <w:rFonts w:hint="eastAsia" w:ascii="宋体" w:hAnsi="宋体" w:eastAsia="宋体" w:cs="宋体"/>
                <w:color w:val="auto"/>
                <w:sz w:val="24"/>
                <w:szCs w:val="24"/>
              </w:rPr>
              <w:t>份、副本</w:t>
            </w:r>
            <w:r>
              <w:rPr>
                <w:rFonts w:hint="eastAsia" w:ascii="宋体" w:hAnsi="宋体" w:eastAsia="宋体" w:cs="宋体"/>
                <w:color w:val="auto"/>
                <w:sz w:val="24"/>
                <w:szCs w:val="24"/>
                <w:u w:val="single"/>
                <w:lang w:eastAsia="zh-CN"/>
              </w:rPr>
              <w:t>贰</w:t>
            </w:r>
            <w:r>
              <w:rPr>
                <w:rFonts w:hint="eastAsia" w:ascii="宋体" w:hAnsi="宋体" w:eastAsia="宋体" w:cs="宋体"/>
                <w:color w:val="auto"/>
                <w:sz w:val="24"/>
                <w:szCs w:val="24"/>
              </w:rPr>
              <w:t>份、</w:t>
            </w:r>
            <w:r>
              <w:rPr>
                <w:rFonts w:hint="eastAsia" w:ascii="宋体" w:hAnsi="宋体" w:eastAsia="宋体" w:cs="宋体"/>
                <w:color w:val="auto"/>
                <w:sz w:val="24"/>
                <w:szCs w:val="24"/>
                <w:lang w:eastAsia="zh-CN"/>
              </w:rPr>
              <w:t>磋商报价一览表</w:t>
            </w:r>
            <w:r>
              <w:rPr>
                <w:rFonts w:hint="eastAsia" w:ascii="宋体" w:hAnsi="宋体" w:eastAsia="宋体" w:cs="宋体"/>
                <w:color w:val="auto"/>
                <w:sz w:val="24"/>
                <w:szCs w:val="24"/>
                <w:u w:val="single"/>
                <w:lang w:eastAsia="zh-CN"/>
              </w:rPr>
              <w:t>壹</w:t>
            </w:r>
            <w:r>
              <w:rPr>
                <w:rFonts w:hint="eastAsia" w:ascii="宋体" w:hAnsi="宋体" w:eastAsia="宋体" w:cs="宋体"/>
                <w:color w:val="auto"/>
                <w:sz w:val="24"/>
                <w:szCs w:val="24"/>
                <w:lang w:eastAsia="zh-CN"/>
              </w:rPr>
              <w:t>份</w:t>
            </w:r>
            <w:r>
              <w:rPr>
                <w:rFonts w:hint="eastAsia" w:ascii="宋体" w:hAnsi="宋体" w:eastAsia="宋体" w:cs="宋体"/>
                <w:b w:val="0"/>
                <w:bCs w:val="0"/>
                <w:color w:val="auto"/>
                <w:sz w:val="24"/>
                <w:szCs w:val="24"/>
                <w:lang w:eastAsia="zh-CN"/>
              </w:rPr>
              <w:t>（单独另附）</w:t>
            </w:r>
            <w:r>
              <w:rPr>
                <w:rFonts w:hint="eastAsia" w:ascii="宋体" w:hAnsi="宋体" w:cs="宋体"/>
                <w:b w:val="0"/>
                <w:bCs w:val="0"/>
                <w:color w:val="auto"/>
                <w:sz w:val="24"/>
                <w:szCs w:val="24"/>
                <w:lang w:eastAsia="zh-CN"/>
              </w:rPr>
              <w:t>、资格审查文件资料</w:t>
            </w:r>
            <w:r>
              <w:rPr>
                <w:rFonts w:hint="eastAsia" w:ascii="宋体" w:hAnsi="宋体" w:cs="宋体"/>
                <w:b w:val="0"/>
                <w:bCs w:val="0"/>
                <w:color w:val="auto"/>
                <w:sz w:val="24"/>
                <w:szCs w:val="24"/>
                <w:u w:val="single"/>
                <w:lang w:eastAsia="zh-CN"/>
              </w:rPr>
              <w:t>壹</w:t>
            </w:r>
            <w:r>
              <w:rPr>
                <w:rFonts w:hint="eastAsia" w:ascii="宋体" w:hAnsi="宋体" w:cs="宋体"/>
                <w:b w:val="0"/>
                <w:bCs w:val="0"/>
                <w:color w:val="auto"/>
                <w:sz w:val="24"/>
                <w:szCs w:val="24"/>
                <w:lang w:eastAsia="zh-CN"/>
              </w:rPr>
              <w:t>份</w:t>
            </w:r>
            <w:r>
              <w:rPr>
                <w:rFonts w:hint="eastAsia" w:ascii="宋体" w:hAnsi="宋体" w:eastAsia="宋体" w:cs="宋体"/>
                <w:color w:val="auto"/>
                <w:sz w:val="24"/>
                <w:szCs w:val="24"/>
                <w:lang w:eastAsia="zh-CN"/>
              </w:rPr>
              <w:t>及</w:t>
            </w:r>
            <w:r>
              <w:rPr>
                <w:rFonts w:hint="eastAsia" w:ascii="宋体" w:hAnsi="宋体" w:eastAsia="宋体" w:cs="宋体"/>
                <w:color w:val="auto"/>
                <w:sz w:val="24"/>
                <w:szCs w:val="24"/>
              </w:rPr>
              <w:t>电子版</w:t>
            </w:r>
            <w:r>
              <w:rPr>
                <w:rFonts w:hint="eastAsia" w:ascii="宋体" w:hAnsi="宋体" w:eastAsia="宋体" w:cs="宋体"/>
                <w:color w:val="auto"/>
                <w:sz w:val="24"/>
                <w:szCs w:val="24"/>
                <w:lang w:eastAsia="zh-CN"/>
              </w:rPr>
              <w:t>磋商响应文件</w:t>
            </w:r>
            <w:r>
              <w:rPr>
                <w:rFonts w:hint="eastAsia" w:ascii="宋体" w:hAnsi="宋体" w:eastAsia="宋体" w:cs="宋体"/>
                <w:color w:val="auto"/>
                <w:sz w:val="24"/>
                <w:szCs w:val="24"/>
                <w:u w:val="single"/>
                <w:lang w:eastAsia="zh-CN"/>
              </w:rPr>
              <w:t>壹</w:t>
            </w:r>
            <w:r>
              <w:rPr>
                <w:rFonts w:hint="eastAsia" w:ascii="宋体" w:hAnsi="宋体" w:eastAsia="宋体" w:cs="宋体"/>
                <w:color w:val="auto"/>
                <w:sz w:val="24"/>
                <w:szCs w:val="24"/>
              </w:rPr>
              <w:t>份（U盘</w:t>
            </w:r>
            <w:r>
              <w:rPr>
                <w:rFonts w:hint="eastAsia" w:ascii="宋体" w:hAnsi="宋体" w:eastAsia="宋体" w:cs="宋体"/>
                <w:color w:val="auto"/>
                <w:sz w:val="24"/>
                <w:szCs w:val="24"/>
                <w:lang w:eastAsia="zh-CN"/>
              </w:rPr>
              <w:t>或光盘</w:t>
            </w:r>
            <w:r>
              <w:rPr>
                <w:rFonts w:hint="eastAsia" w:ascii="宋体" w:hAnsi="宋体" w:eastAsia="宋体" w:cs="宋体"/>
                <w:color w:val="auto"/>
                <w:sz w:val="24"/>
                <w:szCs w:val="24"/>
              </w:rPr>
              <w:t>）。</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63" w:hRule="atLeast"/>
          <w:jc w:val="center"/>
        </w:trPr>
        <w:tc>
          <w:tcPr>
            <w:tcW w:w="703" w:type="dxa"/>
            <w:vAlign w:val="center"/>
          </w:tcPr>
          <w:p>
            <w:pPr>
              <w:pStyle w:val="22"/>
              <w:spacing w:line="360" w:lineRule="auto"/>
              <w:ind w:firstLine="0"/>
              <w:jc w:val="center"/>
              <w:rPr>
                <w:rFonts w:hint="default" w:ascii="宋体" w:hAnsi="宋体" w:eastAsia="宋体" w:cs="宋体"/>
                <w:color w:val="auto"/>
                <w:sz w:val="24"/>
                <w:szCs w:val="24"/>
                <w:lang w:val="en-US" w:eastAsia="zh-CN"/>
              </w:rPr>
            </w:pPr>
            <w:r>
              <w:rPr>
                <w:rFonts w:hint="eastAsia" w:ascii="宋体" w:hAnsi="宋体" w:cs="宋体"/>
                <w:color w:val="auto"/>
                <w:sz w:val="24"/>
                <w:szCs w:val="24"/>
                <w:lang w:val="en-US" w:eastAsia="zh-CN"/>
              </w:rPr>
              <w:t>11</w:t>
            </w:r>
          </w:p>
        </w:tc>
        <w:tc>
          <w:tcPr>
            <w:tcW w:w="1866" w:type="dxa"/>
            <w:vAlign w:val="center"/>
          </w:tcPr>
          <w:p>
            <w:pPr>
              <w:pStyle w:val="67"/>
              <w:spacing w:line="276" w:lineRule="auto"/>
              <w:jc w:val="center"/>
              <w:rPr>
                <w:rFonts w:hint="eastAsia" w:ascii="宋体" w:hAnsi="宋体" w:eastAsia="宋体" w:cs="宋体"/>
                <w:color w:val="auto"/>
                <w:sz w:val="24"/>
                <w:szCs w:val="24"/>
              </w:rPr>
            </w:pPr>
            <w:r>
              <w:rPr>
                <w:rFonts w:hint="eastAsia" w:ascii="宋体" w:hAnsi="宋体" w:eastAsia="宋体" w:cs="宋体"/>
                <w:color w:val="auto"/>
                <w:lang w:val="zh-CN"/>
              </w:rPr>
              <w:t>签字、盖章及密封</w:t>
            </w:r>
          </w:p>
        </w:tc>
        <w:tc>
          <w:tcPr>
            <w:tcW w:w="7023" w:type="dxa"/>
            <w:vAlign w:val="center"/>
          </w:tcPr>
          <w:p>
            <w:pPr>
              <w:rPr>
                <w:rFonts w:hint="eastAsia" w:ascii="宋体" w:hAnsi="宋体" w:eastAsia="宋体" w:cs="宋体"/>
                <w:color w:val="auto"/>
                <w:sz w:val="24"/>
                <w:szCs w:val="24"/>
              </w:rPr>
            </w:pPr>
            <w:r>
              <w:rPr>
                <w:rFonts w:hint="eastAsia" w:ascii="宋体" w:hAnsi="宋体" w:eastAsia="宋体" w:cs="宋体"/>
                <w:color w:val="auto"/>
                <w:sz w:val="24"/>
                <w:lang w:eastAsia="zh-CN"/>
              </w:rPr>
              <w:t>磋商供应商</w:t>
            </w:r>
            <w:r>
              <w:rPr>
                <w:rFonts w:hint="eastAsia" w:ascii="宋体" w:hAnsi="宋体" w:eastAsia="宋体" w:cs="宋体"/>
                <w:color w:val="auto"/>
                <w:sz w:val="24"/>
              </w:rPr>
              <w:t>必须按照</w:t>
            </w:r>
            <w:r>
              <w:rPr>
                <w:rFonts w:hint="eastAsia" w:ascii="宋体" w:hAnsi="宋体" w:eastAsia="宋体" w:cs="宋体"/>
                <w:color w:val="auto"/>
                <w:sz w:val="24"/>
                <w:lang w:eastAsia="zh-CN"/>
              </w:rPr>
              <w:t>磋商</w:t>
            </w:r>
            <w:r>
              <w:rPr>
                <w:rFonts w:hint="eastAsia" w:ascii="宋体" w:hAnsi="宋体" w:eastAsia="宋体" w:cs="宋体"/>
                <w:color w:val="auto"/>
                <w:sz w:val="24"/>
              </w:rPr>
              <w:t>文件的规定和要求签字、盖章</w:t>
            </w:r>
            <w:r>
              <w:rPr>
                <w:rFonts w:hint="eastAsia" w:ascii="宋体" w:hAnsi="宋体" w:eastAsia="宋体" w:cs="宋体"/>
                <w:color w:val="auto"/>
                <w:sz w:val="24"/>
                <w:lang w:eastAsia="zh-CN"/>
              </w:rPr>
              <w:t>及密封</w:t>
            </w:r>
            <w:r>
              <w:rPr>
                <w:rFonts w:hint="eastAsia" w:ascii="宋体" w:hAnsi="宋体" w:eastAsia="宋体" w:cs="宋体"/>
                <w:color w:val="auto"/>
                <w:sz w:val="24"/>
              </w:rPr>
              <w:t>。</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191" w:hRule="atLeast"/>
          <w:jc w:val="center"/>
        </w:trPr>
        <w:tc>
          <w:tcPr>
            <w:tcW w:w="703" w:type="dxa"/>
            <w:vAlign w:val="center"/>
          </w:tcPr>
          <w:p>
            <w:pPr>
              <w:pStyle w:val="22"/>
              <w:spacing w:line="360" w:lineRule="auto"/>
              <w:ind w:firstLine="0"/>
              <w:jc w:val="center"/>
              <w:rPr>
                <w:rFonts w:hint="default" w:ascii="宋体" w:hAnsi="宋体" w:cs="宋体"/>
                <w:color w:val="auto"/>
                <w:sz w:val="24"/>
                <w:szCs w:val="24"/>
                <w:lang w:val="en-US" w:eastAsia="zh-CN"/>
              </w:rPr>
            </w:pPr>
            <w:r>
              <w:rPr>
                <w:rFonts w:hint="eastAsia" w:ascii="宋体" w:hAnsi="宋体" w:cs="宋体"/>
                <w:color w:val="auto"/>
                <w:sz w:val="24"/>
                <w:szCs w:val="24"/>
                <w:lang w:val="en-US" w:eastAsia="zh-CN"/>
              </w:rPr>
              <w:t>12</w:t>
            </w:r>
          </w:p>
        </w:tc>
        <w:tc>
          <w:tcPr>
            <w:tcW w:w="1866" w:type="dxa"/>
            <w:vAlign w:val="center"/>
          </w:tcPr>
          <w:p>
            <w:pPr>
              <w:pStyle w:val="67"/>
              <w:spacing w:line="276" w:lineRule="auto"/>
              <w:jc w:val="center"/>
              <w:rPr>
                <w:rFonts w:hint="eastAsia" w:ascii="宋体" w:hAnsi="宋体" w:eastAsia="宋体" w:cs="宋体"/>
                <w:color w:val="auto"/>
                <w:kern w:val="0"/>
                <w:sz w:val="24"/>
                <w:szCs w:val="24"/>
                <w:lang w:val="zh-CN" w:eastAsia="zh-CN" w:bidi="ar-SA"/>
              </w:rPr>
            </w:pPr>
            <w:r>
              <w:rPr>
                <w:rFonts w:hint="eastAsia" w:ascii="宋体" w:hAnsi="宋体" w:eastAsia="宋体" w:cs="宋体"/>
                <w:color w:val="auto"/>
                <w:lang w:val="zh-CN"/>
              </w:rPr>
              <w:t>磋商响应文件的装订</w:t>
            </w:r>
          </w:p>
        </w:tc>
        <w:tc>
          <w:tcPr>
            <w:tcW w:w="7023" w:type="dxa"/>
            <w:vAlign w:val="center"/>
          </w:tcPr>
          <w:p>
            <w:pPr>
              <w:rPr>
                <w:rFonts w:hint="eastAsia" w:ascii="宋体" w:hAnsi="宋体" w:eastAsia="宋体" w:cs="宋体"/>
                <w:color w:val="auto"/>
                <w:sz w:val="24"/>
              </w:rPr>
            </w:pPr>
            <w:r>
              <w:rPr>
                <w:rFonts w:hint="eastAsia" w:ascii="宋体" w:hAnsi="宋体" w:eastAsia="宋体" w:cs="宋体"/>
                <w:b w:val="0"/>
                <w:bCs w:val="0"/>
                <w:color w:val="auto"/>
                <w:sz w:val="24"/>
              </w:rPr>
              <w:t>一律采用A4纸装订成册（禁止使用活页</w:t>
            </w:r>
            <w:r>
              <w:rPr>
                <w:rFonts w:hint="eastAsia" w:ascii="宋体" w:hAnsi="宋体" w:cs="宋体"/>
                <w:b w:val="0"/>
                <w:bCs w:val="0"/>
                <w:color w:val="auto"/>
                <w:sz w:val="24"/>
                <w:lang w:eastAsia="zh-CN"/>
              </w:rPr>
              <w:t>，资格审查文件除外</w:t>
            </w:r>
            <w:r>
              <w:rPr>
                <w:rFonts w:hint="eastAsia" w:ascii="宋体" w:hAnsi="宋体" w:eastAsia="宋体" w:cs="宋体"/>
                <w:b w:val="0"/>
                <w:bCs w:val="0"/>
                <w:color w:val="auto"/>
                <w:sz w:val="24"/>
              </w:rPr>
              <w:t>），正本</w:t>
            </w:r>
            <w:r>
              <w:rPr>
                <w:rFonts w:hint="eastAsia" w:ascii="宋体" w:hAnsi="宋体" w:eastAsia="宋体" w:cs="宋体"/>
                <w:b w:val="0"/>
                <w:bCs w:val="0"/>
                <w:color w:val="auto"/>
                <w:sz w:val="24"/>
                <w:lang w:eastAsia="zh-CN"/>
              </w:rPr>
              <w:t>、所有</w:t>
            </w:r>
            <w:r>
              <w:rPr>
                <w:rFonts w:hint="eastAsia" w:ascii="宋体" w:hAnsi="宋体" w:eastAsia="宋体" w:cs="宋体"/>
                <w:b w:val="0"/>
                <w:bCs w:val="0"/>
                <w:color w:val="auto"/>
                <w:sz w:val="24"/>
              </w:rPr>
              <w:t>副本分别装订，正本</w:t>
            </w:r>
            <w:r>
              <w:rPr>
                <w:rFonts w:hint="eastAsia" w:ascii="宋体" w:hAnsi="宋体" w:eastAsia="宋体" w:cs="宋体"/>
                <w:b w:val="0"/>
                <w:bCs w:val="0"/>
                <w:color w:val="auto"/>
                <w:sz w:val="24"/>
                <w:lang w:eastAsia="zh-CN"/>
              </w:rPr>
              <w:t>、所有</w:t>
            </w:r>
            <w:r>
              <w:rPr>
                <w:rFonts w:hint="eastAsia" w:ascii="宋体" w:hAnsi="宋体" w:eastAsia="宋体" w:cs="宋体"/>
                <w:b w:val="0"/>
                <w:bCs w:val="0"/>
                <w:color w:val="auto"/>
                <w:sz w:val="24"/>
              </w:rPr>
              <w:t>副本</w:t>
            </w:r>
            <w:r>
              <w:rPr>
                <w:rFonts w:hint="eastAsia" w:ascii="宋体" w:hAnsi="宋体" w:eastAsia="宋体" w:cs="宋体"/>
                <w:b w:val="0"/>
                <w:bCs w:val="0"/>
                <w:color w:val="auto"/>
                <w:sz w:val="24"/>
                <w:lang w:eastAsia="zh-CN"/>
              </w:rPr>
              <w:t>、磋商报价一览表（单页）及资格审查文件</w:t>
            </w:r>
            <w:r>
              <w:rPr>
                <w:rFonts w:hint="eastAsia" w:ascii="宋体" w:hAnsi="宋体" w:eastAsia="宋体" w:cs="宋体"/>
                <w:b w:val="0"/>
                <w:bCs w:val="0"/>
                <w:color w:val="auto"/>
                <w:sz w:val="24"/>
              </w:rPr>
              <w:t>分别密封，电子版放置正本密封袋中。</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7" w:hRule="atLeast"/>
          <w:jc w:val="center"/>
        </w:trPr>
        <w:tc>
          <w:tcPr>
            <w:tcW w:w="703" w:type="dxa"/>
            <w:vAlign w:val="center"/>
          </w:tcPr>
          <w:p>
            <w:pPr>
              <w:pStyle w:val="22"/>
              <w:spacing w:line="360" w:lineRule="auto"/>
              <w:ind w:firstLine="0"/>
              <w:jc w:val="center"/>
              <w:rPr>
                <w:rFonts w:hint="default" w:ascii="宋体" w:hAnsi="宋体" w:eastAsia="宋体" w:cs="宋体"/>
                <w:color w:val="auto"/>
                <w:sz w:val="24"/>
                <w:szCs w:val="24"/>
                <w:lang w:val="en-US" w:eastAsia="zh-CN"/>
              </w:rPr>
            </w:pPr>
            <w:r>
              <w:rPr>
                <w:rFonts w:hint="eastAsia" w:ascii="宋体" w:hAnsi="宋体" w:cs="宋体"/>
                <w:color w:val="auto"/>
                <w:sz w:val="24"/>
                <w:szCs w:val="24"/>
                <w:lang w:val="en-US" w:eastAsia="zh-CN"/>
              </w:rPr>
              <w:t>13</w:t>
            </w:r>
          </w:p>
        </w:tc>
        <w:tc>
          <w:tcPr>
            <w:tcW w:w="1866" w:type="dxa"/>
            <w:vAlign w:val="center"/>
          </w:tcPr>
          <w:p>
            <w:pPr>
              <w:spacing w:before="75" w:line="228" w:lineRule="auto"/>
              <w:jc w:val="center"/>
              <w:rPr>
                <w:rFonts w:hint="eastAsia" w:ascii="宋体" w:hAnsi="宋体" w:eastAsia="宋体" w:cs="宋体"/>
                <w:color w:val="auto"/>
                <w:lang w:val="zh-CN"/>
              </w:rPr>
            </w:pPr>
            <w:r>
              <w:rPr>
                <w:rFonts w:hint="eastAsia" w:ascii="宋体" w:hAnsi="宋体" w:eastAsia="宋体" w:cs="宋体"/>
                <w:color w:val="auto"/>
                <w:kern w:val="0"/>
                <w:sz w:val="24"/>
                <w:szCs w:val="24"/>
                <w:lang w:val="zh-CN" w:eastAsia="zh-CN" w:bidi="ar-SA"/>
              </w:rPr>
              <w:t>分包</w:t>
            </w:r>
          </w:p>
        </w:tc>
        <w:tc>
          <w:tcPr>
            <w:tcW w:w="7023" w:type="dxa"/>
            <w:vAlign w:val="center"/>
          </w:tcPr>
          <w:p>
            <w:pPr>
              <w:spacing w:before="75" w:line="227" w:lineRule="auto"/>
              <w:jc w:val="both"/>
              <w:rPr>
                <w:rFonts w:hint="eastAsia" w:ascii="宋体" w:hAnsi="宋体" w:eastAsia="宋体" w:cs="宋体"/>
                <w:b w:val="0"/>
                <w:bCs w:val="0"/>
                <w:color w:val="auto"/>
                <w:sz w:val="24"/>
              </w:rPr>
            </w:pPr>
            <w:r>
              <w:rPr>
                <w:rFonts w:hint="eastAsia" w:ascii="宋体" w:hAnsi="宋体" w:eastAsia="宋体" w:cs="宋体"/>
                <w:color w:val="auto"/>
                <w:sz w:val="24"/>
              </w:rPr>
              <w:t>本项目不允许分包。</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531" w:hRule="atLeast"/>
          <w:jc w:val="center"/>
        </w:trPr>
        <w:tc>
          <w:tcPr>
            <w:tcW w:w="703" w:type="dxa"/>
            <w:vAlign w:val="center"/>
          </w:tcPr>
          <w:p>
            <w:pPr>
              <w:pStyle w:val="22"/>
              <w:spacing w:line="360" w:lineRule="auto"/>
              <w:ind w:firstLine="0"/>
              <w:jc w:val="center"/>
              <w:rPr>
                <w:rFonts w:hint="default" w:ascii="宋体" w:hAnsi="宋体" w:eastAsia="宋体" w:cs="宋体"/>
                <w:color w:val="auto"/>
                <w:sz w:val="24"/>
                <w:szCs w:val="24"/>
                <w:lang w:val="en-US" w:eastAsia="zh-CN"/>
              </w:rPr>
            </w:pPr>
            <w:r>
              <w:rPr>
                <w:rFonts w:hint="eastAsia" w:ascii="宋体" w:hAnsi="宋体" w:cs="宋体"/>
                <w:color w:val="auto"/>
                <w:sz w:val="24"/>
                <w:szCs w:val="24"/>
                <w:lang w:val="en-US" w:eastAsia="zh-CN"/>
              </w:rPr>
              <w:t>14</w:t>
            </w:r>
          </w:p>
        </w:tc>
        <w:tc>
          <w:tcPr>
            <w:tcW w:w="1866" w:type="dxa"/>
            <w:vAlign w:val="center"/>
          </w:tcPr>
          <w:p>
            <w:pPr>
              <w:pStyle w:val="67"/>
              <w:spacing w:line="276" w:lineRule="auto"/>
              <w:jc w:val="center"/>
              <w:rPr>
                <w:rFonts w:hint="eastAsia" w:ascii="宋体" w:hAnsi="宋体" w:eastAsia="宋体" w:cs="宋体"/>
                <w:color w:val="auto"/>
                <w:lang w:val="zh-CN"/>
              </w:rPr>
            </w:pPr>
            <w:r>
              <w:rPr>
                <w:rFonts w:hint="eastAsia" w:cs="宋体"/>
                <w:color w:val="auto"/>
                <w:lang w:val="zh-CN"/>
              </w:rPr>
              <w:t>偏差</w:t>
            </w:r>
          </w:p>
        </w:tc>
        <w:tc>
          <w:tcPr>
            <w:tcW w:w="7023" w:type="dxa"/>
            <w:vAlign w:val="center"/>
          </w:tcPr>
          <w:p>
            <w:pPr>
              <w:rPr>
                <w:rFonts w:hint="eastAsia" w:ascii="宋体" w:hAnsi="宋体" w:eastAsia="宋体" w:cs="宋体"/>
                <w:b w:val="0"/>
                <w:bCs w:val="0"/>
                <w:color w:val="auto"/>
                <w:sz w:val="24"/>
                <w:lang w:eastAsia="zh-CN"/>
              </w:rPr>
            </w:pPr>
            <w:r>
              <w:rPr>
                <w:rFonts w:hint="eastAsia" w:ascii="宋体" w:hAnsi="宋体" w:eastAsia="宋体" w:cs="宋体"/>
                <w:b w:val="0"/>
                <w:bCs w:val="0"/>
                <w:color w:val="auto"/>
                <w:sz w:val="24"/>
              </w:rPr>
              <w:t>除重大偏差外，其余偏差视为细微偏差</w:t>
            </w:r>
            <w:r>
              <w:rPr>
                <w:rFonts w:hint="eastAsia" w:ascii="宋体" w:hAnsi="宋体" w:cs="宋体"/>
                <w:b w:val="0"/>
                <w:bCs w:val="0"/>
                <w:color w:val="auto"/>
                <w:sz w:val="24"/>
                <w:lang w:eastAsia="zh-CN"/>
              </w:rPr>
              <w:t>；</w:t>
            </w:r>
          </w:p>
          <w:p>
            <w:pPr>
              <w:rPr>
                <w:rFonts w:hint="eastAsia" w:ascii="宋体" w:hAnsi="宋体" w:eastAsia="宋体" w:cs="宋体"/>
                <w:b w:val="0"/>
                <w:bCs w:val="0"/>
                <w:color w:val="auto"/>
                <w:sz w:val="24"/>
                <w:lang w:eastAsia="zh-CN"/>
              </w:rPr>
            </w:pPr>
            <w:r>
              <w:rPr>
                <w:rFonts w:hint="eastAsia" w:ascii="宋体" w:hAnsi="宋体" w:eastAsia="宋体" w:cs="宋体"/>
                <w:b w:val="0"/>
                <w:bCs w:val="0"/>
                <w:color w:val="auto"/>
                <w:sz w:val="24"/>
              </w:rPr>
              <w:t>响应文件发生重大偏离，否决其投标</w:t>
            </w:r>
            <w:r>
              <w:rPr>
                <w:rFonts w:hint="eastAsia" w:ascii="宋体" w:hAnsi="宋体" w:cs="宋体"/>
                <w:b w:val="0"/>
                <w:bCs w:val="0"/>
                <w:color w:val="auto"/>
                <w:sz w:val="24"/>
                <w:lang w:eastAsia="zh-CN"/>
              </w:rPr>
              <w:t>（磋商）；</w:t>
            </w:r>
          </w:p>
          <w:p>
            <w:pPr>
              <w:rPr>
                <w:rFonts w:hint="eastAsia" w:ascii="宋体" w:hAnsi="宋体" w:eastAsia="宋体" w:cs="宋体"/>
                <w:b w:val="0"/>
                <w:bCs w:val="0"/>
                <w:color w:val="auto"/>
                <w:sz w:val="24"/>
                <w:lang w:eastAsia="zh-CN"/>
              </w:rPr>
            </w:pPr>
            <w:r>
              <w:rPr>
                <w:rFonts w:hint="eastAsia" w:ascii="宋体" w:hAnsi="宋体" w:eastAsia="宋体" w:cs="宋体"/>
                <w:b w:val="0"/>
                <w:bCs w:val="0"/>
                <w:color w:val="auto"/>
                <w:sz w:val="24"/>
              </w:rPr>
              <w:t>响应文件发生细微偏差的，磋商小组可书面通知供应商对细微偏差进行澄清或说明</w:t>
            </w:r>
            <w:r>
              <w:rPr>
                <w:rFonts w:hint="eastAsia" w:ascii="宋体" w:hAnsi="宋体" w:cs="宋体"/>
                <w:b w:val="0"/>
                <w:bCs w:val="0"/>
                <w:color w:val="auto"/>
                <w:sz w:val="24"/>
                <w:lang w:eastAsia="zh-CN"/>
              </w:rPr>
              <w:t>。</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307" w:hRule="atLeast"/>
          <w:jc w:val="center"/>
        </w:trPr>
        <w:tc>
          <w:tcPr>
            <w:tcW w:w="703" w:type="dxa"/>
            <w:vAlign w:val="center"/>
          </w:tcPr>
          <w:p>
            <w:pPr>
              <w:pStyle w:val="22"/>
              <w:spacing w:line="360" w:lineRule="auto"/>
              <w:ind w:firstLine="0"/>
              <w:jc w:val="center"/>
              <w:rPr>
                <w:rFonts w:hint="default" w:ascii="宋体" w:hAnsi="宋体" w:eastAsia="宋体" w:cs="宋体"/>
                <w:color w:val="auto"/>
                <w:sz w:val="24"/>
                <w:szCs w:val="24"/>
                <w:lang w:val="en-US" w:eastAsia="zh-CN"/>
              </w:rPr>
            </w:pPr>
            <w:r>
              <w:rPr>
                <w:rFonts w:hint="eastAsia" w:ascii="宋体" w:hAnsi="宋体" w:cs="宋体"/>
                <w:color w:val="auto"/>
                <w:sz w:val="24"/>
                <w:szCs w:val="24"/>
                <w:lang w:val="en-US" w:eastAsia="zh-CN"/>
              </w:rPr>
              <w:t>15</w:t>
            </w:r>
          </w:p>
        </w:tc>
        <w:tc>
          <w:tcPr>
            <w:tcW w:w="1866" w:type="dxa"/>
            <w:vAlign w:val="center"/>
          </w:tcPr>
          <w:p>
            <w:pPr>
              <w:pStyle w:val="67"/>
              <w:spacing w:line="276" w:lineRule="auto"/>
              <w:jc w:val="center"/>
              <w:rPr>
                <w:rFonts w:hint="eastAsia" w:ascii="宋体" w:hAnsi="宋体" w:eastAsia="宋体" w:cs="宋体"/>
                <w:color w:val="auto"/>
                <w:sz w:val="24"/>
                <w:szCs w:val="24"/>
              </w:rPr>
            </w:pPr>
            <w:r>
              <w:rPr>
                <w:rFonts w:hint="eastAsia" w:cs="宋体"/>
                <w:color w:val="auto"/>
                <w:lang w:val="zh-CN"/>
              </w:rPr>
              <w:t>供应商提出问题的截止时间</w:t>
            </w:r>
          </w:p>
        </w:tc>
        <w:tc>
          <w:tcPr>
            <w:tcW w:w="7023" w:type="dxa"/>
            <w:vAlign w:val="center"/>
          </w:tcPr>
          <w:p>
            <w:pPr>
              <w:rPr>
                <w:rFonts w:hint="eastAsia" w:ascii="宋体" w:hAnsi="宋体" w:eastAsia="宋体" w:cs="宋体"/>
                <w:color w:val="auto"/>
                <w:sz w:val="24"/>
                <w:szCs w:val="24"/>
              </w:rPr>
            </w:pPr>
            <w:r>
              <w:rPr>
                <w:rFonts w:hint="eastAsia" w:ascii="宋体" w:hAnsi="宋体" w:cs="宋体"/>
                <w:b w:val="0"/>
                <w:bCs w:val="0"/>
                <w:color w:val="auto"/>
                <w:sz w:val="24"/>
                <w:lang w:eastAsia="zh-CN"/>
              </w:rPr>
              <w:t>磋商响应文件递交截止时间</w:t>
            </w:r>
            <w:r>
              <w:rPr>
                <w:rFonts w:hint="eastAsia" w:ascii="宋体" w:hAnsi="宋体" w:cs="宋体"/>
                <w:b w:val="0"/>
                <w:bCs w:val="0"/>
                <w:color w:val="auto"/>
                <w:sz w:val="24"/>
                <w:u w:val="single"/>
                <w:lang w:eastAsia="zh-CN"/>
              </w:rPr>
              <w:t>3</w:t>
            </w:r>
            <w:r>
              <w:rPr>
                <w:rFonts w:hint="eastAsia" w:ascii="宋体" w:hAnsi="宋体" w:cs="宋体"/>
                <w:b w:val="0"/>
                <w:bCs w:val="0"/>
                <w:color w:val="auto"/>
                <w:sz w:val="24"/>
                <w:lang w:eastAsia="zh-CN"/>
              </w:rPr>
              <w:t>日前。</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367" w:hRule="atLeast"/>
          <w:jc w:val="center"/>
        </w:trPr>
        <w:tc>
          <w:tcPr>
            <w:tcW w:w="703" w:type="dxa"/>
            <w:vAlign w:val="center"/>
          </w:tcPr>
          <w:p>
            <w:pPr>
              <w:pStyle w:val="22"/>
              <w:spacing w:line="360" w:lineRule="auto"/>
              <w:ind w:firstLine="0"/>
              <w:jc w:val="center"/>
              <w:rPr>
                <w:rFonts w:hint="default" w:ascii="宋体" w:hAnsi="宋体" w:cs="宋体"/>
                <w:color w:val="auto"/>
                <w:sz w:val="24"/>
                <w:szCs w:val="24"/>
                <w:lang w:val="en-US" w:eastAsia="zh-CN"/>
              </w:rPr>
            </w:pPr>
            <w:r>
              <w:rPr>
                <w:rFonts w:hint="eastAsia" w:ascii="宋体" w:hAnsi="宋体" w:cs="宋体"/>
                <w:color w:val="auto"/>
                <w:sz w:val="24"/>
                <w:szCs w:val="24"/>
                <w:lang w:val="en-US" w:eastAsia="zh-CN"/>
              </w:rPr>
              <w:t>16</w:t>
            </w:r>
          </w:p>
        </w:tc>
        <w:tc>
          <w:tcPr>
            <w:tcW w:w="1866" w:type="dxa"/>
            <w:vAlign w:val="center"/>
          </w:tcPr>
          <w:p>
            <w:pPr>
              <w:pStyle w:val="67"/>
              <w:spacing w:line="276" w:lineRule="auto"/>
              <w:jc w:val="center"/>
              <w:rPr>
                <w:rFonts w:hint="eastAsia" w:cs="宋体"/>
                <w:color w:val="auto"/>
                <w:lang w:val="zh-CN"/>
              </w:rPr>
            </w:pPr>
            <w:r>
              <w:rPr>
                <w:rFonts w:hint="eastAsia" w:cs="宋体"/>
                <w:color w:val="auto"/>
                <w:lang w:val="zh-CN"/>
              </w:rPr>
              <w:t>采购人收到问</w:t>
            </w:r>
          </w:p>
          <w:p>
            <w:pPr>
              <w:pStyle w:val="67"/>
              <w:spacing w:line="276" w:lineRule="auto"/>
              <w:jc w:val="center"/>
              <w:rPr>
                <w:rFonts w:hint="eastAsia" w:cs="宋体"/>
                <w:color w:val="auto"/>
                <w:lang w:val="zh-CN"/>
              </w:rPr>
            </w:pPr>
            <w:r>
              <w:rPr>
                <w:rFonts w:hint="eastAsia" w:cs="宋体"/>
                <w:color w:val="auto"/>
                <w:lang w:val="zh-CN"/>
              </w:rPr>
              <w:t>题书面答复的</w:t>
            </w:r>
          </w:p>
          <w:p>
            <w:pPr>
              <w:pStyle w:val="67"/>
              <w:spacing w:line="276" w:lineRule="auto"/>
              <w:jc w:val="center"/>
              <w:rPr>
                <w:rFonts w:hint="eastAsia" w:ascii="宋体" w:hAnsi="宋体" w:eastAsia="宋体" w:cs="宋体"/>
                <w:color w:val="auto"/>
                <w:sz w:val="24"/>
                <w:szCs w:val="24"/>
              </w:rPr>
            </w:pPr>
            <w:r>
              <w:rPr>
                <w:rFonts w:hint="eastAsia" w:cs="宋体"/>
                <w:color w:val="auto"/>
                <w:lang w:val="zh-CN"/>
              </w:rPr>
              <w:t>时间</w:t>
            </w:r>
          </w:p>
        </w:tc>
        <w:tc>
          <w:tcPr>
            <w:tcW w:w="7023" w:type="dxa"/>
            <w:vAlign w:val="center"/>
          </w:tcPr>
          <w:p>
            <w:pPr>
              <w:rPr>
                <w:rFonts w:hint="eastAsia" w:ascii="宋体" w:hAnsi="宋体" w:eastAsia="宋体" w:cs="宋体"/>
                <w:color w:val="auto"/>
                <w:sz w:val="24"/>
                <w:szCs w:val="24"/>
              </w:rPr>
            </w:pPr>
            <w:r>
              <w:rPr>
                <w:rFonts w:hint="eastAsia" w:ascii="宋体" w:hAnsi="宋体" w:eastAsia="宋体" w:cs="宋体"/>
                <w:color w:val="auto"/>
                <w:sz w:val="24"/>
                <w:szCs w:val="24"/>
              </w:rPr>
              <w:t>3日内</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99" w:hRule="atLeast"/>
          <w:jc w:val="center"/>
        </w:trPr>
        <w:tc>
          <w:tcPr>
            <w:tcW w:w="703" w:type="dxa"/>
            <w:vAlign w:val="center"/>
          </w:tcPr>
          <w:p>
            <w:pPr>
              <w:pStyle w:val="22"/>
              <w:spacing w:line="360" w:lineRule="auto"/>
              <w:ind w:firstLine="0"/>
              <w:jc w:val="center"/>
              <w:rPr>
                <w:rFonts w:hint="default" w:ascii="宋体" w:hAnsi="宋体" w:eastAsia="宋体" w:cs="宋体"/>
                <w:color w:val="auto"/>
                <w:sz w:val="24"/>
                <w:szCs w:val="24"/>
                <w:lang w:val="en-US" w:eastAsia="zh-CN"/>
              </w:rPr>
            </w:pPr>
            <w:r>
              <w:rPr>
                <w:rFonts w:hint="eastAsia" w:ascii="宋体" w:hAnsi="宋体" w:cs="宋体"/>
                <w:color w:val="auto"/>
                <w:sz w:val="24"/>
                <w:szCs w:val="24"/>
                <w:lang w:val="en-US" w:eastAsia="zh-CN"/>
              </w:rPr>
              <w:t>17</w:t>
            </w:r>
          </w:p>
        </w:tc>
        <w:tc>
          <w:tcPr>
            <w:tcW w:w="1866" w:type="dxa"/>
            <w:vAlign w:val="center"/>
          </w:tcPr>
          <w:p>
            <w:pPr>
              <w:pStyle w:val="22"/>
              <w:spacing w:line="360" w:lineRule="auto"/>
              <w:ind w:firstLine="0" w:firstLineChars="0"/>
              <w:jc w:val="center"/>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sz w:val="24"/>
                <w:szCs w:val="24"/>
              </w:rPr>
              <w:t>评审方法</w:t>
            </w:r>
          </w:p>
        </w:tc>
        <w:tc>
          <w:tcPr>
            <w:tcW w:w="7023" w:type="dxa"/>
            <w:vAlign w:val="center"/>
          </w:tcPr>
          <w:p>
            <w:pPr>
              <w:pStyle w:val="22"/>
              <w:spacing w:line="360" w:lineRule="auto"/>
              <w:ind w:firstLine="0" w:firstLineChars="0"/>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sz w:val="24"/>
                <w:szCs w:val="24"/>
              </w:rPr>
              <w:t>详见《第三章》评审方法（综合评</w:t>
            </w:r>
            <w:r>
              <w:rPr>
                <w:rFonts w:hint="eastAsia" w:ascii="宋体" w:hAnsi="宋体" w:eastAsia="宋体" w:cs="宋体"/>
                <w:color w:val="auto"/>
                <w:sz w:val="24"/>
                <w:szCs w:val="24"/>
                <w:lang w:eastAsia="zh-CN"/>
              </w:rPr>
              <w:t>分</w:t>
            </w:r>
            <w:r>
              <w:rPr>
                <w:rFonts w:hint="eastAsia" w:ascii="宋体" w:hAnsi="宋体" w:eastAsia="宋体" w:cs="宋体"/>
                <w:color w:val="auto"/>
                <w:sz w:val="24"/>
                <w:szCs w:val="24"/>
              </w:rPr>
              <w:t>法）</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51" w:hRule="atLeast"/>
          <w:jc w:val="center"/>
        </w:trPr>
        <w:tc>
          <w:tcPr>
            <w:tcW w:w="703" w:type="dxa"/>
            <w:vAlign w:val="center"/>
          </w:tcPr>
          <w:p>
            <w:pPr>
              <w:pStyle w:val="22"/>
              <w:spacing w:line="360" w:lineRule="auto"/>
              <w:ind w:firstLine="0"/>
              <w:jc w:val="center"/>
              <w:rPr>
                <w:rFonts w:hint="default" w:ascii="宋体" w:hAnsi="宋体" w:eastAsia="宋体" w:cs="宋体"/>
                <w:color w:val="auto"/>
                <w:sz w:val="24"/>
                <w:szCs w:val="24"/>
                <w:lang w:val="en-US" w:eastAsia="zh-CN"/>
              </w:rPr>
            </w:pPr>
            <w:r>
              <w:rPr>
                <w:rFonts w:hint="eastAsia" w:ascii="宋体" w:hAnsi="宋体" w:cs="宋体"/>
                <w:color w:val="auto"/>
                <w:sz w:val="24"/>
                <w:szCs w:val="24"/>
                <w:lang w:val="en-US" w:eastAsia="zh-CN"/>
              </w:rPr>
              <w:t>18</w:t>
            </w:r>
          </w:p>
        </w:tc>
        <w:tc>
          <w:tcPr>
            <w:tcW w:w="1866" w:type="dxa"/>
            <w:vAlign w:val="center"/>
          </w:tcPr>
          <w:p>
            <w:pPr>
              <w:pStyle w:val="11"/>
              <w:spacing w:before="120" w:beforeLines="50" w:line="360" w:lineRule="auto"/>
              <w:ind w:right="115" w:rightChars="55" w:firstLine="0"/>
              <w:jc w:val="center"/>
              <w:rPr>
                <w:rFonts w:hint="eastAsia" w:ascii="宋体" w:hAnsi="宋体" w:eastAsia="宋体" w:cs="宋体"/>
                <w:color w:val="auto"/>
                <w:sz w:val="24"/>
                <w:szCs w:val="24"/>
              </w:rPr>
            </w:pPr>
            <w:r>
              <w:rPr>
                <w:rFonts w:hint="eastAsia" w:ascii="宋体" w:hAnsi="宋体" w:eastAsia="宋体" w:cs="宋体"/>
                <w:color w:val="auto"/>
                <w:sz w:val="24"/>
                <w:szCs w:val="24"/>
                <w:lang w:val="zh-CN"/>
              </w:rPr>
              <w:t>踏勘现场</w:t>
            </w:r>
          </w:p>
        </w:tc>
        <w:tc>
          <w:tcPr>
            <w:tcW w:w="7023" w:type="dxa"/>
            <w:vAlign w:val="center"/>
          </w:tcPr>
          <w:p>
            <w:pPr>
              <w:pStyle w:val="22"/>
              <w:spacing w:line="360" w:lineRule="auto"/>
              <w:ind w:firstLine="0"/>
              <w:jc w:val="both"/>
              <w:rPr>
                <w:rFonts w:hint="eastAsia" w:ascii="宋体" w:hAnsi="宋体" w:eastAsia="宋体" w:cs="宋体"/>
                <w:color w:val="auto"/>
                <w:sz w:val="24"/>
                <w:szCs w:val="24"/>
              </w:rPr>
            </w:pPr>
            <w:r>
              <w:rPr>
                <w:rFonts w:hint="eastAsia" w:ascii="宋体" w:hAnsi="宋体" w:eastAsia="宋体" w:cs="宋体"/>
                <w:color w:val="auto"/>
                <w:sz w:val="24"/>
                <w:szCs w:val="24"/>
                <w:lang w:val="zh-CN"/>
              </w:rPr>
              <w:t>本项目不统一组织现场踏勘</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122" w:hRule="atLeast"/>
          <w:jc w:val="center"/>
        </w:trPr>
        <w:tc>
          <w:tcPr>
            <w:tcW w:w="703" w:type="dxa"/>
            <w:vAlign w:val="center"/>
          </w:tcPr>
          <w:p>
            <w:pPr>
              <w:pStyle w:val="22"/>
              <w:spacing w:line="360" w:lineRule="auto"/>
              <w:ind w:firstLine="0"/>
              <w:jc w:val="center"/>
              <w:rPr>
                <w:rFonts w:hint="default" w:ascii="宋体" w:hAnsi="宋体" w:eastAsia="宋体" w:cs="宋体"/>
                <w:color w:val="auto"/>
                <w:sz w:val="24"/>
                <w:szCs w:val="24"/>
                <w:lang w:val="en-US" w:eastAsia="zh-CN"/>
              </w:rPr>
            </w:pPr>
            <w:r>
              <w:rPr>
                <w:rFonts w:hint="eastAsia" w:ascii="宋体" w:hAnsi="宋体" w:cs="宋体"/>
                <w:color w:val="auto"/>
                <w:sz w:val="24"/>
                <w:szCs w:val="24"/>
                <w:lang w:val="en-US" w:eastAsia="zh-CN"/>
              </w:rPr>
              <w:t>19</w:t>
            </w:r>
          </w:p>
        </w:tc>
        <w:tc>
          <w:tcPr>
            <w:tcW w:w="1866" w:type="dxa"/>
            <w:vAlign w:val="center"/>
          </w:tcPr>
          <w:p>
            <w:pPr>
              <w:pStyle w:val="11"/>
              <w:spacing w:before="120" w:beforeLines="50" w:line="240" w:lineRule="auto"/>
              <w:ind w:right="115" w:rightChars="55" w:firstLine="0"/>
              <w:jc w:val="center"/>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磋商响应文件递交截止时间</w:t>
            </w:r>
          </w:p>
        </w:tc>
        <w:tc>
          <w:tcPr>
            <w:tcW w:w="7023" w:type="dxa"/>
            <w:vAlign w:val="center"/>
          </w:tcPr>
          <w:p>
            <w:pPr>
              <w:pStyle w:val="22"/>
              <w:spacing w:line="360" w:lineRule="auto"/>
              <w:ind w:firstLine="0"/>
              <w:rPr>
                <w:rFonts w:hint="eastAsia" w:ascii="宋体" w:hAnsi="宋体" w:eastAsia="宋体" w:cs="宋体"/>
                <w:color w:val="auto"/>
                <w:sz w:val="24"/>
                <w:szCs w:val="24"/>
                <w:lang w:val="zh-CN"/>
              </w:rPr>
            </w:pPr>
            <w:r>
              <w:rPr>
                <w:rFonts w:hint="eastAsia" w:ascii="宋体" w:hAnsi="宋体" w:eastAsia="宋体" w:cs="宋体"/>
                <w:b/>
                <w:bCs/>
                <w:color w:val="auto"/>
                <w:sz w:val="24"/>
                <w:szCs w:val="24"/>
                <w:lang w:val="zh-CN"/>
              </w:rPr>
              <w:t>磋商响应文件递交截止时间：</w:t>
            </w:r>
            <w:r>
              <w:rPr>
                <w:rFonts w:hint="eastAsia" w:ascii="宋体" w:hAnsi="宋体" w:eastAsia="宋体" w:cs="宋体"/>
                <w:b/>
                <w:bCs/>
                <w:color w:val="auto"/>
                <w:sz w:val="24"/>
                <w:szCs w:val="24"/>
                <w:u w:val="single"/>
                <w:lang w:val="zh-CN"/>
              </w:rPr>
              <w:t>202</w:t>
            </w:r>
            <w:r>
              <w:rPr>
                <w:rFonts w:hint="eastAsia" w:ascii="宋体" w:hAnsi="宋体" w:eastAsia="宋体" w:cs="宋体"/>
                <w:b/>
                <w:bCs/>
                <w:color w:val="auto"/>
                <w:sz w:val="24"/>
                <w:szCs w:val="24"/>
                <w:u w:val="single"/>
                <w:lang w:val="zh-CN" w:eastAsia="zh-CN"/>
              </w:rPr>
              <w:t>2</w:t>
            </w:r>
            <w:r>
              <w:rPr>
                <w:rFonts w:hint="eastAsia" w:ascii="宋体" w:hAnsi="宋体" w:eastAsia="宋体" w:cs="宋体"/>
                <w:b/>
                <w:bCs/>
                <w:color w:val="auto"/>
                <w:sz w:val="24"/>
                <w:szCs w:val="24"/>
                <w:u w:val="single"/>
                <w:lang w:val="zh-CN"/>
              </w:rPr>
              <w:t>年</w:t>
            </w:r>
            <w:r>
              <w:rPr>
                <w:rFonts w:hint="eastAsia" w:ascii="宋体" w:hAnsi="宋体" w:eastAsia="宋体" w:cs="宋体"/>
                <w:b/>
                <w:bCs/>
                <w:color w:val="auto"/>
                <w:sz w:val="24"/>
                <w:szCs w:val="24"/>
                <w:u w:val="single"/>
                <w:lang w:val="zh-CN" w:eastAsia="zh-CN"/>
              </w:rPr>
              <w:t>08</w:t>
            </w:r>
            <w:r>
              <w:rPr>
                <w:rFonts w:hint="eastAsia" w:ascii="宋体" w:hAnsi="宋体" w:eastAsia="宋体" w:cs="宋体"/>
                <w:b/>
                <w:bCs/>
                <w:color w:val="auto"/>
                <w:sz w:val="24"/>
                <w:szCs w:val="24"/>
                <w:u w:val="single"/>
                <w:lang w:val="zh-CN"/>
              </w:rPr>
              <w:t>月</w:t>
            </w:r>
            <w:r>
              <w:rPr>
                <w:rFonts w:hint="eastAsia" w:ascii="宋体" w:hAnsi="宋体" w:eastAsia="宋体" w:cs="宋体"/>
                <w:b/>
                <w:bCs/>
                <w:color w:val="auto"/>
                <w:sz w:val="24"/>
                <w:szCs w:val="24"/>
                <w:u w:val="single"/>
                <w:lang w:val="zh-CN" w:eastAsia="zh-CN"/>
              </w:rPr>
              <w:t>24</w:t>
            </w:r>
            <w:r>
              <w:rPr>
                <w:rFonts w:hint="eastAsia" w:ascii="宋体" w:hAnsi="宋体" w:eastAsia="宋体" w:cs="宋体"/>
                <w:b/>
                <w:bCs/>
                <w:color w:val="auto"/>
                <w:sz w:val="24"/>
                <w:szCs w:val="24"/>
                <w:u w:val="single"/>
                <w:lang w:val="zh-CN"/>
              </w:rPr>
              <w:t>日</w:t>
            </w:r>
            <w:r>
              <w:rPr>
                <w:rFonts w:hint="eastAsia" w:ascii="宋体" w:hAnsi="宋体" w:cs="宋体"/>
                <w:b/>
                <w:bCs/>
                <w:color w:val="auto"/>
                <w:sz w:val="24"/>
                <w:szCs w:val="24"/>
                <w:u w:val="single"/>
                <w:lang w:val="en-US" w:eastAsia="zh-CN"/>
              </w:rPr>
              <w:t>10</w:t>
            </w:r>
            <w:r>
              <w:rPr>
                <w:rFonts w:hint="eastAsia" w:ascii="宋体" w:hAnsi="宋体" w:eastAsia="宋体" w:cs="宋体"/>
                <w:b/>
                <w:bCs/>
                <w:color w:val="auto"/>
                <w:sz w:val="24"/>
                <w:szCs w:val="24"/>
                <w:u w:val="single"/>
                <w:lang w:val="zh-CN"/>
              </w:rPr>
              <w:t>时</w:t>
            </w:r>
            <w:r>
              <w:rPr>
                <w:rFonts w:hint="eastAsia" w:ascii="宋体" w:hAnsi="宋体" w:cs="宋体"/>
                <w:b/>
                <w:bCs/>
                <w:color w:val="auto"/>
                <w:sz w:val="24"/>
                <w:szCs w:val="24"/>
                <w:u w:val="single"/>
                <w:lang w:val="en-US" w:eastAsia="zh-CN"/>
              </w:rPr>
              <w:t>30</w:t>
            </w:r>
            <w:r>
              <w:rPr>
                <w:rFonts w:hint="eastAsia" w:ascii="宋体" w:hAnsi="宋体" w:eastAsia="宋体" w:cs="宋体"/>
                <w:b/>
                <w:bCs/>
                <w:color w:val="auto"/>
                <w:sz w:val="24"/>
                <w:szCs w:val="24"/>
                <w:u w:val="single"/>
                <w:lang w:val="zh-CN"/>
              </w:rPr>
              <w:t>分</w:t>
            </w:r>
            <w:r>
              <w:rPr>
                <w:rFonts w:hint="eastAsia" w:ascii="宋体" w:hAnsi="宋体" w:cs="宋体"/>
                <w:b/>
                <w:bCs/>
                <w:color w:val="auto"/>
                <w:sz w:val="24"/>
                <w:szCs w:val="24"/>
                <w:u w:val="none"/>
                <w:lang w:val="zh-CN"/>
              </w:rPr>
              <w:t>，</w:t>
            </w:r>
            <w:r>
              <w:rPr>
                <w:rFonts w:hint="eastAsia" w:ascii="宋体" w:hAnsi="宋体" w:eastAsia="宋体" w:cs="宋体"/>
                <w:b/>
                <w:bCs/>
                <w:color w:val="auto"/>
                <w:sz w:val="24"/>
                <w:szCs w:val="24"/>
                <w:lang w:val="zh-CN"/>
              </w:rPr>
              <w:t>磋商截止时间后送达的磋商响应文件将被拒收。</w:t>
            </w:r>
          </w:p>
          <w:p>
            <w:pPr>
              <w:pStyle w:val="22"/>
              <w:spacing w:line="360" w:lineRule="auto"/>
              <w:ind w:firstLine="0"/>
              <w:rPr>
                <w:rFonts w:hint="eastAsia" w:ascii="宋体" w:hAnsi="宋体" w:eastAsia="宋体" w:cs="宋体"/>
                <w:color w:val="auto"/>
                <w:sz w:val="24"/>
                <w:szCs w:val="24"/>
                <w:lang w:val="zh-CN" w:eastAsia="zh-CN"/>
              </w:rPr>
            </w:pPr>
            <w:r>
              <w:rPr>
                <w:rFonts w:hint="eastAsia" w:ascii="宋体" w:hAnsi="宋体" w:eastAsia="宋体" w:cs="宋体"/>
                <w:color w:val="auto"/>
                <w:sz w:val="24"/>
                <w:szCs w:val="24"/>
                <w:lang w:val="zh-CN"/>
              </w:rPr>
              <w:t>磋商响应文件递交地点：</w:t>
            </w:r>
            <w:r>
              <w:rPr>
                <w:rFonts w:hint="eastAsia" w:ascii="宋体" w:hAnsi="宋体" w:eastAsia="宋体" w:cs="宋体"/>
                <w:color w:val="auto"/>
                <w:sz w:val="24"/>
                <w:szCs w:val="24"/>
                <w:lang w:val="zh-CN" w:eastAsia="zh-CN"/>
              </w:rPr>
              <w:t>东方禾元大酒店五楼会议室（地址：汉中市汉台区将坛西路与天汉大道交汇处向西100米）</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355" w:hRule="atLeast"/>
          <w:jc w:val="center"/>
        </w:trPr>
        <w:tc>
          <w:tcPr>
            <w:tcW w:w="703" w:type="dxa"/>
            <w:vAlign w:val="center"/>
          </w:tcPr>
          <w:p>
            <w:pPr>
              <w:pStyle w:val="22"/>
              <w:spacing w:line="360" w:lineRule="auto"/>
              <w:ind w:firstLine="0"/>
              <w:jc w:val="center"/>
              <w:rPr>
                <w:rFonts w:hint="default" w:ascii="宋体" w:hAnsi="宋体" w:eastAsia="宋体" w:cs="宋体"/>
                <w:color w:val="auto"/>
                <w:sz w:val="24"/>
                <w:szCs w:val="24"/>
                <w:lang w:val="en-US" w:eastAsia="zh-CN"/>
              </w:rPr>
            </w:pPr>
            <w:r>
              <w:rPr>
                <w:rFonts w:hint="eastAsia" w:ascii="宋体" w:hAnsi="宋体" w:cs="宋体"/>
                <w:color w:val="auto"/>
                <w:sz w:val="24"/>
                <w:szCs w:val="24"/>
                <w:lang w:val="en-US" w:eastAsia="zh-CN"/>
              </w:rPr>
              <w:t>20</w:t>
            </w:r>
          </w:p>
        </w:tc>
        <w:tc>
          <w:tcPr>
            <w:tcW w:w="1866" w:type="dxa"/>
            <w:vAlign w:val="center"/>
          </w:tcPr>
          <w:p>
            <w:pPr>
              <w:pStyle w:val="11"/>
              <w:spacing w:before="120" w:beforeLines="50" w:line="360" w:lineRule="auto"/>
              <w:ind w:right="115" w:rightChars="55" w:firstLine="0"/>
              <w:jc w:val="center"/>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磋商保证金交纳金额、账户及方式</w:t>
            </w:r>
          </w:p>
        </w:tc>
        <w:tc>
          <w:tcPr>
            <w:tcW w:w="7023" w:type="dxa"/>
            <w:vAlign w:val="center"/>
          </w:tcPr>
          <w:p>
            <w:pPr>
              <w:pStyle w:val="22"/>
              <w:spacing w:line="360" w:lineRule="auto"/>
              <w:ind w:firstLine="0"/>
              <w:rPr>
                <w:rFonts w:hint="eastAsia" w:ascii="宋体" w:hAnsi="宋体" w:eastAsia="宋体" w:cs="宋体"/>
                <w:b/>
                <w:bCs/>
                <w:color w:val="auto"/>
                <w:sz w:val="28"/>
                <w:szCs w:val="28"/>
                <w:u w:val="single"/>
                <w:shd w:val="clear" w:color="FFFFFF" w:fill="D9D9D9"/>
              </w:rPr>
            </w:pPr>
            <w:r>
              <w:rPr>
                <w:rFonts w:hint="eastAsia" w:ascii="宋体" w:hAnsi="宋体" w:eastAsia="宋体" w:cs="宋体"/>
                <w:b/>
                <w:bCs/>
                <w:color w:val="auto"/>
                <w:sz w:val="28"/>
                <w:szCs w:val="28"/>
                <w:u w:val="single"/>
                <w:shd w:val="clear" w:color="FFFFFF" w:fill="D9D9D9"/>
              </w:rPr>
              <w:t>磋商保证金（RMB）：</w:t>
            </w:r>
            <w:r>
              <w:rPr>
                <w:rFonts w:hint="eastAsia" w:ascii="宋体" w:hAnsi="宋体" w:cs="宋体"/>
                <w:b/>
                <w:bCs/>
                <w:color w:val="auto"/>
                <w:sz w:val="28"/>
                <w:szCs w:val="28"/>
                <w:u w:val="single"/>
                <w:shd w:val="clear" w:color="FFFFFF" w:fill="D9D9D9"/>
                <w:lang w:eastAsia="zh-CN"/>
              </w:rPr>
              <w:t>壹万元整</w:t>
            </w:r>
            <w:r>
              <w:rPr>
                <w:rFonts w:hint="eastAsia" w:ascii="宋体" w:hAnsi="宋体" w:eastAsia="宋体" w:cs="宋体"/>
                <w:b/>
                <w:bCs/>
                <w:color w:val="auto"/>
                <w:sz w:val="28"/>
                <w:szCs w:val="28"/>
                <w:u w:val="single"/>
                <w:shd w:val="clear" w:color="FFFFFF" w:fill="D9D9D9"/>
              </w:rPr>
              <w:t>（¥</w:t>
            </w:r>
            <w:r>
              <w:rPr>
                <w:rFonts w:hint="eastAsia" w:ascii="宋体" w:hAnsi="宋体" w:cs="宋体"/>
                <w:b/>
                <w:bCs/>
                <w:color w:val="auto"/>
                <w:sz w:val="28"/>
                <w:szCs w:val="28"/>
                <w:u w:val="single"/>
                <w:shd w:val="clear" w:color="FFFFFF" w:fill="D9D9D9"/>
                <w:lang w:eastAsia="zh-CN"/>
              </w:rPr>
              <w:t>：</w:t>
            </w:r>
            <w:r>
              <w:rPr>
                <w:rFonts w:hint="eastAsia" w:ascii="宋体" w:hAnsi="宋体" w:cs="宋体"/>
                <w:b/>
                <w:bCs/>
                <w:color w:val="auto"/>
                <w:sz w:val="28"/>
                <w:szCs w:val="28"/>
                <w:u w:val="single"/>
                <w:shd w:val="clear" w:color="FFFFFF" w:fill="D9D9D9"/>
                <w:lang w:val="en-US" w:eastAsia="zh-CN"/>
              </w:rPr>
              <w:t>10,000.00元</w:t>
            </w:r>
            <w:r>
              <w:rPr>
                <w:rFonts w:hint="eastAsia" w:ascii="宋体" w:hAnsi="宋体" w:eastAsia="宋体" w:cs="宋体"/>
                <w:b/>
                <w:bCs/>
                <w:color w:val="auto"/>
                <w:sz w:val="28"/>
                <w:szCs w:val="28"/>
                <w:u w:val="single"/>
                <w:shd w:val="clear" w:color="FFFFFF" w:fill="D9D9D9"/>
              </w:rPr>
              <w:t>）</w:t>
            </w:r>
          </w:p>
          <w:p>
            <w:pPr>
              <w:pStyle w:val="22"/>
              <w:spacing w:line="360" w:lineRule="auto"/>
              <w:ind w:firstLine="0"/>
              <w:rPr>
                <w:rFonts w:hint="eastAsia" w:ascii="宋体" w:hAnsi="宋体" w:eastAsia="宋体" w:cs="宋体"/>
                <w:b/>
                <w:color w:val="auto"/>
                <w:sz w:val="24"/>
                <w:szCs w:val="24"/>
              </w:rPr>
            </w:pPr>
            <w:r>
              <w:rPr>
                <w:rFonts w:hint="eastAsia" w:ascii="宋体" w:hAnsi="宋体" w:eastAsia="宋体" w:cs="宋体"/>
                <w:color w:val="auto"/>
                <w:sz w:val="24"/>
                <w:szCs w:val="24"/>
              </w:rPr>
              <w:t>磋商保证金缴纳截止时间：</w:t>
            </w:r>
            <w:r>
              <w:rPr>
                <w:rFonts w:hint="eastAsia" w:ascii="宋体" w:hAnsi="宋体" w:eastAsia="宋体" w:cs="宋体"/>
                <w:color w:val="auto"/>
                <w:sz w:val="24"/>
                <w:szCs w:val="24"/>
                <w:lang w:val="zh-CN"/>
              </w:rPr>
              <w:t>磋商响应文件递交截止时间之前</w:t>
            </w:r>
            <w:r>
              <w:rPr>
                <w:rFonts w:hint="eastAsia" w:ascii="宋体" w:hAnsi="宋体" w:eastAsia="宋体" w:cs="宋体"/>
                <w:b/>
                <w:color w:val="auto"/>
                <w:sz w:val="24"/>
                <w:szCs w:val="24"/>
              </w:rPr>
              <w:t>（供</w:t>
            </w:r>
          </w:p>
          <w:p>
            <w:pPr>
              <w:pStyle w:val="22"/>
              <w:spacing w:line="360" w:lineRule="auto"/>
              <w:ind w:firstLine="0"/>
              <w:rPr>
                <w:rFonts w:hint="eastAsia" w:ascii="宋体" w:hAnsi="宋体" w:eastAsia="宋体" w:cs="宋体"/>
                <w:b/>
                <w:color w:val="auto"/>
                <w:sz w:val="24"/>
                <w:szCs w:val="24"/>
                <w:lang w:eastAsia="zh-CN"/>
              </w:rPr>
            </w:pPr>
            <w:r>
              <w:rPr>
                <w:rFonts w:hint="eastAsia" w:ascii="宋体" w:hAnsi="宋体" w:eastAsia="宋体" w:cs="宋体"/>
                <w:b/>
                <w:color w:val="auto"/>
                <w:sz w:val="24"/>
                <w:szCs w:val="24"/>
              </w:rPr>
              <w:t>应商逾期未提交或逾期到账视为放弃</w:t>
            </w:r>
            <w:r>
              <w:rPr>
                <w:rFonts w:hint="eastAsia" w:ascii="宋体" w:hAnsi="宋体" w:eastAsia="宋体" w:cs="宋体"/>
                <w:b/>
                <w:color w:val="auto"/>
                <w:sz w:val="24"/>
                <w:szCs w:val="24"/>
                <w:lang w:eastAsia="zh-CN"/>
              </w:rPr>
              <w:t>磋商</w:t>
            </w:r>
            <w:r>
              <w:rPr>
                <w:rFonts w:hint="eastAsia" w:ascii="宋体" w:hAnsi="宋体" w:eastAsia="宋体" w:cs="宋体"/>
                <w:b/>
                <w:color w:val="auto"/>
                <w:sz w:val="24"/>
                <w:szCs w:val="24"/>
              </w:rPr>
              <w:t>，以银行实际到账时间为准）</w:t>
            </w:r>
            <w:r>
              <w:rPr>
                <w:rFonts w:hint="eastAsia" w:ascii="宋体" w:hAnsi="宋体" w:eastAsia="宋体" w:cs="宋体"/>
                <w:b/>
                <w:color w:val="auto"/>
                <w:sz w:val="24"/>
                <w:szCs w:val="24"/>
                <w:lang w:eastAsia="zh-CN"/>
              </w:rPr>
              <w:t>；</w:t>
            </w:r>
          </w:p>
          <w:p>
            <w:pPr>
              <w:pStyle w:val="22"/>
              <w:spacing w:line="360" w:lineRule="auto"/>
              <w:ind w:firstLine="0"/>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磋商保证金</w:t>
            </w:r>
            <w:r>
              <w:rPr>
                <w:rFonts w:hint="eastAsia" w:ascii="宋体" w:hAnsi="宋体" w:eastAsia="宋体" w:cs="宋体"/>
                <w:color w:val="auto"/>
                <w:sz w:val="24"/>
                <w:szCs w:val="24"/>
              </w:rPr>
              <w:t>收据</w:t>
            </w:r>
            <w:r>
              <w:rPr>
                <w:rFonts w:hint="eastAsia" w:ascii="宋体" w:hAnsi="宋体" w:eastAsia="宋体" w:cs="宋体"/>
                <w:color w:val="auto"/>
                <w:sz w:val="24"/>
                <w:szCs w:val="24"/>
                <w:lang w:eastAsia="zh-CN"/>
              </w:rPr>
              <w:t>原件</w:t>
            </w:r>
            <w:r>
              <w:rPr>
                <w:rFonts w:hint="eastAsia" w:ascii="宋体" w:hAnsi="宋体" w:eastAsia="宋体" w:cs="宋体"/>
                <w:color w:val="auto"/>
                <w:sz w:val="24"/>
                <w:szCs w:val="24"/>
              </w:rPr>
              <w:t>换取时间:磋商响应文件递交截止时间</w:t>
            </w:r>
            <w:r>
              <w:rPr>
                <w:rFonts w:hint="eastAsia" w:ascii="宋体" w:hAnsi="宋体" w:eastAsia="宋体" w:cs="宋体"/>
                <w:color w:val="auto"/>
                <w:sz w:val="24"/>
                <w:szCs w:val="24"/>
                <w:lang w:eastAsia="zh-CN"/>
              </w:rPr>
              <w:t>之</w:t>
            </w:r>
            <w:r>
              <w:rPr>
                <w:rFonts w:hint="eastAsia" w:ascii="宋体" w:hAnsi="宋体" w:eastAsia="宋体" w:cs="宋体"/>
                <w:color w:val="auto"/>
                <w:sz w:val="24"/>
                <w:szCs w:val="24"/>
              </w:rPr>
              <w:t>前</w:t>
            </w:r>
            <w:r>
              <w:rPr>
                <w:rFonts w:hint="eastAsia" w:ascii="宋体" w:hAnsi="宋体" w:eastAsia="宋体" w:cs="宋体"/>
                <w:color w:val="auto"/>
                <w:sz w:val="24"/>
                <w:szCs w:val="24"/>
                <w:lang w:eastAsia="zh-CN"/>
              </w:rPr>
              <w:t>在采购代理机构财务处</w:t>
            </w:r>
            <w:r>
              <w:rPr>
                <w:rFonts w:hint="eastAsia" w:ascii="宋体" w:hAnsi="宋体" w:eastAsia="宋体" w:cs="宋体"/>
                <w:color w:val="auto"/>
                <w:sz w:val="24"/>
                <w:szCs w:val="24"/>
              </w:rPr>
              <w:t>换取</w:t>
            </w:r>
            <w:r>
              <w:rPr>
                <w:rFonts w:hint="eastAsia" w:ascii="宋体" w:hAnsi="宋体" w:eastAsia="宋体" w:cs="宋体"/>
                <w:color w:val="auto"/>
                <w:sz w:val="24"/>
                <w:szCs w:val="24"/>
                <w:lang w:eastAsia="zh-CN"/>
              </w:rPr>
              <w:t>磋商保证金</w:t>
            </w:r>
            <w:r>
              <w:rPr>
                <w:rFonts w:hint="eastAsia" w:ascii="宋体" w:hAnsi="宋体" w:eastAsia="宋体" w:cs="宋体"/>
                <w:color w:val="auto"/>
                <w:sz w:val="24"/>
                <w:szCs w:val="24"/>
              </w:rPr>
              <w:t>收据</w:t>
            </w:r>
            <w:r>
              <w:rPr>
                <w:rFonts w:hint="eastAsia" w:ascii="宋体" w:hAnsi="宋体" w:eastAsia="宋体" w:cs="宋体"/>
                <w:color w:val="auto"/>
                <w:sz w:val="24"/>
                <w:szCs w:val="24"/>
                <w:lang w:eastAsia="zh-CN"/>
              </w:rPr>
              <w:t>原件</w:t>
            </w:r>
            <w:r>
              <w:rPr>
                <w:rFonts w:hint="eastAsia" w:ascii="宋体" w:hAnsi="宋体" w:eastAsia="宋体" w:cs="宋体"/>
                <w:color w:val="auto"/>
                <w:sz w:val="24"/>
                <w:szCs w:val="24"/>
              </w:rPr>
              <w:t>(供应商逾期未换取</w:t>
            </w:r>
            <w:r>
              <w:rPr>
                <w:rFonts w:hint="eastAsia" w:ascii="宋体" w:hAnsi="宋体" w:eastAsia="宋体" w:cs="宋体"/>
                <w:color w:val="auto"/>
                <w:sz w:val="24"/>
                <w:szCs w:val="24"/>
                <w:lang w:eastAsia="zh-CN"/>
              </w:rPr>
              <w:t>磋商保证金收据原件</w:t>
            </w:r>
            <w:r>
              <w:rPr>
                <w:rFonts w:hint="eastAsia" w:ascii="宋体" w:hAnsi="宋体" w:eastAsia="宋体" w:cs="宋体"/>
                <w:color w:val="auto"/>
                <w:sz w:val="24"/>
                <w:szCs w:val="24"/>
              </w:rPr>
              <w:t>的，</w:t>
            </w:r>
            <w:r>
              <w:rPr>
                <w:rFonts w:hint="eastAsia" w:ascii="宋体" w:hAnsi="宋体" w:eastAsia="宋体" w:cs="宋体"/>
                <w:color w:val="auto"/>
                <w:sz w:val="24"/>
                <w:szCs w:val="24"/>
                <w:lang w:eastAsia="zh-CN"/>
              </w:rPr>
              <w:t>在资格审查环节未能出具磋商保证金收据原件，不能通过资格审查环节的，供应商责任自负。</w:t>
            </w:r>
            <w:r>
              <w:rPr>
                <w:rFonts w:hint="eastAsia" w:ascii="宋体" w:hAnsi="宋体" w:eastAsia="宋体" w:cs="宋体"/>
                <w:b/>
                <w:bCs/>
                <w:color w:val="auto"/>
                <w:sz w:val="24"/>
                <w:szCs w:val="24"/>
                <w:lang w:eastAsia="zh-CN"/>
              </w:rPr>
              <w:t>注：</w:t>
            </w:r>
            <w:r>
              <w:rPr>
                <w:rFonts w:hint="eastAsia" w:ascii="宋体" w:hAnsi="宋体" w:eastAsia="宋体" w:cs="宋体"/>
                <w:b/>
                <w:bCs/>
                <w:color w:val="auto"/>
                <w:sz w:val="24"/>
                <w:szCs w:val="24"/>
              </w:rPr>
              <w:t>以在采购代理机构换取收款收据时间为准</w:t>
            </w:r>
            <w:r>
              <w:rPr>
                <w:rFonts w:hint="eastAsia" w:ascii="宋体" w:hAnsi="宋体" w:eastAsia="宋体" w:cs="宋体"/>
                <w:color w:val="auto"/>
                <w:sz w:val="24"/>
                <w:szCs w:val="24"/>
                <w:lang w:eastAsia="zh-CN"/>
              </w:rPr>
              <w:t>；</w:t>
            </w:r>
          </w:p>
          <w:p>
            <w:pPr>
              <w:pStyle w:val="22"/>
              <w:spacing w:line="360" w:lineRule="auto"/>
              <w:ind w:firstLine="0"/>
              <w:rPr>
                <w:rFonts w:hint="eastAsia" w:ascii="宋体" w:hAnsi="宋体" w:eastAsia="宋体" w:cs="宋体"/>
                <w:color w:val="auto"/>
                <w:sz w:val="24"/>
                <w:szCs w:val="24"/>
              </w:rPr>
            </w:pPr>
            <w:r>
              <w:rPr>
                <w:rFonts w:hint="eastAsia" w:ascii="宋体" w:hAnsi="宋体" w:eastAsia="宋体" w:cs="宋体"/>
                <w:color w:val="auto"/>
                <w:sz w:val="24"/>
                <w:szCs w:val="24"/>
              </w:rPr>
              <w:t>缴纳方式：以银行转账或者金融机构、担保机构出具的保函等非现金形式。银行转账可以采取支票、电汇、网银、汇票、本票等方式，均应从</w:t>
            </w: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基本账户转出。</w:t>
            </w:r>
          </w:p>
          <w:p>
            <w:pPr>
              <w:tabs>
                <w:tab w:val="left" w:pos="0"/>
              </w:tabs>
              <w:spacing w:line="336" w:lineRule="auto"/>
              <w:ind w:left="14" w:hanging="17" w:hangingChars="6"/>
              <w:rPr>
                <w:rFonts w:hint="eastAsia" w:ascii="宋体" w:hAnsi="宋体" w:eastAsia="宋体" w:cs="宋体"/>
                <w:b/>
                <w:bCs/>
                <w:color w:val="auto"/>
                <w:kern w:val="0"/>
                <w:sz w:val="28"/>
                <w:szCs w:val="28"/>
                <w:shd w:val="clear" w:color="FFFFFF" w:fill="D9D9D9"/>
              </w:rPr>
            </w:pPr>
            <w:r>
              <w:rPr>
                <w:rFonts w:hint="eastAsia" w:ascii="宋体" w:hAnsi="宋体" w:eastAsia="宋体" w:cs="宋体"/>
                <w:b/>
                <w:bCs/>
                <w:color w:val="auto"/>
                <w:kern w:val="0"/>
                <w:sz w:val="28"/>
                <w:szCs w:val="28"/>
                <w:shd w:val="clear" w:color="FFFFFF" w:fill="D9D9D9"/>
              </w:rPr>
              <w:t>户名：</w:t>
            </w:r>
            <w:r>
              <w:rPr>
                <w:rFonts w:hint="eastAsia" w:ascii="宋体" w:hAnsi="宋体" w:eastAsia="宋体" w:cs="宋体"/>
                <w:b/>
                <w:bCs/>
                <w:color w:val="auto"/>
                <w:kern w:val="0"/>
                <w:sz w:val="28"/>
                <w:szCs w:val="28"/>
                <w:shd w:val="clear" w:color="FFFFFF" w:fill="D9D9D9"/>
                <w:lang w:eastAsia="zh-CN"/>
              </w:rPr>
              <w:t>陕西华兴工程咨询有限公司汉中分公司</w:t>
            </w:r>
          </w:p>
          <w:p>
            <w:pPr>
              <w:tabs>
                <w:tab w:val="left" w:pos="0"/>
              </w:tabs>
              <w:spacing w:line="336" w:lineRule="auto"/>
              <w:ind w:left="14" w:hanging="17" w:hangingChars="6"/>
              <w:rPr>
                <w:rFonts w:hint="eastAsia" w:ascii="宋体" w:hAnsi="宋体" w:eastAsia="宋体" w:cs="宋体"/>
                <w:b/>
                <w:bCs/>
                <w:color w:val="auto"/>
                <w:kern w:val="0"/>
                <w:sz w:val="28"/>
                <w:szCs w:val="28"/>
                <w:shd w:val="clear" w:color="FFFFFF" w:fill="D9D9D9"/>
                <w:lang w:eastAsia="zh-CN"/>
              </w:rPr>
            </w:pPr>
            <w:r>
              <w:rPr>
                <w:rFonts w:hint="eastAsia" w:ascii="宋体" w:hAnsi="宋体" w:eastAsia="宋体" w:cs="宋体"/>
                <w:b/>
                <w:bCs/>
                <w:color w:val="auto"/>
                <w:kern w:val="0"/>
                <w:sz w:val="28"/>
                <w:szCs w:val="28"/>
                <w:shd w:val="clear" w:color="FFFFFF" w:fill="D9D9D9"/>
              </w:rPr>
              <w:t>开户行：</w:t>
            </w:r>
            <w:r>
              <w:rPr>
                <w:rFonts w:hint="eastAsia" w:ascii="宋体" w:hAnsi="宋体" w:eastAsia="宋体" w:cs="宋体"/>
                <w:b/>
                <w:bCs/>
                <w:color w:val="auto"/>
                <w:kern w:val="0"/>
                <w:sz w:val="28"/>
                <w:szCs w:val="28"/>
                <w:shd w:val="clear" w:color="FFFFFF" w:fill="D9D9D9"/>
                <w:lang w:eastAsia="zh-CN"/>
              </w:rPr>
              <w:t>中国银行股份有限公司汉中天汉大道支行</w:t>
            </w:r>
          </w:p>
          <w:p>
            <w:pPr>
              <w:tabs>
                <w:tab w:val="left" w:pos="0"/>
              </w:tabs>
              <w:spacing w:line="336" w:lineRule="auto"/>
              <w:ind w:left="14" w:hanging="17" w:hangingChars="6"/>
              <w:rPr>
                <w:rFonts w:hint="eastAsia" w:ascii="宋体" w:hAnsi="宋体" w:eastAsia="宋体" w:cs="宋体"/>
                <w:b/>
                <w:bCs/>
                <w:color w:val="auto"/>
                <w:kern w:val="0"/>
                <w:sz w:val="28"/>
                <w:szCs w:val="28"/>
                <w:shd w:val="clear" w:color="FFFFFF" w:fill="D9D9D9"/>
                <w:lang w:val="en-US" w:eastAsia="zh-CN"/>
              </w:rPr>
            </w:pPr>
            <w:r>
              <w:rPr>
                <w:rFonts w:hint="eastAsia" w:ascii="宋体" w:hAnsi="宋体" w:eastAsia="宋体" w:cs="宋体"/>
                <w:b/>
                <w:bCs/>
                <w:color w:val="auto"/>
                <w:kern w:val="0"/>
                <w:sz w:val="28"/>
                <w:szCs w:val="28"/>
                <w:shd w:val="clear" w:color="FFFFFF" w:fill="D9D9D9"/>
              </w:rPr>
              <w:t>账号：</w:t>
            </w:r>
            <w:r>
              <w:rPr>
                <w:rFonts w:hint="eastAsia" w:ascii="宋体" w:hAnsi="宋体" w:eastAsia="宋体" w:cs="宋体"/>
                <w:b/>
                <w:bCs/>
                <w:color w:val="auto"/>
                <w:kern w:val="0"/>
                <w:sz w:val="28"/>
                <w:szCs w:val="28"/>
                <w:shd w:val="clear" w:color="FFFFFF" w:fill="D9D9D9"/>
                <w:lang w:val="en-US" w:eastAsia="zh-CN"/>
              </w:rPr>
              <w:t>1024</w:t>
            </w:r>
            <w:r>
              <w:rPr>
                <w:rFonts w:hint="eastAsia" w:ascii="宋体" w:hAnsi="宋体" w:cs="宋体"/>
                <w:b/>
                <w:bCs/>
                <w:color w:val="auto"/>
                <w:kern w:val="0"/>
                <w:sz w:val="28"/>
                <w:szCs w:val="28"/>
                <w:shd w:val="clear" w:color="FFFFFF" w:fill="D9D9D9"/>
                <w:lang w:val="en-US" w:eastAsia="zh-CN"/>
              </w:rPr>
              <w:t xml:space="preserve"> </w:t>
            </w:r>
            <w:r>
              <w:rPr>
                <w:rFonts w:hint="eastAsia" w:ascii="宋体" w:hAnsi="宋体" w:eastAsia="宋体" w:cs="宋体"/>
                <w:b/>
                <w:bCs/>
                <w:color w:val="auto"/>
                <w:kern w:val="0"/>
                <w:sz w:val="28"/>
                <w:szCs w:val="28"/>
                <w:shd w:val="clear" w:color="FFFFFF" w:fill="D9D9D9"/>
                <w:lang w:val="en-US" w:eastAsia="zh-CN"/>
              </w:rPr>
              <w:t>8277</w:t>
            </w:r>
            <w:r>
              <w:rPr>
                <w:rFonts w:hint="eastAsia" w:ascii="宋体" w:hAnsi="宋体" w:cs="宋体"/>
                <w:b/>
                <w:bCs/>
                <w:color w:val="auto"/>
                <w:kern w:val="0"/>
                <w:sz w:val="28"/>
                <w:szCs w:val="28"/>
                <w:shd w:val="clear" w:color="FFFFFF" w:fill="D9D9D9"/>
                <w:lang w:val="en-US" w:eastAsia="zh-CN"/>
              </w:rPr>
              <w:t xml:space="preserve"> 3</w:t>
            </w:r>
            <w:r>
              <w:rPr>
                <w:rFonts w:hint="eastAsia" w:ascii="宋体" w:hAnsi="宋体" w:eastAsia="宋体" w:cs="宋体"/>
                <w:b/>
                <w:bCs/>
                <w:color w:val="auto"/>
                <w:kern w:val="0"/>
                <w:sz w:val="28"/>
                <w:szCs w:val="28"/>
                <w:shd w:val="clear" w:color="FFFFFF" w:fill="D9D9D9"/>
                <w:lang w:val="en-US" w:eastAsia="zh-CN"/>
              </w:rPr>
              <w:t>591</w:t>
            </w:r>
          </w:p>
          <w:p>
            <w:pPr>
              <w:tabs>
                <w:tab w:val="left" w:pos="0"/>
              </w:tabs>
              <w:spacing w:line="336" w:lineRule="auto"/>
              <w:ind w:left="14" w:hanging="14" w:hangingChars="6"/>
              <w:rPr>
                <w:rFonts w:hint="eastAsia" w:ascii="宋体" w:hAnsi="宋体" w:eastAsia="宋体" w:cs="宋体"/>
                <w:color w:val="auto"/>
                <w:lang w:eastAsia="zh-CN"/>
              </w:rPr>
            </w:pPr>
            <w:r>
              <w:rPr>
                <w:rFonts w:hint="eastAsia" w:ascii="宋体" w:hAnsi="宋体" w:eastAsia="宋体" w:cs="宋体"/>
                <w:b/>
                <w:bCs/>
                <w:color w:val="auto"/>
                <w:kern w:val="0"/>
                <w:sz w:val="24"/>
                <w:lang w:eastAsia="zh-CN"/>
              </w:rPr>
              <w:t>注：</w:t>
            </w:r>
            <w:r>
              <w:rPr>
                <w:rFonts w:hint="eastAsia" w:ascii="宋体" w:hAnsi="宋体" w:eastAsia="宋体" w:cs="宋体"/>
                <w:b/>
                <w:bCs/>
                <w:color w:val="auto"/>
                <w:kern w:val="0"/>
                <w:sz w:val="24"/>
              </w:rPr>
              <w:t>转账时请注明：</w:t>
            </w:r>
            <w:r>
              <w:rPr>
                <w:rFonts w:hint="eastAsia" w:ascii="宋体" w:hAnsi="宋体" w:eastAsia="宋体" w:cs="宋体"/>
                <w:b/>
                <w:bCs/>
                <w:color w:val="auto"/>
                <w:kern w:val="0"/>
                <w:sz w:val="24"/>
                <w:u w:val="single"/>
                <w:lang w:eastAsia="zh-CN"/>
              </w:rPr>
              <w:t>“</w:t>
            </w:r>
            <w:r>
              <w:rPr>
                <w:rFonts w:hint="eastAsia" w:ascii="宋体" w:hAnsi="宋体" w:cs="宋体"/>
                <w:b/>
                <w:bCs/>
                <w:color w:val="auto"/>
                <w:kern w:val="0"/>
                <w:sz w:val="24"/>
                <w:u w:val="single"/>
                <w:lang w:val="en-US" w:eastAsia="zh-CN"/>
              </w:rPr>
              <w:t>汉中市南郑区“四改一拆一通一落地”-汉山街道办高庄村背街小巷硬化工程</w:t>
            </w:r>
            <w:r>
              <w:rPr>
                <w:rFonts w:hint="eastAsia" w:ascii="宋体" w:hAnsi="宋体" w:eastAsia="宋体" w:cs="宋体"/>
                <w:b/>
                <w:bCs/>
                <w:color w:val="auto"/>
                <w:kern w:val="0"/>
                <w:sz w:val="24"/>
                <w:u w:val="single"/>
                <w:lang w:eastAsia="zh-CN"/>
              </w:rPr>
              <w:t>”磋商</w:t>
            </w:r>
            <w:r>
              <w:rPr>
                <w:rFonts w:hint="eastAsia" w:ascii="宋体" w:hAnsi="宋体" w:eastAsia="宋体" w:cs="宋体"/>
                <w:b/>
                <w:bCs/>
                <w:color w:val="auto"/>
                <w:kern w:val="0"/>
                <w:sz w:val="24"/>
                <w:u w:val="single"/>
              </w:rPr>
              <w:t>保证金</w:t>
            </w:r>
            <w:r>
              <w:rPr>
                <w:rFonts w:hint="eastAsia" w:ascii="宋体" w:hAnsi="宋体" w:eastAsia="宋体" w:cs="宋体"/>
                <w:b/>
                <w:bCs/>
                <w:color w:val="auto"/>
                <w:kern w:val="0"/>
                <w:sz w:val="24"/>
              </w:rPr>
              <w:t>，以便核查</w:t>
            </w:r>
            <w:r>
              <w:rPr>
                <w:rFonts w:hint="eastAsia" w:ascii="宋体" w:hAnsi="宋体" w:eastAsia="宋体" w:cs="宋体"/>
                <w:b/>
                <w:bCs/>
                <w:color w:val="auto"/>
                <w:kern w:val="0"/>
                <w:sz w:val="24"/>
                <w:lang w:eastAsia="zh-CN"/>
              </w:rPr>
              <w:t>；供应商在递交响应文件时，资格审查环节未能出具磋商保证金收据原件及磋商响应文件中未附磋商保证金收据加盖公章的复印件的，则资格审查不合格，退回响应文件将不得进入后续评审。</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18" w:hRule="atLeast"/>
          <w:jc w:val="center"/>
        </w:trPr>
        <w:tc>
          <w:tcPr>
            <w:tcW w:w="703" w:type="dxa"/>
            <w:vAlign w:val="center"/>
          </w:tcPr>
          <w:p>
            <w:pPr>
              <w:pStyle w:val="22"/>
              <w:spacing w:line="360" w:lineRule="auto"/>
              <w:ind w:firstLine="0"/>
              <w:jc w:val="center"/>
              <w:rPr>
                <w:rFonts w:hint="default" w:ascii="宋体" w:hAnsi="宋体" w:cs="宋体"/>
                <w:color w:val="auto"/>
                <w:sz w:val="24"/>
                <w:szCs w:val="24"/>
                <w:lang w:val="en-US" w:eastAsia="zh-CN"/>
              </w:rPr>
            </w:pPr>
            <w:r>
              <w:rPr>
                <w:rFonts w:hint="eastAsia" w:ascii="宋体" w:hAnsi="宋体" w:cs="宋体"/>
                <w:color w:val="auto"/>
                <w:sz w:val="24"/>
                <w:szCs w:val="24"/>
                <w:lang w:val="en-US" w:eastAsia="zh-CN"/>
              </w:rPr>
              <w:t>21</w:t>
            </w:r>
          </w:p>
        </w:tc>
        <w:tc>
          <w:tcPr>
            <w:tcW w:w="1866" w:type="dxa"/>
            <w:vAlign w:val="center"/>
          </w:tcPr>
          <w:p>
            <w:pPr>
              <w:pStyle w:val="11"/>
              <w:spacing w:before="120" w:beforeLines="50" w:line="360" w:lineRule="auto"/>
              <w:ind w:right="115" w:rightChars="55" w:firstLine="0"/>
              <w:jc w:val="center"/>
              <w:rPr>
                <w:rFonts w:hint="eastAsia" w:ascii="宋体" w:hAnsi="宋体" w:eastAsia="宋体" w:cs="宋体"/>
                <w:color w:val="auto"/>
                <w:sz w:val="24"/>
                <w:szCs w:val="24"/>
              </w:rPr>
            </w:pPr>
            <w:r>
              <w:rPr>
                <w:rFonts w:hint="eastAsia" w:ascii="宋体" w:hAnsi="宋体" w:eastAsia="宋体" w:cs="宋体"/>
                <w:color w:val="auto"/>
                <w:sz w:val="24"/>
                <w:szCs w:val="24"/>
                <w:lang w:val="zh-CN"/>
              </w:rPr>
              <w:t>是否退还磋商响应文件</w:t>
            </w:r>
          </w:p>
        </w:tc>
        <w:tc>
          <w:tcPr>
            <w:tcW w:w="7023" w:type="dxa"/>
            <w:vAlign w:val="center"/>
          </w:tcPr>
          <w:p>
            <w:pPr>
              <w:pStyle w:val="11"/>
              <w:spacing w:before="120" w:beforeLines="50" w:line="360" w:lineRule="auto"/>
              <w:ind w:right="115" w:rightChars="55" w:firstLine="0"/>
              <w:rPr>
                <w:rFonts w:hint="eastAsia" w:ascii="宋体" w:hAnsi="宋体" w:eastAsia="宋体" w:cs="宋体"/>
                <w:color w:val="auto"/>
                <w:sz w:val="24"/>
                <w:szCs w:val="24"/>
                <w:lang w:eastAsia="zh-CN"/>
              </w:rPr>
            </w:pPr>
            <w:r>
              <w:rPr>
                <w:rFonts w:hint="eastAsia" w:ascii="宋体" w:hAnsi="宋体" w:cs="宋体"/>
                <w:color w:val="auto"/>
                <w:sz w:val="24"/>
                <w:szCs w:val="24"/>
                <w:lang w:eastAsia="zh-CN"/>
              </w:rPr>
              <w:t>不予退还</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355" w:hRule="atLeast"/>
          <w:jc w:val="center"/>
        </w:trPr>
        <w:tc>
          <w:tcPr>
            <w:tcW w:w="703" w:type="dxa"/>
            <w:vAlign w:val="center"/>
          </w:tcPr>
          <w:p>
            <w:pPr>
              <w:pStyle w:val="22"/>
              <w:spacing w:line="360" w:lineRule="auto"/>
              <w:ind w:firstLine="0"/>
              <w:jc w:val="center"/>
              <w:rPr>
                <w:rFonts w:hint="default" w:ascii="宋体" w:hAnsi="宋体" w:eastAsia="宋体" w:cs="宋体"/>
                <w:color w:val="auto"/>
                <w:sz w:val="24"/>
                <w:szCs w:val="24"/>
                <w:lang w:val="en-US" w:eastAsia="zh-CN"/>
              </w:rPr>
            </w:pPr>
            <w:r>
              <w:rPr>
                <w:rFonts w:hint="eastAsia" w:ascii="宋体" w:hAnsi="宋体" w:cs="宋体"/>
                <w:color w:val="auto"/>
                <w:sz w:val="24"/>
                <w:szCs w:val="24"/>
                <w:lang w:val="en-US" w:eastAsia="zh-CN"/>
              </w:rPr>
              <w:t>22</w:t>
            </w:r>
          </w:p>
        </w:tc>
        <w:tc>
          <w:tcPr>
            <w:tcW w:w="1866" w:type="dxa"/>
            <w:vAlign w:val="center"/>
          </w:tcPr>
          <w:p>
            <w:pPr>
              <w:pStyle w:val="11"/>
              <w:spacing w:before="120" w:beforeLines="50" w:line="360" w:lineRule="auto"/>
              <w:ind w:right="115" w:rightChars="55" w:firstLine="0"/>
              <w:jc w:val="center"/>
              <w:rPr>
                <w:rFonts w:hint="eastAsia" w:ascii="宋体" w:hAnsi="宋体" w:eastAsia="宋体" w:cs="宋体"/>
                <w:color w:val="auto"/>
                <w:sz w:val="24"/>
                <w:szCs w:val="24"/>
              </w:rPr>
            </w:pPr>
            <w:r>
              <w:rPr>
                <w:rFonts w:hint="eastAsia" w:ascii="宋体" w:hAnsi="宋体" w:eastAsia="宋体" w:cs="宋体"/>
                <w:color w:val="auto"/>
                <w:sz w:val="24"/>
                <w:szCs w:val="24"/>
              </w:rPr>
              <w:t>磋商小组</w:t>
            </w:r>
          </w:p>
        </w:tc>
        <w:tc>
          <w:tcPr>
            <w:tcW w:w="7023" w:type="dxa"/>
            <w:vAlign w:val="center"/>
          </w:tcPr>
          <w:p>
            <w:pPr>
              <w:pStyle w:val="11"/>
              <w:spacing w:before="120" w:beforeLines="50" w:line="360" w:lineRule="auto"/>
              <w:ind w:right="115" w:rightChars="55" w:firstLine="0"/>
              <w:rPr>
                <w:rFonts w:hint="eastAsia" w:ascii="宋体" w:hAnsi="宋体" w:eastAsia="宋体" w:cs="宋体"/>
                <w:color w:val="auto"/>
                <w:sz w:val="24"/>
                <w:szCs w:val="24"/>
              </w:rPr>
            </w:pPr>
            <w:r>
              <w:rPr>
                <w:rFonts w:hint="eastAsia" w:ascii="宋体" w:hAnsi="宋体" w:eastAsia="宋体" w:cs="宋体"/>
                <w:color w:val="auto"/>
                <w:sz w:val="24"/>
                <w:szCs w:val="24"/>
              </w:rPr>
              <w:t>根据《中华人民共和国政府采购法》及其实施条例、《政府采购竞争性磋商采购方式管理暂行办法》的通知（财库【2014】号）等规定，依法组建磋商小组。</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023" w:hRule="atLeast"/>
          <w:jc w:val="center"/>
        </w:trPr>
        <w:tc>
          <w:tcPr>
            <w:tcW w:w="703" w:type="dxa"/>
            <w:vAlign w:val="center"/>
          </w:tcPr>
          <w:p>
            <w:pPr>
              <w:pStyle w:val="22"/>
              <w:spacing w:line="360" w:lineRule="auto"/>
              <w:ind w:firstLine="0"/>
              <w:jc w:val="center"/>
              <w:rPr>
                <w:rFonts w:hint="default" w:ascii="宋体" w:hAnsi="宋体" w:eastAsia="宋体" w:cs="宋体"/>
                <w:color w:val="auto"/>
                <w:sz w:val="24"/>
                <w:szCs w:val="24"/>
                <w:lang w:val="en-US" w:eastAsia="zh-CN"/>
              </w:rPr>
            </w:pPr>
            <w:r>
              <w:rPr>
                <w:rFonts w:hint="eastAsia" w:ascii="宋体" w:hAnsi="宋体" w:cs="宋体"/>
                <w:color w:val="auto"/>
                <w:sz w:val="24"/>
                <w:szCs w:val="24"/>
                <w:lang w:val="en-US" w:eastAsia="zh-CN"/>
              </w:rPr>
              <w:t>23</w:t>
            </w:r>
          </w:p>
        </w:tc>
        <w:tc>
          <w:tcPr>
            <w:tcW w:w="1866" w:type="dxa"/>
            <w:vAlign w:val="center"/>
          </w:tcPr>
          <w:p>
            <w:pPr>
              <w:pStyle w:val="11"/>
              <w:spacing w:before="120" w:beforeLines="50" w:line="360" w:lineRule="auto"/>
              <w:ind w:right="115" w:rightChars="55" w:firstLine="0"/>
              <w:jc w:val="center"/>
              <w:rPr>
                <w:rFonts w:hint="eastAsia" w:ascii="宋体" w:hAnsi="宋体" w:eastAsia="宋体" w:cs="宋体"/>
                <w:color w:val="auto"/>
                <w:sz w:val="24"/>
                <w:szCs w:val="24"/>
              </w:rPr>
            </w:pPr>
            <w:r>
              <w:rPr>
                <w:rFonts w:hint="eastAsia" w:ascii="宋体" w:hAnsi="宋体" w:eastAsia="宋体" w:cs="宋体"/>
                <w:color w:val="auto"/>
                <w:sz w:val="24"/>
                <w:szCs w:val="24"/>
              </w:rPr>
              <w:t>履约保证金</w:t>
            </w:r>
          </w:p>
        </w:tc>
        <w:tc>
          <w:tcPr>
            <w:tcW w:w="7023" w:type="dxa"/>
            <w:vAlign w:val="center"/>
          </w:tcPr>
          <w:p>
            <w:pPr>
              <w:pStyle w:val="11"/>
              <w:spacing w:before="120" w:beforeLines="50" w:line="360" w:lineRule="auto"/>
              <w:ind w:right="115" w:rightChars="55" w:firstLine="0"/>
              <w:rPr>
                <w:rFonts w:hint="eastAsia" w:ascii="宋体" w:hAnsi="宋体" w:eastAsia="宋体" w:cs="宋体"/>
                <w:color w:val="auto"/>
                <w:sz w:val="24"/>
                <w:szCs w:val="24"/>
              </w:rPr>
            </w:pPr>
            <w:r>
              <w:rPr>
                <w:rFonts w:hint="eastAsia" w:ascii="宋体" w:hAnsi="宋体" w:eastAsia="宋体" w:cs="宋体"/>
                <w:color w:val="auto"/>
                <w:sz w:val="24"/>
                <w:szCs w:val="24"/>
              </w:rPr>
              <w:t>履约保证金形式：银行转账、银行保函或现金、支票等。</w:t>
            </w:r>
          </w:p>
          <w:p>
            <w:pPr>
              <w:pStyle w:val="11"/>
              <w:spacing w:before="120" w:beforeLines="50" w:line="360" w:lineRule="auto"/>
              <w:ind w:right="115" w:rightChars="55" w:firstLine="0"/>
              <w:rPr>
                <w:rFonts w:hint="eastAsia" w:ascii="宋体" w:hAnsi="宋体" w:eastAsia="宋体" w:cs="宋体"/>
                <w:color w:val="auto"/>
                <w:sz w:val="24"/>
                <w:szCs w:val="24"/>
              </w:rPr>
            </w:pPr>
            <w:r>
              <w:rPr>
                <w:rFonts w:hint="eastAsia" w:ascii="宋体" w:hAnsi="宋体" w:eastAsia="宋体" w:cs="宋体"/>
                <w:color w:val="auto"/>
                <w:sz w:val="24"/>
                <w:szCs w:val="24"/>
              </w:rPr>
              <w:t>履约保证金金额：</w:t>
            </w:r>
            <w:r>
              <w:rPr>
                <w:rFonts w:hint="eastAsia" w:ascii="宋体" w:hAnsi="宋体" w:eastAsia="宋体" w:cs="宋体"/>
                <w:color w:val="auto"/>
                <w:sz w:val="24"/>
                <w:szCs w:val="24"/>
                <w:lang w:eastAsia="zh-CN"/>
              </w:rPr>
              <w:t>双方合同约定</w:t>
            </w:r>
            <w:r>
              <w:rPr>
                <w:rFonts w:hint="eastAsia" w:ascii="宋体" w:hAnsi="宋体" w:eastAsia="宋体" w:cs="宋体"/>
                <w:color w:val="auto"/>
                <w:sz w:val="24"/>
                <w:szCs w:val="24"/>
              </w:rPr>
              <w:t>。</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77" w:hRule="atLeast"/>
          <w:jc w:val="center"/>
        </w:trPr>
        <w:tc>
          <w:tcPr>
            <w:tcW w:w="703" w:type="dxa"/>
            <w:vAlign w:val="center"/>
          </w:tcPr>
          <w:p>
            <w:pPr>
              <w:pStyle w:val="22"/>
              <w:spacing w:line="360" w:lineRule="auto"/>
              <w:ind w:firstLine="0"/>
              <w:jc w:val="center"/>
              <w:rPr>
                <w:rFonts w:hint="default" w:ascii="宋体" w:hAnsi="宋体" w:cs="宋体"/>
                <w:color w:val="auto"/>
                <w:sz w:val="24"/>
                <w:szCs w:val="24"/>
                <w:lang w:val="en-US" w:eastAsia="zh-CN"/>
              </w:rPr>
            </w:pPr>
            <w:r>
              <w:rPr>
                <w:rFonts w:hint="eastAsia" w:ascii="宋体" w:hAnsi="宋体" w:cs="宋体"/>
                <w:color w:val="auto"/>
                <w:sz w:val="24"/>
                <w:szCs w:val="24"/>
                <w:lang w:val="en-US" w:eastAsia="zh-CN"/>
              </w:rPr>
              <w:t>24</w:t>
            </w:r>
          </w:p>
        </w:tc>
        <w:tc>
          <w:tcPr>
            <w:tcW w:w="1866" w:type="dxa"/>
            <w:vAlign w:val="center"/>
          </w:tcPr>
          <w:p>
            <w:pPr>
              <w:pStyle w:val="11"/>
              <w:spacing w:before="120" w:beforeLines="50" w:line="360" w:lineRule="auto"/>
              <w:ind w:right="115" w:rightChars="55" w:firstLine="0"/>
              <w:jc w:val="center"/>
              <w:rPr>
                <w:rFonts w:hint="eastAsia" w:ascii="宋体" w:hAnsi="宋体" w:eastAsia="宋体" w:cs="宋体"/>
                <w:color w:val="auto"/>
                <w:sz w:val="24"/>
                <w:szCs w:val="24"/>
                <w:lang w:eastAsia="zh-CN"/>
              </w:rPr>
            </w:pPr>
            <w:r>
              <w:rPr>
                <w:rFonts w:hint="eastAsia" w:ascii="宋体" w:hAnsi="宋体" w:cs="宋体"/>
                <w:color w:val="auto"/>
                <w:sz w:val="24"/>
                <w:szCs w:val="24"/>
                <w:lang w:eastAsia="zh-CN"/>
              </w:rPr>
              <w:t>采购代理服务费</w:t>
            </w:r>
          </w:p>
        </w:tc>
        <w:tc>
          <w:tcPr>
            <w:tcW w:w="7023" w:type="dxa"/>
            <w:vAlign w:val="center"/>
          </w:tcPr>
          <w:p>
            <w:pPr>
              <w:pStyle w:val="11"/>
              <w:spacing w:before="120" w:beforeLines="50" w:line="360" w:lineRule="auto"/>
              <w:ind w:right="115" w:rightChars="55" w:firstLine="0"/>
              <w:rPr>
                <w:rFonts w:hint="eastAsia" w:ascii="宋体" w:hAnsi="宋体" w:eastAsia="宋体" w:cs="宋体"/>
                <w:color w:val="auto"/>
                <w:sz w:val="24"/>
                <w:szCs w:val="24"/>
              </w:rPr>
            </w:pPr>
            <w:r>
              <w:rPr>
                <w:rFonts w:hint="eastAsia" w:ascii="宋体" w:hAnsi="宋体" w:eastAsia="宋体" w:cs="宋体"/>
                <w:color w:val="auto"/>
                <w:sz w:val="24"/>
                <w:szCs w:val="24"/>
              </w:rPr>
              <w:t>收取参照国家计委颁布的《招标代理服务收费管理暂行办法》(计价格[2002]1980号)和国家发展改革委员会办公厅颁发的《关于招标代理服务收费有关问题的通知》(发改办价格[2003]857号)的有关规定执行。</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137" w:hRule="atLeast"/>
          <w:jc w:val="center"/>
        </w:trPr>
        <w:tc>
          <w:tcPr>
            <w:tcW w:w="703" w:type="dxa"/>
            <w:vAlign w:val="center"/>
          </w:tcPr>
          <w:p>
            <w:pPr>
              <w:pStyle w:val="22"/>
              <w:spacing w:line="360" w:lineRule="auto"/>
              <w:ind w:firstLine="0"/>
              <w:jc w:val="center"/>
              <w:rPr>
                <w:rFonts w:hint="default" w:ascii="宋体" w:hAnsi="宋体" w:eastAsia="宋体" w:cs="宋体"/>
                <w:color w:val="auto"/>
                <w:sz w:val="24"/>
                <w:szCs w:val="24"/>
                <w:lang w:val="en-US" w:eastAsia="zh-CN"/>
              </w:rPr>
            </w:pPr>
            <w:r>
              <w:rPr>
                <w:rFonts w:hint="eastAsia" w:ascii="宋体" w:hAnsi="宋体" w:cs="宋体"/>
                <w:color w:val="auto"/>
                <w:sz w:val="24"/>
                <w:szCs w:val="24"/>
                <w:lang w:val="en-US" w:eastAsia="zh-CN"/>
              </w:rPr>
              <w:t>25</w:t>
            </w:r>
          </w:p>
        </w:tc>
        <w:tc>
          <w:tcPr>
            <w:tcW w:w="1866" w:type="dxa"/>
            <w:vAlign w:val="center"/>
          </w:tcPr>
          <w:p>
            <w:pPr>
              <w:pStyle w:val="11"/>
              <w:spacing w:before="120" w:beforeLines="50" w:line="360" w:lineRule="auto"/>
              <w:ind w:right="115" w:rightChars="55" w:firstLine="0"/>
              <w:jc w:val="center"/>
              <w:rPr>
                <w:rFonts w:hint="eastAsia" w:ascii="宋体" w:hAnsi="宋体" w:eastAsia="宋体" w:cs="宋体"/>
                <w:color w:val="auto"/>
                <w:sz w:val="24"/>
                <w:szCs w:val="24"/>
              </w:rPr>
            </w:pPr>
            <w:r>
              <w:rPr>
                <w:rFonts w:hint="eastAsia" w:ascii="宋体" w:hAnsi="宋体" w:eastAsia="宋体" w:cs="宋体"/>
                <w:color w:val="auto"/>
                <w:sz w:val="24"/>
                <w:szCs w:val="24"/>
                <w:lang w:eastAsia="zh-CN"/>
              </w:rPr>
              <w:t>特别说明</w:t>
            </w:r>
          </w:p>
        </w:tc>
        <w:tc>
          <w:tcPr>
            <w:tcW w:w="7023" w:type="dxa"/>
            <w:vAlign w:val="center"/>
          </w:tcPr>
          <w:p>
            <w:pPr>
              <w:pStyle w:val="11"/>
              <w:spacing w:before="120" w:beforeLines="50" w:line="360" w:lineRule="auto"/>
              <w:ind w:right="115" w:rightChars="55" w:firstLine="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依据陕西省财政厅《陕西省财政厅关于政府采购供应商注册登记有关事项的通知》：所有供应商须在开标前通过陕西省政府采购网（http://www.ccgp-shaanxi.gov.cn/）注册登记加入陕西省政府采购供应商库。供应商填报信息并提交后，供应商的基本信息将通过陕西省政府采购网进行公示，公示期为5个工作日。公示期内无异议的，公示期满后自动加入供应商库。入库供应商信息由各供应商进行日常维护，相关信息发生变更的，应及时进行更新和完善，以确保供应商库中的相关信息全面、真实、准确和有效。各供应商对其注册登记信息和所提供资料的真实性、合法性、有效性负责，并承担相应的法律责任。</w:t>
            </w:r>
          </w:p>
          <w:p>
            <w:pPr>
              <w:pStyle w:val="11"/>
              <w:spacing w:before="120" w:beforeLines="50" w:line="360" w:lineRule="auto"/>
              <w:ind w:right="115" w:rightChars="55" w:firstLine="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供应商注册登记咨询电话：029-96702-787611761。</w:t>
            </w:r>
          </w:p>
          <w:p>
            <w:pPr>
              <w:pStyle w:val="11"/>
              <w:spacing w:before="120" w:beforeLines="50" w:line="360" w:lineRule="auto"/>
              <w:ind w:right="115" w:rightChars="55" w:firstLine="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如因供应商未及时加入陕西省政府采购供应商库而导致成交公告无法发布的，由其供应商承担相关责任。</w:t>
            </w:r>
          </w:p>
        </w:tc>
      </w:tr>
    </w:tbl>
    <w:p>
      <w:pPr>
        <w:pStyle w:val="13"/>
        <w:rPr>
          <w:rFonts w:hint="eastAsia" w:ascii="宋体" w:hAnsi="宋体" w:eastAsia="宋体" w:cs="宋体"/>
          <w:b/>
          <w:color w:val="0000FF"/>
          <w:sz w:val="24"/>
        </w:rPr>
      </w:pPr>
      <w:r>
        <w:rPr>
          <w:rFonts w:hint="eastAsia" w:ascii="宋体" w:hAnsi="宋体" w:eastAsia="宋体" w:cs="宋体"/>
          <w:b/>
          <w:color w:val="auto"/>
          <w:sz w:val="24"/>
        </w:rPr>
        <w:br w:type="page"/>
      </w:r>
      <w:r>
        <w:rPr>
          <w:rFonts w:hint="eastAsia" w:ascii="宋体" w:hAnsi="宋体" w:eastAsia="宋体" w:cs="宋体"/>
          <w:b/>
          <w:color w:val="auto"/>
          <w:sz w:val="24"/>
        </w:rPr>
        <w:t>一、总则</w:t>
      </w:r>
    </w:p>
    <w:p>
      <w:pPr>
        <w:kinsoku w:val="0"/>
        <w:spacing w:line="360" w:lineRule="auto"/>
        <w:rPr>
          <w:rFonts w:hint="eastAsia" w:ascii="宋体" w:hAnsi="宋体" w:eastAsia="宋体" w:cs="宋体"/>
          <w:b/>
          <w:color w:val="auto"/>
          <w:sz w:val="24"/>
        </w:rPr>
      </w:pPr>
      <w:r>
        <w:rPr>
          <w:rFonts w:hint="eastAsia" w:ascii="宋体" w:hAnsi="宋体" w:eastAsia="宋体" w:cs="宋体"/>
          <w:b/>
          <w:color w:val="auto"/>
          <w:sz w:val="24"/>
        </w:rPr>
        <w:t>1、释义</w:t>
      </w:r>
    </w:p>
    <w:p>
      <w:pPr>
        <w:kinsoku w:val="0"/>
        <w:spacing w:line="360" w:lineRule="auto"/>
        <w:ind w:firstLine="480" w:firstLineChars="200"/>
        <w:rPr>
          <w:rFonts w:hint="default" w:ascii="宋体" w:hAnsi="宋体" w:eastAsia="宋体" w:cs="宋体"/>
          <w:color w:val="auto"/>
          <w:sz w:val="24"/>
          <w:lang w:val="en-US" w:eastAsia="zh-CN"/>
        </w:rPr>
      </w:pPr>
      <w:r>
        <w:rPr>
          <w:rFonts w:hint="eastAsia" w:ascii="宋体" w:hAnsi="宋体" w:cs="宋体"/>
          <w:color w:val="auto"/>
          <w:sz w:val="24"/>
          <w:lang w:val="en-US" w:eastAsia="zh-CN"/>
        </w:rPr>
        <w:t>1.1、根据《中华人民共和国政府采购法》及实施条例和关于印发《政府采购竞争性磋商采购方式管理暂行办法》的通知(财库【2014】214号)的规定，本项目已具备磋商条件，现对本项目施工进行竞争性磋商。</w:t>
      </w:r>
    </w:p>
    <w:p>
      <w:pPr>
        <w:kinsoku w:val="0"/>
        <w:spacing w:line="360" w:lineRule="auto"/>
        <w:ind w:firstLine="480" w:firstLineChars="200"/>
        <w:rPr>
          <w:rFonts w:hint="eastAsia" w:ascii="宋体" w:hAnsi="宋体" w:cs="宋体"/>
          <w:color w:val="auto"/>
          <w:sz w:val="24"/>
          <w:lang w:eastAsia="zh-CN"/>
        </w:rPr>
      </w:pPr>
      <w:r>
        <w:rPr>
          <w:rFonts w:hint="eastAsia" w:ascii="宋体" w:hAnsi="宋体" w:eastAsia="宋体" w:cs="宋体"/>
          <w:color w:val="auto"/>
          <w:sz w:val="24"/>
        </w:rPr>
        <w:t>1.</w:t>
      </w:r>
      <w:r>
        <w:rPr>
          <w:rFonts w:hint="eastAsia" w:ascii="宋体" w:hAnsi="宋体" w:cs="宋体"/>
          <w:color w:val="auto"/>
          <w:sz w:val="24"/>
          <w:lang w:val="en-US" w:eastAsia="zh-CN"/>
        </w:rPr>
        <w:t>2</w:t>
      </w:r>
      <w:r>
        <w:rPr>
          <w:rFonts w:hint="eastAsia" w:ascii="宋体" w:hAnsi="宋体" w:eastAsia="宋体" w:cs="宋体"/>
          <w:color w:val="auto"/>
          <w:sz w:val="24"/>
        </w:rPr>
        <w:t>、采购人：</w:t>
      </w:r>
      <w:r>
        <w:rPr>
          <w:rFonts w:hint="eastAsia" w:ascii="宋体" w:hAnsi="宋体" w:cs="宋体"/>
          <w:color w:val="auto"/>
          <w:sz w:val="24"/>
          <w:lang w:eastAsia="zh-CN"/>
        </w:rPr>
        <w:t>汉中市南郑区汉山街道办事处</w:t>
      </w:r>
    </w:p>
    <w:p>
      <w:pPr>
        <w:kinsoku w:val="0"/>
        <w:spacing w:line="360" w:lineRule="auto"/>
        <w:ind w:firstLine="480" w:firstLineChars="200"/>
        <w:rPr>
          <w:rFonts w:hint="eastAsia" w:ascii="宋体" w:hAnsi="宋体" w:eastAsia="宋体" w:cs="宋体"/>
          <w:color w:val="auto"/>
          <w:sz w:val="24"/>
          <w:lang w:eastAsia="zh-CN"/>
        </w:rPr>
      </w:pPr>
      <w:r>
        <w:rPr>
          <w:rFonts w:hint="eastAsia" w:ascii="宋体" w:hAnsi="宋体" w:eastAsia="宋体" w:cs="宋体"/>
          <w:color w:val="auto"/>
          <w:sz w:val="24"/>
        </w:rPr>
        <w:t>1.</w:t>
      </w:r>
      <w:r>
        <w:rPr>
          <w:rFonts w:hint="eastAsia" w:ascii="宋体" w:hAnsi="宋体" w:cs="宋体"/>
          <w:color w:val="auto"/>
          <w:sz w:val="24"/>
          <w:lang w:val="en-US" w:eastAsia="zh-CN"/>
        </w:rPr>
        <w:t>3</w:t>
      </w:r>
      <w:r>
        <w:rPr>
          <w:rFonts w:hint="eastAsia" w:ascii="宋体" w:hAnsi="宋体" w:eastAsia="宋体" w:cs="宋体"/>
          <w:color w:val="auto"/>
          <w:sz w:val="24"/>
        </w:rPr>
        <w:t>、采购代理机构：</w:t>
      </w:r>
      <w:r>
        <w:rPr>
          <w:rFonts w:hint="eastAsia" w:ascii="宋体" w:hAnsi="宋体" w:eastAsia="宋体" w:cs="宋体"/>
          <w:color w:val="auto"/>
          <w:sz w:val="24"/>
          <w:lang w:eastAsia="zh-CN"/>
        </w:rPr>
        <w:t>陕西华兴工程咨询有限公司</w:t>
      </w:r>
    </w:p>
    <w:p>
      <w:pPr>
        <w:tabs>
          <w:tab w:val="left" w:pos="980"/>
        </w:tabs>
        <w:kinsoku w:val="0"/>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1.</w:t>
      </w:r>
      <w:r>
        <w:rPr>
          <w:rFonts w:hint="eastAsia" w:ascii="宋体" w:hAnsi="宋体" w:cs="宋体"/>
          <w:color w:val="auto"/>
          <w:sz w:val="24"/>
          <w:lang w:val="en-US" w:eastAsia="zh-CN"/>
        </w:rPr>
        <w:t>4</w:t>
      </w:r>
      <w:r>
        <w:rPr>
          <w:rFonts w:hint="eastAsia" w:ascii="宋体" w:hAnsi="宋体" w:eastAsia="宋体" w:cs="宋体"/>
          <w:color w:val="auto"/>
          <w:sz w:val="24"/>
        </w:rPr>
        <w:t>、监督管理部门：</w:t>
      </w:r>
      <w:r>
        <w:rPr>
          <w:rFonts w:hint="eastAsia" w:ascii="宋体" w:hAnsi="宋体" w:eastAsia="宋体" w:cs="宋体"/>
          <w:color w:val="auto"/>
          <w:sz w:val="24"/>
          <w:lang w:eastAsia="zh-CN"/>
        </w:rPr>
        <w:t>汉中市南郑区财政局</w:t>
      </w:r>
    </w:p>
    <w:p>
      <w:pPr>
        <w:tabs>
          <w:tab w:val="left" w:pos="980"/>
        </w:tabs>
        <w:kinsoku w:val="0"/>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1.</w:t>
      </w:r>
      <w:r>
        <w:rPr>
          <w:rFonts w:hint="eastAsia" w:ascii="宋体" w:hAnsi="宋体" w:cs="宋体"/>
          <w:color w:val="auto"/>
          <w:sz w:val="24"/>
          <w:lang w:val="en-US" w:eastAsia="zh-CN"/>
        </w:rPr>
        <w:t>5</w:t>
      </w:r>
      <w:r>
        <w:rPr>
          <w:rFonts w:hint="eastAsia" w:ascii="宋体" w:hAnsi="宋体" w:eastAsia="宋体" w:cs="宋体"/>
          <w:color w:val="auto"/>
          <w:sz w:val="24"/>
        </w:rPr>
        <w:t>、标书：磋商文件与响应文件的统称，竞争性磋商文件编制依据为《中华人民共和国政府采购法》、《中华人民共和国政府采购法实施条例》（第658号）、《政府采购货物和服务招标投标管理办法》（财政部令第87号）等相关的文件。</w:t>
      </w:r>
    </w:p>
    <w:p>
      <w:pPr>
        <w:tabs>
          <w:tab w:val="left" w:pos="980"/>
        </w:tabs>
        <w:kinsoku w:val="0"/>
        <w:spacing w:line="360" w:lineRule="auto"/>
        <w:ind w:firstLine="480" w:firstLineChars="200"/>
        <w:rPr>
          <w:rFonts w:hint="eastAsia" w:ascii="宋体" w:hAnsi="宋体" w:cs="宋体"/>
          <w:color w:val="auto"/>
          <w:sz w:val="24"/>
          <w:lang w:eastAsia="zh-CN"/>
        </w:rPr>
      </w:pPr>
      <w:r>
        <w:rPr>
          <w:rFonts w:hint="eastAsia" w:ascii="宋体" w:hAnsi="宋体" w:eastAsia="宋体" w:cs="宋体"/>
          <w:color w:val="auto"/>
          <w:sz w:val="24"/>
        </w:rPr>
        <w:t>1.</w:t>
      </w:r>
      <w:r>
        <w:rPr>
          <w:rFonts w:hint="eastAsia" w:ascii="宋体" w:hAnsi="宋体" w:cs="宋体"/>
          <w:color w:val="auto"/>
          <w:sz w:val="24"/>
          <w:lang w:val="en-US" w:eastAsia="zh-CN"/>
        </w:rPr>
        <w:t>6</w:t>
      </w:r>
      <w:r>
        <w:rPr>
          <w:rFonts w:hint="eastAsia" w:ascii="宋体" w:hAnsi="宋体" w:eastAsia="宋体" w:cs="宋体"/>
          <w:color w:val="auto"/>
          <w:sz w:val="24"/>
        </w:rPr>
        <w:t>、供应商：符合《中华人民共和国政府采购法》第二十二条及《中华人民共和国国务院令（第658号）》第十七条规定的条件，且从采购代理机构购买竞争性磋商文件，并自愿参加</w:t>
      </w:r>
      <w:r>
        <w:rPr>
          <w:rFonts w:hint="eastAsia" w:ascii="宋体" w:hAnsi="宋体" w:eastAsia="宋体" w:cs="宋体"/>
          <w:color w:val="auto"/>
          <w:sz w:val="24"/>
          <w:lang w:eastAsia="zh-CN"/>
        </w:rPr>
        <w:t>磋商</w:t>
      </w:r>
      <w:r>
        <w:rPr>
          <w:rFonts w:hint="eastAsia" w:ascii="宋体" w:hAnsi="宋体" w:eastAsia="宋体" w:cs="宋体"/>
          <w:color w:val="auto"/>
          <w:sz w:val="24"/>
        </w:rPr>
        <w:t>活动的供应商</w:t>
      </w:r>
      <w:r>
        <w:rPr>
          <w:rFonts w:hint="eastAsia" w:ascii="宋体" w:hAnsi="宋体" w:cs="宋体"/>
          <w:color w:val="auto"/>
          <w:sz w:val="24"/>
          <w:lang w:eastAsia="zh-CN"/>
        </w:rPr>
        <w:t>；</w:t>
      </w:r>
    </w:p>
    <w:p>
      <w:pPr>
        <w:tabs>
          <w:tab w:val="left" w:pos="980"/>
        </w:tabs>
        <w:kinsoku w:val="0"/>
        <w:spacing w:line="360" w:lineRule="auto"/>
        <w:ind w:firstLine="480" w:firstLineChars="200"/>
        <w:rPr>
          <w:rFonts w:hint="eastAsia" w:ascii="宋体" w:hAnsi="宋体" w:cs="宋体"/>
          <w:color w:val="auto"/>
          <w:sz w:val="24"/>
          <w:lang w:val="en-US" w:eastAsia="zh-CN"/>
        </w:rPr>
      </w:pPr>
      <w:r>
        <w:rPr>
          <w:rFonts w:hint="eastAsia" w:ascii="宋体" w:hAnsi="宋体" w:cs="宋体"/>
          <w:color w:val="auto"/>
          <w:sz w:val="24"/>
          <w:lang w:val="en-US" w:eastAsia="zh-CN"/>
        </w:rPr>
        <w:t>1.7、本磋商项目的资金来源：见供应商须知前附表；</w:t>
      </w:r>
    </w:p>
    <w:p>
      <w:pPr>
        <w:tabs>
          <w:tab w:val="left" w:pos="980"/>
        </w:tabs>
        <w:kinsoku w:val="0"/>
        <w:spacing w:line="360" w:lineRule="auto"/>
        <w:ind w:firstLine="480" w:firstLineChars="200"/>
        <w:rPr>
          <w:rFonts w:hint="eastAsia" w:ascii="宋体" w:hAnsi="宋体" w:cs="宋体"/>
          <w:color w:val="auto"/>
          <w:sz w:val="24"/>
          <w:lang w:val="en-US" w:eastAsia="zh-CN"/>
        </w:rPr>
      </w:pPr>
      <w:r>
        <w:rPr>
          <w:rFonts w:hint="eastAsia" w:ascii="宋体" w:hAnsi="宋体" w:cs="宋体"/>
          <w:color w:val="auto"/>
          <w:sz w:val="24"/>
          <w:lang w:val="en-US" w:eastAsia="zh-CN"/>
        </w:rPr>
        <w:t>1.8、本磋商项目的资金落实情况：见供应商须知前附表；</w:t>
      </w:r>
    </w:p>
    <w:p>
      <w:pPr>
        <w:tabs>
          <w:tab w:val="left" w:pos="980"/>
        </w:tabs>
        <w:kinsoku w:val="0"/>
        <w:spacing w:line="360" w:lineRule="auto"/>
        <w:ind w:firstLine="480" w:firstLineChars="200"/>
        <w:rPr>
          <w:rFonts w:hint="eastAsia" w:ascii="宋体" w:hAnsi="宋体" w:cs="宋体"/>
          <w:color w:val="auto"/>
          <w:sz w:val="24"/>
          <w:lang w:val="en-US" w:eastAsia="zh-CN"/>
        </w:rPr>
      </w:pPr>
      <w:r>
        <w:rPr>
          <w:rFonts w:hint="eastAsia" w:ascii="宋体" w:hAnsi="宋体" w:cs="宋体"/>
          <w:color w:val="auto"/>
          <w:sz w:val="24"/>
          <w:lang w:val="en-US" w:eastAsia="zh-CN"/>
        </w:rPr>
        <w:t>1.9、本次磋商范围：见供应商须知前附表；</w:t>
      </w:r>
    </w:p>
    <w:p>
      <w:pPr>
        <w:tabs>
          <w:tab w:val="left" w:pos="980"/>
        </w:tabs>
        <w:kinsoku w:val="0"/>
        <w:spacing w:line="360" w:lineRule="auto"/>
        <w:ind w:firstLine="480" w:firstLineChars="200"/>
        <w:rPr>
          <w:rFonts w:hint="eastAsia" w:ascii="宋体" w:hAnsi="宋体" w:cs="宋体"/>
          <w:color w:val="auto"/>
          <w:sz w:val="24"/>
          <w:lang w:val="en-US" w:eastAsia="zh-CN"/>
        </w:rPr>
      </w:pPr>
      <w:r>
        <w:rPr>
          <w:rFonts w:hint="eastAsia" w:ascii="宋体" w:hAnsi="宋体" w:cs="宋体"/>
          <w:color w:val="auto"/>
          <w:sz w:val="24"/>
          <w:lang w:val="en-US" w:eastAsia="zh-CN"/>
        </w:rPr>
        <w:t>1.10、本标段的计划工期：见供应商须知前附表；</w:t>
      </w:r>
    </w:p>
    <w:p>
      <w:pPr>
        <w:tabs>
          <w:tab w:val="left" w:pos="980"/>
        </w:tabs>
        <w:kinsoku w:val="0"/>
        <w:spacing w:line="360" w:lineRule="auto"/>
        <w:ind w:firstLine="480" w:firstLineChars="200"/>
        <w:rPr>
          <w:rFonts w:hint="default" w:ascii="宋体" w:hAnsi="宋体" w:eastAsia="宋体" w:cs="宋体"/>
          <w:color w:val="auto"/>
          <w:sz w:val="24"/>
          <w:lang w:val="en-US" w:eastAsia="zh-CN"/>
        </w:rPr>
      </w:pPr>
      <w:r>
        <w:rPr>
          <w:rFonts w:hint="eastAsia" w:ascii="宋体" w:hAnsi="宋体" w:cs="宋体"/>
          <w:color w:val="auto"/>
          <w:sz w:val="24"/>
          <w:lang w:val="en-US" w:eastAsia="zh-CN"/>
        </w:rPr>
        <w:t>1.11、本标段的质量要求：见供应商须知前附表。</w:t>
      </w:r>
    </w:p>
    <w:p>
      <w:pPr>
        <w:tabs>
          <w:tab w:val="left" w:pos="980"/>
        </w:tabs>
        <w:kinsoku w:val="0"/>
        <w:spacing w:line="360" w:lineRule="auto"/>
        <w:rPr>
          <w:rFonts w:hint="eastAsia" w:ascii="宋体" w:hAnsi="宋体" w:eastAsia="宋体" w:cs="宋体"/>
          <w:b/>
          <w:color w:val="auto"/>
          <w:sz w:val="24"/>
        </w:rPr>
      </w:pPr>
      <w:r>
        <w:rPr>
          <w:rFonts w:hint="eastAsia" w:ascii="宋体" w:hAnsi="宋体" w:eastAsia="宋体" w:cs="宋体"/>
          <w:b/>
          <w:color w:val="auto"/>
          <w:sz w:val="24"/>
        </w:rPr>
        <w:t>2、供应商</w:t>
      </w:r>
    </w:p>
    <w:p>
      <w:pPr>
        <w:tabs>
          <w:tab w:val="left" w:pos="7665"/>
        </w:tabs>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2.1、合格的供应商应具备以下条件：</w:t>
      </w:r>
    </w:p>
    <w:p>
      <w:pPr>
        <w:tabs>
          <w:tab w:val="left" w:pos="7665"/>
        </w:tabs>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2.1.1、具备且满足《竞争性磋商公告》要求的；</w:t>
      </w:r>
    </w:p>
    <w:p>
      <w:pPr>
        <w:tabs>
          <w:tab w:val="left" w:pos="7665"/>
        </w:tabs>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2.1.2、向采购代理机构购买了竞争性磋商文件并登记备案的；</w:t>
      </w:r>
    </w:p>
    <w:p>
      <w:pPr>
        <w:tabs>
          <w:tab w:val="left" w:pos="7665"/>
        </w:tabs>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2.1.3、一个供应商只能提交一个</w:t>
      </w:r>
      <w:r>
        <w:rPr>
          <w:rFonts w:hint="eastAsia" w:ascii="宋体" w:hAnsi="宋体" w:eastAsia="宋体" w:cs="宋体"/>
          <w:color w:val="auto"/>
          <w:sz w:val="24"/>
          <w:lang w:eastAsia="zh-CN"/>
        </w:rPr>
        <w:t>磋商</w:t>
      </w:r>
      <w:r>
        <w:rPr>
          <w:rFonts w:hint="eastAsia" w:ascii="宋体" w:hAnsi="宋体" w:eastAsia="宋体" w:cs="宋体"/>
          <w:color w:val="auto"/>
          <w:sz w:val="24"/>
        </w:rPr>
        <w:t>响应文件，法定代表人为同一人的两个及两个以上法人，不得同时参加本项目</w:t>
      </w:r>
      <w:r>
        <w:rPr>
          <w:rFonts w:hint="eastAsia" w:ascii="宋体" w:hAnsi="宋体" w:eastAsia="宋体" w:cs="宋体"/>
          <w:color w:val="auto"/>
          <w:sz w:val="24"/>
          <w:lang w:eastAsia="zh-CN"/>
        </w:rPr>
        <w:t>磋商</w:t>
      </w:r>
      <w:r>
        <w:rPr>
          <w:rFonts w:hint="eastAsia" w:ascii="宋体" w:hAnsi="宋体" w:eastAsia="宋体" w:cs="宋体"/>
          <w:color w:val="auto"/>
          <w:sz w:val="24"/>
        </w:rPr>
        <w:t>；</w:t>
      </w:r>
    </w:p>
    <w:p>
      <w:pPr>
        <w:tabs>
          <w:tab w:val="left" w:pos="7665"/>
        </w:tabs>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2.1.4、有隶属关系的两个公司或有控股关系的两个公司不能同时参加同一项目的</w:t>
      </w:r>
      <w:r>
        <w:rPr>
          <w:rFonts w:hint="eastAsia" w:ascii="宋体" w:hAnsi="宋体" w:eastAsia="宋体" w:cs="宋体"/>
          <w:color w:val="auto"/>
          <w:sz w:val="24"/>
          <w:lang w:eastAsia="zh-CN"/>
        </w:rPr>
        <w:t>磋商</w:t>
      </w:r>
      <w:r>
        <w:rPr>
          <w:rFonts w:hint="eastAsia" w:ascii="宋体" w:hAnsi="宋体" w:eastAsia="宋体" w:cs="宋体"/>
          <w:color w:val="auto"/>
          <w:sz w:val="24"/>
        </w:rPr>
        <w:t>；</w:t>
      </w:r>
    </w:p>
    <w:p>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2.1.5、遵守国家、陕西省有关政府采购的法律、条例和法规；</w:t>
      </w:r>
    </w:p>
    <w:p>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2.1.6、竞争性磋商文件和法律、行政法规规定的其他条件。</w:t>
      </w:r>
    </w:p>
    <w:p>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2.2、供应商存在下列情形之一，属于不合格</w:t>
      </w:r>
      <w:r>
        <w:rPr>
          <w:rFonts w:hint="eastAsia" w:ascii="宋体" w:hAnsi="宋体" w:eastAsia="宋体" w:cs="宋体"/>
          <w:color w:val="auto"/>
          <w:sz w:val="24"/>
          <w:lang w:eastAsia="zh-CN"/>
        </w:rPr>
        <w:t>磋商</w:t>
      </w:r>
      <w:r>
        <w:rPr>
          <w:rFonts w:hint="eastAsia" w:ascii="宋体" w:hAnsi="宋体" w:eastAsia="宋体" w:cs="宋体"/>
          <w:color w:val="auto"/>
          <w:sz w:val="24"/>
        </w:rPr>
        <w:t>供应商，其响应文件或</w:t>
      </w:r>
      <w:r>
        <w:rPr>
          <w:rFonts w:hint="eastAsia" w:ascii="宋体" w:hAnsi="宋体" w:eastAsia="宋体" w:cs="宋体"/>
          <w:color w:val="auto"/>
          <w:sz w:val="24"/>
          <w:lang w:eastAsia="zh-CN"/>
        </w:rPr>
        <w:t>成交</w:t>
      </w:r>
      <w:r>
        <w:rPr>
          <w:rFonts w:hint="eastAsia" w:ascii="宋体" w:hAnsi="宋体" w:eastAsia="宋体" w:cs="宋体"/>
          <w:color w:val="auto"/>
          <w:sz w:val="24"/>
        </w:rPr>
        <w:t>资格将被取消：</w:t>
      </w:r>
    </w:p>
    <w:p>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2.2.1、与采购人、采购代理机构存在隶属关系或者其他利害关系；</w:t>
      </w:r>
    </w:p>
    <w:p>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2.2.2、与其他供应商的法定代表人（或者负责人）为同一人，或者与其他</w:t>
      </w:r>
      <w:r>
        <w:rPr>
          <w:rFonts w:hint="eastAsia" w:ascii="宋体" w:hAnsi="宋体" w:eastAsia="宋体" w:cs="宋体"/>
          <w:color w:val="auto"/>
          <w:sz w:val="24"/>
          <w:lang w:eastAsia="zh-CN"/>
        </w:rPr>
        <w:t>磋商</w:t>
      </w:r>
      <w:r>
        <w:rPr>
          <w:rFonts w:hint="eastAsia" w:ascii="宋体" w:hAnsi="宋体" w:eastAsia="宋体" w:cs="宋体"/>
          <w:color w:val="auto"/>
          <w:sz w:val="24"/>
        </w:rPr>
        <w:t>供应商存在控股、管理关系；</w:t>
      </w:r>
    </w:p>
    <w:p>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2.2.3、提供虚假材料谋取成交资格；</w:t>
      </w:r>
    </w:p>
    <w:p>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2.2.4、采取不正当手段诋毁、排挤其他</w:t>
      </w:r>
      <w:r>
        <w:rPr>
          <w:rFonts w:hint="eastAsia" w:ascii="宋体" w:hAnsi="宋体" w:eastAsia="宋体" w:cs="宋体"/>
          <w:color w:val="auto"/>
          <w:sz w:val="24"/>
          <w:lang w:eastAsia="zh-CN"/>
        </w:rPr>
        <w:t>磋商</w:t>
      </w:r>
      <w:r>
        <w:rPr>
          <w:rFonts w:hint="eastAsia" w:ascii="宋体" w:hAnsi="宋体" w:eastAsia="宋体" w:cs="宋体"/>
          <w:color w:val="auto"/>
          <w:sz w:val="24"/>
        </w:rPr>
        <w:t>供应商；</w:t>
      </w:r>
    </w:p>
    <w:p>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2.2.5、与采购人、采购代理机构、其他</w:t>
      </w:r>
      <w:r>
        <w:rPr>
          <w:rFonts w:hint="eastAsia" w:ascii="宋体" w:hAnsi="宋体" w:eastAsia="宋体" w:cs="宋体"/>
          <w:color w:val="auto"/>
          <w:sz w:val="24"/>
          <w:lang w:eastAsia="zh-CN"/>
        </w:rPr>
        <w:t>磋商</w:t>
      </w:r>
      <w:r>
        <w:rPr>
          <w:rFonts w:hint="eastAsia" w:ascii="宋体" w:hAnsi="宋体" w:eastAsia="宋体" w:cs="宋体"/>
          <w:color w:val="auto"/>
          <w:sz w:val="24"/>
        </w:rPr>
        <w:t>供应商恶意串通；</w:t>
      </w:r>
    </w:p>
    <w:p>
      <w:pPr>
        <w:spacing w:line="360" w:lineRule="auto"/>
        <w:ind w:firstLine="480" w:firstLineChars="200"/>
        <w:rPr>
          <w:rFonts w:hint="eastAsia" w:ascii="宋体" w:hAnsi="宋体" w:eastAsia="宋体" w:cs="宋体"/>
          <w:color w:val="auto"/>
          <w:sz w:val="24"/>
          <w:lang w:eastAsia="zh-CN"/>
        </w:rPr>
      </w:pPr>
      <w:r>
        <w:rPr>
          <w:rFonts w:hint="eastAsia" w:ascii="宋体" w:hAnsi="宋体" w:eastAsia="宋体" w:cs="宋体"/>
          <w:color w:val="auto"/>
          <w:sz w:val="24"/>
        </w:rPr>
        <w:t>2.2.6、向采购人、采购代理机构、磋商小组成员行贿或者提供其他不正当利益；</w:t>
      </w:r>
    </w:p>
    <w:p>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2.2.7、拒绝有关部门的监督检查或者向监督检查部门提供虚假情况。</w:t>
      </w:r>
    </w:p>
    <w:p>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2.2.8、受到刑事处罚，或者受到壹万元以上的罚款、责令停产停业、在一至三年内禁止参加政府采购活动、暂扣或者吊销许可证、暂扣或者吊销执照等情形之一的行政处罚，或者存在财政部门认定的其他重大违法记录。</w:t>
      </w:r>
    </w:p>
    <w:p>
      <w:pPr>
        <w:adjustRightInd w:val="0"/>
        <w:snapToGrid w:val="0"/>
        <w:spacing w:line="360" w:lineRule="auto"/>
        <w:ind w:firstLine="420" w:firstLineChars="175"/>
        <w:rPr>
          <w:rFonts w:hint="eastAsia" w:ascii="宋体" w:hAnsi="宋体" w:eastAsia="宋体" w:cs="宋体"/>
          <w:color w:val="auto"/>
          <w:sz w:val="24"/>
        </w:rPr>
      </w:pPr>
      <w:r>
        <w:rPr>
          <w:rFonts w:hint="eastAsia" w:ascii="宋体" w:hAnsi="宋体" w:eastAsia="宋体" w:cs="宋体"/>
          <w:color w:val="auto"/>
          <w:sz w:val="24"/>
        </w:rPr>
        <w:t>2.3、供应商的风险：竞争性磋商文件各章内容已对</w:t>
      </w:r>
      <w:r>
        <w:rPr>
          <w:rFonts w:hint="eastAsia" w:ascii="宋体" w:hAnsi="宋体" w:eastAsia="宋体" w:cs="宋体"/>
          <w:color w:val="auto"/>
          <w:sz w:val="24"/>
          <w:lang w:eastAsia="zh-CN"/>
        </w:rPr>
        <w:t>磋商</w:t>
      </w:r>
      <w:r>
        <w:rPr>
          <w:rFonts w:hint="eastAsia" w:ascii="宋体" w:hAnsi="宋体" w:eastAsia="宋体" w:cs="宋体"/>
          <w:color w:val="auto"/>
          <w:sz w:val="24"/>
        </w:rPr>
        <w:t>事宜提出明确要求，供应商应认真阅读和充分理解竞争性磋商文件中所有的事项、格式条款和规范要求，任何对竞争性磋商文件的忽略或误解不能作为响应文件存在缺陷或瑕疵的理由；供应商没有按照竞争性磋商文件要求提供全部资料，或对竞争性磋商文件未全面做出实质性响应是供应商的风险，而导致</w:t>
      </w:r>
      <w:r>
        <w:rPr>
          <w:rFonts w:hint="eastAsia" w:ascii="宋体" w:hAnsi="宋体" w:eastAsia="宋体" w:cs="宋体"/>
          <w:color w:val="auto"/>
          <w:sz w:val="24"/>
          <w:lang w:eastAsia="zh-CN"/>
        </w:rPr>
        <w:t>磋商</w:t>
      </w:r>
      <w:r>
        <w:rPr>
          <w:rFonts w:hint="eastAsia" w:ascii="宋体" w:hAnsi="宋体" w:eastAsia="宋体" w:cs="宋体"/>
          <w:color w:val="auto"/>
          <w:sz w:val="24"/>
        </w:rPr>
        <w:t>不利后果或其响应文件被拒绝、被废标的，其责任由供应商自负。</w:t>
      </w:r>
    </w:p>
    <w:p>
      <w:pPr>
        <w:adjustRightInd w:val="0"/>
        <w:snapToGrid w:val="0"/>
        <w:spacing w:line="360" w:lineRule="auto"/>
        <w:rPr>
          <w:rFonts w:hint="eastAsia" w:ascii="宋体" w:hAnsi="宋体" w:eastAsia="宋体" w:cs="宋体"/>
          <w:b/>
          <w:color w:val="auto"/>
          <w:sz w:val="24"/>
        </w:rPr>
      </w:pPr>
      <w:r>
        <w:rPr>
          <w:rFonts w:hint="eastAsia" w:ascii="宋体" w:hAnsi="宋体" w:cs="宋体"/>
          <w:b/>
          <w:color w:val="auto"/>
          <w:sz w:val="24"/>
          <w:lang w:val="en-US" w:eastAsia="zh-CN"/>
        </w:rPr>
        <w:t>3</w:t>
      </w:r>
      <w:r>
        <w:rPr>
          <w:rFonts w:hint="eastAsia" w:ascii="宋体" w:hAnsi="宋体" w:eastAsia="宋体" w:cs="宋体"/>
          <w:b/>
          <w:color w:val="auto"/>
          <w:sz w:val="24"/>
        </w:rPr>
        <w:t>、费用承担</w:t>
      </w:r>
    </w:p>
    <w:p>
      <w:pPr>
        <w:adjustRightInd w:val="0"/>
        <w:snapToGrid w:val="0"/>
        <w:spacing w:line="360" w:lineRule="auto"/>
        <w:ind w:firstLine="420" w:firstLineChars="175"/>
        <w:rPr>
          <w:rFonts w:hint="eastAsia" w:ascii="宋体" w:hAnsi="宋体" w:cs="宋体"/>
          <w:color w:val="auto"/>
          <w:sz w:val="24"/>
          <w:lang w:eastAsia="zh-CN"/>
        </w:rPr>
      </w:pPr>
      <w:r>
        <w:rPr>
          <w:rFonts w:hint="eastAsia" w:ascii="宋体" w:hAnsi="宋体" w:cs="宋体"/>
          <w:color w:val="auto"/>
          <w:sz w:val="24"/>
          <w:lang w:eastAsia="zh-CN"/>
        </w:rPr>
        <w:t>供应商</w:t>
      </w:r>
      <w:r>
        <w:rPr>
          <w:rFonts w:hint="eastAsia" w:ascii="宋体" w:hAnsi="宋体" w:eastAsia="宋体" w:cs="宋体"/>
          <w:color w:val="auto"/>
          <w:sz w:val="24"/>
        </w:rPr>
        <w:t>应承担其编制磋商响应文件与递交磋商响应文件所涉及的一切费用。不管</w:t>
      </w:r>
      <w:r>
        <w:rPr>
          <w:rFonts w:hint="eastAsia" w:ascii="宋体" w:hAnsi="宋体" w:cs="宋体"/>
          <w:color w:val="auto"/>
          <w:sz w:val="24"/>
          <w:lang w:eastAsia="zh-CN"/>
        </w:rPr>
        <w:t>磋商</w:t>
      </w:r>
      <w:r>
        <w:rPr>
          <w:rFonts w:hint="eastAsia" w:ascii="宋体" w:hAnsi="宋体" w:eastAsia="宋体" w:cs="宋体"/>
          <w:color w:val="auto"/>
          <w:sz w:val="24"/>
        </w:rPr>
        <w:t>结果如何，采购代理机构及采购人在任何情况下对上述费用不负任何责任，同时也不作任何经济补偿</w:t>
      </w:r>
      <w:r>
        <w:rPr>
          <w:rFonts w:hint="eastAsia" w:ascii="宋体" w:hAnsi="宋体" w:cs="宋体"/>
          <w:color w:val="auto"/>
          <w:sz w:val="24"/>
          <w:lang w:eastAsia="zh-CN"/>
        </w:rPr>
        <w:t>。</w:t>
      </w:r>
    </w:p>
    <w:p>
      <w:pPr>
        <w:numPr>
          <w:ilvl w:val="0"/>
          <w:numId w:val="0"/>
        </w:numPr>
        <w:adjustRightInd w:val="0"/>
        <w:snapToGrid w:val="0"/>
        <w:spacing w:line="360" w:lineRule="auto"/>
        <w:rPr>
          <w:rFonts w:hint="eastAsia" w:ascii="宋体" w:hAnsi="宋体" w:eastAsia="宋体" w:cs="宋体"/>
          <w:b/>
          <w:color w:val="auto"/>
          <w:sz w:val="24"/>
          <w:lang w:val="en-US" w:eastAsia="zh-CN"/>
        </w:rPr>
      </w:pPr>
      <w:r>
        <w:rPr>
          <w:rFonts w:hint="eastAsia" w:ascii="宋体" w:hAnsi="宋体" w:cs="宋体"/>
          <w:b/>
          <w:color w:val="auto"/>
          <w:sz w:val="24"/>
          <w:lang w:val="en-US" w:eastAsia="zh-CN"/>
        </w:rPr>
        <w:t>4、</w:t>
      </w:r>
      <w:r>
        <w:rPr>
          <w:rFonts w:hint="eastAsia" w:ascii="宋体" w:hAnsi="宋体" w:eastAsia="宋体" w:cs="宋体"/>
          <w:b/>
          <w:color w:val="auto"/>
          <w:sz w:val="24"/>
          <w:lang w:val="en-US" w:eastAsia="zh-CN"/>
        </w:rPr>
        <w:t>保密</w:t>
      </w:r>
    </w:p>
    <w:p>
      <w:pPr>
        <w:adjustRightInd w:val="0"/>
        <w:snapToGrid w:val="0"/>
        <w:spacing w:line="360" w:lineRule="auto"/>
        <w:ind w:firstLine="420" w:firstLineChars="175"/>
        <w:rPr>
          <w:rFonts w:hint="eastAsia" w:ascii="宋体" w:hAnsi="宋体" w:cs="宋体"/>
          <w:color w:val="auto"/>
          <w:sz w:val="24"/>
          <w:lang w:eastAsia="zh-CN"/>
        </w:rPr>
      </w:pPr>
      <w:r>
        <w:rPr>
          <w:rFonts w:hint="eastAsia" w:ascii="宋体" w:hAnsi="宋体" w:cs="宋体"/>
          <w:color w:val="auto"/>
          <w:sz w:val="24"/>
          <w:lang w:eastAsia="zh-CN"/>
        </w:rPr>
        <w:t>参与磋商活动的各方应对磋商文件和磋商响应文件中的商业和技术等秘密保密，违者应对由此造成的后果承担法律责任。</w:t>
      </w:r>
    </w:p>
    <w:p>
      <w:pPr>
        <w:numPr>
          <w:ilvl w:val="0"/>
          <w:numId w:val="0"/>
        </w:numPr>
        <w:adjustRightInd w:val="0"/>
        <w:snapToGrid w:val="0"/>
        <w:spacing w:line="360" w:lineRule="auto"/>
        <w:rPr>
          <w:rFonts w:hint="eastAsia" w:ascii="宋体" w:hAnsi="宋体" w:eastAsia="宋体" w:cs="宋体"/>
          <w:b/>
          <w:color w:val="auto"/>
          <w:sz w:val="24"/>
          <w:lang w:val="en-US" w:eastAsia="zh-CN"/>
        </w:rPr>
      </w:pPr>
      <w:r>
        <w:rPr>
          <w:rFonts w:hint="eastAsia" w:ascii="宋体" w:hAnsi="宋体" w:cs="宋体"/>
          <w:b/>
          <w:color w:val="auto"/>
          <w:sz w:val="24"/>
          <w:lang w:val="en-US" w:eastAsia="zh-CN"/>
        </w:rPr>
        <w:t>5、</w:t>
      </w:r>
      <w:r>
        <w:rPr>
          <w:rFonts w:hint="eastAsia" w:ascii="宋体" w:hAnsi="宋体" w:eastAsia="宋体" w:cs="宋体"/>
          <w:b/>
          <w:color w:val="auto"/>
          <w:sz w:val="24"/>
          <w:lang w:val="en-US" w:eastAsia="zh-CN"/>
        </w:rPr>
        <w:t>语言文字</w:t>
      </w:r>
    </w:p>
    <w:p>
      <w:pPr>
        <w:adjustRightInd w:val="0"/>
        <w:snapToGrid w:val="0"/>
        <w:spacing w:line="360" w:lineRule="auto"/>
        <w:ind w:firstLine="420" w:firstLineChars="175"/>
        <w:rPr>
          <w:rFonts w:hint="eastAsia" w:ascii="宋体" w:hAnsi="宋体" w:cs="宋体"/>
          <w:color w:val="auto"/>
          <w:sz w:val="24"/>
          <w:lang w:eastAsia="zh-CN"/>
        </w:rPr>
      </w:pPr>
      <w:r>
        <w:rPr>
          <w:rFonts w:hint="eastAsia" w:ascii="宋体" w:hAnsi="宋体" w:cs="宋体"/>
          <w:color w:val="auto"/>
          <w:sz w:val="24"/>
          <w:lang w:eastAsia="zh-CN"/>
        </w:rPr>
        <w:t>除专用术语外，与磋商有关的语言均使用中文。必要时专用术语应附有中文注释。</w:t>
      </w:r>
    </w:p>
    <w:p>
      <w:pPr>
        <w:numPr>
          <w:ilvl w:val="0"/>
          <w:numId w:val="0"/>
        </w:numPr>
        <w:adjustRightInd w:val="0"/>
        <w:snapToGrid w:val="0"/>
        <w:spacing w:line="360" w:lineRule="auto"/>
        <w:rPr>
          <w:rFonts w:hint="eastAsia" w:ascii="宋体" w:hAnsi="宋体" w:eastAsia="宋体" w:cs="宋体"/>
          <w:b/>
          <w:color w:val="auto"/>
          <w:sz w:val="24"/>
          <w:lang w:val="en-US" w:eastAsia="zh-CN"/>
        </w:rPr>
      </w:pPr>
      <w:r>
        <w:rPr>
          <w:rFonts w:hint="eastAsia" w:ascii="宋体" w:hAnsi="宋体" w:cs="宋体"/>
          <w:b/>
          <w:color w:val="auto"/>
          <w:sz w:val="24"/>
          <w:lang w:val="en-US" w:eastAsia="zh-CN"/>
        </w:rPr>
        <w:t>6、</w:t>
      </w:r>
      <w:r>
        <w:rPr>
          <w:rFonts w:hint="eastAsia" w:ascii="宋体" w:hAnsi="宋体" w:eastAsia="宋体" w:cs="宋体"/>
          <w:b/>
          <w:color w:val="auto"/>
          <w:sz w:val="24"/>
          <w:lang w:val="en-US" w:eastAsia="zh-CN"/>
        </w:rPr>
        <w:t>计量单位</w:t>
      </w:r>
    </w:p>
    <w:p>
      <w:pPr>
        <w:adjustRightInd w:val="0"/>
        <w:snapToGrid w:val="0"/>
        <w:spacing w:line="360" w:lineRule="auto"/>
        <w:ind w:firstLine="420" w:firstLineChars="175"/>
        <w:rPr>
          <w:rFonts w:hint="eastAsia" w:ascii="宋体" w:hAnsi="宋体" w:cs="宋体"/>
          <w:color w:val="auto"/>
          <w:sz w:val="24"/>
          <w:lang w:val="en-US" w:eastAsia="zh-CN"/>
        </w:rPr>
      </w:pPr>
      <w:r>
        <w:rPr>
          <w:rFonts w:hint="eastAsia" w:ascii="宋体" w:hAnsi="宋体" w:cs="宋体"/>
          <w:color w:val="auto"/>
          <w:sz w:val="24"/>
          <w:lang w:val="en-US" w:eastAsia="zh-CN"/>
        </w:rPr>
        <w:t>所有计量均采用中华人民共和国法定计量单位。</w:t>
      </w:r>
    </w:p>
    <w:p>
      <w:pPr>
        <w:numPr>
          <w:ilvl w:val="0"/>
          <w:numId w:val="0"/>
        </w:numPr>
        <w:adjustRightInd w:val="0"/>
        <w:snapToGrid w:val="0"/>
        <w:spacing w:line="360" w:lineRule="auto"/>
        <w:rPr>
          <w:rFonts w:hint="eastAsia" w:ascii="宋体" w:hAnsi="宋体" w:cs="宋体"/>
          <w:b/>
          <w:color w:val="auto"/>
          <w:sz w:val="24"/>
          <w:lang w:val="en-US" w:eastAsia="zh-CN"/>
        </w:rPr>
      </w:pPr>
      <w:r>
        <w:rPr>
          <w:rFonts w:hint="eastAsia" w:ascii="宋体" w:hAnsi="宋体" w:cs="宋体"/>
          <w:b/>
          <w:color w:val="auto"/>
          <w:sz w:val="24"/>
          <w:lang w:val="en-US" w:eastAsia="zh-CN"/>
        </w:rPr>
        <w:t>7、踏勘现场</w:t>
      </w:r>
    </w:p>
    <w:p>
      <w:pPr>
        <w:adjustRightInd w:val="0"/>
        <w:snapToGrid w:val="0"/>
        <w:spacing w:line="360" w:lineRule="auto"/>
        <w:ind w:firstLine="420" w:firstLineChars="175"/>
        <w:rPr>
          <w:rFonts w:hint="eastAsia" w:ascii="宋体" w:hAnsi="宋体" w:cs="宋体"/>
          <w:color w:val="auto"/>
          <w:sz w:val="24"/>
          <w:lang w:val="en-US" w:eastAsia="zh-CN"/>
        </w:rPr>
      </w:pPr>
      <w:r>
        <w:rPr>
          <w:rFonts w:hint="eastAsia" w:ascii="宋体" w:hAnsi="宋体" w:cs="宋体"/>
          <w:color w:val="auto"/>
          <w:sz w:val="24"/>
          <w:lang w:val="en-US" w:eastAsia="zh-CN"/>
        </w:rPr>
        <w:t>7.1、本项目自行踏勘；</w:t>
      </w:r>
    </w:p>
    <w:p>
      <w:pPr>
        <w:adjustRightInd w:val="0"/>
        <w:snapToGrid w:val="0"/>
        <w:spacing w:line="360" w:lineRule="auto"/>
        <w:ind w:firstLine="420" w:firstLineChars="175"/>
        <w:rPr>
          <w:rFonts w:hint="eastAsia" w:ascii="宋体" w:hAnsi="宋体" w:cs="宋体"/>
          <w:color w:val="auto"/>
          <w:sz w:val="24"/>
          <w:lang w:val="en-US" w:eastAsia="zh-CN"/>
        </w:rPr>
      </w:pPr>
      <w:r>
        <w:rPr>
          <w:rFonts w:hint="eastAsia" w:ascii="宋体" w:hAnsi="宋体" w:cs="宋体"/>
          <w:color w:val="auto"/>
          <w:sz w:val="24"/>
          <w:lang w:val="en-US" w:eastAsia="zh-CN"/>
        </w:rPr>
        <w:t>7.2、供应商踏勘现场发生的费用自理；</w:t>
      </w:r>
    </w:p>
    <w:p>
      <w:pPr>
        <w:adjustRightInd w:val="0"/>
        <w:snapToGrid w:val="0"/>
        <w:spacing w:line="360" w:lineRule="auto"/>
        <w:ind w:firstLine="420" w:firstLineChars="175"/>
        <w:rPr>
          <w:rFonts w:hint="eastAsia" w:ascii="宋体" w:hAnsi="宋体" w:cs="宋体"/>
          <w:color w:val="auto"/>
          <w:sz w:val="24"/>
          <w:lang w:val="en-US" w:eastAsia="zh-CN"/>
        </w:rPr>
      </w:pPr>
      <w:r>
        <w:rPr>
          <w:rFonts w:hint="eastAsia" w:ascii="宋体" w:hAnsi="宋体" w:cs="宋体"/>
          <w:color w:val="auto"/>
          <w:sz w:val="24"/>
          <w:lang w:val="en-US" w:eastAsia="zh-CN"/>
        </w:rPr>
        <w:t>7.3、供应商自行负责在踏勘现场中所发生的人员伤亡和财产损失，供应商应对工程现场及周围环境进行踏勘，充分了解现场环境、总体布置情况、工程地形地貌、工程现场道路、工程总体进度情况、储存空间、场内运输、装卸等限制条件及其它任何足以影响磋商报价的情况，以便各供应商获取须自主考虑的有关竞争性磋商响应文件编制和合同签署所需的相关资料和数据，任何因忽视或误解工地情况而导致的索赔或工期延长申请将不获批准；</w:t>
      </w:r>
    </w:p>
    <w:p>
      <w:pPr>
        <w:adjustRightInd w:val="0"/>
        <w:snapToGrid w:val="0"/>
        <w:spacing w:line="360" w:lineRule="auto"/>
        <w:ind w:firstLine="420" w:firstLineChars="175"/>
        <w:rPr>
          <w:rFonts w:hint="eastAsia" w:ascii="宋体" w:hAnsi="宋体" w:cs="宋体"/>
          <w:color w:val="auto"/>
          <w:sz w:val="24"/>
          <w:lang w:val="en-US" w:eastAsia="zh-CN"/>
        </w:rPr>
      </w:pPr>
      <w:r>
        <w:rPr>
          <w:rFonts w:hint="eastAsia" w:ascii="宋体" w:hAnsi="宋体" w:cs="宋体"/>
          <w:color w:val="auto"/>
          <w:sz w:val="24"/>
          <w:lang w:val="en-US" w:eastAsia="zh-CN"/>
        </w:rPr>
        <w:t>7.4、采购人在踏勘现场中介绍的工程场地和相关的周边环境情况，供应商在编制磋商响应文件时参考，采购人不对供应商据此作出的判断和决策负责；一旦成交，成交供应商不得以任何借口，提出额外补偿或延长合同期限的要求。</w:t>
      </w:r>
    </w:p>
    <w:p>
      <w:pPr>
        <w:numPr>
          <w:ilvl w:val="0"/>
          <w:numId w:val="0"/>
        </w:numPr>
        <w:adjustRightInd w:val="0"/>
        <w:snapToGrid w:val="0"/>
        <w:spacing w:line="360" w:lineRule="auto"/>
        <w:rPr>
          <w:rFonts w:hint="eastAsia" w:ascii="宋体" w:hAnsi="宋体" w:cs="宋体"/>
          <w:b/>
          <w:color w:val="auto"/>
          <w:sz w:val="24"/>
          <w:lang w:val="en-US" w:eastAsia="zh-CN"/>
        </w:rPr>
      </w:pPr>
      <w:r>
        <w:rPr>
          <w:rFonts w:hint="eastAsia" w:ascii="宋体" w:hAnsi="宋体" w:cs="宋体"/>
          <w:b/>
          <w:color w:val="auto"/>
          <w:sz w:val="24"/>
          <w:lang w:val="en-US" w:eastAsia="zh-CN"/>
        </w:rPr>
        <w:t>8、答疑</w:t>
      </w:r>
    </w:p>
    <w:p>
      <w:pPr>
        <w:adjustRightInd w:val="0"/>
        <w:snapToGrid w:val="0"/>
        <w:spacing w:line="360" w:lineRule="auto"/>
        <w:ind w:firstLine="420" w:firstLineChars="175"/>
        <w:rPr>
          <w:rFonts w:hint="eastAsia" w:ascii="宋体" w:hAnsi="宋体" w:cs="宋体"/>
          <w:color w:val="auto"/>
          <w:sz w:val="24"/>
          <w:lang w:val="en-US" w:eastAsia="zh-CN"/>
        </w:rPr>
      </w:pPr>
      <w:r>
        <w:rPr>
          <w:rFonts w:hint="eastAsia" w:ascii="宋体" w:hAnsi="宋体" w:cs="宋体"/>
          <w:color w:val="auto"/>
          <w:sz w:val="24"/>
          <w:lang w:val="en-US" w:eastAsia="zh-CN"/>
        </w:rPr>
        <w:t>8.1、磋商文件发出后，供应商于前附表规定的时间内，以书面形式并加盖单位公章将问题送达采购代理机构（采购代理机构联系人：鲁工，联系电话：18691605987），以便采购人答疑，逾期未提交者将视为无问题；</w:t>
      </w:r>
    </w:p>
    <w:p>
      <w:pPr>
        <w:adjustRightInd w:val="0"/>
        <w:snapToGrid w:val="0"/>
        <w:spacing w:line="360" w:lineRule="auto"/>
        <w:ind w:firstLine="420" w:firstLineChars="175"/>
        <w:rPr>
          <w:rFonts w:hint="eastAsia" w:ascii="宋体" w:hAnsi="宋体" w:cs="宋体"/>
          <w:color w:val="auto"/>
          <w:sz w:val="24"/>
          <w:lang w:val="en-US" w:eastAsia="zh-CN"/>
        </w:rPr>
      </w:pPr>
      <w:r>
        <w:rPr>
          <w:rFonts w:hint="eastAsia" w:ascii="宋体" w:hAnsi="宋体" w:cs="宋体"/>
          <w:color w:val="auto"/>
          <w:sz w:val="24"/>
          <w:lang w:val="en-US" w:eastAsia="zh-CN"/>
        </w:rPr>
        <w:t>8.2、供应商将问题递交后，采购人在须知前附表规定的时间内，将对供应商所提问题的答疑，以书面方式通知所有购买磋商文件的供应商。该答疑内容为磋商文件的组成部分。</w:t>
      </w:r>
    </w:p>
    <w:p>
      <w:pPr>
        <w:numPr>
          <w:ilvl w:val="0"/>
          <w:numId w:val="0"/>
        </w:numPr>
        <w:adjustRightInd w:val="0"/>
        <w:snapToGrid w:val="0"/>
        <w:spacing w:line="360" w:lineRule="auto"/>
        <w:rPr>
          <w:rFonts w:hint="eastAsia" w:ascii="宋体" w:hAnsi="宋体" w:cs="宋体"/>
          <w:b/>
          <w:color w:val="auto"/>
          <w:sz w:val="24"/>
          <w:lang w:val="en-US" w:eastAsia="zh-CN"/>
        </w:rPr>
      </w:pPr>
      <w:r>
        <w:rPr>
          <w:rFonts w:hint="eastAsia" w:ascii="宋体" w:hAnsi="宋体" w:cs="宋体"/>
          <w:b/>
          <w:color w:val="auto"/>
          <w:sz w:val="24"/>
          <w:lang w:val="en-US" w:eastAsia="zh-CN"/>
        </w:rPr>
        <w:t>9、分包</w:t>
      </w:r>
    </w:p>
    <w:p>
      <w:pPr>
        <w:adjustRightInd w:val="0"/>
        <w:snapToGrid w:val="0"/>
        <w:spacing w:line="360" w:lineRule="auto"/>
        <w:ind w:firstLine="420" w:firstLineChars="175"/>
        <w:rPr>
          <w:rFonts w:hint="eastAsia" w:ascii="宋体" w:hAnsi="宋体" w:cs="宋体"/>
          <w:color w:val="auto"/>
          <w:sz w:val="24"/>
          <w:lang w:val="en-US" w:eastAsia="zh-CN"/>
        </w:rPr>
      </w:pPr>
      <w:r>
        <w:rPr>
          <w:rFonts w:hint="eastAsia" w:ascii="宋体" w:hAnsi="宋体" w:cs="宋体"/>
          <w:color w:val="auto"/>
          <w:sz w:val="24"/>
          <w:lang w:val="en-US" w:eastAsia="zh-CN"/>
        </w:rPr>
        <w:t>不允许分包(指定分包工程除外)。</w:t>
      </w:r>
    </w:p>
    <w:p>
      <w:pPr>
        <w:numPr>
          <w:ilvl w:val="0"/>
          <w:numId w:val="0"/>
        </w:numPr>
        <w:adjustRightInd w:val="0"/>
        <w:snapToGrid w:val="0"/>
        <w:spacing w:line="360" w:lineRule="auto"/>
        <w:rPr>
          <w:rFonts w:hint="eastAsia" w:ascii="宋体" w:hAnsi="宋体" w:cs="宋体"/>
          <w:b/>
          <w:color w:val="auto"/>
          <w:sz w:val="24"/>
          <w:lang w:val="en-US" w:eastAsia="zh-CN"/>
        </w:rPr>
      </w:pPr>
      <w:r>
        <w:rPr>
          <w:rFonts w:hint="eastAsia" w:ascii="宋体" w:hAnsi="宋体" w:cs="宋体"/>
          <w:b/>
          <w:color w:val="auto"/>
          <w:sz w:val="24"/>
          <w:lang w:val="en-US" w:eastAsia="zh-CN"/>
        </w:rPr>
        <w:t>10、偏差</w:t>
      </w:r>
    </w:p>
    <w:p>
      <w:pPr>
        <w:adjustRightInd w:val="0"/>
        <w:snapToGrid w:val="0"/>
        <w:spacing w:line="360" w:lineRule="auto"/>
        <w:ind w:firstLine="420" w:firstLineChars="175"/>
        <w:rPr>
          <w:rFonts w:hint="default" w:ascii="宋体" w:hAnsi="宋体" w:cs="宋体"/>
          <w:color w:val="auto"/>
          <w:sz w:val="24"/>
          <w:lang w:val="en-US" w:eastAsia="zh-CN"/>
        </w:rPr>
      </w:pPr>
      <w:r>
        <w:rPr>
          <w:rFonts w:hint="eastAsia" w:ascii="宋体" w:hAnsi="宋体" w:cs="宋体"/>
          <w:color w:val="auto"/>
          <w:sz w:val="24"/>
          <w:lang w:val="en-US" w:eastAsia="zh-CN"/>
        </w:rPr>
        <w:t>不满足评审方法中初步评审标准的，视为发生重大偏离，其磋商被否决。其余偏离视为细微偏离，磋商小组将通过澄清方式对细微偏离进行澄清或修改。</w:t>
      </w:r>
    </w:p>
    <w:p>
      <w:pPr>
        <w:adjustRightInd w:val="0"/>
        <w:snapToGrid w:val="0"/>
        <w:spacing w:line="360" w:lineRule="auto"/>
        <w:rPr>
          <w:rFonts w:hint="eastAsia" w:ascii="宋体" w:hAnsi="宋体" w:eastAsia="宋体" w:cs="宋体"/>
          <w:b/>
          <w:bCs/>
          <w:color w:val="auto"/>
          <w:sz w:val="24"/>
        </w:rPr>
      </w:pPr>
      <w:r>
        <w:rPr>
          <w:rFonts w:hint="eastAsia" w:ascii="宋体" w:hAnsi="宋体" w:eastAsia="宋体" w:cs="宋体"/>
          <w:b/>
          <w:bCs/>
          <w:color w:val="auto"/>
          <w:sz w:val="24"/>
        </w:rPr>
        <w:t>二、竞争性磋商文件</w:t>
      </w:r>
    </w:p>
    <w:p>
      <w:pPr>
        <w:kinsoku w:val="0"/>
        <w:spacing w:line="360" w:lineRule="auto"/>
        <w:rPr>
          <w:rFonts w:hint="eastAsia" w:ascii="宋体" w:hAnsi="宋体" w:eastAsia="宋体" w:cs="宋体"/>
          <w:b/>
          <w:color w:val="auto"/>
          <w:sz w:val="24"/>
        </w:rPr>
      </w:pPr>
      <w:r>
        <w:rPr>
          <w:rFonts w:hint="eastAsia" w:ascii="宋体" w:hAnsi="宋体" w:cs="宋体"/>
          <w:b/>
          <w:color w:val="auto"/>
          <w:sz w:val="24"/>
          <w:lang w:val="en-US" w:eastAsia="zh-CN"/>
        </w:rPr>
        <w:t>11</w:t>
      </w:r>
      <w:r>
        <w:rPr>
          <w:rFonts w:hint="eastAsia" w:ascii="宋体" w:hAnsi="宋体" w:eastAsia="宋体" w:cs="宋体"/>
          <w:b/>
          <w:color w:val="auto"/>
          <w:sz w:val="24"/>
        </w:rPr>
        <w:t>、竞争性磋商文件的构成</w:t>
      </w:r>
    </w:p>
    <w:p>
      <w:pPr>
        <w:tabs>
          <w:tab w:val="left" w:pos="7665"/>
        </w:tabs>
        <w:spacing w:before="120" w:beforeLines="50" w:line="360" w:lineRule="auto"/>
        <w:ind w:firstLine="480" w:firstLineChars="200"/>
        <w:rPr>
          <w:rFonts w:hint="eastAsia" w:ascii="宋体" w:hAnsi="宋体" w:eastAsia="宋体" w:cs="宋体"/>
          <w:color w:val="auto"/>
          <w:sz w:val="24"/>
        </w:rPr>
      </w:pPr>
      <w:r>
        <w:rPr>
          <w:rFonts w:hint="eastAsia" w:ascii="宋体" w:hAnsi="宋体" w:cs="宋体"/>
          <w:color w:val="auto"/>
          <w:sz w:val="24"/>
          <w:lang w:val="en-US" w:eastAsia="zh-CN"/>
        </w:rPr>
        <w:t>11</w:t>
      </w:r>
      <w:r>
        <w:rPr>
          <w:rFonts w:hint="eastAsia" w:ascii="宋体" w:hAnsi="宋体" w:eastAsia="宋体" w:cs="宋体"/>
          <w:b/>
          <w:bCs/>
          <w:color w:val="auto"/>
          <w:sz w:val="24"/>
        </w:rPr>
        <w:t>.</w:t>
      </w:r>
      <w:r>
        <w:rPr>
          <w:rFonts w:hint="eastAsia" w:ascii="宋体" w:hAnsi="宋体" w:eastAsia="宋体" w:cs="宋体"/>
          <w:color w:val="auto"/>
          <w:sz w:val="24"/>
        </w:rPr>
        <w:t>1、竞争性磋商文件是供应商准备响应文件和参加</w:t>
      </w:r>
      <w:r>
        <w:rPr>
          <w:rFonts w:hint="eastAsia" w:ascii="宋体" w:hAnsi="宋体" w:eastAsia="宋体" w:cs="宋体"/>
          <w:color w:val="auto"/>
          <w:sz w:val="24"/>
          <w:lang w:eastAsia="zh-CN"/>
        </w:rPr>
        <w:t>磋商</w:t>
      </w:r>
      <w:r>
        <w:rPr>
          <w:rFonts w:hint="eastAsia" w:ascii="宋体" w:hAnsi="宋体" w:eastAsia="宋体" w:cs="宋体"/>
          <w:color w:val="auto"/>
          <w:sz w:val="24"/>
        </w:rPr>
        <w:t>的依据，同时也是评审的重要依据。竞争性磋商文件用以阐明采购项目所需的资质、技术、服务及报价等要求、采购程序、评审办法与标准、有关规定和注意事项以及合同主要条款等。本竞争性磋商文件包括以下内容：</w:t>
      </w:r>
    </w:p>
    <w:p>
      <w:pPr>
        <w:tabs>
          <w:tab w:val="left" w:pos="7665"/>
        </w:tabs>
        <w:spacing w:line="360" w:lineRule="auto"/>
        <w:ind w:firstLine="480" w:firstLineChars="200"/>
        <w:rPr>
          <w:rFonts w:hint="eastAsia" w:ascii="宋体" w:hAnsi="宋体" w:eastAsia="宋体" w:cs="宋体"/>
          <w:color w:val="auto"/>
          <w:sz w:val="24"/>
        </w:rPr>
      </w:pPr>
      <w:bookmarkStart w:id="1" w:name="_Toc183682348"/>
      <w:bookmarkStart w:id="2" w:name="_Toc183582211"/>
      <w:bookmarkStart w:id="3" w:name="_Toc217446040"/>
      <w:r>
        <w:rPr>
          <w:rFonts w:hint="eastAsia" w:ascii="宋体" w:hAnsi="宋体" w:cs="宋体"/>
          <w:color w:val="auto"/>
          <w:sz w:val="24"/>
          <w:lang w:val="en-US" w:eastAsia="zh-CN"/>
        </w:rPr>
        <w:t>11</w:t>
      </w:r>
      <w:r>
        <w:rPr>
          <w:rFonts w:hint="eastAsia" w:ascii="宋体" w:hAnsi="宋体" w:eastAsia="宋体" w:cs="宋体"/>
          <w:b/>
          <w:bCs/>
          <w:color w:val="auto"/>
          <w:sz w:val="24"/>
        </w:rPr>
        <w:t>.</w:t>
      </w:r>
      <w:r>
        <w:rPr>
          <w:rFonts w:hint="eastAsia" w:ascii="宋体" w:hAnsi="宋体" w:eastAsia="宋体" w:cs="宋体"/>
          <w:color w:val="auto"/>
          <w:sz w:val="24"/>
        </w:rPr>
        <w:t>1.1、竞争性磋商公告</w:t>
      </w:r>
    </w:p>
    <w:p>
      <w:pPr>
        <w:tabs>
          <w:tab w:val="left" w:pos="7665"/>
        </w:tabs>
        <w:spacing w:line="360" w:lineRule="auto"/>
        <w:ind w:firstLine="480" w:firstLineChars="200"/>
        <w:rPr>
          <w:rFonts w:hint="eastAsia" w:ascii="宋体" w:hAnsi="宋体" w:eastAsia="宋体" w:cs="宋体"/>
          <w:color w:val="auto"/>
          <w:sz w:val="24"/>
        </w:rPr>
      </w:pPr>
      <w:r>
        <w:rPr>
          <w:rFonts w:hint="eastAsia" w:ascii="宋体" w:hAnsi="宋体" w:cs="宋体"/>
          <w:color w:val="auto"/>
          <w:sz w:val="24"/>
          <w:lang w:val="en-US" w:eastAsia="zh-CN"/>
        </w:rPr>
        <w:t>11</w:t>
      </w:r>
      <w:r>
        <w:rPr>
          <w:rFonts w:hint="eastAsia" w:ascii="宋体" w:hAnsi="宋体" w:eastAsia="宋体" w:cs="宋体"/>
          <w:b/>
          <w:bCs/>
          <w:color w:val="auto"/>
          <w:sz w:val="24"/>
        </w:rPr>
        <w:t>.</w:t>
      </w:r>
      <w:r>
        <w:rPr>
          <w:rFonts w:hint="eastAsia" w:ascii="宋体" w:hAnsi="宋体" w:eastAsia="宋体" w:cs="宋体"/>
          <w:color w:val="auto"/>
          <w:sz w:val="24"/>
        </w:rPr>
        <w:t>1.2、供应商须知</w:t>
      </w:r>
    </w:p>
    <w:p>
      <w:pPr>
        <w:tabs>
          <w:tab w:val="left" w:pos="7665"/>
        </w:tabs>
        <w:spacing w:line="360" w:lineRule="auto"/>
        <w:ind w:firstLine="480" w:firstLineChars="200"/>
        <w:rPr>
          <w:rFonts w:hint="eastAsia" w:ascii="宋体" w:hAnsi="宋体" w:eastAsia="宋体" w:cs="宋体"/>
          <w:color w:val="auto"/>
          <w:sz w:val="24"/>
        </w:rPr>
      </w:pPr>
      <w:r>
        <w:rPr>
          <w:rFonts w:hint="eastAsia" w:ascii="宋体" w:hAnsi="宋体" w:cs="宋体"/>
          <w:color w:val="auto"/>
          <w:sz w:val="24"/>
          <w:lang w:val="en-US" w:eastAsia="zh-CN"/>
        </w:rPr>
        <w:t>11</w:t>
      </w:r>
      <w:r>
        <w:rPr>
          <w:rFonts w:hint="eastAsia" w:ascii="宋体" w:hAnsi="宋体" w:eastAsia="宋体" w:cs="宋体"/>
          <w:b/>
          <w:bCs/>
          <w:color w:val="auto"/>
          <w:sz w:val="24"/>
        </w:rPr>
        <w:t>.</w:t>
      </w:r>
      <w:r>
        <w:rPr>
          <w:rFonts w:hint="eastAsia" w:ascii="宋体" w:hAnsi="宋体" w:eastAsia="宋体" w:cs="宋体"/>
          <w:color w:val="auto"/>
          <w:sz w:val="24"/>
        </w:rPr>
        <w:t>1.3、评审方法</w:t>
      </w:r>
    </w:p>
    <w:p>
      <w:pPr>
        <w:tabs>
          <w:tab w:val="left" w:pos="7665"/>
        </w:tabs>
        <w:spacing w:line="360" w:lineRule="auto"/>
        <w:ind w:firstLine="480" w:firstLineChars="200"/>
        <w:rPr>
          <w:rFonts w:hint="eastAsia" w:ascii="宋体" w:hAnsi="宋体" w:eastAsia="宋体" w:cs="宋体"/>
          <w:color w:val="auto"/>
          <w:sz w:val="24"/>
        </w:rPr>
      </w:pPr>
      <w:r>
        <w:rPr>
          <w:rFonts w:hint="eastAsia" w:ascii="宋体" w:hAnsi="宋体" w:cs="宋体"/>
          <w:color w:val="auto"/>
          <w:sz w:val="24"/>
          <w:lang w:val="en-US" w:eastAsia="zh-CN"/>
        </w:rPr>
        <w:t>11</w:t>
      </w:r>
      <w:r>
        <w:rPr>
          <w:rFonts w:hint="eastAsia" w:ascii="宋体" w:hAnsi="宋体" w:eastAsia="宋体" w:cs="宋体"/>
          <w:b/>
          <w:bCs/>
          <w:color w:val="auto"/>
          <w:sz w:val="24"/>
        </w:rPr>
        <w:t>.</w:t>
      </w:r>
      <w:r>
        <w:rPr>
          <w:rFonts w:hint="eastAsia" w:ascii="宋体" w:hAnsi="宋体" w:eastAsia="宋体" w:cs="宋体"/>
          <w:color w:val="auto"/>
          <w:sz w:val="24"/>
        </w:rPr>
        <w:t>1.4、采购内容及具体要求</w:t>
      </w:r>
    </w:p>
    <w:p>
      <w:pPr>
        <w:tabs>
          <w:tab w:val="left" w:pos="7665"/>
        </w:tabs>
        <w:spacing w:line="360" w:lineRule="auto"/>
        <w:ind w:firstLine="480" w:firstLineChars="200"/>
        <w:rPr>
          <w:rFonts w:hint="eastAsia" w:ascii="宋体" w:hAnsi="宋体" w:eastAsia="宋体" w:cs="宋体"/>
          <w:color w:val="auto"/>
          <w:sz w:val="24"/>
        </w:rPr>
      </w:pPr>
      <w:r>
        <w:rPr>
          <w:rFonts w:hint="eastAsia" w:ascii="宋体" w:hAnsi="宋体" w:cs="宋体"/>
          <w:color w:val="auto"/>
          <w:sz w:val="24"/>
          <w:lang w:val="en-US" w:eastAsia="zh-CN"/>
        </w:rPr>
        <w:t>11</w:t>
      </w:r>
      <w:r>
        <w:rPr>
          <w:rFonts w:hint="eastAsia" w:ascii="宋体" w:hAnsi="宋体" w:eastAsia="宋体" w:cs="宋体"/>
          <w:b/>
          <w:bCs/>
          <w:color w:val="auto"/>
          <w:sz w:val="24"/>
        </w:rPr>
        <w:t>.</w:t>
      </w:r>
      <w:r>
        <w:rPr>
          <w:rFonts w:hint="eastAsia" w:ascii="宋体" w:hAnsi="宋体" w:eastAsia="宋体" w:cs="宋体"/>
          <w:color w:val="auto"/>
          <w:sz w:val="24"/>
        </w:rPr>
        <w:t>1.5、合同主要条款</w:t>
      </w:r>
    </w:p>
    <w:p>
      <w:pPr>
        <w:tabs>
          <w:tab w:val="left" w:pos="7665"/>
        </w:tabs>
        <w:spacing w:line="360" w:lineRule="auto"/>
        <w:ind w:firstLine="480" w:firstLineChars="200"/>
        <w:rPr>
          <w:rFonts w:hint="eastAsia" w:ascii="宋体" w:hAnsi="宋体" w:eastAsia="宋体" w:cs="宋体"/>
          <w:color w:val="auto"/>
          <w:sz w:val="24"/>
        </w:rPr>
      </w:pPr>
      <w:r>
        <w:rPr>
          <w:rFonts w:hint="eastAsia" w:ascii="宋体" w:hAnsi="宋体" w:cs="宋体"/>
          <w:color w:val="auto"/>
          <w:sz w:val="24"/>
          <w:lang w:val="en-US" w:eastAsia="zh-CN"/>
        </w:rPr>
        <w:t>11</w:t>
      </w:r>
      <w:r>
        <w:rPr>
          <w:rFonts w:hint="eastAsia" w:ascii="宋体" w:hAnsi="宋体" w:eastAsia="宋体" w:cs="宋体"/>
          <w:b/>
          <w:bCs/>
          <w:color w:val="auto"/>
          <w:sz w:val="24"/>
        </w:rPr>
        <w:t>.</w:t>
      </w:r>
      <w:r>
        <w:rPr>
          <w:rFonts w:hint="eastAsia" w:ascii="宋体" w:hAnsi="宋体" w:eastAsia="宋体" w:cs="宋体"/>
          <w:color w:val="auto"/>
          <w:sz w:val="24"/>
        </w:rPr>
        <w:t>1.6、响应文件格式及构成</w:t>
      </w:r>
    </w:p>
    <w:p>
      <w:pPr>
        <w:spacing w:before="120" w:beforeLines="50" w:line="360" w:lineRule="auto"/>
        <w:rPr>
          <w:rFonts w:hint="eastAsia" w:ascii="宋体" w:hAnsi="宋体" w:eastAsia="宋体" w:cs="宋体"/>
          <w:b/>
          <w:color w:val="auto"/>
          <w:sz w:val="24"/>
        </w:rPr>
      </w:pPr>
      <w:r>
        <w:rPr>
          <w:rFonts w:hint="eastAsia" w:ascii="宋体" w:hAnsi="宋体" w:cs="宋体"/>
          <w:b/>
          <w:color w:val="auto"/>
          <w:sz w:val="24"/>
          <w:lang w:val="en-US" w:eastAsia="zh-CN"/>
        </w:rPr>
        <w:t>12</w:t>
      </w:r>
      <w:r>
        <w:rPr>
          <w:rFonts w:hint="eastAsia" w:ascii="宋体" w:hAnsi="宋体" w:eastAsia="宋体" w:cs="宋体"/>
          <w:b/>
          <w:color w:val="auto"/>
          <w:sz w:val="24"/>
        </w:rPr>
        <w:t>、竞争性磋商文件的澄清</w:t>
      </w:r>
      <w:bookmarkEnd w:id="1"/>
      <w:bookmarkEnd w:id="2"/>
      <w:r>
        <w:rPr>
          <w:rFonts w:hint="eastAsia" w:ascii="宋体" w:hAnsi="宋体" w:eastAsia="宋体" w:cs="宋体"/>
          <w:b/>
          <w:color w:val="auto"/>
          <w:sz w:val="24"/>
        </w:rPr>
        <w:t>和修改</w:t>
      </w:r>
      <w:bookmarkEnd w:id="3"/>
    </w:p>
    <w:p>
      <w:pPr>
        <w:adjustRightInd w:val="0"/>
        <w:snapToGrid w:val="0"/>
        <w:spacing w:line="360" w:lineRule="auto"/>
        <w:ind w:firstLine="480" w:firstLineChars="200"/>
        <w:rPr>
          <w:rFonts w:hint="eastAsia" w:ascii="宋体" w:hAnsi="宋体" w:eastAsia="宋体" w:cs="宋体"/>
          <w:color w:val="auto"/>
          <w:sz w:val="24"/>
        </w:rPr>
      </w:pPr>
      <w:r>
        <w:rPr>
          <w:rFonts w:hint="eastAsia" w:ascii="宋体" w:hAnsi="宋体" w:cs="宋体"/>
          <w:color w:val="auto"/>
          <w:sz w:val="24"/>
          <w:lang w:val="en-US" w:eastAsia="zh-CN"/>
        </w:rPr>
        <w:t>12</w:t>
      </w:r>
      <w:r>
        <w:rPr>
          <w:rFonts w:hint="eastAsia" w:ascii="宋体" w:hAnsi="宋体" w:eastAsia="宋体" w:cs="宋体"/>
          <w:color w:val="auto"/>
          <w:sz w:val="24"/>
        </w:rPr>
        <w:t>.1、采购代理机构可对已发出的磋商文件进行必要的修改、澄清或补正，修改、澄清或补正的内容在磋商截止时间前，以书面形式通知所有磋商文件收受人，该澄清或修改的内容为磋商文件的组成部分。</w:t>
      </w:r>
    </w:p>
    <w:p>
      <w:pPr>
        <w:adjustRightInd w:val="0"/>
        <w:snapToGrid w:val="0"/>
        <w:spacing w:line="360" w:lineRule="auto"/>
        <w:ind w:firstLine="480" w:firstLineChars="200"/>
        <w:rPr>
          <w:rFonts w:hint="eastAsia" w:ascii="宋体" w:hAnsi="宋体" w:eastAsia="宋体" w:cs="宋体"/>
          <w:color w:val="auto"/>
          <w:sz w:val="24"/>
        </w:rPr>
      </w:pPr>
      <w:r>
        <w:rPr>
          <w:rFonts w:hint="eastAsia" w:ascii="宋体" w:hAnsi="宋体" w:cs="宋体"/>
          <w:color w:val="auto"/>
          <w:sz w:val="24"/>
          <w:lang w:val="en-US" w:eastAsia="zh-CN"/>
        </w:rPr>
        <w:t>12</w:t>
      </w:r>
      <w:r>
        <w:rPr>
          <w:rFonts w:hint="eastAsia" w:ascii="宋体" w:hAnsi="宋体" w:eastAsia="宋体" w:cs="宋体"/>
          <w:color w:val="auto"/>
          <w:sz w:val="24"/>
        </w:rPr>
        <w:t>.2、供应商要求对磋商文件进行澄清的（技术参数有误、表述不清或认为磋商文件存在排他性条款），必须在磋商响应文件递交截止时间前，以书面形式送达采购代理机构（涉及技术参数问题的由采购组织机构转交采购人，由采购人在规定的时间内予以解释，其他问题由采购组织机构解释）；采购代理机构在磋商响应文件递交截止时间前以书面形式予以答复；必要时将书面答复传送给所有磋商文件收受人。没有提出异议视同完全接受磋商文件所有条款内容。</w:t>
      </w:r>
    </w:p>
    <w:p>
      <w:pPr>
        <w:adjustRightInd w:val="0"/>
        <w:snapToGrid w:val="0"/>
        <w:spacing w:line="360" w:lineRule="auto"/>
        <w:ind w:firstLine="480" w:firstLineChars="200"/>
        <w:rPr>
          <w:rFonts w:hint="eastAsia" w:ascii="宋体" w:hAnsi="宋体" w:eastAsia="宋体" w:cs="宋体"/>
          <w:color w:val="auto"/>
          <w:sz w:val="24"/>
          <w:lang w:eastAsia="zh-CN"/>
        </w:rPr>
      </w:pPr>
      <w:r>
        <w:rPr>
          <w:rFonts w:hint="eastAsia" w:ascii="宋体" w:hAnsi="宋体" w:cs="宋体"/>
          <w:color w:val="auto"/>
          <w:sz w:val="24"/>
          <w:lang w:val="en-US" w:eastAsia="zh-CN"/>
        </w:rPr>
        <w:t>12</w:t>
      </w:r>
      <w:r>
        <w:rPr>
          <w:rFonts w:hint="eastAsia" w:ascii="宋体" w:hAnsi="宋体" w:eastAsia="宋体" w:cs="宋体"/>
          <w:color w:val="auto"/>
          <w:sz w:val="24"/>
        </w:rPr>
        <w:t>.3、采购代理机构可以视采购具体情况，延长磋商响应文件递交截止时间和磋商时间，但至少在磋商文件要求的递交磋商响应文件的截止时间5日前，将变更时间书面通知所有磋商文件收受人，并在政府采购信息发布媒体上发布变更公告。</w:t>
      </w:r>
    </w:p>
    <w:p>
      <w:pPr>
        <w:adjustRightInd w:val="0"/>
        <w:snapToGrid w:val="0"/>
        <w:spacing w:line="360" w:lineRule="auto"/>
        <w:ind w:firstLine="480" w:firstLineChars="200"/>
        <w:rPr>
          <w:rFonts w:hint="eastAsia" w:ascii="宋体" w:hAnsi="宋体" w:eastAsia="宋体" w:cs="宋体"/>
          <w:color w:val="auto"/>
          <w:sz w:val="24"/>
        </w:rPr>
      </w:pPr>
      <w:r>
        <w:rPr>
          <w:rFonts w:hint="eastAsia" w:ascii="宋体" w:hAnsi="宋体" w:cs="宋体"/>
          <w:color w:val="auto"/>
          <w:sz w:val="24"/>
          <w:lang w:val="en-US" w:eastAsia="zh-CN"/>
        </w:rPr>
        <w:t>12</w:t>
      </w:r>
      <w:r>
        <w:rPr>
          <w:rFonts w:hint="eastAsia" w:ascii="宋体" w:hAnsi="宋体" w:eastAsia="宋体" w:cs="宋体"/>
          <w:color w:val="auto"/>
          <w:sz w:val="24"/>
        </w:rPr>
        <w:t>.4、磋商文件由采购代理机构登记发售，一经售出，恕不能退。</w:t>
      </w:r>
    </w:p>
    <w:p>
      <w:pPr>
        <w:adjustRightInd w:val="0"/>
        <w:snapToGrid w:val="0"/>
        <w:spacing w:line="360" w:lineRule="auto"/>
        <w:ind w:firstLine="480" w:firstLineChars="200"/>
        <w:rPr>
          <w:rFonts w:hint="eastAsia" w:ascii="宋体" w:hAnsi="宋体" w:eastAsia="宋体" w:cs="宋体"/>
          <w:color w:val="auto"/>
          <w:sz w:val="24"/>
        </w:rPr>
      </w:pPr>
      <w:r>
        <w:rPr>
          <w:rFonts w:hint="eastAsia" w:ascii="宋体" w:hAnsi="宋体" w:cs="宋体"/>
          <w:color w:val="auto"/>
          <w:sz w:val="24"/>
          <w:lang w:val="en-US" w:eastAsia="zh-CN"/>
        </w:rPr>
        <w:t>12</w:t>
      </w:r>
      <w:r>
        <w:rPr>
          <w:rFonts w:hint="eastAsia" w:ascii="宋体" w:hAnsi="宋体" w:eastAsia="宋体" w:cs="宋体"/>
          <w:color w:val="auto"/>
          <w:sz w:val="24"/>
        </w:rPr>
        <w:t>.5、供应商不得擅自转让、变卖或复制磋商文件进行磋商。</w:t>
      </w:r>
    </w:p>
    <w:p>
      <w:pPr>
        <w:adjustRightInd w:val="0"/>
        <w:snapToGrid w:val="0"/>
        <w:spacing w:before="120" w:beforeLines="50" w:after="120" w:afterLines="50" w:line="360" w:lineRule="auto"/>
        <w:rPr>
          <w:rFonts w:hint="eastAsia" w:ascii="宋体" w:hAnsi="宋体" w:eastAsia="宋体" w:cs="宋体"/>
          <w:b/>
          <w:color w:val="auto"/>
          <w:sz w:val="24"/>
        </w:rPr>
      </w:pPr>
      <w:r>
        <w:rPr>
          <w:rFonts w:hint="eastAsia" w:ascii="宋体" w:hAnsi="宋体" w:cs="宋体"/>
          <w:b/>
          <w:color w:val="auto"/>
          <w:sz w:val="24"/>
          <w:lang w:val="en-US" w:eastAsia="zh-CN"/>
        </w:rPr>
        <w:t>13</w:t>
      </w:r>
      <w:r>
        <w:rPr>
          <w:rFonts w:hint="eastAsia" w:ascii="宋体" w:hAnsi="宋体" w:eastAsia="宋体" w:cs="宋体"/>
          <w:b/>
          <w:color w:val="auto"/>
          <w:sz w:val="24"/>
        </w:rPr>
        <w:t>、竞争性磋商文件的解释权：</w:t>
      </w:r>
    </w:p>
    <w:p>
      <w:pPr>
        <w:adjustRightInd w:val="0"/>
        <w:snapToGrid w:val="0"/>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本项目竞争性磋商文件的解释权归采购代理机构所有，如发现竞争性磋商文件内容与现行相关法律法规不相符的情况，以现行法律法规为准。</w:t>
      </w:r>
    </w:p>
    <w:p>
      <w:pPr>
        <w:tabs>
          <w:tab w:val="left" w:pos="7665"/>
        </w:tabs>
        <w:spacing w:before="120" w:beforeLines="50" w:after="120" w:afterLines="50" w:line="360" w:lineRule="auto"/>
        <w:rPr>
          <w:rFonts w:hint="eastAsia" w:ascii="宋体" w:hAnsi="宋体" w:eastAsia="宋体" w:cs="宋体"/>
          <w:b/>
          <w:color w:val="auto"/>
          <w:kern w:val="0"/>
          <w:sz w:val="24"/>
        </w:rPr>
      </w:pPr>
      <w:r>
        <w:rPr>
          <w:rFonts w:hint="eastAsia" w:ascii="宋体" w:hAnsi="宋体" w:eastAsia="宋体" w:cs="宋体"/>
          <w:b/>
          <w:bCs/>
          <w:color w:val="auto"/>
          <w:sz w:val="24"/>
        </w:rPr>
        <w:t>三、响应文件</w:t>
      </w:r>
    </w:p>
    <w:p>
      <w:pPr>
        <w:tabs>
          <w:tab w:val="left" w:pos="720"/>
        </w:tabs>
        <w:snapToGrid w:val="0"/>
        <w:spacing w:before="120" w:beforeLines="50" w:after="120" w:afterLines="50" w:line="360" w:lineRule="auto"/>
        <w:rPr>
          <w:rFonts w:hint="eastAsia" w:ascii="宋体" w:hAnsi="宋体" w:eastAsia="宋体" w:cs="宋体"/>
          <w:b/>
          <w:color w:val="auto"/>
          <w:sz w:val="24"/>
        </w:rPr>
      </w:pPr>
      <w:r>
        <w:rPr>
          <w:rFonts w:hint="eastAsia" w:ascii="宋体" w:hAnsi="宋体" w:cs="宋体"/>
          <w:b/>
          <w:color w:val="auto"/>
          <w:sz w:val="24"/>
          <w:lang w:val="en-US" w:eastAsia="zh-CN"/>
        </w:rPr>
        <w:t>14</w:t>
      </w:r>
      <w:r>
        <w:rPr>
          <w:rFonts w:hint="eastAsia" w:ascii="宋体" w:hAnsi="宋体" w:eastAsia="宋体" w:cs="宋体"/>
          <w:b/>
          <w:color w:val="auto"/>
          <w:sz w:val="24"/>
        </w:rPr>
        <w:t>、</w:t>
      </w:r>
      <w:r>
        <w:rPr>
          <w:rFonts w:hint="eastAsia" w:ascii="宋体" w:hAnsi="宋体" w:cs="宋体"/>
          <w:b/>
          <w:color w:val="auto"/>
          <w:sz w:val="24"/>
          <w:lang w:eastAsia="zh-CN"/>
        </w:rPr>
        <w:t>磋商</w:t>
      </w:r>
      <w:r>
        <w:rPr>
          <w:rFonts w:hint="eastAsia" w:ascii="宋体" w:hAnsi="宋体" w:eastAsia="宋体" w:cs="宋体"/>
          <w:b/>
          <w:color w:val="auto"/>
          <w:sz w:val="24"/>
        </w:rPr>
        <w:t>响应文件的组成</w:t>
      </w:r>
    </w:p>
    <w:p>
      <w:pPr>
        <w:adjustRightInd w:val="0"/>
        <w:snapToGrid w:val="0"/>
        <w:spacing w:line="360" w:lineRule="auto"/>
        <w:ind w:firstLine="482" w:firstLineChars="200"/>
        <w:rPr>
          <w:rFonts w:hint="eastAsia" w:ascii="宋体" w:hAnsi="宋体" w:eastAsia="宋体" w:cs="宋体"/>
          <w:b/>
          <w:bCs/>
          <w:color w:val="auto"/>
          <w:sz w:val="24"/>
        </w:rPr>
      </w:pPr>
      <w:r>
        <w:rPr>
          <w:rFonts w:hint="eastAsia" w:ascii="宋体" w:hAnsi="宋体" w:cs="宋体"/>
          <w:b/>
          <w:bCs/>
          <w:color w:val="auto"/>
          <w:sz w:val="24"/>
          <w:lang w:val="en-US" w:eastAsia="zh-CN"/>
        </w:rPr>
        <w:t>14</w:t>
      </w:r>
      <w:r>
        <w:rPr>
          <w:rFonts w:hint="eastAsia" w:ascii="宋体" w:hAnsi="宋体" w:eastAsia="宋体" w:cs="宋体"/>
          <w:b/>
          <w:bCs/>
          <w:color w:val="auto"/>
          <w:sz w:val="24"/>
        </w:rPr>
        <w:t>.1、磋商响应文件主要包括以下内容：</w:t>
      </w:r>
    </w:p>
    <w:p>
      <w:pPr>
        <w:adjustRightInd w:val="0"/>
        <w:snapToGrid w:val="0"/>
        <w:spacing w:line="360" w:lineRule="auto"/>
        <w:ind w:firstLine="480" w:firstLineChars="200"/>
        <w:rPr>
          <w:rFonts w:hint="eastAsia" w:ascii="宋体" w:hAnsi="宋体" w:cs="宋体"/>
          <w:color w:val="auto"/>
          <w:sz w:val="24"/>
          <w:lang w:val="en-US" w:eastAsia="zh-CN"/>
        </w:rPr>
      </w:pPr>
      <w:r>
        <w:rPr>
          <w:rFonts w:hint="eastAsia" w:ascii="宋体" w:hAnsi="宋体" w:cs="宋体"/>
          <w:color w:val="auto"/>
          <w:sz w:val="24"/>
          <w:lang w:val="en-US" w:eastAsia="zh-CN"/>
        </w:rPr>
        <w:t>14.1.1、磋商响应函；</w:t>
      </w:r>
    </w:p>
    <w:p>
      <w:pPr>
        <w:adjustRightInd w:val="0"/>
        <w:snapToGrid w:val="0"/>
        <w:spacing w:line="360" w:lineRule="auto"/>
        <w:ind w:firstLine="480" w:firstLineChars="200"/>
        <w:rPr>
          <w:rFonts w:hint="eastAsia" w:ascii="宋体" w:hAnsi="宋体" w:cs="宋体"/>
          <w:color w:val="auto"/>
          <w:sz w:val="24"/>
          <w:lang w:val="en-US" w:eastAsia="zh-CN"/>
        </w:rPr>
      </w:pPr>
      <w:r>
        <w:rPr>
          <w:rFonts w:hint="eastAsia" w:ascii="宋体" w:hAnsi="宋体" w:cs="宋体"/>
          <w:color w:val="auto"/>
          <w:sz w:val="24"/>
          <w:lang w:val="en-US" w:eastAsia="zh-CN"/>
        </w:rPr>
        <w:t>14.1.2、法定代表人身份证明书；</w:t>
      </w:r>
    </w:p>
    <w:p>
      <w:pPr>
        <w:adjustRightInd w:val="0"/>
        <w:snapToGrid w:val="0"/>
        <w:spacing w:line="360" w:lineRule="auto"/>
        <w:ind w:firstLine="480" w:firstLineChars="200"/>
        <w:rPr>
          <w:rFonts w:hint="eastAsia" w:ascii="宋体" w:hAnsi="宋体" w:cs="宋体"/>
          <w:color w:val="auto"/>
          <w:sz w:val="24"/>
          <w:lang w:val="en-US" w:eastAsia="zh-CN"/>
        </w:rPr>
      </w:pPr>
      <w:r>
        <w:rPr>
          <w:rFonts w:hint="eastAsia" w:ascii="宋体" w:hAnsi="宋体" w:cs="宋体"/>
          <w:color w:val="auto"/>
          <w:sz w:val="24"/>
          <w:lang w:val="en-US" w:eastAsia="zh-CN"/>
        </w:rPr>
        <w:t>14.1.3、法定代表人授权委托书；</w:t>
      </w:r>
    </w:p>
    <w:p>
      <w:pPr>
        <w:adjustRightInd w:val="0"/>
        <w:snapToGrid w:val="0"/>
        <w:spacing w:line="360" w:lineRule="auto"/>
        <w:ind w:firstLine="480" w:firstLineChars="200"/>
        <w:rPr>
          <w:rFonts w:hint="eastAsia" w:ascii="宋体" w:hAnsi="宋体" w:cs="宋体"/>
          <w:color w:val="auto"/>
          <w:sz w:val="24"/>
          <w:lang w:val="en-US" w:eastAsia="zh-CN"/>
        </w:rPr>
      </w:pPr>
      <w:r>
        <w:rPr>
          <w:rFonts w:hint="eastAsia" w:ascii="宋体" w:hAnsi="宋体" w:cs="宋体"/>
          <w:color w:val="auto"/>
          <w:sz w:val="24"/>
          <w:lang w:val="en-US" w:eastAsia="zh-CN"/>
        </w:rPr>
        <w:t>14.1.4、开标一览表；</w:t>
      </w:r>
    </w:p>
    <w:p>
      <w:pPr>
        <w:adjustRightInd w:val="0"/>
        <w:snapToGrid w:val="0"/>
        <w:spacing w:line="360" w:lineRule="auto"/>
        <w:ind w:firstLine="480" w:firstLineChars="200"/>
        <w:rPr>
          <w:rFonts w:hint="eastAsia" w:ascii="宋体" w:hAnsi="宋体" w:cs="宋体"/>
          <w:color w:val="auto"/>
          <w:sz w:val="24"/>
          <w:lang w:val="en-US" w:eastAsia="zh-CN"/>
        </w:rPr>
      </w:pPr>
      <w:r>
        <w:rPr>
          <w:rFonts w:hint="eastAsia" w:ascii="宋体" w:hAnsi="宋体" w:cs="宋体"/>
          <w:color w:val="auto"/>
          <w:sz w:val="24"/>
          <w:lang w:val="en-US" w:eastAsia="zh-CN"/>
        </w:rPr>
        <w:t>14.1.5、资格审查资料；</w:t>
      </w:r>
    </w:p>
    <w:p>
      <w:pPr>
        <w:adjustRightInd w:val="0"/>
        <w:snapToGrid w:val="0"/>
        <w:spacing w:line="360" w:lineRule="auto"/>
        <w:ind w:firstLine="480" w:firstLineChars="200"/>
        <w:rPr>
          <w:rFonts w:hint="eastAsia" w:ascii="宋体" w:hAnsi="宋体" w:cs="宋体"/>
          <w:color w:val="auto"/>
          <w:sz w:val="24"/>
          <w:lang w:val="en-US" w:eastAsia="zh-CN"/>
        </w:rPr>
      </w:pPr>
      <w:r>
        <w:rPr>
          <w:rFonts w:hint="eastAsia" w:ascii="宋体" w:hAnsi="宋体" w:cs="宋体"/>
          <w:color w:val="auto"/>
          <w:sz w:val="24"/>
          <w:lang w:val="en-US" w:eastAsia="zh-CN"/>
        </w:rPr>
        <w:t>14.1.6、业绩证明；</w:t>
      </w:r>
    </w:p>
    <w:p>
      <w:pPr>
        <w:adjustRightInd w:val="0"/>
        <w:snapToGrid w:val="0"/>
        <w:spacing w:line="360" w:lineRule="auto"/>
        <w:ind w:firstLine="480" w:firstLineChars="200"/>
        <w:rPr>
          <w:rFonts w:hint="eastAsia" w:ascii="宋体" w:hAnsi="宋体" w:cs="宋体"/>
          <w:color w:val="auto"/>
          <w:sz w:val="24"/>
          <w:lang w:val="en-US" w:eastAsia="zh-CN"/>
        </w:rPr>
      </w:pPr>
      <w:r>
        <w:rPr>
          <w:rFonts w:hint="eastAsia" w:ascii="宋体" w:hAnsi="宋体" w:cs="宋体"/>
          <w:color w:val="auto"/>
          <w:sz w:val="24"/>
          <w:lang w:val="en-US" w:eastAsia="zh-CN"/>
        </w:rPr>
        <w:t>14.1.7、工程量清单报价表；</w:t>
      </w:r>
    </w:p>
    <w:p>
      <w:pPr>
        <w:adjustRightInd w:val="0"/>
        <w:snapToGrid w:val="0"/>
        <w:spacing w:line="360" w:lineRule="auto"/>
        <w:ind w:firstLine="480" w:firstLineChars="200"/>
        <w:rPr>
          <w:rFonts w:hint="eastAsia" w:ascii="宋体" w:hAnsi="宋体" w:cs="宋体"/>
          <w:color w:val="auto"/>
          <w:sz w:val="24"/>
          <w:lang w:val="en-US" w:eastAsia="zh-CN"/>
        </w:rPr>
      </w:pPr>
      <w:r>
        <w:rPr>
          <w:rFonts w:hint="eastAsia" w:ascii="宋体" w:hAnsi="宋体" w:cs="宋体"/>
          <w:color w:val="auto"/>
          <w:sz w:val="24"/>
          <w:lang w:val="en-US" w:eastAsia="zh-CN"/>
        </w:rPr>
        <w:t>14.1.8、技术方案；</w:t>
      </w:r>
    </w:p>
    <w:p>
      <w:pPr>
        <w:adjustRightInd w:val="0"/>
        <w:snapToGrid w:val="0"/>
        <w:spacing w:line="360" w:lineRule="auto"/>
        <w:ind w:firstLine="480" w:firstLineChars="200"/>
        <w:rPr>
          <w:rFonts w:hint="default" w:ascii="宋体" w:hAnsi="宋体" w:cs="宋体"/>
          <w:color w:val="auto"/>
          <w:sz w:val="24"/>
          <w:lang w:val="en-US" w:eastAsia="zh-CN"/>
        </w:rPr>
      </w:pPr>
      <w:r>
        <w:rPr>
          <w:rFonts w:hint="eastAsia" w:ascii="宋体" w:hAnsi="宋体" w:cs="宋体"/>
          <w:color w:val="auto"/>
          <w:sz w:val="24"/>
          <w:lang w:val="en-US" w:eastAsia="zh-CN"/>
        </w:rPr>
        <w:t>14.1.9、需要补充的其他内容。</w:t>
      </w:r>
    </w:p>
    <w:p>
      <w:pPr>
        <w:adjustRightInd w:val="0"/>
        <w:snapToGrid w:val="0"/>
        <w:spacing w:line="360" w:lineRule="auto"/>
        <w:ind w:firstLine="482" w:firstLineChars="200"/>
        <w:rPr>
          <w:rFonts w:hint="eastAsia" w:ascii="宋体" w:hAnsi="宋体" w:eastAsia="宋体" w:cs="宋体"/>
          <w:b/>
          <w:bCs/>
          <w:color w:val="auto"/>
          <w:sz w:val="24"/>
        </w:rPr>
      </w:pPr>
      <w:r>
        <w:rPr>
          <w:rFonts w:hint="eastAsia" w:ascii="宋体" w:hAnsi="宋体" w:cs="宋体"/>
          <w:b/>
          <w:bCs/>
          <w:color w:val="auto"/>
          <w:sz w:val="24"/>
          <w:lang w:val="en-US" w:eastAsia="zh-CN"/>
        </w:rPr>
        <w:t>14.2</w:t>
      </w:r>
      <w:r>
        <w:rPr>
          <w:rFonts w:hint="eastAsia" w:ascii="宋体" w:hAnsi="宋体" w:eastAsia="宋体" w:cs="宋体"/>
          <w:b/>
          <w:bCs/>
          <w:color w:val="auto"/>
          <w:sz w:val="24"/>
        </w:rPr>
        <w:t>、磋商报价部分：</w:t>
      </w:r>
    </w:p>
    <w:p>
      <w:pPr>
        <w:adjustRightInd w:val="0"/>
        <w:snapToGrid w:val="0"/>
        <w:spacing w:line="360" w:lineRule="auto"/>
        <w:ind w:firstLine="480" w:firstLineChars="200"/>
        <w:rPr>
          <w:rFonts w:hint="eastAsia" w:ascii="宋体" w:hAnsi="宋体" w:eastAsia="宋体" w:cs="宋体"/>
          <w:color w:val="auto"/>
          <w:sz w:val="24"/>
          <w:lang w:eastAsia="zh-CN"/>
        </w:rPr>
      </w:pPr>
      <w:r>
        <w:rPr>
          <w:rFonts w:hint="eastAsia" w:ascii="宋体" w:hAnsi="宋体" w:cs="宋体"/>
          <w:b w:val="0"/>
          <w:bCs w:val="0"/>
          <w:color w:val="auto"/>
          <w:sz w:val="24"/>
          <w:lang w:val="en-US" w:eastAsia="zh-CN"/>
        </w:rPr>
        <w:t>14.2.1、</w:t>
      </w:r>
      <w:r>
        <w:rPr>
          <w:rFonts w:hint="eastAsia" w:ascii="宋体" w:hAnsi="宋体" w:eastAsia="宋体" w:cs="宋体"/>
          <w:color w:val="auto"/>
          <w:sz w:val="24"/>
        </w:rPr>
        <w:t>磋商响应报价是供应商响应采购项目要求的全部工作内容的价格体现，包括完成采购内容所需的直接费、间接费、利润、税金及其它相关的一切费用。供应商在报价时应充分考虑所有可能发生的费用，并符合建设工程计价规则</w:t>
      </w:r>
      <w:r>
        <w:rPr>
          <w:rFonts w:hint="eastAsia" w:ascii="宋体" w:hAnsi="宋体" w:cs="宋体"/>
          <w:color w:val="auto"/>
          <w:sz w:val="24"/>
          <w:lang w:eastAsia="zh-CN"/>
        </w:rPr>
        <w:t>。</w:t>
      </w:r>
      <w:r>
        <w:rPr>
          <w:rFonts w:hint="eastAsia" w:ascii="宋体" w:hAnsi="宋体" w:eastAsia="宋体" w:cs="宋体"/>
          <w:color w:val="auto"/>
          <w:sz w:val="24"/>
        </w:rPr>
        <w:t>磋商文件未列明，而供应商认为应当计取的费用均应列入报价中。报价时不论是否计取，采购人均按已计取对待</w:t>
      </w:r>
      <w:r>
        <w:rPr>
          <w:rFonts w:hint="eastAsia" w:ascii="宋体" w:hAnsi="宋体" w:cs="宋体"/>
          <w:color w:val="auto"/>
          <w:sz w:val="24"/>
          <w:lang w:eastAsia="zh-CN"/>
        </w:rPr>
        <w:t>；</w:t>
      </w:r>
    </w:p>
    <w:p>
      <w:pPr>
        <w:adjustRightInd w:val="0"/>
        <w:snapToGrid w:val="0"/>
        <w:spacing w:line="360" w:lineRule="auto"/>
        <w:ind w:firstLine="480" w:firstLineChars="200"/>
        <w:rPr>
          <w:rFonts w:hint="eastAsia" w:ascii="宋体" w:hAnsi="宋体" w:cs="宋体"/>
          <w:color w:val="auto"/>
          <w:sz w:val="24"/>
          <w:lang w:eastAsia="zh-CN"/>
        </w:rPr>
      </w:pPr>
      <w:r>
        <w:rPr>
          <w:rFonts w:hint="eastAsia" w:ascii="宋体" w:hAnsi="宋体" w:cs="宋体"/>
          <w:color w:val="auto"/>
          <w:sz w:val="24"/>
          <w:lang w:val="en-US" w:eastAsia="zh-CN"/>
        </w:rPr>
        <w:t>14.2.2</w:t>
      </w:r>
      <w:r>
        <w:rPr>
          <w:rFonts w:hint="eastAsia" w:ascii="宋体" w:hAnsi="宋体" w:eastAsia="宋体" w:cs="宋体"/>
          <w:color w:val="auto"/>
          <w:sz w:val="24"/>
        </w:rPr>
        <w:t>、供应商应在响应文件中的首次磋商响应报价表上标明磋商响应总报价、工期等所列内容</w:t>
      </w:r>
      <w:r>
        <w:rPr>
          <w:rFonts w:hint="eastAsia" w:ascii="宋体" w:hAnsi="宋体" w:cs="宋体"/>
          <w:color w:val="auto"/>
          <w:sz w:val="24"/>
          <w:lang w:eastAsia="zh-CN"/>
        </w:rPr>
        <w:t>；</w:t>
      </w:r>
    </w:p>
    <w:p>
      <w:pPr>
        <w:adjustRightInd w:val="0"/>
        <w:snapToGrid w:val="0"/>
        <w:spacing w:line="360" w:lineRule="auto"/>
        <w:ind w:firstLine="482" w:firstLineChars="200"/>
        <w:rPr>
          <w:rFonts w:hint="eastAsia" w:ascii="宋体" w:hAnsi="宋体" w:cs="宋体"/>
          <w:b/>
          <w:bCs/>
          <w:color w:val="auto"/>
          <w:sz w:val="24"/>
          <w:lang w:val="en-US" w:eastAsia="zh-CN"/>
        </w:rPr>
      </w:pPr>
      <w:r>
        <w:rPr>
          <w:rFonts w:hint="eastAsia" w:ascii="宋体" w:hAnsi="宋体" w:cs="宋体"/>
          <w:b/>
          <w:bCs/>
          <w:color w:val="auto"/>
          <w:sz w:val="24"/>
          <w:lang w:val="en-US" w:eastAsia="zh-CN"/>
        </w:rPr>
        <w:t>14.2.3、本项目规定共两轮报价，第二轮报价即为最终报价；</w:t>
      </w:r>
    </w:p>
    <w:p>
      <w:pPr>
        <w:adjustRightInd w:val="0"/>
        <w:snapToGrid w:val="0"/>
        <w:spacing w:line="360" w:lineRule="auto"/>
        <w:ind w:firstLine="482" w:firstLineChars="200"/>
        <w:rPr>
          <w:rFonts w:hint="eastAsia" w:ascii="宋体" w:hAnsi="宋体" w:cs="宋体"/>
          <w:b/>
          <w:bCs/>
          <w:color w:val="auto"/>
          <w:sz w:val="24"/>
          <w:lang w:val="en-US" w:eastAsia="zh-CN"/>
        </w:rPr>
      </w:pPr>
      <w:r>
        <w:rPr>
          <w:rFonts w:hint="eastAsia" w:ascii="宋体" w:hAnsi="宋体" w:cs="宋体"/>
          <w:b/>
          <w:bCs/>
          <w:color w:val="auto"/>
          <w:sz w:val="24"/>
          <w:lang w:val="en-US" w:eastAsia="zh-CN"/>
        </w:rPr>
        <w:t>14.2.4、本项目采购预算金额见供应商须知前附表。供应商各轮次报价均不得超过采购预算金额；否则，按无效响应文件处理；</w:t>
      </w:r>
    </w:p>
    <w:p>
      <w:pPr>
        <w:adjustRightInd w:val="0"/>
        <w:snapToGrid w:val="0"/>
        <w:spacing w:line="360" w:lineRule="auto"/>
        <w:ind w:firstLine="480" w:firstLineChars="200"/>
        <w:rPr>
          <w:rFonts w:hint="eastAsia" w:ascii="宋体" w:hAnsi="宋体" w:cs="宋体"/>
          <w:b w:val="0"/>
          <w:bCs w:val="0"/>
          <w:color w:val="auto"/>
          <w:sz w:val="24"/>
          <w:lang w:val="en-US" w:eastAsia="zh-CN"/>
        </w:rPr>
      </w:pPr>
      <w:r>
        <w:rPr>
          <w:rFonts w:hint="eastAsia" w:ascii="宋体" w:hAnsi="宋体" w:cs="宋体"/>
          <w:b w:val="0"/>
          <w:bCs w:val="0"/>
          <w:color w:val="auto"/>
          <w:sz w:val="24"/>
          <w:lang w:val="en-US" w:eastAsia="zh-CN"/>
        </w:rPr>
        <w:t>14.2.5、供应商首次提交的响应文件，应按“磋商报价一览表”及“报价明细表(已</w:t>
      </w:r>
    </w:p>
    <w:p>
      <w:pPr>
        <w:adjustRightInd w:val="0"/>
        <w:snapToGrid w:val="0"/>
        <w:spacing w:line="360" w:lineRule="auto"/>
        <w:ind w:left="0" w:leftChars="0" w:firstLine="0" w:firstLineChars="0"/>
        <w:rPr>
          <w:rFonts w:hint="eastAsia" w:ascii="宋体" w:hAnsi="宋体" w:cs="宋体"/>
          <w:b w:val="0"/>
          <w:bCs w:val="0"/>
          <w:color w:val="auto"/>
          <w:sz w:val="24"/>
          <w:lang w:val="en-US" w:eastAsia="zh-CN"/>
        </w:rPr>
      </w:pPr>
      <w:r>
        <w:rPr>
          <w:rFonts w:hint="eastAsia" w:ascii="宋体" w:hAnsi="宋体" w:cs="宋体"/>
          <w:b w:val="0"/>
          <w:bCs w:val="0"/>
          <w:color w:val="auto"/>
          <w:sz w:val="24"/>
          <w:lang w:val="en-US" w:eastAsia="zh-CN"/>
        </w:rPr>
        <w:t>标价工程量清单)”的内容和格式要求自主报价。填写的项目编码、项目名称、项目特征、计量单位、工程量必须与采购人提供的一致；磋商报价中不得包含磋商文件要求以外的内容，否则，在评审时不予核减。如只有总价而无明细报价，或者只有明细报价而无总报价，将视为无效响应文件；</w:t>
      </w:r>
    </w:p>
    <w:p>
      <w:pPr>
        <w:adjustRightInd w:val="0"/>
        <w:snapToGrid w:val="0"/>
        <w:spacing w:line="360" w:lineRule="auto"/>
        <w:ind w:firstLine="482" w:firstLineChars="200"/>
        <w:rPr>
          <w:rFonts w:hint="eastAsia" w:ascii="宋体" w:hAnsi="宋体" w:cs="宋体"/>
          <w:b/>
          <w:bCs/>
          <w:color w:val="auto"/>
          <w:sz w:val="24"/>
          <w:lang w:val="en-US" w:eastAsia="zh-CN"/>
        </w:rPr>
      </w:pPr>
      <w:r>
        <w:rPr>
          <w:rFonts w:hint="eastAsia" w:ascii="宋体" w:hAnsi="宋体" w:cs="宋体"/>
          <w:b/>
          <w:bCs/>
          <w:color w:val="auto"/>
          <w:sz w:val="24"/>
          <w:lang w:val="en-US" w:eastAsia="zh-CN"/>
        </w:rPr>
        <w:t>14.2.6、供应商除首次磋商报价外，最终报价只报总价，不再填报报价明细表(已标价工程量清单)，由供应商法定代表人签字或者委托代理人签字或者加盖单位章确认；</w:t>
      </w:r>
    </w:p>
    <w:p>
      <w:pPr>
        <w:adjustRightInd w:val="0"/>
        <w:snapToGrid w:val="0"/>
        <w:spacing w:line="360" w:lineRule="auto"/>
        <w:ind w:firstLine="480" w:firstLineChars="200"/>
        <w:rPr>
          <w:rFonts w:hint="eastAsia" w:ascii="宋体" w:hAnsi="宋体" w:cs="宋体"/>
          <w:b w:val="0"/>
          <w:bCs w:val="0"/>
          <w:color w:val="auto"/>
          <w:sz w:val="24"/>
          <w:lang w:val="en-US" w:eastAsia="zh-CN"/>
        </w:rPr>
      </w:pPr>
      <w:r>
        <w:rPr>
          <w:rFonts w:hint="eastAsia" w:ascii="宋体" w:hAnsi="宋体" w:cs="宋体"/>
          <w:b w:val="0"/>
          <w:bCs w:val="0"/>
          <w:color w:val="auto"/>
          <w:sz w:val="24"/>
          <w:lang w:val="en-US" w:eastAsia="zh-CN"/>
        </w:rPr>
        <w:t>14.2.7、供应商不得以低于成本的报价参与磋商。当磋商小组认为，某供应商的报价或者部分分部分项报价存在明显不合理的低于成本的报价，有可能影响工程质量和不能诚信履约的，可要求该供应商在规定期限内，提供必要的书面文件予以解释和说明并附带相关证明材料；否则，磋商小组认定该供应商以低于成本价报价，其响应文件作无效响应文件处理；</w:t>
      </w:r>
    </w:p>
    <w:p>
      <w:pPr>
        <w:adjustRightInd w:val="0"/>
        <w:snapToGrid w:val="0"/>
        <w:spacing w:line="360" w:lineRule="auto"/>
        <w:ind w:firstLine="480" w:firstLineChars="200"/>
        <w:rPr>
          <w:rFonts w:hint="eastAsia" w:ascii="宋体" w:hAnsi="宋体" w:eastAsia="宋体" w:cs="宋体"/>
          <w:color w:val="auto"/>
          <w:sz w:val="24"/>
        </w:rPr>
      </w:pPr>
      <w:r>
        <w:rPr>
          <w:rFonts w:hint="eastAsia" w:ascii="宋体" w:hAnsi="宋体" w:cs="宋体"/>
          <w:color w:val="auto"/>
          <w:sz w:val="24"/>
          <w:lang w:val="en-US" w:eastAsia="zh-CN"/>
        </w:rPr>
        <w:t>14.2.8</w:t>
      </w:r>
      <w:r>
        <w:rPr>
          <w:rFonts w:hint="eastAsia" w:ascii="宋体" w:hAnsi="宋体" w:eastAsia="宋体" w:cs="宋体"/>
          <w:color w:val="auto"/>
          <w:sz w:val="24"/>
        </w:rPr>
        <w:t>、磋商响应报价货币：人民币；</w:t>
      </w:r>
    </w:p>
    <w:p>
      <w:pPr>
        <w:adjustRightInd w:val="0"/>
        <w:snapToGrid w:val="0"/>
        <w:spacing w:line="360" w:lineRule="auto"/>
        <w:ind w:firstLine="480" w:firstLineChars="200"/>
        <w:rPr>
          <w:rFonts w:hint="eastAsia" w:ascii="宋体" w:hAnsi="宋体" w:eastAsia="宋体" w:cs="宋体"/>
          <w:color w:val="auto"/>
          <w:sz w:val="24"/>
          <w:lang w:eastAsia="zh-CN"/>
        </w:rPr>
      </w:pPr>
      <w:r>
        <w:rPr>
          <w:rFonts w:hint="eastAsia" w:ascii="宋体" w:hAnsi="宋体" w:cs="宋体"/>
          <w:color w:val="auto"/>
          <w:sz w:val="24"/>
          <w:lang w:val="en-US" w:eastAsia="zh-CN"/>
        </w:rPr>
        <w:t>14.2.9</w:t>
      </w:r>
      <w:r>
        <w:rPr>
          <w:rFonts w:hint="eastAsia" w:ascii="宋体" w:hAnsi="宋体" w:eastAsia="宋体" w:cs="宋体"/>
          <w:color w:val="auto"/>
          <w:sz w:val="24"/>
        </w:rPr>
        <w:t>、磋商响应报价金额的小写与大写不一致时，以大写为准</w:t>
      </w:r>
      <w:r>
        <w:rPr>
          <w:rFonts w:hint="eastAsia" w:ascii="宋体" w:hAnsi="宋体" w:cs="宋体"/>
          <w:color w:val="auto"/>
          <w:sz w:val="24"/>
          <w:lang w:eastAsia="zh-CN"/>
        </w:rPr>
        <w:t>；</w:t>
      </w:r>
    </w:p>
    <w:p>
      <w:pPr>
        <w:adjustRightInd w:val="0"/>
        <w:snapToGrid w:val="0"/>
        <w:spacing w:line="360" w:lineRule="auto"/>
        <w:ind w:firstLine="480" w:firstLineChars="200"/>
        <w:rPr>
          <w:rFonts w:hint="eastAsia" w:ascii="宋体" w:hAnsi="宋体" w:eastAsia="宋体" w:cs="宋体"/>
          <w:color w:val="auto"/>
          <w:sz w:val="24"/>
          <w:lang w:eastAsia="zh-CN"/>
        </w:rPr>
      </w:pPr>
      <w:r>
        <w:rPr>
          <w:rFonts w:hint="eastAsia" w:ascii="宋体" w:hAnsi="宋体" w:cs="宋体"/>
          <w:color w:val="auto"/>
          <w:sz w:val="24"/>
          <w:lang w:val="en-US" w:eastAsia="zh-CN"/>
        </w:rPr>
        <w:t>14.2.10</w:t>
      </w:r>
      <w:r>
        <w:rPr>
          <w:rFonts w:hint="eastAsia" w:ascii="宋体" w:hAnsi="宋体" w:eastAsia="宋体" w:cs="宋体"/>
          <w:color w:val="auto"/>
          <w:sz w:val="24"/>
        </w:rPr>
        <w:t>、供应商在磋商截止时间前修改磋商函中的磋商总报价，应同时修改</w:t>
      </w:r>
      <w:r>
        <w:rPr>
          <w:rFonts w:hint="eastAsia" w:ascii="宋体" w:hAnsi="宋体" w:eastAsia="宋体" w:cs="宋体"/>
          <w:color w:val="auto"/>
          <w:sz w:val="24"/>
          <w:lang w:eastAsia="zh-CN"/>
        </w:rPr>
        <w:t>磋商</w:t>
      </w:r>
      <w:r>
        <w:rPr>
          <w:rFonts w:hint="eastAsia" w:ascii="宋体" w:hAnsi="宋体" w:eastAsia="宋体" w:cs="宋体"/>
          <w:color w:val="auto"/>
          <w:sz w:val="24"/>
        </w:rPr>
        <w:t>文件“已标价工程量清单”中的相应报价</w:t>
      </w:r>
      <w:r>
        <w:rPr>
          <w:rFonts w:hint="eastAsia" w:ascii="宋体" w:hAnsi="宋体" w:cs="宋体"/>
          <w:color w:val="auto"/>
          <w:sz w:val="24"/>
          <w:lang w:eastAsia="zh-CN"/>
        </w:rPr>
        <w:t>；</w:t>
      </w:r>
    </w:p>
    <w:p>
      <w:pPr>
        <w:adjustRightInd w:val="0"/>
        <w:snapToGrid w:val="0"/>
        <w:spacing w:line="360" w:lineRule="auto"/>
        <w:ind w:firstLine="482" w:firstLineChars="200"/>
        <w:rPr>
          <w:rFonts w:hint="eastAsia" w:ascii="宋体" w:hAnsi="宋体" w:cs="宋体"/>
          <w:b/>
          <w:bCs/>
          <w:color w:val="auto"/>
          <w:sz w:val="24"/>
          <w:lang w:val="en-US" w:eastAsia="zh-CN"/>
        </w:rPr>
      </w:pPr>
      <w:r>
        <w:rPr>
          <w:rFonts w:hint="eastAsia" w:ascii="宋体" w:hAnsi="宋体" w:cs="宋体"/>
          <w:b/>
          <w:bCs/>
          <w:color w:val="auto"/>
          <w:sz w:val="24"/>
          <w:lang w:val="en-US" w:eastAsia="zh-CN"/>
        </w:rPr>
        <w:t>14.3、最后报价：</w:t>
      </w:r>
    </w:p>
    <w:p>
      <w:pPr>
        <w:adjustRightInd w:val="0"/>
        <w:snapToGrid w:val="0"/>
        <w:spacing w:line="360" w:lineRule="auto"/>
        <w:ind w:firstLine="480" w:firstLineChars="200"/>
        <w:rPr>
          <w:rFonts w:hint="eastAsia" w:ascii="宋体" w:hAnsi="宋体" w:cs="宋体"/>
          <w:color w:val="auto"/>
          <w:sz w:val="24"/>
          <w:lang w:val="en-US" w:eastAsia="zh-CN"/>
        </w:rPr>
      </w:pPr>
      <w:r>
        <w:rPr>
          <w:rFonts w:hint="eastAsia" w:ascii="宋体" w:hAnsi="宋体" w:cs="宋体"/>
          <w:color w:val="auto"/>
          <w:sz w:val="24"/>
          <w:lang w:val="en-US" w:eastAsia="zh-CN"/>
        </w:rPr>
        <w:t>14.3.1、本采购工程采用结算方式：磋商文件中工程量清单范围内按固定总价合同进行结算。若现场发生变更的，据实结算；</w:t>
      </w:r>
    </w:p>
    <w:p>
      <w:pPr>
        <w:adjustRightInd w:val="0"/>
        <w:snapToGrid w:val="0"/>
        <w:spacing w:line="360" w:lineRule="auto"/>
        <w:ind w:firstLine="480" w:firstLineChars="200"/>
        <w:rPr>
          <w:rFonts w:hint="default" w:ascii="宋体" w:hAnsi="宋体" w:cs="宋体"/>
          <w:color w:val="auto"/>
          <w:sz w:val="24"/>
          <w:lang w:val="en-US" w:eastAsia="zh-CN"/>
        </w:rPr>
      </w:pPr>
      <w:r>
        <w:rPr>
          <w:rFonts w:hint="eastAsia" w:ascii="宋体" w:hAnsi="宋体" w:cs="宋体"/>
          <w:color w:val="auto"/>
          <w:sz w:val="24"/>
          <w:lang w:val="en-US" w:eastAsia="zh-CN"/>
        </w:rPr>
        <w:t>14.3.2、</w:t>
      </w:r>
      <w:r>
        <w:rPr>
          <w:rFonts w:hint="eastAsia" w:ascii="宋体" w:hAnsi="宋体" w:cs="宋体"/>
          <w:b/>
          <w:bCs/>
          <w:color w:val="auto"/>
          <w:sz w:val="24"/>
          <w:lang w:val="en-US" w:eastAsia="zh-CN"/>
        </w:rPr>
        <w:t>以可变动价格提交的报价将被认为是非实质响应而被拒绝。</w:t>
      </w:r>
      <w:r>
        <w:rPr>
          <w:rFonts w:hint="eastAsia" w:ascii="宋体" w:hAnsi="宋体" w:cs="宋体"/>
          <w:color w:val="auto"/>
          <w:sz w:val="24"/>
          <w:lang w:val="en-US" w:eastAsia="zh-CN"/>
        </w:rPr>
        <w:t>成交后投标人不得擅自改变工程范围内容、质量标准和工期。</w:t>
      </w:r>
    </w:p>
    <w:p>
      <w:pPr>
        <w:adjustRightInd w:val="0"/>
        <w:snapToGrid w:val="0"/>
        <w:spacing w:line="360" w:lineRule="auto"/>
        <w:ind w:firstLine="482" w:firstLineChars="200"/>
        <w:rPr>
          <w:rFonts w:hint="eastAsia" w:ascii="宋体" w:hAnsi="宋体" w:cs="宋体"/>
          <w:color w:val="auto"/>
          <w:sz w:val="24"/>
          <w:lang w:val="en-US" w:eastAsia="zh-CN"/>
        </w:rPr>
      </w:pPr>
      <w:r>
        <w:rPr>
          <w:rFonts w:hint="eastAsia" w:ascii="宋体" w:hAnsi="宋体" w:cs="宋体"/>
          <w:b/>
          <w:bCs/>
          <w:color w:val="auto"/>
          <w:sz w:val="24"/>
          <w:lang w:val="en-US" w:eastAsia="zh-CN"/>
        </w:rPr>
        <w:t>14.4、其他：</w:t>
      </w:r>
    </w:p>
    <w:p>
      <w:pPr>
        <w:adjustRightInd w:val="0"/>
        <w:snapToGrid w:val="0"/>
        <w:spacing w:line="360" w:lineRule="auto"/>
        <w:ind w:firstLine="480" w:firstLineChars="200"/>
        <w:rPr>
          <w:rFonts w:hint="eastAsia" w:ascii="宋体" w:hAnsi="宋体" w:eastAsia="宋体" w:cs="宋体"/>
          <w:color w:val="auto"/>
          <w:sz w:val="24"/>
          <w:lang w:eastAsia="zh-CN"/>
        </w:rPr>
      </w:pPr>
      <w:r>
        <w:rPr>
          <w:rFonts w:hint="eastAsia" w:ascii="宋体" w:hAnsi="宋体" w:cs="宋体"/>
          <w:color w:val="auto"/>
          <w:sz w:val="24"/>
          <w:lang w:val="en-US" w:eastAsia="zh-CN"/>
        </w:rPr>
        <w:t>14.4.1</w:t>
      </w:r>
      <w:r>
        <w:rPr>
          <w:rFonts w:hint="eastAsia" w:ascii="宋体" w:hAnsi="宋体" w:eastAsia="宋体" w:cs="宋体"/>
          <w:color w:val="auto"/>
          <w:sz w:val="24"/>
        </w:rPr>
        <w:t>、供应商如果发现工程量清单中的数量与图纸中数量不一致时，应立即通知采购人核查，除非采购人以书面方式予以更正，否则，应以工程量清单中列出的数量为准</w:t>
      </w:r>
      <w:r>
        <w:rPr>
          <w:rFonts w:hint="eastAsia" w:ascii="宋体" w:hAnsi="宋体" w:cs="宋体"/>
          <w:color w:val="auto"/>
          <w:sz w:val="24"/>
          <w:lang w:eastAsia="zh-CN"/>
        </w:rPr>
        <w:t>；</w:t>
      </w:r>
    </w:p>
    <w:p>
      <w:pPr>
        <w:adjustRightInd w:val="0"/>
        <w:snapToGrid w:val="0"/>
        <w:spacing w:line="360" w:lineRule="auto"/>
        <w:ind w:firstLine="480" w:firstLineChars="200"/>
        <w:rPr>
          <w:rFonts w:hint="eastAsia" w:ascii="宋体" w:hAnsi="宋体" w:eastAsia="宋体" w:cs="宋体"/>
          <w:color w:val="auto"/>
          <w:sz w:val="24"/>
          <w:lang w:eastAsia="zh-CN"/>
        </w:rPr>
      </w:pPr>
      <w:r>
        <w:rPr>
          <w:rFonts w:hint="eastAsia" w:ascii="宋体" w:hAnsi="宋体" w:cs="宋体"/>
          <w:color w:val="auto"/>
          <w:sz w:val="24"/>
          <w:lang w:val="en-US" w:eastAsia="zh-CN"/>
        </w:rPr>
        <w:t>14.4.2</w:t>
      </w:r>
      <w:r>
        <w:rPr>
          <w:rFonts w:hint="eastAsia" w:ascii="宋体" w:hAnsi="宋体" w:eastAsia="宋体" w:cs="宋体"/>
          <w:color w:val="auto"/>
          <w:sz w:val="24"/>
        </w:rPr>
        <w:t>、除采购人须知前附表另有规定外，采购人不接受调价函</w:t>
      </w:r>
      <w:r>
        <w:rPr>
          <w:rFonts w:hint="eastAsia" w:ascii="宋体" w:hAnsi="宋体" w:cs="宋体"/>
          <w:color w:val="auto"/>
          <w:sz w:val="24"/>
          <w:lang w:eastAsia="zh-CN"/>
        </w:rPr>
        <w:t>；</w:t>
      </w:r>
    </w:p>
    <w:p>
      <w:pPr>
        <w:adjustRightInd w:val="0"/>
        <w:snapToGrid w:val="0"/>
        <w:spacing w:line="360" w:lineRule="auto"/>
        <w:ind w:firstLine="480" w:firstLineChars="200"/>
        <w:rPr>
          <w:rFonts w:hint="eastAsia" w:ascii="宋体" w:hAnsi="宋体" w:eastAsia="宋体" w:cs="宋体"/>
          <w:color w:val="auto"/>
          <w:sz w:val="24"/>
          <w:lang w:eastAsia="zh-CN"/>
        </w:rPr>
      </w:pPr>
      <w:r>
        <w:rPr>
          <w:rFonts w:hint="eastAsia" w:ascii="宋体" w:hAnsi="宋体" w:cs="宋体"/>
          <w:color w:val="auto"/>
          <w:sz w:val="24"/>
          <w:lang w:val="en-US" w:eastAsia="zh-CN"/>
        </w:rPr>
        <w:t>14.4.3</w:t>
      </w:r>
      <w:r>
        <w:rPr>
          <w:rFonts w:hint="eastAsia" w:ascii="宋体" w:hAnsi="宋体" w:eastAsia="宋体" w:cs="宋体"/>
          <w:color w:val="auto"/>
          <w:sz w:val="24"/>
        </w:rPr>
        <w:t>、采购人设有最高限价的，供应商的磋商总报价不得超过最高限价，最高限价在供应商须知前附表中载明</w:t>
      </w:r>
      <w:r>
        <w:rPr>
          <w:rFonts w:hint="eastAsia" w:ascii="宋体" w:hAnsi="宋体" w:cs="宋体"/>
          <w:color w:val="auto"/>
          <w:sz w:val="24"/>
          <w:lang w:eastAsia="zh-CN"/>
        </w:rPr>
        <w:t>；</w:t>
      </w:r>
    </w:p>
    <w:p>
      <w:pPr>
        <w:adjustRightInd w:val="0"/>
        <w:snapToGrid w:val="0"/>
        <w:spacing w:line="360" w:lineRule="auto"/>
        <w:ind w:firstLine="480" w:firstLineChars="200"/>
        <w:rPr>
          <w:rFonts w:hint="eastAsia" w:ascii="宋体" w:hAnsi="宋体" w:eastAsia="宋体" w:cs="宋体"/>
          <w:color w:val="auto"/>
          <w:sz w:val="24"/>
          <w:lang w:eastAsia="zh-CN"/>
        </w:rPr>
      </w:pPr>
      <w:r>
        <w:rPr>
          <w:rFonts w:hint="eastAsia" w:ascii="宋体" w:hAnsi="宋体" w:cs="宋体"/>
          <w:color w:val="auto"/>
          <w:sz w:val="24"/>
          <w:lang w:val="en-US" w:eastAsia="zh-CN"/>
        </w:rPr>
        <w:t>14.4.4</w:t>
      </w:r>
      <w:r>
        <w:rPr>
          <w:rFonts w:hint="eastAsia" w:ascii="宋体" w:hAnsi="宋体" w:eastAsia="宋体" w:cs="宋体"/>
          <w:color w:val="auto"/>
          <w:sz w:val="24"/>
        </w:rPr>
        <w:t>、技术部分：供应商按照竞争性磋商文件要求做出技术应答</w:t>
      </w:r>
      <w:r>
        <w:rPr>
          <w:rFonts w:hint="eastAsia" w:ascii="宋体" w:hAnsi="宋体" w:cs="宋体"/>
          <w:color w:val="auto"/>
          <w:sz w:val="24"/>
          <w:lang w:eastAsia="zh-CN"/>
        </w:rPr>
        <w:t>；</w:t>
      </w:r>
    </w:p>
    <w:p>
      <w:pPr>
        <w:adjustRightInd w:val="0"/>
        <w:snapToGrid w:val="0"/>
        <w:spacing w:line="360" w:lineRule="auto"/>
        <w:ind w:firstLine="480" w:firstLineChars="200"/>
        <w:rPr>
          <w:rFonts w:hint="eastAsia" w:ascii="宋体" w:hAnsi="宋体" w:eastAsia="宋体" w:cs="宋体"/>
          <w:color w:val="auto"/>
          <w:sz w:val="24"/>
        </w:rPr>
      </w:pPr>
      <w:r>
        <w:rPr>
          <w:rFonts w:hint="eastAsia" w:ascii="宋体" w:hAnsi="宋体" w:cs="宋体"/>
          <w:color w:val="auto"/>
          <w:sz w:val="24"/>
          <w:lang w:val="en-US" w:eastAsia="zh-CN"/>
        </w:rPr>
        <w:t>14.4.5</w:t>
      </w:r>
      <w:r>
        <w:rPr>
          <w:rFonts w:hint="eastAsia" w:ascii="宋体" w:hAnsi="宋体" w:eastAsia="宋体" w:cs="宋体"/>
          <w:color w:val="auto"/>
          <w:sz w:val="24"/>
        </w:rPr>
        <w:t>、商务部分：供应商按照竞争性磋商文件要求做出完全响应。</w:t>
      </w:r>
    </w:p>
    <w:p>
      <w:pPr>
        <w:tabs>
          <w:tab w:val="left" w:pos="584"/>
          <w:tab w:val="left" w:pos="720"/>
        </w:tabs>
        <w:snapToGrid w:val="0"/>
        <w:spacing w:before="120" w:beforeLines="50" w:after="120" w:afterLines="50" w:line="360" w:lineRule="auto"/>
        <w:rPr>
          <w:rFonts w:hint="eastAsia" w:ascii="宋体" w:hAnsi="宋体" w:cs="宋体"/>
          <w:b/>
          <w:color w:val="auto"/>
          <w:sz w:val="24"/>
          <w:lang w:val="en-US" w:eastAsia="zh-CN"/>
        </w:rPr>
      </w:pPr>
      <w:r>
        <w:rPr>
          <w:rFonts w:hint="eastAsia" w:ascii="宋体" w:hAnsi="宋体" w:cs="宋体"/>
          <w:b/>
          <w:color w:val="auto"/>
          <w:sz w:val="24"/>
          <w:lang w:val="en-US" w:eastAsia="zh-CN"/>
        </w:rPr>
        <w:t>15、磋商有效期</w:t>
      </w:r>
    </w:p>
    <w:p>
      <w:pPr>
        <w:adjustRightInd w:val="0"/>
        <w:snapToGrid w:val="0"/>
        <w:spacing w:line="360" w:lineRule="auto"/>
        <w:ind w:firstLine="480" w:firstLineChars="200"/>
        <w:rPr>
          <w:rFonts w:hint="eastAsia" w:ascii="宋体" w:hAnsi="宋体" w:cs="宋体"/>
          <w:color w:val="auto"/>
          <w:sz w:val="24"/>
          <w:lang w:val="en-US" w:eastAsia="zh-CN"/>
        </w:rPr>
      </w:pPr>
      <w:r>
        <w:rPr>
          <w:rFonts w:hint="eastAsia" w:ascii="宋体" w:hAnsi="宋体" w:cs="宋体"/>
          <w:color w:val="auto"/>
          <w:sz w:val="24"/>
          <w:lang w:val="en-US" w:eastAsia="zh-CN"/>
        </w:rPr>
        <w:t>15.1、在供应商须知前附表规定的磋商有效期内，供应商不得要求撤回或修改其磋商响应文件；</w:t>
      </w:r>
    </w:p>
    <w:p>
      <w:pPr>
        <w:adjustRightInd w:val="0"/>
        <w:snapToGrid w:val="0"/>
        <w:spacing w:line="360" w:lineRule="auto"/>
        <w:ind w:firstLine="480" w:firstLineChars="200"/>
        <w:rPr>
          <w:rFonts w:hint="default" w:ascii="宋体" w:hAnsi="宋体" w:cs="宋体"/>
          <w:color w:val="auto"/>
          <w:sz w:val="24"/>
          <w:lang w:val="en-US" w:eastAsia="zh-CN"/>
        </w:rPr>
      </w:pPr>
      <w:r>
        <w:rPr>
          <w:rFonts w:hint="eastAsia" w:ascii="宋体" w:hAnsi="宋体" w:cs="宋体"/>
          <w:color w:val="auto"/>
          <w:sz w:val="24"/>
          <w:lang w:val="en-US" w:eastAsia="zh-CN"/>
        </w:rPr>
        <w:t>15.2、出现特殊情况需要延长磋商有效期的，采购人以书面形式通知所有供应商延长磋商有效期。供应商同意延长的，应相应延长其磋商保证金的有效期，但不得要求或被允许修改或撤回其磋商响应文件；供应商拒绝延长的，其投标失效，但供应商有权收回其磋商保证金。</w:t>
      </w:r>
    </w:p>
    <w:p>
      <w:pPr>
        <w:pStyle w:val="11"/>
        <w:spacing w:before="120" w:beforeLines="50" w:after="120" w:afterLines="50" w:line="360" w:lineRule="auto"/>
        <w:ind w:firstLine="0"/>
        <w:rPr>
          <w:rFonts w:hint="eastAsia" w:ascii="宋体" w:hAnsi="宋体" w:eastAsia="宋体" w:cs="宋体"/>
          <w:b/>
          <w:color w:val="auto"/>
          <w:sz w:val="24"/>
          <w:szCs w:val="24"/>
        </w:rPr>
      </w:pPr>
      <w:r>
        <w:rPr>
          <w:rFonts w:hint="eastAsia" w:ascii="宋体" w:hAnsi="宋体" w:cs="宋体"/>
          <w:b/>
          <w:bCs/>
          <w:color w:val="auto"/>
          <w:sz w:val="24"/>
          <w:szCs w:val="24"/>
          <w:lang w:val="en-US" w:eastAsia="zh-CN"/>
        </w:rPr>
        <w:t>16</w:t>
      </w:r>
      <w:r>
        <w:rPr>
          <w:rFonts w:hint="eastAsia" w:ascii="宋体" w:hAnsi="宋体" w:eastAsia="宋体" w:cs="宋体"/>
          <w:b/>
          <w:bCs/>
          <w:color w:val="auto"/>
          <w:sz w:val="24"/>
          <w:szCs w:val="24"/>
        </w:rPr>
        <w:t>、磋商保证金</w:t>
      </w:r>
    </w:p>
    <w:p>
      <w:pPr>
        <w:spacing w:line="360" w:lineRule="auto"/>
        <w:ind w:firstLine="470" w:firstLineChars="196"/>
        <w:rPr>
          <w:rFonts w:hint="eastAsia" w:ascii="宋体" w:hAnsi="宋体" w:eastAsia="宋体" w:cs="宋体"/>
          <w:color w:val="auto"/>
          <w:sz w:val="24"/>
          <w:lang w:eastAsia="zh-CN"/>
        </w:rPr>
      </w:pPr>
      <w:r>
        <w:rPr>
          <w:rFonts w:hint="eastAsia" w:ascii="宋体" w:hAnsi="宋体" w:cs="宋体"/>
          <w:color w:val="auto"/>
          <w:sz w:val="24"/>
          <w:lang w:val="en-US" w:eastAsia="zh-CN"/>
        </w:rPr>
        <w:t>16</w:t>
      </w:r>
      <w:r>
        <w:rPr>
          <w:rFonts w:hint="eastAsia" w:ascii="宋体" w:hAnsi="宋体" w:eastAsia="宋体" w:cs="宋体"/>
          <w:color w:val="auto"/>
          <w:sz w:val="24"/>
        </w:rPr>
        <w:t>.1、磋商保证金数额见供应商须知前列表</w:t>
      </w:r>
      <w:r>
        <w:rPr>
          <w:rFonts w:hint="eastAsia" w:ascii="宋体" w:hAnsi="宋体" w:cs="宋体"/>
          <w:color w:val="auto"/>
          <w:sz w:val="24"/>
          <w:lang w:eastAsia="zh-CN"/>
        </w:rPr>
        <w:t>；</w:t>
      </w:r>
    </w:p>
    <w:p>
      <w:pPr>
        <w:spacing w:line="360" w:lineRule="auto"/>
        <w:ind w:firstLine="470" w:firstLineChars="196"/>
        <w:rPr>
          <w:rFonts w:hint="eastAsia" w:ascii="宋体" w:hAnsi="宋体" w:eastAsia="宋体" w:cs="宋体"/>
          <w:color w:val="auto"/>
          <w:sz w:val="24"/>
          <w:lang w:eastAsia="zh-CN"/>
        </w:rPr>
      </w:pPr>
      <w:r>
        <w:rPr>
          <w:rFonts w:hint="eastAsia" w:ascii="宋体" w:hAnsi="宋体" w:cs="宋体"/>
          <w:color w:val="auto"/>
          <w:sz w:val="24"/>
          <w:lang w:val="en-US" w:eastAsia="zh-CN"/>
        </w:rPr>
        <w:t>16</w:t>
      </w:r>
      <w:r>
        <w:rPr>
          <w:rFonts w:hint="eastAsia" w:ascii="宋体" w:hAnsi="宋体" w:eastAsia="宋体" w:cs="宋体"/>
          <w:color w:val="auto"/>
          <w:sz w:val="24"/>
        </w:rPr>
        <w:t>.2、磋商保证金是为了保护采购人和采购代理机构免遭供应商的不良行为而蒙受损失。采购人和采购代理机构在因供应商的不良行为受到损害时，可根据竞争性磋商文件的规定不予退还其磋商保证金</w:t>
      </w:r>
      <w:r>
        <w:rPr>
          <w:rFonts w:hint="eastAsia" w:ascii="宋体" w:hAnsi="宋体" w:cs="宋体"/>
          <w:color w:val="auto"/>
          <w:sz w:val="24"/>
          <w:lang w:eastAsia="zh-CN"/>
        </w:rPr>
        <w:t>；</w:t>
      </w:r>
    </w:p>
    <w:p>
      <w:pPr>
        <w:spacing w:line="360" w:lineRule="auto"/>
        <w:ind w:firstLine="470" w:firstLineChars="196"/>
        <w:rPr>
          <w:rFonts w:hint="eastAsia" w:ascii="宋体" w:hAnsi="宋体" w:eastAsia="宋体" w:cs="宋体"/>
          <w:color w:val="auto"/>
          <w:sz w:val="24"/>
        </w:rPr>
      </w:pPr>
      <w:r>
        <w:rPr>
          <w:rFonts w:hint="eastAsia" w:ascii="宋体" w:hAnsi="宋体" w:cs="宋体"/>
          <w:color w:val="auto"/>
          <w:sz w:val="24"/>
          <w:lang w:val="en-US" w:eastAsia="zh-CN"/>
        </w:rPr>
        <w:t>16</w:t>
      </w:r>
      <w:r>
        <w:rPr>
          <w:rFonts w:hint="eastAsia" w:ascii="宋体" w:hAnsi="宋体" w:eastAsia="宋体" w:cs="宋体"/>
          <w:color w:val="auto"/>
          <w:sz w:val="24"/>
        </w:rPr>
        <w:t>.3、磋商保证金的提交</w:t>
      </w:r>
    </w:p>
    <w:p>
      <w:pPr>
        <w:spacing w:line="360" w:lineRule="auto"/>
        <w:ind w:firstLine="470" w:firstLineChars="196"/>
        <w:rPr>
          <w:rFonts w:hint="eastAsia" w:ascii="宋体" w:hAnsi="宋体" w:eastAsia="宋体" w:cs="宋体"/>
          <w:color w:val="auto"/>
          <w:sz w:val="24"/>
        </w:rPr>
      </w:pPr>
      <w:r>
        <w:rPr>
          <w:rFonts w:hint="eastAsia" w:ascii="宋体" w:hAnsi="宋体" w:cs="宋体"/>
          <w:color w:val="auto"/>
          <w:sz w:val="24"/>
          <w:lang w:val="en-US" w:eastAsia="zh-CN"/>
        </w:rPr>
        <w:t>16</w:t>
      </w:r>
      <w:r>
        <w:rPr>
          <w:rFonts w:hint="eastAsia" w:ascii="宋体" w:hAnsi="宋体" w:eastAsia="宋体" w:cs="宋体"/>
          <w:color w:val="auto"/>
          <w:sz w:val="24"/>
        </w:rPr>
        <w:t>.3.1、磋商保证金逾期缴纳的供应商，磋商响应文件将被拒绝。</w:t>
      </w:r>
    </w:p>
    <w:p>
      <w:pPr>
        <w:spacing w:line="360" w:lineRule="auto"/>
        <w:ind w:firstLine="470" w:firstLineChars="196"/>
        <w:rPr>
          <w:rFonts w:hint="eastAsia" w:ascii="宋体" w:hAnsi="宋体" w:eastAsia="宋体" w:cs="宋体"/>
          <w:color w:val="auto"/>
          <w:sz w:val="24"/>
        </w:rPr>
      </w:pPr>
      <w:r>
        <w:rPr>
          <w:rFonts w:hint="eastAsia" w:ascii="宋体" w:hAnsi="宋体" w:cs="宋体"/>
          <w:color w:val="auto"/>
          <w:sz w:val="24"/>
          <w:lang w:val="en-US" w:eastAsia="zh-CN"/>
        </w:rPr>
        <w:t>16</w:t>
      </w:r>
      <w:r>
        <w:rPr>
          <w:rFonts w:hint="eastAsia" w:ascii="宋体" w:hAnsi="宋体" w:eastAsia="宋体" w:cs="宋体"/>
          <w:color w:val="auto"/>
          <w:sz w:val="24"/>
        </w:rPr>
        <w:t>.3.2、磋商保证金应以银行转账或者金融机构、担保机构出具的保函等非现金形式提交。</w:t>
      </w:r>
    </w:p>
    <w:p>
      <w:pPr>
        <w:spacing w:line="360" w:lineRule="auto"/>
        <w:ind w:firstLine="470" w:firstLineChars="196"/>
        <w:rPr>
          <w:rFonts w:hint="eastAsia" w:ascii="宋体" w:hAnsi="宋体" w:eastAsia="宋体" w:cs="宋体"/>
          <w:color w:val="auto"/>
          <w:sz w:val="24"/>
        </w:rPr>
      </w:pPr>
      <w:r>
        <w:rPr>
          <w:rFonts w:hint="eastAsia" w:ascii="宋体" w:hAnsi="宋体" w:cs="宋体"/>
          <w:color w:val="auto"/>
          <w:sz w:val="24"/>
          <w:lang w:val="en-US" w:eastAsia="zh-CN"/>
        </w:rPr>
        <w:t>16</w:t>
      </w:r>
      <w:r>
        <w:rPr>
          <w:rFonts w:hint="eastAsia" w:ascii="宋体" w:hAnsi="宋体" w:eastAsia="宋体" w:cs="宋体"/>
          <w:color w:val="auto"/>
          <w:sz w:val="24"/>
        </w:rPr>
        <w:t>.3.3、提交</w:t>
      </w:r>
      <w:r>
        <w:rPr>
          <w:rFonts w:hint="eastAsia" w:ascii="宋体" w:hAnsi="宋体" w:eastAsia="宋体" w:cs="宋体"/>
          <w:color w:val="auto"/>
          <w:sz w:val="24"/>
          <w:lang w:eastAsia="zh-CN"/>
        </w:rPr>
        <w:t>磋商</w:t>
      </w:r>
      <w:r>
        <w:rPr>
          <w:rFonts w:hint="eastAsia" w:ascii="宋体" w:hAnsi="宋体" w:eastAsia="宋体" w:cs="宋体"/>
          <w:color w:val="auto"/>
          <w:sz w:val="24"/>
        </w:rPr>
        <w:t>保证金后，各供应商须将其缴纳的保证金凭证的复印件（加盖供应商红章）附在响应文件中，否则视为无效标书。</w:t>
      </w:r>
    </w:p>
    <w:p>
      <w:pPr>
        <w:spacing w:line="360" w:lineRule="auto"/>
        <w:ind w:firstLine="470" w:firstLineChars="196"/>
        <w:rPr>
          <w:rFonts w:hint="eastAsia" w:ascii="宋体" w:hAnsi="宋体" w:eastAsia="宋体" w:cs="宋体"/>
          <w:color w:val="auto"/>
          <w:sz w:val="24"/>
        </w:rPr>
      </w:pPr>
      <w:r>
        <w:rPr>
          <w:rFonts w:hint="eastAsia" w:ascii="宋体" w:hAnsi="宋体" w:cs="宋体"/>
          <w:color w:val="auto"/>
          <w:sz w:val="24"/>
          <w:lang w:val="en-US" w:eastAsia="zh-CN"/>
        </w:rPr>
        <w:t>16</w:t>
      </w:r>
      <w:r>
        <w:rPr>
          <w:rFonts w:hint="eastAsia" w:ascii="宋体" w:hAnsi="宋体" w:eastAsia="宋体" w:cs="宋体"/>
          <w:color w:val="auto"/>
          <w:sz w:val="24"/>
        </w:rPr>
        <w:t>.4、磋商保证金的退还：</w:t>
      </w:r>
    </w:p>
    <w:p>
      <w:pPr>
        <w:spacing w:line="360" w:lineRule="auto"/>
        <w:ind w:firstLine="470" w:firstLineChars="196"/>
        <w:rPr>
          <w:rFonts w:hint="eastAsia" w:ascii="宋体" w:hAnsi="宋体" w:eastAsia="宋体" w:cs="宋体"/>
          <w:color w:val="auto"/>
          <w:sz w:val="24"/>
        </w:rPr>
      </w:pPr>
      <w:r>
        <w:rPr>
          <w:rFonts w:hint="eastAsia" w:ascii="宋体" w:hAnsi="宋体" w:cs="宋体"/>
          <w:color w:val="auto"/>
          <w:sz w:val="24"/>
          <w:lang w:val="en-US" w:eastAsia="zh-CN"/>
        </w:rPr>
        <w:t>16</w:t>
      </w:r>
      <w:r>
        <w:rPr>
          <w:rFonts w:hint="eastAsia" w:ascii="宋体" w:hAnsi="宋体" w:eastAsia="宋体" w:cs="宋体"/>
          <w:color w:val="auto"/>
          <w:sz w:val="24"/>
        </w:rPr>
        <w:t>.4.1、未成交供应商的磋商保证金，将在成交通知书发出之日起5个工作日内全额退还</w:t>
      </w:r>
      <w:r>
        <w:rPr>
          <w:rFonts w:hint="eastAsia" w:ascii="宋体" w:hAnsi="宋体" w:cs="宋体"/>
          <w:b/>
          <w:bCs/>
          <w:color w:val="auto"/>
          <w:sz w:val="24"/>
          <w:u w:val="single"/>
          <w:lang w:eastAsia="zh-CN"/>
        </w:rPr>
        <w:t>（不计利息，退还时，未成交供应商须向采购代理机构返还开具的“磋商保证金收款收据原件”）</w:t>
      </w:r>
      <w:r>
        <w:rPr>
          <w:rFonts w:hint="eastAsia" w:ascii="宋体" w:hAnsi="宋体" w:eastAsia="宋体" w:cs="宋体"/>
          <w:color w:val="auto"/>
          <w:sz w:val="24"/>
        </w:rPr>
        <w:t>。成交供应商的磋商保证金，将在采购合同签订生效后5个工作日内全额退还</w:t>
      </w:r>
      <w:r>
        <w:rPr>
          <w:rFonts w:hint="eastAsia" w:ascii="宋体" w:hAnsi="宋体" w:eastAsia="宋体" w:cs="宋体"/>
          <w:b/>
          <w:bCs/>
          <w:color w:val="auto"/>
          <w:sz w:val="24"/>
          <w:u w:val="single"/>
        </w:rPr>
        <w:t>(</w:t>
      </w:r>
      <w:r>
        <w:rPr>
          <w:rFonts w:hint="eastAsia" w:ascii="宋体" w:hAnsi="宋体" w:cs="宋体"/>
          <w:b/>
          <w:bCs/>
          <w:color w:val="auto"/>
          <w:sz w:val="24"/>
          <w:u w:val="single"/>
          <w:lang w:eastAsia="zh-CN"/>
        </w:rPr>
        <w:t>不计利息，</w:t>
      </w:r>
      <w:r>
        <w:rPr>
          <w:rFonts w:hint="eastAsia" w:ascii="宋体" w:hAnsi="宋体" w:eastAsia="宋体" w:cs="宋体"/>
          <w:b/>
          <w:bCs/>
          <w:color w:val="auto"/>
          <w:sz w:val="24"/>
          <w:u w:val="single"/>
        </w:rPr>
        <w:t>退还时，</w:t>
      </w:r>
      <w:r>
        <w:rPr>
          <w:rFonts w:hint="eastAsia" w:ascii="宋体" w:hAnsi="宋体" w:eastAsia="宋体" w:cs="宋体"/>
          <w:b/>
          <w:bCs/>
          <w:color w:val="auto"/>
          <w:sz w:val="24"/>
          <w:u w:val="single"/>
          <w:lang w:eastAsia="zh-CN"/>
        </w:rPr>
        <w:t>成交供应商须向采购代理机构返还开具的“磋商保证金收款收据原件</w:t>
      </w:r>
      <w:r>
        <w:rPr>
          <w:rFonts w:hint="eastAsia" w:ascii="宋体" w:hAnsi="宋体" w:cs="宋体"/>
          <w:b/>
          <w:bCs/>
          <w:color w:val="auto"/>
          <w:sz w:val="24"/>
          <w:u w:val="single"/>
          <w:lang w:eastAsia="zh-CN"/>
        </w:rPr>
        <w:t>及</w:t>
      </w:r>
      <w:r>
        <w:rPr>
          <w:rFonts w:hint="eastAsia" w:ascii="宋体" w:hAnsi="宋体" w:eastAsia="宋体" w:cs="宋体"/>
          <w:b/>
          <w:bCs/>
          <w:color w:val="auto"/>
          <w:sz w:val="24"/>
          <w:u w:val="single"/>
        </w:rPr>
        <w:t>采购合同壹份</w:t>
      </w:r>
      <w:r>
        <w:rPr>
          <w:rFonts w:hint="eastAsia" w:ascii="宋体" w:hAnsi="宋体" w:cs="宋体"/>
          <w:b/>
          <w:bCs/>
          <w:color w:val="auto"/>
          <w:sz w:val="24"/>
          <w:u w:val="single"/>
          <w:lang w:eastAsia="zh-CN"/>
        </w:rPr>
        <w:t>）</w:t>
      </w:r>
      <w:r>
        <w:rPr>
          <w:rFonts w:hint="eastAsia" w:ascii="宋体" w:hAnsi="宋体" w:eastAsia="宋体" w:cs="宋体"/>
          <w:color w:val="auto"/>
          <w:sz w:val="24"/>
        </w:rPr>
        <w:t>。未及时办理退还者，由供应商自行负责。</w:t>
      </w:r>
    </w:p>
    <w:p>
      <w:pPr>
        <w:spacing w:line="360" w:lineRule="auto"/>
        <w:ind w:firstLine="470" w:firstLineChars="196"/>
        <w:rPr>
          <w:rFonts w:hint="eastAsia" w:ascii="宋体" w:hAnsi="宋体" w:eastAsia="宋体" w:cs="宋体"/>
          <w:color w:val="auto"/>
          <w:sz w:val="24"/>
        </w:rPr>
      </w:pPr>
      <w:r>
        <w:rPr>
          <w:rFonts w:hint="eastAsia" w:ascii="宋体" w:hAnsi="宋体" w:cs="宋体"/>
          <w:color w:val="auto"/>
          <w:sz w:val="24"/>
          <w:lang w:val="en-US" w:eastAsia="zh-CN"/>
        </w:rPr>
        <w:t>16</w:t>
      </w:r>
      <w:r>
        <w:rPr>
          <w:rFonts w:hint="eastAsia" w:ascii="宋体" w:hAnsi="宋体" w:eastAsia="宋体" w:cs="宋体"/>
          <w:color w:val="auto"/>
          <w:sz w:val="24"/>
        </w:rPr>
        <w:t>.4.2、下列任何情况发生时，采购代理机构将不予退还供应商交纳的磋商保证金：</w:t>
      </w:r>
    </w:p>
    <w:p>
      <w:pPr>
        <w:spacing w:line="360" w:lineRule="auto"/>
        <w:ind w:firstLine="470" w:firstLineChars="196"/>
        <w:rPr>
          <w:rFonts w:hint="eastAsia" w:ascii="宋体" w:hAnsi="宋体" w:eastAsia="宋体" w:cs="宋体"/>
          <w:color w:val="auto"/>
          <w:sz w:val="24"/>
        </w:rPr>
      </w:pPr>
      <w:r>
        <w:rPr>
          <w:rFonts w:hint="eastAsia" w:ascii="宋体" w:hAnsi="宋体" w:cs="宋体"/>
          <w:color w:val="auto"/>
          <w:sz w:val="24"/>
          <w:lang w:val="en-US" w:eastAsia="zh-CN"/>
        </w:rPr>
        <w:t>16</w:t>
      </w:r>
      <w:r>
        <w:rPr>
          <w:rFonts w:hint="eastAsia" w:ascii="宋体" w:hAnsi="宋体" w:eastAsia="宋体" w:cs="宋体"/>
          <w:color w:val="auto"/>
          <w:sz w:val="24"/>
        </w:rPr>
        <w:t>.4.2.1、供应商在竞争性磋商文件规定的</w:t>
      </w:r>
      <w:r>
        <w:rPr>
          <w:rFonts w:hint="eastAsia" w:ascii="宋体" w:hAnsi="宋体" w:eastAsia="宋体" w:cs="宋体"/>
          <w:color w:val="auto"/>
          <w:sz w:val="24"/>
          <w:lang w:eastAsia="zh-CN"/>
        </w:rPr>
        <w:t>磋商</w:t>
      </w:r>
      <w:r>
        <w:rPr>
          <w:rFonts w:hint="eastAsia" w:ascii="宋体" w:hAnsi="宋体" w:eastAsia="宋体" w:cs="宋体"/>
          <w:color w:val="auto"/>
          <w:sz w:val="24"/>
        </w:rPr>
        <w:t>有效期内撤回磋商响应文件的；</w:t>
      </w:r>
    </w:p>
    <w:p>
      <w:pPr>
        <w:spacing w:line="360" w:lineRule="auto"/>
        <w:ind w:firstLine="470" w:firstLineChars="196"/>
        <w:rPr>
          <w:rFonts w:hint="eastAsia" w:ascii="宋体" w:hAnsi="宋体" w:eastAsia="宋体" w:cs="宋体"/>
          <w:color w:val="auto"/>
          <w:sz w:val="24"/>
        </w:rPr>
      </w:pPr>
      <w:r>
        <w:rPr>
          <w:rFonts w:hint="eastAsia" w:ascii="宋体" w:hAnsi="宋体" w:cs="宋体"/>
          <w:color w:val="auto"/>
          <w:sz w:val="24"/>
          <w:lang w:val="en-US" w:eastAsia="zh-CN"/>
        </w:rPr>
        <w:t>16</w:t>
      </w:r>
      <w:r>
        <w:rPr>
          <w:rFonts w:hint="eastAsia" w:ascii="宋体" w:hAnsi="宋体" w:eastAsia="宋体" w:cs="宋体"/>
          <w:color w:val="auto"/>
          <w:sz w:val="24"/>
        </w:rPr>
        <w:t>.4.2.2、由于成交供应商的原因未能按照竞争性磋商文件的规定与采购人签订合同的；</w:t>
      </w:r>
    </w:p>
    <w:p>
      <w:pPr>
        <w:spacing w:line="360" w:lineRule="auto"/>
        <w:ind w:firstLine="480" w:firstLineChars="200"/>
        <w:rPr>
          <w:rFonts w:hint="eastAsia" w:ascii="宋体" w:hAnsi="宋体" w:eastAsia="宋体" w:cs="宋体"/>
          <w:color w:val="auto"/>
          <w:sz w:val="24"/>
        </w:rPr>
      </w:pPr>
      <w:r>
        <w:rPr>
          <w:rFonts w:hint="eastAsia" w:ascii="宋体" w:hAnsi="宋体" w:cs="宋体"/>
          <w:color w:val="auto"/>
          <w:sz w:val="24"/>
          <w:lang w:val="en-US" w:eastAsia="zh-CN"/>
        </w:rPr>
        <w:t>16</w:t>
      </w:r>
      <w:r>
        <w:rPr>
          <w:rFonts w:hint="eastAsia" w:ascii="宋体" w:hAnsi="宋体" w:eastAsia="宋体" w:cs="宋体"/>
          <w:color w:val="auto"/>
          <w:sz w:val="24"/>
        </w:rPr>
        <w:t>.4.2.3、由于成交供应商的原因未能在规定时间内领取《成交通知书》的；</w:t>
      </w:r>
    </w:p>
    <w:p>
      <w:pPr>
        <w:spacing w:line="360" w:lineRule="auto"/>
        <w:ind w:firstLine="480" w:firstLineChars="200"/>
        <w:rPr>
          <w:rFonts w:hint="eastAsia" w:ascii="宋体" w:hAnsi="宋体" w:eastAsia="宋体" w:cs="宋体"/>
          <w:color w:val="auto"/>
          <w:sz w:val="24"/>
        </w:rPr>
      </w:pPr>
      <w:r>
        <w:rPr>
          <w:rFonts w:hint="eastAsia" w:ascii="宋体" w:hAnsi="宋体" w:cs="宋体"/>
          <w:color w:val="auto"/>
          <w:sz w:val="24"/>
          <w:lang w:val="en-US" w:eastAsia="zh-CN"/>
        </w:rPr>
        <w:t>16</w:t>
      </w:r>
      <w:r>
        <w:rPr>
          <w:rFonts w:hint="eastAsia" w:ascii="宋体" w:hAnsi="宋体" w:eastAsia="宋体" w:cs="宋体"/>
          <w:color w:val="auto"/>
          <w:sz w:val="24"/>
        </w:rPr>
        <w:t>.4.2.4、由于成交供应商的原因未能按竞争性磋商文件规定支付采购代理服务费的（</w:t>
      </w:r>
      <w:r>
        <w:rPr>
          <w:rFonts w:hint="eastAsia" w:ascii="宋体" w:hAnsi="宋体" w:eastAsia="宋体" w:cs="宋体"/>
          <w:color w:val="auto"/>
          <w:sz w:val="24"/>
          <w:lang w:eastAsia="zh-CN"/>
        </w:rPr>
        <w:t>注：</w:t>
      </w:r>
      <w:r>
        <w:rPr>
          <w:rFonts w:hint="eastAsia" w:ascii="宋体" w:hAnsi="宋体" w:eastAsia="宋体" w:cs="宋体"/>
          <w:color w:val="auto"/>
          <w:sz w:val="24"/>
        </w:rPr>
        <w:t>视采购代理协议条款约定</w:t>
      </w:r>
      <w:r>
        <w:rPr>
          <w:rFonts w:hint="eastAsia" w:ascii="宋体" w:hAnsi="宋体" w:cs="宋体"/>
          <w:color w:val="auto"/>
          <w:sz w:val="24"/>
          <w:lang w:eastAsia="zh-CN"/>
        </w:rPr>
        <w:t>，如需</w:t>
      </w:r>
      <w:r>
        <w:rPr>
          <w:rFonts w:hint="eastAsia" w:ascii="宋体" w:hAnsi="宋体" w:eastAsia="宋体" w:cs="宋体"/>
          <w:color w:val="auto"/>
          <w:sz w:val="24"/>
        </w:rPr>
        <w:t>）；</w:t>
      </w:r>
    </w:p>
    <w:p>
      <w:pPr>
        <w:spacing w:line="360" w:lineRule="auto"/>
        <w:ind w:firstLine="480" w:firstLineChars="200"/>
        <w:rPr>
          <w:rFonts w:hint="eastAsia" w:ascii="宋体" w:hAnsi="宋体" w:eastAsia="宋体" w:cs="宋体"/>
          <w:color w:val="auto"/>
          <w:sz w:val="24"/>
        </w:rPr>
      </w:pPr>
      <w:r>
        <w:rPr>
          <w:rFonts w:hint="eastAsia" w:ascii="宋体" w:hAnsi="宋体" w:cs="宋体"/>
          <w:color w:val="auto"/>
          <w:sz w:val="24"/>
          <w:lang w:val="en-US" w:eastAsia="zh-CN"/>
        </w:rPr>
        <w:t>16</w:t>
      </w:r>
      <w:r>
        <w:rPr>
          <w:rFonts w:hint="eastAsia" w:ascii="宋体" w:hAnsi="宋体" w:eastAsia="宋体" w:cs="宋体"/>
          <w:color w:val="auto"/>
          <w:sz w:val="24"/>
        </w:rPr>
        <w:t>.4.2.5、由于成交供应商的原因未能按竞争性磋商文件规定缴纳履约保证金的</w:t>
      </w:r>
      <w:r>
        <w:rPr>
          <w:rFonts w:hint="eastAsia" w:ascii="宋体" w:hAnsi="宋体" w:cs="宋体"/>
          <w:color w:val="auto"/>
          <w:sz w:val="24"/>
          <w:lang w:eastAsia="zh-CN"/>
        </w:rPr>
        <w:t>（如需）</w:t>
      </w:r>
      <w:r>
        <w:rPr>
          <w:rFonts w:hint="eastAsia" w:ascii="宋体" w:hAnsi="宋体" w:eastAsia="宋体" w:cs="宋体"/>
          <w:color w:val="auto"/>
          <w:sz w:val="24"/>
        </w:rPr>
        <w:t>；</w:t>
      </w:r>
    </w:p>
    <w:p>
      <w:pPr>
        <w:spacing w:line="360" w:lineRule="auto"/>
        <w:ind w:firstLine="480" w:firstLineChars="200"/>
        <w:rPr>
          <w:rFonts w:hint="eastAsia" w:ascii="宋体" w:hAnsi="宋体" w:eastAsia="宋体" w:cs="宋体"/>
          <w:color w:val="auto"/>
          <w:sz w:val="24"/>
        </w:rPr>
      </w:pPr>
      <w:r>
        <w:rPr>
          <w:rFonts w:hint="eastAsia" w:ascii="宋体" w:hAnsi="宋体" w:cs="宋体"/>
          <w:color w:val="auto"/>
          <w:sz w:val="24"/>
          <w:lang w:val="en-US" w:eastAsia="zh-CN"/>
        </w:rPr>
        <w:t>16</w:t>
      </w:r>
      <w:r>
        <w:rPr>
          <w:rFonts w:hint="eastAsia" w:ascii="宋体" w:hAnsi="宋体" w:eastAsia="宋体" w:cs="宋体"/>
          <w:color w:val="auto"/>
          <w:sz w:val="24"/>
        </w:rPr>
        <w:t>.4.2.6、供应商违反磋商响应文件中承诺函相关内容和条款的；</w:t>
      </w:r>
    </w:p>
    <w:p>
      <w:pPr>
        <w:spacing w:line="360" w:lineRule="auto"/>
        <w:ind w:firstLine="480" w:firstLineChars="200"/>
        <w:rPr>
          <w:rFonts w:hint="eastAsia" w:ascii="宋体" w:hAnsi="宋体" w:eastAsia="宋体" w:cs="宋体"/>
          <w:color w:val="auto"/>
          <w:sz w:val="24"/>
        </w:rPr>
      </w:pPr>
      <w:r>
        <w:rPr>
          <w:rFonts w:hint="eastAsia" w:ascii="宋体" w:hAnsi="宋体" w:cs="宋体"/>
          <w:color w:val="auto"/>
          <w:sz w:val="24"/>
          <w:lang w:val="en-US" w:eastAsia="zh-CN"/>
        </w:rPr>
        <w:t>16</w:t>
      </w:r>
      <w:r>
        <w:rPr>
          <w:rFonts w:hint="eastAsia" w:ascii="宋体" w:hAnsi="宋体" w:eastAsia="宋体" w:cs="宋体"/>
          <w:color w:val="auto"/>
          <w:sz w:val="24"/>
        </w:rPr>
        <w:t>.4.2.7、</w:t>
      </w:r>
      <w:r>
        <w:rPr>
          <w:rFonts w:hint="eastAsia" w:ascii="宋体" w:hAnsi="宋体" w:eastAsia="宋体" w:cs="宋体"/>
          <w:color w:val="auto"/>
          <w:sz w:val="24"/>
          <w:lang w:eastAsia="zh-CN"/>
        </w:rPr>
        <w:t>磋商</w:t>
      </w:r>
      <w:r>
        <w:rPr>
          <w:rFonts w:hint="eastAsia" w:ascii="宋体" w:hAnsi="宋体" w:eastAsia="宋体" w:cs="宋体"/>
          <w:color w:val="auto"/>
          <w:sz w:val="24"/>
        </w:rPr>
        <w:t>有效期内，供应商在政府采购活动中有违规、违纪和违法行为的；</w:t>
      </w:r>
    </w:p>
    <w:p>
      <w:pPr>
        <w:spacing w:line="360" w:lineRule="auto"/>
        <w:ind w:firstLine="480" w:firstLineChars="200"/>
        <w:rPr>
          <w:rFonts w:hint="eastAsia" w:ascii="宋体" w:hAnsi="宋体" w:cs="宋体"/>
          <w:color w:val="auto"/>
          <w:sz w:val="24"/>
          <w:lang w:eastAsia="zh-CN"/>
        </w:rPr>
      </w:pPr>
      <w:r>
        <w:rPr>
          <w:rFonts w:hint="eastAsia" w:ascii="宋体" w:hAnsi="宋体" w:cs="宋体"/>
          <w:color w:val="auto"/>
          <w:sz w:val="24"/>
          <w:lang w:val="en-US" w:eastAsia="zh-CN"/>
        </w:rPr>
        <w:t>16</w:t>
      </w:r>
      <w:r>
        <w:rPr>
          <w:rFonts w:hint="eastAsia" w:ascii="宋体" w:hAnsi="宋体" w:eastAsia="宋体" w:cs="宋体"/>
          <w:color w:val="auto"/>
          <w:sz w:val="24"/>
        </w:rPr>
        <w:t>.4.2.8、供应商成交后将成交项目转让给他人，或者在竞争性磋商响应文件中未说明，且未经采购人同意，将成交项目分包给他人的</w:t>
      </w:r>
      <w:r>
        <w:rPr>
          <w:rFonts w:hint="eastAsia" w:ascii="宋体" w:hAnsi="宋体" w:cs="宋体"/>
          <w:color w:val="auto"/>
          <w:sz w:val="24"/>
          <w:lang w:eastAsia="zh-CN"/>
        </w:rPr>
        <w:t>；</w:t>
      </w:r>
    </w:p>
    <w:p>
      <w:pPr>
        <w:spacing w:line="360" w:lineRule="auto"/>
        <w:ind w:firstLine="480" w:firstLineChars="200"/>
        <w:rPr>
          <w:rFonts w:hint="eastAsia" w:ascii="宋体" w:hAnsi="宋体" w:cs="宋体"/>
          <w:color w:val="auto"/>
          <w:sz w:val="24"/>
          <w:lang w:val="en-US" w:eastAsia="zh-CN"/>
        </w:rPr>
      </w:pPr>
      <w:r>
        <w:rPr>
          <w:rFonts w:hint="eastAsia" w:ascii="宋体" w:hAnsi="宋体" w:cs="宋体"/>
          <w:color w:val="auto"/>
          <w:sz w:val="24"/>
          <w:lang w:val="en-US" w:eastAsia="zh-CN"/>
        </w:rPr>
        <w:t>16.4.2.9、供应商在竞争性磋商响应文件中提供伪造、套改、虚假资料参加磋商的；</w:t>
      </w:r>
    </w:p>
    <w:p>
      <w:pPr>
        <w:spacing w:line="360" w:lineRule="auto"/>
        <w:ind w:firstLine="480" w:firstLineChars="200"/>
        <w:rPr>
          <w:rFonts w:hint="eastAsia" w:ascii="宋体" w:hAnsi="宋体" w:cs="宋体"/>
          <w:color w:val="auto"/>
          <w:sz w:val="24"/>
          <w:lang w:val="en-US" w:eastAsia="zh-CN"/>
        </w:rPr>
      </w:pPr>
      <w:r>
        <w:rPr>
          <w:rFonts w:hint="eastAsia" w:ascii="宋体" w:hAnsi="宋体" w:cs="宋体"/>
          <w:color w:val="auto"/>
          <w:sz w:val="24"/>
          <w:lang w:val="en-US" w:eastAsia="zh-CN"/>
        </w:rPr>
        <w:t>16.4.2.10、供应商事先未告知无故不参加磋商活动的；</w:t>
      </w:r>
    </w:p>
    <w:p>
      <w:pPr>
        <w:spacing w:line="360" w:lineRule="auto"/>
        <w:ind w:firstLine="480" w:firstLineChars="200"/>
        <w:rPr>
          <w:rFonts w:hint="default" w:ascii="宋体" w:hAnsi="宋体" w:eastAsia="宋体" w:cs="宋体"/>
          <w:color w:val="auto"/>
          <w:kern w:val="2"/>
          <w:sz w:val="24"/>
          <w:szCs w:val="24"/>
          <w:lang w:val="en-US" w:eastAsia="zh-CN" w:bidi="ar-SA"/>
        </w:rPr>
      </w:pPr>
      <w:r>
        <w:rPr>
          <w:rFonts w:hint="eastAsia" w:ascii="宋体" w:hAnsi="宋体" w:cs="宋体"/>
          <w:color w:val="auto"/>
          <w:sz w:val="24"/>
          <w:lang w:val="en-US" w:eastAsia="zh-CN"/>
        </w:rPr>
        <w:t>16.4.2.11、供应商不按法定程序进行质疑和投诉,捏造事实，查无实据，造成恶劣影响导致采购活动无法正常进行的；</w:t>
      </w:r>
    </w:p>
    <w:p>
      <w:pPr>
        <w:spacing w:line="360" w:lineRule="auto"/>
        <w:ind w:firstLine="480" w:firstLineChars="200"/>
        <w:rPr>
          <w:rFonts w:hint="eastAsia" w:ascii="宋体" w:hAnsi="宋体" w:eastAsia="宋体" w:cs="宋体"/>
          <w:color w:val="auto"/>
          <w:sz w:val="24"/>
        </w:rPr>
      </w:pPr>
      <w:r>
        <w:rPr>
          <w:rFonts w:hint="eastAsia" w:ascii="宋体" w:hAnsi="宋体" w:cs="宋体"/>
          <w:color w:val="auto"/>
          <w:sz w:val="24"/>
          <w:lang w:val="en-US" w:eastAsia="zh-CN"/>
        </w:rPr>
        <w:t>16</w:t>
      </w:r>
      <w:r>
        <w:rPr>
          <w:rFonts w:hint="eastAsia" w:ascii="宋体" w:hAnsi="宋体" w:eastAsia="宋体" w:cs="宋体"/>
          <w:color w:val="auto"/>
          <w:sz w:val="24"/>
        </w:rPr>
        <w:t>.4.2.</w:t>
      </w:r>
      <w:r>
        <w:rPr>
          <w:rFonts w:hint="eastAsia" w:ascii="宋体" w:hAnsi="宋体" w:cs="宋体"/>
          <w:color w:val="auto"/>
          <w:sz w:val="24"/>
          <w:lang w:val="en-US" w:eastAsia="zh-CN"/>
        </w:rPr>
        <w:t>12</w:t>
      </w:r>
      <w:r>
        <w:rPr>
          <w:rFonts w:hint="eastAsia" w:ascii="宋体" w:hAnsi="宋体" w:eastAsia="宋体" w:cs="宋体"/>
          <w:color w:val="auto"/>
          <w:sz w:val="24"/>
        </w:rPr>
        <w:t>、法律法规规定的其他情况。</w:t>
      </w:r>
    </w:p>
    <w:p>
      <w:pPr>
        <w:spacing w:line="360" w:lineRule="auto"/>
        <w:ind w:firstLine="480" w:firstLineChars="200"/>
        <w:rPr>
          <w:rFonts w:hint="eastAsia" w:ascii="宋体" w:hAnsi="宋体" w:eastAsia="宋体" w:cs="宋体"/>
          <w:color w:val="auto"/>
          <w:sz w:val="24"/>
        </w:rPr>
      </w:pPr>
      <w:r>
        <w:rPr>
          <w:rFonts w:hint="eastAsia" w:ascii="宋体" w:hAnsi="宋体" w:cs="宋体"/>
          <w:color w:val="auto"/>
          <w:sz w:val="24"/>
          <w:lang w:val="en-US" w:eastAsia="zh-CN"/>
        </w:rPr>
        <w:t>16</w:t>
      </w:r>
      <w:r>
        <w:rPr>
          <w:rFonts w:hint="eastAsia" w:ascii="宋体" w:hAnsi="宋体" w:eastAsia="宋体" w:cs="宋体"/>
          <w:color w:val="auto"/>
          <w:sz w:val="24"/>
        </w:rPr>
        <w:t>.4.3、磋商保证金退还方式：公司财务部通过银行转账将磋商保证金退还至供应商基本账户。</w:t>
      </w:r>
    </w:p>
    <w:p>
      <w:pPr>
        <w:pStyle w:val="11"/>
        <w:spacing w:before="120" w:beforeLines="50" w:after="120" w:afterLines="50" w:line="360" w:lineRule="auto"/>
        <w:ind w:firstLine="0"/>
        <w:rPr>
          <w:rFonts w:hint="eastAsia" w:ascii="宋体" w:hAnsi="宋体" w:cs="宋体"/>
          <w:b/>
          <w:bCs/>
          <w:color w:val="auto"/>
          <w:sz w:val="24"/>
          <w:szCs w:val="24"/>
          <w:lang w:eastAsia="zh-CN"/>
        </w:rPr>
      </w:pPr>
      <w:bookmarkStart w:id="4" w:name="_Toc53231529"/>
      <w:bookmarkStart w:id="5" w:name="_Toc53231741"/>
      <w:bookmarkStart w:id="6" w:name="_Toc53231785"/>
      <w:r>
        <w:rPr>
          <w:rFonts w:hint="eastAsia" w:ascii="宋体" w:hAnsi="宋体" w:cs="宋体"/>
          <w:b/>
          <w:bCs/>
          <w:color w:val="auto"/>
          <w:sz w:val="24"/>
          <w:szCs w:val="24"/>
          <w:lang w:val="en-US" w:eastAsia="zh-CN"/>
        </w:rPr>
        <w:t>17</w:t>
      </w:r>
      <w:r>
        <w:rPr>
          <w:rFonts w:hint="eastAsia" w:ascii="宋体" w:hAnsi="宋体" w:eastAsia="宋体" w:cs="宋体"/>
          <w:b/>
          <w:bCs/>
          <w:color w:val="auto"/>
          <w:sz w:val="24"/>
          <w:szCs w:val="24"/>
        </w:rPr>
        <w:t>、</w:t>
      </w:r>
      <w:r>
        <w:rPr>
          <w:rFonts w:hint="eastAsia" w:ascii="宋体" w:hAnsi="宋体" w:cs="宋体"/>
          <w:b/>
          <w:bCs/>
          <w:color w:val="auto"/>
          <w:sz w:val="24"/>
          <w:szCs w:val="24"/>
          <w:lang w:eastAsia="zh-CN"/>
        </w:rPr>
        <w:t>资格审查资料</w:t>
      </w:r>
    </w:p>
    <w:p>
      <w:pPr>
        <w:pStyle w:val="11"/>
        <w:spacing w:before="120" w:beforeLines="50" w:after="120" w:afterLines="50" w:line="360" w:lineRule="auto"/>
        <w:ind w:firstLine="480" w:firstLineChars="200"/>
        <w:rPr>
          <w:rFonts w:hint="eastAsia" w:ascii="宋体" w:hAnsi="宋体" w:eastAsia="宋体" w:cs="宋体"/>
          <w:color w:val="auto"/>
          <w:kern w:val="2"/>
          <w:sz w:val="24"/>
          <w:szCs w:val="24"/>
          <w:lang w:val="en-US" w:eastAsia="zh-CN" w:bidi="ar-SA"/>
        </w:rPr>
      </w:pPr>
      <w:r>
        <w:rPr>
          <w:rFonts w:hint="eastAsia" w:ascii="宋体" w:hAnsi="宋体" w:cs="宋体"/>
          <w:color w:val="auto"/>
          <w:kern w:val="2"/>
          <w:sz w:val="24"/>
          <w:szCs w:val="24"/>
          <w:lang w:val="en-US" w:eastAsia="zh-CN" w:bidi="ar-SA"/>
        </w:rPr>
        <w:t>17.1、</w:t>
      </w:r>
      <w:r>
        <w:rPr>
          <w:rFonts w:hint="eastAsia" w:ascii="宋体" w:hAnsi="宋体" w:eastAsia="宋体" w:cs="宋体"/>
          <w:color w:val="auto"/>
          <w:kern w:val="2"/>
          <w:sz w:val="24"/>
          <w:szCs w:val="24"/>
          <w:lang w:val="en-US" w:eastAsia="zh-CN" w:bidi="ar-SA"/>
        </w:rPr>
        <w:t>详见</w:t>
      </w:r>
      <w:r>
        <w:rPr>
          <w:rFonts w:hint="eastAsia" w:ascii="宋体" w:hAnsi="宋体" w:cs="宋体"/>
          <w:color w:val="auto"/>
          <w:kern w:val="2"/>
          <w:sz w:val="24"/>
          <w:szCs w:val="24"/>
          <w:lang w:val="en-US" w:eastAsia="zh-CN" w:bidi="ar-SA"/>
        </w:rPr>
        <w:t>供应商须知前附表。</w:t>
      </w:r>
    </w:p>
    <w:p>
      <w:pPr>
        <w:pStyle w:val="11"/>
        <w:spacing w:before="120" w:beforeLines="50" w:after="120" w:afterLines="50" w:line="360" w:lineRule="auto"/>
        <w:ind w:firstLine="0"/>
        <w:rPr>
          <w:rFonts w:hint="eastAsia" w:ascii="宋体" w:hAnsi="宋体" w:cs="宋体"/>
          <w:b/>
          <w:bCs/>
          <w:color w:val="auto"/>
          <w:sz w:val="24"/>
          <w:szCs w:val="24"/>
          <w:lang w:val="en-US" w:eastAsia="zh-CN"/>
        </w:rPr>
      </w:pPr>
      <w:r>
        <w:rPr>
          <w:rFonts w:hint="eastAsia" w:ascii="宋体" w:hAnsi="宋体" w:cs="宋体"/>
          <w:b/>
          <w:bCs/>
          <w:color w:val="auto"/>
          <w:sz w:val="24"/>
          <w:szCs w:val="24"/>
          <w:lang w:val="en-US" w:eastAsia="zh-CN"/>
        </w:rPr>
        <w:t>18、备选投标方案</w:t>
      </w:r>
    </w:p>
    <w:p>
      <w:pPr>
        <w:pStyle w:val="11"/>
        <w:spacing w:before="120" w:beforeLines="50" w:after="120" w:afterLines="50" w:line="360" w:lineRule="auto"/>
        <w:ind w:firstLine="480" w:firstLineChars="200"/>
        <w:rPr>
          <w:rFonts w:hint="default" w:ascii="宋体" w:hAnsi="宋体" w:eastAsia="宋体" w:cs="宋体"/>
          <w:b/>
          <w:bCs/>
          <w:color w:val="auto"/>
          <w:sz w:val="24"/>
          <w:szCs w:val="24"/>
          <w:lang w:val="en-US" w:eastAsia="zh-CN"/>
        </w:rPr>
      </w:pPr>
      <w:r>
        <w:rPr>
          <w:rFonts w:hint="eastAsia" w:ascii="宋体" w:hAnsi="宋体" w:cs="宋体"/>
          <w:color w:val="auto"/>
          <w:kern w:val="2"/>
          <w:sz w:val="24"/>
          <w:szCs w:val="24"/>
          <w:lang w:val="en-US" w:eastAsia="zh-CN" w:bidi="ar-SA"/>
        </w:rPr>
        <w:t>18.1、采购人不接受备选投标方案。</w:t>
      </w:r>
    </w:p>
    <w:p>
      <w:pPr>
        <w:pStyle w:val="11"/>
        <w:spacing w:before="120" w:beforeLines="50" w:after="120" w:afterLines="50" w:line="360" w:lineRule="auto"/>
        <w:ind w:firstLine="0"/>
        <w:rPr>
          <w:rFonts w:hint="eastAsia" w:ascii="宋体" w:hAnsi="宋体" w:eastAsia="宋体" w:cs="宋体"/>
          <w:b/>
          <w:bCs/>
          <w:color w:val="auto"/>
          <w:sz w:val="24"/>
          <w:szCs w:val="24"/>
        </w:rPr>
      </w:pPr>
      <w:r>
        <w:rPr>
          <w:rFonts w:hint="eastAsia" w:ascii="宋体" w:hAnsi="宋体" w:cs="宋体"/>
          <w:b/>
          <w:bCs/>
          <w:color w:val="auto"/>
          <w:sz w:val="24"/>
          <w:szCs w:val="24"/>
          <w:lang w:val="en-US" w:eastAsia="zh-CN"/>
        </w:rPr>
        <w:t>19、</w:t>
      </w:r>
      <w:r>
        <w:rPr>
          <w:rFonts w:hint="eastAsia" w:ascii="宋体" w:hAnsi="宋体" w:eastAsia="宋体" w:cs="宋体"/>
          <w:b/>
          <w:bCs/>
          <w:color w:val="auto"/>
          <w:sz w:val="24"/>
          <w:szCs w:val="24"/>
        </w:rPr>
        <w:t>响应文件的编制</w:t>
      </w:r>
      <w:bookmarkEnd w:id="4"/>
      <w:bookmarkEnd w:id="5"/>
      <w:bookmarkEnd w:id="6"/>
    </w:p>
    <w:p>
      <w:pPr>
        <w:spacing w:line="360" w:lineRule="auto"/>
        <w:ind w:firstLine="480" w:firstLineChars="200"/>
        <w:rPr>
          <w:rFonts w:hint="eastAsia" w:ascii="宋体" w:hAnsi="宋体" w:eastAsia="宋体" w:cs="宋体"/>
          <w:color w:val="auto"/>
          <w:sz w:val="24"/>
          <w:lang w:eastAsia="zh-CN"/>
        </w:rPr>
      </w:pPr>
      <w:r>
        <w:rPr>
          <w:rFonts w:hint="eastAsia" w:ascii="宋体" w:hAnsi="宋体" w:cs="宋体"/>
          <w:color w:val="auto"/>
          <w:sz w:val="24"/>
          <w:lang w:val="en-US" w:eastAsia="zh-CN"/>
        </w:rPr>
        <w:t>1</w:t>
      </w:r>
      <w:r>
        <w:rPr>
          <w:rFonts w:hint="eastAsia" w:ascii="宋体" w:hAnsi="宋体" w:eastAsia="宋体" w:cs="宋体"/>
          <w:color w:val="auto"/>
          <w:sz w:val="24"/>
        </w:rPr>
        <w:t>9.1、供应商应仔细阅读竞争性磋商文件的所有内容，按竞争性磋商文件规定及要求编制，应当对竞争性磋商文件提出的实质性要求做出响应，并提交完整的响应文件。供应商应填写全称，同时</w:t>
      </w:r>
      <w:r>
        <w:rPr>
          <w:rFonts w:hint="eastAsia" w:ascii="宋体" w:hAnsi="宋体" w:eastAsia="宋体" w:cs="宋体"/>
          <w:color w:val="auto"/>
          <w:sz w:val="24"/>
          <w:lang w:eastAsia="zh-CN"/>
        </w:rPr>
        <w:t>按要求</w:t>
      </w:r>
      <w:r>
        <w:rPr>
          <w:rFonts w:hint="eastAsia" w:ascii="宋体" w:hAnsi="宋体" w:eastAsia="宋体" w:cs="宋体"/>
          <w:color w:val="auto"/>
          <w:sz w:val="24"/>
        </w:rPr>
        <w:t>加盖公章，签署、盖章和内容应完整，如有遗漏，将被视为无效</w:t>
      </w:r>
      <w:r>
        <w:rPr>
          <w:rFonts w:hint="eastAsia" w:ascii="宋体" w:hAnsi="宋体" w:cs="宋体"/>
          <w:color w:val="auto"/>
          <w:sz w:val="24"/>
          <w:lang w:eastAsia="zh-CN"/>
        </w:rPr>
        <w:t>；</w:t>
      </w:r>
    </w:p>
    <w:p>
      <w:pPr>
        <w:spacing w:line="360" w:lineRule="auto"/>
        <w:ind w:firstLine="480" w:firstLineChars="200"/>
        <w:rPr>
          <w:rFonts w:hint="eastAsia" w:ascii="宋体" w:hAnsi="宋体" w:eastAsia="宋体" w:cs="宋体"/>
          <w:color w:val="auto"/>
          <w:sz w:val="24"/>
          <w:lang w:eastAsia="zh-CN"/>
        </w:rPr>
      </w:pPr>
      <w:r>
        <w:rPr>
          <w:rFonts w:hint="eastAsia" w:ascii="宋体" w:hAnsi="宋体" w:cs="宋体"/>
          <w:color w:val="auto"/>
          <w:sz w:val="24"/>
          <w:lang w:val="en-US" w:eastAsia="zh-CN"/>
        </w:rPr>
        <w:t>19</w:t>
      </w:r>
      <w:r>
        <w:rPr>
          <w:rFonts w:hint="eastAsia" w:ascii="宋体" w:hAnsi="宋体" w:eastAsia="宋体" w:cs="宋体"/>
          <w:color w:val="auto"/>
          <w:sz w:val="24"/>
        </w:rPr>
        <w:t>.2、供应商必须保证其编制、递交的响应文件所有内容真实、合法、有效，并承担相应的法律责任</w:t>
      </w:r>
      <w:r>
        <w:rPr>
          <w:rFonts w:hint="eastAsia" w:ascii="宋体" w:hAnsi="宋体" w:cs="宋体"/>
          <w:color w:val="auto"/>
          <w:sz w:val="24"/>
          <w:lang w:eastAsia="zh-CN"/>
        </w:rPr>
        <w:t>；</w:t>
      </w:r>
    </w:p>
    <w:p>
      <w:pPr>
        <w:spacing w:line="360" w:lineRule="auto"/>
        <w:ind w:firstLine="480" w:firstLineChars="200"/>
        <w:rPr>
          <w:rFonts w:hint="eastAsia" w:ascii="宋体" w:hAnsi="宋体" w:eastAsia="宋体" w:cs="宋体"/>
          <w:color w:val="auto"/>
          <w:sz w:val="24"/>
          <w:lang w:eastAsia="zh-CN"/>
        </w:rPr>
      </w:pPr>
      <w:r>
        <w:rPr>
          <w:rFonts w:hint="eastAsia" w:ascii="宋体" w:hAnsi="宋体" w:cs="宋体"/>
          <w:color w:val="auto"/>
          <w:sz w:val="24"/>
          <w:lang w:val="en-US" w:eastAsia="zh-CN"/>
        </w:rPr>
        <w:t>19</w:t>
      </w:r>
      <w:r>
        <w:rPr>
          <w:rFonts w:hint="eastAsia" w:ascii="宋体" w:hAnsi="宋体" w:eastAsia="宋体" w:cs="宋体"/>
          <w:color w:val="auto"/>
          <w:sz w:val="24"/>
        </w:rPr>
        <w:t>.3、响应文件的语言：供应商提交的响应文件以及供应商与采购代理机构就有关本项目所有文件、资料、邮件文字均应使用中文（通用缩写、代号、名称除外）。响应文件中如附有外文资料，必须逐一对应翻译成中文并加盖供应商公章后附在相关外文资料后面，否则，其响应文件将作为无效响应文件处理</w:t>
      </w:r>
      <w:r>
        <w:rPr>
          <w:rFonts w:hint="eastAsia" w:ascii="宋体" w:hAnsi="宋体" w:cs="宋体"/>
          <w:color w:val="auto"/>
          <w:sz w:val="24"/>
          <w:lang w:eastAsia="zh-CN"/>
        </w:rPr>
        <w:t>；</w:t>
      </w:r>
    </w:p>
    <w:p>
      <w:pPr>
        <w:spacing w:line="360" w:lineRule="auto"/>
        <w:ind w:firstLine="470" w:firstLineChars="196"/>
        <w:rPr>
          <w:rFonts w:hint="eastAsia" w:ascii="宋体" w:hAnsi="宋体" w:eastAsia="宋体" w:cs="宋体"/>
          <w:color w:val="auto"/>
          <w:sz w:val="24"/>
          <w:lang w:eastAsia="zh-CN"/>
        </w:rPr>
      </w:pPr>
      <w:r>
        <w:rPr>
          <w:rFonts w:hint="eastAsia" w:ascii="宋体" w:hAnsi="宋体" w:cs="宋体"/>
          <w:color w:val="auto"/>
          <w:sz w:val="24"/>
          <w:lang w:val="en-US" w:eastAsia="zh-CN"/>
        </w:rPr>
        <w:t>19</w:t>
      </w:r>
      <w:r>
        <w:rPr>
          <w:rFonts w:hint="eastAsia" w:ascii="宋体" w:hAnsi="宋体" w:eastAsia="宋体" w:cs="宋体"/>
          <w:color w:val="auto"/>
          <w:sz w:val="24"/>
        </w:rPr>
        <w:t>.4、响应文件的计量单位：竞争性磋商文件已有明确规定的，使用竞争性磋商文件规定的计量单位；竞争性磋商文件没有规定的，应采用中华人民共和国法定计量单位(国际单位制和国家选定的其他计量单位)。否则，视为对竞争性磋商文件未作出实质性响应</w:t>
      </w:r>
      <w:r>
        <w:rPr>
          <w:rFonts w:hint="eastAsia" w:ascii="宋体" w:hAnsi="宋体" w:cs="宋体"/>
          <w:color w:val="auto"/>
          <w:sz w:val="24"/>
          <w:lang w:eastAsia="zh-CN"/>
        </w:rPr>
        <w:t>；</w:t>
      </w:r>
    </w:p>
    <w:p>
      <w:pPr>
        <w:spacing w:line="360" w:lineRule="auto"/>
        <w:ind w:firstLine="470" w:firstLineChars="196"/>
        <w:rPr>
          <w:rFonts w:hint="eastAsia" w:ascii="宋体" w:hAnsi="宋体" w:eastAsia="宋体" w:cs="宋体"/>
          <w:color w:val="auto"/>
          <w:sz w:val="24"/>
          <w:lang w:eastAsia="zh-CN"/>
        </w:rPr>
      </w:pPr>
      <w:r>
        <w:rPr>
          <w:rFonts w:hint="eastAsia" w:ascii="宋体" w:hAnsi="宋体" w:cs="宋体"/>
          <w:color w:val="auto"/>
          <w:sz w:val="24"/>
          <w:lang w:val="en-US" w:eastAsia="zh-CN"/>
        </w:rPr>
        <w:t>19</w:t>
      </w:r>
      <w:r>
        <w:rPr>
          <w:rFonts w:hint="eastAsia" w:ascii="宋体" w:hAnsi="宋体" w:eastAsia="宋体" w:cs="宋体"/>
          <w:color w:val="auto"/>
          <w:sz w:val="24"/>
        </w:rPr>
        <w:t>.5、响应文件形式：本项目响应文件应采用书面文件形式，电报、传真、电子邮件形式的响应文件不予接受</w:t>
      </w:r>
      <w:r>
        <w:rPr>
          <w:rFonts w:hint="eastAsia" w:ascii="宋体" w:hAnsi="宋体" w:cs="宋体"/>
          <w:color w:val="auto"/>
          <w:sz w:val="24"/>
          <w:lang w:eastAsia="zh-CN"/>
        </w:rPr>
        <w:t>；</w:t>
      </w:r>
    </w:p>
    <w:p>
      <w:pPr>
        <w:spacing w:line="360" w:lineRule="auto"/>
        <w:ind w:firstLine="470" w:firstLineChars="196"/>
        <w:rPr>
          <w:rFonts w:hint="eastAsia" w:ascii="宋体" w:hAnsi="宋体" w:eastAsia="宋体" w:cs="宋体"/>
          <w:color w:val="auto"/>
          <w:sz w:val="24"/>
        </w:rPr>
      </w:pPr>
      <w:r>
        <w:rPr>
          <w:rFonts w:hint="eastAsia" w:ascii="宋体" w:hAnsi="宋体" w:cs="宋体"/>
          <w:color w:val="auto"/>
          <w:sz w:val="24"/>
          <w:lang w:val="en-US" w:eastAsia="zh-CN"/>
        </w:rPr>
        <w:t>19.6</w:t>
      </w:r>
      <w:r>
        <w:rPr>
          <w:rFonts w:hint="eastAsia" w:ascii="宋体" w:hAnsi="宋体" w:eastAsia="宋体" w:cs="宋体"/>
          <w:color w:val="auto"/>
          <w:sz w:val="24"/>
        </w:rPr>
        <w:t>、响应文件有效期：响应文件有效期自开标大会之日起90日历天。</w:t>
      </w:r>
    </w:p>
    <w:p>
      <w:pPr>
        <w:spacing w:line="360" w:lineRule="auto"/>
        <w:ind w:firstLine="470" w:firstLineChars="196"/>
        <w:rPr>
          <w:rFonts w:hint="eastAsia" w:ascii="宋体" w:hAnsi="宋体" w:eastAsia="宋体" w:cs="宋体"/>
          <w:color w:val="auto"/>
          <w:sz w:val="24"/>
        </w:rPr>
      </w:pPr>
      <w:r>
        <w:rPr>
          <w:rFonts w:hint="eastAsia" w:ascii="宋体" w:hAnsi="宋体" w:cs="宋体"/>
          <w:color w:val="auto"/>
          <w:sz w:val="24"/>
          <w:lang w:val="en-US" w:eastAsia="zh-CN"/>
        </w:rPr>
        <w:t>19.7</w:t>
      </w:r>
      <w:r>
        <w:rPr>
          <w:rFonts w:hint="eastAsia" w:ascii="宋体" w:hAnsi="宋体" w:eastAsia="宋体" w:cs="宋体"/>
          <w:color w:val="auto"/>
          <w:sz w:val="24"/>
        </w:rPr>
        <w:t>、响应文件格式：供应商应严格按照竞争性磋商文件《第六章响应文件格式及构成》填写相关内容。</w:t>
      </w:r>
    </w:p>
    <w:p>
      <w:pPr>
        <w:spacing w:line="360" w:lineRule="auto"/>
        <w:ind w:firstLine="472" w:firstLineChars="196"/>
        <w:rPr>
          <w:rFonts w:hint="eastAsia" w:ascii="宋体" w:hAnsi="宋体" w:eastAsia="宋体" w:cs="宋体"/>
          <w:b/>
          <w:bCs/>
          <w:color w:val="auto"/>
          <w:sz w:val="24"/>
        </w:rPr>
      </w:pPr>
      <w:r>
        <w:rPr>
          <w:rFonts w:hint="eastAsia" w:ascii="宋体" w:hAnsi="宋体" w:cs="宋体"/>
          <w:b/>
          <w:bCs/>
          <w:color w:val="auto"/>
          <w:sz w:val="24"/>
          <w:lang w:val="en-US" w:eastAsia="zh-CN"/>
        </w:rPr>
        <w:t>19.8</w:t>
      </w:r>
      <w:r>
        <w:rPr>
          <w:rFonts w:hint="eastAsia" w:ascii="宋体" w:hAnsi="宋体" w:eastAsia="宋体" w:cs="宋体"/>
          <w:b/>
          <w:bCs/>
          <w:color w:val="auto"/>
          <w:sz w:val="24"/>
        </w:rPr>
        <w:t>、响应文件的签署</w:t>
      </w:r>
    </w:p>
    <w:p>
      <w:pPr>
        <w:spacing w:line="360" w:lineRule="auto"/>
        <w:ind w:firstLine="470" w:firstLineChars="196"/>
        <w:rPr>
          <w:rFonts w:hint="eastAsia" w:ascii="宋体" w:hAnsi="宋体" w:eastAsia="宋体" w:cs="宋体"/>
          <w:color w:val="auto"/>
          <w:sz w:val="24"/>
        </w:rPr>
      </w:pPr>
      <w:r>
        <w:rPr>
          <w:rFonts w:hint="eastAsia" w:ascii="宋体" w:hAnsi="宋体" w:cs="宋体"/>
          <w:color w:val="auto"/>
          <w:sz w:val="24"/>
          <w:lang w:val="en-US" w:eastAsia="zh-CN"/>
        </w:rPr>
        <w:t>19.8</w:t>
      </w:r>
      <w:r>
        <w:rPr>
          <w:rFonts w:hint="eastAsia" w:ascii="宋体" w:hAnsi="宋体" w:eastAsia="宋体" w:cs="宋体"/>
          <w:color w:val="auto"/>
          <w:sz w:val="24"/>
        </w:rPr>
        <w:t>.1、响应文件应使用A4纸打印或使用不褪色蓝（黑）墨水书写；</w:t>
      </w:r>
    </w:p>
    <w:p>
      <w:pPr>
        <w:spacing w:line="360" w:lineRule="auto"/>
        <w:ind w:firstLine="470" w:firstLineChars="196"/>
        <w:rPr>
          <w:rFonts w:hint="eastAsia" w:ascii="宋体" w:hAnsi="宋体" w:eastAsia="宋体" w:cs="宋体"/>
          <w:color w:val="auto"/>
          <w:sz w:val="24"/>
        </w:rPr>
      </w:pPr>
      <w:r>
        <w:rPr>
          <w:rFonts w:hint="eastAsia" w:ascii="宋体" w:hAnsi="宋体" w:cs="宋体"/>
          <w:color w:val="auto"/>
          <w:sz w:val="24"/>
          <w:lang w:val="en-US" w:eastAsia="zh-CN"/>
        </w:rPr>
        <w:t>19.8.2</w:t>
      </w:r>
      <w:r>
        <w:rPr>
          <w:rFonts w:hint="eastAsia" w:ascii="宋体" w:hAnsi="宋体" w:eastAsia="宋体" w:cs="宋体"/>
          <w:color w:val="auto"/>
          <w:sz w:val="24"/>
        </w:rPr>
        <w:t>、响应文件的任何行间插字、涂改和增删，改动处须由法定代表人签字并加盖公章方为有效；因字迹潦草或表达不清</w:t>
      </w:r>
      <w:r>
        <w:rPr>
          <w:rFonts w:hint="eastAsia" w:ascii="宋体" w:hAnsi="宋体" w:eastAsia="宋体" w:cs="宋体"/>
          <w:color w:val="auto"/>
          <w:sz w:val="24"/>
          <w:lang w:eastAsia="zh-CN"/>
        </w:rPr>
        <w:t>，网页截图或资质证书证件照片、图片模糊不清，无法辨认，视为不响应磋商文件要求，</w:t>
      </w:r>
      <w:r>
        <w:rPr>
          <w:rFonts w:hint="eastAsia" w:ascii="宋体" w:hAnsi="宋体" w:eastAsia="宋体" w:cs="宋体"/>
          <w:color w:val="auto"/>
          <w:sz w:val="24"/>
        </w:rPr>
        <w:t>所引起的后果由供应商自行负责。</w:t>
      </w:r>
    </w:p>
    <w:p>
      <w:pPr>
        <w:spacing w:line="360" w:lineRule="auto"/>
        <w:ind w:firstLine="470" w:firstLineChars="196"/>
        <w:rPr>
          <w:rFonts w:hint="eastAsia" w:ascii="宋体" w:hAnsi="宋体" w:eastAsia="宋体" w:cs="宋体"/>
          <w:color w:val="auto"/>
          <w:sz w:val="24"/>
        </w:rPr>
      </w:pPr>
      <w:r>
        <w:rPr>
          <w:rFonts w:hint="eastAsia" w:ascii="宋体" w:hAnsi="宋体" w:cs="宋体"/>
          <w:color w:val="auto"/>
          <w:sz w:val="24"/>
          <w:lang w:val="en-US" w:eastAsia="zh-CN"/>
        </w:rPr>
        <w:t>19.8.3</w:t>
      </w:r>
      <w:r>
        <w:rPr>
          <w:rFonts w:hint="eastAsia" w:ascii="宋体" w:hAnsi="宋体" w:eastAsia="宋体" w:cs="宋体"/>
          <w:color w:val="auto"/>
          <w:sz w:val="24"/>
        </w:rPr>
        <w:t>、供应商须按竞争性磋商文件要求在指定页面落款处，加盖法人公章以及由法定代表人或其被授权委托人签名（或盖章）。</w:t>
      </w:r>
    </w:p>
    <w:p>
      <w:pPr>
        <w:spacing w:line="360" w:lineRule="auto"/>
        <w:ind w:firstLine="472" w:firstLineChars="196"/>
        <w:rPr>
          <w:rFonts w:hint="eastAsia" w:ascii="宋体" w:hAnsi="宋体" w:eastAsia="宋体" w:cs="宋体"/>
          <w:b/>
          <w:bCs/>
          <w:color w:val="auto"/>
          <w:sz w:val="24"/>
        </w:rPr>
      </w:pPr>
      <w:r>
        <w:rPr>
          <w:rFonts w:hint="eastAsia" w:ascii="宋体" w:hAnsi="宋体" w:cs="宋体"/>
          <w:b/>
          <w:bCs/>
          <w:color w:val="auto"/>
          <w:sz w:val="24"/>
          <w:lang w:val="en-US" w:eastAsia="zh-CN"/>
        </w:rPr>
        <w:t>19.9</w:t>
      </w:r>
      <w:r>
        <w:rPr>
          <w:rFonts w:hint="eastAsia" w:ascii="宋体" w:hAnsi="宋体" w:eastAsia="宋体" w:cs="宋体"/>
          <w:b/>
          <w:bCs/>
          <w:color w:val="auto"/>
          <w:sz w:val="24"/>
        </w:rPr>
        <w:t>、响应文件的装订、密封及标识</w:t>
      </w:r>
    </w:p>
    <w:p>
      <w:pPr>
        <w:spacing w:line="360" w:lineRule="auto"/>
        <w:ind w:firstLine="470" w:firstLineChars="196"/>
        <w:rPr>
          <w:rFonts w:hint="eastAsia" w:ascii="宋体" w:hAnsi="宋体" w:eastAsia="宋体" w:cs="宋体"/>
          <w:color w:val="auto"/>
          <w:sz w:val="24"/>
          <w:lang w:eastAsia="zh-CN"/>
        </w:rPr>
      </w:pPr>
      <w:r>
        <w:rPr>
          <w:rFonts w:hint="eastAsia" w:ascii="宋体" w:hAnsi="宋体" w:cs="宋体"/>
          <w:color w:val="auto"/>
          <w:sz w:val="24"/>
          <w:lang w:val="en-US" w:eastAsia="zh-CN"/>
        </w:rPr>
        <w:t>19.9.1</w:t>
      </w:r>
      <w:r>
        <w:rPr>
          <w:rFonts w:hint="eastAsia" w:ascii="宋体" w:hAnsi="宋体" w:eastAsia="宋体" w:cs="宋体"/>
          <w:color w:val="auto"/>
          <w:sz w:val="24"/>
        </w:rPr>
        <w:t>、供应商应编制响应文件正本</w:t>
      </w:r>
      <w:r>
        <w:rPr>
          <w:rFonts w:hint="eastAsia" w:ascii="宋体" w:hAnsi="宋体" w:cs="宋体"/>
          <w:color w:val="auto"/>
          <w:sz w:val="24"/>
          <w:u w:val="single"/>
          <w:lang w:val="en-US" w:eastAsia="zh-CN"/>
        </w:rPr>
        <w:t>1</w:t>
      </w:r>
      <w:r>
        <w:rPr>
          <w:rFonts w:hint="eastAsia" w:ascii="宋体" w:hAnsi="宋体" w:eastAsia="宋体" w:cs="宋体"/>
          <w:color w:val="auto"/>
          <w:sz w:val="24"/>
        </w:rPr>
        <w:t>份、副本</w:t>
      </w:r>
      <w:r>
        <w:rPr>
          <w:rFonts w:hint="eastAsia" w:ascii="宋体" w:hAnsi="宋体" w:cs="宋体"/>
          <w:color w:val="auto"/>
          <w:sz w:val="24"/>
          <w:u w:val="single"/>
          <w:lang w:val="en-US" w:eastAsia="zh-CN"/>
        </w:rPr>
        <w:t>2</w:t>
      </w:r>
      <w:r>
        <w:rPr>
          <w:rFonts w:hint="eastAsia" w:ascii="宋体" w:hAnsi="宋体" w:eastAsia="宋体" w:cs="宋体"/>
          <w:color w:val="auto"/>
          <w:sz w:val="24"/>
        </w:rPr>
        <w:t>份，</w:t>
      </w:r>
      <w:r>
        <w:rPr>
          <w:rFonts w:hint="eastAsia" w:ascii="宋体" w:hAnsi="宋体" w:eastAsia="宋体" w:cs="宋体"/>
          <w:color w:val="auto"/>
          <w:sz w:val="24"/>
          <w:lang w:eastAsia="zh-CN"/>
        </w:rPr>
        <w:t>磋商报价一览表（单独另附）</w:t>
      </w:r>
      <w:r>
        <w:rPr>
          <w:rFonts w:hint="eastAsia" w:ascii="宋体" w:hAnsi="宋体" w:cs="宋体"/>
          <w:color w:val="auto"/>
          <w:sz w:val="24"/>
          <w:u w:val="single"/>
          <w:lang w:val="en-US" w:eastAsia="zh-CN"/>
        </w:rPr>
        <w:t>1</w:t>
      </w:r>
      <w:r>
        <w:rPr>
          <w:rFonts w:hint="eastAsia" w:ascii="宋体" w:hAnsi="宋体" w:eastAsia="宋体" w:cs="宋体"/>
          <w:color w:val="auto"/>
          <w:sz w:val="24"/>
          <w:lang w:val="en-US" w:eastAsia="zh-CN"/>
        </w:rPr>
        <w:t>份及资格审查资料</w:t>
      </w:r>
      <w:r>
        <w:rPr>
          <w:rFonts w:hint="eastAsia" w:ascii="宋体" w:hAnsi="宋体" w:cs="宋体"/>
          <w:color w:val="auto"/>
          <w:sz w:val="24"/>
          <w:u w:val="single"/>
          <w:lang w:val="en-US" w:eastAsia="zh-CN"/>
        </w:rPr>
        <w:t>1</w:t>
      </w:r>
      <w:r>
        <w:rPr>
          <w:rFonts w:hint="eastAsia" w:ascii="宋体" w:hAnsi="宋体" w:eastAsia="宋体" w:cs="宋体"/>
          <w:color w:val="auto"/>
          <w:sz w:val="24"/>
          <w:lang w:val="en-US" w:eastAsia="zh-CN"/>
        </w:rPr>
        <w:t>份</w:t>
      </w:r>
      <w:r>
        <w:rPr>
          <w:rFonts w:hint="eastAsia" w:ascii="宋体" w:hAnsi="宋体" w:eastAsia="宋体" w:cs="宋体"/>
          <w:color w:val="auto"/>
          <w:sz w:val="24"/>
        </w:rPr>
        <w:t>各自装订成册、单独密封，响应文件须在封面及封袋注明“正本”</w:t>
      </w:r>
      <w:r>
        <w:rPr>
          <w:rFonts w:hint="eastAsia" w:ascii="宋体" w:hAnsi="宋体" w:eastAsia="宋体" w:cs="宋体"/>
          <w:color w:val="auto"/>
          <w:sz w:val="24"/>
          <w:lang w:eastAsia="zh-CN"/>
        </w:rPr>
        <w:t>、</w:t>
      </w:r>
      <w:r>
        <w:rPr>
          <w:rFonts w:hint="eastAsia" w:ascii="宋体" w:hAnsi="宋体" w:eastAsia="宋体" w:cs="宋体"/>
          <w:color w:val="auto"/>
          <w:sz w:val="24"/>
        </w:rPr>
        <w:t>“副本”</w:t>
      </w:r>
      <w:r>
        <w:rPr>
          <w:rFonts w:hint="eastAsia" w:ascii="宋体" w:hAnsi="宋体" w:eastAsia="宋体" w:cs="宋体"/>
          <w:color w:val="auto"/>
          <w:sz w:val="24"/>
          <w:lang w:eastAsia="zh-CN"/>
        </w:rPr>
        <w:t>、“磋商报价一览表”及“资格审查资料”</w:t>
      </w:r>
      <w:r>
        <w:rPr>
          <w:rFonts w:hint="eastAsia" w:ascii="宋体" w:hAnsi="宋体" w:eastAsia="宋体" w:cs="宋体"/>
          <w:color w:val="auto"/>
          <w:sz w:val="24"/>
        </w:rPr>
        <w:t>字样。如果正本与副本不符，以正本响应文件为准</w:t>
      </w:r>
      <w:r>
        <w:rPr>
          <w:rFonts w:hint="eastAsia" w:ascii="宋体" w:hAnsi="宋体" w:cs="宋体"/>
          <w:color w:val="auto"/>
          <w:sz w:val="24"/>
          <w:lang w:eastAsia="zh-CN"/>
        </w:rPr>
        <w:t>；</w:t>
      </w:r>
    </w:p>
    <w:p>
      <w:pPr>
        <w:spacing w:line="360" w:lineRule="auto"/>
        <w:ind w:firstLine="470" w:firstLineChars="196"/>
        <w:jc w:val="left"/>
        <w:rPr>
          <w:rFonts w:hint="eastAsia" w:ascii="宋体" w:hAnsi="宋体" w:eastAsia="宋体" w:cs="宋体"/>
          <w:color w:val="auto"/>
          <w:sz w:val="24"/>
          <w:lang w:eastAsia="zh-CN"/>
        </w:rPr>
      </w:pPr>
      <w:r>
        <w:rPr>
          <w:rFonts w:hint="eastAsia" w:ascii="宋体" w:hAnsi="宋体" w:cs="宋体"/>
          <w:color w:val="auto"/>
          <w:sz w:val="24"/>
          <w:lang w:val="en-US" w:eastAsia="zh-CN"/>
        </w:rPr>
        <w:t>19.9.2</w:t>
      </w:r>
      <w:r>
        <w:rPr>
          <w:rFonts w:hint="eastAsia" w:ascii="宋体" w:hAnsi="宋体" w:eastAsia="宋体" w:cs="宋体"/>
          <w:color w:val="auto"/>
          <w:sz w:val="24"/>
        </w:rPr>
        <w:t>、响应文件的正本、副本</w:t>
      </w:r>
      <w:r>
        <w:rPr>
          <w:rFonts w:hint="eastAsia" w:ascii="宋体" w:hAnsi="宋体" w:eastAsia="宋体" w:cs="宋体"/>
          <w:color w:val="auto"/>
          <w:sz w:val="24"/>
          <w:lang w:eastAsia="zh-CN"/>
        </w:rPr>
        <w:t>、磋商报价一览表（电子版密封于磋商响应文件正本封袋中）和资格审查资料</w:t>
      </w:r>
      <w:r>
        <w:rPr>
          <w:rFonts w:hint="eastAsia" w:ascii="宋体" w:hAnsi="宋体" w:eastAsia="宋体" w:cs="宋体"/>
          <w:color w:val="auto"/>
          <w:sz w:val="24"/>
        </w:rPr>
        <w:t>要求各自分装密封（封袋不得有破损），同时在封口处加贴封条并在骑缝处加盖供应商公章及法定代表人印章</w:t>
      </w:r>
      <w:r>
        <w:rPr>
          <w:rFonts w:hint="eastAsia" w:ascii="宋体" w:hAnsi="宋体" w:cs="宋体"/>
          <w:color w:val="auto"/>
          <w:sz w:val="24"/>
          <w:lang w:eastAsia="zh-CN"/>
        </w:rPr>
        <w:t>；</w:t>
      </w:r>
    </w:p>
    <w:p>
      <w:pPr>
        <w:spacing w:line="360" w:lineRule="auto"/>
        <w:ind w:firstLine="470" w:firstLineChars="196"/>
        <w:jc w:val="left"/>
        <w:rPr>
          <w:rFonts w:hint="eastAsia" w:ascii="宋体" w:hAnsi="宋体" w:eastAsia="宋体" w:cs="宋体"/>
          <w:color w:val="auto"/>
          <w:sz w:val="24"/>
          <w:lang w:eastAsia="zh-CN"/>
        </w:rPr>
      </w:pPr>
      <w:r>
        <w:rPr>
          <w:rFonts w:hint="eastAsia" w:ascii="宋体" w:hAnsi="宋体" w:cs="宋体"/>
          <w:color w:val="auto"/>
          <w:sz w:val="24"/>
          <w:lang w:val="en-US" w:eastAsia="zh-CN"/>
        </w:rPr>
        <w:t>19.9.3</w:t>
      </w:r>
      <w:r>
        <w:rPr>
          <w:rFonts w:hint="eastAsia" w:ascii="宋体" w:hAnsi="宋体" w:eastAsia="宋体" w:cs="宋体"/>
          <w:color w:val="auto"/>
          <w:sz w:val="24"/>
        </w:rPr>
        <w:t>、正本、副本</w:t>
      </w:r>
      <w:r>
        <w:rPr>
          <w:rFonts w:hint="eastAsia" w:ascii="宋体" w:hAnsi="宋体" w:eastAsia="宋体" w:cs="宋体"/>
          <w:color w:val="auto"/>
          <w:sz w:val="24"/>
          <w:lang w:eastAsia="zh-CN"/>
        </w:rPr>
        <w:t>、磋商报价一览表及资格审查资料</w:t>
      </w:r>
      <w:r>
        <w:rPr>
          <w:rFonts w:hint="eastAsia" w:ascii="宋体" w:hAnsi="宋体" w:eastAsia="宋体" w:cs="宋体"/>
          <w:color w:val="auto"/>
          <w:sz w:val="24"/>
        </w:rPr>
        <w:t>的封袋标识式样详见格式</w:t>
      </w:r>
      <w:r>
        <w:rPr>
          <w:rFonts w:hint="eastAsia" w:ascii="宋体" w:hAnsi="宋体" w:cs="宋体"/>
          <w:color w:val="auto"/>
          <w:sz w:val="24"/>
          <w:lang w:eastAsia="zh-CN"/>
        </w:rPr>
        <w:t>；</w:t>
      </w:r>
    </w:p>
    <w:p>
      <w:pPr>
        <w:spacing w:line="360" w:lineRule="auto"/>
        <w:ind w:firstLine="470" w:firstLineChars="196"/>
        <w:jc w:val="left"/>
        <w:rPr>
          <w:rFonts w:hint="eastAsia" w:ascii="宋体" w:hAnsi="宋体" w:eastAsia="宋体" w:cs="宋体"/>
          <w:color w:val="auto"/>
          <w:sz w:val="24"/>
        </w:rPr>
      </w:pPr>
      <w:r>
        <w:rPr>
          <w:rFonts w:hint="eastAsia" w:ascii="宋体" w:hAnsi="宋体" w:cs="宋体"/>
          <w:color w:val="auto"/>
          <w:sz w:val="24"/>
          <w:lang w:val="en-US" w:eastAsia="zh-CN"/>
        </w:rPr>
        <w:t>19.9.4</w:t>
      </w:r>
      <w:r>
        <w:rPr>
          <w:rFonts w:hint="eastAsia" w:ascii="宋体" w:hAnsi="宋体" w:eastAsia="宋体" w:cs="宋体"/>
          <w:color w:val="auto"/>
          <w:sz w:val="24"/>
        </w:rPr>
        <w:t>、响应文件正本和副本一律采用A4纸幅面加胶装分别装订成册。文件胶装装订后，页面不可抽取，不得有活动页，无破损、不可拆分。</w:t>
      </w:r>
    </w:p>
    <w:p>
      <w:pPr>
        <w:tabs>
          <w:tab w:val="left" w:pos="0"/>
          <w:tab w:val="left" w:pos="420"/>
        </w:tabs>
        <w:spacing w:line="360" w:lineRule="auto"/>
        <w:ind w:firstLine="482" w:firstLineChars="200"/>
        <w:jc w:val="left"/>
        <w:rPr>
          <w:rFonts w:hint="eastAsia" w:ascii="宋体" w:hAnsi="宋体" w:eastAsia="宋体" w:cs="宋体"/>
          <w:b/>
          <w:bCs/>
          <w:color w:val="auto"/>
          <w:kern w:val="1"/>
          <w:sz w:val="24"/>
        </w:rPr>
      </w:pPr>
      <w:r>
        <w:rPr>
          <w:rFonts w:hint="eastAsia" w:ascii="宋体" w:hAnsi="宋体" w:cs="宋体"/>
          <w:b/>
          <w:bCs/>
          <w:color w:val="auto"/>
          <w:kern w:val="1"/>
          <w:sz w:val="24"/>
          <w:lang w:val="en-US" w:eastAsia="zh-CN"/>
        </w:rPr>
        <w:t>19.10</w:t>
      </w:r>
      <w:r>
        <w:rPr>
          <w:rFonts w:hint="eastAsia" w:ascii="宋体" w:hAnsi="宋体" w:eastAsia="宋体" w:cs="宋体"/>
          <w:b/>
          <w:bCs/>
          <w:color w:val="auto"/>
          <w:kern w:val="1"/>
          <w:sz w:val="24"/>
        </w:rPr>
        <w:t>、响应文件的递交</w:t>
      </w:r>
    </w:p>
    <w:p>
      <w:pPr>
        <w:tabs>
          <w:tab w:val="left" w:pos="0"/>
        </w:tabs>
        <w:spacing w:line="360" w:lineRule="auto"/>
        <w:ind w:firstLine="480" w:firstLineChars="200"/>
        <w:jc w:val="left"/>
        <w:rPr>
          <w:rFonts w:hint="eastAsia" w:ascii="宋体" w:hAnsi="宋体" w:eastAsia="宋体" w:cs="宋体"/>
          <w:color w:val="auto"/>
          <w:kern w:val="1"/>
          <w:sz w:val="24"/>
          <w:lang w:eastAsia="zh-CN"/>
        </w:rPr>
      </w:pPr>
      <w:r>
        <w:rPr>
          <w:rFonts w:hint="eastAsia" w:ascii="宋体" w:hAnsi="宋体" w:cs="宋体"/>
          <w:color w:val="auto"/>
          <w:kern w:val="1"/>
          <w:sz w:val="24"/>
          <w:lang w:val="en-US" w:eastAsia="zh-CN"/>
        </w:rPr>
        <w:t>19.10</w:t>
      </w:r>
      <w:r>
        <w:rPr>
          <w:rFonts w:hint="eastAsia" w:ascii="宋体" w:hAnsi="宋体" w:eastAsia="宋体" w:cs="宋体"/>
          <w:color w:val="auto"/>
          <w:kern w:val="1"/>
          <w:sz w:val="24"/>
        </w:rPr>
        <w:t>.1、</w:t>
      </w:r>
      <w:r>
        <w:rPr>
          <w:rFonts w:hint="eastAsia" w:ascii="宋体" w:hAnsi="宋体" w:eastAsia="宋体" w:cs="宋体"/>
          <w:color w:val="auto"/>
          <w:sz w:val="24"/>
        </w:rPr>
        <w:t>供应商应仔细阅读竞争性磋商文件中的所有事项、格式、条款和要求，对竞争性磋商文件的全部内容及要求作出实质性响应，提交相应资料</w:t>
      </w:r>
      <w:r>
        <w:rPr>
          <w:rFonts w:hint="eastAsia" w:ascii="宋体" w:hAnsi="宋体" w:cs="宋体"/>
          <w:color w:val="auto"/>
          <w:sz w:val="24"/>
          <w:lang w:eastAsia="zh-CN"/>
        </w:rPr>
        <w:t>；</w:t>
      </w:r>
    </w:p>
    <w:p>
      <w:pPr>
        <w:tabs>
          <w:tab w:val="left" w:pos="0"/>
        </w:tabs>
        <w:spacing w:line="360" w:lineRule="auto"/>
        <w:ind w:firstLine="480" w:firstLineChars="200"/>
        <w:jc w:val="left"/>
        <w:rPr>
          <w:rFonts w:hint="eastAsia" w:ascii="宋体" w:hAnsi="宋体" w:eastAsia="宋体" w:cs="宋体"/>
          <w:color w:val="auto"/>
          <w:kern w:val="1"/>
          <w:sz w:val="24"/>
          <w:lang w:eastAsia="zh-CN"/>
        </w:rPr>
      </w:pPr>
      <w:r>
        <w:rPr>
          <w:rFonts w:hint="eastAsia" w:ascii="宋体" w:hAnsi="宋体" w:cs="宋体"/>
          <w:color w:val="auto"/>
          <w:kern w:val="1"/>
          <w:sz w:val="24"/>
          <w:lang w:val="en-US" w:eastAsia="zh-CN"/>
        </w:rPr>
        <w:t>19.10</w:t>
      </w:r>
      <w:r>
        <w:rPr>
          <w:rFonts w:hint="eastAsia" w:ascii="宋体" w:hAnsi="宋体" w:eastAsia="宋体" w:cs="宋体"/>
          <w:color w:val="auto"/>
          <w:kern w:val="1"/>
          <w:sz w:val="24"/>
        </w:rPr>
        <w:t>.2、截止响应文件递交时间前</w:t>
      </w:r>
      <w:r>
        <w:rPr>
          <w:rFonts w:hint="eastAsia" w:ascii="宋体" w:hAnsi="宋体" w:eastAsia="宋体" w:cs="宋体"/>
          <w:color w:val="auto"/>
          <w:kern w:val="0"/>
          <w:sz w:val="24"/>
        </w:rPr>
        <w:t>供应商应将响应文件所有正本、副本</w:t>
      </w:r>
      <w:r>
        <w:rPr>
          <w:rFonts w:hint="eastAsia" w:ascii="宋体" w:hAnsi="宋体" w:eastAsia="宋体" w:cs="宋体"/>
          <w:color w:val="auto"/>
          <w:kern w:val="0"/>
          <w:sz w:val="24"/>
          <w:lang w:eastAsia="zh-CN"/>
        </w:rPr>
        <w:t>、磋商报价一览表及资格审查资料</w:t>
      </w:r>
      <w:r>
        <w:rPr>
          <w:rFonts w:hint="eastAsia" w:ascii="宋体" w:hAnsi="宋体" w:eastAsia="宋体" w:cs="宋体"/>
          <w:color w:val="auto"/>
          <w:kern w:val="0"/>
          <w:sz w:val="24"/>
        </w:rPr>
        <w:t>按要求密封递交</w:t>
      </w:r>
      <w:r>
        <w:rPr>
          <w:rFonts w:hint="eastAsia" w:ascii="宋体" w:hAnsi="宋体" w:cs="宋体"/>
          <w:color w:val="auto"/>
          <w:kern w:val="0"/>
          <w:sz w:val="24"/>
          <w:lang w:eastAsia="zh-CN"/>
        </w:rPr>
        <w:t>；</w:t>
      </w:r>
    </w:p>
    <w:p>
      <w:pPr>
        <w:tabs>
          <w:tab w:val="left" w:pos="0"/>
        </w:tabs>
        <w:spacing w:line="360" w:lineRule="auto"/>
        <w:ind w:firstLine="480" w:firstLineChars="200"/>
        <w:jc w:val="left"/>
        <w:rPr>
          <w:rFonts w:hint="eastAsia" w:ascii="宋体" w:hAnsi="宋体" w:eastAsia="宋体" w:cs="宋体"/>
          <w:color w:val="auto"/>
          <w:kern w:val="1"/>
          <w:sz w:val="24"/>
        </w:rPr>
      </w:pPr>
      <w:r>
        <w:rPr>
          <w:rFonts w:hint="eastAsia" w:ascii="宋体" w:hAnsi="宋体" w:cs="宋体"/>
          <w:bCs/>
          <w:color w:val="auto"/>
          <w:kern w:val="1"/>
          <w:sz w:val="24"/>
          <w:lang w:val="en-US" w:eastAsia="zh-CN"/>
        </w:rPr>
        <w:t>19.10.</w:t>
      </w:r>
      <w:r>
        <w:rPr>
          <w:rFonts w:hint="eastAsia" w:ascii="宋体" w:hAnsi="宋体" w:eastAsia="宋体" w:cs="宋体"/>
          <w:bCs/>
          <w:color w:val="auto"/>
          <w:kern w:val="1"/>
          <w:sz w:val="24"/>
        </w:rPr>
        <w:t>3</w:t>
      </w:r>
      <w:r>
        <w:rPr>
          <w:rFonts w:hint="eastAsia" w:ascii="宋体" w:hAnsi="宋体" w:eastAsia="宋体" w:cs="宋体"/>
          <w:color w:val="auto"/>
          <w:kern w:val="1"/>
          <w:sz w:val="24"/>
        </w:rPr>
        <w:t>、核查、信息确认完毕的响应文件由采购代理机构妥善保管，任何人不得擅自拆封、调换和退回。</w:t>
      </w:r>
    </w:p>
    <w:p>
      <w:pPr>
        <w:tabs>
          <w:tab w:val="left" w:pos="0"/>
        </w:tabs>
        <w:spacing w:line="360" w:lineRule="auto"/>
        <w:rPr>
          <w:rFonts w:hint="eastAsia" w:ascii="宋体" w:hAnsi="宋体" w:eastAsia="宋体" w:cs="宋体"/>
          <w:b/>
          <w:color w:val="auto"/>
          <w:kern w:val="1"/>
          <w:sz w:val="24"/>
        </w:rPr>
      </w:pPr>
      <w:r>
        <w:rPr>
          <w:rFonts w:hint="eastAsia" w:ascii="宋体" w:hAnsi="宋体" w:cs="宋体"/>
          <w:b/>
          <w:color w:val="auto"/>
          <w:kern w:val="1"/>
          <w:sz w:val="24"/>
          <w:lang w:val="en-US" w:eastAsia="zh-CN"/>
        </w:rPr>
        <w:t>20</w:t>
      </w:r>
      <w:r>
        <w:rPr>
          <w:rFonts w:hint="eastAsia" w:ascii="宋体" w:hAnsi="宋体" w:eastAsia="宋体" w:cs="宋体"/>
          <w:b/>
          <w:color w:val="auto"/>
          <w:kern w:val="1"/>
          <w:sz w:val="24"/>
        </w:rPr>
        <w:t>、响应文件的修改和撤回</w:t>
      </w:r>
    </w:p>
    <w:p>
      <w:pPr>
        <w:tabs>
          <w:tab w:val="left" w:pos="0"/>
        </w:tabs>
        <w:spacing w:line="360" w:lineRule="auto"/>
        <w:ind w:firstLine="480" w:firstLineChars="200"/>
        <w:rPr>
          <w:rFonts w:hint="eastAsia" w:ascii="宋体" w:hAnsi="宋体" w:eastAsia="宋体" w:cs="宋体"/>
          <w:color w:val="auto"/>
          <w:kern w:val="1"/>
          <w:sz w:val="24"/>
          <w:lang w:eastAsia="zh-CN"/>
        </w:rPr>
      </w:pPr>
      <w:r>
        <w:rPr>
          <w:rFonts w:hint="eastAsia" w:ascii="宋体" w:hAnsi="宋体" w:cs="宋体"/>
          <w:color w:val="auto"/>
          <w:kern w:val="1"/>
          <w:sz w:val="24"/>
          <w:lang w:val="en-US" w:eastAsia="zh-CN"/>
        </w:rPr>
        <w:t>20</w:t>
      </w:r>
      <w:r>
        <w:rPr>
          <w:rFonts w:hint="eastAsia" w:ascii="宋体" w:hAnsi="宋体" w:eastAsia="宋体" w:cs="宋体"/>
          <w:color w:val="auto"/>
          <w:kern w:val="1"/>
          <w:sz w:val="24"/>
        </w:rPr>
        <w:t>.1、供应商在递交了响应文件后，可以修改或撤回其响应文件，但必须在规定的响应文件截止时间前，以书面形式通知采购代理机构</w:t>
      </w:r>
      <w:r>
        <w:rPr>
          <w:rFonts w:hint="eastAsia" w:ascii="宋体" w:hAnsi="宋体" w:cs="宋体"/>
          <w:color w:val="auto"/>
          <w:kern w:val="1"/>
          <w:sz w:val="24"/>
          <w:lang w:eastAsia="zh-CN"/>
        </w:rPr>
        <w:t>；</w:t>
      </w:r>
    </w:p>
    <w:p>
      <w:pPr>
        <w:tabs>
          <w:tab w:val="left" w:pos="0"/>
        </w:tabs>
        <w:spacing w:line="360" w:lineRule="auto"/>
        <w:ind w:firstLine="480" w:firstLineChars="200"/>
        <w:rPr>
          <w:rFonts w:hint="eastAsia" w:ascii="宋体" w:hAnsi="宋体" w:eastAsia="宋体" w:cs="宋体"/>
          <w:color w:val="auto"/>
          <w:kern w:val="1"/>
          <w:sz w:val="24"/>
          <w:lang w:eastAsia="zh-CN"/>
        </w:rPr>
      </w:pPr>
      <w:r>
        <w:rPr>
          <w:rFonts w:hint="eastAsia" w:ascii="宋体" w:hAnsi="宋体" w:cs="宋体"/>
          <w:color w:val="auto"/>
          <w:kern w:val="1"/>
          <w:sz w:val="24"/>
          <w:lang w:val="en-US" w:eastAsia="zh-CN"/>
        </w:rPr>
        <w:t>20</w:t>
      </w:r>
      <w:r>
        <w:rPr>
          <w:rFonts w:hint="eastAsia" w:ascii="宋体" w:hAnsi="宋体" w:eastAsia="宋体" w:cs="宋体"/>
          <w:color w:val="auto"/>
          <w:kern w:val="1"/>
          <w:sz w:val="24"/>
        </w:rPr>
        <w:t>.2、供应商的修改书或撤回通知书，应由其法定代表人或其被授权委托人签署并盖单位公章，并在密封袋上标注“响应文件修改”或“响应文件撤回通知”字样，“修改文件”作为响应文件的组成部分；采购代理机构不退还供应商已撤回的响应文件（包括纸质和电子版）</w:t>
      </w:r>
      <w:r>
        <w:rPr>
          <w:rFonts w:hint="eastAsia" w:ascii="宋体" w:hAnsi="宋体" w:cs="宋体"/>
          <w:color w:val="auto"/>
          <w:kern w:val="1"/>
          <w:sz w:val="24"/>
          <w:lang w:eastAsia="zh-CN"/>
        </w:rPr>
        <w:t>；</w:t>
      </w:r>
    </w:p>
    <w:p>
      <w:pPr>
        <w:tabs>
          <w:tab w:val="left" w:pos="0"/>
        </w:tabs>
        <w:spacing w:line="360" w:lineRule="auto"/>
        <w:ind w:firstLine="480" w:firstLineChars="200"/>
        <w:rPr>
          <w:rFonts w:hint="eastAsia" w:ascii="宋体" w:hAnsi="宋体" w:eastAsia="宋体" w:cs="宋体"/>
          <w:color w:val="auto"/>
          <w:kern w:val="1"/>
          <w:sz w:val="24"/>
          <w:lang w:eastAsia="zh-CN"/>
        </w:rPr>
      </w:pPr>
      <w:r>
        <w:rPr>
          <w:rFonts w:hint="eastAsia" w:ascii="宋体" w:hAnsi="宋体" w:cs="宋体"/>
          <w:color w:val="auto"/>
          <w:kern w:val="1"/>
          <w:sz w:val="24"/>
          <w:lang w:val="en-US" w:eastAsia="zh-CN"/>
        </w:rPr>
        <w:t>20</w:t>
      </w:r>
      <w:r>
        <w:rPr>
          <w:rFonts w:hint="eastAsia" w:ascii="宋体" w:hAnsi="宋体" w:eastAsia="宋体" w:cs="宋体"/>
          <w:color w:val="auto"/>
          <w:kern w:val="1"/>
          <w:sz w:val="24"/>
        </w:rPr>
        <w:t>.3、供应商撤回响应文件的，采购代理机构自收到供应商书面撤回通知之日起5个工作日内退还已收取的磋商保证金</w:t>
      </w:r>
      <w:r>
        <w:rPr>
          <w:rFonts w:hint="eastAsia" w:ascii="宋体" w:hAnsi="宋体" w:cs="宋体"/>
          <w:color w:val="auto"/>
          <w:kern w:val="1"/>
          <w:sz w:val="24"/>
          <w:lang w:eastAsia="zh-CN"/>
        </w:rPr>
        <w:t>；</w:t>
      </w:r>
    </w:p>
    <w:p>
      <w:pPr>
        <w:tabs>
          <w:tab w:val="left" w:pos="0"/>
        </w:tabs>
        <w:spacing w:line="360" w:lineRule="auto"/>
        <w:ind w:firstLine="480" w:firstLineChars="200"/>
        <w:rPr>
          <w:rFonts w:hint="eastAsia" w:ascii="宋体" w:hAnsi="宋体" w:eastAsia="宋体" w:cs="宋体"/>
          <w:color w:val="auto"/>
          <w:kern w:val="1"/>
          <w:sz w:val="24"/>
        </w:rPr>
      </w:pPr>
      <w:r>
        <w:rPr>
          <w:rFonts w:hint="eastAsia" w:ascii="宋体" w:hAnsi="宋体" w:cs="宋体"/>
          <w:color w:val="auto"/>
          <w:kern w:val="1"/>
          <w:sz w:val="24"/>
          <w:lang w:val="en-US" w:eastAsia="zh-CN"/>
        </w:rPr>
        <w:t>20</w:t>
      </w:r>
      <w:r>
        <w:rPr>
          <w:rFonts w:hint="eastAsia" w:ascii="宋体" w:hAnsi="宋体" w:eastAsia="宋体" w:cs="宋体"/>
          <w:color w:val="auto"/>
          <w:kern w:val="1"/>
          <w:sz w:val="24"/>
        </w:rPr>
        <w:t>.4、在响应文件递交截止时间之后，供应商不得对其递交的响应文件做任何修改或撤回，否则，磋商保证金将不予退还；但供应商在提交最后报价之前，可以根据情况退出</w:t>
      </w:r>
      <w:r>
        <w:rPr>
          <w:rFonts w:hint="eastAsia" w:ascii="宋体" w:hAnsi="宋体" w:eastAsia="宋体" w:cs="宋体"/>
          <w:color w:val="auto"/>
          <w:kern w:val="1"/>
          <w:sz w:val="24"/>
          <w:lang w:eastAsia="zh-CN"/>
        </w:rPr>
        <w:t>磋商</w:t>
      </w:r>
      <w:r>
        <w:rPr>
          <w:rFonts w:hint="eastAsia" w:ascii="宋体" w:hAnsi="宋体" w:cs="宋体"/>
          <w:color w:val="auto"/>
          <w:kern w:val="1"/>
          <w:sz w:val="24"/>
          <w:lang w:eastAsia="zh-CN"/>
        </w:rPr>
        <w:t>；</w:t>
      </w:r>
    </w:p>
    <w:p>
      <w:pPr>
        <w:tabs>
          <w:tab w:val="left" w:pos="0"/>
          <w:tab w:val="left" w:pos="420"/>
        </w:tabs>
        <w:spacing w:line="360" w:lineRule="auto"/>
        <w:rPr>
          <w:rFonts w:hint="eastAsia" w:ascii="宋体" w:hAnsi="宋体" w:eastAsia="宋体" w:cs="宋体"/>
          <w:color w:val="auto"/>
          <w:kern w:val="1"/>
          <w:sz w:val="24"/>
        </w:rPr>
      </w:pPr>
      <w:r>
        <w:rPr>
          <w:rFonts w:hint="eastAsia" w:ascii="宋体" w:hAnsi="宋体" w:cs="宋体"/>
          <w:color w:val="auto"/>
          <w:kern w:val="1"/>
          <w:sz w:val="24"/>
          <w:lang w:val="en-US" w:eastAsia="zh-CN"/>
        </w:rPr>
        <w:t>20</w:t>
      </w:r>
      <w:r>
        <w:rPr>
          <w:rFonts w:hint="eastAsia" w:ascii="宋体" w:hAnsi="宋体" w:eastAsia="宋体" w:cs="宋体"/>
          <w:color w:val="auto"/>
          <w:kern w:val="1"/>
          <w:sz w:val="24"/>
        </w:rPr>
        <w:t>.5、无论供应商中标与否，其响应文件不予退还。</w:t>
      </w:r>
    </w:p>
    <w:p>
      <w:pPr>
        <w:tabs>
          <w:tab w:val="left" w:pos="1080"/>
        </w:tabs>
        <w:spacing w:line="360" w:lineRule="auto"/>
        <w:rPr>
          <w:rFonts w:hint="eastAsia" w:ascii="宋体" w:hAnsi="宋体" w:eastAsia="宋体" w:cs="宋体"/>
          <w:b/>
          <w:color w:val="auto"/>
          <w:kern w:val="1"/>
          <w:sz w:val="24"/>
          <w:u w:val="double"/>
          <w:lang w:eastAsia="zh-CN"/>
        </w:rPr>
      </w:pPr>
      <w:r>
        <w:rPr>
          <w:rFonts w:hint="eastAsia" w:ascii="宋体" w:hAnsi="宋体" w:cs="宋体"/>
          <w:b/>
          <w:color w:val="auto"/>
          <w:kern w:val="1"/>
          <w:sz w:val="24"/>
          <w:lang w:val="en-US" w:eastAsia="zh-CN"/>
        </w:rPr>
        <w:t>21</w:t>
      </w:r>
      <w:r>
        <w:rPr>
          <w:rFonts w:hint="eastAsia" w:ascii="宋体" w:hAnsi="宋体" w:eastAsia="宋体" w:cs="宋体"/>
          <w:b/>
          <w:color w:val="auto"/>
          <w:kern w:val="1"/>
          <w:sz w:val="24"/>
        </w:rPr>
        <w:t>、关于参与采购活动供应商数量不足问题</w:t>
      </w:r>
      <w:r>
        <w:rPr>
          <w:rFonts w:hint="eastAsia" w:ascii="宋体" w:hAnsi="宋体" w:cs="宋体"/>
          <w:b/>
          <w:color w:val="auto"/>
          <w:kern w:val="1"/>
          <w:sz w:val="24"/>
          <w:lang w:eastAsia="zh-CN"/>
        </w:rPr>
        <w:t>：</w:t>
      </w:r>
    </w:p>
    <w:p>
      <w:pPr>
        <w:tabs>
          <w:tab w:val="left" w:pos="1080"/>
        </w:tabs>
        <w:spacing w:line="360" w:lineRule="auto"/>
        <w:ind w:firstLine="465"/>
        <w:rPr>
          <w:rFonts w:hint="eastAsia" w:ascii="宋体" w:hAnsi="宋体" w:eastAsia="宋体" w:cs="宋体"/>
          <w:bCs/>
          <w:color w:val="auto"/>
          <w:kern w:val="1"/>
          <w:sz w:val="24"/>
        </w:rPr>
      </w:pPr>
      <w:r>
        <w:rPr>
          <w:rFonts w:hint="eastAsia" w:ascii="宋体" w:hAnsi="宋体" w:cs="宋体"/>
          <w:bCs/>
          <w:color w:val="auto"/>
          <w:kern w:val="1"/>
          <w:sz w:val="24"/>
          <w:lang w:val="en-US" w:eastAsia="zh-CN"/>
        </w:rPr>
        <w:t>21.1、</w:t>
      </w:r>
      <w:r>
        <w:rPr>
          <w:rFonts w:hint="eastAsia" w:ascii="宋体" w:hAnsi="宋体" w:eastAsia="宋体" w:cs="宋体"/>
          <w:bCs/>
          <w:color w:val="auto"/>
          <w:kern w:val="1"/>
          <w:sz w:val="24"/>
        </w:rPr>
        <w:t>依据《陕西省财政厅关于政府采购有关问题的通知（陕财办采资[2014]143号）》的规定执行。</w:t>
      </w:r>
    </w:p>
    <w:p>
      <w:pPr>
        <w:spacing w:before="120" w:beforeLines="50" w:after="120" w:afterLines="50" w:line="360" w:lineRule="auto"/>
        <w:rPr>
          <w:rFonts w:hint="eastAsia" w:ascii="宋体" w:hAnsi="宋体" w:eastAsia="宋体" w:cs="宋体"/>
          <w:b/>
          <w:color w:val="auto"/>
          <w:sz w:val="24"/>
        </w:rPr>
      </w:pPr>
      <w:r>
        <w:rPr>
          <w:rFonts w:hint="eastAsia" w:ascii="宋体" w:hAnsi="宋体" w:eastAsia="宋体" w:cs="宋体"/>
          <w:b/>
          <w:bCs/>
          <w:color w:val="auto"/>
          <w:sz w:val="24"/>
        </w:rPr>
        <w:t>四、采购程序</w:t>
      </w:r>
    </w:p>
    <w:p>
      <w:pPr>
        <w:spacing w:line="360" w:lineRule="auto"/>
        <w:rPr>
          <w:rFonts w:hint="eastAsia" w:ascii="宋体" w:hAnsi="宋体" w:eastAsia="宋体" w:cs="宋体"/>
          <w:b/>
          <w:color w:val="auto"/>
          <w:sz w:val="24"/>
        </w:rPr>
      </w:pPr>
      <w:r>
        <w:rPr>
          <w:rFonts w:hint="eastAsia" w:ascii="宋体" w:hAnsi="宋体" w:cs="宋体"/>
          <w:b/>
          <w:color w:val="auto"/>
          <w:sz w:val="24"/>
          <w:lang w:val="en-US" w:eastAsia="zh-CN"/>
        </w:rPr>
        <w:t>22</w:t>
      </w:r>
      <w:r>
        <w:rPr>
          <w:rFonts w:hint="eastAsia" w:ascii="宋体" w:hAnsi="宋体" w:eastAsia="宋体" w:cs="宋体"/>
          <w:b/>
          <w:color w:val="auto"/>
          <w:sz w:val="24"/>
        </w:rPr>
        <w:t>、评审工作按下列工作程序进行：</w:t>
      </w:r>
    </w:p>
    <w:p>
      <w:pPr>
        <w:spacing w:line="360" w:lineRule="auto"/>
        <w:ind w:firstLine="493"/>
        <w:rPr>
          <w:rFonts w:hint="eastAsia" w:ascii="宋体" w:hAnsi="宋体" w:eastAsia="宋体" w:cs="宋体"/>
          <w:color w:val="auto"/>
          <w:sz w:val="24"/>
        </w:rPr>
      </w:pPr>
      <w:r>
        <w:rPr>
          <w:rFonts w:hint="eastAsia" w:ascii="宋体" w:hAnsi="宋体" w:cs="宋体"/>
          <w:color w:val="auto"/>
          <w:sz w:val="24"/>
          <w:lang w:val="en-US" w:eastAsia="zh-CN"/>
        </w:rPr>
        <w:t>22</w:t>
      </w:r>
      <w:r>
        <w:rPr>
          <w:rFonts w:hint="eastAsia" w:ascii="宋体" w:hAnsi="宋体" w:eastAsia="宋体" w:cs="宋体"/>
          <w:color w:val="auto"/>
          <w:sz w:val="24"/>
        </w:rPr>
        <w:t>.1、组建</w:t>
      </w:r>
      <w:r>
        <w:rPr>
          <w:rFonts w:hint="eastAsia" w:ascii="宋体" w:hAnsi="宋体" w:eastAsia="宋体" w:cs="宋体"/>
          <w:color w:val="auto"/>
          <w:sz w:val="24"/>
          <w:lang w:eastAsia="zh-CN"/>
        </w:rPr>
        <w:t>磋商</w:t>
      </w:r>
      <w:r>
        <w:rPr>
          <w:rFonts w:hint="eastAsia" w:ascii="宋体" w:hAnsi="宋体" w:eastAsia="宋体" w:cs="宋体"/>
          <w:color w:val="auto"/>
          <w:sz w:val="24"/>
        </w:rPr>
        <w:t>评审小组；</w:t>
      </w:r>
    </w:p>
    <w:p>
      <w:pPr>
        <w:spacing w:line="360" w:lineRule="auto"/>
        <w:ind w:firstLine="493"/>
        <w:rPr>
          <w:rFonts w:hint="eastAsia" w:ascii="宋体" w:hAnsi="宋体" w:eastAsia="宋体" w:cs="宋体"/>
          <w:color w:val="auto"/>
          <w:sz w:val="24"/>
        </w:rPr>
      </w:pPr>
      <w:r>
        <w:rPr>
          <w:rFonts w:hint="eastAsia" w:ascii="宋体" w:hAnsi="宋体" w:cs="宋体"/>
          <w:color w:val="auto"/>
          <w:sz w:val="24"/>
          <w:lang w:val="en-US" w:eastAsia="zh-CN"/>
        </w:rPr>
        <w:t>22</w:t>
      </w:r>
      <w:r>
        <w:rPr>
          <w:rFonts w:hint="eastAsia" w:ascii="宋体" w:hAnsi="宋体" w:eastAsia="宋体" w:cs="宋体"/>
          <w:color w:val="auto"/>
          <w:sz w:val="24"/>
        </w:rPr>
        <w:t>.2、开标</w:t>
      </w:r>
      <w:r>
        <w:rPr>
          <w:rFonts w:hint="eastAsia" w:ascii="宋体" w:hAnsi="宋体" w:cs="宋体"/>
          <w:color w:val="auto"/>
          <w:sz w:val="24"/>
          <w:lang w:eastAsia="zh-CN"/>
        </w:rPr>
        <w:t>（磋商）</w:t>
      </w:r>
      <w:r>
        <w:rPr>
          <w:rFonts w:hint="eastAsia" w:ascii="宋体" w:hAnsi="宋体" w:eastAsia="宋体" w:cs="宋体"/>
          <w:color w:val="auto"/>
          <w:sz w:val="24"/>
        </w:rPr>
        <w:t>会议；</w:t>
      </w:r>
    </w:p>
    <w:p>
      <w:pPr>
        <w:spacing w:line="360" w:lineRule="auto"/>
        <w:ind w:firstLine="493"/>
        <w:rPr>
          <w:rFonts w:hint="eastAsia" w:ascii="宋体" w:hAnsi="宋体" w:eastAsia="宋体" w:cs="宋体"/>
          <w:color w:val="auto"/>
          <w:sz w:val="24"/>
        </w:rPr>
      </w:pPr>
      <w:r>
        <w:rPr>
          <w:rFonts w:hint="eastAsia" w:ascii="宋体" w:hAnsi="宋体" w:cs="宋体"/>
          <w:color w:val="auto"/>
          <w:sz w:val="24"/>
          <w:lang w:val="en-US" w:eastAsia="zh-CN"/>
        </w:rPr>
        <w:t>22</w:t>
      </w:r>
      <w:r>
        <w:rPr>
          <w:rFonts w:hint="eastAsia" w:ascii="宋体" w:hAnsi="宋体" w:eastAsia="宋体" w:cs="宋体"/>
          <w:color w:val="auto"/>
          <w:sz w:val="24"/>
        </w:rPr>
        <w:t>.3、响应文件初步评审；</w:t>
      </w:r>
    </w:p>
    <w:p>
      <w:pPr>
        <w:spacing w:line="360" w:lineRule="auto"/>
        <w:ind w:firstLine="493"/>
        <w:rPr>
          <w:rFonts w:hint="eastAsia" w:ascii="宋体" w:hAnsi="宋体" w:eastAsia="宋体" w:cs="宋体"/>
          <w:color w:val="auto"/>
          <w:sz w:val="24"/>
        </w:rPr>
      </w:pPr>
      <w:r>
        <w:rPr>
          <w:rFonts w:hint="eastAsia" w:ascii="宋体" w:hAnsi="宋体" w:cs="宋体"/>
          <w:color w:val="auto"/>
          <w:sz w:val="24"/>
          <w:lang w:val="en-US" w:eastAsia="zh-CN"/>
        </w:rPr>
        <w:t>2</w:t>
      </w:r>
      <w:r>
        <w:rPr>
          <w:rFonts w:hint="eastAsia" w:ascii="宋体" w:hAnsi="宋体" w:eastAsia="宋体" w:cs="宋体"/>
          <w:color w:val="auto"/>
          <w:sz w:val="24"/>
        </w:rPr>
        <w:t>2.4、响应文件的澄清；</w:t>
      </w:r>
    </w:p>
    <w:p>
      <w:pPr>
        <w:spacing w:line="360" w:lineRule="auto"/>
        <w:ind w:firstLine="493"/>
        <w:rPr>
          <w:rFonts w:hint="eastAsia" w:ascii="宋体" w:hAnsi="宋体" w:eastAsia="宋体" w:cs="宋体"/>
          <w:color w:val="auto"/>
          <w:sz w:val="24"/>
        </w:rPr>
      </w:pPr>
      <w:r>
        <w:rPr>
          <w:rFonts w:hint="eastAsia" w:ascii="宋体" w:hAnsi="宋体" w:cs="宋体"/>
          <w:color w:val="auto"/>
          <w:sz w:val="24"/>
          <w:lang w:val="en-US" w:eastAsia="zh-CN"/>
        </w:rPr>
        <w:t>2</w:t>
      </w:r>
      <w:r>
        <w:rPr>
          <w:rFonts w:hint="eastAsia" w:ascii="宋体" w:hAnsi="宋体" w:eastAsia="宋体" w:cs="宋体"/>
          <w:color w:val="auto"/>
          <w:sz w:val="24"/>
        </w:rPr>
        <w:t>2.5、响应文件详细评审；</w:t>
      </w:r>
    </w:p>
    <w:p>
      <w:pPr>
        <w:spacing w:line="360" w:lineRule="auto"/>
        <w:ind w:firstLine="493"/>
        <w:rPr>
          <w:rFonts w:hint="eastAsia" w:ascii="宋体" w:hAnsi="宋体" w:eastAsia="宋体" w:cs="宋体"/>
          <w:color w:val="auto"/>
          <w:sz w:val="24"/>
        </w:rPr>
      </w:pPr>
      <w:r>
        <w:rPr>
          <w:rFonts w:hint="eastAsia" w:ascii="宋体" w:hAnsi="宋体" w:cs="宋体"/>
          <w:color w:val="auto"/>
          <w:sz w:val="24"/>
          <w:lang w:val="en-US" w:eastAsia="zh-CN"/>
        </w:rPr>
        <w:t>2</w:t>
      </w:r>
      <w:r>
        <w:rPr>
          <w:rFonts w:hint="eastAsia" w:ascii="宋体" w:hAnsi="宋体" w:eastAsia="宋体" w:cs="宋体"/>
          <w:color w:val="auto"/>
          <w:sz w:val="24"/>
        </w:rPr>
        <w:t>2.6、磋商及二次报价；</w:t>
      </w:r>
    </w:p>
    <w:p>
      <w:pPr>
        <w:spacing w:line="360" w:lineRule="auto"/>
        <w:ind w:firstLine="493"/>
        <w:rPr>
          <w:rFonts w:hint="eastAsia" w:ascii="宋体" w:hAnsi="宋体" w:eastAsia="宋体" w:cs="宋体"/>
          <w:color w:val="auto"/>
          <w:sz w:val="24"/>
        </w:rPr>
      </w:pPr>
      <w:r>
        <w:rPr>
          <w:rFonts w:hint="eastAsia" w:ascii="宋体" w:hAnsi="宋体" w:cs="宋体"/>
          <w:color w:val="auto"/>
          <w:sz w:val="24"/>
          <w:lang w:val="en-US" w:eastAsia="zh-CN"/>
        </w:rPr>
        <w:t>2</w:t>
      </w:r>
      <w:r>
        <w:rPr>
          <w:rFonts w:hint="eastAsia" w:ascii="宋体" w:hAnsi="宋体" w:eastAsia="宋体" w:cs="宋体"/>
          <w:color w:val="auto"/>
          <w:sz w:val="24"/>
        </w:rPr>
        <w:t>2.7、汇总评审结果；</w:t>
      </w:r>
    </w:p>
    <w:p>
      <w:pPr>
        <w:spacing w:line="360" w:lineRule="auto"/>
        <w:ind w:firstLine="493"/>
        <w:rPr>
          <w:rFonts w:hint="eastAsia" w:ascii="宋体" w:hAnsi="宋体" w:eastAsia="宋体" w:cs="宋体"/>
          <w:color w:val="auto"/>
          <w:sz w:val="24"/>
        </w:rPr>
      </w:pPr>
      <w:r>
        <w:rPr>
          <w:rFonts w:hint="eastAsia" w:ascii="宋体" w:hAnsi="宋体" w:cs="宋体"/>
          <w:color w:val="auto"/>
          <w:sz w:val="24"/>
          <w:lang w:val="en-US" w:eastAsia="zh-CN"/>
        </w:rPr>
        <w:t>2</w:t>
      </w:r>
      <w:r>
        <w:rPr>
          <w:rFonts w:hint="eastAsia" w:ascii="宋体" w:hAnsi="宋体" w:eastAsia="宋体" w:cs="宋体"/>
          <w:color w:val="auto"/>
          <w:sz w:val="24"/>
        </w:rPr>
        <w:t>2.8、推荐成交供应商；</w:t>
      </w:r>
    </w:p>
    <w:p>
      <w:pPr>
        <w:spacing w:line="360" w:lineRule="auto"/>
        <w:ind w:firstLine="493"/>
        <w:rPr>
          <w:rFonts w:hint="eastAsia" w:ascii="宋体" w:hAnsi="宋体" w:eastAsia="宋体" w:cs="宋体"/>
          <w:color w:val="auto"/>
          <w:sz w:val="24"/>
        </w:rPr>
      </w:pPr>
      <w:r>
        <w:rPr>
          <w:rFonts w:hint="eastAsia" w:ascii="宋体" w:hAnsi="宋体" w:cs="宋体"/>
          <w:color w:val="auto"/>
          <w:sz w:val="24"/>
          <w:lang w:val="en-US" w:eastAsia="zh-CN"/>
        </w:rPr>
        <w:t>2</w:t>
      </w:r>
      <w:r>
        <w:rPr>
          <w:rFonts w:hint="eastAsia" w:ascii="宋体" w:hAnsi="宋体" w:eastAsia="宋体" w:cs="宋体"/>
          <w:color w:val="auto"/>
          <w:sz w:val="24"/>
        </w:rPr>
        <w:t>2.9、编写评审报告。</w:t>
      </w:r>
    </w:p>
    <w:p>
      <w:pPr>
        <w:spacing w:line="360" w:lineRule="auto"/>
        <w:rPr>
          <w:rFonts w:hint="eastAsia" w:ascii="宋体" w:hAnsi="宋体" w:eastAsia="宋体" w:cs="宋体"/>
          <w:b/>
          <w:color w:val="auto"/>
          <w:sz w:val="24"/>
        </w:rPr>
      </w:pPr>
      <w:r>
        <w:rPr>
          <w:rFonts w:hint="eastAsia" w:ascii="宋体" w:hAnsi="宋体" w:cs="宋体"/>
          <w:b/>
          <w:color w:val="auto"/>
          <w:sz w:val="24"/>
          <w:lang w:val="en-US" w:eastAsia="zh-CN"/>
        </w:rPr>
        <w:t>2</w:t>
      </w:r>
      <w:r>
        <w:rPr>
          <w:rFonts w:hint="eastAsia" w:ascii="宋体" w:hAnsi="宋体" w:eastAsia="宋体" w:cs="宋体"/>
          <w:b/>
          <w:color w:val="auto"/>
          <w:sz w:val="24"/>
        </w:rPr>
        <w:t>3、开标会议</w:t>
      </w:r>
    </w:p>
    <w:p>
      <w:pPr>
        <w:spacing w:line="360" w:lineRule="auto"/>
        <w:ind w:firstLine="480" w:firstLineChars="200"/>
        <w:rPr>
          <w:rFonts w:hint="eastAsia" w:ascii="宋体" w:hAnsi="宋体" w:eastAsia="宋体" w:cs="宋体"/>
          <w:color w:val="auto"/>
          <w:sz w:val="24"/>
        </w:rPr>
      </w:pPr>
      <w:r>
        <w:rPr>
          <w:rFonts w:hint="eastAsia" w:ascii="宋体" w:hAnsi="宋体" w:cs="宋体"/>
          <w:color w:val="auto"/>
          <w:sz w:val="24"/>
          <w:lang w:val="en-US" w:eastAsia="zh-CN"/>
        </w:rPr>
        <w:t>23</w:t>
      </w:r>
      <w:r>
        <w:rPr>
          <w:rFonts w:hint="eastAsia" w:ascii="宋体" w:hAnsi="宋体" w:eastAsia="宋体" w:cs="宋体"/>
          <w:color w:val="auto"/>
          <w:sz w:val="24"/>
        </w:rPr>
        <w:t>.1、开标会议由采购代理机构主持。根据财政部《政府采购竞争性磋商采购方式管理暂行办法》(财库[2014]214号)第五条和《陕西省财政厅关于政府采购有关问题的通知》(陕财办采资[2016]53号)文件第六条规定，开启响应文件和每轮磋商结束时均不公开报价</w:t>
      </w:r>
      <w:r>
        <w:rPr>
          <w:rFonts w:hint="eastAsia" w:ascii="宋体" w:hAnsi="宋体" w:cs="宋体"/>
          <w:color w:val="auto"/>
          <w:sz w:val="24"/>
          <w:lang w:eastAsia="zh-CN"/>
        </w:rPr>
        <w:t>。</w:t>
      </w:r>
      <w:r>
        <w:rPr>
          <w:rFonts w:hint="eastAsia" w:ascii="宋体" w:hAnsi="宋体" w:eastAsia="宋体" w:cs="宋体"/>
          <w:color w:val="auto"/>
          <w:sz w:val="24"/>
        </w:rPr>
        <w:t>主持人按照竞争性磋商文件规定的开标时间宣布会议开始，会议将按以下程序进行（包含但不限于）：</w:t>
      </w:r>
    </w:p>
    <w:p>
      <w:pPr>
        <w:spacing w:line="360" w:lineRule="auto"/>
        <w:ind w:firstLine="480" w:firstLineChars="200"/>
        <w:rPr>
          <w:rFonts w:hint="eastAsia" w:ascii="宋体" w:hAnsi="宋体" w:eastAsia="宋体" w:cs="宋体"/>
          <w:color w:val="auto"/>
          <w:sz w:val="24"/>
        </w:rPr>
      </w:pPr>
      <w:r>
        <w:rPr>
          <w:rFonts w:hint="eastAsia" w:ascii="宋体" w:hAnsi="宋体" w:cs="宋体"/>
          <w:color w:val="auto"/>
          <w:sz w:val="24"/>
          <w:lang w:val="en-US" w:eastAsia="zh-CN"/>
        </w:rPr>
        <w:t>23</w:t>
      </w:r>
      <w:r>
        <w:rPr>
          <w:rFonts w:hint="eastAsia" w:ascii="宋体" w:hAnsi="宋体" w:eastAsia="宋体" w:cs="宋体"/>
          <w:color w:val="auto"/>
          <w:sz w:val="24"/>
        </w:rPr>
        <w:t>.1.1、宣布会场纪律和有关注意事项</w:t>
      </w:r>
      <w:r>
        <w:rPr>
          <w:rFonts w:hint="eastAsia" w:ascii="宋体" w:hAnsi="宋体" w:cs="宋体"/>
          <w:color w:val="auto"/>
          <w:sz w:val="24"/>
          <w:lang w:eastAsia="zh-CN"/>
        </w:rPr>
        <w:t>，开启录音录像设备；</w:t>
      </w:r>
    </w:p>
    <w:p>
      <w:pPr>
        <w:spacing w:line="360" w:lineRule="auto"/>
        <w:ind w:firstLine="480" w:firstLineChars="200"/>
        <w:rPr>
          <w:rFonts w:hint="eastAsia" w:ascii="宋体" w:hAnsi="宋体" w:eastAsia="宋体" w:cs="宋体"/>
          <w:color w:val="auto"/>
          <w:sz w:val="24"/>
          <w:lang w:eastAsia="zh-CN"/>
        </w:rPr>
      </w:pPr>
      <w:r>
        <w:rPr>
          <w:rFonts w:hint="eastAsia" w:ascii="宋体" w:hAnsi="宋体" w:cs="宋体"/>
          <w:color w:val="auto"/>
          <w:sz w:val="24"/>
          <w:lang w:val="en-US" w:eastAsia="zh-CN"/>
        </w:rPr>
        <w:t>23</w:t>
      </w:r>
      <w:r>
        <w:rPr>
          <w:rFonts w:hint="eastAsia" w:ascii="宋体" w:hAnsi="宋体" w:eastAsia="宋体" w:cs="宋体"/>
          <w:color w:val="auto"/>
          <w:sz w:val="24"/>
        </w:rPr>
        <w:t>.1.2、宣布参加会议的现场监督人员和主持人、会议记录等会议工作人员，根据响应文件递交签到表宣布参加会议的供应商名单</w:t>
      </w:r>
      <w:r>
        <w:rPr>
          <w:rFonts w:hint="eastAsia" w:ascii="宋体" w:hAnsi="宋体" w:cs="宋体"/>
          <w:color w:val="auto"/>
          <w:sz w:val="24"/>
          <w:lang w:eastAsia="zh-CN"/>
        </w:rPr>
        <w:t>；</w:t>
      </w:r>
    </w:p>
    <w:p>
      <w:pPr>
        <w:spacing w:line="360" w:lineRule="auto"/>
        <w:ind w:firstLine="480" w:firstLineChars="200"/>
        <w:rPr>
          <w:rFonts w:hint="eastAsia" w:ascii="宋体" w:hAnsi="宋体" w:eastAsia="宋体" w:cs="宋体"/>
          <w:color w:val="auto"/>
          <w:sz w:val="24"/>
          <w:lang w:eastAsia="zh-CN"/>
        </w:rPr>
      </w:pPr>
      <w:r>
        <w:rPr>
          <w:rFonts w:hint="eastAsia" w:ascii="宋体" w:hAnsi="宋体" w:cs="宋体"/>
          <w:color w:val="auto"/>
          <w:sz w:val="24"/>
          <w:lang w:val="en-US" w:eastAsia="zh-CN"/>
        </w:rPr>
        <w:t>23</w:t>
      </w:r>
      <w:r>
        <w:rPr>
          <w:rFonts w:hint="eastAsia" w:ascii="宋体" w:hAnsi="宋体" w:eastAsia="宋体" w:cs="宋体"/>
          <w:color w:val="auto"/>
          <w:sz w:val="24"/>
        </w:rPr>
        <w:t>.1.3、介绍竞争性磋商文件中规定的评审定标原则，并由采购人审查供应商证书证件原件有效性，并公布复审结果</w:t>
      </w:r>
      <w:r>
        <w:rPr>
          <w:rFonts w:hint="eastAsia" w:ascii="宋体" w:hAnsi="宋体" w:cs="宋体"/>
          <w:color w:val="auto"/>
          <w:sz w:val="24"/>
          <w:lang w:eastAsia="zh-CN"/>
        </w:rPr>
        <w:t>；</w:t>
      </w:r>
    </w:p>
    <w:p>
      <w:pPr>
        <w:spacing w:line="360" w:lineRule="auto"/>
        <w:ind w:firstLine="480" w:firstLineChars="200"/>
        <w:rPr>
          <w:rFonts w:hint="eastAsia" w:ascii="宋体" w:hAnsi="宋体" w:eastAsia="宋体" w:cs="宋体"/>
          <w:color w:val="auto"/>
          <w:sz w:val="24"/>
          <w:lang w:eastAsia="zh-CN"/>
        </w:rPr>
      </w:pPr>
      <w:r>
        <w:rPr>
          <w:rFonts w:hint="eastAsia" w:ascii="宋体" w:hAnsi="宋体" w:cs="宋体"/>
          <w:color w:val="auto"/>
          <w:sz w:val="24"/>
          <w:lang w:val="en-US" w:eastAsia="zh-CN"/>
        </w:rPr>
        <w:t>23</w:t>
      </w:r>
      <w:r>
        <w:rPr>
          <w:rFonts w:hint="eastAsia" w:ascii="宋体" w:hAnsi="宋体" w:eastAsia="宋体" w:cs="宋体"/>
          <w:color w:val="auto"/>
          <w:sz w:val="24"/>
        </w:rPr>
        <w:t>.1.4、宣布检查响应文件的密封情况。由供应商法定代表人或其被授权委托人与监督管理机构共同检查响应文件密封情况，经检查无误后，签字确认。对检查出的不符合密封规定要求的响应文件作为无效文件处理不得启封，经该供应商签字确认将其响应文件退回</w:t>
      </w:r>
      <w:r>
        <w:rPr>
          <w:rFonts w:hint="eastAsia" w:ascii="宋体" w:hAnsi="宋体" w:cs="宋体"/>
          <w:color w:val="auto"/>
          <w:sz w:val="24"/>
          <w:lang w:eastAsia="zh-CN"/>
        </w:rPr>
        <w:t>；</w:t>
      </w:r>
    </w:p>
    <w:p>
      <w:pPr>
        <w:spacing w:line="360" w:lineRule="auto"/>
        <w:ind w:firstLine="480" w:firstLineChars="200"/>
        <w:rPr>
          <w:rFonts w:hint="default" w:ascii="宋体" w:hAnsi="宋体" w:eastAsia="宋体" w:cs="宋体"/>
          <w:color w:val="auto"/>
          <w:sz w:val="24"/>
          <w:lang w:val="en-US" w:eastAsia="zh-CN"/>
        </w:rPr>
      </w:pPr>
      <w:r>
        <w:rPr>
          <w:rFonts w:hint="eastAsia" w:ascii="宋体" w:hAnsi="宋体" w:cs="宋体"/>
          <w:color w:val="auto"/>
          <w:sz w:val="24"/>
          <w:lang w:val="en-US" w:eastAsia="zh-CN"/>
        </w:rPr>
        <w:t>23</w:t>
      </w:r>
      <w:r>
        <w:rPr>
          <w:rFonts w:hint="eastAsia" w:ascii="宋体" w:hAnsi="宋体" w:eastAsia="宋体" w:cs="宋体"/>
          <w:color w:val="auto"/>
          <w:sz w:val="24"/>
        </w:rPr>
        <w:t>.1.5主持人宣布启封响应文件，现场工作人员按顺序对供应商的响应文件正本、副本</w:t>
      </w:r>
      <w:r>
        <w:rPr>
          <w:rFonts w:hint="eastAsia" w:ascii="宋体" w:hAnsi="宋体" w:eastAsia="宋体" w:cs="宋体"/>
          <w:color w:val="auto"/>
          <w:sz w:val="24"/>
          <w:lang w:eastAsia="zh-CN"/>
        </w:rPr>
        <w:t>及磋商报价一览表密封袋</w:t>
      </w:r>
      <w:r>
        <w:rPr>
          <w:rFonts w:hint="eastAsia" w:ascii="宋体" w:hAnsi="宋体" w:eastAsia="宋体" w:cs="宋体"/>
          <w:color w:val="auto"/>
          <w:sz w:val="24"/>
        </w:rPr>
        <w:t>当众进行拆封，并送至磋商小组进行评审</w:t>
      </w:r>
      <w:r>
        <w:rPr>
          <w:rFonts w:hint="eastAsia" w:ascii="宋体" w:hAnsi="宋体" w:cs="宋体"/>
          <w:color w:val="auto"/>
          <w:sz w:val="24"/>
          <w:lang w:eastAsia="zh-CN"/>
        </w:rPr>
        <w:t>，供应商退场；</w:t>
      </w:r>
    </w:p>
    <w:p>
      <w:pPr>
        <w:spacing w:line="360" w:lineRule="auto"/>
        <w:ind w:firstLine="480" w:firstLineChars="200"/>
        <w:rPr>
          <w:rFonts w:hint="eastAsia" w:ascii="宋体" w:hAnsi="宋体" w:eastAsia="宋体" w:cs="宋体"/>
          <w:color w:val="auto"/>
          <w:sz w:val="24"/>
        </w:rPr>
      </w:pPr>
      <w:r>
        <w:rPr>
          <w:rFonts w:hint="eastAsia" w:ascii="宋体" w:hAnsi="宋体" w:cs="宋体"/>
          <w:color w:val="auto"/>
          <w:sz w:val="24"/>
          <w:lang w:val="en-US" w:eastAsia="zh-CN"/>
        </w:rPr>
        <w:t>23</w:t>
      </w:r>
      <w:r>
        <w:rPr>
          <w:rFonts w:hint="eastAsia" w:ascii="宋体" w:hAnsi="宋体" w:eastAsia="宋体" w:cs="宋体"/>
          <w:color w:val="auto"/>
          <w:sz w:val="24"/>
        </w:rPr>
        <w:t>.1.6、磋商小组与供应商磋商并进行二次报价。</w:t>
      </w:r>
    </w:p>
    <w:p>
      <w:pPr>
        <w:spacing w:line="360" w:lineRule="auto"/>
        <w:ind w:firstLine="480" w:firstLineChars="200"/>
        <w:rPr>
          <w:rFonts w:hint="eastAsia" w:ascii="宋体" w:hAnsi="宋体" w:eastAsia="宋体" w:cs="宋体"/>
          <w:color w:val="auto"/>
          <w:sz w:val="24"/>
        </w:rPr>
      </w:pPr>
      <w:r>
        <w:rPr>
          <w:rFonts w:hint="eastAsia" w:ascii="宋体" w:hAnsi="宋体" w:cs="宋体"/>
          <w:color w:val="auto"/>
          <w:sz w:val="24"/>
          <w:lang w:val="en-US" w:eastAsia="zh-CN"/>
        </w:rPr>
        <w:t>23</w:t>
      </w:r>
      <w:r>
        <w:rPr>
          <w:rFonts w:hint="eastAsia" w:ascii="宋体" w:hAnsi="宋体" w:eastAsia="宋体" w:cs="宋体"/>
          <w:color w:val="auto"/>
          <w:sz w:val="24"/>
        </w:rPr>
        <w:t>.1.7、供应商通过《陕西省政府采购网》查看评审结果。</w:t>
      </w:r>
    </w:p>
    <w:p>
      <w:pPr>
        <w:spacing w:line="360" w:lineRule="auto"/>
        <w:ind w:firstLine="480" w:firstLineChars="200"/>
        <w:rPr>
          <w:rFonts w:hint="eastAsia" w:ascii="宋体" w:hAnsi="宋体" w:cs="宋体"/>
          <w:color w:val="auto"/>
          <w:sz w:val="24"/>
          <w:lang w:val="en-US" w:eastAsia="zh-CN"/>
        </w:rPr>
      </w:pPr>
      <w:r>
        <w:rPr>
          <w:rFonts w:hint="eastAsia" w:ascii="宋体" w:hAnsi="宋体" w:cs="宋体"/>
          <w:color w:val="auto"/>
          <w:sz w:val="24"/>
          <w:lang w:val="en-US" w:eastAsia="zh-CN"/>
        </w:rPr>
        <w:t>23.2、所有提交了响应文件的供应商在退场后，不要远离会场并保持通讯设备的畅通，以方便后续磋商和在评审过程中磋商小组要求供应商对响应文件的必要澄清；</w:t>
      </w:r>
    </w:p>
    <w:p>
      <w:pPr>
        <w:spacing w:line="360" w:lineRule="auto"/>
        <w:ind w:firstLine="480" w:firstLineChars="200"/>
        <w:rPr>
          <w:rFonts w:hint="eastAsia" w:ascii="宋体" w:hAnsi="宋体" w:cs="宋体"/>
          <w:color w:val="auto"/>
          <w:sz w:val="24"/>
          <w:lang w:val="en-US" w:eastAsia="zh-CN"/>
        </w:rPr>
      </w:pPr>
      <w:r>
        <w:rPr>
          <w:rFonts w:hint="eastAsia" w:ascii="宋体" w:hAnsi="宋体" w:cs="宋体"/>
          <w:color w:val="auto"/>
          <w:sz w:val="24"/>
          <w:lang w:val="en-US" w:eastAsia="zh-CN"/>
        </w:rPr>
        <w:t>23.3、检查响应文件密封情况是指，由供应商或者其推选的代表检查其自己提交的响应文件的密封情况，经检查无误后，签字确认；</w:t>
      </w:r>
    </w:p>
    <w:p>
      <w:pPr>
        <w:spacing w:line="360" w:lineRule="auto"/>
        <w:ind w:firstLine="480" w:firstLineChars="200"/>
        <w:rPr>
          <w:rFonts w:hint="eastAsia" w:ascii="宋体" w:hAnsi="宋体" w:cs="宋体"/>
          <w:color w:val="auto"/>
          <w:sz w:val="24"/>
          <w:lang w:val="en-US" w:eastAsia="zh-CN"/>
        </w:rPr>
      </w:pPr>
      <w:r>
        <w:rPr>
          <w:rFonts w:hint="eastAsia" w:ascii="宋体" w:hAnsi="宋体" w:cs="宋体"/>
          <w:color w:val="auto"/>
          <w:sz w:val="24"/>
          <w:lang w:val="en-US" w:eastAsia="zh-CN"/>
        </w:rPr>
        <w:t>23.4、供应商或者其推选的代表确认响应文件情况，仅限于确认其自己提交的响应文件的密封情况，不代表对其他供应商的响应文件的密封情况确认。供应商或者其推选的代表检对其他供应商的响应文件密封情况有异议的，可以当场反映主持人或者现场监督人员，要求现场记录人员予以记录，但不得干扰、阻挠开启响应文件工作的正常进行；</w:t>
      </w:r>
    </w:p>
    <w:p>
      <w:pPr>
        <w:spacing w:line="360" w:lineRule="auto"/>
        <w:ind w:firstLine="480" w:firstLineChars="200"/>
        <w:rPr>
          <w:rFonts w:hint="default" w:ascii="宋体" w:hAnsi="宋体" w:eastAsia="宋体" w:cs="宋体"/>
          <w:color w:val="auto"/>
          <w:sz w:val="24"/>
          <w:lang w:val="en-US" w:eastAsia="zh-CN"/>
        </w:rPr>
      </w:pPr>
      <w:r>
        <w:rPr>
          <w:rFonts w:hint="eastAsia" w:ascii="宋体" w:hAnsi="宋体" w:cs="宋体"/>
          <w:color w:val="auto"/>
          <w:sz w:val="24"/>
          <w:lang w:val="en-US" w:eastAsia="zh-CN"/>
        </w:rPr>
        <w:t>23.5、供应商认为采购人、采购代理机构相关工作人员有需要回避情形的，应当现场提出询问或者回避申请。采购人、采购代理机构对供应商提出的询问或者回避申请应当及时处理，并制作记录。</w:t>
      </w:r>
    </w:p>
    <w:p>
      <w:pPr>
        <w:spacing w:line="360" w:lineRule="auto"/>
        <w:rPr>
          <w:rFonts w:hint="eastAsia" w:ascii="宋体" w:hAnsi="宋体" w:eastAsia="宋体" w:cs="宋体"/>
          <w:b/>
          <w:color w:val="auto"/>
          <w:sz w:val="24"/>
        </w:rPr>
      </w:pPr>
      <w:r>
        <w:rPr>
          <w:rFonts w:hint="eastAsia" w:ascii="宋体" w:hAnsi="宋体" w:cs="宋体"/>
          <w:b/>
          <w:color w:val="auto"/>
          <w:sz w:val="24"/>
          <w:lang w:val="en-US" w:eastAsia="zh-CN"/>
        </w:rPr>
        <w:t>24</w:t>
      </w:r>
      <w:r>
        <w:rPr>
          <w:rFonts w:hint="eastAsia" w:ascii="宋体" w:hAnsi="宋体" w:eastAsia="宋体" w:cs="宋体"/>
          <w:b/>
          <w:color w:val="auto"/>
          <w:sz w:val="24"/>
        </w:rPr>
        <w:t>、磋商小组</w:t>
      </w:r>
    </w:p>
    <w:p>
      <w:pPr>
        <w:spacing w:line="360" w:lineRule="auto"/>
        <w:ind w:left="120" w:leftChars="57" w:firstLine="360" w:firstLineChars="150"/>
        <w:rPr>
          <w:rFonts w:hint="eastAsia" w:ascii="宋体" w:hAnsi="宋体" w:eastAsia="宋体" w:cs="宋体"/>
          <w:color w:val="auto"/>
          <w:sz w:val="24"/>
          <w:lang w:eastAsia="zh-CN"/>
        </w:rPr>
      </w:pPr>
      <w:r>
        <w:rPr>
          <w:rFonts w:hint="eastAsia" w:ascii="宋体" w:hAnsi="宋体" w:cs="宋体"/>
          <w:color w:val="auto"/>
          <w:sz w:val="24"/>
          <w:lang w:val="en-US" w:eastAsia="zh-CN"/>
        </w:rPr>
        <w:t>24</w:t>
      </w:r>
      <w:r>
        <w:rPr>
          <w:rFonts w:hint="eastAsia" w:ascii="宋体" w:hAnsi="宋体" w:eastAsia="宋体" w:cs="宋体"/>
          <w:color w:val="auto"/>
          <w:sz w:val="24"/>
        </w:rPr>
        <w:t>.1、磋商由采购代理机构依法组建的磋商小组负责。磋商小组由采购人代表和评审专家组成，成员由3人以上单数组成，或者达到公开招标限额标准的项目由5人以上单数组成，或者采购预算金额在1000万元以上、技术复杂的项目或者社会影响较大的项目由7人以上单数组成，其中评审专家不得少于成员总数的三分之二。采购人代表不得以评审专家身份参加本单位或者本部门采购项目的评审</w:t>
      </w:r>
      <w:r>
        <w:rPr>
          <w:rFonts w:hint="eastAsia" w:ascii="宋体" w:hAnsi="宋体" w:cs="宋体"/>
          <w:color w:val="auto"/>
          <w:sz w:val="24"/>
          <w:lang w:eastAsia="zh-CN"/>
        </w:rPr>
        <w:t>。</w:t>
      </w:r>
    </w:p>
    <w:p>
      <w:pPr>
        <w:tabs>
          <w:tab w:val="left" w:pos="0"/>
        </w:tabs>
        <w:adjustRightInd w:val="0"/>
        <w:snapToGrid w:val="0"/>
        <w:spacing w:line="360" w:lineRule="auto"/>
        <w:ind w:firstLine="470" w:firstLineChars="196"/>
        <w:rPr>
          <w:rFonts w:hint="eastAsia" w:ascii="宋体" w:hAnsi="宋体" w:eastAsia="宋体" w:cs="宋体"/>
          <w:color w:val="auto"/>
          <w:sz w:val="24"/>
          <w:lang w:eastAsia="zh-CN"/>
        </w:rPr>
      </w:pPr>
      <w:r>
        <w:rPr>
          <w:rFonts w:hint="eastAsia" w:ascii="宋体" w:hAnsi="宋体" w:cs="宋体"/>
          <w:color w:val="auto"/>
          <w:sz w:val="24"/>
          <w:lang w:val="en-US" w:eastAsia="zh-CN"/>
        </w:rPr>
        <w:t>24</w:t>
      </w:r>
      <w:r>
        <w:rPr>
          <w:rFonts w:hint="eastAsia" w:ascii="宋体" w:hAnsi="宋体" w:eastAsia="宋体" w:cs="宋体"/>
          <w:color w:val="auto"/>
          <w:sz w:val="24"/>
        </w:rPr>
        <w:t>.2、评审专家应当从省级财政部门设立的政府采购评审专家库内相关专业的专家名单中随机抽取。对技术复杂、专业性强的采购项目，通过随机方式难以确定合适评审专家的，经主管预算单位同意，采购人或采购代理机构可以自行选定相应专业领域的评审专家。技术复杂、专业性强的采购项目，评审专家中应当包括1名法律专家</w:t>
      </w:r>
      <w:r>
        <w:rPr>
          <w:rFonts w:hint="eastAsia" w:ascii="宋体" w:hAnsi="宋体" w:cs="宋体"/>
          <w:color w:val="auto"/>
          <w:sz w:val="24"/>
          <w:lang w:eastAsia="zh-CN"/>
        </w:rPr>
        <w:t>。</w:t>
      </w:r>
    </w:p>
    <w:p>
      <w:pPr>
        <w:tabs>
          <w:tab w:val="left" w:pos="0"/>
        </w:tabs>
        <w:adjustRightInd w:val="0"/>
        <w:snapToGrid w:val="0"/>
        <w:spacing w:line="360" w:lineRule="auto"/>
        <w:ind w:firstLine="470" w:firstLineChars="196"/>
        <w:rPr>
          <w:rFonts w:hint="default" w:ascii="宋体" w:hAnsi="宋体" w:eastAsia="宋体" w:cs="宋体"/>
          <w:color w:val="auto"/>
          <w:sz w:val="24"/>
          <w:lang w:val="en-US" w:eastAsia="zh-CN"/>
        </w:rPr>
      </w:pPr>
      <w:r>
        <w:rPr>
          <w:rFonts w:hint="eastAsia" w:ascii="宋体" w:hAnsi="宋体" w:cs="宋体"/>
          <w:color w:val="auto"/>
          <w:sz w:val="24"/>
          <w:lang w:val="en-US" w:eastAsia="zh-CN"/>
        </w:rPr>
        <w:t>24.3、磋商小组成员到位后，推荐一名评审专家担任磋商小组组长，并由磋商小组组长牵头组织本项目磋商工作。采购人代表，不得担任磋商小组组长。</w:t>
      </w:r>
    </w:p>
    <w:p>
      <w:pPr>
        <w:spacing w:line="360" w:lineRule="auto"/>
        <w:ind w:left="120" w:leftChars="57" w:firstLine="360" w:firstLineChars="150"/>
        <w:rPr>
          <w:rFonts w:hint="eastAsia" w:ascii="宋体" w:hAnsi="宋体" w:eastAsia="宋体" w:cs="宋体"/>
          <w:color w:val="auto"/>
          <w:sz w:val="24"/>
        </w:rPr>
      </w:pPr>
      <w:r>
        <w:rPr>
          <w:rFonts w:hint="eastAsia" w:ascii="宋体" w:hAnsi="宋体" w:cs="宋体"/>
          <w:color w:val="auto"/>
          <w:sz w:val="24"/>
          <w:lang w:val="en-US" w:eastAsia="zh-CN"/>
        </w:rPr>
        <w:t>24.4</w:t>
      </w:r>
      <w:r>
        <w:rPr>
          <w:rFonts w:hint="eastAsia" w:ascii="宋体" w:hAnsi="宋体" w:eastAsia="宋体" w:cs="宋体"/>
          <w:color w:val="auto"/>
          <w:sz w:val="24"/>
        </w:rPr>
        <w:t>、磋商小组成员有下列情形之一的，应当回避：</w:t>
      </w:r>
    </w:p>
    <w:p>
      <w:pPr>
        <w:spacing w:line="360" w:lineRule="auto"/>
        <w:ind w:left="120" w:leftChars="57" w:firstLine="360" w:firstLineChars="150"/>
        <w:rPr>
          <w:rFonts w:hint="eastAsia" w:ascii="宋体" w:hAnsi="宋体" w:eastAsia="宋体" w:cs="宋体"/>
          <w:color w:val="auto"/>
          <w:sz w:val="24"/>
        </w:rPr>
      </w:pPr>
      <w:r>
        <w:rPr>
          <w:rFonts w:hint="eastAsia" w:ascii="宋体" w:hAnsi="宋体" w:cs="宋体"/>
          <w:color w:val="auto"/>
          <w:sz w:val="24"/>
          <w:lang w:val="en-US" w:eastAsia="zh-CN"/>
        </w:rPr>
        <w:t>24.4.1</w:t>
      </w:r>
      <w:r>
        <w:rPr>
          <w:rFonts w:hint="eastAsia" w:ascii="宋体" w:hAnsi="宋体" w:eastAsia="宋体" w:cs="宋体"/>
          <w:color w:val="auto"/>
          <w:sz w:val="24"/>
        </w:rPr>
        <w:t>、参加采购活动前3年内与供应商存在劳动关系；</w:t>
      </w:r>
    </w:p>
    <w:p>
      <w:pPr>
        <w:spacing w:line="360" w:lineRule="auto"/>
        <w:ind w:left="120" w:leftChars="57" w:firstLine="360" w:firstLineChars="150"/>
        <w:rPr>
          <w:rFonts w:hint="eastAsia" w:ascii="宋体" w:hAnsi="宋体" w:eastAsia="宋体" w:cs="宋体"/>
          <w:color w:val="auto"/>
          <w:sz w:val="24"/>
        </w:rPr>
      </w:pPr>
      <w:r>
        <w:rPr>
          <w:rFonts w:hint="eastAsia" w:ascii="宋体" w:hAnsi="宋体" w:cs="宋体"/>
          <w:color w:val="auto"/>
          <w:sz w:val="24"/>
          <w:lang w:val="en-US" w:eastAsia="zh-CN"/>
        </w:rPr>
        <w:t>24.4.2</w:t>
      </w:r>
      <w:r>
        <w:rPr>
          <w:rFonts w:hint="eastAsia" w:ascii="宋体" w:hAnsi="宋体" w:eastAsia="宋体" w:cs="宋体"/>
          <w:color w:val="auto"/>
          <w:sz w:val="24"/>
        </w:rPr>
        <w:t>、参加采购活动前3年内担任供应商的董事、监事；</w:t>
      </w:r>
    </w:p>
    <w:p>
      <w:pPr>
        <w:spacing w:line="360" w:lineRule="auto"/>
        <w:ind w:left="120" w:leftChars="57" w:firstLine="360" w:firstLineChars="150"/>
        <w:rPr>
          <w:rFonts w:hint="eastAsia" w:ascii="宋体" w:hAnsi="宋体" w:cs="宋体"/>
          <w:color w:val="auto"/>
          <w:sz w:val="24"/>
          <w:lang w:eastAsia="zh-CN"/>
        </w:rPr>
      </w:pPr>
      <w:r>
        <w:rPr>
          <w:rFonts w:hint="eastAsia" w:ascii="宋体" w:hAnsi="宋体" w:cs="宋体"/>
          <w:color w:val="auto"/>
          <w:sz w:val="24"/>
          <w:lang w:val="en-US" w:eastAsia="zh-CN"/>
        </w:rPr>
        <w:t>24.4.3</w:t>
      </w:r>
      <w:r>
        <w:rPr>
          <w:rFonts w:hint="eastAsia" w:ascii="宋体" w:hAnsi="宋体" w:eastAsia="宋体" w:cs="宋体"/>
          <w:color w:val="auto"/>
          <w:sz w:val="24"/>
        </w:rPr>
        <w:t>、参加采购活动前3年内是供应商的控股股东或者实际控制人</w:t>
      </w:r>
      <w:r>
        <w:rPr>
          <w:rFonts w:hint="eastAsia" w:ascii="宋体" w:hAnsi="宋体" w:cs="宋体"/>
          <w:color w:val="auto"/>
          <w:sz w:val="24"/>
          <w:lang w:eastAsia="zh-CN"/>
        </w:rPr>
        <w:t>；</w:t>
      </w:r>
    </w:p>
    <w:p>
      <w:pPr>
        <w:spacing w:line="360" w:lineRule="auto"/>
        <w:ind w:left="120" w:leftChars="57" w:firstLine="360" w:firstLineChars="150"/>
        <w:rPr>
          <w:rFonts w:hint="eastAsia" w:ascii="宋体" w:hAnsi="宋体" w:cs="宋体"/>
          <w:color w:val="auto"/>
          <w:sz w:val="24"/>
          <w:lang w:val="en-US" w:eastAsia="zh-CN"/>
        </w:rPr>
      </w:pPr>
      <w:r>
        <w:rPr>
          <w:rFonts w:hint="eastAsia" w:ascii="宋体" w:hAnsi="宋体" w:cs="宋体"/>
          <w:color w:val="auto"/>
          <w:sz w:val="24"/>
          <w:lang w:val="en-US" w:eastAsia="zh-CN"/>
        </w:rPr>
        <w:t>24.4.4、与供应商的法定代表人或者负责人有夫妻、直系血亲、三代以内旁系血亲或者近姻亲关系；</w:t>
      </w:r>
    </w:p>
    <w:p>
      <w:pPr>
        <w:spacing w:line="360" w:lineRule="auto"/>
        <w:ind w:left="120" w:leftChars="57" w:firstLine="360" w:firstLineChars="150"/>
        <w:rPr>
          <w:rFonts w:hint="eastAsia" w:ascii="宋体" w:hAnsi="宋体" w:cs="宋体"/>
          <w:color w:val="auto"/>
          <w:sz w:val="24"/>
          <w:lang w:val="en-US" w:eastAsia="zh-CN"/>
        </w:rPr>
      </w:pPr>
      <w:r>
        <w:rPr>
          <w:rFonts w:hint="eastAsia" w:ascii="宋体" w:hAnsi="宋体" w:cs="宋体"/>
          <w:color w:val="auto"/>
          <w:sz w:val="24"/>
          <w:lang w:val="en-US" w:eastAsia="zh-CN"/>
        </w:rPr>
        <w:t>24.4.5、与供应商有其他可能影响政府采购活动公平、公正进行的关系；</w:t>
      </w:r>
    </w:p>
    <w:p>
      <w:pPr>
        <w:spacing w:line="360" w:lineRule="auto"/>
        <w:ind w:left="120" w:leftChars="57" w:firstLine="360" w:firstLineChars="150"/>
        <w:rPr>
          <w:rFonts w:hint="eastAsia" w:ascii="宋体" w:hAnsi="宋体" w:cs="宋体"/>
          <w:color w:val="auto"/>
          <w:sz w:val="24"/>
          <w:lang w:val="en-US" w:eastAsia="zh-CN"/>
        </w:rPr>
      </w:pPr>
      <w:r>
        <w:rPr>
          <w:rFonts w:hint="eastAsia" w:ascii="宋体" w:hAnsi="宋体" w:cs="宋体"/>
          <w:color w:val="auto"/>
          <w:sz w:val="24"/>
          <w:lang w:val="en-US" w:eastAsia="zh-CN"/>
        </w:rPr>
        <w:t>24.4.6、曾因在招标、评审以及其他与招标投标有关活动中从事违法行为而受过行政处罚或刑事处罚的。</w:t>
      </w:r>
    </w:p>
    <w:p>
      <w:pPr>
        <w:spacing w:line="360" w:lineRule="auto"/>
        <w:ind w:left="120" w:leftChars="57" w:firstLine="360" w:firstLineChars="150"/>
        <w:rPr>
          <w:rFonts w:hint="eastAsia" w:ascii="宋体" w:hAnsi="宋体" w:cs="宋体"/>
          <w:color w:val="auto"/>
          <w:sz w:val="24"/>
          <w:lang w:val="en-US" w:eastAsia="zh-CN"/>
        </w:rPr>
      </w:pPr>
      <w:r>
        <w:rPr>
          <w:rFonts w:hint="eastAsia" w:ascii="宋体" w:hAnsi="宋体" w:cs="宋体"/>
          <w:color w:val="auto"/>
          <w:sz w:val="24"/>
          <w:lang w:val="en-US" w:eastAsia="zh-CN"/>
        </w:rPr>
        <w:t>24.5、磋商过程中，因磋商小组成员缺席、回避或者健康等特殊原因导致磋商小组组成不符合规定的，采购代理机构应当依法补足后继续磋商。被更换的磋商小组成员所作出的评审意见无效。无法及时补足磋商小组成员的，采购代理机构应当停止磋商活动，封存所有响应文件和开起响应文件、磋商和评审资料，依法重新组建磋商小组进行磋商。原磋商小组所作出的评审意见无效。采购代理机构应当将变更、重新组建磋商小组的情况予以记录，并随采购文件一并存档。</w:t>
      </w:r>
    </w:p>
    <w:p>
      <w:pPr>
        <w:spacing w:line="360" w:lineRule="auto"/>
        <w:ind w:left="120" w:leftChars="57" w:firstLine="360" w:firstLineChars="150"/>
        <w:rPr>
          <w:rFonts w:hint="eastAsia" w:ascii="宋体" w:hAnsi="宋体" w:cs="宋体"/>
          <w:color w:val="auto"/>
          <w:sz w:val="24"/>
          <w:lang w:val="en-US" w:eastAsia="zh-CN"/>
        </w:rPr>
      </w:pPr>
      <w:r>
        <w:rPr>
          <w:rFonts w:hint="eastAsia" w:ascii="宋体" w:hAnsi="宋体" w:cs="宋体"/>
          <w:color w:val="auto"/>
          <w:sz w:val="24"/>
          <w:lang w:val="en-US" w:eastAsia="zh-CN"/>
        </w:rPr>
        <w:t>24.6、磋商小组成员名单在成交结果公告前，应当保密。</w:t>
      </w:r>
    </w:p>
    <w:p>
      <w:pPr>
        <w:spacing w:line="360" w:lineRule="auto"/>
        <w:ind w:left="120" w:leftChars="57" w:firstLine="360" w:firstLineChars="150"/>
        <w:rPr>
          <w:rFonts w:hint="eastAsia" w:ascii="宋体" w:hAnsi="宋体" w:cs="宋体"/>
          <w:color w:val="auto"/>
          <w:sz w:val="24"/>
          <w:lang w:val="en-US" w:eastAsia="zh-CN"/>
        </w:rPr>
      </w:pPr>
      <w:r>
        <w:rPr>
          <w:rFonts w:hint="eastAsia" w:ascii="宋体" w:hAnsi="宋体" w:cs="宋体"/>
          <w:color w:val="auto"/>
          <w:sz w:val="24"/>
          <w:lang w:val="en-US" w:eastAsia="zh-CN"/>
        </w:rPr>
        <w:t>24.7、磋商小组及其成员，在磋商中不得有下列行为：</w:t>
      </w:r>
    </w:p>
    <w:p>
      <w:pPr>
        <w:spacing w:line="360" w:lineRule="auto"/>
        <w:ind w:left="120" w:leftChars="57" w:firstLine="360" w:firstLineChars="150"/>
        <w:rPr>
          <w:rFonts w:hint="eastAsia" w:ascii="宋体" w:hAnsi="宋体" w:cs="宋体"/>
          <w:color w:val="auto"/>
          <w:sz w:val="24"/>
          <w:lang w:val="en-US" w:eastAsia="zh-CN"/>
        </w:rPr>
      </w:pPr>
      <w:r>
        <w:rPr>
          <w:rFonts w:hint="eastAsia" w:ascii="宋体" w:hAnsi="宋体" w:cs="宋体"/>
          <w:color w:val="auto"/>
          <w:sz w:val="24"/>
          <w:lang w:val="en-US" w:eastAsia="zh-CN"/>
        </w:rPr>
        <w:t>24.7.1、确定参与磋商至磋商结束前私自接触供应商；</w:t>
      </w:r>
    </w:p>
    <w:p>
      <w:pPr>
        <w:spacing w:line="360" w:lineRule="auto"/>
        <w:ind w:left="120" w:leftChars="57" w:firstLine="360" w:firstLineChars="150"/>
        <w:rPr>
          <w:rFonts w:hint="eastAsia" w:ascii="宋体" w:hAnsi="宋体" w:cs="宋体"/>
          <w:color w:val="auto"/>
          <w:sz w:val="24"/>
          <w:lang w:val="en-US" w:eastAsia="zh-CN"/>
        </w:rPr>
      </w:pPr>
      <w:r>
        <w:rPr>
          <w:rFonts w:hint="eastAsia" w:ascii="宋体" w:hAnsi="宋体" w:cs="宋体"/>
          <w:color w:val="auto"/>
          <w:sz w:val="24"/>
          <w:lang w:val="en-US" w:eastAsia="zh-CN"/>
        </w:rPr>
        <w:t>24.7.2、接受供应商提出的与响应文件不一致的澄清和说明；</w:t>
      </w:r>
    </w:p>
    <w:p>
      <w:pPr>
        <w:spacing w:line="360" w:lineRule="auto"/>
        <w:ind w:left="120" w:leftChars="57" w:firstLine="360" w:firstLineChars="150"/>
        <w:rPr>
          <w:rFonts w:hint="eastAsia" w:ascii="宋体" w:hAnsi="宋体" w:cs="宋体"/>
          <w:color w:val="auto"/>
          <w:sz w:val="24"/>
          <w:lang w:val="en-US" w:eastAsia="zh-CN"/>
        </w:rPr>
      </w:pPr>
      <w:r>
        <w:rPr>
          <w:rFonts w:hint="eastAsia" w:ascii="宋体" w:hAnsi="宋体" w:cs="宋体"/>
          <w:color w:val="auto"/>
          <w:sz w:val="24"/>
          <w:lang w:val="en-US" w:eastAsia="zh-CN"/>
        </w:rPr>
        <w:t>24.7.3、征询采购人的倾向性意见；</w:t>
      </w:r>
    </w:p>
    <w:p>
      <w:pPr>
        <w:spacing w:line="360" w:lineRule="auto"/>
        <w:ind w:left="120" w:leftChars="57" w:firstLine="360" w:firstLineChars="150"/>
        <w:rPr>
          <w:rFonts w:hint="eastAsia" w:ascii="宋体" w:hAnsi="宋体" w:cs="宋体"/>
          <w:color w:val="auto"/>
          <w:sz w:val="24"/>
          <w:lang w:val="en-US" w:eastAsia="zh-CN"/>
        </w:rPr>
      </w:pPr>
      <w:r>
        <w:rPr>
          <w:rFonts w:hint="eastAsia" w:ascii="宋体" w:hAnsi="宋体" w:cs="宋体"/>
          <w:color w:val="auto"/>
          <w:sz w:val="24"/>
          <w:lang w:val="en-US" w:eastAsia="zh-CN"/>
        </w:rPr>
        <w:t>24.7.4、对主观评审因素协商评分；</w:t>
      </w:r>
    </w:p>
    <w:p>
      <w:pPr>
        <w:spacing w:line="360" w:lineRule="auto"/>
        <w:ind w:left="120" w:leftChars="57" w:firstLine="360" w:firstLineChars="150"/>
        <w:rPr>
          <w:rFonts w:hint="eastAsia" w:ascii="宋体" w:hAnsi="宋体" w:cs="宋体"/>
          <w:color w:val="auto"/>
          <w:sz w:val="24"/>
          <w:lang w:val="en-US" w:eastAsia="zh-CN"/>
        </w:rPr>
      </w:pPr>
      <w:r>
        <w:rPr>
          <w:rFonts w:hint="eastAsia" w:ascii="宋体" w:hAnsi="宋体" w:cs="宋体"/>
          <w:color w:val="auto"/>
          <w:sz w:val="24"/>
          <w:lang w:val="en-US" w:eastAsia="zh-CN"/>
        </w:rPr>
        <w:t>24.7.5、对客观评审因素评分不一致；</w:t>
      </w:r>
    </w:p>
    <w:p>
      <w:pPr>
        <w:spacing w:line="360" w:lineRule="auto"/>
        <w:ind w:left="120" w:leftChars="57" w:firstLine="360" w:firstLineChars="150"/>
        <w:rPr>
          <w:rFonts w:hint="eastAsia" w:ascii="宋体" w:hAnsi="宋体" w:cs="宋体"/>
          <w:color w:val="auto"/>
          <w:sz w:val="24"/>
          <w:lang w:val="en-US" w:eastAsia="zh-CN"/>
        </w:rPr>
      </w:pPr>
      <w:r>
        <w:rPr>
          <w:rFonts w:hint="eastAsia" w:ascii="宋体" w:hAnsi="宋体" w:cs="宋体"/>
          <w:color w:val="auto"/>
          <w:sz w:val="24"/>
          <w:lang w:val="en-US" w:eastAsia="zh-CN"/>
        </w:rPr>
        <w:t>24.7.6、在磋商过程中擅离职守，影响磋商程序正常进行的；</w:t>
      </w:r>
    </w:p>
    <w:p>
      <w:pPr>
        <w:spacing w:line="360" w:lineRule="auto"/>
        <w:ind w:left="120" w:leftChars="57" w:firstLine="360" w:firstLineChars="150"/>
        <w:rPr>
          <w:rFonts w:hint="eastAsia" w:ascii="宋体" w:hAnsi="宋体" w:cs="宋体"/>
          <w:color w:val="auto"/>
          <w:sz w:val="24"/>
          <w:lang w:val="en-US" w:eastAsia="zh-CN"/>
        </w:rPr>
      </w:pPr>
      <w:r>
        <w:rPr>
          <w:rFonts w:hint="eastAsia" w:ascii="宋体" w:hAnsi="宋体" w:cs="宋体"/>
          <w:color w:val="auto"/>
          <w:sz w:val="24"/>
          <w:lang w:val="en-US" w:eastAsia="zh-CN"/>
        </w:rPr>
        <w:t>24.7.7、记录、复制或带走任何评审资料；</w:t>
      </w:r>
    </w:p>
    <w:p>
      <w:pPr>
        <w:spacing w:line="360" w:lineRule="auto"/>
        <w:ind w:left="120" w:leftChars="57" w:firstLine="360" w:firstLineChars="150"/>
        <w:rPr>
          <w:rFonts w:hint="eastAsia" w:ascii="宋体" w:hAnsi="宋体" w:cs="宋体"/>
          <w:color w:val="auto"/>
          <w:sz w:val="24"/>
          <w:lang w:val="en-US" w:eastAsia="zh-CN"/>
        </w:rPr>
      </w:pPr>
      <w:r>
        <w:rPr>
          <w:rFonts w:hint="eastAsia" w:ascii="宋体" w:hAnsi="宋体" w:cs="宋体"/>
          <w:color w:val="auto"/>
          <w:sz w:val="24"/>
          <w:lang w:val="en-US" w:eastAsia="zh-CN"/>
        </w:rPr>
        <w:t>24.7.8、其他不遵守评审纪律的行为。</w:t>
      </w:r>
    </w:p>
    <w:p>
      <w:pPr>
        <w:spacing w:line="360" w:lineRule="auto"/>
        <w:ind w:left="120" w:leftChars="57" w:firstLine="360" w:firstLineChars="150"/>
        <w:rPr>
          <w:rFonts w:hint="eastAsia" w:ascii="宋体" w:hAnsi="宋体" w:cs="宋体"/>
          <w:color w:val="auto"/>
          <w:sz w:val="24"/>
          <w:lang w:val="en-US" w:eastAsia="zh-CN"/>
        </w:rPr>
      </w:pPr>
      <w:r>
        <w:rPr>
          <w:rFonts w:hint="eastAsia" w:ascii="宋体" w:hAnsi="宋体" w:cs="宋体"/>
          <w:color w:val="auto"/>
          <w:sz w:val="24"/>
          <w:lang w:val="en-US" w:eastAsia="zh-CN"/>
        </w:rPr>
        <w:t>注：磋商小组成员有前款第一至四项行为之一的，其评审意见无效，并不得获取评审劳务报酬和报销异地评审差旅费。</w:t>
      </w:r>
    </w:p>
    <w:p>
      <w:pPr>
        <w:spacing w:line="360" w:lineRule="auto"/>
        <w:rPr>
          <w:rFonts w:hint="default"/>
          <w:lang w:val="en-US" w:eastAsia="zh-CN"/>
        </w:rPr>
      </w:pPr>
      <w:r>
        <w:rPr>
          <w:rFonts w:hint="eastAsia" w:ascii="宋体" w:hAnsi="宋体" w:cs="宋体"/>
          <w:b/>
          <w:color w:val="auto"/>
          <w:sz w:val="24"/>
          <w:lang w:val="en-US" w:eastAsia="zh-CN"/>
        </w:rPr>
        <w:t>25</w:t>
      </w:r>
      <w:r>
        <w:rPr>
          <w:rFonts w:hint="eastAsia" w:ascii="宋体" w:hAnsi="宋体" w:eastAsia="宋体" w:cs="宋体"/>
          <w:b/>
          <w:color w:val="auto"/>
          <w:sz w:val="24"/>
        </w:rPr>
        <w:t>、磋商原则</w:t>
      </w:r>
    </w:p>
    <w:p>
      <w:pPr>
        <w:spacing w:line="360" w:lineRule="auto"/>
        <w:ind w:firstLine="461"/>
        <w:rPr>
          <w:rFonts w:hint="eastAsia" w:ascii="宋体" w:hAnsi="宋体" w:cs="宋体"/>
          <w:color w:val="auto"/>
          <w:kern w:val="1"/>
          <w:sz w:val="24"/>
          <w:lang w:eastAsia="zh-CN"/>
        </w:rPr>
      </w:pPr>
      <w:r>
        <w:rPr>
          <w:rFonts w:hint="eastAsia" w:ascii="宋体" w:hAnsi="宋体" w:cs="宋体"/>
          <w:color w:val="auto"/>
          <w:kern w:val="1"/>
          <w:sz w:val="24"/>
          <w:lang w:val="en-US" w:eastAsia="zh-CN"/>
        </w:rPr>
        <w:t>25.1</w:t>
      </w:r>
      <w:r>
        <w:rPr>
          <w:rFonts w:hint="eastAsia" w:ascii="宋体" w:hAnsi="宋体" w:eastAsia="宋体" w:cs="宋体"/>
          <w:color w:val="auto"/>
          <w:kern w:val="1"/>
          <w:sz w:val="24"/>
        </w:rPr>
        <w:t>、“客观、公正、审慎”为本次磋商的基本原则，磋商小组按照这一原则的要求，公正</w:t>
      </w:r>
      <w:r>
        <w:rPr>
          <w:rFonts w:hint="eastAsia" w:ascii="宋体" w:hAnsi="宋体" w:cs="宋体"/>
          <w:color w:val="auto"/>
          <w:kern w:val="1"/>
          <w:sz w:val="24"/>
          <w:lang w:eastAsia="zh-CN"/>
        </w:rPr>
        <w:t>、</w:t>
      </w:r>
      <w:r>
        <w:rPr>
          <w:rFonts w:hint="eastAsia" w:ascii="宋体" w:hAnsi="宋体" w:eastAsia="宋体" w:cs="宋体"/>
          <w:color w:val="auto"/>
          <w:kern w:val="1"/>
          <w:sz w:val="24"/>
        </w:rPr>
        <w:t>平等地对待各供应商。同时，在磋商中恪守以下原则</w:t>
      </w:r>
      <w:r>
        <w:rPr>
          <w:rFonts w:hint="eastAsia" w:ascii="宋体" w:hAnsi="宋体" w:cs="宋体"/>
          <w:color w:val="auto"/>
          <w:kern w:val="1"/>
          <w:sz w:val="24"/>
          <w:lang w:eastAsia="zh-CN"/>
        </w:rPr>
        <w:t>：</w:t>
      </w:r>
    </w:p>
    <w:p>
      <w:pPr>
        <w:spacing w:line="360" w:lineRule="auto"/>
        <w:ind w:firstLine="461"/>
        <w:rPr>
          <w:rFonts w:hint="eastAsia" w:ascii="宋体" w:hAnsi="宋体" w:cs="宋体"/>
          <w:color w:val="auto"/>
          <w:kern w:val="1"/>
          <w:sz w:val="24"/>
          <w:lang w:val="en-US" w:eastAsia="zh-CN"/>
        </w:rPr>
      </w:pPr>
      <w:r>
        <w:rPr>
          <w:rFonts w:hint="eastAsia" w:ascii="宋体" w:hAnsi="宋体" w:cs="宋体"/>
          <w:color w:val="auto"/>
          <w:kern w:val="1"/>
          <w:sz w:val="24"/>
          <w:lang w:val="en-US" w:eastAsia="zh-CN"/>
        </w:rPr>
        <w:t>25.1.1、统一性原则：磋商小组将按照统一的磋商原则和方法，用统一标准进行评审；</w:t>
      </w:r>
    </w:p>
    <w:p>
      <w:pPr>
        <w:spacing w:line="360" w:lineRule="auto"/>
        <w:ind w:firstLine="461"/>
        <w:rPr>
          <w:rFonts w:hint="eastAsia" w:ascii="宋体" w:hAnsi="宋体" w:cs="宋体"/>
          <w:color w:val="auto"/>
          <w:kern w:val="1"/>
          <w:sz w:val="24"/>
          <w:lang w:val="en-US" w:eastAsia="zh-CN"/>
        </w:rPr>
      </w:pPr>
      <w:r>
        <w:rPr>
          <w:rFonts w:hint="eastAsia" w:ascii="宋体" w:hAnsi="宋体" w:cs="宋体"/>
          <w:color w:val="auto"/>
          <w:kern w:val="1"/>
          <w:sz w:val="24"/>
          <w:lang w:val="en-US" w:eastAsia="zh-CN"/>
        </w:rPr>
        <w:t>25.1.2、独立性原则:磋商工作在磋商小组内部独立进行，不受外界任何因素的干扰和影响。磋商小组成员对其出具的意见承担个人责任。供应商试图影响或干预评审的任何行为，将导致其丧失磋商的资格，并承担相应的法律责任；</w:t>
      </w:r>
    </w:p>
    <w:p>
      <w:pPr>
        <w:spacing w:line="360" w:lineRule="auto"/>
        <w:ind w:firstLine="461"/>
        <w:rPr>
          <w:rFonts w:hint="eastAsia" w:ascii="宋体" w:hAnsi="宋体" w:cs="宋体"/>
          <w:color w:val="auto"/>
          <w:kern w:val="1"/>
          <w:sz w:val="24"/>
          <w:lang w:val="en-US" w:eastAsia="zh-CN"/>
        </w:rPr>
      </w:pPr>
      <w:r>
        <w:rPr>
          <w:rFonts w:hint="eastAsia" w:ascii="宋体" w:hAnsi="宋体" w:cs="宋体"/>
          <w:color w:val="auto"/>
          <w:kern w:val="1"/>
          <w:sz w:val="24"/>
          <w:lang w:val="en-US" w:eastAsia="zh-CN"/>
        </w:rPr>
        <w:t>25.1.3、物有所值原则：通过首轮的磋商报价，激发供应商展开竞争，进一步优化方案，并使报价符合预期目标；</w:t>
      </w:r>
    </w:p>
    <w:p>
      <w:pPr>
        <w:spacing w:line="360" w:lineRule="auto"/>
        <w:ind w:firstLine="461"/>
        <w:rPr>
          <w:rFonts w:hint="eastAsia" w:ascii="宋体" w:hAnsi="宋体" w:cs="宋体"/>
          <w:color w:val="auto"/>
          <w:kern w:val="1"/>
          <w:sz w:val="24"/>
          <w:lang w:val="en-US" w:eastAsia="zh-CN"/>
        </w:rPr>
      </w:pPr>
      <w:r>
        <w:rPr>
          <w:rFonts w:hint="eastAsia" w:ascii="宋体" w:hAnsi="宋体" w:cs="宋体"/>
          <w:color w:val="auto"/>
          <w:kern w:val="1"/>
          <w:sz w:val="24"/>
          <w:lang w:val="en-US" w:eastAsia="zh-CN"/>
        </w:rPr>
        <w:t>25.1.4、客观性原则：磋商小组将严格按照磋商文件要求，对供应商的响应文件进行认真评审；磋商小组对响应文件的评审仅依据响应文件本身，而不依据响应文件以外的任何因素；</w:t>
      </w:r>
    </w:p>
    <w:p>
      <w:pPr>
        <w:spacing w:line="360" w:lineRule="auto"/>
        <w:ind w:firstLine="461"/>
        <w:rPr>
          <w:rFonts w:hint="eastAsia" w:ascii="宋体" w:hAnsi="宋体" w:cs="宋体"/>
          <w:color w:val="auto"/>
          <w:kern w:val="1"/>
          <w:sz w:val="24"/>
          <w:lang w:val="en-US" w:eastAsia="zh-CN"/>
        </w:rPr>
      </w:pPr>
      <w:r>
        <w:rPr>
          <w:rFonts w:hint="eastAsia" w:ascii="宋体" w:hAnsi="宋体" w:cs="宋体"/>
          <w:color w:val="auto"/>
          <w:kern w:val="1"/>
          <w:sz w:val="24"/>
          <w:lang w:val="en-US" w:eastAsia="zh-CN"/>
        </w:rPr>
        <w:t>25.1.5、保密性原则：采购代理机构应当采取必要的措施，保证评审在严格保密情况下进行；</w:t>
      </w:r>
    </w:p>
    <w:p>
      <w:pPr>
        <w:spacing w:line="360" w:lineRule="auto"/>
        <w:ind w:firstLine="461"/>
        <w:rPr>
          <w:rFonts w:hint="eastAsia" w:ascii="宋体" w:hAnsi="宋体" w:cs="宋体"/>
          <w:color w:val="auto"/>
          <w:kern w:val="1"/>
          <w:sz w:val="24"/>
          <w:lang w:val="en-US" w:eastAsia="zh-CN"/>
        </w:rPr>
      </w:pPr>
      <w:r>
        <w:rPr>
          <w:rFonts w:hint="eastAsia" w:ascii="宋体" w:hAnsi="宋体" w:cs="宋体"/>
          <w:color w:val="auto"/>
          <w:kern w:val="1"/>
          <w:sz w:val="24"/>
          <w:lang w:val="en-US" w:eastAsia="zh-CN"/>
        </w:rPr>
        <w:t>25.1.6、综合性原则:磋商小组将综合分析、评审供应商的各项指标，而不以单项指标的优劣评定出成交供应商。</w:t>
      </w:r>
    </w:p>
    <w:p>
      <w:pPr>
        <w:spacing w:line="360" w:lineRule="auto"/>
        <w:ind w:firstLine="461"/>
        <w:rPr>
          <w:rFonts w:hint="default" w:ascii="宋体" w:hAnsi="宋体" w:eastAsia="宋体" w:cs="宋体"/>
          <w:color w:val="auto"/>
          <w:kern w:val="1"/>
          <w:sz w:val="24"/>
          <w:lang w:val="en-US" w:eastAsia="zh-CN"/>
        </w:rPr>
      </w:pPr>
      <w:r>
        <w:rPr>
          <w:rFonts w:hint="eastAsia" w:ascii="宋体" w:hAnsi="宋体" w:cs="宋体"/>
          <w:color w:val="auto"/>
          <w:kern w:val="1"/>
          <w:sz w:val="24"/>
          <w:lang w:val="en-US" w:eastAsia="zh-CN"/>
        </w:rPr>
        <w:t>25.2、磋商小组有权对整个磋商和评审过程中出现的所有问题，可根据《中华人民共和国政府采购法》及实施条例和《政府采购竞争性磋商采购方式管理暂行办法》等相关规定进行处理。</w:t>
      </w:r>
    </w:p>
    <w:p>
      <w:pPr>
        <w:spacing w:line="360" w:lineRule="auto"/>
        <w:rPr>
          <w:rFonts w:hint="eastAsia" w:ascii="宋体" w:hAnsi="宋体" w:eastAsia="宋体" w:cs="宋体"/>
          <w:b/>
          <w:color w:val="auto"/>
          <w:kern w:val="1"/>
          <w:sz w:val="24"/>
        </w:rPr>
      </w:pPr>
      <w:r>
        <w:rPr>
          <w:rFonts w:hint="eastAsia" w:ascii="宋体" w:hAnsi="宋体" w:cs="宋体"/>
          <w:b/>
          <w:color w:val="auto"/>
          <w:kern w:val="1"/>
          <w:sz w:val="24"/>
          <w:lang w:val="en-US" w:eastAsia="zh-CN"/>
        </w:rPr>
        <w:t>26</w:t>
      </w:r>
      <w:r>
        <w:rPr>
          <w:rFonts w:hint="eastAsia" w:ascii="宋体" w:hAnsi="宋体" w:eastAsia="宋体" w:cs="宋体"/>
          <w:b/>
          <w:color w:val="auto"/>
          <w:kern w:val="1"/>
          <w:sz w:val="24"/>
        </w:rPr>
        <w:t>、确定成交供应商原则</w:t>
      </w:r>
    </w:p>
    <w:p>
      <w:pPr>
        <w:spacing w:line="360" w:lineRule="auto"/>
        <w:ind w:firstLine="461"/>
        <w:rPr>
          <w:rFonts w:hint="eastAsia" w:ascii="宋体" w:hAnsi="宋体" w:cs="宋体"/>
          <w:color w:val="auto"/>
          <w:kern w:val="1"/>
          <w:sz w:val="24"/>
          <w:lang w:val="en-US" w:eastAsia="zh-CN"/>
        </w:rPr>
      </w:pPr>
      <w:r>
        <w:rPr>
          <w:rFonts w:hint="eastAsia" w:ascii="宋体" w:hAnsi="宋体" w:cs="宋体"/>
          <w:color w:val="auto"/>
          <w:kern w:val="1"/>
          <w:sz w:val="24"/>
          <w:lang w:val="en-US" w:eastAsia="zh-CN"/>
        </w:rPr>
        <w:t>26.1、由磋商小组推荐成交候选人排序，三家供应商推荐两家，四家及以上推荐三家，评审结果由全体磋商小组成员签字确认；</w:t>
      </w:r>
    </w:p>
    <w:p>
      <w:pPr>
        <w:spacing w:line="360" w:lineRule="auto"/>
        <w:ind w:firstLine="461"/>
        <w:rPr>
          <w:rFonts w:hint="eastAsia" w:ascii="宋体" w:hAnsi="宋体" w:cs="宋体"/>
          <w:color w:val="auto"/>
          <w:kern w:val="1"/>
          <w:sz w:val="24"/>
          <w:lang w:val="en-US" w:eastAsia="zh-CN"/>
        </w:rPr>
      </w:pPr>
      <w:r>
        <w:rPr>
          <w:rFonts w:hint="eastAsia" w:ascii="宋体" w:hAnsi="宋体" w:cs="宋体"/>
          <w:color w:val="auto"/>
          <w:kern w:val="1"/>
          <w:sz w:val="24"/>
          <w:lang w:val="en-US" w:eastAsia="zh-CN"/>
        </w:rPr>
        <w:t>26.2、采购人根据评审报告中推荐的成交候选人排列顺序，确定排名第一的为成交供应商；</w:t>
      </w:r>
    </w:p>
    <w:p>
      <w:pPr>
        <w:spacing w:line="360" w:lineRule="auto"/>
        <w:ind w:firstLine="461"/>
        <w:rPr>
          <w:rFonts w:hint="eastAsia" w:ascii="宋体" w:hAnsi="宋体" w:cs="宋体"/>
          <w:color w:val="auto"/>
          <w:kern w:val="1"/>
          <w:sz w:val="24"/>
          <w:lang w:val="en-US" w:eastAsia="zh-CN"/>
        </w:rPr>
      </w:pPr>
      <w:r>
        <w:rPr>
          <w:rFonts w:hint="eastAsia" w:ascii="宋体" w:hAnsi="宋体" w:cs="宋体"/>
          <w:color w:val="auto"/>
          <w:kern w:val="1"/>
          <w:sz w:val="24"/>
          <w:lang w:val="en-US" w:eastAsia="zh-CN"/>
        </w:rPr>
        <w:t>26.3、排名第一的成交候选人放弃成交、在规定期限内未能签订合同、因不可抗力不能履行合同、不按照竞争性磋商文件要求提交履约保证金，或者被查实存在影响成交结果的违法行为等情形，不符合成交条件的，采购人可以按照磋商小组提出的成交候选人名单排序依次确定其他成交候选人为成交供应商，也可以重新组织竞争性磋商；</w:t>
      </w:r>
    </w:p>
    <w:p>
      <w:pPr>
        <w:spacing w:line="360" w:lineRule="auto"/>
        <w:ind w:firstLine="461"/>
        <w:rPr>
          <w:rFonts w:hint="eastAsia" w:ascii="宋体" w:hAnsi="宋体" w:cs="宋体"/>
          <w:color w:val="auto"/>
          <w:kern w:val="1"/>
          <w:sz w:val="24"/>
          <w:lang w:val="en-US" w:eastAsia="zh-CN"/>
        </w:rPr>
      </w:pPr>
      <w:r>
        <w:rPr>
          <w:rFonts w:hint="eastAsia" w:ascii="宋体" w:hAnsi="宋体" w:cs="宋体"/>
          <w:color w:val="auto"/>
          <w:kern w:val="1"/>
          <w:sz w:val="24"/>
          <w:lang w:val="en-US" w:eastAsia="zh-CN"/>
        </w:rPr>
        <w:t>26.4、采购人也可以授权磋商小组评审后直接确定成交供应商；</w:t>
      </w:r>
    </w:p>
    <w:p>
      <w:pPr>
        <w:spacing w:line="360" w:lineRule="auto"/>
        <w:rPr>
          <w:rFonts w:hint="eastAsia" w:ascii="宋体" w:hAnsi="宋体" w:eastAsia="宋体" w:cs="宋体"/>
          <w:b/>
          <w:color w:val="auto"/>
          <w:kern w:val="1"/>
          <w:sz w:val="24"/>
        </w:rPr>
      </w:pPr>
      <w:r>
        <w:rPr>
          <w:rFonts w:hint="eastAsia" w:ascii="宋体" w:hAnsi="宋体" w:cs="宋体"/>
          <w:b/>
          <w:color w:val="auto"/>
          <w:kern w:val="1"/>
          <w:sz w:val="24"/>
          <w:lang w:val="en-US" w:eastAsia="zh-CN"/>
        </w:rPr>
        <w:t>27、</w:t>
      </w:r>
      <w:r>
        <w:rPr>
          <w:rFonts w:hint="eastAsia" w:ascii="宋体" w:hAnsi="宋体" w:eastAsia="宋体" w:cs="宋体"/>
          <w:b/>
          <w:color w:val="auto"/>
          <w:kern w:val="1"/>
          <w:sz w:val="24"/>
        </w:rPr>
        <w:t>定标</w:t>
      </w:r>
    </w:p>
    <w:p>
      <w:pPr>
        <w:spacing w:line="360" w:lineRule="auto"/>
        <w:ind w:firstLine="480" w:firstLineChars="200"/>
        <w:rPr>
          <w:rFonts w:hint="eastAsia" w:ascii="宋体" w:hAnsi="宋体" w:eastAsia="宋体" w:cs="宋体"/>
          <w:color w:val="auto"/>
          <w:kern w:val="1"/>
          <w:sz w:val="24"/>
        </w:rPr>
      </w:pPr>
      <w:r>
        <w:rPr>
          <w:rFonts w:hint="eastAsia" w:ascii="宋体" w:hAnsi="宋体" w:cs="宋体"/>
          <w:bCs/>
          <w:color w:val="auto"/>
          <w:kern w:val="1"/>
          <w:sz w:val="24"/>
          <w:lang w:val="en-US" w:eastAsia="zh-CN"/>
        </w:rPr>
        <w:t>27</w:t>
      </w:r>
      <w:r>
        <w:rPr>
          <w:rFonts w:hint="eastAsia" w:ascii="宋体" w:hAnsi="宋体" w:eastAsia="宋体" w:cs="宋体"/>
          <w:bCs/>
          <w:color w:val="auto"/>
          <w:kern w:val="1"/>
          <w:sz w:val="24"/>
        </w:rPr>
        <w:t>.1</w:t>
      </w:r>
      <w:r>
        <w:rPr>
          <w:rFonts w:hint="eastAsia" w:ascii="宋体" w:hAnsi="宋体" w:eastAsia="宋体" w:cs="宋体"/>
          <w:color w:val="auto"/>
          <w:kern w:val="1"/>
          <w:sz w:val="24"/>
        </w:rPr>
        <w:t>、</w:t>
      </w:r>
      <w:r>
        <w:rPr>
          <w:rFonts w:hint="eastAsia" w:ascii="宋体" w:hAnsi="宋体" w:eastAsia="宋体" w:cs="宋体"/>
          <w:color w:val="auto"/>
          <w:sz w:val="24"/>
        </w:rPr>
        <w:t>采购代理机构应当在</w:t>
      </w:r>
      <w:r>
        <w:rPr>
          <w:rFonts w:hint="eastAsia" w:ascii="宋体" w:hAnsi="宋体" w:eastAsia="宋体" w:cs="宋体"/>
          <w:color w:val="auto"/>
          <w:sz w:val="24"/>
          <w:lang w:eastAsia="zh-CN"/>
        </w:rPr>
        <w:t>磋商评审</w:t>
      </w:r>
      <w:r>
        <w:rPr>
          <w:rFonts w:hint="eastAsia" w:ascii="宋体" w:hAnsi="宋体" w:eastAsia="宋体" w:cs="宋体"/>
          <w:color w:val="auto"/>
          <w:sz w:val="24"/>
        </w:rPr>
        <w:t>结束后2个工作日内将评标报告</w:t>
      </w:r>
      <w:r>
        <w:rPr>
          <w:rFonts w:hint="eastAsia" w:ascii="宋体" w:hAnsi="宋体" w:eastAsia="宋体" w:cs="宋体"/>
          <w:color w:val="auto"/>
          <w:sz w:val="24"/>
          <w:lang w:eastAsia="zh-CN"/>
        </w:rPr>
        <w:t>（磋商会议纪要）</w:t>
      </w:r>
      <w:r>
        <w:rPr>
          <w:rFonts w:hint="eastAsia" w:ascii="宋体" w:hAnsi="宋体" w:eastAsia="宋体" w:cs="宋体"/>
          <w:color w:val="auto"/>
          <w:sz w:val="24"/>
        </w:rPr>
        <w:t>送采购人。采购人应当自收到评标报告</w:t>
      </w:r>
      <w:r>
        <w:rPr>
          <w:rFonts w:hint="eastAsia" w:ascii="宋体" w:hAnsi="宋体" w:eastAsia="宋体" w:cs="宋体"/>
          <w:color w:val="auto"/>
          <w:sz w:val="24"/>
          <w:lang w:eastAsia="zh-CN"/>
        </w:rPr>
        <w:t>（磋商会议纪要）</w:t>
      </w:r>
      <w:r>
        <w:rPr>
          <w:rFonts w:hint="eastAsia" w:ascii="宋体" w:hAnsi="宋体" w:eastAsia="宋体" w:cs="宋体"/>
          <w:color w:val="auto"/>
          <w:sz w:val="24"/>
        </w:rPr>
        <w:t>之日起5个工作日内，在评标报告</w:t>
      </w:r>
      <w:r>
        <w:rPr>
          <w:rFonts w:hint="eastAsia" w:ascii="宋体" w:hAnsi="宋体" w:eastAsia="宋体" w:cs="宋体"/>
          <w:color w:val="auto"/>
          <w:sz w:val="24"/>
          <w:lang w:eastAsia="zh-CN"/>
        </w:rPr>
        <w:t>（磋商会议纪要）</w:t>
      </w:r>
      <w:r>
        <w:rPr>
          <w:rFonts w:hint="eastAsia" w:ascii="宋体" w:hAnsi="宋体" w:eastAsia="宋体" w:cs="宋体"/>
          <w:color w:val="auto"/>
          <w:sz w:val="24"/>
        </w:rPr>
        <w:t>确定的成交候选人名单中按顺序确定成交人。成交候选人并列的，由采购人或者采购人委托</w:t>
      </w:r>
      <w:r>
        <w:rPr>
          <w:rFonts w:hint="eastAsia" w:ascii="宋体" w:hAnsi="宋体" w:eastAsia="宋体" w:cs="宋体"/>
          <w:color w:val="auto"/>
          <w:sz w:val="24"/>
          <w:lang w:eastAsia="zh-CN"/>
        </w:rPr>
        <w:t>磋商评审小组</w:t>
      </w:r>
      <w:r>
        <w:rPr>
          <w:rFonts w:hint="eastAsia" w:ascii="宋体" w:hAnsi="宋体" w:eastAsia="宋体" w:cs="宋体"/>
          <w:color w:val="auto"/>
          <w:sz w:val="24"/>
        </w:rPr>
        <w:t>按照</w:t>
      </w:r>
      <w:r>
        <w:rPr>
          <w:rFonts w:hint="eastAsia" w:ascii="宋体" w:hAnsi="宋体" w:eastAsia="宋体" w:cs="宋体"/>
          <w:color w:val="auto"/>
          <w:sz w:val="24"/>
          <w:lang w:eastAsia="zh-CN"/>
        </w:rPr>
        <w:t>竞争性磋商</w:t>
      </w:r>
      <w:r>
        <w:rPr>
          <w:rFonts w:hint="eastAsia" w:ascii="宋体" w:hAnsi="宋体" w:eastAsia="宋体" w:cs="宋体"/>
          <w:color w:val="auto"/>
          <w:sz w:val="24"/>
        </w:rPr>
        <w:t>文件规定的方式确定成交人。采购人在收到评标报告</w:t>
      </w:r>
      <w:r>
        <w:rPr>
          <w:rFonts w:hint="eastAsia" w:ascii="宋体" w:hAnsi="宋体" w:eastAsia="宋体" w:cs="宋体"/>
          <w:color w:val="auto"/>
          <w:sz w:val="24"/>
          <w:lang w:eastAsia="zh-CN"/>
        </w:rPr>
        <w:t>（磋商会议纪要）</w:t>
      </w:r>
      <w:r>
        <w:rPr>
          <w:rFonts w:hint="eastAsia" w:ascii="宋体" w:hAnsi="宋体" w:eastAsia="宋体" w:cs="宋体"/>
          <w:color w:val="auto"/>
          <w:sz w:val="24"/>
        </w:rPr>
        <w:t>5个工作日内未按评标报告</w:t>
      </w:r>
      <w:r>
        <w:rPr>
          <w:rFonts w:hint="eastAsia" w:ascii="宋体" w:hAnsi="宋体" w:eastAsia="宋体" w:cs="宋体"/>
          <w:color w:val="auto"/>
          <w:sz w:val="24"/>
          <w:lang w:eastAsia="zh-CN"/>
        </w:rPr>
        <w:t>（磋商会议纪要）</w:t>
      </w:r>
      <w:r>
        <w:rPr>
          <w:rFonts w:hint="eastAsia" w:ascii="宋体" w:hAnsi="宋体" w:eastAsia="宋体" w:cs="宋体"/>
          <w:color w:val="auto"/>
          <w:sz w:val="24"/>
        </w:rPr>
        <w:t>推荐的成交候选人顺序确定</w:t>
      </w:r>
      <w:r>
        <w:rPr>
          <w:rFonts w:hint="eastAsia" w:ascii="宋体" w:hAnsi="宋体" w:eastAsia="宋体" w:cs="宋体"/>
          <w:color w:val="auto"/>
          <w:sz w:val="24"/>
          <w:lang w:eastAsia="zh-CN"/>
        </w:rPr>
        <w:t>成交</w:t>
      </w:r>
      <w:r>
        <w:rPr>
          <w:rFonts w:hint="eastAsia" w:ascii="宋体" w:hAnsi="宋体" w:eastAsia="宋体" w:cs="宋体"/>
          <w:color w:val="auto"/>
          <w:sz w:val="24"/>
        </w:rPr>
        <w:t>人，又不能说明合法理由的，视同按评标报告</w:t>
      </w:r>
      <w:r>
        <w:rPr>
          <w:rFonts w:hint="eastAsia" w:ascii="宋体" w:hAnsi="宋体" w:eastAsia="宋体" w:cs="宋体"/>
          <w:color w:val="auto"/>
          <w:sz w:val="24"/>
          <w:lang w:eastAsia="zh-CN"/>
        </w:rPr>
        <w:t>（磋商会议纪要）</w:t>
      </w:r>
      <w:r>
        <w:rPr>
          <w:rFonts w:hint="eastAsia" w:ascii="宋体" w:hAnsi="宋体" w:eastAsia="宋体" w:cs="宋体"/>
          <w:color w:val="auto"/>
          <w:sz w:val="24"/>
        </w:rPr>
        <w:t>推荐的顺序确定排名第一的成交候选人为成交人。</w:t>
      </w:r>
    </w:p>
    <w:p>
      <w:pPr>
        <w:spacing w:line="360" w:lineRule="auto"/>
        <w:ind w:firstLine="480" w:firstLineChars="200"/>
        <w:rPr>
          <w:rFonts w:hint="eastAsia" w:ascii="宋体" w:hAnsi="宋体" w:eastAsia="宋体" w:cs="宋体"/>
          <w:color w:val="auto"/>
          <w:kern w:val="1"/>
          <w:sz w:val="24"/>
        </w:rPr>
      </w:pPr>
      <w:r>
        <w:rPr>
          <w:rFonts w:hint="eastAsia" w:ascii="宋体" w:hAnsi="宋体" w:cs="宋体"/>
          <w:color w:val="auto"/>
          <w:kern w:val="1"/>
          <w:sz w:val="24"/>
          <w:lang w:val="en-US" w:eastAsia="zh-CN"/>
        </w:rPr>
        <w:t>27</w:t>
      </w:r>
      <w:r>
        <w:rPr>
          <w:rFonts w:hint="eastAsia" w:ascii="宋体" w:hAnsi="宋体" w:eastAsia="宋体" w:cs="宋体"/>
          <w:color w:val="auto"/>
          <w:kern w:val="1"/>
          <w:sz w:val="24"/>
        </w:rPr>
        <w:t>.2、采购人或者采购代理机构应当自成交人确定之日起2个工作日内，</w:t>
      </w:r>
      <w:r>
        <w:rPr>
          <w:rFonts w:hint="eastAsia" w:ascii="宋体" w:hAnsi="宋体" w:eastAsia="宋体" w:cs="宋体"/>
          <w:color w:val="auto"/>
          <w:sz w:val="24"/>
        </w:rPr>
        <w:t>在省级及以上财政部门指定的媒体《陕西省政府采购网》发布成交结果</w:t>
      </w:r>
      <w:r>
        <w:rPr>
          <w:rFonts w:hint="eastAsia" w:ascii="宋体" w:hAnsi="宋体" w:eastAsia="宋体" w:cs="宋体"/>
          <w:color w:val="auto"/>
          <w:kern w:val="1"/>
          <w:sz w:val="24"/>
        </w:rPr>
        <w:t>，磋商文件应当随成交结果同时公告。成交结果公告内容应当包括采购人及其委托的采购代理机构的名称、地址、联系方式，项目名称、成交人名称、地址和成交金额，工期、成交公告期限以及评审专家名单。成交公告期限为1个工作日。</w:t>
      </w:r>
    </w:p>
    <w:p>
      <w:pPr>
        <w:tabs>
          <w:tab w:val="left" w:pos="0"/>
        </w:tabs>
        <w:spacing w:line="360" w:lineRule="auto"/>
        <w:ind w:firstLine="480"/>
        <w:rPr>
          <w:rFonts w:hint="eastAsia" w:ascii="宋体" w:hAnsi="宋体" w:eastAsia="宋体" w:cs="宋体"/>
          <w:color w:val="auto"/>
          <w:sz w:val="24"/>
        </w:rPr>
      </w:pPr>
      <w:r>
        <w:rPr>
          <w:rFonts w:hint="eastAsia" w:ascii="宋体" w:hAnsi="宋体" w:cs="宋体"/>
          <w:color w:val="auto"/>
          <w:kern w:val="1"/>
          <w:sz w:val="24"/>
          <w:lang w:val="en-US" w:eastAsia="zh-CN"/>
        </w:rPr>
        <w:t>27</w:t>
      </w:r>
      <w:r>
        <w:rPr>
          <w:rFonts w:hint="eastAsia" w:ascii="宋体" w:hAnsi="宋体" w:eastAsia="宋体" w:cs="宋体"/>
          <w:color w:val="auto"/>
          <w:kern w:val="1"/>
          <w:sz w:val="24"/>
        </w:rPr>
        <w:t>.3、</w:t>
      </w:r>
      <w:r>
        <w:rPr>
          <w:rFonts w:hint="eastAsia" w:ascii="宋体" w:hAnsi="宋体" w:eastAsia="宋体" w:cs="宋体"/>
          <w:color w:val="auto"/>
          <w:sz w:val="24"/>
        </w:rPr>
        <w:t>在公布公示成交公告的同时，发出成交通知书，成交通知书应当由采购人与采购代理机构共同盖章后向成交人发出成交通知书。</w:t>
      </w:r>
    </w:p>
    <w:p>
      <w:pPr>
        <w:spacing w:before="120" w:beforeLines="50" w:after="120" w:afterLines="50" w:line="360" w:lineRule="auto"/>
        <w:rPr>
          <w:rFonts w:hint="eastAsia" w:ascii="宋体" w:hAnsi="宋体" w:eastAsia="宋体" w:cs="宋体"/>
          <w:b/>
          <w:bCs/>
          <w:color w:val="auto"/>
          <w:sz w:val="24"/>
        </w:rPr>
      </w:pPr>
      <w:r>
        <w:rPr>
          <w:rFonts w:hint="eastAsia" w:ascii="宋体" w:hAnsi="宋体" w:eastAsia="宋体" w:cs="宋体"/>
          <w:b/>
          <w:bCs/>
          <w:color w:val="auto"/>
          <w:sz w:val="24"/>
        </w:rPr>
        <w:t>五、</w:t>
      </w:r>
      <w:r>
        <w:rPr>
          <w:rFonts w:hint="eastAsia" w:ascii="宋体" w:hAnsi="宋体" w:cs="宋体"/>
          <w:b/>
          <w:bCs/>
          <w:color w:val="auto"/>
          <w:sz w:val="24"/>
          <w:lang w:eastAsia="zh-CN"/>
        </w:rPr>
        <w:t>履约担保及</w:t>
      </w:r>
      <w:r>
        <w:rPr>
          <w:rFonts w:hint="eastAsia" w:ascii="宋体" w:hAnsi="宋体" w:eastAsia="宋体" w:cs="宋体"/>
          <w:b/>
          <w:bCs/>
          <w:color w:val="auto"/>
          <w:sz w:val="24"/>
        </w:rPr>
        <w:t>签订合同</w:t>
      </w:r>
    </w:p>
    <w:p>
      <w:pPr>
        <w:spacing w:line="360" w:lineRule="auto"/>
        <w:rPr>
          <w:rFonts w:hint="eastAsia" w:ascii="宋体" w:hAnsi="宋体" w:cs="宋体"/>
          <w:b/>
          <w:color w:val="auto"/>
          <w:sz w:val="24"/>
          <w:lang w:eastAsia="zh-CN"/>
        </w:rPr>
      </w:pPr>
      <w:r>
        <w:rPr>
          <w:rFonts w:hint="eastAsia" w:ascii="宋体" w:hAnsi="宋体" w:cs="宋体"/>
          <w:b/>
          <w:color w:val="auto"/>
          <w:sz w:val="24"/>
          <w:lang w:val="en-US" w:eastAsia="zh-CN"/>
        </w:rPr>
        <w:t>28</w:t>
      </w:r>
      <w:r>
        <w:rPr>
          <w:rFonts w:hint="eastAsia" w:ascii="宋体" w:hAnsi="宋体" w:eastAsia="宋体" w:cs="宋体"/>
          <w:b/>
          <w:color w:val="auto"/>
          <w:sz w:val="24"/>
        </w:rPr>
        <w:t>、</w:t>
      </w:r>
      <w:r>
        <w:rPr>
          <w:rFonts w:hint="eastAsia" w:ascii="宋体" w:hAnsi="宋体" w:cs="宋体"/>
          <w:b/>
          <w:color w:val="auto"/>
          <w:sz w:val="24"/>
          <w:lang w:eastAsia="zh-CN"/>
        </w:rPr>
        <w:t>履约担保</w:t>
      </w:r>
    </w:p>
    <w:p>
      <w:pPr>
        <w:tabs>
          <w:tab w:val="left" w:pos="0"/>
        </w:tabs>
        <w:spacing w:line="360" w:lineRule="auto"/>
        <w:ind w:firstLine="480"/>
        <w:rPr>
          <w:rFonts w:hint="eastAsia" w:ascii="宋体" w:hAnsi="宋体" w:cs="宋体"/>
          <w:color w:val="auto"/>
          <w:kern w:val="1"/>
          <w:sz w:val="24"/>
          <w:lang w:val="en-US" w:eastAsia="zh-CN"/>
        </w:rPr>
      </w:pPr>
      <w:r>
        <w:rPr>
          <w:rFonts w:hint="eastAsia" w:ascii="宋体" w:hAnsi="宋体" w:cs="宋体"/>
          <w:color w:val="auto"/>
          <w:kern w:val="1"/>
          <w:sz w:val="24"/>
          <w:lang w:val="en-US" w:eastAsia="zh-CN"/>
        </w:rPr>
        <w:t>28.1、在签订合同前，成交人应按供应商须知前附表规定的金额、担保形式和磋商文件第四章“合同条款及格式”规定的履约担保格式向采购人提交履约担保。联合体中标的，其履约担保由牵头人递交，并应符合供应商须知前附表规定的金额、担保形式和磋商文件第四章“合同条款及格式”规定的履约担保格式要求或按照甲乙双方合同约定内容执行；</w:t>
      </w:r>
    </w:p>
    <w:p>
      <w:pPr>
        <w:spacing w:line="360" w:lineRule="auto"/>
        <w:rPr>
          <w:rFonts w:hint="eastAsia" w:ascii="宋体" w:hAnsi="宋体" w:eastAsia="宋体" w:cs="宋体"/>
          <w:b/>
          <w:color w:val="auto"/>
          <w:sz w:val="24"/>
        </w:rPr>
      </w:pPr>
      <w:r>
        <w:rPr>
          <w:rFonts w:hint="eastAsia" w:ascii="宋体" w:hAnsi="宋体" w:cs="宋体"/>
          <w:b/>
          <w:color w:val="auto"/>
          <w:sz w:val="24"/>
          <w:lang w:val="en-US" w:eastAsia="zh-CN"/>
        </w:rPr>
        <w:t>29、</w:t>
      </w:r>
      <w:r>
        <w:rPr>
          <w:rFonts w:hint="eastAsia" w:ascii="宋体" w:hAnsi="宋体" w:eastAsia="宋体" w:cs="宋体"/>
          <w:b/>
          <w:color w:val="auto"/>
          <w:sz w:val="24"/>
        </w:rPr>
        <w:t>签订合同</w:t>
      </w:r>
    </w:p>
    <w:p>
      <w:pPr>
        <w:tabs>
          <w:tab w:val="left" w:pos="1155"/>
        </w:tabs>
        <w:spacing w:line="360" w:lineRule="auto"/>
        <w:ind w:firstLine="540"/>
        <w:rPr>
          <w:rFonts w:hint="eastAsia" w:ascii="宋体" w:hAnsi="宋体" w:eastAsia="宋体" w:cs="宋体"/>
          <w:color w:val="auto"/>
          <w:kern w:val="1"/>
          <w:sz w:val="24"/>
          <w:lang w:eastAsia="zh-CN"/>
        </w:rPr>
      </w:pPr>
      <w:r>
        <w:rPr>
          <w:rFonts w:hint="eastAsia" w:ascii="宋体" w:hAnsi="宋体" w:cs="宋体"/>
          <w:color w:val="auto"/>
          <w:kern w:val="1"/>
          <w:sz w:val="24"/>
          <w:lang w:val="en-US" w:eastAsia="zh-CN"/>
        </w:rPr>
        <w:t>29</w:t>
      </w:r>
      <w:r>
        <w:rPr>
          <w:rFonts w:hint="eastAsia" w:ascii="宋体" w:hAnsi="宋体" w:eastAsia="宋体" w:cs="宋体"/>
          <w:color w:val="auto"/>
          <w:kern w:val="1"/>
          <w:sz w:val="24"/>
        </w:rPr>
        <w:t>.1、政府采购合同的履行、违约责任和解决争议的方法等适用《中华人民共和国民法典》</w:t>
      </w:r>
      <w:r>
        <w:rPr>
          <w:rFonts w:hint="eastAsia" w:ascii="宋体" w:hAnsi="宋体" w:cs="宋体"/>
          <w:color w:val="auto"/>
          <w:kern w:val="1"/>
          <w:sz w:val="24"/>
          <w:lang w:eastAsia="zh-CN"/>
        </w:rPr>
        <w:t>。</w:t>
      </w:r>
    </w:p>
    <w:p>
      <w:pPr>
        <w:tabs>
          <w:tab w:val="left" w:pos="1155"/>
        </w:tabs>
        <w:spacing w:line="360" w:lineRule="auto"/>
        <w:ind w:firstLine="540"/>
        <w:rPr>
          <w:rFonts w:hint="eastAsia" w:ascii="宋体" w:hAnsi="宋体" w:eastAsia="宋体" w:cs="宋体"/>
          <w:color w:val="auto"/>
          <w:kern w:val="1"/>
          <w:sz w:val="24"/>
        </w:rPr>
      </w:pPr>
      <w:r>
        <w:rPr>
          <w:rFonts w:hint="eastAsia" w:ascii="宋体" w:hAnsi="宋体" w:cs="宋体"/>
          <w:color w:val="auto"/>
          <w:kern w:val="1"/>
          <w:sz w:val="24"/>
          <w:lang w:val="en-US" w:eastAsia="zh-CN"/>
        </w:rPr>
        <w:t>29.2、</w:t>
      </w:r>
      <w:r>
        <w:rPr>
          <w:rFonts w:hint="eastAsia" w:ascii="宋体" w:hAnsi="宋体" w:eastAsia="宋体" w:cs="宋体"/>
          <w:color w:val="auto"/>
          <w:kern w:val="1"/>
          <w:sz w:val="24"/>
        </w:rPr>
        <w:t>采购人应当自成交通知书发出之日起30日内，按照磋商文件和成交人响应文件的规定，与成交人签订书面合同。所签订的合同不得对磋商文件确定的事项和成交人响应文件作实质性修改。采购代理机构应当督促采购人、成交供应商签订书面合同，并对采购合同内容进行审核确认。由于成交供应商的原因逾期未与采购人签订采购合同的，将视为放弃</w:t>
      </w:r>
      <w:r>
        <w:rPr>
          <w:rFonts w:hint="eastAsia" w:ascii="宋体" w:hAnsi="宋体" w:eastAsia="宋体" w:cs="宋体"/>
          <w:color w:val="auto"/>
          <w:kern w:val="1"/>
          <w:sz w:val="24"/>
          <w:lang w:eastAsia="zh-CN"/>
        </w:rPr>
        <w:t>磋商</w:t>
      </w:r>
      <w:r>
        <w:rPr>
          <w:rFonts w:hint="eastAsia" w:ascii="宋体" w:hAnsi="宋体" w:eastAsia="宋体" w:cs="宋体"/>
          <w:color w:val="auto"/>
          <w:kern w:val="1"/>
          <w:sz w:val="24"/>
        </w:rPr>
        <w:t>，取消其成交资格，其磋商保证金不予退还；给采购人造成的损失超过磋商保证金数额的，采购人将对其超过部分予以追偿。</w:t>
      </w:r>
    </w:p>
    <w:p>
      <w:pPr>
        <w:tabs>
          <w:tab w:val="left" w:pos="1155"/>
        </w:tabs>
        <w:spacing w:line="360" w:lineRule="auto"/>
        <w:ind w:firstLine="540"/>
        <w:rPr>
          <w:rFonts w:hint="eastAsia" w:ascii="宋体" w:hAnsi="宋体" w:eastAsia="宋体" w:cs="宋体"/>
          <w:color w:val="auto"/>
          <w:kern w:val="1"/>
          <w:sz w:val="24"/>
        </w:rPr>
      </w:pPr>
      <w:r>
        <w:rPr>
          <w:rFonts w:hint="eastAsia" w:ascii="宋体" w:hAnsi="宋体" w:cs="宋体"/>
          <w:color w:val="auto"/>
          <w:kern w:val="1"/>
          <w:sz w:val="24"/>
          <w:lang w:val="en-US" w:eastAsia="zh-CN"/>
        </w:rPr>
        <w:t>29</w:t>
      </w:r>
      <w:r>
        <w:rPr>
          <w:rFonts w:hint="eastAsia" w:ascii="宋体" w:hAnsi="宋体" w:eastAsia="宋体" w:cs="宋体"/>
          <w:color w:val="auto"/>
          <w:kern w:val="1"/>
          <w:sz w:val="24"/>
        </w:rPr>
        <w:t>.</w:t>
      </w:r>
      <w:r>
        <w:rPr>
          <w:rFonts w:hint="eastAsia" w:ascii="宋体" w:hAnsi="宋体" w:cs="宋体"/>
          <w:color w:val="auto"/>
          <w:kern w:val="1"/>
          <w:sz w:val="24"/>
          <w:lang w:val="en-US" w:eastAsia="zh-CN"/>
        </w:rPr>
        <w:t>3</w:t>
      </w:r>
      <w:r>
        <w:rPr>
          <w:rFonts w:hint="eastAsia" w:ascii="宋体" w:hAnsi="宋体" w:eastAsia="宋体" w:cs="宋体"/>
          <w:color w:val="auto"/>
          <w:kern w:val="1"/>
          <w:sz w:val="24"/>
        </w:rPr>
        <w:t>、政府采购合同应当包括采购人与中标人的名称和住所、数量、质量、价款或者报酬、履行期限及地点和方式、验收要求、违约责任、解决争议的方法等内容。采购人与中标人应当根据合同的约定依法履行合同义务。政府采购合同的履行、违约责任和解决争议的方法等适用《中华人民共和国合同法》。</w:t>
      </w:r>
    </w:p>
    <w:p>
      <w:pPr>
        <w:tabs>
          <w:tab w:val="left" w:pos="1155"/>
        </w:tabs>
        <w:spacing w:line="360" w:lineRule="auto"/>
        <w:ind w:firstLine="480" w:firstLineChars="200"/>
        <w:rPr>
          <w:rFonts w:hint="eastAsia" w:ascii="宋体" w:hAnsi="宋体" w:eastAsia="宋体" w:cs="宋体"/>
          <w:color w:val="auto"/>
          <w:kern w:val="1"/>
          <w:sz w:val="24"/>
        </w:rPr>
      </w:pPr>
      <w:r>
        <w:rPr>
          <w:rFonts w:hint="eastAsia" w:ascii="宋体" w:hAnsi="宋体" w:cs="宋体"/>
          <w:color w:val="auto"/>
          <w:kern w:val="1"/>
          <w:sz w:val="24"/>
          <w:lang w:val="en-US" w:eastAsia="zh-CN"/>
        </w:rPr>
        <w:t>29</w:t>
      </w:r>
      <w:r>
        <w:rPr>
          <w:rFonts w:hint="eastAsia" w:ascii="宋体" w:hAnsi="宋体" w:eastAsia="宋体" w:cs="宋体"/>
          <w:color w:val="auto"/>
          <w:kern w:val="1"/>
          <w:sz w:val="24"/>
        </w:rPr>
        <w:t>.4、采购人应当及时对采购项目进行验收。采购人可以邀请参加本项目的其他供应商或者第三方机构参与验收。参与验收的供应商或者第三方机构的意见作为验收书的参考资料一并存档。</w:t>
      </w:r>
    </w:p>
    <w:p>
      <w:pPr>
        <w:tabs>
          <w:tab w:val="left" w:pos="1155"/>
        </w:tabs>
        <w:spacing w:line="360" w:lineRule="auto"/>
        <w:ind w:firstLine="480" w:firstLineChars="200"/>
        <w:rPr>
          <w:rFonts w:hint="eastAsia" w:ascii="宋体" w:hAnsi="宋体" w:eastAsia="宋体" w:cs="宋体"/>
          <w:color w:val="auto"/>
          <w:kern w:val="1"/>
          <w:sz w:val="24"/>
        </w:rPr>
      </w:pPr>
      <w:r>
        <w:rPr>
          <w:rFonts w:hint="eastAsia" w:ascii="宋体" w:hAnsi="宋体" w:cs="宋体"/>
          <w:color w:val="auto"/>
          <w:kern w:val="1"/>
          <w:sz w:val="24"/>
          <w:lang w:val="en-US" w:eastAsia="zh-CN"/>
        </w:rPr>
        <w:t>29.5</w:t>
      </w:r>
      <w:r>
        <w:rPr>
          <w:rFonts w:hint="eastAsia" w:ascii="宋体" w:hAnsi="宋体" w:eastAsia="宋体" w:cs="宋体"/>
          <w:color w:val="auto"/>
          <w:kern w:val="1"/>
          <w:sz w:val="24"/>
        </w:rPr>
        <w:t>、成交供应商有下列情形之一的，责令限期改正，情节严重的，列入不良行为记录名单，在1至3年内禁止参加政府采购活动，并予以通报：</w:t>
      </w:r>
    </w:p>
    <w:p>
      <w:pPr>
        <w:tabs>
          <w:tab w:val="left" w:pos="1155"/>
        </w:tabs>
        <w:spacing w:line="360" w:lineRule="auto"/>
        <w:ind w:firstLine="480" w:firstLineChars="200"/>
        <w:rPr>
          <w:rFonts w:hint="eastAsia" w:ascii="宋体" w:hAnsi="宋体" w:eastAsia="宋体" w:cs="宋体"/>
          <w:color w:val="auto"/>
          <w:kern w:val="1"/>
          <w:sz w:val="24"/>
        </w:rPr>
      </w:pPr>
      <w:r>
        <w:rPr>
          <w:rFonts w:hint="eastAsia" w:ascii="宋体" w:hAnsi="宋体" w:cs="宋体"/>
          <w:color w:val="auto"/>
          <w:kern w:val="1"/>
          <w:sz w:val="24"/>
          <w:lang w:val="en-US" w:eastAsia="zh-CN"/>
        </w:rPr>
        <w:t>29.5</w:t>
      </w:r>
      <w:r>
        <w:rPr>
          <w:rFonts w:hint="eastAsia" w:ascii="宋体" w:hAnsi="宋体" w:eastAsia="宋体" w:cs="宋体"/>
          <w:color w:val="auto"/>
          <w:kern w:val="1"/>
          <w:sz w:val="24"/>
        </w:rPr>
        <w:t>.1、成交后无正当理由不与采购人签订合同的；</w:t>
      </w:r>
    </w:p>
    <w:p>
      <w:pPr>
        <w:tabs>
          <w:tab w:val="left" w:pos="1155"/>
        </w:tabs>
        <w:spacing w:line="360" w:lineRule="auto"/>
        <w:ind w:firstLine="480" w:firstLineChars="200"/>
        <w:rPr>
          <w:rFonts w:hint="eastAsia" w:ascii="宋体" w:hAnsi="宋体" w:eastAsia="宋体" w:cs="宋体"/>
          <w:color w:val="auto"/>
          <w:kern w:val="1"/>
          <w:sz w:val="24"/>
        </w:rPr>
      </w:pPr>
      <w:r>
        <w:rPr>
          <w:rFonts w:hint="eastAsia" w:ascii="宋体" w:hAnsi="宋体" w:cs="宋体"/>
          <w:color w:val="auto"/>
          <w:kern w:val="1"/>
          <w:sz w:val="24"/>
          <w:lang w:val="en-US" w:eastAsia="zh-CN"/>
        </w:rPr>
        <w:t>29.5</w:t>
      </w:r>
      <w:r>
        <w:rPr>
          <w:rFonts w:hint="eastAsia" w:ascii="宋体" w:hAnsi="宋体" w:eastAsia="宋体" w:cs="宋体"/>
          <w:color w:val="auto"/>
          <w:kern w:val="1"/>
          <w:sz w:val="24"/>
        </w:rPr>
        <w:t>.2、未按照采购文件确定的事项签订政府采购合同，或者与采购人另行订立背离合同实质性内容的协议的；</w:t>
      </w:r>
    </w:p>
    <w:p>
      <w:pPr>
        <w:tabs>
          <w:tab w:val="left" w:pos="1155"/>
        </w:tabs>
        <w:spacing w:line="360" w:lineRule="auto"/>
        <w:ind w:firstLine="480" w:firstLineChars="200"/>
        <w:rPr>
          <w:rFonts w:hint="eastAsia" w:ascii="宋体" w:hAnsi="宋体" w:eastAsia="宋体" w:cs="宋体"/>
          <w:color w:val="auto"/>
          <w:kern w:val="1"/>
          <w:sz w:val="24"/>
        </w:rPr>
      </w:pPr>
      <w:r>
        <w:rPr>
          <w:rFonts w:hint="eastAsia" w:ascii="宋体" w:hAnsi="宋体" w:cs="宋体"/>
          <w:color w:val="auto"/>
          <w:kern w:val="1"/>
          <w:sz w:val="24"/>
          <w:lang w:val="en-US" w:eastAsia="zh-CN"/>
        </w:rPr>
        <w:t>29.5</w:t>
      </w:r>
      <w:r>
        <w:rPr>
          <w:rFonts w:hint="eastAsia" w:ascii="宋体" w:hAnsi="宋体" w:eastAsia="宋体" w:cs="宋体"/>
          <w:color w:val="auto"/>
          <w:kern w:val="1"/>
          <w:sz w:val="24"/>
        </w:rPr>
        <w:t>.3、拒绝履行合同义务的；</w:t>
      </w:r>
    </w:p>
    <w:p>
      <w:pPr>
        <w:tabs>
          <w:tab w:val="left" w:pos="1155"/>
        </w:tabs>
        <w:spacing w:line="360" w:lineRule="auto"/>
        <w:ind w:firstLine="480" w:firstLineChars="200"/>
        <w:rPr>
          <w:rFonts w:hint="eastAsia" w:ascii="宋体" w:hAnsi="宋体" w:eastAsia="宋体" w:cs="宋体"/>
          <w:color w:val="auto"/>
          <w:kern w:val="1"/>
          <w:sz w:val="24"/>
        </w:rPr>
      </w:pPr>
      <w:r>
        <w:rPr>
          <w:rFonts w:hint="eastAsia" w:ascii="宋体" w:hAnsi="宋体" w:cs="宋体"/>
          <w:color w:val="auto"/>
          <w:kern w:val="1"/>
          <w:sz w:val="24"/>
          <w:lang w:val="en-US" w:eastAsia="zh-CN"/>
        </w:rPr>
        <w:t>29.5</w:t>
      </w:r>
      <w:r>
        <w:rPr>
          <w:rFonts w:hint="eastAsia" w:ascii="宋体" w:hAnsi="宋体" w:eastAsia="宋体" w:cs="宋体"/>
          <w:color w:val="auto"/>
          <w:kern w:val="1"/>
          <w:sz w:val="24"/>
        </w:rPr>
        <w:t>.4、违反法律、规章、规范性文件规定的。</w:t>
      </w:r>
    </w:p>
    <w:p>
      <w:pPr>
        <w:tabs>
          <w:tab w:val="left" w:pos="1155"/>
        </w:tabs>
        <w:spacing w:line="360" w:lineRule="auto"/>
        <w:rPr>
          <w:rFonts w:hint="eastAsia" w:ascii="宋体" w:hAnsi="宋体" w:eastAsia="宋体" w:cs="宋体"/>
          <w:b/>
          <w:bCs/>
          <w:color w:val="auto"/>
          <w:kern w:val="1"/>
          <w:sz w:val="24"/>
        </w:rPr>
      </w:pPr>
      <w:r>
        <w:rPr>
          <w:rFonts w:hint="eastAsia" w:ascii="宋体" w:hAnsi="宋体" w:cs="宋体"/>
          <w:b/>
          <w:color w:val="auto"/>
          <w:kern w:val="1"/>
          <w:sz w:val="24"/>
          <w:lang w:val="en-US" w:eastAsia="zh-CN"/>
        </w:rPr>
        <w:t>30.</w:t>
      </w:r>
      <w:r>
        <w:rPr>
          <w:rFonts w:hint="eastAsia" w:ascii="宋体" w:hAnsi="宋体" w:eastAsia="宋体" w:cs="宋体"/>
          <w:b/>
          <w:bCs/>
          <w:color w:val="auto"/>
          <w:kern w:val="1"/>
          <w:sz w:val="24"/>
        </w:rPr>
        <w:t>合同履行</w:t>
      </w:r>
    </w:p>
    <w:p>
      <w:pPr>
        <w:tabs>
          <w:tab w:val="left" w:pos="1155"/>
        </w:tabs>
        <w:spacing w:line="360" w:lineRule="auto"/>
        <w:ind w:firstLine="480" w:firstLineChars="200"/>
        <w:rPr>
          <w:rFonts w:hint="eastAsia" w:ascii="宋体" w:hAnsi="宋体" w:eastAsia="宋体" w:cs="宋体"/>
          <w:b/>
          <w:bCs/>
          <w:color w:val="auto"/>
          <w:kern w:val="1"/>
          <w:sz w:val="24"/>
        </w:rPr>
      </w:pPr>
      <w:r>
        <w:rPr>
          <w:rFonts w:hint="eastAsia" w:ascii="宋体" w:hAnsi="宋体" w:cs="宋体"/>
          <w:color w:val="auto"/>
          <w:kern w:val="1"/>
          <w:sz w:val="24"/>
          <w:lang w:val="en-US" w:eastAsia="zh-CN"/>
        </w:rPr>
        <w:t>30</w:t>
      </w:r>
      <w:r>
        <w:rPr>
          <w:rFonts w:hint="eastAsia" w:ascii="宋体" w:hAnsi="宋体" w:eastAsia="宋体" w:cs="宋体"/>
          <w:color w:val="auto"/>
          <w:kern w:val="1"/>
          <w:sz w:val="24"/>
        </w:rPr>
        <w:t>.1、政府采购合同订立后，合同各方不得擅自变更、中止或者终止合同。政府采购合同需要变更的，采购人应将有关合同变更内容，以书面形式报政府采购监督管理部门备案；因特殊情况需要中止或终止合同的，采购人应将中止或终止合同的理由以及相应措施，以书面形式报政府采购监督管理部门备案。</w:t>
      </w:r>
    </w:p>
    <w:p>
      <w:pPr>
        <w:tabs>
          <w:tab w:val="left" w:pos="1155"/>
        </w:tabs>
        <w:spacing w:line="360" w:lineRule="auto"/>
        <w:ind w:firstLine="480" w:firstLineChars="200"/>
        <w:rPr>
          <w:rFonts w:hint="eastAsia" w:ascii="宋体" w:hAnsi="宋体" w:eastAsia="宋体" w:cs="宋体"/>
          <w:color w:val="auto"/>
          <w:kern w:val="1"/>
          <w:sz w:val="24"/>
        </w:rPr>
      </w:pPr>
      <w:r>
        <w:rPr>
          <w:rFonts w:hint="eastAsia" w:ascii="宋体" w:hAnsi="宋体" w:cs="宋体"/>
          <w:color w:val="auto"/>
          <w:kern w:val="1"/>
          <w:sz w:val="24"/>
          <w:lang w:val="en-US" w:eastAsia="zh-CN"/>
        </w:rPr>
        <w:t>30</w:t>
      </w:r>
      <w:r>
        <w:rPr>
          <w:rFonts w:hint="eastAsia" w:ascii="宋体" w:hAnsi="宋体" w:eastAsia="宋体" w:cs="宋体"/>
          <w:color w:val="auto"/>
          <w:kern w:val="1"/>
          <w:sz w:val="24"/>
        </w:rPr>
        <w:t>.2、</w:t>
      </w:r>
      <w:r>
        <w:rPr>
          <w:rFonts w:hint="eastAsia" w:ascii="宋体" w:hAnsi="宋体" w:cs="宋体"/>
          <w:color w:val="auto"/>
          <w:kern w:val="1"/>
          <w:sz w:val="24"/>
          <w:lang w:val="en-US" w:eastAsia="zh-CN"/>
        </w:rPr>
        <w:t>政府采购合同履行中，采购人需追加与合同标的相同的货物的，在不改变合同其他条款的前提下，可以与成交供应商签订补充合同，但所补充合同的采购金额不得超过原合同采购金额的百分之十。签订补充合同的应按规定备案</w:t>
      </w:r>
      <w:r>
        <w:rPr>
          <w:rFonts w:hint="eastAsia" w:ascii="宋体" w:hAnsi="宋体" w:eastAsia="宋体" w:cs="宋体"/>
          <w:color w:val="auto"/>
          <w:kern w:val="1"/>
          <w:sz w:val="24"/>
        </w:rPr>
        <w:t>。</w:t>
      </w:r>
    </w:p>
    <w:p>
      <w:pPr>
        <w:spacing w:line="360" w:lineRule="auto"/>
        <w:rPr>
          <w:rFonts w:hint="eastAsia" w:ascii="宋体" w:hAnsi="宋体" w:eastAsia="宋体" w:cs="宋体"/>
          <w:b/>
          <w:bCs/>
          <w:color w:val="auto"/>
          <w:sz w:val="24"/>
          <w:lang w:eastAsia="zh-CN"/>
        </w:rPr>
      </w:pPr>
      <w:r>
        <w:rPr>
          <w:rFonts w:hint="eastAsia" w:ascii="宋体" w:hAnsi="宋体" w:eastAsia="宋体" w:cs="宋体"/>
          <w:b/>
          <w:color w:val="auto"/>
          <w:kern w:val="1"/>
          <w:sz w:val="24"/>
        </w:rPr>
        <w:t>六、终止</w:t>
      </w:r>
      <w:r>
        <w:rPr>
          <w:rFonts w:hint="eastAsia" w:ascii="宋体" w:hAnsi="宋体" w:cs="宋体"/>
          <w:b/>
          <w:color w:val="auto"/>
          <w:kern w:val="1"/>
          <w:sz w:val="24"/>
          <w:lang w:eastAsia="zh-CN"/>
        </w:rPr>
        <w:t>磋商与重新采购</w:t>
      </w:r>
    </w:p>
    <w:p>
      <w:pPr>
        <w:tabs>
          <w:tab w:val="left" w:pos="1155"/>
        </w:tabs>
        <w:spacing w:line="360" w:lineRule="auto"/>
        <w:ind w:firstLine="482" w:firstLineChars="200"/>
        <w:rPr>
          <w:rFonts w:hint="default" w:ascii="宋体" w:hAnsi="宋体" w:eastAsia="宋体" w:cs="宋体"/>
          <w:b/>
          <w:bCs/>
          <w:color w:val="auto"/>
          <w:kern w:val="1"/>
          <w:sz w:val="24"/>
          <w:lang w:val="en-US" w:eastAsia="zh-CN"/>
        </w:rPr>
      </w:pPr>
      <w:r>
        <w:rPr>
          <w:rFonts w:hint="eastAsia" w:ascii="宋体" w:hAnsi="宋体" w:cs="宋体"/>
          <w:b/>
          <w:bCs/>
          <w:color w:val="auto"/>
          <w:kern w:val="1"/>
          <w:sz w:val="24"/>
          <w:lang w:val="en-US" w:eastAsia="zh-CN"/>
        </w:rPr>
        <w:t>31、终止磋商</w:t>
      </w:r>
    </w:p>
    <w:p>
      <w:pPr>
        <w:tabs>
          <w:tab w:val="left" w:pos="1155"/>
        </w:tabs>
        <w:spacing w:line="360" w:lineRule="auto"/>
        <w:ind w:firstLine="480" w:firstLineChars="200"/>
        <w:rPr>
          <w:rFonts w:hint="eastAsia" w:ascii="宋体" w:hAnsi="宋体" w:eastAsia="宋体" w:cs="宋体"/>
          <w:color w:val="auto"/>
          <w:kern w:val="1"/>
          <w:sz w:val="24"/>
        </w:rPr>
      </w:pPr>
      <w:r>
        <w:rPr>
          <w:rFonts w:hint="eastAsia" w:ascii="宋体" w:hAnsi="宋体" w:eastAsia="宋体" w:cs="宋体"/>
          <w:color w:val="auto"/>
          <w:kern w:val="1"/>
          <w:sz w:val="24"/>
        </w:rPr>
        <w:t>出现下列情形之一的，采购人或者采购代理机构应当终止采购活动，发布项目终止公告并说明原因，重新开展采购活动：</w:t>
      </w:r>
    </w:p>
    <w:p>
      <w:pPr>
        <w:tabs>
          <w:tab w:val="left" w:pos="1155"/>
        </w:tabs>
        <w:spacing w:line="360" w:lineRule="auto"/>
        <w:ind w:firstLine="480" w:firstLineChars="200"/>
        <w:rPr>
          <w:rFonts w:hint="eastAsia" w:ascii="宋体" w:hAnsi="宋体" w:eastAsia="宋体" w:cs="宋体"/>
          <w:color w:val="auto"/>
          <w:kern w:val="1"/>
          <w:sz w:val="24"/>
        </w:rPr>
      </w:pPr>
      <w:r>
        <w:rPr>
          <w:rFonts w:hint="eastAsia" w:ascii="宋体" w:hAnsi="宋体" w:cs="宋体"/>
          <w:color w:val="auto"/>
          <w:kern w:val="1"/>
          <w:sz w:val="24"/>
          <w:lang w:val="en-US" w:eastAsia="zh-CN"/>
        </w:rPr>
        <w:t>31</w:t>
      </w:r>
      <w:r>
        <w:rPr>
          <w:rFonts w:hint="eastAsia" w:ascii="宋体" w:hAnsi="宋体" w:eastAsia="宋体" w:cs="宋体"/>
          <w:color w:val="auto"/>
          <w:kern w:val="1"/>
          <w:sz w:val="24"/>
        </w:rPr>
        <w:t>.1、因情况变化，不再符合规定的采购方式适用情形的；</w:t>
      </w:r>
    </w:p>
    <w:p>
      <w:pPr>
        <w:tabs>
          <w:tab w:val="left" w:pos="1155"/>
        </w:tabs>
        <w:spacing w:line="360" w:lineRule="auto"/>
        <w:ind w:firstLine="480" w:firstLineChars="200"/>
        <w:rPr>
          <w:rFonts w:hint="eastAsia" w:ascii="宋体" w:hAnsi="宋体" w:eastAsia="宋体" w:cs="宋体"/>
          <w:color w:val="auto"/>
          <w:kern w:val="1"/>
          <w:sz w:val="24"/>
        </w:rPr>
      </w:pPr>
      <w:r>
        <w:rPr>
          <w:rFonts w:hint="eastAsia" w:ascii="宋体" w:hAnsi="宋体" w:cs="宋体"/>
          <w:color w:val="auto"/>
          <w:kern w:val="1"/>
          <w:sz w:val="24"/>
          <w:lang w:val="en-US" w:eastAsia="zh-CN"/>
        </w:rPr>
        <w:t>31</w:t>
      </w:r>
      <w:r>
        <w:rPr>
          <w:rFonts w:hint="eastAsia" w:ascii="宋体" w:hAnsi="宋体" w:eastAsia="宋体" w:cs="宋体"/>
          <w:color w:val="auto"/>
          <w:kern w:val="1"/>
          <w:sz w:val="24"/>
        </w:rPr>
        <w:t>.2、出现影响采购公正的违法、违规行为的；</w:t>
      </w:r>
    </w:p>
    <w:p>
      <w:pPr>
        <w:tabs>
          <w:tab w:val="left" w:pos="1155"/>
        </w:tabs>
        <w:spacing w:line="360" w:lineRule="auto"/>
        <w:ind w:firstLine="480" w:firstLineChars="200"/>
        <w:rPr>
          <w:rFonts w:hint="eastAsia" w:ascii="宋体" w:hAnsi="宋体" w:cs="宋体"/>
          <w:color w:val="auto"/>
          <w:kern w:val="1"/>
          <w:sz w:val="24"/>
          <w:lang w:val="en-US" w:eastAsia="zh-CN"/>
        </w:rPr>
      </w:pPr>
      <w:r>
        <w:rPr>
          <w:rFonts w:hint="eastAsia" w:ascii="宋体" w:hAnsi="宋体" w:cs="宋体"/>
          <w:color w:val="auto"/>
          <w:kern w:val="1"/>
          <w:sz w:val="24"/>
          <w:lang w:val="en-US" w:eastAsia="zh-CN"/>
        </w:rPr>
        <w:t>31.3、除《政府采购竞争性磋商采购方式管理暂行办法》办法第21条第3款规定的情形外，在采购过程中符合要求的供应商或者磋商报价未超过采购预算的供应商不足3家的。</w:t>
      </w:r>
    </w:p>
    <w:p>
      <w:pPr>
        <w:tabs>
          <w:tab w:val="left" w:pos="1155"/>
        </w:tabs>
        <w:spacing w:line="360" w:lineRule="auto"/>
        <w:ind w:firstLine="482" w:firstLineChars="200"/>
        <w:rPr>
          <w:rFonts w:hint="eastAsia" w:ascii="宋体" w:hAnsi="宋体" w:cs="宋体"/>
          <w:b/>
          <w:bCs/>
          <w:color w:val="auto"/>
          <w:kern w:val="1"/>
          <w:sz w:val="24"/>
          <w:lang w:val="en-US" w:eastAsia="zh-CN"/>
        </w:rPr>
      </w:pPr>
      <w:r>
        <w:rPr>
          <w:rFonts w:hint="eastAsia" w:ascii="宋体" w:hAnsi="宋体" w:cs="宋体"/>
          <w:b/>
          <w:bCs/>
          <w:color w:val="auto"/>
          <w:kern w:val="1"/>
          <w:sz w:val="24"/>
          <w:lang w:val="en-US" w:eastAsia="zh-CN"/>
        </w:rPr>
        <w:t>32、重新采购</w:t>
      </w:r>
    </w:p>
    <w:p>
      <w:pPr>
        <w:tabs>
          <w:tab w:val="left" w:pos="1155"/>
        </w:tabs>
        <w:spacing w:line="360" w:lineRule="auto"/>
        <w:ind w:firstLine="480" w:firstLineChars="200"/>
        <w:rPr>
          <w:rFonts w:hint="eastAsia" w:ascii="宋体" w:hAnsi="宋体" w:cs="宋体"/>
          <w:color w:val="auto"/>
          <w:kern w:val="1"/>
          <w:sz w:val="24"/>
          <w:lang w:val="en-US" w:eastAsia="zh-CN"/>
        </w:rPr>
      </w:pPr>
      <w:r>
        <w:rPr>
          <w:rFonts w:hint="eastAsia" w:ascii="宋体" w:hAnsi="宋体" w:cs="宋体"/>
          <w:color w:val="auto"/>
          <w:kern w:val="1"/>
          <w:sz w:val="24"/>
          <w:lang w:val="en-US" w:eastAsia="zh-CN"/>
        </w:rPr>
        <w:t>有下列情形之一的，采购人将重新采购：</w:t>
      </w:r>
    </w:p>
    <w:p>
      <w:pPr>
        <w:tabs>
          <w:tab w:val="left" w:pos="1155"/>
        </w:tabs>
        <w:spacing w:line="360" w:lineRule="auto"/>
        <w:ind w:firstLine="480" w:firstLineChars="200"/>
        <w:rPr>
          <w:rFonts w:hint="eastAsia" w:ascii="宋体" w:hAnsi="宋体" w:cs="宋体"/>
          <w:color w:val="auto"/>
          <w:kern w:val="1"/>
          <w:sz w:val="24"/>
          <w:lang w:val="en-US" w:eastAsia="zh-CN"/>
        </w:rPr>
      </w:pPr>
      <w:r>
        <w:rPr>
          <w:rFonts w:hint="eastAsia" w:ascii="宋体" w:hAnsi="宋体" w:cs="宋体"/>
          <w:color w:val="auto"/>
          <w:kern w:val="1"/>
          <w:sz w:val="24"/>
          <w:lang w:val="en-US" w:eastAsia="zh-CN"/>
        </w:rPr>
        <w:t>32.1、经磋商小组评审后否决所有供应商的；</w:t>
      </w:r>
    </w:p>
    <w:p>
      <w:pPr>
        <w:tabs>
          <w:tab w:val="left" w:pos="1155"/>
        </w:tabs>
        <w:spacing w:line="360" w:lineRule="auto"/>
        <w:ind w:firstLine="480" w:firstLineChars="200"/>
        <w:rPr>
          <w:rFonts w:hint="eastAsia" w:ascii="宋体" w:hAnsi="宋体" w:cs="宋体"/>
          <w:color w:val="auto"/>
          <w:kern w:val="1"/>
          <w:sz w:val="24"/>
          <w:lang w:val="en-US" w:eastAsia="zh-CN"/>
        </w:rPr>
      </w:pPr>
      <w:r>
        <w:rPr>
          <w:rFonts w:hint="eastAsia" w:ascii="宋体" w:hAnsi="宋体" w:cs="宋体"/>
          <w:color w:val="auto"/>
          <w:kern w:val="1"/>
          <w:sz w:val="24"/>
          <w:lang w:val="en-US" w:eastAsia="zh-CN"/>
        </w:rPr>
        <w:t>32.2、采购人需重新采购的，应同时通知已提交磋商响应文件的供应商，并退回磋商保证金(不计利息)。</w:t>
      </w:r>
    </w:p>
    <w:p>
      <w:pPr>
        <w:spacing w:line="360" w:lineRule="auto"/>
        <w:rPr>
          <w:rFonts w:hint="eastAsia" w:ascii="宋体" w:hAnsi="宋体" w:cs="宋体"/>
          <w:b/>
          <w:color w:val="auto"/>
          <w:kern w:val="1"/>
          <w:sz w:val="24"/>
          <w:lang w:eastAsia="zh-CN"/>
        </w:rPr>
      </w:pPr>
      <w:r>
        <w:rPr>
          <w:rFonts w:hint="eastAsia" w:ascii="宋体" w:hAnsi="宋体" w:cs="宋体"/>
          <w:b/>
          <w:color w:val="auto"/>
          <w:kern w:val="1"/>
          <w:sz w:val="24"/>
          <w:lang w:eastAsia="zh-CN"/>
        </w:rPr>
        <w:t>七</w:t>
      </w:r>
      <w:r>
        <w:rPr>
          <w:rFonts w:hint="eastAsia" w:ascii="宋体" w:hAnsi="宋体" w:eastAsia="宋体" w:cs="宋体"/>
          <w:b/>
          <w:color w:val="auto"/>
          <w:kern w:val="1"/>
          <w:sz w:val="24"/>
        </w:rPr>
        <w:t>、</w:t>
      </w:r>
      <w:r>
        <w:rPr>
          <w:rFonts w:hint="eastAsia" w:ascii="宋体" w:hAnsi="宋体" w:cs="宋体"/>
          <w:b/>
          <w:color w:val="auto"/>
          <w:kern w:val="1"/>
          <w:sz w:val="24"/>
          <w:lang w:eastAsia="zh-CN"/>
        </w:rPr>
        <w:t>纪律和监督</w:t>
      </w:r>
    </w:p>
    <w:p>
      <w:pPr>
        <w:tabs>
          <w:tab w:val="left" w:pos="1155"/>
        </w:tabs>
        <w:spacing w:line="360" w:lineRule="auto"/>
        <w:ind w:firstLine="482" w:firstLineChars="200"/>
        <w:rPr>
          <w:rFonts w:hint="eastAsia" w:ascii="宋体" w:hAnsi="宋体" w:cs="宋体"/>
          <w:b w:val="0"/>
          <w:bCs w:val="0"/>
          <w:color w:val="auto"/>
          <w:kern w:val="1"/>
          <w:sz w:val="24"/>
          <w:lang w:val="en-US" w:eastAsia="zh-CN"/>
        </w:rPr>
      </w:pPr>
      <w:r>
        <w:rPr>
          <w:rFonts w:hint="eastAsia" w:ascii="宋体" w:hAnsi="宋体" w:cs="宋体"/>
          <w:b/>
          <w:bCs/>
          <w:color w:val="auto"/>
          <w:kern w:val="1"/>
          <w:sz w:val="24"/>
          <w:lang w:val="en-US" w:eastAsia="zh-CN"/>
        </w:rPr>
        <w:t>33、对采购人的纪律要求：</w:t>
      </w:r>
      <w:r>
        <w:rPr>
          <w:rFonts w:hint="eastAsia" w:ascii="宋体" w:hAnsi="宋体" w:cs="宋体"/>
          <w:b w:val="0"/>
          <w:bCs w:val="0"/>
          <w:color w:val="auto"/>
          <w:kern w:val="1"/>
          <w:sz w:val="24"/>
          <w:lang w:val="en-US" w:eastAsia="zh-CN"/>
        </w:rPr>
        <w:t>采购人不得泄漏磋商活动中应当保密的情况和资料，不得与供应商串通损害国家利益、社会公共利益或者他人合法权益。</w:t>
      </w:r>
    </w:p>
    <w:p>
      <w:pPr>
        <w:tabs>
          <w:tab w:val="left" w:pos="1155"/>
        </w:tabs>
        <w:spacing w:line="360" w:lineRule="auto"/>
        <w:ind w:firstLine="482" w:firstLineChars="200"/>
        <w:rPr>
          <w:rFonts w:hint="eastAsia" w:ascii="宋体" w:hAnsi="宋体" w:cs="宋体"/>
          <w:b w:val="0"/>
          <w:bCs w:val="0"/>
          <w:color w:val="auto"/>
          <w:kern w:val="1"/>
          <w:sz w:val="24"/>
          <w:lang w:val="en-US" w:eastAsia="zh-CN"/>
        </w:rPr>
      </w:pPr>
      <w:r>
        <w:rPr>
          <w:rFonts w:hint="eastAsia" w:ascii="宋体" w:hAnsi="宋体" w:cs="宋体"/>
          <w:b/>
          <w:bCs/>
          <w:color w:val="auto"/>
          <w:kern w:val="1"/>
          <w:sz w:val="24"/>
          <w:lang w:val="en-US" w:eastAsia="zh-CN"/>
        </w:rPr>
        <w:t>34、对供应商的纪律要求：</w:t>
      </w:r>
      <w:r>
        <w:rPr>
          <w:rFonts w:hint="eastAsia" w:ascii="宋体" w:hAnsi="宋体" w:cs="宋体"/>
          <w:b w:val="0"/>
          <w:bCs w:val="0"/>
          <w:color w:val="auto"/>
          <w:kern w:val="1"/>
          <w:sz w:val="24"/>
          <w:lang w:val="en-US" w:eastAsia="zh-CN"/>
        </w:rPr>
        <w:t>供应商不得相互串通投标或者与采购人串通投标，不得向采购人或者磋商小组成员行贿谋取中标，不得以他人名义投标或者以其他方式弄虚作假骗取中标；供应商不得以任何方式干扰、影响评审工作。</w:t>
      </w:r>
    </w:p>
    <w:p>
      <w:pPr>
        <w:tabs>
          <w:tab w:val="left" w:pos="1155"/>
        </w:tabs>
        <w:spacing w:line="360" w:lineRule="auto"/>
        <w:ind w:firstLine="482" w:firstLineChars="200"/>
        <w:rPr>
          <w:rFonts w:hint="eastAsia" w:ascii="宋体" w:hAnsi="宋体" w:cs="宋体"/>
          <w:b w:val="0"/>
          <w:bCs w:val="0"/>
          <w:color w:val="auto"/>
          <w:kern w:val="1"/>
          <w:sz w:val="24"/>
          <w:lang w:val="en-US" w:eastAsia="zh-CN"/>
        </w:rPr>
      </w:pPr>
      <w:r>
        <w:rPr>
          <w:rFonts w:hint="eastAsia" w:ascii="宋体" w:hAnsi="宋体" w:cs="宋体"/>
          <w:b/>
          <w:bCs/>
          <w:color w:val="auto"/>
          <w:kern w:val="1"/>
          <w:sz w:val="24"/>
          <w:lang w:val="en-US" w:eastAsia="zh-CN"/>
        </w:rPr>
        <w:t>35、对磋商小组成员的纪律要求：</w:t>
      </w:r>
      <w:r>
        <w:rPr>
          <w:rFonts w:hint="eastAsia" w:ascii="宋体" w:hAnsi="宋体" w:cs="宋体"/>
          <w:b w:val="0"/>
          <w:bCs w:val="0"/>
          <w:color w:val="auto"/>
          <w:kern w:val="1"/>
          <w:sz w:val="24"/>
          <w:lang w:val="en-US" w:eastAsia="zh-CN"/>
        </w:rPr>
        <w:t>磋商小组成员不得收受他人的财物或者其他好处，不得向他人透漏对磋商响应文件的评审和比较、成交候选人的推荐情况以及评审有关的其他情况。在评审活动中，磋商小组成员不得擅离职守，影响评审程序正常进行，不得使用第三部分“磋商方法”没有规定的评审因素和标准进行评审。</w:t>
      </w:r>
    </w:p>
    <w:p>
      <w:pPr>
        <w:tabs>
          <w:tab w:val="left" w:pos="1155"/>
        </w:tabs>
        <w:spacing w:line="360" w:lineRule="auto"/>
        <w:ind w:firstLine="482" w:firstLineChars="200"/>
        <w:rPr>
          <w:rFonts w:hint="default" w:ascii="宋体" w:hAnsi="宋体" w:cs="宋体"/>
          <w:b w:val="0"/>
          <w:bCs w:val="0"/>
          <w:color w:val="auto"/>
          <w:kern w:val="1"/>
          <w:sz w:val="24"/>
          <w:lang w:val="en-US" w:eastAsia="zh-CN"/>
        </w:rPr>
      </w:pPr>
      <w:r>
        <w:rPr>
          <w:rFonts w:hint="eastAsia" w:ascii="宋体" w:hAnsi="宋体" w:cs="宋体"/>
          <w:b/>
          <w:bCs/>
          <w:color w:val="auto"/>
          <w:kern w:val="1"/>
          <w:sz w:val="24"/>
          <w:lang w:val="en-US" w:eastAsia="zh-CN"/>
        </w:rPr>
        <w:t>36、对与评审活动有关的工作人员的纪律要求：</w:t>
      </w:r>
      <w:r>
        <w:rPr>
          <w:rFonts w:hint="eastAsia" w:ascii="宋体" w:hAnsi="宋体" w:cs="宋体"/>
          <w:b w:val="0"/>
          <w:bCs w:val="0"/>
          <w:color w:val="auto"/>
          <w:kern w:val="1"/>
          <w:sz w:val="24"/>
          <w:lang w:val="en-US" w:eastAsia="zh-CN"/>
        </w:rPr>
        <w:t>与评审活动有关的工作人员不得收受他人的财物或者其他好处，不得向他人透漏对磋商响应文件的评审和比较、成交候选人的推荐情况以及评审有关的其他情况。在评审活动中，与评审活动有关的工作人员不得擅离职守，影响评审程序正常进行。</w:t>
      </w:r>
    </w:p>
    <w:p>
      <w:pPr>
        <w:spacing w:line="360" w:lineRule="auto"/>
        <w:rPr>
          <w:rFonts w:hint="eastAsia" w:ascii="宋体" w:hAnsi="宋体" w:eastAsia="宋体" w:cs="宋体"/>
          <w:b/>
          <w:color w:val="auto"/>
          <w:kern w:val="1"/>
          <w:sz w:val="24"/>
        </w:rPr>
      </w:pPr>
      <w:r>
        <w:rPr>
          <w:rFonts w:hint="eastAsia" w:ascii="宋体" w:hAnsi="宋体" w:cs="宋体"/>
          <w:b/>
          <w:color w:val="auto"/>
          <w:kern w:val="1"/>
          <w:sz w:val="24"/>
          <w:lang w:eastAsia="zh-CN"/>
        </w:rPr>
        <w:t>八</w:t>
      </w:r>
      <w:r>
        <w:rPr>
          <w:rFonts w:hint="eastAsia" w:ascii="宋体" w:hAnsi="宋体" w:eastAsia="宋体" w:cs="宋体"/>
          <w:b/>
          <w:color w:val="auto"/>
          <w:kern w:val="1"/>
          <w:sz w:val="24"/>
        </w:rPr>
        <w:t>、相关费用</w:t>
      </w:r>
    </w:p>
    <w:p>
      <w:pPr>
        <w:spacing w:after="120" w:afterLines="50" w:line="360" w:lineRule="auto"/>
        <w:rPr>
          <w:rFonts w:hint="eastAsia" w:ascii="宋体" w:hAnsi="宋体" w:eastAsia="宋体" w:cs="宋体"/>
          <w:b/>
          <w:color w:val="auto"/>
          <w:sz w:val="24"/>
        </w:rPr>
      </w:pPr>
      <w:r>
        <w:rPr>
          <w:rFonts w:hint="eastAsia" w:ascii="宋体" w:hAnsi="宋体" w:cs="宋体"/>
          <w:b/>
          <w:color w:val="auto"/>
          <w:sz w:val="24"/>
          <w:lang w:val="en-US" w:eastAsia="zh-CN"/>
        </w:rPr>
        <w:t>37</w:t>
      </w:r>
      <w:r>
        <w:rPr>
          <w:rFonts w:hint="eastAsia" w:ascii="宋体" w:hAnsi="宋体" w:eastAsia="宋体" w:cs="宋体"/>
          <w:b/>
          <w:color w:val="auto"/>
          <w:sz w:val="24"/>
        </w:rPr>
        <w:t>、采购代理服务费数额及缴纳方式</w:t>
      </w:r>
    </w:p>
    <w:p>
      <w:pPr>
        <w:tabs>
          <w:tab w:val="left" w:pos="1155"/>
        </w:tabs>
        <w:spacing w:line="360" w:lineRule="auto"/>
        <w:ind w:firstLine="480" w:firstLineChars="200"/>
        <w:rPr>
          <w:rFonts w:hint="eastAsia" w:ascii="宋体" w:hAnsi="宋体" w:eastAsia="宋体" w:cs="宋体"/>
          <w:color w:val="auto"/>
          <w:kern w:val="1"/>
          <w:sz w:val="24"/>
        </w:rPr>
      </w:pPr>
      <w:r>
        <w:rPr>
          <w:rFonts w:hint="eastAsia" w:ascii="宋体" w:hAnsi="宋体" w:cs="宋体"/>
          <w:color w:val="auto"/>
          <w:kern w:val="1"/>
          <w:sz w:val="24"/>
          <w:lang w:val="en-US" w:eastAsia="zh-CN"/>
        </w:rPr>
        <w:t>37</w:t>
      </w:r>
      <w:r>
        <w:rPr>
          <w:rFonts w:hint="eastAsia" w:ascii="宋体" w:hAnsi="宋体" w:eastAsia="宋体" w:cs="宋体"/>
          <w:color w:val="auto"/>
          <w:kern w:val="1"/>
          <w:sz w:val="24"/>
        </w:rPr>
        <w:t>.1、采购代理服务费数额：</w:t>
      </w:r>
      <w:r>
        <w:rPr>
          <w:rFonts w:hint="eastAsia" w:ascii="宋体" w:hAnsi="宋体" w:eastAsia="宋体" w:cs="宋体"/>
          <w:color w:val="auto"/>
          <w:kern w:val="1"/>
          <w:sz w:val="24"/>
          <w:lang w:val="en-US" w:eastAsia="zh-CN"/>
        </w:rPr>
        <w:t>采购代理服务费的金额按照国家计委颁发的《采购代理服务收费管理暂行办法》（计价格[2002]1980号）、国家发展改革委员会办公厅颁发的《关于采购代理服务收费有关问题的通知》（发改办价格[2003]857号）、《国家发展改革委关于降低部分建设项目收费标准规范收费行为等有关问题的通知》（发改价格[2011]534号）的有关规定执行或双方合同约定。</w:t>
      </w:r>
    </w:p>
    <w:p>
      <w:pPr>
        <w:tabs>
          <w:tab w:val="left" w:pos="1155"/>
        </w:tabs>
        <w:spacing w:line="360" w:lineRule="auto"/>
        <w:ind w:firstLine="480" w:firstLineChars="200"/>
        <w:rPr>
          <w:rFonts w:hint="eastAsia" w:ascii="宋体" w:hAnsi="宋体" w:eastAsia="宋体" w:cs="宋体"/>
          <w:color w:val="auto"/>
          <w:kern w:val="1"/>
          <w:sz w:val="24"/>
        </w:rPr>
      </w:pPr>
      <w:r>
        <w:rPr>
          <w:rFonts w:hint="eastAsia" w:ascii="宋体" w:hAnsi="宋体" w:cs="宋体"/>
          <w:color w:val="auto"/>
          <w:kern w:val="1"/>
          <w:sz w:val="24"/>
          <w:lang w:val="en-US" w:eastAsia="zh-CN"/>
        </w:rPr>
        <w:t>37</w:t>
      </w:r>
      <w:r>
        <w:rPr>
          <w:rFonts w:hint="eastAsia" w:ascii="宋体" w:hAnsi="宋体" w:eastAsia="宋体" w:cs="宋体"/>
          <w:color w:val="auto"/>
          <w:kern w:val="1"/>
          <w:sz w:val="24"/>
        </w:rPr>
        <w:t>.2、采购代理服务费缴纳方式：可以采取支票、银行汇票、电汇、网银、现金等方式缴纳。</w:t>
      </w:r>
    </w:p>
    <w:p>
      <w:pPr>
        <w:pStyle w:val="22"/>
        <w:spacing w:line="360" w:lineRule="auto"/>
        <w:ind w:firstLine="241" w:firstLineChars="100"/>
        <w:rPr>
          <w:rFonts w:hint="eastAsia" w:ascii="宋体" w:hAnsi="宋体" w:eastAsia="宋体" w:cs="宋体"/>
          <w:b/>
          <w:color w:val="auto"/>
          <w:sz w:val="24"/>
          <w:szCs w:val="24"/>
        </w:rPr>
      </w:pPr>
      <w:r>
        <w:rPr>
          <w:rFonts w:hint="eastAsia" w:ascii="宋体" w:hAnsi="宋体" w:cs="宋体"/>
          <w:b/>
          <w:color w:val="auto"/>
          <w:sz w:val="24"/>
          <w:szCs w:val="24"/>
          <w:lang w:val="en-US" w:eastAsia="zh-CN"/>
        </w:rPr>
        <w:t>38</w:t>
      </w:r>
      <w:r>
        <w:rPr>
          <w:rFonts w:hint="eastAsia" w:ascii="宋体" w:hAnsi="宋体" w:eastAsia="宋体" w:cs="宋体"/>
          <w:b/>
          <w:color w:val="auto"/>
          <w:sz w:val="24"/>
          <w:szCs w:val="24"/>
        </w:rPr>
        <w:t>、其他费用</w:t>
      </w:r>
    </w:p>
    <w:p>
      <w:pPr>
        <w:tabs>
          <w:tab w:val="left" w:pos="1155"/>
        </w:tabs>
        <w:spacing w:line="360" w:lineRule="auto"/>
        <w:ind w:firstLine="480" w:firstLineChars="200"/>
        <w:rPr>
          <w:rFonts w:hint="eastAsia" w:ascii="宋体" w:hAnsi="宋体" w:eastAsia="宋体" w:cs="宋体"/>
          <w:color w:val="auto"/>
          <w:kern w:val="1"/>
          <w:sz w:val="24"/>
        </w:rPr>
      </w:pPr>
      <w:r>
        <w:rPr>
          <w:rFonts w:hint="eastAsia" w:ascii="宋体" w:hAnsi="宋体" w:cs="宋体"/>
          <w:color w:val="auto"/>
          <w:kern w:val="1"/>
          <w:sz w:val="24"/>
          <w:lang w:val="en-US" w:eastAsia="zh-CN"/>
        </w:rPr>
        <w:t>38</w:t>
      </w:r>
      <w:r>
        <w:rPr>
          <w:rFonts w:hint="eastAsia" w:ascii="宋体" w:hAnsi="宋体" w:eastAsia="宋体" w:cs="宋体"/>
          <w:color w:val="auto"/>
          <w:kern w:val="1"/>
          <w:sz w:val="24"/>
        </w:rPr>
        <w:t>.1、为了保证采购活动顺利进行，要求各供应商要认真仔细阅读采购文件，严格按采购文件中规定条款制作响应文件。因供应商自身工作失误（如：①不按</w:t>
      </w:r>
      <w:r>
        <w:rPr>
          <w:rFonts w:hint="eastAsia" w:ascii="宋体" w:hAnsi="宋体" w:eastAsia="宋体" w:cs="宋体"/>
          <w:color w:val="auto"/>
          <w:kern w:val="1"/>
          <w:sz w:val="24"/>
          <w:lang w:eastAsia="zh-CN"/>
        </w:rPr>
        <w:t>磋商</w:t>
      </w:r>
      <w:r>
        <w:rPr>
          <w:rFonts w:hint="eastAsia" w:ascii="宋体" w:hAnsi="宋体" w:eastAsia="宋体" w:cs="宋体"/>
          <w:color w:val="auto"/>
          <w:kern w:val="1"/>
          <w:sz w:val="24"/>
        </w:rPr>
        <w:t>文件约定交纳</w:t>
      </w:r>
      <w:r>
        <w:rPr>
          <w:rFonts w:hint="eastAsia" w:ascii="宋体" w:hAnsi="宋体" w:eastAsia="宋体" w:cs="宋体"/>
          <w:color w:val="auto"/>
          <w:kern w:val="1"/>
          <w:sz w:val="24"/>
          <w:lang w:eastAsia="zh-CN"/>
        </w:rPr>
        <w:t>磋商</w:t>
      </w:r>
      <w:r>
        <w:rPr>
          <w:rFonts w:hint="eastAsia" w:ascii="宋体" w:hAnsi="宋体" w:eastAsia="宋体" w:cs="宋体"/>
          <w:color w:val="auto"/>
          <w:kern w:val="1"/>
          <w:sz w:val="24"/>
        </w:rPr>
        <w:t>保证金的；②不按磋商文件约定制作、封装“法定代表人授权书”的；③报价计算错误的；④评委会一致认定的其它行为）造成有效响应供应商不足三家而导致采购活动失败的，须供应商赔偿造成的经济损失，情节严重的按《政府采购法》有关规定予以处罚。</w:t>
      </w:r>
    </w:p>
    <w:p>
      <w:pPr>
        <w:spacing w:before="120" w:beforeLines="50" w:after="120" w:afterLines="50" w:line="360" w:lineRule="auto"/>
        <w:rPr>
          <w:rFonts w:hint="eastAsia" w:ascii="宋体" w:hAnsi="宋体" w:eastAsia="宋体" w:cs="宋体"/>
          <w:b/>
          <w:bCs/>
          <w:color w:val="auto"/>
          <w:sz w:val="24"/>
        </w:rPr>
      </w:pPr>
      <w:r>
        <w:rPr>
          <w:rFonts w:hint="eastAsia" w:ascii="宋体" w:hAnsi="宋体" w:cs="宋体"/>
          <w:b/>
          <w:color w:val="auto"/>
          <w:kern w:val="1"/>
          <w:sz w:val="24"/>
          <w:lang w:eastAsia="zh-CN"/>
        </w:rPr>
        <w:t>九</w:t>
      </w:r>
      <w:r>
        <w:rPr>
          <w:rFonts w:hint="eastAsia" w:ascii="宋体" w:hAnsi="宋体" w:eastAsia="宋体" w:cs="宋体"/>
          <w:b/>
          <w:color w:val="auto"/>
          <w:kern w:val="1"/>
          <w:sz w:val="24"/>
        </w:rPr>
        <w:t>、</w:t>
      </w:r>
      <w:r>
        <w:rPr>
          <w:rFonts w:hint="eastAsia" w:ascii="宋体" w:hAnsi="宋体" w:eastAsia="宋体" w:cs="宋体"/>
          <w:b/>
          <w:bCs/>
          <w:color w:val="auto"/>
          <w:sz w:val="24"/>
        </w:rPr>
        <w:t>质疑与投诉</w:t>
      </w:r>
    </w:p>
    <w:p>
      <w:pPr>
        <w:tabs>
          <w:tab w:val="left" w:pos="1155"/>
        </w:tabs>
        <w:spacing w:line="360" w:lineRule="auto"/>
        <w:rPr>
          <w:rFonts w:hint="eastAsia" w:ascii="宋体" w:hAnsi="宋体" w:eastAsia="宋体" w:cs="宋体"/>
          <w:b/>
          <w:bCs/>
          <w:color w:val="auto"/>
          <w:sz w:val="24"/>
        </w:rPr>
      </w:pPr>
      <w:r>
        <w:rPr>
          <w:rFonts w:hint="eastAsia" w:ascii="宋体" w:hAnsi="宋体" w:cs="宋体"/>
          <w:b/>
          <w:bCs/>
          <w:color w:val="auto"/>
          <w:sz w:val="24"/>
          <w:lang w:val="en-US" w:eastAsia="zh-CN"/>
        </w:rPr>
        <w:t>39</w:t>
      </w:r>
      <w:r>
        <w:rPr>
          <w:rFonts w:hint="eastAsia" w:ascii="宋体" w:hAnsi="宋体" w:eastAsia="宋体" w:cs="宋体"/>
          <w:b/>
          <w:bCs/>
          <w:color w:val="auto"/>
          <w:sz w:val="24"/>
        </w:rPr>
        <w:t>、关于质疑函的提出与答复：</w:t>
      </w:r>
    </w:p>
    <w:p>
      <w:pPr>
        <w:tabs>
          <w:tab w:val="left" w:pos="1155"/>
        </w:tabs>
        <w:spacing w:line="360" w:lineRule="auto"/>
        <w:ind w:firstLine="480" w:firstLineChars="200"/>
        <w:rPr>
          <w:rFonts w:hint="eastAsia" w:ascii="宋体" w:hAnsi="宋体" w:eastAsia="宋体" w:cs="宋体"/>
          <w:bCs/>
          <w:color w:val="auto"/>
          <w:sz w:val="24"/>
        </w:rPr>
      </w:pPr>
      <w:r>
        <w:rPr>
          <w:rFonts w:hint="eastAsia" w:ascii="宋体" w:hAnsi="宋体" w:cs="宋体"/>
          <w:bCs/>
          <w:color w:val="auto"/>
          <w:sz w:val="24"/>
          <w:lang w:val="en-US" w:eastAsia="zh-CN"/>
        </w:rPr>
        <w:t>39</w:t>
      </w:r>
      <w:r>
        <w:rPr>
          <w:rFonts w:hint="eastAsia" w:ascii="宋体" w:hAnsi="宋体" w:eastAsia="宋体" w:cs="宋体"/>
          <w:bCs/>
          <w:color w:val="auto"/>
          <w:sz w:val="24"/>
        </w:rPr>
        <w:t>.1如供应商对本次采购活动有疑问，认为需要提出质疑和投诉的，应当按照《政府采购质疑投诉办法》（财政部94号令）的有关规定办理。</w:t>
      </w:r>
    </w:p>
    <w:p>
      <w:pPr>
        <w:tabs>
          <w:tab w:val="left" w:pos="1155"/>
        </w:tabs>
        <w:spacing w:line="360" w:lineRule="auto"/>
        <w:ind w:firstLine="480" w:firstLineChars="200"/>
        <w:rPr>
          <w:rFonts w:hint="eastAsia" w:ascii="宋体" w:hAnsi="宋体" w:eastAsia="宋体" w:cs="宋体"/>
          <w:bCs/>
          <w:color w:val="auto"/>
          <w:sz w:val="24"/>
        </w:rPr>
      </w:pPr>
      <w:r>
        <w:rPr>
          <w:rFonts w:hint="eastAsia" w:ascii="宋体" w:hAnsi="宋体" w:cs="宋体"/>
          <w:bCs/>
          <w:color w:val="auto"/>
          <w:sz w:val="24"/>
          <w:lang w:val="en-US" w:eastAsia="zh-CN"/>
        </w:rPr>
        <w:t>39</w:t>
      </w:r>
      <w:r>
        <w:rPr>
          <w:rFonts w:hint="eastAsia" w:ascii="宋体" w:hAnsi="宋体" w:eastAsia="宋体" w:cs="宋体"/>
          <w:bCs/>
          <w:color w:val="auto"/>
          <w:sz w:val="24"/>
        </w:rPr>
        <w:t>.2供应商对采购文件、采购过程或成交结果使自身的合法权益受到损害，应当在法定期限内，按照质疑函范本格式要求以书面形式向采购代理机构或采购人提出质疑，并附必要的证明材料。</w:t>
      </w:r>
    </w:p>
    <w:p>
      <w:pPr>
        <w:tabs>
          <w:tab w:val="left" w:pos="1155"/>
        </w:tabs>
        <w:spacing w:line="360" w:lineRule="auto"/>
        <w:ind w:firstLine="480" w:firstLineChars="200"/>
        <w:rPr>
          <w:rFonts w:hint="eastAsia" w:ascii="宋体" w:hAnsi="宋体" w:eastAsia="宋体" w:cs="宋体"/>
          <w:bCs/>
          <w:color w:val="auto"/>
          <w:sz w:val="24"/>
        </w:rPr>
      </w:pPr>
      <w:r>
        <w:rPr>
          <w:rFonts w:hint="eastAsia" w:ascii="宋体" w:hAnsi="宋体" w:cs="宋体"/>
          <w:bCs/>
          <w:color w:val="auto"/>
          <w:sz w:val="24"/>
          <w:lang w:val="en-US" w:eastAsia="zh-CN"/>
        </w:rPr>
        <w:t>39</w:t>
      </w:r>
      <w:r>
        <w:rPr>
          <w:rFonts w:hint="eastAsia" w:ascii="宋体" w:hAnsi="宋体" w:eastAsia="宋体" w:cs="宋体"/>
          <w:bCs/>
          <w:color w:val="auto"/>
          <w:sz w:val="24"/>
        </w:rPr>
        <w:t>.3质疑函应当包括下列内容：</w:t>
      </w:r>
    </w:p>
    <w:p>
      <w:pPr>
        <w:tabs>
          <w:tab w:val="left" w:pos="1155"/>
        </w:tabs>
        <w:spacing w:line="360" w:lineRule="auto"/>
        <w:ind w:firstLine="240" w:firstLineChars="100"/>
        <w:rPr>
          <w:rFonts w:hint="eastAsia" w:ascii="宋体" w:hAnsi="宋体" w:eastAsia="宋体" w:cs="宋体"/>
          <w:bCs/>
          <w:color w:val="auto"/>
          <w:sz w:val="24"/>
        </w:rPr>
      </w:pPr>
      <w:r>
        <w:rPr>
          <w:rFonts w:hint="eastAsia" w:ascii="宋体" w:hAnsi="宋体" w:eastAsia="宋体" w:cs="宋体"/>
          <w:bCs/>
          <w:color w:val="auto"/>
          <w:sz w:val="24"/>
        </w:rPr>
        <w:t>（1）供应商的姓名或者名称、地址、邮编、联系人及联系电话；</w:t>
      </w:r>
    </w:p>
    <w:p>
      <w:pPr>
        <w:tabs>
          <w:tab w:val="left" w:pos="1155"/>
        </w:tabs>
        <w:spacing w:line="360" w:lineRule="auto"/>
        <w:rPr>
          <w:rFonts w:hint="eastAsia" w:ascii="宋体" w:hAnsi="宋体" w:eastAsia="宋体" w:cs="宋体"/>
          <w:bCs/>
          <w:color w:val="auto"/>
          <w:sz w:val="24"/>
        </w:rPr>
      </w:pPr>
      <w:r>
        <w:rPr>
          <w:rFonts w:hint="eastAsia" w:ascii="宋体" w:hAnsi="宋体" w:eastAsia="宋体" w:cs="宋体"/>
          <w:bCs/>
          <w:color w:val="auto"/>
          <w:sz w:val="24"/>
        </w:rPr>
        <w:t>　（2）质疑项目的名称、编号；</w:t>
      </w:r>
    </w:p>
    <w:p>
      <w:pPr>
        <w:tabs>
          <w:tab w:val="left" w:pos="1155"/>
        </w:tabs>
        <w:spacing w:line="360" w:lineRule="auto"/>
        <w:ind w:firstLine="240" w:firstLineChars="100"/>
        <w:rPr>
          <w:rFonts w:hint="eastAsia" w:ascii="宋体" w:hAnsi="宋体" w:eastAsia="宋体" w:cs="宋体"/>
          <w:bCs/>
          <w:color w:val="auto"/>
          <w:sz w:val="24"/>
        </w:rPr>
      </w:pPr>
      <w:r>
        <w:rPr>
          <w:rFonts w:hint="eastAsia" w:ascii="宋体" w:hAnsi="宋体" w:eastAsia="宋体" w:cs="宋体"/>
          <w:bCs/>
          <w:color w:val="auto"/>
          <w:sz w:val="24"/>
        </w:rPr>
        <w:t>（3）具体、明确的质疑事项和与质疑事项相关的请求；</w:t>
      </w:r>
    </w:p>
    <w:p>
      <w:pPr>
        <w:tabs>
          <w:tab w:val="left" w:pos="1155"/>
        </w:tabs>
        <w:spacing w:line="360" w:lineRule="auto"/>
        <w:ind w:firstLine="240" w:firstLineChars="100"/>
        <w:rPr>
          <w:rFonts w:hint="eastAsia" w:ascii="宋体" w:hAnsi="宋体" w:eastAsia="宋体" w:cs="宋体"/>
          <w:bCs/>
          <w:color w:val="auto"/>
          <w:sz w:val="24"/>
        </w:rPr>
      </w:pPr>
      <w:r>
        <w:rPr>
          <w:rFonts w:hint="eastAsia" w:ascii="宋体" w:hAnsi="宋体" w:eastAsia="宋体" w:cs="宋体"/>
          <w:bCs/>
          <w:color w:val="auto"/>
          <w:sz w:val="24"/>
        </w:rPr>
        <w:t>（4）事实依据；</w:t>
      </w:r>
    </w:p>
    <w:p>
      <w:pPr>
        <w:tabs>
          <w:tab w:val="left" w:pos="1155"/>
        </w:tabs>
        <w:spacing w:line="360" w:lineRule="auto"/>
        <w:ind w:firstLine="240" w:firstLineChars="100"/>
        <w:rPr>
          <w:rFonts w:hint="eastAsia" w:ascii="宋体" w:hAnsi="宋体" w:eastAsia="宋体" w:cs="宋体"/>
          <w:bCs/>
          <w:color w:val="auto"/>
          <w:sz w:val="24"/>
        </w:rPr>
      </w:pPr>
      <w:r>
        <w:rPr>
          <w:rFonts w:hint="eastAsia" w:ascii="宋体" w:hAnsi="宋体" w:eastAsia="宋体" w:cs="宋体"/>
          <w:bCs/>
          <w:color w:val="auto"/>
          <w:sz w:val="24"/>
        </w:rPr>
        <w:t>（5）必要的法律依据；</w:t>
      </w:r>
    </w:p>
    <w:p>
      <w:pPr>
        <w:tabs>
          <w:tab w:val="left" w:pos="1155"/>
        </w:tabs>
        <w:spacing w:line="360" w:lineRule="auto"/>
        <w:ind w:firstLine="240" w:firstLineChars="100"/>
        <w:rPr>
          <w:rFonts w:hint="eastAsia" w:ascii="宋体" w:hAnsi="宋体" w:eastAsia="宋体" w:cs="宋体"/>
          <w:bCs/>
          <w:color w:val="auto"/>
          <w:sz w:val="24"/>
        </w:rPr>
      </w:pPr>
      <w:r>
        <w:rPr>
          <w:rFonts w:hint="eastAsia" w:ascii="宋体" w:hAnsi="宋体" w:eastAsia="宋体" w:cs="宋体"/>
          <w:bCs/>
          <w:color w:val="auto"/>
          <w:sz w:val="24"/>
        </w:rPr>
        <w:t>（6）提出质疑的日期。</w:t>
      </w:r>
    </w:p>
    <w:p>
      <w:pPr>
        <w:tabs>
          <w:tab w:val="left" w:pos="1155"/>
        </w:tabs>
        <w:spacing w:line="360" w:lineRule="auto"/>
        <w:ind w:firstLine="480" w:firstLineChars="200"/>
        <w:rPr>
          <w:rFonts w:hint="eastAsia" w:ascii="宋体" w:hAnsi="宋体" w:eastAsia="宋体" w:cs="宋体"/>
          <w:bCs/>
          <w:color w:val="auto"/>
          <w:sz w:val="24"/>
        </w:rPr>
      </w:pPr>
      <w:r>
        <w:rPr>
          <w:rFonts w:hint="eastAsia" w:ascii="宋体" w:hAnsi="宋体" w:cs="宋体"/>
          <w:bCs/>
          <w:color w:val="auto"/>
          <w:sz w:val="24"/>
          <w:lang w:val="en-US" w:eastAsia="zh-CN"/>
        </w:rPr>
        <w:t>39</w:t>
      </w:r>
      <w:r>
        <w:rPr>
          <w:rFonts w:hint="eastAsia" w:ascii="宋体" w:hAnsi="宋体" w:eastAsia="宋体" w:cs="宋体"/>
          <w:bCs/>
          <w:color w:val="auto"/>
          <w:sz w:val="24"/>
        </w:rPr>
        <w:t>.4供应商为法人的，应当由法定代表人或者其委托代理人签字或者盖章，并加盖单位章。</w:t>
      </w:r>
    </w:p>
    <w:p>
      <w:pPr>
        <w:tabs>
          <w:tab w:val="left" w:pos="1155"/>
        </w:tabs>
        <w:spacing w:line="360" w:lineRule="auto"/>
        <w:ind w:firstLine="480" w:firstLineChars="200"/>
        <w:rPr>
          <w:rFonts w:hint="eastAsia" w:ascii="宋体" w:hAnsi="宋体" w:eastAsia="宋体" w:cs="宋体"/>
          <w:bCs/>
          <w:color w:val="auto"/>
          <w:sz w:val="24"/>
        </w:rPr>
      </w:pPr>
      <w:r>
        <w:rPr>
          <w:rFonts w:hint="eastAsia" w:ascii="宋体" w:hAnsi="宋体" w:cs="宋体"/>
          <w:bCs/>
          <w:color w:val="auto"/>
          <w:sz w:val="24"/>
          <w:lang w:val="en-US" w:eastAsia="zh-CN"/>
        </w:rPr>
        <w:t>39</w:t>
      </w:r>
      <w:r>
        <w:rPr>
          <w:rFonts w:hint="eastAsia" w:ascii="宋体" w:hAnsi="宋体" w:eastAsia="宋体" w:cs="宋体"/>
          <w:bCs/>
          <w:color w:val="auto"/>
          <w:sz w:val="24"/>
        </w:rPr>
        <w:t>.5质疑人可以委托代理人办理质疑事项，代理人办理质疑事项时，除提交质疑函外，还应当提交质疑人的授权委托书及代理人的有效身份证明，授权委托书应当载明委托代理的具体权限期限和相关事项。</w:t>
      </w:r>
    </w:p>
    <w:p>
      <w:pPr>
        <w:tabs>
          <w:tab w:val="left" w:pos="1155"/>
        </w:tabs>
        <w:spacing w:line="360" w:lineRule="auto"/>
        <w:ind w:firstLine="480" w:firstLineChars="200"/>
        <w:rPr>
          <w:rFonts w:hint="eastAsia" w:ascii="宋体" w:hAnsi="宋体" w:eastAsia="宋体" w:cs="宋体"/>
          <w:bCs/>
          <w:color w:val="auto"/>
          <w:sz w:val="24"/>
        </w:rPr>
      </w:pPr>
      <w:r>
        <w:rPr>
          <w:rFonts w:hint="eastAsia" w:ascii="宋体" w:hAnsi="宋体" w:cs="宋体"/>
          <w:bCs/>
          <w:color w:val="auto"/>
          <w:sz w:val="24"/>
          <w:lang w:val="en-US" w:eastAsia="zh-CN"/>
        </w:rPr>
        <w:t>39</w:t>
      </w:r>
      <w:r>
        <w:rPr>
          <w:rFonts w:hint="eastAsia" w:ascii="宋体" w:hAnsi="宋体" w:eastAsia="宋体" w:cs="宋体"/>
          <w:bCs/>
          <w:color w:val="auto"/>
          <w:sz w:val="24"/>
        </w:rPr>
        <w:t>.6质疑函范本格式在中国政府采购网站（http://www.ccgp.gov.cn/）自行下载。</w:t>
      </w:r>
    </w:p>
    <w:p>
      <w:pPr>
        <w:tabs>
          <w:tab w:val="left" w:pos="1155"/>
        </w:tabs>
        <w:spacing w:line="360" w:lineRule="auto"/>
        <w:ind w:firstLine="480" w:firstLineChars="200"/>
        <w:rPr>
          <w:rFonts w:hint="eastAsia" w:ascii="宋体" w:hAnsi="宋体" w:eastAsia="宋体" w:cs="宋体"/>
          <w:bCs/>
          <w:color w:val="auto"/>
          <w:sz w:val="24"/>
        </w:rPr>
      </w:pPr>
      <w:r>
        <w:rPr>
          <w:rFonts w:hint="eastAsia" w:ascii="宋体" w:hAnsi="宋体" w:cs="宋体"/>
          <w:bCs/>
          <w:color w:val="auto"/>
          <w:sz w:val="24"/>
          <w:lang w:val="en-US" w:eastAsia="zh-CN"/>
        </w:rPr>
        <w:t>39</w:t>
      </w:r>
      <w:r>
        <w:rPr>
          <w:rFonts w:hint="eastAsia" w:ascii="宋体" w:hAnsi="宋体" w:eastAsia="宋体" w:cs="宋体"/>
          <w:bCs/>
          <w:color w:val="auto"/>
          <w:sz w:val="24"/>
        </w:rPr>
        <w:t>.7接收质疑函的联系部门、联系电话和通讯地址同磋商公告。</w:t>
      </w:r>
    </w:p>
    <w:p>
      <w:pPr>
        <w:tabs>
          <w:tab w:val="left" w:pos="1155"/>
        </w:tabs>
        <w:spacing w:line="360" w:lineRule="auto"/>
        <w:ind w:firstLine="480" w:firstLineChars="200"/>
        <w:rPr>
          <w:rFonts w:hint="eastAsia" w:ascii="宋体" w:hAnsi="宋体" w:eastAsia="宋体" w:cs="宋体"/>
          <w:bCs/>
          <w:color w:val="auto"/>
          <w:sz w:val="24"/>
        </w:rPr>
      </w:pPr>
      <w:r>
        <w:rPr>
          <w:rFonts w:hint="eastAsia" w:ascii="宋体" w:hAnsi="宋体" w:cs="宋体"/>
          <w:bCs/>
          <w:color w:val="auto"/>
          <w:sz w:val="24"/>
          <w:lang w:val="en-US" w:eastAsia="zh-CN"/>
        </w:rPr>
        <w:t>39</w:t>
      </w:r>
      <w:r>
        <w:rPr>
          <w:rFonts w:hint="eastAsia" w:ascii="宋体" w:hAnsi="宋体" w:eastAsia="宋体" w:cs="宋体"/>
          <w:bCs/>
          <w:color w:val="auto"/>
          <w:sz w:val="24"/>
        </w:rPr>
        <w:t>.8有下列情形之一的，属于无效质疑，采购代理机构和采购人不予受理：</w:t>
      </w:r>
    </w:p>
    <w:p>
      <w:pPr>
        <w:tabs>
          <w:tab w:val="left" w:pos="1155"/>
        </w:tabs>
        <w:spacing w:line="360" w:lineRule="auto"/>
        <w:ind w:firstLine="240" w:firstLineChars="100"/>
        <w:rPr>
          <w:rFonts w:hint="eastAsia" w:ascii="宋体" w:hAnsi="宋体" w:eastAsia="宋体" w:cs="宋体"/>
          <w:bCs/>
          <w:color w:val="auto"/>
          <w:sz w:val="24"/>
        </w:rPr>
      </w:pPr>
      <w:r>
        <w:rPr>
          <w:rFonts w:hint="eastAsia" w:ascii="宋体" w:hAnsi="宋体" w:eastAsia="宋体" w:cs="宋体"/>
          <w:bCs/>
          <w:color w:val="auto"/>
          <w:sz w:val="24"/>
        </w:rPr>
        <w:t>（1）质疑人不是参与本次政府采购项目的供应商；</w:t>
      </w:r>
    </w:p>
    <w:p>
      <w:pPr>
        <w:tabs>
          <w:tab w:val="left" w:pos="1155"/>
        </w:tabs>
        <w:spacing w:line="360" w:lineRule="auto"/>
        <w:ind w:firstLine="240" w:firstLineChars="100"/>
        <w:rPr>
          <w:rFonts w:hint="eastAsia" w:ascii="宋体" w:hAnsi="宋体" w:eastAsia="宋体" w:cs="宋体"/>
          <w:bCs/>
          <w:color w:val="auto"/>
          <w:sz w:val="24"/>
        </w:rPr>
      </w:pPr>
      <w:r>
        <w:rPr>
          <w:rFonts w:hint="eastAsia" w:ascii="宋体" w:hAnsi="宋体" w:eastAsia="宋体" w:cs="宋体"/>
          <w:bCs/>
          <w:color w:val="auto"/>
          <w:sz w:val="24"/>
        </w:rPr>
        <w:t>（2）质疑人与质疑事项不存在利害关系的；</w:t>
      </w:r>
    </w:p>
    <w:p>
      <w:pPr>
        <w:tabs>
          <w:tab w:val="left" w:pos="1155"/>
        </w:tabs>
        <w:spacing w:line="360" w:lineRule="auto"/>
        <w:ind w:firstLine="240" w:firstLineChars="100"/>
        <w:rPr>
          <w:rFonts w:hint="eastAsia" w:ascii="宋体" w:hAnsi="宋体" w:eastAsia="宋体" w:cs="宋体"/>
          <w:bCs/>
          <w:color w:val="auto"/>
          <w:sz w:val="24"/>
        </w:rPr>
      </w:pPr>
      <w:r>
        <w:rPr>
          <w:rFonts w:hint="eastAsia" w:ascii="宋体" w:hAnsi="宋体" w:eastAsia="宋体" w:cs="宋体"/>
          <w:bCs/>
          <w:color w:val="auto"/>
          <w:sz w:val="24"/>
        </w:rPr>
        <w:t>（3）未在法定期限内提出质疑的；</w:t>
      </w:r>
    </w:p>
    <w:p>
      <w:pPr>
        <w:tabs>
          <w:tab w:val="left" w:pos="1155"/>
        </w:tabs>
        <w:spacing w:line="360" w:lineRule="auto"/>
        <w:ind w:firstLine="240" w:firstLineChars="100"/>
        <w:rPr>
          <w:rFonts w:hint="eastAsia" w:ascii="宋体" w:hAnsi="宋体" w:eastAsia="宋体" w:cs="宋体"/>
          <w:bCs/>
          <w:color w:val="auto"/>
          <w:sz w:val="24"/>
        </w:rPr>
      </w:pPr>
      <w:r>
        <w:rPr>
          <w:rFonts w:hint="eastAsia" w:ascii="宋体" w:hAnsi="宋体" w:eastAsia="宋体" w:cs="宋体"/>
          <w:bCs/>
          <w:color w:val="auto"/>
          <w:sz w:val="24"/>
        </w:rPr>
        <w:t>（4）质疑未以书面形式提出，以传真、电子邮件、移动通信等形式即时收悉提交的质疑材料；</w:t>
      </w:r>
    </w:p>
    <w:p>
      <w:pPr>
        <w:tabs>
          <w:tab w:val="left" w:pos="1155"/>
        </w:tabs>
        <w:spacing w:line="360" w:lineRule="auto"/>
        <w:ind w:firstLine="240" w:firstLineChars="100"/>
        <w:rPr>
          <w:rFonts w:hint="eastAsia" w:ascii="宋体" w:hAnsi="宋体" w:eastAsia="宋体" w:cs="宋体"/>
          <w:bCs/>
          <w:color w:val="auto"/>
          <w:sz w:val="24"/>
        </w:rPr>
      </w:pPr>
      <w:r>
        <w:rPr>
          <w:rFonts w:hint="eastAsia" w:ascii="宋体" w:hAnsi="宋体" w:eastAsia="宋体" w:cs="宋体"/>
          <w:bCs/>
          <w:color w:val="auto"/>
          <w:sz w:val="24"/>
        </w:rPr>
        <w:t>（5）质疑未按质疑函范本格式提出的；</w:t>
      </w:r>
    </w:p>
    <w:p>
      <w:pPr>
        <w:tabs>
          <w:tab w:val="left" w:pos="1155"/>
        </w:tabs>
        <w:spacing w:line="360" w:lineRule="auto"/>
        <w:ind w:firstLine="240" w:firstLineChars="100"/>
        <w:rPr>
          <w:rFonts w:hint="eastAsia" w:ascii="宋体" w:hAnsi="宋体" w:eastAsia="宋体" w:cs="宋体"/>
          <w:bCs/>
          <w:color w:val="auto"/>
          <w:sz w:val="24"/>
        </w:rPr>
      </w:pPr>
      <w:r>
        <w:rPr>
          <w:rFonts w:hint="eastAsia" w:ascii="宋体" w:hAnsi="宋体" w:eastAsia="宋体" w:cs="宋体"/>
          <w:bCs/>
          <w:color w:val="auto"/>
          <w:sz w:val="24"/>
        </w:rPr>
        <w:t>（6）未提交营业执照或法人证书复印件，由授权代表签字的，未提交授权委托书；</w:t>
      </w:r>
    </w:p>
    <w:p>
      <w:pPr>
        <w:tabs>
          <w:tab w:val="left" w:pos="1155"/>
        </w:tabs>
        <w:spacing w:line="360" w:lineRule="auto"/>
        <w:ind w:firstLine="240" w:firstLineChars="100"/>
        <w:rPr>
          <w:rFonts w:hint="eastAsia" w:ascii="宋体" w:hAnsi="宋体" w:eastAsia="宋体" w:cs="宋体"/>
          <w:bCs/>
          <w:color w:val="auto"/>
          <w:sz w:val="24"/>
        </w:rPr>
      </w:pPr>
      <w:r>
        <w:rPr>
          <w:rFonts w:hint="eastAsia" w:ascii="宋体" w:hAnsi="宋体" w:eastAsia="宋体" w:cs="宋体"/>
          <w:bCs/>
          <w:color w:val="auto"/>
          <w:sz w:val="24"/>
        </w:rPr>
        <w:t>（7）质疑书没有合法有效的签字、盖章的；</w:t>
      </w:r>
    </w:p>
    <w:p>
      <w:pPr>
        <w:tabs>
          <w:tab w:val="left" w:pos="1155"/>
        </w:tabs>
        <w:spacing w:line="360" w:lineRule="auto"/>
        <w:ind w:firstLine="240" w:firstLineChars="100"/>
        <w:rPr>
          <w:rFonts w:hint="eastAsia" w:ascii="宋体" w:hAnsi="宋体" w:eastAsia="宋体" w:cs="宋体"/>
          <w:bCs/>
          <w:color w:val="auto"/>
          <w:sz w:val="24"/>
        </w:rPr>
      </w:pPr>
      <w:r>
        <w:rPr>
          <w:rFonts w:hint="eastAsia" w:ascii="宋体" w:hAnsi="宋体" w:eastAsia="宋体" w:cs="宋体"/>
          <w:bCs/>
          <w:color w:val="auto"/>
          <w:sz w:val="24"/>
        </w:rPr>
        <w:t>（8）以非法手段取得证据、材料的；</w:t>
      </w:r>
    </w:p>
    <w:p>
      <w:pPr>
        <w:tabs>
          <w:tab w:val="left" w:pos="1155"/>
        </w:tabs>
        <w:spacing w:line="360" w:lineRule="auto"/>
        <w:ind w:firstLine="240" w:firstLineChars="100"/>
        <w:rPr>
          <w:rFonts w:hint="eastAsia" w:ascii="宋体" w:hAnsi="宋体" w:eastAsia="宋体" w:cs="宋体"/>
          <w:bCs/>
          <w:color w:val="auto"/>
          <w:sz w:val="24"/>
        </w:rPr>
      </w:pPr>
      <w:r>
        <w:rPr>
          <w:rFonts w:hint="eastAsia" w:ascii="宋体" w:hAnsi="宋体" w:eastAsia="宋体" w:cs="宋体"/>
          <w:bCs/>
          <w:color w:val="auto"/>
          <w:sz w:val="24"/>
        </w:rPr>
        <w:t>（9）质疑答复后，同一质疑人就同一事项再次提出质疑的；</w:t>
      </w:r>
    </w:p>
    <w:p>
      <w:pPr>
        <w:tabs>
          <w:tab w:val="left" w:pos="1155"/>
        </w:tabs>
        <w:spacing w:line="360" w:lineRule="auto"/>
        <w:ind w:firstLine="240" w:firstLineChars="100"/>
        <w:rPr>
          <w:rFonts w:hint="eastAsia" w:ascii="宋体" w:hAnsi="宋体" w:eastAsia="宋体" w:cs="宋体"/>
          <w:bCs/>
          <w:color w:val="auto"/>
          <w:sz w:val="24"/>
        </w:rPr>
      </w:pPr>
      <w:r>
        <w:rPr>
          <w:rFonts w:hint="eastAsia" w:ascii="宋体" w:hAnsi="宋体" w:eastAsia="宋体" w:cs="宋体"/>
          <w:bCs/>
          <w:color w:val="auto"/>
          <w:sz w:val="24"/>
        </w:rPr>
        <w:t>（10）不符合法律、法规、规章和政府采购监管机构规定的其他条件的。</w:t>
      </w:r>
    </w:p>
    <w:p>
      <w:pPr>
        <w:tabs>
          <w:tab w:val="left" w:pos="1155"/>
        </w:tabs>
        <w:spacing w:line="360" w:lineRule="auto"/>
        <w:ind w:firstLine="480" w:firstLineChars="200"/>
        <w:rPr>
          <w:rFonts w:hint="eastAsia" w:ascii="宋体" w:hAnsi="宋体" w:eastAsia="宋体" w:cs="宋体"/>
          <w:bCs/>
          <w:color w:val="auto"/>
          <w:sz w:val="24"/>
        </w:rPr>
      </w:pPr>
      <w:r>
        <w:rPr>
          <w:rFonts w:hint="eastAsia" w:ascii="宋体" w:hAnsi="宋体" w:cs="宋体"/>
          <w:bCs/>
          <w:color w:val="auto"/>
          <w:sz w:val="24"/>
          <w:lang w:val="en-US" w:eastAsia="zh-CN"/>
        </w:rPr>
        <w:t>39</w:t>
      </w:r>
      <w:r>
        <w:rPr>
          <w:rFonts w:hint="eastAsia" w:ascii="宋体" w:hAnsi="宋体" w:eastAsia="宋体" w:cs="宋体"/>
          <w:bCs/>
          <w:color w:val="auto"/>
          <w:sz w:val="24"/>
        </w:rPr>
        <w:t>.9采购代理机构或采购人将在收到书面质疑后7个工作日内做出答复，并以书面形式通知质疑人和其他有关供应商。</w:t>
      </w:r>
    </w:p>
    <w:p>
      <w:pPr>
        <w:tabs>
          <w:tab w:val="left" w:pos="1155"/>
        </w:tabs>
        <w:spacing w:line="360" w:lineRule="auto"/>
        <w:ind w:firstLine="482" w:firstLineChars="200"/>
        <w:rPr>
          <w:rFonts w:hint="eastAsia" w:ascii="宋体" w:hAnsi="宋体" w:eastAsia="宋体" w:cs="宋体"/>
          <w:b/>
          <w:color w:val="auto"/>
          <w:sz w:val="24"/>
        </w:rPr>
      </w:pPr>
      <w:r>
        <w:rPr>
          <w:rFonts w:hint="eastAsia" w:ascii="宋体" w:hAnsi="宋体" w:cs="宋体"/>
          <w:b/>
          <w:color w:val="auto"/>
          <w:sz w:val="24"/>
          <w:lang w:val="en-US" w:eastAsia="zh-CN"/>
        </w:rPr>
        <w:t>40</w:t>
      </w:r>
      <w:r>
        <w:rPr>
          <w:rFonts w:hint="eastAsia" w:ascii="宋体" w:hAnsi="宋体" w:eastAsia="宋体" w:cs="宋体"/>
          <w:b/>
          <w:color w:val="auto"/>
          <w:sz w:val="24"/>
        </w:rPr>
        <w:t>、投诉提出</w:t>
      </w:r>
    </w:p>
    <w:p>
      <w:pPr>
        <w:tabs>
          <w:tab w:val="left" w:pos="1155"/>
        </w:tabs>
        <w:spacing w:line="360" w:lineRule="auto"/>
        <w:ind w:firstLine="480" w:firstLineChars="200"/>
        <w:rPr>
          <w:rFonts w:hint="eastAsia" w:ascii="宋体" w:hAnsi="宋体" w:eastAsia="宋体" w:cs="宋体"/>
          <w:bCs/>
          <w:color w:val="auto"/>
          <w:sz w:val="24"/>
        </w:rPr>
      </w:pPr>
      <w:r>
        <w:rPr>
          <w:rFonts w:hint="eastAsia" w:ascii="宋体" w:hAnsi="宋体" w:cs="宋体"/>
          <w:bCs/>
          <w:color w:val="auto"/>
          <w:sz w:val="24"/>
          <w:lang w:val="en-US" w:eastAsia="zh-CN"/>
        </w:rPr>
        <w:t>40</w:t>
      </w:r>
      <w:r>
        <w:rPr>
          <w:rFonts w:hint="eastAsia" w:ascii="宋体" w:hAnsi="宋体" w:eastAsia="宋体" w:cs="宋体"/>
          <w:bCs/>
          <w:color w:val="auto"/>
          <w:sz w:val="24"/>
        </w:rPr>
        <w:t>.1质疑人对采购代理机构或采购人的答复不满意，或者采购人、采购代理机构未在规定时间内作出答复的，可以在答复期满后15个工作日内向</w:t>
      </w:r>
      <w:r>
        <w:rPr>
          <w:rFonts w:hint="eastAsia" w:ascii="宋体" w:hAnsi="宋体" w:eastAsia="宋体" w:cs="宋体"/>
          <w:bCs/>
          <w:color w:val="auto"/>
          <w:sz w:val="24"/>
          <w:lang w:eastAsia="zh-CN"/>
        </w:rPr>
        <w:t>同级</w:t>
      </w:r>
      <w:r>
        <w:rPr>
          <w:rFonts w:hint="eastAsia" w:ascii="宋体" w:hAnsi="宋体" w:eastAsia="宋体" w:cs="宋体"/>
          <w:bCs/>
          <w:color w:val="auto"/>
          <w:sz w:val="24"/>
        </w:rPr>
        <w:t>财政部门提起投诉。</w:t>
      </w:r>
    </w:p>
    <w:p>
      <w:pPr>
        <w:tabs>
          <w:tab w:val="left" w:pos="1155"/>
        </w:tabs>
        <w:spacing w:line="360" w:lineRule="auto"/>
        <w:ind w:firstLine="480" w:firstLineChars="200"/>
        <w:rPr>
          <w:rFonts w:hint="eastAsia" w:ascii="宋体" w:hAnsi="宋体" w:eastAsia="宋体" w:cs="宋体"/>
          <w:bCs/>
          <w:color w:val="auto"/>
          <w:sz w:val="24"/>
        </w:rPr>
      </w:pPr>
      <w:r>
        <w:rPr>
          <w:rFonts w:hint="eastAsia" w:ascii="宋体" w:hAnsi="宋体" w:cs="宋体"/>
          <w:bCs/>
          <w:color w:val="auto"/>
          <w:sz w:val="24"/>
          <w:lang w:val="en-US" w:eastAsia="zh-CN"/>
        </w:rPr>
        <w:t>40</w:t>
      </w:r>
      <w:r>
        <w:rPr>
          <w:rFonts w:hint="eastAsia" w:ascii="宋体" w:hAnsi="宋体" w:eastAsia="宋体" w:cs="宋体"/>
          <w:bCs/>
          <w:color w:val="auto"/>
          <w:sz w:val="24"/>
        </w:rPr>
        <w:t>.2供应商投诉时,应当提交投诉书和必要的证明材料，并按照被投诉采购人、采购代理机构（以下简称被投诉人）和与投诉事项有关的供应商数量提供投诉书的副本。投诉书应当包括下列内容：</w:t>
      </w:r>
    </w:p>
    <w:p>
      <w:pPr>
        <w:tabs>
          <w:tab w:val="left" w:pos="1155"/>
        </w:tabs>
        <w:spacing w:line="360" w:lineRule="auto"/>
        <w:rPr>
          <w:rFonts w:hint="eastAsia" w:ascii="宋体" w:hAnsi="宋体" w:eastAsia="宋体" w:cs="宋体"/>
          <w:bCs/>
          <w:color w:val="auto"/>
          <w:sz w:val="24"/>
        </w:rPr>
      </w:pPr>
      <w:r>
        <w:rPr>
          <w:rFonts w:hint="eastAsia" w:ascii="宋体" w:hAnsi="宋体" w:eastAsia="宋体" w:cs="宋体"/>
          <w:bCs/>
          <w:color w:val="auto"/>
          <w:sz w:val="24"/>
        </w:rPr>
        <w:t>　　（1）投诉人和被投诉人的姓名或者名称、通讯地址、邮编、联系人及联系电话；</w:t>
      </w:r>
    </w:p>
    <w:p>
      <w:pPr>
        <w:tabs>
          <w:tab w:val="left" w:pos="1155"/>
        </w:tabs>
        <w:spacing w:line="360" w:lineRule="auto"/>
        <w:rPr>
          <w:rFonts w:hint="eastAsia" w:ascii="宋体" w:hAnsi="宋体" w:eastAsia="宋体" w:cs="宋体"/>
          <w:bCs/>
          <w:color w:val="auto"/>
          <w:sz w:val="24"/>
        </w:rPr>
      </w:pPr>
      <w:r>
        <w:rPr>
          <w:rFonts w:hint="eastAsia" w:ascii="宋体" w:hAnsi="宋体" w:eastAsia="宋体" w:cs="宋体"/>
          <w:bCs/>
          <w:color w:val="auto"/>
          <w:sz w:val="24"/>
        </w:rPr>
        <w:t>　　（2）质疑和质疑答复情况说明及相关证明材料；</w:t>
      </w:r>
    </w:p>
    <w:p>
      <w:pPr>
        <w:tabs>
          <w:tab w:val="left" w:pos="1155"/>
        </w:tabs>
        <w:spacing w:line="360" w:lineRule="auto"/>
        <w:rPr>
          <w:rFonts w:hint="eastAsia" w:ascii="宋体" w:hAnsi="宋体" w:eastAsia="宋体" w:cs="宋体"/>
          <w:bCs/>
          <w:color w:val="auto"/>
          <w:sz w:val="24"/>
        </w:rPr>
      </w:pPr>
      <w:r>
        <w:rPr>
          <w:rFonts w:hint="eastAsia" w:ascii="宋体" w:hAnsi="宋体" w:eastAsia="宋体" w:cs="宋体"/>
          <w:bCs/>
          <w:color w:val="auto"/>
          <w:sz w:val="24"/>
        </w:rPr>
        <w:t>　　（3）具体、明确的投诉事项和与投诉事项相关的投诉请求；</w:t>
      </w:r>
    </w:p>
    <w:p>
      <w:pPr>
        <w:tabs>
          <w:tab w:val="left" w:pos="1155"/>
        </w:tabs>
        <w:spacing w:line="360" w:lineRule="auto"/>
        <w:rPr>
          <w:rFonts w:hint="eastAsia" w:ascii="宋体" w:hAnsi="宋体" w:eastAsia="宋体" w:cs="宋体"/>
          <w:bCs/>
          <w:color w:val="auto"/>
          <w:sz w:val="24"/>
        </w:rPr>
      </w:pPr>
      <w:r>
        <w:rPr>
          <w:rFonts w:hint="eastAsia" w:ascii="宋体" w:hAnsi="宋体" w:eastAsia="宋体" w:cs="宋体"/>
          <w:bCs/>
          <w:color w:val="auto"/>
          <w:sz w:val="24"/>
        </w:rPr>
        <w:t>　　（4）事实依据；</w:t>
      </w:r>
    </w:p>
    <w:p>
      <w:pPr>
        <w:tabs>
          <w:tab w:val="left" w:pos="1155"/>
        </w:tabs>
        <w:spacing w:line="360" w:lineRule="auto"/>
        <w:rPr>
          <w:rFonts w:hint="eastAsia" w:ascii="宋体" w:hAnsi="宋体" w:eastAsia="宋体" w:cs="宋体"/>
          <w:bCs/>
          <w:color w:val="auto"/>
          <w:sz w:val="24"/>
        </w:rPr>
      </w:pPr>
      <w:r>
        <w:rPr>
          <w:rFonts w:hint="eastAsia" w:ascii="宋体" w:hAnsi="宋体" w:eastAsia="宋体" w:cs="宋体"/>
          <w:bCs/>
          <w:color w:val="auto"/>
          <w:sz w:val="24"/>
        </w:rPr>
        <w:t>　　（5）法律依据；</w:t>
      </w:r>
    </w:p>
    <w:p>
      <w:pPr>
        <w:tabs>
          <w:tab w:val="left" w:pos="1155"/>
        </w:tabs>
        <w:spacing w:line="360" w:lineRule="auto"/>
        <w:rPr>
          <w:rFonts w:hint="eastAsia" w:ascii="宋体" w:hAnsi="宋体" w:eastAsia="宋体" w:cs="宋体"/>
          <w:bCs/>
          <w:color w:val="auto"/>
          <w:sz w:val="24"/>
        </w:rPr>
      </w:pPr>
      <w:r>
        <w:rPr>
          <w:rFonts w:hint="eastAsia" w:ascii="宋体" w:hAnsi="宋体" w:eastAsia="宋体" w:cs="宋体"/>
          <w:bCs/>
          <w:color w:val="auto"/>
          <w:sz w:val="24"/>
        </w:rPr>
        <w:t>　　（6）提起投诉的日期。</w:t>
      </w:r>
    </w:p>
    <w:p>
      <w:pPr>
        <w:tabs>
          <w:tab w:val="left" w:pos="1155"/>
        </w:tabs>
        <w:spacing w:line="360" w:lineRule="auto"/>
        <w:ind w:firstLine="480" w:firstLineChars="200"/>
        <w:rPr>
          <w:rFonts w:hint="eastAsia" w:ascii="宋体" w:hAnsi="宋体" w:eastAsia="宋体" w:cs="宋体"/>
          <w:bCs/>
          <w:color w:val="auto"/>
          <w:sz w:val="24"/>
        </w:rPr>
      </w:pPr>
      <w:r>
        <w:rPr>
          <w:rFonts w:hint="eastAsia" w:ascii="宋体" w:hAnsi="宋体" w:eastAsia="宋体" w:cs="宋体"/>
          <w:bCs/>
          <w:color w:val="auto"/>
          <w:sz w:val="24"/>
        </w:rPr>
        <w:t>投诉人为自然人的，应当由本人签字；投诉人为法人或者其他组织的，应当由法定代表人、主要负责人，或者其委托代理人签字或者盖章，并加盖单位章。</w:t>
      </w:r>
    </w:p>
    <w:p>
      <w:pPr>
        <w:tabs>
          <w:tab w:val="left" w:pos="1155"/>
        </w:tabs>
        <w:spacing w:line="360" w:lineRule="auto"/>
        <w:ind w:firstLine="480" w:firstLineChars="200"/>
        <w:rPr>
          <w:rFonts w:hint="eastAsia" w:ascii="宋体" w:hAnsi="宋体" w:eastAsia="宋体" w:cs="宋体"/>
          <w:bCs/>
          <w:color w:val="auto"/>
          <w:sz w:val="24"/>
        </w:rPr>
      </w:pPr>
      <w:r>
        <w:rPr>
          <w:rFonts w:hint="eastAsia" w:ascii="宋体" w:hAnsi="宋体" w:cs="宋体"/>
          <w:bCs/>
          <w:color w:val="auto"/>
          <w:sz w:val="24"/>
          <w:lang w:val="en-US" w:eastAsia="zh-CN"/>
        </w:rPr>
        <w:t>40</w:t>
      </w:r>
      <w:r>
        <w:rPr>
          <w:rFonts w:hint="eastAsia" w:ascii="宋体" w:hAnsi="宋体" w:eastAsia="宋体" w:cs="宋体"/>
          <w:bCs/>
          <w:color w:val="auto"/>
          <w:sz w:val="24"/>
        </w:rPr>
        <w:t>.3投诉书范本格式在中国政府采购网站（http://www.ccgp.gov.cn/）自行下载。</w:t>
      </w:r>
    </w:p>
    <w:p>
      <w:pPr>
        <w:tabs>
          <w:tab w:val="left" w:pos="1155"/>
        </w:tabs>
        <w:spacing w:line="360" w:lineRule="auto"/>
        <w:ind w:firstLine="480" w:firstLineChars="200"/>
        <w:rPr>
          <w:rFonts w:hint="eastAsia" w:ascii="宋体" w:hAnsi="宋体" w:eastAsia="宋体" w:cs="宋体"/>
          <w:bCs/>
          <w:color w:val="auto"/>
          <w:sz w:val="24"/>
        </w:rPr>
      </w:pPr>
      <w:r>
        <w:rPr>
          <w:rFonts w:hint="eastAsia" w:ascii="宋体" w:hAnsi="宋体" w:cs="宋体"/>
          <w:bCs/>
          <w:color w:val="auto"/>
          <w:sz w:val="24"/>
          <w:lang w:val="en-US" w:eastAsia="zh-CN"/>
        </w:rPr>
        <w:t>40</w:t>
      </w:r>
      <w:r>
        <w:rPr>
          <w:rFonts w:hint="eastAsia" w:ascii="宋体" w:hAnsi="宋体" w:eastAsia="宋体" w:cs="宋体"/>
          <w:bCs/>
          <w:color w:val="auto"/>
          <w:sz w:val="24"/>
        </w:rPr>
        <w:t>.4投诉人提起投诉应当符合下列条件：</w:t>
      </w:r>
    </w:p>
    <w:p>
      <w:pPr>
        <w:tabs>
          <w:tab w:val="left" w:pos="1155"/>
        </w:tabs>
        <w:spacing w:line="360" w:lineRule="auto"/>
        <w:rPr>
          <w:rFonts w:hint="eastAsia" w:ascii="宋体" w:hAnsi="宋体" w:eastAsia="宋体" w:cs="宋体"/>
          <w:bCs/>
          <w:color w:val="auto"/>
          <w:sz w:val="24"/>
        </w:rPr>
      </w:pPr>
      <w:r>
        <w:rPr>
          <w:rFonts w:hint="eastAsia" w:ascii="宋体" w:hAnsi="宋体" w:eastAsia="宋体" w:cs="宋体"/>
          <w:bCs/>
          <w:color w:val="auto"/>
          <w:sz w:val="24"/>
        </w:rPr>
        <w:t>　　（1）提起投诉前已依法进行质疑；</w:t>
      </w:r>
    </w:p>
    <w:p>
      <w:pPr>
        <w:tabs>
          <w:tab w:val="left" w:pos="1155"/>
        </w:tabs>
        <w:spacing w:line="360" w:lineRule="auto"/>
        <w:rPr>
          <w:rFonts w:hint="eastAsia" w:ascii="宋体" w:hAnsi="宋体" w:eastAsia="宋体" w:cs="宋体"/>
          <w:bCs/>
          <w:color w:val="auto"/>
          <w:sz w:val="24"/>
        </w:rPr>
      </w:pPr>
      <w:r>
        <w:rPr>
          <w:rFonts w:hint="eastAsia" w:ascii="宋体" w:hAnsi="宋体" w:eastAsia="宋体" w:cs="宋体"/>
          <w:bCs/>
          <w:color w:val="auto"/>
          <w:sz w:val="24"/>
        </w:rPr>
        <w:t>　　（2）投诉书内容符合财政部94号令的规定；</w:t>
      </w:r>
    </w:p>
    <w:p>
      <w:pPr>
        <w:tabs>
          <w:tab w:val="left" w:pos="1155"/>
        </w:tabs>
        <w:spacing w:line="360" w:lineRule="auto"/>
        <w:rPr>
          <w:rFonts w:hint="eastAsia" w:ascii="宋体" w:hAnsi="宋体" w:eastAsia="宋体" w:cs="宋体"/>
          <w:bCs/>
          <w:color w:val="auto"/>
          <w:sz w:val="24"/>
        </w:rPr>
      </w:pPr>
      <w:r>
        <w:rPr>
          <w:rFonts w:hint="eastAsia" w:ascii="宋体" w:hAnsi="宋体" w:eastAsia="宋体" w:cs="宋体"/>
          <w:bCs/>
          <w:color w:val="auto"/>
          <w:sz w:val="24"/>
        </w:rPr>
        <w:t>　　（3）在投诉有效期限内提起投诉；</w:t>
      </w:r>
    </w:p>
    <w:p>
      <w:pPr>
        <w:tabs>
          <w:tab w:val="left" w:pos="1155"/>
        </w:tabs>
        <w:spacing w:line="360" w:lineRule="auto"/>
        <w:rPr>
          <w:rFonts w:hint="eastAsia" w:ascii="宋体" w:hAnsi="宋体" w:eastAsia="宋体" w:cs="宋体"/>
          <w:bCs/>
          <w:color w:val="auto"/>
          <w:sz w:val="24"/>
        </w:rPr>
      </w:pPr>
      <w:r>
        <w:rPr>
          <w:rFonts w:hint="eastAsia" w:ascii="宋体" w:hAnsi="宋体" w:eastAsia="宋体" w:cs="宋体"/>
          <w:bCs/>
          <w:color w:val="auto"/>
          <w:sz w:val="24"/>
        </w:rPr>
        <w:t>　　（4）同一投诉事项未经财政部门投诉处理；</w:t>
      </w:r>
    </w:p>
    <w:p>
      <w:pPr>
        <w:tabs>
          <w:tab w:val="left" w:pos="1155"/>
        </w:tabs>
        <w:spacing w:line="360" w:lineRule="auto"/>
        <w:rPr>
          <w:rFonts w:hint="eastAsia" w:ascii="宋体" w:hAnsi="宋体" w:eastAsia="宋体" w:cs="宋体"/>
          <w:bCs/>
          <w:color w:val="auto"/>
          <w:sz w:val="24"/>
        </w:rPr>
      </w:pPr>
      <w:r>
        <w:rPr>
          <w:rFonts w:hint="eastAsia" w:ascii="宋体" w:hAnsi="宋体" w:eastAsia="宋体" w:cs="宋体"/>
          <w:bCs/>
          <w:color w:val="auto"/>
          <w:sz w:val="24"/>
        </w:rPr>
        <w:t>　　（5）财政部规定的其他条件。</w:t>
      </w:r>
    </w:p>
    <w:p>
      <w:pPr>
        <w:tabs>
          <w:tab w:val="left" w:pos="1155"/>
        </w:tabs>
        <w:spacing w:line="360" w:lineRule="auto"/>
        <w:ind w:firstLine="480" w:firstLineChars="200"/>
        <w:rPr>
          <w:rFonts w:hint="eastAsia" w:ascii="宋体" w:hAnsi="宋体" w:eastAsia="宋体" w:cs="宋体"/>
          <w:bCs/>
          <w:color w:val="auto"/>
          <w:sz w:val="24"/>
        </w:rPr>
      </w:pPr>
      <w:r>
        <w:rPr>
          <w:rFonts w:hint="eastAsia" w:ascii="宋体" w:hAnsi="宋体" w:cs="宋体"/>
          <w:bCs/>
          <w:color w:val="auto"/>
          <w:sz w:val="24"/>
          <w:lang w:val="en-US" w:eastAsia="zh-CN"/>
        </w:rPr>
        <w:t>40</w:t>
      </w:r>
      <w:r>
        <w:rPr>
          <w:rFonts w:hint="eastAsia" w:ascii="宋体" w:hAnsi="宋体" w:eastAsia="宋体" w:cs="宋体"/>
          <w:bCs/>
          <w:color w:val="auto"/>
          <w:sz w:val="24"/>
        </w:rPr>
        <w:t>.5投诉人投诉的事项不得超出已质疑事项的范围，但基于质疑答复内容提出的投诉事项除外。</w:t>
      </w:r>
    </w:p>
    <w:p>
      <w:pPr>
        <w:tabs>
          <w:tab w:val="left" w:pos="1155"/>
        </w:tabs>
        <w:spacing w:line="360" w:lineRule="auto"/>
        <w:rPr>
          <w:rFonts w:hint="eastAsia" w:ascii="宋体" w:hAnsi="宋体" w:eastAsia="宋体" w:cs="宋体"/>
          <w:b/>
          <w:color w:val="auto"/>
          <w:sz w:val="24"/>
        </w:rPr>
      </w:pPr>
      <w:r>
        <w:rPr>
          <w:rFonts w:hint="eastAsia" w:ascii="宋体" w:hAnsi="宋体" w:cs="宋体"/>
          <w:b/>
          <w:color w:val="auto"/>
          <w:sz w:val="24"/>
          <w:lang w:val="en-US" w:eastAsia="zh-CN"/>
        </w:rPr>
        <w:t>41</w:t>
      </w:r>
      <w:r>
        <w:rPr>
          <w:rFonts w:hint="eastAsia" w:ascii="宋体" w:hAnsi="宋体" w:eastAsia="宋体" w:cs="宋体"/>
          <w:b/>
          <w:color w:val="auto"/>
          <w:sz w:val="24"/>
        </w:rPr>
        <w:t>、法律责任</w:t>
      </w:r>
    </w:p>
    <w:p>
      <w:pPr>
        <w:tabs>
          <w:tab w:val="left" w:pos="1155"/>
        </w:tabs>
        <w:spacing w:line="360" w:lineRule="auto"/>
        <w:ind w:firstLine="481"/>
        <w:rPr>
          <w:rFonts w:hint="eastAsia" w:ascii="宋体" w:hAnsi="宋体" w:eastAsia="宋体" w:cs="宋体"/>
          <w:bCs/>
          <w:color w:val="auto"/>
          <w:sz w:val="24"/>
        </w:rPr>
      </w:pPr>
      <w:r>
        <w:rPr>
          <w:rFonts w:hint="eastAsia" w:ascii="宋体" w:hAnsi="宋体" w:eastAsia="宋体" w:cs="宋体"/>
          <w:bCs/>
          <w:color w:val="auto"/>
          <w:sz w:val="24"/>
        </w:rPr>
        <w:t>投诉人有下列行为之一的，属于虚假、恶意投诉，由财政部门列入不良行为记录名单，禁止其1至3年内参加政府采购活动：捏造事实；提供虚假材料；以非法手段取得证明材料或者无法提供证据的合法来源；法律法规规定的其他违法情形。</w:t>
      </w:r>
    </w:p>
    <w:p>
      <w:pPr>
        <w:tabs>
          <w:tab w:val="left" w:pos="1155"/>
        </w:tabs>
        <w:spacing w:line="360" w:lineRule="auto"/>
        <w:rPr>
          <w:rFonts w:hint="eastAsia" w:ascii="宋体" w:hAnsi="宋体" w:eastAsia="宋体" w:cs="宋体"/>
          <w:b/>
          <w:color w:val="auto"/>
          <w:sz w:val="24"/>
        </w:rPr>
      </w:pPr>
      <w:r>
        <w:rPr>
          <w:rFonts w:hint="eastAsia" w:ascii="宋体" w:hAnsi="宋体" w:cs="宋体"/>
          <w:b/>
          <w:color w:val="auto"/>
          <w:sz w:val="24"/>
          <w:lang w:val="en-US" w:eastAsia="zh-CN"/>
        </w:rPr>
        <w:t>42</w:t>
      </w:r>
      <w:r>
        <w:rPr>
          <w:rFonts w:hint="eastAsia" w:ascii="宋体" w:hAnsi="宋体" w:eastAsia="宋体" w:cs="宋体"/>
          <w:b/>
          <w:color w:val="auto"/>
          <w:sz w:val="24"/>
        </w:rPr>
        <w:t>、其他说明</w:t>
      </w:r>
    </w:p>
    <w:p>
      <w:pPr>
        <w:tabs>
          <w:tab w:val="left" w:pos="1155"/>
        </w:tabs>
        <w:spacing w:line="360" w:lineRule="auto"/>
        <w:ind w:firstLine="480"/>
        <w:rPr>
          <w:rFonts w:hint="eastAsia" w:ascii="宋体" w:hAnsi="宋体" w:eastAsia="宋体" w:cs="宋体"/>
          <w:bCs/>
          <w:color w:val="auto"/>
          <w:sz w:val="24"/>
        </w:rPr>
      </w:pPr>
      <w:r>
        <w:rPr>
          <w:rFonts w:hint="eastAsia" w:ascii="宋体" w:hAnsi="宋体" w:cs="宋体"/>
          <w:bCs/>
          <w:color w:val="auto"/>
          <w:sz w:val="24"/>
          <w:lang w:val="en-US" w:eastAsia="zh-CN"/>
        </w:rPr>
        <w:t>42</w:t>
      </w:r>
      <w:r>
        <w:rPr>
          <w:rFonts w:hint="eastAsia" w:ascii="宋体" w:hAnsi="宋体" w:eastAsia="宋体" w:cs="宋体"/>
          <w:bCs/>
          <w:color w:val="auto"/>
          <w:sz w:val="24"/>
        </w:rPr>
        <w:t>.1、财政部门处理投诉不得向投诉人和被投诉人收取任何费用。但因处理投诉发生的第三方检验、检测、鉴定等费用，由提出申请的供应商先行垫付。在投诉处理决定明确双方责任后，按照“谁过错谁负担”的原则由承担责任的一方负担；双方都有责任的，各负担百分之五十。</w:t>
      </w:r>
    </w:p>
    <w:p>
      <w:pPr>
        <w:tabs>
          <w:tab w:val="left" w:pos="1155"/>
        </w:tabs>
        <w:spacing w:line="360" w:lineRule="auto"/>
        <w:ind w:firstLine="481"/>
        <w:rPr>
          <w:rFonts w:hint="eastAsia" w:ascii="宋体" w:hAnsi="宋体" w:eastAsia="宋体" w:cs="宋体"/>
          <w:bCs/>
          <w:color w:val="auto"/>
          <w:sz w:val="24"/>
        </w:rPr>
      </w:pPr>
      <w:r>
        <w:rPr>
          <w:rFonts w:hint="eastAsia" w:ascii="宋体" w:hAnsi="宋体" w:cs="宋体"/>
          <w:bCs/>
          <w:color w:val="auto"/>
          <w:sz w:val="24"/>
          <w:lang w:val="en-US" w:eastAsia="zh-CN"/>
        </w:rPr>
        <w:t>42</w:t>
      </w:r>
      <w:r>
        <w:rPr>
          <w:rFonts w:hint="eastAsia" w:ascii="宋体" w:hAnsi="宋体" w:eastAsia="宋体" w:cs="宋体"/>
          <w:bCs/>
          <w:color w:val="auto"/>
          <w:sz w:val="24"/>
        </w:rPr>
        <w:t>.2本办法规定的期间以时、日、月、年计算。期间开始的时和日，不计算在期间内。期间届满的最后一日是节假日的，以节假日后的第一日为期间届满的日期。期间不包括在途时间，质疑与投诉文书在期满前交邮的，不算超期。</w:t>
      </w:r>
    </w:p>
    <w:p>
      <w:pPr>
        <w:tabs>
          <w:tab w:val="left" w:pos="1155"/>
        </w:tabs>
        <w:spacing w:line="360" w:lineRule="auto"/>
        <w:ind w:firstLine="481"/>
        <w:rPr>
          <w:rFonts w:hint="eastAsia" w:ascii="宋体" w:hAnsi="宋体" w:eastAsia="宋体" w:cs="宋体"/>
          <w:b/>
          <w:bCs/>
          <w:color w:val="auto"/>
          <w:sz w:val="24"/>
        </w:rPr>
      </w:pPr>
      <w:r>
        <w:rPr>
          <w:rFonts w:hint="eastAsia" w:ascii="宋体" w:hAnsi="宋体" w:cs="宋体"/>
          <w:bCs/>
          <w:color w:val="auto"/>
          <w:sz w:val="24"/>
          <w:lang w:val="en-US" w:eastAsia="zh-CN"/>
        </w:rPr>
        <w:t>42</w:t>
      </w:r>
      <w:r>
        <w:rPr>
          <w:rFonts w:hint="eastAsia" w:ascii="宋体" w:hAnsi="宋体" w:eastAsia="宋体" w:cs="宋体"/>
          <w:bCs/>
          <w:color w:val="auto"/>
          <w:sz w:val="24"/>
        </w:rPr>
        <w:t>.3、质疑与投诉事宜依据《中华人民共和国政府采购法》、《政府采购法实施条例（国务院第658号令）》、《政府采购供应商质疑答复与投诉处理办法（试行）》、中华人民共和国财政部令第94号《政府采购质疑和投诉办法》和《陕财办采资（2014）143号》等规定执行。</w:t>
      </w:r>
    </w:p>
    <w:p>
      <w:pPr>
        <w:pStyle w:val="13"/>
        <w:rPr>
          <w:rFonts w:hint="eastAsia" w:ascii="宋体" w:hAnsi="宋体" w:eastAsia="宋体" w:cs="宋体"/>
          <w:color w:val="auto"/>
          <w:sz w:val="24"/>
        </w:rPr>
        <w:sectPr>
          <w:headerReference r:id="rId4" w:type="first"/>
          <w:footerReference r:id="rId7" w:type="first"/>
          <w:headerReference r:id="rId3" w:type="default"/>
          <w:footerReference r:id="rId5" w:type="default"/>
          <w:footerReference r:id="rId6" w:type="even"/>
          <w:pgSz w:w="11906" w:h="16838"/>
          <w:pgMar w:top="1588" w:right="1417" w:bottom="1474" w:left="1417" w:header="851" w:footer="850" w:gutter="0"/>
          <w:pgNumType w:fmt="numberInDash" w:start="1"/>
          <w:cols w:space="720" w:num="1"/>
          <w:titlePg/>
          <w:docGrid w:linePitch="312" w:charSpace="0"/>
        </w:sectPr>
      </w:pPr>
    </w:p>
    <w:p>
      <w:pPr>
        <w:pStyle w:val="4"/>
        <w:numPr>
          <w:ilvl w:val="0"/>
          <w:numId w:val="0"/>
        </w:numPr>
        <w:ind w:leftChars="0"/>
        <w:rPr>
          <w:rFonts w:hint="eastAsia" w:ascii="宋体" w:hAnsi="宋体" w:eastAsia="宋体" w:cs="宋体"/>
          <w:b/>
          <w:color w:val="auto"/>
          <w:spacing w:val="-20"/>
          <w:sz w:val="32"/>
          <w:szCs w:val="24"/>
        </w:rPr>
      </w:pPr>
      <w:bookmarkStart w:id="7" w:name="_Toc78884379"/>
      <w:r>
        <w:rPr>
          <w:rFonts w:hint="eastAsia" w:ascii="宋体" w:hAnsi="宋体" w:eastAsia="宋体" w:cs="宋体"/>
          <w:b/>
          <w:color w:val="auto"/>
          <w:spacing w:val="-20"/>
          <w:sz w:val="32"/>
          <w:szCs w:val="24"/>
          <w:lang w:eastAsia="zh-CN"/>
        </w:rPr>
        <w:t>第三章</w:t>
      </w:r>
      <w:r>
        <w:rPr>
          <w:rFonts w:hint="eastAsia" w:ascii="宋体" w:hAnsi="宋体" w:eastAsia="宋体" w:cs="宋体"/>
          <w:b/>
          <w:color w:val="auto"/>
          <w:spacing w:val="-20"/>
          <w:sz w:val="32"/>
          <w:szCs w:val="24"/>
          <w:lang w:val="en-US" w:eastAsia="zh-CN"/>
        </w:rPr>
        <w:t xml:space="preserve">    </w:t>
      </w:r>
      <w:r>
        <w:rPr>
          <w:rFonts w:hint="eastAsia" w:ascii="宋体" w:hAnsi="宋体" w:eastAsia="宋体" w:cs="宋体"/>
          <w:b/>
          <w:color w:val="auto"/>
          <w:spacing w:val="-20"/>
          <w:sz w:val="32"/>
          <w:szCs w:val="24"/>
        </w:rPr>
        <w:t>评审办法</w:t>
      </w:r>
      <w:bookmarkEnd w:id="7"/>
    </w:p>
    <w:p>
      <w:pPr>
        <w:rPr>
          <w:rFonts w:hint="eastAsia" w:ascii="宋体" w:hAnsi="宋体" w:eastAsia="宋体" w:cs="宋体"/>
          <w:color w:val="auto"/>
          <w:sz w:val="24"/>
        </w:rPr>
      </w:pPr>
    </w:p>
    <w:p>
      <w:pPr>
        <w:numPr>
          <w:ilvl w:val="0"/>
          <w:numId w:val="0"/>
        </w:numPr>
        <w:spacing w:before="120" w:beforeLines="50" w:after="120" w:afterLines="50" w:line="360" w:lineRule="auto"/>
        <w:rPr>
          <w:rFonts w:hint="eastAsia" w:ascii="宋体" w:hAnsi="宋体" w:cs="宋体"/>
          <w:b/>
          <w:color w:val="auto"/>
          <w:sz w:val="24"/>
          <w:lang w:eastAsia="zh-CN"/>
        </w:rPr>
      </w:pPr>
      <w:r>
        <w:rPr>
          <w:rFonts w:hint="eastAsia" w:ascii="宋体" w:hAnsi="宋体" w:cs="宋体"/>
          <w:b/>
          <w:color w:val="auto"/>
          <w:sz w:val="24"/>
          <w:lang w:eastAsia="zh-CN"/>
        </w:rPr>
        <w:t>一、评审办法</w:t>
      </w:r>
    </w:p>
    <w:p>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按照《中华人民共和国政府采购法》及实施条例和关于印发《政府采购竞争性磋商采购方式管理暂行办法》的通知(财库【2014】214号)的规定，本次评标采用</w:t>
      </w:r>
      <w:r>
        <w:rPr>
          <w:rFonts w:hint="eastAsia" w:ascii="宋体" w:hAnsi="宋体" w:eastAsia="宋体" w:cs="宋体"/>
          <w:b/>
          <w:bCs/>
          <w:color w:val="auto"/>
          <w:sz w:val="24"/>
          <w:u w:val="single"/>
        </w:rPr>
        <w:t>综合评分</w:t>
      </w:r>
      <w:r>
        <w:rPr>
          <w:rFonts w:hint="eastAsia" w:ascii="宋体" w:hAnsi="宋体" w:eastAsia="宋体" w:cs="宋体"/>
          <w:color w:val="auto"/>
          <w:sz w:val="24"/>
        </w:rPr>
        <w:t>法，即在最大限度地满足竞争性磋商文件实质性要求前提下，按照竞争性磋商文件中规定的各项因素和相应的权重分值进行综合评审后，以总得分最高的供应商作为成交候选人并依次排序。</w:t>
      </w:r>
    </w:p>
    <w:p>
      <w:pPr>
        <w:numPr>
          <w:ilvl w:val="0"/>
          <w:numId w:val="0"/>
        </w:numPr>
        <w:spacing w:before="120" w:beforeLines="50" w:after="120" w:afterLines="50" w:line="360" w:lineRule="auto"/>
        <w:rPr>
          <w:rFonts w:hint="eastAsia" w:ascii="宋体" w:hAnsi="宋体" w:cs="宋体"/>
          <w:b/>
          <w:color w:val="auto"/>
          <w:sz w:val="24"/>
          <w:lang w:eastAsia="zh-CN"/>
        </w:rPr>
      </w:pPr>
      <w:r>
        <w:rPr>
          <w:rFonts w:hint="eastAsia" w:ascii="宋体" w:hAnsi="宋体" w:cs="宋体"/>
          <w:b/>
          <w:color w:val="auto"/>
          <w:sz w:val="24"/>
          <w:lang w:eastAsia="zh-CN"/>
        </w:rPr>
        <w:t>二、评审程序</w:t>
      </w:r>
    </w:p>
    <w:p>
      <w:pPr>
        <w:spacing w:line="360" w:lineRule="auto"/>
        <w:ind w:firstLine="480" w:firstLineChars="200"/>
        <w:rPr>
          <w:rFonts w:hint="eastAsia" w:ascii="宋体" w:hAnsi="宋体" w:eastAsia="宋体" w:cs="宋体"/>
          <w:color w:val="auto"/>
          <w:sz w:val="24"/>
          <w:lang w:val="en-US" w:eastAsia="zh-CN"/>
        </w:rPr>
      </w:pPr>
      <w:r>
        <w:rPr>
          <w:rFonts w:hint="eastAsia" w:ascii="宋体" w:hAnsi="宋体" w:eastAsia="宋体" w:cs="宋体"/>
          <w:color w:val="auto"/>
          <w:sz w:val="24"/>
        </w:rPr>
        <w:t>按照竞争性磋商响应文件初审、澄清有关问题、分别磋商、二次报价、比较与评审、推荐成交候选人名单。在上一步评审中被认定为无效磋商者，不进入下一步的评审</w:t>
      </w:r>
      <w:r>
        <w:rPr>
          <w:rFonts w:hint="eastAsia" w:ascii="宋体" w:hAnsi="宋体" w:cs="宋体"/>
          <w:color w:val="auto"/>
          <w:sz w:val="24"/>
          <w:lang w:eastAsia="zh-CN"/>
        </w:rPr>
        <w:t>。</w:t>
      </w:r>
    </w:p>
    <w:p>
      <w:pPr>
        <w:spacing w:before="120" w:beforeLines="50" w:after="120" w:afterLines="50" w:line="360" w:lineRule="auto"/>
        <w:rPr>
          <w:rFonts w:hint="eastAsia" w:ascii="宋体" w:hAnsi="宋体" w:eastAsia="宋体" w:cs="宋体"/>
          <w:color w:val="auto"/>
          <w:sz w:val="24"/>
        </w:rPr>
      </w:pPr>
      <w:r>
        <w:rPr>
          <w:rFonts w:hint="eastAsia" w:ascii="宋体" w:hAnsi="宋体" w:cs="宋体"/>
          <w:b/>
          <w:color w:val="auto"/>
          <w:sz w:val="24"/>
          <w:lang w:val="en-US" w:eastAsia="zh-CN"/>
        </w:rPr>
        <w:t>1</w:t>
      </w:r>
      <w:r>
        <w:rPr>
          <w:rFonts w:hint="eastAsia" w:ascii="宋体" w:hAnsi="宋体" w:eastAsia="宋体" w:cs="宋体"/>
          <w:b/>
          <w:color w:val="auto"/>
          <w:sz w:val="24"/>
        </w:rPr>
        <w:t>、对磋商响应文件的初审</w:t>
      </w:r>
    </w:p>
    <w:p>
      <w:pPr>
        <w:tabs>
          <w:tab w:val="left" w:pos="0"/>
        </w:tabs>
        <w:adjustRightInd w:val="0"/>
        <w:snapToGrid w:val="0"/>
        <w:spacing w:line="360" w:lineRule="auto"/>
        <w:ind w:firstLine="470" w:firstLineChars="196"/>
        <w:rPr>
          <w:rFonts w:hint="eastAsia" w:ascii="宋体" w:hAnsi="宋体" w:eastAsia="宋体" w:cs="宋体"/>
          <w:color w:val="auto"/>
          <w:sz w:val="24"/>
        </w:rPr>
      </w:pPr>
      <w:r>
        <w:rPr>
          <w:rFonts w:hint="eastAsia" w:ascii="宋体" w:hAnsi="宋体" w:eastAsia="宋体" w:cs="宋体"/>
          <w:color w:val="auto"/>
          <w:sz w:val="24"/>
        </w:rPr>
        <w:t>1.1、</w:t>
      </w:r>
      <w:r>
        <w:rPr>
          <w:rFonts w:hint="eastAsia" w:ascii="宋体" w:hAnsi="宋体" w:cs="宋体"/>
          <w:color w:val="auto"/>
          <w:sz w:val="24"/>
          <w:lang w:eastAsia="zh-CN"/>
        </w:rPr>
        <w:t>资格性审查；</w:t>
      </w:r>
    </w:p>
    <w:p>
      <w:pPr>
        <w:tabs>
          <w:tab w:val="left" w:pos="0"/>
        </w:tabs>
        <w:adjustRightInd w:val="0"/>
        <w:snapToGrid w:val="0"/>
        <w:spacing w:line="360" w:lineRule="auto"/>
        <w:ind w:firstLine="470" w:firstLineChars="196"/>
        <w:rPr>
          <w:rFonts w:hint="eastAsia" w:ascii="宋体" w:hAnsi="宋体" w:eastAsia="宋体" w:cs="宋体"/>
          <w:color w:val="auto"/>
          <w:sz w:val="24"/>
        </w:rPr>
      </w:pPr>
      <w:r>
        <w:rPr>
          <w:rFonts w:hint="eastAsia" w:ascii="宋体" w:hAnsi="宋体" w:eastAsia="宋体" w:cs="宋体"/>
          <w:color w:val="auto"/>
          <w:sz w:val="24"/>
        </w:rPr>
        <w:t>1.</w:t>
      </w:r>
      <w:r>
        <w:rPr>
          <w:rFonts w:hint="eastAsia" w:ascii="宋体" w:hAnsi="宋体" w:cs="宋体"/>
          <w:color w:val="auto"/>
          <w:sz w:val="24"/>
          <w:lang w:val="en-US" w:eastAsia="zh-CN"/>
        </w:rPr>
        <w:t>2</w:t>
      </w:r>
      <w:r>
        <w:rPr>
          <w:rFonts w:hint="eastAsia" w:ascii="宋体" w:hAnsi="宋体" w:eastAsia="宋体" w:cs="宋体"/>
          <w:color w:val="auto"/>
          <w:sz w:val="24"/>
        </w:rPr>
        <w:t>、</w:t>
      </w:r>
      <w:r>
        <w:rPr>
          <w:rFonts w:hint="eastAsia" w:ascii="宋体" w:hAnsi="宋体" w:cs="宋体"/>
          <w:color w:val="auto"/>
          <w:sz w:val="24"/>
          <w:lang w:eastAsia="zh-CN"/>
        </w:rPr>
        <w:t>符合性审查</w:t>
      </w:r>
      <w:r>
        <w:rPr>
          <w:rFonts w:hint="eastAsia" w:ascii="宋体" w:hAnsi="宋体" w:eastAsia="宋体" w:cs="宋体"/>
          <w:color w:val="auto"/>
          <w:sz w:val="24"/>
        </w:rPr>
        <w:t>。</w:t>
      </w:r>
    </w:p>
    <w:p>
      <w:pPr>
        <w:spacing w:before="120" w:beforeLines="50" w:after="120" w:afterLines="50" w:line="360" w:lineRule="auto"/>
        <w:rPr>
          <w:rFonts w:hint="eastAsia" w:ascii="宋体" w:hAnsi="宋体" w:cs="宋体"/>
          <w:b/>
          <w:color w:val="auto"/>
          <w:sz w:val="24"/>
          <w:lang w:val="en-US" w:eastAsia="zh-CN"/>
        </w:rPr>
      </w:pPr>
      <w:r>
        <w:rPr>
          <w:rFonts w:hint="eastAsia" w:ascii="宋体" w:hAnsi="宋体" w:cs="宋体"/>
          <w:b/>
          <w:color w:val="auto"/>
          <w:sz w:val="24"/>
          <w:lang w:val="en-US" w:eastAsia="zh-CN"/>
        </w:rPr>
        <w:t>2、磋商响应文件的澄清</w:t>
      </w:r>
    </w:p>
    <w:p>
      <w:pPr>
        <w:tabs>
          <w:tab w:val="left" w:pos="0"/>
        </w:tabs>
        <w:adjustRightInd w:val="0"/>
        <w:snapToGrid w:val="0"/>
        <w:spacing w:line="360" w:lineRule="auto"/>
        <w:ind w:firstLine="470" w:firstLineChars="196"/>
        <w:rPr>
          <w:rFonts w:hint="eastAsia" w:ascii="宋体" w:hAnsi="宋体" w:eastAsia="宋体" w:cs="宋体"/>
          <w:color w:val="auto"/>
          <w:sz w:val="24"/>
        </w:rPr>
      </w:pPr>
      <w:r>
        <w:rPr>
          <w:rFonts w:hint="eastAsia" w:ascii="宋体" w:hAnsi="宋体" w:eastAsia="宋体" w:cs="宋体"/>
          <w:color w:val="auto"/>
          <w:sz w:val="24"/>
        </w:rPr>
        <w:t>磋商小组发现供应商的报价明显低于其他磋商报价、或明显低于市场价格，使得其磋商报价可能低于其成本的，有可能影响服务质量或者不能诚信履约的，应当要求其在合理的时间内做出书面说明并提交相关证明材料。供应商不能证明其报价合理性的，由磋商小组认定该供应商以低于成本报价竞标，将其作为无效响应处理。</w:t>
      </w:r>
    </w:p>
    <w:p>
      <w:pPr>
        <w:spacing w:before="120" w:beforeLines="50" w:after="120" w:afterLines="50" w:line="360" w:lineRule="auto"/>
        <w:rPr>
          <w:rFonts w:hint="eastAsia" w:ascii="宋体" w:hAnsi="宋体" w:cs="宋体"/>
          <w:b/>
          <w:color w:val="auto"/>
          <w:sz w:val="24"/>
          <w:lang w:val="en-US" w:eastAsia="zh-CN"/>
        </w:rPr>
      </w:pPr>
      <w:r>
        <w:rPr>
          <w:rFonts w:hint="eastAsia" w:ascii="宋体" w:hAnsi="宋体" w:cs="宋体"/>
          <w:b/>
          <w:color w:val="auto"/>
          <w:sz w:val="24"/>
          <w:lang w:val="en-US" w:eastAsia="zh-CN"/>
        </w:rPr>
        <w:t>3、磋商</w:t>
      </w:r>
    </w:p>
    <w:p>
      <w:pPr>
        <w:tabs>
          <w:tab w:val="left" w:pos="0"/>
        </w:tabs>
        <w:adjustRightInd w:val="0"/>
        <w:snapToGrid w:val="0"/>
        <w:spacing w:line="360" w:lineRule="auto"/>
        <w:ind w:firstLine="470" w:firstLineChars="196"/>
        <w:rPr>
          <w:rFonts w:hint="eastAsia" w:ascii="宋体" w:hAnsi="宋体" w:eastAsia="宋体" w:cs="宋体"/>
          <w:color w:val="auto"/>
          <w:sz w:val="24"/>
        </w:rPr>
      </w:pPr>
      <w:r>
        <w:rPr>
          <w:rFonts w:hint="eastAsia" w:ascii="宋体" w:hAnsi="宋体" w:eastAsia="宋体" w:cs="宋体"/>
          <w:color w:val="auto"/>
          <w:sz w:val="24"/>
        </w:rPr>
        <w:t>磋商小组所有成员集中与单一供应商分别进行磋商，并要求供应商在规定的时间内提交最后报价。在磋商过程中，磋商小组可以根据磋商文件和磋商情况实质性变动采购需求中的服务要求以及合同草案条款，但不得变动磋商文件中的其它内容。实质性变动得内容，需经采购人代表确认。</w:t>
      </w:r>
    </w:p>
    <w:p>
      <w:pPr>
        <w:spacing w:before="120" w:beforeLines="50" w:after="120" w:afterLines="50" w:line="360" w:lineRule="auto"/>
        <w:rPr>
          <w:rFonts w:hint="eastAsia" w:ascii="宋体" w:hAnsi="宋体" w:cs="宋体"/>
          <w:b/>
          <w:color w:val="auto"/>
          <w:sz w:val="24"/>
          <w:lang w:val="en-US" w:eastAsia="zh-CN"/>
        </w:rPr>
      </w:pPr>
      <w:r>
        <w:rPr>
          <w:rFonts w:hint="eastAsia" w:ascii="宋体" w:hAnsi="宋体" w:cs="宋体"/>
          <w:b/>
          <w:color w:val="auto"/>
          <w:sz w:val="24"/>
          <w:lang w:val="en-US" w:eastAsia="zh-CN"/>
        </w:rPr>
        <w:t>4、综合评审</w:t>
      </w:r>
    </w:p>
    <w:p>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对于经初审合格的所有供应商，由磋商小组各成员依据磋商响应文件和最终报价，按照下列《磋商办法》规定的内容独立进行综合评价、比较打分</w:t>
      </w:r>
      <w:r>
        <w:rPr>
          <w:rFonts w:hint="eastAsia" w:ascii="宋体" w:hAnsi="宋体" w:cs="宋体"/>
          <w:color w:val="auto"/>
          <w:sz w:val="24"/>
          <w:lang w:eastAsia="zh-CN"/>
        </w:rPr>
        <w:t>，</w:t>
      </w:r>
      <w:r>
        <w:rPr>
          <w:rFonts w:hint="eastAsia" w:ascii="宋体" w:hAnsi="宋体" w:eastAsia="宋体" w:cs="宋体"/>
          <w:color w:val="auto"/>
          <w:sz w:val="24"/>
        </w:rPr>
        <w:t>然后汇总每个供应商的得分，从高到低依次排序，推荐成交候选人。</w:t>
      </w:r>
    </w:p>
    <w:p>
      <w:pPr>
        <w:spacing w:before="120" w:beforeLines="50" w:after="120" w:afterLines="50" w:line="360" w:lineRule="auto"/>
        <w:rPr>
          <w:rFonts w:hint="eastAsia" w:ascii="宋体" w:hAnsi="宋体" w:eastAsia="宋体" w:cs="宋体"/>
          <w:b/>
          <w:color w:val="auto"/>
          <w:sz w:val="24"/>
        </w:rPr>
      </w:pPr>
      <w:r>
        <w:rPr>
          <w:rFonts w:hint="eastAsia" w:ascii="宋体" w:hAnsi="宋体" w:cs="宋体"/>
          <w:b/>
          <w:color w:val="auto"/>
          <w:sz w:val="24"/>
          <w:lang w:eastAsia="zh-CN"/>
        </w:rPr>
        <w:t>三</w:t>
      </w:r>
      <w:r>
        <w:rPr>
          <w:rFonts w:hint="eastAsia" w:ascii="宋体" w:hAnsi="宋体" w:eastAsia="宋体" w:cs="宋体"/>
          <w:b/>
          <w:color w:val="auto"/>
          <w:sz w:val="24"/>
        </w:rPr>
        <w:t>、政策性扣减</w:t>
      </w:r>
    </w:p>
    <w:p>
      <w:pPr>
        <w:spacing w:line="360" w:lineRule="auto"/>
        <w:ind w:firstLine="482" w:firstLineChars="200"/>
        <w:rPr>
          <w:rFonts w:hint="eastAsia" w:ascii="宋体" w:hAnsi="宋体" w:eastAsia="宋体" w:cs="宋体"/>
          <w:b/>
          <w:bCs/>
          <w:color w:val="auto"/>
          <w:sz w:val="24"/>
        </w:rPr>
      </w:pPr>
      <w:r>
        <w:rPr>
          <w:rFonts w:hint="eastAsia" w:ascii="宋体" w:hAnsi="宋体" w:cs="宋体"/>
          <w:b/>
          <w:bCs/>
          <w:color w:val="auto"/>
          <w:sz w:val="24"/>
          <w:lang w:val="en-US" w:eastAsia="zh-CN"/>
        </w:rPr>
        <w:t>1</w:t>
      </w:r>
      <w:r>
        <w:rPr>
          <w:rFonts w:hint="eastAsia" w:ascii="宋体" w:hAnsi="宋体" w:eastAsia="宋体" w:cs="宋体"/>
          <w:b/>
          <w:bCs/>
          <w:color w:val="auto"/>
          <w:sz w:val="24"/>
        </w:rPr>
        <w:t>、政策性扣减范围：</w:t>
      </w:r>
    </w:p>
    <w:p>
      <w:pPr>
        <w:spacing w:line="360" w:lineRule="auto"/>
        <w:ind w:firstLine="480" w:firstLineChars="200"/>
        <w:rPr>
          <w:rFonts w:hint="eastAsia" w:ascii="宋体" w:hAnsi="宋体" w:eastAsia="宋体" w:cs="宋体"/>
          <w:color w:val="auto"/>
          <w:sz w:val="24"/>
        </w:rPr>
      </w:pPr>
      <w:r>
        <w:rPr>
          <w:rFonts w:hint="eastAsia" w:ascii="宋体" w:hAnsi="宋体" w:cs="宋体"/>
          <w:color w:val="auto"/>
          <w:sz w:val="24"/>
          <w:lang w:val="en-US" w:eastAsia="zh-CN"/>
        </w:rPr>
        <w:t>1.1</w:t>
      </w:r>
      <w:r>
        <w:rPr>
          <w:rFonts w:hint="eastAsia" w:ascii="宋体" w:hAnsi="宋体" w:eastAsia="宋体" w:cs="宋体"/>
          <w:color w:val="auto"/>
          <w:sz w:val="24"/>
        </w:rPr>
        <w:t>、供应商符合监狱企业、残疾人福利性单位条件的，其磋商报价价格评审时将按相应比例进行加分；</w:t>
      </w:r>
    </w:p>
    <w:p>
      <w:pPr>
        <w:spacing w:line="360" w:lineRule="auto"/>
        <w:ind w:firstLine="480" w:firstLineChars="200"/>
        <w:rPr>
          <w:rFonts w:hint="eastAsia" w:ascii="宋体" w:hAnsi="宋体" w:eastAsia="宋体" w:cs="宋体"/>
          <w:color w:val="auto"/>
          <w:sz w:val="24"/>
          <w:lang w:eastAsia="zh-CN"/>
        </w:rPr>
      </w:pPr>
      <w:r>
        <w:rPr>
          <w:rFonts w:hint="eastAsia" w:ascii="宋体" w:hAnsi="宋体" w:cs="宋体"/>
          <w:color w:val="auto"/>
          <w:sz w:val="24"/>
          <w:lang w:val="en-US" w:eastAsia="zh-CN"/>
        </w:rPr>
        <w:t>1</w:t>
      </w:r>
      <w:r>
        <w:rPr>
          <w:rFonts w:hint="eastAsia" w:ascii="宋体" w:hAnsi="宋体" w:eastAsia="宋体" w:cs="宋体"/>
          <w:color w:val="auto"/>
          <w:sz w:val="24"/>
        </w:rPr>
        <w:t>.2、依照&lt;关于印发《政府采购促进中小企业发展管理办法》的通知&gt;(财库(2020)46号)的规定，在政府采购活动中,供应商提供的货物、工程或者服务符合下列情形的,享受本办法规定的中小企业扶持政策</w:t>
      </w:r>
      <w:r>
        <w:rPr>
          <w:rFonts w:hint="eastAsia" w:ascii="宋体" w:hAnsi="宋体" w:cs="宋体"/>
          <w:color w:val="auto"/>
          <w:sz w:val="24"/>
          <w:lang w:eastAsia="zh-CN"/>
        </w:rPr>
        <w:t>：</w:t>
      </w:r>
    </w:p>
    <w:p>
      <w:pPr>
        <w:spacing w:line="360" w:lineRule="auto"/>
        <w:ind w:firstLine="480" w:firstLineChars="200"/>
        <w:rPr>
          <w:rFonts w:hint="eastAsia" w:ascii="宋体" w:hAnsi="宋体" w:eastAsia="宋体" w:cs="宋体"/>
          <w:color w:val="auto"/>
          <w:sz w:val="24"/>
        </w:rPr>
      </w:pPr>
      <w:r>
        <w:rPr>
          <w:rFonts w:hint="eastAsia" w:ascii="宋体" w:hAnsi="宋体" w:cs="宋体"/>
          <w:color w:val="auto"/>
          <w:sz w:val="24"/>
          <w:lang w:eastAsia="zh-CN"/>
        </w:rPr>
        <w:t>①</w:t>
      </w:r>
      <w:r>
        <w:rPr>
          <w:rFonts w:hint="eastAsia" w:ascii="宋体" w:hAnsi="宋体" w:eastAsia="宋体" w:cs="宋体"/>
          <w:color w:val="auto"/>
          <w:sz w:val="24"/>
        </w:rPr>
        <w:t>、在货物采购项目中,货物由中小企业制造,即货物由中小企业生产且使用该中小企业商号或者注册商标；</w:t>
      </w:r>
    </w:p>
    <w:p>
      <w:pPr>
        <w:spacing w:line="360" w:lineRule="auto"/>
        <w:ind w:firstLine="480" w:firstLineChars="200"/>
        <w:rPr>
          <w:rFonts w:hint="eastAsia" w:ascii="宋体" w:hAnsi="宋体" w:eastAsia="宋体" w:cs="宋体"/>
          <w:color w:val="auto"/>
          <w:sz w:val="24"/>
        </w:rPr>
      </w:pPr>
      <w:r>
        <w:rPr>
          <w:rFonts w:hint="eastAsia" w:ascii="宋体" w:hAnsi="宋体" w:cs="宋体"/>
          <w:color w:val="auto"/>
          <w:sz w:val="24"/>
          <w:lang w:eastAsia="zh-CN"/>
        </w:rPr>
        <w:t>②</w:t>
      </w:r>
      <w:r>
        <w:rPr>
          <w:rFonts w:hint="eastAsia" w:ascii="宋体" w:hAnsi="宋体" w:eastAsia="宋体" w:cs="宋体"/>
          <w:color w:val="auto"/>
          <w:sz w:val="24"/>
        </w:rPr>
        <w:t>、在工程采购项目中,工程由中小企业承建,即工程施工单位为中小企业；</w:t>
      </w:r>
    </w:p>
    <w:p>
      <w:pPr>
        <w:spacing w:line="360" w:lineRule="auto"/>
        <w:ind w:firstLine="480" w:firstLineChars="200"/>
        <w:rPr>
          <w:rFonts w:hint="eastAsia" w:ascii="宋体" w:hAnsi="宋体" w:cs="宋体"/>
          <w:color w:val="auto"/>
          <w:sz w:val="24"/>
          <w:lang w:eastAsia="zh-CN"/>
        </w:rPr>
      </w:pPr>
      <w:r>
        <w:rPr>
          <w:rFonts w:hint="eastAsia" w:ascii="宋体" w:hAnsi="宋体" w:cs="宋体"/>
          <w:color w:val="auto"/>
          <w:sz w:val="24"/>
          <w:lang w:eastAsia="zh-CN"/>
        </w:rPr>
        <w:t>③</w:t>
      </w:r>
      <w:r>
        <w:rPr>
          <w:rFonts w:hint="eastAsia" w:ascii="宋体" w:hAnsi="宋体" w:eastAsia="宋体" w:cs="宋体"/>
          <w:color w:val="auto"/>
          <w:sz w:val="24"/>
        </w:rPr>
        <w:t>、在服务采购项目中,服务由中小企业承接,即提供服务的人员为中小企业依照《中华人民共和国劳动民法典》订立劳动合同的从业人员</w:t>
      </w:r>
      <w:r>
        <w:rPr>
          <w:rFonts w:hint="eastAsia" w:ascii="宋体" w:hAnsi="宋体" w:cs="宋体"/>
          <w:color w:val="auto"/>
          <w:sz w:val="24"/>
          <w:lang w:eastAsia="zh-CN"/>
        </w:rPr>
        <w:t>；</w:t>
      </w:r>
    </w:p>
    <w:p>
      <w:pPr>
        <w:pStyle w:val="26"/>
        <w:spacing w:before="0" w:beforeAutospacing="0" w:after="0" w:afterAutospacing="0" w:line="360" w:lineRule="auto"/>
        <w:ind w:firstLine="480" w:firstLineChars="200"/>
        <w:rPr>
          <w:rFonts w:hint="eastAsia" w:cs="宋体"/>
          <w:color w:val="auto"/>
          <w:lang w:eastAsia="zh-CN"/>
        </w:rPr>
      </w:pPr>
      <w:r>
        <w:rPr>
          <w:rFonts w:hint="eastAsia" w:ascii="宋体" w:hAnsi="宋体" w:eastAsia="宋体" w:cs="宋体"/>
          <w:color w:val="auto"/>
        </w:rPr>
        <w:t>在货物采购项目中,供应商提供的货物既有中小企业制造货物,也有大型企业制造货物的,不享受本办法规定的中小企业扶持政策</w:t>
      </w:r>
      <w:r>
        <w:rPr>
          <w:rFonts w:hint="eastAsia" w:cs="宋体"/>
          <w:color w:val="auto"/>
          <w:lang w:eastAsia="zh-CN"/>
        </w:rPr>
        <w:t>。</w:t>
      </w:r>
    </w:p>
    <w:p>
      <w:pPr>
        <w:pStyle w:val="26"/>
        <w:spacing w:before="0" w:beforeAutospacing="0" w:after="0" w:afterAutospacing="0" w:line="360" w:lineRule="auto"/>
        <w:ind w:firstLine="480" w:firstLineChars="200"/>
        <w:rPr>
          <w:rFonts w:hint="eastAsia" w:cs="宋体"/>
          <w:color w:val="auto"/>
          <w:lang w:val="en-US" w:eastAsia="zh-CN"/>
        </w:rPr>
      </w:pPr>
      <w:r>
        <w:rPr>
          <w:rFonts w:hint="eastAsia" w:cs="宋体"/>
          <w:color w:val="auto"/>
          <w:lang w:val="en-US" w:eastAsia="zh-CN"/>
        </w:rPr>
        <w:t>1.3、监狱企业参加政府采购活动时，应当提供由省级以上监狱管理局、戒毒管理局(含新疆生产建设兵团)出具的属于监狱企业的证明文件。监狱企业参加政府采购活动时，视同小型、微型企业；</w:t>
      </w:r>
    </w:p>
    <w:p>
      <w:pPr>
        <w:pStyle w:val="26"/>
        <w:spacing w:before="0" w:beforeAutospacing="0" w:after="0" w:afterAutospacing="0" w:line="360" w:lineRule="auto"/>
        <w:ind w:firstLine="480" w:firstLineChars="200"/>
        <w:rPr>
          <w:rFonts w:hint="eastAsia" w:cs="宋体"/>
          <w:color w:val="auto"/>
          <w:lang w:val="en-US" w:eastAsia="zh-CN"/>
        </w:rPr>
      </w:pPr>
      <w:r>
        <w:rPr>
          <w:rFonts w:hint="eastAsia" w:cs="宋体"/>
          <w:color w:val="auto"/>
          <w:lang w:val="en-US" w:eastAsia="zh-CN"/>
        </w:rPr>
        <w:t>1.4、符合条件的残疾人福利性单位在参加政府采购活动时，应当提供本通知规定的《残疾人福利性单位声明函》，并对声明的真实性负责。残疾人福利性单位参加政府采购活动时，视同小型、微型企业；残疾人福利性单位属于小型、微型企业的，不重复享受政策；</w:t>
      </w:r>
    </w:p>
    <w:p>
      <w:pPr>
        <w:pStyle w:val="26"/>
        <w:spacing w:before="0" w:beforeAutospacing="0" w:after="0" w:afterAutospacing="0" w:line="360" w:lineRule="auto"/>
        <w:ind w:firstLine="482" w:firstLineChars="200"/>
        <w:rPr>
          <w:rFonts w:hint="default" w:ascii="宋体" w:hAnsi="宋体" w:eastAsia="宋体" w:cs="宋体"/>
          <w:b/>
          <w:bCs/>
          <w:color w:val="auto"/>
          <w:lang w:val="en-US" w:eastAsia="zh-CN"/>
        </w:rPr>
      </w:pPr>
      <w:r>
        <w:rPr>
          <w:rFonts w:hint="eastAsia" w:cs="宋体"/>
          <w:b/>
          <w:bCs/>
          <w:color w:val="auto"/>
          <w:lang w:val="en-US" w:eastAsia="zh-CN"/>
        </w:rPr>
        <w:t>2、政策性扣减方式：</w:t>
      </w:r>
    </w:p>
    <w:p>
      <w:pPr>
        <w:pStyle w:val="26"/>
        <w:spacing w:before="0" w:beforeAutospacing="0" w:after="0" w:afterAutospacing="0" w:line="360" w:lineRule="auto"/>
        <w:ind w:firstLine="480" w:firstLineChars="200"/>
        <w:rPr>
          <w:rFonts w:hint="eastAsia" w:ascii="宋体" w:hAnsi="宋体" w:eastAsia="宋体" w:cs="宋体"/>
          <w:color w:val="auto"/>
          <w:lang w:eastAsia="zh-CN"/>
        </w:rPr>
      </w:pPr>
      <w:r>
        <w:rPr>
          <w:rFonts w:hint="eastAsia" w:ascii="宋体" w:hAnsi="宋体" w:eastAsia="宋体" w:cs="宋体"/>
          <w:color w:val="auto"/>
        </w:rPr>
        <w:t>2.</w:t>
      </w:r>
      <w:r>
        <w:rPr>
          <w:rFonts w:hint="eastAsia" w:cs="宋体"/>
          <w:color w:val="auto"/>
          <w:lang w:val="en-US" w:eastAsia="zh-CN"/>
        </w:rPr>
        <w:t>1</w:t>
      </w:r>
      <w:r>
        <w:rPr>
          <w:rFonts w:hint="eastAsia" w:ascii="宋体" w:hAnsi="宋体" w:eastAsia="宋体" w:cs="宋体"/>
          <w:color w:val="auto"/>
        </w:rPr>
        <w:t>、供应商为非联合体参与磋商的情况</w:t>
      </w:r>
      <w:r>
        <w:rPr>
          <w:rFonts w:hint="eastAsia" w:cs="宋体"/>
          <w:color w:val="auto"/>
          <w:lang w:eastAsia="zh-CN"/>
        </w:rPr>
        <w:t>：</w:t>
      </w:r>
    </w:p>
    <w:p>
      <w:pPr>
        <w:pStyle w:val="26"/>
        <w:spacing w:before="0" w:beforeAutospacing="0" w:after="0" w:afterAutospacing="0" w:line="360" w:lineRule="auto"/>
        <w:ind w:firstLine="480" w:firstLineChars="200"/>
        <w:rPr>
          <w:rFonts w:hint="eastAsia" w:ascii="宋体" w:hAnsi="宋体" w:eastAsia="宋体" w:cs="宋体"/>
          <w:color w:val="auto"/>
          <w:lang w:val="en-US" w:eastAsia="zh-CN"/>
        </w:rPr>
      </w:pPr>
      <w:r>
        <w:rPr>
          <w:rFonts w:hint="eastAsia" w:ascii="宋体" w:hAnsi="宋体" w:eastAsia="宋体" w:cs="宋体"/>
          <w:color w:val="auto"/>
        </w:rPr>
        <w:t>2.</w:t>
      </w:r>
      <w:r>
        <w:rPr>
          <w:rFonts w:hint="eastAsia" w:cs="宋体"/>
          <w:color w:val="auto"/>
          <w:lang w:val="en-US" w:eastAsia="zh-CN"/>
        </w:rPr>
        <w:t>1</w:t>
      </w:r>
      <w:r>
        <w:rPr>
          <w:rFonts w:hint="eastAsia" w:ascii="宋体" w:hAnsi="宋体" w:eastAsia="宋体" w:cs="宋体"/>
          <w:color w:val="auto"/>
        </w:rPr>
        <w:t>.1、在磋商最终报价的基础上，小型企业或达到小型企业划分标准的监狱企业</w:t>
      </w:r>
      <w:r>
        <w:rPr>
          <w:rFonts w:hint="eastAsia" w:ascii="宋体" w:hAnsi="宋体" w:eastAsia="宋体" w:cs="宋体"/>
          <w:color w:val="auto"/>
        </w:rPr>
        <w:tab/>
      </w:r>
      <w:r>
        <w:rPr>
          <w:rFonts w:hint="eastAsia" w:ascii="宋体" w:hAnsi="宋体" w:eastAsia="宋体" w:cs="宋体"/>
          <w:color w:val="auto"/>
        </w:rPr>
        <w:t>(或残疾人福利性单位)，评标时应当在采用原报价进行评分的基础上增加其价格得分的3%作为其价格分。以上政策同时具备的，只做一次价格折扣，不重复享受政策；</w:t>
      </w:r>
    </w:p>
    <w:p>
      <w:pPr>
        <w:pStyle w:val="26"/>
        <w:spacing w:before="0" w:beforeAutospacing="0" w:after="0" w:afterAutospacing="0" w:line="360" w:lineRule="auto"/>
        <w:ind w:firstLine="480" w:firstLineChars="200"/>
        <w:rPr>
          <w:rFonts w:hint="eastAsia" w:ascii="宋体" w:hAnsi="宋体" w:eastAsia="宋体" w:cs="宋体"/>
          <w:color w:val="auto"/>
          <w:lang w:eastAsia="zh-CN"/>
        </w:rPr>
      </w:pPr>
      <w:r>
        <w:rPr>
          <w:rFonts w:hint="eastAsia" w:ascii="宋体" w:hAnsi="宋体" w:eastAsia="宋体" w:cs="宋体"/>
          <w:color w:val="auto"/>
        </w:rPr>
        <w:t>2.2、供应商为联合体参与磋商且联合协议中约定小型或微型企业的协议合同金额占到联合体协议合同总金额30％以上的情况</w:t>
      </w:r>
      <w:r>
        <w:rPr>
          <w:rFonts w:hint="eastAsia" w:cs="宋体"/>
          <w:color w:val="auto"/>
          <w:lang w:eastAsia="zh-CN"/>
        </w:rPr>
        <w:t>：</w:t>
      </w:r>
    </w:p>
    <w:p>
      <w:pPr>
        <w:pStyle w:val="26"/>
        <w:spacing w:before="0" w:beforeAutospacing="0" w:after="0" w:afterAutospacing="0" w:line="360" w:lineRule="auto"/>
        <w:ind w:firstLine="480" w:firstLineChars="200"/>
        <w:rPr>
          <w:rFonts w:hint="eastAsia" w:ascii="宋体" w:hAnsi="宋体" w:eastAsia="宋体" w:cs="宋体"/>
          <w:color w:val="auto"/>
        </w:rPr>
      </w:pPr>
      <w:r>
        <w:rPr>
          <w:rFonts w:hint="eastAsia" w:ascii="宋体" w:hAnsi="宋体" w:eastAsia="宋体" w:cs="宋体"/>
          <w:color w:val="auto"/>
        </w:rPr>
        <w:t>2.</w:t>
      </w:r>
      <w:r>
        <w:rPr>
          <w:rFonts w:hint="eastAsia" w:cs="宋体"/>
          <w:color w:val="auto"/>
          <w:lang w:val="en-US" w:eastAsia="zh-CN"/>
        </w:rPr>
        <w:t>2.1</w:t>
      </w:r>
      <w:r>
        <w:rPr>
          <w:rFonts w:hint="eastAsia" w:ascii="宋体" w:hAnsi="宋体" w:eastAsia="宋体" w:cs="宋体"/>
          <w:color w:val="auto"/>
        </w:rPr>
        <w:t>、在磋商最终报价的基础上，与小型企业或达到小型企业划分标准的监狱企业(或残疾人福利性单位)联合的，评标时应当在采用原报价进行评分的基础上增加其价格得分的1%作为其价格分；</w:t>
      </w:r>
    </w:p>
    <w:p>
      <w:pPr>
        <w:pStyle w:val="26"/>
        <w:spacing w:before="0" w:beforeAutospacing="0" w:after="0" w:afterAutospacing="0" w:line="360" w:lineRule="auto"/>
        <w:ind w:firstLine="480" w:firstLineChars="200"/>
        <w:rPr>
          <w:rFonts w:hint="eastAsia" w:ascii="宋体" w:hAnsi="宋体" w:eastAsia="宋体" w:cs="宋体"/>
          <w:color w:val="auto"/>
        </w:rPr>
      </w:pPr>
      <w:r>
        <w:rPr>
          <w:rFonts w:hint="eastAsia" w:ascii="宋体" w:hAnsi="宋体" w:eastAsia="宋体" w:cs="宋体"/>
          <w:color w:val="auto"/>
        </w:rPr>
        <w:t>2.</w:t>
      </w:r>
      <w:r>
        <w:rPr>
          <w:rFonts w:hint="eastAsia" w:cs="宋体"/>
          <w:color w:val="auto"/>
          <w:lang w:val="en-US" w:eastAsia="zh-CN"/>
        </w:rPr>
        <w:t>2.2</w:t>
      </w:r>
      <w:r>
        <w:rPr>
          <w:rFonts w:hint="eastAsia" w:ascii="宋体" w:hAnsi="宋体" w:eastAsia="宋体" w:cs="宋体"/>
          <w:color w:val="auto"/>
        </w:rPr>
        <w:t>、在磋商最终报价的基础上，与微型企业或达到微型企业划分标准的监狱企业(或残疾人福利性单位)联合的，评标时应当在采用原报价进行评分的基础上增加其价格得分的1%作为其价格分；</w:t>
      </w:r>
    </w:p>
    <w:p>
      <w:pPr>
        <w:pStyle w:val="26"/>
        <w:spacing w:before="0" w:beforeAutospacing="0" w:after="0" w:afterAutospacing="0" w:line="360" w:lineRule="auto"/>
        <w:ind w:firstLine="480" w:firstLineChars="200"/>
        <w:rPr>
          <w:rFonts w:hint="eastAsia" w:ascii="宋体" w:hAnsi="宋体" w:eastAsia="宋体" w:cs="宋体"/>
          <w:color w:val="auto"/>
        </w:rPr>
      </w:pPr>
      <w:r>
        <w:rPr>
          <w:rFonts w:hint="eastAsia" w:ascii="宋体" w:hAnsi="宋体" w:eastAsia="宋体" w:cs="宋体"/>
          <w:color w:val="auto"/>
        </w:rPr>
        <w:t>2.2.</w:t>
      </w:r>
      <w:r>
        <w:rPr>
          <w:rFonts w:hint="eastAsia" w:cs="宋体"/>
          <w:color w:val="auto"/>
          <w:lang w:val="en-US" w:eastAsia="zh-CN"/>
        </w:rPr>
        <w:t>3</w:t>
      </w:r>
      <w:r>
        <w:rPr>
          <w:rFonts w:hint="eastAsia" w:ascii="宋体" w:hAnsi="宋体" w:eastAsia="宋体" w:cs="宋体"/>
          <w:color w:val="auto"/>
        </w:rPr>
        <w:t>、在磋商最终报价的基础上，同时与小型、微型企业或达到小型、微型企业划分标准的监狱企业(或残疾人福利性单位)组成两家以上的联合体的，评标时应当在采用原报价进行评分的基础上增加其价格得分的1%作为其价格分。不累计扣减；</w:t>
      </w:r>
    </w:p>
    <w:p>
      <w:pPr>
        <w:pStyle w:val="26"/>
        <w:spacing w:before="0" w:beforeAutospacing="0" w:after="0" w:afterAutospacing="0" w:line="360" w:lineRule="auto"/>
        <w:ind w:firstLine="480" w:firstLineChars="200"/>
        <w:rPr>
          <w:rFonts w:hint="eastAsia" w:ascii="宋体" w:hAnsi="宋体" w:eastAsia="宋体" w:cs="宋体"/>
          <w:color w:val="auto"/>
        </w:rPr>
      </w:pPr>
      <w:r>
        <w:rPr>
          <w:rFonts w:hint="eastAsia" w:ascii="宋体" w:hAnsi="宋体" w:eastAsia="宋体" w:cs="宋体"/>
          <w:color w:val="auto"/>
        </w:rPr>
        <w:t>2.2.</w:t>
      </w:r>
      <w:r>
        <w:rPr>
          <w:rFonts w:hint="eastAsia" w:cs="宋体"/>
          <w:color w:val="auto"/>
          <w:lang w:val="en-US" w:eastAsia="zh-CN"/>
        </w:rPr>
        <w:t>4</w:t>
      </w:r>
      <w:r>
        <w:rPr>
          <w:rFonts w:hint="eastAsia" w:ascii="宋体" w:hAnsi="宋体" w:eastAsia="宋体" w:cs="宋体"/>
          <w:color w:val="auto"/>
        </w:rPr>
        <w:t>、供应商享受支持中小型企业发展政策优惠的，可以同时享受节能、环境标志产品优先采购政策；</w:t>
      </w:r>
    </w:p>
    <w:p>
      <w:pPr>
        <w:pStyle w:val="26"/>
        <w:spacing w:before="0" w:beforeAutospacing="0" w:after="0" w:afterAutospacing="0" w:line="360" w:lineRule="auto"/>
        <w:ind w:firstLine="480" w:firstLineChars="200"/>
        <w:rPr>
          <w:rFonts w:hint="eastAsia" w:ascii="宋体" w:hAnsi="宋体" w:eastAsia="宋体" w:cs="宋体"/>
          <w:color w:val="auto"/>
          <w:lang w:eastAsia="zh-CN"/>
        </w:rPr>
      </w:pPr>
      <w:r>
        <w:rPr>
          <w:rFonts w:hint="eastAsia" w:ascii="宋体" w:hAnsi="宋体" w:eastAsia="宋体" w:cs="宋体"/>
          <w:color w:val="auto"/>
        </w:rPr>
        <w:t>2.2.</w:t>
      </w:r>
      <w:r>
        <w:rPr>
          <w:rFonts w:hint="eastAsia" w:cs="宋体"/>
          <w:color w:val="auto"/>
          <w:lang w:val="en-US" w:eastAsia="zh-CN"/>
        </w:rPr>
        <w:t>5</w:t>
      </w:r>
      <w:r>
        <w:rPr>
          <w:rFonts w:hint="eastAsia" w:ascii="宋体" w:hAnsi="宋体" w:eastAsia="宋体" w:cs="宋体"/>
          <w:color w:val="auto"/>
        </w:rPr>
        <w:t>、专门面向中小企业采购的项目或者采购包，不再执行价格评审优惠的扶持政策</w:t>
      </w:r>
      <w:r>
        <w:rPr>
          <w:rFonts w:hint="eastAsia" w:cs="宋体"/>
          <w:color w:val="auto"/>
          <w:lang w:eastAsia="zh-CN"/>
        </w:rPr>
        <w:t>。</w:t>
      </w:r>
    </w:p>
    <w:p>
      <w:pPr>
        <w:spacing w:before="120" w:beforeLines="50" w:after="120" w:afterLines="50" w:line="360" w:lineRule="auto"/>
        <w:rPr>
          <w:rFonts w:hint="eastAsia" w:ascii="宋体" w:hAnsi="宋体" w:eastAsia="宋体" w:cs="宋体"/>
          <w:b/>
          <w:color w:val="auto"/>
          <w:sz w:val="24"/>
        </w:rPr>
      </w:pPr>
      <w:r>
        <w:rPr>
          <w:rFonts w:hint="eastAsia" w:ascii="宋体" w:hAnsi="宋体" w:cs="宋体"/>
          <w:b/>
          <w:color w:val="auto"/>
          <w:sz w:val="24"/>
          <w:lang w:eastAsia="zh-CN"/>
        </w:rPr>
        <w:t>四</w:t>
      </w:r>
      <w:r>
        <w:rPr>
          <w:rFonts w:hint="eastAsia" w:ascii="宋体" w:hAnsi="宋体" w:eastAsia="宋体" w:cs="宋体"/>
          <w:b/>
          <w:color w:val="auto"/>
          <w:sz w:val="24"/>
        </w:rPr>
        <w:t>、评审步骤与评审方法</w:t>
      </w:r>
    </w:p>
    <w:p>
      <w:pPr>
        <w:spacing w:before="120" w:beforeLines="50" w:after="120" w:afterLines="50" w:line="360" w:lineRule="auto"/>
        <w:rPr>
          <w:rFonts w:hint="eastAsia" w:ascii="宋体" w:hAnsi="宋体" w:eastAsia="宋体" w:cs="宋体"/>
          <w:b/>
          <w:color w:val="auto"/>
          <w:sz w:val="24"/>
          <w:lang w:eastAsia="zh-CN"/>
        </w:rPr>
      </w:pPr>
      <w:r>
        <w:rPr>
          <w:rFonts w:hint="eastAsia" w:ascii="宋体" w:hAnsi="宋体" w:cs="宋体"/>
          <w:b/>
          <w:color w:val="auto"/>
          <w:sz w:val="24"/>
          <w:lang w:val="en-US" w:eastAsia="zh-CN"/>
        </w:rPr>
        <w:t>4</w:t>
      </w:r>
      <w:r>
        <w:rPr>
          <w:rFonts w:hint="eastAsia" w:ascii="宋体" w:hAnsi="宋体" w:eastAsia="宋体" w:cs="宋体"/>
          <w:b/>
          <w:color w:val="auto"/>
          <w:sz w:val="24"/>
        </w:rPr>
        <w:t>、响应文件初审</w:t>
      </w:r>
    </w:p>
    <w:p>
      <w:pPr>
        <w:spacing w:line="360" w:lineRule="auto"/>
        <w:ind w:firstLine="480" w:firstLineChars="200"/>
        <w:rPr>
          <w:rFonts w:hint="eastAsia" w:ascii="宋体" w:hAnsi="宋体" w:eastAsia="宋体" w:cs="宋体"/>
          <w:color w:val="auto"/>
          <w:sz w:val="24"/>
        </w:rPr>
      </w:pPr>
      <w:r>
        <w:rPr>
          <w:rFonts w:hint="eastAsia" w:ascii="宋体" w:hAnsi="宋体" w:cs="宋体"/>
          <w:color w:val="auto"/>
          <w:sz w:val="24"/>
          <w:shd w:val="clear" w:color="FFFFFF" w:fill="D9D9D9"/>
          <w:lang w:val="en-US" w:eastAsia="zh-CN"/>
        </w:rPr>
        <w:t>4</w:t>
      </w:r>
      <w:r>
        <w:rPr>
          <w:rFonts w:hint="eastAsia" w:ascii="宋体" w:hAnsi="宋体" w:eastAsia="宋体" w:cs="宋体"/>
          <w:color w:val="auto"/>
          <w:sz w:val="24"/>
          <w:shd w:val="clear" w:color="FFFFFF" w:fill="D9D9D9"/>
        </w:rPr>
        <w:t>.1、</w:t>
      </w:r>
      <w:r>
        <w:rPr>
          <w:rFonts w:hint="eastAsia" w:ascii="宋体" w:hAnsi="宋体" w:eastAsia="宋体" w:cs="宋体"/>
          <w:b/>
          <w:bCs/>
          <w:color w:val="auto"/>
          <w:sz w:val="24"/>
          <w:shd w:val="clear" w:color="FFFFFF" w:fill="D9D9D9"/>
        </w:rPr>
        <w:t>资格性审查。</w:t>
      </w:r>
      <w:r>
        <w:rPr>
          <w:rFonts w:hint="eastAsia" w:ascii="宋体" w:hAnsi="宋体" w:cs="宋体"/>
          <w:b w:val="0"/>
          <w:bCs w:val="0"/>
          <w:color w:val="auto"/>
          <w:sz w:val="24"/>
          <w:shd w:val="clear" w:color="auto" w:fill="auto"/>
          <w:lang w:eastAsia="zh-CN"/>
        </w:rPr>
        <w:t>采购代理机构派出一名工作人员，协助</w:t>
      </w:r>
      <w:r>
        <w:rPr>
          <w:rFonts w:hint="eastAsia" w:ascii="宋体" w:hAnsi="宋体" w:eastAsia="宋体" w:cs="宋体"/>
          <w:color w:val="auto"/>
          <w:sz w:val="24"/>
        </w:rPr>
        <w:t>采购人依据竞争性磋商文件对供应商进行资格审查，以确定其是否具备相应资格。</w:t>
      </w:r>
      <w:r>
        <w:rPr>
          <w:rFonts w:hint="eastAsia" w:ascii="宋体" w:hAnsi="宋体" w:eastAsia="宋体" w:cs="宋体"/>
          <w:color w:val="auto"/>
          <w:kern w:val="0"/>
          <w:sz w:val="24"/>
        </w:rPr>
        <w:t>如果供应商不具备资格、不满足竞争性磋商文件所规定的资格标准或提供资格证明文件不全,将被视为未实质性响应竞争性磋商文件。</w:t>
      </w:r>
      <w:r>
        <w:rPr>
          <w:rFonts w:hint="eastAsia" w:ascii="宋体" w:hAnsi="宋体" w:eastAsia="宋体" w:cs="宋体"/>
          <w:color w:val="auto"/>
          <w:sz w:val="24"/>
        </w:rPr>
        <w:t>资格性审查标准如下：</w:t>
      </w:r>
    </w:p>
    <w:tbl>
      <w:tblPr>
        <w:tblStyle w:val="28"/>
        <w:tblW w:w="9142"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709"/>
        <w:gridCol w:w="5676"/>
        <w:gridCol w:w="2757"/>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23" w:hRule="atLeast"/>
          <w:jc w:val="center"/>
        </w:trPr>
        <w:tc>
          <w:tcPr>
            <w:tcW w:w="709" w:type="dxa"/>
            <w:vAlign w:val="center"/>
          </w:tcPr>
          <w:p>
            <w:pPr>
              <w:autoSpaceDE w:val="0"/>
              <w:autoSpaceDN w:val="0"/>
              <w:adjustRightInd w:val="0"/>
              <w:spacing w:before="2" w:line="400" w:lineRule="exact"/>
              <w:rPr>
                <w:rFonts w:hint="eastAsia" w:ascii="宋体" w:hAnsi="宋体" w:eastAsia="宋体" w:cs="宋体"/>
                <w:b/>
                <w:bCs/>
                <w:color w:val="auto"/>
                <w:sz w:val="24"/>
              </w:rPr>
            </w:pPr>
            <w:r>
              <w:rPr>
                <w:rFonts w:hint="eastAsia" w:ascii="宋体" w:hAnsi="宋体" w:eastAsia="宋体" w:cs="宋体"/>
                <w:b/>
                <w:bCs/>
                <w:color w:val="auto"/>
                <w:sz w:val="24"/>
              </w:rPr>
              <w:t>序号</w:t>
            </w:r>
          </w:p>
        </w:tc>
        <w:tc>
          <w:tcPr>
            <w:tcW w:w="5676" w:type="dxa"/>
            <w:tcBorders>
              <w:right w:val="single" w:color="auto" w:sz="4" w:space="0"/>
            </w:tcBorders>
            <w:vAlign w:val="center"/>
          </w:tcPr>
          <w:p>
            <w:pPr>
              <w:autoSpaceDE w:val="0"/>
              <w:autoSpaceDN w:val="0"/>
              <w:adjustRightInd w:val="0"/>
              <w:spacing w:before="2" w:line="400" w:lineRule="exact"/>
              <w:jc w:val="center"/>
              <w:rPr>
                <w:rFonts w:hint="eastAsia" w:ascii="宋体" w:hAnsi="宋体" w:eastAsia="宋体" w:cs="宋体"/>
                <w:b/>
                <w:bCs/>
                <w:color w:val="auto"/>
                <w:sz w:val="24"/>
                <w:lang w:eastAsia="zh-CN"/>
              </w:rPr>
            </w:pPr>
            <w:r>
              <w:rPr>
                <w:rFonts w:hint="eastAsia" w:ascii="宋体" w:hAnsi="宋体" w:eastAsia="宋体" w:cs="宋体"/>
                <w:b/>
                <w:bCs/>
                <w:color w:val="auto"/>
                <w:sz w:val="24"/>
              </w:rPr>
              <w:t>审查</w:t>
            </w:r>
            <w:r>
              <w:rPr>
                <w:rFonts w:hint="eastAsia" w:ascii="宋体" w:hAnsi="宋体" w:eastAsia="宋体" w:cs="宋体"/>
                <w:b/>
                <w:bCs/>
                <w:color w:val="auto"/>
                <w:sz w:val="24"/>
                <w:lang w:eastAsia="zh-CN"/>
              </w:rPr>
              <w:t>内容</w:t>
            </w:r>
          </w:p>
        </w:tc>
        <w:tc>
          <w:tcPr>
            <w:tcW w:w="2757" w:type="dxa"/>
            <w:tcBorders>
              <w:left w:val="single" w:color="auto" w:sz="4" w:space="0"/>
            </w:tcBorders>
            <w:vAlign w:val="center"/>
          </w:tcPr>
          <w:p>
            <w:pPr>
              <w:autoSpaceDE w:val="0"/>
              <w:autoSpaceDN w:val="0"/>
              <w:adjustRightInd w:val="0"/>
              <w:spacing w:before="2" w:line="400" w:lineRule="exact"/>
              <w:jc w:val="center"/>
              <w:rPr>
                <w:rFonts w:hint="eastAsia" w:ascii="宋体" w:hAnsi="宋体" w:eastAsia="宋体" w:cs="宋体"/>
                <w:b/>
                <w:bCs/>
                <w:color w:val="auto"/>
                <w:sz w:val="24"/>
              </w:rPr>
            </w:pPr>
            <w:r>
              <w:rPr>
                <w:rFonts w:hint="eastAsia" w:ascii="宋体" w:hAnsi="宋体" w:eastAsia="宋体" w:cs="宋体"/>
                <w:b/>
                <w:bCs/>
                <w:color w:val="auto"/>
                <w:sz w:val="24"/>
              </w:rPr>
              <w:t>审查</w:t>
            </w:r>
            <w:r>
              <w:rPr>
                <w:rFonts w:hint="eastAsia" w:ascii="宋体" w:hAnsi="宋体" w:eastAsia="宋体" w:cs="宋体"/>
                <w:b/>
                <w:bCs/>
                <w:color w:val="auto"/>
                <w:sz w:val="24"/>
                <w:lang w:eastAsia="zh-CN"/>
              </w:rPr>
              <w:t>标准</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701" w:hRule="atLeast"/>
          <w:jc w:val="center"/>
        </w:trPr>
        <w:tc>
          <w:tcPr>
            <w:tcW w:w="709" w:type="dxa"/>
            <w:vAlign w:val="center"/>
          </w:tcPr>
          <w:p>
            <w:pPr>
              <w:autoSpaceDE w:val="0"/>
              <w:autoSpaceDN w:val="0"/>
              <w:adjustRightInd w:val="0"/>
              <w:spacing w:before="2" w:line="400" w:lineRule="exact"/>
              <w:jc w:val="center"/>
              <w:rPr>
                <w:rFonts w:hint="eastAsia" w:ascii="宋体" w:hAnsi="宋体" w:eastAsia="宋体" w:cs="宋体"/>
                <w:color w:val="auto"/>
                <w:sz w:val="22"/>
                <w:szCs w:val="22"/>
              </w:rPr>
            </w:pPr>
            <w:r>
              <w:rPr>
                <w:rFonts w:hint="eastAsia" w:ascii="宋体" w:hAnsi="宋体" w:eastAsia="宋体" w:cs="宋体"/>
                <w:color w:val="auto"/>
                <w:sz w:val="22"/>
                <w:szCs w:val="22"/>
              </w:rPr>
              <w:t>1</w:t>
            </w:r>
          </w:p>
        </w:tc>
        <w:tc>
          <w:tcPr>
            <w:tcW w:w="5676" w:type="dxa"/>
            <w:tcBorders>
              <w:right w:val="single" w:color="auto" w:sz="4" w:space="0"/>
            </w:tcBorders>
            <w:vAlign w:val="center"/>
          </w:tcPr>
          <w:p>
            <w:pPr>
              <w:rPr>
                <w:rFonts w:hint="eastAsia" w:ascii="宋体" w:hAnsi="宋体" w:eastAsia="宋体" w:cs="宋体"/>
                <w:color w:val="auto"/>
                <w:sz w:val="22"/>
                <w:szCs w:val="22"/>
                <w:lang w:eastAsia="zh-CN"/>
              </w:rPr>
            </w:pPr>
            <w:r>
              <w:rPr>
                <w:rFonts w:hint="eastAsia" w:ascii="宋体" w:hAnsi="宋体" w:eastAsia="宋体" w:cs="宋体"/>
                <w:color w:val="auto"/>
                <w:sz w:val="22"/>
                <w:szCs w:val="22"/>
                <w:lang w:val="en-US" w:eastAsia="zh-CN"/>
              </w:rPr>
              <w:t>具有独立承担民事责任的能力：供应商为具有独立承担民事责任能力的企业法人、事业法人、其他组织，提供营业执照原件（事业单位须事业单位法人证、组织机构代码证等证明文件；其他组织应提供合法证明文件）；</w:t>
            </w:r>
          </w:p>
        </w:tc>
        <w:tc>
          <w:tcPr>
            <w:tcW w:w="2757" w:type="dxa"/>
            <w:tcBorders>
              <w:left w:val="single" w:color="auto" w:sz="4" w:space="0"/>
            </w:tcBorders>
            <w:vAlign w:val="center"/>
          </w:tcPr>
          <w:p>
            <w:pPr>
              <w:jc w:val="center"/>
              <w:rPr>
                <w:rFonts w:hint="eastAsia" w:ascii="宋体" w:hAnsi="宋体" w:eastAsia="宋体" w:cs="宋体"/>
                <w:b/>
                <w:bCs/>
                <w:color w:val="auto"/>
                <w:sz w:val="22"/>
                <w:szCs w:val="22"/>
                <w:lang w:eastAsia="zh-CN"/>
              </w:rPr>
            </w:pPr>
            <w:r>
              <w:rPr>
                <w:rFonts w:hint="eastAsia" w:ascii="宋体" w:hAnsi="宋体" w:eastAsia="宋体" w:cs="宋体"/>
                <w:b/>
                <w:bCs/>
                <w:color w:val="auto"/>
                <w:sz w:val="22"/>
                <w:szCs w:val="22"/>
                <w:lang w:val="en-US" w:eastAsia="zh-CN"/>
              </w:rPr>
              <w:t>【提供加盖公章的电子件或复印件】</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038" w:hRule="atLeast"/>
          <w:jc w:val="center"/>
        </w:trPr>
        <w:tc>
          <w:tcPr>
            <w:tcW w:w="709" w:type="dxa"/>
            <w:vAlign w:val="center"/>
          </w:tcPr>
          <w:p>
            <w:pPr>
              <w:autoSpaceDE w:val="0"/>
              <w:autoSpaceDN w:val="0"/>
              <w:adjustRightInd w:val="0"/>
              <w:spacing w:before="2" w:line="400" w:lineRule="exact"/>
              <w:jc w:val="center"/>
              <w:rPr>
                <w:rFonts w:hint="eastAsia" w:ascii="宋体" w:hAnsi="宋体" w:eastAsia="宋体" w:cs="宋体"/>
                <w:color w:val="auto"/>
                <w:sz w:val="22"/>
                <w:szCs w:val="22"/>
              </w:rPr>
            </w:pPr>
            <w:r>
              <w:rPr>
                <w:rFonts w:hint="eastAsia" w:ascii="宋体" w:hAnsi="宋体" w:eastAsia="宋体" w:cs="宋体"/>
                <w:color w:val="auto"/>
                <w:sz w:val="22"/>
                <w:szCs w:val="22"/>
              </w:rPr>
              <w:t>2</w:t>
            </w:r>
          </w:p>
        </w:tc>
        <w:tc>
          <w:tcPr>
            <w:tcW w:w="5676" w:type="dxa"/>
            <w:tcBorders>
              <w:right w:val="single" w:color="auto" w:sz="4" w:space="0"/>
            </w:tcBorders>
            <w:vAlign w:val="center"/>
          </w:tcPr>
          <w:p>
            <w:pPr>
              <w:snapToGrid w:val="0"/>
              <w:spacing w:line="240" w:lineRule="auto"/>
              <w:rPr>
                <w:rFonts w:hint="eastAsia" w:ascii="宋体" w:hAnsi="宋体" w:eastAsia="宋体" w:cs="宋体"/>
                <w:color w:val="auto"/>
                <w:sz w:val="22"/>
                <w:szCs w:val="22"/>
              </w:rPr>
            </w:pPr>
            <w:r>
              <w:rPr>
                <w:rFonts w:hint="eastAsia" w:ascii="宋体" w:hAnsi="宋体" w:eastAsia="宋体" w:cs="宋体"/>
                <w:color w:val="auto"/>
                <w:sz w:val="22"/>
                <w:szCs w:val="22"/>
                <w:lang w:val="en-US" w:eastAsia="zh-CN"/>
              </w:rPr>
              <w:t>具有履行合同所必须的设备和专业技术能力：Ⅰ、供应商具有建设行政主管部门核发的市政公用工程施工总承包三级及以上资质等级，且具有有效的安全生产许可证；Ⅱ、拟派项目经理须具备市政公用工程专业注册建造师二级（含二级）以上执业资格和安全生产考核合格B证，且无在建项目；陕西省内供应商提供《陕西省建筑市场监管与诚信信息发布平台》登记的供应商及建造师信息网页截图复印件，陕西省外供应商提供《全国建筑市场监管与诚信信息发布平台》或供应商注册地省市《建筑市场监管与诚信信息发布平台》登记的供应商及建造师信息网页截图复印件；</w:t>
            </w:r>
          </w:p>
        </w:tc>
        <w:tc>
          <w:tcPr>
            <w:tcW w:w="2757" w:type="dxa"/>
            <w:tcBorders>
              <w:left w:val="single" w:color="auto" w:sz="4" w:space="0"/>
            </w:tcBorders>
            <w:vAlign w:val="center"/>
          </w:tcPr>
          <w:p>
            <w:pPr>
              <w:jc w:val="center"/>
              <w:rPr>
                <w:rFonts w:hint="eastAsia" w:ascii="宋体" w:hAnsi="宋体" w:eastAsia="宋体" w:cs="宋体"/>
                <w:b/>
                <w:bCs/>
                <w:color w:val="auto"/>
                <w:sz w:val="22"/>
                <w:szCs w:val="22"/>
                <w:lang w:eastAsia="zh-CN"/>
              </w:rPr>
            </w:pPr>
            <w:r>
              <w:rPr>
                <w:rFonts w:hint="eastAsia" w:ascii="宋体" w:hAnsi="宋体" w:eastAsia="宋体" w:cs="宋体"/>
                <w:b/>
                <w:bCs/>
                <w:color w:val="auto"/>
                <w:sz w:val="22"/>
                <w:szCs w:val="22"/>
                <w:lang w:eastAsia="zh-CN"/>
              </w:rPr>
              <w:t>【</w:t>
            </w:r>
            <w:r>
              <w:rPr>
                <w:rFonts w:hint="eastAsia" w:ascii="宋体" w:hAnsi="宋体" w:cs="宋体"/>
                <w:b/>
                <w:bCs/>
                <w:color w:val="auto"/>
                <w:sz w:val="22"/>
                <w:szCs w:val="22"/>
                <w:lang w:eastAsia="zh-CN"/>
              </w:rPr>
              <w:t>①</w:t>
            </w:r>
            <w:r>
              <w:rPr>
                <w:rFonts w:hint="eastAsia" w:ascii="宋体" w:hAnsi="宋体" w:eastAsia="宋体" w:cs="宋体"/>
                <w:b/>
                <w:bCs/>
                <w:color w:val="auto"/>
                <w:sz w:val="22"/>
                <w:szCs w:val="22"/>
                <w:lang w:eastAsia="zh-CN"/>
              </w:rPr>
              <w:t>提供加盖公章的电子件或复印件</w:t>
            </w:r>
            <w:r>
              <w:rPr>
                <w:rFonts w:hint="eastAsia" w:ascii="宋体" w:hAnsi="宋体" w:cs="宋体"/>
                <w:b/>
                <w:bCs/>
                <w:color w:val="auto"/>
                <w:sz w:val="22"/>
                <w:szCs w:val="22"/>
                <w:lang w:eastAsia="zh-CN"/>
              </w:rPr>
              <w:t>；②</w:t>
            </w:r>
            <w:r>
              <w:rPr>
                <w:rFonts w:hint="eastAsia" w:ascii="宋体" w:hAnsi="宋体" w:eastAsia="宋体" w:cs="宋体"/>
                <w:b/>
                <w:bCs/>
                <w:color w:val="auto"/>
                <w:sz w:val="22"/>
                <w:szCs w:val="22"/>
                <w:lang w:eastAsia="zh-CN"/>
              </w:rPr>
              <w:t>“无在建证明”提供原件</w:t>
            </w:r>
            <w:r>
              <w:rPr>
                <w:rFonts w:hint="eastAsia" w:ascii="宋体" w:hAnsi="宋体" w:cs="宋体"/>
                <w:b/>
                <w:bCs/>
                <w:color w:val="auto"/>
                <w:sz w:val="22"/>
                <w:szCs w:val="22"/>
                <w:lang w:eastAsia="zh-CN"/>
              </w:rPr>
              <w:t>；③提供供应商及建造师加盖公章的完整清晰的网查截图复印件</w:t>
            </w:r>
            <w:r>
              <w:rPr>
                <w:rFonts w:hint="eastAsia" w:ascii="宋体" w:hAnsi="宋体" w:eastAsia="宋体" w:cs="宋体"/>
                <w:b/>
                <w:bCs/>
                <w:color w:val="auto"/>
                <w:sz w:val="22"/>
                <w:szCs w:val="22"/>
                <w:lang w:eastAsia="zh-CN"/>
              </w:rPr>
              <w:t>】</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572" w:hRule="atLeast"/>
          <w:jc w:val="center"/>
        </w:trPr>
        <w:tc>
          <w:tcPr>
            <w:tcW w:w="709" w:type="dxa"/>
            <w:vAlign w:val="center"/>
          </w:tcPr>
          <w:p>
            <w:pPr>
              <w:autoSpaceDE w:val="0"/>
              <w:autoSpaceDN w:val="0"/>
              <w:adjustRightInd w:val="0"/>
              <w:spacing w:before="2" w:line="400" w:lineRule="exact"/>
              <w:jc w:val="center"/>
              <w:rPr>
                <w:rFonts w:hint="eastAsia" w:ascii="宋体" w:hAnsi="宋体" w:eastAsia="宋体" w:cs="宋体"/>
                <w:color w:val="auto"/>
                <w:sz w:val="22"/>
                <w:szCs w:val="22"/>
              </w:rPr>
            </w:pPr>
            <w:r>
              <w:rPr>
                <w:rFonts w:hint="eastAsia" w:ascii="宋体" w:hAnsi="宋体" w:eastAsia="宋体" w:cs="宋体"/>
                <w:color w:val="auto"/>
                <w:sz w:val="22"/>
                <w:szCs w:val="22"/>
              </w:rPr>
              <w:t>3</w:t>
            </w:r>
          </w:p>
        </w:tc>
        <w:tc>
          <w:tcPr>
            <w:tcW w:w="5676" w:type="dxa"/>
            <w:tcBorders>
              <w:right w:val="single" w:color="auto" w:sz="4" w:space="0"/>
            </w:tcBorders>
            <w:vAlign w:val="center"/>
          </w:tcPr>
          <w:p>
            <w:pPr>
              <w:snapToGrid w:val="0"/>
              <w:spacing w:line="240" w:lineRule="auto"/>
              <w:rPr>
                <w:rFonts w:hint="eastAsia"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有依法缴纳税收和社会保障资金的良好记录：</w:t>
            </w:r>
          </w:p>
          <w:p>
            <w:pPr>
              <w:snapToGrid w:val="0"/>
              <w:spacing w:line="240" w:lineRule="auto"/>
              <w:rPr>
                <w:rFonts w:hint="eastAsia"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Ⅰ、供应商须提供自2022年1月1日至今已缴纳的至少一个月的纳税证明或完税证明，纳税证明或完税证明上应有代收机构或税务机关的公章或业务专用章复印件</w:t>
            </w:r>
            <w:r>
              <w:rPr>
                <w:rFonts w:hint="eastAsia" w:ascii="宋体" w:hAnsi="宋体" w:cs="宋体"/>
                <w:color w:val="auto"/>
                <w:sz w:val="22"/>
                <w:szCs w:val="22"/>
                <w:lang w:val="en-US" w:eastAsia="zh-CN"/>
              </w:rPr>
              <w:t>（注：①</w:t>
            </w:r>
            <w:r>
              <w:rPr>
                <w:rFonts w:hint="eastAsia" w:ascii="宋体" w:hAnsi="宋体" w:eastAsia="宋体" w:cs="宋体"/>
                <w:color w:val="auto"/>
                <w:sz w:val="22"/>
                <w:szCs w:val="22"/>
                <w:lang w:val="en-US" w:eastAsia="zh-CN"/>
              </w:rPr>
              <w:t>依法免税的应提供相关文件证明</w:t>
            </w:r>
            <w:r>
              <w:rPr>
                <w:rFonts w:hint="eastAsia" w:ascii="宋体" w:hAnsi="宋体" w:cs="宋体"/>
                <w:color w:val="auto"/>
                <w:sz w:val="22"/>
                <w:szCs w:val="22"/>
                <w:lang w:val="en-US" w:eastAsia="zh-CN"/>
              </w:rPr>
              <w:t>；②公益类事业单位无需提供；③新成立未发生缴纳税收事项的投标人，应提供纳税书面承诺）</w:t>
            </w:r>
            <w:r>
              <w:rPr>
                <w:rFonts w:hint="eastAsia" w:ascii="宋体" w:hAnsi="宋体" w:eastAsia="宋体" w:cs="宋体"/>
                <w:color w:val="auto"/>
                <w:sz w:val="22"/>
                <w:szCs w:val="22"/>
                <w:lang w:val="en-US" w:eastAsia="zh-CN"/>
              </w:rPr>
              <w:t>；</w:t>
            </w:r>
          </w:p>
          <w:p>
            <w:pPr>
              <w:snapToGrid w:val="0"/>
              <w:spacing w:line="240" w:lineRule="auto"/>
              <w:rPr>
                <w:rFonts w:hint="eastAsia" w:ascii="宋体" w:hAnsi="宋体" w:eastAsia="宋体" w:cs="宋体"/>
                <w:color w:val="auto"/>
                <w:sz w:val="22"/>
                <w:szCs w:val="22"/>
                <w:lang w:eastAsia="zh-CN"/>
              </w:rPr>
            </w:pPr>
            <w:r>
              <w:rPr>
                <w:rFonts w:hint="eastAsia" w:ascii="宋体" w:hAnsi="宋体" w:eastAsia="宋体" w:cs="宋体"/>
                <w:color w:val="auto"/>
                <w:sz w:val="22"/>
                <w:szCs w:val="22"/>
                <w:lang w:val="en-US" w:eastAsia="zh-CN"/>
              </w:rPr>
              <w:t>Ⅱ、供应商须提供供应商为法定代表人或其被授权委托人（磋商函签署人）和项目经理自2022年1月1日起已缴纳的至少一个月的社保机构出具的社会保险参保缴费情况证明复印件；</w:t>
            </w:r>
          </w:p>
        </w:tc>
        <w:tc>
          <w:tcPr>
            <w:tcW w:w="2757" w:type="dxa"/>
            <w:tcBorders>
              <w:left w:val="single" w:color="auto" w:sz="4" w:space="0"/>
            </w:tcBorders>
            <w:vAlign w:val="center"/>
          </w:tcPr>
          <w:p>
            <w:pPr>
              <w:jc w:val="center"/>
              <w:rPr>
                <w:rFonts w:hint="eastAsia" w:ascii="宋体" w:hAnsi="宋体" w:eastAsia="宋体" w:cs="宋体"/>
                <w:b/>
                <w:bCs/>
                <w:color w:val="auto"/>
                <w:sz w:val="22"/>
                <w:szCs w:val="22"/>
                <w:lang w:eastAsia="zh-CN"/>
              </w:rPr>
            </w:pPr>
            <w:r>
              <w:rPr>
                <w:rFonts w:hint="eastAsia" w:ascii="宋体" w:hAnsi="宋体" w:eastAsia="宋体" w:cs="宋体"/>
                <w:b/>
                <w:bCs/>
                <w:color w:val="auto"/>
                <w:sz w:val="22"/>
                <w:szCs w:val="22"/>
                <w:lang w:val="en-US" w:eastAsia="zh-CN"/>
              </w:rPr>
              <w:t>【提供加盖公章的复印件，原件备查】</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515" w:hRule="atLeast"/>
          <w:jc w:val="center"/>
        </w:trPr>
        <w:tc>
          <w:tcPr>
            <w:tcW w:w="709" w:type="dxa"/>
            <w:vAlign w:val="center"/>
          </w:tcPr>
          <w:p>
            <w:pPr>
              <w:autoSpaceDE w:val="0"/>
              <w:autoSpaceDN w:val="0"/>
              <w:adjustRightInd w:val="0"/>
              <w:spacing w:before="2" w:line="400" w:lineRule="exact"/>
              <w:jc w:val="center"/>
              <w:rPr>
                <w:rFonts w:hint="eastAsia" w:ascii="宋体" w:hAnsi="宋体" w:eastAsia="宋体" w:cs="宋体"/>
                <w:color w:val="auto"/>
                <w:sz w:val="22"/>
                <w:szCs w:val="22"/>
              </w:rPr>
            </w:pPr>
            <w:r>
              <w:rPr>
                <w:rFonts w:hint="eastAsia" w:ascii="宋体" w:hAnsi="宋体" w:eastAsia="宋体" w:cs="宋体"/>
                <w:color w:val="auto"/>
                <w:sz w:val="22"/>
                <w:szCs w:val="22"/>
              </w:rPr>
              <w:t>4</w:t>
            </w:r>
          </w:p>
        </w:tc>
        <w:tc>
          <w:tcPr>
            <w:tcW w:w="5676" w:type="dxa"/>
            <w:tcBorders>
              <w:right w:val="single" w:color="auto" w:sz="4" w:space="0"/>
            </w:tcBorders>
            <w:vAlign w:val="center"/>
          </w:tcPr>
          <w:p>
            <w:pPr>
              <w:snapToGrid w:val="0"/>
              <w:spacing w:line="240" w:lineRule="auto"/>
              <w:rPr>
                <w:rFonts w:hint="eastAsia" w:ascii="宋体" w:hAnsi="宋体" w:eastAsia="宋体" w:cs="宋体"/>
                <w:color w:val="auto"/>
                <w:sz w:val="22"/>
                <w:szCs w:val="22"/>
                <w:lang w:eastAsia="zh-CN"/>
              </w:rPr>
            </w:pPr>
            <w:r>
              <w:rPr>
                <w:rFonts w:hint="eastAsia" w:ascii="宋体" w:hAnsi="宋体" w:eastAsia="宋体" w:cs="宋体"/>
                <w:color w:val="auto"/>
                <w:sz w:val="22"/>
                <w:szCs w:val="22"/>
                <w:lang w:val="en-US" w:eastAsia="zh-CN"/>
              </w:rPr>
              <w:t>具有良好的商业信誉和健全的财务会计制度：I、提供2019、2020或2021年年度经会计师事务所或审计机构审计的财务会计报表，包括资产负债表、现金流量表、利润表和财务情况说明书的复印件（若供应商成立时间至提交响应文件截止时间不足一年，提供成立后任意时段的资产负债表复印件）；II、、提供成交前三个月内基本存款账户开户银行出具的资信证明及基本存款账户开户信息复印件；III、提供信用担保机构出具的磋商担保函复印件。（以上三种形式的证明资料提供任意一种即可，但成交现场以第II种或第III种形式提交资料的，需提供上述证明材料原件备查）；</w:t>
            </w:r>
          </w:p>
        </w:tc>
        <w:tc>
          <w:tcPr>
            <w:tcW w:w="2757" w:type="dxa"/>
            <w:tcBorders>
              <w:left w:val="single" w:color="auto" w:sz="4" w:space="0"/>
            </w:tcBorders>
            <w:vAlign w:val="center"/>
          </w:tcPr>
          <w:p>
            <w:pPr>
              <w:jc w:val="center"/>
              <w:rPr>
                <w:rFonts w:hint="eastAsia" w:ascii="宋体" w:hAnsi="宋体" w:eastAsia="宋体" w:cs="宋体"/>
                <w:b/>
                <w:bCs/>
                <w:color w:val="auto"/>
                <w:sz w:val="22"/>
                <w:szCs w:val="22"/>
                <w:lang w:eastAsia="zh-CN"/>
              </w:rPr>
            </w:pPr>
            <w:r>
              <w:rPr>
                <w:rFonts w:hint="eastAsia" w:ascii="宋体" w:hAnsi="宋体" w:eastAsia="宋体" w:cs="宋体"/>
                <w:b/>
                <w:bCs/>
                <w:color w:val="auto"/>
                <w:sz w:val="22"/>
                <w:szCs w:val="22"/>
                <w:lang w:val="en-US" w:eastAsia="zh-CN"/>
              </w:rPr>
              <w:t>【提供加盖公章的复印件，原件备查】</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531" w:hRule="atLeast"/>
          <w:jc w:val="center"/>
        </w:trPr>
        <w:tc>
          <w:tcPr>
            <w:tcW w:w="709" w:type="dxa"/>
            <w:vAlign w:val="center"/>
          </w:tcPr>
          <w:p>
            <w:pPr>
              <w:autoSpaceDE w:val="0"/>
              <w:autoSpaceDN w:val="0"/>
              <w:adjustRightInd w:val="0"/>
              <w:spacing w:before="2" w:line="400" w:lineRule="exact"/>
              <w:jc w:val="center"/>
              <w:rPr>
                <w:rFonts w:hint="eastAsia" w:ascii="宋体" w:hAnsi="宋体" w:eastAsia="宋体" w:cs="宋体"/>
                <w:color w:val="auto"/>
                <w:sz w:val="22"/>
                <w:szCs w:val="22"/>
              </w:rPr>
            </w:pPr>
            <w:r>
              <w:rPr>
                <w:rFonts w:hint="eastAsia" w:ascii="宋体" w:hAnsi="宋体" w:eastAsia="宋体" w:cs="宋体"/>
                <w:color w:val="auto"/>
                <w:sz w:val="22"/>
                <w:szCs w:val="22"/>
              </w:rPr>
              <w:t>5</w:t>
            </w:r>
          </w:p>
        </w:tc>
        <w:tc>
          <w:tcPr>
            <w:tcW w:w="5676" w:type="dxa"/>
            <w:tcBorders>
              <w:right w:val="single" w:color="auto" w:sz="4" w:space="0"/>
            </w:tcBorders>
            <w:vAlign w:val="center"/>
          </w:tcPr>
          <w:p>
            <w:pPr>
              <w:snapToGrid w:val="0"/>
              <w:spacing w:line="240" w:lineRule="auto"/>
              <w:rPr>
                <w:rFonts w:hint="eastAsia" w:ascii="宋体" w:hAnsi="宋体" w:eastAsia="宋体" w:cs="宋体"/>
                <w:color w:val="auto"/>
                <w:sz w:val="22"/>
                <w:szCs w:val="22"/>
                <w:lang w:eastAsia="zh-CN"/>
              </w:rPr>
            </w:pPr>
            <w:r>
              <w:rPr>
                <w:rFonts w:hint="eastAsia" w:ascii="宋体" w:hAnsi="宋体" w:eastAsia="宋体" w:cs="宋体"/>
                <w:color w:val="auto"/>
                <w:sz w:val="22"/>
                <w:szCs w:val="22"/>
                <w:lang w:val="en-US" w:eastAsia="zh-CN"/>
              </w:rPr>
              <w:t>供应商应授权合法的人员参加磋商会议，其中法定代表人直接参加的，须出具法人身份证原件，并与营业执照上信息一致；授权代表参加的，须出具法定代表人授权书及被授权人身份证原件；</w:t>
            </w:r>
          </w:p>
        </w:tc>
        <w:tc>
          <w:tcPr>
            <w:tcW w:w="2757" w:type="dxa"/>
            <w:tcBorders>
              <w:left w:val="single" w:color="auto" w:sz="4" w:space="0"/>
            </w:tcBorders>
            <w:vAlign w:val="center"/>
          </w:tcPr>
          <w:p>
            <w:pPr>
              <w:jc w:val="center"/>
              <w:rPr>
                <w:rFonts w:hint="eastAsia" w:ascii="宋体" w:hAnsi="宋体" w:eastAsia="宋体" w:cs="宋体"/>
                <w:b/>
                <w:bCs/>
                <w:color w:val="auto"/>
                <w:sz w:val="22"/>
                <w:szCs w:val="22"/>
                <w:lang w:eastAsia="zh-CN"/>
              </w:rPr>
            </w:pPr>
            <w:r>
              <w:rPr>
                <w:rFonts w:hint="eastAsia" w:ascii="宋体" w:hAnsi="宋体" w:eastAsia="宋体" w:cs="宋体"/>
                <w:b/>
                <w:bCs/>
                <w:color w:val="auto"/>
                <w:sz w:val="22"/>
                <w:szCs w:val="22"/>
                <w:lang w:val="en-US" w:eastAsia="zh-CN"/>
              </w:rPr>
              <w:t>【提供原件及加盖公章的复印件】</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055" w:hRule="atLeast"/>
          <w:jc w:val="center"/>
        </w:trPr>
        <w:tc>
          <w:tcPr>
            <w:tcW w:w="709" w:type="dxa"/>
            <w:vAlign w:val="center"/>
          </w:tcPr>
          <w:p>
            <w:pPr>
              <w:autoSpaceDE w:val="0"/>
              <w:autoSpaceDN w:val="0"/>
              <w:adjustRightInd w:val="0"/>
              <w:spacing w:before="2" w:line="400" w:lineRule="exact"/>
              <w:jc w:val="center"/>
              <w:rPr>
                <w:rFonts w:hint="eastAsia" w:ascii="宋体" w:hAnsi="宋体" w:eastAsia="宋体" w:cs="宋体"/>
                <w:color w:val="auto"/>
                <w:sz w:val="22"/>
                <w:szCs w:val="22"/>
              </w:rPr>
            </w:pPr>
            <w:r>
              <w:rPr>
                <w:rFonts w:hint="eastAsia" w:ascii="宋体" w:hAnsi="宋体" w:eastAsia="宋体" w:cs="宋体"/>
                <w:color w:val="auto"/>
                <w:sz w:val="22"/>
                <w:szCs w:val="22"/>
              </w:rPr>
              <w:t>6</w:t>
            </w:r>
          </w:p>
        </w:tc>
        <w:tc>
          <w:tcPr>
            <w:tcW w:w="5676" w:type="dxa"/>
            <w:tcBorders>
              <w:right w:val="single" w:color="auto" w:sz="4" w:space="0"/>
            </w:tcBorders>
            <w:vAlign w:val="center"/>
          </w:tcPr>
          <w:p>
            <w:pPr>
              <w:snapToGrid w:val="0"/>
              <w:spacing w:line="240" w:lineRule="auto"/>
              <w:rPr>
                <w:rFonts w:hint="eastAsia" w:ascii="宋体" w:hAnsi="宋体" w:eastAsia="宋体" w:cs="宋体"/>
                <w:color w:val="auto"/>
                <w:sz w:val="22"/>
                <w:szCs w:val="22"/>
              </w:rPr>
            </w:pPr>
            <w:r>
              <w:rPr>
                <w:rFonts w:hint="eastAsia" w:ascii="宋体" w:hAnsi="宋体" w:eastAsia="宋体" w:cs="宋体"/>
                <w:color w:val="auto"/>
                <w:sz w:val="22"/>
                <w:szCs w:val="22"/>
                <w:lang w:val="en-US" w:eastAsia="zh-CN"/>
              </w:rPr>
              <w:t>出具参加本次采购活动前三年内在经营活动中没有重大违法记录的书面声明；</w:t>
            </w:r>
          </w:p>
        </w:tc>
        <w:tc>
          <w:tcPr>
            <w:tcW w:w="2757" w:type="dxa"/>
            <w:tcBorders>
              <w:left w:val="single" w:color="auto" w:sz="4" w:space="0"/>
            </w:tcBorders>
            <w:vAlign w:val="center"/>
          </w:tcPr>
          <w:p>
            <w:pPr>
              <w:jc w:val="center"/>
              <w:rPr>
                <w:rFonts w:hint="eastAsia" w:ascii="宋体" w:hAnsi="宋体" w:eastAsia="宋体" w:cs="宋体"/>
                <w:b/>
                <w:bCs/>
                <w:color w:val="auto"/>
                <w:sz w:val="22"/>
                <w:szCs w:val="22"/>
                <w:lang w:eastAsia="zh-CN"/>
              </w:rPr>
            </w:pPr>
            <w:r>
              <w:rPr>
                <w:rFonts w:hint="eastAsia" w:ascii="宋体" w:hAnsi="宋体" w:eastAsia="宋体" w:cs="宋体"/>
                <w:b/>
                <w:bCs/>
                <w:color w:val="auto"/>
                <w:sz w:val="22"/>
                <w:szCs w:val="22"/>
                <w:lang w:val="en-US" w:eastAsia="zh-CN"/>
              </w:rPr>
              <w:t>【提供“书面声明”原件】</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213" w:hRule="atLeast"/>
          <w:jc w:val="center"/>
        </w:trPr>
        <w:tc>
          <w:tcPr>
            <w:tcW w:w="709" w:type="dxa"/>
            <w:vAlign w:val="center"/>
          </w:tcPr>
          <w:p>
            <w:pPr>
              <w:autoSpaceDE w:val="0"/>
              <w:autoSpaceDN w:val="0"/>
              <w:adjustRightInd w:val="0"/>
              <w:spacing w:before="2" w:line="400" w:lineRule="exact"/>
              <w:jc w:val="center"/>
              <w:rPr>
                <w:rFonts w:hint="eastAsia" w:ascii="宋体" w:hAnsi="宋体" w:eastAsia="宋体" w:cs="宋体"/>
                <w:color w:val="auto"/>
                <w:sz w:val="22"/>
                <w:szCs w:val="22"/>
              </w:rPr>
            </w:pPr>
            <w:r>
              <w:rPr>
                <w:rFonts w:hint="eastAsia" w:ascii="宋体" w:hAnsi="宋体" w:eastAsia="宋体" w:cs="宋体"/>
                <w:color w:val="auto"/>
                <w:sz w:val="22"/>
                <w:szCs w:val="22"/>
              </w:rPr>
              <w:t>7</w:t>
            </w:r>
          </w:p>
        </w:tc>
        <w:tc>
          <w:tcPr>
            <w:tcW w:w="5676" w:type="dxa"/>
            <w:tcBorders>
              <w:right w:val="single" w:color="auto" w:sz="4" w:space="0"/>
            </w:tcBorders>
            <w:vAlign w:val="center"/>
          </w:tcPr>
          <w:p>
            <w:pPr>
              <w:snapToGrid w:val="0"/>
              <w:spacing w:line="240" w:lineRule="auto"/>
              <w:rPr>
                <w:rFonts w:hint="eastAsia" w:ascii="宋体" w:hAnsi="宋体" w:eastAsia="宋体" w:cs="宋体"/>
                <w:color w:val="auto"/>
                <w:sz w:val="22"/>
                <w:szCs w:val="22"/>
                <w:lang w:eastAsia="zh-CN"/>
              </w:rPr>
            </w:pPr>
            <w:r>
              <w:rPr>
                <w:rFonts w:hint="eastAsia" w:ascii="宋体" w:hAnsi="宋体" w:eastAsia="宋体" w:cs="宋体"/>
                <w:color w:val="auto"/>
                <w:sz w:val="22"/>
                <w:szCs w:val="22"/>
                <w:lang w:val="en-US" w:eastAsia="zh-CN"/>
              </w:rPr>
              <w:t>供应商未被列入“信用中国”网站（</w:t>
            </w:r>
            <w:r>
              <w:rPr>
                <w:rFonts w:hint="eastAsia" w:ascii="宋体" w:hAnsi="宋体" w:eastAsia="宋体" w:cs="宋体"/>
                <w:color w:val="auto"/>
                <w:sz w:val="22"/>
                <w:szCs w:val="22"/>
                <w:lang w:val="en-US" w:eastAsia="zh-CN"/>
              </w:rPr>
              <w:fldChar w:fldCharType="begin"/>
            </w:r>
            <w:r>
              <w:rPr>
                <w:rFonts w:hint="eastAsia" w:ascii="宋体" w:hAnsi="宋体" w:eastAsia="宋体" w:cs="宋体"/>
                <w:color w:val="auto"/>
                <w:sz w:val="22"/>
                <w:szCs w:val="22"/>
                <w:lang w:val="en-US" w:eastAsia="zh-CN"/>
              </w:rPr>
              <w:instrText xml:space="preserve"> HYPERLINK "http://www.creditchina.gov.cn/" \h </w:instrText>
            </w:r>
            <w:r>
              <w:rPr>
                <w:rFonts w:hint="eastAsia" w:ascii="宋体" w:hAnsi="宋体" w:eastAsia="宋体" w:cs="宋体"/>
                <w:color w:val="auto"/>
                <w:sz w:val="22"/>
                <w:szCs w:val="22"/>
                <w:lang w:val="en-US" w:eastAsia="zh-CN"/>
              </w:rPr>
              <w:fldChar w:fldCharType="separate"/>
            </w:r>
            <w:r>
              <w:rPr>
                <w:rFonts w:hint="eastAsia" w:ascii="宋体" w:hAnsi="宋体" w:eastAsia="宋体" w:cs="宋体"/>
                <w:color w:val="auto"/>
                <w:sz w:val="22"/>
                <w:szCs w:val="22"/>
                <w:lang w:val="en-US" w:eastAsia="zh-CN"/>
              </w:rPr>
              <w:t>http://www.creditchina.gov.cn</w:t>
            </w:r>
            <w:r>
              <w:rPr>
                <w:rFonts w:hint="eastAsia" w:ascii="宋体" w:hAnsi="宋体" w:eastAsia="宋体" w:cs="宋体"/>
                <w:color w:val="auto"/>
                <w:sz w:val="22"/>
                <w:szCs w:val="22"/>
                <w:lang w:val="en-US" w:eastAsia="zh-CN"/>
              </w:rPr>
              <w:fldChar w:fldCharType="end"/>
            </w:r>
            <w:r>
              <w:rPr>
                <w:rFonts w:hint="eastAsia" w:ascii="宋体" w:hAnsi="宋体" w:eastAsia="宋体" w:cs="宋体"/>
                <w:color w:val="auto"/>
                <w:sz w:val="22"/>
                <w:szCs w:val="22"/>
                <w:lang w:val="en-US" w:eastAsia="zh-CN"/>
              </w:rPr>
              <w:t>）失信黑名单中和“中国政府采购网”(</w:t>
            </w:r>
            <w:r>
              <w:rPr>
                <w:rFonts w:hint="eastAsia" w:ascii="宋体" w:hAnsi="宋体" w:eastAsia="宋体" w:cs="宋体"/>
                <w:color w:val="auto"/>
                <w:sz w:val="22"/>
                <w:szCs w:val="22"/>
                <w:lang w:val="en-US" w:eastAsia="zh-CN"/>
              </w:rPr>
              <w:fldChar w:fldCharType="begin"/>
            </w:r>
            <w:r>
              <w:rPr>
                <w:rFonts w:hint="eastAsia" w:ascii="宋体" w:hAnsi="宋体" w:eastAsia="宋体" w:cs="宋体"/>
                <w:color w:val="auto"/>
                <w:sz w:val="22"/>
                <w:szCs w:val="22"/>
                <w:lang w:val="en-US" w:eastAsia="zh-CN"/>
              </w:rPr>
              <w:instrText xml:space="preserve"> HYPERLINK "http://www.ccgp.gov.cn/" \h </w:instrText>
            </w:r>
            <w:r>
              <w:rPr>
                <w:rFonts w:hint="eastAsia" w:ascii="宋体" w:hAnsi="宋体" w:eastAsia="宋体" w:cs="宋体"/>
                <w:color w:val="auto"/>
                <w:sz w:val="22"/>
                <w:szCs w:val="22"/>
                <w:lang w:val="en-US" w:eastAsia="zh-CN"/>
              </w:rPr>
              <w:fldChar w:fldCharType="separate"/>
            </w:r>
            <w:r>
              <w:rPr>
                <w:rFonts w:hint="eastAsia" w:ascii="宋体" w:hAnsi="宋体" w:eastAsia="宋体" w:cs="宋体"/>
                <w:color w:val="auto"/>
                <w:sz w:val="22"/>
                <w:szCs w:val="22"/>
                <w:lang w:val="en-US" w:eastAsia="zh-CN"/>
              </w:rPr>
              <w:t>www.ccgp.gov.cn</w:t>
            </w:r>
            <w:r>
              <w:rPr>
                <w:rFonts w:hint="eastAsia" w:ascii="宋体" w:hAnsi="宋体" w:eastAsia="宋体" w:cs="宋体"/>
                <w:color w:val="auto"/>
                <w:sz w:val="22"/>
                <w:szCs w:val="22"/>
                <w:lang w:val="en-US" w:eastAsia="zh-CN"/>
              </w:rPr>
              <w:fldChar w:fldCharType="end"/>
            </w:r>
            <w:r>
              <w:rPr>
                <w:rFonts w:hint="eastAsia" w:ascii="宋体" w:hAnsi="宋体" w:eastAsia="宋体" w:cs="宋体"/>
                <w:color w:val="auto"/>
                <w:sz w:val="22"/>
                <w:szCs w:val="22"/>
                <w:lang w:val="en-US" w:eastAsia="zh-CN"/>
              </w:rPr>
              <w:t>)政府采购严重违法失信行为记录名单的供应商（不得为“信用中国”网站中列入失信被执行人和重大税收违法案件当事人名单，不得为中国政府采购网政府采购严重违法失信行为记录名单中被财政部门禁止参加政府采购活动）；</w:t>
            </w:r>
          </w:p>
        </w:tc>
        <w:tc>
          <w:tcPr>
            <w:tcW w:w="2757" w:type="dxa"/>
            <w:tcBorders>
              <w:left w:val="single" w:color="auto" w:sz="4" w:space="0"/>
            </w:tcBorders>
            <w:vAlign w:val="center"/>
          </w:tcPr>
          <w:p>
            <w:pPr>
              <w:jc w:val="center"/>
              <w:rPr>
                <w:rFonts w:hint="eastAsia" w:ascii="宋体" w:hAnsi="宋体" w:eastAsia="宋体" w:cs="宋体"/>
                <w:b/>
                <w:bCs/>
                <w:color w:val="auto"/>
                <w:sz w:val="22"/>
                <w:szCs w:val="22"/>
                <w:lang w:eastAsia="zh-CN"/>
              </w:rPr>
            </w:pPr>
            <w:r>
              <w:rPr>
                <w:rFonts w:hint="eastAsia" w:ascii="宋体" w:hAnsi="宋体" w:eastAsia="宋体" w:cs="宋体"/>
                <w:b/>
                <w:bCs/>
                <w:color w:val="auto"/>
                <w:sz w:val="22"/>
                <w:szCs w:val="22"/>
                <w:lang w:val="en-US" w:eastAsia="zh-CN"/>
              </w:rPr>
              <w:t>【提供加盖公章</w:t>
            </w:r>
            <w:r>
              <w:rPr>
                <w:rFonts w:hint="eastAsia" w:ascii="宋体" w:hAnsi="宋体" w:cs="宋体"/>
                <w:b/>
                <w:bCs/>
                <w:color w:val="auto"/>
                <w:sz w:val="22"/>
                <w:szCs w:val="22"/>
                <w:lang w:val="en-US" w:eastAsia="zh-CN"/>
              </w:rPr>
              <w:t>、清晰完整的</w:t>
            </w:r>
            <w:r>
              <w:rPr>
                <w:rFonts w:hint="eastAsia" w:ascii="宋体" w:hAnsi="宋体" w:eastAsia="宋体" w:cs="宋体"/>
                <w:b/>
                <w:bCs/>
                <w:color w:val="auto"/>
                <w:sz w:val="22"/>
                <w:szCs w:val="22"/>
                <w:lang w:val="en-US" w:eastAsia="zh-CN"/>
              </w:rPr>
              <w:t>网查截图复印件】</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78" w:hRule="atLeast"/>
          <w:jc w:val="center"/>
        </w:trPr>
        <w:tc>
          <w:tcPr>
            <w:tcW w:w="709" w:type="dxa"/>
            <w:vAlign w:val="center"/>
          </w:tcPr>
          <w:p>
            <w:pPr>
              <w:widowControl/>
              <w:tabs>
                <w:tab w:val="left" w:pos="1620"/>
              </w:tabs>
              <w:spacing w:line="360" w:lineRule="auto"/>
              <w:jc w:val="center"/>
              <w:rPr>
                <w:rFonts w:hint="default" w:ascii="宋体" w:hAnsi="宋体" w:eastAsia="宋体" w:cs="宋体"/>
                <w:color w:val="auto"/>
                <w:sz w:val="22"/>
                <w:szCs w:val="22"/>
                <w:lang w:val="en-US" w:eastAsia="zh-CN"/>
              </w:rPr>
            </w:pPr>
            <w:r>
              <w:rPr>
                <w:rFonts w:hint="eastAsia" w:ascii="宋体" w:hAnsi="宋体" w:cs="宋体"/>
                <w:color w:val="auto"/>
                <w:sz w:val="22"/>
                <w:szCs w:val="22"/>
                <w:lang w:val="en-US" w:eastAsia="zh-CN"/>
              </w:rPr>
              <w:t>8</w:t>
            </w:r>
          </w:p>
        </w:tc>
        <w:tc>
          <w:tcPr>
            <w:tcW w:w="5676" w:type="dxa"/>
            <w:tcBorders>
              <w:right w:val="single" w:color="auto" w:sz="4" w:space="0"/>
            </w:tcBorders>
            <w:vAlign w:val="center"/>
          </w:tcPr>
          <w:p>
            <w:pPr>
              <w:snapToGrid w:val="0"/>
              <w:spacing w:line="240" w:lineRule="auto"/>
              <w:rPr>
                <w:rFonts w:hint="eastAsia"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供应商需提供人社部门出具的近三年无拖欠农民工工资证明原件</w:t>
            </w:r>
            <w:r>
              <w:rPr>
                <w:rFonts w:hint="eastAsia" w:ascii="宋体" w:hAnsi="宋体" w:cs="宋体"/>
                <w:color w:val="auto"/>
                <w:sz w:val="22"/>
                <w:szCs w:val="22"/>
                <w:lang w:val="en-US" w:eastAsia="zh-CN"/>
              </w:rPr>
              <w:t>；</w:t>
            </w:r>
          </w:p>
        </w:tc>
        <w:tc>
          <w:tcPr>
            <w:tcW w:w="2757" w:type="dxa"/>
            <w:tcBorders>
              <w:left w:val="single" w:color="auto" w:sz="4" w:space="0"/>
            </w:tcBorders>
            <w:vAlign w:val="center"/>
          </w:tcPr>
          <w:p>
            <w:pPr>
              <w:jc w:val="center"/>
              <w:rPr>
                <w:rFonts w:hint="eastAsia" w:ascii="宋体" w:hAnsi="宋体" w:eastAsia="宋体" w:cs="宋体"/>
                <w:b/>
                <w:bCs/>
                <w:color w:val="auto"/>
                <w:sz w:val="22"/>
                <w:szCs w:val="22"/>
                <w:lang w:val="en-US" w:eastAsia="zh-CN"/>
              </w:rPr>
            </w:pPr>
            <w:r>
              <w:rPr>
                <w:rFonts w:hint="eastAsia" w:ascii="宋体" w:hAnsi="宋体" w:cs="宋体"/>
                <w:b/>
                <w:bCs/>
                <w:color w:val="auto"/>
                <w:sz w:val="22"/>
                <w:szCs w:val="22"/>
                <w:lang w:val="en-US" w:eastAsia="zh-CN"/>
              </w:rPr>
              <w:t>【提供原件】</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78" w:hRule="atLeast"/>
          <w:jc w:val="center"/>
        </w:trPr>
        <w:tc>
          <w:tcPr>
            <w:tcW w:w="709" w:type="dxa"/>
            <w:vAlign w:val="center"/>
          </w:tcPr>
          <w:p>
            <w:pPr>
              <w:widowControl/>
              <w:tabs>
                <w:tab w:val="left" w:pos="1620"/>
              </w:tabs>
              <w:spacing w:line="360" w:lineRule="auto"/>
              <w:jc w:val="center"/>
              <w:rPr>
                <w:rFonts w:hint="default" w:ascii="宋体" w:hAnsi="宋体" w:eastAsia="宋体" w:cs="宋体"/>
                <w:color w:val="auto"/>
                <w:sz w:val="22"/>
                <w:szCs w:val="22"/>
                <w:lang w:val="en-US" w:eastAsia="zh-CN"/>
              </w:rPr>
            </w:pPr>
            <w:r>
              <w:rPr>
                <w:rFonts w:hint="eastAsia" w:ascii="宋体" w:hAnsi="宋体" w:cs="宋体"/>
                <w:color w:val="auto"/>
                <w:sz w:val="22"/>
                <w:szCs w:val="22"/>
                <w:lang w:val="en-US" w:eastAsia="zh-CN"/>
              </w:rPr>
              <w:t>9</w:t>
            </w:r>
          </w:p>
        </w:tc>
        <w:tc>
          <w:tcPr>
            <w:tcW w:w="5676" w:type="dxa"/>
            <w:tcBorders>
              <w:right w:val="single" w:color="auto" w:sz="4" w:space="0"/>
            </w:tcBorders>
            <w:vAlign w:val="center"/>
          </w:tcPr>
          <w:p>
            <w:pPr>
              <w:snapToGrid w:val="0"/>
              <w:spacing w:line="240" w:lineRule="auto"/>
              <w:rPr>
                <w:rFonts w:hint="eastAsia" w:ascii="宋体" w:hAnsi="宋体" w:eastAsia="宋体" w:cs="宋体"/>
                <w:color w:val="auto"/>
                <w:sz w:val="22"/>
                <w:szCs w:val="22"/>
                <w:lang w:eastAsia="zh-CN"/>
              </w:rPr>
            </w:pPr>
            <w:r>
              <w:rPr>
                <w:rFonts w:hint="eastAsia" w:ascii="宋体" w:hAnsi="宋体" w:eastAsia="宋体" w:cs="宋体"/>
                <w:color w:val="auto"/>
                <w:sz w:val="22"/>
                <w:szCs w:val="22"/>
                <w:lang w:val="en-US" w:eastAsia="zh-CN"/>
              </w:rPr>
              <w:t>本项目不接受联合体磋商；单位负责人为同一人或者存在控股、管理关系的不同单位不得同时投标；</w:t>
            </w:r>
          </w:p>
        </w:tc>
        <w:tc>
          <w:tcPr>
            <w:tcW w:w="2757" w:type="dxa"/>
            <w:tcBorders>
              <w:left w:val="single" w:color="auto" w:sz="4" w:space="0"/>
            </w:tcBorders>
            <w:vAlign w:val="center"/>
          </w:tcPr>
          <w:p>
            <w:pPr>
              <w:jc w:val="center"/>
              <w:rPr>
                <w:rFonts w:hint="eastAsia" w:ascii="宋体" w:hAnsi="宋体" w:eastAsia="宋体" w:cs="宋体"/>
                <w:b/>
                <w:bCs/>
                <w:color w:val="auto"/>
                <w:sz w:val="22"/>
                <w:szCs w:val="22"/>
                <w:lang w:eastAsia="zh-CN"/>
              </w:rPr>
            </w:pPr>
            <w:r>
              <w:rPr>
                <w:rFonts w:hint="eastAsia" w:ascii="宋体" w:hAnsi="宋体" w:eastAsia="宋体" w:cs="宋体"/>
                <w:b/>
                <w:bCs/>
                <w:color w:val="auto"/>
                <w:sz w:val="22"/>
                <w:szCs w:val="22"/>
                <w:lang w:val="en-US" w:eastAsia="zh-CN"/>
              </w:rPr>
              <w:t>【提供非联合体“声明书”原件】</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33" w:hRule="atLeast"/>
          <w:jc w:val="center"/>
        </w:trPr>
        <w:tc>
          <w:tcPr>
            <w:tcW w:w="709" w:type="dxa"/>
            <w:vAlign w:val="center"/>
          </w:tcPr>
          <w:p>
            <w:pPr>
              <w:widowControl/>
              <w:tabs>
                <w:tab w:val="left" w:pos="1620"/>
              </w:tabs>
              <w:spacing w:line="360" w:lineRule="auto"/>
              <w:jc w:val="center"/>
              <w:rPr>
                <w:rFonts w:hint="default" w:ascii="宋体" w:hAnsi="宋体" w:eastAsia="宋体" w:cs="宋体"/>
                <w:color w:val="auto"/>
                <w:kern w:val="2"/>
                <w:sz w:val="22"/>
                <w:szCs w:val="22"/>
                <w:lang w:val="en-US" w:eastAsia="zh-CN" w:bidi="ar-SA"/>
              </w:rPr>
            </w:pPr>
            <w:r>
              <w:rPr>
                <w:rFonts w:hint="eastAsia" w:ascii="宋体" w:hAnsi="宋体" w:cs="宋体"/>
                <w:color w:val="auto"/>
                <w:kern w:val="2"/>
                <w:sz w:val="22"/>
                <w:szCs w:val="22"/>
                <w:lang w:val="en-US" w:eastAsia="zh-CN" w:bidi="ar-SA"/>
              </w:rPr>
              <w:t>10</w:t>
            </w:r>
          </w:p>
        </w:tc>
        <w:tc>
          <w:tcPr>
            <w:tcW w:w="5676" w:type="dxa"/>
            <w:tcBorders>
              <w:right w:val="single" w:color="auto" w:sz="4" w:space="0"/>
            </w:tcBorders>
            <w:vAlign w:val="center"/>
          </w:tcPr>
          <w:p>
            <w:pPr>
              <w:snapToGrid w:val="0"/>
              <w:spacing w:line="360" w:lineRule="auto"/>
              <w:rPr>
                <w:rFonts w:hint="eastAsia" w:ascii="宋体" w:hAnsi="宋体" w:eastAsia="宋体" w:cs="宋体"/>
                <w:color w:val="auto"/>
                <w:kern w:val="2"/>
                <w:sz w:val="22"/>
                <w:szCs w:val="22"/>
                <w:lang w:val="en-US" w:eastAsia="zh-CN" w:bidi="ar-SA"/>
              </w:rPr>
            </w:pPr>
            <w:r>
              <w:rPr>
                <w:rFonts w:hint="eastAsia" w:ascii="宋体" w:hAnsi="宋体" w:eastAsia="宋体" w:cs="宋体"/>
                <w:color w:val="auto"/>
                <w:kern w:val="2"/>
                <w:sz w:val="22"/>
                <w:szCs w:val="22"/>
                <w:lang w:val="en-US" w:eastAsia="zh-CN" w:bidi="ar-SA"/>
              </w:rPr>
              <w:t>磋商保证金收款收据原件或磋商保函原件。</w:t>
            </w:r>
          </w:p>
        </w:tc>
        <w:tc>
          <w:tcPr>
            <w:tcW w:w="2757" w:type="dxa"/>
            <w:tcBorders>
              <w:left w:val="single" w:color="auto" w:sz="4" w:space="0"/>
            </w:tcBorders>
            <w:vAlign w:val="center"/>
          </w:tcPr>
          <w:p>
            <w:pPr>
              <w:jc w:val="center"/>
              <w:rPr>
                <w:rFonts w:hint="eastAsia" w:ascii="宋体" w:hAnsi="宋体" w:eastAsia="宋体" w:cs="宋体"/>
                <w:b/>
                <w:bCs/>
                <w:color w:val="auto"/>
                <w:sz w:val="22"/>
                <w:szCs w:val="22"/>
                <w:lang w:eastAsia="zh-CN"/>
              </w:rPr>
            </w:pPr>
            <w:r>
              <w:rPr>
                <w:rFonts w:hint="eastAsia" w:ascii="宋体" w:hAnsi="宋体" w:eastAsia="宋体" w:cs="宋体"/>
                <w:b/>
                <w:bCs/>
                <w:color w:val="auto"/>
                <w:sz w:val="22"/>
                <w:szCs w:val="22"/>
                <w:lang w:val="en-US" w:eastAsia="zh-CN"/>
              </w:rPr>
              <w:t>【提供原件】</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176" w:hRule="atLeast"/>
          <w:jc w:val="center"/>
        </w:trPr>
        <w:tc>
          <w:tcPr>
            <w:tcW w:w="9142" w:type="dxa"/>
            <w:gridSpan w:val="3"/>
            <w:vAlign w:val="center"/>
          </w:tcPr>
          <w:p>
            <w:pPr>
              <w:pStyle w:val="13"/>
              <w:rPr>
                <w:rFonts w:hint="eastAsia" w:ascii="宋体" w:hAnsi="宋体" w:eastAsia="宋体" w:cs="宋体"/>
                <w:color w:val="auto"/>
                <w:sz w:val="22"/>
                <w:szCs w:val="22"/>
              </w:rPr>
            </w:pPr>
            <w:r>
              <w:rPr>
                <w:rFonts w:hint="eastAsia" w:ascii="宋体" w:hAnsi="宋体" w:eastAsia="宋体" w:cs="宋体"/>
                <w:b/>
                <w:bCs/>
                <w:color w:val="auto"/>
                <w:sz w:val="22"/>
                <w:szCs w:val="22"/>
              </w:rPr>
              <w:t>注：1、以上证书证件原件或复印件及网页截图等资格证明材料要求供应商</w:t>
            </w:r>
            <w:r>
              <w:rPr>
                <w:rFonts w:hint="eastAsia" w:ascii="宋体" w:hAnsi="宋体" w:eastAsia="宋体" w:cs="宋体"/>
                <w:b/>
                <w:bCs/>
                <w:color w:val="auto"/>
                <w:sz w:val="22"/>
                <w:szCs w:val="22"/>
                <w:lang w:eastAsia="zh-CN"/>
              </w:rPr>
              <w:t>作为资格审查资料，密封同磋商响应文件正、副本及磋商报价一览表（单独一页）密封袋一同递交；</w:t>
            </w:r>
            <w:r>
              <w:rPr>
                <w:rFonts w:hint="eastAsia" w:ascii="宋体" w:hAnsi="宋体" w:eastAsia="宋体" w:cs="宋体"/>
                <w:b/>
                <w:bCs/>
                <w:color w:val="auto"/>
                <w:sz w:val="22"/>
                <w:szCs w:val="22"/>
              </w:rPr>
              <w:t>2、若资格审查不合格，退回响应文件将不得进入后续评审</w:t>
            </w:r>
            <w:r>
              <w:rPr>
                <w:rFonts w:hint="eastAsia" w:ascii="宋体" w:hAnsi="宋体" w:eastAsia="宋体" w:cs="宋体"/>
                <w:b/>
                <w:bCs/>
                <w:color w:val="auto"/>
                <w:sz w:val="22"/>
                <w:szCs w:val="22"/>
                <w:lang w:eastAsia="zh-CN"/>
              </w:rPr>
              <w:t>。</w:t>
            </w:r>
          </w:p>
        </w:tc>
      </w:tr>
    </w:tbl>
    <w:p>
      <w:pPr>
        <w:spacing w:before="360" w:beforeLines="150" w:after="120" w:afterLines="50" w:line="360" w:lineRule="auto"/>
        <w:rPr>
          <w:rFonts w:hint="eastAsia" w:ascii="宋体" w:hAnsi="宋体" w:eastAsia="宋体" w:cs="宋体"/>
          <w:color w:val="auto"/>
          <w:sz w:val="24"/>
        </w:rPr>
      </w:pPr>
      <w:r>
        <w:rPr>
          <w:rFonts w:hint="eastAsia" w:ascii="宋体" w:hAnsi="宋体" w:cs="宋体"/>
          <w:b/>
          <w:bCs/>
          <w:color w:val="auto"/>
          <w:sz w:val="24"/>
          <w:shd w:val="clear" w:color="FFFFFF" w:fill="D9D9D9"/>
          <w:lang w:val="en-US" w:eastAsia="zh-CN"/>
        </w:rPr>
        <w:t>4</w:t>
      </w:r>
      <w:r>
        <w:rPr>
          <w:rFonts w:hint="eastAsia" w:ascii="宋体" w:hAnsi="宋体" w:eastAsia="宋体" w:cs="宋体"/>
          <w:b/>
          <w:bCs/>
          <w:color w:val="auto"/>
          <w:sz w:val="24"/>
          <w:shd w:val="clear" w:color="FFFFFF" w:fill="D9D9D9"/>
        </w:rPr>
        <w:t>.2、符合性审查。</w:t>
      </w:r>
      <w:r>
        <w:rPr>
          <w:rFonts w:hint="eastAsia" w:ascii="宋体" w:hAnsi="宋体" w:eastAsia="宋体" w:cs="宋体"/>
          <w:color w:val="auto"/>
          <w:sz w:val="24"/>
        </w:rPr>
        <w:t>磋商小组从响应文件的有效性、完整性和对竞争性磋商文件的响应程度进行符合性审查，以确定其是否对竞争性磋商文件实质性内容作出响应</w:t>
      </w:r>
      <w:r>
        <w:rPr>
          <w:rFonts w:hint="eastAsia" w:ascii="宋体" w:hAnsi="宋体" w:eastAsia="宋体" w:cs="宋体"/>
          <w:color w:val="auto"/>
          <w:kern w:val="0"/>
          <w:sz w:val="24"/>
        </w:rPr>
        <w:t>（采购人可根据具体项目的情况对实质性要求作特别的具体规定）</w:t>
      </w:r>
      <w:r>
        <w:rPr>
          <w:rFonts w:hint="eastAsia" w:ascii="宋体" w:hAnsi="宋体" w:cs="宋体"/>
          <w:color w:val="auto"/>
          <w:kern w:val="0"/>
          <w:sz w:val="24"/>
          <w:lang w:eastAsia="zh-CN"/>
        </w:rPr>
        <w:t>。</w:t>
      </w:r>
      <w:r>
        <w:rPr>
          <w:rFonts w:hint="eastAsia" w:ascii="宋体" w:hAnsi="宋体" w:eastAsia="宋体" w:cs="宋体"/>
          <w:color w:val="auto"/>
          <w:sz w:val="24"/>
        </w:rPr>
        <w:t>符合性审查标准如下：</w:t>
      </w:r>
    </w:p>
    <w:tbl>
      <w:tblPr>
        <w:tblStyle w:val="28"/>
        <w:tblpPr w:leftFromText="180" w:rightFromText="180" w:vertAnchor="text" w:horzAnchor="page" w:tblpX="1570" w:tblpY="52"/>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2835"/>
        <w:gridCol w:w="55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trPr>
        <w:tc>
          <w:tcPr>
            <w:tcW w:w="817" w:type="dxa"/>
            <w:noWrap w:val="0"/>
            <w:vAlign w:val="center"/>
          </w:tcPr>
          <w:p>
            <w:pPr>
              <w:spacing w:line="240" w:lineRule="auto"/>
              <w:jc w:val="center"/>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序号</w:t>
            </w:r>
          </w:p>
        </w:tc>
        <w:tc>
          <w:tcPr>
            <w:tcW w:w="2835" w:type="dxa"/>
            <w:noWrap w:val="0"/>
            <w:vAlign w:val="center"/>
          </w:tcPr>
          <w:p>
            <w:pPr>
              <w:spacing w:line="240" w:lineRule="auto"/>
              <w:jc w:val="center"/>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评审项目</w:t>
            </w:r>
          </w:p>
        </w:tc>
        <w:tc>
          <w:tcPr>
            <w:tcW w:w="5528" w:type="dxa"/>
            <w:noWrap w:val="0"/>
            <w:vAlign w:val="center"/>
          </w:tcPr>
          <w:p>
            <w:pPr>
              <w:spacing w:line="240" w:lineRule="auto"/>
              <w:jc w:val="center"/>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trPr>
        <w:tc>
          <w:tcPr>
            <w:tcW w:w="817" w:type="dxa"/>
            <w:noWrap w:val="0"/>
            <w:vAlign w:val="center"/>
          </w:tcPr>
          <w:p>
            <w:pPr>
              <w:spacing w:line="240" w:lineRule="auto"/>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w:t>
            </w:r>
          </w:p>
        </w:tc>
        <w:tc>
          <w:tcPr>
            <w:tcW w:w="2835" w:type="dxa"/>
            <w:noWrap w:val="0"/>
            <w:vAlign w:val="center"/>
          </w:tcPr>
          <w:p>
            <w:pPr>
              <w:spacing w:line="240" w:lineRule="auto"/>
              <w:jc w:val="both"/>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响应文件的签署盖章</w:t>
            </w:r>
          </w:p>
        </w:tc>
        <w:tc>
          <w:tcPr>
            <w:tcW w:w="5528" w:type="dxa"/>
            <w:noWrap w:val="0"/>
            <w:vAlign w:val="center"/>
          </w:tcPr>
          <w:p>
            <w:pPr>
              <w:spacing w:line="240" w:lineRule="auto"/>
              <w:jc w:val="both"/>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响应文件上法定代表人或其授权代表人的签字齐全并加盖公章；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trPr>
        <w:tc>
          <w:tcPr>
            <w:tcW w:w="817" w:type="dxa"/>
            <w:noWrap w:val="0"/>
            <w:vAlign w:val="center"/>
          </w:tcPr>
          <w:p>
            <w:pPr>
              <w:spacing w:line="240" w:lineRule="auto"/>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w:t>
            </w:r>
          </w:p>
        </w:tc>
        <w:tc>
          <w:tcPr>
            <w:tcW w:w="2835" w:type="dxa"/>
            <w:noWrap w:val="0"/>
            <w:vAlign w:val="center"/>
          </w:tcPr>
          <w:p>
            <w:pPr>
              <w:spacing w:line="240" w:lineRule="auto"/>
              <w:jc w:val="both"/>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响应文件格式</w:t>
            </w:r>
          </w:p>
        </w:tc>
        <w:tc>
          <w:tcPr>
            <w:tcW w:w="5528" w:type="dxa"/>
            <w:noWrap w:val="0"/>
            <w:vAlign w:val="center"/>
          </w:tcPr>
          <w:p>
            <w:pPr>
              <w:spacing w:line="240" w:lineRule="auto"/>
              <w:jc w:val="both"/>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应符合“响应文件格式”要求；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817" w:type="dxa"/>
            <w:noWrap w:val="0"/>
            <w:vAlign w:val="center"/>
          </w:tcPr>
          <w:p>
            <w:pPr>
              <w:spacing w:line="240" w:lineRule="auto"/>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w:t>
            </w:r>
          </w:p>
        </w:tc>
        <w:tc>
          <w:tcPr>
            <w:tcW w:w="2835" w:type="dxa"/>
            <w:noWrap w:val="0"/>
            <w:vAlign w:val="center"/>
          </w:tcPr>
          <w:p>
            <w:pPr>
              <w:spacing w:line="240" w:lineRule="auto"/>
              <w:jc w:val="both"/>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响应文件递交</w:t>
            </w:r>
          </w:p>
        </w:tc>
        <w:tc>
          <w:tcPr>
            <w:tcW w:w="5528" w:type="dxa"/>
            <w:noWrap w:val="0"/>
            <w:vAlign w:val="center"/>
          </w:tcPr>
          <w:p>
            <w:pPr>
              <w:spacing w:line="240" w:lineRule="auto"/>
              <w:jc w:val="both"/>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应符合“供应商须知前附表”规定；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817" w:type="dxa"/>
            <w:noWrap w:val="0"/>
            <w:vAlign w:val="center"/>
          </w:tcPr>
          <w:p>
            <w:pPr>
              <w:spacing w:line="240" w:lineRule="auto"/>
              <w:jc w:val="center"/>
              <w:rPr>
                <w:rFonts w:hint="default" w:ascii="宋体" w:hAnsi="宋体" w:eastAsia="宋体" w:cs="宋体"/>
                <w:color w:val="auto"/>
                <w:sz w:val="24"/>
                <w:szCs w:val="24"/>
                <w:lang w:val="en-US" w:eastAsia="zh-CN"/>
              </w:rPr>
            </w:pPr>
            <w:r>
              <w:rPr>
                <w:rFonts w:hint="eastAsia" w:ascii="宋体" w:hAnsi="宋体" w:cs="宋体"/>
                <w:color w:val="auto"/>
                <w:sz w:val="24"/>
                <w:szCs w:val="24"/>
                <w:lang w:val="en-US" w:eastAsia="zh-CN"/>
              </w:rPr>
              <w:t>4</w:t>
            </w:r>
          </w:p>
        </w:tc>
        <w:tc>
          <w:tcPr>
            <w:tcW w:w="2835" w:type="dxa"/>
            <w:noWrap w:val="0"/>
            <w:vAlign w:val="center"/>
          </w:tcPr>
          <w:p>
            <w:pPr>
              <w:spacing w:line="240" w:lineRule="auto"/>
              <w:jc w:val="both"/>
              <w:rPr>
                <w:rFonts w:hint="eastAsia" w:ascii="宋体" w:hAnsi="宋体" w:eastAsia="宋体" w:cs="宋体"/>
                <w:color w:val="auto"/>
                <w:sz w:val="24"/>
                <w:szCs w:val="24"/>
                <w:lang w:val="en-US" w:eastAsia="zh-CN"/>
              </w:rPr>
            </w:pPr>
            <w:r>
              <w:rPr>
                <w:rFonts w:hint="eastAsia" w:ascii="宋体" w:hAnsi="宋体" w:cs="宋体"/>
                <w:color w:val="auto"/>
                <w:sz w:val="24"/>
                <w:szCs w:val="24"/>
                <w:lang w:val="en-US" w:eastAsia="zh-CN"/>
              </w:rPr>
              <w:t>工程质量及工期</w:t>
            </w:r>
          </w:p>
        </w:tc>
        <w:tc>
          <w:tcPr>
            <w:tcW w:w="5528" w:type="dxa"/>
            <w:noWrap w:val="0"/>
            <w:vAlign w:val="center"/>
          </w:tcPr>
          <w:p>
            <w:pPr>
              <w:spacing w:line="240" w:lineRule="auto"/>
              <w:jc w:val="both"/>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应符合“供应商须知前附表”规定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1" w:hRule="atLeast"/>
        </w:trPr>
        <w:tc>
          <w:tcPr>
            <w:tcW w:w="817" w:type="dxa"/>
            <w:noWrap w:val="0"/>
            <w:vAlign w:val="center"/>
          </w:tcPr>
          <w:p>
            <w:pPr>
              <w:spacing w:line="240" w:lineRule="auto"/>
              <w:jc w:val="center"/>
              <w:rPr>
                <w:rFonts w:hint="default" w:ascii="宋体" w:hAnsi="宋体" w:eastAsia="宋体" w:cs="宋体"/>
                <w:color w:val="auto"/>
                <w:sz w:val="24"/>
                <w:szCs w:val="24"/>
                <w:lang w:val="en-US" w:eastAsia="zh-CN"/>
              </w:rPr>
            </w:pPr>
            <w:r>
              <w:rPr>
                <w:rFonts w:hint="eastAsia" w:ascii="宋体" w:hAnsi="宋体" w:cs="宋体"/>
                <w:color w:val="auto"/>
                <w:sz w:val="24"/>
                <w:szCs w:val="24"/>
                <w:lang w:val="en-US" w:eastAsia="zh-CN"/>
              </w:rPr>
              <w:t>5</w:t>
            </w:r>
          </w:p>
        </w:tc>
        <w:tc>
          <w:tcPr>
            <w:tcW w:w="2835" w:type="dxa"/>
            <w:noWrap w:val="0"/>
            <w:vAlign w:val="center"/>
          </w:tcPr>
          <w:p>
            <w:pPr>
              <w:spacing w:line="240" w:lineRule="auto"/>
              <w:jc w:val="both"/>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报价唯一</w:t>
            </w:r>
          </w:p>
        </w:tc>
        <w:tc>
          <w:tcPr>
            <w:tcW w:w="5528" w:type="dxa"/>
            <w:noWrap w:val="0"/>
            <w:vAlign w:val="center"/>
          </w:tcPr>
          <w:p>
            <w:pPr>
              <w:spacing w:line="240" w:lineRule="auto"/>
              <w:jc w:val="both"/>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只能有一个有效报价，不得提交选择性报价，且报价不超过采购预算（最高限价）；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1" w:hRule="atLeast"/>
        </w:trPr>
        <w:tc>
          <w:tcPr>
            <w:tcW w:w="817" w:type="dxa"/>
            <w:noWrap w:val="0"/>
            <w:vAlign w:val="center"/>
          </w:tcPr>
          <w:p>
            <w:pPr>
              <w:spacing w:line="240" w:lineRule="auto"/>
              <w:jc w:val="center"/>
              <w:rPr>
                <w:rFonts w:hint="default" w:ascii="宋体" w:hAnsi="宋体" w:eastAsia="宋体" w:cs="宋体"/>
                <w:color w:val="auto"/>
                <w:sz w:val="24"/>
                <w:szCs w:val="24"/>
                <w:lang w:val="en-US" w:eastAsia="zh-CN"/>
              </w:rPr>
            </w:pPr>
            <w:r>
              <w:rPr>
                <w:rFonts w:hint="eastAsia" w:ascii="宋体" w:hAnsi="宋体" w:cs="宋体"/>
                <w:color w:val="auto"/>
                <w:sz w:val="24"/>
                <w:szCs w:val="24"/>
                <w:lang w:val="en-US" w:eastAsia="zh-CN"/>
              </w:rPr>
              <w:t>6</w:t>
            </w:r>
          </w:p>
        </w:tc>
        <w:tc>
          <w:tcPr>
            <w:tcW w:w="2835" w:type="dxa"/>
            <w:noWrap w:val="0"/>
            <w:vAlign w:val="center"/>
          </w:tcPr>
          <w:p>
            <w:pPr>
              <w:spacing w:line="240" w:lineRule="auto"/>
              <w:jc w:val="both"/>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报价合理</w:t>
            </w:r>
          </w:p>
        </w:tc>
        <w:tc>
          <w:tcPr>
            <w:tcW w:w="5528" w:type="dxa"/>
            <w:noWrap w:val="0"/>
            <w:vAlign w:val="center"/>
          </w:tcPr>
          <w:p>
            <w:pPr>
              <w:spacing w:line="240" w:lineRule="auto"/>
              <w:jc w:val="both"/>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磋商报价未超出采购预算的或磋商报价明显低于成本价却能合理说明；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0" w:hRule="atLeast"/>
        </w:trPr>
        <w:tc>
          <w:tcPr>
            <w:tcW w:w="817" w:type="dxa"/>
            <w:noWrap w:val="0"/>
            <w:vAlign w:val="center"/>
          </w:tcPr>
          <w:p>
            <w:pPr>
              <w:spacing w:line="240" w:lineRule="auto"/>
              <w:jc w:val="center"/>
              <w:rPr>
                <w:rFonts w:hint="default" w:ascii="宋体" w:hAnsi="宋体" w:eastAsia="宋体" w:cs="宋体"/>
                <w:color w:val="auto"/>
                <w:sz w:val="24"/>
                <w:szCs w:val="24"/>
                <w:lang w:val="en-US" w:eastAsia="zh-CN"/>
              </w:rPr>
            </w:pPr>
            <w:r>
              <w:rPr>
                <w:rFonts w:hint="eastAsia" w:ascii="宋体" w:hAnsi="宋体" w:cs="宋体"/>
                <w:color w:val="auto"/>
                <w:sz w:val="24"/>
                <w:szCs w:val="24"/>
                <w:lang w:val="en-US" w:eastAsia="zh-CN"/>
              </w:rPr>
              <w:t>7</w:t>
            </w:r>
          </w:p>
        </w:tc>
        <w:tc>
          <w:tcPr>
            <w:tcW w:w="2835" w:type="dxa"/>
            <w:noWrap w:val="0"/>
            <w:vAlign w:val="center"/>
          </w:tcPr>
          <w:p>
            <w:pPr>
              <w:spacing w:line="240" w:lineRule="auto"/>
              <w:jc w:val="both"/>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响应文件密封和标记</w:t>
            </w:r>
          </w:p>
        </w:tc>
        <w:tc>
          <w:tcPr>
            <w:tcW w:w="5528" w:type="dxa"/>
            <w:noWrap w:val="0"/>
            <w:vAlign w:val="center"/>
          </w:tcPr>
          <w:p>
            <w:pPr>
              <w:spacing w:line="240" w:lineRule="auto"/>
              <w:jc w:val="both"/>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应符合“供应商须知”前附表规定；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5" w:hRule="atLeast"/>
        </w:trPr>
        <w:tc>
          <w:tcPr>
            <w:tcW w:w="817" w:type="dxa"/>
            <w:noWrap w:val="0"/>
            <w:vAlign w:val="center"/>
          </w:tcPr>
          <w:p>
            <w:pPr>
              <w:spacing w:line="240" w:lineRule="auto"/>
              <w:jc w:val="center"/>
              <w:rPr>
                <w:rFonts w:hint="default" w:ascii="宋体" w:hAnsi="宋体" w:eastAsia="宋体" w:cs="宋体"/>
                <w:color w:val="auto"/>
                <w:sz w:val="24"/>
                <w:szCs w:val="24"/>
                <w:lang w:val="en-US" w:eastAsia="zh-CN"/>
              </w:rPr>
            </w:pPr>
            <w:r>
              <w:rPr>
                <w:rFonts w:hint="eastAsia" w:ascii="宋体" w:hAnsi="宋体" w:cs="宋体"/>
                <w:color w:val="auto"/>
                <w:sz w:val="24"/>
                <w:szCs w:val="24"/>
                <w:lang w:val="en-US" w:eastAsia="zh-CN"/>
              </w:rPr>
              <w:t>8</w:t>
            </w:r>
          </w:p>
        </w:tc>
        <w:tc>
          <w:tcPr>
            <w:tcW w:w="2835" w:type="dxa"/>
            <w:noWrap w:val="0"/>
            <w:vAlign w:val="center"/>
          </w:tcPr>
          <w:p>
            <w:pPr>
              <w:spacing w:line="240" w:lineRule="auto"/>
              <w:jc w:val="both"/>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响应文件份数</w:t>
            </w:r>
          </w:p>
        </w:tc>
        <w:tc>
          <w:tcPr>
            <w:tcW w:w="5528" w:type="dxa"/>
            <w:noWrap w:val="0"/>
            <w:vAlign w:val="center"/>
          </w:tcPr>
          <w:p>
            <w:pPr>
              <w:spacing w:line="240" w:lineRule="auto"/>
              <w:jc w:val="both"/>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应符合“供应商须知前附表”规定的正本、副本、电子文件、磋商报价一览表及资格审查资料数量；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817" w:type="dxa"/>
            <w:noWrap w:val="0"/>
            <w:vAlign w:val="center"/>
          </w:tcPr>
          <w:p>
            <w:pPr>
              <w:spacing w:line="240" w:lineRule="auto"/>
              <w:jc w:val="center"/>
              <w:rPr>
                <w:rFonts w:hint="default" w:ascii="宋体" w:hAnsi="宋体" w:eastAsia="宋体" w:cs="宋体"/>
                <w:color w:val="auto"/>
                <w:sz w:val="24"/>
                <w:szCs w:val="24"/>
                <w:lang w:val="en-US" w:eastAsia="zh-CN"/>
              </w:rPr>
            </w:pPr>
            <w:r>
              <w:rPr>
                <w:rFonts w:hint="eastAsia" w:ascii="宋体" w:hAnsi="宋体" w:cs="宋体"/>
                <w:color w:val="auto"/>
                <w:sz w:val="24"/>
                <w:szCs w:val="24"/>
                <w:lang w:val="en-US" w:eastAsia="zh-CN"/>
              </w:rPr>
              <w:t>9</w:t>
            </w:r>
          </w:p>
        </w:tc>
        <w:tc>
          <w:tcPr>
            <w:tcW w:w="2835" w:type="dxa"/>
            <w:noWrap w:val="0"/>
            <w:vAlign w:val="center"/>
          </w:tcPr>
          <w:p>
            <w:pPr>
              <w:spacing w:line="240" w:lineRule="auto"/>
              <w:jc w:val="both"/>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响应文件内容</w:t>
            </w:r>
          </w:p>
        </w:tc>
        <w:tc>
          <w:tcPr>
            <w:tcW w:w="5528" w:type="dxa"/>
            <w:noWrap w:val="0"/>
            <w:vAlign w:val="center"/>
          </w:tcPr>
          <w:p>
            <w:pPr>
              <w:spacing w:line="240" w:lineRule="auto"/>
              <w:jc w:val="both"/>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响应文件内容齐全、无遗漏；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817" w:type="dxa"/>
            <w:noWrap w:val="0"/>
            <w:vAlign w:val="center"/>
          </w:tcPr>
          <w:p>
            <w:pPr>
              <w:spacing w:line="240" w:lineRule="auto"/>
              <w:jc w:val="center"/>
              <w:rPr>
                <w:rFonts w:hint="default" w:ascii="宋体" w:hAnsi="宋体" w:eastAsia="宋体" w:cs="宋体"/>
                <w:color w:val="auto"/>
                <w:sz w:val="24"/>
                <w:szCs w:val="24"/>
                <w:lang w:val="en-US" w:eastAsia="zh-CN"/>
              </w:rPr>
            </w:pPr>
            <w:r>
              <w:rPr>
                <w:rFonts w:hint="eastAsia" w:ascii="宋体" w:hAnsi="宋体" w:cs="宋体"/>
                <w:color w:val="auto"/>
                <w:sz w:val="24"/>
                <w:szCs w:val="24"/>
                <w:lang w:val="en-US" w:eastAsia="zh-CN"/>
              </w:rPr>
              <w:t>10</w:t>
            </w:r>
          </w:p>
        </w:tc>
        <w:tc>
          <w:tcPr>
            <w:tcW w:w="2835" w:type="dxa"/>
            <w:noWrap w:val="0"/>
            <w:vAlign w:val="center"/>
          </w:tcPr>
          <w:p>
            <w:pPr>
              <w:spacing w:line="240" w:lineRule="auto"/>
              <w:jc w:val="both"/>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对响应文件响应程度</w:t>
            </w:r>
          </w:p>
        </w:tc>
        <w:tc>
          <w:tcPr>
            <w:tcW w:w="5528" w:type="dxa"/>
            <w:noWrap w:val="0"/>
            <w:vAlign w:val="center"/>
          </w:tcPr>
          <w:p>
            <w:pPr>
              <w:spacing w:line="240" w:lineRule="auto"/>
              <w:jc w:val="both"/>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要求全面响应，不能有任何采购人不能接受的附加条件；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trPr>
        <w:tc>
          <w:tcPr>
            <w:tcW w:w="817" w:type="dxa"/>
            <w:noWrap w:val="0"/>
            <w:vAlign w:val="center"/>
          </w:tcPr>
          <w:p>
            <w:pPr>
              <w:spacing w:line="240" w:lineRule="auto"/>
              <w:jc w:val="center"/>
              <w:rPr>
                <w:rFonts w:hint="default" w:ascii="宋体" w:hAnsi="宋体" w:eastAsia="宋体" w:cs="宋体"/>
                <w:color w:val="auto"/>
                <w:sz w:val="24"/>
                <w:szCs w:val="24"/>
                <w:lang w:val="en-US" w:eastAsia="zh-CN"/>
              </w:rPr>
            </w:pPr>
            <w:r>
              <w:rPr>
                <w:rFonts w:hint="eastAsia" w:ascii="宋体" w:hAnsi="宋体" w:cs="宋体"/>
                <w:color w:val="auto"/>
                <w:sz w:val="24"/>
                <w:szCs w:val="24"/>
                <w:lang w:val="en-US" w:eastAsia="zh-CN"/>
              </w:rPr>
              <w:t>11</w:t>
            </w:r>
          </w:p>
        </w:tc>
        <w:tc>
          <w:tcPr>
            <w:tcW w:w="2835" w:type="dxa"/>
            <w:noWrap w:val="0"/>
            <w:vAlign w:val="center"/>
          </w:tcPr>
          <w:p>
            <w:pPr>
              <w:spacing w:line="240" w:lineRule="auto"/>
              <w:jc w:val="both"/>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磋商有效期</w:t>
            </w:r>
          </w:p>
        </w:tc>
        <w:tc>
          <w:tcPr>
            <w:tcW w:w="5528" w:type="dxa"/>
            <w:noWrap w:val="0"/>
            <w:vAlign w:val="center"/>
          </w:tcPr>
          <w:p>
            <w:pPr>
              <w:spacing w:line="240" w:lineRule="auto"/>
              <w:jc w:val="both"/>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应满足磋商文件中的规定；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8" w:hRule="atLeast"/>
        </w:trPr>
        <w:tc>
          <w:tcPr>
            <w:tcW w:w="817" w:type="dxa"/>
            <w:noWrap w:val="0"/>
            <w:vAlign w:val="center"/>
          </w:tcPr>
          <w:p>
            <w:pPr>
              <w:spacing w:line="240" w:lineRule="auto"/>
              <w:jc w:val="center"/>
              <w:rPr>
                <w:rFonts w:hint="default" w:ascii="宋体" w:hAnsi="宋体" w:eastAsia="宋体" w:cs="宋体"/>
                <w:color w:val="auto"/>
                <w:sz w:val="24"/>
                <w:szCs w:val="24"/>
                <w:lang w:val="en-US" w:eastAsia="zh-CN"/>
              </w:rPr>
            </w:pPr>
            <w:r>
              <w:rPr>
                <w:rFonts w:hint="eastAsia" w:ascii="宋体" w:hAnsi="宋体" w:cs="宋体"/>
                <w:color w:val="auto"/>
                <w:sz w:val="24"/>
                <w:szCs w:val="24"/>
                <w:lang w:val="en-US" w:eastAsia="zh-CN"/>
              </w:rPr>
              <w:t>12</w:t>
            </w:r>
          </w:p>
        </w:tc>
        <w:tc>
          <w:tcPr>
            <w:tcW w:w="2835" w:type="dxa"/>
            <w:noWrap w:val="0"/>
            <w:vAlign w:val="center"/>
          </w:tcPr>
          <w:p>
            <w:pPr>
              <w:spacing w:line="240" w:lineRule="auto"/>
              <w:jc w:val="both"/>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其他</w:t>
            </w:r>
          </w:p>
        </w:tc>
        <w:tc>
          <w:tcPr>
            <w:tcW w:w="5528" w:type="dxa"/>
            <w:noWrap w:val="0"/>
            <w:vAlign w:val="center"/>
          </w:tcPr>
          <w:p>
            <w:pPr>
              <w:spacing w:line="240" w:lineRule="auto"/>
              <w:jc w:val="both"/>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响应文件符合法律法规要求的。</w:t>
            </w:r>
          </w:p>
        </w:tc>
      </w:tr>
    </w:tbl>
    <w:p>
      <w:pPr>
        <w:spacing w:line="360" w:lineRule="auto"/>
        <w:rPr>
          <w:rFonts w:hint="eastAsia" w:ascii="宋体" w:hAnsi="宋体" w:eastAsia="宋体" w:cs="宋体"/>
          <w:color w:val="auto"/>
          <w:sz w:val="24"/>
        </w:rPr>
      </w:pPr>
    </w:p>
    <w:p>
      <w:pPr>
        <w:spacing w:line="360" w:lineRule="auto"/>
        <w:ind w:firstLine="480" w:firstLineChars="200"/>
        <w:rPr>
          <w:rFonts w:hint="eastAsia" w:ascii="宋体" w:hAnsi="宋体" w:eastAsia="宋体" w:cs="宋体"/>
          <w:color w:val="auto"/>
          <w:sz w:val="24"/>
        </w:rPr>
      </w:pPr>
      <w:r>
        <w:rPr>
          <w:rFonts w:hint="eastAsia" w:ascii="宋体" w:hAnsi="宋体" w:cs="宋体"/>
          <w:color w:val="auto"/>
          <w:sz w:val="24"/>
          <w:lang w:val="en-US" w:eastAsia="zh-CN"/>
        </w:rPr>
        <w:t>4</w:t>
      </w:r>
      <w:r>
        <w:rPr>
          <w:rFonts w:hint="eastAsia" w:ascii="宋体" w:hAnsi="宋体" w:eastAsia="宋体" w:cs="宋体"/>
          <w:color w:val="auto"/>
          <w:sz w:val="24"/>
        </w:rPr>
        <w:t>.3、若前款3.1条或3.2条有1项不合格，评审不予通过，作为未实质性响应竞争性磋商文件，按无效标处理。</w:t>
      </w:r>
    </w:p>
    <w:p>
      <w:pPr>
        <w:spacing w:line="360" w:lineRule="auto"/>
        <w:ind w:firstLine="480" w:firstLineChars="200"/>
        <w:rPr>
          <w:rFonts w:hint="eastAsia" w:ascii="宋体" w:hAnsi="宋体" w:eastAsia="宋体" w:cs="宋体"/>
          <w:color w:val="auto"/>
          <w:sz w:val="24"/>
        </w:rPr>
      </w:pPr>
      <w:r>
        <w:rPr>
          <w:rFonts w:hint="eastAsia" w:ascii="宋体" w:hAnsi="宋体" w:cs="宋体"/>
          <w:color w:val="auto"/>
          <w:sz w:val="24"/>
          <w:lang w:val="en-US" w:eastAsia="zh-CN"/>
        </w:rPr>
        <w:t>4</w:t>
      </w:r>
      <w:r>
        <w:rPr>
          <w:rFonts w:hint="eastAsia" w:ascii="宋体" w:hAnsi="宋体" w:eastAsia="宋体" w:cs="宋体"/>
          <w:color w:val="auto"/>
          <w:sz w:val="24"/>
        </w:rPr>
        <w:t>.4、磋商小组通过上述评审，确定入围供应商名单，只有入围的供应商才能进入后续评审环节。</w:t>
      </w:r>
    </w:p>
    <w:p>
      <w:pPr>
        <w:spacing w:before="120" w:beforeLines="50" w:after="120" w:afterLines="50" w:line="460" w:lineRule="exact"/>
        <w:rPr>
          <w:rFonts w:hint="eastAsia" w:ascii="宋体" w:hAnsi="宋体" w:eastAsia="宋体" w:cs="宋体"/>
          <w:b/>
          <w:color w:val="auto"/>
          <w:sz w:val="24"/>
        </w:rPr>
      </w:pPr>
      <w:r>
        <w:rPr>
          <w:rFonts w:hint="eastAsia" w:ascii="宋体" w:hAnsi="宋体" w:cs="宋体"/>
          <w:b/>
          <w:color w:val="auto"/>
          <w:sz w:val="24"/>
          <w:lang w:val="en-US" w:eastAsia="zh-CN"/>
        </w:rPr>
        <w:t>5</w:t>
      </w:r>
      <w:r>
        <w:rPr>
          <w:rFonts w:hint="eastAsia" w:ascii="宋体" w:hAnsi="宋体" w:eastAsia="宋体" w:cs="宋体"/>
          <w:b/>
          <w:color w:val="auto"/>
          <w:sz w:val="24"/>
        </w:rPr>
        <w:t>、响应文件的澄清</w:t>
      </w:r>
    </w:p>
    <w:p>
      <w:pPr>
        <w:spacing w:line="360" w:lineRule="auto"/>
        <w:ind w:firstLine="480" w:firstLineChars="200"/>
        <w:rPr>
          <w:rFonts w:hint="eastAsia" w:ascii="宋体" w:hAnsi="宋体" w:eastAsia="宋体" w:cs="宋体"/>
          <w:color w:val="auto"/>
          <w:sz w:val="24"/>
        </w:rPr>
      </w:pPr>
      <w:r>
        <w:rPr>
          <w:rFonts w:hint="eastAsia" w:ascii="宋体" w:hAnsi="宋体" w:cs="宋体"/>
          <w:color w:val="auto"/>
          <w:sz w:val="24"/>
          <w:lang w:val="en-US" w:eastAsia="zh-CN"/>
        </w:rPr>
        <w:t>5</w:t>
      </w:r>
      <w:r>
        <w:rPr>
          <w:rFonts w:hint="eastAsia" w:ascii="宋体" w:hAnsi="宋体" w:eastAsia="宋体" w:cs="宋体"/>
          <w:color w:val="auto"/>
          <w:sz w:val="24"/>
        </w:rPr>
        <w:t>.1、磋商小组对于响应文件中含义不明确、同类问题表述不一致或者有明显文字和计算错误的内容，磋商小组应当以书面形式要求供应商作出必要的澄清、说明或者补正。供应商的澄清、说明或者补正应当采用书面形式，并加盖公章，或者由法定代表人或其授权的代表签字。供应商的澄清、说明或者补正不得超出响应文件的范围或者改变响应文件的实质性内容。以下情况属于非实质性偏离：</w:t>
      </w:r>
    </w:p>
    <w:p>
      <w:pPr>
        <w:spacing w:line="360" w:lineRule="auto"/>
        <w:ind w:firstLine="480" w:firstLineChars="200"/>
        <w:rPr>
          <w:rFonts w:hint="eastAsia" w:ascii="宋体" w:hAnsi="宋体" w:eastAsia="宋体" w:cs="宋体"/>
          <w:color w:val="auto"/>
          <w:sz w:val="24"/>
        </w:rPr>
      </w:pPr>
      <w:r>
        <w:rPr>
          <w:rFonts w:hint="eastAsia" w:ascii="宋体" w:hAnsi="宋体" w:cs="宋体"/>
          <w:color w:val="auto"/>
          <w:sz w:val="24"/>
          <w:lang w:val="en-US" w:eastAsia="zh-CN"/>
        </w:rPr>
        <w:t>5</w:t>
      </w:r>
      <w:r>
        <w:rPr>
          <w:rFonts w:hint="eastAsia" w:ascii="宋体" w:hAnsi="宋体" w:eastAsia="宋体" w:cs="宋体"/>
          <w:color w:val="auto"/>
          <w:sz w:val="24"/>
        </w:rPr>
        <w:t>.1.1、文字表述的内容含义不明确；</w:t>
      </w:r>
    </w:p>
    <w:p>
      <w:pPr>
        <w:spacing w:line="360" w:lineRule="auto"/>
        <w:ind w:firstLine="480" w:firstLineChars="200"/>
        <w:rPr>
          <w:rFonts w:hint="eastAsia" w:ascii="宋体" w:hAnsi="宋体" w:eastAsia="宋体" w:cs="宋体"/>
          <w:color w:val="auto"/>
          <w:sz w:val="24"/>
        </w:rPr>
      </w:pPr>
      <w:r>
        <w:rPr>
          <w:rFonts w:hint="eastAsia" w:ascii="宋体" w:hAnsi="宋体" w:cs="宋体"/>
          <w:color w:val="auto"/>
          <w:sz w:val="24"/>
          <w:lang w:val="en-US" w:eastAsia="zh-CN"/>
        </w:rPr>
        <w:t>5</w:t>
      </w:r>
      <w:r>
        <w:rPr>
          <w:rFonts w:hint="eastAsia" w:ascii="宋体" w:hAnsi="宋体" w:eastAsia="宋体" w:cs="宋体"/>
          <w:color w:val="auto"/>
          <w:sz w:val="24"/>
        </w:rPr>
        <w:t>.1.2、同类问题表述不一致；</w:t>
      </w:r>
    </w:p>
    <w:p>
      <w:pPr>
        <w:spacing w:line="360" w:lineRule="auto"/>
        <w:ind w:firstLine="480" w:firstLineChars="200"/>
        <w:rPr>
          <w:rFonts w:hint="eastAsia" w:ascii="宋体" w:hAnsi="宋体" w:eastAsia="宋体" w:cs="宋体"/>
          <w:color w:val="auto"/>
          <w:sz w:val="24"/>
        </w:rPr>
      </w:pPr>
      <w:r>
        <w:rPr>
          <w:rFonts w:hint="eastAsia" w:ascii="宋体" w:hAnsi="宋体" w:cs="宋体"/>
          <w:color w:val="auto"/>
          <w:sz w:val="24"/>
          <w:lang w:val="en-US" w:eastAsia="zh-CN"/>
        </w:rPr>
        <w:t>5</w:t>
      </w:r>
      <w:r>
        <w:rPr>
          <w:rFonts w:hint="eastAsia" w:ascii="宋体" w:hAnsi="宋体" w:eastAsia="宋体" w:cs="宋体"/>
          <w:color w:val="auto"/>
          <w:sz w:val="24"/>
        </w:rPr>
        <w:t>.1.3、有明显文字和计算错误；</w:t>
      </w:r>
    </w:p>
    <w:p>
      <w:pPr>
        <w:spacing w:line="360" w:lineRule="auto"/>
        <w:ind w:firstLine="480" w:firstLineChars="200"/>
        <w:rPr>
          <w:rFonts w:hint="eastAsia" w:ascii="宋体" w:hAnsi="宋体" w:eastAsia="宋体" w:cs="宋体"/>
          <w:color w:val="auto"/>
          <w:sz w:val="24"/>
        </w:rPr>
      </w:pPr>
      <w:r>
        <w:rPr>
          <w:rFonts w:hint="eastAsia" w:ascii="宋体" w:hAnsi="宋体" w:cs="宋体"/>
          <w:color w:val="auto"/>
          <w:sz w:val="24"/>
          <w:lang w:val="en-US" w:eastAsia="zh-CN"/>
        </w:rPr>
        <w:t>5</w:t>
      </w:r>
      <w:r>
        <w:rPr>
          <w:rFonts w:hint="eastAsia" w:ascii="宋体" w:hAnsi="宋体" w:eastAsia="宋体" w:cs="宋体"/>
          <w:color w:val="auto"/>
          <w:sz w:val="24"/>
        </w:rPr>
        <w:t>.1.4、提供的技术信息和数据资料不完整；</w:t>
      </w:r>
    </w:p>
    <w:p>
      <w:pPr>
        <w:spacing w:line="360" w:lineRule="auto"/>
        <w:ind w:firstLine="480" w:firstLineChars="200"/>
        <w:rPr>
          <w:rFonts w:hint="eastAsia" w:ascii="宋体" w:hAnsi="宋体" w:eastAsia="宋体" w:cs="宋体"/>
          <w:color w:val="auto"/>
          <w:sz w:val="24"/>
        </w:rPr>
      </w:pPr>
      <w:r>
        <w:rPr>
          <w:rFonts w:hint="eastAsia" w:ascii="宋体" w:hAnsi="宋体" w:cs="宋体"/>
          <w:color w:val="auto"/>
          <w:sz w:val="24"/>
          <w:lang w:val="en-US" w:eastAsia="zh-CN"/>
        </w:rPr>
        <w:t>5</w:t>
      </w:r>
      <w:r>
        <w:rPr>
          <w:rFonts w:hint="eastAsia" w:ascii="宋体" w:hAnsi="宋体" w:eastAsia="宋体" w:cs="宋体"/>
          <w:color w:val="auto"/>
          <w:sz w:val="24"/>
        </w:rPr>
        <w:t>.1.5、响应文件未按竞争性磋商文件要求进行编制目录；</w:t>
      </w:r>
    </w:p>
    <w:p>
      <w:pPr>
        <w:spacing w:line="360" w:lineRule="auto"/>
        <w:ind w:firstLine="480" w:firstLineChars="200"/>
        <w:rPr>
          <w:rFonts w:hint="eastAsia" w:ascii="宋体" w:hAnsi="宋体" w:eastAsia="宋体" w:cs="宋体"/>
          <w:color w:val="auto"/>
          <w:sz w:val="24"/>
        </w:rPr>
      </w:pPr>
      <w:r>
        <w:rPr>
          <w:rFonts w:hint="eastAsia" w:ascii="宋体" w:hAnsi="宋体" w:cs="宋体"/>
          <w:color w:val="auto"/>
          <w:sz w:val="24"/>
          <w:lang w:val="en-US" w:eastAsia="zh-CN"/>
        </w:rPr>
        <w:t>5</w:t>
      </w:r>
      <w:r>
        <w:rPr>
          <w:rFonts w:hint="eastAsia" w:ascii="宋体" w:hAnsi="宋体" w:eastAsia="宋体" w:cs="宋体"/>
          <w:color w:val="auto"/>
          <w:sz w:val="24"/>
        </w:rPr>
        <w:t>.1.6、磋商小组认定的其他非实质性偏离。</w:t>
      </w:r>
    </w:p>
    <w:p>
      <w:pPr>
        <w:spacing w:line="360" w:lineRule="auto"/>
        <w:ind w:firstLine="480" w:firstLineChars="200"/>
        <w:rPr>
          <w:rFonts w:hint="eastAsia" w:ascii="宋体" w:hAnsi="宋体" w:eastAsia="宋体" w:cs="宋体"/>
          <w:color w:val="auto"/>
          <w:sz w:val="24"/>
        </w:rPr>
      </w:pPr>
      <w:r>
        <w:rPr>
          <w:rFonts w:hint="eastAsia" w:ascii="宋体" w:hAnsi="宋体" w:cs="宋体"/>
          <w:color w:val="auto"/>
          <w:sz w:val="24"/>
          <w:lang w:val="en-US" w:eastAsia="zh-CN"/>
        </w:rPr>
        <w:t>5</w:t>
      </w:r>
      <w:r>
        <w:rPr>
          <w:rFonts w:hint="eastAsia" w:ascii="宋体" w:hAnsi="宋体" w:eastAsia="宋体" w:cs="宋体"/>
          <w:color w:val="auto"/>
          <w:sz w:val="24"/>
        </w:rPr>
        <w:t>.1.7、响应文件有上述</w:t>
      </w:r>
      <w:r>
        <w:rPr>
          <w:rFonts w:hint="eastAsia" w:ascii="宋体" w:hAnsi="宋体" w:cs="宋体"/>
          <w:color w:val="auto"/>
          <w:sz w:val="24"/>
          <w:lang w:val="en-US" w:eastAsia="zh-CN"/>
        </w:rPr>
        <w:t>5</w:t>
      </w:r>
      <w:r>
        <w:rPr>
          <w:rFonts w:hint="eastAsia" w:ascii="宋体" w:hAnsi="宋体" w:eastAsia="宋体" w:cs="宋体"/>
          <w:color w:val="auto"/>
          <w:sz w:val="24"/>
        </w:rPr>
        <w:t>.1.1-</w:t>
      </w:r>
      <w:r>
        <w:rPr>
          <w:rFonts w:hint="eastAsia" w:ascii="宋体" w:hAnsi="宋体" w:cs="宋体"/>
          <w:color w:val="auto"/>
          <w:sz w:val="24"/>
          <w:lang w:val="en-US" w:eastAsia="zh-CN"/>
        </w:rPr>
        <w:t>5</w:t>
      </w:r>
      <w:r>
        <w:rPr>
          <w:rFonts w:hint="eastAsia" w:ascii="宋体" w:hAnsi="宋体" w:eastAsia="宋体" w:cs="宋体"/>
          <w:color w:val="auto"/>
          <w:sz w:val="24"/>
        </w:rPr>
        <w:t>.1.4情形之一的，磋商小组应当书面要求供应商在规定的时间内予以澄清、说明或补正。供应商有关澄清、说明或者更正不得超出响应文件的范围或者改变响应文件的实质性内容。供应商必须按照磋商小组通知的内容和时间作出书面答复，有关澄清、说明或者更正应以书面形式提交，并由法定代表人或其被授权委托代理人签字；供应商拒不按照要求或不在规定的时间内进行澄清、说明，磋商小组将根据其响应文件按最大风险进行评审。磋商小组不接受供应商主动提出的澄清、说明。</w:t>
      </w:r>
    </w:p>
    <w:p>
      <w:pPr>
        <w:spacing w:line="360" w:lineRule="auto"/>
        <w:ind w:firstLine="480" w:firstLineChars="200"/>
        <w:rPr>
          <w:rFonts w:hint="eastAsia" w:ascii="宋体" w:hAnsi="宋体" w:eastAsia="宋体" w:cs="宋体"/>
          <w:color w:val="auto"/>
          <w:sz w:val="24"/>
        </w:rPr>
      </w:pPr>
      <w:r>
        <w:rPr>
          <w:rFonts w:hint="eastAsia" w:ascii="宋体" w:hAnsi="宋体" w:cs="宋体"/>
          <w:color w:val="auto"/>
          <w:sz w:val="24"/>
          <w:lang w:val="en-US" w:eastAsia="zh-CN"/>
        </w:rPr>
        <w:t>5</w:t>
      </w:r>
      <w:r>
        <w:rPr>
          <w:rFonts w:hint="eastAsia" w:ascii="宋体" w:hAnsi="宋体" w:eastAsia="宋体" w:cs="宋体"/>
          <w:color w:val="auto"/>
          <w:sz w:val="24"/>
        </w:rPr>
        <w:t>.2、有效的书面澄清材料，是供应商响应文件的补充材料，成为供应商响应文件的组成部分。</w:t>
      </w:r>
    </w:p>
    <w:p>
      <w:pPr>
        <w:tabs>
          <w:tab w:val="left" w:pos="7665"/>
        </w:tabs>
        <w:spacing w:line="360" w:lineRule="auto"/>
        <w:rPr>
          <w:rFonts w:hint="eastAsia" w:ascii="宋体" w:hAnsi="宋体" w:eastAsia="宋体" w:cs="宋体"/>
          <w:color w:val="auto"/>
          <w:sz w:val="24"/>
        </w:rPr>
      </w:pPr>
      <w:r>
        <w:rPr>
          <w:rFonts w:hint="eastAsia" w:ascii="宋体" w:hAnsi="宋体" w:cs="宋体"/>
          <w:b/>
          <w:bCs/>
          <w:color w:val="auto"/>
          <w:sz w:val="24"/>
          <w:lang w:val="en-US" w:eastAsia="zh-CN"/>
        </w:rPr>
        <w:t>6</w:t>
      </w:r>
      <w:r>
        <w:rPr>
          <w:rFonts w:hint="eastAsia" w:ascii="宋体" w:hAnsi="宋体" w:eastAsia="宋体" w:cs="宋体"/>
          <w:b/>
          <w:bCs/>
          <w:color w:val="auto"/>
          <w:sz w:val="24"/>
        </w:rPr>
        <w:t>、磋商</w:t>
      </w:r>
    </w:p>
    <w:p>
      <w:pPr>
        <w:tabs>
          <w:tab w:val="left" w:pos="7665"/>
        </w:tabs>
        <w:spacing w:line="360" w:lineRule="auto"/>
        <w:ind w:firstLine="480" w:firstLineChars="200"/>
        <w:rPr>
          <w:rFonts w:hint="eastAsia" w:ascii="宋体" w:hAnsi="宋体" w:eastAsia="宋体" w:cs="宋体"/>
          <w:color w:val="auto"/>
          <w:sz w:val="24"/>
        </w:rPr>
      </w:pPr>
      <w:r>
        <w:rPr>
          <w:rFonts w:hint="eastAsia" w:ascii="宋体" w:hAnsi="宋体" w:cs="宋体"/>
          <w:color w:val="auto"/>
          <w:sz w:val="24"/>
          <w:lang w:val="en-US" w:eastAsia="zh-CN"/>
        </w:rPr>
        <w:t>6</w:t>
      </w:r>
      <w:r>
        <w:rPr>
          <w:rFonts w:hint="eastAsia" w:ascii="宋体" w:hAnsi="宋体" w:eastAsia="宋体" w:cs="宋体"/>
          <w:color w:val="auto"/>
          <w:sz w:val="24"/>
        </w:rPr>
        <w:t>.1、磋商小组所有成员应当集中与单一供应商分别进行磋商，并给予所有参加磋商的供应商平等的磋商机会。在磋商过程中，磋商小组可以根据磋商文件和磋商情况实质性变动采购需求中的技术、服务要求以及合同草案条款，但不得变动磋商文件中的其他内容。实质性变动的内容，须经采购人代表确认。对磋商文件作出的实质性变动是磋商文件的有效组成部分，磋商小组应当及时以书面形式同时通知所有参加磋商的供应商。</w:t>
      </w:r>
    </w:p>
    <w:p>
      <w:pPr>
        <w:tabs>
          <w:tab w:val="left" w:pos="7665"/>
        </w:tabs>
        <w:spacing w:line="360" w:lineRule="auto"/>
        <w:ind w:firstLine="480" w:firstLineChars="200"/>
        <w:rPr>
          <w:rFonts w:hint="eastAsia" w:ascii="宋体" w:hAnsi="宋体" w:eastAsia="宋体" w:cs="宋体"/>
          <w:color w:val="auto"/>
          <w:sz w:val="24"/>
        </w:rPr>
      </w:pPr>
      <w:r>
        <w:rPr>
          <w:rFonts w:hint="eastAsia" w:ascii="宋体" w:hAnsi="宋体" w:cs="宋体"/>
          <w:color w:val="auto"/>
          <w:sz w:val="24"/>
          <w:lang w:val="en-US" w:eastAsia="zh-CN"/>
        </w:rPr>
        <w:t>6</w:t>
      </w:r>
      <w:r>
        <w:rPr>
          <w:rFonts w:hint="eastAsia" w:ascii="宋体" w:hAnsi="宋体" w:eastAsia="宋体" w:cs="宋体"/>
          <w:color w:val="auto"/>
          <w:sz w:val="24"/>
        </w:rPr>
        <w:t>.2、磋商文件能够详细列明采购标的的技术、服务要求的，磋商结束后，磋商小组应当要求所有实质性响应的供应商在规定时间内提交最后报价，提交最后报价的供应商不得少于3家。磋商文件不能详细列明采购标的的技术、服务要求，需经磋商由供应商提供最终服务方案或解决方案的，磋商结束后，磋商小组应当按照少数服从多数的原则投票推荐3家以上供应商的服务方案或者解决方案，并要求其在规定时间内提交最后报价。最后报价是供应商响应文件的有效组成部分。符合《政府采购竞争性磋商采购方式管理暂行办法》第二十一条：最后报价是供应商响应文件的有效组成部分。符合本办法第三条第四项情形的，提交最后报价的供应商可以为2家。</w:t>
      </w:r>
    </w:p>
    <w:p>
      <w:pPr>
        <w:tabs>
          <w:tab w:val="left" w:pos="7665"/>
        </w:tabs>
        <w:spacing w:line="360" w:lineRule="auto"/>
        <w:ind w:firstLine="480" w:firstLineChars="200"/>
        <w:rPr>
          <w:rFonts w:hint="eastAsia" w:ascii="宋体" w:hAnsi="宋体" w:eastAsia="宋体" w:cs="宋体"/>
          <w:color w:val="auto"/>
          <w:sz w:val="24"/>
        </w:rPr>
      </w:pPr>
      <w:r>
        <w:rPr>
          <w:rFonts w:hint="eastAsia" w:ascii="宋体" w:hAnsi="宋体" w:cs="宋体"/>
          <w:color w:val="auto"/>
          <w:sz w:val="24"/>
          <w:lang w:val="en-US" w:eastAsia="zh-CN"/>
        </w:rPr>
        <w:t>6</w:t>
      </w:r>
      <w:r>
        <w:rPr>
          <w:rFonts w:hint="eastAsia" w:ascii="宋体" w:hAnsi="宋体" w:eastAsia="宋体" w:cs="宋体"/>
          <w:color w:val="auto"/>
          <w:sz w:val="24"/>
        </w:rPr>
        <w:t>.3、经磋商确定最终采购需求和提交最后报价的供应商后，由磋商小组采用综合评分法对提交最后报价的供应商的响应文件和最后报价进行综合评分。综合评分法，是指响应文件满足磋商文件全部实质性要求且按评审因素的量化指标评审得分最高的供应商为成交候选供应商的评审方法。</w:t>
      </w:r>
    </w:p>
    <w:p>
      <w:pPr>
        <w:spacing w:before="120" w:beforeLines="50" w:after="120" w:afterLines="50" w:line="360" w:lineRule="auto"/>
        <w:rPr>
          <w:rFonts w:hint="eastAsia" w:ascii="宋体" w:hAnsi="宋体" w:eastAsia="宋体" w:cs="宋体"/>
          <w:b/>
          <w:color w:val="auto"/>
          <w:sz w:val="24"/>
        </w:rPr>
      </w:pPr>
      <w:r>
        <w:rPr>
          <w:rFonts w:hint="eastAsia" w:ascii="宋体" w:hAnsi="宋体" w:cs="宋体"/>
          <w:b/>
          <w:color w:val="auto"/>
          <w:sz w:val="24"/>
          <w:lang w:val="en-US" w:eastAsia="zh-CN"/>
        </w:rPr>
        <w:t>7</w:t>
      </w:r>
      <w:r>
        <w:rPr>
          <w:rFonts w:hint="eastAsia" w:ascii="宋体" w:hAnsi="宋体" w:eastAsia="宋体" w:cs="宋体"/>
          <w:b/>
          <w:color w:val="auto"/>
          <w:sz w:val="24"/>
        </w:rPr>
        <w:t>、响应文件详细评审</w:t>
      </w:r>
    </w:p>
    <w:p>
      <w:pPr>
        <w:spacing w:line="360" w:lineRule="auto"/>
        <w:ind w:firstLine="480" w:firstLineChars="200"/>
        <w:rPr>
          <w:rFonts w:hint="eastAsia" w:ascii="宋体" w:hAnsi="宋体" w:eastAsia="宋体" w:cs="宋体"/>
          <w:color w:val="auto"/>
          <w:sz w:val="24"/>
        </w:rPr>
      </w:pPr>
      <w:r>
        <w:rPr>
          <w:rFonts w:hint="eastAsia" w:ascii="宋体" w:hAnsi="宋体" w:cs="宋体"/>
          <w:color w:val="auto"/>
          <w:sz w:val="24"/>
          <w:lang w:val="en-US" w:eastAsia="zh-CN"/>
        </w:rPr>
        <w:t>7</w:t>
      </w:r>
      <w:r>
        <w:rPr>
          <w:rFonts w:hint="eastAsia" w:ascii="宋体" w:hAnsi="宋体" w:eastAsia="宋体" w:cs="宋体"/>
          <w:color w:val="auto"/>
          <w:sz w:val="24"/>
        </w:rPr>
        <w:t>.1、</w:t>
      </w:r>
      <w:r>
        <w:rPr>
          <w:rFonts w:hint="eastAsia" w:ascii="宋体" w:hAnsi="宋体" w:eastAsia="宋体" w:cs="宋体"/>
          <w:color w:val="auto"/>
          <w:kern w:val="1"/>
          <w:sz w:val="24"/>
        </w:rPr>
        <w:t>比较与评价。磋商小组应当按照磋商文件中规定的评标方法和标准，只对符合性审查合格的响应文件进行商务和技术评估，综合比较与评价，不合格的不再参与评审。</w:t>
      </w:r>
    </w:p>
    <w:p>
      <w:pPr>
        <w:spacing w:line="360" w:lineRule="auto"/>
        <w:ind w:firstLine="480" w:firstLineChars="200"/>
        <w:rPr>
          <w:rFonts w:hint="eastAsia" w:ascii="宋体" w:hAnsi="宋体" w:eastAsia="宋体" w:cs="宋体"/>
          <w:color w:val="auto"/>
          <w:kern w:val="1"/>
          <w:sz w:val="24"/>
        </w:rPr>
      </w:pPr>
      <w:r>
        <w:rPr>
          <w:rFonts w:hint="eastAsia" w:ascii="宋体" w:hAnsi="宋体" w:cs="宋体"/>
          <w:color w:val="auto"/>
          <w:kern w:val="1"/>
          <w:sz w:val="24"/>
          <w:lang w:val="en-US" w:eastAsia="zh-CN"/>
        </w:rPr>
        <w:t>7</w:t>
      </w:r>
      <w:r>
        <w:rPr>
          <w:rFonts w:hint="eastAsia" w:ascii="宋体" w:hAnsi="宋体" w:eastAsia="宋体" w:cs="宋体"/>
          <w:color w:val="auto"/>
          <w:kern w:val="1"/>
          <w:sz w:val="24"/>
        </w:rPr>
        <w:t>.2、评审因素的设定与供应商所提供服务的质量相关，包括</w:t>
      </w:r>
      <w:r>
        <w:rPr>
          <w:rFonts w:hint="eastAsia" w:ascii="宋体" w:hAnsi="宋体" w:eastAsia="宋体" w:cs="宋体"/>
          <w:color w:val="auto"/>
          <w:kern w:val="1"/>
          <w:sz w:val="24"/>
          <w:lang w:eastAsia="zh-CN"/>
        </w:rPr>
        <w:t>磋商</w:t>
      </w:r>
      <w:r>
        <w:rPr>
          <w:rFonts w:hint="eastAsia" w:ascii="宋体" w:hAnsi="宋体" w:eastAsia="宋体" w:cs="宋体"/>
          <w:color w:val="auto"/>
          <w:kern w:val="1"/>
          <w:sz w:val="24"/>
        </w:rPr>
        <w:t>报价、商务、技术或者服务水平、履约能力等。资格条件不得作为评审因素。综合评分法评审标准中的分值设置与评审因素的量化指标相对应。竞争性磋商文件中没有规定的评审标准不得作为评审依据。</w:t>
      </w:r>
    </w:p>
    <w:p>
      <w:pPr>
        <w:spacing w:line="360" w:lineRule="auto"/>
        <w:ind w:firstLine="480" w:firstLineChars="200"/>
        <w:rPr>
          <w:rFonts w:hint="eastAsia" w:ascii="宋体" w:hAnsi="宋体" w:eastAsia="宋体" w:cs="宋体"/>
          <w:color w:val="auto"/>
          <w:kern w:val="1"/>
          <w:sz w:val="24"/>
        </w:rPr>
      </w:pPr>
      <w:r>
        <w:rPr>
          <w:rFonts w:hint="eastAsia" w:ascii="宋体" w:hAnsi="宋体" w:cs="宋体"/>
          <w:color w:val="auto"/>
          <w:kern w:val="1"/>
          <w:sz w:val="24"/>
          <w:lang w:val="en-US" w:eastAsia="zh-CN"/>
        </w:rPr>
        <w:t>7</w:t>
      </w:r>
      <w:r>
        <w:rPr>
          <w:rFonts w:hint="eastAsia" w:ascii="宋体" w:hAnsi="宋体" w:eastAsia="宋体" w:cs="宋体"/>
          <w:color w:val="auto"/>
          <w:kern w:val="1"/>
          <w:sz w:val="24"/>
        </w:rPr>
        <w:t>.3、由磋商小组成员独立地根据各项因素的评分标准，结合各供应商的实际情况，分别就报价以外的各项评审因素对各供应商独立评审赋分。</w:t>
      </w:r>
    </w:p>
    <w:p>
      <w:pPr>
        <w:spacing w:line="360" w:lineRule="auto"/>
        <w:ind w:firstLine="480" w:firstLineChars="200"/>
        <w:rPr>
          <w:rFonts w:hint="eastAsia" w:ascii="宋体" w:hAnsi="宋体" w:eastAsia="宋体" w:cs="宋体"/>
          <w:color w:val="auto"/>
          <w:kern w:val="1"/>
          <w:sz w:val="24"/>
        </w:rPr>
      </w:pPr>
      <w:r>
        <w:rPr>
          <w:rFonts w:hint="eastAsia" w:ascii="宋体" w:hAnsi="宋体" w:cs="宋体"/>
          <w:color w:val="auto"/>
          <w:kern w:val="1"/>
          <w:sz w:val="24"/>
          <w:lang w:val="en-US" w:eastAsia="zh-CN"/>
        </w:rPr>
        <w:t>7</w:t>
      </w:r>
      <w:r>
        <w:rPr>
          <w:rFonts w:hint="eastAsia" w:ascii="宋体" w:hAnsi="宋体" w:eastAsia="宋体" w:cs="宋体"/>
          <w:color w:val="auto"/>
          <w:kern w:val="1"/>
          <w:sz w:val="24"/>
        </w:rPr>
        <w:t>.4、当排序推荐候选成交供应商名单出现多数评委成员的评审意见比较一致，某一个别评委的赋分畸高畸低，导致排序结果改变的，采购代理机构应当发回该评委重新进行评价，并说明其赋分的合理理由，对拒绝说明、拒绝重新评价的，其个人评审意见与赋分作为无效处理。</w:t>
      </w:r>
    </w:p>
    <w:p>
      <w:pPr>
        <w:spacing w:line="360" w:lineRule="auto"/>
        <w:ind w:firstLine="480" w:firstLineChars="200"/>
        <w:rPr>
          <w:rFonts w:hint="eastAsia" w:ascii="宋体" w:hAnsi="宋体" w:eastAsia="宋体" w:cs="宋体"/>
          <w:color w:val="auto"/>
          <w:kern w:val="1"/>
          <w:sz w:val="24"/>
        </w:rPr>
      </w:pPr>
      <w:r>
        <w:rPr>
          <w:rFonts w:hint="eastAsia" w:ascii="宋体" w:hAnsi="宋体" w:cs="宋体"/>
          <w:color w:val="auto"/>
          <w:kern w:val="1"/>
          <w:sz w:val="24"/>
          <w:lang w:val="en-US" w:eastAsia="zh-CN"/>
        </w:rPr>
        <w:t>7</w:t>
      </w:r>
      <w:r>
        <w:rPr>
          <w:rFonts w:hint="eastAsia" w:ascii="宋体" w:hAnsi="宋体" w:eastAsia="宋体" w:cs="宋体"/>
          <w:color w:val="auto"/>
          <w:kern w:val="1"/>
          <w:sz w:val="24"/>
        </w:rPr>
        <w:t>.5、磋商小组成员对需要共同认定的事项存在争议的，应当按照少数服从多数的原则作出结论。持不同意见的磋商小组成员应当在评标报告</w:t>
      </w:r>
      <w:r>
        <w:rPr>
          <w:rFonts w:hint="eastAsia" w:ascii="宋体" w:hAnsi="宋体" w:eastAsia="宋体" w:cs="宋体"/>
          <w:color w:val="auto"/>
          <w:kern w:val="1"/>
          <w:sz w:val="24"/>
          <w:lang w:eastAsia="zh-CN"/>
        </w:rPr>
        <w:t>（磋商会议纪要）</w:t>
      </w:r>
      <w:r>
        <w:rPr>
          <w:rFonts w:hint="eastAsia" w:ascii="宋体" w:hAnsi="宋体" w:eastAsia="宋体" w:cs="宋体"/>
          <w:color w:val="auto"/>
          <w:kern w:val="1"/>
          <w:sz w:val="24"/>
        </w:rPr>
        <w:t>上签署不同意见及理由，否则视为同意评标报告</w:t>
      </w:r>
      <w:r>
        <w:rPr>
          <w:rFonts w:hint="eastAsia" w:ascii="宋体" w:hAnsi="宋体" w:eastAsia="宋体" w:cs="宋体"/>
          <w:color w:val="auto"/>
          <w:kern w:val="1"/>
          <w:sz w:val="24"/>
          <w:lang w:eastAsia="zh-CN"/>
        </w:rPr>
        <w:t>（磋商会议纪要）</w:t>
      </w:r>
      <w:r>
        <w:rPr>
          <w:rFonts w:hint="eastAsia" w:ascii="宋体" w:hAnsi="宋体" w:eastAsia="宋体" w:cs="宋体"/>
          <w:color w:val="auto"/>
          <w:kern w:val="1"/>
          <w:sz w:val="24"/>
        </w:rPr>
        <w:t>。</w:t>
      </w:r>
    </w:p>
    <w:p>
      <w:pPr>
        <w:spacing w:before="120" w:beforeLines="50" w:after="120" w:afterLines="50" w:line="360" w:lineRule="auto"/>
        <w:rPr>
          <w:rFonts w:hint="eastAsia" w:ascii="宋体" w:hAnsi="宋体" w:eastAsia="宋体" w:cs="宋体"/>
          <w:b/>
          <w:color w:val="auto"/>
          <w:sz w:val="24"/>
        </w:rPr>
      </w:pPr>
      <w:r>
        <w:rPr>
          <w:rFonts w:hint="eastAsia" w:ascii="宋体" w:hAnsi="宋体" w:cs="宋体"/>
          <w:b/>
          <w:color w:val="auto"/>
          <w:sz w:val="24"/>
          <w:lang w:eastAsia="zh-CN"/>
        </w:rPr>
        <w:t>五</w:t>
      </w:r>
      <w:r>
        <w:rPr>
          <w:rFonts w:hint="eastAsia" w:ascii="宋体" w:hAnsi="宋体" w:eastAsia="宋体" w:cs="宋体"/>
          <w:b/>
          <w:color w:val="auto"/>
          <w:sz w:val="24"/>
        </w:rPr>
        <w:t>、评审细则及标准</w:t>
      </w:r>
    </w:p>
    <w:p>
      <w:pPr>
        <w:spacing w:line="360" w:lineRule="auto"/>
        <w:rPr>
          <w:rFonts w:hint="eastAsia" w:ascii="宋体" w:hAnsi="宋体" w:eastAsia="宋体" w:cs="宋体"/>
          <w:b/>
          <w:color w:val="auto"/>
          <w:kern w:val="1"/>
          <w:sz w:val="24"/>
        </w:rPr>
      </w:pPr>
      <w:r>
        <w:rPr>
          <w:rFonts w:hint="eastAsia" w:ascii="宋体" w:hAnsi="宋体" w:cs="宋体"/>
          <w:b/>
          <w:color w:val="auto"/>
          <w:kern w:val="1"/>
          <w:sz w:val="24"/>
          <w:lang w:val="en-US" w:eastAsia="zh-CN"/>
        </w:rPr>
        <w:t>8</w:t>
      </w:r>
      <w:r>
        <w:rPr>
          <w:rFonts w:hint="eastAsia" w:ascii="宋体" w:hAnsi="宋体" w:eastAsia="宋体" w:cs="宋体"/>
          <w:b/>
          <w:color w:val="auto"/>
          <w:kern w:val="1"/>
          <w:sz w:val="24"/>
        </w:rPr>
        <w:t>、综合评</w:t>
      </w:r>
      <w:r>
        <w:rPr>
          <w:rFonts w:hint="eastAsia" w:ascii="宋体" w:hAnsi="宋体" w:eastAsia="宋体" w:cs="宋体"/>
          <w:b/>
          <w:color w:val="auto"/>
          <w:kern w:val="1"/>
          <w:sz w:val="24"/>
          <w:lang w:eastAsia="zh-CN"/>
        </w:rPr>
        <w:t>分</w:t>
      </w:r>
      <w:r>
        <w:rPr>
          <w:rFonts w:hint="eastAsia" w:ascii="宋体" w:hAnsi="宋体" w:eastAsia="宋体" w:cs="宋体"/>
          <w:b/>
          <w:color w:val="auto"/>
          <w:kern w:val="1"/>
          <w:sz w:val="24"/>
        </w:rPr>
        <w:t>法</w:t>
      </w:r>
    </w:p>
    <w:p>
      <w:pPr>
        <w:spacing w:line="360" w:lineRule="auto"/>
        <w:ind w:firstLine="482" w:firstLineChars="200"/>
        <w:rPr>
          <w:rFonts w:hint="eastAsia" w:ascii="宋体" w:hAnsi="宋体" w:eastAsia="宋体" w:cs="宋体"/>
          <w:color w:val="auto"/>
          <w:kern w:val="1"/>
          <w:sz w:val="24"/>
        </w:rPr>
      </w:pPr>
      <w:r>
        <w:rPr>
          <w:rFonts w:hint="eastAsia" w:ascii="宋体" w:hAnsi="宋体" w:eastAsia="宋体" w:cs="宋体"/>
          <w:b/>
          <w:bCs/>
          <w:color w:val="auto"/>
          <w:kern w:val="1"/>
          <w:sz w:val="24"/>
        </w:rPr>
        <w:t>本采购项目评审方法采用综合评</w:t>
      </w:r>
      <w:r>
        <w:rPr>
          <w:rFonts w:hint="eastAsia" w:ascii="宋体" w:hAnsi="宋体" w:eastAsia="宋体" w:cs="宋体"/>
          <w:b/>
          <w:bCs/>
          <w:color w:val="auto"/>
          <w:kern w:val="1"/>
          <w:sz w:val="24"/>
          <w:lang w:eastAsia="zh-CN"/>
        </w:rPr>
        <w:t>分</w:t>
      </w:r>
      <w:r>
        <w:rPr>
          <w:rFonts w:hint="eastAsia" w:ascii="宋体" w:hAnsi="宋体" w:eastAsia="宋体" w:cs="宋体"/>
          <w:b/>
          <w:bCs/>
          <w:color w:val="auto"/>
          <w:kern w:val="1"/>
          <w:sz w:val="24"/>
        </w:rPr>
        <w:t>法</w:t>
      </w:r>
      <w:r>
        <w:rPr>
          <w:rFonts w:hint="eastAsia" w:ascii="宋体" w:hAnsi="宋体" w:eastAsia="宋体" w:cs="宋体"/>
          <w:color w:val="auto"/>
          <w:kern w:val="1"/>
          <w:sz w:val="24"/>
        </w:rPr>
        <w:t>。评标时，磋商小组各成员应当独立对每个供应商的</w:t>
      </w:r>
      <w:r>
        <w:rPr>
          <w:rFonts w:hint="eastAsia" w:ascii="宋体" w:hAnsi="宋体" w:eastAsia="宋体" w:cs="宋体"/>
          <w:color w:val="auto"/>
          <w:kern w:val="1"/>
          <w:sz w:val="24"/>
          <w:lang w:eastAsia="zh-CN"/>
        </w:rPr>
        <w:t>磋商响应</w:t>
      </w:r>
      <w:r>
        <w:rPr>
          <w:rFonts w:hint="eastAsia" w:ascii="宋体" w:hAnsi="宋体" w:eastAsia="宋体" w:cs="宋体"/>
          <w:color w:val="auto"/>
          <w:kern w:val="1"/>
          <w:sz w:val="24"/>
        </w:rPr>
        <w:t>文件进行评价，并汇总每个供应商的得分。即响应文件能够最大限度的满足竞争性磋商文件规定的各项综合评分标准，且经评审得分最高的供应商为</w:t>
      </w:r>
      <w:r>
        <w:rPr>
          <w:rFonts w:hint="eastAsia" w:ascii="宋体" w:hAnsi="宋体" w:eastAsia="宋体" w:cs="宋体"/>
          <w:color w:val="auto"/>
          <w:kern w:val="1"/>
          <w:sz w:val="24"/>
          <w:lang w:eastAsia="zh-CN"/>
        </w:rPr>
        <w:t>成交</w:t>
      </w:r>
      <w:r>
        <w:rPr>
          <w:rFonts w:hint="eastAsia" w:ascii="宋体" w:hAnsi="宋体" w:eastAsia="宋体" w:cs="宋体"/>
          <w:color w:val="auto"/>
          <w:kern w:val="1"/>
          <w:sz w:val="24"/>
        </w:rPr>
        <w:t>候选人。</w:t>
      </w:r>
    </w:p>
    <w:p>
      <w:pPr>
        <w:widowControl/>
        <w:autoSpaceDE w:val="0"/>
        <w:autoSpaceDN w:val="0"/>
        <w:spacing w:before="120" w:beforeLines="50" w:after="120" w:afterLines="50" w:line="360" w:lineRule="auto"/>
        <w:ind w:right="51"/>
        <w:textAlignment w:val="bottom"/>
        <w:rPr>
          <w:rFonts w:hint="eastAsia" w:ascii="宋体" w:hAnsi="宋体" w:eastAsia="宋体" w:cs="宋体"/>
          <w:b/>
          <w:color w:val="auto"/>
          <w:sz w:val="24"/>
        </w:rPr>
      </w:pPr>
      <w:r>
        <w:rPr>
          <w:rFonts w:hint="eastAsia" w:ascii="宋体" w:hAnsi="宋体" w:cs="宋体"/>
          <w:b/>
          <w:color w:val="auto"/>
          <w:sz w:val="24"/>
          <w:lang w:val="en-US" w:eastAsia="zh-CN"/>
        </w:rPr>
        <w:t>9</w:t>
      </w:r>
      <w:r>
        <w:rPr>
          <w:rFonts w:hint="eastAsia" w:ascii="宋体" w:hAnsi="宋体" w:eastAsia="宋体" w:cs="宋体"/>
          <w:b/>
          <w:color w:val="auto"/>
          <w:sz w:val="24"/>
        </w:rPr>
        <w:t>、评审细则及标准</w:t>
      </w:r>
    </w:p>
    <w:p>
      <w:pPr>
        <w:spacing w:line="360" w:lineRule="auto"/>
        <w:ind w:firstLine="480" w:firstLineChars="200"/>
        <w:rPr>
          <w:rFonts w:hint="eastAsia" w:ascii="宋体" w:hAnsi="宋体" w:eastAsia="宋体" w:cs="宋体"/>
          <w:color w:val="auto"/>
          <w:kern w:val="1"/>
          <w:sz w:val="24"/>
        </w:rPr>
      </w:pPr>
      <w:r>
        <w:rPr>
          <w:rFonts w:hint="eastAsia" w:ascii="宋体" w:hAnsi="宋体" w:cs="宋体"/>
          <w:color w:val="auto"/>
          <w:kern w:val="1"/>
          <w:sz w:val="24"/>
          <w:lang w:val="en-US" w:eastAsia="zh-CN"/>
        </w:rPr>
        <w:t>9</w:t>
      </w:r>
      <w:r>
        <w:rPr>
          <w:rFonts w:hint="eastAsia" w:ascii="宋体" w:hAnsi="宋体" w:eastAsia="宋体" w:cs="宋体"/>
          <w:color w:val="auto"/>
          <w:kern w:val="1"/>
          <w:sz w:val="24"/>
        </w:rPr>
        <w:t>.1、评标委员会将综合分析供应商的各项评审因素，而不以单项评审因素的优劣评选出成交供应商。对所有供应商的响应评估，都采用相同的程序和标准，严格按照竞争性磋商文件的要求和条件进行。</w:t>
      </w:r>
    </w:p>
    <w:p>
      <w:pPr>
        <w:spacing w:line="360" w:lineRule="auto"/>
        <w:ind w:firstLine="480" w:firstLineChars="200"/>
        <w:rPr>
          <w:rFonts w:hint="eastAsia" w:ascii="宋体" w:hAnsi="宋体" w:eastAsia="宋体" w:cs="宋体"/>
          <w:color w:val="auto"/>
          <w:kern w:val="1"/>
          <w:sz w:val="24"/>
        </w:rPr>
      </w:pPr>
      <w:r>
        <w:rPr>
          <w:rFonts w:hint="eastAsia" w:ascii="宋体" w:hAnsi="宋体" w:cs="宋体"/>
          <w:color w:val="auto"/>
          <w:kern w:val="1"/>
          <w:sz w:val="24"/>
          <w:lang w:val="en-US" w:eastAsia="zh-CN"/>
        </w:rPr>
        <w:t>9</w:t>
      </w:r>
      <w:r>
        <w:rPr>
          <w:rFonts w:hint="eastAsia" w:ascii="宋体" w:hAnsi="宋体" w:eastAsia="宋体" w:cs="宋体"/>
          <w:color w:val="auto"/>
          <w:kern w:val="1"/>
          <w:sz w:val="24"/>
        </w:rPr>
        <w:t>.2、评审因素包括：报价、技术、商务及对竞争性磋商文件的响应程度。</w:t>
      </w:r>
    </w:p>
    <w:p>
      <w:pPr>
        <w:spacing w:line="360" w:lineRule="auto"/>
        <w:ind w:firstLine="480" w:firstLineChars="200"/>
        <w:rPr>
          <w:rFonts w:hint="eastAsia" w:ascii="宋体" w:hAnsi="宋体" w:eastAsia="宋体" w:cs="宋体"/>
          <w:color w:val="auto"/>
          <w:kern w:val="1"/>
          <w:sz w:val="24"/>
        </w:rPr>
      </w:pPr>
      <w:r>
        <w:rPr>
          <w:rFonts w:hint="eastAsia" w:ascii="宋体" w:hAnsi="宋体" w:cs="宋体"/>
          <w:color w:val="auto"/>
          <w:kern w:val="1"/>
          <w:sz w:val="24"/>
          <w:lang w:val="en-US" w:eastAsia="zh-CN"/>
        </w:rPr>
        <w:t>9</w:t>
      </w:r>
      <w:r>
        <w:rPr>
          <w:rFonts w:hint="eastAsia" w:ascii="宋体" w:hAnsi="宋体" w:eastAsia="宋体" w:cs="宋体"/>
          <w:color w:val="auto"/>
          <w:kern w:val="1"/>
          <w:sz w:val="24"/>
        </w:rPr>
        <w:t>.3、政策性扣减</w:t>
      </w:r>
    </w:p>
    <w:p>
      <w:pPr>
        <w:spacing w:line="360" w:lineRule="auto"/>
        <w:ind w:firstLine="480" w:firstLineChars="200"/>
        <w:rPr>
          <w:rFonts w:hint="eastAsia" w:ascii="宋体" w:hAnsi="宋体" w:eastAsia="宋体" w:cs="宋体"/>
          <w:color w:val="auto"/>
          <w:kern w:val="1"/>
          <w:sz w:val="24"/>
        </w:rPr>
      </w:pPr>
      <w:r>
        <w:rPr>
          <w:rFonts w:hint="eastAsia" w:ascii="宋体" w:hAnsi="宋体" w:eastAsia="宋体" w:cs="宋体"/>
          <w:color w:val="auto"/>
          <w:kern w:val="1"/>
          <w:sz w:val="24"/>
        </w:rPr>
        <w:t>根据《陕西省财政厅关于政府采购有关问题的通知》（陕财办采资（2016）53号）对政府采购相关政策落实如下：</w:t>
      </w:r>
    </w:p>
    <w:p>
      <w:pPr>
        <w:spacing w:line="360" w:lineRule="auto"/>
        <w:ind w:firstLine="480" w:firstLineChars="200"/>
        <w:rPr>
          <w:rFonts w:hint="eastAsia" w:ascii="宋体" w:hAnsi="宋体" w:eastAsia="宋体" w:cs="宋体"/>
          <w:color w:val="auto"/>
          <w:kern w:val="1"/>
          <w:sz w:val="24"/>
        </w:rPr>
      </w:pPr>
      <w:r>
        <w:rPr>
          <w:rFonts w:hint="eastAsia" w:ascii="宋体" w:hAnsi="宋体" w:eastAsia="宋体" w:cs="宋体"/>
          <w:color w:val="auto"/>
          <w:kern w:val="1"/>
          <w:sz w:val="24"/>
        </w:rPr>
        <w:t>1、财政部、工业和信息化部《关于印发&lt;政府采购促进中小企业发展管理办法&gt;的通知》(财库〔2020〕46号)</w:t>
      </w:r>
    </w:p>
    <w:p>
      <w:pPr>
        <w:spacing w:line="360" w:lineRule="auto"/>
        <w:ind w:firstLine="480" w:firstLineChars="200"/>
        <w:rPr>
          <w:rFonts w:hint="eastAsia" w:ascii="宋体" w:hAnsi="宋体" w:eastAsia="宋体" w:cs="宋体"/>
          <w:color w:val="auto"/>
          <w:kern w:val="1"/>
          <w:sz w:val="24"/>
        </w:rPr>
      </w:pPr>
      <w:r>
        <w:rPr>
          <w:rFonts w:hint="eastAsia" w:ascii="宋体" w:hAnsi="宋体" w:eastAsia="宋体" w:cs="宋体"/>
          <w:color w:val="auto"/>
          <w:kern w:val="1"/>
          <w:sz w:val="24"/>
        </w:rPr>
        <w:t>根据《政府采购促进中小企业发展管理办法》（财库〔2020〕46号）规定，符合本办法规定的参加政府采购活动的中小企业应当提供《中小企业声明函》，否则不得享受相关中小企业扶持政策。供应商提供的《中小企业声明函》必须真实，否则，按照有关规定予以处理。</w:t>
      </w:r>
    </w:p>
    <w:p>
      <w:pPr>
        <w:spacing w:line="360" w:lineRule="auto"/>
        <w:ind w:firstLine="480" w:firstLineChars="200"/>
        <w:rPr>
          <w:rFonts w:hint="eastAsia" w:ascii="宋体" w:hAnsi="宋体" w:eastAsia="宋体" w:cs="宋体"/>
          <w:color w:val="auto"/>
          <w:kern w:val="1"/>
          <w:sz w:val="24"/>
        </w:rPr>
      </w:pPr>
      <w:r>
        <w:rPr>
          <w:rFonts w:hint="eastAsia" w:ascii="宋体" w:hAnsi="宋体" w:eastAsia="宋体" w:cs="宋体"/>
          <w:color w:val="auto"/>
          <w:kern w:val="1"/>
          <w:sz w:val="24"/>
        </w:rPr>
        <w:t>评标委员会根据《政府采购促进中小企业发展管理办法》的相关规定，对小微企业报价给予</w:t>
      </w:r>
      <w:r>
        <w:rPr>
          <w:rFonts w:hint="eastAsia" w:ascii="宋体" w:hAnsi="宋体" w:eastAsia="宋体" w:cs="宋体"/>
          <w:color w:val="auto"/>
          <w:kern w:val="1"/>
          <w:sz w:val="24"/>
          <w:lang w:val="en-US" w:eastAsia="zh-CN"/>
        </w:rPr>
        <w:t>5</w:t>
      </w:r>
      <w:r>
        <w:rPr>
          <w:rFonts w:hint="eastAsia" w:ascii="宋体" w:hAnsi="宋体" w:eastAsia="宋体" w:cs="宋体"/>
          <w:color w:val="auto"/>
          <w:kern w:val="1"/>
          <w:sz w:val="24"/>
        </w:rPr>
        <w:t>%的扣除，用扣除后的价格参与评审。</w:t>
      </w:r>
    </w:p>
    <w:p>
      <w:pPr>
        <w:spacing w:line="360" w:lineRule="auto"/>
        <w:ind w:firstLine="480" w:firstLineChars="200"/>
        <w:rPr>
          <w:rFonts w:hint="eastAsia" w:ascii="宋体" w:hAnsi="宋体" w:eastAsia="宋体" w:cs="宋体"/>
          <w:color w:val="auto"/>
          <w:kern w:val="1"/>
          <w:sz w:val="24"/>
        </w:rPr>
      </w:pPr>
      <w:r>
        <w:rPr>
          <w:rFonts w:hint="eastAsia" w:ascii="宋体" w:hAnsi="宋体" w:eastAsia="宋体" w:cs="宋体"/>
          <w:color w:val="auto"/>
          <w:kern w:val="1"/>
          <w:sz w:val="24"/>
        </w:rPr>
        <w:t>2、《财政部司法部关于政府采购支持监狱企业发展有关问题的通知》—财库[2014]68号根据《关于政府采购支持监狱企业发展有关问题的通知》（财库（2014）68号）规定，在政府采购活动中，监狱企业视同小型、微型企业，享受政府采购促进中小企业发展的政府采购政策。监狱企业参加政府采购活动时，应当提供由省级以上监狱管理局、戒毒管理局（含新疆生产建设兵团）出具的属于监狱企业的证明文件。</w:t>
      </w:r>
    </w:p>
    <w:p>
      <w:pPr>
        <w:spacing w:line="360" w:lineRule="auto"/>
        <w:ind w:firstLine="480" w:firstLineChars="200"/>
        <w:rPr>
          <w:rFonts w:hint="eastAsia" w:ascii="宋体" w:hAnsi="宋体" w:eastAsia="宋体" w:cs="宋体"/>
          <w:color w:val="auto"/>
          <w:kern w:val="1"/>
          <w:sz w:val="24"/>
        </w:rPr>
      </w:pPr>
      <w:r>
        <w:rPr>
          <w:rFonts w:hint="eastAsia" w:ascii="宋体" w:hAnsi="宋体" w:eastAsia="宋体" w:cs="宋体"/>
          <w:color w:val="auto"/>
          <w:kern w:val="1"/>
          <w:sz w:val="24"/>
        </w:rPr>
        <w:t>3、《财政部民政部中国残疾人联合会关于促进残疾人就业政府采购政策的通知》—财库[2017]141号</w:t>
      </w:r>
    </w:p>
    <w:p>
      <w:pPr>
        <w:spacing w:line="360" w:lineRule="auto"/>
        <w:ind w:firstLine="480" w:firstLineChars="200"/>
        <w:rPr>
          <w:rFonts w:hint="eastAsia" w:ascii="宋体" w:hAnsi="宋体" w:eastAsia="宋体" w:cs="宋体"/>
          <w:color w:val="auto"/>
          <w:kern w:val="1"/>
          <w:sz w:val="24"/>
        </w:rPr>
      </w:pPr>
      <w:r>
        <w:rPr>
          <w:rFonts w:hint="eastAsia" w:ascii="宋体" w:hAnsi="宋体" w:eastAsia="宋体" w:cs="宋体"/>
          <w:color w:val="auto"/>
          <w:kern w:val="1"/>
          <w:sz w:val="24"/>
        </w:rPr>
        <w:t>根据《财政部民政部中国残疾人联合会关于促进残疾人就业政府采购政策的通知》（财库[2017]141号）规定，在政府采购活动中，残疾人福利性单位视同小型、微型企业，享受预留份额、评审中价格扣除等促进中小企业发展的政府采购政策。</w:t>
      </w:r>
    </w:p>
    <w:p>
      <w:pPr>
        <w:spacing w:line="360" w:lineRule="auto"/>
        <w:ind w:firstLine="480" w:firstLineChars="200"/>
        <w:rPr>
          <w:rFonts w:hint="eastAsia" w:ascii="宋体" w:hAnsi="宋体" w:eastAsia="宋体" w:cs="宋体"/>
          <w:color w:val="auto"/>
          <w:kern w:val="1"/>
          <w:sz w:val="24"/>
        </w:rPr>
      </w:pPr>
      <w:r>
        <w:rPr>
          <w:rFonts w:hint="eastAsia" w:ascii="宋体" w:hAnsi="宋体" w:eastAsia="宋体" w:cs="宋体"/>
          <w:color w:val="auto"/>
          <w:kern w:val="1"/>
          <w:sz w:val="24"/>
        </w:rPr>
        <w:t>符合条件的残疾人福利性单位在参加政府采购活动时，应当提供本通知规定的《残疾人福利性单位声明函》，并对声明的真实性负责。</w:t>
      </w:r>
    </w:p>
    <w:p>
      <w:pPr>
        <w:spacing w:line="360" w:lineRule="auto"/>
        <w:ind w:firstLine="480" w:firstLineChars="200"/>
        <w:rPr>
          <w:rFonts w:hint="eastAsia" w:ascii="宋体" w:hAnsi="宋体" w:eastAsia="宋体" w:cs="宋体"/>
          <w:color w:val="auto"/>
          <w:kern w:val="1"/>
          <w:sz w:val="24"/>
        </w:rPr>
      </w:pPr>
      <w:r>
        <w:rPr>
          <w:rFonts w:hint="eastAsia" w:ascii="宋体" w:hAnsi="宋体" w:eastAsia="宋体" w:cs="宋体"/>
          <w:color w:val="auto"/>
          <w:kern w:val="1"/>
          <w:sz w:val="24"/>
        </w:rPr>
        <w:t>在政府采购活动中，残疾人福利性单位视同小型、微型企业，享受预留份额、评审中价格扣除等促进中小企业发展的政府采购政策。向残疾人福利性单位采购的金额，计入面向中小企业采购的统计数据。残疾人福利性单位属于小型、微型企业的，不重复享受政策。</w:t>
      </w:r>
    </w:p>
    <w:p>
      <w:pPr>
        <w:spacing w:line="360" w:lineRule="auto"/>
        <w:ind w:firstLine="480" w:firstLineChars="200"/>
        <w:rPr>
          <w:rFonts w:hint="eastAsia" w:ascii="宋体" w:hAnsi="宋体" w:eastAsia="宋体" w:cs="宋体"/>
          <w:color w:val="auto"/>
          <w:kern w:val="1"/>
          <w:sz w:val="24"/>
        </w:rPr>
      </w:pPr>
      <w:r>
        <w:rPr>
          <w:rFonts w:hint="eastAsia" w:ascii="宋体" w:hAnsi="宋体" w:eastAsia="宋体" w:cs="宋体"/>
          <w:color w:val="auto"/>
          <w:kern w:val="1"/>
          <w:sz w:val="24"/>
        </w:rPr>
        <w:t>4、《国务院办公厅关于建立政府强制采购节能产品制度的通知》--国办发[2007]51号</w:t>
      </w:r>
    </w:p>
    <w:p>
      <w:pPr>
        <w:spacing w:line="360" w:lineRule="auto"/>
        <w:ind w:firstLine="480" w:firstLineChars="200"/>
        <w:rPr>
          <w:rFonts w:hint="eastAsia" w:ascii="宋体" w:hAnsi="宋体" w:eastAsia="宋体" w:cs="宋体"/>
          <w:color w:val="auto"/>
          <w:kern w:val="1"/>
          <w:sz w:val="24"/>
        </w:rPr>
      </w:pPr>
      <w:r>
        <w:rPr>
          <w:rFonts w:hint="eastAsia" w:ascii="宋体" w:hAnsi="宋体" w:eastAsia="宋体" w:cs="宋体"/>
          <w:color w:val="auto"/>
          <w:kern w:val="1"/>
          <w:sz w:val="24"/>
        </w:rPr>
        <w:t>各级政府机构使用财政性资金进行政府采购活动时，在技术、服务等指标满足采购需求的前提下，要优先采购节能产品，对部分节能效果、性能等达到要求的产品，实行强制采购。</w:t>
      </w:r>
    </w:p>
    <w:p>
      <w:pPr>
        <w:spacing w:line="360" w:lineRule="auto"/>
        <w:ind w:firstLine="480" w:firstLineChars="200"/>
        <w:rPr>
          <w:rFonts w:hint="eastAsia" w:ascii="宋体" w:hAnsi="宋体" w:eastAsia="宋体" w:cs="宋体"/>
          <w:color w:val="auto"/>
          <w:kern w:val="1"/>
          <w:sz w:val="24"/>
        </w:rPr>
      </w:pPr>
      <w:r>
        <w:rPr>
          <w:rFonts w:hint="eastAsia" w:ascii="宋体" w:hAnsi="宋体" w:eastAsia="宋体" w:cs="宋体"/>
          <w:color w:val="auto"/>
          <w:kern w:val="1"/>
          <w:sz w:val="24"/>
        </w:rPr>
        <w:t>5、《节能产品政府采购实施意见》--财库[2004]185号</w:t>
      </w:r>
    </w:p>
    <w:p>
      <w:pPr>
        <w:spacing w:line="360" w:lineRule="auto"/>
        <w:ind w:firstLine="480" w:firstLineChars="200"/>
        <w:rPr>
          <w:rFonts w:hint="eastAsia" w:ascii="宋体" w:hAnsi="宋体" w:eastAsia="宋体" w:cs="宋体"/>
          <w:color w:val="auto"/>
          <w:kern w:val="1"/>
          <w:sz w:val="24"/>
        </w:rPr>
      </w:pPr>
      <w:r>
        <w:rPr>
          <w:rFonts w:hint="eastAsia" w:ascii="宋体" w:hAnsi="宋体" w:eastAsia="宋体" w:cs="宋体"/>
          <w:color w:val="auto"/>
          <w:kern w:val="1"/>
          <w:sz w:val="24"/>
        </w:rPr>
        <w:t>根据《节能产品政府采购实施意见》--（财库[2004]185号）规定，产品属于品目清单范围中实施政府强制采购的，需提供依据国家确定的认证机构出具的、处于有效期之内的节能产品认证证书，属于品目清单范围中实施政府优先采购的，依据提供的品目清单和认证证书实施政府优先采购。</w:t>
      </w:r>
    </w:p>
    <w:p>
      <w:pPr>
        <w:spacing w:line="360" w:lineRule="auto"/>
        <w:ind w:firstLine="480" w:firstLineChars="200"/>
        <w:rPr>
          <w:rFonts w:hint="eastAsia" w:ascii="宋体" w:hAnsi="宋体" w:eastAsia="宋体" w:cs="宋体"/>
          <w:color w:val="auto"/>
          <w:kern w:val="1"/>
          <w:sz w:val="24"/>
        </w:rPr>
      </w:pPr>
      <w:r>
        <w:rPr>
          <w:rFonts w:hint="eastAsia" w:ascii="宋体" w:hAnsi="宋体" w:eastAsia="宋体" w:cs="宋体"/>
          <w:color w:val="auto"/>
          <w:kern w:val="1"/>
          <w:sz w:val="24"/>
        </w:rPr>
        <w:t>在磋商时磋商供应商应提供有效证明材料（证明材料须加盖</w:t>
      </w:r>
      <w:r>
        <w:rPr>
          <w:rFonts w:hint="eastAsia" w:ascii="宋体" w:hAnsi="宋体" w:eastAsia="宋体" w:cs="宋体"/>
          <w:color w:val="auto"/>
          <w:kern w:val="1"/>
          <w:sz w:val="24"/>
          <w:lang w:eastAsia="zh-CN"/>
        </w:rPr>
        <w:t>磋商供应商</w:t>
      </w:r>
      <w:r>
        <w:rPr>
          <w:rFonts w:hint="eastAsia" w:ascii="宋体" w:hAnsi="宋体" w:eastAsia="宋体" w:cs="宋体"/>
          <w:color w:val="auto"/>
          <w:kern w:val="1"/>
          <w:sz w:val="24"/>
        </w:rPr>
        <w:t>红色公章）。（注：节能产品是指由财政部、国家发改委颁布的“节能产品政府采购清单”中的有效期内的产品）。</w:t>
      </w:r>
    </w:p>
    <w:p>
      <w:pPr>
        <w:spacing w:line="360" w:lineRule="auto"/>
        <w:ind w:firstLine="480" w:firstLineChars="200"/>
        <w:rPr>
          <w:rFonts w:hint="eastAsia" w:ascii="宋体" w:hAnsi="宋体" w:eastAsia="宋体" w:cs="宋体"/>
          <w:color w:val="auto"/>
          <w:kern w:val="1"/>
          <w:sz w:val="24"/>
        </w:rPr>
      </w:pPr>
      <w:r>
        <w:rPr>
          <w:rFonts w:hint="eastAsia" w:ascii="宋体" w:hAnsi="宋体" w:eastAsia="宋体" w:cs="宋体"/>
          <w:color w:val="auto"/>
          <w:kern w:val="1"/>
          <w:sz w:val="24"/>
        </w:rPr>
        <w:t>6、《环境标志产品政府采购实施的意见》—财库[2006]90号</w:t>
      </w:r>
    </w:p>
    <w:p>
      <w:pPr>
        <w:spacing w:line="360" w:lineRule="auto"/>
        <w:ind w:firstLine="480" w:firstLineChars="200"/>
        <w:rPr>
          <w:rFonts w:hint="eastAsia" w:ascii="宋体" w:hAnsi="宋体" w:eastAsia="宋体" w:cs="宋体"/>
          <w:color w:val="auto"/>
          <w:kern w:val="1"/>
          <w:sz w:val="24"/>
        </w:rPr>
      </w:pPr>
      <w:r>
        <w:rPr>
          <w:rFonts w:hint="eastAsia" w:ascii="宋体" w:hAnsi="宋体" w:eastAsia="宋体" w:cs="宋体"/>
          <w:color w:val="auto"/>
          <w:kern w:val="1"/>
          <w:sz w:val="24"/>
        </w:rPr>
        <w:t>根据《环境标志产品政府采购实施的意见》--财库[2006]90号规定，产品属于品目清单范围中实施政府强制采购的，需提供依据国家确定的认证机构出具的、处于有效期之内的环境标志产品认证证书，属于品目清单范围中实施政府优先采购的，依据提供的品目清单和认证证书实施政府优先采购。</w:t>
      </w:r>
    </w:p>
    <w:p>
      <w:pPr>
        <w:spacing w:line="360" w:lineRule="auto"/>
        <w:ind w:firstLine="480" w:firstLineChars="200"/>
        <w:rPr>
          <w:rFonts w:hint="eastAsia" w:ascii="宋体" w:hAnsi="宋体" w:eastAsia="宋体" w:cs="宋体"/>
          <w:color w:val="auto"/>
          <w:kern w:val="1"/>
          <w:sz w:val="24"/>
        </w:rPr>
      </w:pPr>
      <w:r>
        <w:rPr>
          <w:rFonts w:hint="eastAsia" w:ascii="宋体" w:hAnsi="宋体" w:eastAsia="宋体" w:cs="宋体"/>
          <w:color w:val="auto"/>
          <w:kern w:val="1"/>
          <w:sz w:val="24"/>
        </w:rPr>
        <w:t>在磋商时磋商供应商应提供有效证明材料（证明材料须加盖磋商供应商红色公章）。（注：环境标志产品是指由财政部、国家环境保护总局颁布的“环境标志产品政府采购清单”中的有效期内的产品）。</w:t>
      </w:r>
    </w:p>
    <w:p>
      <w:pPr>
        <w:pStyle w:val="13"/>
        <w:spacing w:line="360" w:lineRule="auto"/>
        <w:ind w:firstLine="480" w:firstLineChars="200"/>
        <w:rPr>
          <w:rFonts w:hint="eastAsia" w:ascii="宋体" w:hAnsi="宋体" w:eastAsia="宋体" w:cs="宋体"/>
          <w:bCs/>
          <w:color w:val="auto"/>
          <w:sz w:val="24"/>
        </w:rPr>
      </w:pPr>
      <w:r>
        <w:rPr>
          <w:rFonts w:hint="eastAsia" w:ascii="宋体" w:hAnsi="宋体" w:cs="宋体"/>
          <w:color w:val="auto"/>
          <w:kern w:val="2"/>
          <w:sz w:val="24"/>
          <w:lang w:val="en-US" w:eastAsia="zh-CN"/>
        </w:rPr>
        <w:t>9</w:t>
      </w:r>
      <w:r>
        <w:rPr>
          <w:rFonts w:hint="eastAsia" w:ascii="宋体" w:hAnsi="宋体" w:eastAsia="宋体" w:cs="宋体"/>
          <w:color w:val="auto"/>
          <w:kern w:val="2"/>
          <w:sz w:val="24"/>
        </w:rPr>
        <w:t>.4、</w:t>
      </w:r>
      <w:r>
        <w:rPr>
          <w:rFonts w:hint="eastAsia" w:ascii="宋体" w:hAnsi="宋体" w:eastAsia="宋体" w:cs="宋体"/>
          <w:bCs/>
          <w:color w:val="auto"/>
          <w:sz w:val="24"/>
        </w:rPr>
        <w:t>评审要素一览表：</w:t>
      </w:r>
    </w:p>
    <w:p>
      <w:pPr>
        <w:rPr>
          <w:rFonts w:hint="eastAsia" w:ascii="宋体" w:hAnsi="宋体" w:eastAsia="宋体" w:cs="宋体"/>
          <w:color w:val="auto"/>
        </w:rPr>
      </w:pPr>
    </w:p>
    <w:tbl>
      <w:tblPr>
        <w:tblStyle w:val="28"/>
        <w:tblW w:w="9401"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474"/>
        <w:gridCol w:w="2235"/>
        <w:gridCol w:w="5692"/>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64" w:hRule="atLeast"/>
          <w:jc w:val="center"/>
        </w:trPr>
        <w:tc>
          <w:tcPr>
            <w:tcW w:w="1474" w:type="dxa"/>
            <w:vAlign w:val="center"/>
          </w:tcPr>
          <w:p>
            <w:pPr>
              <w:tabs>
                <w:tab w:val="left" w:pos="1180"/>
              </w:tabs>
              <w:adjustRightInd w:val="0"/>
              <w:snapToGrid w:val="0"/>
              <w:spacing w:line="240" w:lineRule="atLeast"/>
              <w:jc w:val="center"/>
              <w:rPr>
                <w:rFonts w:hint="eastAsia" w:ascii="宋体" w:hAnsi="宋体" w:eastAsia="宋体" w:cs="宋体"/>
                <w:b/>
                <w:bCs/>
                <w:color w:val="auto"/>
                <w:sz w:val="24"/>
              </w:rPr>
            </w:pPr>
            <w:r>
              <w:rPr>
                <w:rFonts w:hint="eastAsia" w:ascii="宋体" w:hAnsi="宋体" w:eastAsia="宋体" w:cs="宋体"/>
                <w:b/>
                <w:bCs/>
                <w:color w:val="auto"/>
                <w:sz w:val="24"/>
              </w:rPr>
              <w:t>项别及分值</w:t>
            </w:r>
          </w:p>
          <w:p>
            <w:pPr>
              <w:tabs>
                <w:tab w:val="left" w:pos="1180"/>
              </w:tabs>
              <w:adjustRightInd w:val="0"/>
              <w:snapToGrid w:val="0"/>
              <w:spacing w:line="240" w:lineRule="atLeast"/>
              <w:jc w:val="center"/>
              <w:rPr>
                <w:rFonts w:hint="eastAsia" w:ascii="宋体" w:hAnsi="宋体" w:eastAsia="宋体" w:cs="宋体"/>
                <w:b/>
                <w:bCs/>
                <w:color w:val="auto"/>
                <w:sz w:val="24"/>
              </w:rPr>
            </w:pPr>
            <w:r>
              <w:rPr>
                <w:rFonts w:hint="eastAsia" w:ascii="宋体" w:hAnsi="宋体" w:eastAsia="宋体" w:cs="宋体"/>
                <w:b/>
                <w:bCs/>
                <w:color w:val="auto"/>
                <w:sz w:val="24"/>
              </w:rPr>
              <w:t>（100）</w:t>
            </w:r>
          </w:p>
        </w:tc>
        <w:tc>
          <w:tcPr>
            <w:tcW w:w="7927" w:type="dxa"/>
            <w:gridSpan w:val="2"/>
            <w:vAlign w:val="center"/>
          </w:tcPr>
          <w:p>
            <w:pPr>
              <w:tabs>
                <w:tab w:val="left" w:pos="1180"/>
              </w:tabs>
              <w:spacing w:line="360" w:lineRule="auto"/>
              <w:jc w:val="center"/>
              <w:rPr>
                <w:rFonts w:hint="eastAsia" w:ascii="宋体" w:hAnsi="宋体" w:eastAsia="宋体" w:cs="宋体"/>
                <w:b/>
                <w:bCs/>
                <w:color w:val="auto"/>
                <w:sz w:val="24"/>
              </w:rPr>
            </w:pPr>
            <w:r>
              <w:rPr>
                <w:rFonts w:hint="eastAsia" w:ascii="宋体" w:hAnsi="宋体" w:eastAsia="宋体" w:cs="宋体"/>
                <w:b/>
                <w:bCs/>
                <w:color w:val="auto"/>
                <w:sz w:val="24"/>
              </w:rPr>
              <w:t>评审要素</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506" w:hRule="atLeast"/>
          <w:jc w:val="center"/>
        </w:trPr>
        <w:tc>
          <w:tcPr>
            <w:tcW w:w="1474" w:type="dxa"/>
            <w:vAlign w:val="center"/>
          </w:tcPr>
          <w:p>
            <w:pPr>
              <w:tabs>
                <w:tab w:val="left" w:pos="1180"/>
              </w:tabs>
              <w:adjustRightInd w:val="0"/>
              <w:snapToGrid w:val="0"/>
              <w:spacing w:line="240" w:lineRule="atLeast"/>
              <w:jc w:val="center"/>
              <w:rPr>
                <w:rFonts w:hint="eastAsia" w:ascii="宋体" w:hAnsi="宋体" w:eastAsia="宋体" w:cs="宋体"/>
                <w:color w:val="auto"/>
                <w:sz w:val="24"/>
              </w:rPr>
            </w:pPr>
            <w:r>
              <w:rPr>
                <w:rFonts w:hint="eastAsia" w:ascii="宋体" w:hAnsi="宋体" w:eastAsia="宋体" w:cs="宋体"/>
                <w:color w:val="auto"/>
                <w:sz w:val="24"/>
                <w:lang w:eastAsia="zh-CN"/>
              </w:rPr>
              <w:t>磋商</w:t>
            </w:r>
            <w:r>
              <w:rPr>
                <w:rFonts w:hint="eastAsia" w:ascii="宋体" w:hAnsi="宋体" w:eastAsia="宋体" w:cs="宋体"/>
                <w:color w:val="auto"/>
                <w:sz w:val="24"/>
              </w:rPr>
              <w:t>报价得分</w:t>
            </w:r>
          </w:p>
          <w:p>
            <w:pPr>
              <w:tabs>
                <w:tab w:val="left" w:pos="1180"/>
              </w:tabs>
              <w:adjustRightInd w:val="0"/>
              <w:snapToGrid w:val="0"/>
              <w:spacing w:line="240" w:lineRule="atLeast"/>
              <w:jc w:val="center"/>
              <w:rPr>
                <w:rFonts w:hint="eastAsia" w:ascii="宋体" w:hAnsi="宋体" w:eastAsia="宋体" w:cs="宋体"/>
                <w:color w:val="auto"/>
                <w:sz w:val="24"/>
              </w:rPr>
            </w:pPr>
            <w:r>
              <w:rPr>
                <w:rFonts w:hint="eastAsia" w:ascii="宋体" w:hAnsi="宋体" w:eastAsia="宋体" w:cs="宋体"/>
                <w:color w:val="auto"/>
                <w:sz w:val="24"/>
              </w:rPr>
              <w:t>（</w:t>
            </w:r>
            <w:r>
              <w:rPr>
                <w:rFonts w:hint="eastAsia" w:ascii="宋体" w:hAnsi="宋体" w:eastAsia="宋体" w:cs="宋体"/>
                <w:color w:val="auto"/>
                <w:sz w:val="24"/>
                <w:lang w:val="en-US" w:eastAsia="zh-CN"/>
              </w:rPr>
              <w:t>3</w:t>
            </w:r>
            <w:r>
              <w:rPr>
                <w:rFonts w:hint="eastAsia" w:ascii="宋体" w:hAnsi="宋体" w:eastAsia="宋体" w:cs="宋体"/>
                <w:color w:val="auto"/>
                <w:sz w:val="24"/>
              </w:rPr>
              <w:t>0分）</w:t>
            </w:r>
          </w:p>
        </w:tc>
        <w:tc>
          <w:tcPr>
            <w:tcW w:w="2235" w:type="dxa"/>
            <w:tcBorders>
              <w:bottom w:val="single" w:color="auto" w:sz="4" w:space="0"/>
              <w:right w:val="single" w:color="auto" w:sz="4" w:space="0"/>
            </w:tcBorders>
            <w:vAlign w:val="center"/>
          </w:tcPr>
          <w:p>
            <w:pPr>
              <w:tabs>
                <w:tab w:val="left" w:pos="1180"/>
              </w:tabs>
              <w:adjustRightInd w:val="0"/>
              <w:snapToGrid w:val="0"/>
              <w:spacing w:line="240" w:lineRule="atLeast"/>
              <w:jc w:val="center"/>
              <w:rPr>
                <w:rFonts w:hint="eastAsia" w:ascii="宋体" w:hAnsi="宋体" w:eastAsia="宋体" w:cs="宋体"/>
                <w:color w:val="auto"/>
                <w:sz w:val="24"/>
              </w:rPr>
            </w:pPr>
            <w:r>
              <w:rPr>
                <w:rFonts w:hint="eastAsia" w:ascii="宋体" w:hAnsi="宋体" w:eastAsia="宋体" w:cs="宋体"/>
                <w:color w:val="auto"/>
                <w:sz w:val="24"/>
              </w:rPr>
              <w:t>评标基准价计算方法</w:t>
            </w:r>
          </w:p>
        </w:tc>
        <w:tc>
          <w:tcPr>
            <w:tcW w:w="5692" w:type="dxa"/>
            <w:tcBorders>
              <w:left w:val="single" w:color="auto" w:sz="4" w:space="0"/>
              <w:bottom w:val="single" w:color="auto" w:sz="4" w:space="0"/>
            </w:tcBorders>
            <w:vAlign w:val="center"/>
          </w:tcPr>
          <w:p>
            <w:pPr>
              <w:tabs>
                <w:tab w:val="left" w:pos="1180"/>
              </w:tabs>
              <w:spacing w:line="360" w:lineRule="auto"/>
              <w:rPr>
                <w:rFonts w:hint="eastAsia" w:ascii="宋体" w:hAnsi="宋体" w:eastAsia="宋体" w:cs="宋体"/>
                <w:color w:val="auto"/>
                <w:sz w:val="24"/>
              </w:rPr>
            </w:pPr>
            <w:r>
              <w:rPr>
                <w:rFonts w:hint="eastAsia" w:ascii="宋体" w:hAnsi="宋体" w:eastAsia="宋体" w:cs="宋体"/>
                <w:color w:val="auto"/>
                <w:sz w:val="24"/>
              </w:rPr>
              <w:t>1、满足磋商文件要求且磋商响应最低的报价（最后的响应报价）为评标基准价，其价格分为满分。其他磋商供应商的价格分统一按照下列公式计算：磋商报价得分=（评标基准价/评标报价）×</w:t>
            </w:r>
            <w:r>
              <w:rPr>
                <w:rFonts w:hint="eastAsia" w:ascii="宋体" w:hAnsi="宋体" w:eastAsia="宋体" w:cs="宋体"/>
                <w:color w:val="auto"/>
                <w:sz w:val="24"/>
                <w:lang w:val="en-US" w:eastAsia="zh-CN"/>
              </w:rPr>
              <w:t>30；</w:t>
            </w:r>
          </w:p>
          <w:p>
            <w:pPr>
              <w:tabs>
                <w:tab w:val="left" w:pos="1180"/>
              </w:tabs>
              <w:spacing w:line="360" w:lineRule="auto"/>
              <w:rPr>
                <w:rFonts w:hint="eastAsia" w:ascii="宋体" w:hAnsi="宋体" w:eastAsia="宋体" w:cs="宋体"/>
                <w:color w:val="auto"/>
                <w:sz w:val="24"/>
                <w:lang w:eastAsia="zh-CN"/>
              </w:rPr>
            </w:pPr>
            <w:r>
              <w:rPr>
                <w:rFonts w:hint="eastAsia" w:ascii="宋体" w:hAnsi="宋体" w:eastAsia="宋体" w:cs="宋体"/>
                <w:color w:val="auto"/>
                <w:sz w:val="24"/>
              </w:rPr>
              <w:t>2、符合磋商文件规定的中小企业、监狱企业、残疾人福利性单位优惠条件的供应商，价格给予</w:t>
            </w:r>
            <w:r>
              <w:rPr>
                <w:rFonts w:hint="eastAsia" w:ascii="宋体" w:hAnsi="宋体" w:eastAsia="宋体" w:cs="宋体"/>
                <w:color w:val="auto"/>
                <w:sz w:val="24"/>
                <w:lang w:val="en-US" w:eastAsia="zh-CN"/>
              </w:rPr>
              <w:t>5</w:t>
            </w:r>
            <w:r>
              <w:rPr>
                <w:rFonts w:hint="eastAsia" w:ascii="宋体" w:hAnsi="宋体" w:eastAsia="宋体" w:cs="宋体"/>
                <w:color w:val="auto"/>
                <w:sz w:val="24"/>
              </w:rPr>
              <w:t>%的扣除，用扣除后的价格参与评审</w:t>
            </w:r>
            <w:r>
              <w:rPr>
                <w:rFonts w:hint="eastAsia" w:ascii="宋体" w:hAnsi="宋体" w:eastAsia="宋体" w:cs="宋体"/>
                <w:color w:val="auto"/>
                <w:sz w:val="24"/>
                <w:lang w:eastAsia="zh-CN"/>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474" w:hRule="atLeast"/>
          <w:jc w:val="center"/>
        </w:trPr>
        <w:tc>
          <w:tcPr>
            <w:tcW w:w="1474" w:type="dxa"/>
            <w:vMerge w:val="restart"/>
            <w:vAlign w:val="center"/>
          </w:tcPr>
          <w:p>
            <w:pPr>
              <w:tabs>
                <w:tab w:val="left" w:pos="1180"/>
              </w:tabs>
              <w:adjustRightInd w:val="0"/>
              <w:snapToGrid w:val="0"/>
              <w:spacing w:line="240" w:lineRule="atLeast"/>
              <w:jc w:val="center"/>
              <w:rPr>
                <w:rFonts w:hint="eastAsia" w:ascii="宋体" w:hAnsi="宋体" w:eastAsia="宋体" w:cs="宋体"/>
                <w:color w:val="auto"/>
                <w:sz w:val="24"/>
              </w:rPr>
            </w:pPr>
            <w:r>
              <w:rPr>
                <w:rFonts w:hint="eastAsia" w:ascii="宋体" w:hAnsi="宋体" w:eastAsia="宋体" w:cs="宋体"/>
                <w:color w:val="auto"/>
                <w:sz w:val="24"/>
              </w:rPr>
              <w:t>商务标得分（10分）</w:t>
            </w:r>
          </w:p>
        </w:tc>
        <w:tc>
          <w:tcPr>
            <w:tcW w:w="2235" w:type="dxa"/>
            <w:tcBorders>
              <w:bottom w:val="single" w:color="auto" w:sz="4" w:space="0"/>
              <w:right w:val="single" w:color="auto" w:sz="4" w:space="0"/>
            </w:tcBorders>
            <w:vAlign w:val="center"/>
          </w:tcPr>
          <w:p>
            <w:pPr>
              <w:tabs>
                <w:tab w:val="left" w:pos="1180"/>
              </w:tabs>
              <w:adjustRightInd w:val="0"/>
              <w:snapToGrid w:val="0"/>
              <w:spacing w:line="240" w:lineRule="atLeast"/>
              <w:jc w:val="center"/>
              <w:rPr>
                <w:rFonts w:hint="eastAsia" w:ascii="宋体" w:hAnsi="宋体" w:eastAsia="宋体" w:cs="宋体"/>
                <w:color w:val="auto"/>
                <w:sz w:val="24"/>
              </w:rPr>
            </w:pPr>
            <w:r>
              <w:rPr>
                <w:rFonts w:hint="eastAsia" w:ascii="宋体" w:hAnsi="宋体" w:eastAsia="宋体" w:cs="宋体"/>
                <w:color w:val="auto"/>
                <w:sz w:val="24"/>
              </w:rPr>
              <w:t>项目部组成</w:t>
            </w:r>
          </w:p>
          <w:p>
            <w:pPr>
              <w:tabs>
                <w:tab w:val="left" w:pos="1180"/>
              </w:tabs>
              <w:adjustRightInd w:val="0"/>
              <w:snapToGrid w:val="0"/>
              <w:spacing w:line="240" w:lineRule="atLeast"/>
              <w:jc w:val="center"/>
              <w:rPr>
                <w:rFonts w:hint="eastAsia" w:ascii="宋体" w:hAnsi="宋体" w:eastAsia="宋体" w:cs="宋体"/>
                <w:color w:val="auto"/>
                <w:sz w:val="24"/>
              </w:rPr>
            </w:pPr>
            <w:r>
              <w:rPr>
                <w:rFonts w:hint="eastAsia" w:ascii="宋体" w:hAnsi="宋体" w:eastAsia="宋体" w:cs="宋体"/>
                <w:color w:val="auto"/>
                <w:sz w:val="24"/>
                <w:lang w:val="en-US" w:eastAsia="zh-CN"/>
              </w:rPr>
              <w:t>6</w:t>
            </w:r>
            <w:r>
              <w:rPr>
                <w:rFonts w:hint="eastAsia" w:ascii="宋体" w:hAnsi="宋体" w:eastAsia="宋体" w:cs="宋体"/>
                <w:color w:val="auto"/>
                <w:sz w:val="24"/>
              </w:rPr>
              <w:t>分</w:t>
            </w:r>
          </w:p>
        </w:tc>
        <w:tc>
          <w:tcPr>
            <w:tcW w:w="5692" w:type="dxa"/>
            <w:tcBorders>
              <w:left w:val="single" w:color="auto" w:sz="4" w:space="0"/>
              <w:bottom w:val="single" w:color="auto" w:sz="4" w:space="0"/>
            </w:tcBorders>
            <w:vAlign w:val="center"/>
          </w:tcPr>
          <w:p>
            <w:pPr>
              <w:tabs>
                <w:tab w:val="left" w:pos="1180"/>
              </w:tabs>
              <w:adjustRightInd w:val="0"/>
              <w:snapToGrid w:val="0"/>
              <w:spacing w:line="240" w:lineRule="atLeast"/>
              <w:rPr>
                <w:rFonts w:hint="eastAsia" w:ascii="宋体" w:hAnsi="宋体" w:eastAsia="宋体" w:cs="宋体"/>
                <w:color w:val="auto"/>
                <w:sz w:val="24"/>
              </w:rPr>
            </w:pPr>
            <w:r>
              <w:rPr>
                <w:rFonts w:hint="eastAsia" w:ascii="宋体" w:hAnsi="宋体" w:eastAsia="宋体" w:cs="宋体"/>
                <w:color w:val="auto"/>
                <w:sz w:val="24"/>
              </w:rPr>
              <w:t>机构设置及主要管理人员专业配置合理，齐全，符合本项目实际需求；（优6-4分，良3-2分，一般1-0分）；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474" w:hRule="atLeast"/>
          <w:jc w:val="center"/>
        </w:trPr>
        <w:tc>
          <w:tcPr>
            <w:tcW w:w="1474" w:type="dxa"/>
            <w:vMerge w:val="continue"/>
            <w:vAlign w:val="center"/>
          </w:tcPr>
          <w:p>
            <w:pPr>
              <w:tabs>
                <w:tab w:val="left" w:pos="1180"/>
              </w:tabs>
              <w:adjustRightInd w:val="0"/>
              <w:snapToGrid w:val="0"/>
              <w:spacing w:line="240" w:lineRule="atLeast"/>
              <w:jc w:val="center"/>
              <w:rPr>
                <w:rFonts w:hint="eastAsia" w:ascii="宋体" w:hAnsi="宋体" w:eastAsia="宋体" w:cs="宋体"/>
                <w:color w:val="auto"/>
                <w:sz w:val="24"/>
              </w:rPr>
            </w:pPr>
          </w:p>
        </w:tc>
        <w:tc>
          <w:tcPr>
            <w:tcW w:w="2235" w:type="dxa"/>
            <w:tcBorders>
              <w:bottom w:val="single" w:color="auto" w:sz="4" w:space="0"/>
              <w:right w:val="single" w:color="auto" w:sz="4" w:space="0"/>
            </w:tcBorders>
            <w:vAlign w:val="center"/>
          </w:tcPr>
          <w:p>
            <w:pPr>
              <w:tabs>
                <w:tab w:val="left" w:pos="1180"/>
              </w:tabs>
              <w:adjustRightInd w:val="0"/>
              <w:snapToGrid w:val="0"/>
              <w:spacing w:line="240" w:lineRule="atLeast"/>
              <w:jc w:val="center"/>
              <w:rPr>
                <w:rFonts w:hint="eastAsia" w:ascii="宋体" w:hAnsi="宋体" w:eastAsia="宋体" w:cs="宋体"/>
                <w:color w:val="auto"/>
                <w:sz w:val="24"/>
              </w:rPr>
            </w:pPr>
            <w:r>
              <w:rPr>
                <w:rFonts w:hint="eastAsia" w:ascii="宋体" w:hAnsi="宋体" w:eastAsia="宋体" w:cs="宋体"/>
                <w:color w:val="auto"/>
                <w:sz w:val="24"/>
              </w:rPr>
              <w:t>类似业绩</w:t>
            </w:r>
          </w:p>
          <w:p>
            <w:pPr>
              <w:tabs>
                <w:tab w:val="left" w:pos="1180"/>
              </w:tabs>
              <w:adjustRightInd w:val="0"/>
              <w:snapToGrid w:val="0"/>
              <w:spacing w:line="240" w:lineRule="atLeast"/>
              <w:jc w:val="center"/>
              <w:rPr>
                <w:rFonts w:hint="eastAsia" w:ascii="宋体" w:hAnsi="宋体" w:eastAsia="宋体" w:cs="宋体"/>
                <w:color w:val="auto"/>
                <w:sz w:val="24"/>
              </w:rPr>
            </w:pPr>
            <w:r>
              <w:rPr>
                <w:rFonts w:hint="eastAsia" w:ascii="宋体" w:hAnsi="宋体" w:eastAsia="宋体" w:cs="宋体"/>
                <w:color w:val="auto"/>
                <w:sz w:val="24"/>
              </w:rPr>
              <w:t>4分</w:t>
            </w:r>
          </w:p>
        </w:tc>
        <w:tc>
          <w:tcPr>
            <w:tcW w:w="5692" w:type="dxa"/>
            <w:tcBorders>
              <w:left w:val="single" w:color="auto" w:sz="4" w:space="0"/>
              <w:bottom w:val="single" w:color="auto" w:sz="4" w:space="0"/>
            </w:tcBorders>
            <w:vAlign w:val="center"/>
          </w:tcPr>
          <w:p>
            <w:pPr>
              <w:tabs>
                <w:tab w:val="left" w:pos="1180"/>
              </w:tabs>
              <w:adjustRightInd w:val="0"/>
              <w:snapToGrid w:val="0"/>
              <w:spacing w:line="240" w:lineRule="atLeast"/>
              <w:rPr>
                <w:rFonts w:hint="eastAsia" w:ascii="宋体" w:hAnsi="宋体" w:eastAsia="宋体" w:cs="宋体"/>
                <w:color w:val="auto"/>
                <w:sz w:val="24"/>
                <w:lang w:eastAsia="zh-CN"/>
              </w:rPr>
            </w:pPr>
            <w:r>
              <w:rPr>
                <w:rFonts w:hint="eastAsia" w:ascii="宋体" w:hAnsi="宋体" w:eastAsia="宋体" w:cs="宋体"/>
                <w:color w:val="auto"/>
                <w:sz w:val="24"/>
              </w:rPr>
              <w:t>供应商提供2018年至今完成类似项目业绩，每提供</w:t>
            </w:r>
            <w:r>
              <w:rPr>
                <w:rFonts w:hint="eastAsia" w:ascii="宋体" w:hAnsi="宋体" w:eastAsia="宋体" w:cs="宋体"/>
                <w:color w:val="auto"/>
                <w:sz w:val="24"/>
                <w:lang w:val="en-US" w:eastAsia="zh-CN"/>
              </w:rPr>
              <w:t>1个业绩</w:t>
            </w:r>
            <w:r>
              <w:rPr>
                <w:rFonts w:hint="eastAsia" w:ascii="宋体" w:hAnsi="宋体" w:eastAsia="宋体" w:cs="宋体"/>
                <w:color w:val="auto"/>
                <w:sz w:val="24"/>
              </w:rPr>
              <w:t>得</w:t>
            </w:r>
            <w:r>
              <w:rPr>
                <w:rFonts w:hint="eastAsia" w:ascii="宋体" w:hAnsi="宋体" w:eastAsia="宋体" w:cs="宋体"/>
                <w:color w:val="auto"/>
                <w:sz w:val="24"/>
                <w:lang w:val="en-US" w:eastAsia="zh-CN"/>
              </w:rPr>
              <w:t>1</w:t>
            </w:r>
            <w:r>
              <w:rPr>
                <w:rFonts w:hint="eastAsia" w:ascii="宋体" w:hAnsi="宋体" w:eastAsia="宋体" w:cs="宋体"/>
                <w:color w:val="auto"/>
                <w:sz w:val="24"/>
              </w:rPr>
              <w:t>分，此项最高得4分；</w:t>
            </w:r>
            <w:r>
              <w:rPr>
                <w:rFonts w:hint="eastAsia" w:ascii="宋体" w:hAnsi="宋体" w:eastAsia="宋体" w:cs="宋体"/>
                <w:color w:val="auto"/>
                <w:sz w:val="24"/>
                <w:lang w:eastAsia="zh-CN"/>
              </w:rPr>
              <w:t>（注：业绩评审需提供项目中标通知书及施工合同复印件，缺一无效）</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47" w:hRule="atLeast"/>
          <w:jc w:val="center"/>
        </w:trPr>
        <w:tc>
          <w:tcPr>
            <w:tcW w:w="1474" w:type="dxa"/>
            <w:vMerge w:val="restart"/>
            <w:vAlign w:val="center"/>
          </w:tcPr>
          <w:p>
            <w:pPr>
              <w:tabs>
                <w:tab w:val="left" w:pos="1180"/>
              </w:tabs>
              <w:adjustRightInd w:val="0"/>
              <w:snapToGrid w:val="0"/>
              <w:spacing w:line="240" w:lineRule="atLeast"/>
              <w:jc w:val="center"/>
              <w:rPr>
                <w:rFonts w:hint="eastAsia" w:ascii="宋体" w:hAnsi="宋体" w:eastAsia="宋体" w:cs="宋体"/>
                <w:color w:val="auto"/>
                <w:sz w:val="24"/>
              </w:rPr>
            </w:pPr>
            <w:r>
              <w:rPr>
                <w:rFonts w:hint="eastAsia" w:ascii="宋体" w:hAnsi="宋体" w:eastAsia="宋体" w:cs="宋体"/>
                <w:color w:val="auto"/>
                <w:sz w:val="24"/>
              </w:rPr>
              <w:t>技术标得分</w:t>
            </w:r>
          </w:p>
          <w:p>
            <w:pPr>
              <w:tabs>
                <w:tab w:val="left" w:pos="1180"/>
              </w:tabs>
              <w:adjustRightInd w:val="0"/>
              <w:snapToGrid w:val="0"/>
              <w:spacing w:line="240" w:lineRule="atLeast"/>
              <w:jc w:val="center"/>
              <w:rPr>
                <w:rFonts w:hint="eastAsia" w:ascii="宋体" w:hAnsi="宋体" w:eastAsia="宋体" w:cs="宋体"/>
                <w:color w:val="auto"/>
                <w:sz w:val="24"/>
              </w:rPr>
            </w:pPr>
            <w:r>
              <w:rPr>
                <w:rFonts w:hint="eastAsia" w:ascii="宋体" w:hAnsi="宋体" w:eastAsia="宋体" w:cs="宋体"/>
                <w:color w:val="auto"/>
                <w:sz w:val="24"/>
              </w:rPr>
              <w:t>（</w:t>
            </w:r>
            <w:r>
              <w:rPr>
                <w:rFonts w:hint="eastAsia" w:ascii="宋体" w:hAnsi="宋体" w:eastAsia="宋体" w:cs="宋体"/>
                <w:color w:val="auto"/>
                <w:sz w:val="24"/>
                <w:lang w:val="en-US" w:eastAsia="zh-CN"/>
              </w:rPr>
              <w:t>60</w:t>
            </w:r>
            <w:r>
              <w:rPr>
                <w:rFonts w:hint="eastAsia" w:ascii="宋体" w:hAnsi="宋体" w:eastAsia="宋体" w:cs="宋体"/>
                <w:color w:val="auto"/>
                <w:sz w:val="24"/>
              </w:rPr>
              <w:t>分）</w:t>
            </w:r>
          </w:p>
        </w:tc>
        <w:tc>
          <w:tcPr>
            <w:tcW w:w="2235" w:type="dxa"/>
            <w:vAlign w:val="center"/>
          </w:tcPr>
          <w:p>
            <w:pPr>
              <w:tabs>
                <w:tab w:val="left" w:pos="1180"/>
              </w:tabs>
              <w:adjustRightInd w:val="0"/>
              <w:snapToGrid w:val="0"/>
              <w:spacing w:line="240" w:lineRule="atLeast"/>
              <w:jc w:val="center"/>
              <w:rPr>
                <w:rFonts w:hint="eastAsia" w:ascii="宋体" w:hAnsi="宋体" w:eastAsia="宋体" w:cs="宋体"/>
                <w:color w:val="auto"/>
                <w:sz w:val="24"/>
              </w:rPr>
            </w:pPr>
            <w:r>
              <w:rPr>
                <w:rFonts w:hint="eastAsia" w:ascii="宋体" w:hAnsi="宋体" w:eastAsia="宋体" w:cs="宋体"/>
                <w:color w:val="auto"/>
                <w:sz w:val="24"/>
              </w:rPr>
              <w:t>施工方案</w:t>
            </w:r>
            <w:r>
              <w:rPr>
                <w:rFonts w:hint="eastAsia" w:ascii="宋体" w:hAnsi="宋体" w:cs="宋体"/>
                <w:color w:val="auto"/>
                <w:sz w:val="24"/>
                <w:lang w:val="en-US" w:eastAsia="zh-CN"/>
              </w:rPr>
              <w:t>10</w:t>
            </w:r>
            <w:r>
              <w:rPr>
                <w:rFonts w:hint="eastAsia" w:ascii="宋体" w:hAnsi="宋体" w:eastAsia="宋体" w:cs="宋体"/>
                <w:color w:val="auto"/>
                <w:sz w:val="24"/>
              </w:rPr>
              <w:t>分</w:t>
            </w:r>
          </w:p>
        </w:tc>
        <w:tc>
          <w:tcPr>
            <w:tcW w:w="5692" w:type="dxa"/>
            <w:vAlign w:val="center"/>
          </w:tcPr>
          <w:p>
            <w:pPr>
              <w:tabs>
                <w:tab w:val="left" w:pos="1180"/>
              </w:tabs>
              <w:adjustRightInd w:val="0"/>
              <w:snapToGrid w:val="0"/>
              <w:spacing w:line="240" w:lineRule="atLeast"/>
              <w:jc w:val="left"/>
              <w:rPr>
                <w:rFonts w:hint="eastAsia" w:ascii="宋体" w:hAnsi="宋体" w:eastAsia="宋体" w:cs="宋体"/>
                <w:color w:val="auto"/>
                <w:sz w:val="24"/>
              </w:rPr>
            </w:pPr>
            <w:r>
              <w:rPr>
                <w:rFonts w:hint="eastAsia" w:ascii="宋体" w:hAnsi="宋体" w:eastAsia="宋体" w:cs="宋体"/>
                <w:color w:val="auto"/>
                <w:sz w:val="24"/>
              </w:rPr>
              <w:t>针对本项目提供科学、可行、合理的施工方案；（优</w:t>
            </w:r>
            <w:r>
              <w:rPr>
                <w:rFonts w:hint="eastAsia" w:ascii="宋体" w:hAnsi="宋体" w:cs="宋体"/>
                <w:color w:val="auto"/>
                <w:sz w:val="24"/>
                <w:lang w:val="en-US" w:eastAsia="zh-CN"/>
              </w:rPr>
              <w:t>10</w:t>
            </w:r>
            <w:r>
              <w:rPr>
                <w:rFonts w:hint="eastAsia" w:ascii="宋体" w:hAnsi="宋体" w:eastAsia="宋体" w:cs="宋体"/>
                <w:color w:val="auto"/>
                <w:sz w:val="24"/>
              </w:rPr>
              <w:t>-</w:t>
            </w:r>
            <w:r>
              <w:rPr>
                <w:rFonts w:hint="eastAsia" w:ascii="宋体" w:hAnsi="宋体" w:cs="宋体"/>
                <w:color w:val="auto"/>
                <w:sz w:val="24"/>
                <w:lang w:val="en-US" w:eastAsia="zh-CN"/>
              </w:rPr>
              <w:t>6</w:t>
            </w:r>
            <w:r>
              <w:rPr>
                <w:rFonts w:hint="eastAsia" w:ascii="宋体" w:hAnsi="宋体" w:eastAsia="宋体" w:cs="宋体"/>
                <w:color w:val="auto"/>
                <w:sz w:val="24"/>
              </w:rPr>
              <w:t>分，良</w:t>
            </w:r>
            <w:r>
              <w:rPr>
                <w:rFonts w:hint="eastAsia" w:ascii="宋体" w:hAnsi="宋体" w:cs="宋体"/>
                <w:color w:val="auto"/>
                <w:sz w:val="24"/>
                <w:lang w:val="en-US" w:eastAsia="zh-CN"/>
              </w:rPr>
              <w:t>6</w:t>
            </w:r>
            <w:r>
              <w:rPr>
                <w:rFonts w:hint="eastAsia" w:ascii="宋体" w:hAnsi="宋体" w:eastAsia="宋体" w:cs="宋体"/>
                <w:color w:val="auto"/>
                <w:sz w:val="24"/>
              </w:rPr>
              <w:t>-</w:t>
            </w:r>
            <w:r>
              <w:rPr>
                <w:rFonts w:hint="eastAsia" w:ascii="宋体" w:hAnsi="宋体" w:cs="宋体"/>
                <w:color w:val="auto"/>
                <w:sz w:val="24"/>
                <w:lang w:val="en-US" w:eastAsia="zh-CN"/>
              </w:rPr>
              <w:t>2</w:t>
            </w:r>
            <w:r>
              <w:rPr>
                <w:rFonts w:hint="eastAsia" w:ascii="宋体" w:hAnsi="宋体" w:eastAsia="宋体" w:cs="宋体"/>
                <w:color w:val="auto"/>
                <w:sz w:val="24"/>
              </w:rPr>
              <w:t>分，一般</w:t>
            </w:r>
            <w:r>
              <w:rPr>
                <w:rFonts w:hint="eastAsia" w:ascii="宋体" w:hAnsi="宋体" w:cs="宋体"/>
                <w:color w:val="auto"/>
                <w:sz w:val="24"/>
                <w:lang w:val="en-US" w:eastAsia="zh-CN"/>
              </w:rPr>
              <w:t>2</w:t>
            </w:r>
            <w:r>
              <w:rPr>
                <w:rFonts w:hint="eastAsia" w:ascii="宋体" w:hAnsi="宋体" w:eastAsia="宋体" w:cs="宋体"/>
                <w:color w:val="auto"/>
                <w:sz w:val="24"/>
              </w:rPr>
              <w:t>-0分）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59" w:hRule="atLeast"/>
          <w:jc w:val="center"/>
        </w:trPr>
        <w:tc>
          <w:tcPr>
            <w:tcW w:w="1474" w:type="dxa"/>
            <w:vMerge w:val="continue"/>
            <w:vAlign w:val="center"/>
          </w:tcPr>
          <w:p>
            <w:pPr>
              <w:tabs>
                <w:tab w:val="left" w:pos="1180"/>
              </w:tabs>
              <w:spacing w:line="360" w:lineRule="auto"/>
              <w:rPr>
                <w:rFonts w:hint="eastAsia" w:ascii="宋体" w:hAnsi="宋体" w:eastAsia="宋体" w:cs="宋体"/>
                <w:color w:val="auto"/>
                <w:sz w:val="24"/>
              </w:rPr>
            </w:pPr>
          </w:p>
        </w:tc>
        <w:tc>
          <w:tcPr>
            <w:tcW w:w="2235" w:type="dxa"/>
            <w:vAlign w:val="center"/>
          </w:tcPr>
          <w:p>
            <w:pPr>
              <w:tabs>
                <w:tab w:val="left" w:pos="1180"/>
              </w:tabs>
              <w:adjustRightInd w:val="0"/>
              <w:snapToGrid w:val="0"/>
              <w:spacing w:line="240" w:lineRule="atLeast"/>
              <w:jc w:val="center"/>
              <w:rPr>
                <w:rFonts w:hint="eastAsia" w:ascii="宋体" w:hAnsi="宋体" w:eastAsia="宋体" w:cs="宋体"/>
                <w:color w:val="auto"/>
                <w:sz w:val="24"/>
              </w:rPr>
            </w:pPr>
            <w:r>
              <w:rPr>
                <w:rFonts w:hint="eastAsia" w:ascii="宋体" w:hAnsi="宋体" w:eastAsia="宋体" w:cs="宋体"/>
                <w:color w:val="auto"/>
                <w:sz w:val="24"/>
              </w:rPr>
              <w:t>施工质量保证措施</w:t>
            </w:r>
            <w:r>
              <w:rPr>
                <w:rFonts w:hint="eastAsia" w:ascii="宋体" w:hAnsi="宋体" w:cs="宋体"/>
                <w:color w:val="auto"/>
                <w:sz w:val="24"/>
                <w:lang w:val="en-US" w:eastAsia="zh-CN"/>
              </w:rPr>
              <w:t>8</w:t>
            </w:r>
            <w:r>
              <w:rPr>
                <w:rFonts w:hint="eastAsia" w:ascii="宋体" w:hAnsi="宋体" w:eastAsia="宋体" w:cs="宋体"/>
                <w:color w:val="auto"/>
                <w:sz w:val="24"/>
              </w:rPr>
              <w:t>分</w:t>
            </w:r>
          </w:p>
        </w:tc>
        <w:tc>
          <w:tcPr>
            <w:tcW w:w="5692" w:type="dxa"/>
            <w:vAlign w:val="center"/>
          </w:tcPr>
          <w:p>
            <w:pPr>
              <w:tabs>
                <w:tab w:val="left" w:pos="1180"/>
              </w:tabs>
              <w:rPr>
                <w:rFonts w:hint="eastAsia" w:ascii="宋体" w:hAnsi="宋体" w:eastAsia="宋体" w:cs="宋体"/>
                <w:color w:val="auto"/>
                <w:sz w:val="24"/>
              </w:rPr>
            </w:pPr>
            <w:r>
              <w:rPr>
                <w:rFonts w:hint="eastAsia" w:ascii="宋体" w:hAnsi="宋体" w:eastAsia="宋体" w:cs="宋体"/>
                <w:color w:val="auto"/>
                <w:sz w:val="24"/>
              </w:rPr>
              <w:t>措施科学、合理、可行；（优</w:t>
            </w:r>
            <w:r>
              <w:rPr>
                <w:rFonts w:hint="eastAsia" w:ascii="宋体" w:hAnsi="宋体" w:cs="宋体"/>
                <w:color w:val="auto"/>
                <w:sz w:val="24"/>
                <w:lang w:val="en-US" w:eastAsia="zh-CN"/>
              </w:rPr>
              <w:t>8</w:t>
            </w:r>
            <w:r>
              <w:rPr>
                <w:rFonts w:hint="eastAsia" w:ascii="宋体" w:hAnsi="宋体" w:eastAsia="宋体" w:cs="宋体"/>
                <w:color w:val="auto"/>
                <w:sz w:val="24"/>
              </w:rPr>
              <w:t>-</w:t>
            </w:r>
            <w:r>
              <w:rPr>
                <w:rFonts w:hint="eastAsia" w:ascii="宋体" w:hAnsi="宋体" w:cs="宋体"/>
                <w:color w:val="auto"/>
                <w:sz w:val="24"/>
                <w:lang w:val="en-US" w:eastAsia="zh-CN"/>
              </w:rPr>
              <w:t>5</w:t>
            </w:r>
            <w:r>
              <w:rPr>
                <w:rFonts w:hint="eastAsia" w:ascii="宋体" w:hAnsi="宋体" w:eastAsia="宋体" w:cs="宋体"/>
                <w:color w:val="auto"/>
                <w:sz w:val="24"/>
              </w:rPr>
              <w:t>分，良</w:t>
            </w:r>
            <w:r>
              <w:rPr>
                <w:rFonts w:hint="eastAsia" w:ascii="宋体" w:hAnsi="宋体" w:cs="宋体"/>
                <w:color w:val="auto"/>
                <w:sz w:val="24"/>
                <w:lang w:val="en-US" w:eastAsia="zh-CN"/>
              </w:rPr>
              <w:t>5</w:t>
            </w:r>
            <w:r>
              <w:rPr>
                <w:rFonts w:hint="eastAsia" w:ascii="宋体" w:hAnsi="宋体" w:eastAsia="宋体" w:cs="宋体"/>
                <w:color w:val="auto"/>
                <w:sz w:val="24"/>
              </w:rPr>
              <w:t>-</w:t>
            </w:r>
            <w:r>
              <w:rPr>
                <w:rFonts w:hint="eastAsia" w:ascii="宋体" w:hAnsi="宋体" w:cs="宋体"/>
                <w:color w:val="auto"/>
                <w:sz w:val="24"/>
                <w:lang w:val="en-US" w:eastAsia="zh-CN"/>
              </w:rPr>
              <w:t>2</w:t>
            </w:r>
            <w:r>
              <w:rPr>
                <w:rFonts w:hint="eastAsia" w:ascii="宋体" w:hAnsi="宋体" w:eastAsia="宋体" w:cs="宋体"/>
                <w:color w:val="auto"/>
                <w:sz w:val="24"/>
              </w:rPr>
              <w:t>分，一般</w:t>
            </w:r>
            <w:r>
              <w:rPr>
                <w:rFonts w:hint="eastAsia" w:ascii="宋体" w:hAnsi="宋体" w:cs="宋体"/>
                <w:color w:val="auto"/>
                <w:sz w:val="24"/>
                <w:lang w:val="en-US" w:eastAsia="zh-CN"/>
              </w:rPr>
              <w:t>2</w:t>
            </w:r>
            <w:r>
              <w:rPr>
                <w:rFonts w:hint="eastAsia" w:ascii="宋体" w:hAnsi="宋体" w:eastAsia="宋体" w:cs="宋体"/>
                <w:color w:val="auto"/>
                <w:sz w:val="24"/>
              </w:rPr>
              <w:t>-0分）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33" w:hRule="atLeast"/>
          <w:jc w:val="center"/>
        </w:trPr>
        <w:tc>
          <w:tcPr>
            <w:tcW w:w="1474" w:type="dxa"/>
            <w:vMerge w:val="continue"/>
            <w:vAlign w:val="center"/>
          </w:tcPr>
          <w:p>
            <w:pPr>
              <w:tabs>
                <w:tab w:val="left" w:pos="1180"/>
              </w:tabs>
              <w:spacing w:line="360" w:lineRule="auto"/>
              <w:rPr>
                <w:rFonts w:hint="eastAsia" w:ascii="宋体" w:hAnsi="宋体" w:eastAsia="宋体" w:cs="宋体"/>
                <w:color w:val="auto"/>
                <w:sz w:val="24"/>
              </w:rPr>
            </w:pPr>
          </w:p>
        </w:tc>
        <w:tc>
          <w:tcPr>
            <w:tcW w:w="2235" w:type="dxa"/>
            <w:vAlign w:val="center"/>
          </w:tcPr>
          <w:p>
            <w:pPr>
              <w:tabs>
                <w:tab w:val="left" w:pos="1180"/>
              </w:tabs>
              <w:adjustRightInd w:val="0"/>
              <w:snapToGrid w:val="0"/>
              <w:spacing w:line="240" w:lineRule="atLeast"/>
              <w:jc w:val="center"/>
              <w:rPr>
                <w:rFonts w:hint="eastAsia" w:ascii="宋体" w:hAnsi="宋体" w:eastAsia="宋体" w:cs="宋体"/>
                <w:color w:val="auto"/>
                <w:sz w:val="24"/>
              </w:rPr>
            </w:pPr>
            <w:r>
              <w:rPr>
                <w:rFonts w:hint="eastAsia" w:ascii="宋体" w:hAnsi="宋体" w:eastAsia="宋体" w:cs="宋体"/>
                <w:color w:val="auto"/>
                <w:sz w:val="24"/>
              </w:rPr>
              <w:t>施工安全保证措施</w:t>
            </w:r>
            <w:r>
              <w:rPr>
                <w:rFonts w:hint="eastAsia" w:ascii="宋体" w:hAnsi="宋体" w:cs="宋体"/>
                <w:color w:val="auto"/>
                <w:sz w:val="24"/>
                <w:lang w:val="en-US" w:eastAsia="zh-CN"/>
              </w:rPr>
              <w:t>8</w:t>
            </w:r>
            <w:r>
              <w:rPr>
                <w:rFonts w:hint="eastAsia" w:ascii="宋体" w:hAnsi="宋体" w:eastAsia="宋体" w:cs="宋体"/>
                <w:color w:val="auto"/>
                <w:sz w:val="24"/>
              </w:rPr>
              <w:t>分</w:t>
            </w:r>
          </w:p>
        </w:tc>
        <w:tc>
          <w:tcPr>
            <w:tcW w:w="5692" w:type="dxa"/>
            <w:vAlign w:val="center"/>
          </w:tcPr>
          <w:p>
            <w:pPr>
              <w:tabs>
                <w:tab w:val="left" w:pos="1180"/>
              </w:tabs>
              <w:adjustRightInd w:val="0"/>
              <w:snapToGrid w:val="0"/>
              <w:spacing w:line="240" w:lineRule="atLeast"/>
              <w:rPr>
                <w:rFonts w:hint="eastAsia" w:ascii="宋体" w:hAnsi="宋体" w:eastAsia="宋体" w:cs="宋体"/>
                <w:color w:val="auto"/>
                <w:sz w:val="24"/>
              </w:rPr>
            </w:pPr>
            <w:r>
              <w:rPr>
                <w:rFonts w:hint="eastAsia" w:ascii="宋体" w:hAnsi="宋体" w:eastAsia="宋体" w:cs="宋体"/>
                <w:color w:val="auto"/>
                <w:sz w:val="24"/>
              </w:rPr>
              <w:t>措施科学、合理、可行；（优</w:t>
            </w:r>
            <w:r>
              <w:rPr>
                <w:rFonts w:hint="eastAsia" w:ascii="宋体" w:hAnsi="宋体" w:cs="宋体"/>
                <w:color w:val="auto"/>
                <w:sz w:val="24"/>
                <w:lang w:val="en-US" w:eastAsia="zh-CN"/>
              </w:rPr>
              <w:t>8</w:t>
            </w:r>
            <w:r>
              <w:rPr>
                <w:rFonts w:hint="eastAsia" w:ascii="宋体" w:hAnsi="宋体" w:eastAsia="宋体" w:cs="宋体"/>
                <w:color w:val="auto"/>
                <w:sz w:val="24"/>
              </w:rPr>
              <w:t>-</w:t>
            </w:r>
            <w:r>
              <w:rPr>
                <w:rFonts w:hint="eastAsia" w:ascii="宋体" w:hAnsi="宋体" w:cs="宋体"/>
                <w:color w:val="auto"/>
                <w:sz w:val="24"/>
                <w:lang w:val="en-US" w:eastAsia="zh-CN"/>
              </w:rPr>
              <w:t>5</w:t>
            </w:r>
            <w:r>
              <w:rPr>
                <w:rFonts w:hint="eastAsia" w:ascii="宋体" w:hAnsi="宋体" w:eastAsia="宋体" w:cs="宋体"/>
                <w:color w:val="auto"/>
                <w:sz w:val="24"/>
              </w:rPr>
              <w:t>分，良</w:t>
            </w:r>
            <w:r>
              <w:rPr>
                <w:rFonts w:hint="eastAsia" w:ascii="宋体" w:hAnsi="宋体" w:cs="宋体"/>
                <w:color w:val="auto"/>
                <w:sz w:val="24"/>
                <w:lang w:val="en-US" w:eastAsia="zh-CN"/>
              </w:rPr>
              <w:t>5</w:t>
            </w:r>
            <w:r>
              <w:rPr>
                <w:rFonts w:hint="eastAsia" w:ascii="宋体" w:hAnsi="宋体" w:eastAsia="宋体" w:cs="宋体"/>
                <w:color w:val="auto"/>
                <w:sz w:val="24"/>
              </w:rPr>
              <w:t>-</w:t>
            </w:r>
            <w:r>
              <w:rPr>
                <w:rFonts w:hint="eastAsia" w:ascii="宋体" w:hAnsi="宋体" w:cs="宋体"/>
                <w:color w:val="auto"/>
                <w:sz w:val="24"/>
                <w:lang w:val="en-US" w:eastAsia="zh-CN"/>
              </w:rPr>
              <w:t>2</w:t>
            </w:r>
            <w:r>
              <w:rPr>
                <w:rFonts w:hint="eastAsia" w:ascii="宋体" w:hAnsi="宋体" w:eastAsia="宋体" w:cs="宋体"/>
                <w:color w:val="auto"/>
                <w:sz w:val="24"/>
              </w:rPr>
              <w:t>分，一般</w:t>
            </w:r>
            <w:r>
              <w:rPr>
                <w:rFonts w:hint="eastAsia" w:ascii="宋体" w:hAnsi="宋体" w:cs="宋体"/>
                <w:color w:val="auto"/>
                <w:sz w:val="24"/>
                <w:lang w:val="en-US" w:eastAsia="zh-CN"/>
              </w:rPr>
              <w:t>2</w:t>
            </w:r>
            <w:r>
              <w:rPr>
                <w:rFonts w:hint="eastAsia" w:ascii="宋体" w:hAnsi="宋体" w:eastAsia="宋体" w:cs="宋体"/>
                <w:color w:val="auto"/>
                <w:sz w:val="24"/>
              </w:rPr>
              <w:t>-0分）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21" w:hRule="atLeast"/>
          <w:jc w:val="center"/>
        </w:trPr>
        <w:tc>
          <w:tcPr>
            <w:tcW w:w="1474" w:type="dxa"/>
            <w:vMerge w:val="continue"/>
            <w:vAlign w:val="center"/>
          </w:tcPr>
          <w:p>
            <w:pPr>
              <w:tabs>
                <w:tab w:val="left" w:pos="1180"/>
              </w:tabs>
              <w:spacing w:line="360" w:lineRule="auto"/>
              <w:rPr>
                <w:rFonts w:hint="eastAsia" w:ascii="宋体" w:hAnsi="宋体" w:eastAsia="宋体" w:cs="宋体"/>
                <w:color w:val="auto"/>
                <w:sz w:val="24"/>
              </w:rPr>
            </w:pPr>
          </w:p>
        </w:tc>
        <w:tc>
          <w:tcPr>
            <w:tcW w:w="2235" w:type="dxa"/>
            <w:vAlign w:val="center"/>
          </w:tcPr>
          <w:p>
            <w:pPr>
              <w:tabs>
                <w:tab w:val="left" w:pos="1180"/>
              </w:tabs>
              <w:adjustRightInd w:val="0"/>
              <w:snapToGrid w:val="0"/>
              <w:spacing w:line="240" w:lineRule="atLeast"/>
              <w:jc w:val="center"/>
              <w:rPr>
                <w:rFonts w:hint="eastAsia" w:ascii="宋体" w:hAnsi="宋体" w:eastAsia="宋体" w:cs="宋体"/>
                <w:color w:val="auto"/>
                <w:sz w:val="24"/>
              </w:rPr>
            </w:pPr>
            <w:r>
              <w:rPr>
                <w:rFonts w:hint="eastAsia" w:ascii="宋体" w:hAnsi="宋体" w:eastAsia="宋体" w:cs="宋体"/>
                <w:color w:val="auto"/>
                <w:sz w:val="24"/>
              </w:rPr>
              <w:t>施工进度计划及工期保证措施</w:t>
            </w:r>
            <w:r>
              <w:rPr>
                <w:rFonts w:hint="eastAsia" w:ascii="宋体" w:hAnsi="宋体" w:cs="宋体"/>
                <w:color w:val="auto"/>
                <w:sz w:val="24"/>
                <w:lang w:val="en-US" w:eastAsia="zh-CN"/>
              </w:rPr>
              <w:t>8</w:t>
            </w:r>
            <w:r>
              <w:rPr>
                <w:rFonts w:hint="eastAsia" w:ascii="宋体" w:hAnsi="宋体" w:eastAsia="宋体" w:cs="宋体"/>
                <w:color w:val="auto"/>
                <w:sz w:val="24"/>
              </w:rPr>
              <w:t>分</w:t>
            </w:r>
          </w:p>
        </w:tc>
        <w:tc>
          <w:tcPr>
            <w:tcW w:w="5692" w:type="dxa"/>
            <w:vAlign w:val="center"/>
          </w:tcPr>
          <w:p>
            <w:pPr>
              <w:tabs>
                <w:tab w:val="left" w:pos="1180"/>
              </w:tabs>
              <w:adjustRightInd w:val="0"/>
              <w:snapToGrid w:val="0"/>
              <w:spacing w:line="240" w:lineRule="atLeast"/>
              <w:jc w:val="left"/>
              <w:rPr>
                <w:rFonts w:hint="eastAsia" w:ascii="宋体" w:hAnsi="宋体" w:eastAsia="宋体" w:cs="宋体"/>
                <w:color w:val="auto"/>
                <w:sz w:val="24"/>
              </w:rPr>
            </w:pPr>
            <w:r>
              <w:rPr>
                <w:rFonts w:hint="eastAsia" w:ascii="宋体" w:hAnsi="宋体" w:eastAsia="宋体" w:cs="宋体"/>
                <w:color w:val="auto"/>
                <w:sz w:val="24"/>
              </w:rPr>
              <w:t>措施科学、合理、可行；（优</w:t>
            </w:r>
            <w:r>
              <w:rPr>
                <w:rFonts w:hint="eastAsia" w:ascii="宋体" w:hAnsi="宋体" w:cs="宋体"/>
                <w:color w:val="auto"/>
                <w:sz w:val="24"/>
                <w:lang w:val="en-US" w:eastAsia="zh-CN"/>
              </w:rPr>
              <w:t>8</w:t>
            </w:r>
            <w:r>
              <w:rPr>
                <w:rFonts w:hint="eastAsia" w:ascii="宋体" w:hAnsi="宋体" w:eastAsia="宋体" w:cs="宋体"/>
                <w:color w:val="auto"/>
                <w:sz w:val="24"/>
              </w:rPr>
              <w:t>-</w:t>
            </w:r>
            <w:r>
              <w:rPr>
                <w:rFonts w:hint="eastAsia" w:ascii="宋体" w:hAnsi="宋体" w:cs="宋体"/>
                <w:color w:val="auto"/>
                <w:sz w:val="24"/>
                <w:lang w:val="en-US" w:eastAsia="zh-CN"/>
              </w:rPr>
              <w:t>5</w:t>
            </w:r>
            <w:r>
              <w:rPr>
                <w:rFonts w:hint="eastAsia" w:ascii="宋体" w:hAnsi="宋体" w:eastAsia="宋体" w:cs="宋体"/>
                <w:color w:val="auto"/>
                <w:sz w:val="24"/>
              </w:rPr>
              <w:t>分，良</w:t>
            </w:r>
            <w:r>
              <w:rPr>
                <w:rFonts w:hint="eastAsia" w:ascii="宋体" w:hAnsi="宋体" w:cs="宋体"/>
                <w:color w:val="auto"/>
                <w:sz w:val="24"/>
                <w:lang w:val="en-US" w:eastAsia="zh-CN"/>
              </w:rPr>
              <w:t>5</w:t>
            </w:r>
            <w:r>
              <w:rPr>
                <w:rFonts w:hint="eastAsia" w:ascii="宋体" w:hAnsi="宋体" w:eastAsia="宋体" w:cs="宋体"/>
                <w:color w:val="auto"/>
                <w:sz w:val="24"/>
              </w:rPr>
              <w:t>-</w:t>
            </w:r>
            <w:r>
              <w:rPr>
                <w:rFonts w:hint="eastAsia" w:ascii="宋体" w:hAnsi="宋体" w:cs="宋体"/>
                <w:color w:val="auto"/>
                <w:sz w:val="24"/>
                <w:lang w:val="en-US" w:eastAsia="zh-CN"/>
              </w:rPr>
              <w:t>2</w:t>
            </w:r>
            <w:r>
              <w:rPr>
                <w:rFonts w:hint="eastAsia" w:ascii="宋体" w:hAnsi="宋体" w:eastAsia="宋体" w:cs="宋体"/>
                <w:color w:val="auto"/>
                <w:sz w:val="24"/>
              </w:rPr>
              <w:t>分，一般</w:t>
            </w:r>
            <w:r>
              <w:rPr>
                <w:rFonts w:hint="eastAsia" w:ascii="宋体" w:hAnsi="宋体" w:cs="宋体"/>
                <w:color w:val="auto"/>
                <w:sz w:val="24"/>
                <w:lang w:val="en-US" w:eastAsia="zh-CN"/>
              </w:rPr>
              <w:t>2</w:t>
            </w:r>
            <w:r>
              <w:rPr>
                <w:rFonts w:hint="eastAsia" w:ascii="宋体" w:hAnsi="宋体" w:eastAsia="宋体" w:cs="宋体"/>
                <w:color w:val="auto"/>
                <w:sz w:val="24"/>
              </w:rPr>
              <w:t>-0分）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67" w:hRule="atLeast"/>
          <w:jc w:val="center"/>
        </w:trPr>
        <w:tc>
          <w:tcPr>
            <w:tcW w:w="1474" w:type="dxa"/>
            <w:vMerge w:val="continue"/>
            <w:vAlign w:val="center"/>
          </w:tcPr>
          <w:p>
            <w:pPr>
              <w:tabs>
                <w:tab w:val="left" w:pos="1180"/>
              </w:tabs>
              <w:spacing w:line="360" w:lineRule="auto"/>
              <w:rPr>
                <w:rFonts w:hint="eastAsia" w:ascii="宋体" w:hAnsi="宋体" w:eastAsia="宋体" w:cs="宋体"/>
                <w:color w:val="auto"/>
                <w:sz w:val="24"/>
              </w:rPr>
            </w:pPr>
          </w:p>
        </w:tc>
        <w:tc>
          <w:tcPr>
            <w:tcW w:w="2235" w:type="dxa"/>
            <w:vAlign w:val="center"/>
          </w:tcPr>
          <w:p>
            <w:pPr>
              <w:tabs>
                <w:tab w:val="left" w:pos="1180"/>
              </w:tabs>
              <w:adjustRightInd w:val="0"/>
              <w:snapToGrid w:val="0"/>
              <w:spacing w:line="240" w:lineRule="atLeast"/>
              <w:jc w:val="center"/>
              <w:rPr>
                <w:rFonts w:hint="eastAsia" w:ascii="宋体" w:hAnsi="宋体" w:eastAsia="宋体" w:cs="宋体"/>
                <w:color w:val="auto"/>
                <w:sz w:val="24"/>
              </w:rPr>
            </w:pPr>
            <w:r>
              <w:rPr>
                <w:rFonts w:hint="eastAsia" w:ascii="宋体" w:hAnsi="宋体" w:eastAsia="宋体" w:cs="宋体"/>
                <w:color w:val="auto"/>
                <w:sz w:val="24"/>
              </w:rPr>
              <w:t>文明施工及环境保护措施</w:t>
            </w:r>
            <w:r>
              <w:rPr>
                <w:rFonts w:hint="eastAsia" w:ascii="宋体" w:hAnsi="宋体" w:cs="宋体"/>
                <w:color w:val="auto"/>
                <w:sz w:val="24"/>
                <w:lang w:val="en-US" w:eastAsia="zh-CN"/>
              </w:rPr>
              <w:t>8</w:t>
            </w:r>
            <w:r>
              <w:rPr>
                <w:rFonts w:hint="eastAsia" w:ascii="宋体" w:hAnsi="宋体" w:eastAsia="宋体" w:cs="宋体"/>
                <w:color w:val="auto"/>
                <w:sz w:val="24"/>
              </w:rPr>
              <w:t>分</w:t>
            </w:r>
          </w:p>
        </w:tc>
        <w:tc>
          <w:tcPr>
            <w:tcW w:w="5692" w:type="dxa"/>
            <w:vAlign w:val="center"/>
          </w:tcPr>
          <w:p>
            <w:pPr>
              <w:tabs>
                <w:tab w:val="left" w:pos="1180"/>
              </w:tabs>
              <w:adjustRightInd w:val="0"/>
              <w:snapToGrid w:val="0"/>
              <w:spacing w:line="240" w:lineRule="atLeast"/>
              <w:rPr>
                <w:rFonts w:hint="eastAsia" w:ascii="宋体" w:hAnsi="宋体" w:eastAsia="宋体" w:cs="宋体"/>
                <w:color w:val="auto"/>
                <w:sz w:val="24"/>
              </w:rPr>
            </w:pPr>
            <w:r>
              <w:rPr>
                <w:rFonts w:hint="eastAsia" w:ascii="宋体" w:hAnsi="宋体" w:eastAsia="宋体" w:cs="宋体"/>
                <w:color w:val="auto"/>
                <w:sz w:val="24"/>
              </w:rPr>
              <w:t>措施科学、合理、可行；（优</w:t>
            </w:r>
            <w:r>
              <w:rPr>
                <w:rFonts w:hint="eastAsia" w:ascii="宋体" w:hAnsi="宋体" w:cs="宋体"/>
                <w:color w:val="auto"/>
                <w:sz w:val="24"/>
                <w:lang w:val="en-US" w:eastAsia="zh-CN"/>
              </w:rPr>
              <w:t>8</w:t>
            </w:r>
            <w:r>
              <w:rPr>
                <w:rFonts w:hint="eastAsia" w:ascii="宋体" w:hAnsi="宋体" w:eastAsia="宋体" w:cs="宋体"/>
                <w:color w:val="auto"/>
                <w:sz w:val="24"/>
              </w:rPr>
              <w:t>-</w:t>
            </w:r>
            <w:r>
              <w:rPr>
                <w:rFonts w:hint="eastAsia" w:ascii="宋体" w:hAnsi="宋体" w:cs="宋体"/>
                <w:color w:val="auto"/>
                <w:sz w:val="24"/>
                <w:lang w:val="en-US" w:eastAsia="zh-CN"/>
              </w:rPr>
              <w:t>5</w:t>
            </w:r>
            <w:r>
              <w:rPr>
                <w:rFonts w:hint="eastAsia" w:ascii="宋体" w:hAnsi="宋体" w:eastAsia="宋体" w:cs="宋体"/>
                <w:color w:val="auto"/>
                <w:sz w:val="24"/>
              </w:rPr>
              <w:t>分，良</w:t>
            </w:r>
            <w:r>
              <w:rPr>
                <w:rFonts w:hint="eastAsia" w:ascii="宋体" w:hAnsi="宋体" w:cs="宋体"/>
                <w:color w:val="auto"/>
                <w:sz w:val="24"/>
                <w:lang w:val="en-US" w:eastAsia="zh-CN"/>
              </w:rPr>
              <w:t>5</w:t>
            </w:r>
            <w:r>
              <w:rPr>
                <w:rFonts w:hint="eastAsia" w:ascii="宋体" w:hAnsi="宋体" w:eastAsia="宋体" w:cs="宋体"/>
                <w:color w:val="auto"/>
                <w:sz w:val="24"/>
              </w:rPr>
              <w:t>-</w:t>
            </w:r>
            <w:r>
              <w:rPr>
                <w:rFonts w:hint="eastAsia" w:ascii="宋体" w:hAnsi="宋体" w:cs="宋体"/>
                <w:color w:val="auto"/>
                <w:sz w:val="24"/>
                <w:lang w:val="en-US" w:eastAsia="zh-CN"/>
              </w:rPr>
              <w:t>2</w:t>
            </w:r>
            <w:r>
              <w:rPr>
                <w:rFonts w:hint="eastAsia" w:ascii="宋体" w:hAnsi="宋体" w:eastAsia="宋体" w:cs="宋体"/>
                <w:color w:val="auto"/>
                <w:sz w:val="24"/>
              </w:rPr>
              <w:t>分，一般</w:t>
            </w:r>
            <w:r>
              <w:rPr>
                <w:rFonts w:hint="eastAsia" w:ascii="宋体" w:hAnsi="宋体" w:cs="宋体"/>
                <w:color w:val="auto"/>
                <w:sz w:val="24"/>
                <w:lang w:val="en-US" w:eastAsia="zh-CN"/>
              </w:rPr>
              <w:t>2</w:t>
            </w:r>
            <w:r>
              <w:rPr>
                <w:rFonts w:hint="eastAsia" w:ascii="宋体" w:hAnsi="宋体" w:eastAsia="宋体" w:cs="宋体"/>
                <w:color w:val="auto"/>
                <w:sz w:val="24"/>
              </w:rPr>
              <w:t>-0分）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69" w:hRule="atLeast"/>
          <w:jc w:val="center"/>
        </w:trPr>
        <w:tc>
          <w:tcPr>
            <w:tcW w:w="1474" w:type="dxa"/>
            <w:vMerge w:val="continue"/>
            <w:vAlign w:val="center"/>
          </w:tcPr>
          <w:p>
            <w:pPr>
              <w:tabs>
                <w:tab w:val="left" w:pos="1180"/>
              </w:tabs>
              <w:spacing w:line="360" w:lineRule="auto"/>
              <w:rPr>
                <w:rFonts w:hint="eastAsia" w:ascii="宋体" w:hAnsi="宋体" w:eastAsia="宋体" w:cs="宋体"/>
                <w:color w:val="auto"/>
                <w:sz w:val="24"/>
              </w:rPr>
            </w:pPr>
          </w:p>
        </w:tc>
        <w:tc>
          <w:tcPr>
            <w:tcW w:w="2235" w:type="dxa"/>
            <w:tcBorders>
              <w:bottom w:val="single" w:color="auto" w:sz="4" w:space="0"/>
            </w:tcBorders>
            <w:vAlign w:val="center"/>
          </w:tcPr>
          <w:p>
            <w:pPr>
              <w:tabs>
                <w:tab w:val="left" w:pos="1180"/>
              </w:tabs>
              <w:adjustRightInd w:val="0"/>
              <w:snapToGrid w:val="0"/>
              <w:spacing w:line="240" w:lineRule="atLeast"/>
              <w:jc w:val="center"/>
              <w:rPr>
                <w:rFonts w:hint="eastAsia" w:ascii="宋体" w:hAnsi="宋体" w:eastAsia="宋体" w:cs="宋体"/>
                <w:color w:val="auto"/>
                <w:sz w:val="24"/>
              </w:rPr>
            </w:pPr>
            <w:r>
              <w:rPr>
                <w:rFonts w:hint="eastAsia" w:ascii="宋体" w:hAnsi="宋体" w:eastAsia="宋体" w:cs="宋体"/>
                <w:color w:val="auto"/>
                <w:sz w:val="24"/>
              </w:rPr>
              <w:t>主要机械设备</w:t>
            </w:r>
            <w:r>
              <w:rPr>
                <w:rFonts w:hint="eastAsia" w:ascii="宋体" w:hAnsi="宋体" w:cs="宋体"/>
                <w:color w:val="auto"/>
                <w:sz w:val="24"/>
                <w:lang w:val="en-US" w:eastAsia="zh-CN"/>
              </w:rPr>
              <w:t>8</w:t>
            </w:r>
            <w:r>
              <w:rPr>
                <w:rFonts w:hint="eastAsia" w:ascii="宋体" w:hAnsi="宋体" w:eastAsia="宋体" w:cs="宋体"/>
                <w:color w:val="auto"/>
                <w:sz w:val="24"/>
              </w:rPr>
              <w:t>分</w:t>
            </w:r>
          </w:p>
        </w:tc>
        <w:tc>
          <w:tcPr>
            <w:tcW w:w="5692" w:type="dxa"/>
            <w:tcBorders>
              <w:bottom w:val="single" w:color="auto" w:sz="4" w:space="0"/>
            </w:tcBorders>
            <w:vAlign w:val="center"/>
          </w:tcPr>
          <w:p>
            <w:pPr>
              <w:tabs>
                <w:tab w:val="left" w:pos="1180"/>
              </w:tabs>
              <w:adjustRightInd w:val="0"/>
              <w:snapToGrid w:val="0"/>
              <w:spacing w:line="240" w:lineRule="atLeast"/>
              <w:rPr>
                <w:rFonts w:hint="eastAsia" w:ascii="宋体" w:hAnsi="宋体" w:eastAsia="宋体" w:cs="宋体"/>
                <w:color w:val="auto"/>
                <w:sz w:val="24"/>
              </w:rPr>
            </w:pPr>
            <w:r>
              <w:rPr>
                <w:rFonts w:hint="eastAsia" w:ascii="宋体" w:hAnsi="宋体" w:eastAsia="宋体" w:cs="宋体"/>
                <w:color w:val="auto"/>
                <w:sz w:val="24"/>
              </w:rPr>
              <w:t>机械设备配备齐全、科学、合理；（优</w:t>
            </w:r>
            <w:r>
              <w:rPr>
                <w:rFonts w:hint="eastAsia" w:ascii="宋体" w:hAnsi="宋体" w:eastAsia="宋体" w:cs="宋体"/>
                <w:color w:val="auto"/>
                <w:sz w:val="24"/>
                <w:lang w:val="en-US" w:eastAsia="zh-CN"/>
              </w:rPr>
              <w:t>8</w:t>
            </w:r>
            <w:r>
              <w:rPr>
                <w:rFonts w:hint="eastAsia" w:ascii="宋体" w:hAnsi="宋体" w:eastAsia="宋体" w:cs="宋体"/>
                <w:color w:val="auto"/>
                <w:sz w:val="24"/>
              </w:rPr>
              <w:t>-</w:t>
            </w:r>
            <w:r>
              <w:rPr>
                <w:rFonts w:hint="eastAsia" w:ascii="宋体" w:hAnsi="宋体" w:eastAsia="宋体" w:cs="宋体"/>
                <w:color w:val="auto"/>
                <w:sz w:val="24"/>
                <w:lang w:val="en-US" w:eastAsia="zh-CN"/>
              </w:rPr>
              <w:t>5</w:t>
            </w:r>
            <w:r>
              <w:rPr>
                <w:rFonts w:hint="eastAsia" w:ascii="宋体" w:hAnsi="宋体" w:eastAsia="宋体" w:cs="宋体"/>
                <w:color w:val="auto"/>
                <w:sz w:val="24"/>
              </w:rPr>
              <w:t>分，良</w:t>
            </w:r>
            <w:r>
              <w:rPr>
                <w:rFonts w:hint="eastAsia" w:ascii="宋体" w:hAnsi="宋体" w:eastAsia="宋体" w:cs="宋体"/>
                <w:color w:val="auto"/>
                <w:sz w:val="24"/>
                <w:lang w:val="en-US" w:eastAsia="zh-CN"/>
              </w:rPr>
              <w:t>5</w:t>
            </w:r>
            <w:r>
              <w:rPr>
                <w:rFonts w:hint="eastAsia" w:ascii="宋体" w:hAnsi="宋体" w:eastAsia="宋体" w:cs="宋体"/>
                <w:color w:val="auto"/>
                <w:sz w:val="24"/>
              </w:rPr>
              <w:t>-</w:t>
            </w:r>
            <w:r>
              <w:rPr>
                <w:rFonts w:hint="eastAsia" w:ascii="宋体" w:hAnsi="宋体" w:eastAsia="宋体" w:cs="宋体"/>
                <w:color w:val="auto"/>
                <w:sz w:val="24"/>
                <w:lang w:val="en-US" w:eastAsia="zh-CN"/>
              </w:rPr>
              <w:t>2</w:t>
            </w:r>
            <w:r>
              <w:rPr>
                <w:rFonts w:hint="eastAsia" w:ascii="宋体" w:hAnsi="宋体" w:eastAsia="宋体" w:cs="宋体"/>
                <w:color w:val="auto"/>
                <w:sz w:val="24"/>
              </w:rPr>
              <w:t>分，一般</w:t>
            </w:r>
            <w:r>
              <w:rPr>
                <w:rFonts w:hint="eastAsia" w:ascii="宋体" w:hAnsi="宋体" w:eastAsia="宋体" w:cs="宋体"/>
                <w:color w:val="auto"/>
                <w:sz w:val="24"/>
                <w:lang w:val="en-US" w:eastAsia="zh-CN"/>
              </w:rPr>
              <w:t>2</w:t>
            </w:r>
            <w:r>
              <w:rPr>
                <w:rFonts w:hint="eastAsia" w:ascii="宋体" w:hAnsi="宋体" w:eastAsia="宋体" w:cs="宋体"/>
                <w:color w:val="auto"/>
                <w:sz w:val="24"/>
              </w:rPr>
              <w:t>-0分）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47" w:hRule="atLeast"/>
          <w:jc w:val="center"/>
        </w:trPr>
        <w:tc>
          <w:tcPr>
            <w:tcW w:w="1474" w:type="dxa"/>
            <w:vMerge w:val="continue"/>
            <w:vAlign w:val="center"/>
          </w:tcPr>
          <w:p>
            <w:pPr>
              <w:tabs>
                <w:tab w:val="left" w:pos="1180"/>
              </w:tabs>
              <w:spacing w:line="360" w:lineRule="auto"/>
              <w:rPr>
                <w:rFonts w:hint="eastAsia" w:ascii="宋体" w:hAnsi="宋体" w:eastAsia="宋体" w:cs="宋体"/>
                <w:color w:val="auto"/>
                <w:sz w:val="24"/>
              </w:rPr>
            </w:pPr>
          </w:p>
        </w:tc>
        <w:tc>
          <w:tcPr>
            <w:tcW w:w="2235" w:type="dxa"/>
            <w:tcBorders>
              <w:top w:val="single" w:color="auto" w:sz="4" w:space="0"/>
              <w:bottom w:val="single" w:color="auto" w:sz="4" w:space="0"/>
            </w:tcBorders>
            <w:vAlign w:val="center"/>
          </w:tcPr>
          <w:p>
            <w:pPr>
              <w:tabs>
                <w:tab w:val="left" w:pos="1180"/>
              </w:tabs>
              <w:adjustRightInd w:val="0"/>
              <w:snapToGrid w:val="0"/>
              <w:spacing w:line="240" w:lineRule="atLeast"/>
              <w:jc w:val="center"/>
              <w:rPr>
                <w:rFonts w:hint="eastAsia" w:ascii="宋体" w:hAnsi="宋体" w:eastAsia="宋体" w:cs="宋体"/>
                <w:color w:val="auto"/>
                <w:sz w:val="24"/>
              </w:rPr>
            </w:pPr>
            <w:r>
              <w:rPr>
                <w:rFonts w:hint="eastAsia" w:ascii="宋体" w:hAnsi="宋体" w:eastAsia="宋体" w:cs="宋体"/>
                <w:color w:val="auto"/>
                <w:sz w:val="24"/>
              </w:rPr>
              <w:t>劳动力安排计划及劳务分包情况表5分</w:t>
            </w:r>
          </w:p>
        </w:tc>
        <w:tc>
          <w:tcPr>
            <w:tcW w:w="5692" w:type="dxa"/>
            <w:tcBorders>
              <w:top w:val="single" w:color="auto" w:sz="4" w:space="0"/>
              <w:bottom w:val="single" w:color="auto" w:sz="4" w:space="0"/>
            </w:tcBorders>
            <w:vAlign w:val="center"/>
          </w:tcPr>
          <w:p>
            <w:pPr>
              <w:tabs>
                <w:tab w:val="left" w:pos="1180"/>
              </w:tabs>
              <w:adjustRightInd w:val="0"/>
              <w:snapToGrid w:val="0"/>
              <w:spacing w:line="240" w:lineRule="atLeast"/>
              <w:rPr>
                <w:rFonts w:hint="eastAsia" w:ascii="宋体" w:hAnsi="宋体" w:eastAsia="宋体" w:cs="宋体"/>
                <w:color w:val="auto"/>
                <w:sz w:val="24"/>
              </w:rPr>
            </w:pPr>
            <w:r>
              <w:rPr>
                <w:rFonts w:hint="eastAsia" w:ascii="宋体" w:hAnsi="宋体" w:eastAsia="宋体" w:cs="宋体"/>
                <w:color w:val="auto"/>
                <w:sz w:val="24"/>
              </w:rPr>
              <w:t>优</w:t>
            </w:r>
            <w:r>
              <w:rPr>
                <w:rFonts w:hint="eastAsia" w:ascii="宋体" w:hAnsi="宋体" w:eastAsia="宋体" w:cs="宋体"/>
                <w:color w:val="auto"/>
                <w:sz w:val="24"/>
                <w:lang w:val="en-US" w:eastAsia="zh-CN"/>
              </w:rPr>
              <w:t>5</w:t>
            </w:r>
            <w:r>
              <w:rPr>
                <w:rFonts w:hint="eastAsia" w:ascii="宋体" w:hAnsi="宋体" w:eastAsia="宋体" w:cs="宋体"/>
                <w:color w:val="auto"/>
                <w:sz w:val="24"/>
              </w:rPr>
              <w:t>-</w:t>
            </w:r>
            <w:r>
              <w:rPr>
                <w:rFonts w:hint="eastAsia" w:ascii="宋体" w:hAnsi="宋体" w:eastAsia="宋体" w:cs="宋体"/>
                <w:color w:val="auto"/>
                <w:sz w:val="24"/>
                <w:lang w:val="en-US" w:eastAsia="zh-CN"/>
              </w:rPr>
              <w:t>4</w:t>
            </w:r>
            <w:r>
              <w:rPr>
                <w:rFonts w:hint="eastAsia" w:ascii="宋体" w:hAnsi="宋体" w:eastAsia="宋体" w:cs="宋体"/>
                <w:color w:val="auto"/>
                <w:sz w:val="24"/>
              </w:rPr>
              <w:t>分，</w:t>
            </w:r>
            <w:r>
              <w:rPr>
                <w:rFonts w:hint="eastAsia" w:ascii="宋体" w:hAnsi="宋体" w:cs="宋体"/>
                <w:color w:val="auto"/>
                <w:sz w:val="24"/>
                <w:lang w:eastAsia="zh-CN"/>
              </w:rPr>
              <w:t>良</w:t>
            </w:r>
            <w:r>
              <w:rPr>
                <w:rFonts w:hint="eastAsia" w:ascii="宋体" w:hAnsi="宋体" w:eastAsia="宋体" w:cs="宋体"/>
                <w:color w:val="auto"/>
                <w:sz w:val="24"/>
                <w:lang w:val="en-US" w:eastAsia="zh-CN"/>
              </w:rPr>
              <w:t>4</w:t>
            </w:r>
            <w:r>
              <w:rPr>
                <w:rFonts w:hint="eastAsia" w:ascii="宋体" w:hAnsi="宋体" w:eastAsia="宋体" w:cs="宋体"/>
                <w:color w:val="auto"/>
                <w:sz w:val="24"/>
              </w:rPr>
              <w:t>-</w:t>
            </w:r>
            <w:r>
              <w:rPr>
                <w:rFonts w:hint="eastAsia" w:ascii="宋体" w:hAnsi="宋体" w:eastAsia="宋体" w:cs="宋体"/>
                <w:color w:val="auto"/>
                <w:sz w:val="24"/>
                <w:lang w:val="en-US" w:eastAsia="zh-CN"/>
              </w:rPr>
              <w:t>2</w:t>
            </w:r>
            <w:r>
              <w:rPr>
                <w:rFonts w:hint="eastAsia" w:ascii="宋体" w:hAnsi="宋体" w:eastAsia="宋体" w:cs="宋体"/>
                <w:color w:val="auto"/>
                <w:sz w:val="24"/>
              </w:rPr>
              <w:t>分，一般</w:t>
            </w:r>
            <w:r>
              <w:rPr>
                <w:rFonts w:hint="eastAsia" w:ascii="宋体" w:hAnsi="宋体" w:eastAsia="宋体" w:cs="宋体"/>
                <w:color w:val="auto"/>
                <w:sz w:val="24"/>
                <w:lang w:val="en-US" w:eastAsia="zh-CN"/>
              </w:rPr>
              <w:t>2</w:t>
            </w:r>
            <w:r>
              <w:rPr>
                <w:rFonts w:hint="eastAsia" w:ascii="宋体" w:hAnsi="宋体" w:eastAsia="宋体" w:cs="宋体"/>
                <w:color w:val="auto"/>
                <w:sz w:val="24"/>
              </w:rPr>
              <w:t>-</w:t>
            </w:r>
            <w:r>
              <w:rPr>
                <w:rFonts w:hint="eastAsia" w:ascii="宋体" w:hAnsi="宋体" w:eastAsia="宋体" w:cs="宋体"/>
                <w:color w:val="auto"/>
                <w:sz w:val="24"/>
                <w:lang w:val="en-US" w:eastAsia="zh-CN"/>
              </w:rPr>
              <w:t>0</w:t>
            </w:r>
            <w:r>
              <w:rPr>
                <w:rFonts w:hint="eastAsia" w:ascii="宋体" w:hAnsi="宋体" w:eastAsia="宋体" w:cs="宋体"/>
                <w:color w:val="auto"/>
                <w:sz w:val="24"/>
              </w:rPr>
              <w:t>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69" w:hRule="atLeast"/>
          <w:jc w:val="center"/>
        </w:trPr>
        <w:tc>
          <w:tcPr>
            <w:tcW w:w="1474" w:type="dxa"/>
            <w:vMerge w:val="continue"/>
            <w:vAlign w:val="center"/>
          </w:tcPr>
          <w:p>
            <w:pPr>
              <w:tabs>
                <w:tab w:val="left" w:pos="1180"/>
              </w:tabs>
              <w:spacing w:line="360" w:lineRule="auto"/>
              <w:rPr>
                <w:rFonts w:hint="eastAsia" w:ascii="宋体" w:hAnsi="宋体" w:eastAsia="宋体" w:cs="宋体"/>
                <w:color w:val="auto"/>
                <w:sz w:val="24"/>
              </w:rPr>
            </w:pPr>
          </w:p>
        </w:tc>
        <w:tc>
          <w:tcPr>
            <w:tcW w:w="2235" w:type="dxa"/>
            <w:tcBorders>
              <w:top w:val="single" w:color="auto" w:sz="4" w:space="0"/>
            </w:tcBorders>
            <w:vAlign w:val="top"/>
          </w:tcPr>
          <w:p>
            <w:pPr>
              <w:spacing w:before="273" w:line="227" w:lineRule="auto"/>
              <w:jc w:val="both"/>
              <w:rPr>
                <w:rFonts w:hint="eastAsia" w:ascii="宋体" w:hAnsi="宋体" w:eastAsia="宋体" w:cs="宋体"/>
                <w:color w:val="auto"/>
                <w:sz w:val="24"/>
              </w:rPr>
            </w:pPr>
            <w:r>
              <w:rPr>
                <w:rFonts w:hint="eastAsia" w:ascii="宋体" w:hAnsi="宋体" w:eastAsia="宋体" w:cs="宋体"/>
                <w:color w:val="auto"/>
                <w:sz w:val="24"/>
              </w:rPr>
              <w:t>售后服务承诺</w:t>
            </w:r>
            <w:r>
              <w:rPr>
                <w:rFonts w:hint="eastAsia" w:ascii="宋体" w:hAnsi="宋体" w:cs="宋体"/>
                <w:color w:val="auto"/>
                <w:sz w:val="24"/>
                <w:lang w:val="en-US" w:eastAsia="zh-CN"/>
              </w:rPr>
              <w:t>5</w:t>
            </w:r>
            <w:r>
              <w:rPr>
                <w:rFonts w:hint="eastAsia" w:ascii="宋体" w:hAnsi="宋体" w:eastAsia="宋体" w:cs="宋体"/>
                <w:color w:val="auto"/>
                <w:sz w:val="24"/>
              </w:rPr>
              <w:t>分</w:t>
            </w:r>
          </w:p>
        </w:tc>
        <w:tc>
          <w:tcPr>
            <w:tcW w:w="5692" w:type="dxa"/>
            <w:tcBorders>
              <w:top w:val="single" w:color="auto" w:sz="4" w:space="0"/>
            </w:tcBorders>
            <w:vAlign w:val="top"/>
          </w:tcPr>
          <w:p>
            <w:pPr>
              <w:spacing w:before="116" w:line="265" w:lineRule="auto"/>
              <w:ind w:right="15" w:rightChars="0"/>
              <w:jc w:val="both"/>
              <w:rPr>
                <w:rFonts w:hint="eastAsia" w:ascii="宋体" w:hAnsi="宋体" w:eastAsia="宋体" w:cs="宋体"/>
                <w:color w:val="auto"/>
                <w:sz w:val="24"/>
              </w:rPr>
            </w:pPr>
            <w:r>
              <w:rPr>
                <w:rFonts w:hint="eastAsia" w:ascii="宋体" w:hAnsi="宋体" w:eastAsia="宋体" w:cs="宋体"/>
                <w:color w:val="auto"/>
                <w:sz w:val="24"/>
              </w:rPr>
              <w:t>售后服务承诺，售后服务机构健全，提供相关材料证明，根据情况计0-</w:t>
            </w:r>
            <w:r>
              <w:rPr>
                <w:rFonts w:hint="eastAsia" w:ascii="宋体" w:hAnsi="宋体" w:cs="宋体"/>
                <w:color w:val="auto"/>
                <w:sz w:val="24"/>
                <w:lang w:val="en-US" w:eastAsia="zh-CN"/>
              </w:rPr>
              <w:t>5</w:t>
            </w:r>
            <w:r>
              <w:rPr>
                <w:rFonts w:hint="eastAsia" w:ascii="宋体" w:hAnsi="宋体" w:eastAsia="宋体" w:cs="宋体"/>
                <w:color w:val="auto"/>
                <w:sz w:val="24"/>
              </w:rPr>
              <w:t>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671" w:hRule="atLeast"/>
          <w:jc w:val="center"/>
        </w:trPr>
        <w:tc>
          <w:tcPr>
            <w:tcW w:w="9401" w:type="dxa"/>
            <w:gridSpan w:val="3"/>
            <w:vAlign w:val="center"/>
          </w:tcPr>
          <w:p>
            <w:pPr>
              <w:tabs>
                <w:tab w:val="left" w:pos="1180"/>
              </w:tabs>
              <w:spacing w:line="276" w:lineRule="auto"/>
              <w:rPr>
                <w:rFonts w:hint="eastAsia" w:ascii="宋体" w:hAnsi="宋体" w:eastAsia="宋体" w:cs="宋体"/>
                <w:b/>
                <w:color w:val="auto"/>
                <w:sz w:val="22"/>
                <w:szCs w:val="22"/>
              </w:rPr>
            </w:pPr>
            <w:r>
              <w:rPr>
                <w:rFonts w:hint="eastAsia" w:ascii="宋体" w:hAnsi="宋体" w:eastAsia="宋体" w:cs="宋体"/>
                <w:b/>
                <w:color w:val="auto"/>
                <w:sz w:val="22"/>
                <w:szCs w:val="22"/>
              </w:rPr>
              <w:t>1、本一览表各种计算数字“四舍五入”保留小数点后两位，第三位四舍五入。</w:t>
            </w:r>
          </w:p>
          <w:p>
            <w:pPr>
              <w:tabs>
                <w:tab w:val="left" w:pos="1180"/>
              </w:tabs>
              <w:spacing w:line="276" w:lineRule="auto"/>
              <w:rPr>
                <w:rFonts w:hint="eastAsia" w:ascii="宋体" w:hAnsi="宋体" w:eastAsia="宋体" w:cs="宋体"/>
                <w:b/>
                <w:color w:val="auto"/>
                <w:sz w:val="22"/>
                <w:szCs w:val="22"/>
              </w:rPr>
            </w:pPr>
            <w:r>
              <w:rPr>
                <w:rFonts w:hint="eastAsia" w:ascii="宋体" w:hAnsi="宋体" w:eastAsia="宋体" w:cs="宋体"/>
                <w:b/>
                <w:color w:val="auto"/>
                <w:sz w:val="22"/>
                <w:szCs w:val="22"/>
              </w:rPr>
              <w:t>2、磋商响应文件中缺少某分项时，该分项为0分。磋商小组成员的赋分超过分值界限或未按本表规定赋分的，则该成员的打分作废，不计入汇总分。</w:t>
            </w:r>
          </w:p>
          <w:p>
            <w:pPr>
              <w:tabs>
                <w:tab w:val="left" w:pos="1180"/>
              </w:tabs>
              <w:spacing w:line="276" w:lineRule="auto"/>
              <w:rPr>
                <w:rFonts w:hint="eastAsia" w:ascii="宋体" w:hAnsi="宋体" w:eastAsia="宋体" w:cs="宋体"/>
                <w:b/>
                <w:color w:val="auto"/>
                <w:sz w:val="22"/>
                <w:szCs w:val="22"/>
              </w:rPr>
            </w:pPr>
            <w:r>
              <w:rPr>
                <w:rFonts w:hint="eastAsia" w:ascii="宋体" w:hAnsi="宋体" w:eastAsia="宋体" w:cs="宋体"/>
                <w:b/>
                <w:color w:val="auto"/>
                <w:sz w:val="22"/>
                <w:szCs w:val="22"/>
              </w:rPr>
              <w:t>3、各磋商小组成员必须按照本评审要素据实打分。凡打分不符合本评审要素要求者，均按无效打分对待。</w:t>
            </w:r>
          </w:p>
          <w:p>
            <w:pPr>
              <w:tabs>
                <w:tab w:val="left" w:pos="1180"/>
              </w:tabs>
              <w:spacing w:line="276" w:lineRule="auto"/>
              <w:rPr>
                <w:rFonts w:hint="eastAsia" w:ascii="宋体" w:hAnsi="宋体" w:eastAsia="宋体" w:cs="宋体"/>
                <w:b/>
                <w:color w:val="auto"/>
                <w:sz w:val="22"/>
                <w:szCs w:val="22"/>
              </w:rPr>
            </w:pPr>
            <w:r>
              <w:rPr>
                <w:rFonts w:hint="eastAsia" w:ascii="宋体" w:hAnsi="宋体" w:eastAsia="宋体" w:cs="宋体"/>
                <w:b/>
                <w:color w:val="auto"/>
                <w:sz w:val="22"/>
                <w:szCs w:val="22"/>
              </w:rPr>
              <w:t>4、汇总报价得分、技术商务得分的总和，按得分由高至低的排序推荐三名候选成交供应商。</w:t>
            </w:r>
          </w:p>
          <w:p>
            <w:pPr>
              <w:tabs>
                <w:tab w:val="left" w:pos="1180"/>
              </w:tabs>
              <w:spacing w:line="276" w:lineRule="auto"/>
              <w:rPr>
                <w:rFonts w:hint="eastAsia" w:ascii="宋体" w:hAnsi="宋体" w:eastAsia="宋体" w:cs="宋体"/>
                <w:b/>
                <w:color w:val="auto"/>
                <w:sz w:val="22"/>
                <w:szCs w:val="22"/>
              </w:rPr>
            </w:pPr>
            <w:r>
              <w:rPr>
                <w:rFonts w:hint="eastAsia" w:ascii="宋体" w:hAnsi="宋体" w:eastAsia="宋体" w:cs="宋体"/>
                <w:b/>
                <w:color w:val="auto"/>
                <w:sz w:val="22"/>
                <w:szCs w:val="22"/>
              </w:rPr>
              <w:t>5、若得分相同的，按最后</w:t>
            </w:r>
            <w:r>
              <w:rPr>
                <w:rFonts w:hint="eastAsia" w:ascii="宋体" w:hAnsi="宋体" w:eastAsia="宋体" w:cs="宋体"/>
                <w:b/>
                <w:color w:val="auto"/>
                <w:sz w:val="22"/>
                <w:szCs w:val="22"/>
                <w:lang w:eastAsia="zh-CN"/>
              </w:rPr>
              <w:t>磋商</w:t>
            </w:r>
            <w:r>
              <w:rPr>
                <w:rFonts w:hint="eastAsia" w:ascii="宋体" w:hAnsi="宋体" w:eastAsia="宋体" w:cs="宋体"/>
                <w:b/>
                <w:color w:val="auto"/>
                <w:sz w:val="22"/>
                <w:szCs w:val="22"/>
              </w:rPr>
              <w:t>报价由低到高的顺序推荐。得分且最后报价相同的，按照技术指标优劣顺序推荐。</w:t>
            </w:r>
          </w:p>
          <w:p>
            <w:pPr>
              <w:tabs>
                <w:tab w:val="left" w:pos="1180"/>
              </w:tabs>
              <w:spacing w:line="276" w:lineRule="auto"/>
              <w:rPr>
                <w:rFonts w:hint="eastAsia" w:ascii="宋体" w:hAnsi="宋体" w:eastAsia="宋体" w:cs="宋体"/>
                <w:color w:val="auto"/>
                <w:sz w:val="24"/>
              </w:rPr>
            </w:pPr>
            <w:r>
              <w:rPr>
                <w:rFonts w:hint="eastAsia" w:ascii="宋体" w:hAnsi="宋体" w:eastAsia="宋体" w:cs="宋体"/>
                <w:b/>
                <w:color w:val="auto"/>
                <w:sz w:val="22"/>
                <w:szCs w:val="22"/>
              </w:rPr>
              <w:t>6、磋商小组成员对评审报告</w:t>
            </w:r>
            <w:r>
              <w:rPr>
                <w:rFonts w:hint="eastAsia" w:ascii="宋体" w:hAnsi="宋体" w:eastAsia="宋体" w:cs="宋体"/>
                <w:b/>
                <w:color w:val="auto"/>
                <w:sz w:val="22"/>
                <w:szCs w:val="22"/>
                <w:lang w:eastAsia="zh-CN"/>
              </w:rPr>
              <w:t>（磋商会议纪要）</w:t>
            </w:r>
            <w:r>
              <w:rPr>
                <w:rFonts w:hint="eastAsia" w:ascii="宋体" w:hAnsi="宋体" w:eastAsia="宋体" w:cs="宋体"/>
                <w:b/>
                <w:color w:val="auto"/>
                <w:sz w:val="22"/>
                <w:szCs w:val="22"/>
              </w:rPr>
              <w:t>有异议的，应当在评审报告</w:t>
            </w:r>
            <w:r>
              <w:rPr>
                <w:rFonts w:hint="eastAsia" w:ascii="宋体" w:hAnsi="宋体" w:eastAsia="宋体" w:cs="宋体"/>
                <w:b/>
                <w:color w:val="auto"/>
                <w:sz w:val="22"/>
                <w:szCs w:val="22"/>
                <w:lang w:eastAsia="zh-CN"/>
              </w:rPr>
              <w:t>（磋商会议纪要）</w:t>
            </w:r>
            <w:r>
              <w:rPr>
                <w:rFonts w:hint="eastAsia" w:ascii="宋体" w:hAnsi="宋体" w:eastAsia="宋体" w:cs="宋体"/>
                <w:b/>
                <w:color w:val="auto"/>
                <w:sz w:val="22"/>
                <w:szCs w:val="22"/>
              </w:rPr>
              <w:t>上签署不同意见，并说明理由，否则视为同意。对拒绝说明理由的，须报政府采购监管部门处理，并将其评审情况如实计入考核表。</w:t>
            </w:r>
          </w:p>
        </w:tc>
      </w:tr>
    </w:tbl>
    <w:p>
      <w:pPr>
        <w:rPr>
          <w:rFonts w:hint="eastAsia" w:ascii="宋体" w:hAnsi="宋体" w:eastAsia="宋体" w:cs="宋体"/>
          <w:color w:val="auto"/>
        </w:rPr>
      </w:pPr>
    </w:p>
    <w:p>
      <w:pPr>
        <w:pStyle w:val="3"/>
        <w:tabs>
          <w:tab w:val="left" w:pos="600"/>
        </w:tabs>
        <w:spacing w:before="240" w:beforeLines="100" w:after="120" w:afterLines="50" w:line="360" w:lineRule="auto"/>
        <w:ind w:firstLine="0"/>
        <w:jc w:val="left"/>
        <w:rPr>
          <w:rFonts w:hint="eastAsia" w:ascii="宋体" w:hAnsi="宋体" w:eastAsia="宋体" w:cs="宋体"/>
          <w:b/>
          <w:color w:val="auto"/>
          <w:sz w:val="24"/>
          <w:szCs w:val="24"/>
        </w:rPr>
      </w:pPr>
      <w:r>
        <w:rPr>
          <w:rFonts w:hint="eastAsia" w:ascii="宋体" w:hAnsi="宋体" w:eastAsia="宋体" w:cs="宋体"/>
          <w:b/>
          <w:color w:val="auto"/>
          <w:sz w:val="24"/>
          <w:szCs w:val="24"/>
          <w:lang w:val="en-US" w:eastAsia="zh-CN"/>
        </w:rPr>
        <w:t>10</w:t>
      </w:r>
      <w:r>
        <w:rPr>
          <w:rFonts w:hint="eastAsia" w:ascii="宋体" w:hAnsi="宋体" w:eastAsia="宋体" w:cs="宋体"/>
          <w:b/>
          <w:color w:val="auto"/>
          <w:sz w:val="24"/>
          <w:szCs w:val="24"/>
        </w:rPr>
        <w:t>、无效响应文件的认定</w:t>
      </w:r>
    </w:p>
    <w:p>
      <w:pPr>
        <w:pStyle w:val="3"/>
        <w:tabs>
          <w:tab w:val="left" w:pos="600"/>
        </w:tabs>
        <w:spacing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10</w:t>
      </w:r>
      <w:r>
        <w:rPr>
          <w:rFonts w:hint="eastAsia" w:ascii="宋体" w:hAnsi="宋体" w:eastAsia="宋体" w:cs="宋体"/>
          <w:color w:val="auto"/>
          <w:sz w:val="24"/>
          <w:szCs w:val="24"/>
        </w:rPr>
        <w:t>.1、供应商存在下列情况之一的，</w:t>
      </w:r>
      <w:r>
        <w:rPr>
          <w:rFonts w:hint="eastAsia" w:ascii="宋体" w:hAnsi="宋体" w:eastAsia="宋体" w:cs="宋体"/>
          <w:color w:val="auto"/>
          <w:sz w:val="24"/>
          <w:szCs w:val="24"/>
          <w:lang w:eastAsia="zh-CN"/>
        </w:rPr>
        <w:t>磋商响应</w:t>
      </w:r>
      <w:r>
        <w:rPr>
          <w:rFonts w:hint="eastAsia" w:ascii="宋体" w:hAnsi="宋体" w:eastAsia="宋体" w:cs="宋体"/>
          <w:color w:val="auto"/>
          <w:sz w:val="24"/>
          <w:szCs w:val="24"/>
        </w:rPr>
        <w:t>无效：</w:t>
      </w:r>
    </w:p>
    <w:p>
      <w:pPr>
        <w:pStyle w:val="3"/>
        <w:tabs>
          <w:tab w:val="left" w:pos="600"/>
        </w:tabs>
        <w:spacing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10</w:t>
      </w:r>
      <w:r>
        <w:rPr>
          <w:rFonts w:hint="eastAsia" w:ascii="宋体" w:hAnsi="宋体" w:eastAsia="宋体" w:cs="宋体"/>
          <w:color w:val="auto"/>
          <w:sz w:val="24"/>
          <w:szCs w:val="24"/>
        </w:rPr>
        <w:t>.1.1、未按照</w:t>
      </w:r>
      <w:r>
        <w:rPr>
          <w:rFonts w:hint="eastAsia" w:ascii="宋体" w:hAnsi="宋体" w:eastAsia="宋体" w:cs="宋体"/>
          <w:color w:val="auto"/>
          <w:sz w:val="24"/>
          <w:szCs w:val="24"/>
          <w:lang w:eastAsia="zh-CN"/>
        </w:rPr>
        <w:t>竞争性磋商</w:t>
      </w:r>
      <w:r>
        <w:rPr>
          <w:rFonts w:hint="eastAsia" w:ascii="宋体" w:hAnsi="宋体" w:eastAsia="宋体" w:cs="宋体"/>
          <w:color w:val="auto"/>
          <w:sz w:val="24"/>
          <w:szCs w:val="24"/>
        </w:rPr>
        <w:t>文件的规定提交</w:t>
      </w:r>
      <w:r>
        <w:rPr>
          <w:rFonts w:hint="eastAsia" w:ascii="宋体" w:hAnsi="宋体" w:eastAsia="宋体" w:cs="宋体"/>
          <w:color w:val="auto"/>
          <w:sz w:val="24"/>
          <w:szCs w:val="24"/>
          <w:lang w:eastAsia="zh-CN"/>
        </w:rPr>
        <w:t>磋商</w:t>
      </w:r>
      <w:r>
        <w:rPr>
          <w:rFonts w:hint="eastAsia" w:ascii="宋体" w:hAnsi="宋体" w:eastAsia="宋体" w:cs="宋体"/>
          <w:color w:val="auto"/>
          <w:sz w:val="24"/>
          <w:szCs w:val="24"/>
        </w:rPr>
        <w:t>保证金的；</w:t>
      </w:r>
    </w:p>
    <w:p>
      <w:pPr>
        <w:pStyle w:val="3"/>
        <w:tabs>
          <w:tab w:val="left" w:pos="600"/>
        </w:tabs>
        <w:spacing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10</w:t>
      </w:r>
      <w:r>
        <w:rPr>
          <w:rFonts w:hint="eastAsia" w:ascii="宋体" w:hAnsi="宋体" w:eastAsia="宋体" w:cs="宋体"/>
          <w:color w:val="auto"/>
          <w:sz w:val="24"/>
          <w:szCs w:val="24"/>
        </w:rPr>
        <w:t>.1.2、</w:t>
      </w:r>
      <w:r>
        <w:rPr>
          <w:rFonts w:hint="eastAsia" w:ascii="宋体" w:hAnsi="宋体" w:eastAsia="宋体" w:cs="宋体"/>
          <w:color w:val="auto"/>
          <w:sz w:val="24"/>
          <w:szCs w:val="24"/>
          <w:lang w:eastAsia="zh-CN"/>
        </w:rPr>
        <w:t>磋商响应</w:t>
      </w:r>
      <w:r>
        <w:rPr>
          <w:rFonts w:hint="eastAsia" w:ascii="宋体" w:hAnsi="宋体" w:eastAsia="宋体" w:cs="宋体"/>
          <w:color w:val="auto"/>
          <w:sz w:val="24"/>
          <w:szCs w:val="24"/>
        </w:rPr>
        <w:t>文件未按</w:t>
      </w:r>
      <w:r>
        <w:rPr>
          <w:rFonts w:hint="eastAsia" w:ascii="宋体" w:hAnsi="宋体" w:eastAsia="宋体" w:cs="宋体"/>
          <w:color w:val="auto"/>
          <w:sz w:val="24"/>
          <w:szCs w:val="24"/>
          <w:lang w:eastAsia="zh-CN"/>
        </w:rPr>
        <w:t>竞争性磋商</w:t>
      </w:r>
      <w:r>
        <w:rPr>
          <w:rFonts w:hint="eastAsia" w:ascii="宋体" w:hAnsi="宋体" w:eastAsia="宋体" w:cs="宋体"/>
          <w:color w:val="auto"/>
          <w:sz w:val="24"/>
          <w:szCs w:val="24"/>
        </w:rPr>
        <w:t>文件要求签署、盖章的；</w:t>
      </w:r>
    </w:p>
    <w:p>
      <w:pPr>
        <w:pStyle w:val="3"/>
        <w:tabs>
          <w:tab w:val="left" w:pos="600"/>
        </w:tabs>
        <w:spacing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10</w:t>
      </w:r>
      <w:r>
        <w:rPr>
          <w:rFonts w:hint="eastAsia" w:ascii="宋体" w:hAnsi="宋体" w:eastAsia="宋体" w:cs="宋体"/>
          <w:color w:val="auto"/>
          <w:sz w:val="24"/>
          <w:szCs w:val="24"/>
        </w:rPr>
        <w:t>.1.3、不具备</w:t>
      </w:r>
      <w:r>
        <w:rPr>
          <w:rFonts w:hint="eastAsia" w:ascii="宋体" w:hAnsi="宋体" w:eastAsia="宋体" w:cs="宋体"/>
          <w:color w:val="auto"/>
          <w:sz w:val="24"/>
          <w:szCs w:val="24"/>
          <w:lang w:eastAsia="zh-CN"/>
        </w:rPr>
        <w:t>竞争性磋商</w:t>
      </w:r>
      <w:r>
        <w:rPr>
          <w:rFonts w:hint="eastAsia" w:ascii="宋体" w:hAnsi="宋体" w:eastAsia="宋体" w:cs="宋体"/>
          <w:color w:val="auto"/>
          <w:sz w:val="24"/>
          <w:szCs w:val="24"/>
        </w:rPr>
        <w:t>文件中规定的资格要求的；</w:t>
      </w:r>
    </w:p>
    <w:p>
      <w:pPr>
        <w:pStyle w:val="3"/>
        <w:tabs>
          <w:tab w:val="left" w:pos="600"/>
        </w:tabs>
        <w:spacing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10</w:t>
      </w:r>
      <w:r>
        <w:rPr>
          <w:rFonts w:hint="eastAsia" w:ascii="宋体" w:hAnsi="宋体" w:eastAsia="宋体" w:cs="宋体"/>
          <w:color w:val="auto"/>
          <w:sz w:val="24"/>
          <w:szCs w:val="24"/>
        </w:rPr>
        <w:t>.1.4、报价超过</w:t>
      </w:r>
      <w:r>
        <w:rPr>
          <w:rFonts w:hint="eastAsia" w:ascii="宋体" w:hAnsi="宋体" w:eastAsia="宋体" w:cs="宋体"/>
          <w:color w:val="auto"/>
          <w:sz w:val="24"/>
          <w:szCs w:val="24"/>
          <w:lang w:eastAsia="zh-CN"/>
        </w:rPr>
        <w:t>竞争性磋商</w:t>
      </w:r>
      <w:r>
        <w:rPr>
          <w:rFonts w:hint="eastAsia" w:ascii="宋体" w:hAnsi="宋体" w:eastAsia="宋体" w:cs="宋体"/>
          <w:color w:val="auto"/>
          <w:sz w:val="24"/>
          <w:szCs w:val="24"/>
        </w:rPr>
        <w:t>文件中规定的预算金额或者最高限价的；</w:t>
      </w:r>
    </w:p>
    <w:p>
      <w:pPr>
        <w:pStyle w:val="3"/>
        <w:tabs>
          <w:tab w:val="left" w:pos="600"/>
        </w:tabs>
        <w:spacing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10</w:t>
      </w:r>
      <w:r>
        <w:rPr>
          <w:rFonts w:hint="eastAsia" w:ascii="宋体" w:hAnsi="宋体" w:eastAsia="宋体" w:cs="宋体"/>
          <w:color w:val="auto"/>
          <w:sz w:val="24"/>
          <w:szCs w:val="24"/>
        </w:rPr>
        <w:t>.1.5、</w:t>
      </w:r>
      <w:r>
        <w:rPr>
          <w:rFonts w:hint="eastAsia" w:ascii="宋体" w:hAnsi="宋体" w:eastAsia="宋体" w:cs="宋体"/>
          <w:color w:val="auto"/>
          <w:sz w:val="24"/>
          <w:szCs w:val="24"/>
          <w:lang w:eastAsia="zh-CN"/>
        </w:rPr>
        <w:t>磋商响应</w:t>
      </w:r>
      <w:r>
        <w:rPr>
          <w:rFonts w:hint="eastAsia" w:ascii="宋体" w:hAnsi="宋体" w:eastAsia="宋体" w:cs="宋体"/>
          <w:color w:val="auto"/>
          <w:sz w:val="24"/>
          <w:szCs w:val="24"/>
        </w:rPr>
        <w:t>文件含有采购人不能接受的附加条件的;</w:t>
      </w:r>
    </w:p>
    <w:p>
      <w:pPr>
        <w:pStyle w:val="3"/>
        <w:tabs>
          <w:tab w:val="left" w:pos="600"/>
        </w:tabs>
        <w:spacing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10</w:t>
      </w:r>
      <w:r>
        <w:rPr>
          <w:rFonts w:hint="eastAsia" w:ascii="宋体" w:hAnsi="宋体" w:eastAsia="宋体" w:cs="宋体"/>
          <w:color w:val="auto"/>
          <w:sz w:val="24"/>
          <w:szCs w:val="24"/>
        </w:rPr>
        <w:t>.1.6、法律、法规和</w:t>
      </w:r>
      <w:r>
        <w:rPr>
          <w:rFonts w:hint="eastAsia" w:ascii="宋体" w:hAnsi="宋体" w:eastAsia="宋体" w:cs="宋体"/>
          <w:color w:val="auto"/>
          <w:sz w:val="24"/>
          <w:szCs w:val="24"/>
          <w:lang w:eastAsia="zh-CN"/>
        </w:rPr>
        <w:t>竞争性磋商</w:t>
      </w:r>
      <w:r>
        <w:rPr>
          <w:rFonts w:hint="eastAsia" w:ascii="宋体" w:hAnsi="宋体" w:eastAsia="宋体" w:cs="宋体"/>
          <w:color w:val="auto"/>
          <w:sz w:val="24"/>
          <w:szCs w:val="24"/>
        </w:rPr>
        <w:t>文件规定的其他无效情形。</w:t>
      </w:r>
    </w:p>
    <w:p>
      <w:pPr>
        <w:spacing w:line="360" w:lineRule="auto"/>
        <w:ind w:firstLine="480" w:firstLineChars="200"/>
        <w:jc w:val="left"/>
        <w:rPr>
          <w:rFonts w:hint="eastAsia" w:ascii="宋体" w:hAnsi="宋体" w:eastAsia="宋体" w:cs="宋体"/>
          <w:color w:val="auto"/>
          <w:sz w:val="24"/>
        </w:rPr>
      </w:pPr>
      <w:r>
        <w:rPr>
          <w:rFonts w:hint="eastAsia" w:ascii="宋体" w:hAnsi="宋体" w:cs="宋体"/>
          <w:color w:val="auto"/>
          <w:sz w:val="24"/>
          <w:lang w:val="en-US" w:eastAsia="zh-CN"/>
        </w:rPr>
        <w:t>10</w:t>
      </w:r>
      <w:r>
        <w:rPr>
          <w:rFonts w:hint="eastAsia" w:ascii="宋体" w:hAnsi="宋体" w:eastAsia="宋体" w:cs="宋体"/>
          <w:color w:val="auto"/>
          <w:sz w:val="24"/>
        </w:rPr>
        <w:t>.2、有下列情形之一的，视为供应商相互恶意串通</w:t>
      </w:r>
      <w:r>
        <w:rPr>
          <w:rFonts w:hint="eastAsia" w:ascii="宋体" w:hAnsi="宋体" w:eastAsia="宋体" w:cs="宋体"/>
          <w:color w:val="auto"/>
          <w:sz w:val="24"/>
          <w:lang w:eastAsia="zh-CN"/>
        </w:rPr>
        <w:t>磋商投标</w:t>
      </w:r>
      <w:r>
        <w:rPr>
          <w:rFonts w:hint="eastAsia" w:ascii="宋体" w:hAnsi="宋体" w:eastAsia="宋体" w:cs="宋体"/>
          <w:color w:val="auto"/>
          <w:sz w:val="24"/>
        </w:rPr>
        <w:t>，其</w:t>
      </w:r>
      <w:r>
        <w:rPr>
          <w:rFonts w:hint="eastAsia" w:ascii="宋体" w:hAnsi="宋体" w:eastAsia="宋体" w:cs="宋体"/>
          <w:color w:val="auto"/>
          <w:sz w:val="24"/>
          <w:lang w:eastAsia="zh-CN"/>
        </w:rPr>
        <w:t>磋商会议</w:t>
      </w:r>
      <w:r>
        <w:rPr>
          <w:rFonts w:hint="eastAsia" w:ascii="宋体" w:hAnsi="宋体" w:eastAsia="宋体" w:cs="宋体"/>
          <w:color w:val="auto"/>
          <w:sz w:val="24"/>
        </w:rPr>
        <w:t>取消：</w:t>
      </w:r>
    </w:p>
    <w:p>
      <w:pPr>
        <w:spacing w:line="360" w:lineRule="auto"/>
        <w:ind w:firstLine="480" w:firstLineChars="200"/>
        <w:jc w:val="left"/>
        <w:rPr>
          <w:rFonts w:hint="eastAsia" w:ascii="宋体" w:hAnsi="宋体" w:eastAsia="宋体" w:cs="宋体"/>
          <w:color w:val="auto"/>
          <w:sz w:val="24"/>
        </w:rPr>
      </w:pPr>
      <w:r>
        <w:rPr>
          <w:rFonts w:hint="eastAsia" w:ascii="宋体" w:hAnsi="宋体" w:cs="宋体"/>
          <w:color w:val="auto"/>
          <w:sz w:val="24"/>
          <w:lang w:val="en-US" w:eastAsia="zh-CN"/>
        </w:rPr>
        <w:t>10</w:t>
      </w:r>
      <w:r>
        <w:rPr>
          <w:rFonts w:hint="eastAsia" w:ascii="宋体" w:hAnsi="宋体" w:eastAsia="宋体" w:cs="宋体"/>
          <w:color w:val="auto"/>
          <w:sz w:val="24"/>
        </w:rPr>
        <w:t>.2.1、不同供应商的</w:t>
      </w:r>
      <w:r>
        <w:rPr>
          <w:rFonts w:hint="eastAsia" w:ascii="宋体" w:hAnsi="宋体" w:eastAsia="宋体" w:cs="宋体"/>
          <w:color w:val="auto"/>
          <w:sz w:val="24"/>
          <w:lang w:eastAsia="zh-CN"/>
        </w:rPr>
        <w:t>磋商响应</w:t>
      </w:r>
      <w:r>
        <w:rPr>
          <w:rFonts w:hint="eastAsia" w:ascii="宋体" w:hAnsi="宋体" w:eastAsia="宋体" w:cs="宋体"/>
          <w:color w:val="auto"/>
          <w:sz w:val="24"/>
        </w:rPr>
        <w:t>文件由同一单位或者个人编制；</w:t>
      </w:r>
    </w:p>
    <w:p>
      <w:pPr>
        <w:spacing w:line="360" w:lineRule="auto"/>
        <w:ind w:firstLine="480" w:firstLineChars="200"/>
        <w:jc w:val="left"/>
        <w:rPr>
          <w:rFonts w:hint="eastAsia" w:ascii="宋体" w:hAnsi="宋体" w:eastAsia="宋体" w:cs="宋体"/>
          <w:color w:val="auto"/>
          <w:sz w:val="24"/>
        </w:rPr>
      </w:pPr>
      <w:r>
        <w:rPr>
          <w:rFonts w:hint="eastAsia" w:ascii="宋体" w:hAnsi="宋体" w:cs="宋体"/>
          <w:color w:val="auto"/>
          <w:sz w:val="24"/>
          <w:lang w:val="en-US" w:eastAsia="zh-CN"/>
        </w:rPr>
        <w:t>10</w:t>
      </w:r>
      <w:r>
        <w:rPr>
          <w:rFonts w:hint="eastAsia" w:ascii="宋体" w:hAnsi="宋体" w:eastAsia="宋体" w:cs="宋体"/>
          <w:color w:val="auto"/>
          <w:sz w:val="24"/>
        </w:rPr>
        <w:t>.2.2、不同供应商委托同一单位或者个人办理</w:t>
      </w:r>
      <w:r>
        <w:rPr>
          <w:rFonts w:hint="eastAsia" w:ascii="宋体" w:hAnsi="宋体" w:eastAsia="宋体" w:cs="宋体"/>
          <w:color w:val="auto"/>
          <w:sz w:val="24"/>
          <w:lang w:eastAsia="zh-CN"/>
        </w:rPr>
        <w:t>磋商</w:t>
      </w:r>
      <w:r>
        <w:rPr>
          <w:rFonts w:hint="eastAsia" w:ascii="宋体" w:hAnsi="宋体" w:eastAsia="宋体" w:cs="宋体"/>
          <w:color w:val="auto"/>
          <w:sz w:val="24"/>
        </w:rPr>
        <w:t>事宜；</w:t>
      </w:r>
    </w:p>
    <w:p>
      <w:pPr>
        <w:spacing w:line="360" w:lineRule="auto"/>
        <w:ind w:firstLine="480" w:firstLineChars="200"/>
        <w:jc w:val="left"/>
        <w:rPr>
          <w:rFonts w:hint="eastAsia" w:ascii="宋体" w:hAnsi="宋体" w:eastAsia="宋体" w:cs="宋体"/>
          <w:color w:val="auto"/>
          <w:sz w:val="24"/>
        </w:rPr>
      </w:pPr>
      <w:r>
        <w:rPr>
          <w:rFonts w:hint="eastAsia" w:ascii="宋体" w:hAnsi="宋体" w:cs="宋体"/>
          <w:color w:val="auto"/>
          <w:sz w:val="24"/>
          <w:lang w:val="en-US" w:eastAsia="zh-CN"/>
        </w:rPr>
        <w:t>10</w:t>
      </w:r>
      <w:r>
        <w:rPr>
          <w:rFonts w:hint="eastAsia" w:ascii="宋体" w:hAnsi="宋体" w:eastAsia="宋体" w:cs="宋体"/>
          <w:color w:val="auto"/>
          <w:sz w:val="24"/>
        </w:rPr>
        <w:t>.2.3、不同供应商的</w:t>
      </w:r>
      <w:r>
        <w:rPr>
          <w:rFonts w:hint="eastAsia" w:ascii="宋体" w:hAnsi="宋体" w:eastAsia="宋体" w:cs="宋体"/>
          <w:color w:val="auto"/>
          <w:sz w:val="24"/>
          <w:lang w:eastAsia="zh-CN"/>
        </w:rPr>
        <w:t>磋商响应</w:t>
      </w:r>
      <w:r>
        <w:rPr>
          <w:rFonts w:hint="eastAsia" w:ascii="宋体" w:hAnsi="宋体" w:eastAsia="宋体" w:cs="宋体"/>
          <w:color w:val="auto"/>
          <w:sz w:val="24"/>
        </w:rPr>
        <w:t>文件载明的项目管理成员或者联系人员为同一人；</w:t>
      </w:r>
    </w:p>
    <w:p>
      <w:pPr>
        <w:spacing w:line="360" w:lineRule="auto"/>
        <w:ind w:firstLine="480" w:firstLineChars="200"/>
        <w:jc w:val="left"/>
        <w:rPr>
          <w:rFonts w:hint="eastAsia" w:ascii="宋体" w:hAnsi="宋体" w:eastAsia="宋体" w:cs="宋体"/>
          <w:color w:val="auto"/>
          <w:sz w:val="24"/>
        </w:rPr>
      </w:pPr>
      <w:r>
        <w:rPr>
          <w:rFonts w:hint="eastAsia" w:ascii="宋体" w:hAnsi="宋体" w:cs="宋体"/>
          <w:color w:val="auto"/>
          <w:sz w:val="24"/>
          <w:lang w:val="en-US" w:eastAsia="zh-CN"/>
        </w:rPr>
        <w:t>10</w:t>
      </w:r>
      <w:r>
        <w:rPr>
          <w:rFonts w:hint="eastAsia" w:ascii="宋体" w:hAnsi="宋体" w:eastAsia="宋体" w:cs="宋体"/>
          <w:color w:val="auto"/>
          <w:sz w:val="24"/>
        </w:rPr>
        <w:t>.2.4、不同供应商的</w:t>
      </w:r>
      <w:r>
        <w:rPr>
          <w:rFonts w:hint="eastAsia" w:ascii="宋体" w:hAnsi="宋体" w:eastAsia="宋体" w:cs="宋体"/>
          <w:color w:val="auto"/>
          <w:sz w:val="24"/>
          <w:lang w:eastAsia="zh-CN"/>
        </w:rPr>
        <w:t>磋商响应</w:t>
      </w:r>
      <w:r>
        <w:rPr>
          <w:rFonts w:hint="eastAsia" w:ascii="宋体" w:hAnsi="宋体" w:eastAsia="宋体" w:cs="宋体"/>
          <w:color w:val="auto"/>
          <w:sz w:val="24"/>
        </w:rPr>
        <w:t>文件异常一致或者</w:t>
      </w:r>
      <w:r>
        <w:rPr>
          <w:rFonts w:hint="eastAsia" w:ascii="宋体" w:hAnsi="宋体" w:eastAsia="宋体" w:cs="宋体"/>
          <w:color w:val="auto"/>
          <w:sz w:val="24"/>
          <w:lang w:eastAsia="zh-CN"/>
        </w:rPr>
        <w:t>磋商</w:t>
      </w:r>
      <w:r>
        <w:rPr>
          <w:rFonts w:hint="eastAsia" w:ascii="宋体" w:hAnsi="宋体" w:eastAsia="宋体" w:cs="宋体"/>
          <w:color w:val="auto"/>
          <w:sz w:val="24"/>
        </w:rPr>
        <w:t>报价呈规律性差异；</w:t>
      </w:r>
    </w:p>
    <w:p>
      <w:pPr>
        <w:spacing w:line="360" w:lineRule="auto"/>
        <w:ind w:firstLine="480" w:firstLineChars="200"/>
        <w:jc w:val="left"/>
        <w:rPr>
          <w:rFonts w:hint="eastAsia" w:ascii="宋体" w:hAnsi="宋体" w:eastAsia="宋体" w:cs="宋体"/>
          <w:color w:val="auto"/>
          <w:sz w:val="24"/>
        </w:rPr>
      </w:pPr>
      <w:r>
        <w:rPr>
          <w:rFonts w:hint="eastAsia" w:ascii="宋体" w:hAnsi="宋体" w:cs="宋体"/>
          <w:color w:val="auto"/>
          <w:sz w:val="24"/>
          <w:lang w:val="en-US" w:eastAsia="zh-CN"/>
        </w:rPr>
        <w:t>10</w:t>
      </w:r>
      <w:r>
        <w:rPr>
          <w:rFonts w:hint="eastAsia" w:ascii="宋体" w:hAnsi="宋体" w:eastAsia="宋体" w:cs="宋体"/>
          <w:color w:val="auto"/>
          <w:sz w:val="24"/>
        </w:rPr>
        <w:t>.2.5、不同供应商的</w:t>
      </w:r>
      <w:r>
        <w:rPr>
          <w:rFonts w:hint="eastAsia" w:ascii="宋体" w:hAnsi="宋体" w:eastAsia="宋体" w:cs="宋体"/>
          <w:color w:val="auto"/>
          <w:sz w:val="24"/>
          <w:lang w:eastAsia="zh-CN"/>
        </w:rPr>
        <w:t>磋商响应</w:t>
      </w:r>
      <w:r>
        <w:rPr>
          <w:rFonts w:hint="eastAsia" w:ascii="宋体" w:hAnsi="宋体" w:eastAsia="宋体" w:cs="宋体"/>
          <w:color w:val="auto"/>
          <w:sz w:val="24"/>
        </w:rPr>
        <w:t>文件相互混装；</w:t>
      </w:r>
    </w:p>
    <w:p>
      <w:pPr>
        <w:spacing w:line="360" w:lineRule="auto"/>
        <w:ind w:firstLine="480" w:firstLineChars="200"/>
        <w:jc w:val="left"/>
        <w:rPr>
          <w:rFonts w:hint="eastAsia" w:ascii="宋体" w:hAnsi="宋体" w:eastAsia="宋体" w:cs="宋体"/>
          <w:color w:val="auto"/>
          <w:sz w:val="24"/>
        </w:rPr>
      </w:pPr>
      <w:r>
        <w:rPr>
          <w:rFonts w:hint="eastAsia" w:ascii="宋体" w:hAnsi="宋体" w:cs="宋体"/>
          <w:color w:val="auto"/>
          <w:sz w:val="24"/>
          <w:lang w:val="en-US" w:eastAsia="zh-CN"/>
        </w:rPr>
        <w:t>10</w:t>
      </w:r>
      <w:r>
        <w:rPr>
          <w:rFonts w:hint="eastAsia" w:ascii="宋体" w:hAnsi="宋体" w:eastAsia="宋体" w:cs="宋体"/>
          <w:color w:val="auto"/>
          <w:sz w:val="24"/>
        </w:rPr>
        <w:t>.2.6、不同供应商的</w:t>
      </w:r>
      <w:r>
        <w:rPr>
          <w:rFonts w:hint="eastAsia" w:ascii="宋体" w:hAnsi="宋体" w:eastAsia="宋体" w:cs="宋体"/>
          <w:color w:val="auto"/>
          <w:sz w:val="24"/>
          <w:lang w:eastAsia="zh-CN"/>
        </w:rPr>
        <w:t>磋商</w:t>
      </w:r>
      <w:r>
        <w:rPr>
          <w:rFonts w:hint="eastAsia" w:ascii="宋体" w:hAnsi="宋体" w:eastAsia="宋体" w:cs="宋体"/>
          <w:color w:val="auto"/>
          <w:sz w:val="24"/>
        </w:rPr>
        <w:t>保证金从同一单位或者个人的账户转出。</w:t>
      </w:r>
    </w:p>
    <w:p>
      <w:pPr>
        <w:widowControl/>
        <w:autoSpaceDE w:val="0"/>
        <w:autoSpaceDN w:val="0"/>
        <w:spacing w:before="120" w:beforeLines="50" w:after="120" w:afterLines="50" w:line="360" w:lineRule="auto"/>
        <w:ind w:right="51"/>
        <w:textAlignment w:val="bottom"/>
        <w:rPr>
          <w:rFonts w:hint="eastAsia" w:ascii="宋体" w:hAnsi="宋体" w:eastAsia="宋体" w:cs="宋体"/>
          <w:b/>
          <w:color w:val="auto"/>
          <w:sz w:val="24"/>
        </w:rPr>
      </w:pPr>
      <w:r>
        <w:rPr>
          <w:rFonts w:hint="eastAsia" w:ascii="宋体" w:hAnsi="宋体" w:cs="宋体"/>
          <w:b/>
          <w:color w:val="auto"/>
          <w:sz w:val="24"/>
          <w:lang w:val="en-US" w:eastAsia="zh-CN"/>
        </w:rPr>
        <w:t>11</w:t>
      </w:r>
      <w:r>
        <w:rPr>
          <w:rFonts w:hint="eastAsia" w:ascii="宋体" w:hAnsi="宋体" w:eastAsia="宋体" w:cs="宋体"/>
          <w:b/>
          <w:color w:val="auto"/>
          <w:sz w:val="24"/>
        </w:rPr>
        <w:t>、特殊情况的处理</w:t>
      </w:r>
    </w:p>
    <w:p>
      <w:pPr>
        <w:widowControl/>
        <w:autoSpaceDE w:val="0"/>
        <w:autoSpaceDN w:val="0"/>
        <w:spacing w:line="360" w:lineRule="auto"/>
        <w:ind w:right="53" w:firstLine="480" w:firstLineChars="200"/>
        <w:textAlignment w:val="bottom"/>
        <w:rPr>
          <w:rFonts w:hint="eastAsia" w:ascii="宋体" w:hAnsi="宋体" w:eastAsia="宋体" w:cs="宋体"/>
          <w:color w:val="auto"/>
          <w:sz w:val="24"/>
        </w:rPr>
      </w:pPr>
      <w:r>
        <w:rPr>
          <w:rFonts w:hint="eastAsia" w:ascii="宋体" w:hAnsi="宋体" w:cs="宋体"/>
          <w:color w:val="auto"/>
          <w:sz w:val="24"/>
          <w:lang w:val="en-US" w:eastAsia="zh-CN"/>
        </w:rPr>
        <w:t>11</w:t>
      </w:r>
      <w:r>
        <w:rPr>
          <w:rFonts w:hint="eastAsia" w:ascii="宋体" w:hAnsi="宋体" w:eastAsia="宋体" w:cs="宋体"/>
          <w:color w:val="auto"/>
          <w:sz w:val="24"/>
        </w:rPr>
        <w:t>.1、响应文件中如果出现前后不一致的，按照下列规定修正：</w:t>
      </w:r>
    </w:p>
    <w:p>
      <w:pPr>
        <w:widowControl/>
        <w:autoSpaceDE w:val="0"/>
        <w:autoSpaceDN w:val="0"/>
        <w:spacing w:line="360" w:lineRule="auto"/>
        <w:ind w:right="53" w:firstLine="480" w:firstLineChars="200"/>
        <w:textAlignment w:val="bottom"/>
        <w:rPr>
          <w:rFonts w:hint="eastAsia" w:ascii="宋体" w:hAnsi="宋体" w:eastAsia="宋体" w:cs="宋体"/>
          <w:color w:val="auto"/>
          <w:sz w:val="24"/>
        </w:rPr>
      </w:pPr>
      <w:r>
        <w:rPr>
          <w:rFonts w:hint="eastAsia" w:ascii="宋体" w:hAnsi="宋体" w:cs="宋体"/>
          <w:color w:val="auto"/>
          <w:sz w:val="24"/>
          <w:lang w:val="en-US" w:eastAsia="zh-CN"/>
        </w:rPr>
        <w:t>11</w:t>
      </w:r>
      <w:r>
        <w:rPr>
          <w:rFonts w:hint="eastAsia" w:ascii="宋体" w:hAnsi="宋体" w:eastAsia="宋体" w:cs="宋体"/>
          <w:color w:val="auto"/>
          <w:sz w:val="24"/>
        </w:rPr>
        <w:t>.1.1、响应文件大写金额和小写金额不一致的，以大写金额为准；总价金额与按单价汇总金额不一致的，以单价金额计算结果为准。</w:t>
      </w:r>
    </w:p>
    <w:p>
      <w:pPr>
        <w:spacing w:line="360" w:lineRule="auto"/>
        <w:ind w:firstLine="480" w:firstLineChars="200"/>
        <w:rPr>
          <w:rFonts w:hint="eastAsia" w:ascii="宋体" w:hAnsi="宋体" w:eastAsia="宋体" w:cs="宋体"/>
          <w:color w:val="auto"/>
          <w:sz w:val="24"/>
        </w:rPr>
      </w:pPr>
      <w:r>
        <w:rPr>
          <w:rFonts w:hint="eastAsia" w:ascii="宋体" w:hAnsi="宋体" w:cs="宋体"/>
          <w:color w:val="auto"/>
          <w:sz w:val="24"/>
          <w:lang w:val="en-US" w:eastAsia="zh-CN"/>
        </w:rPr>
        <w:t>11</w:t>
      </w:r>
      <w:r>
        <w:rPr>
          <w:rFonts w:hint="eastAsia" w:ascii="宋体" w:hAnsi="宋体" w:eastAsia="宋体" w:cs="宋体"/>
          <w:color w:val="auto"/>
          <w:sz w:val="24"/>
        </w:rPr>
        <w:t>.1.2、响应文件中图表与文字表述不一致的，以文字表述为准；</w:t>
      </w:r>
    </w:p>
    <w:p>
      <w:pPr>
        <w:widowControl/>
        <w:autoSpaceDE w:val="0"/>
        <w:autoSpaceDN w:val="0"/>
        <w:spacing w:line="360" w:lineRule="auto"/>
        <w:ind w:right="53" w:firstLine="480" w:firstLineChars="200"/>
        <w:textAlignment w:val="bottom"/>
        <w:rPr>
          <w:rFonts w:hint="eastAsia" w:ascii="宋体" w:hAnsi="宋体" w:eastAsia="宋体" w:cs="宋体"/>
          <w:color w:val="auto"/>
          <w:sz w:val="24"/>
        </w:rPr>
      </w:pPr>
      <w:r>
        <w:rPr>
          <w:rFonts w:hint="eastAsia" w:ascii="宋体" w:hAnsi="宋体" w:cs="宋体"/>
          <w:color w:val="auto"/>
          <w:sz w:val="24"/>
          <w:lang w:val="en-US" w:eastAsia="zh-CN"/>
        </w:rPr>
        <w:t>11</w:t>
      </w:r>
      <w:r>
        <w:rPr>
          <w:rFonts w:hint="eastAsia" w:ascii="宋体" w:hAnsi="宋体" w:eastAsia="宋体" w:cs="宋体"/>
          <w:color w:val="auto"/>
          <w:sz w:val="24"/>
        </w:rPr>
        <w:t>.1.3、响应文件正本与副本不一致的，以正本为准；</w:t>
      </w:r>
    </w:p>
    <w:p>
      <w:pPr>
        <w:spacing w:line="360" w:lineRule="auto"/>
        <w:ind w:firstLine="480" w:firstLineChars="200"/>
        <w:rPr>
          <w:rFonts w:hint="eastAsia" w:ascii="宋体" w:hAnsi="宋体" w:eastAsia="宋体" w:cs="宋体"/>
          <w:color w:val="auto"/>
          <w:sz w:val="24"/>
        </w:rPr>
      </w:pPr>
      <w:r>
        <w:rPr>
          <w:rFonts w:hint="eastAsia" w:ascii="宋体" w:hAnsi="宋体" w:cs="宋体"/>
          <w:color w:val="auto"/>
          <w:sz w:val="24"/>
          <w:lang w:val="en-US" w:eastAsia="zh-CN"/>
        </w:rPr>
        <w:t>11</w:t>
      </w:r>
      <w:r>
        <w:rPr>
          <w:rFonts w:hint="eastAsia" w:ascii="宋体" w:hAnsi="宋体" w:eastAsia="宋体" w:cs="宋体"/>
          <w:color w:val="auto"/>
          <w:sz w:val="24"/>
        </w:rPr>
        <w:t>.1.4、对不同文字文本响应文件的解释发生异议的，以中文文本为准。；</w:t>
      </w:r>
    </w:p>
    <w:p>
      <w:pPr>
        <w:widowControl/>
        <w:autoSpaceDE w:val="0"/>
        <w:autoSpaceDN w:val="0"/>
        <w:spacing w:line="360" w:lineRule="auto"/>
        <w:ind w:right="51" w:firstLine="470" w:firstLineChars="196"/>
        <w:textAlignment w:val="bottom"/>
        <w:rPr>
          <w:rFonts w:hint="eastAsia" w:ascii="宋体" w:hAnsi="宋体" w:eastAsia="宋体" w:cs="宋体"/>
          <w:color w:val="auto"/>
          <w:sz w:val="24"/>
        </w:rPr>
      </w:pPr>
      <w:r>
        <w:rPr>
          <w:rFonts w:hint="eastAsia" w:ascii="宋体" w:hAnsi="宋体" w:cs="宋体"/>
          <w:color w:val="auto"/>
          <w:sz w:val="24"/>
          <w:lang w:val="en-US" w:eastAsia="zh-CN"/>
        </w:rPr>
        <w:t>11</w:t>
      </w:r>
      <w:r>
        <w:rPr>
          <w:rFonts w:hint="eastAsia" w:ascii="宋体" w:hAnsi="宋体" w:eastAsia="宋体" w:cs="宋体"/>
          <w:color w:val="auto"/>
          <w:sz w:val="24"/>
        </w:rPr>
        <w:t>.1.5、同时出现两种以上不一致的，按照前款规定的顺序修正。修正后的</w:t>
      </w:r>
      <w:r>
        <w:rPr>
          <w:rFonts w:hint="eastAsia" w:ascii="宋体" w:hAnsi="宋体" w:eastAsia="宋体" w:cs="宋体"/>
          <w:color w:val="auto"/>
          <w:sz w:val="24"/>
          <w:lang w:eastAsia="zh-CN"/>
        </w:rPr>
        <w:t>磋商</w:t>
      </w:r>
      <w:r>
        <w:rPr>
          <w:rFonts w:hint="eastAsia" w:ascii="宋体" w:hAnsi="宋体" w:eastAsia="宋体" w:cs="宋体"/>
          <w:color w:val="auto"/>
          <w:sz w:val="24"/>
        </w:rPr>
        <w:t>报价按照本章4.1条的规定经供应商确认后产生约束力，供应商不确认的，其磋商无效。</w:t>
      </w:r>
    </w:p>
    <w:p>
      <w:pPr>
        <w:pStyle w:val="26"/>
        <w:spacing w:before="0" w:beforeAutospacing="0" w:after="0" w:afterAutospacing="0" w:line="360" w:lineRule="auto"/>
        <w:ind w:firstLine="480" w:firstLineChars="200"/>
        <w:rPr>
          <w:rFonts w:hint="eastAsia" w:ascii="宋体" w:hAnsi="宋体" w:eastAsia="宋体" w:cs="宋体"/>
          <w:color w:val="auto"/>
        </w:rPr>
      </w:pPr>
      <w:r>
        <w:rPr>
          <w:rFonts w:hint="eastAsia" w:cs="宋体"/>
          <w:color w:val="auto"/>
          <w:lang w:val="en-US" w:eastAsia="zh-CN"/>
        </w:rPr>
        <w:t>11</w:t>
      </w:r>
      <w:r>
        <w:rPr>
          <w:rFonts w:hint="eastAsia" w:ascii="宋体" w:hAnsi="宋体" w:eastAsia="宋体" w:cs="宋体"/>
          <w:color w:val="auto"/>
        </w:rPr>
        <w:t>.2、评审过程中，若出现本评审办法以外的特殊情况时，将暂停评审，待磋商小组商榷后，再进行评定。</w:t>
      </w:r>
    </w:p>
    <w:p>
      <w:pPr>
        <w:pStyle w:val="26"/>
        <w:spacing w:before="0" w:beforeAutospacing="0" w:after="0" w:afterAutospacing="0" w:line="360" w:lineRule="auto"/>
        <w:ind w:firstLine="480" w:firstLineChars="200"/>
        <w:rPr>
          <w:rFonts w:hint="eastAsia" w:ascii="宋体" w:hAnsi="宋体" w:eastAsia="宋体" w:cs="宋体"/>
          <w:color w:val="auto"/>
        </w:rPr>
      </w:pPr>
      <w:r>
        <w:rPr>
          <w:rFonts w:hint="eastAsia" w:cs="宋体"/>
          <w:color w:val="auto"/>
          <w:lang w:val="en-US" w:eastAsia="zh-CN"/>
        </w:rPr>
        <w:t>11</w:t>
      </w:r>
      <w:r>
        <w:rPr>
          <w:rFonts w:hint="eastAsia" w:ascii="宋体" w:hAnsi="宋体" w:eastAsia="宋体" w:cs="宋体"/>
          <w:color w:val="auto"/>
        </w:rPr>
        <w:t>.3、评审结果汇总完成后，除下列情形外，任何人不得修改评审结果：</w:t>
      </w:r>
    </w:p>
    <w:p>
      <w:pPr>
        <w:pStyle w:val="26"/>
        <w:spacing w:before="0" w:beforeAutospacing="0" w:after="0" w:afterAutospacing="0" w:line="360" w:lineRule="auto"/>
        <w:ind w:firstLine="480" w:firstLineChars="200"/>
        <w:rPr>
          <w:rFonts w:hint="eastAsia" w:ascii="宋体" w:hAnsi="宋体" w:eastAsia="宋体" w:cs="宋体"/>
          <w:color w:val="auto"/>
        </w:rPr>
      </w:pPr>
      <w:r>
        <w:rPr>
          <w:rFonts w:hint="eastAsia" w:cs="宋体"/>
          <w:color w:val="auto"/>
          <w:lang w:val="en-US" w:eastAsia="zh-CN"/>
        </w:rPr>
        <w:t>11</w:t>
      </w:r>
      <w:r>
        <w:rPr>
          <w:rFonts w:hint="eastAsia" w:ascii="宋体" w:hAnsi="宋体" w:eastAsia="宋体" w:cs="宋体"/>
          <w:color w:val="auto"/>
        </w:rPr>
        <w:t>.3.1、分值汇总计算错误的；</w:t>
      </w:r>
    </w:p>
    <w:p>
      <w:pPr>
        <w:pStyle w:val="26"/>
        <w:spacing w:before="0" w:beforeAutospacing="0" w:after="0" w:afterAutospacing="0" w:line="360" w:lineRule="auto"/>
        <w:ind w:firstLine="480" w:firstLineChars="200"/>
        <w:rPr>
          <w:rFonts w:hint="eastAsia" w:ascii="宋体" w:hAnsi="宋体" w:eastAsia="宋体" w:cs="宋体"/>
          <w:color w:val="auto"/>
        </w:rPr>
      </w:pPr>
      <w:r>
        <w:rPr>
          <w:rFonts w:hint="eastAsia" w:cs="宋体"/>
          <w:color w:val="auto"/>
          <w:lang w:val="en-US" w:eastAsia="zh-CN"/>
        </w:rPr>
        <w:t>11</w:t>
      </w:r>
      <w:r>
        <w:rPr>
          <w:rFonts w:hint="eastAsia" w:ascii="宋体" w:hAnsi="宋体" w:eastAsia="宋体" w:cs="宋体"/>
          <w:color w:val="auto"/>
        </w:rPr>
        <w:t>.3.2、分项评分超出评分标准范围的；</w:t>
      </w:r>
    </w:p>
    <w:p>
      <w:pPr>
        <w:pStyle w:val="26"/>
        <w:spacing w:before="0" w:beforeAutospacing="0" w:after="0" w:afterAutospacing="0" w:line="360" w:lineRule="auto"/>
        <w:ind w:firstLine="480" w:firstLineChars="200"/>
        <w:rPr>
          <w:rFonts w:hint="eastAsia" w:ascii="宋体" w:hAnsi="宋体" w:eastAsia="宋体" w:cs="宋体"/>
          <w:color w:val="auto"/>
        </w:rPr>
      </w:pPr>
      <w:r>
        <w:rPr>
          <w:rFonts w:hint="eastAsia" w:cs="宋体"/>
          <w:color w:val="auto"/>
          <w:lang w:val="en-US" w:eastAsia="zh-CN"/>
        </w:rPr>
        <w:t>11</w:t>
      </w:r>
      <w:r>
        <w:rPr>
          <w:rFonts w:hint="eastAsia" w:ascii="宋体" w:hAnsi="宋体" w:eastAsia="宋体" w:cs="宋体"/>
          <w:color w:val="auto"/>
        </w:rPr>
        <w:t>.3.3、磋商小组成员对客观评审因素评分不一致的；</w:t>
      </w:r>
    </w:p>
    <w:p>
      <w:pPr>
        <w:pStyle w:val="26"/>
        <w:spacing w:before="0" w:beforeAutospacing="0" w:after="0" w:afterAutospacing="0" w:line="360" w:lineRule="auto"/>
        <w:ind w:firstLine="480" w:firstLineChars="200"/>
        <w:rPr>
          <w:rFonts w:hint="eastAsia" w:ascii="宋体" w:hAnsi="宋体" w:eastAsia="宋体" w:cs="宋体"/>
          <w:color w:val="auto"/>
        </w:rPr>
      </w:pPr>
      <w:r>
        <w:rPr>
          <w:rFonts w:hint="eastAsia" w:cs="宋体"/>
          <w:color w:val="auto"/>
          <w:lang w:val="en-US" w:eastAsia="zh-CN"/>
        </w:rPr>
        <w:t>11</w:t>
      </w:r>
      <w:r>
        <w:rPr>
          <w:rFonts w:hint="eastAsia" w:ascii="宋体" w:hAnsi="宋体" w:eastAsia="宋体" w:cs="宋体"/>
          <w:color w:val="auto"/>
        </w:rPr>
        <w:t>.3.4、经磋商小组认定评分畸高、畸低的。</w:t>
      </w:r>
    </w:p>
    <w:p>
      <w:pPr>
        <w:pStyle w:val="26"/>
        <w:spacing w:before="0" w:beforeAutospacing="0" w:after="0" w:afterAutospacing="0" w:line="360" w:lineRule="auto"/>
        <w:ind w:firstLine="480" w:firstLineChars="200"/>
        <w:rPr>
          <w:rFonts w:hint="eastAsia" w:ascii="宋体" w:hAnsi="宋体" w:eastAsia="宋体" w:cs="宋体"/>
          <w:color w:val="auto"/>
        </w:rPr>
      </w:pPr>
      <w:r>
        <w:rPr>
          <w:rFonts w:hint="eastAsia" w:ascii="宋体" w:hAnsi="宋体" w:eastAsia="宋体" w:cs="宋体"/>
          <w:color w:val="auto"/>
        </w:rPr>
        <w:t>1</w:t>
      </w:r>
      <w:r>
        <w:rPr>
          <w:rFonts w:hint="eastAsia" w:cs="宋体"/>
          <w:color w:val="auto"/>
          <w:lang w:val="en-US" w:eastAsia="zh-CN"/>
        </w:rPr>
        <w:t>1</w:t>
      </w:r>
      <w:r>
        <w:rPr>
          <w:rFonts w:hint="eastAsia" w:ascii="宋体" w:hAnsi="宋体" w:eastAsia="宋体" w:cs="宋体"/>
          <w:color w:val="auto"/>
        </w:rPr>
        <w:t>.4、评标报告</w:t>
      </w:r>
      <w:r>
        <w:rPr>
          <w:rFonts w:hint="eastAsia" w:ascii="宋体" w:hAnsi="宋体" w:eastAsia="宋体" w:cs="宋体"/>
          <w:color w:val="auto"/>
          <w:lang w:eastAsia="zh-CN"/>
        </w:rPr>
        <w:t>（磋商会议纪要）</w:t>
      </w:r>
      <w:r>
        <w:rPr>
          <w:rFonts w:hint="eastAsia" w:ascii="宋体" w:hAnsi="宋体" w:eastAsia="宋体" w:cs="宋体"/>
          <w:color w:val="auto"/>
        </w:rPr>
        <w:t>签署前，经复核发现存在以上情形之一的，磋商小组应当当场修改</w:t>
      </w:r>
      <w:r>
        <w:rPr>
          <w:rFonts w:hint="eastAsia" w:ascii="宋体" w:hAnsi="宋体" w:eastAsia="宋体" w:cs="宋体"/>
          <w:color w:val="auto"/>
          <w:lang w:eastAsia="zh-CN"/>
        </w:rPr>
        <w:t>磋商评审</w:t>
      </w:r>
      <w:r>
        <w:rPr>
          <w:rFonts w:hint="eastAsia" w:ascii="宋体" w:hAnsi="宋体" w:eastAsia="宋体" w:cs="宋体"/>
          <w:color w:val="auto"/>
        </w:rPr>
        <w:t>结果，并在评标报告</w:t>
      </w:r>
      <w:r>
        <w:rPr>
          <w:rFonts w:hint="eastAsia" w:ascii="宋体" w:hAnsi="宋体" w:eastAsia="宋体" w:cs="宋体"/>
          <w:color w:val="auto"/>
          <w:lang w:eastAsia="zh-CN"/>
        </w:rPr>
        <w:t>（磋商会议纪要）</w:t>
      </w:r>
      <w:r>
        <w:rPr>
          <w:rFonts w:hint="eastAsia" w:ascii="宋体" w:hAnsi="宋体" w:eastAsia="宋体" w:cs="宋体"/>
          <w:color w:val="auto"/>
        </w:rPr>
        <w:t>中记载；评标报告</w:t>
      </w:r>
      <w:r>
        <w:rPr>
          <w:rFonts w:hint="eastAsia" w:ascii="宋体" w:hAnsi="宋体" w:eastAsia="宋体" w:cs="宋体"/>
          <w:color w:val="auto"/>
          <w:lang w:eastAsia="zh-CN"/>
        </w:rPr>
        <w:t>（磋商会议纪要）</w:t>
      </w:r>
      <w:r>
        <w:rPr>
          <w:rFonts w:hint="eastAsia" w:ascii="宋体" w:hAnsi="宋体" w:eastAsia="宋体" w:cs="宋体"/>
          <w:color w:val="auto"/>
        </w:rPr>
        <w:t>签署后，采购人或者采购代理机构发现存在以上情形之一的，应当组织原磋商小组进行重新评审，重新评审改变评标结果的，书面报告本级财政部门。供应商对评标报告提出质疑的，采购人或者采购代理机构可以组织原磋商小组进行重新评审，重新评审改变评标结果的，应当书面报告本级财政部门。</w:t>
      </w:r>
    </w:p>
    <w:p>
      <w:pPr>
        <w:pStyle w:val="26"/>
        <w:spacing w:before="0" w:beforeAutospacing="0" w:after="0" w:afterAutospacing="0" w:line="360" w:lineRule="auto"/>
        <w:ind w:firstLine="480" w:firstLineChars="200"/>
        <w:rPr>
          <w:rFonts w:hint="eastAsia" w:ascii="宋体" w:hAnsi="宋体" w:eastAsia="宋体" w:cs="宋体"/>
          <w:color w:val="auto"/>
        </w:rPr>
      </w:pPr>
      <w:r>
        <w:rPr>
          <w:rFonts w:hint="eastAsia" w:cs="宋体"/>
          <w:color w:val="auto"/>
          <w:lang w:val="en-US" w:eastAsia="zh-CN"/>
        </w:rPr>
        <w:t>11</w:t>
      </w:r>
      <w:r>
        <w:rPr>
          <w:rFonts w:hint="eastAsia" w:ascii="宋体" w:hAnsi="宋体" w:eastAsia="宋体" w:cs="宋体"/>
          <w:color w:val="auto"/>
        </w:rPr>
        <w:t>.5、磋商小组发现磋商文件存在歧义、重大缺陷导致评标工作无法进行，或者磋商文件内容违反国家有关强制性规定的，应当停止</w:t>
      </w:r>
      <w:r>
        <w:rPr>
          <w:rFonts w:hint="eastAsia" w:ascii="宋体" w:hAnsi="宋体" w:eastAsia="宋体" w:cs="宋体"/>
          <w:color w:val="auto"/>
          <w:lang w:eastAsia="zh-CN"/>
        </w:rPr>
        <w:t>磋商评审</w:t>
      </w:r>
      <w:r>
        <w:rPr>
          <w:rFonts w:hint="eastAsia" w:ascii="宋体" w:hAnsi="宋体" w:eastAsia="宋体" w:cs="宋体"/>
          <w:color w:val="auto"/>
        </w:rPr>
        <w:t>工作，与采购人或者采购代理机构沟通并作书面记录。采购人或者采购代理机构确认后，应当修改磋商文件，重新组织采购活动。</w:t>
      </w:r>
    </w:p>
    <w:p>
      <w:pPr>
        <w:widowControl/>
        <w:autoSpaceDE w:val="0"/>
        <w:autoSpaceDN w:val="0"/>
        <w:spacing w:line="360" w:lineRule="auto"/>
        <w:ind w:right="53" w:firstLine="480" w:firstLineChars="200"/>
        <w:textAlignment w:val="bottom"/>
        <w:rPr>
          <w:rFonts w:hint="eastAsia" w:ascii="宋体" w:hAnsi="宋体" w:eastAsia="宋体" w:cs="宋体"/>
          <w:color w:val="auto"/>
          <w:sz w:val="24"/>
        </w:rPr>
      </w:pPr>
      <w:r>
        <w:rPr>
          <w:rFonts w:hint="eastAsia" w:ascii="宋体" w:hAnsi="宋体" w:cs="宋体"/>
          <w:color w:val="auto"/>
          <w:sz w:val="24"/>
          <w:lang w:val="en-US" w:eastAsia="zh-CN"/>
        </w:rPr>
        <w:t>11</w:t>
      </w:r>
      <w:r>
        <w:rPr>
          <w:rFonts w:hint="eastAsia" w:ascii="宋体" w:hAnsi="宋体" w:eastAsia="宋体" w:cs="宋体"/>
          <w:color w:val="auto"/>
          <w:sz w:val="24"/>
        </w:rPr>
        <w:t>.6、排名第一的中标候选人，主动放弃成交或因不可抗力不能履行合同、或被查实存在影响成交结果的违法行为等情形，已不再符合成交条件的，采购人可以按照磋商小组提出的中标候选人名单排序依次确定第二中标候选人为成交供应商，也可以根据实际情况需要，依法重新组织采购活动。</w:t>
      </w:r>
      <w:bookmarkStart w:id="8" w:name="_Toc455956649"/>
    </w:p>
    <w:p>
      <w:pPr>
        <w:widowControl/>
        <w:autoSpaceDE w:val="0"/>
        <w:autoSpaceDN w:val="0"/>
        <w:spacing w:line="360" w:lineRule="auto"/>
        <w:ind w:right="53"/>
        <w:textAlignment w:val="bottom"/>
        <w:rPr>
          <w:rFonts w:hint="eastAsia" w:ascii="宋体" w:hAnsi="宋体" w:eastAsia="宋体" w:cs="宋体"/>
          <w:b/>
          <w:color w:val="auto"/>
          <w:sz w:val="24"/>
        </w:rPr>
      </w:pPr>
      <w:r>
        <w:rPr>
          <w:rFonts w:hint="eastAsia" w:ascii="宋体" w:hAnsi="宋体" w:cs="宋体"/>
          <w:b/>
          <w:color w:val="auto"/>
          <w:sz w:val="24"/>
          <w:lang w:eastAsia="zh-CN"/>
        </w:rPr>
        <w:t>六</w:t>
      </w:r>
      <w:r>
        <w:rPr>
          <w:rFonts w:hint="eastAsia" w:ascii="宋体" w:hAnsi="宋体" w:eastAsia="宋体" w:cs="宋体"/>
          <w:b/>
          <w:color w:val="auto"/>
          <w:sz w:val="24"/>
        </w:rPr>
        <w:t>、中标结果</w:t>
      </w:r>
      <w:bookmarkEnd w:id="8"/>
    </w:p>
    <w:p>
      <w:pPr>
        <w:widowControl/>
        <w:spacing w:before="120" w:beforeLines="50" w:line="360" w:lineRule="auto"/>
        <w:jc w:val="left"/>
        <w:rPr>
          <w:rFonts w:hint="eastAsia" w:ascii="宋体" w:hAnsi="宋体" w:eastAsia="宋体" w:cs="宋体"/>
          <w:b/>
          <w:bCs/>
          <w:color w:val="auto"/>
          <w:kern w:val="0"/>
          <w:sz w:val="24"/>
        </w:rPr>
      </w:pPr>
      <w:r>
        <w:rPr>
          <w:rFonts w:hint="eastAsia" w:ascii="宋体" w:hAnsi="宋体" w:cs="宋体"/>
          <w:b/>
          <w:bCs/>
          <w:color w:val="auto"/>
          <w:kern w:val="0"/>
          <w:sz w:val="24"/>
          <w:lang w:val="en-US" w:eastAsia="zh-CN"/>
        </w:rPr>
        <w:t>12</w:t>
      </w:r>
      <w:r>
        <w:rPr>
          <w:rFonts w:hint="eastAsia" w:ascii="宋体" w:hAnsi="宋体" w:eastAsia="宋体" w:cs="宋体"/>
          <w:b/>
          <w:bCs/>
          <w:color w:val="auto"/>
          <w:kern w:val="0"/>
          <w:sz w:val="24"/>
        </w:rPr>
        <w:t>、中标原则</w:t>
      </w:r>
    </w:p>
    <w:p>
      <w:pPr>
        <w:widowControl/>
        <w:autoSpaceDE w:val="0"/>
        <w:autoSpaceDN w:val="0"/>
        <w:spacing w:line="360" w:lineRule="auto"/>
        <w:ind w:right="53" w:firstLine="480" w:firstLineChars="200"/>
        <w:textAlignment w:val="bottom"/>
        <w:rPr>
          <w:rFonts w:hint="eastAsia" w:ascii="宋体" w:hAnsi="宋体" w:eastAsia="宋体" w:cs="宋体"/>
          <w:color w:val="auto"/>
          <w:sz w:val="24"/>
        </w:rPr>
      </w:pPr>
      <w:r>
        <w:rPr>
          <w:rFonts w:hint="eastAsia" w:ascii="宋体" w:hAnsi="宋体" w:cs="宋体"/>
          <w:color w:val="auto"/>
          <w:sz w:val="24"/>
          <w:lang w:val="en-US" w:eastAsia="zh-CN"/>
        </w:rPr>
        <w:t>12</w:t>
      </w:r>
      <w:r>
        <w:rPr>
          <w:rFonts w:hint="eastAsia" w:ascii="宋体" w:hAnsi="宋体" w:eastAsia="宋体" w:cs="宋体"/>
          <w:color w:val="auto"/>
          <w:sz w:val="24"/>
        </w:rPr>
        <w:t>.1、采购人从评审报告</w:t>
      </w:r>
      <w:r>
        <w:rPr>
          <w:rFonts w:hint="eastAsia" w:ascii="宋体" w:hAnsi="宋体" w:eastAsia="宋体" w:cs="宋体"/>
          <w:color w:val="auto"/>
          <w:lang w:eastAsia="zh-CN"/>
        </w:rPr>
        <w:t>（磋商会议纪要）</w:t>
      </w:r>
      <w:r>
        <w:rPr>
          <w:rFonts w:hint="eastAsia" w:ascii="宋体" w:hAnsi="宋体" w:eastAsia="宋体" w:cs="宋体"/>
          <w:color w:val="auto"/>
          <w:sz w:val="24"/>
        </w:rPr>
        <w:t>中推荐的</w:t>
      </w:r>
      <w:r>
        <w:rPr>
          <w:rFonts w:hint="eastAsia" w:ascii="宋体" w:hAnsi="宋体" w:eastAsia="宋体" w:cs="宋体"/>
          <w:color w:val="auto"/>
          <w:sz w:val="24"/>
          <w:lang w:eastAsia="zh-CN"/>
        </w:rPr>
        <w:t>成交</w:t>
      </w:r>
      <w:r>
        <w:rPr>
          <w:rFonts w:hint="eastAsia" w:ascii="宋体" w:hAnsi="宋体" w:eastAsia="宋体" w:cs="宋体"/>
          <w:color w:val="auto"/>
          <w:sz w:val="24"/>
        </w:rPr>
        <w:t>候选供应商中，按照排序由高到低的原则确定成交供应商。</w:t>
      </w:r>
    </w:p>
    <w:p>
      <w:pPr>
        <w:widowControl/>
        <w:autoSpaceDE w:val="0"/>
        <w:autoSpaceDN w:val="0"/>
        <w:spacing w:line="360" w:lineRule="auto"/>
        <w:ind w:right="53" w:firstLine="480" w:firstLineChars="200"/>
        <w:textAlignment w:val="bottom"/>
        <w:rPr>
          <w:rFonts w:hint="eastAsia" w:ascii="宋体" w:hAnsi="宋体" w:eastAsia="宋体" w:cs="宋体"/>
          <w:color w:val="auto"/>
          <w:sz w:val="24"/>
        </w:rPr>
      </w:pPr>
      <w:r>
        <w:rPr>
          <w:rFonts w:hint="eastAsia" w:ascii="宋体" w:hAnsi="宋体" w:cs="宋体"/>
          <w:color w:val="auto"/>
          <w:sz w:val="24"/>
          <w:lang w:val="en-US" w:eastAsia="zh-CN"/>
        </w:rPr>
        <w:t>12</w:t>
      </w:r>
      <w:r>
        <w:rPr>
          <w:rFonts w:hint="eastAsia" w:ascii="宋体" w:hAnsi="宋体" w:eastAsia="宋体" w:cs="宋体"/>
          <w:color w:val="auto"/>
          <w:sz w:val="24"/>
        </w:rPr>
        <w:t>.2、评标结果按评审后得分由高到低顺序排列。得分相同的，按最后</w:t>
      </w:r>
      <w:r>
        <w:rPr>
          <w:rFonts w:hint="eastAsia" w:ascii="宋体" w:hAnsi="宋体" w:eastAsia="宋体" w:cs="宋体"/>
          <w:color w:val="auto"/>
          <w:sz w:val="24"/>
          <w:lang w:eastAsia="zh-CN"/>
        </w:rPr>
        <w:t>磋商</w:t>
      </w:r>
      <w:r>
        <w:rPr>
          <w:rFonts w:hint="eastAsia" w:ascii="宋体" w:hAnsi="宋体" w:eastAsia="宋体" w:cs="宋体"/>
          <w:color w:val="auto"/>
          <w:sz w:val="24"/>
        </w:rPr>
        <w:t>报价由低到高顺序排列，得分且最后</w:t>
      </w:r>
      <w:r>
        <w:rPr>
          <w:rFonts w:hint="eastAsia" w:ascii="宋体" w:hAnsi="宋体" w:eastAsia="宋体" w:cs="宋体"/>
          <w:color w:val="auto"/>
          <w:sz w:val="24"/>
          <w:lang w:eastAsia="zh-CN"/>
        </w:rPr>
        <w:t>磋商</w:t>
      </w:r>
      <w:r>
        <w:rPr>
          <w:rFonts w:hint="eastAsia" w:ascii="宋体" w:hAnsi="宋体" w:eastAsia="宋体" w:cs="宋体"/>
          <w:color w:val="auto"/>
          <w:sz w:val="24"/>
        </w:rPr>
        <w:t>报价相同的，按照技术指标优劣顺序推荐第一</w:t>
      </w:r>
      <w:r>
        <w:rPr>
          <w:rFonts w:hint="eastAsia" w:ascii="宋体" w:hAnsi="宋体" w:eastAsia="宋体" w:cs="宋体"/>
          <w:color w:val="auto"/>
          <w:sz w:val="24"/>
          <w:lang w:eastAsia="zh-CN"/>
        </w:rPr>
        <w:t>成交</w:t>
      </w:r>
      <w:r>
        <w:rPr>
          <w:rFonts w:hint="eastAsia" w:ascii="宋体" w:hAnsi="宋体" w:eastAsia="宋体" w:cs="宋体"/>
          <w:color w:val="auto"/>
          <w:sz w:val="24"/>
        </w:rPr>
        <w:t>候选人。</w:t>
      </w:r>
    </w:p>
    <w:p>
      <w:pPr>
        <w:widowControl/>
        <w:spacing w:before="120" w:beforeLines="50" w:after="120" w:afterLines="50" w:line="360" w:lineRule="auto"/>
        <w:jc w:val="left"/>
        <w:rPr>
          <w:rFonts w:hint="eastAsia" w:ascii="宋体" w:hAnsi="宋体" w:eastAsia="宋体" w:cs="宋体"/>
          <w:b/>
          <w:color w:val="auto"/>
          <w:sz w:val="24"/>
        </w:rPr>
      </w:pPr>
      <w:r>
        <w:rPr>
          <w:rFonts w:hint="eastAsia" w:ascii="宋体" w:hAnsi="宋体" w:cs="宋体"/>
          <w:b/>
          <w:color w:val="auto"/>
          <w:sz w:val="24"/>
          <w:lang w:val="en-US" w:eastAsia="zh-CN"/>
        </w:rPr>
        <w:t>13</w:t>
      </w:r>
      <w:r>
        <w:rPr>
          <w:rFonts w:hint="eastAsia" w:ascii="宋体" w:hAnsi="宋体" w:eastAsia="宋体" w:cs="宋体"/>
          <w:b/>
          <w:color w:val="auto"/>
          <w:sz w:val="24"/>
        </w:rPr>
        <w:t>、确定</w:t>
      </w:r>
      <w:r>
        <w:rPr>
          <w:rFonts w:hint="eastAsia" w:ascii="宋体" w:hAnsi="宋体" w:eastAsia="宋体" w:cs="宋体"/>
          <w:b/>
          <w:color w:val="auto"/>
          <w:sz w:val="24"/>
          <w:lang w:eastAsia="zh-CN"/>
        </w:rPr>
        <w:t>成交</w:t>
      </w:r>
      <w:r>
        <w:rPr>
          <w:rFonts w:hint="eastAsia" w:ascii="宋体" w:hAnsi="宋体" w:eastAsia="宋体" w:cs="宋体"/>
          <w:b/>
          <w:color w:val="auto"/>
          <w:sz w:val="24"/>
        </w:rPr>
        <w:t>候选人</w:t>
      </w:r>
    </w:p>
    <w:p>
      <w:pPr>
        <w:widowControl/>
        <w:autoSpaceDE w:val="0"/>
        <w:autoSpaceDN w:val="0"/>
        <w:spacing w:line="360" w:lineRule="auto"/>
        <w:ind w:right="53" w:firstLine="480" w:firstLineChars="200"/>
        <w:textAlignment w:val="bottom"/>
        <w:rPr>
          <w:rFonts w:hint="eastAsia" w:ascii="宋体" w:hAnsi="宋体" w:eastAsia="宋体" w:cs="宋体"/>
          <w:color w:val="auto"/>
          <w:sz w:val="24"/>
        </w:rPr>
      </w:pPr>
      <w:r>
        <w:rPr>
          <w:rFonts w:hint="eastAsia" w:ascii="宋体" w:hAnsi="宋体" w:cs="宋体"/>
          <w:color w:val="auto"/>
          <w:sz w:val="24"/>
          <w:lang w:val="en-US" w:eastAsia="zh-CN"/>
        </w:rPr>
        <w:t>13</w:t>
      </w:r>
      <w:r>
        <w:rPr>
          <w:rFonts w:hint="eastAsia" w:ascii="宋体" w:hAnsi="宋体" w:eastAsia="宋体" w:cs="宋体"/>
          <w:color w:val="auto"/>
          <w:sz w:val="24"/>
        </w:rPr>
        <w:t>.1、采购代理机构应当在评标结束后2个工作日内将评标报告</w:t>
      </w:r>
      <w:r>
        <w:rPr>
          <w:rFonts w:hint="eastAsia" w:ascii="宋体" w:hAnsi="宋体" w:eastAsia="宋体" w:cs="宋体"/>
          <w:color w:val="auto"/>
          <w:sz w:val="24"/>
          <w:lang w:eastAsia="zh-CN"/>
        </w:rPr>
        <w:t>（磋商会议纪要）</w:t>
      </w:r>
      <w:r>
        <w:rPr>
          <w:rFonts w:hint="eastAsia" w:ascii="宋体" w:hAnsi="宋体" w:eastAsia="宋体" w:cs="宋体"/>
          <w:color w:val="auto"/>
          <w:sz w:val="24"/>
        </w:rPr>
        <w:t>送采购人。采购人应当自收到评标报告</w:t>
      </w:r>
      <w:r>
        <w:rPr>
          <w:rFonts w:hint="eastAsia" w:ascii="宋体" w:hAnsi="宋体" w:eastAsia="宋体" w:cs="宋体"/>
          <w:color w:val="auto"/>
          <w:sz w:val="24"/>
          <w:lang w:eastAsia="zh-CN"/>
        </w:rPr>
        <w:t>（磋商会议纪要）</w:t>
      </w:r>
      <w:r>
        <w:rPr>
          <w:rFonts w:hint="eastAsia" w:ascii="宋体" w:hAnsi="宋体" w:eastAsia="宋体" w:cs="宋体"/>
          <w:color w:val="auto"/>
          <w:sz w:val="24"/>
        </w:rPr>
        <w:t>之日起5个工作日内，在评标报告</w:t>
      </w:r>
      <w:r>
        <w:rPr>
          <w:rFonts w:hint="eastAsia" w:ascii="宋体" w:hAnsi="宋体" w:eastAsia="宋体" w:cs="宋体"/>
          <w:color w:val="auto"/>
          <w:sz w:val="24"/>
          <w:lang w:eastAsia="zh-CN"/>
        </w:rPr>
        <w:t>（磋商会议纪要）</w:t>
      </w:r>
      <w:r>
        <w:rPr>
          <w:rFonts w:hint="eastAsia" w:ascii="宋体" w:hAnsi="宋体" w:eastAsia="宋体" w:cs="宋体"/>
          <w:color w:val="auto"/>
          <w:sz w:val="24"/>
        </w:rPr>
        <w:t>确定的成交候选人名单中按顺序确定成交人。成交候选人并列的，由采购人或者采购人委托评标委员会按照</w:t>
      </w:r>
      <w:r>
        <w:rPr>
          <w:rFonts w:hint="eastAsia" w:ascii="宋体" w:hAnsi="宋体" w:eastAsia="宋体" w:cs="宋体"/>
          <w:color w:val="auto"/>
          <w:sz w:val="24"/>
          <w:lang w:eastAsia="zh-CN"/>
        </w:rPr>
        <w:t>竞争性磋商</w:t>
      </w:r>
      <w:r>
        <w:rPr>
          <w:rFonts w:hint="eastAsia" w:ascii="宋体" w:hAnsi="宋体" w:eastAsia="宋体" w:cs="宋体"/>
          <w:color w:val="auto"/>
          <w:sz w:val="24"/>
        </w:rPr>
        <w:t>文件规定的方式确定成交人。采购人在收到评标报告</w:t>
      </w:r>
      <w:r>
        <w:rPr>
          <w:rFonts w:hint="eastAsia" w:ascii="宋体" w:hAnsi="宋体" w:eastAsia="宋体" w:cs="宋体"/>
          <w:color w:val="auto"/>
          <w:sz w:val="24"/>
          <w:lang w:eastAsia="zh-CN"/>
        </w:rPr>
        <w:t>（磋商会议纪要）</w:t>
      </w:r>
      <w:r>
        <w:rPr>
          <w:rFonts w:hint="eastAsia" w:ascii="宋体" w:hAnsi="宋体" w:eastAsia="宋体" w:cs="宋体"/>
          <w:color w:val="auto"/>
          <w:sz w:val="24"/>
        </w:rPr>
        <w:t>5个工作日内未按评标报告</w:t>
      </w:r>
      <w:r>
        <w:rPr>
          <w:rFonts w:hint="eastAsia" w:ascii="宋体" w:hAnsi="宋体" w:eastAsia="宋体" w:cs="宋体"/>
          <w:color w:val="auto"/>
          <w:sz w:val="24"/>
          <w:lang w:eastAsia="zh-CN"/>
        </w:rPr>
        <w:t>（磋商会议纪要）</w:t>
      </w:r>
      <w:r>
        <w:rPr>
          <w:rFonts w:hint="eastAsia" w:ascii="宋体" w:hAnsi="宋体" w:eastAsia="宋体" w:cs="宋体"/>
          <w:color w:val="auto"/>
          <w:sz w:val="24"/>
        </w:rPr>
        <w:t>推荐的成交候选人顺序确定中标人，又不能说明合法理由的，视同按评标报告</w:t>
      </w:r>
      <w:r>
        <w:rPr>
          <w:rFonts w:hint="eastAsia" w:ascii="宋体" w:hAnsi="宋体" w:eastAsia="宋体" w:cs="宋体"/>
          <w:color w:val="auto"/>
          <w:sz w:val="24"/>
          <w:lang w:eastAsia="zh-CN"/>
        </w:rPr>
        <w:t>（磋商会议纪要）</w:t>
      </w:r>
      <w:r>
        <w:rPr>
          <w:rFonts w:hint="eastAsia" w:ascii="宋体" w:hAnsi="宋体" w:eastAsia="宋体" w:cs="宋体"/>
          <w:color w:val="auto"/>
          <w:sz w:val="24"/>
        </w:rPr>
        <w:t>推荐的顺序确定排名第一的成交候选人为成交人。</w:t>
      </w:r>
    </w:p>
    <w:p>
      <w:pPr>
        <w:widowControl/>
        <w:autoSpaceDE w:val="0"/>
        <w:autoSpaceDN w:val="0"/>
        <w:spacing w:line="360" w:lineRule="auto"/>
        <w:ind w:right="53" w:firstLine="480" w:firstLineChars="200"/>
        <w:textAlignment w:val="bottom"/>
        <w:rPr>
          <w:rFonts w:hint="eastAsia" w:ascii="宋体" w:hAnsi="宋体" w:eastAsia="宋体" w:cs="宋体"/>
          <w:color w:val="auto"/>
          <w:sz w:val="24"/>
        </w:rPr>
      </w:pPr>
      <w:r>
        <w:rPr>
          <w:rFonts w:hint="eastAsia" w:ascii="宋体" w:hAnsi="宋体" w:cs="宋体"/>
          <w:color w:val="auto"/>
          <w:sz w:val="24"/>
          <w:lang w:val="en-US" w:eastAsia="zh-CN"/>
        </w:rPr>
        <w:t>13</w:t>
      </w:r>
      <w:r>
        <w:rPr>
          <w:rFonts w:hint="eastAsia" w:ascii="宋体" w:hAnsi="宋体" w:eastAsia="宋体" w:cs="宋体"/>
          <w:color w:val="auto"/>
          <w:sz w:val="24"/>
        </w:rPr>
        <w:t>.2、采购人或者采购代理机构应当自成交人确定之日起2个工作日内，在省级以上财政部门指定的媒体《陕西省政府采购网》发布成交结果，磋商文件应当随成交结果同时公告。成交结果公告的内容应当包括采购人及其委托的采购代理机构的名称、地址、联系方式，项目名称和项目编号，成交人名称、地址和成交金额，主要成交标的的名称、规格型号、数量、单价、服务要求，成交公告期限以及评审专家名单。成交公告期限为1个工作日。</w:t>
      </w:r>
    </w:p>
    <w:p>
      <w:pPr>
        <w:pStyle w:val="26"/>
        <w:spacing w:before="0" w:beforeAutospacing="0" w:after="0" w:afterAutospacing="0" w:line="360" w:lineRule="auto"/>
        <w:ind w:firstLine="480" w:firstLineChars="200"/>
        <w:rPr>
          <w:rFonts w:hint="eastAsia" w:ascii="宋体" w:hAnsi="宋体" w:eastAsia="宋体" w:cs="宋体"/>
          <w:color w:val="auto"/>
        </w:rPr>
      </w:pPr>
      <w:r>
        <w:rPr>
          <w:rFonts w:hint="eastAsia" w:cs="宋体"/>
          <w:color w:val="auto"/>
          <w:lang w:val="en-US" w:eastAsia="zh-CN"/>
        </w:rPr>
        <w:t>13</w:t>
      </w:r>
      <w:r>
        <w:rPr>
          <w:rFonts w:hint="eastAsia" w:ascii="宋体" w:hAnsi="宋体" w:eastAsia="宋体" w:cs="宋体"/>
          <w:color w:val="auto"/>
        </w:rPr>
        <w:t>.3、在公布成交结果的同时，采购人或者采购代理机构应当向成交人发出成交通知书。</w:t>
      </w:r>
    </w:p>
    <w:p>
      <w:pPr>
        <w:pStyle w:val="26"/>
        <w:spacing w:before="0" w:beforeAutospacing="0" w:after="0" w:afterAutospacing="0" w:line="360" w:lineRule="auto"/>
        <w:ind w:firstLine="480" w:firstLineChars="200"/>
        <w:rPr>
          <w:rFonts w:hint="eastAsia" w:ascii="宋体" w:hAnsi="宋体" w:eastAsia="宋体" w:cs="宋体"/>
          <w:color w:val="auto"/>
        </w:rPr>
      </w:pPr>
      <w:r>
        <w:rPr>
          <w:rFonts w:hint="eastAsia" w:cs="宋体"/>
          <w:color w:val="auto"/>
          <w:lang w:val="en-US" w:eastAsia="zh-CN"/>
        </w:rPr>
        <w:t>13</w:t>
      </w:r>
      <w:r>
        <w:rPr>
          <w:rFonts w:hint="eastAsia" w:ascii="宋体" w:hAnsi="宋体" w:eastAsia="宋体" w:cs="宋体"/>
          <w:color w:val="auto"/>
        </w:rPr>
        <w:t>.4、采购代理机构将评审过程与采购人情况书面报送有关监督机构备案。</w:t>
      </w:r>
    </w:p>
    <w:p>
      <w:pPr>
        <w:spacing w:before="120" w:beforeLines="50" w:after="120" w:afterLines="50" w:line="360" w:lineRule="auto"/>
        <w:rPr>
          <w:rFonts w:hint="eastAsia" w:ascii="宋体" w:hAnsi="宋体" w:eastAsia="宋体" w:cs="宋体"/>
          <w:b/>
          <w:color w:val="auto"/>
          <w:sz w:val="24"/>
        </w:rPr>
      </w:pPr>
      <w:bookmarkStart w:id="9" w:name="_Toc183682375"/>
      <w:bookmarkStart w:id="10" w:name="_Toc217446063"/>
      <w:bookmarkStart w:id="11" w:name="_Toc183582238"/>
      <w:r>
        <w:rPr>
          <w:rFonts w:hint="eastAsia" w:ascii="宋体" w:hAnsi="宋体" w:cs="宋体"/>
          <w:b/>
          <w:bCs/>
          <w:color w:val="auto"/>
          <w:sz w:val="24"/>
          <w:lang w:val="en-US" w:eastAsia="zh-CN"/>
        </w:rPr>
        <w:t>14</w:t>
      </w:r>
      <w:r>
        <w:rPr>
          <w:rFonts w:hint="eastAsia" w:ascii="宋体" w:hAnsi="宋体" w:eastAsia="宋体" w:cs="宋体"/>
          <w:b/>
          <w:bCs/>
          <w:color w:val="auto"/>
          <w:sz w:val="24"/>
        </w:rPr>
        <w:t>、</w:t>
      </w:r>
      <w:bookmarkEnd w:id="9"/>
      <w:bookmarkEnd w:id="10"/>
      <w:bookmarkEnd w:id="11"/>
      <w:r>
        <w:rPr>
          <w:rFonts w:hint="eastAsia" w:ascii="宋体" w:hAnsi="宋体" w:eastAsia="宋体" w:cs="宋体"/>
          <w:b/>
          <w:bCs/>
          <w:color w:val="auto"/>
          <w:sz w:val="24"/>
        </w:rPr>
        <w:t>成交通知书</w:t>
      </w:r>
    </w:p>
    <w:p>
      <w:pPr>
        <w:pStyle w:val="26"/>
        <w:spacing w:before="0" w:beforeAutospacing="0" w:after="0" w:afterAutospacing="0" w:line="360" w:lineRule="auto"/>
        <w:ind w:firstLine="480" w:firstLineChars="200"/>
        <w:rPr>
          <w:rFonts w:hint="eastAsia" w:ascii="宋体" w:hAnsi="宋体" w:eastAsia="宋体" w:cs="宋体"/>
          <w:color w:val="auto"/>
        </w:rPr>
      </w:pPr>
      <w:r>
        <w:rPr>
          <w:rFonts w:hint="eastAsia" w:cs="宋体"/>
          <w:color w:val="auto"/>
          <w:lang w:val="en-US" w:eastAsia="zh-CN"/>
        </w:rPr>
        <w:t>14</w:t>
      </w:r>
      <w:r>
        <w:rPr>
          <w:rFonts w:hint="eastAsia" w:ascii="宋体" w:hAnsi="宋体" w:eastAsia="宋体" w:cs="宋体"/>
          <w:color w:val="auto"/>
        </w:rPr>
        <w:t>.1、成交通知书是合同文件的组成部分，对采购人和成交供应商具有同等法律效力。成交通知书发出后，采购人改变中标结果或者成交供应商放弃成交，应按相关法律、规章、规范性文件的要求承担相应的法律责任。</w:t>
      </w:r>
    </w:p>
    <w:p>
      <w:pPr>
        <w:pStyle w:val="26"/>
        <w:spacing w:before="0" w:beforeAutospacing="0" w:after="0" w:afterAutospacing="0" w:line="360" w:lineRule="auto"/>
        <w:ind w:firstLine="480" w:firstLineChars="200"/>
        <w:rPr>
          <w:rFonts w:hint="eastAsia" w:ascii="宋体" w:hAnsi="宋体" w:eastAsia="宋体" w:cs="宋体"/>
          <w:color w:val="auto"/>
        </w:rPr>
      </w:pPr>
      <w:r>
        <w:rPr>
          <w:rFonts w:hint="eastAsia" w:cs="宋体"/>
          <w:color w:val="auto"/>
          <w:lang w:val="en-US" w:eastAsia="zh-CN"/>
        </w:rPr>
        <w:t>14</w:t>
      </w:r>
      <w:r>
        <w:rPr>
          <w:rFonts w:hint="eastAsia" w:ascii="宋体" w:hAnsi="宋体" w:eastAsia="宋体" w:cs="宋体"/>
          <w:color w:val="auto"/>
        </w:rPr>
        <w:t>.2、成交供应商应当在接到采购代理机构通知之日起5个工作日内，领取《成交通知书》。</w:t>
      </w:r>
    </w:p>
    <w:p>
      <w:pPr>
        <w:pStyle w:val="26"/>
        <w:spacing w:before="0" w:beforeAutospacing="0" w:after="0" w:afterAutospacing="0" w:line="360" w:lineRule="auto"/>
        <w:ind w:firstLine="480" w:firstLineChars="200"/>
        <w:rPr>
          <w:rFonts w:hint="eastAsia" w:ascii="宋体" w:hAnsi="宋体" w:eastAsia="宋体" w:cs="宋体"/>
          <w:color w:val="auto"/>
        </w:rPr>
      </w:pPr>
      <w:r>
        <w:rPr>
          <w:rFonts w:hint="eastAsia" w:cs="宋体"/>
          <w:color w:val="auto"/>
          <w:lang w:val="en-US" w:eastAsia="zh-CN"/>
        </w:rPr>
        <w:t>14</w:t>
      </w:r>
      <w:r>
        <w:rPr>
          <w:rFonts w:hint="eastAsia" w:ascii="宋体" w:hAnsi="宋体" w:eastAsia="宋体" w:cs="宋体"/>
          <w:color w:val="auto"/>
        </w:rPr>
        <w:t>.3在《成交通知书》发出后，发现成交供应商有政府采购法律法规规章制度规定的成交无效情形的，采购代理机构在取得有权主体认定后，应当宣布发出的成交通知书无效，并收回发出的成交通知书（成交供应商也应当缴回），依法重新确定成交供应商或者重新开展采购活动。</w:t>
      </w:r>
    </w:p>
    <w:p>
      <w:pPr>
        <w:pStyle w:val="26"/>
        <w:spacing w:before="0" w:beforeAutospacing="0" w:after="0" w:afterAutospacing="0" w:line="360" w:lineRule="auto"/>
        <w:ind w:firstLine="480" w:firstLineChars="200"/>
        <w:rPr>
          <w:rFonts w:hint="eastAsia" w:ascii="宋体" w:hAnsi="宋体" w:eastAsia="宋体" w:cs="宋体"/>
          <w:color w:val="auto"/>
        </w:rPr>
      </w:pPr>
      <w:r>
        <w:rPr>
          <w:rFonts w:hint="eastAsia" w:cs="宋体"/>
          <w:color w:val="auto"/>
          <w:lang w:val="en-US" w:eastAsia="zh-CN"/>
        </w:rPr>
        <w:t>14</w:t>
      </w:r>
      <w:r>
        <w:rPr>
          <w:rFonts w:hint="eastAsia" w:ascii="宋体" w:hAnsi="宋体" w:eastAsia="宋体" w:cs="宋体"/>
          <w:color w:val="auto"/>
        </w:rPr>
        <w:t>.4、成交供应商应在领成交通知书后的5日内，按照供应商须知前附表规定的形式和金额，向采购人提交履约保证金或履约担保。</w:t>
      </w:r>
    </w:p>
    <w:p>
      <w:pPr>
        <w:pStyle w:val="4"/>
        <w:numPr>
          <w:ilvl w:val="0"/>
          <w:numId w:val="0"/>
        </w:numPr>
        <w:ind w:left="2940" w:leftChars="0"/>
        <w:jc w:val="both"/>
        <w:rPr>
          <w:rFonts w:hint="eastAsia" w:ascii="宋体" w:hAnsi="宋体" w:eastAsia="宋体" w:cs="宋体"/>
          <w:b/>
          <w:color w:val="auto"/>
          <w:spacing w:val="-20"/>
          <w:sz w:val="32"/>
          <w:szCs w:val="24"/>
        </w:rPr>
      </w:pPr>
      <w:r>
        <w:rPr>
          <w:rFonts w:hint="eastAsia" w:ascii="宋体" w:hAnsi="宋体" w:eastAsia="宋体" w:cs="宋体"/>
          <w:b/>
          <w:color w:val="auto"/>
          <w:sz w:val="24"/>
          <w:szCs w:val="24"/>
        </w:rPr>
        <w:br w:type="page"/>
      </w:r>
      <w:bookmarkStart w:id="12" w:name="_Toc78884380"/>
      <w:r>
        <w:rPr>
          <w:rFonts w:hint="eastAsia" w:ascii="宋体" w:hAnsi="宋体" w:eastAsia="宋体" w:cs="宋体"/>
          <w:b/>
          <w:color w:val="auto"/>
          <w:spacing w:val="-20"/>
          <w:sz w:val="32"/>
          <w:szCs w:val="24"/>
          <w:lang w:eastAsia="zh-CN"/>
        </w:rPr>
        <w:t>第四章</w:t>
      </w:r>
      <w:r>
        <w:rPr>
          <w:rFonts w:hint="eastAsia" w:ascii="宋体" w:hAnsi="宋体" w:eastAsia="宋体" w:cs="宋体"/>
          <w:b/>
          <w:color w:val="auto"/>
          <w:spacing w:val="-20"/>
          <w:sz w:val="32"/>
          <w:szCs w:val="24"/>
          <w:lang w:val="en-US" w:eastAsia="zh-CN"/>
        </w:rPr>
        <w:t xml:space="preserve">   </w:t>
      </w:r>
      <w:r>
        <w:rPr>
          <w:rFonts w:hint="eastAsia" w:ascii="宋体" w:hAnsi="宋体" w:eastAsia="宋体" w:cs="宋体"/>
          <w:b/>
          <w:color w:val="auto"/>
          <w:spacing w:val="-20"/>
          <w:sz w:val="32"/>
          <w:szCs w:val="24"/>
        </w:rPr>
        <w:t>采购内容及</w:t>
      </w:r>
      <w:r>
        <w:rPr>
          <w:rFonts w:hint="eastAsia" w:ascii="宋体" w:hAnsi="宋体" w:eastAsia="宋体" w:cs="宋体"/>
          <w:b/>
          <w:color w:val="auto"/>
          <w:spacing w:val="-20"/>
          <w:sz w:val="32"/>
          <w:szCs w:val="24"/>
          <w:lang w:eastAsia="zh-CN"/>
        </w:rPr>
        <w:t>商务</w:t>
      </w:r>
      <w:r>
        <w:rPr>
          <w:rFonts w:hint="eastAsia" w:ascii="宋体" w:hAnsi="宋体" w:eastAsia="宋体" w:cs="宋体"/>
          <w:b/>
          <w:color w:val="auto"/>
          <w:spacing w:val="-20"/>
          <w:sz w:val="32"/>
          <w:szCs w:val="24"/>
        </w:rPr>
        <w:t>要求</w:t>
      </w:r>
      <w:bookmarkEnd w:id="12"/>
    </w:p>
    <w:p>
      <w:pPr>
        <w:pStyle w:val="3"/>
        <w:snapToGrid w:val="0"/>
        <w:spacing w:line="360" w:lineRule="auto"/>
        <w:ind w:firstLine="560" w:firstLineChars="200"/>
        <w:rPr>
          <w:rFonts w:hint="eastAsia" w:ascii="宋体" w:hAnsi="宋体" w:eastAsia="宋体" w:cs="宋体"/>
          <w:color w:val="auto"/>
          <w:sz w:val="28"/>
          <w:szCs w:val="28"/>
        </w:rPr>
      </w:pPr>
      <w:bookmarkStart w:id="13" w:name="_Toc234293073"/>
      <w:bookmarkStart w:id="14" w:name="_Toc321678705"/>
      <w:bookmarkStart w:id="15" w:name="_Toc236109235"/>
      <w:bookmarkStart w:id="16" w:name="_Toc278642593"/>
      <w:bookmarkStart w:id="17" w:name="_Toc278642591"/>
    </w:p>
    <w:p>
      <w:pPr>
        <w:pStyle w:val="26"/>
        <w:spacing w:before="0" w:beforeAutospacing="0" w:after="0" w:afterAutospacing="0" w:line="480" w:lineRule="auto"/>
        <w:jc w:val="center"/>
        <w:rPr>
          <w:rFonts w:hint="eastAsia" w:ascii="宋体" w:hAnsi="宋体" w:eastAsia="宋体" w:cs="宋体"/>
          <w:b/>
          <w:color w:val="auto"/>
          <w:w w:val="80"/>
          <w:sz w:val="32"/>
          <w:szCs w:val="32"/>
        </w:rPr>
      </w:pPr>
      <w:r>
        <w:rPr>
          <w:rFonts w:hint="eastAsia" w:cs="宋体"/>
          <w:b/>
          <w:color w:val="auto"/>
          <w:w w:val="80"/>
          <w:sz w:val="32"/>
          <w:szCs w:val="32"/>
          <w:lang w:val="en-US" w:eastAsia="zh-CN"/>
        </w:rPr>
        <w:t>汉中市南郑区“四改一拆一通一落地”-汉山街道办高庄村背街小巷硬化工程</w:t>
      </w:r>
    </w:p>
    <w:p>
      <w:pPr>
        <w:pStyle w:val="26"/>
        <w:spacing w:before="0" w:beforeAutospacing="0" w:after="0" w:afterAutospacing="0" w:line="480" w:lineRule="auto"/>
        <w:rPr>
          <w:rFonts w:hint="eastAsia" w:ascii="宋体" w:hAnsi="宋体" w:eastAsia="宋体" w:cs="宋体"/>
          <w:b/>
          <w:color w:val="auto"/>
        </w:rPr>
      </w:pPr>
      <w:r>
        <w:rPr>
          <w:rFonts w:hint="eastAsia" w:ascii="宋体" w:hAnsi="宋体" w:eastAsia="宋体" w:cs="宋体"/>
          <w:b/>
          <w:color w:val="auto"/>
        </w:rPr>
        <w:t>一、工程概述</w:t>
      </w:r>
    </w:p>
    <w:p>
      <w:pPr>
        <w:pStyle w:val="26"/>
        <w:spacing w:before="0" w:beforeAutospacing="0" w:after="0" w:afterAutospacing="0" w:line="480" w:lineRule="auto"/>
        <w:ind w:firstLine="480" w:firstLineChars="200"/>
        <w:rPr>
          <w:rFonts w:hint="eastAsia" w:ascii="宋体" w:hAnsi="宋体" w:eastAsia="宋体" w:cs="宋体"/>
          <w:color w:val="auto"/>
        </w:rPr>
      </w:pPr>
      <w:r>
        <w:rPr>
          <w:rFonts w:hint="eastAsia" w:ascii="宋体" w:hAnsi="宋体" w:eastAsia="宋体" w:cs="宋体"/>
          <w:color w:val="auto"/>
        </w:rPr>
        <w:t>（一）项目概况：</w:t>
      </w:r>
    </w:p>
    <w:p>
      <w:pPr>
        <w:pStyle w:val="26"/>
        <w:spacing w:before="0" w:beforeAutospacing="0" w:after="0" w:afterAutospacing="0" w:line="480" w:lineRule="auto"/>
        <w:ind w:firstLine="480" w:firstLineChars="200"/>
        <w:rPr>
          <w:rFonts w:hint="eastAsia" w:ascii="宋体" w:hAnsi="宋体" w:eastAsia="宋体" w:cs="宋体"/>
          <w:color w:val="auto"/>
        </w:rPr>
      </w:pPr>
      <w:r>
        <w:rPr>
          <w:rFonts w:hint="eastAsia" w:ascii="宋体" w:hAnsi="宋体" w:eastAsia="宋体" w:cs="宋体"/>
          <w:color w:val="auto"/>
        </w:rPr>
        <w:t>工程内容为：</w:t>
      </w:r>
      <w:r>
        <w:rPr>
          <w:rFonts w:hint="eastAsia" w:ascii="宋体" w:hAnsi="宋体" w:eastAsia="宋体" w:cs="宋体"/>
          <w:color w:val="auto"/>
          <w:lang w:eastAsia="zh-CN"/>
        </w:rPr>
        <w:t>南郑大道非机动车道铺沥青混凝土路面，村内道路加铺沥青混凝土面层及水泥混凝土地面硬化；混凝土路肩浇筑，混凝土道沿安装，成品</w:t>
      </w:r>
      <w:r>
        <w:rPr>
          <w:rFonts w:hint="eastAsia" w:ascii="宋体" w:hAnsi="宋体" w:eastAsia="宋体" w:cs="宋体"/>
          <w:color w:val="auto"/>
          <w:lang w:val="en-US" w:eastAsia="zh-CN"/>
        </w:rPr>
        <w:t>80U型渠</w:t>
      </w:r>
      <w:r>
        <w:rPr>
          <w:rFonts w:hint="eastAsia" w:ascii="宋体" w:hAnsi="宋体" w:eastAsia="宋体" w:cs="宋体"/>
          <w:color w:val="auto"/>
          <w:lang w:eastAsia="zh-CN"/>
        </w:rPr>
        <w:t>砌筑，混凝土挡墙砌筑，雨污水混凝土管道铺设，砖砌检查井砌筑，砖砌雨水口砌筑，电缆铺设及绿化工程</w:t>
      </w:r>
      <w:r>
        <w:rPr>
          <w:rFonts w:hint="eastAsia" w:ascii="宋体" w:hAnsi="宋体" w:eastAsia="宋体" w:cs="宋体"/>
          <w:color w:val="auto"/>
          <w:lang w:val="en-US" w:eastAsia="zh-CN"/>
        </w:rPr>
        <w:t>等</w:t>
      </w:r>
      <w:r>
        <w:rPr>
          <w:rFonts w:hint="eastAsia" w:ascii="宋体" w:hAnsi="宋体" w:eastAsia="宋体" w:cs="宋体"/>
          <w:color w:val="auto"/>
          <w:lang w:eastAsia="zh-CN"/>
        </w:rPr>
        <w:t>（</w:t>
      </w:r>
      <w:r>
        <w:rPr>
          <w:rFonts w:hint="eastAsia" w:ascii="宋体" w:hAnsi="宋体" w:eastAsia="宋体" w:cs="宋体"/>
          <w:color w:val="auto"/>
        </w:rPr>
        <w:t>具体</w:t>
      </w:r>
      <w:r>
        <w:rPr>
          <w:rFonts w:hint="eastAsia" w:ascii="宋体" w:hAnsi="宋体" w:eastAsia="宋体" w:cs="宋体"/>
          <w:color w:val="auto"/>
          <w:lang w:eastAsia="zh-CN"/>
        </w:rPr>
        <w:t>内容</w:t>
      </w:r>
      <w:r>
        <w:rPr>
          <w:rFonts w:hint="eastAsia" w:ascii="宋体" w:hAnsi="宋体" w:eastAsia="宋体" w:cs="宋体"/>
          <w:color w:val="auto"/>
        </w:rPr>
        <w:t>详见施工图及工程量清单</w:t>
      </w:r>
      <w:r>
        <w:rPr>
          <w:rFonts w:hint="eastAsia" w:ascii="宋体" w:hAnsi="宋体" w:eastAsia="宋体" w:cs="宋体"/>
          <w:color w:val="auto"/>
          <w:lang w:eastAsia="zh-CN"/>
        </w:rPr>
        <w:t>）</w:t>
      </w:r>
      <w:r>
        <w:rPr>
          <w:rFonts w:hint="eastAsia" w:ascii="宋体" w:hAnsi="宋体" w:eastAsia="宋体" w:cs="宋体"/>
          <w:color w:val="auto"/>
        </w:rPr>
        <w:t>。</w:t>
      </w:r>
    </w:p>
    <w:p>
      <w:pPr>
        <w:pStyle w:val="26"/>
        <w:spacing w:before="0" w:beforeAutospacing="0" w:after="0" w:afterAutospacing="0" w:line="480" w:lineRule="auto"/>
        <w:ind w:firstLine="482" w:firstLineChars="200"/>
        <w:rPr>
          <w:rFonts w:hint="default" w:ascii="宋体" w:hAnsi="宋体" w:eastAsia="宋体" w:cs="宋体"/>
          <w:b/>
          <w:bCs/>
          <w:color w:val="auto"/>
          <w:u w:val="none"/>
          <w:lang w:val="en-US" w:eastAsia="zh-CN"/>
        </w:rPr>
      </w:pPr>
      <w:r>
        <w:rPr>
          <w:rFonts w:hint="eastAsia" w:ascii="宋体" w:hAnsi="宋体" w:eastAsia="宋体" w:cs="宋体"/>
          <w:b/>
          <w:bCs/>
          <w:color w:val="auto"/>
        </w:rPr>
        <w:t>（二）计划工期：</w:t>
      </w:r>
      <w:r>
        <w:rPr>
          <w:rFonts w:hint="eastAsia" w:cs="宋体"/>
          <w:b/>
          <w:bCs/>
          <w:color w:val="auto"/>
          <w:u w:val="single"/>
          <w:lang w:val="en-US" w:eastAsia="zh-CN"/>
        </w:rPr>
        <w:t>90</w:t>
      </w:r>
      <w:r>
        <w:rPr>
          <w:rFonts w:hint="eastAsia" w:ascii="宋体" w:hAnsi="宋体" w:eastAsia="宋体" w:cs="宋体"/>
          <w:b/>
          <w:bCs/>
          <w:color w:val="auto"/>
          <w:u w:val="single"/>
        </w:rPr>
        <w:t>日历天</w:t>
      </w:r>
      <w:r>
        <w:rPr>
          <w:rFonts w:hint="eastAsia" w:ascii="宋体" w:hAnsi="宋体" w:eastAsia="宋体" w:cs="宋体"/>
          <w:b/>
          <w:bCs/>
          <w:color w:val="auto"/>
          <w:u w:val="none"/>
          <w:lang w:eastAsia="zh-CN"/>
        </w:rPr>
        <w:t>。</w:t>
      </w:r>
    </w:p>
    <w:p>
      <w:pPr>
        <w:pStyle w:val="26"/>
        <w:spacing w:before="0" w:beforeAutospacing="0" w:after="0" w:afterAutospacing="0" w:line="480" w:lineRule="auto"/>
        <w:ind w:firstLine="480" w:firstLineChars="200"/>
        <w:rPr>
          <w:rFonts w:hint="eastAsia" w:ascii="宋体" w:hAnsi="宋体" w:eastAsia="宋体" w:cs="宋体"/>
          <w:color w:val="auto"/>
          <w:lang w:eastAsia="zh-CN"/>
        </w:rPr>
      </w:pPr>
      <w:r>
        <w:rPr>
          <w:rFonts w:hint="eastAsia" w:ascii="宋体" w:hAnsi="宋体" w:eastAsia="宋体" w:cs="宋体"/>
          <w:color w:val="auto"/>
          <w:lang w:eastAsia="zh-CN"/>
        </w:rPr>
        <w:t>（三）</w:t>
      </w:r>
      <w:r>
        <w:rPr>
          <w:rFonts w:hint="eastAsia" w:ascii="宋体" w:hAnsi="宋体" w:eastAsia="宋体" w:cs="宋体"/>
          <w:color w:val="auto"/>
        </w:rPr>
        <w:t>安全目标：无不安全责任事故发生</w:t>
      </w:r>
      <w:r>
        <w:rPr>
          <w:rFonts w:hint="eastAsia" w:ascii="宋体" w:hAnsi="宋体" w:eastAsia="宋体" w:cs="宋体"/>
          <w:color w:val="auto"/>
          <w:lang w:eastAsia="zh-CN"/>
        </w:rPr>
        <w:t>。</w:t>
      </w:r>
    </w:p>
    <w:p>
      <w:pPr>
        <w:pStyle w:val="26"/>
        <w:spacing w:before="0" w:beforeAutospacing="0" w:after="0" w:afterAutospacing="0" w:line="480" w:lineRule="auto"/>
        <w:rPr>
          <w:rFonts w:hint="eastAsia" w:ascii="宋体" w:hAnsi="宋体" w:eastAsia="宋体" w:cs="宋体"/>
          <w:b/>
          <w:color w:val="auto"/>
        </w:rPr>
      </w:pPr>
      <w:r>
        <w:rPr>
          <w:rFonts w:hint="eastAsia" w:ascii="宋体" w:hAnsi="宋体" w:eastAsia="宋体" w:cs="宋体"/>
          <w:b/>
          <w:color w:val="auto"/>
        </w:rPr>
        <w:t>二、采购要求</w:t>
      </w:r>
    </w:p>
    <w:p>
      <w:pPr>
        <w:pStyle w:val="26"/>
        <w:spacing w:before="0" w:beforeAutospacing="0" w:after="0" w:afterAutospacing="0" w:line="480" w:lineRule="auto"/>
        <w:ind w:firstLine="480" w:firstLineChars="200"/>
        <w:rPr>
          <w:rFonts w:hint="eastAsia" w:ascii="宋体" w:hAnsi="宋体" w:eastAsia="宋体" w:cs="宋体"/>
          <w:color w:val="auto"/>
        </w:rPr>
      </w:pPr>
      <w:r>
        <w:rPr>
          <w:rFonts w:hint="eastAsia" w:ascii="宋体" w:hAnsi="宋体" w:eastAsia="宋体" w:cs="宋体"/>
          <w:color w:val="auto"/>
        </w:rPr>
        <w:t>质量要求：交工验收的质量评定：</w:t>
      </w:r>
      <w:r>
        <w:rPr>
          <w:rFonts w:hint="eastAsia" w:ascii="宋体" w:hAnsi="宋体" w:eastAsia="宋体" w:cs="宋体"/>
          <w:b/>
          <w:bCs/>
          <w:color w:val="auto"/>
        </w:rPr>
        <w:t>合格</w:t>
      </w:r>
      <w:r>
        <w:rPr>
          <w:rFonts w:hint="eastAsia" w:ascii="宋体" w:hAnsi="宋体" w:eastAsia="宋体" w:cs="宋体"/>
          <w:color w:val="auto"/>
        </w:rPr>
        <w:t>；竣工验收的质量评定：</w:t>
      </w:r>
      <w:r>
        <w:rPr>
          <w:rFonts w:hint="eastAsia" w:ascii="宋体" w:hAnsi="宋体" w:eastAsia="宋体" w:cs="宋体"/>
          <w:b/>
          <w:bCs/>
          <w:color w:val="auto"/>
        </w:rPr>
        <w:t>合格</w:t>
      </w:r>
      <w:r>
        <w:rPr>
          <w:rFonts w:hint="eastAsia" w:ascii="宋体" w:hAnsi="宋体" w:eastAsia="宋体" w:cs="宋体"/>
          <w:color w:val="auto"/>
        </w:rPr>
        <w:t>。</w:t>
      </w:r>
    </w:p>
    <w:p>
      <w:pPr>
        <w:pStyle w:val="26"/>
        <w:spacing w:before="0" w:beforeAutospacing="0" w:after="0" w:afterAutospacing="0" w:line="480" w:lineRule="auto"/>
        <w:rPr>
          <w:rFonts w:hint="eastAsia" w:ascii="宋体" w:hAnsi="宋体" w:eastAsia="宋体" w:cs="宋体"/>
          <w:b/>
          <w:color w:val="auto"/>
        </w:rPr>
      </w:pPr>
      <w:r>
        <w:rPr>
          <w:rFonts w:hint="eastAsia" w:ascii="宋体" w:hAnsi="宋体" w:eastAsia="宋体" w:cs="宋体"/>
          <w:b/>
          <w:color w:val="auto"/>
        </w:rPr>
        <w:t>三、图纸（另册装订）</w:t>
      </w:r>
    </w:p>
    <w:p>
      <w:pPr>
        <w:pStyle w:val="26"/>
        <w:spacing w:before="0" w:beforeAutospacing="0" w:after="0" w:afterAutospacing="0" w:line="480" w:lineRule="auto"/>
        <w:rPr>
          <w:rFonts w:hint="eastAsia" w:ascii="宋体" w:hAnsi="宋体" w:eastAsia="宋体" w:cs="宋体"/>
          <w:b/>
          <w:color w:val="auto"/>
        </w:rPr>
      </w:pPr>
      <w:r>
        <w:rPr>
          <w:rFonts w:hint="eastAsia" w:ascii="宋体" w:hAnsi="宋体" w:eastAsia="宋体" w:cs="宋体"/>
          <w:b/>
          <w:color w:val="auto"/>
        </w:rPr>
        <w:t>四、工程量清单（后附）</w:t>
      </w:r>
    </w:p>
    <w:p>
      <w:pPr>
        <w:pStyle w:val="26"/>
        <w:spacing w:before="0" w:beforeAutospacing="0" w:after="0" w:afterAutospacing="0" w:line="480" w:lineRule="auto"/>
        <w:ind w:firstLine="480" w:firstLineChars="200"/>
        <w:rPr>
          <w:rFonts w:hint="eastAsia" w:ascii="宋体" w:hAnsi="宋体" w:eastAsia="宋体" w:cs="宋体"/>
          <w:color w:val="auto"/>
          <w:lang w:eastAsia="zh-CN"/>
        </w:rPr>
      </w:pPr>
      <w:r>
        <w:rPr>
          <w:rFonts w:hint="eastAsia" w:ascii="宋体" w:hAnsi="宋体" w:eastAsia="宋体" w:cs="宋体"/>
          <w:color w:val="auto"/>
        </w:rPr>
        <w:t>1.</w:t>
      </w:r>
      <w:r>
        <w:rPr>
          <w:rFonts w:hint="eastAsia" w:ascii="宋体" w:hAnsi="宋体" w:eastAsia="宋体" w:cs="宋体"/>
          <w:color w:val="auto"/>
          <w:lang w:eastAsia="zh-CN"/>
        </w:rPr>
        <w:t>编制依据</w:t>
      </w:r>
    </w:p>
    <w:p>
      <w:pPr>
        <w:pStyle w:val="26"/>
        <w:spacing w:before="0" w:beforeAutospacing="0" w:after="0" w:afterAutospacing="0" w:line="480" w:lineRule="auto"/>
        <w:ind w:firstLine="480" w:firstLineChars="200"/>
        <w:rPr>
          <w:rFonts w:hint="eastAsia" w:ascii="宋体" w:hAnsi="宋体" w:eastAsia="宋体" w:cs="宋体"/>
          <w:color w:val="auto"/>
        </w:rPr>
      </w:pPr>
      <w:r>
        <w:rPr>
          <w:rFonts w:hint="eastAsia" w:ascii="宋体" w:hAnsi="宋体" w:eastAsia="宋体" w:cs="宋体"/>
          <w:color w:val="auto"/>
        </w:rPr>
        <w:t>1</w:t>
      </w:r>
      <w:r>
        <w:rPr>
          <w:rFonts w:hint="eastAsia" w:ascii="宋体" w:hAnsi="宋体" w:eastAsia="宋体" w:cs="宋体"/>
          <w:color w:val="auto"/>
          <w:lang w:val="en-US" w:eastAsia="zh-CN"/>
        </w:rPr>
        <w:t>.1</w:t>
      </w:r>
      <w:r>
        <w:rPr>
          <w:rFonts w:hint="eastAsia" w:ascii="宋体" w:hAnsi="宋体" w:eastAsia="宋体" w:cs="宋体"/>
          <w:color w:val="auto"/>
        </w:rPr>
        <w:t>、2009《陕西省建筑工程工程量清单计价规则》；</w:t>
      </w:r>
    </w:p>
    <w:p>
      <w:pPr>
        <w:pStyle w:val="26"/>
        <w:spacing w:before="0" w:beforeAutospacing="0" w:after="0" w:afterAutospacing="0" w:line="480" w:lineRule="auto"/>
        <w:ind w:firstLine="480" w:firstLineChars="200"/>
        <w:rPr>
          <w:rFonts w:hint="eastAsia" w:cs="宋体"/>
          <w:color w:val="auto"/>
          <w:lang w:val="en-US" w:eastAsia="zh-CN"/>
        </w:rPr>
      </w:pPr>
      <w:r>
        <w:rPr>
          <w:rFonts w:hint="eastAsia" w:ascii="宋体" w:hAnsi="宋体" w:eastAsia="宋体" w:cs="宋体"/>
          <w:color w:val="auto"/>
          <w:lang w:val="en-US" w:eastAsia="zh-CN"/>
        </w:rPr>
        <w:t>1.</w:t>
      </w:r>
      <w:r>
        <w:rPr>
          <w:rFonts w:hint="eastAsia" w:ascii="宋体" w:hAnsi="宋体" w:eastAsia="宋体" w:cs="宋体"/>
          <w:color w:val="auto"/>
        </w:rPr>
        <w:t>2、</w:t>
      </w:r>
      <w:r>
        <w:rPr>
          <w:rFonts w:hint="eastAsia" w:cs="宋体"/>
          <w:color w:val="auto"/>
          <w:lang w:val="en-US" w:eastAsia="zh-CN"/>
        </w:rPr>
        <w:t>汉中市南郑区“四改一拆一通一落地”-汉山街道办高庄村背街小巷硬化工程施工图纸；</w:t>
      </w:r>
    </w:p>
    <w:p>
      <w:pPr>
        <w:pStyle w:val="26"/>
        <w:spacing w:before="0" w:beforeAutospacing="0" w:after="0" w:afterAutospacing="0" w:line="480" w:lineRule="auto"/>
        <w:ind w:firstLine="480" w:firstLineChars="200"/>
        <w:rPr>
          <w:rFonts w:hint="default" w:ascii="宋体" w:hAnsi="宋体" w:eastAsia="宋体" w:cs="宋体"/>
          <w:color w:val="auto"/>
          <w:lang w:val="en-US"/>
        </w:rPr>
      </w:pPr>
      <w:r>
        <w:rPr>
          <w:rFonts w:hint="eastAsia" w:cs="宋体"/>
          <w:color w:val="auto"/>
          <w:lang w:val="en-US" w:eastAsia="zh-CN"/>
        </w:rPr>
        <w:t>1.3、《陕西省建筑装饰、安装、市政、园林绿化景观工程消耗量定额（2004）》、《陕西省建筑装饰、安装、市政、园林绿化景观工程价目表2009》及配套使用的相关计价文件，及其他相关计价依据等依据。</w:t>
      </w:r>
    </w:p>
    <w:p>
      <w:pPr>
        <w:pStyle w:val="26"/>
        <w:spacing w:before="0" w:beforeAutospacing="0" w:after="0" w:afterAutospacing="0" w:line="480" w:lineRule="auto"/>
        <w:ind w:firstLine="480" w:firstLineChars="200"/>
        <w:rPr>
          <w:rFonts w:hint="eastAsia" w:ascii="宋体" w:hAnsi="宋体" w:eastAsia="宋体" w:cs="宋体"/>
          <w:color w:val="auto"/>
        </w:rPr>
      </w:pPr>
      <w:r>
        <w:rPr>
          <w:rFonts w:hint="eastAsia" w:ascii="宋体" w:hAnsi="宋体" w:eastAsia="宋体" w:cs="宋体"/>
          <w:color w:val="auto"/>
        </w:rPr>
        <w:t>2．报价说明</w:t>
      </w:r>
    </w:p>
    <w:p>
      <w:pPr>
        <w:pStyle w:val="26"/>
        <w:spacing w:before="0" w:beforeAutospacing="0" w:after="0" w:afterAutospacing="0" w:line="480" w:lineRule="auto"/>
        <w:ind w:firstLine="480" w:firstLineChars="200"/>
        <w:rPr>
          <w:rFonts w:hint="eastAsia" w:ascii="宋体" w:hAnsi="宋体" w:eastAsia="宋体" w:cs="宋体"/>
          <w:color w:val="auto"/>
        </w:rPr>
      </w:pPr>
      <w:r>
        <w:rPr>
          <w:rFonts w:hint="eastAsia" w:ascii="宋体" w:hAnsi="宋体" w:eastAsia="宋体" w:cs="宋体"/>
          <w:color w:val="auto"/>
        </w:rPr>
        <w:t>2.1工程量清单中的每一子目须填入单价或价格，且只允许有一个报价。</w:t>
      </w:r>
    </w:p>
    <w:p>
      <w:pPr>
        <w:pStyle w:val="26"/>
        <w:spacing w:before="0" w:beforeAutospacing="0" w:after="0" w:afterAutospacing="0" w:line="480" w:lineRule="auto"/>
        <w:ind w:firstLine="480" w:firstLineChars="200"/>
        <w:rPr>
          <w:rFonts w:hint="eastAsia" w:ascii="宋体" w:hAnsi="宋体" w:eastAsia="宋体" w:cs="宋体"/>
          <w:color w:val="auto"/>
        </w:rPr>
      </w:pPr>
      <w:r>
        <w:rPr>
          <w:rFonts w:hint="eastAsia" w:ascii="宋体" w:hAnsi="宋体" w:eastAsia="宋体" w:cs="宋体"/>
          <w:color w:val="auto"/>
        </w:rPr>
        <w:t>2.2除非合同另有规定，工程量清单中有标价的单价和总额价均已包括了为实施和完成合同工程所需的劳务、材料、机械、质检（自检）、安装、缺陷修复、管理、保险、税费、利润等费用，以及合同明示或暗示的所有责任、义务和一般风险。</w:t>
      </w:r>
    </w:p>
    <w:p>
      <w:pPr>
        <w:pStyle w:val="26"/>
        <w:spacing w:before="0" w:beforeAutospacing="0" w:after="0" w:afterAutospacing="0" w:line="480" w:lineRule="auto"/>
        <w:ind w:firstLine="480" w:firstLineChars="200"/>
        <w:rPr>
          <w:rFonts w:hint="eastAsia" w:ascii="宋体" w:hAnsi="宋体" w:eastAsia="宋体" w:cs="宋体"/>
          <w:color w:val="auto"/>
        </w:rPr>
      </w:pPr>
      <w:r>
        <w:rPr>
          <w:rFonts w:hint="eastAsia" w:ascii="宋体" w:hAnsi="宋体" w:eastAsia="宋体" w:cs="宋体"/>
          <w:color w:val="auto"/>
        </w:rPr>
        <w:t>2.3工程量清单中</w:t>
      </w:r>
      <w:r>
        <w:rPr>
          <w:rFonts w:hint="eastAsia" w:ascii="宋体" w:hAnsi="宋体" w:eastAsia="宋体" w:cs="宋体"/>
          <w:color w:val="auto"/>
          <w:lang w:eastAsia="zh-CN"/>
        </w:rPr>
        <w:t>供应商</w:t>
      </w:r>
      <w:r>
        <w:rPr>
          <w:rFonts w:hint="eastAsia" w:ascii="宋体" w:hAnsi="宋体" w:eastAsia="宋体" w:cs="宋体"/>
          <w:color w:val="auto"/>
        </w:rPr>
        <w:t>没有填入单价或价格的子目，其费用视为己分摊在工程量清单中其他相关子目的单价或价格之中。承包人必须按监理人指令完成工程量清单中未填入单价或价格的子目，但不能得到结算与支付。</w:t>
      </w:r>
    </w:p>
    <w:p>
      <w:pPr>
        <w:pStyle w:val="26"/>
        <w:spacing w:before="0" w:beforeAutospacing="0" w:after="0" w:afterAutospacing="0" w:line="480" w:lineRule="auto"/>
        <w:ind w:firstLine="480" w:firstLineChars="200"/>
        <w:rPr>
          <w:rFonts w:hint="eastAsia" w:ascii="宋体" w:hAnsi="宋体" w:eastAsia="宋体" w:cs="宋体"/>
          <w:color w:val="auto"/>
        </w:rPr>
      </w:pPr>
      <w:r>
        <w:rPr>
          <w:rFonts w:hint="eastAsia" w:ascii="宋体" w:hAnsi="宋体" w:eastAsia="宋体" w:cs="宋体"/>
          <w:color w:val="auto"/>
        </w:rPr>
        <w:t>2.4符合合同条款规定的全部费用应认为已被计入有标价的工程量清单所列各子目之中，未列子目不予计量的工作，其费用应视为已分摊在本合同工程的有关子目的单价或总额价之中。</w:t>
      </w:r>
    </w:p>
    <w:p>
      <w:pPr>
        <w:pStyle w:val="26"/>
        <w:spacing w:before="0" w:beforeAutospacing="0" w:after="0" w:afterAutospacing="0" w:line="480" w:lineRule="auto"/>
        <w:ind w:firstLine="480" w:firstLineChars="200"/>
        <w:rPr>
          <w:rFonts w:hint="eastAsia" w:ascii="宋体" w:hAnsi="宋体" w:eastAsia="宋体" w:cs="宋体"/>
          <w:color w:val="auto"/>
        </w:rPr>
      </w:pPr>
      <w:r>
        <w:rPr>
          <w:rFonts w:hint="eastAsia" w:ascii="宋体" w:hAnsi="宋体" w:eastAsia="宋体" w:cs="宋体"/>
          <w:color w:val="auto"/>
        </w:rPr>
        <w:t>2.5承包人用于本合同工程的各类装备的提供、运输、维护、拆卸、拼装等支付的费用，已包括在工程量清单的单价与总额价之中。</w:t>
      </w:r>
    </w:p>
    <w:p>
      <w:pPr>
        <w:pStyle w:val="26"/>
        <w:spacing w:before="0" w:beforeAutospacing="0" w:after="0" w:afterAutospacing="0" w:line="480" w:lineRule="auto"/>
        <w:ind w:firstLine="480" w:firstLineChars="200"/>
        <w:rPr>
          <w:rFonts w:hint="eastAsia" w:ascii="宋体" w:hAnsi="宋体" w:eastAsia="宋体" w:cs="宋体"/>
          <w:color w:val="auto"/>
        </w:rPr>
      </w:pPr>
      <w:r>
        <w:rPr>
          <w:rFonts w:hint="eastAsia" w:ascii="宋体" w:hAnsi="宋体" w:eastAsia="宋体" w:cs="宋体"/>
          <w:color w:val="auto"/>
        </w:rPr>
        <w:t>2.6工程量清单中各项金额均以人民币（元）结算。</w:t>
      </w:r>
    </w:p>
    <w:p>
      <w:pPr>
        <w:pStyle w:val="26"/>
        <w:spacing w:before="0" w:beforeAutospacing="0" w:after="0" w:afterAutospacing="0" w:line="480" w:lineRule="auto"/>
        <w:ind w:firstLine="480" w:firstLineChars="200"/>
        <w:rPr>
          <w:rFonts w:hint="eastAsia" w:ascii="宋体" w:hAnsi="宋体" w:eastAsia="宋体" w:cs="宋体"/>
          <w:color w:val="auto"/>
          <w:lang w:eastAsia="zh-CN"/>
        </w:rPr>
      </w:pPr>
      <w:r>
        <w:rPr>
          <w:rFonts w:hint="eastAsia" w:ascii="宋体" w:hAnsi="宋体" w:eastAsia="宋体" w:cs="宋体"/>
          <w:color w:val="auto"/>
        </w:rPr>
        <w:t>2.7暂列金额（不含计日工总额）的数量及拟用子目的说明：详见清单</w:t>
      </w:r>
      <w:r>
        <w:rPr>
          <w:rFonts w:hint="eastAsia" w:ascii="宋体" w:hAnsi="宋体" w:eastAsia="宋体" w:cs="宋体"/>
          <w:color w:val="auto"/>
          <w:lang w:eastAsia="zh-CN"/>
        </w:rPr>
        <w:t>。</w:t>
      </w:r>
    </w:p>
    <w:p>
      <w:pPr>
        <w:pStyle w:val="26"/>
        <w:spacing w:before="0" w:beforeAutospacing="0" w:after="0" w:afterAutospacing="0" w:line="480" w:lineRule="auto"/>
        <w:ind w:firstLine="480" w:firstLineChars="200"/>
        <w:rPr>
          <w:rFonts w:hint="eastAsia" w:ascii="宋体" w:hAnsi="宋体" w:eastAsia="宋体" w:cs="宋体"/>
          <w:color w:val="auto"/>
          <w:lang w:eastAsia="zh-CN"/>
        </w:rPr>
      </w:pPr>
      <w:r>
        <w:rPr>
          <w:rFonts w:hint="eastAsia" w:ascii="宋体" w:hAnsi="宋体" w:eastAsia="宋体" w:cs="宋体"/>
          <w:color w:val="auto"/>
        </w:rPr>
        <w:t>2.8暂估价的数量及拟用子目的说明：</w:t>
      </w:r>
      <w:r>
        <w:rPr>
          <w:rFonts w:hint="eastAsia" w:ascii="宋体" w:hAnsi="宋体" w:eastAsia="宋体" w:cs="宋体"/>
          <w:color w:val="auto"/>
          <w:u w:val="single"/>
        </w:rPr>
        <w:t>　/　</w:t>
      </w:r>
      <w:r>
        <w:rPr>
          <w:rFonts w:hint="eastAsia" w:ascii="宋体" w:hAnsi="宋体" w:eastAsia="宋体" w:cs="宋体"/>
          <w:color w:val="auto"/>
        </w:rPr>
        <w:t>。</w:t>
      </w:r>
    </w:p>
    <w:p>
      <w:pPr>
        <w:pStyle w:val="26"/>
        <w:spacing w:before="0" w:beforeAutospacing="0" w:after="0" w:afterAutospacing="0" w:line="480" w:lineRule="auto"/>
        <w:ind w:firstLine="480" w:firstLineChars="200"/>
        <w:rPr>
          <w:rFonts w:hint="eastAsia" w:ascii="宋体" w:hAnsi="宋体" w:eastAsia="宋体" w:cs="宋体"/>
          <w:color w:val="auto"/>
          <w:lang w:eastAsia="zh-CN"/>
        </w:rPr>
      </w:pPr>
      <w:r>
        <w:rPr>
          <w:rFonts w:hint="eastAsia" w:ascii="宋体" w:hAnsi="宋体" w:eastAsia="宋体" w:cs="宋体"/>
          <w:color w:val="auto"/>
        </w:rPr>
        <w:t>3．计日工说明</w:t>
      </w:r>
    </w:p>
    <w:p>
      <w:pPr>
        <w:pStyle w:val="26"/>
        <w:spacing w:before="0" w:beforeAutospacing="0" w:after="0" w:afterAutospacing="0" w:line="480" w:lineRule="auto"/>
        <w:ind w:firstLine="480" w:firstLineChars="200"/>
        <w:rPr>
          <w:rFonts w:hint="eastAsia" w:ascii="宋体" w:hAnsi="宋体" w:eastAsia="宋体" w:cs="宋体"/>
          <w:color w:val="auto"/>
        </w:rPr>
      </w:pPr>
      <w:r>
        <w:rPr>
          <w:rFonts w:hint="eastAsia" w:ascii="宋体" w:hAnsi="宋体" w:eastAsia="宋体" w:cs="宋体"/>
          <w:color w:val="auto"/>
        </w:rPr>
        <w:t>3.1总则</w:t>
      </w:r>
    </w:p>
    <w:p>
      <w:pPr>
        <w:pStyle w:val="26"/>
        <w:spacing w:before="0" w:beforeAutospacing="0" w:after="0" w:afterAutospacing="0" w:line="480" w:lineRule="auto"/>
        <w:ind w:firstLine="480" w:firstLineChars="200"/>
        <w:rPr>
          <w:rFonts w:hint="eastAsia" w:ascii="宋体" w:hAnsi="宋体" w:eastAsia="宋体" w:cs="宋体"/>
          <w:color w:val="auto"/>
        </w:rPr>
      </w:pPr>
      <w:r>
        <w:rPr>
          <w:rFonts w:hint="eastAsia" w:ascii="宋体" w:hAnsi="宋体" w:eastAsia="宋体" w:cs="宋体"/>
          <w:color w:val="auto"/>
        </w:rPr>
        <w:t>（1）未经监理人书面指令，任何工程不得按计日工施工；接到监理人按计日工施工的书面指令，承包人也不得拒绝。</w:t>
      </w:r>
    </w:p>
    <w:p>
      <w:pPr>
        <w:pStyle w:val="26"/>
        <w:spacing w:before="0" w:beforeAutospacing="0" w:after="0" w:afterAutospacing="0" w:line="480" w:lineRule="auto"/>
        <w:ind w:firstLine="480" w:firstLineChars="200"/>
        <w:rPr>
          <w:rFonts w:hint="eastAsia" w:ascii="宋体" w:hAnsi="宋体" w:eastAsia="宋体" w:cs="宋体"/>
          <w:color w:val="auto"/>
        </w:rPr>
      </w:pPr>
      <w:r>
        <w:rPr>
          <w:rFonts w:hint="eastAsia" w:ascii="宋体" w:hAnsi="宋体" w:eastAsia="宋体" w:cs="宋体"/>
          <w:color w:val="auto"/>
        </w:rPr>
        <w:t>（2）</w:t>
      </w:r>
      <w:r>
        <w:rPr>
          <w:rFonts w:hint="eastAsia" w:ascii="宋体" w:hAnsi="宋体" w:eastAsia="宋体" w:cs="宋体"/>
          <w:color w:val="auto"/>
          <w:lang w:eastAsia="zh-CN"/>
        </w:rPr>
        <w:t>供应商</w:t>
      </w:r>
      <w:r>
        <w:rPr>
          <w:rFonts w:hint="eastAsia" w:ascii="宋体" w:hAnsi="宋体" w:eastAsia="宋体" w:cs="宋体"/>
          <w:color w:val="auto"/>
        </w:rPr>
        <w:t>应在计日工单价表中填列计日工子目的基本单价或租价，该基本单价或租价适用于监理人指令的任何数量的计日工的结算与支付。计日工的劳务、材料和施工机械由招标人（或发包人）列出正常的估算数量，</w:t>
      </w:r>
      <w:r>
        <w:rPr>
          <w:rFonts w:hint="eastAsia" w:ascii="宋体" w:hAnsi="宋体" w:eastAsia="宋体" w:cs="宋体"/>
          <w:color w:val="auto"/>
          <w:lang w:eastAsia="zh-CN"/>
        </w:rPr>
        <w:t>供应商</w:t>
      </w:r>
      <w:r>
        <w:rPr>
          <w:rFonts w:hint="eastAsia" w:ascii="宋体" w:hAnsi="宋体" w:eastAsia="宋体" w:cs="宋体"/>
          <w:color w:val="auto"/>
        </w:rPr>
        <w:t>报出单价，计算出计日工总额后列入工程量清单汇总表中并进入评标价。</w:t>
      </w:r>
    </w:p>
    <w:p>
      <w:pPr>
        <w:pStyle w:val="26"/>
        <w:spacing w:before="0" w:beforeAutospacing="0" w:after="0" w:afterAutospacing="0" w:line="480" w:lineRule="auto"/>
        <w:ind w:firstLine="480" w:firstLineChars="200"/>
        <w:rPr>
          <w:rFonts w:hint="eastAsia" w:ascii="宋体" w:hAnsi="宋体" w:eastAsia="宋体" w:cs="宋体"/>
          <w:color w:val="auto"/>
        </w:rPr>
      </w:pPr>
      <w:r>
        <w:rPr>
          <w:rFonts w:hint="eastAsia" w:ascii="宋体" w:hAnsi="宋体" w:eastAsia="宋体" w:cs="宋体"/>
          <w:color w:val="auto"/>
        </w:rPr>
        <w:t>（3）计日工不调价。</w:t>
      </w:r>
    </w:p>
    <w:p>
      <w:pPr>
        <w:pStyle w:val="26"/>
        <w:tabs>
          <w:tab w:val="left" w:pos="6334"/>
        </w:tabs>
        <w:spacing w:before="0" w:beforeAutospacing="0" w:after="0" w:afterAutospacing="0" w:line="480" w:lineRule="auto"/>
        <w:ind w:firstLine="480" w:firstLineChars="200"/>
        <w:rPr>
          <w:rFonts w:hint="eastAsia" w:ascii="宋体" w:hAnsi="宋体" w:eastAsia="宋体" w:cs="宋体"/>
          <w:color w:val="auto"/>
          <w:lang w:eastAsia="zh-CN"/>
        </w:rPr>
      </w:pPr>
      <w:r>
        <w:rPr>
          <w:rFonts w:hint="eastAsia" w:ascii="宋体" w:hAnsi="宋体" w:eastAsia="宋体" w:cs="宋体"/>
          <w:color w:val="auto"/>
        </w:rPr>
        <w:t>3.2计日工劳务</w:t>
      </w:r>
      <w:r>
        <w:rPr>
          <w:rFonts w:hint="eastAsia" w:ascii="宋体" w:hAnsi="宋体" w:eastAsia="宋体" w:cs="宋体"/>
          <w:color w:val="auto"/>
          <w:lang w:eastAsia="zh-CN"/>
        </w:rPr>
        <w:tab/>
      </w:r>
    </w:p>
    <w:p>
      <w:pPr>
        <w:pStyle w:val="26"/>
        <w:spacing w:before="0" w:beforeAutospacing="0" w:after="0" w:afterAutospacing="0" w:line="480" w:lineRule="auto"/>
        <w:ind w:firstLine="480" w:firstLineChars="200"/>
        <w:rPr>
          <w:rFonts w:hint="eastAsia" w:ascii="宋体" w:hAnsi="宋体" w:eastAsia="宋体" w:cs="宋体"/>
          <w:color w:val="auto"/>
        </w:rPr>
      </w:pPr>
      <w:r>
        <w:rPr>
          <w:rFonts w:hint="eastAsia" w:ascii="宋体" w:hAnsi="宋体" w:eastAsia="宋体" w:cs="宋体"/>
          <w:color w:val="auto"/>
        </w:rPr>
        <w:t>（1）在计算应付给承包人的计日工工资时，工时应从工人到达施工现场，并开始从事指定的工作算起，到返回原出发点为止，扣去用餐和休息的时间。只有直接从事指定的工作，且能胜任该工作的工人才能计工，随同工人一起做工的班长应计算在内，但不包括领工（工长）和其他质检管理人员。</w:t>
      </w:r>
    </w:p>
    <w:p>
      <w:pPr>
        <w:pStyle w:val="26"/>
        <w:spacing w:before="0" w:beforeAutospacing="0" w:after="0" w:afterAutospacing="0" w:line="480" w:lineRule="auto"/>
        <w:ind w:firstLine="480" w:firstLineChars="200"/>
        <w:rPr>
          <w:rFonts w:hint="eastAsia" w:ascii="宋体" w:hAnsi="宋体" w:eastAsia="宋体" w:cs="宋体"/>
          <w:color w:val="auto"/>
        </w:rPr>
      </w:pPr>
      <w:r>
        <w:rPr>
          <w:rFonts w:hint="eastAsia" w:ascii="宋体" w:hAnsi="宋体" w:eastAsia="宋体" w:cs="宋体"/>
          <w:color w:val="auto"/>
        </w:rPr>
        <w:t>（2）承包人可以得到用于计日工劳务的全部工时的支付，此支付按承包人填报的“计日工劳务单价表”所列单价计算，该单价应包括基本单价及承包人的管理费、税费、利润等所有附加费，说明如下：</w:t>
      </w:r>
    </w:p>
    <w:p>
      <w:pPr>
        <w:pStyle w:val="26"/>
        <w:spacing w:before="0" w:beforeAutospacing="0" w:after="0" w:afterAutospacing="0" w:line="480" w:lineRule="auto"/>
        <w:ind w:firstLine="480" w:firstLineChars="200"/>
        <w:rPr>
          <w:rFonts w:hint="eastAsia" w:ascii="宋体" w:hAnsi="宋体" w:eastAsia="宋体" w:cs="宋体"/>
          <w:color w:val="auto"/>
        </w:rPr>
      </w:pPr>
      <w:r>
        <w:rPr>
          <w:rFonts w:hint="eastAsia" w:ascii="宋体" w:hAnsi="宋体" w:eastAsia="宋体" w:cs="宋体"/>
          <w:color w:val="auto"/>
        </w:rPr>
        <w:t>a.劳务基本单价包括：承包人劳务的全部直接费用，如：工资、加班费、津贴、福利费及劳动保护费等。</w:t>
      </w:r>
    </w:p>
    <w:p>
      <w:pPr>
        <w:pStyle w:val="26"/>
        <w:spacing w:before="0" w:beforeAutospacing="0" w:after="0" w:afterAutospacing="0" w:line="480" w:lineRule="auto"/>
        <w:ind w:firstLine="480" w:firstLineChars="200"/>
        <w:rPr>
          <w:rFonts w:hint="eastAsia" w:ascii="宋体" w:hAnsi="宋体" w:eastAsia="宋体" w:cs="宋体"/>
          <w:color w:val="auto"/>
        </w:rPr>
      </w:pPr>
      <w:r>
        <w:rPr>
          <w:rFonts w:hint="eastAsia" w:ascii="宋体" w:hAnsi="宋体" w:eastAsia="宋体" w:cs="宋体"/>
          <w:color w:val="auto"/>
        </w:rPr>
        <w:t>b.承包人的利润、管理、质检、保险、税费；易耗品的使用，水电及照明费，工作台、脚手架、临时设施费，手动机具与工具的使用及维修，以及上述各项伴随而来的费用。</w:t>
      </w:r>
    </w:p>
    <w:p>
      <w:pPr>
        <w:pStyle w:val="26"/>
        <w:spacing w:before="0" w:beforeAutospacing="0" w:after="0" w:afterAutospacing="0" w:line="480" w:lineRule="auto"/>
        <w:ind w:firstLine="480" w:firstLineChars="200"/>
        <w:rPr>
          <w:rFonts w:hint="eastAsia" w:ascii="宋体" w:hAnsi="宋体" w:eastAsia="宋体" w:cs="宋体"/>
          <w:color w:val="auto"/>
        </w:rPr>
      </w:pPr>
      <w:r>
        <w:rPr>
          <w:rFonts w:hint="eastAsia" w:ascii="宋体" w:hAnsi="宋体" w:eastAsia="宋体" w:cs="宋体"/>
          <w:color w:val="auto"/>
        </w:rPr>
        <w:t>3.3计日工材料</w:t>
      </w:r>
    </w:p>
    <w:p>
      <w:pPr>
        <w:pStyle w:val="26"/>
        <w:spacing w:before="0" w:beforeAutospacing="0" w:after="0" w:afterAutospacing="0" w:line="480" w:lineRule="auto"/>
        <w:ind w:firstLine="480" w:firstLineChars="200"/>
        <w:rPr>
          <w:rFonts w:hint="eastAsia" w:ascii="宋体" w:hAnsi="宋体" w:eastAsia="宋体" w:cs="宋体"/>
          <w:color w:val="auto"/>
        </w:rPr>
      </w:pPr>
      <w:r>
        <w:rPr>
          <w:rFonts w:hint="eastAsia" w:ascii="宋体" w:hAnsi="宋体" w:eastAsia="宋体" w:cs="宋体"/>
          <w:color w:val="auto"/>
        </w:rPr>
        <w:t>承包人可以得到计日工使用的材料费用（上述3.2款已计入劳务费内的材料费用除外）的支付，此费用按承包人“计日工材料单价表”中所填报的单价计算，该单价应包括基本单价及承包人的管理费、税费、利润等所有附加费，说明如下：</w:t>
      </w:r>
    </w:p>
    <w:p>
      <w:pPr>
        <w:pStyle w:val="26"/>
        <w:spacing w:before="0" w:beforeAutospacing="0" w:after="0" w:afterAutospacing="0" w:line="480" w:lineRule="auto"/>
        <w:ind w:firstLine="480" w:firstLineChars="200"/>
        <w:rPr>
          <w:rFonts w:hint="eastAsia" w:ascii="宋体" w:hAnsi="宋体" w:eastAsia="宋体" w:cs="宋体"/>
          <w:color w:val="auto"/>
        </w:rPr>
      </w:pPr>
      <w:r>
        <w:rPr>
          <w:rFonts w:hint="eastAsia" w:ascii="宋体" w:hAnsi="宋体" w:eastAsia="宋体" w:cs="宋体"/>
          <w:color w:val="auto"/>
        </w:rPr>
        <w:t>（1）材料基本单价按供货价加运杂费（到达承包人现场仓库）、保险费、仓库管理费以及运输损耗等计算；</w:t>
      </w:r>
    </w:p>
    <w:p>
      <w:pPr>
        <w:pStyle w:val="26"/>
        <w:spacing w:before="0" w:beforeAutospacing="0" w:after="0" w:afterAutospacing="0" w:line="480" w:lineRule="auto"/>
        <w:ind w:firstLine="480" w:firstLineChars="200"/>
        <w:rPr>
          <w:rFonts w:hint="eastAsia" w:ascii="宋体" w:hAnsi="宋体" w:eastAsia="宋体" w:cs="宋体"/>
          <w:color w:val="auto"/>
        </w:rPr>
      </w:pPr>
      <w:r>
        <w:rPr>
          <w:rFonts w:hint="eastAsia" w:ascii="宋体" w:hAnsi="宋体" w:eastAsia="宋体" w:cs="宋体"/>
          <w:color w:val="auto"/>
        </w:rPr>
        <w:t>（2）承包人的利润、管理、质检、保险、税费及其他附加费；</w:t>
      </w:r>
    </w:p>
    <w:p>
      <w:pPr>
        <w:pStyle w:val="26"/>
        <w:spacing w:before="0" w:beforeAutospacing="0" w:after="0" w:afterAutospacing="0" w:line="480" w:lineRule="auto"/>
        <w:ind w:firstLine="480" w:firstLineChars="200"/>
        <w:rPr>
          <w:rFonts w:hint="eastAsia" w:ascii="宋体" w:hAnsi="宋体" w:eastAsia="宋体" w:cs="宋体"/>
          <w:color w:val="auto"/>
        </w:rPr>
      </w:pPr>
      <w:r>
        <w:rPr>
          <w:rFonts w:hint="eastAsia" w:ascii="宋体" w:hAnsi="宋体" w:eastAsia="宋体" w:cs="宋体"/>
          <w:color w:val="auto"/>
        </w:rPr>
        <w:t>（3）从现场运至使用地点的人工费和施工机械使用费不包括在上述基本单价内。</w:t>
      </w:r>
    </w:p>
    <w:p>
      <w:pPr>
        <w:pStyle w:val="26"/>
        <w:spacing w:before="0" w:beforeAutospacing="0" w:after="0" w:afterAutospacing="0" w:line="480" w:lineRule="auto"/>
        <w:ind w:firstLine="480" w:firstLineChars="200"/>
        <w:rPr>
          <w:rFonts w:hint="eastAsia" w:ascii="宋体" w:hAnsi="宋体" w:eastAsia="宋体" w:cs="宋体"/>
          <w:color w:val="auto"/>
        </w:rPr>
      </w:pPr>
      <w:r>
        <w:rPr>
          <w:rFonts w:hint="eastAsia" w:ascii="宋体" w:hAnsi="宋体" w:eastAsia="宋体" w:cs="宋体"/>
          <w:color w:val="auto"/>
        </w:rPr>
        <w:t>3.4计日工施工机械</w:t>
      </w:r>
    </w:p>
    <w:p>
      <w:pPr>
        <w:pStyle w:val="26"/>
        <w:spacing w:before="0" w:beforeAutospacing="0" w:after="0" w:afterAutospacing="0" w:line="480" w:lineRule="auto"/>
        <w:ind w:firstLine="480" w:firstLineChars="200"/>
        <w:rPr>
          <w:rFonts w:hint="eastAsia" w:ascii="宋体" w:hAnsi="宋体" w:eastAsia="宋体" w:cs="宋体"/>
          <w:color w:val="auto"/>
        </w:rPr>
      </w:pPr>
      <w:r>
        <w:rPr>
          <w:rFonts w:hint="eastAsia" w:ascii="宋体" w:hAnsi="宋体" w:eastAsia="宋体" w:cs="宋体"/>
          <w:color w:val="auto"/>
        </w:rPr>
        <w:t>（1）承包人可以得到用于计日工作业的施工机械费用的支付，该费用按承包人填报的“计日工施工机械单价表”中的租价计算。该租价应包括施工机械的折旧、利息、维修、保养、零配件、油燃料、保险和其他消耗品的费用以及全部有关使用这些机械的管理费、税费、利润和司机与助手的劳务费等费用。</w:t>
      </w:r>
    </w:p>
    <w:p>
      <w:pPr>
        <w:pStyle w:val="26"/>
        <w:spacing w:before="0" w:beforeAutospacing="0" w:after="0" w:afterAutospacing="0" w:line="480" w:lineRule="auto"/>
        <w:ind w:firstLine="480" w:firstLineChars="200"/>
        <w:rPr>
          <w:rFonts w:hint="eastAsia" w:ascii="宋体" w:hAnsi="宋体" w:eastAsia="宋体" w:cs="宋体"/>
          <w:color w:val="auto"/>
        </w:rPr>
      </w:pPr>
      <w:r>
        <w:rPr>
          <w:rFonts w:hint="eastAsia" w:ascii="宋体" w:hAnsi="宋体" w:eastAsia="宋体" w:cs="宋体"/>
          <w:color w:val="auto"/>
        </w:rPr>
        <w:t>（2）在计日工作业中，承包人计算所用的施工机械费用时，应按实际工作小时支付。除非经监理人的同意，计算的工作小时才能将施工机械从现场某处运到监理人指令的计日工作业的另一现场往返运送时间包括在内。</w:t>
      </w:r>
    </w:p>
    <w:p>
      <w:pPr>
        <w:pStyle w:val="26"/>
        <w:spacing w:before="0" w:beforeAutospacing="0" w:after="0" w:afterAutospacing="0" w:line="480" w:lineRule="auto"/>
        <w:rPr>
          <w:rFonts w:hint="eastAsia" w:ascii="宋体" w:hAnsi="宋体" w:eastAsia="宋体" w:cs="宋体"/>
          <w:b/>
          <w:color w:val="auto"/>
          <w:lang w:val="en-US" w:eastAsia="zh-CN"/>
        </w:rPr>
      </w:pPr>
      <w:r>
        <w:rPr>
          <w:rFonts w:hint="eastAsia" w:ascii="宋体" w:hAnsi="宋体" w:eastAsia="宋体" w:cs="宋体"/>
          <w:b/>
          <w:color w:val="auto"/>
          <w:lang w:val="en-US" w:eastAsia="zh-CN"/>
        </w:rPr>
        <w:t>五、违约责任：</w:t>
      </w:r>
    </w:p>
    <w:p>
      <w:pPr>
        <w:pStyle w:val="26"/>
        <w:spacing w:before="0" w:beforeAutospacing="0" w:after="0" w:afterAutospacing="0" w:line="480" w:lineRule="auto"/>
        <w:ind w:firstLine="480" w:firstLineChars="200"/>
        <w:rPr>
          <w:rFonts w:hint="eastAsia" w:ascii="宋体" w:hAnsi="宋体" w:eastAsia="宋体" w:cs="宋体"/>
          <w:color w:val="auto"/>
          <w:lang w:eastAsia="zh-CN"/>
        </w:rPr>
      </w:pPr>
      <w:r>
        <w:rPr>
          <w:rFonts w:hint="eastAsia" w:ascii="宋体" w:hAnsi="宋体" w:eastAsia="宋体" w:cs="宋体"/>
          <w:color w:val="auto"/>
          <w:lang w:eastAsia="zh-CN"/>
        </w:rPr>
        <w:t>（</w:t>
      </w:r>
      <w:r>
        <w:rPr>
          <w:rFonts w:hint="eastAsia" w:ascii="宋体" w:hAnsi="宋体" w:eastAsia="宋体" w:cs="宋体"/>
          <w:color w:val="auto"/>
          <w:lang w:val="en-US" w:eastAsia="zh-CN"/>
        </w:rPr>
        <w:t>1</w:t>
      </w:r>
      <w:r>
        <w:rPr>
          <w:rFonts w:hint="eastAsia" w:ascii="宋体" w:hAnsi="宋体" w:eastAsia="宋体" w:cs="宋体"/>
          <w:color w:val="auto"/>
          <w:lang w:eastAsia="zh-CN"/>
        </w:rPr>
        <w:t>）按《中华人民共和国合同法》中的相关条款执行。</w:t>
      </w:r>
    </w:p>
    <w:p>
      <w:pPr>
        <w:pStyle w:val="26"/>
        <w:spacing w:before="0" w:beforeAutospacing="0" w:after="0" w:afterAutospacing="0" w:line="480" w:lineRule="auto"/>
        <w:ind w:firstLine="480" w:firstLineChars="200"/>
        <w:rPr>
          <w:rFonts w:hint="eastAsia" w:ascii="宋体" w:hAnsi="宋体" w:eastAsia="宋体" w:cs="宋体"/>
          <w:color w:val="auto"/>
          <w:lang w:eastAsia="zh-CN"/>
        </w:rPr>
      </w:pPr>
      <w:r>
        <w:rPr>
          <w:rFonts w:hint="eastAsia" w:ascii="宋体" w:hAnsi="宋体" w:eastAsia="宋体" w:cs="宋体"/>
          <w:color w:val="auto"/>
          <w:lang w:eastAsia="zh-CN"/>
        </w:rPr>
        <w:t>（</w:t>
      </w:r>
      <w:r>
        <w:rPr>
          <w:rFonts w:hint="eastAsia" w:ascii="宋体" w:hAnsi="宋体" w:eastAsia="宋体" w:cs="宋体"/>
          <w:color w:val="auto"/>
          <w:lang w:val="en-US" w:eastAsia="zh-CN"/>
        </w:rPr>
        <w:t>2</w:t>
      </w:r>
      <w:r>
        <w:rPr>
          <w:rFonts w:hint="eastAsia" w:ascii="宋体" w:hAnsi="宋体" w:eastAsia="宋体" w:cs="宋体"/>
          <w:color w:val="auto"/>
          <w:lang w:eastAsia="zh-CN"/>
        </w:rPr>
        <w:t>）未按合同要求施工、工程质量不能满足技术要求，采购人有权终止合同，并对供方违约行为进行追究，同时按《政府采购法》的有关规定进行处罚。</w:t>
      </w:r>
    </w:p>
    <w:p>
      <w:pPr>
        <w:pStyle w:val="26"/>
        <w:spacing w:before="0" w:beforeAutospacing="0" w:after="0" w:afterAutospacing="0" w:line="480" w:lineRule="auto"/>
        <w:rPr>
          <w:rFonts w:hint="eastAsia" w:ascii="宋体" w:hAnsi="宋体" w:eastAsia="宋体" w:cs="宋体"/>
          <w:b/>
          <w:color w:val="auto"/>
          <w:lang w:val="en-US" w:eastAsia="zh-CN"/>
        </w:rPr>
      </w:pPr>
      <w:r>
        <w:rPr>
          <w:rFonts w:hint="eastAsia" w:ascii="宋体" w:hAnsi="宋体" w:eastAsia="宋体" w:cs="宋体"/>
          <w:b/>
          <w:color w:val="auto"/>
          <w:lang w:val="en-US" w:eastAsia="zh-CN"/>
        </w:rPr>
        <w:t>六、其他：</w:t>
      </w:r>
    </w:p>
    <w:p>
      <w:pPr>
        <w:pStyle w:val="26"/>
        <w:spacing w:before="0" w:beforeAutospacing="0" w:after="0" w:afterAutospacing="0" w:line="480" w:lineRule="auto"/>
        <w:ind w:firstLine="482" w:firstLineChars="200"/>
        <w:rPr>
          <w:rFonts w:hint="eastAsia" w:ascii="宋体" w:hAnsi="宋体" w:eastAsia="宋体" w:cs="宋体"/>
          <w:b/>
          <w:bCs w:val="0"/>
          <w:color w:val="auto"/>
          <w:lang w:val="en-US" w:eastAsia="zh-CN"/>
        </w:rPr>
      </w:pPr>
      <w:r>
        <w:rPr>
          <w:rFonts w:hint="eastAsia" w:ascii="宋体" w:hAnsi="宋体" w:eastAsia="宋体" w:cs="宋体"/>
          <w:b/>
          <w:bCs w:val="0"/>
          <w:color w:val="auto"/>
          <w:lang w:val="en-US" w:eastAsia="zh-CN"/>
        </w:rPr>
        <w:t>磋商供应商按时提交</w:t>
      </w:r>
      <w:r>
        <w:rPr>
          <w:rFonts w:hint="eastAsia" w:ascii="宋体" w:hAnsi="宋体" w:eastAsia="宋体" w:cs="宋体"/>
          <w:b/>
          <w:bCs w:val="0"/>
          <w:color w:val="auto"/>
          <w:lang w:eastAsia="zh-CN"/>
        </w:rPr>
        <w:t>磋商</w:t>
      </w:r>
      <w:r>
        <w:rPr>
          <w:rFonts w:hint="eastAsia" w:ascii="宋体" w:hAnsi="宋体" w:eastAsia="宋体" w:cs="宋体"/>
          <w:b/>
          <w:bCs w:val="0"/>
          <w:color w:val="auto"/>
          <w:lang w:val="en-US" w:eastAsia="zh-CN"/>
        </w:rPr>
        <w:t>响应文件即视为响应全部商务要求，不得偏离。</w:t>
      </w:r>
    </w:p>
    <w:p>
      <w:pPr>
        <w:pStyle w:val="26"/>
        <w:spacing w:before="0" w:beforeAutospacing="0" w:after="0" w:afterAutospacing="0" w:line="480" w:lineRule="auto"/>
        <w:ind w:firstLine="723" w:firstLineChars="300"/>
        <w:rPr>
          <w:rFonts w:hint="eastAsia" w:ascii="宋体" w:hAnsi="宋体" w:eastAsia="宋体" w:cs="宋体"/>
          <w:b/>
          <w:bCs w:val="0"/>
          <w:color w:val="auto"/>
          <w:lang w:eastAsia="zh-CN"/>
        </w:rPr>
      </w:pPr>
      <w:r>
        <w:rPr>
          <w:rFonts w:hint="eastAsia" w:ascii="宋体" w:hAnsi="宋体" w:eastAsia="宋体" w:cs="宋体"/>
          <w:b/>
          <w:bCs w:val="0"/>
          <w:color w:val="auto"/>
          <w:lang w:eastAsia="zh-CN"/>
        </w:rPr>
        <w:t>注：商务要求为实质性要求，不得负偏离。</w:t>
      </w:r>
      <w:bookmarkEnd w:id="13"/>
      <w:bookmarkEnd w:id="14"/>
      <w:bookmarkEnd w:id="15"/>
      <w:bookmarkEnd w:id="16"/>
      <w:bookmarkEnd w:id="17"/>
    </w:p>
    <w:p>
      <w:pPr>
        <w:pStyle w:val="26"/>
        <w:spacing w:before="0" w:beforeAutospacing="0" w:after="0" w:afterAutospacing="0" w:line="480" w:lineRule="auto"/>
        <w:rPr>
          <w:rFonts w:hint="eastAsia" w:ascii="宋体" w:hAnsi="宋体" w:eastAsia="宋体" w:cs="宋体"/>
          <w:b/>
          <w:color w:val="auto"/>
          <w:lang w:val="en-US" w:eastAsia="zh-CN"/>
        </w:rPr>
      </w:pPr>
    </w:p>
    <w:p>
      <w:pPr>
        <w:pStyle w:val="26"/>
        <w:spacing w:before="0" w:beforeAutospacing="0" w:after="0" w:afterAutospacing="0" w:line="480" w:lineRule="auto"/>
        <w:rPr>
          <w:rFonts w:hint="eastAsia" w:ascii="宋体" w:hAnsi="宋体" w:eastAsia="宋体" w:cs="宋体"/>
          <w:b/>
          <w:color w:val="auto"/>
          <w:lang w:val="en-US" w:eastAsia="zh-CN"/>
        </w:rPr>
      </w:pPr>
    </w:p>
    <w:p>
      <w:pPr>
        <w:pStyle w:val="26"/>
        <w:spacing w:before="0" w:beforeAutospacing="0" w:after="0" w:afterAutospacing="0" w:line="480" w:lineRule="auto"/>
        <w:rPr>
          <w:rFonts w:hint="eastAsia" w:ascii="宋体" w:hAnsi="宋体" w:eastAsia="宋体" w:cs="宋体"/>
          <w:b/>
          <w:color w:val="auto"/>
          <w:lang w:val="en-US" w:eastAsia="zh-CN"/>
        </w:rPr>
      </w:pPr>
    </w:p>
    <w:p>
      <w:pPr>
        <w:pStyle w:val="26"/>
        <w:spacing w:before="0" w:beforeAutospacing="0" w:after="0" w:afterAutospacing="0" w:line="480" w:lineRule="auto"/>
        <w:rPr>
          <w:rFonts w:hint="eastAsia" w:ascii="宋体" w:hAnsi="宋体" w:eastAsia="宋体" w:cs="宋体"/>
          <w:b/>
          <w:color w:val="auto"/>
          <w:lang w:val="en-US" w:eastAsia="zh-CN"/>
        </w:rPr>
      </w:pPr>
    </w:p>
    <w:p>
      <w:pPr>
        <w:pStyle w:val="26"/>
        <w:spacing w:before="0" w:beforeAutospacing="0" w:after="0" w:afterAutospacing="0" w:line="480" w:lineRule="auto"/>
        <w:rPr>
          <w:rFonts w:hint="eastAsia" w:ascii="宋体" w:hAnsi="宋体" w:eastAsia="宋体" w:cs="宋体"/>
          <w:b/>
          <w:color w:val="auto"/>
          <w:lang w:val="en-US" w:eastAsia="zh-CN"/>
        </w:rPr>
      </w:pPr>
    </w:p>
    <w:p>
      <w:pPr>
        <w:pStyle w:val="26"/>
        <w:numPr>
          <w:ilvl w:val="0"/>
          <w:numId w:val="0"/>
        </w:numPr>
        <w:spacing w:before="0" w:beforeAutospacing="0" w:after="0" w:afterAutospacing="0" w:line="480" w:lineRule="auto"/>
        <w:rPr>
          <w:rFonts w:hint="eastAsia" w:cs="宋体"/>
          <w:b/>
          <w:color w:val="auto"/>
          <w:lang w:val="en-US" w:eastAsia="zh-CN"/>
        </w:rPr>
      </w:pPr>
      <w:r>
        <w:rPr>
          <w:rFonts w:hint="eastAsia" w:cs="宋体"/>
          <w:b/>
          <w:color w:val="auto"/>
          <w:lang w:val="en-US" w:eastAsia="zh-CN"/>
        </w:rPr>
        <w:t>七、最高限价公示：</w:t>
      </w:r>
    </w:p>
    <w:p>
      <w:pPr>
        <w:pStyle w:val="26"/>
        <w:numPr>
          <w:ilvl w:val="0"/>
          <w:numId w:val="0"/>
        </w:numPr>
        <w:spacing w:before="0" w:beforeAutospacing="0" w:after="0" w:afterAutospacing="0" w:line="480" w:lineRule="auto"/>
        <w:jc w:val="center"/>
        <w:rPr>
          <w:rFonts w:hint="eastAsia" w:cs="宋体"/>
          <w:b/>
          <w:bCs/>
          <w:color w:val="auto"/>
          <w:w w:val="100"/>
          <w:sz w:val="36"/>
          <w:szCs w:val="36"/>
          <w:lang w:eastAsia="zh-CN"/>
        </w:rPr>
      </w:pPr>
      <w:r>
        <w:rPr>
          <w:rFonts w:hint="eastAsia" w:cs="宋体"/>
          <w:b/>
          <w:bCs/>
          <w:color w:val="auto"/>
          <w:w w:val="100"/>
          <w:sz w:val="36"/>
          <w:szCs w:val="36"/>
          <w:lang w:eastAsia="zh-CN"/>
        </w:rPr>
        <w:t>汉中市南郑区“四改一拆一通一落地”-汉山街道办高庄村背街小巷硬化工程</w:t>
      </w:r>
    </w:p>
    <w:p>
      <w:pPr>
        <w:pStyle w:val="26"/>
        <w:numPr>
          <w:ilvl w:val="0"/>
          <w:numId w:val="0"/>
        </w:numPr>
        <w:spacing w:before="0" w:beforeAutospacing="0" w:after="0" w:afterAutospacing="0" w:line="480" w:lineRule="auto"/>
        <w:jc w:val="center"/>
        <w:rPr>
          <w:rFonts w:hint="eastAsia" w:cs="宋体"/>
          <w:b/>
          <w:bCs/>
          <w:color w:val="auto"/>
          <w:w w:val="100"/>
          <w:sz w:val="36"/>
          <w:szCs w:val="36"/>
          <w:lang w:eastAsia="zh-CN"/>
        </w:rPr>
      </w:pPr>
      <w:r>
        <w:rPr>
          <w:rFonts w:hint="eastAsia" w:cs="宋体"/>
          <w:b/>
          <w:bCs/>
          <w:color w:val="auto"/>
          <w:w w:val="100"/>
          <w:sz w:val="36"/>
          <w:szCs w:val="36"/>
          <w:lang w:eastAsia="zh-CN"/>
        </w:rPr>
        <w:t>最高限价公示</w:t>
      </w:r>
    </w:p>
    <w:p>
      <w:pPr>
        <w:keepNext w:val="0"/>
        <w:keepLines w:val="0"/>
        <w:pageBreakBefore w:val="0"/>
        <w:widowControl w:val="0"/>
        <w:numPr>
          <w:ilvl w:val="0"/>
          <w:numId w:val="2"/>
        </w:numPr>
        <w:kinsoku/>
        <w:wordWrap/>
        <w:overflowPunct/>
        <w:topLinePunct w:val="0"/>
        <w:autoSpaceDE/>
        <w:autoSpaceDN/>
        <w:bidi w:val="0"/>
        <w:adjustRightInd/>
        <w:snapToGrid/>
        <w:spacing w:line="700" w:lineRule="exact"/>
        <w:jc w:val="left"/>
        <w:textAlignment w:val="auto"/>
        <w:rPr>
          <w:rFonts w:hint="eastAsia" w:ascii="宋体" w:hAnsi="宋体" w:eastAsia="宋体" w:cs="宋体"/>
          <w:b/>
          <w:color w:val="auto"/>
          <w:sz w:val="32"/>
          <w:szCs w:val="32"/>
          <w:lang w:val="en-US" w:eastAsia="zh-CN"/>
        </w:rPr>
      </w:pPr>
      <w:r>
        <w:rPr>
          <w:rFonts w:hint="eastAsia" w:ascii="宋体" w:hAnsi="宋体" w:eastAsia="宋体" w:cs="宋体"/>
          <w:b/>
          <w:color w:val="auto"/>
          <w:sz w:val="32"/>
          <w:szCs w:val="32"/>
          <w:lang w:val="en-US" w:eastAsia="zh-CN"/>
        </w:rPr>
        <w:t>最高限价：1,767,954.26元</w:t>
      </w:r>
    </w:p>
    <w:p>
      <w:pPr>
        <w:keepNext w:val="0"/>
        <w:keepLines w:val="0"/>
        <w:pageBreakBefore w:val="0"/>
        <w:widowControl w:val="0"/>
        <w:numPr>
          <w:ilvl w:val="0"/>
          <w:numId w:val="0"/>
        </w:numPr>
        <w:kinsoku/>
        <w:wordWrap/>
        <w:overflowPunct/>
        <w:topLinePunct w:val="0"/>
        <w:autoSpaceDE/>
        <w:autoSpaceDN/>
        <w:bidi w:val="0"/>
        <w:adjustRightInd/>
        <w:snapToGrid/>
        <w:spacing w:line="700" w:lineRule="exact"/>
        <w:ind w:firstLine="640" w:firstLineChars="200"/>
        <w:jc w:val="left"/>
        <w:textAlignment w:val="auto"/>
        <w:rPr>
          <w:rFonts w:hint="eastAsia" w:ascii="宋体" w:hAnsi="宋体" w:eastAsia="宋体" w:cs="宋体"/>
          <w:b w:val="0"/>
          <w:bCs/>
          <w:color w:val="auto"/>
          <w:sz w:val="32"/>
          <w:szCs w:val="32"/>
          <w:u w:val="none"/>
          <w:lang w:val="en-US" w:eastAsia="zh-CN"/>
        </w:rPr>
      </w:pPr>
      <w:r>
        <w:rPr>
          <w:rFonts w:hint="eastAsia" w:ascii="宋体" w:hAnsi="宋体" w:eastAsia="宋体" w:cs="宋体"/>
          <w:b w:val="0"/>
          <w:bCs/>
          <w:color w:val="auto"/>
          <w:sz w:val="32"/>
          <w:szCs w:val="32"/>
          <w:lang w:val="en-US" w:eastAsia="zh-CN"/>
        </w:rPr>
        <w:t>大写：</w:t>
      </w:r>
      <w:r>
        <w:rPr>
          <w:rFonts w:hint="eastAsia" w:ascii="宋体" w:hAnsi="宋体" w:cs="宋体"/>
          <w:b w:val="0"/>
          <w:bCs/>
          <w:color w:val="auto"/>
          <w:sz w:val="32"/>
          <w:szCs w:val="32"/>
          <w:u w:val="single"/>
          <w:lang w:val="en-US" w:eastAsia="zh-CN"/>
        </w:rPr>
        <w:t>壹佰柒拾陆万柒仟玖佰伍拾肆元贰角陆分</w:t>
      </w:r>
    </w:p>
    <w:p>
      <w:pPr>
        <w:keepNext w:val="0"/>
        <w:keepLines w:val="0"/>
        <w:pageBreakBefore w:val="0"/>
        <w:widowControl w:val="0"/>
        <w:numPr>
          <w:ilvl w:val="0"/>
          <w:numId w:val="2"/>
        </w:numPr>
        <w:kinsoku/>
        <w:wordWrap/>
        <w:overflowPunct/>
        <w:topLinePunct w:val="0"/>
        <w:autoSpaceDE/>
        <w:autoSpaceDN/>
        <w:bidi w:val="0"/>
        <w:adjustRightInd/>
        <w:snapToGrid/>
        <w:spacing w:line="700" w:lineRule="exact"/>
        <w:ind w:left="0" w:leftChars="0" w:firstLine="0" w:firstLineChars="0"/>
        <w:jc w:val="left"/>
        <w:textAlignment w:val="auto"/>
        <w:rPr>
          <w:rFonts w:hint="eastAsia" w:ascii="宋体" w:hAnsi="宋体" w:eastAsia="宋体" w:cs="宋体"/>
          <w:b/>
          <w:bCs w:val="0"/>
          <w:color w:val="auto"/>
          <w:sz w:val="32"/>
          <w:szCs w:val="32"/>
          <w:u w:val="none"/>
          <w:lang w:val="en-US" w:eastAsia="zh-CN"/>
        </w:rPr>
      </w:pPr>
      <w:r>
        <w:rPr>
          <w:rFonts w:hint="eastAsia" w:ascii="宋体" w:hAnsi="宋体" w:eastAsia="宋体" w:cs="宋体"/>
          <w:b/>
          <w:bCs w:val="0"/>
          <w:color w:val="auto"/>
          <w:sz w:val="32"/>
          <w:szCs w:val="32"/>
          <w:u w:val="none"/>
          <w:lang w:val="en-US" w:eastAsia="zh-CN"/>
        </w:rPr>
        <w:t>措施项目费汇总价：</w:t>
      </w:r>
      <w:r>
        <w:rPr>
          <w:rFonts w:hint="eastAsia" w:ascii="宋体" w:hAnsi="宋体" w:cs="宋体"/>
          <w:b/>
          <w:bCs w:val="0"/>
          <w:color w:val="auto"/>
          <w:sz w:val="32"/>
          <w:szCs w:val="32"/>
          <w:u w:val="none"/>
          <w:lang w:val="en-US" w:eastAsia="zh-CN"/>
        </w:rPr>
        <w:t>107,042.60</w:t>
      </w:r>
      <w:r>
        <w:rPr>
          <w:rFonts w:hint="eastAsia" w:ascii="宋体" w:hAnsi="宋体" w:eastAsia="宋体" w:cs="宋体"/>
          <w:b/>
          <w:bCs w:val="0"/>
          <w:color w:val="auto"/>
          <w:sz w:val="32"/>
          <w:szCs w:val="32"/>
          <w:u w:val="none"/>
          <w:lang w:val="en-US" w:eastAsia="zh-CN"/>
        </w:rPr>
        <w:t>元</w:t>
      </w:r>
    </w:p>
    <w:p>
      <w:pPr>
        <w:keepNext w:val="0"/>
        <w:keepLines w:val="0"/>
        <w:pageBreakBefore w:val="0"/>
        <w:widowControl w:val="0"/>
        <w:numPr>
          <w:ilvl w:val="0"/>
          <w:numId w:val="0"/>
        </w:numPr>
        <w:kinsoku/>
        <w:wordWrap/>
        <w:overflowPunct/>
        <w:topLinePunct w:val="0"/>
        <w:autoSpaceDE/>
        <w:autoSpaceDN/>
        <w:bidi w:val="0"/>
        <w:adjustRightInd/>
        <w:snapToGrid/>
        <w:spacing w:line="700" w:lineRule="exact"/>
        <w:ind w:leftChars="0" w:firstLine="640"/>
        <w:jc w:val="left"/>
        <w:textAlignment w:val="auto"/>
        <w:rPr>
          <w:rFonts w:hint="eastAsia" w:ascii="宋体" w:hAnsi="宋体" w:eastAsia="宋体" w:cs="宋体"/>
          <w:b w:val="0"/>
          <w:bCs/>
          <w:color w:val="auto"/>
          <w:sz w:val="32"/>
          <w:szCs w:val="32"/>
          <w:u w:val="single"/>
          <w:lang w:val="en-US" w:eastAsia="zh-CN"/>
        </w:rPr>
      </w:pPr>
      <w:r>
        <w:rPr>
          <w:rFonts w:hint="eastAsia" w:ascii="宋体" w:hAnsi="宋体" w:eastAsia="宋体" w:cs="宋体"/>
          <w:b w:val="0"/>
          <w:bCs/>
          <w:color w:val="auto"/>
          <w:sz w:val="32"/>
          <w:szCs w:val="32"/>
          <w:lang w:val="en-US" w:eastAsia="zh-CN"/>
        </w:rPr>
        <w:t>大写：</w:t>
      </w:r>
      <w:r>
        <w:rPr>
          <w:rFonts w:hint="eastAsia" w:ascii="宋体" w:hAnsi="宋体" w:cs="宋体"/>
          <w:b w:val="0"/>
          <w:bCs/>
          <w:color w:val="auto"/>
          <w:sz w:val="32"/>
          <w:szCs w:val="32"/>
          <w:u w:val="single"/>
          <w:lang w:val="en-US" w:eastAsia="zh-CN"/>
        </w:rPr>
        <w:t xml:space="preserve">壹拾万零柒仟零肆拾贰元陆角整     </w:t>
      </w:r>
      <w:r>
        <w:rPr>
          <w:rFonts w:hint="eastAsia" w:ascii="宋体" w:hAnsi="宋体" w:eastAsia="宋体" w:cs="宋体"/>
          <w:b w:val="0"/>
          <w:bCs/>
          <w:color w:val="FFFFFF" w:themeColor="background1"/>
          <w:sz w:val="32"/>
          <w:szCs w:val="32"/>
          <w:u w:val="single"/>
          <w:lang w:val="en-US" w:eastAsia="zh-CN"/>
          <w14:textFill>
            <w14:solidFill>
              <w14:schemeClr w14:val="bg1"/>
            </w14:solidFill>
          </w14:textFill>
        </w:rPr>
        <w:t>的</w:t>
      </w:r>
    </w:p>
    <w:p>
      <w:pPr>
        <w:keepNext w:val="0"/>
        <w:keepLines w:val="0"/>
        <w:pageBreakBefore w:val="0"/>
        <w:widowControl w:val="0"/>
        <w:numPr>
          <w:ilvl w:val="0"/>
          <w:numId w:val="2"/>
        </w:numPr>
        <w:kinsoku/>
        <w:wordWrap/>
        <w:overflowPunct/>
        <w:topLinePunct w:val="0"/>
        <w:autoSpaceDE/>
        <w:autoSpaceDN/>
        <w:bidi w:val="0"/>
        <w:adjustRightInd/>
        <w:snapToGrid/>
        <w:spacing w:line="700" w:lineRule="exact"/>
        <w:ind w:left="0" w:leftChars="0" w:firstLine="0" w:firstLineChars="0"/>
        <w:jc w:val="left"/>
        <w:textAlignment w:val="auto"/>
        <w:rPr>
          <w:rFonts w:hint="eastAsia" w:ascii="宋体" w:hAnsi="宋体" w:eastAsia="宋体" w:cs="宋体"/>
          <w:b/>
          <w:bCs w:val="0"/>
          <w:color w:val="auto"/>
          <w:sz w:val="32"/>
          <w:szCs w:val="32"/>
          <w:u w:val="none"/>
          <w:lang w:val="en-US" w:eastAsia="zh-CN"/>
        </w:rPr>
      </w:pPr>
      <w:r>
        <w:rPr>
          <w:rFonts w:hint="eastAsia" w:ascii="宋体" w:hAnsi="宋体" w:eastAsia="宋体" w:cs="宋体"/>
          <w:b/>
          <w:bCs w:val="0"/>
          <w:color w:val="auto"/>
          <w:sz w:val="32"/>
          <w:szCs w:val="32"/>
          <w:u w:val="none"/>
          <w:lang w:val="en-US" w:eastAsia="zh-CN"/>
        </w:rPr>
        <w:t>分部分项工程费汇总价：</w:t>
      </w:r>
      <w:r>
        <w:rPr>
          <w:rFonts w:hint="eastAsia" w:ascii="宋体" w:hAnsi="宋体" w:cs="宋体"/>
          <w:b/>
          <w:bCs w:val="0"/>
          <w:color w:val="auto"/>
          <w:sz w:val="32"/>
          <w:szCs w:val="32"/>
          <w:u w:val="none"/>
          <w:lang w:val="en-US" w:eastAsia="zh-CN"/>
        </w:rPr>
        <w:t>1,491,485.94</w:t>
      </w:r>
      <w:r>
        <w:rPr>
          <w:rFonts w:hint="eastAsia" w:ascii="宋体" w:hAnsi="宋体" w:eastAsia="宋体" w:cs="宋体"/>
          <w:b/>
          <w:bCs w:val="0"/>
          <w:color w:val="auto"/>
          <w:sz w:val="32"/>
          <w:szCs w:val="32"/>
          <w:u w:val="none"/>
          <w:lang w:val="en-US" w:eastAsia="zh-CN"/>
        </w:rPr>
        <w:t>元</w:t>
      </w:r>
    </w:p>
    <w:p>
      <w:pPr>
        <w:keepNext w:val="0"/>
        <w:keepLines w:val="0"/>
        <w:pageBreakBefore w:val="0"/>
        <w:widowControl w:val="0"/>
        <w:numPr>
          <w:ilvl w:val="0"/>
          <w:numId w:val="0"/>
        </w:numPr>
        <w:kinsoku/>
        <w:wordWrap/>
        <w:overflowPunct/>
        <w:topLinePunct w:val="0"/>
        <w:autoSpaceDE/>
        <w:autoSpaceDN/>
        <w:bidi w:val="0"/>
        <w:adjustRightInd/>
        <w:snapToGrid/>
        <w:spacing w:line="700" w:lineRule="exact"/>
        <w:ind w:leftChars="0" w:firstLine="640"/>
        <w:jc w:val="left"/>
        <w:textAlignment w:val="auto"/>
        <w:rPr>
          <w:rFonts w:hint="eastAsia" w:ascii="宋体" w:hAnsi="宋体" w:eastAsia="宋体" w:cs="宋体"/>
          <w:b w:val="0"/>
          <w:bCs/>
          <w:color w:val="auto"/>
          <w:sz w:val="32"/>
          <w:szCs w:val="32"/>
          <w:u w:val="single"/>
          <w:lang w:val="en-US" w:eastAsia="zh-CN"/>
        </w:rPr>
      </w:pPr>
      <w:r>
        <w:rPr>
          <w:rFonts w:hint="eastAsia" w:ascii="宋体" w:hAnsi="宋体" w:eastAsia="宋体" w:cs="宋体"/>
          <w:b w:val="0"/>
          <w:bCs/>
          <w:color w:val="auto"/>
          <w:sz w:val="32"/>
          <w:szCs w:val="32"/>
          <w:u w:val="none"/>
          <w:lang w:val="en-US" w:eastAsia="zh-CN"/>
        </w:rPr>
        <w:t>大写：</w:t>
      </w:r>
      <w:r>
        <w:rPr>
          <w:rFonts w:hint="eastAsia" w:ascii="宋体" w:hAnsi="宋体" w:cs="宋体"/>
          <w:b w:val="0"/>
          <w:bCs/>
          <w:color w:val="auto"/>
          <w:sz w:val="32"/>
          <w:szCs w:val="32"/>
          <w:u w:val="single"/>
          <w:lang w:val="en-US" w:eastAsia="zh-CN"/>
        </w:rPr>
        <w:t>壹佰肆拾玖万壹仟肆佰捌拾伍元玖角肆分</w:t>
      </w:r>
    </w:p>
    <w:p>
      <w:pPr>
        <w:keepNext w:val="0"/>
        <w:keepLines w:val="0"/>
        <w:pageBreakBefore w:val="0"/>
        <w:widowControl w:val="0"/>
        <w:numPr>
          <w:ilvl w:val="0"/>
          <w:numId w:val="0"/>
        </w:numPr>
        <w:kinsoku/>
        <w:wordWrap/>
        <w:overflowPunct/>
        <w:topLinePunct w:val="0"/>
        <w:autoSpaceDE/>
        <w:autoSpaceDN/>
        <w:bidi w:val="0"/>
        <w:adjustRightInd/>
        <w:snapToGrid/>
        <w:spacing w:line="700" w:lineRule="exact"/>
        <w:ind w:leftChars="0" w:firstLine="640"/>
        <w:jc w:val="left"/>
        <w:textAlignment w:val="auto"/>
        <w:rPr>
          <w:rFonts w:hint="eastAsia" w:ascii="宋体" w:hAnsi="宋体" w:eastAsia="宋体" w:cs="宋体"/>
          <w:b/>
          <w:bCs w:val="0"/>
          <w:color w:val="auto"/>
          <w:sz w:val="32"/>
          <w:szCs w:val="32"/>
          <w:u w:val="none"/>
          <w:lang w:val="en-US" w:eastAsia="zh-CN"/>
        </w:rPr>
      </w:pPr>
      <w:r>
        <w:rPr>
          <w:rFonts w:hint="eastAsia" w:ascii="宋体" w:hAnsi="宋体" w:eastAsia="宋体" w:cs="宋体"/>
          <w:b/>
          <w:bCs w:val="0"/>
          <w:color w:val="auto"/>
          <w:sz w:val="32"/>
          <w:szCs w:val="32"/>
          <w:u w:val="none"/>
          <w:lang w:val="en-US" w:eastAsia="zh-CN"/>
        </w:rPr>
        <w:t>注：规费中含养老统筹：</w:t>
      </w:r>
      <w:r>
        <w:rPr>
          <w:rFonts w:hint="eastAsia" w:ascii="宋体" w:hAnsi="宋体" w:cs="宋体"/>
          <w:b/>
          <w:bCs w:val="0"/>
          <w:color w:val="auto"/>
          <w:sz w:val="32"/>
          <w:szCs w:val="32"/>
          <w:u w:val="none"/>
          <w:lang w:val="en-US" w:eastAsia="zh-CN"/>
        </w:rPr>
        <w:t>56,747.76</w:t>
      </w:r>
      <w:r>
        <w:rPr>
          <w:rFonts w:hint="eastAsia" w:ascii="宋体" w:hAnsi="宋体" w:eastAsia="宋体" w:cs="宋体"/>
          <w:b/>
          <w:bCs w:val="0"/>
          <w:color w:val="auto"/>
          <w:sz w:val="32"/>
          <w:szCs w:val="32"/>
          <w:u w:val="none"/>
          <w:lang w:val="en-US" w:eastAsia="zh-CN"/>
        </w:rPr>
        <w:t>元。</w:t>
      </w:r>
    </w:p>
    <w:p>
      <w:pPr>
        <w:pStyle w:val="2"/>
        <w:rPr>
          <w:rFonts w:hint="eastAsia" w:ascii="宋体" w:hAnsi="宋体" w:eastAsia="宋体" w:cs="宋体"/>
          <w:b/>
          <w:bCs w:val="0"/>
          <w:color w:val="auto"/>
          <w:sz w:val="32"/>
          <w:szCs w:val="32"/>
          <w:u w:val="none"/>
          <w:lang w:val="en-US" w:eastAsia="zh-CN"/>
        </w:rPr>
      </w:pPr>
    </w:p>
    <w:p>
      <w:pPr>
        <w:pStyle w:val="2"/>
        <w:ind w:left="0" w:leftChars="0" w:firstLine="0" w:firstLineChars="0"/>
        <w:rPr>
          <w:rFonts w:hint="eastAsia" w:ascii="宋体" w:hAnsi="宋体" w:eastAsia="宋体" w:cs="宋体"/>
          <w:b/>
          <w:bCs w:val="0"/>
          <w:color w:val="auto"/>
          <w:sz w:val="32"/>
          <w:szCs w:val="32"/>
          <w:u w:val="none"/>
          <w:lang w:val="en-US" w:eastAsia="zh-CN"/>
        </w:rPr>
      </w:pPr>
    </w:p>
    <w:p>
      <w:pPr>
        <w:pStyle w:val="2"/>
        <w:ind w:left="0" w:leftChars="0" w:firstLine="0" w:firstLineChars="0"/>
        <w:rPr>
          <w:rFonts w:hint="eastAsia" w:ascii="宋体" w:hAnsi="宋体" w:eastAsia="宋体" w:cs="宋体"/>
          <w:b/>
          <w:bCs w:val="0"/>
          <w:color w:val="auto"/>
          <w:sz w:val="32"/>
          <w:szCs w:val="32"/>
          <w:u w:val="none"/>
          <w:lang w:val="en-US" w:eastAsia="zh-CN"/>
        </w:rPr>
      </w:pPr>
      <w:r>
        <w:rPr>
          <w:rFonts w:hint="eastAsia" w:ascii="宋体" w:hAnsi="宋体" w:eastAsia="宋体" w:cs="宋体"/>
          <w:b/>
          <w:bCs w:val="0"/>
          <w:color w:val="auto"/>
          <w:sz w:val="32"/>
          <w:szCs w:val="32"/>
          <w:u w:val="none"/>
          <w:lang w:val="en-US" w:eastAsia="zh-CN"/>
        </w:rPr>
        <w:t>编制人（签章）：</w:t>
      </w:r>
    </w:p>
    <w:p>
      <w:pPr>
        <w:pStyle w:val="2"/>
        <w:ind w:left="0" w:leftChars="0" w:firstLine="0" w:firstLineChars="0"/>
        <w:rPr>
          <w:rFonts w:hint="eastAsia" w:ascii="宋体" w:hAnsi="宋体" w:eastAsia="宋体" w:cs="宋体"/>
          <w:b/>
          <w:bCs w:val="0"/>
          <w:color w:val="auto"/>
          <w:sz w:val="32"/>
          <w:szCs w:val="32"/>
          <w:u w:val="none"/>
          <w:lang w:val="en-US" w:eastAsia="zh-CN"/>
        </w:rPr>
      </w:pPr>
    </w:p>
    <w:p>
      <w:pPr>
        <w:pStyle w:val="2"/>
        <w:ind w:left="0" w:leftChars="0" w:firstLine="0" w:firstLineChars="0"/>
        <w:rPr>
          <w:rFonts w:hint="eastAsia" w:ascii="宋体" w:hAnsi="宋体" w:eastAsia="宋体" w:cs="宋体"/>
          <w:b/>
          <w:bCs w:val="0"/>
          <w:color w:val="auto"/>
          <w:sz w:val="32"/>
          <w:szCs w:val="32"/>
          <w:u w:val="none"/>
          <w:lang w:val="en-US" w:eastAsia="zh-CN"/>
        </w:rPr>
      </w:pPr>
    </w:p>
    <w:p>
      <w:pPr>
        <w:pStyle w:val="2"/>
        <w:ind w:left="0" w:leftChars="0" w:firstLine="0" w:firstLineChars="0"/>
        <w:rPr>
          <w:rFonts w:hint="eastAsia" w:ascii="宋体" w:hAnsi="宋体" w:eastAsia="宋体" w:cs="宋体"/>
          <w:b/>
          <w:bCs w:val="0"/>
          <w:color w:val="auto"/>
          <w:sz w:val="32"/>
          <w:szCs w:val="32"/>
          <w:u w:val="none"/>
          <w:lang w:val="en-US" w:eastAsia="zh-CN"/>
        </w:rPr>
      </w:pPr>
      <w:r>
        <w:rPr>
          <w:rFonts w:hint="eastAsia" w:ascii="宋体" w:hAnsi="宋体" w:eastAsia="宋体" w:cs="宋体"/>
          <w:b/>
          <w:bCs w:val="0"/>
          <w:color w:val="auto"/>
          <w:sz w:val="32"/>
          <w:szCs w:val="32"/>
          <w:u w:val="none"/>
          <w:lang w:val="en-US" w:eastAsia="zh-CN"/>
        </w:rPr>
        <w:t>复核人（签章）：</w:t>
      </w:r>
    </w:p>
    <w:p>
      <w:pPr>
        <w:pStyle w:val="2"/>
        <w:ind w:left="0" w:leftChars="0" w:firstLine="0" w:firstLineChars="0"/>
        <w:rPr>
          <w:rFonts w:hint="eastAsia" w:ascii="宋体" w:hAnsi="宋体" w:eastAsia="宋体" w:cs="宋体"/>
          <w:b/>
          <w:bCs w:val="0"/>
          <w:color w:val="auto"/>
          <w:sz w:val="32"/>
          <w:szCs w:val="32"/>
          <w:u w:val="none"/>
          <w:lang w:val="en-US" w:eastAsia="zh-CN"/>
        </w:rPr>
      </w:pPr>
    </w:p>
    <w:p>
      <w:pPr>
        <w:pStyle w:val="2"/>
        <w:ind w:left="0" w:leftChars="0" w:firstLine="0" w:firstLineChars="0"/>
        <w:rPr>
          <w:rFonts w:hint="eastAsia" w:ascii="宋体" w:hAnsi="宋体" w:eastAsia="宋体" w:cs="宋体"/>
          <w:b/>
          <w:bCs w:val="0"/>
          <w:color w:val="auto"/>
          <w:sz w:val="32"/>
          <w:szCs w:val="32"/>
          <w:u w:val="none"/>
          <w:lang w:val="en-US" w:eastAsia="zh-CN"/>
        </w:rPr>
      </w:pPr>
    </w:p>
    <w:p>
      <w:pPr>
        <w:pStyle w:val="2"/>
        <w:ind w:left="0" w:leftChars="0" w:firstLine="0" w:firstLineChars="0"/>
        <w:jc w:val="center"/>
        <w:rPr>
          <w:rFonts w:hint="default" w:ascii="宋体" w:hAnsi="宋体" w:eastAsia="宋体" w:cs="宋体"/>
          <w:b/>
          <w:bCs w:val="0"/>
          <w:color w:val="auto"/>
          <w:sz w:val="32"/>
          <w:szCs w:val="32"/>
          <w:u w:val="none"/>
          <w:lang w:val="en-US" w:eastAsia="zh-CN"/>
        </w:rPr>
      </w:pPr>
      <w:r>
        <w:rPr>
          <w:rFonts w:hint="eastAsia" w:ascii="宋体" w:hAnsi="宋体" w:eastAsia="宋体" w:cs="宋体"/>
          <w:b/>
          <w:bCs w:val="0"/>
          <w:color w:val="auto"/>
          <w:sz w:val="32"/>
          <w:szCs w:val="32"/>
          <w:u w:val="none"/>
          <w:lang w:val="en-US" w:eastAsia="zh-CN"/>
        </w:rPr>
        <w:t xml:space="preserve">                                      2022年8月08日</w:t>
      </w:r>
    </w:p>
    <w:p>
      <w:pPr>
        <w:pStyle w:val="26"/>
        <w:numPr>
          <w:ilvl w:val="0"/>
          <w:numId w:val="0"/>
        </w:numPr>
        <w:spacing w:before="0" w:beforeAutospacing="0" w:after="0" w:afterAutospacing="0" w:line="480" w:lineRule="auto"/>
        <w:rPr>
          <w:rFonts w:hint="eastAsia" w:cs="宋体"/>
          <w:b/>
          <w:color w:val="auto"/>
          <w:sz w:val="28"/>
          <w:szCs w:val="28"/>
          <w:lang w:val="en-US" w:eastAsia="zh-CN"/>
        </w:rPr>
      </w:pPr>
      <w:r>
        <w:rPr>
          <w:rFonts w:hint="eastAsia" w:cs="宋体"/>
          <w:b/>
          <w:color w:val="auto"/>
          <w:sz w:val="28"/>
          <w:szCs w:val="28"/>
          <w:lang w:val="en-US" w:eastAsia="zh-CN"/>
        </w:rPr>
        <w:t>八、工程量清单：</w:t>
      </w:r>
    </w:p>
    <w:p>
      <w:pPr>
        <w:pStyle w:val="26"/>
        <w:numPr>
          <w:ilvl w:val="0"/>
          <w:numId w:val="0"/>
        </w:numPr>
        <w:spacing w:before="0" w:beforeAutospacing="0" w:after="0" w:afterAutospacing="0" w:line="480" w:lineRule="auto"/>
        <w:rPr>
          <w:rFonts w:hint="eastAsia" w:cs="宋体"/>
          <w:b/>
          <w:color w:val="auto"/>
          <w:sz w:val="28"/>
          <w:szCs w:val="28"/>
          <w:lang w:val="en-US" w:eastAsia="zh-CN"/>
        </w:rPr>
      </w:pPr>
    </w:p>
    <w:p>
      <w:pPr>
        <w:pStyle w:val="26"/>
        <w:numPr>
          <w:ilvl w:val="0"/>
          <w:numId w:val="0"/>
        </w:numPr>
        <w:spacing w:before="0" w:beforeAutospacing="0" w:after="0" w:afterAutospacing="0" w:line="480" w:lineRule="auto"/>
        <w:rPr>
          <w:rFonts w:hint="eastAsia" w:cs="宋体"/>
          <w:b/>
          <w:color w:val="auto"/>
          <w:sz w:val="28"/>
          <w:szCs w:val="28"/>
          <w:lang w:val="en-US" w:eastAsia="zh-CN"/>
        </w:rPr>
      </w:pPr>
      <w:r>
        <w:rPr>
          <w:rFonts w:hint="eastAsia" w:cs="宋体"/>
          <w:b/>
          <w:color w:val="auto"/>
          <w:sz w:val="28"/>
          <w:szCs w:val="28"/>
          <w:lang w:val="en-US" w:eastAsia="zh-CN"/>
        </w:rPr>
        <w:t>（见后附）</w:t>
      </w:r>
    </w:p>
    <w:p>
      <w:pPr>
        <w:pStyle w:val="13"/>
        <w:rPr>
          <w:rFonts w:hint="eastAsia" w:ascii="宋体" w:hAnsi="宋体" w:eastAsia="宋体" w:cs="宋体"/>
          <w:color w:val="auto"/>
          <w:lang w:eastAsia="zh-CN"/>
        </w:rPr>
      </w:pPr>
    </w:p>
    <w:p>
      <w:pPr>
        <w:rPr>
          <w:rFonts w:hint="eastAsia" w:ascii="宋体" w:hAnsi="宋体" w:eastAsia="宋体" w:cs="宋体"/>
          <w:color w:val="auto"/>
          <w:lang w:eastAsia="zh-CN"/>
        </w:rPr>
      </w:pPr>
    </w:p>
    <w:p>
      <w:pPr>
        <w:pStyle w:val="13"/>
        <w:rPr>
          <w:rFonts w:hint="eastAsia" w:ascii="宋体" w:hAnsi="宋体" w:eastAsia="宋体" w:cs="宋体"/>
          <w:color w:val="auto"/>
          <w:lang w:eastAsia="zh-CN"/>
        </w:rPr>
      </w:pPr>
    </w:p>
    <w:p>
      <w:pPr>
        <w:rPr>
          <w:rFonts w:hint="eastAsia" w:ascii="宋体" w:hAnsi="宋体" w:eastAsia="宋体" w:cs="宋体"/>
          <w:color w:val="auto"/>
          <w:lang w:eastAsia="zh-CN"/>
        </w:rPr>
      </w:pPr>
    </w:p>
    <w:p>
      <w:pPr>
        <w:pStyle w:val="13"/>
        <w:rPr>
          <w:rFonts w:hint="eastAsia" w:ascii="宋体" w:hAnsi="宋体" w:eastAsia="宋体" w:cs="宋体"/>
          <w:color w:val="auto"/>
          <w:lang w:eastAsia="zh-CN"/>
        </w:rPr>
      </w:pPr>
    </w:p>
    <w:p>
      <w:pPr>
        <w:rPr>
          <w:rFonts w:hint="eastAsia" w:ascii="宋体" w:hAnsi="宋体" w:eastAsia="宋体" w:cs="宋体"/>
          <w:color w:val="auto"/>
          <w:lang w:eastAsia="zh-CN"/>
        </w:rPr>
      </w:pPr>
    </w:p>
    <w:p>
      <w:pPr>
        <w:pStyle w:val="13"/>
        <w:rPr>
          <w:rFonts w:hint="eastAsia" w:ascii="宋体" w:hAnsi="宋体" w:eastAsia="宋体" w:cs="宋体"/>
          <w:color w:val="auto"/>
          <w:lang w:eastAsia="zh-CN"/>
        </w:rPr>
      </w:pPr>
    </w:p>
    <w:p>
      <w:pPr>
        <w:pStyle w:val="26"/>
        <w:spacing w:before="0" w:beforeAutospacing="0" w:after="0" w:afterAutospacing="0" w:line="480" w:lineRule="auto"/>
        <w:jc w:val="center"/>
        <w:rPr>
          <w:rFonts w:hint="eastAsia" w:ascii="宋体" w:hAnsi="宋体" w:eastAsia="宋体" w:cs="宋体"/>
          <w:b/>
          <w:color w:val="auto"/>
          <w:spacing w:val="-20"/>
          <w:sz w:val="32"/>
          <w:szCs w:val="24"/>
        </w:rPr>
        <w:sectPr>
          <w:headerReference r:id="rId8" w:type="default"/>
          <w:footerReference r:id="rId9" w:type="default"/>
          <w:pgSz w:w="11906" w:h="16838"/>
          <w:pgMar w:top="1440" w:right="1242" w:bottom="1440" w:left="1502" w:header="851" w:footer="992" w:gutter="0"/>
          <w:pgNumType w:fmt="numberInDash"/>
          <w:cols w:space="720" w:num="1"/>
          <w:docGrid w:linePitch="312" w:charSpace="0"/>
        </w:sectPr>
      </w:pPr>
    </w:p>
    <w:p>
      <w:pPr>
        <w:pStyle w:val="4"/>
        <w:numPr>
          <w:ilvl w:val="0"/>
          <w:numId w:val="0"/>
        </w:numPr>
        <w:ind w:left="2940" w:leftChars="0"/>
        <w:jc w:val="left"/>
        <w:rPr>
          <w:rFonts w:hint="eastAsia" w:ascii="宋体" w:hAnsi="宋体" w:eastAsia="宋体" w:cs="宋体"/>
          <w:b/>
          <w:color w:val="auto"/>
          <w:spacing w:val="-20"/>
          <w:sz w:val="36"/>
          <w:szCs w:val="28"/>
        </w:rPr>
      </w:pPr>
      <w:bookmarkStart w:id="18" w:name="_Toc78884381"/>
      <w:r>
        <w:rPr>
          <w:rFonts w:hint="eastAsia" w:ascii="宋体" w:hAnsi="宋体" w:eastAsia="宋体" w:cs="宋体"/>
          <w:b/>
          <w:color w:val="auto"/>
          <w:spacing w:val="-20"/>
          <w:sz w:val="36"/>
          <w:szCs w:val="28"/>
          <w:lang w:eastAsia="zh-CN"/>
        </w:rPr>
        <w:t>第五章</w:t>
      </w:r>
      <w:r>
        <w:rPr>
          <w:rFonts w:hint="eastAsia" w:ascii="宋体" w:hAnsi="宋体" w:eastAsia="宋体" w:cs="宋体"/>
          <w:b/>
          <w:color w:val="auto"/>
          <w:spacing w:val="-20"/>
          <w:sz w:val="36"/>
          <w:szCs w:val="28"/>
          <w:lang w:val="en-US" w:eastAsia="zh-CN"/>
        </w:rPr>
        <w:t xml:space="preserve">     </w:t>
      </w:r>
      <w:r>
        <w:rPr>
          <w:rFonts w:hint="eastAsia" w:ascii="宋体" w:hAnsi="宋体" w:eastAsia="宋体" w:cs="宋体"/>
          <w:b/>
          <w:color w:val="auto"/>
          <w:spacing w:val="-20"/>
          <w:sz w:val="36"/>
          <w:szCs w:val="28"/>
        </w:rPr>
        <w:t>合同条款及格式</w:t>
      </w:r>
      <w:bookmarkEnd w:id="18"/>
    </w:p>
    <w:p>
      <w:pPr>
        <w:jc w:val="left"/>
        <w:rPr>
          <w:rFonts w:hint="eastAsia" w:ascii="宋体" w:hAnsi="宋体" w:eastAsia="宋体" w:cs="宋体"/>
          <w:color w:val="auto"/>
          <w:sz w:val="15"/>
          <w:szCs w:val="15"/>
        </w:rPr>
      </w:pPr>
    </w:p>
    <w:p>
      <w:pPr>
        <w:pStyle w:val="26"/>
        <w:spacing w:before="0" w:beforeAutospacing="0" w:after="0" w:afterAutospacing="0" w:line="360" w:lineRule="auto"/>
        <w:jc w:val="center"/>
        <w:rPr>
          <w:rFonts w:ascii="宋体" w:hAnsi="宋体" w:eastAsia="宋体" w:cs="宋体"/>
          <w:spacing w:val="7"/>
          <w:sz w:val="55"/>
          <w:szCs w:val="55"/>
        </w:rPr>
      </w:pPr>
    </w:p>
    <w:p>
      <w:pPr>
        <w:pStyle w:val="26"/>
        <w:spacing w:before="0" w:beforeAutospacing="0" w:after="0" w:afterAutospacing="0" w:line="360" w:lineRule="auto"/>
        <w:jc w:val="center"/>
        <w:rPr>
          <w:rFonts w:ascii="宋体" w:hAnsi="宋体" w:eastAsia="宋体" w:cs="宋体"/>
          <w:spacing w:val="7"/>
          <w:sz w:val="55"/>
          <w:szCs w:val="55"/>
        </w:rPr>
      </w:pPr>
    </w:p>
    <w:p>
      <w:pPr>
        <w:pStyle w:val="26"/>
        <w:spacing w:before="0" w:beforeAutospacing="0" w:after="0" w:afterAutospacing="0" w:line="360" w:lineRule="auto"/>
        <w:jc w:val="center"/>
        <w:rPr>
          <w:rFonts w:hint="eastAsia" w:cs="宋体"/>
          <w:b/>
          <w:bCs/>
          <w:color w:val="auto"/>
          <w:sz w:val="72"/>
          <w:szCs w:val="72"/>
          <w:lang w:eastAsia="zh-CN"/>
        </w:rPr>
      </w:pPr>
      <w:r>
        <w:rPr>
          <w:rFonts w:hint="eastAsia" w:cs="宋体"/>
          <w:b/>
          <w:bCs/>
          <w:color w:val="auto"/>
          <w:sz w:val="72"/>
          <w:szCs w:val="72"/>
          <w:lang w:eastAsia="zh-CN"/>
        </w:rPr>
        <w:t>建设工程施工合同</w:t>
      </w:r>
    </w:p>
    <w:p>
      <w:pPr>
        <w:pStyle w:val="26"/>
        <w:spacing w:before="0" w:beforeAutospacing="0" w:after="0" w:afterAutospacing="0" w:line="360" w:lineRule="auto"/>
        <w:jc w:val="center"/>
        <w:rPr>
          <w:rFonts w:hint="eastAsia" w:cs="宋体"/>
          <w:b/>
          <w:bCs/>
          <w:color w:val="auto"/>
          <w:sz w:val="72"/>
          <w:szCs w:val="72"/>
          <w:lang w:eastAsia="zh-CN"/>
        </w:rPr>
      </w:pPr>
    </w:p>
    <w:p>
      <w:pPr>
        <w:pStyle w:val="26"/>
        <w:spacing w:before="0" w:beforeAutospacing="0" w:after="0" w:afterAutospacing="0" w:line="360" w:lineRule="auto"/>
        <w:jc w:val="center"/>
        <w:rPr>
          <w:rFonts w:hint="eastAsia" w:cs="宋体"/>
          <w:b/>
          <w:bCs/>
          <w:color w:val="auto"/>
          <w:sz w:val="72"/>
          <w:szCs w:val="72"/>
          <w:lang w:eastAsia="zh-CN"/>
        </w:rPr>
      </w:pPr>
    </w:p>
    <w:p>
      <w:pPr>
        <w:pStyle w:val="26"/>
        <w:spacing w:before="0" w:beforeAutospacing="0" w:after="0" w:afterAutospacing="0" w:line="360" w:lineRule="auto"/>
        <w:jc w:val="center"/>
        <w:rPr>
          <w:rFonts w:hint="eastAsia" w:cs="宋体"/>
          <w:b/>
          <w:bCs/>
          <w:color w:val="auto"/>
          <w:sz w:val="72"/>
          <w:szCs w:val="72"/>
          <w:lang w:eastAsia="zh-CN"/>
        </w:rPr>
      </w:pPr>
    </w:p>
    <w:p>
      <w:pPr>
        <w:pStyle w:val="26"/>
        <w:spacing w:before="0" w:beforeAutospacing="0" w:after="0" w:afterAutospacing="0" w:line="360" w:lineRule="auto"/>
        <w:jc w:val="center"/>
        <w:rPr>
          <w:rFonts w:hint="eastAsia" w:cs="宋体"/>
          <w:b/>
          <w:bCs/>
          <w:color w:val="auto"/>
          <w:sz w:val="72"/>
          <w:szCs w:val="72"/>
          <w:lang w:eastAsia="zh-CN"/>
        </w:rPr>
      </w:pPr>
    </w:p>
    <w:p>
      <w:pPr>
        <w:spacing w:before="101" w:line="360" w:lineRule="auto"/>
        <w:ind w:left="2581"/>
        <w:rPr>
          <w:rFonts w:ascii="宋体" w:hAnsi="宋体" w:eastAsia="宋体" w:cs="宋体"/>
          <w:sz w:val="31"/>
          <w:szCs w:val="31"/>
        </w:rPr>
      </w:pPr>
      <w:r>
        <mc:AlternateContent>
          <mc:Choice Requires="wps">
            <w:drawing>
              <wp:anchor distT="0" distB="0" distL="114300" distR="114300" simplePos="0" relativeHeight="251672576" behindDoc="0" locked="0" layoutInCell="1" allowOverlap="1">
                <wp:simplePos x="0" y="0"/>
                <wp:positionH relativeFrom="column">
                  <wp:posOffset>4324985</wp:posOffset>
                </wp:positionH>
                <wp:positionV relativeFrom="paragraph">
                  <wp:posOffset>27940</wp:posOffset>
                </wp:positionV>
                <wp:extent cx="758825" cy="492125"/>
                <wp:effectExtent l="0" t="0" r="0" b="0"/>
                <wp:wrapNone/>
                <wp:docPr id="27" name="文本框 27"/>
                <wp:cNvGraphicFramePr/>
                <a:graphic xmlns:a="http://schemas.openxmlformats.org/drawingml/2006/main">
                  <a:graphicData uri="http://schemas.microsoft.com/office/word/2010/wordprocessingShape">
                    <wps:wsp>
                      <wps:cNvSpPr txBox="1"/>
                      <wps:spPr>
                        <a:xfrm>
                          <a:off x="0" y="0"/>
                          <a:ext cx="758825" cy="492125"/>
                        </a:xfrm>
                        <a:prstGeom prst="rect">
                          <a:avLst/>
                        </a:prstGeom>
                        <a:noFill/>
                        <a:ln>
                          <a:noFill/>
                        </a:ln>
                      </wps:spPr>
                      <wps:txbx>
                        <w:txbxContent>
                          <w:p>
                            <w:pPr>
                              <w:spacing w:line="20" w:lineRule="exact"/>
                            </w:pPr>
                          </w:p>
                          <w:tbl>
                            <w:tblPr>
                              <w:tblStyle w:val="94"/>
                              <w:tblW w:w="1140" w:type="dxa"/>
                              <w:tblInd w:w="27" w:type="dxa"/>
                              <w:tblBorders>
                                <w:top w:val="single" w:color="FFFFFF" w:sz="6" w:space="0"/>
                                <w:left w:val="single" w:color="FFFFFF" w:sz="6" w:space="0"/>
                                <w:bottom w:val="single" w:color="FFFFFF" w:sz="6" w:space="0"/>
                                <w:right w:val="single" w:color="FFFFFF" w:sz="6" w:space="0"/>
                                <w:insideH w:val="none" w:color="auto" w:sz="0" w:space="0"/>
                                <w:insideV w:val="none" w:color="auto" w:sz="0" w:space="0"/>
                              </w:tblBorders>
                              <w:tblLayout w:type="fixed"/>
                              <w:tblCellMar>
                                <w:top w:w="0" w:type="dxa"/>
                                <w:left w:w="0" w:type="dxa"/>
                                <w:bottom w:w="0" w:type="dxa"/>
                                <w:right w:w="0" w:type="dxa"/>
                              </w:tblCellMar>
                            </w:tblPr>
                            <w:tblGrid>
                              <w:gridCol w:w="1140"/>
                            </w:tblGrid>
                            <w:tr>
                              <w:tblPrEx>
                                <w:tblBorders>
                                  <w:top w:val="single" w:color="FFFFFF" w:sz="6" w:space="0"/>
                                  <w:left w:val="single" w:color="FFFFFF" w:sz="6" w:space="0"/>
                                  <w:bottom w:val="single" w:color="FFFFFF" w:sz="6" w:space="0"/>
                                  <w:right w:val="single" w:color="FFFFFF" w:sz="6" w:space="0"/>
                                  <w:insideH w:val="none" w:color="auto" w:sz="0" w:space="0"/>
                                  <w:insideV w:val="none" w:color="auto" w:sz="0" w:space="0"/>
                                </w:tblBorders>
                                <w:tblCellMar>
                                  <w:top w:w="0" w:type="dxa"/>
                                  <w:left w:w="0" w:type="dxa"/>
                                  <w:bottom w:w="0" w:type="dxa"/>
                                  <w:right w:w="0" w:type="dxa"/>
                                </w:tblCellMar>
                              </w:tblPrEx>
                              <w:trPr>
                                <w:trHeight w:val="705" w:hRule="atLeast"/>
                              </w:trPr>
                              <w:tc>
                                <w:tcPr>
                                  <w:tcW w:w="1140" w:type="dxa"/>
                                  <w:vAlign w:val="top"/>
                                </w:tcPr>
                                <w:p>
                                  <w:pPr>
                                    <w:spacing w:before="225" w:line="225" w:lineRule="auto"/>
                                    <w:ind w:left="158"/>
                                    <w:rPr>
                                      <w:rFonts w:ascii="宋体" w:hAnsi="宋体" w:eastAsia="宋体" w:cs="宋体"/>
                                      <w:sz w:val="31"/>
                                      <w:szCs w:val="31"/>
                                    </w:rPr>
                                  </w:pPr>
                                  <w:r>
                                    <w:rPr>
                                      <w:rFonts w:ascii="宋体" w:hAnsi="宋体" w:eastAsia="宋体" w:cs="宋体"/>
                                      <w:spacing w:val="3"/>
                                      <w:sz w:val="31"/>
                                      <w:szCs w:val="31"/>
                                      <w14:textOutline w14:w="5793" w14:cap="sq" w14:cmpd="sng">
                                        <w14:solidFill>
                                          <w14:srgbClr w14:val="000000"/>
                                        </w14:solidFill>
                                        <w14:prstDash w14:val="solid"/>
                                        <w14:bevel/>
                                      </w14:textOutline>
                                    </w:rPr>
                                    <w:t>制定</w:t>
                                  </w:r>
                                </w:p>
                              </w:tc>
                            </w:tr>
                          </w:tbl>
                          <w:p>
                            <w:pPr>
                              <w:rPr>
                                <w:rFonts w:ascii="Arial"/>
                                <w:sz w:val="21"/>
                              </w:rPr>
                            </w:pPr>
                          </w:p>
                        </w:txbxContent>
                      </wps:txbx>
                      <wps:bodyPr lIns="0" tIns="0" rIns="0" bIns="0" upright="1"/>
                    </wps:wsp>
                  </a:graphicData>
                </a:graphic>
              </wp:anchor>
            </w:drawing>
          </mc:Choice>
          <mc:Fallback>
            <w:pict>
              <v:shape id="_x0000_s1026" o:spid="_x0000_s1026" o:spt="202" type="#_x0000_t202" style="position:absolute;left:0pt;margin-left:340.55pt;margin-top:2.2pt;height:38.75pt;width:59.75pt;z-index:251672576;mso-width-relative:page;mso-height-relative:page;" filled="f" stroked="f" coordsize="21600,21600" o:gfxdata="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FcKRtNYAAAAIAQAADwAAAAAAAAABACAAAAAiAAAAZHJzL2Rvd25yZXYueG1sUEsBAhQA&#10;FAAAAAgAh07iQM+D13i7AQAAcwMAAA4AAAAAAAAAAQAgAAAAJQEAAGRycy9lMm9Eb2MueG1sUEsF&#10;BgAAAAAGAAYAWQEAAFIFAAAAAA==&#10;">
                <v:fill on="f" focussize="0,0"/>
                <v:stroke on="f"/>
                <v:imagedata o:title=""/>
                <o:lock v:ext="edit" aspectratio="f"/>
                <v:textbox inset="0mm,0mm,0mm,0mm">
                  <w:txbxContent>
                    <w:p>
                      <w:pPr>
                        <w:spacing w:line="20" w:lineRule="exact"/>
                      </w:pPr>
                    </w:p>
                    <w:tbl>
                      <w:tblPr>
                        <w:tblStyle w:val="94"/>
                        <w:tblW w:w="1140" w:type="dxa"/>
                        <w:tblInd w:w="27" w:type="dxa"/>
                        <w:tblBorders>
                          <w:top w:val="single" w:color="FFFFFF" w:sz="6" w:space="0"/>
                          <w:left w:val="single" w:color="FFFFFF" w:sz="6" w:space="0"/>
                          <w:bottom w:val="single" w:color="FFFFFF" w:sz="6" w:space="0"/>
                          <w:right w:val="single" w:color="FFFFFF" w:sz="6" w:space="0"/>
                          <w:insideH w:val="none" w:color="auto" w:sz="0" w:space="0"/>
                          <w:insideV w:val="none" w:color="auto" w:sz="0" w:space="0"/>
                        </w:tblBorders>
                        <w:tblLayout w:type="fixed"/>
                        <w:tblCellMar>
                          <w:top w:w="0" w:type="dxa"/>
                          <w:left w:w="0" w:type="dxa"/>
                          <w:bottom w:w="0" w:type="dxa"/>
                          <w:right w:w="0" w:type="dxa"/>
                        </w:tblCellMar>
                      </w:tblPr>
                      <w:tblGrid>
                        <w:gridCol w:w="1140"/>
                      </w:tblGrid>
                      <w:tr>
                        <w:tblPrEx>
                          <w:tblBorders>
                            <w:top w:val="single" w:color="FFFFFF" w:sz="6" w:space="0"/>
                            <w:left w:val="single" w:color="FFFFFF" w:sz="6" w:space="0"/>
                            <w:bottom w:val="single" w:color="FFFFFF" w:sz="6" w:space="0"/>
                            <w:right w:val="single" w:color="FFFFFF" w:sz="6" w:space="0"/>
                            <w:insideH w:val="none" w:color="auto" w:sz="0" w:space="0"/>
                            <w:insideV w:val="none" w:color="auto" w:sz="0" w:space="0"/>
                          </w:tblBorders>
                          <w:tblCellMar>
                            <w:top w:w="0" w:type="dxa"/>
                            <w:left w:w="0" w:type="dxa"/>
                            <w:bottom w:w="0" w:type="dxa"/>
                            <w:right w:w="0" w:type="dxa"/>
                          </w:tblCellMar>
                        </w:tblPrEx>
                        <w:trPr>
                          <w:trHeight w:val="705" w:hRule="atLeast"/>
                        </w:trPr>
                        <w:tc>
                          <w:tcPr>
                            <w:tcW w:w="1140" w:type="dxa"/>
                            <w:vAlign w:val="top"/>
                          </w:tcPr>
                          <w:p>
                            <w:pPr>
                              <w:spacing w:before="225" w:line="225" w:lineRule="auto"/>
                              <w:ind w:left="158"/>
                              <w:rPr>
                                <w:rFonts w:ascii="宋体" w:hAnsi="宋体" w:eastAsia="宋体" w:cs="宋体"/>
                                <w:sz w:val="31"/>
                                <w:szCs w:val="31"/>
                              </w:rPr>
                            </w:pPr>
                            <w:r>
                              <w:rPr>
                                <w:rFonts w:ascii="宋体" w:hAnsi="宋体" w:eastAsia="宋体" w:cs="宋体"/>
                                <w:spacing w:val="3"/>
                                <w:sz w:val="31"/>
                                <w:szCs w:val="31"/>
                                <w14:textOutline w14:w="5793" w14:cap="sq" w14:cmpd="sng">
                                  <w14:solidFill>
                                    <w14:srgbClr w14:val="000000"/>
                                  </w14:solidFill>
                                  <w14:prstDash w14:val="solid"/>
                                  <w14:bevel/>
                                </w14:textOutline>
                              </w:rPr>
                              <w:t>制定</w:t>
                            </w:r>
                          </w:p>
                        </w:tc>
                      </w:tr>
                    </w:tbl>
                    <w:p>
                      <w:pPr>
                        <w:rPr>
                          <w:rFonts w:ascii="Arial"/>
                          <w:sz w:val="21"/>
                        </w:rPr>
                      </w:pPr>
                    </w:p>
                  </w:txbxContent>
                </v:textbox>
              </v:shape>
            </w:pict>
          </mc:Fallback>
        </mc:AlternateContent>
      </w:r>
      <w:r>
        <w:rPr>
          <w:rFonts w:ascii="宋体" w:hAnsi="宋体" w:eastAsia="宋体" w:cs="宋体"/>
          <w:spacing w:val="-4"/>
          <w:sz w:val="31"/>
          <w:szCs w:val="31"/>
          <w14:textOutline w14:w="5793" w14:cap="sq" w14:cmpd="sng">
            <w14:solidFill>
              <w14:srgbClr w14:val="000000"/>
            </w14:solidFill>
            <w14:prstDash w14:val="solid"/>
            <w14:bevel/>
          </w14:textOutline>
        </w:rPr>
        <w:t>住房和</w:t>
      </w:r>
      <w:r>
        <w:rPr>
          <w:rFonts w:ascii="宋体" w:hAnsi="宋体" w:eastAsia="宋体" w:cs="宋体"/>
          <w:spacing w:val="-2"/>
          <w:sz w:val="31"/>
          <w:szCs w:val="31"/>
          <w14:textOutline w14:w="5793" w14:cap="sq" w14:cmpd="sng">
            <w14:solidFill>
              <w14:srgbClr w14:val="000000"/>
            </w14:solidFill>
            <w14:prstDash w14:val="solid"/>
            <w14:bevel/>
          </w14:textOutline>
        </w:rPr>
        <w:t>城乡建设部</w:t>
      </w:r>
    </w:p>
    <w:p>
      <w:pPr>
        <w:pStyle w:val="26"/>
        <w:spacing w:before="0" w:beforeAutospacing="0" w:after="0" w:afterAutospacing="0" w:line="360" w:lineRule="auto"/>
        <w:ind w:firstLine="2506" w:firstLineChars="700"/>
        <w:jc w:val="both"/>
        <w:rPr>
          <w:rFonts w:hint="eastAsia" w:cs="宋体"/>
          <w:b/>
          <w:bCs/>
          <w:color w:val="auto"/>
          <w:sz w:val="72"/>
          <w:szCs w:val="72"/>
          <w:lang w:eastAsia="zh-CN"/>
        </w:rPr>
        <w:sectPr>
          <w:footerReference r:id="rId10" w:type="default"/>
          <w:pgSz w:w="11906" w:h="16838"/>
          <w:pgMar w:top="1440" w:right="1242" w:bottom="1440" w:left="1502" w:header="851" w:footer="992" w:gutter="0"/>
          <w:pgNumType w:fmt="numberInDash" w:start="84"/>
          <w:cols w:space="720" w:num="1"/>
          <w:docGrid w:linePitch="312" w:charSpace="0"/>
        </w:sectPr>
      </w:pPr>
      <w:r>
        <w:rPr>
          <w:rFonts w:ascii="宋体" w:hAnsi="宋体" w:eastAsia="宋体" w:cs="宋体"/>
          <w:spacing w:val="24"/>
          <w:sz w:val="31"/>
          <w:szCs w:val="31"/>
          <w14:textOutline w14:w="5793" w14:cap="sq" w14:cmpd="sng">
            <w14:solidFill>
              <w14:srgbClr w14:val="000000"/>
            </w14:solidFill>
            <w14:prstDash w14:val="solid"/>
            <w14:bevel/>
          </w14:textOutline>
        </w:rPr>
        <w:t>国</w:t>
      </w:r>
      <w:r>
        <w:rPr>
          <w:rFonts w:ascii="宋体" w:hAnsi="宋体" w:eastAsia="宋体" w:cs="宋体"/>
          <w:spacing w:val="21"/>
          <w:sz w:val="31"/>
          <w:szCs w:val="31"/>
          <w14:textOutline w14:w="5793" w14:cap="sq" w14:cmpd="sng">
            <w14:solidFill>
              <w14:srgbClr w14:val="000000"/>
            </w14:solidFill>
            <w14:prstDash w14:val="solid"/>
            <w14:bevel/>
          </w14:textOutline>
        </w:rPr>
        <w:t>家工商行政管理总局</w:t>
      </w:r>
    </w:p>
    <w:p>
      <w:pPr>
        <w:pStyle w:val="26"/>
        <w:spacing w:before="0" w:beforeAutospacing="0" w:after="0" w:afterAutospacing="0" w:line="360" w:lineRule="auto"/>
        <w:jc w:val="center"/>
        <w:rPr>
          <w:rFonts w:hint="eastAsia" w:ascii="宋体" w:hAnsi="宋体" w:eastAsia="宋体" w:cs="宋体"/>
          <w:b/>
          <w:bCs/>
          <w:color w:val="auto"/>
          <w:sz w:val="32"/>
          <w:szCs w:val="32"/>
        </w:rPr>
      </w:pPr>
      <w:r>
        <w:rPr>
          <w:rFonts w:hint="eastAsia" w:ascii="宋体" w:hAnsi="宋体" w:eastAsia="宋体" w:cs="宋体"/>
          <w:b/>
          <w:bCs/>
          <w:color w:val="auto"/>
          <w:sz w:val="32"/>
          <w:szCs w:val="32"/>
        </w:rPr>
        <w:t>第一部分合同协议书</w:t>
      </w:r>
    </w:p>
    <w:p>
      <w:pPr>
        <w:pStyle w:val="26"/>
        <w:spacing w:before="0" w:beforeAutospacing="0" w:after="0" w:afterAutospacing="0" w:line="480" w:lineRule="auto"/>
        <w:ind w:firstLine="480" w:firstLineChars="200"/>
        <w:rPr>
          <w:rFonts w:hint="eastAsia" w:ascii="宋体" w:hAnsi="宋体" w:eastAsia="宋体" w:cs="宋体"/>
          <w:color w:val="auto"/>
          <w:lang w:eastAsia="zh-CN"/>
        </w:rPr>
      </w:pPr>
      <w:r>
        <w:rPr>
          <w:rFonts w:hint="eastAsia" w:ascii="宋体" w:hAnsi="宋体" w:eastAsia="宋体" w:cs="宋体"/>
          <w:color w:val="auto"/>
        </w:rPr>
        <mc:AlternateContent>
          <mc:Choice Requires="wps">
            <w:drawing>
              <wp:anchor distT="0" distB="0" distL="114300" distR="114300" simplePos="0" relativeHeight="251660288" behindDoc="0" locked="0" layoutInCell="1" allowOverlap="1">
                <wp:simplePos x="0" y="0"/>
                <wp:positionH relativeFrom="column">
                  <wp:posOffset>823595</wp:posOffset>
                </wp:positionH>
                <wp:positionV relativeFrom="paragraph">
                  <wp:posOffset>200025</wp:posOffset>
                </wp:positionV>
                <wp:extent cx="2984500" cy="0"/>
                <wp:effectExtent l="0" t="0" r="25400" b="19050"/>
                <wp:wrapNone/>
                <wp:docPr id="2" name="直接连接符 2"/>
                <wp:cNvGraphicFramePr/>
                <a:graphic xmlns:a="http://schemas.openxmlformats.org/drawingml/2006/main">
                  <a:graphicData uri="http://schemas.microsoft.com/office/word/2010/wordprocessingShape">
                    <wps:wsp>
                      <wps:cNvCnPr/>
                      <wps:spPr>
                        <a:xfrm>
                          <a:off x="0" y="0"/>
                          <a:ext cx="2984500" cy="0"/>
                        </a:xfrm>
                        <a:prstGeom prst="line">
                          <a:avLst/>
                        </a:prstGeom>
                        <a:ln>
                          <a:solidFill>
                            <a:schemeClr val="tx1">
                              <a:lumMod val="95000"/>
                              <a:lumOff val="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64.85pt;margin-top:15.75pt;height:0pt;width:235pt;z-index:251660288;mso-width-relative:page;mso-height-relative:page;" filled="f" stroked="t" coordsize="21600,21600" o:gfxdata="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jNev01gAAAAkBAAAPAAAAAAAAAAEAIAAAACIAAABkcnMvZG93bnJldi54bWxQSwECFAAUAAAA&#10;CACHTuJAs45IoPABAADSAwAADgAAAAAAAAABACAAAAAlAQAAZHJzL2Uyb0RvYy54bWxQSwUGAAAA&#10;AAYABgBZAQAAhwUAAAAA&#10;">
                <v:fill on="f" focussize="0,0"/>
                <v:stroke color="#0D0D0D [3069]" joinstyle="round"/>
                <v:imagedata o:title=""/>
                <o:lock v:ext="edit" aspectratio="f"/>
              </v:line>
            </w:pict>
          </mc:Fallback>
        </mc:AlternateContent>
      </w:r>
      <w:r>
        <w:rPr>
          <w:rFonts w:hint="eastAsia" w:cs="宋体"/>
          <w:color w:val="auto"/>
          <w:lang w:eastAsia="zh-CN"/>
        </w:rPr>
        <w:t>发包人</w:t>
      </w:r>
      <w:r>
        <w:rPr>
          <w:rFonts w:hint="eastAsia" w:cs="宋体"/>
          <w:color w:val="auto"/>
          <w:u w:val="none"/>
          <w:lang w:eastAsia="zh-CN"/>
        </w:rPr>
        <w:t>（全称）</w:t>
      </w:r>
      <w:r>
        <w:rPr>
          <w:rFonts w:hint="eastAsia" w:ascii="宋体" w:hAnsi="宋体" w:eastAsia="宋体" w:cs="宋体"/>
          <w:color w:val="auto"/>
          <w:u w:val="none"/>
        </w:rPr>
        <w:t>：</w:t>
      </w:r>
    </w:p>
    <w:p>
      <w:pPr>
        <w:pStyle w:val="26"/>
        <w:spacing w:before="0" w:beforeAutospacing="0" w:after="0" w:afterAutospacing="0" w:line="480" w:lineRule="auto"/>
        <w:ind w:firstLine="480" w:firstLineChars="200"/>
        <w:rPr>
          <w:rFonts w:hint="eastAsia" w:ascii="宋体" w:hAnsi="宋体" w:eastAsia="宋体" w:cs="宋体"/>
          <w:color w:val="auto"/>
          <w:u w:val="single"/>
          <w:lang w:eastAsia="zh-CN"/>
        </w:rPr>
      </w:pPr>
      <w:r>
        <w:rPr>
          <w:rFonts w:hint="eastAsia" w:ascii="宋体" w:hAnsi="宋体" w:eastAsia="宋体" w:cs="宋体"/>
          <w:color w:val="auto"/>
        </w:rPr>
        <mc:AlternateContent>
          <mc:Choice Requires="wps">
            <w:drawing>
              <wp:anchor distT="0" distB="0" distL="114300" distR="114300" simplePos="0" relativeHeight="251664384" behindDoc="0" locked="0" layoutInCell="1" allowOverlap="1">
                <wp:simplePos x="0" y="0"/>
                <wp:positionH relativeFrom="column">
                  <wp:posOffset>820420</wp:posOffset>
                </wp:positionH>
                <wp:positionV relativeFrom="paragraph">
                  <wp:posOffset>152400</wp:posOffset>
                </wp:positionV>
                <wp:extent cx="2984500" cy="0"/>
                <wp:effectExtent l="0" t="0" r="25400" b="19050"/>
                <wp:wrapNone/>
                <wp:docPr id="7" name="直接连接符 7"/>
                <wp:cNvGraphicFramePr/>
                <a:graphic xmlns:a="http://schemas.openxmlformats.org/drawingml/2006/main">
                  <a:graphicData uri="http://schemas.microsoft.com/office/word/2010/wordprocessingShape">
                    <wps:wsp>
                      <wps:cNvCnPr/>
                      <wps:spPr>
                        <a:xfrm>
                          <a:off x="0" y="0"/>
                          <a:ext cx="2984500" cy="0"/>
                        </a:xfrm>
                        <a:prstGeom prst="line">
                          <a:avLst/>
                        </a:prstGeom>
                        <a:ln>
                          <a:solidFill>
                            <a:schemeClr val="tx1">
                              <a:lumMod val="95000"/>
                              <a:lumOff val="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64.6pt;margin-top:12pt;height:0pt;width:235pt;z-index:251664384;mso-width-relative:page;mso-height-relative:page;" filled="f" stroked="t" coordsize="21600,21600" o:gfxdata="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PZyfz3VAAAACQEAAA8AAAAAAAAAAQAgAAAAIgAAAGRycy9kb3ducmV2LnhtbFBLAQIUABQAAAAI&#10;AIdO4kCZFa1o8AEAANIDAAAOAAAAAAAAAAEAIAAAACQBAABkcnMvZTJvRG9jLnhtbFBLBQYAAAAA&#10;BgAGAFkBAACGBQAAAAA=&#10;">
                <v:fill on="f" focussize="0,0"/>
                <v:stroke color="#0D0D0D [3069]" joinstyle="round"/>
                <v:imagedata o:title=""/>
                <o:lock v:ext="edit" aspectratio="f"/>
              </v:line>
            </w:pict>
          </mc:Fallback>
        </mc:AlternateContent>
      </w:r>
      <w:r>
        <w:rPr>
          <w:rFonts w:hint="eastAsia" w:cs="宋体"/>
          <w:color w:val="auto"/>
          <w:lang w:eastAsia="zh-CN"/>
        </w:rPr>
        <w:t>承包人（全称）</w:t>
      </w:r>
      <w:r>
        <w:rPr>
          <w:rFonts w:hint="eastAsia" w:ascii="宋体" w:hAnsi="宋体" w:eastAsia="宋体" w:cs="宋体"/>
          <w:color w:val="auto"/>
        </w:rPr>
        <w:t>：</w:t>
      </w:r>
    </w:p>
    <w:p>
      <w:pPr>
        <w:pStyle w:val="26"/>
        <w:spacing w:before="0" w:beforeAutospacing="0" w:after="0" w:afterAutospacing="0" w:line="480" w:lineRule="auto"/>
        <w:ind w:firstLine="480" w:firstLineChars="200"/>
        <w:rPr>
          <w:rFonts w:hint="eastAsia" w:ascii="宋体" w:hAnsi="宋体" w:eastAsia="宋体" w:cs="宋体"/>
          <w:color w:val="auto"/>
        </w:rPr>
      </w:pPr>
      <w:r>
        <w:rPr>
          <w:rFonts w:hint="eastAsia" w:ascii="宋体" w:hAnsi="宋体" w:eastAsia="宋体" w:cs="宋体"/>
          <w:color w:val="auto"/>
        </w:rPr>
        <w:t>根据《中华人民共和国民法典》、《中华人民共和国建筑法》及有关法律规定，遵循平等、自愿、公平和诚实信用的原则，双方就施工及有关事项协商一致，共同达成如下协议。</w:t>
      </w:r>
    </w:p>
    <w:p>
      <w:pPr>
        <w:pStyle w:val="26"/>
        <w:numPr>
          <w:ilvl w:val="0"/>
          <w:numId w:val="0"/>
        </w:numPr>
        <w:tabs>
          <w:tab w:val="left" w:pos="6589"/>
        </w:tabs>
        <w:spacing w:before="0" w:beforeAutospacing="0" w:after="0" w:afterAutospacing="0" w:line="480" w:lineRule="auto"/>
        <w:ind w:firstLine="480" w:firstLineChars="200"/>
        <w:rPr>
          <w:rFonts w:hint="eastAsia" w:cs="宋体"/>
          <w:color w:val="auto"/>
          <w:lang w:val="en-US" w:eastAsia="zh-CN"/>
        </w:rPr>
      </w:pPr>
      <w:r>
        <w:rPr>
          <w:rFonts w:hint="eastAsia" w:ascii="宋体" w:hAnsi="宋体" w:eastAsia="宋体" w:cs="宋体"/>
          <w:color w:val="auto"/>
        </w:rPr>
        <mc:AlternateContent>
          <mc:Choice Requires="wps">
            <w:drawing>
              <wp:anchor distT="0" distB="0" distL="114300" distR="114300" simplePos="0" relativeHeight="251661312" behindDoc="0" locked="0" layoutInCell="1" allowOverlap="1">
                <wp:simplePos x="0" y="0"/>
                <wp:positionH relativeFrom="column">
                  <wp:posOffset>1318895</wp:posOffset>
                </wp:positionH>
                <wp:positionV relativeFrom="paragraph">
                  <wp:posOffset>154305</wp:posOffset>
                </wp:positionV>
                <wp:extent cx="2984500" cy="0"/>
                <wp:effectExtent l="0" t="0" r="25400" b="19050"/>
                <wp:wrapNone/>
                <wp:docPr id="3" name="直接连接符 3"/>
                <wp:cNvGraphicFramePr/>
                <a:graphic xmlns:a="http://schemas.openxmlformats.org/drawingml/2006/main">
                  <a:graphicData uri="http://schemas.microsoft.com/office/word/2010/wordprocessingShape">
                    <wps:wsp>
                      <wps:cNvCnPr/>
                      <wps:spPr>
                        <a:xfrm>
                          <a:off x="0" y="0"/>
                          <a:ext cx="2984500" cy="0"/>
                        </a:xfrm>
                        <a:prstGeom prst="line">
                          <a:avLst/>
                        </a:prstGeom>
                        <a:ln>
                          <a:solidFill>
                            <a:schemeClr val="tx1">
                              <a:lumMod val="95000"/>
                              <a:lumOff val="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103.85pt;margin-top:12.15pt;height:0pt;width:235pt;z-index:251661312;mso-width-relative:page;mso-height-relative:page;" filled="f" stroked="t" coordsize="21600,21600" o:gfxdata="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DOdusj1gAAAAkBAAAPAAAAAAAAAAEAIAAAACIAAABkcnMvZG93bnJldi54bWxQSwECFAAUAAAA&#10;CACHTuJAEaMpnfABAADSAwAADgAAAAAAAAABACAAAAAlAQAAZHJzL2Uyb0RvYy54bWxQSwUGAAAA&#10;AAYABgBZAQAAhwUAAAAA&#10;">
                <v:fill on="f" focussize="0,0"/>
                <v:stroke color="#0D0D0D [3069]" joinstyle="round"/>
                <v:imagedata o:title=""/>
                <o:lock v:ext="edit" aspectratio="f"/>
              </v:line>
            </w:pict>
          </mc:Fallback>
        </mc:AlternateContent>
      </w:r>
      <w:r>
        <w:rPr>
          <w:rFonts w:hint="eastAsia" w:cs="宋体"/>
          <w:color w:val="auto"/>
          <w:lang w:eastAsia="zh-CN"/>
        </w:rPr>
        <w:t>一、工程概况：</w:t>
      </w:r>
    </w:p>
    <w:p>
      <w:pPr>
        <w:pStyle w:val="26"/>
        <w:numPr>
          <w:ilvl w:val="0"/>
          <w:numId w:val="0"/>
        </w:numPr>
        <w:spacing w:before="0" w:beforeAutospacing="0" w:after="0" w:afterAutospacing="0" w:line="480" w:lineRule="auto"/>
        <w:ind w:firstLine="480" w:firstLineChars="200"/>
        <w:rPr>
          <w:rFonts w:hint="default" w:cs="宋体"/>
          <w:color w:val="auto"/>
          <w:u w:val="single"/>
          <w:lang w:val="en-US" w:eastAsia="zh-CN"/>
        </w:rPr>
      </w:pPr>
      <w:r>
        <w:rPr>
          <w:rFonts w:hint="eastAsia" w:cs="宋体"/>
          <w:color w:val="auto"/>
          <w:lang w:val="en-US" w:eastAsia="zh-CN"/>
        </w:rPr>
        <w:t>1、工程名称：</w:t>
      </w:r>
    </w:p>
    <w:p>
      <w:pPr>
        <w:pStyle w:val="26"/>
        <w:spacing w:before="0" w:beforeAutospacing="0" w:after="0" w:afterAutospacing="0" w:line="480" w:lineRule="auto"/>
        <w:ind w:firstLine="480" w:firstLineChars="200"/>
        <w:rPr>
          <w:rFonts w:hint="eastAsia" w:cs="宋体"/>
          <w:color w:val="auto"/>
          <w:lang w:val="en-US" w:eastAsia="zh-CN"/>
        </w:rPr>
      </w:pPr>
      <w:r>
        <w:rPr>
          <w:rFonts w:hint="eastAsia" w:cs="宋体"/>
          <w:color w:val="auto"/>
          <w:lang w:val="en-US" w:eastAsia="zh-CN"/>
        </w:rPr>
        <w:t>2、工程地点：</w:t>
      </w:r>
    </w:p>
    <w:p>
      <w:pPr>
        <w:pStyle w:val="26"/>
        <w:spacing w:before="0" w:beforeAutospacing="0" w:after="0" w:afterAutospacing="0" w:line="480" w:lineRule="auto"/>
        <w:ind w:firstLine="480" w:firstLineChars="200"/>
        <w:rPr>
          <w:rFonts w:ascii="宋体" w:hAnsi="宋体" w:eastAsia="宋体" w:cs="宋体"/>
          <w:sz w:val="23"/>
          <w:szCs w:val="23"/>
        </w:rPr>
      </w:pPr>
      <w:r>
        <w:rPr>
          <w:rFonts w:hint="eastAsia" w:cs="宋体"/>
          <w:color w:val="auto"/>
          <w:lang w:val="en-US" w:eastAsia="zh-CN"/>
        </w:rPr>
        <w:t>3、</w:t>
      </w:r>
      <w:r>
        <w:rPr>
          <w:rFonts w:ascii="宋体" w:hAnsi="宋体" w:eastAsia="宋体" w:cs="宋体"/>
          <w:spacing w:val="-1"/>
          <w:sz w:val="23"/>
          <w:szCs w:val="23"/>
        </w:rPr>
        <w:t>工程立项批准</w:t>
      </w:r>
      <w:r>
        <w:rPr>
          <w:rFonts w:ascii="宋体" w:hAnsi="宋体" w:eastAsia="宋体" w:cs="宋体"/>
          <w:sz w:val="23"/>
          <w:szCs w:val="23"/>
        </w:rPr>
        <w:t>文号：</w:t>
      </w:r>
    </w:p>
    <w:p>
      <w:pPr>
        <w:pStyle w:val="26"/>
        <w:spacing w:before="0" w:beforeAutospacing="0" w:after="0" w:afterAutospacing="0" w:line="480" w:lineRule="auto"/>
        <w:ind w:firstLine="480" w:firstLineChars="200"/>
        <w:rPr>
          <w:rFonts w:hint="eastAsia" w:cs="宋体"/>
          <w:color w:val="auto"/>
          <w:lang w:val="en-US" w:eastAsia="zh-CN"/>
        </w:rPr>
      </w:pPr>
      <w:r>
        <w:rPr>
          <w:rFonts w:hint="eastAsia" w:cs="宋体"/>
          <w:color w:val="auto"/>
          <w:lang w:val="en-US" w:eastAsia="zh-CN"/>
        </w:rPr>
        <w:t>4、资金来源：</w:t>
      </w:r>
    </w:p>
    <w:p>
      <w:pPr>
        <w:pStyle w:val="26"/>
        <w:spacing w:before="0" w:beforeAutospacing="0" w:after="0" w:afterAutospacing="0" w:line="480" w:lineRule="auto"/>
        <w:ind w:firstLine="480" w:firstLineChars="200"/>
        <w:rPr>
          <w:rFonts w:hint="eastAsia" w:cs="宋体"/>
          <w:color w:val="auto"/>
          <w:lang w:val="en-US" w:eastAsia="zh-CN"/>
        </w:rPr>
      </w:pPr>
      <w:r>
        <w:rPr>
          <w:rFonts w:hint="eastAsia" w:cs="宋体"/>
          <w:color w:val="auto"/>
          <w:lang w:val="en-US" w:eastAsia="zh-CN"/>
        </w:rPr>
        <w:t>5、工程内容：</w:t>
      </w:r>
    </w:p>
    <w:p>
      <w:pPr>
        <w:pStyle w:val="26"/>
        <w:spacing w:before="0" w:beforeAutospacing="0" w:after="0" w:afterAutospacing="0" w:line="480" w:lineRule="auto"/>
        <w:ind w:firstLine="480" w:firstLineChars="200"/>
        <w:rPr>
          <w:rFonts w:hint="eastAsia" w:cs="宋体"/>
          <w:color w:val="auto"/>
          <w:lang w:val="en-US" w:eastAsia="zh-CN"/>
        </w:rPr>
      </w:pPr>
      <w:r>
        <w:rPr>
          <w:rFonts w:hint="eastAsia" w:cs="宋体"/>
          <w:color w:val="auto"/>
          <w:lang w:val="en-US" w:eastAsia="zh-CN"/>
        </w:rPr>
        <w:t>群体工程应附《承包人承揽工程项目一览表》(附件1)。</w:t>
      </w:r>
    </w:p>
    <w:p>
      <w:pPr>
        <w:pStyle w:val="26"/>
        <w:spacing w:before="0" w:beforeAutospacing="0" w:after="0" w:afterAutospacing="0" w:line="480" w:lineRule="auto"/>
        <w:ind w:firstLine="480" w:firstLineChars="200"/>
        <w:rPr>
          <w:rFonts w:hint="default" w:cs="宋体"/>
          <w:color w:val="auto"/>
          <w:lang w:val="en-US" w:eastAsia="zh-CN"/>
        </w:rPr>
      </w:pPr>
      <w:r>
        <w:rPr>
          <w:rFonts w:hint="eastAsia" w:cs="宋体"/>
          <w:color w:val="auto"/>
          <w:lang w:val="en-US" w:eastAsia="zh-CN"/>
        </w:rPr>
        <w:t>6、工程承包范围：</w:t>
      </w:r>
      <w:r>
        <w:rPr>
          <w:rFonts w:hint="eastAsia" w:cs="宋体"/>
          <w:color w:val="auto"/>
          <w:u w:val="single"/>
          <w:lang w:val="en-US" w:eastAsia="zh-CN"/>
        </w:rPr>
        <w:t>工程量清单、答疑以及本招标文件规定的全部内容。文字与清单不符时，以清单为准</w:t>
      </w:r>
      <w:r>
        <w:rPr>
          <w:rFonts w:hint="eastAsia" w:cs="宋体"/>
          <w:color w:val="auto"/>
          <w:lang w:val="en-US" w:eastAsia="zh-CN"/>
        </w:rPr>
        <w:t>。</w:t>
      </w:r>
    </w:p>
    <w:p>
      <w:pPr>
        <w:pStyle w:val="26"/>
        <w:spacing w:before="0" w:beforeAutospacing="0" w:after="0" w:afterAutospacing="0" w:line="480" w:lineRule="auto"/>
        <w:ind w:firstLine="480" w:firstLineChars="200"/>
        <w:rPr>
          <w:rFonts w:hint="eastAsia" w:ascii="宋体" w:hAnsi="宋体" w:eastAsia="宋体" w:cs="宋体"/>
          <w:color w:val="auto"/>
        </w:rPr>
      </w:pPr>
      <w:r>
        <w:rPr>
          <w:rFonts w:hint="eastAsia" w:ascii="宋体" w:hAnsi="宋体" w:eastAsia="宋体" w:cs="宋体"/>
          <w:color w:val="auto"/>
        </w:rPr>
        <mc:AlternateContent>
          <mc:Choice Requires="wps">
            <w:drawing>
              <wp:anchor distT="0" distB="0" distL="114300" distR="114300" simplePos="0" relativeHeight="251662336" behindDoc="0" locked="0" layoutInCell="1" allowOverlap="1">
                <wp:simplePos x="0" y="0"/>
                <wp:positionH relativeFrom="column">
                  <wp:posOffset>1318895</wp:posOffset>
                </wp:positionH>
                <wp:positionV relativeFrom="paragraph">
                  <wp:posOffset>176530</wp:posOffset>
                </wp:positionV>
                <wp:extent cx="2984500" cy="0"/>
                <wp:effectExtent l="0" t="0" r="25400" b="19050"/>
                <wp:wrapNone/>
                <wp:docPr id="4" name="直接连接符 4"/>
                <wp:cNvGraphicFramePr/>
                <a:graphic xmlns:a="http://schemas.openxmlformats.org/drawingml/2006/main">
                  <a:graphicData uri="http://schemas.microsoft.com/office/word/2010/wordprocessingShape">
                    <wps:wsp>
                      <wps:cNvCnPr/>
                      <wps:spPr>
                        <a:xfrm>
                          <a:off x="0" y="0"/>
                          <a:ext cx="2984500" cy="0"/>
                        </a:xfrm>
                        <a:prstGeom prst="line">
                          <a:avLst/>
                        </a:prstGeom>
                        <a:ln>
                          <a:solidFill>
                            <a:schemeClr val="tx1">
                              <a:lumMod val="95000"/>
                              <a:lumOff val="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103.85pt;margin-top:13.9pt;height:0pt;width:235pt;z-index:251662336;mso-width-relative:page;mso-height-relative:page;" filled="f" stroked="t" coordsize="21600,21600" o:gfxdata="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JhVlGjVAAAACQEAAA8AAAAAAAAAAQAgAAAAIgAAAGRycy9kb3ducmV2LnhtbFBLAQIUABQAAAAI&#10;AIdO4kB/Yw4v8AEAANIDAAAOAAAAAAAAAAEAIAAAACQBAABkcnMvZTJvRG9jLnhtbFBLBQYAAAAA&#10;BgAGAFkBAACGBQAAAAA=&#10;">
                <v:fill on="f" focussize="0,0"/>
                <v:stroke color="#0D0D0D [3069]" joinstyle="round"/>
                <v:imagedata o:title=""/>
                <o:lock v:ext="edit" aspectratio="f"/>
              </v:line>
            </w:pict>
          </mc:Fallback>
        </mc:AlternateContent>
      </w:r>
      <w:r>
        <w:rPr>
          <w:rFonts w:hint="eastAsia" w:ascii="宋体" w:hAnsi="宋体" w:eastAsia="宋体" w:cs="宋体"/>
          <w:color w:val="auto"/>
        </w:rPr>
        <w:t>二、合同工期：</w:t>
      </w:r>
    </w:p>
    <w:p>
      <w:pPr>
        <w:pStyle w:val="26"/>
        <w:spacing w:before="0" w:beforeAutospacing="0" w:after="0" w:afterAutospacing="0" w:line="480" w:lineRule="auto"/>
        <w:ind w:firstLine="480" w:firstLineChars="200"/>
        <w:rPr>
          <w:rFonts w:hint="eastAsia" w:ascii="宋体" w:hAnsi="宋体" w:eastAsia="宋体" w:cs="宋体"/>
          <w:spacing w:val="-3"/>
          <w:sz w:val="23"/>
          <w:szCs w:val="23"/>
          <w:lang w:eastAsia="zh-CN"/>
        </w:rPr>
      </w:pPr>
      <w:r>
        <w:rPr>
          <w:rFonts w:hint="eastAsia" w:cs="宋体"/>
          <w:color w:val="auto"/>
          <w:lang w:val="en-US" w:eastAsia="zh-CN"/>
        </w:rPr>
        <w:t xml:space="preserve">1、计划开工日期：  </w:t>
      </w:r>
      <w:r>
        <w:rPr>
          <w:rFonts w:ascii="宋体" w:hAnsi="宋体" w:eastAsia="宋体" w:cs="宋体"/>
          <w:spacing w:val="-3"/>
          <w:sz w:val="23"/>
          <w:szCs w:val="23"/>
        </w:rPr>
        <w:t>年</w:t>
      </w:r>
      <w:r>
        <w:rPr>
          <w:rFonts w:hint="eastAsia" w:cs="宋体"/>
          <w:spacing w:val="-3"/>
          <w:sz w:val="23"/>
          <w:szCs w:val="23"/>
          <w:lang w:val="en-US" w:eastAsia="zh-CN"/>
        </w:rPr>
        <w:t xml:space="preserve">   </w:t>
      </w:r>
      <w:r>
        <w:rPr>
          <w:rFonts w:ascii="宋体" w:hAnsi="宋体" w:eastAsia="宋体" w:cs="宋体"/>
          <w:spacing w:val="-3"/>
          <w:sz w:val="23"/>
          <w:szCs w:val="23"/>
        </w:rPr>
        <w:t>月</w:t>
      </w:r>
      <w:r>
        <w:rPr>
          <w:rFonts w:hint="eastAsia" w:cs="宋体"/>
          <w:spacing w:val="-3"/>
          <w:sz w:val="23"/>
          <w:szCs w:val="23"/>
          <w:lang w:val="en-US" w:eastAsia="zh-CN"/>
        </w:rPr>
        <w:t xml:space="preserve">    </w:t>
      </w:r>
      <w:r>
        <w:rPr>
          <w:rFonts w:ascii="宋体" w:hAnsi="宋体" w:eastAsia="宋体" w:cs="宋体"/>
          <w:spacing w:val="-3"/>
          <w:sz w:val="23"/>
          <w:szCs w:val="23"/>
        </w:rPr>
        <w:t>日</w:t>
      </w:r>
      <w:r>
        <w:rPr>
          <w:rFonts w:hint="eastAsia" w:ascii="宋体" w:hAnsi="宋体" w:eastAsia="宋体" w:cs="宋体"/>
          <w:spacing w:val="-3"/>
          <w:sz w:val="23"/>
          <w:szCs w:val="23"/>
          <w:lang w:eastAsia="zh-CN"/>
        </w:rPr>
        <w:t>。</w:t>
      </w:r>
    </w:p>
    <w:p>
      <w:pPr>
        <w:pStyle w:val="26"/>
        <w:spacing w:before="0" w:beforeAutospacing="0" w:after="0" w:afterAutospacing="0" w:line="480" w:lineRule="auto"/>
        <w:ind w:firstLine="448" w:firstLineChars="200"/>
        <w:rPr>
          <w:rFonts w:hint="eastAsia" w:ascii="宋体" w:hAnsi="宋体" w:eastAsia="宋体" w:cs="宋体"/>
          <w:spacing w:val="-3"/>
          <w:sz w:val="23"/>
          <w:szCs w:val="23"/>
          <w:lang w:eastAsia="zh-CN"/>
        </w:rPr>
      </w:pPr>
      <w:r>
        <w:rPr>
          <w:rFonts w:hint="eastAsia" w:ascii="宋体" w:hAnsi="宋体" w:eastAsia="宋体" w:cs="宋体"/>
          <w:spacing w:val="-3"/>
          <w:sz w:val="23"/>
          <w:szCs w:val="23"/>
          <w:lang w:val="en-US" w:eastAsia="zh-CN"/>
        </w:rPr>
        <w:t>2、计划竣工日期：</w:t>
      </w:r>
      <w:r>
        <w:rPr>
          <w:rFonts w:hint="eastAsia" w:cs="宋体"/>
          <w:spacing w:val="-3"/>
          <w:sz w:val="23"/>
          <w:szCs w:val="23"/>
          <w:lang w:val="en-US" w:eastAsia="zh-CN"/>
        </w:rPr>
        <w:t xml:space="preserve">    </w:t>
      </w:r>
      <w:r>
        <w:rPr>
          <w:rFonts w:ascii="宋体" w:hAnsi="宋体" w:eastAsia="宋体" w:cs="宋体"/>
          <w:spacing w:val="-3"/>
          <w:sz w:val="23"/>
          <w:szCs w:val="23"/>
        </w:rPr>
        <w:t>年</w:t>
      </w:r>
      <w:r>
        <w:rPr>
          <w:rFonts w:hint="eastAsia" w:cs="宋体"/>
          <w:spacing w:val="-3"/>
          <w:sz w:val="23"/>
          <w:szCs w:val="23"/>
          <w:lang w:val="en-US" w:eastAsia="zh-CN"/>
        </w:rPr>
        <w:t xml:space="preserve">   </w:t>
      </w:r>
      <w:r>
        <w:rPr>
          <w:rFonts w:ascii="宋体" w:hAnsi="宋体" w:eastAsia="宋体" w:cs="宋体"/>
          <w:spacing w:val="-3"/>
          <w:sz w:val="23"/>
          <w:szCs w:val="23"/>
        </w:rPr>
        <w:t>月</w:t>
      </w:r>
      <w:r>
        <w:rPr>
          <w:rFonts w:hint="eastAsia" w:cs="宋体"/>
          <w:spacing w:val="-3"/>
          <w:sz w:val="23"/>
          <w:szCs w:val="23"/>
          <w:lang w:val="en-US" w:eastAsia="zh-CN"/>
        </w:rPr>
        <w:t xml:space="preserve">     </w:t>
      </w:r>
      <w:r>
        <w:rPr>
          <w:rFonts w:ascii="宋体" w:hAnsi="宋体" w:eastAsia="宋体" w:cs="宋体"/>
          <w:spacing w:val="-3"/>
          <w:sz w:val="23"/>
          <w:szCs w:val="23"/>
        </w:rPr>
        <w:t>日</w:t>
      </w:r>
      <w:r>
        <w:rPr>
          <w:rFonts w:hint="eastAsia" w:ascii="宋体" w:hAnsi="宋体" w:eastAsia="宋体" w:cs="宋体"/>
          <w:spacing w:val="-3"/>
          <w:sz w:val="23"/>
          <w:szCs w:val="23"/>
          <w:lang w:eastAsia="zh-CN"/>
        </w:rPr>
        <w:t>。</w:t>
      </w:r>
    </w:p>
    <w:p>
      <w:pPr>
        <w:pStyle w:val="26"/>
        <w:spacing w:before="0" w:beforeAutospacing="0" w:after="0" w:afterAutospacing="0" w:line="480" w:lineRule="auto"/>
        <w:ind w:firstLine="448" w:firstLineChars="200"/>
        <w:rPr>
          <w:rFonts w:hint="eastAsia" w:ascii="宋体" w:hAnsi="宋体" w:eastAsia="宋体" w:cs="宋体"/>
          <w:color w:val="auto"/>
          <w:lang w:eastAsia="zh-CN"/>
        </w:rPr>
      </w:pPr>
      <w:r>
        <w:rPr>
          <w:rFonts w:hint="eastAsia" w:cs="宋体"/>
          <w:spacing w:val="-3"/>
          <w:sz w:val="23"/>
          <w:szCs w:val="23"/>
          <w:lang w:val="en-US" w:eastAsia="zh-CN"/>
        </w:rPr>
        <w:t>3、</w:t>
      </w:r>
      <w:r>
        <w:rPr>
          <w:rFonts w:hint="eastAsia" w:ascii="宋体" w:hAnsi="宋体" w:eastAsia="宋体" w:cs="宋体"/>
          <w:color w:val="auto"/>
        </w:rPr>
        <w:t>工期总日历天数：</w:t>
      </w:r>
      <w:r>
        <w:rPr>
          <w:rFonts w:hint="eastAsia" w:cs="宋体"/>
          <w:color w:val="auto"/>
          <w:u w:val="single"/>
          <w:lang w:val="en-US" w:eastAsia="zh-CN"/>
        </w:rPr>
        <w:t xml:space="preserve">   </w:t>
      </w:r>
      <w:r>
        <w:rPr>
          <w:rFonts w:hint="eastAsia" w:ascii="宋体" w:hAnsi="宋体" w:eastAsia="宋体" w:cs="宋体"/>
          <w:color w:val="auto"/>
        </w:rPr>
        <w:t>天。工期总日历天数与根据前述计划开竣工日期计</w:t>
      </w:r>
      <w:r>
        <w:rPr>
          <w:rFonts w:hint="eastAsia" w:cs="宋体"/>
          <w:color w:val="auto"/>
          <w:lang w:eastAsia="zh-CN"/>
        </w:rPr>
        <w:t>。</w:t>
      </w:r>
      <w:r>
        <w:rPr>
          <w:rFonts w:hint="eastAsia" w:ascii="宋体" w:hAnsi="宋体" w:eastAsia="宋体" w:cs="宋体"/>
          <w:color w:val="auto"/>
        </w:rPr>
        <w:t>算的工期天数不一致的，以工期总日历天数为准</w:t>
      </w:r>
      <w:r>
        <w:rPr>
          <w:rFonts w:hint="eastAsia" w:cs="宋体"/>
          <w:color w:val="auto"/>
          <w:lang w:eastAsia="zh-CN"/>
        </w:rPr>
        <w:t>。</w:t>
      </w:r>
    </w:p>
    <w:p>
      <w:pPr>
        <w:pStyle w:val="26"/>
        <w:spacing w:before="0" w:beforeAutospacing="0" w:after="0" w:afterAutospacing="0" w:line="480" w:lineRule="auto"/>
        <w:ind w:firstLine="480" w:firstLineChars="200"/>
        <w:rPr>
          <w:rFonts w:hint="eastAsia" w:ascii="宋体" w:hAnsi="宋体" w:eastAsia="宋体" w:cs="宋体"/>
          <w:color w:val="auto"/>
          <w:lang w:eastAsia="zh-CN"/>
        </w:rPr>
      </w:pPr>
      <w:r>
        <w:rPr>
          <w:rFonts w:hint="eastAsia" w:ascii="宋体" w:hAnsi="宋体" w:eastAsia="宋体" w:cs="宋体"/>
          <w:color w:val="auto"/>
        </w:rPr>
        <mc:AlternateContent>
          <mc:Choice Requires="wps">
            <w:drawing>
              <wp:anchor distT="0" distB="0" distL="114300" distR="114300" simplePos="0" relativeHeight="251663360" behindDoc="0" locked="0" layoutInCell="1" allowOverlap="1">
                <wp:simplePos x="0" y="0"/>
                <wp:positionH relativeFrom="column">
                  <wp:posOffset>1318895</wp:posOffset>
                </wp:positionH>
                <wp:positionV relativeFrom="paragraph">
                  <wp:posOffset>153670</wp:posOffset>
                </wp:positionV>
                <wp:extent cx="2984500" cy="0"/>
                <wp:effectExtent l="0" t="0" r="25400" b="19050"/>
                <wp:wrapNone/>
                <wp:docPr id="5" name="直接连接符 5"/>
                <wp:cNvGraphicFramePr/>
                <a:graphic xmlns:a="http://schemas.openxmlformats.org/drawingml/2006/main">
                  <a:graphicData uri="http://schemas.microsoft.com/office/word/2010/wordprocessingShape">
                    <wps:wsp>
                      <wps:cNvCnPr/>
                      <wps:spPr>
                        <a:xfrm>
                          <a:off x="0" y="0"/>
                          <a:ext cx="2984500" cy="0"/>
                        </a:xfrm>
                        <a:prstGeom prst="line">
                          <a:avLst/>
                        </a:prstGeom>
                        <a:ln>
                          <a:solidFill>
                            <a:schemeClr val="tx1">
                              <a:lumMod val="95000"/>
                              <a:lumOff val="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103.85pt;margin-top:12.1pt;height:0pt;width:235pt;z-index:251663360;mso-width-relative:page;mso-height-relative:page;" filled="f" stroked="t" coordsize="21600,21600" o:gfxdata="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ADInlh1gAAAAkBAAAPAAAAAAAAAAEAIAAAACIAAABkcnMvZG93bnJldi54bWxQSwECFAAUAAAA&#10;CACHTuJA3U5vEvABAADSAwAADgAAAAAAAAABACAAAAAlAQAAZHJzL2Uyb0RvYy54bWxQSwUGAAAA&#10;AAYABgBZAQAAhwUAAAAA&#10;">
                <v:fill on="f" focussize="0,0"/>
                <v:stroke color="#0D0D0D [3069]" joinstyle="round"/>
                <v:imagedata o:title=""/>
                <o:lock v:ext="edit" aspectratio="f"/>
              </v:line>
            </w:pict>
          </mc:Fallback>
        </mc:AlternateContent>
      </w:r>
      <w:r>
        <w:rPr>
          <w:rFonts w:hint="eastAsia" w:cs="宋体"/>
          <w:color w:val="auto"/>
          <w:lang w:eastAsia="zh-CN"/>
        </w:rPr>
        <w:t>三</w:t>
      </w:r>
      <w:r>
        <w:rPr>
          <w:rFonts w:hint="eastAsia" w:ascii="宋体" w:hAnsi="宋体" w:eastAsia="宋体" w:cs="宋体"/>
          <w:color w:val="auto"/>
        </w:rPr>
        <w:t>、</w:t>
      </w:r>
      <w:r>
        <w:rPr>
          <w:rFonts w:hint="eastAsia" w:cs="宋体"/>
          <w:color w:val="auto"/>
          <w:lang w:eastAsia="zh-CN"/>
        </w:rPr>
        <w:t>质量标准</w:t>
      </w:r>
      <w:r>
        <w:rPr>
          <w:rFonts w:hint="eastAsia" w:ascii="宋体" w:hAnsi="宋体" w:eastAsia="宋体" w:cs="宋体"/>
          <w:color w:val="auto"/>
        </w:rPr>
        <w:t>:工程质量符合合格标准</w:t>
      </w:r>
    </w:p>
    <w:p>
      <w:pPr>
        <w:pStyle w:val="26"/>
        <w:spacing w:before="0" w:beforeAutospacing="0" w:after="0" w:afterAutospacing="0" w:line="480" w:lineRule="auto"/>
        <w:ind w:firstLine="480" w:firstLineChars="200"/>
        <w:rPr>
          <w:rFonts w:hint="eastAsia" w:ascii="宋体" w:hAnsi="宋体" w:eastAsia="宋体" w:cs="宋体"/>
          <w:color w:val="auto"/>
        </w:rPr>
      </w:pPr>
      <w:r>
        <w:rPr>
          <w:rFonts w:hint="eastAsia" w:ascii="宋体" w:hAnsi="宋体" w:eastAsia="宋体" w:cs="宋体"/>
          <w:color w:val="auto"/>
        </w:rPr>
        <w:t>四、签约合同价与合同价格形式：</w:t>
      </w:r>
    </w:p>
    <w:p>
      <w:pPr>
        <w:pStyle w:val="26"/>
        <w:spacing w:before="0" w:beforeAutospacing="0" w:after="0" w:afterAutospacing="0" w:line="480" w:lineRule="auto"/>
        <w:ind w:firstLine="480" w:firstLineChars="200"/>
        <w:rPr>
          <w:rFonts w:hint="eastAsia" w:cs="宋体"/>
          <w:color w:val="auto"/>
          <w:lang w:val="en-US" w:eastAsia="zh-CN"/>
        </w:rPr>
      </w:pPr>
      <w:r>
        <w:rPr>
          <w:rFonts w:hint="eastAsia" w:cs="宋体"/>
          <w:color w:val="auto"/>
          <w:lang w:val="en-US" w:eastAsia="zh-CN"/>
        </w:rPr>
        <w:t>1、签约合同价为：</w:t>
      </w:r>
    </w:p>
    <w:p>
      <w:pPr>
        <w:pStyle w:val="26"/>
        <w:spacing w:before="0" w:beforeAutospacing="0" w:after="0" w:afterAutospacing="0" w:line="480" w:lineRule="auto"/>
        <w:ind w:firstLine="480" w:firstLineChars="200"/>
        <w:rPr>
          <w:rFonts w:hint="eastAsia" w:cs="宋体"/>
          <w:color w:val="auto"/>
          <w:lang w:val="en-US" w:eastAsia="zh-CN"/>
        </w:rPr>
      </w:pPr>
      <w:r>
        <w:rPr>
          <w:rFonts w:hint="eastAsia" w:cs="宋体"/>
          <w:color w:val="auto"/>
          <w:lang w:val="en-US" w:eastAsia="zh-CN"/>
        </w:rPr>
        <w:t>人民币(大写)(¥：元)；</w:t>
      </w:r>
    </w:p>
    <w:p>
      <w:pPr>
        <w:pStyle w:val="26"/>
        <w:spacing w:before="0" w:beforeAutospacing="0" w:after="0" w:afterAutospacing="0" w:line="480" w:lineRule="auto"/>
        <w:ind w:firstLine="480" w:firstLineChars="200"/>
        <w:rPr>
          <w:rFonts w:hint="default" w:cs="宋体"/>
          <w:color w:val="auto"/>
          <w:u w:val="single"/>
          <w:lang w:val="en-US" w:eastAsia="zh-CN"/>
        </w:rPr>
      </w:pPr>
      <w:r>
        <w:rPr>
          <w:rFonts w:hint="eastAsia" w:cs="宋体"/>
          <w:color w:val="auto"/>
          <w:lang w:val="en-US" w:eastAsia="zh-CN"/>
        </w:rPr>
        <w:t>2、合同价格形式：</w:t>
      </w:r>
      <w:r>
        <w:rPr>
          <w:rFonts w:hint="eastAsia" w:cs="宋体"/>
          <w:color w:val="auto"/>
          <w:u w:val="single"/>
          <w:lang w:val="en-US" w:eastAsia="zh-CN"/>
        </w:rPr>
        <w:t>单价合同</w:t>
      </w:r>
      <w:r>
        <w:rPr>
          <w:rFonts w:hint="eastAsia" w:cs="宋体"/>
          <w:color w:val="auto"/>
          <w:u w:val="none"/>
          <w:lang w:val="en-US" w:eastAsia="zh-CN"/>
        </w:rPr>
        <w:t>。</w:t>
      </w:r>
      <w:r>
        <w:rPr>
          <w:rFonts w:hint="eastAsia" w:cs="宋体"/>
          <w:color w:val="FFFFFF" w:themeColor="background1"/>
          <w:u w:val="single"/>
          <w:lang w:val="en-US" w:eastAsia="zh-CN"/>
          <w14:textFill>
            <w14:solidFill>
              <w14:schemeClr w14:val="bg1"/>
            </w14:solidFill>
          </w14:textFill>
        </w:rPr>
        <w:t>从v</w:t>
      </w:r>
    </w:p>
    <w:p>
      <w:pPr>
        <w:pStyle w:val="26"/>
        <w:spacing w:before="0" w:beforeAutospacing="0" w:after="0" w:afterAutospacing="0" w:line="480" w:lineRule="auto"/>
        <w:ind w:firstLine="480" w:firstLineChars="200"/>
        <w:rPr>
          <w:rFonts w:hint="eastAsia" w:ascii="宋体" w:hAnsi="宋体" w:eastAsia="宋体" w:cs="宋体"/>
          <w:color w:val="auto"/>
        </w:rPr>
      </w:pPr>
      <w:r>
        <w:rPr>
          <w:rFonts w:hint="eastAsia" w:cs="宋体"/>
          <w:color w:val="auto"/>
          <w:lang w:eastAsia="zh-CN"/>
        </w:rPr>
        <w:t>五</w:t>
      </w:r>
      <w:r>
        <w:rPr>
          <w:rFonts w:hint="eastAsia" w:ascii="宋体" w:hAnsi="宋体" w:eastAsia="宋体" w:cs="宋体"/>
          <w:color w:val="auto"/>
        </w:rPr>
        <w:t>、</w:t>
      </w:r>
      <w:r>
        <w:rPr>
          <w:rFonts w:hint="eastAsia" w:cs="宋体"/>
          <w:color w:val="auto"/>
          <w:lang w:eastAsia="zh-CN"/>
        </w:rPr>
        <w:t>项目经理</w:t>
      </w:r>
      <w:r>
        <w:rPr>
          <w:rFonts w:hint="eastAsia" w:ascii="宋体" w:hAnsi="宋体" w:eastAsia="宋体" w:cs="宋体"/>
          <w:color w:val="auto"/>
        </w:rPr>
        <w:t>。</w:t>
      </w:r>
    </w:p>
    <w:p>
      <w:pPr>
        <w:pStyle w:val="26"/>
        <w:spacing w:before="0" w:beforeAutospacing="0" w:after="0" w:afterAutospacing="0" w:line="480" w:lineRule="auto"/>
        <w:ind w:firstLine="480" w:firstLineChars="200"/>
        <w:rPr>
          <w:rFonts w:hint="eastAsia" w:ascii="宋体" w:hAnsi="宋体" w:eastAsia="宋体" w:cs="宋体"/>
          <w:color w:val="auto"/>
        </w:rPr>
      </w:pPr>
      <w:r>
        <w:rPr>
          <w:rFonts w:hint="eastAsia" w:ascii="宋体" w:hAnsi="宋体" w:eastAsia="宋体" w:cs="宋体"/>
          <w:color w:val="auto"/>
        </w:rPr>
        <w:t>承包人项目经理：。</w:t>
      </w:r>
    </w:p>
    <w:p>
      <w:pPr>
        <w:pStyle w:val="26"/>
        <w:numPr>
          <w:ilvl w:val="0"/>
          <w:numId w:val="0"/>
        </w:numPr>
        <w:spacing w:before="0" w:beforeAutospacing="0" w:after="0" w:afterAutospacing="0" w:line="480" w:lineRule="auto"/>
        <w:ind w:firstLine="480" w:firstLineChars="200"/>
        <w:rPr>
          <w:rFonts w:hint="eastAsia" w:cs="宋体"/>
          <w:color w:val="auto"/>
          <w:lang w:eastAsia="zh-CN"/>
        </w:rPr>
      </w:pPr>
      <w:r>
        <w:rPr>
          <w:rFonts w:hint="eastAsia" w:cs="宋体"/>
          <w:color w:val="auto"/>
          <w:lang w:eastAsia="zh-CN"/>
        </w:rPr>
        <w:t>六、</w:t>
      </w:r>
      <w:r>
        <w:rPr>
          <w:rFonts w:hint="eastAsia" w:ascii="宋体" w:hAnsi="宋体" w:eastAsia="宋体" w:cs="宋体"/>
          <w:color w:val="auto"/>
        </w:rPr>
        <w:t>合同文件构成</w:t>
      </w:r>
      <w:r>
        <w:rPr>
          <w:rFonts w:hint="eastAsia" w:cs="宋体"/>
          <w:color w:val="auto"/>
          <w:lang w:eastAsia="zh-CN"/>
        </w:rPr>
        <w:t>：</w:t>
      </w:r>
    </w:p>
    <w:p>
      <w:pPr>
        <w:pStyle w:val="26"/>
        <w:spacing w:before="0" w:beforeAutospacing="0" w:after="0" w:afterAutospacing="0" w:line="480" w:lineRule="auto"/>
        <w:ind w:firstLine="480" w:firstLineChars="200"/>
        <w:rPr>
          <w:rFonts w:hint="eastAsia" w:cs="宋体"/>
          <w:color w:val="auto"/>
          <w:lang w:eastAsia="zh-CN"/>
        </w:rPr>
      </w:pPr>
      <w:r>
        <w:rPr>
          <w:rFonts w:hint="eastAsia" w:ascii="宋体" w:hAnsi="宋体" w:eastAsia="宋体" w:cs="宋体"/>
          <w:color w:val="auto"/>
          <w:lang w:eastAsia="zh-CN"/>
        </w:rPr>
        <w:t>本协议书与下列文件一起构成合同文件</w:t>
      </w:r>
      <w:r>
        <w:rPr>
          <w:rFonts w:hint="eastAsia" w:cs="宋体"/>
          <w:color w:val="auto"/>
          <w:lang w:eastAsia="zh-CN"/>
        </w:rPr>
        <w:t>：</w:t>
      </w:r>
    </w:p>
    <w:p>
      <w:pPr>
        <w:pStyle w:val="26"/>
        <w:numPr>
          <w:ilvl w:val="0"/>
          <w:numId w:val="3"/>
        </w:numPr>
        <w:spacing w:before="0" w:beforeAutospacing="0" w:after="0" w:afterAutospacing="0" w:line="480" w:lineRule="auto"/>
        <w:ind w:firstLine="480" w:firstLineChars="200"/>
        <w:rPr>
          <w:rFonts w:hint="eastAsia" w:cs="宋体"/>
          <w:color w:val="auto"/>
          <w:lang w:eastAsia="zh-CN"/>
        </w:rPr>
      </w:pPr>
      <w:r>
        <w:rPr>
          <w:rFonts w:hint="eastAsia" w:cs="宋体"/>
          <w:color w:val="auto"/>
          <w:lang w:eastAsia="zh-CN"/>
        </w:rPr>
        <w:t>中标通知书；</w:t>
      </w:r>
    </w:p>
    <w:p>
      <w:pPr>
        <w:pStyle w:val="26"/>
        <w:numPr>
          <w:ilvl w:val="0"/>
          <w:numId w:val="3"/>
        </w:numPr>
        <w:spacing w:before="0" w:beforeAutospacing="0" w:after="0" w:afterAutospacing="0" w:line="480" w:lineRule="auto"/>
        <w:ind w:left="0" w:leftChars="0" w:firstLine="480" w:firstLineChars="200"/>
        <w:rPr>
          <w:rFonts w:hint="eastAsia" w:cs="宋体"/>
          <w:color w:val="auto"/>
          <w:lang w:eastAsia="zh-CN"/>
        </w:rPr>
      </w:pPr>
      <w:r>
        <w:rPr>
          <w:rFonts w:hint="eastAsia" w:cs="宋体"/>
          <w:color w:val="auto"/>
          <w:lang w:eastAsia="zh-CN"/>
        </w:rPr>
        <w:t>磋商函及其附录；</w:t>
      </w:r>
    </w:p>
    <w:p>
      <w:pPr>
        <w:pStyle w:val="26"/>
        <w:numPr>
          <w:ilvl w:val="0"/>
          <w:numId w:val="3"/>
        </w:numPr>
        <w:spacing w:before="0" w:beforeAutospacing="0" w:after="0" w:afterAutospacing="0" w:line="480" w:lineRule="auto"/>
        <w:ind w:left="0" w:leftChars="0" w:firstLine="480" w:firstLineChars="200"/>
        <w:rPr>
          <w:rFonts w:hint="eastAsia" w:ascii="宋体" w:hAnsi="宋体" w:eastAsia="宋体" w:cs="宋体"/>
          <w:color w:val="auto"/>
          <w:lang w:eastAsia="zh-CN"/>
        </w:rPr>
      </w:pPr>
      <w:r>
        <w:rPr>
          <w:rFonts w:hint="eastAsia" w:ascii="宋体" w:hAnsi="宋体" w:eastAsia="宋体" w:cs="宋体"/>
          <w:color w:val="auto"/>
          <w:lang w:eastAsia="zh-CN"/>
        </w:rPr>
        <w:t>专用合同条款及其附件</w:t>
      </w:r>
      <w:r>
        <w:rPr>
          <w:rFonts w:hint="eastAsia" w:cs="宋体"/>
          <w:color w:val="auto"/>
          <w:lang w:eastAsia="zh-CN"/>
        </w:rPr>
        <w:t>；</w:t>
      </w:r>
    </w:p>
    <w:p>
      <w:pPr>
        <w:pStyle w:val="26"/>
        <w:numPr>
          <w:ilvl w:val="0"/>
          <w:numId w:val="3"/>
        </w:numPr>
        <w:spacing w:before="0" w:beforeAutospacing="0" w:after="0" w:afterAutospacing="0" w:line="480" w:lineRule="auto"/>
        <w:ind w:left="0" w:leftChars="0" w:firstLine="480" w:firstLineChars="200"/>
        <w:rPr>
          <w:rFonts w:hint="eastAsia" w:ascii="宋体" w:hAnsi="宋体" w:eastAsia="宋体" w:cs="宋体"/>
          <w:color w:val="auto"/>
          <w:lang w:eastAsia="zh-CN"/>
        </w:rPr>
      </w:pPr>
      <w:r>
        <w:rPr>
          <w:rFonts w:hint="eastAsia" w:ascii="宋体" w:hAnsi="宋体" w:eastAsia="宋体" w:cs="宋体"/>
          <w:color w:val="auto"/>
          <w:lang w:eastAsia="zh-CN"/>
        </w:rPr>
        <w:t>通用合同条款</w:t>
      </w:r>
      <w:r>
        <w:rPr>
          <w:rFonts w:hint="eastAsia" w:cs="宋体"/>
          <w:color w:val="auto"/>
          <w:lang w:eastAsia="zh-CN"/>
        </w:rPr>
        <w:t>；</w:t>
      </w:r>
    </w:p>
    <w:p>
      <w:pPr>
        <w:pStyle w:val="26"/>
        <w:numPr>
          <w:ilvl w:val="0"/>
          <w:numId w:val="3"/>
        </w:numPr>
        <w:spacing w:before="0" w:beforeAutospacing="0" w:after="0" w:afterAutospacing="0" w:line="480" w:lineRule="auto"/>
        <w:ind w:left="0" w:leftChars="0" w:firstLine="480" w:firstLineChars="200"/>
        <w:rPr>
          <w:rFonts w:hint="eastAsia" w:ascii="宋体" w:hAnsi="宋体" w:eastAsia="宋体" w:cs="宋体"/>
          <w:color w:val="auto"/>
          <w:lang w:eastAsia="zh-CN"/>
        </w:rPr>
      </w:pPr>
      <w:r>
        <w:rPr>
          <w:rFonts w:hint="eastAsia" w:ascii="宋体" w:hAnsi="宋体" w:eastAsia="宋体" w:cs="宋体"/>
          <w:color w:val="auto"/>
          <w:lang w:eastAsia="zh-CN"/>
        </w:rPr>
        <w:t>技术标准和要求</w:t>
      </w:r>
      <w:r>
        <w:rPr>
          <w:rFonts w:hint="eastAsia" w:cs="宋体"/>
          <w:color w:val="auto"/>
          <w:lang w:eastAsia="zh-CN"/>
        </w:rPr>
        <w:t>；</w:t>
      </w:r>
    </w:p>
    <w:p>
      <w:pPr>
        <w:pStyle w:val="26"/>
        <w:numPr>
          <w:ilvl w:val="0"/>
          <w:numId w:val="3"/>
        </w:numPr>
        <w:spacing w:before="0" w:beforeAutospacing="0" w:after="0" w:afterAutospacing="0" w:line="480" w:lineRule="auto"/>
        <w:ind w:left="0" w:leftChars="0" w:firstLine="480" w:firstLineChars="200"/>
        <w:rPr>
          <w:rFonts w:hint="eastAsia" w:ascii="宋体" w:hAnsi="宋体" w:eastAsia="宋体" w:cs="宋体"/>
          <w:color w:val="auto"/>
          <w:lang w:eastAsia="zh-CN"/>
        </w:rPr>
      </w:pPr>
      <w:r>
        <w:rPr>
          <w:rFonts w:hint="eastAsia" w:ascii="宋体" w:hAnsi="宋体" w:eastAsia="宋体" w:cs="宋体"/>
          <w:color w:val="auto"/>
          <w:lang w:eastAsia="zh-CN"/>
        </w:rPr>
        <w:t>图纸</w:t>
      </w:r>
      <w:r>
        <w:rPr>
          <w:rFonts w:hint="eastAsia" w:cs="宋体"/>
          <w:color w:val="auto"/>
          <w:lang w:eastAsia="zh-CN"/>
        </w:rPr>
        <w:t>；</w:t>
      </w:r>
    </w:p>
    <w:p>
      <w:pPr>
        <w:pStyle w:val="26"/>
        <w:numPr>
          <w:ilvl w:val="0"/>
          <w:numId w:val="3"/>
        </w:numPr>
        <w:spacing w:before="0" w:beforeAutospacing="0" w:after="0" w:afterAutospacing="0" w:line="480" w:lineRule="auto"/>
        <w:ind w:left="0" w:leftChars="0" w:firstLine="480" w:firstLineChars="200"/>
        <w:rPr>
          <w:rFonts w:hint="eastAsia" w:ascii="宋体" w:hAnsi="宋体" w:eastAsia="宋体" w:cs="宋体"/>
          <w:color w:val="auto"/>
          <w:lang w:eastAsia="zh-CN"/>
        </w:rPr>
      </w:pPr>
      <w:r>
        <w:rPr>
          <w:rFonts w:hint="eastAsia" w:ascii="宋体" w:hAnsi="宋体" w:eastAsia="宋体" w:cs="宋体"/>
          <w:color w:val="auto"/>
          <w:lang w:eastAsia="zh-CN"/>
        </w:rPr>
        <w:t>已标价工程量清单或预算书</w:t>
      </w:r>
      <w:r>
        <w:rPr>
          <w:rFonts w:hint="eastAsia" w:cs="宋体"/>
          <w:color w:val="auto"/>
          <w:lang w:eastAsia="zh-CN"/>
        </w:rPr>
        <w:t>；</w:t>
      </w:r>
    </w:p>
    <w:p>
      <w:pPr>
        <w:pStyle w:val="26"/>
        <w:numPr>
          <w:ilvl w:val="0"/>
          <w:numId w:val="3"/>
        </w:numPr>
        <w:spacing w:before="0" w:beforeAutospacing="0" w:after="0" w:afterAutospacing="0" w:line="480" w:lineRule="auto"/>
        <w:ind w:left="0" w:leftChars="0" w:firstLine="480" w:firstLineChars="200"/>
        <w:rPr>
          <w:rFonts w:hint="eastAsia" w:ascii="宋体" w:hAnsi="宋体" w:eastAsia="宋体" w:cs="宋体"/>
          <w:color w:val="auto"/>
          <w:lang w:eastAsia="zh-CN"/>
        </w:rPr>
      </w:pPr>
      <w:r>
        <w:rPr>
          <w:rFonts w:hint="eastAsia" w:ascii="宋体" w:hAnsi="宋体" w:eastAsia="宋体" w:cs="宋体"/>
          <w:color w:val="auto"/>
          <w:lang w:eastAsia="zh-CN"/>
        </w:rPr>
        <w:t>其他合同文件</w:t>
      </w:r>
      <w:r>
        <w:rPr>
          <w:rFonts w:hint="eastAsia" w:cs="宋体"/>
          <w:color w:val="auto"/>
          <w:lang w:eastAsia="zh-CN"/>
        </w:rPr>
        <w:t>。</w:t>
      </w:r>
    </w:p>
    <w:p>
      <w:pPr>
        <w:pStyle w:val="26"/>
        <w:numPr>
          <w:ilvl w:val="0"/>
          <w:numId w:val="0"/>
        </w:numPr>
        <w:spacing w:before="0" w:beforeAutospacing="0" w:after="0" w:afterAutospacing="0" w:line="480" w:lineRule="auto"/>
        <w:ind w:left="0" w:leftChars="0" w:firstLine="420" w:firstLineChars="175"/>
        <w:rPr>
          <w:rFonts w:hint="eastAsia" w:cs="宋体"/>
          <w:color w:val="auto"/>
          <w:lang w:eastAsia="zh-CN"/>
        </w:rPr>
      </w:pPr>
      <w:r>
        <w:rPr>
          <w:rFonts w:hint="eastAsia" w:cs="宋体"/>
          <w:color w:val="auto"/>
          <w:lang w:eastAsia="zh-CN"/>
        </w:rPr>
        <w:t>在合同订立及履行过程中形成的与合同有关的文件均构成合同文件组成部分；</w:t>
      </w:r>
    </w:p>
    <w:p>
      <w:pPr>
        <w:pStyle w:val="26"/>
        <w:numPr>
          <w:ilvl w:val="0"/>
          <w:numId w:val="0"/>
        </w:numPr>
        <w:spacing w:before="0" w:beforeAutospacing="0" w:after="0" w:afterAutospacing="0" w:line="480" w:lineRule="auto"/>
        <w:ind w:left="0" w:leftChars="0" w:firstLine="420" w:firstLineChars="175"/>
        <w:rPr>
          <w:rFonts w:hint="eastAsia" w:ascii="宋体" w:hAnsi="宋体" w:eastAsia="宋体" w:cs="宋体"/>
          <w:color w:val="auto"/>
          <w:lang w:eastAsia="zh-CN"/>
        </w:rPr>
      </w:pPr>
      <w:r>
        <w:rPr>
          <w:rFonts w:hint="eastAsia" w:cs="宋体"/>
          <w:color w:val="auto"/>
          <w:lang w:eastAsia="zh-CN"/>
        </w:rPr>
        <w:t>上述各项合同文件包括合同当事人就该项合同文件所作出的补充和修改，属于同一类内容的文件，应以最新签署的为准。专用合同条款及其附件须经合同当事人签字或盖章。</w:t>
      </w:r>
    </w:p>
    <w:p>
      <w:pPr>
        <w:pStyle w:val="26"/>
        <w:numPr>
          <w:ilvl w:val="0"/>
          <w:numId w:val="0"/>
        </w:numPr>
        <w:spacing w:before="0" w:beforeAutospacing="0" w:after="0" w:afterAutospacing="0" w:line="480" w:lineRule="auto"/>
        <w:ind w:firstLine="480" w:firstLineChars="200"/>
        <w:rPr>
          <w:rFonts w:hint="eastAsia" w:ascii="宋体" w:hAnsi="宋体" w:eastAsia="宋体" w:cs="宋体"/>
          <w:color w:val="auto"/>
        </w:rPr>
      </w:pPr>
      <w:r>
        <w:rPr>
          <w:rFonts w:hint="eastAsia" w:cs="宋体"/>
          <w:color w:val="auto"/>
          <w:lang w:eastAsia="zh-CN"/>
        </w:rPr>
        <w:t>七、承诺</w:t>
      </w:r>
    </w:p>
    <w:p>
      <w:pPr>
        <w:pStyle w:val="26"/>
        <w:spacing w:before="0" w:beforeAutospacing="0" w:after="0" w:afterAutospacing="0" w:line="480" w:lineRule="auto"/>
        <w:ind w:firstLine="480" w:firstLineChars="200"/>
        <w:rPr>
          <w:rFonts w:hint="eastAsia" w:ascii="宋体" w:hAnsi="宋体" w:eastAsia="宋体" w:cs="宋体"/>
          <w:color w:val="auto"/>
        </w:rPr>
      </w:pPr>
      <w:r>
        <w:rPr>
          <w:rFonts w:hint="eastAsia" w:ascii="宋体" w:hAnsi="宋体" w:eastAsia="宋体" w:cs="宋体"/>
          <w:color w:val="auto"/>
        </w:rPr>
        <w:t>1.发包人承诺按照法律规定履行项目审批手续、筹集工程建设资金并按照合同约</w:t>
      </w:r>
    </w:p>
    <w:p>
      <w:pPr>
        <w:pStyle w:val="26"/>
        <w:spacing w:before="0" w:beforeAutospacing="0" w:after="0" w:afterAutospacing="0" w:line="480" w:lineRule="auto"/>
        <w:ind w:left="0" w:leftChars="0" w:firstLine="0" w:firstLineChars="0"/>
        <w:rPr>
          <w:rFonts w:hint="eastAsia" w:cs="宋体"/>
          <w:color w:val="auto"/>
          <w:lang w:eastAsia="zh-CN"/>
        </w:rPr>
      </w:pPr>
      <w:r>
        <w:rPr>
          <w:rFonts w:hint="eastAsia" w:ascii="宋体" w:hAnsi="宋体" w:eastAsia="宋体" w:cs="宋体"/>
          <w:color w:val="auto"/>
        </w:rPr>
        <w:t>定的期限和方式支付合同价款</w:t>
      </w:r>
      <w:r>
        <w:rPr>
          <w:rFonts w:hint="eastAsia" w:cs="宋体"/>
          <w:color w:val="auto"/>
          <w:lang w:eastAsia="zh-CN"/>
        </w:rPr>
        <w:t>；</w:t>
      </w:r>
    </w:p>
    <w:p>
      <w:pPr>
        <w:pStyle w:val="26"/>
        <w:numPr>
          <w:ilvl w:val="0"/>
          <w:numId w:val="0"/>
        </w:numPr>
        <w:spacing w:before="0" w:beforeAutospacing="0" w:after="0" w:afterAutospacing="0" w:line="480" w:lineRule="auto"/>
        <w:ind w:firstLine="480" w:firstLineChars="200"/>
        <w:rPr>
          <w:rFonts w:hint="eastAsia" w:cs="宋体"/>
          <w:color w:val="auto"/>
          <w:lang w:val="en-US" w:eastAsia="zh-CN"/>
        </w:rPr>
      </w:pPr>
      <w:r>
        <w:rPr>
          <w:rFonts w:hint="eastAsia" w:cs="宋体"/>
          <w:color w:val="auto"/>
          <w:lang w:val="en-US" w:eastAsia="zh-CN"/>
        </w:rPr>
        <w:t>2、承包人承诺按照法律规定及合同约定组织完成工程施工，确保工程质量和安全，不进行转包及违法分包，并在缺陷责任期及保修期内承担相应的工程维修责任；</w:t>
      </w:r>
    </w:p>
    <w:p>
      <w:pPr>
        <w:pStyle w:val="26"/>
        <w:numPr>
          <w:ilvl w:val="0"/>
          <w:numId w:val="0"/>
        </w:numPr>
        <w:spacing w:before="0" w:beforeAutospacing="0" w:after="0" w:afterAutospacing="0" w:line="480" w:lineRule="auto"/>
        <w:ind w:firstLine="480" w:firstLineChars="200"/>
        <w:rPr>
          <w:rFonts w:hint="default" w:ascii="宋体" w:hAnsi="宋体" w:eastAsia="宋体" w:cs="宋体"/>
          <w:color w:val="auto"/>
          <w:lang w:val="en-US" w:eastAsia="zh-CN"/>
        </w:rPr>
      </w:pPr>
      <w:r>
        <w:rPr>
          <w:rFonts w:hint="eastAsia" w:cs="宋体"/>
          <w:color w:val="auto"/>
          <w:lang w:val="en-US" w:eastAsia="zh-CN"/>
        </w:rPr>
        <w:t>3、发包人和承包人通过招磋商形式签订合同的，双方理解并承诺不再就同一工程另行签订与合同实质性内容相背离的协议。</w:t>
      </w:r>
    </w:p>
    <w:p>
      <w:pPr>
        <w:pStyle w:val="26"/>
        <w:numPr>
          <w:ilvl w:val="0"/>
          <w:numId w:val="0"/>
        </w:numPr>
        <w:spacing w:before="0" w:beforeAutospacing="0" w:after="0" w:afterAutospacing="0" w:line="480" w:lineRule="auto"/>
        <w:ind w:firstLine="480" w:firstLineChars="200"/>
        <w:rPr>
          <w:rFonts w:hint="eastAsia" w:cs="宋体"/>
          <w:color w:val="auto"/>
          <w:lang w:eastAsia="zh-CN"/>
        </w:rPr>
      </w:pPr>
      <w:r>
        <w:rPr>
          <w:rFonts w:hint="eastAsia" w:cs="宋体"/>
          <w:color w:val="auto"/>
          <w:lang w:eastAsia="zh-CN"/>
        </w:rPr>
        <w:t>八、词语含义</w:t>
      </w:r>
    </w:p>
    <w:p>
      <w:pPr>
        <w:pStyle w:val="26"/>
        <w:numPr>
          <w:ilvl w:val="0"/>
          <w:numId w:val="0"/>
        </w:numPr>
        <w:spacing w:before="0" w:beforeAutospacing="0" w:after="0" w:afterAutospacing="0" w:line="480" w:lineRule="auto"/>
        <w:ind w:firstLine="480" w:firstLineChars="200"/>
        <w:rPr>
          <w:rFonts w:hint="eastAsia" w:cs="宋体"/>
          <w:color w:val="auto"/>
          <w:lang w:eastAsia="zh-CN"/>
        </w:rPr>
      </w:pPr>
      <w:r>
        <w:rPr>
          <w:rFonts w:hint="eastAsia" w:cs="宋体"/>
          <w:color w:val="auto"/>
          <w:lang w:eastAsia="zh-CN"/>
        </w:rPr>
        <w:t>本协议书中词语含义与第二部分通用合同条款中赋予的含义相同。</w:t>
      </w:r>
    </w:p>
    <w:p>
      <w:pPr>
        <w:pStyle w:val="26"/>
        <w:numPr>
          <w:ilvl w:val="0"/>
          <w:numId w:val="0"/>
        </w:numPr>
        <w:spacing w:before="0" w:beforeAutospacing="0" w:after="0" w:afterAutospacing="0" w:line="480" w:lineRule="auto"/>
        <w:ind w:firstLine="480" w:firstLineChars="200"/>
        <w:rPr>
          <w:rFonts w:hint="eastAsia" w:cs="宋体"/>
          <w:color w:val="auto"/>
          <w:lang w:eastAsia="zh-CN"/>
        </w:rPr>
      </w:pPr>
      <w:r>
        <w:rPr>
          <w:rFonts w:hint="eastAsia" w:cs="宋体"/>
          <w:color w:val="auto"/>
          <w:lang w:eastAsia="zh-CN"/>
        </w:rPr>
        <w:t>九、签订时间</w:t>
      </w:r>
    </w:p>
    <w:p>
      <w:pPr>
        <w:pStyle w:val="26"/>
        <w:numPr>
          <w:ilvl w:val="0"/>
          <w:numId w:val="0"/>
        </w:numPr>
        <w:spacing w:before="0" w:beforeAutospacing="0" w:after="0" w:afterAutospacing="0" w:line="480" w:lineRule="auto"/>
        <w:ind w:firstLine="480" w:firstLineChars="200"/>
        <w:rPr>
          <w:rFonts w:hint="eastAsia" w:cs="宋体"/>
          <w:color w:val="auto"/>
          <w:lang w:eastAsia="zh-CN"/>
        </w:rPr>
      </w:pPr>
      <w:r>
        <w:rPr>
          <w:rFonts w:hint="eastAsia" w:cs="宋体"/>
          <w:color w:val="auto"/>
          <w:lang w:eastAsia="zh-CN"/>
        </w:rPr>
        <w:t>本合同于年月日签订。</w:t>
      </w:r>
    </w:p>
    <w:p>
      <w:pPr>
        <w:pStyle w:val="26"/>
        <w:numPr>
          <w:ilvl w:val="0"/>
          <w:numId w:val="0"/>
        </w:numPr>
        <w:spacing w:before="0" w:beforeAutospacing="0" w:after="0" w:afterAutospacing="0" w:line="480" w:lineRule="auto"/>
        <w:ind w:firstLine="480" w:firstLineChars="200"/>
        <w:rPr>
          <w:rFonts w:hint="eastAsia" w:cs="宋体"/>
          <w:color w:val="auto"/>
          <w:lang w:eastAsia="zh-CN"/>
        </w:rPr>
      </w:pPr>
      <w:r>
        <w:rPr>
          <w:rFonts w:hint="eastAsia" w:cs="宋体"/>
          <w:color w:val="auto"/>
          <w:lang w:eastAsia="zh-CN"/>
        </w:rPr>
        <w:t>十、签订地点</w:t>
      </w:r>
    </w:p>
    <w:p>
      <w:pPr>
        <w:pStyle w:val="26"/>
        <w:numPr>
          <w:ilvl w:val="0"/>
          <w:numId w:val="0"/>
        </w:numPr>
        <w:spacing w:before="0" w:beforeAutospacing="0" w:after="0" w:afterAutospacing="0" w:line="480" w:lineRule="auto"/>
        <w:ind w:firstLine="480" w:firstLineChars="200"/>
        <w:rPr>
          <w:rFonts w:hint="eastAsia" w:cs="宋体"/>
          <w:color w:val="auto"/>
          <w:lang w:eastAsia="zh-CN"/>
        </w:rPr>
      </w:pPr>
      <w:r>
        <w:rPr>
          <w:rFonts w:hint="eastAsia" w:cs="宋体"/>
          <w:color w:val="auto"/>
          <w:lang w:eastAsia="zh-CN"/>
        </w:rPr>
        <w:t>本合同在签订。</w:t>
      </w:r>
    </w:p>
    <w:p>
      <w:pPr>
        <w:pStyle w:val="26"/>
        <w:numPr>
          <w:ilvl w:val="0"/>
          <w:numId w:val="0"/>
        </w:numPr>
        <w:spacing w:before="0" w:beforeAutospacing="0" w:after="0" w:afterAutospacing="0" w:line="480" w:lineRule="auto"/>
        <w:ind w:firstLine="480" w:firstLineChars="200"/>
        <w:rPr>
          <w:rFonts w:hint="eastAsia" w:cs="宋体"/>
          <w:color w:val="auto"/>
          <w:lang w:eastAsia="zh-CN"/>
        </w:rPr>
      </w:pPr>
      <w:r>
        <w:rPr>
          <w:rFonts w:hint="eastAsia" w:cs="宋体"/>
          <w:color w:val="auto"/>
          <w:lang w:eastAsia="zh-CN"/>
        </w:rPr>
        <w:t>十一、补充协议</w:t>
      </w:r>
    </w:p>
    <w:p>
      <w:pPr>
        <w:pStyle w:val="26"/>
        <w:numPr>
          <w:ilvl w:val="0"/>
          <w:numId w:val="0"/>
        </w:numPr>
        <w:spacing w:before="0" w:beforeAutospacing="0" w:after="0" w:afterAutospacing="0" w:line="480" w:lineRule="auto"/>
        <w:ind w:firstLine="480" w:firstLineChars="200"/>
        <w:rPr>
          <w:rFonts w:hint="eastAsia" w:cs="宋体"/>
          <w:color w:val="auto"/>
          <w:lang w:eastAsia="zh-CN"/>
        </w:rPr>
      </w:pPr>
      <w:r>
        <w:rPr>
          <w:rFonts w:hint="eastAsia" w:cs="宋体"/>
          <w:color w:val="auto"/>
          <w:lang w:eastAsia="zh-CN"/>
        </w:rPr>
        <w:t>合同未尽事宜，合同当事人另行签订补充协议，补充协议是合同的组成部分。</w:t>
      </w:r>
    </w:p>
    <w:p>
      <w:pPr>
        <w:pStyle w:val="26"/>
        <w:numPr>
          <w:ilvl w:val="0"/>
          <w:numId w:val="0"/>
        </w:numPr>
        <w:spacing w:before="0" w:beforeAutospacing="0" w:after="0" w:afterAutospacing="0" w:line="480" w:lineRule="auto"/>
        <w:ind w:firstLine="480" w:firstLineChars="200"/>
        <w:rPr>
          <w:rFonts w:hint="eastAsia" w:cs="宋体"/>
          <w:color w:val="auto"/>
          <w:lang w:eastAsia="zh-CN"/>
        </w:rPr>
      </w:pPr>
      <w:r>
        <w:rPr>
          <w:rFonts w:hint="eastAsia" w:cs="宋体"/>
          <w:color w:val="auto"/>
          <w:lang w:eastAsia="zh-CN"/>
        </w:rPr>
        <w:t>十二、合同生效</w:t>
      </w:r>
    </w:p>
    <w:p>
      <w:pPr>
        <w:pStyle w:val="26"/>
        <w:numPr>
          <w:ilvl w:val="0"/>
          <w:numId w:val="0"/>
        </w:numPr>
        <w:spacing w:before="0" w:beforeAutospacing="0" w:after="0" w:afterAutospacing="0" w:line="480" w:lineRule="auto"/>
        <w:ind w:firstLine="480" w:firstLineChars="200"/>
        <w:rPr>
          <w:rFonts w:hint="eastAsia" w:cs="宋体"/>
          <w:color w:val="auto"/>
          <w:lang w:eastAsia="zh-CN"/>
        </w:rPr>
      </w:pPr>
      <w:r>
        <w:rPr>
          <w:rFonts w:hint="eastAsia" w:cs="宋体"/>
          <w:color w:val="auto"/>
          <w:lang w:eastAsia="zh-CN"/>
        </w:rPr>
        <w:t>本合同自</w:t>
      </w:r>
      <w:r>
        <w:rPr>
          <w:rFonts w:hint="eastAsia" w:cs="宋体"/>
          <w:color w:val="auto"/>
          <w:u w:val="single"/>
          <w:lang w:eastAsia="zh-CN"/>
        </w:rPr>
        <w:t>双方签字盖章后</w:t>
      </w:r>
      <w:r>
        <w:rPr>
          <w:rFonts w:hint="eastAsia" w:cs="宋体"/>
          <w:color w:val="auto"/>
          <w:lang w:eastAsia="zh-CN"/>
        </w:rPr>
        <w:t>生效。</w:t>
      </w:r>
    </w:p>
    <w:p>
      <w:pPr>
        <w:pStyle w:val="26"/>
        <w:numPr>
          <w:ilvl w:val="0"/>
          <w:numId w:val="0"/>
        </w:numPr>
        <w:spacing w:before="0" w:beforeAutospacing="0" w:after="0" w:afterAutospacing="0" w:line="480" w:lineRule="auto"/>
        <w:ind w:firstLine="480" w:firstLineChars="200"/>
        <w:rPr>
          <w:rFonts w:hint="eastAsia" w:ascii="宋体" w:hAnsi="宋体" w:eastAsia="宋体" w:cs="宋体"/>
          <w:color w:val="auto"/>
        </w:rPr>
      </w:pPr>
      <w:r>
        <w:rPr>
          <w:rFonts w:hint="eastAsia" w:cs="宋体"/>
          <w:color w:val="auto"/>
          <w:lang w:eastAsia="zh-CN"/>
        </w:rPr>
        <w:t>本合同一式</w:t>
      </w:r>
      <w:r>
        <w:rPr>
          <w:rFonts w:hint="eastAsia" w:cs="宋体"/>
          <w:color w:val="auto"/>
          <w:u w:val="single"/>
          <w:lang w:eastAsia="zh-CN"/>
        </w:rPr>
        <w:t>捌</w:t>
      </w:r>
      <w:r>
        <w:rPr>
          <w:rFonts w:hint="eastAsia" w:cs="宋体"/>
          <w:color w:val="auto"/>
          <w:lang w:eastAsia="zh-CN"/>
        </w:rPr>
        <w:t>份，均具有同等法律效力，发包人执</w:t>
      </w:r>
      <w:r>
        <w:rPr>
          <w:rFonts w:hint="eastAsia" w:cs="宋体"/>
          <w:color w:val="auto"/>
          <w:u w:val="single"/>
          <w:lang w:eastAsia="zh-CN"/>
        </w:rPr>
        <w:t>肆</w:t>
      </w:r>
      <w:r>
        <w:rPr>
          <w:rFonts w:hint="eastAsia" w:cs="宋体"/>
          <w:color w:val="auto"/>
          <w:lang w:eastAsia="zh-CN"/>
        </w:rPr>
        <w:t>份，承包人执</w:t>
      </w:r>
      <w:r>
        <w:rPr>
          <w:rFonts w:hint="eastAsia" w:cs="宋体"/>
          <w:color w:val="auto"/>
          <w:u w:val="single"/>
          <w:lang w:eastAsia="zh-CN"/>
        </w:rPr>
        <w:t>肆</w:t>
      </w:r>
      <w:r>
        <w:rPr>
          <w:rFonts w:hint="eastAsia" w:cs="宋体"/>
          <w:color w:val="auto"/>
          <w:lang w:eastAsia="zh-CN"/>
        </w:rPr>
        <w:t>份。</w:t>
      </w:r>
    </w:p>
    <w:p>
      <w:pPr>
        <w:pStyle w:val="26"/>
        <w:spacing w:before="0" w:beforeAutospacing="0" w:after="0" w:afterAutospacing="0" w:line="480" w:lineRule="auto"/>
        <w:ind w:firstLine="480" w:firstLineChars="200"/>
        <w:rPr>
          <w:rFonts w:hint="eastAsia" w:ascii="宋体" w:hAnsi="宋体" w:eastAsia="宋体" w:cs="宋体"/>
          <w:color w:val="auto"/>
        </w:rPr>
      </w:pPr>
      <w:r>
        <w:rPr>
          <w:rFonts w:hint="eastAsia" w:cs="宋体"/>
          <w:color w:val="auto"/>
          <w:lang w:eastAsia="zh-CN"/>
        </w:rPr>
        <w:t>发包人</w:t>
      </w:r>
      <w:r>
        <w:rPr>
          <w:rFonts w:hint="eastAsia" w:ascii="宋体" w:hAnsi="宋体" w:eastAsia="宋体" w:cs="宋体"/>
          <w:color w:val="auto"/>
        </w:rPr>
        <w:t>（公章）：</w:t>
      </w:r>
      <w:r>
        <w:rPr>
          <w:rFonts w:hint="eastAsia" w:cs="宋体"/>
          <w:color w:val="auto"/>
          <w:lang w:val="en-US" w:eastAsia="zh-CN"/>
        </w:rPr>
        <w:t xml:space="preserve">                    </w:t>
      </w:r>
      <w:r>
        <w:rPr>
          <w:rFonts w:hint="eastAsia" w:cs="宋体"/>
          <w:color w:val="auto"/>
          <w:lang w:eastAsia="zh-CN"/>
        </w:rPr>
        <w:t>承包人</w:t>
      </w:r>
      <w:r>
        <w:rPr>
          <w:rFonts w:hint="eastAsia" w:ascii="宋体" w:hAnsi="宋体" w:eastAsia="宋体" w:cs="宋体"/>
          <w:color w:val="auto"/>
        </w:rPr>
        <w:t>（公章）：</w:t>
      </w:r>
    </w:p>
    <w:p>
      <w:pPr>
        <w:pStyle w:val="26"/>
        <w:spacing w:before="0" w:beforeAutospacing="0" w:after="0" w:afterAutospacing="0" w:line="480" w:lineRule="auto"/>
        <w:ind w:firstLine="480" w:firstLineChars="200"/>
        <w:rPr>
          <w:rFonts w:hint="eastAsia" w:ascii="宋体" w:hAnsi="宋体" w:eastAsia="宋体" w:cs="宋体"/>
          <w:color w:val="auto"/>
        </w:rPr>
      </w:pPr>
      <w:r>
        <w:rPr>
          <w:rFonts w:hint="eastAsia" w:ascii="宋体" w:hAnsi="宋体" w:eastAsia="宋体" w:cs="宋体"/>
          <w:color w:val="auto"/>
        </w:rPr>
        <w:t>法定代表人：</w:t>
      </w:r>
      <w:r>
        <w:rPr>
          <w:rFonts w:hint="eastAsia" w:cs="宋体"/>
          <w:color w:val="auto"/>
          <w:lang w:val="en-US" w:eastAsia="zh-CN"/>
        </w:rPr>
        <w:t xml:space="preserve">                        </w:t>
      </w:r>
      <w:r>
        <w:rPr>
          <w:rFonts w:hint="eastAsia" w:ascii="宋体" w:hAnsi="宋体" w:eastAsia="宋体" w:cs="宋体"/>
          <w:color w:val="auto"/>
        </w:rPr>
        <w:t>法定代表人：</w:t>
      </w:r>
    </w:p>
    <w:p>
      <w:pPr>
        <w:pStyle w:val="26"/>
        <w:spacing w:before="0" w:beforeAutospacing="0" w:after="0" w:afterAutospacing="0" w:line="480" w:lineRule="auto"/>
        <w:ind w:firstLine="480" w:firstLineChars="200"/>
        <w:rPr>
          <w:rFonts w:hint="eastAsia" w:ascii="宋体" w:hAnsi="宋体" w:eastAsia="宋体" w:cs="宋体"/>
          <w:color w:val="auto"/>
        </w:rPr>
      </w:pPr>
      <w:r>
        <w:rPr>
          <w:rFonts w:hint="eastAsia" w:ascii="宋体" w:hAnsi="宋体" w:eastAsia="宋体" w:cs="宋体"/>
          <w:color w:val="auto"/>
        </w:rPr>
        <w:t>委托代表人：</w:t>
      </w:r>
      <w:r>
        <w:rPr>
          <w:rFonts w:hint="eastAsia" w:cs="宋体"/>
          <w:color w:val="auto"/>
          <w:lang w:val="en-US" w:eastAsia="zh-CN"/>
        </w:rPr>
        <w:t xml:space="preserve">                        </w:t>
      </w:r>
      <w:r>
        <w:rPr>
          <w:rFonts w:hint="eastAsia" w:ascii="宋体" w:hAnsi="宋体" w:eastAsia="宋体" w:cs="宋体"/>
          <w:color w:val="auto"/>
        </w:rPr>
        <w:t>委托代表人：</w:t>
      </w:r>
    </w:p>
    <w:p>
      <w:pPr>
        <w:pStyle w:val="26"/>
        <w:spacing w:before="0" w:beforeAutospacing="0" w:after="0" w:afterAutospacing="0" w:line="480" w:lineRule="auto"/>
        <w:ind w:firstLine="480" w:firstLineChars="200"/>
        <w:rPr>
          <w:rFonts w:hint="eastAsia" w:ascii="宋体" w:hAnsi="宋体" w:eastAsia="宋体" w:cs="宋体"/>
          <w:color w:val="auto"/>
        </w:rPr>
      </w:pPr>
      <w:r>
        <w:rPr>
          <w:rFonts w:hint="eastAsia" w:ascii="宋体" w:hAnsi="宋体" w:eastAsia="宋体" w:cs="宋体"/>
          <w:color w:val="auto"/>
        </w:rPr>
        <w:t>经办人：</w:t>
      </w:r>
      <w:r>
        <w:rPr>
          <w:rFonts w:hint="eastAsia" w:cs="宋体"/>
          <w:color w:val="auto"/>
          <w:lang w:val="en-US" w:eastAsia="zh-CN"/>
        </w:rPr>
        <w:t xml:space="preserve">                            </w:t>
      </w:r>
      <w:r>
        <w:rPr>
          <w:rFonts w:hint="eastAsia" w:ascii="宋体" w:hAnsi="宋体" w:eastAsia="宋体" w:cs="宋体"/>
          <w:color w:val="auto"/>
        </w:rPr>
        <w:t>经办人：</w:t>
      </w:r>
    </w:p>
    <w:p>
      <w:pPr>
        <w:pStyle w:val="26"/>
        <w:spacing w:before="0" w:beforeAutospacing="0" w:after="0" w:afterAutospacing="0" w:line="480" w:lineRule="auto"/>
        <w:ind w:firstLine="480" w:firstLineChars="200"/>
        <w:rPr>
          <w:rFonts w:hint="eastAsia" w:ascii="宋体" w:hAnsi="宋体" w:eastAsia="宋体" w:cs="宋体"/>
          <w:color w:val="auto"/>
        </w:rPr>
      </w:pPr>
      <w:r>
        <w:rPr>
          <w:rFonts w:hint="eastAsia" w:ascii="宋体" w:hAnsi="宋体" w:eastAsia="宋体" w:cs="宋体"/>
          <w:color w:val="auto"/>
        </w:rPr>
        <w:t>电话：</w:t>
      </w:r>
      <w:r>
        <w:rPr>
          <w:rFonts w:hint="eastAsia" w:cs="宋体"/>
          <w:color w:val="auto"/>
          <w:lang w:val="en-US" w:eastAsia="zh-CN"/>
        </w:rPr>
        <w:t xml:space="preserve">                              </w:t>
      </w:r>
      <w:r>
        <w:rPr>
          <w:rFonts w:hint="eastAsia" w:ascii="宋体" w:hAnsi="宋体" w:eastAsia="宋体" w:cs="宋体"/>
          <w:color w:val="auto"/>
        </w:rPr>
        <w:t>电话：</w:t>
      </w:r>
    </w:p>
    <w:p>
      <w:pPr>
        <w:pStyle w:val="26"/>
        <w:spacing w:before="0" w:beforeAutospacing="0" w:after="0" w:afterAutospacing="0" w:line="480" w:lineRule="auto"/>
        <w:ind w:firstLine="480" w:firstLineChars="200"/>
        <w:rPr>
          <w:rFonts w:hint="eastAsia" w:ascii="宋体" w:hAnsi="宋体" w:eastAsia="宋体" w:cs="宋体"/>
          <w:color w:val="auto"/>
        </w:rPr>
      </w:pPr>
      <w:r>
        <w:rPr>
          <w:rFonts w:hint="eastAsia" w:ascii="宋体" w:hAnsi="宋体" w:eastAsia="宋体" w:cs="宋体"/>
          <w:color w:val="auto"/>
        </w:rPr>
        <w:t>地址：</w:t>
      </w:r>
      <w:r>
        <w:rPr>
          <w:rFonts w:hint="eastAsia" w:cs="宋体"/>
          <w:color w:val="auto"/>
          <w:lang w:val="en-US" w:eastAsia="zh-CN"/>
        </w:rPr>
        <w:t xml:space="preserve">                              </w:t>
      </w:r>
      <w:r>
        <w:rPr>
          <w:rFonts w:hint="eastAsia" w:ascii="宋体" w:hAnsi="宋体" w:eastAsia="宋体" w:cs="宋体"/>
          <w:color w:val="auto"/>
        </w:rPr>
        <w:t>地址：</w:t>
      </w:r>
    </w:p>
    <w:p>
      <w:pPr>
        <w:pStyle w:val="26"/>
        <w:spacing w:before="0" w:beforeAutospacing="0" w:after="0" w:afterAutospacing="0" w:line="480" w:lineRule="auto"/>
        <w:ind w:firstLine="480" w:firstLineChars="200"/>
        <w:rPr>
          <w:rFonts w:hint="default" w:ascii="宋体" w:hAnsi="宋体" w:eastAsia="宋体" w:cs="宋体"/>
          <w:color w:val="auto"/>
          <w:lang w:val="en-US" w:eastAsia="zh-CN"/>
        </w:rPr>
        <w:sectPr>
          <w:footerReference r:id="rId11" w:type="default"/>
          <w:pgSz w:w="11906" w:h="16838"/>
          <w:pgMar w:top="1440" w:right="1242" w:bottom="1440" w:left="1502" w:header="851" w:footer="992" w:gutter="0"/>
          <w:pgNumType w:fmt="numberInDash" w:start="85"/>
          <w:cols w:space="720" w:num="1"/>
          <w:docGrid w:linePitch="312" w:charSpace="0"/>
        </w:sectPr>
      </w:pPr>
      <w:r>
        <w:rPr>
          <w:rFonts w:hint="eastAsia" w:ascii="宋体" w:hAnsi="宋体" w:eastAsia="宋体" w:cs="宋体"/>
          <w:color w:val="auto"/>
        </w:rPr>
        <w:t>签订时间：</w:t>
      </w:r>
      <w:r>
        <w:rPr>
          <w:rFonts w:hint="eastAsia" w:cs="宋体"/>
          <w:color w:val="auto"/>
          <w:lang w:val="en-US" w:eastAsia="zh-CN"/>
        </w:rPr>
        <w:t xml:space="preserve">   </w:t>
      </w:r>
      <w:r>
        <w:rPr>
          <w:rFonts w:hint="eastAsia" w:ascii="宋体" w:hAnsi="宋体" w:eastAsia="宋体" w:cs="宋体"/>
          <w:color w:val="auto"/>
        </w:rPr>
        <w:t>年</w:t>
      </w:r>
      <w:r>
        <w:rPr>
          <w:rFonts w:hint="eastAsia" w:cs="宋体"/>
          <w:color w:val="auto"/>
          <w:lang w:val="en-US" w:eastAsia="zh-CN"/>
        </w:rPr>
        <w:t xml:space="preserve">   </w:t>
      </w:r>
      <w:r>
        <w:rPr>
          <w:rFonts w:hint="eastAsia" w:ascii="宋体" w:hAnsi="宋体" w:eastAsia="宋体" w:cs="宋体"/>
          <w:color w:val="auto"/>
        </w:rPr>
        <w:t>月</w:t>
      </w:r>
      <w:r>
        <w:rPr>
          <w:rFonts w:hint="eastAsia" w:cs="宋体"/>
          <w:color w:val="auto"/>
          <w:lang w:val="en-US" w:eastAsia="zh-CN"/>
        </w:rPr>
        <w:t xml:space="preserve">   </w:t>
      </w:r>
      <w:r>
        <w:rPr>
          <w:rFonts w:hint="eastAsia" w:ascii="宋体" w:hAnsi="宋体" w:eastAsia="宋体" w:cs="宋体"/>
          <w:color w:val="auto"/>
        </w:rPr>
        <w:t>日</w:t>
      </w:r>
      <w:r>
        <w:rPr>
          <w:rFonts w:hint="eastAsia" w:cs="宋体"/>
          <w:color w:val="auto"/>
          <w:lang w:val="en-US" w:eastAsia="zh-CN"/>
        </w:rPr>
        <w:t xml:space="preserve">                     </w:t>
      </w:r>
      <w:r>
        <w:rPr>
          <w:rFonts w:hint="eastAsia" w:ascii="宋体" w:hAnsi="宋体" w:eastAsia="宋体" w:cs="宋体"/>
          <w:color w:val="auto"/>
        </w:rPr>
        <w:t>签订时间：</w:t>
      </w:r>
      <w:r>
        <w:rPr>
          <w:rFonts w:hint="eastAsia" w:cs="宋体"/>
          <w:color w:val="auto"/>
          <w:lang w:val="en-US" w:eastAsia="zh-CN"/>
        </w:rPr>
        <w:t xml:space="preserve">   </w:t>
      </w:r>
      <w:r>
        <w:rPr>
          <w:rFonts w:hint="eastAsia" w:ascii="宋体" w:hAnsi="宋体" w:eastAsia="宋体" w:cs="宋体"/>
          <w:color w:val="auto"/>
        </w:rPr>
        <w:t>年</w:t>
      </w:r>
      <w:r>
        <w:rPr>
          <w:rFonts w:hint="eastAsia" w:cs="宋体"/>
          <w:color w:val="auto"/>
          <w:lang w:val="en-US" w:eastAsia="zh-CN"/>
        </w:rPr>
        <w:t xml:space="preserve">   </w:t>
      </w:r>
      <w:r>
        <w:rPr>
          <w:rFonts w:hint="eastAsia" w:ascii="宋体" w:hAnsi="宋体" w:eastAsia="宋体" w:cs="宋体"/>
          <w:color w:val="auto"/>
        </w:rPr>
        <w:t>月</w:t>
      </w:r>
      <w:r>
        <w:rPr>
          <w:rFonts w:hint="eastAsia" w:cs="宋体"/>
          <w:color w:val="auto"/>
          <w:lang w:val="en-US" w:eastAsia="zh-CN"/>
        </w:rPr>
        <w:t xml:space="preserve">   </w:t>
      </w:r>
      <w:r>
        <w:rPr>
          <w:rFonts w:hint="eastAsia" w:ascii="宋体" w:hAnsi="宋体" w:eastAsia="宋体" w:cs="宋体"/>
          <w:color w:val="auto"/>
        </w:rPr>
        <w:t>日</w:t>
      </w:r>
      <w:r>
        <w:rPr>
          <w:rFonts w:hint="eastAsia" w:cs="宋体"/>
          <w:color w:val="auto"/>
          <w:lang w:val="en-US" w:eastAsia="zh-CN"/>
        </w:rPr>
        <w:t xml:space="preserve">   </w:t>
      </w:r>
    </w:p>
    <w:p>
      <w:pPr>
        <w:pStyle w:val="26"/>
        <w:numPr>
          <w:ilvl w:val="0"/>
          <w:numId w:val="0"/>
        </w:numPr>
        <w:spacing w:before="0" w:beforeAutospacing="0" w:after="0" w:afterAutospacing="0" w:line="480" w:lineRule="auto"/>
        <w:jc w:val="center"/>
        <w:rPr>
          <w:rFonts w:hint="eastAsia" w:cs="宋体"/>
          <w:b/>
          <w:bCs/>
          <w:color w:val="auto"/>
          <w:sz w:val="32"/>
          <w:szCs w:val="32"/>
          <w:lang w:eastAsia="zh-CN"/>
        </w:rPr>
      </w:pPr>
      <w:r>
        <w:rPr>
          <w:rFonts w:hint="eastAsia" w:cs="宋体"/>
          <w:b/>
          <w:bCs/>
          <w:color w:val="auto"/>
          <w:sz w:val="32"/>
          <w:szCs w:val="32"/>
          <w:lang w:eastAsia="zh-CN"/>
        </w:rPr>
        <w:t>第二部分通用条款</w:t>
      </w:r>
    </w:p>
    <w:p>
      <w:pPr>
        <w:pStyle w:val="26"/>
        <w:numPr>
          <w:ilvl w:val="0"/>
          <w:numId w:val="0"/>
        </w:numPr>
        <w:spacing w:before="0" w:beforeAutospacing="0" w:after="0" w:afterAutospacing="0" w:line="360" w:lineRule="auto"/>
        <w:ind w:firstLine="482" w:firstLineChars="200"/>
        <w:rPr>
          <w:rFonts w:hint="eastAsia" w:cs="宋体"/>
          <w:b/>
          <w:bCs/>
          <w:color w:val="auto"/>
          <w:lang w:eastAsia="zh-CN"/>
        </w:rPr>
      </w:pPr>
      <w:r>
        <w:rPr>
          <w:rFonts w:hint="eastAsia" w:cs="宋体"/>
          <w:b/>
          <w:bCs/>
          <w:color w:val="auto"/>
          <w:lang w:eastAsia="zh-CN"/>
        </w:rPr>
        <w:t>1.一般约定</w:t>
      </w:r>
    </w:p>
    <w:p>
      <w:pPr>
        <w:pStyle w:val="26"/>
        <w:numPr>
          <w:ilvl w:val="0"/>
          <w:numId w:val="0"/>
        </w:numPr>
        <w:spacing w:before="0" w:beforeAutospacing="0" w:after="0" w:afterAutospacing="0" w:line="360" w:lineRule="auto"/>
        <w:ind w:firstLine="482" w:firstLineChars="200"/>
        <w:rPr>
          <w:rFonts w:hint="eastAsia" w:cs="宋体"/>
          <w:b/>
          <w:bCs/>
          <w:color w:val="auto"/>
          <w:lang w:eastAsia="zh-CN"/>
        </w:rPr>
      </w:pPr>
      <w:r>
        <w:rPr>
          <w:rFonts w:hint="eastAsia" w:cs="宋体"/>
          <w:b/>
          <w:bCs/>
          <w:color w:val="auto"/>
          <w:lang w:eastAsia="zh-CN"/>
        </w:rPr>
        <w:t>1.1词语定义与解释</w:t>
      </w:r>
    </w:p>
    <w:p>
      <w:pPr>
        <w:pStyle w:val="26"/>
        <w:numPr>
          <w:ilvl w:val="0"/>
          <w:numId w:val="0"/>
        </w:numPr>
        <w:spacing w:before="0" w:beforeAutospacing="0" w:after="0" w:afterAutospacing="0" w:line="360" w:lineRule="auto"/>
        <w:ind w:firstLine="480" w:firstLineChars="200"/>
        <w:rPr>
          <w:rFonts w:hint="eastAsia" w:cs="宋体"/>
          <w:color w:val="auto"/>
          <w:lang w:eastAsia="zh-CN"/>
        </w:rPr>
      </w:pPr>
      <w:r>
        <w:rPr>
          <w:rFonts w:hint="eastAsia" w:cs="宋体"/>
          <w:color w:val="auto"/>
          <w:lang w:eastAsia="zh-CN"/>
        </w:rPr>
        <w:t>合同协议书、通用合同条款、专用合同条款中的下列词语具有本款所赋予的含义：</w:t>
      </w:r>
    </w:p>
    <w:p>
      <w:pPr>
        <w:pStyle w:val="26"/>
        <w:numPr>
          <w:ilvl w:val="0"/>
          <w:numId w:val="0"/>
        </w:numPr>
        <w:spacing w:before="0" w:beforeAutospacing="0" w:after="0" w:afterAutospacing="0" w:line="360" w:lineRule="auto"/>
        <w:ind w:firstLine="480" w:firstLineChars="200"/>
        <w:rPr>
          <w:rFonts w:hint="eastAsia" w:cs="宋体"/>
          <w:color w:val="auto"/>
          <w:lang w:eastAsia="zh-CN"/>
        </w:rPr>
      </w:pPr>
      <w:r>
        <w:rPr>
          <w:rFonts w:hint="eastAsia" w:cs="宋体"/>
          <w:color w:val="auto"/>
          <w:lang w:eastAsia="zh-CN"/>
        </w:rPr>
        <w:t>1.1.1合同</w:t>
      </w:r>
    </w:p>
    <w:p>
      <w:pPr>
        <w:pStyle w:val="26"/>
        <w:numPr>
          <w:ilvl w:val="0"/>
          <w:numId w:val="0"/>
        </w:numPr>
        <w:spacing w:before="0" w:beforeAutospacing="0" w:after="0" w:afterAutospacing="0" w:line="360" w:lineRule="auto"/>
        <w:ind w:firstLine="480" w:firstLineChars="200"/>
        <w:rPr>
          <w:rFonts w:hint="eastAsia" w:cs="宋体"/>
          <w:color w:val="auto"/>
          <w:lang w:eastAsia="zh-CN"/>
        </w:rPr>
      </w:pPr>
      <w:r>
        <w:rPr>
          <w:rFonts w:hint="eastAsia" w:cs="宋体"/>
          <w:color w:val="auto"/>
          <w:lang w:eastAsia="zh-CN"/>
        </w:rPr>
        <w:t>1.1.1.1合同：是指根据法律规定和合同当事人约定具有约束力的文件，构成合同的文件包括合同协议书、中标通知书(如果有)、磋商函及其附录(如果有)、专用合同条款及其附件、通用合同条款、技术标准和要求、图纸、已标价工程量清单或预算书以及其他合同文件。</w:t>
      </w:r>
    </w:p>
    <w:p>
      <w:pPr>
        <w:pStyle w:val="26"/>
        <w:numPr>
          <w:ilvl w:val="0"/>
          <w:numId w:val="0"/>
        </w:numPr>
        <w:spacing w:before="0" w:beforeAutospacing="0" w:after="0" w:afterAutospacing="0" w:line="360" w:lineRule="auto"/>
        <w:ind w:firstLine="480" w:firstLineChars="200"/>
        <w:rPr>
          <w:rFonts w:hint="eastAsia" w:cs="宋体"/>
          <w:color w:val="auto"/>
          <w:lang w:eastAsia="zh-CN"/>
        </w:rPr>
      </w:pPr>
      <w:r>
        <w:rPr>
          <w:rFonts w:hint="eastAsia" w:cs="宋体"/>
          <w:color w:val="auto"/>
          <w:lang w:eastAsia="zh-CN"/>
        </w:rPr>
        <w:t>1.1.1.2合同协议书：是指构成合同的由发包人和承包人共同签署的称为“合同协议书”的书面文件。</w:t>
      </w:r>
    </w:p>
    <w:p>
      <w:pPr>
        <w:pStyle w:val="26"/>
        <w:numPr>
          <w:ilvl w:val="0"/>
          <w:numId w:val="0"/>
        </w:numPr>
        <w:spacing w:before="0" w:beforeAutospacing="0" w:after="0" w:afterAutospacing="0" w:line="360" w:lineRule="auto"/>
        <w:ind w:firstLine="480" w:firstLineChars="200"/>
        <w:rPr>
          <w:rFonts w:hint="eastAsia" w:cs="宋体"/>
          <w:color w:val="auto"/>
          <w:lang w:eastAsia="zh-CN"/>
        </w:rPr>
      </w:pPr>
      <w:r>
        <w:rPr>
          <w:rFonts w:hint="eastAsia" w:cs="宋体"/>
          <w:color w:val="auto"/>
          <w:lang w:eastAsia="zh-CN"/>
        </w:rPr>
        <w:t>1.1.1.3中标通知书：是指构成合同的由发包人通知承包人中标的书面文件。</w:t>
      </w:r>
    </w:p>
    <w:p>
      <w:pPr>
        <w:pStyle w:val="26"/>
        <w:numPr>
          <w:ilvl w:val="0"/>
          <w:numId w:val="0"/>
        </w:numPr>
        <w:spacing w:before="0" w:beforeAutospacing="0" w:after="0" w:afterAutospacing="0" w:line="360" w:lineRule="auto"/>
        <w:ind w:firstLine="480" w:firstLineChars="200"/>
        <w:rPr>
          <w:rFonts w:hint="eastAsia" w:cs="宋体"/>
          <w:color w:val="auto"/>
          <w:lang w:eastAsia="zh-CN"/>
        </w:rPr>
      </w:pPr>
      <w:r>
        <w:rPr>
          <w:rFonts w:hint="eastAsia" w:cs="宋体"/>
          <w:color w:val="auto"/>
          <w:lang w:eastAsia="zh-CN"/>
        </w:rPr>
        <w:t>1.1.1.4磋商函：是指构成合同的由承包人填写并签署的用于磋商的称为“磋商函”的文件。</w:t>
      </w:r>
    </w:p>
    <w:p>
      <w:pPr>
        <w:pStyle w:val="26"/>
        <w:numPr>
          <w:ilvl w:val="0"/>
          <w:numId w:val="0"/>
        </w:numPr>
        <w:spacing w:before="0" w:beforeAutospacing="0" w:after="0" w:afterAutospacing="0" w:line="360" w:lineRule="auto"/>
        <w:ind w:firstLine="480" w:firstLineChars="200"/>
        <w:rPr>
          <w:rFonts w:hint="eastAsia" w:cs="宋体"/>
          <w:color w:val="auto"/>
          <w:lang w:eastAsia="zh-CN"/>
        </w:rPr>
      </w:pPr>
      <w:r>
        <w:rPr>
          <w:rFonts w:hint="eastAsia" w:cs="宋体"/>
          <w:color w:val="auto"/>
          <w:lang w:eastAsia="zh-CN"/>
        </w:rPr>
        <w:t>1.1.1.5磋商函附录：是指构成合同的附在磋商函后的称为“磋商函附录”的文件。</w:t>
      </w:r>
    </w:p>
    <w:p>
      <w:pPr>
        <w:pStyle w:val="26"/>
        <w:numPr>
          <w:ilvl w:val="0"/>
          <w:numId w:val="0"/>
        </w:numPr>
        <w:spacing w:before="0" w:beforeAutospacing="0" w:after="0" w:afterAutospacing="0" w:line="360" w:lineRule="auto"/>
        <w:ind w:firstLine="480" w:firstLineChars="200"/>
        <w:rPr>
          <w:rFonts w:hint="eastAsia" w:cs="宋体"/>
          <w:color w:val="auto"/>
          <w:lang w:eastAsia="zh-CN"/>
        </w:rPr>
      </w:pPr>
      <w:r>
        <w:rPr>
          <w:rFonts w:hint="eastAsia" w:cs="宋体"/>
          <w:color w:val="auto"/>
          <w:lang w:eastAsia="zh-CN"/>
        </w:rPr>
        <w:t>1.1.1.6技术标准和要求：是指构成合同的施工应当遵守的或指导施工的国家、行业或地方的技术标准和要求，以及合同约定的技术标准和要求。</w:t>
      </w:r>
    </w:p>
    <w:p>
      <w:pPr>
        <w:pStyle w:val="26"/>
        <w:numPr>
          <w:ilvl w:val="0"/>
          <w:numId w:val="0"/>
        </w:numPr>
        <w:spacing w:before="0" w:beforeAutospacing="0" w:after="0" w:afterAutospacing="0" w:line="360" w:lineRule="auto"/>
        <w:ind w:firstLine="480" w:firstLineChars="200"/>
        <w:rPr>
          <w:rFonts w:hint="eastAsia" w:cs="宋体"/>
          <w:color w:val="auto"/>
          <w:lang w:eastAsia="zh-CN"/>
        </w:rPr>
      </w:pPr>
      <w:r>
        <w:rPr>
          <w:rFonts w:hint="eastAsia" w:cs="宋体"/>
          <w:color w:val="auto"/>
          <w:lang w:eastAsia="zh-CN"/>
        </w:rPr>
        <w:t>1.1.1.7图纸：是指构成合同的图纸，包括由发包人按照合同约定提供或经发包人批准的设计文件、施工图、鸟瞰图及模型等，以及在合同履行过程中形成的图纸文件。图纸应当按照法律规定审查合格。</w:t>
      </w:r>
    </w:p>
    <w:p>
      <w:pPr>
        <w:pStyle w:val="26"/>
        <w:numPr>
          <w:ilvl w:val="0"/>
          <w:numId w:val="0"/>
        </w:numPr>
        <w:spacing w:before="0" w:beforeAutospacing="0" w:after="0" w:afterAutospacing="0" w:line="360" w:lineRule="auto"/>
        <w:ind w:firstLine="480" w:firstLineChars="200"/>
        <w:rPr>
          <w:rFonts w:hint="eastAsia" w:cs="宋体"/>
          <w:color w:val="auto"/>
          <w:lang w:eastAsia="zh-CN"/>
        </w:rPr>
      </w:pPr>
      <w:r>
        <w:rPr>
          <w:rFonts w:hint="eastAsia" w:cs="宋体"/>
          <w:color w:val="auto"/>
          <w:lang w:eastAsia="zh-CN"/>
        </w:rPr>
        <w:t>1.1.1.8已标价工程量清单：是指构成合同的由承包人按照规定的格式和要求填写并标明价格的工程量清单，包括说明和表格。</w:t>
      </w:r>
    </w:p>
    <w:p>
      <w:pPr>
        <w:pStyle w:val="26"/>
        <w:numPr>
          <w:ilvl w:val="0"/>
          <w:numId w:val="0"/>
        </w:numPr>
        <w:spacing w:before="0" w:beforeAutospacing="0" w:after="0" w:afterAutospacing="0" w:line="360" w:lineRule="auto"/>
        <w:ind w:firstLine="480" w:firstLineChars="200"/>
        <w:rPr>
          <w:rFonts w:hint="eastAsia" w:cs="宋体"/>
          <w:color w:val="auto"/>
          <w:lang w:eastAsia="zh-CN"/>
        </w:rPr>
      </w:pPr>
      <w:r>
        <w:rPr>
          <w:rFonts w:hint="eastAsia" w:cs="宋体"/>
          <w:color w:val="auto"/>
          <w:lang w:eastAsia="zh-CN"/>
        </w:rPr>
        <w:t>1.1.1.9预算书：是指构成合同的由承包人按照发包人规定的格式和要求编制的工程预算文件。</w:t>
      </w:r>
    </w:p>
    <w:p>
      <w:pPr>
        <w:pStyle w:val="26"/>
        <w:numPr>
          <w:ilvl w:val="0"/>
          <w:numId w:val="0"/>
        </w:numPr>
        <w:spacing w:before="0" w:beforeAutospacing="0" w:after="0" w:afterAutospacing="0" w:line="360" w:lineRule="auto"/>
        <w:ind w:firstLine="480" w:firstLineChars="200"/>
        <w:rPr>
          <w:rFonts w:hint="eastAsia" w:cs="宋体"/>
          <w:color w:val="auto"/>
          <w:lang w:eastAsia="zh-CN"/>
        </w:rPr>
      </w:pPr>
      <w:r>
        <w:rPr>
          <w:rFonts w:hint="eastAsia" w:cs="宋体"/>
          <w:color w:val="auto"/>
          <w:lang w:eastAsia="zh-CN"/>
        </w:rPr>
        <w:t>1.1.1.10其他合同文件：是指经合同当事人约定的与工程施工有关的具有合同约束力的文件或书面协议。合同当事人可以在专用合同条款中进行约定。</w:t>
      </w:r>
    </w:p>
    <w:p>
      <w:pPr>
        <w:pStyle w:val="26"/>
        <w:numPr>
          <w:ilvl w:val="0"/>
          <w:numId w:val="0"/>
        </w:numPr>
        <w:spacing w:before="0" w:beforeAutospacing="0" w:after="0" w:afterAutospacing="0" w:line="360" w:lineRule="auto"/>
        <w:ind w:firstLine="480" w:firstLineChars="200"/>
        <w:rPr>
          <w:rFonts w:hint="eastAsia" w:cs="宋体"/>
          <w:color w:val="auto"/>
          <w:lang w:eastAsia="zh-CN"/>
        </w:rPr>
      </w:pPr>
      <w:r>
        <w:rPr>
          <w:rFonts w:hint="eastAsia" w:cs="宋体"/>
          <w:color w:val="auto"/>
          <w:lang w:eastAsia="zh-CN"/>
        </w:rPr>
        <w:t>1.1.2合同当事人及其他相关方</w:t>
      </w:r>
    </w:p>
    <w:p>
      <w:pPr>
        <w:pStyle w:val="26"/>
        <w:numPr>
          <w:ilvl w:val="0"/>
          <w:numId w:val="0"/>
        </w:numPr>
        <w:spacing w:before="0" w:beforeAutospacing="0" w:after="0" w:afterAutospacing="0" w:line="360" w:lineRule="auto"/>
        <w:ind w:firstLine="480" w:firstLineChars="200"/>
        <w:rPr>
          <w:rFonts w:hint="eastAsia" w:cs="宋体"/>
          <w:color w:val="auto"/>
          <w:lang w:eastAsia="zh-CN"/>
        </w:rPr>
      </w:pPr>
      <w:r>
        <w:rPr>
          <w:rFonts w:hint="eastAsia" w:cs="宋体"/>
          <w:color w:val="auto"/>
          <w:lang w:eastAsia="zh-CN"/>
        </w:rPr>
        <w:t>1.1.2.1合同当事人：是指发包人和(或)承包人。</w:t>
      </w:r>
    </w:p>
    <w:p>
      <w:pPr>
        <w:pStyle w:val="26"/>
        <w:numPr>
          <w:ilvl w:val="0"/>
          <w:numId w:val="0"/>
        </w:numPr>
        <w:spacing w:before="0" w:beforeAutospacing="0" w:after="0" w:afterAutospacing="0" w:line="360" w:lineRule="auto"/>
        <w:ind w:firstLine="480" w:firstLineChars="200"/>
        <w:rPr>
          <w:rFonts w:hint="eastAsia" w:cs="宋体"/>
          <w:color w:val="auto"/>
          <w:lang w:eastAsia="zh-CN"/>
        </w:rPr>
      </w:pPr>
      <w:r>
        <w:rPr>
          <w:rFonts w:hint="eastAsia" w:cs="宋体"/>
          <w:color w:val="auto"/>
          <w:lang w:eastAsia="zh-CN"/>
        </w:rPr>
        <w:t>1.1.2.2发包人：是指与承包人签订合同协议书的当事人及取得该当事人资格的合法继承人。</w:t>
      </w:r>
    </w:p>
    <w:p>
      <w:pPr>
        <w:pStyle w:val="26"/>
        <w:numPr>
          <w:ilvl w:val="0"/>
          <w:numId w:val="0"/>
        </w:numPr>
        <w:spacing w:before="0" w:beforeAutospacing="0" w:after="0" w:afterAutospacing="0" w:line="360" w:lineRule="auto"/>
        <w:ind w:firstLine="480" w:firstLineChars="200"/>
        <w:rPr>
          <w:rFonts w:hint="eastAsia" w:cs="宋体"/>
          <w:color w:val="auto"/>
          <w:lang w:eastAsia="zh-CN"/>
        </w:rPr>
      </w:pPr>
      <w:r>
        <w:rPr>
          <w:rFonts w:hint="eastAsia" w:cs="宋体"/>
          <w:color w:val="auto"/>
          <w:lang w:eastAsia="zh-CN"/>
        </w:rPr>
        <w:t>1.1.2.3承包人：是指与发包人签订合同协议书的，具有相应工程施工承包资质的当事人及取得该当事人资格的合法继承人。</w:t>
      </w:r>
    </w:p>
    <w:p>
      <w:pPr>
        <w:pStyle w:val="26"/>
        <w:numPr>
          <w:ilvl w:val="0"/>
          <w:numId w:val="0"/>
        </w:numPr>
        <w:spacing w:before="0" w:beforeAutospacing="0" w:after="0" w:afterAutospacing="0" w:line="360" w:lineRule="auto"/>
        <w:ind w:firstLine="480" w:firstLineChars="200"/>
        <w:rPr>
          <w:rFonts w:hint="eastAsia" w:cs="宋体"/>
          <w:color w:val="auto"/>
          <w:lang w:eastAsia="zh-CN"/>
        </w:rPr>
      </w:pPr>
      <w:r>
        <w:rPr>
          <w:rFonts w:hint="eastAsia" w:cs="宋体"/>
          <w:color w:val="auto"/>
          <w:lang w:eastAsia="zh-CN"/>
        </w:rPr>
        <w:t>1.1.2.4监理人：是指在专用合同条款中指明的，受发包人委托按照法律规定进行工程监督管理的法人或其他组织。</w:t>
      </w:r>
    </w:p>
    <w:p>
      <w:pPr>
        <w:pStyle w:val="26"/>
        <w:numPr>
          <w:ilvl w:val="0"/>
          <w:numId w:val="0"/>
        </w:numPr>
        <w:spacing w:before="0" w:beforeAutospacing="0" w:after="0" w:afterAutospacing="0" w:line="360" w:lineRule="auto"/>
        <w:ind w:firstLine="480" w:firstLineChars="200"/>
        <w:rPr>
          <w:rFonts w:hint="eastAsia" w:cs="宋体"/>
          <w:color w:val="auto"/>
          <w:lang w:eastAsia="zh-CN"/>
        </w:rPr>
      </w:pPr>
      <w:r>
        <w:rPr>
          <w:rFonts w:hint="eastAsia" w:cs="宋体"/>
          <w:color w:val="auto"/>
          <w:lang w:eastAsia="zh-CN"/>
        </w:rPr>
        <w:t>1.1.2.5设计人：是指在专用合同条款中指明的，受发包人委托负责工程设计并具备相应工程设计资质的法人或其他组织。</w:t>
      </w:r>
    </w:p>
    <w:p>
      <w:pPr>
        <w:pStyle w:val="26"/>
        <w:numPr>
          <w:ilvl w:val="0"/>
          <w:numId w:val="0"/>
        </w:numPr>
        <w:spacing w:before="0" w:beforeAutospacing="0" w:after="0" w:afterAutospacing="0" w:line="360" w:lineRule="auto"/>
        <w:ind w:firstLine="480" w:firstLineChars="200"/>
        <w:rPr>
          <w:rFonts w:hint="eastAsia" w:cs="宋体"/>
          <w:color w:val="auto"/>
          <w:lang w:eastAsia="zh-CN"/>
        </w:rPr>
      </w:pPr>
      <w:r>
        <w:rPr>
          <w:rFonts w:hint="eastAsia" w:cs="宋体"/>
          <w:color w:val="auto"/>
          <w:lang w:eastAsia="zh-CN"/>
        </w:rPr>
        <w:t>1.1.2.6分包人：是指按照法律规定和合同约定，分包部分工程或工作，并与承包人签订分包合同的具有相应资质的法人。</w:t>
      </w:r>
    </w:p>
    <w:p>
      <w:pPr>
        <w:pStyle w:val="26"/>
        <w:numPr>
          <w:ilvl w:val="0"/>
          <w:numId w:val="0"/>
        </w:numPr>
        <w:spacing w:before="0" w:beforeAutospacing="0" w:after="0" w:afterAutospacing="0" w:line="360" w:lineRule="auto"/>
        <w:ind w:firstLine="480" w:firstLineChars="200"/>
        <w:rPr>
          <w:rFonts w:hint="eastAsia" w:cs="宋体"/>
          <w:color w:val="auto"/>
          <w:lang w:eastAsia="zh-CN"/>
        </w:rPr>
      </w:pPr>
      <w:r>
        <w:rPr>
          <w:rFonts w:hint="eastAsia" w:cs="宋体"/>
          <w:color w:val="auto"/>
          <w:lang w:eastAsia="zh-CN"/>
        </w:rPr>
        <w:t>1.1.2.7发包人代表：是指由发包人任命并派驻施工现场在发包人授权范围内行使发包人权利的人。</w:t>
      </w:r>
    </w:p>
    <w:p>
      <w:pPr>
        <w:pStyle w:val="26"/>
        <w:numPr>
          <w:ilvl w:val="0"/>
          <w:numId w:val="0"/>
        </w:numPr>
        <w:spacing w:before="0" w:beforeAutospacing="0" w:after="0" w:afterAutospacing="0" w:line="360" w:lineRule="auto"/>
        <w:ind w:firstLine="480" w:firstLineChars="200"/>
        <w:rPr>
          <w:rFonts w:hint="eastAsia" w:cs="宋体"/>
          <w:color w:val="auto"/>
          <w:lang w:eastAsia="zh-CN"/>
        </w:rPr>
      </w:pPr>
      <w:r>
        <w:rPr>
          <w:rFonts w:hint="eastAsia" w:cs="宋体"/>
          <w:color w:val="auto"/>
          <w:lang w:eastAsia="zh-CN"/>
        </w:rPr>
        <w:t>1.1.2.8项目经理：是指由承包人任命并派驻施工现场，在承包人授权范围内负责合同履行，且按照法律规定具有相应资格的项目负责人。</w:t>
      </w:r>
    </w:p>
    <w:p>
      <w:pPr>
        <w:pStyle w:val="26"/>
        <w:numPr>
          <w:ilvl w:val="0"/>
          <w:numId w:val="0"/>
        </w:numPr>
        <w:spacing w:before="0" w:beforeAutospacing="0" w:after="0" w:afterAutospacing="0" w:line="360" w:lineRule="auto"/>
        <w:ind w:firstLine="480" w:firstLineChars="200"/>
        <w:rPr>
          <w:rFonts w:hint="eastAsia" w:cs="宋体"/>
          <w:color w:val="auto"/>
          <w:lang w:eastAsia="zh-CN"/>
        </w:rPr>
      </w:pPr>
      <w:r>
        <w:rPr>
          <w:rFonts w:hint="eastAsia" w:cs="宋体"/>
          <w:color w:val="auto"/>
          <w:lang w:eastAsia="zh-CN"/>
        </w:rPr>
        <w:t>1.1.2.9总监理工程师：是指由监理人任命并派驻施工现场进行工程监理的总负责人。</w:t>
      </w:r>
    </w:p>
    <w:p>
      <w:pPr>
        <w:pStyle w:val="26"/>
        <w:numPr>
          <w:ilvl w:val="0"/>
          <w:numId w:val="0"/>
        </w:numPr>
        <w:spacing w:before="0" w:beforeAutospacing="0" w:after="0" w:afterAutospacing="0" w:line="360" w:lineRule="auto"/>
        <w:ind w:firstLine="480" w:firstLineChars="200"/>
        <w:rPr>
          <w:rFonts w:hint="eastAsia" w:cs="宋体"/>
          <w:color w:val="auto"/>
          <w:lang w:eastAsia="zh-CN"/>
        </w:rPr>
      </w:pPr>
      <w:r>
        <w:rPr>
          <w:rFonts w:hint="eastAsia" w:cs="宋体"/>
          <w:color w:val="auto"/>
          <w:lang w:eastAsia="zh-CN"/>
        </w:rPr>
        <w:t>1.1.3工程和设备</w:t>
      </w:r>
    </w:p>
    <w:p>
      <w:pPr>
        <w:pStyle w:val="26"/>
        <w:numPr>
          <w:ilvl w:val="0"/>
          <w:numId w:val="0"/>
        </w:numPr>
        <w:spacing w:before="0" w:beforeAutospacing="0" w:after="0" w:afterAutospacing="0" w:line="360" w:lineRule="auto"/>
        <w:ind w:firstLine="480" w:firstLineChars="200"/>
        <w:rPr>
          <w:rFonts w:hint="eastAsia" w:cs="宋体"/>
          <w:color w:val="auto"/>
          <w:lang w:eastAsia="zh-CN"/>
        </w:rPr>
      </w:pPr>
      <w:r>
        <w:rPr>
          <w:rFonts w:hint="eastAsia" w:cs="宋体"/>
          <w:color w:val="auto"/>
          <w:lang w:eastAsia="zh-CN"/>
        </w:rPr>
        <w:t>1.1.3.1工程：是指与合同协议书中工程承包范围对应的永久工程和(或)临时工程。</w:t>
      </w:r>
    </w:p>
    <w:p>
      <w:pPr>
        <w:pStyle w:val="26"/>
        <w:numPr>
          <w:ilvl w:val="0"/>
          <w:numId w:val="0"/>
        </w:numPr>
        <w:spacing w:before="0" w:beforeAutospacing="0" w:after="0" w:afterAutospacing="0" w:line="360" w:lineRule="auto"/>
        <w:ind w:firstLine="480" w:firstLineChars="200"/>
        <w:rPr>
          <w:rFonts w:hint="eastAsia" w:cs="宋体"/>
          <w:color w:val="auto"/>
          <w:lang w:eastAsia="zh-CN"/>
        </w:rPr>
      </w:pPr>
      <w:r>
        <w:rPr>
          <w:rFonts w:hint="eastAsia" w:cs="宋体"/>
          <w:color w:val="auto"/>
          <w:lang w:eastAsia="zh-CN"/>
        </w:rPr>
        <w:t>1.1.3.2永久工程：是指按合同约定建造并移交给发包人的工程，包括工程设备。</w:t>
      </w:r>
    </w:p>
    <w:p>
      <w:pPr>
        <w:pStyle w:val="26"/>
        <w:numPr>
          <w:ilvl w:val="0"/>
          <w:numId w:val="0"/>
        </w:numPr>
        <w:spacing w:before="0" w:beforeAutospacing="0" w:after="0" w:afterAutospacing="0" w:line="360" w:lineRule="auto"/>
        <w:ind w:firstLine="480" w:firstLineChars="200"/>
        <w:rPr>
          <w:rFonts w:hint="eastAsia" w:cs="宋体"/>
          <w:color w:val="auto"/>
          <w:lang w:eastAsia="zh-CN"/>
        </w:rPr>
      </w:pPr>
      <w:r>
        <w:rPr>
          <w:rFonts w:hint="eastAsia" w:cs="宋体"/>
          <w:color w:val="auto"/>
          <w:lang w:eastAsia="zh-CN"/>
        </w:rPr>
        <w:t>1.1.3.3临时工程：是指为完成合同约定的永久工程所修建的各类临时性工程，不包括施工设备。</w:t>
      </w:r>
    </w:p>
    <w:p>
      <w:pPr>
        <w:pStyle w:val="26"/>
        <w:numPr>
          <w:ilvl w:val="0"/>
          <w:numId w:val="0"/>
        </w:numPr>
        <w:spacing w:before="0" w:beforeAutospacing="0" w:after="0" w:afterAutospacing="0" w:line="360" w:lineRule="auto"/>
        <w:ind w:firstLine="480" w:firstLineChars="200"/>
        <w:rPr>
          <w:rFonts w:hint="eastAsia" w:cs="宋体"/>
          <w:color w:val="auto"/>
          <w:lang w:eastAsia="zh-CN"/>
        </w:rPr>
      </w:pPr>
      <w:r>
        <w:rPr>
          <w:rFonts w:hint="eastAsia" w:cs="宋体"/>
          <w:color w:val="auto"/>
          <w:lang w:eastAsia="zh-CN"/>
        </w:rPr>
        <w:t>1.1.3.4单位工程：是指在合同协议书中指明的，具备独立施工条件并能形成独立使用功能的永久工程。</w:t>
      </w:r>
    </w:p>
    <w:p>
      <w:pPr>
        <w:pStyle w:val="26"/>
        <w:numPr>
          <w:ilvl w:val="0"/>
          <w:numId w:val="0"/>
        </w:numPr>
        <w:spacing w:before="0" w:beforeAutospacing="0" w:after="0" w:afterAutospacing="0" w:line="360" w:lineRule="auto"/>
        <w:ind w:firstLine="480" w:firstLineChars="200"/>
        <w:rPr>
          <w:rFonts w:hint="eastAsia" w:cs="宋体"/>
          <w:color w:val="auto"/>
          <w:lang w:eastAsia="zh-CN"/>
        </w:rPr>
      </w:pPr>
      <w:r>
        <w:rPr>
          <w:rFonts w:hint="eastAsia" w:cs="宋体"/>
          <w:color w:val="auto"/>
          <w:lang w:eastAsia="zh-CN"/>
        </w:rPr>
        <w:t>1.1.3.5工程设备：是指构成永久工程的机电设备、金属结构设备、仪器及其他类似的设备和装置。</w:t>
      </w:r>
    </w:p>
    <w:p>
      <w:pPr>
        <w:pStyle w:val="26"/>
        <w:numPr>
          <w:ilvl w:val="0"/>
          <w:numId w:val="0"/>
        </w:numPr>
        <w:spacing w:before="0" w:beforeAutospacing="0" w:after="0" w:afterAutospacing="0" w:line="360" w:lineRule="auto"/>
        <w:ind w:firstLine="480" w:firstLineChars="200"/>
        <w:rPr>
          <w:rFonts w:hint="eastAsia" w:cs="宋体"/>
          <w:color w:val="auto"/>
          <w:lang w:eastAsia="zh-CN"/>
        </w:rPr>
      </w:pPr>
      <w:r>
        <w:rPr>
          <w:rFonts w:hint="eastAsia" w:cs="宋体"/>
          <w:color w:val="auto"/>
          <w:lang w:eastAsia="zh-CN"/>
        </w:rPr>
        <w:t>1.1.3.6施工设备：是指为完成合同约定的各项工作所需的设备、器具和其他物品，但不包括工程设备、临时工程和材料。</w:t>
      </w:r>
    </w:p>
    <w:p>
      <w:pPr>
        <w:pStyle w:val="26"/>
        <w:numPr>
          <w:ilvl w:val="0"/>
          <w:numId w:val="0"/>
        </w:numPr>
        <w:spacing w:before="0" w:beforeAutospacing="0" w:after="0" w:afterAutospacing="0" w:line="360" w:lineRule="auto"/>
        <w:ind w:firstLine="480" w:firstLineChars="200"/>
        <w:rPr>
          <w:rFonts w:hint="eastAsia" w:cs="宋体"/>
          <w:color w:val="auto"/>
          <w:lang w:eastAsia="zh-CN"/>
        </w:rPr>
      </w:pPr>
      <w:r>
        <w:rPr>
          <w:rFonts w:hint="eastAsia" w:cs="宋体"/>
          <w:color w:val="auto"/>
          <w:lang w:eastAsia="zh-CN"/>
        </w:rPr>
        <w:t>1.1.3.7施工现场：是指用于工程施工的场所，以及在专用合同条款中指明作为施工场所组成部分的其他场所，包括永久占地和临时占地。</w:t>
      </w:r>
    </w:p>
    <w:p>
      <w:pPr>
        <w:pStyle w:val="26"/>
        <w:numPr>
          <w:ilvl w:val="0"/>
          <w:numId w:val="0"/>
        </w:numPr>
        <w:spacing w:before="0" w:beforeAutospacing="0" w:after="0" w:afterAutospacing="0" w:line="360" w:lineRule="auto"/>
        <w:ind w:firstLine="480" w:firstLineChars="200"/>
        <w:rPr>
          <w:rFonts w:hint="eastAsia" w:cs="宋体"/>
          <w:color w:val="auto"/>
          <w:lang w:eastAsia="zh-CN"/>
        </w:rPr>
      </w:pPr>
      <w:r>
        <w:rPr>
          <w:rFonts w:hint="eastAsia" w:cs="宋体"/>
          <w:color w:val="auto"/>
          <w:lang w:eastAsia="zh-CN"/>
        </w:rPr>
        <w:t>1.1.3.8临时设施：是指为完成合同约定的各项工作所服务的临时性生产和生活设施。</w:t>
      </w:r>
    </w:p>
    <w:p>
      <w:pPr>
        <w:pStyle w:val="26"/>
        <w:numPr>
          <w:ilvl w:val="0"/>
          <w:numId w:val="0"/>
        </w:numPr>
        <w:spacing w:before="0" w:beforeAutospacing="0" w:after="0" w:afterAutospacing="0" w:line="360" w:lineRule="auto"/>
        <w:ind w:firstLine="480" w:firstLineChars="200"/>
        <w:rPr>
          <w:rFonts w:hint="eastAsia" w:cs="宋体"/>
          <w:color w:val="auto"/>
          <w:lang w:eastAsia="zh-CN"/>
        </w:rPr>
      </w:pPr>
      <w:r>
        <w:rPr>
          <w:rFonts w:hint="eastAsia" w:cs="宋体"/>
          <w:color w:val="auto"/>
          <w:lang w:eastAsia="zh-CN"/>
        </w:rPr>
        <w:t>1.1.3.9永久占地：是指专用合同条款中指明为实施工程需永久占用的土地。</w:t>
      </w:r>
    </w:p>
    <w:p>
      <w:pPr>
        <w:pStyle w:val="26"/>
        <w:numPr>
          <w:ilvl w:val="0"/>
          <w:numId w:val="0"/>
        </w:numPr>
        <w:spacing w:before="0" w:beforeAutospacing="0" w:after="0" w:afterAutospacing="0" w:line="360" w:lineRule="auto"/>
        <w:ind w:firstLine="480" w:firstLineChars="200"/>
        <w:rPr>
          <w:rFonts w:hint="eastAsia" w:cs="宋体"/>
          <w:color w:val="auto"/>
          <w:lang w:eastAsia="zh-CN"/>
        </w:rPr>
      </w:pPr>
      <w:r>
        <w:rPr>
          <w:rFonts w:hint="eastAsia" w:cs="宋体"/>
          <w:color w:val="auto"/>
          <w:lang w:eastAsia="zh-CN"/>
        </w:rPr>
        <w:t>1.1.3.10临时占地：是指专用合同条款中指明为实施工程需要临时占用的土地。</w:t>
      </w:r>
    </w:p>
    <w:p>
      <w:pPr>
        <w:pStyle w:val="26"/>
        <w:numPr>
          <w:ilvl w:val="0"/>
          <w:numId w:val="0"/>
        </w:numPr>
        <w:spacing w:before="0" w:beforeAutospacing="0" w:after="0" w:afterAutospacing="0" w:line="360" w:lineRule="auto"/>
        <w:ind w:firstLine="480" w:firstLineChars="200"/>
        <w:rPr>
          <w:rFonts w:hint="eastAsia" w:cs="宋体"/>
          <w:color w:val="auto"/>
          <w:lang w:eastAsia="zh-CN"/>
        </w:rPr>
      </w:pPr>
      <w:r>
        <w:rPr>
          <w:rFonts w:hint="eastAsia" w:cs="宋体"/>
          <w:color w:val="auto"/>
          <w:lang w:eastAsia="zh-CN"/>
        </w:rPr>
        <w:t>1.1.4日期和期限</w:t>
      </w:r>
    </w:p>
    <w:p>
      <w:pPr>
        <w:pStyle w:val="26"/>
        <w:numPr>
          <w:ilvl w:val="0"/>
          <w:numId w:val="0"/>
        </w:numPr>
        <w:spacing w:before="0" w:beforeAutospacing="0" w:after="0" w:afterAutospacing="0" w:line="360" w:lineRule="auto"/>
        <w:ind w:firstLine="480" w:firstLineChars="200"/>
        <w:rPr>
          <w:rFonts w:hint="eastAsia" w:cs="宋体"/>
          <w:color w:val="auto"/>
          <w:lang w:eastAsia="zh-CN"/>
        </w:rPr>
      </w:pPr>
      <w:r>
        <w:rPr>
          <w:rFonts w:hint="eastAsia" w:cs="宋体"/>
          <w:color w:val="auto"/>
          <w:lang w:eastAsia="zh-CN"/>
        </w:rPr>
        <w:t>1.1.4.1开工日期：包括计划开工日期和实际开工日期。计划开工日期是指合同协议书约定的开工日期；实际开工日期是指监理人按照第7.3.2项〔开工通知〕约定发出的符合法律规定的开工通知中载明的开工日期。</w:t>
      </w:r>
    </w:p>
    <w:p>
      <w:pPr>
        <w:pStyle w:val="26"/>
        <w:numPr>
          <w:ilvl w:val="0"/>
          <w:numId w:val="0"/>
        </w:numPr>
        <w:spacing w:before="0" w:beforeAutospacing="0" w:after="0" w:afterAutospacing="0" w:line="360" w:lineRule="auto"/>
        <w:ind w:firstLine="480" w:firstLineChars="200"/>
        <w:rPr>
          <w:rFonts w:hint="eastAsia" w:cs="宋体"/>
          <w:color w:val="auto"/>
          <w:lang w:eastAsia="zh-CN"/>
        </w:rPr>
      </w:pPr>
      <w:r>
        <w:rPr>
          <w:rFonts w:hint="eastAsia" w:cs="宋体"/>
          <w:color w:val="auto"/>
          <w:lang w:eastAsia="zh-CN"/>
        </w:rPr>
        <w:t>1.1.4.2竣工日期：包括计划竣工日期和实际竣工日期。计划竣工日期是指合同协</w:t>
      </w:r>
    </w:p>
    <w:p>
      <w:pPr>
        <w:pStyle w:val="26"/>
        <w:numPr>
          <w:ilvl w:val="0"/>
          <w:numId w:val="0"/>
        </w:numPr>
        <w:spacing w:before="0" w:beforeAutospacing="0" w:after="0" w:afterAutospacing="0" w:line="360" w:lineRule="auto"/>
        <w:rPr>
          <w:rFonts w:hint="eastAsia" w:cs="宋体"/>
          <w:color w:val="auto"/>
          <w:lang w:eastAsia="zh-CN"/>
        </w:rPr>
      </w:pPr>
      <w:r>
        <w:rPr>
          <w:rFonts w:hint="eastAsia" w:cs="宋体"/>
          <w:color w:val="auto"/>
          <w:lang w:eastAsia="zh-CN"/>
        </w:rPr>
        <w:t>议书约定的竣工日期；实际竣工日期按照第13.2.3项〔竣工日期〕的约定确定。</w:t>
      </w:r>
    </w:p>
    <w:p>
      <w:pPr>
        <w:pStyle w:val="26"/>
        <w:numPr>
          <w:ilvl w:val="0"/>
          <w:numId w:val="0"/>
        </w:numPr>
        <w:spacing w:before="0" w:beforeAutospacing="0" w:after="0" w:afterAutospacing="0" w:line="360" w:lineRule="auto"/>
        <w:ind w:firstLine="480" w:firstLineChars="200"/>
        <w:rPr>
          <w:rFonts w:hint="eastAsia" w:cs="宋体"/>
          <w:color w:val="auto"/>
          <w:lang w:eastAsia="zh-CN"/>
        </w:rPr>
      </w:pPr>
      <w:r>
        <w:rPr>
          <w:rFonts w:hint="eastAsia" w:cs="宋体"/>
          <w:color w:val="auto"/>
          <w:lang w:eastAsia="zh-CN"/>
        </w:rPr>
        <w:t>1.1.4.3工期：是指在合同协议书约定的承包人完成工程所需的期限，包括按照合同约定所作的期限变更。</w:t>
      </w:r>
    </w:p>
    <w:p>
      <w:pPr>
        <w:pStyle w:val="26"/>
        <w:numPr>
          <w:ilvl w:val="0"/>
          <w:numId w:val="0"/>
        </w:numPr>
        <w:spacing w:before="0" w:beforeAutospacing="0" w:after="0" w:afterAutospacing="0" w:line="360" w:lineRule="auto"/>
        <w:ind w:firstLine="480" w:firstLineChars="200"/>
        <w:rPr>
          <w:rFonts w:hint="eastAsia" w:cs="宋体"/>
          <w:color w:val="auto"/>
          <w:lang w:eastAsia="zh-CN"/>
        </w:rPr>
      </w:pPr>
      <w:r>
        <w:rPr>
          <w:rFonts w:hint="eastAsia" w:cs="宋体"/>
          <w:color w:val="auto"/>
          <w:lang w:eastAsia="zh-CN"/>
        </w:rPr>
        <w:t>1.1.4.4缺陷责任期：是指承包人按照合同约定承担缺陷修复义务，且发包人预留质量保证金(已缴纳履约保证金的除外)的期限，自工程实际竣工日期起计算。</w:t>
      </w:r>
    </w:p>
    <w:p>
      <w:pPr>
        <w:pStyle w:val="26"/>
        <w:numPr>
          <w:ilvl w:val="0"/>
          <w:numId w:val="0"/>
        </w:numPr>
        <w:spacing w:before="0" w:beforeAutospacing="0" w:after="0" w:afterAutospacing="0" w:line="360" w:lineRule="auto"/>
        <w:ind w:firstLine="480" w:firstLineChars="200"/>
        <w:rPr>
          <w:rFonts w:hint="eastAsia" w:cs="宋体"/>
          <w:color w:val="auto"/>
          <w:lang w:eastAsia="zh-CN"/>
        </w:rPr>
      </w:pPr>
      <w:r>
        <w:rPr>
          <w:rFonts w:hint="eastAsia" w:cs="宋体"/>
          <w:color w:val="auto"/>
          <w:lang w:eastAsia="zh-CN"/>
        </w:rPr>
        <w:t>1.1.4.5保修期：是指承包人按照合同约定对工程承担保修责任的期限，从工程竣工验收合格之日起计算。</w:t>
      </w:r>
    </w:p>
    <w:p>
      <w:pPr>
        <w:pStyle w:val="26"/>
        <w:numPr>
          <w:ilvl w:val="0"/>
          <w:numId w:val="0"/>
        </w:numPr>
        <w:spacing w:before="0" w:beforeAutospacing="0" w:after="0" w:afterAutospacing="0" w:line="360" w:lineRule="auto"/>
        <w:ind w:firstLine="480" w:firstLineChars="200"/>
        <w:rPr>
          <w:rFonts w:hint="eastAsia" w:cs="宋体"/>
          <w:color w:val="auto"/>
          <w:lang w:eastAsia="zh-CN"/>
        </w:rPr>
      </w:pPr>
      <w:r>
        <w:rPr>
          <w:rFonts w:hint="eastAsia" w:cs="宋体"/>
          <w:color w:val="auto"/>
          <w:lang w:eastAsia="zh-CN"/>
        </w:rPr>
        <w:t>1.1.4.6基准日期：招标发包的工程以磋商截止日前28天的日期为基准日期，直接发包的工程以合同签订日前28天的日期为基准日期。</w:t>
      </w:r>
    </w:p>
    <w:p>
      <w:pPr>
        <w:pStyle w:val="26"/>
        <w:numPr>
          <w:ilvl w:val="0"/>
          <w:numId w:val="0"/>
        </w:numPr>
        <w:spacing w:before="0" w:beforeAutospacing="0" w:after="0" w:afterAutospacing="0" w:line="360" w:lineRule="auto"/>
        <w:ind w:firstLine="480" w:firstLineChars="200"/>
        <w:rPr>
          <w:rFonts w:hint="eastAsia" w:cs="宋体"/>
          <w:color w:val="auto"/>
          <w:lang w:eastAsia="zh-CN"/>
        </w:rPr>
      </w:pPr>
      <w:r>
        <w:rPr>
          <w:rFonts w:hint="eastAsia" w:cs="宋体"/>
          <w:color w:val="auto"/>
          <w:lang w:eastAsia="zh-CN"/>
        </w:rPr>
        <w:t>1.1.4.7天：除特别指明外，均指日历天。合同中按天计算时间的，开始当天不计入，从次日开始计算，期限最后一天的截止时间为当天24:00时。</w:t>
      </w:r>
    </w:p>
    <w:p>
      <w:pPr>
        <w:pStyle w:val="26"/>
        <w:numPr>
          <w:ilvl w:val="0"/>
          <w:numId w:val="0"/>
        </w:numPr>
        <w:spacing w:before="0" w:beforeAutospacing="0" w:after="0" w:afterAutospacing="0" w:line="360" w:lineRule="auto"/>
        <w:ind w:firstLine="480" w:firstLineChars="200"/>
        <w:rPr>
          <w:rFonts w:hint="eastAsia" w:cs="宋体"/>
          <w:color w:val="auto"/>
          <w:lang w:eastAsia="zh-CN"/>
        </w:rPr>
      </w:pPr>
      <w:r>
        <w:rPr>
          <w:rFonts w:hint="eastAsia" w:cs="宋体"/>
          <w:color w:val="auto"/>
          <w:lang w:eastAsia="zh-CN"/>
        </w:rPr>
        <w:t>1.1.5合同价格和费用</w:t>
      </w:r>
    </w:p>
    <w:p>
      <w:pPr>
        <w:pStyle w:val="26"/>
        <w:numPr>
          <w:ilvl w:val="0"/>
          <w:numId w:val="0"/>
        </w:numPr>
        <w:spacing w:before="0" w:beforeAutospacing="0" w:after="0" w:afterAutospacing="0" w:line="360" w:lineRule="auto"/>
        <w:ind w:firstLine="480" w:firstLineChars="200"/>
        <w:rPr>
          <w:rFonts w:hint="eastAsia" w:cs="宋体"/>
          <w:color w:val="auto"/>
          <w:lang w:eastAsia="zh-CN"/>
        </w:rPr>
      </w:pPr>
      <w:r>
        <w:rPr>
          <w:rFonts w:hint="eastAsia" w:cs="宋体"/>
          <w:color w:val="auto"/>
          <w:lang w:eastAsia="zh-CN"/>
        </w:rPr>
        <w:t>1.1.5.1签约合同价：是指发包人和承包人在合同协议书中确定的总金额，包括安全文明施工费、暂估价及暂列金额等。</w:t>
      </w:r>
    </w:p>
    <w:p>
      <w:pPr>
        <w:pStyle w:val="26"/>
        <w:numPr>
          <w:ilvl w:val="0"/>
          <w:numId w:val="0"/>
        </w:numPr>
        <w:spacing w:before="0" w:beforeAutospacing="0" w:after="0" w:afterAutospacing="0" w:line="360" w:lineRule="auto"/>
        <w:ind w:firstLine="480" w:firstLineChars="200"/>
        <w:rPr>
          <w:rFonts w:hint="eastAsia" w:cs="宋体"/>
          <w:color w:val="auto"/>
          <w:lang w:eastAsia="zh-CN"/>
        </w:rPr>
      </w:pPr>
      <w:r>
        <w:rPr>
          <w:rFonts w:hint="eastAsia" w:cs="宋体"/>
          <w:color w:val="auto"/>
          <w:lang w:eastAsia="zh-CN"/>
        </w:rPr>
        <w:t>1.1.5.2合同价格：是指发包人用于支付承包人按照合同约定完成承包范围内全部工作的金额，包括合同履行过程中按合同约定发生的价格变化。</w:t>
      </w:r>
    </w:p>
    <w:p>
      <w:pPr>
        <w:pStyle w:val="26"/>
        <w:numPr>
          <w:ilvl w:val="0"/>
          <w:numId w:val="0"/>
        </w:numPr>
        <w:spacing w:before="0" w:beforeAutospacing="0" w:after="0" w:afterAutospacing="0" w:line="360" w:lineRule="auto"/>
        <w:ind w:firstLine="480" w:firstLineChars="200"/>
        <w:rPr>
          <w:rFonts w:hint="eastAsia" w:cs="宋体"/>
          <w:color w:val="auto"/>
          <w:lang w:eastAsia="zh-CN"/>
        </w:rPr>
      </w:pPr>
      <w:r>
        <w:rPr>
          <w:rFonts w:hint="eastAsia" w:cs="宋体"/>
          <w:color w:val="auto"/>
          <w:lang w:eastAsia="zh-CN"/>
        </w:rPr>
        <w:t>1.1.5.3费用：是指为履行合同所发生的或将要发生的所有必需的开支，包括管理费和应分摊的其他费用，但不包括利润。</w:t>
      </w:r>
    </w:p>
    <w:p>
      <w:pPr>
        <w:pStyle w:val="26"/>
        <w:numPr>
          <w:ilvl w:val="0"/>
          <w:numId w:val="0"/>
        </w:numPr>
        <w:spacing w:before="0" w:beforeAutospacing="0" w:after="0" w:afterAutospacing="0" w:line="360" w:lineRule="auto"/>
        <w:ind w:firstLine="480" w:firstLineChars="200"/>
        <w:rPr>
          <w:rFonts w:hint="eastAsia" w:cs="宋体"/>
          <w:color w:val="auto"/>
          <w:lang w:eastAsia="zh-CN"/>
        </w:rPr>
      </w:pPr>
      <w:r>
        <w:rPr>
          <w:rFonts w:hint="eastAsia" w:cs="宋体"/>
          <w:color w:val="auto"/>
          <w:lang w:eastAsia="zh-CN"/>
        </w:rPr>
        <w:t>1.1.5.4暂估价：是指发包人在工程量清单或预算书中提供的用于支付必然发生但暂时不能确定价格的材料、工程设备的单价、专业工程以及服务工作的金额。</w:t>
      </w:r>
    </w:p>
    <w:p>
      <w:pPr>
        <w:pStyle w:val="26"/>
        <w:numPr>
          <w:ilvl w:val="0"/>
          <w:numId w:val="0"/>
        </w:numPr>
        <w:spacing w:before="0" w:beforeAutospacing="0" w:after="0" w:afterAutospacing="0" w:line="360" w:lineRule="auto"/>
        <w:ind w:firstLine="480" w:firstLineChars="200"/>
        <w:rPr>
          <w:rFonts w:hint="eastAsia" w:cs="宋体"/>
          <w:color w:val="auto"/>
          <w:lang w:eastAsia="zh-CN"/>
        </w:rPr>
      </w:pPr>
      <w:r>
        <w:rPr>
          <w:rFonts w:hint="eastAsia" w:cs="宋体"/>
          <w:color w:val="auto"/>
          <w:lang w:eastAsia="zh-CN"/>
        </w:rPr>
        <w:t>1.1.5.5暂列金额：是指发包人在工程量清单或预算书中暂定并包括在合同价格中</w:t>
      </w:r>
    </w:p>
    <w:p>
      <w:pPr>
        <w:pStyle w:val="26"/>
        <w:numPr>
          <w:ilvl w:val="0"/>
          <w:numId w:val="0"/>
        </w:numPr>
        <w:spacing w:before="0" w:beforeAutospacing="0" w:after="0" w:afterAutospacing="0" w:line="360" w:lineRule="auto"/>
        <w:rPr>
          <w:rFonts w:hint="eastAsia" w:cs="宋体"/>
          <w:color w:val="auto"/>
          <w:lang w:eastAsia="zh-CN"/>
        </w:rPr>
      </w:pPr>
      <w:r>
        <w:rPr>
          <w:rFonts w:hint="eastAsia" w:cs="宋体"/>
          <w:color w:val="auto"/>
          <w:lang w:eastAsia="zh-CN"/>
        </w:rPr>
        <w:t>的一笔款项，用于工程合同签订时尚未确定或者不可预见的所需材料、工程设备、服务的采购，施工中可能发生的工程变更、合同约定调整因素出现时的合同价格调整以及发生的索赔、现场签证确认等的费用。</w:t>
      </w:r>
    </w:p>
    <w:p>
      <w:pPr>
        <w:pStyle w:val="26"/>
        <w:numPr>
          <w:ilvl w:val="0"/>
          <w:numId w:val="0"/>
        </w:numPr>
        <w:spacing w:before="0" w:beforeAutospacing="0" w:after="0" w:afterAutospacing="0" w:line="360" w:lineRule="auto"/>
        <w:ind w:firstLine="480" w:firstLineChars="200"/>
        <w:rPr>
          <w:rFonts w:hint="eastAsia" w:cs="宋体"/>
          <w:color w:val="auto"/>
          <w:lang w:eastAsia="zh-CN"/>
        </w:rPr>
      </w:pPr>
      <w:r>
        <w:rPr>
          <w:rFonts w:hint="eastAsia" w:cs="宋体"/>
          <w:color w:val="auto"/>
          <w:lang w:eastAsia="zh-CN"/>
        </w:rPr>
        <w:t>1.1.5.6计日工：是指合同履行过程中，承包人完成发包人提出的零星工作或需要采用计日工计价的变更工作时，按合同中约定的单价计价的一种方式。</w:t>
      </w:r>
    </w:p>
    <w:p>
      <w:pPr>
        <w:pStyle w:val="26"/>
        <w:numPr>
          <w:ilvl w:val="0"/>
          <w:numId w:val="0"/>
        </w:numPr>
        <w:spacing w:before="0" w:beforeAutospacing="0" w:after="0" w:afterAutospacing="0" w:line="360" w:lineRule="auto"/>
        <w:ind w:firstLine="480" w:firstLineChars="200"/>
        <w:rPr>
          <w:rFonts w:hint="eastAsia" w:cs="宋体"/>
          <w:color w:val="auto"/>
          <w:lang w:eastAsia="zh-CN"/>
        </w:rPr>
      </w:pPr>
      <w:r>
        <w:rPr>
          <w:rFonts w:hint="eastAsia" w:cs="宋体"/>
          <w:color w:val="auto"/>
          <w:lang w:eastAsia="zh-CN"/>
        </w:rPr>
        <w:t>1.1.5.7质量保证金：是指按照第15.3款〔质量保证金〕约定承包人用于保证其在缺陷责任期内履行缺陷修补义务的担保。</w:t>
      </w:r>
    </w:p>
    <w:p>
      <w:pPr>
        <w:pStyle w:val="26"/>
        <w:numPr>
          <w:ilvl w:val="0"/>
          <w:numId w:val="0"/>
        </w:numPr>
        <w:spacing w:before="0" w:beforeAutospacing="0" w:after="0" w:afterAutospacing="0" w:line="360" w:lineRule="auto"/>
        <w:ind w:firstLine="480" w:firstLineChars="200"/>
        <w:rPr>
          <w:rFonts w:hint="eastAsia" w:cs="宋体"/>
          <w:color w:val="auto"/>
          <w:lang w:eastAsia="zh-CN"/>
        </w:rPr>
      </w:pPr>
      <w:r>
        <w:rPr>
          <w:rFonts w:hint="eastAsia" w:cs="宋体"/>
          <w:color w:val="auto"/>
          <w:lang w:eastAsia="zh-CN"/>
        </w:rPr>
        <w:t>1.1.5.8总价项目：是指在现行国家、行业以及地方的计量规则中无工程量计算规则，在已标价工程量清单或预算书中以总价或以费率形式计算的项目。</w:t>
      </w:r>
    </w:p>
    <w:p>
      <w:pPr>
        <w:pStyle w:val="26"/>
        <w:numPr>
          <w:ilvl w:val="0"/>
          <w:numId w:val="0"/>
        </w:numPr>
        <w:spacing w:before="0" w:beforeAutospacing="0" w:after="0" w:afterAutospacing="0" w:line="360" w:lineRule="auto"/>
        <w:ind w:firstLine="480" w:firstLineChars="200"/>
        <w:rPr>
          <w:rFonts w:hint="eastAsia" w:cs="宋体"/>
          <w:color w:val="auto"/>
          <w:lang w:eastAsia="zh-CN"/>
        </w:rPr>
      </w:pPr>
      <w:r>
        <w:rPr>
          <w:rFonts w:hint="eastAsia" w:cs="宋体"/>
          <w:color w:val="auto"/>
          <w:lang w:eastAsia="zh-CN"/>
        </w:rPr>
        <w:t>1.1.6其他</w:t>
      </w:r>
    </w:p>
    <w:p>
      <w:pPr>
        <w:pStyle w:val="26"/>
        <w:numPr>
          <w:ilvl w:val="0"/>
          <w:numId w:val="0"/>
        </w:numPr>
        <w:spacing w:before="0" w:beforeAutospacing="0" w:after="0" w:afterAutospacing="0" w:line="360" w:lineRule="auto"/>
        <w:ind w:firstLine="480" w:firstLineChars="200"/>
        <w:rPr>
          <w:rFonts w:hint="eastAsia" w:cs="宋体"/>
          <w:color w:val="auto"/>
          <w:lang w:eastAsia="zh-CN"/>
        </w:rPr>
      </w:pPr>
      <w:r>
        <w:rPr>
          <w:rFonts w:hint="eastAsia" w:cs="宋体"/>
          <w:color w:val="auto"/>
          <w:lang w:eastAsia="zh-CN"/>
        </w:rPr>
        <w:t>1.1.6.1书面形式：是指合同文件、信函、电报、传真等可以有形地表现所载内容的形式。</w:t>
      </w:r>
    </w:p>
    <w:p>
      <w:pPr>
        <w:pStyle w:val="26"/>
        <w:numPr>
          <w:ilvl w:val="0"/>
          <w:numId w:val="0"/>
        </w:numPr>
        <w:spacing w:before="0" w:beforeAutospacing="0" w:after="0" w:afterAutospacing="0" w:line="360" w:lineRule="auto"/>
        <w:ind w:firstLine="482" w:firstLineChars="200"/>
        <w:rPr>
          <w:rFonts w:hint="eastAsia" w:cs="宋体"/>
          <w:b/>
          <w:bCs/>
          <w:color w:val="auto"/>
          <w:lang w:eastAsia="zh-CN"/>
        </w:rPr>
      </w:pPr>
      <w:r>
        <w:rPr>
          <w:rFonts w:hint="eastAsia" w:cs="宋体"/>
          <w:b/>
          <w:bCs/>
          <w:color w:val="auto"/>
          <w:lang w:eastAsia="zh-CN"/>
        </w:rPr>
        <w:t>1.2语言文字</w:t>
      </w:r>
    </w:p>
    <w:p>
      <w:pPr>
        <w:pStyle w:val="26"/>
        <w:numPr>
          <w:ilvl w:val="0"/>
          <w:numId w:val="0"/>
        </w:numPr>
        <w:spacing w:before="0" w:beforeAutospacing="0" w:after="0" w:afterAutospacing="0" w:line="360" w:lineRule="auto"/>
        <w:ind w:firstLine="480" w:firstLineChars="200"/>
        <w:rPr>
          <w:rFonts w:hint="eastAsia" w:cs="宋体"/>
          <w:color w:val="auto"/>
          <w:lang w:eastAsia="zh-CN"/>
        </w:rPr>
      </w:pPr>
      <w:r>
        <w:rPr>
          <w:rFonts w:hint="eastAsia" w:cs="宋体"/>
          <w:color w:val="auto"/>
          <w:lang w:eastAsia="zh-CN"/>
        </w:rPr>
        <w:t>合同以中国的汉语简体文字编写、解释和说明。合同当事人在专用合同条款中约定使用两种以上语言时，汉语为优先解释和说明合同的语言。</w:t>
      </w:r>
    </w:p>
    <w:p>
      <w:pPr>
        <w:pStyle w:val="26"/>
        <w:numPr>
          <w:ilvl w:val="0"/>
          <w:numId w:val="0"/>
        </w:numPr>
        <w:spacing w:before="0" w:beforeAutospacing="0" w:after="0" w:afterAutospacing="0" w:line="360" w:lineRule="auto"/>
        <w:ind w:firstLine="482" w:firstLineChars="200"/>
        <w:rPr>
          <w:rFonts w:hint="eastAsia" w:cs="宋体"/>
          <w:b/>
          <w:bCs/>
          <w:color w:val="auto"/>
          <w:lang w:eastAsia="zh-CN"/>
        </w:rPr>
      </w:pPr>
      <w:r>
        <w:rPr>
          <w:rFonts w:hint="eastAsia" w:cs="宋体"/>
          <w:b/>
          <w:bCs/>
          <w:color w:val="auto"/>
          <w:lang w:eastAsia="zh-CN"/>
        </w:rPr>
        <w:t>1.3法律</w:t>
      </w:r>
    </w:p>
    <w:p>
      <w:pPr>
        <w:pStyle w:val="26"/>
        <w:numPr>
          <w:ilvl w:val="0"/>
          <w:numId w:val="0"/>
        </w:numPr>
        <w:spacing w:before="0" w:beforeAutospacing="0" w:after="0" w:afterAutospacing="0" w:line="360" w:lineRule="auto"/>
        <w:ind w:firstLine="480" w:firstLineChars="200"/>
        <w:rPr>
          <w:rFonts w:hint="eastAsia" w:cs="宋体"/>
          <w:color w:val="auto"/>
          <w:lang w:val="en-US" w:eastAsia="zh-CN"/>
        </w:rPr>
      </w:pPr>
      <w:r>
        <w:rPr>
          <w:rFonts w:hint="eastAsia" w:cs="宋体"/>
          <w:color w:val="auto"/>
          <w:lang w:val="en-US" w:eastAsia="zh-CN"/>
        </w:rPr>
        <w:t>合同所称法律是指中华人民共和国法律、行政法规、部门规章，以及工程所在地的地方性法规、自治条例、单行条例和地方政府规章等。</w:t>
      </w:r>
    </w:p>
    <w:p>
      <w:pPr>
        <w:pStyle w:val="26"/>
        <w:numPr>
          <w:ilvl w:val="0"/>
          <w:numId w:val="0"/>
        </w:numPr>
        <w:spacing w:before="0" w:beforeAutospacing="0" w:after="0" w:afterAutospacing="0" w:line="360" w:lineRule="auto"/>
        <w:ind w:firstLine="480" w:firstLineChars="200"/>
        <w:rPr>
          <w:rFonts w:hint="eastAsia" w:cs="宋体"/>
          <w:color w:val="auto"/>
          <w:lang w:val="en-US" w:eastAsia="zh-CN"/>
        </w:rPr>
      </w:pPr>
      <w:r>
        <w:rPr>
          <w:rFonts w:hint="eastAsia" w:cs="宋体"/>
          <w:color w:val="auto"/>
          <w:lang w:val="en-US" w:eastAsia="zh-CN"/>
        </w:rPr>
        <w:t>合同当事人可以在专用合同条款中约定合同适用的其他规范性文件。</w:t>
      </w:r>
    </w:p>
    <w:p>
      <w:pPr>
        <w:pStyle w:val="26"/>
        <w:numPr>
          <w:ilvl w:val="0"/>
          <w:numId w:val="0"/>
        </w:numPr>
        <w:spacing w:before="0" w:beforeAutospacing="0" w:after="0" w:afterAutospacing="0" w:line="360" w:lineRule="auto"/>
        <w:ind w:firstLine="482" w:firstLineChars="200"/>
        <w:rPr>
          <w:rFonts w:hint="eastAsia" w:cs="宋体"/>
          <w:b/>
          <w:bCs/>
          <w:color w:val="auto"/>
          <w:lang w:val="en-US" w:eastAsia="zh-CN"/>
        </w:rPr>
      </w:pPr>
      <w:r>
        <w:rPr>
          <w:rFonts w:hint="eastAsia" w:cs="宋体"/>
          <w:b/>
          <w:bCs/>
          <w:color w:val="auto"/>
          <w:lang w:val="en-US" w:eastAsia="zh-CN"/>
        </w:rPr>
        <w:t>1.4标准和规范</w:t>
      </w:r>
    </w:p>
    <w:p>
      <w:pPr>
        <w:pStyle w:val="26"/>
        <w:numPr>
          <w:ilvl w:val="0"/>
          <w:numId w:val="0"/>
        </w:numPr>
        <w:spacing w:before="0" w:beforeAutospacing="0" w:after="0" w:afterAutospacing="0" w:line="360" w:lineRule="auto"/>
        <w:ind w:firstLine="480" w:firstLineChars="200"/>
        <w:rPr>
          <w:rFonts w:hint="eastAsia" w:cs="宋体"/>
          <w:color w:val="auto"/>
          <w:lang w:val="en-US" w:eastAsia="zh-CN"/>
        </w:rPr>
      </w:pPr>
      <w:r>
        <w:rPr>
          <w:rFonts w:hint="eastAsia" w:cs="宋体"/>
          <w:color w:val="auto"/>
          <w:lang w:val="en-US" w:eastAsia="zh-CN"/>
        </w:rPr>
        <w:t>1.4.1适用于工程的国家标准、行业标准、工程所在地的地方性标准，以及相应的规范、规程等，合同当事人有特别要求的，应在专用合同条款中约定。</w:t>
      </w:r>
    </w:p>
    <w:p>
      <w:pPr>
        <w:pStyle w:val="26"/>
        <w:numPr>
          <w:ilvl w:val="0"/>
          <w:numId w:val="0"/>
        </w:numPr>
        <w:spacing w:before="0" w:beforeAutospacing="0" w:after="0" w:afterAutospacing="0" w:line="360" w:lineRule="auto"/>
        <w:ind w:firstLine="480" w:firstLineChars="200"/>
        <w:rPr>
          <w:rFonts w:hint="eastAsia" w:cs="宋体"/>
          <w:color w:val="auto"/>
          <w:lang w:val="en-US" w:eastAsia="zh-CN"/>
        </w:rPr>
      </w:pPr>
      <w:r>
        <w:rPr>
          <w:rFonts w:hint="eastAsia" w:cs="宋体"/>
          <w:color w:val="auto"/>
          <w:lang w:val="en-US" w:eastAsia="zh-CN"/>
        </w:rPr>
        <w:t>1.4.2发包人要求使用国外标准、规范的，发包人负责提供原文版本和中文译本，</w:t>
      </w:r>
    </w:p>
    <w:p>
      <w:pPr>
        <w:pStyle w:val="26"/>
        <w:numPr>
          <w:ilvl w:val="0"/>
          <w:numId w:val="0"/>
        </w:numPr>
        <w:spacing w:before="0" w:beforeAutospacing="0" w:after="0" w:afterAutospacing="0" w:line="360" w:lineRule="auto"/>
        <w:rPr>
          <w:rFonts w:hint="eastAsia" w:cs="宋体"/>
          <w:color w:val="auto"/>
          <w:lang w:val="en-US" w:eastAsia="zh-CN"/>
        </w:rPr>
      </w:pPr>
      <w:r>
        <w:rPr>
          <w:rFonts w:hint="eastAsia" w:cs="宋体"/>
          <w:color w:val="auto"/>
          <w:lang w:val="en-US" w:eastAsia="zh-CN"/>
        </w:rPr>
        <w:t>并在专用合同条款中约定提供标准规范的名称、份数和时间。</w:t>
      </w:r>
    </w:p>
    <w:p>
      <w:pPr>
        <w:pStyle w:val="26"/>
        <w:numPr>
          <w:ilvl w:val="0"/>
          <w:numId w:val="0"/>
        </w:numPr>
        <w:spacing w:before="0" w:beforeAutospacing="0" w:after="0" w:afterAutospacing="0" w:line="360" w:lineRule="auto"/>
        <w:ind w:firstLine="480" w:firstLineChars="200"/>
        <w:rPr>
          <w:rFonts w:hint="eastAsia" w:cs="宋体"/>
          <w:color w:val="auto"/>
          <w:lang w:val="en-US" w:eastAsia="zh-CN"/>
        </w:rPr>
      </w:pPr>
      <w:r>
        <w:rPr>
          <w:rFonts w:hint="eastAsia" w:cs="宋体"/>
          <w:color w:val="auto"/>
          <w:lang w:val="en-US" w:eastAsia="zh-CN"/>
        </w:rPr>
        <w:t>1.4.3发包人对工程的技术标准、功能要求高于或严于现行国家、行业或地方标准的，应当在专用合同条款中予以明确。除专用合同条款另有约定外，应视为承包人在签订合同前已充分预见前述技术标准和功能要求的复杂程度，签约合同价中已包含由此产生的费用。</w:t>
      </w:r>
    </w:p>
    <w:p>
      <w:pPr>
        <w:pStyle w:val="26"/>
        <w:numPr>
          <w:ilvl w:val="0"/>
          <w:numId w:val="0"/>
        </w:numPr>
        <w:spacing w:before="0" w:beforeAutospacing="0" w:after="0" w:afterAutospacing="0" w:line="360" w:lineRule="auto"/>
        <w:ind w:firstLine="482" w:firstLineChars="200"/>
        <w:rPr>
          <w:rFonts w:hint="eastAsia" w:cs="宋体"/>
          <w:b/>
          <w:bCs/>
          <w:color w:val="auto"/>
          <w:lang w:val="en-US" w:eastAsia="zh-CN"/>
        </w:rPr>
      </w:pPr>
      <w:r>
        <w:rPr>
          <w:rFonts w:hint="eastAsia" w:cs="宋体"/>
          <w:b/>
          <w:bCs/>
          <w:color w:val="auto"/>
          <w:lang w:val="en-US" w:eastAsia="zh-CN"/>
        </w:rPr>
        <w:t>1.5合同文件的优先顺序</w:t>
      </w:r>
    </w:p>
    <w:p>
      <w:pPr>
        <w:pStyle w:val="26"/>
        <w:numPr>
          <w:ilvl w:val="0"/>
          <w:numId w:val="0"/>
        </w:numPr>
        <w:spacing w:before="0" w:beforeAutospacing="0" w:after="0" w:afterAutospacing="0" w:line="360" w:lineRule="auto"/>
        <w:ind w:firstLine="480" w:firstLineChars="200"/>
        <w:rPr>
          <w:rFonts w:hint="eastAsia" w:cs="宋体"/>
          <w:color w:val="auto"/>
          <w:lang w:val="en-US" w:eastAsia="zh-CN"/>
        </w:rPr>
      </w:pPr>
      <w:r>
        <w:rPr>
          <w:rFonts w:hint="eastAsia" w:cs="宋体"/>
          <w:color w:val="auto"/>
          <w:lang w:val="en-US" w:eastAsia="zh-CN"/>
        </w:rPr>
        <w:t>组成合同的各项文件应互相解释，互为说明。除专用合同条款另有约定外，解释合同文件的优先顺序如下：</w:t>
      </w:r>
    </w:p>
    <w:p>
      <w:pPr>
        <w:pStyle w:val="26"/>
        <w:numPr>
          <w:ilvl w:val="0"/>
          <w:numId w:val="0"/>
        </w:numPr>
        <w:spacing w:before="0" w:beforeAutospacing="0" w:after="0" w:afterAutospacing="0" w:line="360" w:lineRule="auto"/>
        <w:ind w:firstLine="480" w:firstLineChars="200"/>
        <w:rPr>
          <w:rFonts w:hint="eastAsia" w:cs="宋体"/>
          <w:color w:val="auto"/>
          <w:lang w:val="en-US" w:eastAsia="zh-CN"/>
        </w:rPr>
      </w:pPr>
      <w:r>
        <w:rPr>
          <w:rFonts w:hint="eastAsia" w:cs="宋体"/>
          <w:color w:val="auto"/>
          <w:lang w:val="en-US" w:eastAsia="zh-CN"/>
        </w:rPr>
        <w:t>(1)合同协议书；</w:t>
      </w:r>
    </w:p>
    <w:p>
      <w:pPr>
        <w:pStyle w:val="26"/>
        <w:numPr>
          <w:ilvl w:val="0"/>
          <w:numId w:val="0"/>
        </w:numPr>
        <w:spacing w:before="0" w:beforeAutospacing="0" w:after="0" w:afterAutospacing="0" w:line="360" w:lineRule="auto"/>
        <w:ind w:firstLine="480" w:firstLineChars="200"/>
        <w:rPr>
          <w:rFonts w:hint="eastAsia" w:cs="宋体"/>
          <w:color w:val="auto"/>
          <w:lang w:val="en-US" w:eastAsia="zh-CN"/>
        </w:rPr>
      </w:pPr>
      <w:r>
        <w:rPr>
          <w:rFonts w:hint="eastAsia" w:cs="宋体"/>
          <w:color w:val="auto"/>
          <w:lang w:val="en-US" w:eastAsia="zh-CN"/>
        </w:rPr>
        <w:t>(2)中标通知书(如果有)；</w:t>
      </w:r>
    </w:p>
    <w:p>
      <w:pPr>
        <w:pStyle w:val="26"/>
        <w:numPr>
          <w:ilvl w:val="0"/>
          <w:numId w:val="0"/>
        </w:numPr>
        <w:spacing w:before="0" w:beforeAutospacing="0" w:after="0" w:afterAutospacing="0" w:line="360" w:lineRule="auto"/>
        <w:ind w:firstLine="480" w:firstLineChars="200"/>
        <w:rPr>
          <w:rFonts w:hint="eastAsia" w:cs="宋体"/>
          <w:color w:val="auto"/>
          <w:lang w:val="en-US" w:eastAsia="zh-CN"/>
        </w:rPr>
      </w:pPr>
      <w:r>
        <w:rPr>
          <w:rFonts w:hint="eastAsia" w:cs="宋体"/>
          <w:color w:val="auto"/>
          <w:lang w:val="en-US" w:eastAsia="zh-CN"/>
        </w:rPr>
        <w:t>(3)磋商函及其附录(如果有)；</w:t>
      </w:r>
    </w:p>
    <w:p>
      <w:pPr>
        <w:pStyle w:val="26"/>
        <w:numPr>
          <w:ilvl w:val="0"/>
          <w:numId w:val="0"/>
        </w:numPr>
        <w:spacing w:before="0" w:beforeAutospacing="0" w:after="0" w:afterAutospacing="0" w:line="360" w:lineRule="auto"/>
        <w:ind w:firstLine="480" w:firstLineChars="200"/>
        <w:rPr>
          <w:rFonts w:hint="eastAsia" w:cs="宋体"/>
          <w:color w:val="auto"/>
          <w:lang w:val="en-US" w:eastAsia="zh-CN"/>
        </w:rPr>
      </w:pPr>
      <w:r>
        <w:rPr>
          <w:rFonts w:hint="eastAsia" w:cs="宋体"/>
          <w:color w:val="auto"/>
          <w:lang w:val="en-US" w:eastAsia="zh-CN"/>
        </w:rPr>
        <w:t>(4)专用合同条款及其附件；</w:t>
      </w:r>
    </w:p>
    <w:p>
      <w:pPr>
        <w:pStyle w:val="26"/>
        <w:numPr>
          <w:ilvl w:val="0"/>
          <w:numId w:val="0"/>
        </w:numPr>
        <w:spacing w:before="0" w:beforeAutospacing="0" w:after="0" w:afterAutospacing="0" w:line="360" w:lineRule="auto"/>
        <w:ind w:firstLine="480" w:firstLineChars="200"/>
        <w:rPr>
          <w:rFonts w:hint="eastAsia" w:cs="宋体"/>
          <w:color w:val="auto"/>
          <w:lang w:val="en-US" w:eastAsia="zh-CN"/>
        </w:rPr>
      </w:pPr>
      <w:r>
        <w:rPr>
          <w:rFonts w:hint="eastAsia" w:cs="宋体"/>
          <w:color w:val="auto"/>
          <w:lang w:val="en-US" w:eastAsia="zh-CN"/>
        </w:rPr>
        <w:t>(5)通用合同条款；</w:t>
      </w:r>
    </w:p>
    <w:p>
      <w:pPr>
        <w:pStyle w:val="26"/>
        <w:numPr>
          <w:ilvl w:val="0"/>
          <w:numId w:val="0"/>
        </w:numPr>
        <w:spacing w:before="0" w:beforeAutospacing="0" w:after="0" w:afterAutospacing="0" w:line="360" w:lineRule="auto"/>
        <w:ind w:firstLine="480" w:firstLineChars="200"/>
        <w:rPr>
          <w:rFonts w:hint="eastAsia" w:cs="宋体"/>
          <w:color w:val="auto"/>
          <w:lang w:val="en-US" w:eastAsia="zh-CN"/>
        </w:rPr>
      </w:pPr>
      <w:r>
        <w:rPr>
          <w:rFonts w:hint="eastAsia" w:cs="宋体"/>
          <w:color w:val="auto"/>
          <w:lang w:val="en-US" w:eastAsia="zh-CN"/>
        </w:rPr>
        <w:t>(6)技术标准和要求；</w:t>
      </w:r>
    </w:p>
    <w:p>
      <w:pPr>
        <w:pStyle w:val="26"/>
        <w:numPr>
          <w:ilvl w:val="0"/>
          <w:numId w:val="0"/>
        </w:numPr>
        <w:spacing w:before="0" w:beforeAutospacing="0" w:after="0" w:afterAutospacing="0" w:line="360" w:lineRule="auto"/>
        <w:ind w:firstLine="480" w:firstLineChars="200"/>
        <w:rPr>
          <w:rFonts w:hint="eastAsia" w:cs="宋体"/>
          <w:color w:val="auto"/>
          <w:lang w:val="en-US" w:eastAsia="zh-CN"/>
        </w:rPr>
      </w:pPr>
      <w:r>
        <w:rPr>
          <w:rFonts w:hint="eastAsia" w:cs="宋体"/>
          <w:color w:val="auto"/>
          <w:lang w:val="en-US" w:eastAsia="zh-CN"/>
        </w:rPr>
        <w:t>(7)图纸；</w:t>
      </w:r>
    </w:p>
    <w:p>
      <w:pPr>
        <w:pStyle w:val="26"/>
        <w:numPr>
          <w:ilvl w:val="0"/>
          <w:numId w:val="0"/>
        </w:numPr>
        <w:spacing w:before="0" w:beforeAutospacing="0" w:after="0" w:afterAutospacing="0" w:line="360" w:lineRule="auto"/>
        <w:ind w:firstLine="480" w:firstLineChars="200"/>
        <w:rPr>
          <w:rFonts w:hint="eastAsia" w:cs="宋体"/>
          <w:color w:val="auto"/>
          <w:lang w:val="en-US" w:eastAsia="zh-CN"/>
        </w:rPr>
      </w:pPr>
      <w:r>
        <w:rPr>
          <w:rFonts w:hint="eastAsia" w:cs="宋体"/>
          <w:color w:val="auto"/>
          <w:lang w:val="en-US" w:eastAsia="zh-CN"/>
        </w:rPr>
        <w:t>(8)已标价工程量清单或预算书；</w:t>
      </w:r>
    </w:p>
    <w:p>
      <w:pPr>
        <w:pStyle w:val="26"/>
        <w:numPr>
          <w:ilvl w:val="0"/>
          <w:numId w:val="0"/>
        </w:numPr>
        <w:spacing w:before="0" w:beforeAutospacing="0" w:after="0" w:afterAutospacing="0" w:line="360" w:lineRule="auto"/>
        <w:ind w:firstLine="480" w:firstLineChars="200"/>
        <w:rPr>
          <w:rFonts w:hint="eastAsia" w:cs="宋体"/>
          <w:color w:val="auto"/>
          <w:lang w:val="en-US" w:eastAsia="zh-CN"/>
        </w:rPr>
      </w:pPr>
      <w:r>
        <w:rPr>
          <w:rFonts w:hint="eastAsia" w:cs="宋体"/>
          <w:color w:val="auto"/>
          <w:lang w:val="en-US" w:eastAsia="zh-CN"/>
        </w:rPr>
        <w:t>(9)其他合同文件。</w:t>
      </w:r>
    </w:p>
    <w:p>
      <w:pPr>
        <w:pStyle w:val="26"/>
        <w:numPr>
          <w:ilvl w:val="0"/>
          <w:numId w:val="0"/>
        </w:numPr>
        <w:spacing w:before="0" w:beforeAutospacing="0" w:after="0" w:afterAutospacing="0" w:line="360" w:lineRule="auto"/>
        <w:ind w:firstLine="480" w:firstLineChars="200"/>
        <w:rPr>
          <w:rFonts w:hint="eastAsia" w:cs="宋体"/>
          <w:color w:val="auto"/>
          <w:lang w:val="en-US" w:eastAsia="zh-CN"/>
        </w:rPr>
      </w:pPr>
      <w:r>
        <w:rPr>
          <w:rFonts w:hint="eastAsia" w:cs="宋体"/>
          <w:color w:val="auto"/>
          <w:lang w:val="en-US" w:eastAsia="zh-CN"/>
        </w:rPr>
        <w:t>上述各项合同文件包括合同当事人就该项合同文件所作出的补充和修改，属于同一类内容的文件，应以最新签署的为准。</w:t>
      </w:r>
    </w:p>
    <w:p>
      <w:pPr>
        <w:pStyle w:val="26"/>
        <w:numPr>
          <w:ilvl w:val="0"/>
          <w:numId w:val="0"/>
        </w:numPr>
        <w:spacing w:before="0" w:beforeAutospacing="0" w:after="0" w:afterAutospacing="0" w:line="360" w:lineRule="auto"/>
        <w:ind w:firstLine="480" w:firstLineChars="200"/>
        <w:rPr>
          <w:rFonts w:hint="eastAsia" w:cs="宋体"/>
          <w:color w:val="auto"/>
          <w:lang w:val="en-US" w:eastAsia="zh-CN"/>
        </w:rPr>
      </w:pPr>
      <w:r>
        <w:rPr>
          <w:rFonts w:hint="eastAsia" w:cs="宋体"/>
          <w:color w:val="auto"/>
          <w:lang w:val="en-US" w:eastAsia="zh-CN"/>
        </w:rPr>
        <w:t>在合同订立及履行过程中形成的与合同有关的文件均构成合同文件组成部分，并根据其性质确定优先解释顺序。</w:t>
      </w:r>
    </w:p>
    <w:p>
      <w:pPr>
        <w:pStyle w:val="26"/>
        <w:numPr>
          <w:ilvl w:val="0"/>
          <w:numId w:val="0"/>
        </w:numPr>
        <w:spacing w:before="0" w:beforeAutospacing="0" w:after="0" w:afterAutospacing="0" w:line="360" w:lineRule="auto"/>
        <w:ind w:firstLine="482" w:firstLineChars="200"/>
        <w:rPr>
          <w:rFonts w:hint="eastAsia" w:cs="宋体"/>
          <w:b/>
          <w:bCs/>
          <w:color w:val="auto"/>
          <w:lang w:val="en-US" w:eastAsia="zh-CN"/>
        </w:rPr>
      </w:pPr>
      <w:r>
        <w:rPr>
          <w:rFonts w:hint="eastAsia" w:cs="宋体"/>
          <w:b/>
          <w:bCs/>
          <w:color w:val="auto"/>
          <w:lang w:val="en-US" w:eastAsia="zh-CN"/>
        </w:rPr>
        <w:t>1.6图纸和承包人文件</w:t>
      </w:r>
    </w:p>
    <w:p>
      <w:pPr>
        <w:pStyle w:val="26"/>
        <w:numPr>
          <w:ilvl w:val="0"/>
          <w:numId w:val="0"/>
        </w:numPr>
        <w:spacing w:before="0" w:beforeAutospacing="0" w:after="0" w:afterAutospacing="0" w:line="360" w:lineRule="auto"/>
        <w:ind w:firstLine="480" w:firstLineChars="200"/>
        <w:rPr>
          <w:rFonts w:hint="eastAsia" w:cs="宋体"/>
          <w:color w:val="auto"/>
          <w:lang w:val="en-US" w:eastAsia="zh-CN"/>
        </w:rPr>
      </w:pPr>
      <w:r>
        <w:rPr>
          <w:rFonts w:hint="eastAsia" w:cs="宋体"/>
          <w:color w:val="auto"/>
          <w:lang w:val="en-US" w:eastAsia="zh-CN"/>
        </w:rPr>
        <w:t>1.6.1图纸的提供和交底</w:t>
      </w:r>
    </w:p>
    <w:p>
      <w:pPr>
        <w:pStyle w:val="26"/>
        <w:numPr>
          <w:ilvl w:val="0"/>
          <w:numId w:val="0"/>
        </w:numPr>
        <w:spacing w:before="0" w:beforeAutospacing="0" w:after="0" w:afterAutospacing="0" w:line="360" w:lineRule="auto"/>
        <w:ind w:firstLine="480" w:firstLineChars="200"/>
        <w:rPr>
          <w:rFonts w:hint="eastAsia" w:cs="宋体"/>
          <w:color w:val="auto"/>
          <w:lang w:val="en-US" w:eastAsia="zh-CN"/>
        </w:rPr>
      </w:pPr>
      <w:r>
        <w:rPr>
          <w:rFonts w:hint="eastAsia" w:cs="宋体"/>
          <w:color w:val="auto"/>
          <w:lang w:val="en-US" w:eastAsia="zh-CN"/>
        </w:rPr>
        <w:t>发包人应按照专用合同条款约定的期限、数量和内容向承包人免费提供图纸，并组织承包人、监理人和设计人进行图纸会审和设计交底。发包人至迟不得晚于第7.3.2项〔开工通知〕载明的开工日期前14天向承包人提供图纸。</w:t>
      </w:r>
    </w:p>
    <w:p>
      <w:pPr>
        <w:pStyle w:val="26"/>
        <w:numPr>
          <w:ilvl w:val="0"/>
          <w:numId w:val="0"/>
        </w:numPr>
        <w:spacing w:before="0" w:beforeAutospacing="0" w:after="0" w:afterAutospacing="0" w:line="360" w:lineRule="auto"/>
        <w:ind w:firstLine="480" w:firstLineChars="200"/>
        <w:rPr>
          <w:rFonts w:hint="eastAsia" w:cs="宋体"/>
          <w:color w:val="auto"/>
          <w:lang w:val="en-US" w:eastAsia="zh-CN"/>
        </w:rPr>
      </w:pPr>
      <w:r>
        <w:rPr>
          <w:rFonts w:hint="eastAsia" w:cs="宋体"/>
          <w:color w:val="auto"/>
          <w:lang w:val="en-US" w:eastAsia="zh-CN"/>
        </w:rPr>
        <w:t>因发包人未按合同约定提供图纸导致承包人费用增加和(或)工期延误的，按照第7.5.1项〔因发包人原因导致工期延误〕约定办理。</w:t>
      </w:r>
    </w:p>
    <w:p>
      <w:pPr>
        <w:pStyle w:val="26"/>
        <w:numPr>
          <w:ilvl w:val="0"/>
          <w:numId w:val="0"/>
        </w:numPr>
        <w:spacing w:before="0" w:beforeAutospacing="0" w:after="0" w:afterAutospacing="0" w:line="360" w:lineRule="auto"/>
        <w:ind w:firstLine="480" w:firstLineChars="200"/>
        <w:rPr>
          <w:rFonts w:hint="eastAsia" w:cs="宋体"/>
          <w:color w:val="auto"/>
          <w:lang w:val="en-US" w:eastAsia="zh-CN"/>
        </w:rPr>
      </w:pPr>
      <w:r>
        <w:rPr>
          <w:rFonts w:hint="eastAsia" w:cs="宋体"/>
          <w:color w:val="auto"/>
          <w:lang w:val="en-US" w:eastAsia="zh-CN"/>
        </w:rPr>
        <w:t>1.6.2图纸的错误</w:t>
      </w:r>
    </w:p>
    <w:p>
      <w:pPr>
        <w:pStyle w:val="26"/>
        <w:numPr>
          <w:ilvl w:val="0"/>
          <w:numId w:val="0"/>
        </w:numPr>
        <w:spacing w:before="0" w:beforeAutospacing="0" w:after="0" w:afterAutospacing="0" w:line="360" w:lineRule="auto"/>
        <w:ind w:firstLine="480" w:firstLineChars="200"/>
        <w:rPr>
          <w:rFonts w:hint="eastAsia" w:cs="宋体"/>
          <w:color w:val="auto"/>
          <w:lang w:val="en-US" w:eastAsia="zh-CN"/>
        </w:rPr>
      </w:pPr>
      <w:r>
        <w:rPr>
          <w:rFonts w:hint="eastAsia" w:cs="宋体"/>
          <w:color w:val="auto"/>
          <w:lang w:val="en-US" w:eastAsia="zh-CN"/>
        </w:rPr>
        <w:t>承包人在收到发包人提供的图纸后，发现图纸存在差错、遗漏或缺陷的，应及时通知监理人。监理人接到该通知后，应附具相关意见并立即报送发包人，发包人应在收到监理人报送的通知后的合理时间内作出决定。合理时间是指发包人在收到监理人的报送通知后，尽其努力且不懈怠地完成图纸修改补充所需的时间。</w:t>
      </w:r>
    </w:p>
    <w:p>
      <w:pPr>
        <w:pStyle w:val="26"/>
        <w:numPr>
          <w:ilvl w:val="0"/>
          <w:numId w:val="0"/>
        </w:numPr>
        <w:spacing w:before="0" w:beforeAutospacing="0" w:after="0" w:afterAutospacing="0" w:line="360" w:lineRule="auto"/>
        <w:ind w:firstLine="480" w:firstLineChars="200"/>
        <w:rPr>
          <w:rFonts w:hint="eastAsia" w:cs="宋体"/>
          <w:color w:val="auto"/>
          <w:lang w:val="en-US" w:eastAsia="zh-CN"/>
        </w:rPr>
      </w:pPr>
      <w:r>
        <w:rPr>
          <w:rFonts w:hint="eastAsia" w:cs="宋体"/>
          <w:color w:val="auto"/>
          <w:lang w:val="en-US" w:eastAsia="zh-CN"/>
        </w:rPr>
        <w:t>1.6.3图纸的修改和补充</w:t>
      </w:r>
    </w:p>
    <w:p>
      <w:pPr>
        <w:pStyle w:val="26"/>
        <w:numPr>
          <w:ilvl w:val="0"/>
          <w:numId w:val="0"/>
        </w:numPr>
        <w:spacing w:before="0" w:beforeAutospacing="0" w:after="0" w:afterAutospacing="0" w:line="360" w:lineRule="auto"/>
        <w:ind w:firstLine="480" w:firstLineChars="200"/>
        <w:rPr>
          <w:rFonts w:hint="eastAsia" w:cs="宋体"/>
          <w:color w:val="auto"/>
          <w:lang w:val="en-US" w:eastAsia="zh-CN"/>
        </w:rPr>
      </w:pPr>
      <w:r>
        <w:rPr>
          <w:rFonts w:hint="eastAsia" w:cs="宋体"/>
          <w:color w:val="auto"/>
          <w:lang w:val="en-US" w:eastAsia="zh-CN"/>
        </w:rPr>
        <w:t>图纸需要修改和补充的，应经图纸原设计人及审批部门同意，并由监理人在工程或工程相应部位施工前将修改后的图纸或补充图纸提交给承包人，承包人应按修改或补充后的图纸施工。</w:t>
      </w:r>
    </w:p>
    <w:p>
      <w:pPr>
        <w:pStyle w:val="26"/>
        <w:numPr>
          <w:ilvl w:val="0"/>
          <w:numId w:val="0"/>
        </w:numPr>
        <w:spacing w:before="0" w:beforeAutospacing="0" w:after="0" w:afterAutospacing="0" w:line="360" w:lineRule="auto"/>
        <w:ind w:firstLine="480" w:firstLineChars="200"/>
        <w:rPr>
          <w:rFonts w:hint="eastAsia" w:cs="宋体"/>
          <w:color w:val="auto"/>
          <w:lang w:val="en-US" w:eastAsia="zh-CN"/>
        </w:rPr>
      </w:pPr>
      <w:r>
        <w:rPr>
          <w:rFonts w:hint="eastAsia" w:cs="宋体"/>
          <w:color w:val="auto"/>
          <w:lang w:val="en-US" w:eastAsia="zh-CN"/>
        </w:rPr>
        <w:t>1.6.4承包人文件</w:t>
      </w:r>
    </w:p>
    <w:p>
      <w:pPr>
        <w:pStyle w:val="26"/>
        <w:numPr>
          <w:ilvl w:val="0"/>
          <w:numId w:val="0"/>
        </w:numPr>
        <w:spacing w:before="0" w:beforeAutospacing="0" w:after="0" w:afterAutospacing="0" w:line="360" w:lineRule="auto"/>
        <w:ind w:firstLine="480" w:firstLineChars="200"/>
        <w:rPr>
          <w:rFonts w:hint="eastAsia" w:cs="宋体"/>
          <w:color w:val="auto"/>
          <w:lang w:val="en-US" w:eastAsia="zh-CN"/>
        </w:rPr>
      </w:pPr>
      <w:r>
        <w:rPr>
          <w:rFonts w:hint="eastAsia" w:cs="宋体"/>
          <w:color w:val="auto"/>
          <w:lang w:val="en-US" w:eastAsia="zh-CN"/>
        </w:rPr>
        <w:t>承包人应按照专用合同条款的约定提供应当由其编制的与工程施工有关的文件，并按照专用合同条款约定的期限、数量和形式提交监理人，并由监理人报送发包人。</w:t>
      </w:r>
    </w:p>
    <w:p>
      <w:pPr>
        <w:pStyle w:val="26"/>
        <w:numPr>
          <w:ilvl w:val="0"/>
          <w:numId w:val="0"/>
        </w:numPr>
        <w:spacing w:before="0" w:beforeAutospacing="0" w:after="0" w:afterAutospacing="0" w:line="360" w:lineRule="auto"/>
        <w:ind w:firstLine="480" w:firstLineChars="200"/>
        <w:rPr>
          <w:rFonts w:hint="eastAsia" w:cs="宋体"/>
          <w:color w:val="auto"/>
          <w:lang w:val="en-US" w:eastAsia="zh-CN"/>
        </w:rPr>
      </w:pPr>
      <w:r>
        <w:rPr>
          <w:rFonts w:hint="eastAsia" w:cs="宋体"/>
          <w:color w:val="auto"/>
          <w:lang w:val="en-US" w:eastAsia="zh-CN"/>
        </w:rPr>
        <w:t>除专用合同条款另有约定外，监理人应在收到承包人文件后7天内审查完毕，监理人对承包人文件有异议的，承包人应予以修改，并重新报送监理人。监理人的审查并不减轻或免除承包人根据合同约定应当承担的责任。</w:t>
      </w:r>
    </w:p>
    <w:p>
      <w:pPr>
        <w:pStyle w:val="26"/>
        <w:numPr>
          <w:ilvl w:val="0"/>
          <w:numId w:val="0"/>
        </w:numPr>
        <w:spacing w:before="0" w:beforeAutospacing="0" w:after="0" w:afterAutospacing="0" w:line="360" w:lineRule="auto"/>
        <w:ind w:firstLine="480" w:firstLineChars="200"/>
        <w:rPr>
          <w:rFonts w:hint="eastAsia" w:cs="宋体"/>
          <w:color w:val="auto"/>
          <w:lang w:val="en-US" w:eastAsia="zh-CN"/>
        </w:rPr>
      </w:pPr>
      <w:r>
        <w:rPr>
          <w:rFonts w:hint="eastAsia" w:cs="宋体"/>
          <w:color w:val="auto"/>
          <w:lang w:val="en-US" w:eastAsia="zh-CN"/>
        </w:rPr>
        <w:t>1.6.5图纸和承包人文件的保管</w:t>
      </w:r>
    </w:p>
    <w:p>
      <w:pPr>
        <w:pStyle w:val="26"/>
        <w:numPr>
          <w:ilvl w:val="0"/>
          <w:numId w:val="0"/>
        </w:numPr>
        <w:spacing w:before="0" w:beforeAutospacing="0" w:after="0" w:afterAutospacing="0" w:line="360" w:lineRule="auto"/>
        <w:ind w:firstLine="480" w:firstLineChars="200"/>
        <w:rPr>
          <w:rFonts w:hint="eastAsia" w:cs="宋体"/>
          <w:color w:val="auto"/>
          <w:lang w:val="en-US" w:eastAsia="zh-CN"/>
        </w:rPr>
      </w:pPr>
      <w:r>
        <w:rPr>
          <w:rFonts w:hint="eastAsia" w:cs="宋体"/>
          <w:color w:val="auto"/>
          <w:lang w:val="en-US" w:eastAsia="zh-CN"/>
        </w:rPr>
        <w:t>除专用合同条款另有约定外，承包人应在施工现场另外保存一套完整的图纸和承包人文件，供发包人、监理人及有关人员进行工程检查时使用。</w:t>
      </w:r>
    </w:p>
    <w:p>
      <w:pPr>
        <w:pStyle w:val="26"/>
        <w:numPr>
          <w:ilvl w:val="0"/>
          <w:numId w:val="0"/>
        </w:numPr>
        <w:spacing w:before="0" w:beforeAutospacing="0" w:after="0" w:afterAutospacing="0" w:line="360" w:lineRule="auto"/>
        <w:ind w:firstLine="482" w:firstLineChars="200"/>
        <w:rPr>
          <w:rFonts w:hint="eastAsia" w:cs="宋体"/>
          <w:b/>
          <w:bCs/>
          <w:color w:val="auto"/>
          <w:lang w:val="en-US" w:eastAsia="zh-CN"/>
        </w:rPr>
      </w:pPr>
      <w:r>
        <w:rPr>
          <w:rFonts w:hint="eastAsia" w:cs="宋体"/>
          <w:b/>
          <w:bCs/>
          <w:color w:val="auto"/>
          <w:lang w:val="en-US" w:eastAsia="zh-CN"/>
        </w:rPr>
        <w:t>1.7联络</w:t>
      </w:r>
    </w:p>
    <w:p>
      <w:pPr>
        <w:pStyle w:val="26"/>
        <w:numPr>
          <w:ilvl w:val="0"/>
          <w:numId w:val="0"/>
        </w:numPr>
        <w:spacing w:before="0" w:beforeAutospacing="0" w:after="0" w:afterAutospacing="0" w:line="360" w:lineRule="auto"/>
        <w:ind w:firstLine="480" w:firstLineChars="200"/>
        <w:rPr>
          <w:rFonts w:hint="eastAsia" w:cs="宋体"/>
          <w:color w:val="auto"/>
          <w:lang w:val="en-US" w:eastAsia="zh-CN"/>
        </w:rPr>
      </w:pPr>
      <w:r>
        <w:rPr>
          <w:rFonts w:hint="eastAsia" w:cs="宋体"/>
          <w:color w:val="auto"/>
          <w:lang w:val="en-US" w:eastAsia="zh-CN"/>
        </w:rPr>
        <w:t>1.7.1与合同有关的通知、批准、证明、证书、指示、指令、要求、请求、同意、意见、确定和决定等，均应采用书面形式，并应在合同约定的期限内送达接收人和送达地点。</w:t>
      </w:r>
    </w:p>
    <w:p>
      <w:pPr>
        <w:pStyle w:val="26"/>
        <w:numPr>
          <w:ilvl w:val="0"/>
          <w:numId w:val="0"/>
        </w:numPr>
        <w:spacing w:before="0" w:beforeAutospacing="0" w:after="0" w:afterAutospacing="0" w:line="360" w:lineRule="auto"/>
        <w:ind w:firstLine="480" w:firstLineChars="200"/>
        <w:rPr>
          <w:rFonts w:hint="eastAsia" w:cs="宋体"/>
          <w:color w:val="auto"/>
          <w:lang w:val="en-US" w:eastAsia="zh-CN"/>
        </w:rPr>
      </w:pPr>
      <w:r>
        <w:rPr>
          <w:rFonts w:hint="eastAsia" w:cs="宋体"/>
          <w:color w:val="auto"/>
          <w:lang w:val="en-US" w:eastAsia="zh-CN"/>
        </w:rPr>
        <w:t>1.7.2发包人和承包人应在专用合同条款中约定各自的送达接收人和送达地点。任何一方合同当事人指定的接收人或送达地点发生变动的，应提前3天以书面形式通知对方。</w:t>
      </w:r>
    </w:p>
    <w:p>
      <w:pPr>
        <w:pStyle w:val="26"/>
        <w:numPr>
          <w:ilvl w:val="0"/>
          <w:numId w:val="0"/>
        </w:numPr>
        <w:spacing w:before="0" w:beforeAutospacing="0" w:after="0" w:afterAutospacing="0" w:line="360" w:lineRule="auto"/>
        <w:ind w:firstLine="480" w:firstLineChars="200"/>
        <w:rPr>
          <w:rFonts w:hint="eastAsia" w:cs="宋体"/>
          <w:color w:val="auto"/>
          <w:lang w:val="en-US" w:eastAsia="zh-CN"/>
        </w:rPr>
      </w:pPr>
      <w:r>
        <w:rPr>
          <w:rFonts w:hint="eastAsia" w:cs="宋体"/>
          <w:color w:val="auto"/>
          <w:lang w:val="en-US" w:eastAsia="zh-CN"/>
        </w:rPr>
        <w:t>1.7.3发包人和承包人应当及时签收另一方送达至送达地点和指定接收人的来往信函。拒不签收的，由此增加的费用和(或)延误的工期由拒绝接收一方承担。</w:t>
      </w:r>
    </w:p>
    <w:p>
      <w:pPr>
        <w:pStyle w:val="26"/>
        <w:numPr>
          <w:ilvl w:val="0"/>
          <w:numId w:val="0"/>
        </w:numPr>
        <w:spacing w:before="0" w:beforeAutospacing="0" w:after="0" w:afterAutospacing="0" w:line="360" w:lineRule="auto"/>
        <w:ind w:firstLine="482" w:firstLineChars="200"/>
        <w:rPr>
          <w:rFonts w:hint="eastAsia" w:cs="宋体"/>
          <w:b/>
          <w:bCs/>
          <w:color w:val="auto"/>
          <w:lang w:val="en-US" w:eastAsia="zh-CN"/>
        </w:rPr>
      </w:pPr>
      <w:r>
        <w:rPr>
          <w:rFonts w:hint="eastAsia" w:cs="宋体"/>
          <w:b/>
          <w:bCs/>
          <w:color w:val="auto"/>
          <w:lang w:val="en-US" w:eastAsia="zh-CN"/>
        </w:rPr>
        <w:t>1.8严禁贿赂</w:t>
      </w:r>
    </w:p>
    <w:p>
      <w:pPr>
        <w:pStyle w:val="26"/>
        <w:numPr>
          <w:ilvl w:val="0"/>
          <w:numId w:val="0"/>
        </w:numPr>
        <w:spacing w:before="0" w:beforeAutospacing="0" w:after="0" w:afterAutospacing="0" w:line="360" w:lineRule="auto"/>
        <w:ind w:firstLine="480" w:firstLineChars="200"/>
        <w:rPr>
          <w:rFonts w:hint="eastAsia" w:cs="宋体"/>
          <w:color w:val="auto"/>
          <w:lang w:val="en-US" w:eastAsia="zh-CN"/>
        </w:rPr>
      </w:pPr>
      <w:r>
        <w:rPr>
          <w:rFonts w:hint="eastAsia" w:cs="宋体"/>
          <w:color w:val="auto"/>
          <w:lang w:val="en-US" w:eastAsia="zh-CN"/>
        </w:rPr>
        <w:t>合同当事人不得以贿赂或变相贿赂的方式，谋取非法利益或损害对方权益。因一方合同当事人的贿赂造成对方损失的，应赔偿损失，并承担相应的法律责任。</w:t>
      </w:r>
    </w:p>
    <w:p>
      <w:pPr>
        <w:pStyle w:val="26"/>
        <w:numPr>
          <w:ilvl w:val="0"/>
          <w:numId w:val="0"/>
        </w:numPr>
        <w:spacing w:before="0" w:beforeAutospacing="0" w:after="0" w:afterAutospacing="0" w:line="360" w:lineRule="auto"/>
        <w:ind w:firstLine="480" w:firstLineChars="200"/>
        <w:rPr>
          <w:rFonts w:hint="eastAsia" w:cs="宋体"/>
          <w:color w:val="auto"/>
          <w:lang w:val="en-US" w:eastAsia="zh-CN"/>
        </w:rPr>
      </w:pPr>
      <w:r>
        <w:rPr>
          <w:rFonts w:hint="eastAsia" w:cs="宋体"/>
          <w:color w:val="auto"/>
          <w:lang w:val="en-US" w:eastAsia="zh-CN"/>
        </w:rPr>
        <w:t>承包人不得与监理人或发包人聘请的第三方串通损害发包人利益。未经发包人书面同意，承包人不得为监理人提供合同约定以外的通讯设备、交通工具及其他任何形式的利益，不得向监理人支付报酬。</w:t>
      </w:r>
    </w:p>
    <w:p>
      <w:pPr>
        <w:pStyle w:val="26"/>
        <w:numPr>
          <w:ilvl w:val="0"/>
          <w:numId w:val="0"/>
        </w:numPr>
        <w:spacing w:before="0" w:beforeAutospacing="0" w:after="0" w:afterAutospacing="0" w:line="360" w:lineRule="auto"/>
        <w:ind w:firstLine="482" w:firstLineChars="200"/>
        <w:rPr>
          <w:rFonts w:hint="eastAsia" w:cs="宋体"/>
          <w:b/>
          <w:bCs/>
          <w:color w:val="auto"/>
          <w:lang w:val="en-US" w:eastAsia="zh-CN"/>
        </w:rPr>
      </w:pPr>
      <w:r>
        <w:rPr>
          <w:rFonts w:hint="eastAsia" w:cs="宋体"/>
          <w:b/>
          <w:bCs/>
          <w:color w:val="auto"/>
          <w:lang w:val="en-US" w:eastAsia="zh-CN"/>
        </w:rPr>
        <w:t>1.9化石、文物</w:t>
      </w:r>
    </w:p>
    <w:p>
      <w:pPr>
        <w:pStyle w:val="26"/>
        <w:numPr>
          <w:ilvl w:val="0"/>
          <w:numId w:val="0"/>
        </w:numPr>
        <w:spacing w:before="0" w:beforeAutospacing="0" w:after="0" w:afterAutospacing="0" w:line="360" w:lineRule="auto"/>
        <w:ind w:firstLine="480" w:firstLineChars="200"/>
        <w:rPr>
          <w:rFonts w:hint="eastAsia" w:cs="宋体"/>
          <w:color w:val="auto"/>
          <w:lang w:val="en-US" w:eastAsia="zh-CN"/>
        </w:rPr>
      </w:pPr>
      <w:r>
        <w:rPr>
          <w:rFonts w:hint="eastAsia" w:cs="宋体"/>
          <w:color w:val="auto"/>
          <w:lang w:val="en-US" w:eastAsia="zh-CN"/>
        </w:rPr>
        <w:t>在施工现场发掘的所有文物、古迹以及具有地质研究或考古价值的其他遗迹、化石、钱币或物品属于国家所有。一旦发现上述文物，承包人应采取合理有效的保护措施，防止任何人员移动或损坏上述物品，并立即报告有关政府行政管理部门，同时通知监理人。</w:t>
      </w:r>
    </w:p>
    <w:p>
      <w:pPr>
        <w:pStyle w:val="26"/>
        <w:numPr>
          <w:ilvl w:val="0"/>
          <w:numId w:val="0"/>
        </w:numPr>
        <w:spacing w:before="0" w:beforeAutospacing="0" w:after="0" w:afterAutospacing="0" w:line="360" w:lineRule="auto"/>
        <w:ind w:firstLine="480" w:firstLineChars="200"/>
        <w:rPr>
          <w:rFonts w:hint="eastAsia" w:cs="宋体"/>
          <w:color w:val="auto"/>
          <w:lang w:val="en-US" w:eastAsia="zh-CN"/>
        </w:rPr>
      </w:pPr>
      <w:r>
        <w:rPr>
          <w:rFonts w:hint="eastAsia" w:cs="宋体"/>
          <w:color w:val="auto"/>
          <w:lang w:val="en-US" w:eastAsia="zh-CN"/>
        </w:rPr>
        <w:t>发包人、监理人和承包人应按有关政府行政管理部门要求采取妥善的保护措施，由此增加的费用和(或)延误的工期由发包人承担。</w:t>
      </w:r>
    </w:p>
    <w:p>
      <w:pPr>
        <w:pStyle w:val="26"/>
        <w:numPr>
          <w:ilvl w:val="0"/>
          <w:numId w:val="0"/>
        </w:numPr>
        <w:spacing w:before="0" w:beforeAutospacing="0" w:after="0" w:afterAutospacing="0" w:line="360" w:lineRule="auto"/>
        <w:ind w:firstLine="480" w:firstLineChars="200"/>
        <w:rPr>
          <w:rFonts w:hint="eastAsia" w:cs="宋体"/>
          <w:color w:val="auto"/>
          <w:lang w:val="en-US" w:eastAsia="zh-CN"/>
        </w:rPr>
      </w:pPr>
      <w:r>
        <w:rPr>
          <w:rFonts w:hint="eastAsia" w:cs="宋体"/>
          <w:color w:val="auto"/>
          <w:lang w:val="en-US" w:eastAsia="zh-CN"/>
        </w:rPr>
        <w:t>承包人发现文物后不及时报告或隐瞒不报，致使文物丢失或损坏的，应赔偿损失，并承担相应的法律责任。</w:t>
      </w:r>
    </w:p>
    <w:p>
      <w:pPr>
        <w:pStyle w:val="26"/>
        <w:numPr>
          <w:ilvl w:val="0"/>
          <w:numId w:val="0"/>
        </w:numPr>
        <w:spacing w:before="0" w:beforeAutospacing="0" w:after="0" w:afterAutospacing="0" w:line="360" w:lineRule="auto"/>
        <w:ind w:firstLine="482" w:firstLineChars="200"/>
        <w:rPr>
          <w:rFonts w:hint="eastAsia" w:cs="宋体"/>
          <w:b/>
          <w:bCs/>
          <w:color w:val="auto"/>
          <w:lang w:val="en-US" w:eastAsia="zh-CN"/>
        </w:rPr>
      </w:pPr>
      <w:r>
        <w:rPr>
          <w:rFonts w:hint="eastAsia" w:cs="宋体"/>
          <w:b/>
          <w:bCs/>
          <w:color w:val="auto"/>
          <w:lang w:val="en-US" w:eastAsia="zh-CN"/>
        </w:rPr>
        <w:t>1.10交通运输</w:t>
      </w:r>
    </w:p>
    <w:p>
      <w:pPr>
        <w:pStyle w:val="26"/>
        <w:numPr>
          <w:ilvl w:val="0"/>
          <w:numId w:val="0"/>
        </w:numPr>
        <w:spacing w:before="0" w:beforeAutospacing="0" w:after="0" w:afterAutospacing="0" w:line="360" w:lineRule="auto"/>
        <w:ind w:firstLine="480" w:firstLineChars="200"/>
        <w:rPr>
          <w:rFonts w:hint="eastAsia" w:cs="宋体"/>
          <w:color w:val="auto"/>
          <w:lang w:val="en-US" w:eastAsia="zh-CN"/>
        </w:rPr>
      </w:pPr>
      <w:r>
        <w:rPr>
          <w:rFonts w:hint="eastAsia" w:cs="宋体"/>
          <w:color w:val="auto"/>
          <w:lang w:val="en-US" w:eastAsia="zh-CN"/>
        </w:rPr>
        <w:t>1.10.1出入现场的权利</w:t>
      </w:r>
    </w:p>
    <w:p>
      <w:pPr>
        <w:pStyle w:val="26"/>
        <w:numPr>
          <w:ilvl w:val="0"/>
          <w:numId w:val="0"/>
        </w:numPr>
        <w:spacing w:before="0" w:beforeAutospacing="0" w:after="0" w:afterAutospacing="0" w:line="360" w:lineRule="auto"/>
        <w:ind w:firstLine="480" w:firstLineChars="200"/>
        <w:rPr>
          <w:rFonts w:hint="eastAsia" w:cs="宋体"/>
          <w:color w:val="auto"/>
          <w:lang w:val="en-US" w:eastAsia="zh-CN"/>
        </w:rPr>
      </w:pPr>
      <w:r>
        <w:rPr>
          <w:rFonts w:hint="eastAsia" w:cs="宋体"/>
          <w:color w:val="auto"/>
          <w:lang w:val="en-US" w:eastAsia="zh-CN"/>
        </w:rPr>
        <w:t>除专用合同条款另有约定外，发包人应根据施工需要，负责取得出入施工现场所需的批准手续和全部权利，以及取得因施工所需修建道路、桥梁以及其他基础设施的权利，并承担相关手续费用和建设费用。承包人应协助发包人办理修建场内外道路、桥梁以及其他基础设施的手续。</w:t>
      </w:r>
    </w:p>
    <w:p>
      <w:pPr>
        <w:pStyle w:val="26"/>
        <w:numPr>
          <w:ilvl w:val="0"/>
          <w:numId w:val="0"/>
        </w:numPr>
        <w:spacing w:before="0" w:beforeAutospacing="0" w:after="0" w:afterAutospacing="0" w:line="360" w:lineRule="auto"/>
        <w:ind w:firstLine="480" w:firstLineChars="200"/>
        <w:rPr>
          <w:rFonts w:hint="eastAsia" w:cs="宋体"/>
          <w:color w:val="auto"/>
          <w:lang w:val="en-US" w:eastAsia="zh-CN"/>
        </w:rPr>
      </w:pPr>
      <w:r>
        <w:rPr>
          <w:rFonts w:hint="eastAsia" w:cs="宋体"/>
          <w:color w:val="auto"/>
          <w:lang w:val="en-US" w:eastAsia="zh-CN"/>
        </w:rPr>
        <w:t>承包人应在订立合同前查勘施工现场，并根据工程规模及技术参数合理预见工程施工所需的进出施工现场的方式、手段、路径等。因承包人未合理预见所增加的费用和(或)延误的工期由承包人承担。</w:t>
      </w:r>
    </w:p>
    <w:p>
      <w:pPr>
        <w:pStyle w:val="26"/>
        <w:numPr>
          <w:ilvl w:val="0"/>
          <w:numId w:val="0"/>
        </w:numPr>
        <w:spacing w:before="0" w:beforeAutospacing="0" w:after="0" w:afterAutospacing="0" w:line="360" w:lineRule="auto"/>
        <w:ind w:firstLine="480" w:firstLineChars="200"/>
        <w:rPr>
          <w:rFonts w:hint="eastAsia" w:cs="宋体"/>
          <w:color w:val="auto"/>
          <w:lang w:val="en-US" w:eastAsia="zh-CN"/>
        </w:rPr>
      </w:pPr>
      <w:r>
        <w:rPr>
          <w:rFonts w:hint="eastAsia" w:cs="宋体"/>
          <w:color w:val="auto"/>
          <w:lang w:val="en-US" w:eastAsia="zh-CN"/>
        </w:rPr>
        <w:t>1.10.2场外交通</w:t>
      </w:r>
    </w:p>
    <w:p>
      <w:pPr>
        <w:pStyle w:val="26"/>
        <w:numPr>
          <w:ilvl w:val="0"/>
          <w:numId w:val="0"/>
        </w:numPr>
        <w:spacing w:before="0" w:beforeAutospacing="0" w:after="0" w:afterAutospacing="0" w:line="360" w:lineRule="auto"/>
        <w:ind w:firstLine="480" w:firstLineChars="200"/>
        <w:rPr>
          <w:rFonts w:hint="eastAsia" w:cs="宋体"/>
          <w:color w:val="auto"/>
          <w:lang w:val="en-US" w:eastAsia="zh-CN"/>
        </w:rPr>
      </w:pPr>
      <w:r>
        <w:rPr>
          <w:rFonts w:hint="eastAsia" w:cs="宋体"/>
          <w:color w:val="auto"/>
          <w:lang w:val="en-US" w:eastAsia="zh-CN"/>
        </w:rPr>
        <w:t>发包人应提供场外交通设施的技术参数和具体条件，承包人应遵守有关交通法</w:t>
      </w:r>
    </w:p>
    <w:p>
      <w:pPr>
        <w:pStyle w:val="26"/>
        <w:numPr>
          <w:ilvl w:val="0"/>
          <w:numId w:val="0"/>
        </w:numPr>
        <w:spacing w:before="0" w:beforeAutospacing="0" w:after="0" w:afterAutospacing="0" w:line="360" w:lineRule="auto"/>
        <w:ind w:firstLine="480" w:firstLineChars="200"/>
        <w:rPr>
          <w:rFonts w:hint="eastAsia" w:cs="宋体"/>
          <w:color w:val="auto"/>
          <w:lang w:val="en-US" w:eastAsia="zh-CN"/>
        </w:rPr>
      </w:pPr>
      <w:r>
        <w:rPr>
          <w:rFonts w:hint="eastAsia" w:cs="宋体"/>
          <w:color w:val="auto"/>
          <w:lang w:val="en-US" w:eastAsia="zh-CN"/>
        </w:rPr>
        <w:t>规，严格按照道路和桥梁的限制荷载行驶，执行有关道路限速、限行、禁止超载的规定，并配合交通管理部门的监督和检查。场外交通设施无法满足工程施工需要的，由发包人负责完善并承担相关费用。</w:t>
      </w:r>
    </w:p>
    <w:p>
      <w:pPr>
        <w:pStyle w:val="26"/>
        <w:numPr>
          <w:ilvl w:val="0"/>
          <w:numId w:val="0"/>
        </w:numPr>
        <w:spacing w:before="0" w:beforeAutospacing="0" w:after="0" w:afterAutospacing="0" w:line="360" w:lineRule="auto"/>
        <w:ind w:firstLine="480" w:firstLineChars="200"/>
        <w:rPr>
          <w:rFonts w:hint="eastAsia" w:cs="宋体"/>
          <w:color w:val="auto"/>
          <w:lang w:val="en-US" w:eastAsia="zh-CN"/>
        </w:rPr>
      </w:pPr>
      <w:r>
        <w:rPr>
          <w:rFonts w:hint="eastAsia" w:cs="宋体"/>
          <w:color w:val="auto"/>
          <w:lang w:val="en-US" w:eastAsia="zh-CN"/>
        </w:rPr>
        <w:t>1.10.3场内交通</w:t>
      </w:r>
    </w:p>
    <w:p>
      <w:pPr>
        <w:pStyle w:val="26"/>
        <w:numPr>
          <w:ilvl w:val="0"/>
          <w:numId w:val="0"/>
        </w:numPr>
        <w:spacing w:before="0" w:beforeAutospacing="0" w:after="0" w:afterAutospacing="0" w:line="360" w:lineRule="auto"/>
        <w:ind w:firstLine="480" w:firstLineChars="200"/>
        <w:rPr>
          <w:rFonts w:hint="eastAsia" w:cs="宋体"/>
          <w:color w:val="auto"/>
          <w:lang w:val="en-US" w:eastAsia="zh-CN"/>
        </w:rPr>
      </w:pPr>
      <w:r>
        <w:rPr>
          <w:rFonts w:hint="eastAsia" w:cs="宋体"/>
          <w:color w:val="auto"/>
          <w:lang w:val="en-US" w:eastAsia="zh-CN"/>
        </w:rPr>
        <w:t>发包人应提供场内交通设施的技术参数和具体条件，并应按照专用合同条款的约定向承包人免费提供满足工程施工所需的场内道路和交通设施。因承包人原因造成上述道路或交通设施损坏的，承包人负责修复并承担由此增加的费用。</w:t>
      </w:r>
    </w:p>
    <w:p>
      <w:pPr>
        <w:pStyle w:val="26"/>
        <w:numPr>
          <w:ilvl w:val="0"/>
          <w:numId w:val="0"/>
        </w:numPr>
        <w:spacing w:before="0" w:beforeAutospacing="0" w:after="0" w:afterAutospacing="0" w:line="360" w:lineRule="auto"/>
        <w:ind w:firstLine="480" w:firstLineChars="200"/>
        <w:rPr>
          <w:rFonts w:hint="eastAsia" w:cs="宋体"/>
          <w:color w:val="auto"/>
          <w:lang w:val="en-US" w:eastAsia="zh-CN"/>
        </w:rPr>
      </w:pPr>
      <w:r>
        <w:rPr>
          <w:rFonts w:hint="eastAsia" w:cs="宋体"/>
          <w:color w:val="auto"/>
          <w:lang w:val="en-US" w:eastAsia="zh-CN"/>
        </w:rPr>
        <w:t>除发包人按照合同约定提供的场内道路和交通设施外，承包人负责修建、维修、养护和管理施工所需的其他场内临时道路和交通设施。发包人和监理人可以为实现合同目的使用承包人修建的场内临时道路和交通设施。</w:t>
      </w:r>
    </w:p>
    <w:p>
      <w:pPr>
        <w:pStyle w:val="26"/>
        <w:numPr>
          <w:ilvl w:val="0"/>
          <w:numId w:val="0"/>
        </w:numPr>
        <w:spacing w:before="0" w:beforeAutospacing="0" w:after="0" w:afterAutospacing="0" w:line="360" w:lineRule="auto"/>
        <w:ind w:firstLine="480" w:firstLineChars="200"/>
        <w:rPr>
          <w:rFonts w:hint="eastAsia" w:cs="宋体"/>
          <w:color w:val="auto"/>
          <w:lang w:val="en-US" w:eastAsia="zh-CN"/>
        </w:rPr>
      </w:pPr>
      <w:r>
        <w:rPr>
          <w:rFonts w:hint="eastAsia" w:cs="宋体"/>
          <w:color w:val="auto"/>
          <w:lang w:val="en-US" w:eastAsia="zh-CN"/>
        </w:rPr>
        <w:t>场外交通和场内交通的边界由合同当事人在专用合同条款中约定。</w:t>
      </w:r>
    </w:p>
    <w:p>
      <w:pPr>
        <w:pStyle w:val="26"/>
        <w:numPr>
          <w:ilvl w:val="0"/>
          <w:numId w:val="0"/>
        </w:numPr>
        <w:spacing w:before="0" w:beforeAutospacing="0" w:after="0" w:afterAutospacing="0" w:line="360" w:lineRule="auto"/>
        <w:ind w:firstLine="480" w:firstLineChars="200"/>
        <w:rPr>
          <w:rFonts w:hint="eastAsia" w:cs="宋体"/>
          <w:color w:val="auto"/>
          <w:lang w:val="en-US" w:eastAsia="zh-CN"/>
        </w:rPr>
      </w:pPr>
      <w:r>
        <w:rPr>
          <w:rFonts w:hint="eastAsia" w:cs="宋体"/>
          <w:color w:val="auto"/>
          <w:lang w:val="en-US" w:eastAsia="zh-CN"/>
        </w:rPr>
        <w:t>1.10.4超大件和超重件的运输</w:t>
      </w:r>
    </w:p>
    <w:p>
      <w:pPr>
        <w:pStyle w:val="26"/>
        <w:numPr>
          <w:ilvl w:val="0"/>
          <w:numId w:val="0"/>
        </w:numPr>
        <w:spacing w:before="0" w:beforeAutospacing="0" w:after="0" w:afterAutospacing="0" w:line="360" w:lineRule="auto"/>
        <w:ind w:firstLine="480" w:firstLineChars="200"/>
        <w:rPr>
          <w:rFonts w:hint="eastAsia" w:cs="宋体"/>
          <w:color w:val="auto"/>
          <w:lang w:val="en-US" w:eastAsia="zh-CN"/>
        </w:rPr>
      </w:pPr>
      <w:r>
        <w:rPr>
          <w:rFonts w:hint="eastAsia" w:cs="宋体"/>
          <w:color w:val="auto"/>
          <w:lang w:val="en-US" w:eastAsia="zh-CN"/>
        </w:rPr>
        <w:t>由承包人负责运输的超大件或超重件，应由承包人负责向交通管理部门办理申请手续，发包人给予协助。运输超大件或超重件所需的道路和桥梁临时加固改造费用和其他有关费用，由承包人承担，但专用合同条款另有约定除外。</w:t>
      </w:r>
    </w:p>
    <w:p>
      <w:pPr>
        <w:pStyle w:val="26"/>
        <w:numPr>
          <w:ilvl w:val="0"/>
          <w:numId w:val="0"/>
        </w:numPr>
        <w:spacing w:before="0" w:beforeAutospacing="0" w:after="0" w:afterAutospacing="0" w:line="360" w:lineRule="auto"/>
        <w:ind w:firstLine="482" w:firstLineChars="200"/>
        <w:rPr>
          <w:rFonts w:hint="eastAsia" w:cs="宋体"/>
          <w:b/>
          <w:bCs/>
          <w:color w:val="auto"/>
          <w:lang w:val="en-US" w:eastAsia="zh-CN"/>
        </w:rPr>
      </w:pPr>
      <w:r>
        <w:rPr>
          <w:rFonts w:hint="eastAsia" w:cs="宋体"/>
          <w:b/>
          <w:bCs/>
          <w:color w:val="auto"/>
          <w:lang w:val="en-US" w:eastAsia="zh-CN"/>
        </w:rPr>
        <w:t>1.11知识产权</w:t>
      </w:r>
    </w:p>
    <w:p>
      <w:pPr>
        <w:pStyle w:val="26"/>
        <w:numPr>
          <w:ilvl w:val="0"/>
          <w:numId w:val="0"/>
        </w:numPr>
        <w:spacing w:before="0" w:beforeAutospacing="0" w:after="0" w:afterAutospacing="0" w:line="360" w:lineRule="auto"/>
        <w:ind w:firstLine="480" w:firstLineChars="200"/>
        <w:rPr>
          <w:rFonts w:hint="eastAsia" w:cs="宋体"/>
          <w:color w:val="auto"/>
          <w:lang w:val="en-US" w:eastAsia="zh-CN"/>
        </w:rPr>
      </w:pPr>
      <w:r>
        <w:rPr>
          <w:rFonts w:hint="eastAsia" w:cs="宋体"/>
          <w:color w:val="auto"/>
          <w:lang w:val="en-US" w:eastAsia="zh-CN"/>
        </w:rPr>
        <w:t>1.11.1除专用合同条款另有约定外，发包人提供给承包人的图纸、发包人为实施工程自行编制或委托编制的技术规范以及反映发包人要求的或其他类似性质的文件的著作权属于发包人，承包人可以为实现合同目的而复制、使用此类文件，但不能用于与合同无关的其他事项。未经发包人书面同意，承包人不得为了合同以外的目的而复制、使用上述文件或将之提供给任何第三方。</w:t>
      </w:r>
    </w:p>
    <w:p>
      <w:pPr>
        <w:pStyle w:val="26"/>
        <w:numPr>
          <w:ilvl w:val="0"/>
          <w:numId w:val="0"/>
        </w:numPr>
        <w:spacing w:before="0" w:beforeAutospacing="0" w:after="0" w:afterAutospacing="0" w:line="360" w:lineRule="auto"/>
        <w:ind w:firstLine="480" w:firstLineChars="200"/>
        <w:rPr>
          <w:rFonts w:hint="eastAsia" w:cs="宋体"/>
          <w:color w:val="auto"/>
          <w:lang w:val="en-US" w:eastAsia="zh-CN"/>
        </w:rPr>
      </w:pPr>
      <w:r>
        <w:rPr>
          <w:rFonts w:hint="eastAsia" w:cs="宋体"/>
          <w:color w:val="auto"/>
          <w:lang w:val="en-US" w:eastAsia="zh-CN"/>
        </w:rPr>
        <w:t>1.11.2除专用合同条款另有约定外，承包人为实施工程所编制的文件，除署名权以外的著作权属于发包人，承包人可因实施工程的运行、调试、维修、改造等目的而复制、使用此类文件，但不能用于与合同无关的其他事项。未经发包人书面同意，承包人不得为了合同以外的目的而复制、使用上述文件或将之提供给任何第三方。</w:t>
      </w:r>
    </w:p>
    <w:p>
      <w:pPr>
        <w:pStyle w:val="26"/>
        <w:numPr>
          <w:ilvl w:val="0"/>
          <w:numId w:val="0"/>
        </w:numPr>
        <w:spacing w:before="0" w:beforeAutospacing="0" w:after="0" w:afterAutospacing="0" w:line="360" w:lineRule="auto"/>
        <w:ind w:firstLine="480" w:firstLineChars="200"/>
        <w:rPr>
          <w:rFonts w:hint="eastAsia" w:cs="宋体"/>
          <w:color w:val="auto"/>
          <w:lang w:val="en-US" w:eastAsia="zh-CN"/>
        </w:rPr>
      </w:pPr>
      <w:r>
        <w:rPr>
          <w:rFonts w:hint="eastAsia" w:cs="宋体"/>
          <w:color w:val="auto"/>
          <w:lang w:val="en-US" w:eastAsia="zh-CN"/>
        </w:rPr>
        <w:t>1.11.3合同当事人保证在履行合同过程中不侵犯对方及第三方的知识产权。承包人在使用材料、施工设备、工程设备或采用施工工艺时，因侵犯他人的专利权或其他知识产权所引起的责任，由承包人承担；因发包人提供的材料、施工设备、工程设备或施工工艺导致侵权的，由发包人承担责任。</w:t>
      </w:r>
    </w:p>
    <w:p>
      <w:pPr>
        <w:pStyle w:val="26"/>
        <w:numPr>
          <w:ilvl w:val="0"/>
          <w:numId w:val="0"/>
        </w:numPr>
        <w:spacing w:before="0" w:beforeAutospacing="0" w:after="0" w:afterAutospacing="0" w:line="360" w:lineRule="auto"/>
        <w:ind w:firstLine="480" w:firstLineChars="200"/>
        <w:rPr>
          <w:rFonts w:hint="eastAsia" w:cs="宋体"/>
          <w:color w:val="auto"/>
          <w:lang w:val="en-US" w:eastAsia="zh-CN"/>
        </w:rPr>
      </w:pPr>
      <w:r>
        <w:rPr>
          <w:rFonts w:hint="eastAsia" w:cs="宋体"/>
          <w:color w:val="auto"/>
          <w:lang w:val="en-US" w:eastAsia="zh-CN"/>
        </w:rPr>
        <w:t>1.11.4除专用合同条款另有约定外，承包人在合同签订前和签订时已确定采用的专利、专有技术、技术秘密的使用费已包含在签约合同价中。</w:t>
      </w:r>
    </w:p>
    <w:p>
      <w:pPr>
        <w:pStyle w:val="26"/>
        <w:numPr>
          <w:ilvl w:val="0"/>
          <w:numId w:val="0"/>
        </w:numPr>
        <w:spacing w:before="0" w:beforeAutospacing="0" w:after="0" w:afterAutospacing="0" w:line="360" w:lineRule="auto"/>
        <w:ind w:firstLine="482" w:firstLineChars="200"/>
        <w:rPr>
          <w:rFonts w:hint="eastAsia" w:cs="宋体"/>
          <w:b/>
          <w:bCs/>
          <w:color w:val="auto"/>
          <w:lang w:val="en-US" w:eastAsia="zh-CN"/>
        </w:rPr>
      </w:pPr>
      <w:r>
        <w:rPr>
          <w:rFonts w:hint="eastAsia" w:cs="宋体"/>
          <w:b/>
          <w:bCs/>
          <w:color w:val="auto"/>
          <w:lang w:val="en-US" w:eastAsia="zh-CN"/>
        </w:rPr>
        <w:t>1.12保密</w:t>
      </w:r>
    </w:p>
    <w:p>
      <w:pPr>
        <w:pStyle w:val="26"/>
        <w:numPr>
          <w:ilvl w:val="0"/>
          <w:numId w:val="0"/>
        </w:numPr>
        <w:spacing w:before="0" w:beforeAutospacing="0" w:after="0" w:afterAutospacing="0" w:line="360" w:lineRule="auto"/>
        <w:ind w:firstLine="480" w:firstLineChars="200"/>
        <w:rPr>
          <w:rFonts w:hint="eastAsia" w:cs="宋体"/>
          <w:color w:val="auto"/>
          <w:lang w:val="en-US" w:eastAsia="zh-CN"/>
        </w:rPr>
      </w:pPr>
      <w:r>
        <w:rPr>
          <w:rFonts w:hint="eastAsia" w:cs="宋体"/>
          <w:color w:val="auto"/>
          <w:lang w:val="en-US" w:eastAsia="zh-CN"/>
        </w:rPr>
        <w:t>除法律规定或合同另有约定外，未经发包人同意，承包人不得将发包人提供的图纸、文件以及声明需要保密的资料信息等商业秘密泄露给第三方。</w:t>
      </w:r>
    </w:p>
    <w:p>
      <w:pPr>
        <w:pStyle w:val="26"/>
        <w:numPr>
          <w:ilvl w:val="0"/>
          <w:numId w:val="0"/>
        </w:numPr>
        <w:spacing w:before="0" w:beforeAutospacing="0" w:after="0" w:afterAutospacing="0" w:line="360" w:lineRule="auto"/>
        <w:ind w:firstLine="480" w:firstLineChars="200"/>
        <w:rPr>
          <w:rFonts w:hint="eastAsia" w:cs="宋体"/>
          <w:color w:val="auto"/>
          <w:lang w:val="en-US" w:eastAsia="zh-CN"/>
        </w:rPr>
      </w:pPr>
      <w:r>
        <w:rPr>
          <w:rFonts w:hint="eastAsia" w:cs="宋体"/>
          <w:color w:val="auto"/>
          <w:lang w:val="en-US" w:eastAsia="zh-CN"/>
        </w:rPr>
        <w:t>除法律规定或合同另有约定外，未经承包人同意，发包人不得将承包人提供的技术秘密及声明需要保密的资料信息等商业秘密泄露给第三方。</w:t>
      </w:r>
    </w:p>
    <w:p>
      <w:pPr>
        <w:pStyle w:val="26"/>
        <w:numPr>
          <w:ilvl w:val="0"/>
          <w:numId w:val="0"/>
        </w:numPr>
        <w:spacing w:before="0" w:beforeAutospacing="0" w:after="0" w:afterAutospacing="0" w:line="360" w:lineRule="auto"/>
        <w:ind w:firstLine="480" w:firstLineChars="200"/>
        <w:rPr>
          <w:rFonts w:hint="eastAsia" w:cs="宋体"/>
          <w:color w:val="auto"/>
          <w:lang w:val="en-US" w:eastAsia="zh-CN"/>
        </w:rPr>
      </w:pPr>
      <w:r>
        <w:rPr>
          <w:rFonts w:hint="eastAsia" w:cs="宋体"/>
          <w:color w:val="auto"/>
          <w:lang w:val="en-US" w:eastAsia="zh-CN"/>
        </w:rPr>
        <w:t>1.13工程量清单错误的修正</w:t>
      </w:r>
    </w:p>
    <w:p>
      <w:pPr>
        <w:pStyle w:val="26"/>
        <w:numPr>
          <w:ilvl w:val="0"/>
          <w:numId w:val="0"/>
        </w:numPr>
        <w:spacing w:before="0" w:beforeAutospacing="0" w:after="0" w:afterAutospacing="0" w:line="360" w:lineRule="auto"/>
        <w:ind w:firstLine="480" w:firstLineChars="200"/>
        <w:rPr>
          <w:rFonts w:hint="eastAsia" w:cs="宋体"/>
          <w:color w:val="auto"/>
          <w:lang w:val="en-US" w:eastAsia="zh-CN"/>
        </w:rPr>
      </w:pPr>
      <w:r>
        <w:rPr>
          <w:rFonts w:hint="eastAsia" w:cs="宋体"/>
          <w:color w:val="auto"/>
          <w:lang w:val="en-US" w:eastAsia="zh-CN"/>
        </w:rPr>
        <w:t>除专用合同条款另有约定外，发包人提供的工程量清单，应被认为是准确的和完整的。出现下列情形之一时，发包人应予以修正，并相应调整合同价格：</w:t>
      </w:r>
    </w:p>
    <w:p>
      <w:pPr>
        <w:pStyle w:val="26"/>
        <w:numPr>
          <w:ilvl w:val="0"/>
          <w:numId w:val="0"/>
        </w:numPr>
        <w:spacing w:before="0" w:beforeAutospacing="0" w:after="0" w:afterAutospacing="0" w:line="360" w:lineRule="auto"/>
        <w:ind w:firstLine="480" w:firstLineChars="200"/>
        <w:rPr>
          <w:rFonts w:hint="eastAsia" w:cs="宋体"/>
          <w:color w:val="auto"/>
          <w:lang w:val="en-US" w:eastAsia="zh-CN"/>
        </w:rPr>
      </w:pPr>
      <w:r>
        <w:rPr>
          <w:rFonts w:hint="eastAsia" w:cs="宋体"/>
          <w:color w:val="auto"/>
          <w:lang w:val="en-US" w:eastAsia="zh-CN"/>
        </w:rPr>
        <w:t>(1)工程量清单存在缺项、漏项的；</w:t>
      </w:r>
    </w:p>
    <w:p>
      <w:pPr>
        <w:pStyle w:val="26"/>
        <w:numPr>
          <w:ilvl w:val="0"/>
          <w:numId w:val="0"/>
        </w:numPr>
        <w:spacing w:before="0" w:beforeAutospacing="0" w:after="0" w:afterAutospacing="0" w:line="360" w:lineRule="auto"/>
        <w:ind w:firstLine="480" w:firstLineChars="200"/>
        <w:rPr>
          <w:rFonts w:hint="eastAsia" w:cs="宋体"/>
          <w:color w:val="auto"/>
          <w:lang w:val="en-US" w:eastAsia="zh-CN"/>
        </w:rPr>
      </w:pPr>
      <w:r>
        <w:rPr>
          <w:rFonts w:hint="eastAsia" w:cs="宋体"/>
          <w:color w:val="auto"/>
          <w:lang w:val="en-US" w:eastAsia="zh-CN"/>
        </w:rPr>
        <w:t>(2)工程量清单偏差超出专用合同条款约定的工程量偏差范围的；</w:t>
      </w:r>
    </w:p>
    <w:p>
      <w:pPr>
        <w:pStyle w:val="26"/>
        <w:numPr>
          <w:ilvl w:val="0"/>
          <w:numId w:val="0"/>
        </w:numPr>
        <w:spacing w:before="0" w:beforeAutospacing="0" w:after="0" w:afterAutospacing="0" w:line="360" w:lineRule="auto"/>
        <w:ind w:firstLine="480" w:firstLineChars="200"/>
        <w:rPr>
          <w:rFonts w:hint="eastAsia" w:cs="宋体"/>
          <w:color w:val="auto"/>
          <w:lang w:val="en-US" w:eastAsia="zh-CN"/>
        </w:rPr>
      </w:pPr>
      <w:r>
        <w:rPr>
          <w:rFonts w:hint="eastAsia" w:cs="宋体"/>
          <w:color w:val="auto"/>
          <w:lang w:val="en-US" w:eastAsia="zh-CN"/>
        </w:rPr>
        <w:t>(3)未按照国家现行计量规范强制性规定计量的。</w:t>
      </w:r>
    </w:p>
    <w:p>
      <w:pPr>
        <w:pStyle w:val="26"/>
        <w:numPr>
          <w:ilvl w:val="0"/>
          <w:numId w:val="0"/>
        </w:numPr>
        <w:spacing w:before="0" w:beforeAutospacing="0" w:after="0" w:afterAutospacing="0" w:line="360" w:lineRule="auto"/>
        <w:ind w:firstLine="482" w:firstLineChars="200"/>
        <w:rPr>
          <w:rFonts w:hint="eastAsia" w:cs="宋体"/>
          <w:b/>
          <w:bCs/>
          <w:color w:val="auto"/>
          <w:lang w:val="en-US" w:eastAsia="zh-CN"/>
        </w:rPr>
      </w:pPr>
      <w:r>
        <w:rPr>
          <w:rFonts w:hint="eastAsia" w:cs="宋体"/>
          <w:b/>
          <w:bCs/>
          <w:color w:val="auto"/>
          <w:lang w:val="en-US" w:eastAsia="zh-CN"/>
        </w:rPr>
        <w:t>2.发包人</w:t>
      </w:r>
    </w:p>
    <w:p>
      <w:pPr>
        <w:pStyle w:val="26"/>
        <w:numPr>
          <w:ilvl w:val="0"/>
          <w:numId w:val="0"/>
        </w:numPr>
        <w:spacing w:before="0" w:beforeAutospacing="0" w:after="0" w:afterAutospacing="0" w:line="360" w:lineRule="auto"/>
        <w:ind w:firstLine="482" w:firstLineChars="200"/>
        <w:rPr>
          <w:rFonts w:hint="eastAsia" w:cs="宋体"/>
          <w:b/>
          <w:bCs/>
          <w:color w:val="auto"/>
          <w:lang w:val="en-US" w:eastAsia="zh-CN"/>
        </w:rPr>
      </w:pPr>
      <w:r>
        <w:rPr>
          <w:rFonts w:hint="eastAsia" w:cs="宋体"/>
          <w:b/>
          <w:bCs/>
          <w:color w:val="auto"/>
          <w:lang w:val="en-US" w:eastAsia="zh-CN"/>
        </w:rPr>
        <w:t>2.1许可或批准</w:t>
      </w:r>
    </w:p>
    <w:p>
      <w:pPr>
        <w:pStyle w:val="26"/>
        <w:numPr>
          <w:ilvl w:val="0"/>
          <w:numId w:val="0"/>
        </w:numPr>
        <w:spacing w:before="0" w:beforeAutospacing="0" w:after="0" w:afterAutospacing="0" w:line="360" w:lineRule="auto"/>
        <w:ind w:firstLine="480" w:firstLineChars="200"/>
        <w:rPr>
          <w:rFonts w:hint="eastAsia" w:cs="宋体"/>
          <w:color w:val="auto"/>
          <w:lang w:val="en-US" w:eastAsia="zh-CN"/>
        </w:rPr>
      </w:pPr>
      <w:r>
        <w:rPr>
          <w:rFonts w:hint="eastAsia" w:cs="宋体"/>
          <w:color w:val="auto"/>
          <w:lang w:val="en-US" w:eastAsia="zh-CN"/>
        </w:rPr>
        <w:t>发包人应遵守法律，并办理法律规定由其办理的许可、批准或备案，包括但不限于建设用地规划许可证、建设工程规划许可证、建设工程施工许可证、施工所需临时用水、临时用电、中断道路交通、临时占用土地等许可和批准。发包人应协助承包人办理法律规定的有关施工证件和批件。</w:t>
      </w:r>
    </w:p>
    <w:p>
      <w:pPr>
        <w:pStyle w:val="26"/>
        <w:numPr>
          <w:ilvl w:val="0"/>
          <w:numId w:val="0"/>
        </w:numPr>
        <w:spacing w:before="0" w:beforeAutospacing="0" w:after="0" w:afterAutospacing="0" w:line="360" w:lineRule="auto"/>
        <w:ind w:firstLine="480" w:firstLineChars="200"/>
        <w:rPr>
          <w:rFonts w:hint="eastAsia" w:cs="宋体"/>
          <w:color w:val="auto"/>
          <w:lang w:val="en-US" w:eastAsia="zh-CN"/>
        </w:rPr>
      </w:pPr>
      <w:r>
        <w:rPr>
          <w:rFonts w:hint="eastAsia" w:cs="宋体"/>
          <w:color w:val="auto"/>
          <w:lang w:val="en-US" w:eastAsia="zh-CN"/>
        </w:rPr>
        <w:t>因发包人原因未能及时办理完毕前述许可、批准或备案，由发包人承担由此增加</w:t>
      </w:r>
    </w:p>
    <w:p>
      <w:pPr>
        <w:pStyle w:val="26"/>
        <w:numPr>
          <w:ilvl w:val="0"/>
          <w:numId w:val="0"/>
        </w:numPr>
        <w:spacing w:before="0" w:beforeAutospacing="0" w:after="0" w:afterAutospacing="0" w:line="360" w:lineRule="auto"/>
        <w:rPr>
          <w:rFonts w:hint="eastAsia" w:cs="宋体"/>
          <w:color w:val="auto"/>
          <w:lang w:val="en-US" w:eastAsia="zh-CN"/>
        </w:rPr>
      </w:pPr>
      <w:r>
        <w:rPr>
          <w:rFonts w:hint="eastAsia" w:cs="宋体"/>
          <w:color w:val="auto"/>
          <w:lang w:val="en-US" w:eastAsia="zh-CN"/>
        </w:rPr>
        <w:t>的费用和(或)延误的工期，并支付承包人合理的利润。</w:t>
      </w:r>
    </w:p>
    <w:p>
      <w:pPr>
        <w:pStyle w:val="26"/>
        <w:numPr>
          <w:ilvl w:val="0"/>
          <w:numId w:val="0"/>
        </w:numPr>
        <w:spacing w:before="0" w:beforeAutospacing="0" w:after="0" w:afterAutospacing="0" w:line="360" w:lineRule="auto"/>
        <w:ind w:firstLine="482" w:firstLineChars="200"/>
        <w:rPr>
          <w:rFonts w:hint="eastAsia" w:cs="宋体"/>
          <w:b/>
          <w:bCs/>
          <w:color w:val="auto"/>
          <w:lang w:val="en-US" w:eastAsia="zh-CN"/>
        </w:rPr>
      </w:pPr>
      <w:r>
        <w:rPr>
          <w:rFonts w:hint="eastAsia" w:cs="宋体"/>
          <w:b/>
          <w:bCs/>
          <w:color w:val="auto"/>
          <w:lang w:val="en-US" w:eastAsia="zh-CN"/>
        </w:rPr>
        <w:t>2.2发包人代表</w:t>
      </w:r>
    </w:p>
    <w:p>
      <w:pPr>
        <w:pStyle w:val="26"/>
        <w:numPr>
          <w:ilvl w:val="0"/>
          <w:numId w:val="0"/>
        </w:numPr>
        <w:spacing w:before="0" w:beforeAutospacing="0" w:after="0" w:afterAutospacing="0" w:line="360" w:lineRule="auto"/>
        <w:ind w:firstLine="480" w:firstLineChars="200"/>
        <w:rPr>
          <w:rFonts w:hint="eastAsia" w:cs="宋体"/>
          <w:color w:val="auto"/>
          <w:lang w:val="en-US" w:eastAsia="zh-CN"/>
        </w:rPr>
      </w:pPr>
      <w:r>
        <w:rPr>
          <w:rFonts w:hint="eastAsia" w:cs="宋体"/>
          <w:color w:val="auto"/>
          <w:lang w:val="en-US" w:eastAsia="zh-CN"/>
        </w:rPr>
        <w:t>发包人应在专用合同条款中明确其派驻施工现场的发包人代表的姓名、职务、联系方式及授权范围等事项。发包人代表在发包人的授权范围内，负责处理合同履行过程中与发包人有关的具体事宜。发包人代表在授权范围内的行为由发包人承担法律责任。发包人更换发包人代表的，应提前7天书面通知承包人。</w:t>
      </w:r>
    </w:p>
    <w:p>
      <w:pPr>
        <w:pStyle w:val="26"/>
        <w:numPr>
          <w:ilvl w:val="0"/>
          <w:numId w:val="0"/>
        </w:numPr>
        <w:spacing w:before="0" w:beforeAutospacing="0" w:after="0" w:afterAutospacing="0" w:line="360" w:lineRule="auto"/>
        <w:ind w:firstLine="480" w:firstLineChars="200"/>
        <w:rPr>
          <w:rFonts w:hint="eastAsia" w:cs="宋体"/>
          <w:color w:val="auto"/>
          <w:lang w:val="en-US" w:eastAsia="zh-CN"/>
        </w:rPr>
      </w:pPr>
      <w:r>
        <w:rPr>
          <w:rFonts w:hint="eastAsia" w:cs="宋体"/>
          <w:color w:val="auto"/>
          <w:lang w:val="en-US" w:eastAsia="zh-CN"/>
        </w:rPr>
        <w:t>发包人代表不能按照合同约定履行其职责及义务，并导致合同无法继续正常履行的，承包人可以要求发包人撤换发包人代表。</w:t>
      </w:r>
    </w:p>
    <w:p>
      <w:pPr>
        <w:pStyle w:val="26"/>
        <w:numPr>
          <w:ilvl w:val="0"/>
          <w:numId w:val="0"/>
        </w:numPr>
        <w:spacing w:before="0" w:beforeAutospacing="0" w:after="0" w:afterAutospacing="0" w:line="360" w:lineRule="auto"/>
        <w:ind w:firstLine="480" w:firstLineChars="200"/>
        <w:rPr>
          <w:rFonts w:hint="eastAsia" w:cs="宋体"/>
          <w:color w:val="auto"/>
          <w:lang w:val="en-US" w:eastAsia="zh-CN"/>
        </w:rPr>
      </w:pPr>
      <w:r>
        <w:rPr>
          <w:rFonts w:hint="eastAsia" w:cs="宋体"/>
          <w:color w:val="auto"/>
          <w:lang w:val="en-US" w:eastAsia="zh-CN"/>
        </w:rPr>
        <w:t>不属于法定必须监理的工程，监理人的职权可以由发包人代表或发包人指定的其他人员行使。</w:t>
      </w:r>
    </w:p>
    <w:p>
      <w:pPr>
        <w:pStyle w:val="26"/>
        <w:numPr>
          <w:ilvl w:val="0"/>
          <w:numId w:val="0"/>
        </w:numPr>
        <w:spacing w:before="0" w:beforeAutospacing="0" w:after="0" w:afterAutospacing="0" w:line="360" w:lineRule="auto"/>
        <w:ind w:firstLine="482" w:firstLineChars="200"/>
        <w:rPr>
          <w:rFonts w:hint="eastAsia" w:cs="宋体"/>
          <w:b/>
          <w:bCs/>
          <w:color w:val="auto"/>
          <w:lang w:val="en-US" w:eastAsia="zh-CN"/>
        </w:rPr>
      </w:pPr>
      <w:r>
        <w:rPr>
          <w:rFonts w:hint="eastAsia" w:cs="宋体"/>
          <w:b/>
          <w:bCs/>
          <w:color w:val="auto"/>
          <w:lang w:val="en-US" w:eastAsia="zh-CN"/>
        </w:rPr>
        <w:t>2.3发包人人员</w:t>
      </w:r>
    </w:p>
    <w:p>
      <w:pPr>
        <w:pStyle w:val="26"/>
        <w:numPr>
          <w:ilvl w:val="0"/>
          <w:numId w:val="0"/>
        </w:numPr>
        <w:spacing w:before="0" w:beforeAutospacing="0" w:after="0" w:afterAutospacing="0" w:line="360" w:lineRule="auto"/>
        <w:ind w:firstLine="480" w:firstLineChars="200"/>
        <w:rPr>
          <w:rFonts w:hint="eastAsia" w:cs="宋体"/>
          <w:color w:val="auto"/>
          <w:lang w:val="en-US" w:eastAsia="zh-CN"/>
        </w:rPr>
      </w:pPr>
      <w:r>
        <w:rPr>
          <w:rFonts w:hint="eastAsia" w:cs="宋体"/>
          <w:color w:val="auto"/>
          <w:lang w:val="en-US" w:eastAsia="zh-CN"/>
        </w:rPr>
        <w:t>发包人应要求在施工现场的发包人人员遵守法律及有关安全、质量、环境保护、文明施工等规定，并保障承包人免于承受因发包人人员未遵守上述要求给承包人造成的损失和责任。</w:t>
      </w:r>
    </w:p>
    <w:p>
      <w:pPr>
        <w:pStyle w:val="26"/>
        <w:numPr>
          <w:ilvl w:val="0"/>
          <w:numId w:val="0"/>
        </w:numPr>
        <w:spacing w:before="0" w:beforeAutospacing="0" w:after="0" w:afterAutospacing="0" w:line="360" w:lineRule="auto"/>
        <w:ind w:firstLine="480" w:firstLineChars="200"/>
        <w:rPr>
          <w:rFonts w:hint="eastAsia" w:cs="宋体"/>
          <w:color w:val="auto"/>
          <w:lang w:val="en-US" w:eastAsia="zh-CN"/>
        </w:rPr>
      </w:pPr>
      <w:r>
        <w:rPr>
          <w:rFonts w:hint="eastAsia" w:cs="宋体"/>
          <w:color w:val="auto"/>
          <w:lang w:val="en-US" w:eastAsia="zh-CN"/>
        </w:rPr>
        <w:t>发包人人员包括发包人代表及其他由发包人派驻施工现场的人员。</w:t>
      </w:r>
    </w:p>
    <w:p>
      <w:pPr>
        <w:pStyle w:val="26"/>
        <w:numPr>
          <w:ilvl w:val="0"/>
          <w:numId w:val="0"/>
        </w:numPr>
        <w:spacing w:before="0" w:beforeAutospacing="0" w:after="0" w:afterAutospacing="0" w:line="360" w:lineRule="auto"/>
        <w:ind w:firstLine="482" w:firstLineChars="200"/>
        <w:rPr>
          <w:rFonts w:hint="eastAsia" w:cs="宋体"/>
          <w:b/>
          <w:bCs/>
          <w:color w:val="auto"/>
          <w:lang w:val="en-US" w:eastAsia="zh-CN"/>
        </w:rPr>
      </w:pPr>
      <w:r>
        <w:rPr>
          <w:rFonts w:hint="eastAsia" w:cs="宋体"/>
          <w:b/>
          <w:bCs/>
          <w:color w:val="auto"/>
          <w:lang w:val="en-US" w:eastAsia="zh-CN"/>
        </w:rPr>
        <w:t>2.4施工现场、施工条件和基础资料的提供</w:t>
      </w:r>
    </w:p>
    <w:p>
      <w:pPr>
        <w:pStyle w:val="26"/>
        <w:numPr>
          <w:ilvl w:val="0"/>
          <w:numId w:val="0"/>
        </w:numPr>
        <w:spacing w:before="0" w:beforeAutospacing="0" w:after="0" w:afterAutospacing="0" w:line="360" w:lineRule="auto"/>
        <w:ind w:firstLine="480" w:firstLineChars="200"/>
        <w:rPr>
          <w:rFonts w:hint="eastAsia" w:cs="宋体"/>
          <w:color w:val="auto"/>
          <w:lang w:val="en-US" w:eastAsia="zh-CN"/>
        </w:rPr>
      </w:pPr>
      <w:r>
        <w:rPr>
          <w:rFonts w:hint="eastAsia" w:cs="宋体"/>
          <w:color w:val="auto"/>
          <w:lang w:val="en-US" w:eastAsia="zh-CN"/>
        </w:rPr>
        <w:t>2.4.1提供施工现场</w:t>
      </w:r>
    </w:p>
    <w:p>
      <w:pPr>
        <w:pStyle w:val="26"/>
        <w:numPr>
          <w:ilvl w:val="0"/>
          <w:numId w:val="0"/>
        </w:numPr>
        <w:spacing w:before="0" w:beforeAutospacing="0" w:after="0" w:afterAutospacing="0" w:line="360" w:lineRule="auto"/>
        <w:ind w:firstLine="480" w:firstLineChars="200"/>
        <w:rPr>
          <w:rFonts w:hint="eastAsia" w:cs="宋体"/>
          <w:color w:val="auto"/>
          <w:lang w:val="en-US" w:eastAsia="zh-CN"/>
        </w:rPr>
      </w:pPr>
      <w:r>
        <w:rPr>
          <w:rFonts w:hint="eastAsia" w:cs="宋体"/>
          <w:color w:val="auto"/>
          <w:lang w:val="en-US" w:eastAsia="zh-CN"/>
        </w:rPr>
        <w:t>除专用合同条款另有约定外，发包人应最迟于开工日期7天前向承包人移交施工现场。</w:t>
      </w:r>
    </w:p>
    <w:p>
      <w:pPr>
        <w:pStyle w:val="26"/>
        <w:numPr>
          <w:ilvl w:val="0"/>
          <w:numId w:val="0"/>
        </w:numPr>
        <w:spacing w:before="0" w:beforeAutospacing="0" w:after="0" w:afterAutospacing="0" w:line="360" w:lineRule="auto"/>
        <w:ind w:firstLine="480" w:firstLineChars="200"/>
        <w:rPr>
          <w:rFonts w:hint="eastAsia" w:cs="宋体"/>
          <w:color w:val="auto"/>
          <w:lang w:val="en-US" w:eastAsia="zh-CN"/>
        </w:rPr>
      </w:pPr>
      <w:r>
        <w:rPr>
          <w:rFonts w:hint="eastAsia" w:cs="宋体"/>
          <w:color w:val="auto"/>
          <w:lang w:val="en-US" w:eastAsia="zh-CN"/>
        </w:rPr>
        <w:t>2.4.2提供施工条件</w:t>
      </w:r>
    </w:p>
    <w:p>
      <w:pPr>
        <w:pStyle w:val="26"/>
        <w:numPr>
          <w:ilvl w:val="0"/>
          <w:numId w:val="0"/>
        </w:numPr>
        <w:spacing w:before="0" w:beforeAutospacing="0" w:after="0" w:afterAutospacing="0" w:line="360" w:lineRule="auto"/>
        <w:ind w:firstLine="480" w:firstLineChars="200"/>
        <w:rPr>
          <w:rFonts w:hint="eastAsia" w:cs="宋体"/>
          <w:color w:val="auto"/>
          <w:lang w:val="en-US" w:eastAsia="zh-CN"/>
        </w:rPr>
      </w:pPr>
      <w:r>
        <w:rPr>
          <w:rFonts w:hint="eastAsia" w:cs="宋体"/>
          <w:color w:val="auto"/>
          <w:lang w:val="en-US" w:eastAsia="zh-CN"/>
        </w:rPr>
        <w:t>除专用合同条款另有约定外，发包人应负责提供施工所需要的条件，包括：</w:t>
      </w:r>
    </w:p>
    <w:p>
      <w:pPr>
        <w:pStyle w:val="26"/>
        <w:numPr>
          <w:ilvl w:val="0"/>
          <w:numId w:val="0"/>
        </w:numPr>
        <w:spacing w:before="0" w:beforeAutospacing="0" w:after="0" w:afterAutospacing="0" w:line="360" w:lineRule="auto"/>
        <w:ind w:firstLine="480" w:firstLineChars="200"/>
        <w:rPr>
          <w:rFonts w:hint="eastAsia" w:cs="宋体"/>
          <w:color w:val="auto"/>
          <w:lang w:val="en-US" w:eastAsia="zh-CN"/>
        </w:rPr>
      </w:pPr>
      <w:r>
        <w:rPr>
          <w:rFonts w:hint="eastAsia" w:cs="宋体"/>
          <w:color w:val="auto"/>
          <w:lang w:val="en-US" w:eastAsia="zh-CN"/>
        </w:rPr>
        <w:t>(1)将施工用水、电力、通讯线路等施工所必需的条件接至施工现场内；</w:t>
      </w:r>
    </w:p>
    <w:p>
      <w:pPr>
        <w:pStyle w:val="26"/>
        <w:numPr>
          <w:ilvl w:val="0"/>
          <w:numId w:val="0"/>
        </w:numPr>
        <w:spacing w:before="0" w:beforeAutospacing="0" w:after="0" w:afterAutospacing="0" w:line="360" w:lineRule="auto"/>
        <w:ind w:firstLine="480" w:firstLineChars="200"/>
        <w:rPr>
          <w:rFonts w:hint="eastAsia" w:cs="宋体"/>
          <w:color w:val="auto"/>
          <w:lang w:val="en-US" w:eastAsia="zh-CN"/>
        </w:rPr>
      </w:pPr>
      <w:r>
        <w:rPr>
          <w:rFonts w:hint="eastAsia" w:cs="宋体"/>
          <w:color w:val="auto"/>
          <w:lang w:val="en-US" w:eastAsia="zh-CN"/>
        </w:rPr>
        <w:t>(2)保证向承包人提供正常施工所需要的进入施工现场的交通条件；</w:t>
      </w:r>
    </w:p>
    <w:p>
      <w:pPr>
        <w:pStyle w:val="26"/>
        <w:numPr>
          <w:ilvl w:val="0"/>
          <w:numId w:val="0"/>
        </w:numPr>
        <w:spacing w:before="0" w:beforeAutospacing="0" w:after="0" w:afterAutospacing="0" w:line="360" w:lineRule="auto"/>
        <w:ind w:firstLine="480" w:firstLineChars="200"/>
        <w:rPr>
          <w:rFonts w:hint="eastAsia" w:cs="宋体"/>
          <w:color w:val="auto"/>
          <w:lang w:val="en-US" w:eastAsia="zh-CN"/>
        </w:rPr>
      </w:pPr>
      <w:r>
        <w:rPr>
          <w:rFonts w:hint="eastAsia" w:cs="宋体"/>
          <w:color w:val="auto"/>
          <w:lang w:val="en-US" w:eastAsia="zh-CN"/>
        </w:rPr>
        <w:t>(3)协调处理施工现场周围地下管线和邻近建筑物、构筑物、古树名木的保护工作，并承担相关费用；</w:t>
      </w:r>
    </w:p>
    <w:p>
      <w:pPr>
        <w:pStyle w:val="26"/>
        <w:numPr>
          <w:ilvl w:val="0"/>
          <w:numId w:val="0"/>
        </w:numPr>
        <w:spacing w:before="0" w:beforeAutospacing="0" w:after="0" w:afterAutospacing="0" w:line="360" w:lineRule="auto"/>
        <w:ind w:firstLine="480" w:firstLineChars="200"/>
        <w:rPr>
          <w:rFonts w:hint="eastAsia" w:cs="宋体"/>
          <w:color w:val="auto"/>
          <w:lang w:val="en-US" w:eastAsia="zh-CN"/>
        </w:rPr>
      </w:pPr>
      <w:r>
        <w:rPr>
          <w:rFonts w:hint="eastAsia" w:cs="宋体"/>
          <w:color w:val="auto"/>
          <w:lang w:val="en-US" w:eastAsia="zh-CN"/>
        </w:rPr>
        <w:t>(4)按照专用合同条款约定应提供的其他设施和条件。</w:t>
      </w:r>
    </w:p>
    <w:p>
      <w:pPr>
        <w:pStyle w:val="26"/>
        <w:numPr>
          <w:ilvl w:val="0"/>
          <w:numId w:val="0"/>
        </w:numPr>
        <w:spacing w:before="0" w:beforeAutospacing="0" w:after="0" w:afterAutospacing="0" w:line="360" w:lineRule="auto"/>
        <w:ind w:firstLine="480" w:firstLineChars="200"/>
        <w:rPr>
          <w:rFonts w:hint="eastAsia" w:cs="宋体"/>
          <w:color w:val="auto"/>
          <w:lang w:val="en-US" w:eastAsia="zh-CN"/>
        </w:rPr>
      </w:pPr>
      <w:r>
        <w:rPr>
          <w:rFonts w:hint="eastAsia" w:cs="宋体"/>
          <w:color w:val="auto"/>
          <w:lang w:val="en-US" w:eastAsia="zh-CN"/>
        </w:rPr>
        <w:t>2.4.3提供基础资料</w:t>
      </w:r>
    </w:p>
    <w:p>
      <w:pPr>
        <w:pStyle w:val="26"/>
        <w:numPr>
          <w:ilvl w:val="0"/>
          <w:numId w:val="0"/>
        </w:numPr>
        <w:spacing w:before="0" w:beforeAutospacing="0" w:after="0" w:afterAutospacing="0" w:line="360" w:lineRule="auto"/>
        <w:ind w:firstLine="480" w:firstLineChars="200"/>
        <w:rPr>
          <w:rFonts w:hint="eastAsia" w:cs="宋体"/>
          <w:color w:val="auto"/>
          <w:lang w:val="en-US" w:eastAsia="zh-CN"/>
        </w:rPr>
      </w:pPr>
      <w:r>
        <w:rPr>
          <w:rFonts w:hint="eastAsia" w:cs="宋体"/>
          <w:color w:val="auto"/>
          <w:lang w:val="en-US" w:eastAsia="zh-CN"/>
        </w:rPr>
        <w:t>发包人应当在移交施工现场前向承包人提供施工现场及工程施工所必需的毗邻区域内供水、排水、供电、供气、供热、通信、广播电视等地下管线资料，气象和水文观测资料，地质勘察资料，相邻建筑物、构筑物和地下工程等有关基础资料，并对所提供资料的真实性、准确性和完整性负责。</w:t>
      </w:r>
    </w:p>
    <w:p>
      <w:pPr>
        <w:pStyle w:val="26"/>
        <w:numPr>
          <w:ilvl w:val="0"/>
          <w:numId w:val="0"/>
        </w:numPr>
        <w:spacing w:before="0" w:beforeAutospacing="0" w:after="0" w:afterAutospacing="0" w:line="360" w:lineRule="auto"/>
        <w:ind w:firstLine="480" w:firstLineChars="200"/>
        <w:rPr>
          <w:rFonts w:hint="eastAsia" w:cs="宋体"/>
          <w:color w:val="auto"/>
          <w:lang w:val="en-US" w:eastAsia="zh-CN"/>
        </w:rPr>
      </w:pPr>
      <w:r>
        <w:rPr>
          <w:rFonts w:hint="eastAsia" w:cs="宋体"/>
          <w:color w:val="auto"/>
          <w:lang w:val="en-US" w:eastAsia="zh-CN"/>
        </w:rPr>
        <w:t>按照法律规定确需在开工后方能提供的基础资料，发包人应尽其努力及时地在相应工程施工前的合理期限内提供，合理期限应以不影响承包人的正常施工为限。</w:t>
      </w:r>
    </w:p>
    <w:p>
      <w:pPr>
        <w:pStyle w:val="26"/>
        <w:numPr>
          <w:ilvl w:val="0"/>
          <w:numId w:val="0"/>
        </w:numPr>
        <w:spacing w:before="0" w:beforeAutospacing="0" w:after="0" w:afterAutospacing="0" w:line="360" w:lineRule="auto"/>
        <w:ind w:firstLine="480" w:firstLineChars="200"/>
        <w:rPr>
          <w:rFonts w:hint="eastAsia" w:cs="宋体"/>
          <w:color w:val="auto"/>
          <w:lang w:val="en-US" w:eastAsia="zh-CN"/>
        </w:rPr>
      </w:pPr>
      <w:r>
        <w:rPr>
          <w:rFonts w:hint="eastAsia" w:cs="宋体"/>
          <w:color w:val="auto"/>
          <w:lang w:val="en-US" w:eastAsia="zh-CN"/>
        </w:rPr>
        <w:t>2.4.4逾期提供的责任</w:t>
      </w:r>
    </w:p>
    <w:p>
      <w:pPr>
        <w:pStyle w:val="26"/>
        <w:numPr>
          <w:ilvl w:val="0"/>
          <w:numId w:val="0"/>
        </w:numPr>
        <w:spacing w:before="0" w:beforeAutospacing="0" w:after="0" w:afterAutospacing="0" w:line="360" w:lineRule="auto"/>
        <w:ind w:firstLine="480" w:firstLineChars="200"/>
        <w:rPr>
          <w:rFonts w:hint="eastAsia" w:cs="宋体"/>
          <w:color w:val="auto"/>
          <w:lang w:val="en-US" w:eastAsia="zh-CN"/>
        </w:rPr>
      </w:pPr>
      <w:r>
        <w:rPr>
          <w:rFonts w:hint="eastAsia" w:cs="宋体"/>
          <w:color w:val="auto"/>
          <w:lang w:val="en-US" w:eastAsia="zh-CN"/>
        </w:rPr>
        <w:t>因发包人原因未能按合同约定及时向承包人提供施工现场、施工条件、基础资料的，由发包人承担由此增加的费用和(或)延误的工期。</w:t>
      </w:r>
    </w:p>
    <w:p>
      <w:pPr>
        <w:pStyle w:val="26"/>
        <w:numPr>
          <w:ilvl w:val="0"/>
          <w:numId w:val="0"/>
        </w:numPr>
        <w:spacing w:before="0" w:beforeAutospacing="0" w:after="0" w:afterAutospacing="0" w:line="360" w:lineRule="auto"/>
        <w:ind w:firstLine="482" w:firstLineChars="200"/>
        <w:rPr>
          <w:rFonts w:hint="eastAsia" w:cs="宋体"/>
          <w:b/>
          <w:bCs/>
          <w:color w:val="auto"/>
          <w:lang w:val="en-US" w:eastAsia="zh-CN"/>
        </w:rPr>
      </w:pPr>
      <w:r>
        <w:rPr>
          <w:rFonts w:hint="eastAsia" w:cs="宋体"/>
          <w:b/>
          <w:bCs/>
          <w:color w:val="auto"/>
          <w:lang w:val="en-US" w:eastAsia="zh-CN"/>
        </w:rPr>
        <w:t>2.5资金来源证明及支付担保</w:t>
      </w:r>
    </w:p>
    <w:p>
      <w:pPr>
        <w:pStyle w:val="26"/>
        <w:numPr>
          <w:ilvl w:val="0"/>
          <w:numId w:val="0"/>
        </w:numPr>
        <w:spacing w:before="0" w:beforeAutospacing="0" w:after="0" w:afterAutospacing="0" w:line="360" w:lineRule="auto"/>
        <w:ind w:firstLine="480" w:firstLineChars="200"/>
        <w:rPr>
          <w:rFonts w:hint="eastAsia" w:cs="宋体"/>
          <w:color w:val="auto"/>
          <w:lang w:val="en-US" w:eastAsia="zh-CN"/>
        </w:rPr>
      </w:pPr>
      <w:r>
        <w:rPr>
          <w:rFonts w:hint="eastAsia" w:cs="宋体"/>
          <w:color w:val="auto"/>
          <w:lang w:val="en-US" w:eastAsia="zh-CN"/>
        </w:rPr>
        <w:t>除专用合同条款另有约定外，发包人应在收到承包人要求提供资金来源证明的书面通知后28天内，向承包人提供能够按照合同约定支付合同价款的相应资金来源证明。</w:t>
      </w:r>
    </w:p>
    <w:p>
      <w:pPr>
        <w:pStyle w:val="26"/>
        <w:numPr>
          <w:ilvl w:val="0"/>
          <w:numId w:val="0"/>
        </w:numPr>
        <w:spacing w:before="0" w:beforeAutospacing="0" w:after="0" w:afterAutospacing="0" w:line="360" w:lineRule="auto"/>
        <w:ind w:firstLine="480" w:firstLineChars="200"/>
        <w:rPr>
          <w:rFonts w:hint="eastAsia" w:cs="宋体"/>
          <w:color w:val="auto"/>
          <w:lang w:val="en-US" w:eastAsia="zh-CN"/>
        </w:rPr>
      </w:pPr>
      <w:r>
        <w:rPr>
          <w:rFonts w:hint="eastAsia" w:cs="宋体"/>
          <w:color w:val="auto"/>
          <w:lang w:val="en-US" w:eastAsia="zh-CN"/>
        </w:rPr>
        <w:t>除专用合同条款另有约定外，发包人要求承包人提供履约担保的，发包人应当向承包人提供支付担保。支付担保可以采用银行保函或担保公司担保等形式，具体由合同当事人在专用合同条款中约定。</w:t>
      </w:r>
    </w:p>
    <w:p>
      <w:pPr>
        <w:pStyle w:val="26"/>
        <w:numPr>
          <w:ilvl w:val="0"/>
          <w:numId w:val="0"/>
        </w:numPr>
        <w:spacing w:before="0" w:beforeAutospacing="0" w:after="0" w:afterAutospacing="0" w:line="360" w:lineRule="auto"/>
        <w:ind w:firstLine="482" w:firstLineChars="200"/>
        <w:rPr>
          <w:rFonts w:hint="eastAsia" w:cs="宋体"/>
          <w:b/>
          <w:bCs/>
          <w:color w:val="auto"/>
          <w:lang w:val="en-US" w:eastAsia="zh-CN"/>
        </w:rPr>
      </w:pPr>
      <w:r>
        <w:rPr>
          <w:rFonts w:hint="eastAsia" w:cs="宋体"/>
          <w:b/>
          <w:bCs/>
          <w:color w:val="auto"/>
          <w:lang w:val="en-US" w:eastAsia="zh-CN"/>
        </w:rPr>
        <w:t>2.6支付合同价款</w:t>
      </w:r>
    </w:p>
    <w:p>
      <w:pPr>
        <w:pStyle w:val="26"/>
        <w:numPr>
          <w:ilvl w:val="0"/>
          <w:numId w:val="0"/>
        </w:numPr>
        <w:spacing w:before="0" w:beforeAutospacing="0" w:after="0" w:afterAutospacing="0" w:line="360" w:lineRule="auto"/>
        <w:ind w:firstLine="480" w:firstLineChars="200"/>
        <w:rPr>
          <w:rFonts w:hint="eastAsia" w:cs="宋体"/>
          <w:color w:val="auto"/>
          <w:lang w:val="en-US" w:eastAsia="zh-CN"/>
        </w:rPr>
      </w:pPr>
      <w:r>
        <w:rPr>
          <w:rFonts w:hint="eastAsia" w:cs="宋体"/>
          <w:color w:val="auto"/>
          <w:lang w:val="en-US" w:eastAsia="zh-CN"/>
        </w:rPr>
        <w:t>发包人应按合同约定向承包人及时支付合同价款。</w:t>
      </w:r>
    </w:p>
    <w:p>
      <w:pPr>
        <w:pStyle w:val="26"/>
        <w:numPr>
          <w:ilvl w:val="0"/>
          <w:numId w:val="0"/>
        </w:numPr>
        <w:spacing w:before="0" w:beforeAutospacing="0" w:after="0" w:afterAutospacing="0" w:line="360" w:lineRule="auto"/>
        <w:ind w:firstLine="482" w:firstLineChars="200"/>
        <w:rPr>
          <w:rFonts w:hint="eastAsia" w:cs="宋体"/>
          <w:b/>
          <w:bCs/>
          <w:color w:val="auto"/>
          <w:lang w:val="en-US" w:eastAsia="zh-CN"/>
        </w:rPr>
      </w:pPr>
      <w:r>
        <w:rPr>
          <w:rFonts w:hint="eastAsia" w:cs="宋体"/>
          <w:b/>
          <w:bCs/>
          <w:color w:val="auto"/>
          <w:lang w:val="en-US" w:eastAsia="zh-CN"/>
        </w:rPr>
        <w:t>2.7组织竣工验收</w:t>
      </w:r>
    </w:p>
    <w:p>
      <w:pPr>
        <w:pStyle w:val="26"/>
        <w:spacing w:before="0" w:beforeAutospacing="0" w:after="0" w:afterAutospacing="0" w:line="480" w:lineRule="auto"/>
        <w:ind w:firstLine="480" w:firstLineChars="200"/>
        <w:rPr>
          <w:rFonts w:hint="eastAsia" w:ascii="宋体" w:hAnsi="宋体" w:eastAsia="宋体" w:cs="宋体"/>
          <w:color w:val="auto"/>
        </w:rPr>
      </w:pPr>
      <w:r>
        <w:rPr>
          <w:rFonts w:hint="eastAsia" w:ascii="宋体" w:hAnsi="宋体" w:eastAsia="宋体" w:cs="宋体"/>
          <w:color w:val="auto"/>
        </w:rPr>
        <w:t>发包人应按合同约定及时组织竣工验收。</w:t>
      </w:r>
    </w:p>
    <w:p>
      <w:pPr>
        <w:pStyle w:val="26"/>
        <w:numPr>
          <w:ilvl w:val="0"/>
          <w:numId w:val="0"/>
        </w:numPr>
        <w:spacing w:before="0" w:beforeAutospacing="0" w:after="0" w:afterAutospacing="0" w:line="360" w:lineRule="auto"/>
        <w:ind w:firstLine="482" w:firstLineChars="200"/>
        <w:rPr>
          <w:rFonts w:hint="eastAsia" w:cs="宋体"/>
          <w:b/>
          <w:bCs/>
          <w:color w:val="auto"/>
          <w:lang w:val="en-US" w:eastAsia="zh-CN"/>
        </w:rPr>
      </w:pPr>
      <w:r>
        <w:rPr>
          <w:rFonts w:hint="eastAsia" w:cs="宋体"/>
          <w:b/>
          <w:bCs/>
          <w:color w:val="auto"/>
          <w:lang w:val="en-US" w:eastAsia="zh-CN"/>
        </w:rPr>
        <w:t>2.8现场统一管理协议</w:t>
      </w:r>
    </w:p>
    <w:p>
      <w:pPr>
        <w:pStyle w:val="26"/>
        <w:numPr>
          <w:ilvl w:val="0"/>
          <w:numId w:val="0"/>
        </w:numPr>
        <w:spacing w:before="0" w:beforeAutospacing="0" w:after="0" w:afterAutospacing="0" w:line="360" w:lineRule="auto"/>
        <w:ind w:firstLine="480" w:firstLineChars="200"/>
        <w:rPr>
          <w:rFonts w:hint="eastAsia" w:cs="宋体"/>
          <w:color w:val="auto"/>
          <w:lang w:val="en-US" w:eastAsia="zh-CN"/>
        </w:rPr>
      </w:pPr>
      <w:r>
        <w:rPr>
          <w:rFonts w:hint="eastAsia" w:cs="宋体"/>
          <w:color w:val="auto"/>
          <w:lang w:val="en-US" w:eastAsia="zh-CN"/>
        </w:rPr>
        <w:t>发包人应与承包人、由发包人直接发包的专业工程的承包人签订施工现场统一管理协议，明确各方的权利义务。施工现场统一管理协议作为专用合同条款的附件。</w:t>
      </w:r>
    </w:p>
    <w:p>
      <w:pPr>
        <w:pStyle w:val="26"/>
        <w:numPr>
          <w:ilvl w:val="0"/>
          <w:numId w:val="0"/>
        </w:numPr>
        <w:spacing w:before="0" w:beforeAutospacing="0" w:after="0" w:afterAutospacing="0" w:line="360" w:lineRule="auto"/>
        <w:ind w:firstLine="482" w:firstLineChars="200"/>
        <w:rPr>
          <w:rFonts w:hint="eastAsia" w:cs="宋体"/>
          <w:b/>
          <w:bCs/>
          <w:color w:val="auto"/>
          <w:lang w:val="en-US" w:eastAsia="zh-CN"/>
        </w:rPr>
      </w:pPr>
      <w:r>
        <w:rPr>
          <w:rFonts w:hint="eastAsia" w:cs="宋体"/>
          <w:b/>
          <w:bCs/>
          <w:color w:val="auto"/>
          <w:lang w:val="en-US" w:eastAsia="zh-CN"/>
        </w:rPr>
        <w:t>3.承包人</w:t>
      </w:r>
    </w:p>
    <w:p>
      <w:pPr>
        <w:pStyle w:val="26"/>
        <w:numPr>
          <w:ilvl w:val="0"/>
          <w:numId w:val="0"/>
        </w:numPr>
        <w:spacing w:before="0" w:beforeAutospacing="0" w:after="0" w:afterAutospacing="0" w:line="360" w:lineRule="auto"/>
        <w:ind w:firstLine="482" w:firstLineChars="200"/>
        <w:rPr>
          <w:rFonts w:hint="eastAsia" w:cs="宋体"/>
          <w:b/>
          <w:bCs/>
          <w:color w:val="auto"/>
          <w:lang w:val="en-US" w:eastAsia="zh-CN"/>
        </w:rPr>
      </w:pPr>
      <w:r>
        <w:rPr>
          <w:rFonts w:hint="eastAsia" w:cs="宋体"/>
          <w:b/>
          <w:bCs/>
          <w:color w:val="auto"/>
          <w:lang w:val="en-US" w:eastAsia="zh-CN"/>
        </w:rPr>
        <w:t>3.1承包人的一般义务</w:t>
      </w:r>
    </w:p>
    <w:p>
      <w:pPr>
        <w:pStyle w:val="26"/>
        <w:numPr>
          <w:ilvl w:val="0"/>
          <w:numId w:val="0"/>
        </w:numPr>
        <w:spacing w:before="0" w:beforeAutospacing="0" w:after="0" w:afterAutospacing="0" w:line="360" w:lineRule="auto"/>
        <w:ind w:firstLine="480" w:firstLineChars="200"/>
        <w:rPr>
          <w:rFonts w:hint="eastAsia" w:cs="宋体"/>
          <w:color w:val="auto"/>
          <w:lang w:val="en-US" w:eastAsia="zh-CN"/>
        </w:rPr>
      </w:pPr>
      <w:r>
        <w:rPr>
          <w:rFonts w:hint="eastAsia" w:cs="宋体"/>
          <w:color w:val="auto"/>
          <w:lang w:val="en-US" w:eastAsia="zh-CN"/>
        </w:rPr>
        <w:t>承包人在履行合同过程中应遵守法律和工程建设标准规范，并履行以下义务：</w:t>
      </w:r>
    </w:p>
    <w:p>
      <w:pPr>
        <w:pStyle w:val="26"/>
        <w:numPr>
          <w:ilvl w:val="0"/>
          <w:numId w:val="0"/>
        </w:numPr>
        <w:spacing w:before="0" w:beforeAutospacing="0" w:after="0" w:afterAutospacing="0" w:line="360" w:lineRule="auto"/>
        <w:ind w:firstLine="480" w:firstLineChars="200"/>
        <w:rPr>
          <w:rFonts w:hint="eastAsia" w:cs="宋体"/>
          <w:color w:val="auto"/>
          <w:lang w:val="en-US" w:eastAsia="zh-CN"/>
        </w:rPr>
      </w:pPr>
      <w:r>
        <w:rPr>
          <w:rFonts w:hint="eastAsia" w:cs="宋体"/>
          <w:color w:val="auto"/>
          <w:lang w:val="en-US" w:eastAsia="zh-CN"/>
        </w:rPr>
        <w:t>(1)办理法律规定应由承包人办理的许可和批准，并将办理结果书面报送发包人留存；</w:t>
      </w:r>
    </w:p>
    <w:p>
      <w:pPr>
        <w:pStyle w:val="26"/>
        <w:numPr>
          <w:ilvl w:val="0"/>
          <w:numId w:val="0"/>
        </w:numPr>
        <w:spacing w:before="0" w:beforeAutospacing="0" w:after="0" w:afterAutospacing="0" w:line="360" w:lineRule="auto"/>
        <w:ind w:firstLine="480" w:firstLineChars="200"/>
        <w:rPr>
          <w:rFonts w:hint="eastAsia" w:cs="宋体"/>
          <w:color w:val="auto"/>
          <w:lang w:val="en-US" w:eastAsia="zh-CN"/>
        </w:rPr>
      </w:pPr>
      <w:r>
        <w:rPr>
          <w:rFonts w:hint="eastAsia" w:cs="宋体"/>
          <w:color w:val="auto"/>
          <w:lang w:val="en-US" w:eastAsia="zh-CN"/>
        </w:rPr>
        <w:t>(2)按法律规定和合同约定完成工程，并在保修期内承担保修义务；</w:t>
      </w:r>
    </w:p>
    <w:p>
      <w:pPr>
        <w:pStyle w:val="26"/>
        <w:numPr>
          <w:ilvl w:val="0"/>
          <w:numId w:val="0"/>
        </w:numPr>
        <w:spacing w:before="0" w:beforeAutospacing="0" w:after="0" w:afterAutospacing="0" w:line="360" w:lineRule="auto"/>
        <w:ind w:firstLine="480" w:firstLineChars="200"/>
        <w:rPr>
          <w:rFonts w:hint="eastAsia" w:cs="宋体"/>
          <w:color w:val="auto"/>
          <w:lang w:val="en-US" w:eastAsia="zh-CN"/>
        </w:rPr>
      </w:pPr>
      <w:r>
        <w:rPr>
          <w:rFonts w:hint="eastAsia" w:cs="宋体"/>
          <w:color w:val="auto"/>
          <w:lang w:val="en-US" w:eastAsia="zh-CN"/>
        </w:rPr>
        <w:t>(3)按法律规定和合同约定采取施工安全和环境保护措施，办理工伤保险，确保工程及人员、材料、设备和设施的安全；</w:t>
      </w:r>
    </w:p>
    <w:p>
      <w:pPr>
        <w:pStyle w:val="26"/>
        <w:numPr>
          <w:ilvl w:val="0"/>
          <w:numId w:val="0"/>
        </w:numPr>
        <w:spacing w:before="0" w:beforeAutospacing="0" w:after="0" w:afterAutospacing="0" w:line="360" w:lineRule="auto"/>
        <w:ind w:firstLine="480" w:firstLineChars="200"/>
        <w:rPr>
          <w:rFonts w:hint="eastAsia" w:cs="宋体"/>
          <w:color w:val="auto"/>
          <w:lang w:val="en-US" w:eastAsia="zh-CN"/>
        </w:rPr>
      </w:pPr>
      <w:r>
        <w:rPr>
          <w:rFonts w:hint="eastAsia" w:cs="宋体"/>
          <w:color w:val="auto"/>
          <w:lang w:val="en-US" w:eastAsia="zh-CN"/>
        </w:rPr>
        <w:t>(4)按合同约定的工作内容和施工进度要求，编制施工组织设计和施工措施计划，并对所有施工作业和施工方法的完备性和安全可靠性负责；</w:t>
      </w:r>
    </w:p>
    <w:p>
      <w:pPr>
        <w:pStyle w:val="26"/>
        <w:numPr>
          <w:ilvl w:val="0"/>
          <w:numId w:val="0"/>
        </w:numPr>
        <w:spacing w:before="0" w:beforeAutospacing="0" w:after="0" w:afterAutospacing="0" w:line="360" w:lineRule="auto"/>
        <w:ind w:firstLine="480" w:firstLineChars="200"/>
        <w:rPr>
          <w:rFonts w:hint="eastAsia" w:cs="宋体"/>
          <w:color w:val="auto"/>
          <w:lang w:val="en-US" w:eastAsia="zh-CN"/>
        </w:rPr>
      </w:pPr>
      <w:r>
        <w:rPr>
          <w:rFonts w:hint="eastAsia" w:cs="宋体"/>
          <w:color w:val="auto"/>
          <w:lang w:val="en-US" w:eastAsia="zh-CN"/>
        </w:rPr>
        <w:t>(5)在进行合同约定的各项工作时，不得侵害发包人与他人使用公用道路、水源、市政管网等公共设施的权利，避免对邻近的公共设施产生干扰。承包人占用或使用他人的施工场地，影响他人作业或生活的，应承担相应责任；</w:t>
      </w:r>
    </w:p>
    <w:p>
      <w:pPr>
        <w:pStyle w:val="26"/>
        <w:numPr>
          <w:ilvl w:val="0"/>
          <w:numId w:val="0"/>
        </w:numPr>
        <w:spacing w:before="0" w:beforeAutospacing="0" w:after="0" w:afterAutospacing="0" w:line="360" w:lineRule="auto"/>
        <w:ind w:firstLine="480" w:firstLineChars="200"/>
        <w:rPr>
          <w:rFonts w:hint="eastAsia" w:cs="宋体"/>
          <w:color w:val="auto"/>
          <w:lang w:val="en-US" w:eastAsia="zh-CN"/>
        </w:rPr>
      </w:pPr>
      <w:r>
        <w:rPr>
          <w:rFonts w:hint="eastAsia" w:cs="宋体"/>
          <w:color w:val="auto"/>
          <w:lang w:val="en-US" w:eastAsia="zh-CN"/>
        </w:rPr>
        <w:t>(6)按照第6.3款〔环境保护〕约定负责施工场地及其周边环境与生态的保护工作；</w:t>
      </w:r>
    </w:p>
    <w:p>
      <w:pPr>
        <w:pStyle w:val="26"/>
        <w:numPr>
          <w:ilvl w:val="0"/>
          <w:numId w:val="0"/>
        </w:numPr>
        <w:spacing w:before="0" w:beforeAutospacing="0" w:after="0" w:afterAutospacing="0" w:line="360" w:lineRule="auto"/>
        <w:ind w:firstLine="480" w:firstLineChars="200"/>
        <w:rPr>
          <w:rFonts w:hint="eastAsia" w:cs="宋体"/>
          <w:color w:val="auto"/>
          <w:lang w:val="en-US" w:eastAsia="zh-CN"/>
        </w:rPr>
      </w:pPr>
      <w:r>
        <w:rPr>
          <w:rFonts w:hint="eastAsia" w:cs="宋体"/>
          <w:color w:val="auto"/>
          <w:lang w:val="en-US" w:eastAsia="zh-CN"/>
        </w:rPr>
        <w:t>(7)按第6.1款〔安全文明施工〕约定采取施工安全措施，确保工程及其人员、材料、设备和设施的安全，防止因工程施工造成的人身伤害和财产损失；</w:t>
      </w:r>
    </w:p>
    <w:p>
      <w:pPr>
        <w:pStyle w:val="26"/>
        <w:numPr>
          <w:ilvl w:val="0"/>
          <w:numId w:val="0"/>
        </w:numPr>
        <w:spacing w:before="0" w:beforeAutospacing="0" w:after="0" w:afterAutospacing="0" w:line="360" w:lineRule="auto"/>
        <w:ind w:firstLine="480" w:firstLineChars="200"/>
        <w:rPr>
          <w:rFonts w:hint="eastAsia" w:cs="宋体"/>
          <w:color w:val="auto"/>
          <w:lang w:val="en-US" w:eastAsia="zh-CN"/>
        </w:rPr>
      </w:pPr>
      <w:r>
        <w:rPr>
          <w:rFonts w:hint="eastAsia" w:cs="宋体"/>
          <w:color w:val="auto"/>
          <w:lang w:val="en-US" w:eastAsia="zh-CN"/>
        </w:rPr>
        <w:t>(8)将发包人按合同约定支付的各项价款专用于合同工程，且应及时支付其雇用人员工资，并及时向分包人支付合同价款；</w:t>
      </w:r>
    </w:p>
    <w:p>
      <w:pPr>
        <w:pStyle w:val="26"/>
        <w:numPr>
          <w:ilvl w:val="0"/>
          <w:numId w:val="0"/>
        </w:numPr>
        <w:spacing w:before="0" w:beforeAutospacing="0" w:after="0" w:afterAutospacing="0" w:line="360" w:lineRule="auto"/>
        <w:ind w:firstLine="480" w:firstLineChars="200"/>
        <w:rPr>
          <w:rFonts w:hint="eastAsia" w:cs="宋体"/>
          <w:color w:val="auto"/>
          <w:lang w:val="en-US" w:eastAsia="zh-CN"/>
        </w:rPr>
      </w:pPr>
      <w:r>
        <w:rPr>
          <w:rFonts w:hint="eastAsia" w:cs="宋体"/>
          <w:color w:val="auto"/>
          <w:lang w:val="en-US" w:eastAsia="zh-CN"/>
        </w:rPr>
        <w:t>(9)按照法律规定和合同约定编制竣工资料，完成竣工资料立卷及归档，并按专用合同条款约定的竣工资料的套数、内容、时间等要求移交发包人；</w:t>
      </w:r>
    </w:p>
    <w:p>
      <w:pPr>
        <w:pStyle w:val="26"/>
        <w:numPr>
          <w:ilvl w:val="0"/>
          <w:numId w:val="0"/>
        </w:numPr>
        <w:spacing w:before="0" w:beforeAutospacing="0" w:after="0" w:afterAutospacing="0" w:line="360" w:lineRule="auto"/>
        <w:ind w:firstLine="480" w:firstLineChars="200"/>
        <w:rPr>
          <w:rFonts w:hint="eastAsia" w:cs="宋体"/>
          <w:color w:val="auto"/>
          <w:lang w:val="en-US" w:eastAsia="zh-CN"/>
        </w:rPr>
      </w:pPr>
      <w:r>
        <w:rPr>
          <w:rFonts w:hint="eastAsia" w:cs="宋体"/>
          <w:color w:val="auto"/>
          <w:lang w:val="en-US" w:eastAsia="zh-CN"/>
        </w:rPr>
        <w:t>(10)应履行的其他义务。</w:t>
      </w:r>
    </w:p>
    <w:p>
      <w:pPr>
        <w:pStyle w:val="26"/>
        <w:numPr>
          <w:ilvl w:val="0"/>
          <w:numId w:val="0"/>
        </w:numPr>
        <w:spacing w:before="0" w:beforeAutospacing="0" w:after="0" w:afterAutospacing="0" w:line="360" w:lineRule="auto"/>
        <w:ind w:firstLine="482" w:firstLineChars="200"/>
        <w:rPr>
          <w:rFonts w:hint="eastAsia" w:cs="宋体"/>
          <w:b/>
          <w:bCs/>
          <w:color w:val="auto"/>
          <w:lang w:val="en-US" w:eastAsia="zh-CN"/>
        </w:rPr>
      </w:pPr>
      <w:r>
        <w:rPr>
          <w:rFonts w:hint="eastAsia" w:cs="宋体"/>
          <w:b/>
          <w:bCs/>
          <w:color w:val="auto"/>
          <w:lang w:val="en-US" w:eastAsia="zh-CN"/>
        </w:rPr>
        <w:t>3.2项目经理</w:t>
      </w:r>
    </w:p>
    <w:p>
      <w:pPr>
        <w:pStyle w:val="26"/>
        <w:numPr>
          <w:ilvl w:val="0"/>
          <w:numId w:val="0"/>
        </w:numPr>
        <w:spacing w:before="0" w:beforeAutospacing="0" w:after="0" w:afterAutospacing="0" w:line="360" w:lineRule="auto"/>
        <w:ind w:firstLine="480" w:firstLineChars="200"/>
        <w:rPr>
          <w:rFonts w:hint="eastAsia" w:cs="宋体"/>
          <w:color w:val="auto"/>
          <w:lang w:val="en-US" w:eastAsia="zh-CN"/>
        </w:rPr>
      </w:pPr>
      <w:r>
        <w:rPr>
          <w:rFonts w:hint="eastAsia" w:cs="宋体"/>
          <w:color w:val="auto"/>
          <w:lang w:val="en-US" w:eastAsia="zh-CN"/>
        </w:rPr>
        <w:t>3.2.1项目经理应为合同当事人所确认的人选，并在专用合同条款中明确项目经理的姓名、职称、注册执业证书编号、联系方式及授权范围等事项，项目经理经承包人授权后代表承包人负责履行合同。项目经理应是承包人正式聘用的员工，承包人应向发包人提交项目经理与承包人之间的劳动合同，以及承包人为项目经理缴纳社会保险的有效证明。承包人不提交上述文件的，项目经理无权履行职责，发包人有权要求更换项目经理，由此增加的费用和(或)延误的工期由承包人承担。</w:t>
      </w:r>
    </w:p>
    <w:p>
      <w:pPr>
        <w:pStyle w:val="26"/>
        <w:numPr>
          <w:ilvl w:val="0"/>
          <w:numId w:val="0"/>
        </w:numPr>
        <w:spacing w:before="0" w:beforeAutospacing="0" w:after="0" w:afterAutospacing="0" w:line="360" w:lineRule="auto"/>
        <w:ind w:firstLine="480" w:firstLineChars="200"/>
        <w:rPr>
          <w:rFonts w:hint="eastAsia" w:cs="宋体"/>
          <w:color w:val="auto"/>
          <w:lang w:val="en-US" w:eastAsia="zh-CN"/>
        </w:rPr>
      </w:pPr>
      <w:r>
        <w:rPr>
          <w:rFonts w:hint="eastAsia" w:cs="宋体"/>
          <w:color w:val="auto"/>
          <w:lang w:val="en-US" w:eastAsia="zh-CN"/>
        </w:rPr>
        <w:t>项目经理应常驻施工现场，且每月在施工现场时间不得少于专用合同条款约定的天数。项目经理不得同时担任其他项目的项目经理。项目经理确需离开施工现场时，应事先通知监理人，并取得发包人的书面同意。项目经理的通知中应当载明临时代行其职责的人员的注册执业资格、管理经验等资料，该人员应具备履行相应职责的能力。</w:t>
      </w:r>
    </w:p>
    <w:p>
      <w:pPr>
        <w:pStyle w:val="26"/>
        <w:numPr>
          <w:ilvl w:val="0"/>
          <w:numId w:val="0"/>
        </w:numPr>
        <w:spacing w:before="0" w:beforeAutospacing="0" w:after="0" w:afterAutospacing="0" w:line="360" w:lineRule="auto"/>
        <w:ind w:firstLine="480" w:firstLineChars="200"/>
        <w:rPr>
          <w:rFonts w:hint="eastAsia" w:cs="宋体"/>
          <w:color w:val="auto"/>
          <w:lang w:val="en-US" w:eastAsia="zh-CN"/>
        </w:rPr>
      </w:pPr>
      <w:r>
        <w:rPr>
          <w:rFonts w:hint="eastAsia" w:cs="宋体"/>
          <w:color w:val="auto"/>
          <w:lang w:val="en-US" w:eastAsia="zh-CN"/>
        </w:rPr>
        <w:t>承包人违反上述约定的，应按照专用合同条款的约定，承担违约责任。</w:t>
      </w:r>
    </w:p>
    <w:p>
      <w:pPr>
        <w:pStyle w:val="26"/>
        <w:numPr>
          <w:ilvl w:val="0"/>
          <w:numId w:val="0"/>
        </w:numPr>
        <w:spacing w:before="0" w:beforeAutospacing="0" w:after="0" w:afterAutospacing="0" w:line="360" w:lineRule="auto"/>
        <w:ind w:firstLine="480" w:firstLineChars="200"/>
        <w:rPr>
          <w:rFonts w:hint="eastAsia" w:cs="宋体"/>
          <w:color w:val="auto"/>
          <w:lang w:val="en-US" w:eastAsia="zh-CN"/>
        </w:rPr>
      </w:pPr>
      <w:r>
        <w:rPr>
          <w:rFonts w:hint="eastAsia" w:cs="宋体"/>
          <w:color w:val="auto"/>
          <w:lang w:val="en-US" w:eastAsia="zh-CN"/>
        </w:rPr>
        <w:t>3.2.2项目经理按合同约定组织工程实施。在紧急情况下为确保施工安全和人员安全，在无法与发包人代表和总监理工程师及时取得联系时，项目经理有权采取必要的措施保证与工程有关的人身、财产和工程的安全，但应在48小时内向发包人代表和总监理工程师提交书面报告。</w:t>
      </w:r>
    </w:p>
    <w:p>
      <w:pPr>
        <w:pStyle w:val="26"/>
        <w:numPr>
          <w:ilvl w:val="0"/>
          <w:numId w:val="0"/>
        </w:numPr>
        <w:spacing w:before="0" w:beforeAutospacing="0" w:after="0" w:afterAutospacing="0" w:line="360" w:lineRule="auto"/>
        <w:ind w:firstLine="480" w:firstLineChars="200"/>
        <w:rPr>
          <w:rFonts w:hint="eastAsia" w:cs="宋体"/>
          <w:color w:val="auto"/>
          <w:lang w:val="en-US" w:eastAsia="zh-CN"/>
        </w:rPr>
      </w:pPr>
      <w:r>
        <w:rPr>
          <w:rFonts w:hint="eastAsia" w:cs="宋体"/>
          <w:color w:val="auto"/>
          <w:lang w:val="en-US" w:eastAsia="zh-CN"/>
        </w:rPr>
        <w:t>3.2.3承包人需要更换项目经理的，应提前14天书面通知发包人和监理人，并征得发包人书面同意。通知中应当载明继任项目经理的注册执业资格、管理经验等资料，继任项目经理继续履行第3.2.1项约定的职责。未经发包人书面同意，承包人不得擅自更换项目经理。承包人擅自更换项目经理的，应按照专用合同条款的约定承担违约责任。</w:t>
      </w:r>
    </w:p>
    <w:p>
      <w:pPr>
        <w:pStyle w:val="26"/>
        <w:numPr>
          <w:ilvl w:val="0"/>
          <w:numId w:val="0"/>
        </w:numPr>
        <w:spacing w:before="0" w:beforeAutospacing="0" w:after="0" w:afterAutospacing="0" w:line="360" w:lineRule="auto"/>
        <w:ind w:firstLine="480" w:firstLineChars="200"/>
        <w:rPr>
          <w:rFonts w:hint="eastAsia" w:cs="宋体"/>
          <w:color w:val="auto"/>
          <w:lang w:val="en-US" w:eastAsia="zh-CN"/>
        </w:rPr>
      </w:pPr>
      <w:r>
        <w:rPr>
          <w:rFonts w:hint="eastAsia" w:cs="宋体"/>
          <w:color w:val="auto"/>
          <w:lang w:val="en-US" w:eastAsia="zh-CN"/>
        </w:rPr>
        <w:t>3.2.4发包人有权书面通知承包人更换其认为不称职的项目经理，通知中应当载明要求更换的理由。承包人应在接到更换通知后14天内向发包人提出书面的改进报告。发包人收到改进报告后仍要求更换的，承包人应在接到第二次更换通知的28天内进行更换，并将新任命的项目经理的注册执业资格、管理经验等资料书面通知发包人。继任项目经理继续履行第3.2.1项约定的职责。承包人无正当理由拒绝更换项目经理的，应按照专用合同条款的约定承担违约责任。</w:t>
      </w:r>
    </w:p>
    <w:p>
      <w:pPr>
        <w:pStyle w:val="26"/>
        <w:numPr>
          <w:ilvl w:val="0"/>
          <w:numId w:val="0"/>
        </w:numPr>
        <w:spacing w:before="0" w:beforeAutospacing="0" w:after="0" w:afterAutospacing="0" w:line="360" w:lineRule="auto"/>
        <w:ind w:firstLine="480" w:firstLineChars="200"/>
        <w:rPr>
          <w:rFonts w:hint="eastAsia" w:cs="宋体"/>
          <w:color w:val="auto"/>
          <w:lang w:val="en-US" w:eastAsia="zh-CN"/>
        </w:rPr>
      </w:pPr>
      <w:r>
        <w:rPr>
          <w:rFonts w:hint="eastAsia" w:cs="宋体"/>
          <w:color w:val="auto"/>
          <w:lang w:val="en-US" w:eastAsia="zh-CN"/>
        </w:rPr>
        <w:t>3.2.5项目经理因特殊情况授权其下属人员履行其某项工作职责的，该下属人员应具备履行相应职责的能力，并应提前7天将上述人员的姓名和授权范围书面通知监理人，并征得发包人书面同意。</w:t>
      </w:r>
    </w:p>
    <w:p>
      <w:pPr>
        <w:pStyle w:val="26"/>
        <w:numPr>
          <w:ilvl w:val="0"/>
          <w:numId w:val="0"/>
        </w:numPr>
        <w:spacing w:before="0" w:beforeAutospacing="0" w:after="0" w:afterAutospacing="0" w:line="360" w:lineRule="auto"/>
        <w:ind w:firstLine="482" w:firstLineChars="200"/>
        <w:rPr>
          <w:rFonts w:hint="eastAsia" w:cs="宋体"/>
          <w:b/>
          <w:bCs/>
          <w:color w:val="auto"/>
          <w:lang w:val="en-US" w:eastAsia="zh-CN"/>
        </w:rPr>
      </w:pPr>
      <w:r>
        <w:rPr>
          <w:rFonts w:hint="eastAsia" w:cs="宋体"/>
          <w:b/>
          <w:bCs/>
          <w:color w:val="auto"/>
          <w:lang w:val="en-US" w:eastAsia="zh-CN"/>
        </w:rPr>
        <w:t>3.3承包人人员</w:t>
      </w:r>
    </w:p>
    <w:p>
      <w:pPr>
        <w:pStyle w:val="26"/>
        <w:numPr>
          <w:ilvl w:val="0"/>
          <w:numId w:val="0"/>
        </w:numPr>
        <w:spacing w:before="0" w:beforeAutospacing="0" w:after="0" w:afterAutospacing="0" w:line="360" w:lineRule="auto"/>
        <w:ind w:firstLine="480" w:firstLineChars="200"/>
        <w:rPr>
          <w:rFonts w:hint="eastAsia" w:cs="宋体"/>
          <w:color w:val="auto"/>
          <w:lang w:val="en-US" w:eastAsia="zh-CN"/>
        </w:rPr>
      </w:pPr>
      <w:r>
        <w:rPr>
          <w:rFonts w:hint="eastAsia" w:cs="宋体"/>
          <w:color w:val="auto"/>
          <w:lang w:val="en-US" w:eastAsia="zh-CN"/>
        </w:rPr>
        <w:t>3.3.1除专用合同条款另有约定外，承包人应在接到开工通知后7天内，向监理人提交承包人项目管理机构及施工现场人员安排的报告，其内容应包括合同管理、施工、技术、材料、质量、安全、财务等主要施工管理人员名单及其岗位、注册执业资格等，以及各工种技术工人的安排情况，并同时提交主要施工管理人员与承包人之间的劳动关系证明和缴纳社会保险的有效证明。</w:t>
      </w:r>
    </w:p>
    <w:p>
      <w:pPr>
        <w:pStyle w:val="26"/>
        <w:numPr>
          <w:ilvl w:val="0"/>
          <w:numId w:val="0"/>
        </w:numPr>
        <w:spacing w:before="0" w:beforeAutospacing="0" w:after="0" w:afterAutospacing="0" w:line="360" w:lineRule="auto"/>
        <w:ind w:firstLine="480" w:firstLineChars="200"/>
        <w:rPr>
          <w:rFonts w:hint="eastAsia" w:cs="宋体"/>
          <w:color w:val="auto"/>
          <w:lang w:val="en-US" w:eastAsia="zh-CN"/>
        </w:rPr>
      </w:pPr>
      <w:r>
        <w:rPr>
          <w:rFonts w:hint="eastAsia" w:cs="宋体"/>
          <w:color w:val="auto"/>
          <w:lang w:val="en-US" w:eastAsia="zh-CN"/>
        </w:rPr>
        <w:t>3.3.2承包人派驻到施工现场的主要施工管理人员应相对稳定。施工过程中如有变动，承包人应及时向监理人提交施工现场人员变动情况的报告。承包人更换主要施工管理人员时，应提前7天书面通知监理人，并征得发包人书面同意。通知中应当载明继任人员的注册执业资格、管理经验等资料。</w:t>
      </w:r>
    </w:p>
    <w:p>
      <w:pPr>
        <w:pStyle w:val="26"/>
        <w:numPr>
          <w:ilvl w:val="0"/>
          <w:numId w:val="0"/>
        </w:numPr>
        <w:spacing w:before="0" w:beforeAutospacing="0" w:after="0" w:afterAutospacing="0" w:line="360" w:lineRule="auto"/>
        <w:ind w:firstLine="480" w:firstLineChars="200"/>
        <w:rPr>
          <w:rFonts w:hint="eastAsia" w:cs="宋体"/>
          <w:color w:val="auto"/>
          <w:lang w:val="en-US" w:eastAsia="zh-CN"/>
        </w:rPr>
      </w:pPr>
      <w:r>
        <w:rPr>
          <w:rFonts w:hint="eastAsia" w:cs="宋体"/>
          <w:color w:val="auto"/>
          <w:lang w:val="en-US" w:eastAsia="zh-CN"/>
        </w:rPr>
        <w:t>特殊工种作业人员均应持有相应的资格证明，监理人可以随时检查。</w:t>
      </w:r>
    </w:p>
    <w:p>
      <w:pPr>
        <w:pStyle w:val="26"/>
        <w:numPr>
          <w:ilvl w:val="0"/>
          <w:numId w:val="0"/>
        </w:numPr>
        <w:spacing w:before="0" w:beforeAutospacing="0" w:after="0" w:afterAutospacing="0" w:line="360" w:lineRule="auto"/>
        <w:ind w:firstLine="480" w:firstLineChars="200"/>
        <w:rPr>
          <w:rFonts w:hint="eastAsia" w:cs="宋体"/>
          <w:color w:val="auto"/>
          <w:lang w:val="en-US" w:eastAsia="zh-CN"/>
        </w:rPr>
      </w:pPr>
      <w:r>
        <w:rPr>
          <w:rFonts w:hint="eastAsia" w:cs="宋体"/>
          <w:color w:val="auto"/>
          <w:lang w:val="en-US" w:eastAsia="zh-CN"/>
        </w:rPr>
        <w:t>3.3.3发包人对于承包人主要施工管理人员的资格或能力有异议的，承包人应提供资料证明被质疑人员有能力完成其岗位工作或不存在发包人所质疑的情形。发包人要求撤换不能按照合同约定履行职责及义务的主要施工管理人员的，承包人应当撤换。承包人无正当理由拒绝撤换的，应按照专用合同条款的约定承担违约责任。</w:t>
      </w:r>
    </w:p>
    <w:p>
      <w:pPr>
        <w:pStyle w:val="26"/>
        <w:numPr>
          <w:ilvl w:val="0"/>
          <w:numId w:val="0"/>
        </w:numPr>
        <w:spacing w:before="0" w:beforeAutospacing="0" w:after="0" w:afterAutospacing="0" w:line="360" w:lineRule="auto"/>
        <w:ind w:firstLine="480" w:firstLineChars="200"/>
        <w:rPr>
          <w:rFonts w:hint="eastAsia" w:cs="宋体"/>
          <w:color w:val="auto"/>
          <w:lang w:val="en-US" w:eastAsia="zh-CN"/>
        </w:rPr>
      </w:pPr>
      <w:r>
        <w:rPr>
          <w:rFonts w:hint="eastAsia" w:cs="宋体"/>
          <w:color w:val="auto"/>
          <w:lang w:val="en-US" w:eastAsia="zh-CN"/>
        </w:rPr>
        <w:t>3.3.4除专用合同条款另有约定外，承包人的主要施工管理人员离开施工现场每月累计不超过5天的，应报监理人同意；离开施工现场每月累计超过5天的，应通知监理人，并征得发包人书面同意。主要施工管理人员离开施工现场前应指定一名有经验的人员临时代行其职责，该人员应具备履行相应职责的资格和能力，且应征得监理人或发包人的同意。</w:t>
      </w:r>
    </w:p>
    <w:p>
      <w:pPr>
        <w:pStyle w:val="26"/>
        <w:numPr>
          <w:ilvl w:val="0"/>
          <w:numId w:val="0"/>
        </w:numPr>
        <w:spacing w:before="0" w:beforeAutospacing="0" w:after="0" w:afterAutospacing="0" w:line="360" w:lineRule="auto"/>
        <w:ind w:firstLine="480" w:firstLineChars="200"/>
        <w:rPr>
          <w:rFonts w:hint="eastAsia" w:cs="宋体"/>
          <w:color w:val="auto"/>
          <w:lang w:val="en-US" w:eastAsia="zh-CN"/>
        </w:rPr>
      </w:pPr>
      <w:r>
        <w:rPr>
          <w:rFonts w:hint="eastAsia" w:cs="宋体"/>
          <w:color w:val="auto"/>
          <w:lang w:val="en-US" w:eastAsia="zh-CN"/>
        </w:rPr>
        <w:t>3.3.5承包人擅自更换主要施工管理人员，或前述人员未经监理人或发包人同意擅自离开施工现场的，应按照专用合同条款约定承担违约责任。</w:t>
      </w:r>
    </w:p>
    <w:p>
      <w:pPr>
        <w:pStyle w:val="26"/>
        <w:numPr>
          <w:ilvl w:val="0"/>
          <w:numId w:val="0"/>
        </w:numPr>
        <w:spacing w:before="0" w:beforeAutospacing="0" w:after="0" w:afterAutospacing="0" w:line="360" w:lineRule="auto"/>
        <w:ind w:firstLine="482" w:firstLineChars="200"/>
        <w:rPr>
          <w:rFonts w:hint="eastAsia" w:cs="宋体"/>
          <w:b/>
          <w:bCs/>
          <w:color w:val="auto"/>
          <w:lang w:val="en-US" w:eastAsia="zh-CN"/>
        </w:rPr>
      </w:pPr>
      <w:r>
        <w:rPr>
          <w:rFonts w:hint="eastAsia" w:cs="宋体"/>
          <w:b/>
          <w:bCs/>
          <w:color w:val="auto"/>
          <w:lang w:val="en-US" w:eastAsia="zh-CN"/>
        </w:rPr>
        <w:t>3.4承包人现场查勘</w:t>
      </w:r>
    </w:p>
    <w:p>
      <w:pPr>
        <w:pStyle w:val="26"/>
        <w:numPr>
          <w:ilvl w:val="0"/>
          <w:numId w:val="0"/>
        </w:numPr>
        <w:spacing w:before="0" w:beforeAutospacing="0" w:after="0" w:afterAutospacing="0" w:line="360" w:lineRule="auto"/>
        <w:ind w:firstLine="480" w:firstLineChars="200"/>
        <w:rPr>
          <w:rFonts w:hint="eastAsia" w:cs="宋体"/>
          <w:color w:val="auto"/>
          <w:lang w:val="en-US" w:eastAsia="zh-CN"/>
        </w:rPr>
      </w:pPr>
      <w:r>
        <w:rPr>
          <w:rFonts w:hint="eastAsia" w:cs="宋体"/>
          <w:color w:val="auto"/>
          <w:lang w:val="en-US" w:eastAsia="zh-CN"/>
        </w:rPr>
        <w:t>承包人应对基于发包人按照第2.4.3项〔提供基础资料〕提交的基础资料所做出的解释和推断负责，但因基础资料存在错误、遗漏导致承包人解释或推断失实的，由发包人承担责任。</w:t>
      </w:r>
    </w:p>
    <w:p>
      <w:pPr>
        <w:pStyle w:val="26"/>
        <w:numPr>
          <w:ilvl w:val="0"/>
          <w:numId w:val="0"/>
        </w:numPr>
        <w:spacing w:before="0" w:beforeAutospacing="0" w:after="0" w:afterAutospacing="0" w:line="360" w:lineRule="auto"/>
        <w:ind w:firstLine="480" w:firstLineChars="200"/>
        <w:rPr>
          <w:rFonts w:hint="eastAsia" w:cs="宋体"/>
          <w:color w:val="auto"/>
          <w:lang w:val="en-US" w:eastAsia="zh-CN"/>
        </w:rPr>
      </w:pPr>
      <w:r>
        <w:rPr>
          <w:rFonts w:hint="eastAsia" w:cs="宋体"/>
          <w:color w:val="auto"/>
          <w:lang w:val="en-US" w:eastAsia="zh-CN"/>
        </w:rPr>
        <w:t>承包人应对施工现场和施工条件进行查勘，并充分了解工程所在地的气象条件、交通条件、风俗习惯以及其他与完成合同工作有关的其他资料。因承包人未能充分查勘、了解前述情况或未能充分估计前述情况所可能产生后果的，承包人承担由此增加的费用和(或)延误的工期。</w:t>
      </w:r>
    </w:p>
    <w:p>
      <w:pPr>
        <w:pStyle w:val="26"/>
        <w:numPr>
          <w:ilvl w:val="0"/>
          <w:numId w:val="0"/>
        </w:numPr>
        <w:spacing w:before="0" w:beforeAutospacing="0" w:after="0" w:afterAutospacing="0" w:line="360" w:lineRule="auto"/>
        <w:ind w:firstLine="482" w:firstLineChars="200"/>
        <w:rPr>
          <w:rFonts w:hint="eastAsia" w:cs="宋体"/>
          <w:b/>
          <w:bCs/>
          <w:color w:val="auto"/>
          <w:lang w:val="en-US" w:eastAsia="zh-CN"/>
        </w:rPr>
      </w:pPr>
      <w:r>
        <w:rPr>
          <w:rFonts w:hint="eastAsia" w:cs="宋体"/>
          <w:b/>
          <w:bCs/>
          <w:color w:val="auto"/>
          <w:lang w:val="en-US" w:eastAsia="zh-CN"/>
        </w:rPr>
        <w:t>3.5分包</w:t>
      </w:r>
    </w:p>
    <w:p>
      <w:pPr>
        <w:pStyle w:val="26"/>
        <w:numPr>
          <w:ilvl w:val="0"/>
          <w:numId w:val="0"/>
        </w:numPr>
        <w:spacing w:before="0" w:beforeAutospacing="0" w:after="0" w:afterAutospacing="0" w:line="360" w:lineRule="auto"/>
        <w:ind w:firstLine="480" w:firstLineChars="200"/>
        <w:rPr>
          <w:rFonts w:hint="eastAsia" w:cs="宋体"/>
          <w:color w:val="auto"/>
          <w:lang w:val="en-US" w:eastAsia="zh-CN"/>
        </w:rPr>
      </w:pPr>
      <w:r>
        <w:rPr>
          <w:rFonts w:hint="eastAsia" w:cs="宋体"/>
          <w:color w:val="auto"/>
          <w:lang w:val="en-US" w:eastAsia="zh-CN"/>
        </w:rPr>
        <w:t>3.5.1分包的一般约定</w:t>
      </w:r>
    </w:p>
    <w:p>
      <w:pPr>
        <w:pStyle w:val="26"/>
        <w:numPr>
          <w:ilvl w:val="0"/>
          <w:numId w:val="0"/>
        </w:numPr>
        <w:spacing w:before="0" w:beforeAutospacing="0" w:after="0" w:afterAutospacing="0" w:line="360" w:lineRule="auto"/>
        <w:ind w:firstLine="480" w:firstLineChars="200"/>
        <w:rPr>
          <w:rFonts w:hint="eastAsia" w:cs="宋体"/>
          <w:color w:val="auto"/>
          <w:lang w:val="en-US" w:eastAsia="zh-CN"/>
        </w:rPr>
      </w:pPr>
      <w:r>
        <w:rPr>
          <w:rFonts w:hint="eastAsia" w:cs="宋体"/>
          <w:color w:val="auto"/>
          <w:lang w:val="en-US" w:eastAsia="zh-CN"/>
        </w:rPr>
        <w:t>承包人不得将其承包的全部工程转包给第三人，或将其承包的全部工程肢解后以分包的名义转包给第三人。承包人不得将工程主体结构、关键性工作及专用合同条款中禁止分包的专业工程分包给第三人，主体结构、关键性工作的范围由合同当事人按照法律规定在专用合同条款中予以明确。</w:t>
      </w:r>
    </w:p>
    <w:p>
      <w:pPr>
        <w:pStyle w:val="26"/>
        <w:numPr>
          <w:ilvl w:val="0"/>
          <w:numId w:val="0"/>
        </w:numPr>
        <w:spacing w:before="0" w:beforeAutospacing="0" w:after="0" w:afterAutospacing="0" w:line="360" w:lineRule="auto"/>
        <w:ind w:firstLine="480" w:firstLineChars="200"/>
        <w:rPr>
          <w:rFonts w:hint="eastAsia" w:cs="宋体"/>
          <w:color w:val="auto"/>
          <w:lang w:val="en-US" w:eastAsia="zh-CN"/>
        </w:rPr>
      </w:pPr>
      <w:r>
        <w:rPr>
          <w:rFonts w:hint="eastAsia" w:cs="宋体"/>
          <w:color w:val="auto"/>
          <w:lang w:val="en-US" w:eastAsia="zh-CN"/>
        </w:rPr>
        <w:t>承包人不得以劳务分包的名义转包或违法分包工程。</w:t>
      </w:r>
    </w:p>
    <w:p>
      <w:pPr>
        <w:pStyle w:val="26"/>
        <w:numPr>
          <w:ilvl w:val="0"/>
          <w:numId w:val="0"/>
        </w:numPr>
        <w:spacing w:before="0" w:beforeAutospacing="0" w:after="0" w:afterAutospacing="0" w:line="360" w:lineRule="auto"/>
        <w:ind w:firstLine="480" w:firstLineChars="200"/>
        <w:rPr>
          <w:rFonts w:hint="eastAsia" w:cs="宋体"/>
          <w:color w:val="auto"/>
          <w:lang w:val="en-US" w:eastAsia="zh-CN"/>
        </w:rPr>
      </w:pPr>
      <w:r>
        <w:rPr>
          <w:rFonts w:hint="eastAsia" w:cs="宋体"/>
          <w:color w:val="auto"/>
          <w:lang w:val="en-US" w:eastAsia="zh-CN"/>
        </w:rPr>
        <w:t>3.5.2分包的确定</w:t>
      </w:r>
    </w:p>
    <w:p>
      <w:pPr>
        <w:pStyle w:val="26"/>
        <w:numPr>
          <w:ilvl w:val="0"/>
          <w:numId w:val="0"/>
        </w:numPr>
        <w:spacing w:before="0" w:beforeAutospacing="0" w:after="0" w:afterAutospacing="0" w:line="360" w:lineRule="auto"/>
        <w:ind w:firstLine="480" w:firstLineChars="200"/>
        <w:rPr>
          <w:rFonts w:hint="eastAsia" w:cs="宋体"/>
          <w:color w:val="auto"/>
          <w:lang w:val="en-US" w:eastAsia="zh-CN"/>
        </w:rPr>
      </w:pPr>
      <w:r>
        <w:rPr>
          <w:rFonts w:hint="eastAsia" w:cs="宋体"/>
          <w:color w:val="auto"/>
          <w:lang w:val="en-US" w:eastAsia="zh-CN"/>
        </w:rPr>
        <w:t>承包人应按专用合同条款的约定进行分包，确定分包人。已标价工程量清单或预算书中给定暂估价的专业工程，按照第10.7款〔暂估价〕确定分包人。按照合同约定进行分包的，承包人应确保分包人具有相应的资质和能力。工程分包不减轻或免除承包人的责任和义务，承包人和分包人就分包工程向发包人承担连带责任。除合同另有约定外，承包人应在分包合同签订后7天内向发包人和监理人提交分包合同副本。</w:t>
      </w:r>
    </w:p>
    <w:p>
      <w:pPr>
        <w:pStyle w:val="26"/>
        <w:numPr>
          <w:ilvl w:val="0"/>
          <w:numId w:val="0"/>
        </w:numPr>
        <w:spacing w:before="0" w:beforeAutospacing="0" w:after="0" w:afterAutospacing="0" w:line="360" w:lineRule="auto"/>
        <w:ind w:firstLine="480" w:firstLineChars="200"/>
        <w:rPr>
          <w:rFonts w:hint="eastAsia" w:cs="宋体"/>
          <w:color w:val="auto"/>
          <w:lang w:val="en-US" w:eastAsia="zh-CN"/>
        </w:rPr>
      </w:pPr>
      <w:r>
        <w:rPr>
          <w:rFonts w:hint="eastAsia" w:cs="宋体"/>
          <w:color w:val="auto"/>
          <w:lang w:val="en-US" w:eastAsia="zh-CN"/>
        </w:rPr>
        <w:t>3.5.3分包管理</w:t>
      </w:r>
    </w:p>
    <w:p>
      <w:pPr>
        <w:pStyle w:val="26"/>
        <w:numPr>
          <w:ilvl w:val="0"/>
          <w:numId w:val="0"/>
        </w:numPr>
        <w:spacing w:before="0" w:beforeAutospacing="0" w:after="0" w:afterAutospacing="0" w:line="360" w:lineRule="auto"/>
        <w:ind w:firstLine="480" w:firstLineChars="200"/>
        <w:rPr>
          <w:rFonts w:hint="eastAsia" w:cs="宋体"/>
          <w:color w:val="auto"/>
          <w:lang w:val="en-US" w:eastAsia="zh-CN"/>
        </w:rPr>
      </w:pPr>
      <w:r>
        <w:rPr>
          <w:rFonts w:hint="eastAsia" w:cs="宋体"/>
          <w:color w:val="auto"/>
          <w:lang w:val="en-US" w:eastAsia="zh-CN"/>
        </w:rPr>
        <w:t>承包人应向监理人提交分包人的主要施工管理人员表，并对分包人的施工人员进行实名制管理，包括但不限于进出场管理、登记造册以及各种证照的办理。</w:t>
      </w:r>
    </w:p>
    <w:p>
      <w:pPr>
        <w:pStyle w:val="26"/>
        <w:numPr>
          <w:ilvl w:val="0"/>
          <w:numId w:val="0"/>
        </w:numPr>
        <w:spacing w:before="0" w:beforeAutospacing="0" w:after="0" w:afterAutospacing="0" w:line="360" w:lineRule="auto"/>
        <w:ind w:firstLine="480" w:firstLineChars="200"/>
        <w:rPr>
          <w:rFonts w:hint="eastAsia" w:cs="宋体"/>
          <w:color w:val="auto"/>
          <w:lang w:val="en-US" w:eastAsia="zh-CN"/>
        </w:rPr>
      </w:pPr>
      <w:r>
        <w:rPr>
          <w:rFonts w:hint="eastAsia" w:cs="宋体"/>
          <w:color w:val="auto"/>
          <w:lang w:val="en-US" w:eastAsia="zh-CN"/>
        </w:rPr>
        <w:t>3.5.4分包合同价款</w:t>
      </w:r>
    </w:p>
    <w:p>
      <w:pPr>
        <w:pStyle w:val="26"/>
        <w:numPr>
          <w:ilvl w:val="0"/>
          <w:numId w:val="0"/>
        </w:numPr>
        <w:spacing w:before="0" w:beforeAutospacing="0" w:after="0" w:afterAutospacing="0" w:line="360" w:lineRule="auto"/>
        <w:ind w:firstLine="480" w:firstLineChars="200"/>
        <w:rPr>
          <w:rFonts w:hint="eastAsia" w:cs="宋体"/>
          <w:color w:val="auto"/>
          <w:lang w:val="en-US" w:eastAsia="zh-CN"/>
        </w:rPr>
      </w:pPr>
      <w:r>
        <w:rPr>
          <w:rFonts w:hint="eastAsia" w:cs="宋体"/>
          <w:color w:val="auto"/>
          <w:lang w:val="en-US" w:eastAsia="zh-CN"/>
        </w:rPr>
        <w:t>(1)除本项第(2)目约定的情况或专用合同条款另有约定外，分包合同价款由承包人与分包人结算，未经承包人同意，发包人不得向分包人支付分包工程价款；</w:t>
      </w:r>
    </w:p>
    <w:p>
      <w:pPr>
        <w:pStyle w:val="26"/>
        <w:numPr>
          <w:ilvl w:val="0"/>
          <w:numId w:val="0"/>
        </w:numPr>
        <w:spacing w:before="0" w:beforeAutospacing="0" w:after="0" w:afterAutospacing="0" w:line="360" w:lineRule="auto"/>
        <w:ind w:firstLine="480" w:firstLineChars="200"/>
        <w:rPr>
          <w:rFonts w:hint="eastAsia" w:cs="宋体"/>
          <w:color w:val="auto"/>
          <w:lang w:val="en-US" w:eastAsia="zh-CN"/>
        </w:rPr>
      </w:pPr>
      <w:r>
        <w:rPr>
          <w:rFonts w:hint="eastAsia" w:cs="宋体"/>
          <w:color w:val="auto"/>
          <w:lang w:val="en-US" w:eastAsia="zh-CN"/>
        </w:rPr>
        <w:t>(2)生效法律文书要求发包人向分包人支付分包合同价款的，发包人有权从应付承包人工程款中扣除该部分款项。</w:t>
      </w:r>
    </w:p>
    <w:p>
      <w:pPr>
        <w:pStyle w:val="26"/>
        <w:numPr>
          <w:ilvl w:val="0"/>
          <w:numId w:val="0"/>
        </w:numPr>
        <w:spacing w:before="0" w:beforeAutospacing="0" w:after="0" w:afterAutospacing="0" w:line="360" w:lineRule="auto"/>
        <w:ind w:firstLine="480" w:firstLineChars="200"/>
        <w:rPr>
          <w:rFonts w:hint="eastAsia" w:cs="宋体"/>
          <w:color w:val="auto"/>
          <w:lang w:val="en-US" w:eastAsia="zh-CN"/>
        </w:rPr>
      </w:pPr>
      <w:r>
        <w:rPr>
          <w:rFonts w:hint="eastAsia" w:cs="宋体"/>
          <w:color w:val="auto"/>
          <w:lang w:val="en-US" w:eastAsia="zh-CN"/>
        </w:rPr>
        <w:t>3.5.5分包合同权益的转让</w:t>
      </w:r>
    </w:p>
    <w:p>
      <w:pPr>
        <w:pStyle w:val="26"/>
        <w:numPr>
          <w:ilvl w:val="0"/>
          <w:numId w:val="0"/>
        </w:numPr>
        <w:spacing w:before="0" w:beforeAutospacing="0" w:after="0" w:afterAutospacing="0" w:line="360" w:lineRule="auto"/>
        <w:ind w:firstLine="480" w:firstLineChars="200"/>
        <w:rPr>
          <w:rFonts w:hint="eastAsia" w:cs="宋体"/>
          <w:color w:val="auto"/>
          <w:lang w:val="en-US" w:eastAsia="zh-CN"/>
        </w:rPr>
      </w:pPr>
      <w:r>
        <w:rPr>
          <w:rFonts w:hint="eastAsia" w:cs="宋体"/>
          <w:color w:val="auto"/>
          <w:lang w:val="en-US" w:eastAsia="zh-CN"/>
        </w:rPr>
        <w:t>分包人在分包合同项下的义务持续到缺陷责任期届满以后的，发包人有权在缺陷责任期届满前，要求承包人将其在分包合同项下的权益转让给发包人，承包人应当转让。除转让合同另有约定外，转让合同生效后，由分包人向发包人履行义务。</w:t>
      </w:r>
    </w:p>
    <w:p>
      <w:pPr>
        <w:pStyle w:val="26"/>
        <w:numPr>
          <w:ilvl w:val="0"/>
          <w:numId w:val="0"/>
        </w:numPr>
        <w:spacing w:before="0" w:beforeAutospacing="0" w:after="0" w:afterAutospacing="0" w:line="360" w:lineRule="auto"/>
        <w:ind w:firstLine="482" w:firstLineChars="200"/>
        <w:rPr>
          <w:rFonts w:hint="eastAsia" w:cs="宋体"/>
          <w:b/>
          <w:bCs/>
          <w:color w:val="auto"/>
          <w:lang w:val="en-US" w:eastAsia="zh-CN"/>
        </w:rPr>
      </w:pPr>
      <w:r>
        <w:rPr>
          <w:rFonts w:hint="eastAsia" w:cs="宋体"/>
          <w:b/>
          <w:bCs/>
          <w:color w:val="auto"/>
          <w:lang w:val="en-US" w:eastAsia="zh-CN"/>
        </w:rPr>
        <w:t>3.6工程照管与成品、半成品保护</w:t>
      </w:r>
    </w:p>
    <w:p>
      <w:pPr>
        <w:pStyle w:val="26"/>
        <w:numPr>
          <w:ilvl w:val="0"/>
          <w:numId w:val="0"/>
        </w:numPr>
        <w:spacing w:before="0" w:beforeAutospacing="0" w:after="0" w:afterAutospacing="0" w:line="360" w:lineRule="auto"/>
        <w:ind w:firstLine="480" w:firstLineChars="200"/>
        <w:rPr>
          <w:rFonts w:hint="eastAsia" w:cs="宋体"/>
          <w:color w:val="auto"/>
          <w:lang w:val="en-US" w:eastAsia="zh-CN"/>
        </w:rPr>
      </w:pPr>
      <w:r>
        <w:rPr>
          <w:rFonts w:hint="eastAsia" w:cs="宋体"/>
          <w:color w:val="auto"/>
          <w:lang w:val="en-US" w:eastAsia="zh-CN"/>
        </w:rPr>
        <w:t>(1)除专用合同条款另有约定外，自发包人向承包人移交施工现场之日起，承包人应负责照管工程及工程相关的材料、工程设备，直到颁发工程接收证书之日止。</w:t>
      </w:r>
    </w:p>
    <w:p>
      <w:pPr>
        <w:pStyle w:val="26"/>
        <w:numPr>
          <w:ilvl w:val="0"/>
          <w:numId w:val="0"/>
        </w:numPr>
        <w:spacing w:before="0" w:beforeAutospacing="0" w:after="0" w:afterAutospacing="0" w:line="360" w:lineRule="auto"/>
        <w:ind w:firstLine="480" w:firstLineChars="200"/>
        <w:rPr>
          <w:rFonts w:hint="eastAsia" w:cs="宋体"/>
          <w:color w:val="auto"/>
          <w:lang w:val="en-US" w:eastAsia="zh-CN"/>
        </w:rPr>
      </w:pPr>
      <w:r>
        <w:rPr>
          <w:rFonts w:hint="eastAsia" w:cs="宋体"/>
          <w:color w:val="auto"/>
          <w:lang w:val="en-US" w:eastAsia="zh-CN"/>
        </w:rPr>
        <w:t>(2)在承包人负责照管期间，因承包人原因造成工程、材料、工程设备损坏的，由承包人负责修复或更换，并承担由此增加的费用和(或)延误的工期。</w:t>
      </w:r>
    </w:p>
    <w:p>
      <w:pPr>
        <w:pStyle w:val="26"/>
        <w:numPr>
          <w:ilvl w:val="0"/>
          <w:numId w:val="0"/>
        </w:numPr>
        <w:spacing w:before="0" w:beforeAutospacing="0" w:after="0" w:afterAutospacing="0" w:line="360" w:lineRule="auto"/>
        <w:ind w:firstLine="480" w:firstLineChars="200"/>
        <w:rPr>
          <w:rFonts w:hint="eastAsia" w:cs="宋体"/>
          <w:color w:val="auto"/>
          <w:lang w:val="en-US" w:eastAsia="zh-CN"/>
        </w:rPr>
      </w:pPr>
      <w:r>
        <w:rPr>
          <w:rFonts w:hint="eastAsia" w:cs="宋体"/>
          <w:color w:val="auto"/>
          <w:lang w:val="en-US" w:eastAsia="zh-CN"/>
        </w:rPr>
        <w:t>(3)对合同内分期完成的成品和半成品，在工程接收证书颁发前，由承包人承担保护责任。因承包人原因造成成品或半成品损坏的，由承包人负责修复或更换，并承担由此增加的费用和(或)延误的工期。</w:t>
      </w:r>
    </w:p>
    <w:p>
      <w:pPr>
        <w:pStyle w:val="26"/>
        <w:numPr>
          <w:ilvl w:val="0"/>
          <w:numId w:val="0"/>
        </w:numPr>
        <w:spacing w:before="0" w:beforeAutospacing="0" w:after="0" w:afterAutospacing="0" w:line="360" w:lineRule="auto"/>
        <w:ind w:firstLine="482" w:firstLineChars="200"/>
        <w:rPr>
          <w:rFonts w:hint="eastAsia" w:cs="宋体"/>
          <w:b/>
          <w:bCs/>
          <w:color w:val="auto"/>
          <w:lang w:val="en-US" w:eastAsia="zh-CN"/>
        </w:rPr>
      </w:pPr>
      <w:r>
        <w:rPr>
          <w:rFonts w:hint="eastAsia" w:cs="宋体"/>
          <w:b/>
          <w:bCs/>
          <w:color w:val="auto"/>
          <w:lang w:val="en-US" w:eastAsia="zh-CN"/>
        </w:rPr>
        <w:t>3.7履约担保</w:t>
      </w:r>
    </w:p>
    <w:p>
      <w:pPr>
        <w:pStyle w:val="26"/>
        <w:numPr>
          <w:ilvl w:val="0"/>
          <w:numId w:val="0"/>
        </w:numPr>
        <w:spacing w:before="0" w:beforeAutospacing="0" w:after="0" w:afterAutospacing="0" w:line="360" w:lineRule="auto"/>
        <w:ind w:firstLine="480" w:firstLineChars="200"/>
        <w:rPr>
          <w:rFonts w:hint="eastAsia" w:cs="宋体"/>
          <w:color w:val="auto"/>
          <w:lang w:val="en-US" w:eastAsia="zh-CN"/>
        </w:rPr>
      </w:pPr>
      <w:r>
        <w:rPr>
          <w:rFonts w:hint="eastAsia" w:cs="宋体"/>
          <w:color w:val="auto"/>
          <w:lang w:val="en-US" w:eastAsia="zh-CN"/>
        </w:rPr>
        <w:t>发包人需要承包人提供履约担保的，由合同当事人在专用合同条款中约定履约担保的方式、金额及期限等。履约担保可以采用银行保函或担保公司担保等形式，具体由合同当事人在专用合同条款中约定。</w:t>
      </w:r>
    </w:p>
    <w:p>
      <w:pPr>
        <w:pStyle w:val="26"/>
        <w:numPr>
          <w:ilvl w:val="0"/>
          <w:numId w:val="0"/>
        </w:numPr>
        <w:spacing w:before="0" w:beforeAutospacing="0" w:after="0" w:afterAutospacing="0" w:line="360" w:lineRule="auto"/>
        <w:ind w:firstLine="480" w:firstLineChars="200"/>
        <w:rPr>
          <w:rFonts w:hint="eastAsia" w:cs="宋体"/>
          <w:color w:val="auto"/>
          <w:lang w:val="en-US" w:eastAsia="zh-CN"/>
        </w:rPr>
      </w:pPr>
      <w:r>
        <w:rPr>
          <w:rFonts w:hint="eastAsia" w:cs="宋体"/>
          <w:color w:val="auto"/>
          <w:lang w:val="en-US" w:eastAsia="zh-CN"/>
        </w:rPr>
        <w:t>因承包人原因导致工期延长的，继续提供履约担保所增加的费用由承包人承担；非因承包人原因导致工期延长的，继续提供履约担保所增加的费用由发包人承担。</w:t>
      </w:r>
    </w:p>
    <w:p>
      <w:pPr>
        <w:pStyle w:val="26"/>
        <w:numPr>
          <w:ilvl w:val="0"/>
          <w:numId w:val="0"/>
        </w:numPr>
        <w:spacing w:before="0" w:beforeAutospacing="0" w:after="0" w:afterAutospacing="0" w:line="360" w:lineRule="auto"/>
        <w:ind w:firstLine="482" w:firstLineChars="200"/>
        <w:rPr>
          <w:rFonts w:hint="eastAsia" w:cs="宋体"/>
          <w:b/>
          <w:bCs/>
          <w:color w:val="auto"/>
          <w:lang w:val="en-US" w:eastAsia="zh-CN"/>
        </w:rPr>
      </w:pPr>
      <w:r>
        <w:rPr>
          <w:rFonts w:hint="eastAsia" w:cs="宋体"/>
          <w:b/>
          <w:bCs/>
          <w:color w:val="auto"/>
          <w:lang w:val="en-US" w:eastAsia="zh-CN"/>
        </w:rPr>
        <w:t>3.8联合体</w:t>
      </w:r>
    </w:p>
    <w:p>
      <w:pPr>
        <w:pStyle w:val="26"/>
        <w:numPr>
          <w:ilvl w:val="0"/>
          <w:numId w:val="0"/>
        </w:numPr>
        <w:spacing w:before="0" w:beforeAutospacing="0" w:after="0" w:afterAutospacing="0" w:line="360" w:lineRule="auto"/>
        <w:ind w:firstLine="480" w:firstLineChars="200"/>
        <w:rPr>
          <w:rFonts w:hint="eastAsia" w:cs="宋体"/>
          <w:color w:val="auto"/>
          <w:lang w:val="en-US" w:eastAsia="zh-CN"/>
        </w:rPr>
      </w:pPr>
      <w:r>
        <w:rPr>
          <w:rFonts w:hint="eastAsia" w:cs="宋体"/>
          <w:color w:val="auto"/>
          <w:lang w:val="en-US" w:eastAsia="zh-CN"/>
        </w:rPr>
        <w:t>3.8.1联合体各方应共同与发包人签订合同协议书。联合体各方应为履行合同向发包人承担连带责任。</w:t>
      </w:r>
    </w:p>
    <w:p>
      <w:pPr>
        <w:pStyle w:val="26"/>
        <w:numPr>
          <w:ilvl w:val="0"/>
          <w:numId w:val="0"/>
        </w:numPr>
        <w:spacing w:before="0" w:beforeAutospacing="0" w:after="0" w:afterAutospacing="0" w:line="360" w:lineRule="auto"/>
        <w:ind w:firstLine="480" w:firstLineChars="200"/>
        <w:rPr>
          <w:rFonts w:hint="eastAsia" w:cs="宋体"/>
          <w:color w:val="auto"/>
          <w:lang w:val="en-US" w:eastAsia="zh-CN"/>
        </w:rPr>
      </w:pPr>
      <w:r>
        <w:rPr>
          <w:rFonts w:hint="eastAsia" w:cs="宋体"/>
          <w:color w:val="auto"/>
          <w:lang w:val="en-US" w:eastAsia="zh-CN"/>
        </w:rPr>
        <w:t>3.8.2联合体协议经发包人确认后作为合同附件。在履行合同过程中，未经发包人同意，不得修改联合体协议。</w:t>
      </w:r>
    </w:p>
    <w:p>
      <w:pPr>
        <w:pStyle w:val="26"/>
        <w:numPr>
          <w:ilvl w:val="0"/>
          <w:numId w:val="0"/>
        </w:numPr>
        <w:spacing w:before="0" w:beforeAutospacing="0" w:after="0" w:afterAutospacing="0" w:line="360" w:lineRule="auto"/>
        <w:ind w:firstLine="480" w:firstLineChars="200"/>
        <w:rPr>
          <w:rFonts w:hint="eastAsia" w:cs="宋体"/>
          <w:color w:val="auto"/>
          <w:lang w:val="en-US" w:eastAsia="zh-CN"/>
        </w:rPr>
      </w:pPr>
      <w:r>
        <w:rPr>
          <w:rFonts w:hint="eastAsia" w:cs="宋体"/>
          <w:color w:val="auto"/>
          <w:lang w:val="en-US" w:eastAsia="zh-CN"/>
        </w:rPr>
        <w:t>3.8.3联合体牵头人负责与发包人和监理人联系，并接受指示，负责组织联合体各成员全面履行合同。</w:t>
      </w:r>
    </w:p>
    <w:p>
      <w:pPr>
        <w:pStyle w:val="26"/>
        <w:numPr>
          <w:ilvl w:val="0"/>
          <w:numId w:val="0"/>
        </w:numPr>
        <w:spacing w:before="0" w:beforeAutospacing="0" w:after="0" w:afterAutospacing="0" w:line="360" w:lineRule="auto"/>
        <w:ind w:firstLine="482" w:firstLineChars="200"/>
        <w:rPr>
          <w:rFonts w:hint="eastAsia" w:cs="宋体"/>
          <w:b/>
          <w:bCs/>
          <w:color w:val="auto"/>
          <w:lang w:val="en-US" w:eastAsia="zh-CN"/>
        </w:rPr>
      </w:pPr>
      <w:r>
        <w:rPr>
          <w:rFonts w:hint="eastAsia" w:cs="宋体"/>
          <w:b/>
          <w:bCs/>
          <w:color w:val="auto"/>
          <w:lang w:val="en-US" w:eastAsia="zh-CN"/>
        </w:rPr>
        <w:t>4.监理人</w:t>
      </w:r>
    </w:p>
    <w:p>
      <w:pPr>
        <w:pStyle w:val="26"/>
        <w:numPr>
          <w:ilvl w:val="0"/>
          <w:numId w:val="0"/>
        </w:numPr>
        <w:spacing w:before="0" w:beforeAutospacing="0" w:after="0" w:afterAutospacing="0" w:line="360" w:lineRule="auto"/>
        <w:ind w:firstLine="482" w:firstLineChars="200"/>
        <w:rPr>
          <w:rFonts w:hint="eastAsia" w:cs="宋体"/>
          <w:b/>
          <w:bCs/>
          <w:color w:val="auto"/>
          <w:lang w:val="en-US" w:eastAsia="zh-CN"/>
        </w:rPr>
      </w:pPr>
      <w:r>
        <w:rPr>
          <w:rFonts w:hint="eastAsia" w:cs="宋体"/>
          <w:b/>
          <w:bCs/>
          <w:color w:val="auto"/>
          <w:lang w:val="en-US" w:eastAsia="zh-CN"/>
        </w:rPr>
        <w:t>4.1监理人的一般规定</w:t>
      </w:r>
    </w:p>
    <w:p>
      <w:pPr>
        <w:pStyle w:val="26"/>
        <w:numPr>
          <w:ilvl w:val="0"/>
          <w:numId w:val="0"/>
        </w:numPr>
        <w:spacing w:before="0" w:beforeAutospacing="0" w:after="0" w:afterAutospacing="0" w:line="360" w:lineRule="auto"/>
        <w:ind w:firstLine="480" w:firstLineChars="200"/>
        <w:rPr>
          <w:rFonts w:hint="eastAsia" w:cs="宋体"/>
          <w:color w:val="auto"/>
          <w:lang w:val="en-US" w:eastAsia="zh-CN"/>
        </w:rPr>
      </w:pPr>
      <w:r>
        <w:rPr>
          <w:rFonts w:hint="eastAsia" w:cs="宋体"/>
          <w:color w:val="auto"/>
          <w:lang w:val="en-US" w:eastAsia="zh-CN"/>
        </w:rPr>
        <w:t>工程实行监理的，发包人和承包人应在专用合同条款中明确监理人的监理内容及监理权限等事项。监理人应当根据发包人授权及法律规定，代表发包人对工程施工相关事项进行检查、查验、审核、验收，并签发相关指示，但监理人无权修改合同，且无权减轻或免除合同约定的承包人的任何责任与义务。</w:t>
      </w:r>
    </w:p>
    <w:p>
      <w:pPr>
        <w:pStyle w:val="26"/>
        <w:numPr>
          <w:ilvl w:val="0"/>
          <w:numId w:val="0"/>
        </w:numPr>
        <w:spacing w:before="0" w:beforeAutospacing="0" w:after="0" w:afterAutospacing="0" w:line="360" w:lineRule="auto"/>
        <w:ind w:firstLine="480" w:firstLineChars="200"/>
        <w:rPr>
          <w:rFonts w:hint="eastAsia" w:cs="宋体"/>
          <w:color w:val="auto"/>
          <w:lang w:val="en-US" w:eastAsia="zh-CN"/>
        </w:rPr>
      </w:pPr>
      <w:r>
        <w:rPr>
          <w:rFonts w:hint="eastAsia" w:cs="宋体"/>
          <w:color w:val="auto"/>
          <w:lang w:val="en-US" w:eastAsia="zh-CN"/>
        </w:rPr>
        <w:t>除专用合同条款另有约定外，监理人在施工现场的办公场所、生活场所由承包人提供，所发生的费用由发包人承担。</w:t>
      </w:r>
    </w:p>
    <w:p>
      <w:pPr>
        <w:pStyle w:val="26"/>
        <w:numPr>
          <w:ilvl w:val="0"/>
          <w:numId w:val="0"/>
        </w:numPr>
        <w:spacing w:before="0" w:beforeAutospacing="0" w:after="0" w:afterAutospacing="0" w:line="360" w:lineRule="auto"/>
        <w:ind w:firstLine="482" w:firstLineChars="200"/>
        <w:rPr>
          <w:rFonts w:hint="eastAsia" w:cs="宋体"/>
          <w:b/>
          <w:bCs/>
          <w:color w:val="auto"/>
          <w:lang w:val="en-US" w:eastAsia="zh-CN"/>
        </w:rPr>
      </w:pPr>
      <w:r>
        <w:rPr>
          <w:rFonts w:hint="eastAsia" w:cs="宋体"/>
          <w:b/>
          <w:bCs/>
          <w:color w:val="auto"/>
          <w:lang w:val="en-US" w:eastAsia="zh-CN"/>
        </w:rPr>
        <w:t>4.2监理人员</w:t>
      </w:r>
    </w:p>
    <w:p>
      <w:pPr>
        <w:pStyle w:val="26"/>
        <w:numPr>
          <w:ilvl w:val="0"/>
          <w:numId w:val="0"/>
        </w:numPr>
        <w:spacing w:before="0" w:beforeAutospacing="0" w:after="0" w:afterAutospacing="0" w:line="360" w:lineRule="auto"/>
        <w:ind w:firstLine="480" w:firstLineChars="200"/>
        <w:rPr>
          <w:rFonts w:hint="eastAsia" w:cs="宋体"/>
          <w:color w:val="auto"/>
          <w:lang w:val="en-US" w:eastAsia="zh-CN"/>
        </w:rPr>
      </w:pPr>
      <w:r>
        <w:rPr>
          <w:rFonts w:hint="eastAsia" w:cs="宋体"/>
          <w:color w:val="auto"/>
          <w:lang w:val="en-US" w:eastAsia="zh-CN"/>
        </w:rPr>
        <w:t>发包人授予监理人对工程实施监理的权利由监理人派驻施工现场的监理人员行使，监理人员包括总监理工程师及监理工程师。监理人应将授权的总监理工程师和监理工程师的姓名及授权范围以书面形式提前通知承包人。更换总监理工程师的，监理人应提前7天书面通知承包人；更换其他监理人员，监理人应提前48小时书面通知承包人。</w:t>
      </w:r>
    </w:p>
    <w:p>
      <w:pPr>
        <w:pStyle w:val="26"/>
        <w:numPr>
          <w:ilvl w:val="0"/>
          <w:numId w:val="0"/>
        </w:numPr>
        <w:spacing w:before="0" w:beforeAutospacing="0" w:after="0" w:afterAutospacing="0" w:line="360" w:lineRule="auto"/>
        <w:ind w:firstLine="482" w:firstLineChars="200"/>
        <w:rPr>
          <w:rFonts w:hint="eastAsia" w:cs="宋体"/>
          <w:b/>
          <w:bCs/>
          <w:color w:val="auto"/>
          <w:lang w:val="en-US" w:eastAsia="zh-CN"/>
        </w:rPr>
      </w:pPr>
      <w:r>
        <w:rPr>
          <w:rFonts w:hint="eastAsia" w:cs="宋体"/>
          <w:b/>
          <w:bCs/>
          <w:color w:val="auto"/>
          <w:lang w:val="en-US" w:eastAsia="zh-CN"/>
        </w:rPr>
        <w:t>4.3监理人的指示</w:t>
      </w:r>
    </w:p>
    <w:p>
      <w:pPr>
        <w:pStyle w:val="26"/>
        <w:numPr>
          <w:ilvl w:val="0"/>
          <w:numId w:val="0"/>
        </w:numPr>
        <w:spacing w:before="0" w:beforeAutospacing="0" w:after="0" w:afterAutospacing="0" w:line="360" w:lineRule="auto"/>
        <w:ind w:firstLine="480" w:firstLineChars="200"/>
        <w:rPr>
          <w:rFonts w:hint="eastAsia" w:cs="宋体"/>
          <w:color w:val="auto"/>
          <w:lang w:val="en-US" w:eastAsia="zh-CN"/>
        </w:rPr>
      </w:pPr>
      <w:r>
        <w:rPr>
          <w:rFonts w:hint="eastAsia" w:cs="宋体"/>
          <w:color w:val="auto"/>
          <w:lang w:val="en-US" w:eastAsia="zh-CN"/>
        </w:rPr>
        <w:t>监理人应按照发包人的授权发出监理指示。监理人的指示应采用书面形式，并经其授权的监理人员签字。紧急情况下，为了保证施工人员的安全或避免工程受损，监理人员可以口头形式发出指示，该指示与书面形式的指示具有同等法律效力，但必须在发出口头指示后24小时内补发书面监理指示，补发的书面监理指示应与口头指示一致。</w:t>
      </w:r>
    </w:p>
    <w:p>
      <w:pPr>
        <w:pStyle w:val="26"/>
        <w:numPr>
          <w:ilvl w:val="0"/>
          <w:numId w:val="0"/>
        </w:numPr>
        <w:spacing w:before="0" w:beforeAutospacing="0" w:after="0" w:afterAutospacing="0" w:line="360" w:lineRule="auto"/>
        <w:ind w:firstLine="480" w:firstLineChars="200"/>
        <w:rPr>
          <w:rFonts w:hint="eastAsia" w:cs="宋体"/>
          <w:color w:val="auto"/>
          <w:lang w:val="en-US" w:eastAsia="zh-CN"/>
        </w:rPr>
      </w:pPr>
      <w:r>
        <w:rPr>
          <w:rFonts w:hint="eastAsia" w:cs="宋体"/>
          <w:color w:val="auto"/>
          <w:lang w:val="en-US" w:eastAsia="zh-CN"/>
        </w:rPr>
        <w:t>监理人发出的指示应送达承包人项目经理或经项目经理授权接收的人员。因监理人未能按合同约定发出指示、指示延误或发出了错误指示而导致承包人费用增加和(或)工期延误的，由发包人承担相应责任。除专用合同条款另有约定外，总监理工程师不应将第4.4款〔商定或确定〕约定应由总监理工程师作出确定的权力授权或委托给其他监理人员。</w:t>
      </w:r>
    </w:p>
    <w:p>
      <w:pPr>
        <w:pStyle w:val="26"/>
        <w:numPr>
          <w:ilvl w:val="0"/>
          <w:numId w:val="0"/>
        </w:numPr>
        <w:spacing w:before="0" w:beforeAutospacing="0" w:after="0" w:afterAutospacing="0" w:line="360" w:lineRule="auto"/>
        <w:ind w:firstLine="480" w:firstLineChars="200"/>
        <w:rPr>
          <w:rFonts w:hint="eastAsia" w:cs="宋体"/>
          <w:color w:val="auto"/>
          <w:lang w:val="en-US" w:eastAsia="zh-CN"/>
        </w:rPr>
      </w:pPr>
      <w:r>
        <w:rPr>
          <w:rFonts w:hint="eastAsia" w:cs="宋体"/>
          <w:color w:val="auto"/>
          <w:lang w:val="en-US" w:eastAsia="zh-CN"/>
        </w:rPr>
        <w:t>承包人对监理人发出的指示有疑问的，应向监理人提出书面异议，监理人应在48小时内对该指示予以确认、更改或撤销，监理人逾期未回复的，承包人有权拒绝执行上述指示。</w:t>
      </w:r>
    </w:p>
    <w:p>
      <w:pPr>
        <w:pStyle w:val="26"/>
        <w:numPr>
          <w:ilvl w:val="0"/>
          <w:numId w:val="0"/>
        </w:numPr>
        <w:spacing w:before="0" w:beforeAutospacing="0" w:after="0" w:afterAutospacing="0" w:line="360" w:lineRule="auto"/>
        <w:ind w:firstLine="480" w:firstLineChars="200"/>
        <w:rPr>
          <w:rFonts w:hint="eastAsia" w:cs="宋体"/>
          <w:color w:val="auto"/>
          <w:lang w:val="en-US" w:eastAsia="zh-CN"/>
        </w:rPr>
      </w:pPr>
      <w:r>
        <w:rPr>
          <w:rFonts w:hint="eastAsia" w:cs="宋体"/>
          <w:color w:val="auto"/>
          <w:lang w:val="en-US" w:eastAsia="zh-CN"/>
        </w:rPr>
        <w:t>监理人对承包人的任何工作、工程或其采用的材料和工程设备未在约定的或合理期限内提出意见的，视为批准，但不免除或减轻承包人对该工作、工程、材料、工程设备等应承担的责任和义务。</w:t>
      </w:r>
    </w:p>
    <w:p>
      <w:pPr>
        <w:pStyle w:val="26"/>
        <w:numPr>
          <w:ilvl w:val="0"/>
          <w:numId w:val="0"/>
        </w:numPr>
        <w:spacing w:before="0" w:beforeAutospacing="0" w:after="0" w:afterAutospacing="0" w:line="360" w:lineRule="auto"/>
        <w:ind w:firstLine="482" w:firstLineChars="200"/>
        <w:rPr>
          <w:rFonts w:hint="eastAsia" w:cs="宋体"/>
          <w:b/>
          <w:bCs/>
          <w:color w:val="auto"/>
          <w:lang w:val="en-US" w:eastAsia="zh-CN"/>
        </w:rPr>
      </w:pPr>
      <w:r>
        <w:rPr>
          <w:rFonts w:hint="eastAsia" w:cs="宋体"/>
          <w:b/>
          <w:bCs/>
          <w:color w:val="auto"/>
          <w:lang w:val="en-US" w:eastAsia="zh-CN"/>
        </w:rPr>
        <w:t>4.4商定或确定</w:t>
      </w:r>
    </w:p>
    <w:p>
      <w:pPr>
        <w:pStyle w:val="26"/>
        <w:numPr>
          <w:ilvl w:val="0"/>
          <w:numId w:val="0"/>
        </w:numPr>
        <w:spacing w:before="0" w:beforeAutospacing="0" w:after="0" w:afterAutospacing="0" w:line="360" w:lineRule="auto"/>
        <w:ind w:firstLine="480" w:firstLineChars="200"/>
        <w:rPr>
          <w:rFonts w:hint="eastAsia" w:cs="宋体"/>
          <w:color w:val="auto"/>
          <w:lang w:val="en-US" w:eastAsia="zh-CN"/>
        </w:rPr>
      </w:pPr>
      <w:r>
        <w:rPr>
          <w:rFonts w:hint="eastAsia" w:cs="宋体"/>
          <w:color w:val="auto"/>
          <w:lang w:val="en-US" w:eastAsia="zh-CN"/>
        </w:rPr>
        <w:t>合同当事人进行商定或确定时，总监理工程师应当会同合同当事人尽量通过协商达成一致，不能达成一致的，由总监理工程师按照合同约定审慎做出公正的确定。</w:t>
      </w:r>
    </w:p>
    <w:p>
      <w:pPr>
        <w:pStyle w:val="26"/>
        <w:numPr>
          <w:ilvl w:val="0"/>
          <w:numId w:val="0"/>
        </w:numPr>
        <w:spacing w:before="0" w:beforeAutospacing="0" w:after="0" w:afterAutospacing="0" w:line="360" w:lineRule="auto"/>
        <w:ind w:firstLine="480" w:firstLineChars="200"/>
        <w:rPr>
          <w:rFonts w:hint="eastAsia" w:cs="宋体"/>
          <w:color w:val="auto"/>
          <w:lang w:val="en-US" w:eastAsia="zh-CN"/>
        </w:rPr>
      </w:pPr>
      <w:r>
        <w:rPr>
          <w:rFonts w:hint="eastAsia" w:cs="宋体"/>
          <w:color w:val="auto"/>
          <w:lang w:val="en-US" w:eastAsia="zh-CN"/>
        </w:rPr>
        <w:t>总监理工程师应将确定以书面形式通知发包人和承包人，并附详细依据。合同当事人对总监理工程师的确定没有异议的，按照总监理工程师的确定执行。任何一方合同当事人有异议，按照第20条〔争议解决〕约定处理。争议解决前，合同当事人暂按总监理工程师的确定执行；争议解决后，争议解决的结果与总监理工程师的确定不一致的，按照争议解决的结果执行，由此造成的损失由责任人承担。</w:t>
      </w:r>
    </w:p>
    <w:p>
      <w:pPr>
        <w:pStyle w:val="26"/>
        <w:numPr>
          <w:ilvl w:val="0"/>
          <w:numId w:val="0"/>
        </w:numPr>
        <w:spacing w:before="0" w:beforeAutospacing="0" w:after="0" w:afterAutospacing="0" w:line="360" w:lineRule="auto"/>
        <w:ind w:firstLine="482" w:firstLineChars="200"/>
        <w:rPr>
          <w:rFonts w:hint="eastAsia" w:cs="宋体"/>
          <w:b/>
          <w:bCs/>
          <w:color w:val="auto"/>
          <w:lang w:val="en-US" w:eastAsia="zh-CN"/>
        </w:rPr>
      </w:pPr>
      <w:r>
        <w:rPr>
          <w:rFonts w:hint="eastAsia" w:cs="宋体"/>
          <w:b/>
          <w:bCs/>
          <w:color w:val="auto"/>
          <w:lang w:val="en-US" w:eastAsia="zh-CN"/>
        </w:rPr>
        <w:t>5.工程质量</w:t>
      </w:r>
    </w:p>
    <w:p>
      <w:pPr>
        <w:pStyle w:val="26"/>
        <w:numPr>
          <w:ilvl w:val="0"/>
          <w:numId w:val="0"/>
        </w:numPr>
        <w:spacing w:before="0" w:beforeAutospacing="0" w:after="0" w:afterAutospacing="0" w:line="360" w:lineRule="auto"/>
        <w:ind w:firstLine="482" w:firstLineChars="200"/>
        <w:rPr>
          <w:rFonts w:hint="eastAsia" w:cs="宋体"/>
          <w:b/>
          <w:bCs/>
          <w:color w:val="auto"/>
          <w:lang w:val="en-US" w:eastAsia="zh-CN"/>
        </w:rPr>
      </w:pPr>
      <w:r>
        <w:rPr>
          <w:rFonts w:hint="eastAsia" w:cs="宋体"/>
          <w:b/>
          <w:bCs/>
          <w:color w:val="auto"/>
          <w:lang w:val="en-US" w:eastAsia="zh-CN"/>
        </w:rPr>
        <w:t>5.1质量要求</w:t>
      </w:r>
    </w:p>
    <w:p>
      <w:pPr>
        <w:pStyle w:val="26"/>
        <w:numPr>
          <w:ilvl w:val="0"/>
          <w:numId w:val="0"/>
        </w:numPr>
        <w:spacing w:before="0" w:beforeAutospacing="0" w:after="0" w:afterAutospacing="0" w:line="360" w:lineRule="auto"/>
        <w:ind w:firstLine="480" w:firstLineChars="200"/>
        <w:rPr>
          <w:rFonts w:hint="eastAsia" w:cs="宋体"/>
          <w:color w:val="auto"/>
          <w:lang w:val="en-US" w:eastAsia="zh-CN"/>
        </w:rPr>
      </w:pPr>
      <w:r>
        <w:rPr>
          <w:rFonts w:hint="eastAsia" w:cs="宋体"/>
          <w:color w:val="auto"/>
          <w:lang w:val="en-US" w:eastAsia="zh-CN"/>
        </w:rPr>
        <w:t>5.1.1工程质量标准必须符合现行国家有关工程施工质量验收规范和标准的要求。有关工程质量的特殊标准或要求由合同当事人在专用合同条款中约定。</w:t>
      </w:r>
    </w:p>
    <w:p>
      <w:pPr>
        <w:pStyle w:val="26"/>
        <w:numPr>
          <w:ilvl w:val="0"/>
          <w:numId w:val="0"/>
        </w:numPr>
        <w:spacing w:before="0" w:beforeAutospacing="0" w:after="0" w:afterAutospacing="0" w:line="360" w:lineRule="auto"/>
        <w:ind w:firstLine="480" w:firstLineChars="200"/>
        <w:rPr>
          <w:rFonts w:hint="eastAsia" w:cs="宋体"/>
          <w:color w:val="auto"/>
          <w:lang w:val="en-US" w:eastAsia="zh-CN"/>
        </w:rPr>
      </w:pPr>
      <w:r>
        <w:rPr>
          <w:rFonts w:hint="eastAsia" w:cs="宋体"/>
          <w:color w:val="auto"/>
          <w:lang w:val="en-US" w:eastAsia="zh-CN"/>
        </w:rPr>
        <w:t>5.1.2因发包人原因造成工程质量未达到合同约定标准的，由发包人承担由此增加的费用和(或)延误的工期，并支付承包人合理的利润。</w:t>
      </w:r>
    </w:p>
    <w:p>
      <w:pPr>
        <w:pStyle w:val="26"/>
        <w:numPr>
          <w:ilvl w:val="0"/>
          <w:numId w:val="0"/>
        </w:numPr>
        <w:spacing w:before="0" w:beforeAutospacing="0" w:after="0" w:afterAutospacing="0" w:line="360" w:lineRule="auto"/>
        <w:ind w:firstLine="480" w:firstLineChars="200"/>
        <w:rPr>
          <w:rFonts w:hint="eastAsia" w:cs="宋体"/>
          <w:color w:val="auto"/>
          <w:lang w:val="en-US" w:eastAsia="zh-CN"/>
        </w:rPr>
      </w:pPr>
      <w:r>
        <w:rPr>
          <w:rFonts w:hint="eastAsia" w:cs="宋体"/>
          <w:color w:val="auto"/>
          <w:lang w:val="en-US" w:eastAsia="zh-CN"/>
        </w:rPr>
        <w:t>5.1.3因承包人原因造成工程质量未达到合同约定标准的，发包人有权要求承包人返工直至工程质量达到合同约定的标准为止，并由承包人承担由此增加的费用和(或)延误的工期。</w:t>
      </w:r>
    </w:p>
    <w:p>
      <w:pPr>
        <w:pStyle w:val="26"/>
        <w:numPr>
          <w:ilvl w:val="0"/>
          <w:numId w:val="0"/>
        </w:numPr>
        <w:spacing w:before="0" w:beforeAutospacing="0" w:after="0" w:afterAutospacing="0" w:line="360" w:lineRule="auto"/>
        <w:ind w:firstLine="482" w:firstLineChars="200"/>
        <w:rPr>
          <w:rFonts w:hint="eastAsia" w:cs="宋体"/>
          <w:b/>
          <w:bCs/>
          <w:color w:val="auto"/>
          <w:lang w:val="en-US" w:eastAsia="zh-CN"/>
        </w:rPr>
      </w:pPr>
      <w:r>
        <w:rPr>
          <w:rFonts w:hint="eastAsia" w:cs="宋体"/>
          <w:b/>
          <w:bCs/>
          <w:color w:val="auto"/>
          <w:lang w:val="en-US" w:eastAsia="zh-CN"/>
        </w:rPr>
        <w:t>5.2质量保证措施</w:t>
      </w:r>
    </w:p>
    <w:p>
      <w:pPr>
        <w:pStyle w:val="26"/>
        <w:numPr>
          <w:ilvl w:val="0"/>
          <w:numId w:val="0"/>
        </w:numPr>
        <w:spacing w:before="0" w:beforeAutospacing="0" w:after="0" w:afterAutospacing="0" w:line="360" w:lineRule="auto"/>
        <w:ind w:firstLine="480" w:firstLineChars="200"/>
        <w:rPr>
          <w:rFonts w:hint="eastAsia" w:cs="宋体"/>
          <w:color w:val="auto"/>
          <w:lang w:val="en-US" w:eastAsia="zh-CN"/>
        </w:rPr>
      </w:pPr>
      <w:r>
        <w:rPr>
          <w:rFonts w:hint="eastAsia" w:cs="宋体"/>
          <w:color w:val="auto"/>
          <w:lang w:val="en-US" w:eastAsia="zh-CN"/>
        </w:rPr>
        <w:t>5.2.1发包人的质量管理</w:t>
      </w:r>
    </w:p>
    <w:p>
      <w:pPr>
        <w:pStyle w:val="26"/>
        <w:numPr>
          <w:ilvl w:val="0"/>
          <w:numId w:val="0"/>
        </w:numPr>
        <w:spacing w:before="0" w:beforeAutospacing="0" w:after="0" w:afterAutospacing="0" w:line="360" w:lineRule="auto"/>
        <w:ind w:firstLine="480" w:firstLineChars="200"/>
        <w:rPr>
          <w:rFonts w:hint="eastAsia" w:cs="宋体"/>
          <w:color w:val="auto"/>
          <w:lang w:val="en-US" w:eastAsia="zh-CN"/>
        </w:rPr>
      </w:pPr>
      <w:r>
        <w:rPr>
          <w:rFonts w:hint="eastAsia" w:cs="宋体"/>
          <w:color w:val="auto"/>
          <w:lang w:val="en-US" w:eastAsia="zh-CN"/>
        </w:rPr>
        <w:t>发包人应按照法律规定及合同约定完成与工程质量有关的各项工作。</w:t>
      </w:r>
    </w:p>
    <w:p>
      <w:pPr>
        <w:pStyle w:val="26"/>
        <w:numPr>
          <w:ilvl w:val="0"/>
          <w:numId w:val="0"/>
        </w:numPr>
        <w:spacing w:before="0" w:beforeAutospacing="0" w:after="0" w:afterAutospacing="0" w:line="360" w:lineRule="auto"/>
        <w:ind w:firstLine="480" w:firstLineChars="200"/>
        <w:rPr>
          <w:rFonts w:hint="eastAsia" w:cs="宋体"/>
          <w:color w:val="auto"/>
          <w:lang w:val="en-US" w:eastAsia="zh-CN"/>
        </w:rPr>
      </w:pPr>
      <w:r>
        <w:rPr>
          <w:rFonts w:hint="eastAsia" w:cs="宋体"/>
          <w:color w:val="auto"/>
          <w:lang w:val="en-US" w:eastAsia="zh-CN"/>
        </w:rPr>
        <w:t>5.2.2承包人的质量管理</w:t>
      </w:r>
    </w:p>
    <w:p>
      <w:pPr>
        <w:pStyle w:val="26"/>
        <w:numPr>
          <w:ilvl w:val="0"/>
          <w:numId w:val="0"/>
        </w:numPr>
        <w:spacing w:before="0" w:beforeAutospacing="0" w:after="0" w:afterAutospacing="0" w:line="360" w:lineRule="auto"/>
        <w:ind w:firstLine="480" w:firstLineChars="200"/>
        <w:rPr>
          <w:rFonts w:hint="eastAsia" w:ascii="宋体" w:hAnsi="宋体" w:eastAsia="宋体" w:cs="宋体"/>
          <w:color w:val="auto"/>
        </w:rPr>
      </w:pPr>
      <w:r>
        <w:rPr>
          <w:rFonts w:hint="eastAsia" w:cs="宋体"/>
          <w:color w:val="auto"/>
          <w:lang w:val="en-US" w:eastAsia="zh-CN"/>
        </w:rPr>
        <w:t>承包人按照第7.1款〔施工组织设计〕约定向发包人和监理人提交工程质量保证体系及措施文件，建立完善的质量检查制度，并提交相应的工程质量文件。对于发包人和监理人违反法律规定和合同约定的错误指示，承包人有权拒绝实施。</w:t>
      </w:r>
    </w:p>
    <w:p>
      <w:pPr>
        <w:pStyle w:val="26"/>
        <w:numPr>
          <w:ilvl w:val="0"/>
          <w:numId w:val="0"/>
        </w:numPr>
        <w:spacing w:before="0" w:beforeAutospacing="0" w:after="0" w:afterAutospacing="0" w:line="360" w:lineRule="auto"/>
        <w:ind w:firstLine="480" w:firstLineChars="200"/>
        <w:rPr>
          <w:rFonts w:hint="eastAsia" w:cs="宋体"/>
          <w:color w:val="auto"/>
          <w:lang w:val="en-US" w:eastAsia="zh-CN"/>
        </w:rPr>
      </w:pPr>
      <w:r>
        <w:rPr>
          <w:rFonts w:hint="eastAsia" w:cs="宋体"/>
          <w:color w:val="auto"/>
          <w:lang w:val="en-US" w:eastAsia="zh-CN"/>
        </w:rPr>
        <w:t>承包人应对施工人员进行质量教育和技术培训，定期考核施工人员的劳动技能，严格执行施工规范和操作规程。</w:t>
      </w:r>
    </w:p>
    <w:p>
      <w:pPr>
        <w:pStyle w:val="26"/>
        <w:numPr>
          <w:ilvl w:val="0"/>
          <w:numId w:val="0"/>
        </w:numPr>
        <w:spacing w:before="0" w:beforeAutospacing="0" w:after="0" w:afterAutospacing="0" w:line="360" w:lineRule="auto"/>
        <w:ind w:firstLine="480" w:firstLineChars="200"/>
        <w:rPr>
          <w:rFonts w:hint="eastAsia" w:cs="宋体"/>
          <w:color w:val="auto"/>
          <w:lang w:val="en-US" w:eastAsia="zh-CN"/>
        </w:rPr>
      </w:pPr>
      <w:r>
        <w:rPr>
          <w:rFonts w:hint="eastAsia" w:cs="宋体"/>
          <w:color w:val="auto"/>
          <w:lang w:val="en-US" w:eastAsia="zh-CN"/>
        </w:rPr>
        <w:t>承包人应按照法律规定和发包人的要求，对材料、工程设备以及工程的所有部位及其施工工艺进行全过程的质量检查和检验，并作详细记录，编制工程质量报表，报送监理人审查。此外，承包人还应按照法律规定和发包人的要求，进行施工现场取样试验、工程复核测量和设备性能检测，提供试验样品、提交试验报告和测量成果以及其他工作。</w:t>
      </w:r>
    </w:p>
    <w:p>
      <w:pPr>
        <w:pStyle w:val="26"/>
        <w:numPr>
          <w:ilvl w:val="0"/>
          <w:numId w:val="0"/>
        </w:numPr>
        <w:spacing w:before="0" w:beforeAutospacing="0" w:after="0" w:afterAutospacing="0" w:line="360" w:lineRule="auto"/>
        <w:ind w:firstLine="480" w:firstLineChars="200"/>
        <w:rPr>
          <w:rFonts w:hint="eastAsia" w:cs="宋体"/>
          <w:color w:val="auto"/>
          <w:lang w:val="en-US" w:eastAsia="zh-CN"/>
        </w:rPr>
      </w:pPr>
      <w:r>
        <w:rPr>
          <w:rFonts w:hint="eastAsia" w:cs="宋体"/>
          <w:color w:val="auto"/>
          <w:lang w:val="en-US" w:eastAsia="zh-CN"/>
        </w:rPr>
        <w:t>5.2.3监理人的质量检查和检验</w:t>
      </w:r>
    </w:p>
    <w:p>
      <w:pPr>
        <w:pStyle w:val="26"/>
        <w:numPr>
          <w:ilvl w:val="0"/>
          <w:numId w:val="0"/>
        </w:numPr>
        <w:spacing w:before="0" w:beforeAutospacing="0" w:after="0" w:afterAutospacing="0" w:line="360" w:lineRule="auto"/>
        <w:ind w:firstLine="480" w:firstLineChars="200"/>
        <w:rPr>
          <w:rFonts w:hint="eastAsia" w:cs="宋体"/>
          <w:color w:val="auto"/>
          <w:lang w:val="en-US" w:eastAsia="zh-CN"/>
        </w:rPr>
      </w:pPr>
      <w:r>
        <w:rPr>
          <w:rFonts w:hint="eastAsia" w:cs="宋体"/>
          <w:color w:val="auto"/>
          <w:lang w:val="en-US" w:eastAsia="zh-CN"/>
        </w:rPr>
        <w:t>监理人按照法律规定和发包人授权对工程的所有部位及其施工工艺、材料和工程设备进行检查和检验。承包人应为监理人的检查和检验提供方便，包括监理人到施工现场，或制造、加工地点，或合同约定的其他地方进行察看和查阅施工原始记录。监理人为此进行的检查和检验，不免除或减轻承包人按照合同约定应当承担的责任。</w:t>
      </w:r>
    </w:p>
    <w:p>
      <w:pPr>
        <w:pStyle w:val="26"/>
        <w:numPr>
          <w:ilvl w:val="0"/>
          <w:numId w:val="0"/>
        </w:numPr>
        <w:spacing w:before="0" w:beforeAutospacing="0" w:after="0" w:afterAutospacing="0" w:line="360" w:lineRule="auto"/>
        <w:ind w:firstLine="480" w:firstLineChars="200"/>
        <w:rPr>
          <w:rFonts w:hint="eastAsia" w:cs="宋体"/>
          <w:color w:val="auto"/>
          <w:lang w:val="en-US" w:eastAsia="zh-CN"/>
        </w:rPr>
      </w:pPr>
      <w:r>
        <w:rPr>
          <w:rFonts w:hint="eastAsia" w:cs="宋体"/>
          <w:color w:val="auto"/>
          <w:lang w:val="en-US" w:eastAsia="zh-CN"/>
        </w:rPr>
        <w:t>监理人的检查和检验不应影响施工正常进行。监理人的检查和检验影响施工正常进行的，且经检查检验不合格的，影响正常施工的费用由承包人承担，工期不予顺延；经检查检验合格的，由此增加的费用和(或)延误的工期由发包人承担。</w:t>
      </w:r>
    </w:p>
    <w:p>
      <w:pPr>
        <w:pStyle w:val="26"/>
        <w:numPr>
          <w:ilvl w:val="0"/>
          <w:numId w:val="0"/>
        </w:numPr>
        <w:spacing w:before="0" w:beforeAutospacing="0" w:after="0" w:afterAutospacing="0" w:line="360" w:lineRule="auto"/>
        <w:ind w:firstLine="482" w:firstLineChars="200"/>
        <w:rPr>
          <w:rFonts w:hint="eastAsia" w:cs="宋体"/>
          <w:b/>
          <w:bCs/>
          <w:color w:val="auto"/>
          <w:lang w:val="en-US" w:eastAsia="zh-CN"/>
        </w:rPr>
      </w:pPr>
      <w:r>
        <w:rPr>
          <w:rFonts w:hint="eastAsia" w:cs="宋体"/>
          <w:b/>
          <w:bCs/>
          <w:color w:val="auto"/>
          <w:lang w:val="en-US" w:eastAsia="zh-CN"/>
        </w:rPr>
        <w:t>5.3隐蔽工程检查</w:t>
      </w:r>
    </w:p>
    <w:p>
      <w:pPr>
        <w:pStyle w:val="26"/>
        <w:numPr>
          <w:ilvl w:val="0"/>
          <w:numId w:val="0"/>
        </w:numPr>
        <w:spacing w:before="0" w:beforeAutospacing="0" w:after="0" w:afterAutospacing="0" w:line="360" w:lineRule="auto"/>
        <w:ind w:firstLine="480" w:firstLineChars="200"/>
        <w:rPr>
          <w:rFonts w:hint="eastAsia" w:cs="宋体"/>
          <w:color w:val="auto"/>
          <w:lang w:val="en-US" w:eastAsia="zh-CN"/>
        </w:rPr>
      </w:pPr>
      <w:r>
        <w:rPr>
          <w:rFonts w:hint="eastAsia" w:cs="宋体"/>
          <w:color w:val="auto"/>
          <w:lang w:val="en-US" w:eastAsia="zh-CN"/>
        </w:rPr>
        <w:t>5.3.1承包人自检</w:t>
      </w:r>
    </w:p>
    <w:p>
      <w:pPr>
        <w:pStyle w:val="26"/>
        <w:numPr>
          <w:ilvl w:val="0"/>
          <w:numId w:val="0"/>
        </w:numPr>
        <w:spacing w:before="0" w:beforeAutospacing="0" w:after="0" w:afterAutospacing="0" w:line="360" w:lineRule="auto"/>
        <w:ind w:firstLine="480" w:firstLineChars="200"/>
        <w:rPr>
          <w:rFonts w:hint="eastAsia" w:cs="宋体"/>
          <w:color w:val="auto"/>
          <w:lang w:val="en-US" w:eastAsia="zh-CN"/>
        </w:rPr>
      </w:pPr>
      <w:r>
        <w:rPr>
          <w:rFonts w:hint="eastAsia" w:cs="宋体"/>
          <w:color w:val="auto"/>
          <w:lang w:val="en-US" w:eastAsia="zh-CN"/>
        </w:rPr>
        <w:t>承包人应当对工程隐蔽部位进行自检，并经自检确认是否具备覆盖条件。</w:t>
      </w:r>
    </w:p>
    <w:p>
      <w:pPr>
        <w:pStyle w:val="26"/>
        <w:numPr>
          <w:ilvl w:val="0"/>
          <w:numId w:val="0"/>
        </w:numPr>
        <w:spacing w:before="0" w:beforeAutospacing="0" w:after="0" w:afterAutospacing="0" w:line="360" w:lineRule="auto"/>
        <w:ind w:firstLine="480" w:firstLineChars="200"/>
        <w:rPr>
          <w:rFonts w:hint="eastAsia" w:cs="宋体"/>
          <w:color w:val="auto"/>
          <w:lang w:val="en-US" w:eastAsia="zh-CN"/>
        </w:rPr>
      </w:pPr>
      <w:r>
        <w:rPr>
          <w:rFonts w:hint="eastAsia" w:cs="宋体"/>
          <w:color w:val="auto"/>
          <w:lang w:val="en-US" w:eastAsia="zh-CN"/>
        </w:rPr>
        <w:t>5.3.2检查程序</w:t>
      </w:r>
    </w:p>
    <w:p>
      <w:pPr>
        <w:pStyle w:val="26"/>
        <w:numPr>
          <w:ilvl w:val="0"/>
          <w:numId w:val="0"/>
        </w:numPr>
        <w:spacing w:before="0" w:beforeAutospacing="0" w:after="0" w:afterAutospacing="0" w:line="360" w:lineRule="auto"/>
        <w:ind w:firstLine="480" w:firstLineChars="200"/>
        <w:rPr>
          <w:rFonts w:hint="eastAsia" w:cs="宋体"/>
          <w:color w:val="auto"/>
          <w:lang w:val="en-US" w:eastAsia="zh-CN"/>
        </w:rPr>
      </w:pPr>
      <w:r>
        <w:rPr>
          <w:rFonts w:hint="eastAsia" w:cs="宋体"/>
          <w:color w:val="auto"/>
          <w:lang w:val="en-US" w:eastAsia="zh-CN"/>
        </w:rPr>
        <w:t>除专用合同条款另有约定外，工程隐蔽部位经承包人自检确认具备覆盖条件的，承包人应在共同检查前48小时书面通知监理人检查，通知中应载明隐蔽检查的内容、时间和地点，并应附有自检记录和必要的检查资料。</w:t>
      </w:r>
    </w:p>
    <w:p>
      <w:pPr>
        <w:pStyle w:val="26"/>
        <w:numPr>
          <w:ilvl w:val="0"/>
          <w:numId w:val="0"/>
        </w:numPr>
        <w:spacing w:before="0" w:beforeAutospacing="0" w:after="0" w:afterAutospacing="0" w:line="360" w:lineRule="auto"/>
        <w:ind w:firstLine="480" w:firstLineChars="200"/>
        <w:rPr>
          <w:rFonts w:hint="eastAsia" w:cs="宋体"/>
          <w:color w:val="auto"/>
          <w:lang w:val="en-US" w:eastAsia="zh-CN"/>
        </w:rPr>
      </w:pPr>
      <w:r>
        <w:rPr>
          <w:rFonts w:hint="eastAsia" w:cs="宋体"/>
          <w:color w:val="auto"/>
          <w:lang w:val="en-US" w:eastAsia="zh-CN"/>
        </w:rPr>
        <w:t>监理人应按时到场并对隐蔽工程及其施工工艺、材料和工程设备进行检查。经监理人检查确认质量符合隐蔽要求，并在验收记录上签字后，承包人才能进行覆盖。经监理人检查质量不合格的，承包人应在监理人指示的时间内完成修复，并由监理人重新检查，由此增加的费用和(或)延误的工期由承包人承担。</w:t>
      </w:r>
    </w:p>
    <w:p>
      <w:pPr>
        <w:pStyle w:val="26"/>
        <w:numPr>
          <w:ilvl w:val="0"/>
          <w:numId w:val="0"/>
        </w:numPr>
        <w:spacing w:before="0" w:beforeAutospacing="0" w:after="0" w:afterAutospacing="0" w:line="360" w:lineRule="auto"/>
        <w:ind w:firstLine="480" w:firstLineChars="200"/>
        <w:rPr>
          <w:rFonts w:hint="eastAsia" w:cs="宋体"/>
          <w:color w:val="auto"/>
          <w:lang w:val="en-US" w:eastAsia="zh-CN"/>
        </w:rPr>
      </w:pPr>
      <w:r>
        <w:rPr>
          <w:rFonts w:hint="eastAsia" w:cs="宋体"/>
          <w:color w:val="auto"/>
          <w:lang w:val="en-US" w:eastAsia="zh-CN"/>
        </w:rPr>
        <w:t>除专用合同条款另有约定外，监理人不能按时进行检查的，应在检查前24小时向承包人提交书面延期要求，但延期不能超过48小时，由此导致工期延误的，工期应予以顺延。监理人未按时进行检查，也未提出延期要求的，视为隐蔽工程检查合格，承包人可自行完成覆盖工作，并作相应记录报送监理人，监理人应签字确认。监理人事后对检查记录有疑问的，可按第5.3.3项〔重新检查〕的约定重新检查。</w:t>
      </w:r>
    </w:p>
    <w:p>
      <w:pPr>
        <w:pStyle w:val="26"/>
        <w:numPr>
          <w:ilvl w:val="0"/>
          <w:numId w:val="0"/>
        </w:numPr>
        <w:spacing w:before="0" w:beforeAutospacing="0" w:after="0" w:afterAutospacing="0" w:line="360" w:lineRule="auto"/>
        <w:ind w:firstLine="480" w:firstLineChars="200"/>
        <w:rPr>
          <w:rFonts w:hint="eastAsia" w:cs="宋体"/>
          <w:color w:val="auto"/>
          <w:lang w:val="en-US" w:eastAsia="zh-CN"/>
        </w:rPr>
      </w:pPr>
      <w:r>
        <w:rPr>
          <w:rFonts w:hint="eastAsia" w:cs="宋体"/>
          <w:color w:val="auto"/>
          <w:lang w:val="en-US" w:eastAsia="zh-CN"/>
        </w:rPr>
        <w:t>5.3.3重新检查</w:t>
      </w:r>
    </w:p>
    <w:p>
      <w:pPr>
        <w:pStyle w:val="26"/>
        <w:numPr>
          <w:ilvl w:val="0"/>
          <w:numId w:val="0"/>
        </w:numPr>
        <w:spacing w:before="0" w:beforeAutospacing="0" w:after="0" w:afterAutospacing="0" w:line="360" w:lineRule="auto"/>
        <w:ind w:firstLine="480" w:firstLineChars="200"/>
        <w:rPr>
          <w:rFonts w:hint="eastAsia" w:cs="宋体"/>
          <w:color w:val="auto"/>
          <w:lang w:val="en-US" w:eastAsia="zh-CN"/>
        </w:rPr>
      </w:pPr>
      <w:r>
        <w:rPr>
          <w:rFonts w:hint="eastAsia" w:cs="宋体"/>
          <w:color w:val="auto"/>
          <w:lang w:val="en-US" w:eastAsia="zh-CN"/>
        </w:rPr>
        <w:t>承包人覆盖工程隐蔽部位后，发包人或监理人对质量有疑问的，可要求承包人对已覆盖的部位进行钻孔探测或揭开重新检查，承包人应遵照执行，并在检查后重新覆盖恢复原状。经检查证明工程质量符合合同要求的，由发包人承担由此增加的费用和</w:t>
      </w:r>
    </w:p>
    <w:p>
      <w:pPr>
        <w:pStyle w:val="26"/>
        <w:numPr>
          <w:ilvl w:val="0"/>
          <w:numId w:val="0"/>
        </w:numPr>
        <w:spacing w:before="0" w:beforeAutospacing="0" w:after="0" w:afterAutospacing="0" w:line="360" w:lineRule="auto"/>
        <w:rPr>
          <w:rFonts w:hint="eastAsia" w:cs="宋体"/>
          <w:color w:val="auto"/>
          <w:lang w:val="en-US" w:eastAsia="zh-CN"/>
        </w:rPr>
      </w:pPr>
      <w:r>
        <w:rPr>
          <w:rFonts w:hint="eastAsia" w:cs="宋体"/>
          <w:color w:val="auto"/>
          <w:lang w:val="en-US" w:eastAsia="zh-CN"/>
        </w:rPr>
        <w:t>(或)延误的工期，并支付承包人合理的利润；经检查证明工程质量不符合合同要求的，由此增加的费用和(或)延误的工期由承包人承担。</w:t>
      </w:r>
    </w:p>
    <w:p>
      <w:pPr>
        <w:pStyle w:val="26"/>
        <w:numPr>
          <w:ilvl w:val="0"/>
          <w:numId w:val="0"/>
        </w:numPr>
        <w:spacing w:before="0" w:beforeAutospacing="0" w:after="0" w:afterAutospacing="0" w:line="360" w:lineRule="auto"/>
        <w:ind w:firstLine="480" w:firstLineChars="200"/>
        <w:rPr>
          <w:rFonts w:hint="eastAsia" w:cs="宋体"/>
          <w:color w:val="auto"/>
          <w:lang w:val="en-US" w:eastAsia="zh-CN"/>
        </w:rPr>
      </w:pPr>
      <w:r>
        <w:rPr>
          <w:rFonts w:hint="eastAsia" w:cs="宋体"/>
          <w:color w:val="auto"/>
          <w:lang w:val="en-US" w:eastAsia="zh-CN"/>
        </w:rPr>
        <w:t>5.3.4承包人私自覆盖</w:t>
      </w:r>
    </w:p>
    <w:p>
      <w:pPr>
        <w:pStyle w:val="26"/>
        <w:numPr>
          <w:ilvl w:val="0"/>
          <w:numId w:val="0"/>
        </w:numPr>
        <w:spacing w:before="0" w:beforeAutospacing="0" w:after="0" w:afterAutospacing="0" w:line="360" w:lineRule="auto"/>
        <w:ind w:firstLine="480" w:firstLineChars="200"/>
        <w:rPr>
          <w:rFonts w:hint="eastAsia" w:cs="宋体"/>
          <w:color w:val="auto"/>
          <w:lang w:val="en-US" w:eastAsia="zh-CN"/>
        </w:rPr>
      </w:pPr>
      <w:r>
        <w:rPr>
          <w:rFonts w:hint="eastAsia" w:cs="宋体"/>
          <w:color w:val="auto"/>
          <w:lang w:val="en-US" w:eastAsia="zh-CN"/>
        </w:rPr>
        <w:t>承包人未通知监理人到场检查，私自将工程隐蔽部位覆盖的，监理人有权指示承包人钻孔探测或揭开检查，无论工程隐蔽部位质量是否合格，由此增加的费用和(或)延误的工期均由承包人承担。</w:t>
      </w:r>
    </w:p>
    <w:p>
      <w:pPr>
        <w:pStyle w:val="26"/>
        <w:numPr>
          <w:ilvl w:val="0"/>
          <w:numId w:val="0"/>
        </w:numPr>
        <w:spacing w:before="0" w:beforeAutospacing="0" w:after="0" w:afterAutospacing="0" w:line="360" w:lineRule="auto"/>
        <w:ind w:firstLine="482" w:firstLineChars="200"/>
        <w:rPr>
          <w:rFonts w:hint="eastAsia" w:cs="宋体"/>
          <w:b/>
          <w:bCs/>
          <w:color w:val="auto"/>
          <w:lang w:val="en-US" w:eastAsia="zh-CN"/>
        </w:rPr>
      </w:pPr>
      <w:r>
        <w:rPr>
          <w:rFonts w:hint="eastAsia" w:cs="宋体"/>
          <w:b/>
          <w:bCs/>
          <w:color w:val="auto"/>
          <w:lang w:val="en-US" w:eastAsia="zh-CN"/>
        </w:rPr>
        <w:t>5.4不合格工程的处理</w:t>
      </w:r>
    </w:p>
    <w:p>
      <w:pPr>
        <w:pStyle w:val="26"/>
        <w:numPr>
          <w:ilvl w:val="0"/>
          <w:numId w:val="0"/>
        </w:numPr>
        <w:spacing w:before="0" w:beforeAutospacing="0" w:after="0" w:afterAutospacing="0" w:line="360" w:lineRule="auto"/>
        <w:ind w:firstLine="480" w:firstLineChars="200"/>
        <w:rPr>
          <w:rFonts w:hint="eastAsia" w:cs="宋体"/>
          <w:color w:val="auto"/>
          <w:lang w:val="en-US" w:eastAsia="zh-CN"/>
        </w:rPr>
      </w:pPr>
      <w:r>
        <w:rPr>
          <w:rFonts w:hint="eastAsia" w:cs="宋体"/>
          <w:color w:val="auto"/>
          <w:lang w:val="en-US" w:eastAsia="zh-CN"/>
        </w:rPr>
        <w:t>5.4.1因承包人原因造成工程不合格的，发包人有权随时要求承包人采取补救措</w:t>
      </w:r>
    </w:p>
    <w:p>
      <w:pPr>
        <w:pStyle w:val="26"/>
        <w:numPr>
          <w:ilvl w:val="0"/>
          <w:numId w:val="0"/>
        </w:numPr>
        <w:spacing w:before="0" w:beforeAutospacing="0" w:after="0" w:afterAutospacing="0" w:line="360" w:lineRule="auto"/>
        <w:rPr>
          <w:rFonts w:hint="eastAsia" w:cs="宋体"/>
          <w:color w:val="auto"/>
          <w:lang w:val="en-US" w:eastAsia="zh-CN"/>
        </w:rPr>
      </w:pPr>
      <w:r>
        <w:rPr>
          <w:rFonts w:hint="eastAsia" w:cs="宋体"/>
          <w:color w:val="auto"/>
          <w:lang w:val="en-US" w:eastAsia="zh-CN"/>
        </w:rPr>
        <w:t>施，直至达到合同要求的质量标准，由此增加的费用和(或)延误的工期由承包人承担。无法补救的，按照第13.2.4项〔拒绝接收全部或部分工程〕约定执行。</w:t>
      </w:r>
    </w:p>
    <w:p>
      <w:pPr>
        <w:pStyle w:val="26"/>
        <w:numPr>
          <w:ilvl w:val="0"/>
          <w:numId w:val="0"/>
        </w:numPr>
        <w:spacing w:before="0" w:beforeAutospacing="0" w:after="0" w:afterAutospacing="0" w:line="360" w:lineRule="auto"/>
        <w:ind w:firstLine="480" w:firstLineChars="200"/>
        <w:rPr>
          <w:rFonts w:hint="eastAsia" w:cs="宋体"/>
          <w:color w:val="auto"/>
          <w:lang w:val="en-US" w:eastAsia="zh-CN"/>
        </w:rPr>
      </w:pPr>
      <w:r>
        <w:rPr>
          <w:rFonts w:hint="eastAsia" w:cs="宋体"/>
          <w:color w:val="auto"/>
          <w:lang w:val="en-US" w:eastAsia="zh-CN"/>
        </w:rPr>
        <w:t>5.4.2因发包人原因造成工程不合格的，由此增加的费用和(或)延误的工期由发包人承担，并支付承包人合理的利润。</w:t>
      </w:r>
    </w:p>
    <w:p>
      <w:pPr>
        <w:pStyle w:val="26"/>
        <w:numPr>
          <w:ilvl w:val="0"/>
          <w:numId w:val="0"/>
        </w:numPr>
        <w:spacing w:before="0" w:beforeAutospacing="0" w:after="0" w:afterAutospacing="0" w:line="360" w:lineRule="auto"/>
        <w:ind w:firstLine="482" w:firstLineChars="200"/>
        <w:rPr>
          <w:rFonts w:hint="eastAsia" w:cs="宋体"/>
          <w:b/>
          <w:bCs/>
          <w:color w:val="auto"/>
          <w:lang w:val="en-US" w:eastAsia="zh-CN"/>
        </w:rPr>
      </w:pPr>
      <w:r>
        <w:rPr>
          <w:rFonts w:hint="eastAsia" w:cs="宋体"/>
          <w:b/>
          <w:bCs/>
          <w:color w:val="auto"/>
          <w:lang w:val="en-US" w:eastAsia="zh-CN"/>
        </w:rPr>
        <w:t>5.5质量争议检测</w:t>
      </w:r>
    </w:p>
    <w:p>
      <w:pPr>
        <w:pStyle w:val="26"/>
        <w:numPr>
          <w:ilvl w:val="0"/>
          <w:numId w:val="0"/>
        </w:numPr>
        <w:spacing w:before="0" w:beforeAutospacing="0" w:after="0" w:afterAutospacing="0" w:line="360" w:lineRule="auto"/>
        <w:ind w:firstLine="480" w:firstLineChars="200"/>
        <w:rPr>
          <w:rFonts w:hint="eastAsia" w:cs="宋体"/>
          <w:color w:val="auto"/>
          <w:lang w:val="en-US" w:eastAsia="zh-CN"/>
        </w:rPr>
      </w:pPr>
      <w:r>
        <w:rPr>
          <w:rFonts w:hint="eastAsia" w:cs="宋体"/>
          <w:color w:val="auto"/>
          <w:lang w:val="en-US" w:eastAsia="zh-CN"/>
        </w:rPr>
        <w:t>合同当事人对工程质量有争议的，由双方协商确定的工程质量检测机构鉴定，由此产生的费用及因此造成的损失，由责任方承担。</w:t>
      </w:r>
    </w:p>
    <w:p>
      <w:pPr>
        <w:pStyle w:val="26"/>
        <w:numPr>
          <w:ilvl w:val="0"/>
          <w:numId w:val="0"/>
        </w:numPr>
        <w:spacing w:before="0" w:beforeAutospacing="0" w:after="0" w:afterAutospacing="0" w:line="360" w:lineRule="auto"/>
        <w:ind w:firstLine="480" w:firstLineChars="200"/>
        <w:rPr>
          <w:rFonts w:hint="eastAsia" w:cs="宋体"/>
          <w:color w:val="auto"/>
          <w:lang w:val="en-US" w:eastAsia="zh-CN"/>
        </w:rPr>
      </w:pPr>
      <w:r>
        <w:rPr>
          <w:rFonts w:hint="eastAsia" w:cs="宋体"/>
          <w:color w:val="auto"/>
          <w:lang w:val="en-US" w:eastAsia="zh-CN"/>
        </w:rPr>
        <w:t>合同当事人均有责任的，由双方根据其责任分别承担。合同当事人无法达成一致的，按照第4.4款〔商定或确定〕执行。</w:t>
      </w:r>
    </w:p>
    <w:p>
      <w:pPr>
        <w:pStyle w:val="26"/>
        <w:numPr>
          <w:ilvl w:val="0"/>
          <w:numId w:val="0"/>
        </w:numPr>
        <w:spacing w:before="0" w:beforeAutospacing="0" w:after="0" w:afterAutospacing="0" w:line="360" w:lineRule="auto"/>
        <w:ind w:firstLine="482" w:firstLineChars="200"/>
        <w:rPr>
          <w:rFonts w:hint="eastAsia" w:cs="宋体"/>
          <w:b/>
          <w:bCs/>
          <w:color w:val="auto"/>
          <w:lang w:val="en-US" w:eastAsia="zh-CN"/>
        </w:rPr>
      </w:pPr>
      <w:r>
        <w:rPr>
          <w:rFonts w:hint="eastAsia" w:cs="宋体"/>
          <w:b/>
          <w:bCs/>
          <w:color w:val="auto"/>
          <w:lang w:val="en-US" w:eastAsia="zh-CN"/>
        </w:rPr>
        <w:t>6.安全文明施工与环境保护</w:t>
      </w:r>
    </w:p>
    <w:p>
      <w:pPr>
        <w:pStyle w:val="26"/>
        <w:numPr>
          <w:ilvl w:val="0"/>
          <w:numId w:val="0"/>
        </w:numPr>
        <w:spacing w:before="0" w:beforeAutospacing="0" w:after="0" w:afterAutospacing="0" w:line="360" w:lineRule="auto"/>
        <w:ind w:firstLine="482" w:firstLineChars="200"/>
        <w:rPr>
          <w:rFonts w:hint="eastAsia" w:cs="宋体"/>
          <w:b/>
          <w:bCs/>
          <w:color w:val="auto"/>
          <w:lang w:val="en-US" w:eastAsia="zh-CN"/>
        </w:rPr>
      </w:pPr>
      <w:r>
        <w:rPr>
          <w:rFonts w:hint="eastAsia" w:cs="宋体"/>
          <w:b/>
          <w:bCs/>
          <w:color w:val="auto"/>
          <w:lang w:val="en-US" w:eastAsia="zh-CN"/>
        </w:rPr>
        <w:t>6.1安全文明施工</w:t>
      </w:r>
    </w:p>
    <w:p>
      <w:pPr>
        <w:pStyle w:val="26"/>
        <w:numPr>
          <w:ilvl w:val="0"/>
          <w:numId w:val="0"/>
        </w:numPr>
        <w:spacing w:before="0" w:beforeAutospacing="0" w:after="0" w:afterAutospacing="0" w:line="360" w:lineRule="auto"/>
        <w:ind w:firstLine="480" w:firstLineChars="200"/>
        <w:rPr>
          <w:rFonts w:hint="eastAsia" w:cs="宋体"/>
          <w:color w:val="auto"/>
          <w:lang w:val="en-US" w:eastAsia="zh-CN"/>
        </w:rPr>
      </w:pPr>
      <w:r>
        <w:rPr>
          <w:rFonts w:hint="eastAsia" w:cs="宋体"/>
          <w:color w:val="auto"/>
          <w:lang w:val="en-US" w:eastAsia="zh-CN"/>
        </w:rPr>
        <w:t>6.1.1安全生产要求</w:t>
      </w:r>
    </w:p>
    <w:p>
      <w:pPr>
        <w:pStyle w:val="26"/>
        <w:numPr>
          <w:ilvl w:val="0"/>
          <w:numId w:val="0"/>
        </w:numPr>
        <w:spacing w:before="0" w:beforeAutospacing="0" w:after="0" w:afterAutospacing="0" w:line="360" w:lineRule="auto"/>
        <w:ind w:firstLine="480" w:firstLineChars="200"/>
        <w:rPr>
          <w:rFonts w:hint="eastAsia" w:cs="宋体"/>
          <w:color w:val="auto"/>
          <w:lang w:val="en-US" w:eastAsia="zh-CN"/>
        </w:rPr>
      </w:pPr>
      <w:r>
        <w:rPr>
          <w:rFonts w:hint="eastAsia" w:cs="宋体"/>
          <w:color w:val="auto"/>
          <w:lang w:val="en-US" w:eastAsia="zh-CN"/>
        </w:rPr>
        <w:t>合同履行期间，合同当事人均应当遵守国家和工程所在地有关安全生产的要求，合同当事人有特别要求的，应在专用合同条款中明确施工项目安全生产标准化达标目标及相应事项。承包人有权拒绝发包人及监理人强令承包人违章作业、冒险施工的任何指示。</w:t>
      </w:r>
    </w:p>
    <w:p>
      <w:pPr>
        <w:pStyle w:val="26"/>
        <w:numPr>
          <w:ilvl w:val="0"/>
          <w:numId w:val="0"/>
        </w:numPr>
        <w:spacing w:before="0" w:beforeAutospacing="0" w:after="0" w:afterAutospacing="0" w:line="360" w:lineRule="auto"/>
        <w:ind w:firstLine="480" w:firstLineChars="200"/>
        <w:rPr>
          <w:rFonts w:hint="eastAsia" w:cs="宋体"/>
          <w:color w:val="auto"/>
          <w:lang w:val="en-US" w:eastAsia="zh-CN"/>
        </w:rPr>
      </w:pPr>
      <w:r>
        <w:rPr>
          <w:rFonts w:hint="eastAsia" w:cs="宋体"/>
          <w:color w:val="auto"/>
          <w:lang w:val="en-US" w:eastAsia="zh-CN"/>
        </w:rPr>
        <w:t>在施工过程中，如遇到突发的地质变动、事先未知的地下施工障碍等影响施工安全的紧急情况，承包人应及时报告监理人和发包人，发包人应当及时下令停工并报政府有关行政管理部门采取应急措施。</w:t>
      </w:r>
    </w:p>
    <w:p>
      <w:pPr>
        <w:pStyle w:val="26"/>
        <w:numPr>
          <w:ilvl w:val="0"/>
          <w:numId w:val="0"/>
        </w:numPr>
        <w:spacing w:before="0" w:beforeAutospacing="0" w:after="0" w:afterAutospacing="0" w:line="360" w:lineRule="auto"/>
        <w:ind w:firstLine="480" w:firstLineChars="200"/>
        <w:rPr>
          <w:rFonts w:hint="eastAsia" w:cs="宋体"/>
          <w:color w:val="auto"/>
          <w:lang w:val="en-US" w:eastAsia="zh-CN"/>
        </w:rPr>
      </w:pPr>
      <w:r>
        <w:rPr>
          <w:rFonts w:hint="eastAsia" w:cs="宋体"/>
          <w:color w:val="auto"/>
          <w:lang w:val="en-US" w:eastAsia="zh-CN"/>
        </w:rPr>
        <w:t>因安全生产需要暂停施工的，按照第7.8款〔暂停施工〕的约定执行。</w:t>
      </w:r>
    </w:p>
    <w:p>
      <w:pPr>
        <w:pStyle w:val="26"/>
        <w:numPr>
          <w:ilvl w:val="0"/>
          <w:numId w:val="0"/>
        </w:numPr>
        <w:spacing w:before="0" w:beforeAutospacing="0" w:after="0" w:afterAutospacing="0" w:line="360" w:lineRule="auto"/>
        <w:ind w:firstLine="480" w:firstLineChars="200"/>
        <w:rPr>
          <w:rFonts w:hint="eastAsia" w:cs="宋体"/>
          <w:color w:val="auto"/>
          <w:lang w:val="en-US" w:eastAsia="zh-CN"/>
        </w:rPr>
      </w:pPr>
      <w:r>
        <w:rPr>
          <w:rFonts w:hint="eastAsia" w:cs="宋体"/>
          <w:color w:val="auto"/>
          <w:lang w:val="en-US" w:eastAsia="zh-CN"/>
        </w:rPr>
        <w:t>6.1.2安全生产保证措施</w:t>
      </w:r>
    </w:p>
    <w:p>
      <w:pPr>
        <w:pStyle w:val="26"/>
        <w:numPr>
          <w:ilvl w:val="0"/>
          <w:numId w:val="0"/>
        </w:numPr>
        <w:spacing w:before="0" w:beforeAutospacing="0" w:after="0" w:afterAutospacing="0" w:line="360" w:lineRule="auto"/>
        <w:ind w:firstLine="480" w:firstLineChars="200"/>
        <w:rPr>
          <w:rFonts w:hint="eastAsia" w:cs="宋体"/>
          <w:color w:val="auto"/>
          <w:lang w:val="en-US" w:eastAsia="zh-CN"/>
        </w:rPr>
      </w:pPr>
      <w:r>
        <w:rPr>
          <w:rFonts w:hint="eastAsia" w:cs="宋体"/>
          <w:color w:val="auto"/>
          <w:lang w:val="en-US" w:eastAsia="zh-CN"/>
        </w:rPr>
        <w:t>承包人应当按照有关规定编制安全技术措施或者专项施工方案，建立安全生产责任制度、治安保卫制度及安全生产教育培训制度，并按安全生产法律规定及合同约定履行安全职责，如实编制工程安全生产的有关记录，接受发包人、监理人及政府安全监督部门的检查与监督。</w:t>
      </w:r>
    </w:p>
    <w:p>
      <w:pPr>
        <w:pStyle w:val="26"/>
        <w:numPr>
          <w:ilvl w:val="0"/>
          <w:numId w:val="0"/>
        </w:numPr>
        <w:spacing w:before="0" w:beforeAutospacing="0" w:after="0" w:afterAutospacing="0" w:line="360" w:lineRule="auto"/>
        <w:ind w:firstLine="480" w:firstLineChars="200"/>
        <w:rPr>
          <w:rFonts w:hint="eastAsia" w:cs="宋体"/>
          <w:color w:val="auto"/>
          <w:lang w:val="en-US" w:eastAsia="zh-CN"/>
        </w:rPr>
      </w:pPr>
      <w:r>
        <w:rPr>
          <w:rFonts w:hint="eastAsia" w:cs="宋体"/>
          <w:color w:val="auto"/>
          <w:lang w:val="en-US" w:eastAsia="zh-CN"/>
        </w:rPr>
        <w:t>6.1.3特别安全生产事项</w:t>
      </w:r>
    </w:p>
    <w:p>
      <w:pPr>
        <w:pStyle w:val="26"/>
        <w:numPr>
          <w:ilvl w:val="0"/>
          <w:numId w:val="0"/>
        </w:numPr>
        <w:spacing w:before="0" w:beforeAutospacing="0" w:after="0" w:afterAutospacing="0" w:line="360" w:lineRule="auto"/>
        <w:ind w:firstLine="480" w:firstLineChars="200"/>
        <w:rPr>
          <w:rFonts w:hint="eastAsia" w:cs="宋体"/>
          <w:color w:val="auto"/>
          <w:lang w:val="en-US" w:eastAsia="zh-CN"/>
        </w:rPr>
      </w:pPr>
      <w:r>
        <w:rPr>
          <w:rFonts w:hint="eastAsia" w:cs="宋体"/>
          <w:color w:val="auto"/>
          <w:lang w:val="en-US" w:eastAsia="zh-CN"/>
        </w:rPr>
        <w:t>承包人应按照法律规定进行施工，开工前做好安全技术交底工作，施工过程中做好各项安全防护措施。承包人为实施合同而雇用的特殊工种的人员应受过专门的培训并已取得政府有关管理机构颁发的上岗证书。</w:t>
      </w:r>
    </w:p>
    <w:p>
      <w:pPr>
        <w:pStyle w:val="26"/>
        <w:numPr>
          <w:ilvl w:val="0"/>
          <w:numId w:val="0"/>
        </w:numPr>
        <w:spacing w:before="0" w:beforeAutospacing="0" w:after="0" w:afterAutospacing="0" w:line="360" w:lineRule="auto"/>
        <w:ind w:firstLine="480" w:firstLineChars="200"/>
        <w:rPr>
          <w:rFonts w:hint="eastAsia" w:cs="宋体"/>
          <w:color w:val="auto"/>
          <w:lang w:val="en-US" w:eastAsia="zh-CN"/>
        </w:rPr>
      </w:pPr>
      <w:r>
        <w:rPr>
          <w:rFonts w:hint="eastAsia" w:cs="宋体"/>
          <w:color w:val="auto"/>
          <w:lang w:val="en-US" w:eastAsia="zh-CN"/>
        </w:rPr>
        <w:t>承包人在动力设备、输电线路、地下管道、密封防震车间、易燃易爆地段以及临街交通要道附近施工时，施工开始前应向发包人和监理人提出安全防护措施，经发包人</w:t>
      </w:r>
    </w:p>
    <w:p>
      <w:pPr>
        <w:pStyle w:val="26"/>
        <w:numPr>
          <w:ilvl w:val="0"/>
          <w:numId w:val="0"/>
        </w:numPr>
        <w:spacing w:before="0" w:beforeAutospacing="0" w:after="0" w:afterAutospacing="0" w:line="360" w:lineRule="auto"/>
        <w:rPr>
          <w:rFonts w:hint="eastAsia" w:cs="宋体"/>
          <w:color w:val="auto"/>
          <w:lang w:val="en-US" w:eastAsia="zh-CN"/>
        </w:rPr>
      </w:pPr>
      <w:r>
        <w:rPr>
          <w:rFonts w:hint="eastAsia" w:cs="宋体"/>
          <w:color w:val="auto"/>
          <w:lang w:val="en-US" w:eastAsia="zh-CN"/>
        </w:rPr>
        <w:t>认可后实施。</w:t>
      </w:r>
    </w:p>
    <w:p>
      <w:pPr>
        <w:pStyle w:val="26"/>
        <w:numPr>
          <w:ilvl w:val="0"/>
          <w:numId w:val="0"/>
        </w:numPr>
        <w:spacing w:before="0" w:beforeAutospacing="0" w:after="0" w:afterAutospacing="0" w:line="360" w:lineRule="auto"/>
        <w:ind w:firstLine="480" w:firstLineChars="200"/>
        <w:rPr>
          <w:rFonts w:hint="eastAsia" w:cs="宋体"/>
          <w:color w:val="auto"/>
          <w:lang w:val="en-US" w:eastAsia="zh-CN"/>
        </w:rPr>
      </w:pPr>
      <w:r>
        <w:rPr>
          <w:rFonts w:hint="eastAsia" w:cs="宋体"/>
          <w:color w:val="auto"/>
          <w:lang w:val="en-US" w:eastAsia="zh-CN"/>
        </w:rPr>
        <w:t>实施爆破作业，在放射、毒害性环境中施工(含储存、运输、使用)及使用毒害性、腐蚀性物品施工时，承包人应在施工前7天以书面通知发包人和监理人，并报送相应的安全防护措施，经发包人认可后实施。</w:t>
      </w:r>
    </w:p>
    <w:p>
      <w:pPr>
        <w:pStyle w:val="26"/>
        <w:numPr>
          <w:ilvl w:val="0"/>
          <w:numId w:val="0"/>
        </w:numPr>
        <w:spacing w:before="0" w:beforeAutospacing="0" w:after="0" w:afterAutospacing="0" w:line="360" w:lineRule="auto"/>
        <w:ind w:firstLine="480" w:firstLineChars="200"/>
        <w:rPr>
          <w:rFonts w:hint="eastAsia" w:cs="宋体"/>
          <w:color w:val="auto"/>
          <w:lang w:val="en-US" w:eastAsia="zh-CN"/>
        </w:rPr>
      </w:pPr>
      <w:r>
        <w:rPr>
          <w:rFonts w:hint="eastAsia" w:cs="宋体"/>
          <w:color w:val="auto"/>
          <w:lang w:val="en-US" w:eastAsia="zh-CN"/>
        </w:rPr>
        <w:t>需单独编制危险性较大分部分项专项工程施工方案的，及要求进行专家论证的超过一定规模的危险性较大的分部分项工程，承包人应及时编制和组织论证。</w:t>
      </w:r>
    </w:p>
    <w:p>
      <w:pPr>
        <w:pStyle w:val="26"/>
        <w:numPr>
          <w:ilvl w:val="0"/>
          <w:numId w:val="0"/>
        </w:numPr>
        <w:spacing w:before="0" w:beforeAutospacing="0" w:after="0" w:afterAutospacing="0" w:line="360" w:lineRule="auto"/>
        <w:ind w:firstLine="480" w:firstLineChars="200"/>
        <w:rPr>
          <w:rFonts w:hint="eastAsia" w:cs="宋体"/>
          <w:color w:val="auto"/>
          <w:lang w:val="en-US" w:eastAsia="zh-CN"/>
        </w:rPr>
      </w:pPr>
      <w:r>
        <w:rPr>
          <w:rFonts w:hint="eastAsia" w:cs="宋体"/>
          <w:color w:val="auto"/>
          <w:lang w:val="en-US" w:eastAsia="zh-CN"/>
        </w:rPr>
        <w:t>6.1.4治安保卫</w:t>
      </w:r>
    </w:p>
    <w:p>
      <w:pPr>
        <w:pStyle w:val="26"/>
        <w:numPr>
          <w:ilvl w:val="0"/>
          <w:numId w:val="0"/>
        </w:numPr>
        <w:spacing w:before="0" w:beforeAutospacing="0" w:after="0" w:afterAutospacing="0" w:line="360" w:lineRule="auto"/>
        <w:ind w:firstLine="480" w:firstLineChars="200"/>
        <w:rPr>
          <w:rFonts w:hint="eastAsia" w:cs="宋体"/>
          <w:color w:val="auto"/>
          <w:lang w:val="en-US" w:eastAsia="zh-CN"/>
        </w:rPr>
      </w:pPr>
      <w:r>
        <w:rPr>
          <w:rFonts w:hint="eastAsia" w:cs="宋体"/>
          <w:color w:val="auto"/>
          <w:lang w:val="en-US" w:eastAsia="zh-CN"/>
        </w:rPr>
        <w:t>除专用合同条款另有约定外，发包人应与当地公安部门协商，在现场建立治安管理机构或联防组织，统一管理施工场地的治安保卫事项，履行合同工程的治安保卫职责。</w:t>
      </w:r>
    </w:p>
    <w:p>
      <w:pPr>
        <w:pStyle w:val="26"/>
        <w:numPr>
          <w:ilvl w:val="0"/>
          <w:numId w:val="0"/>
        </w:numPr>
        <w:spacing w:before="0" w:beforeAutospacing="0" w:after="0" w:afterAutospacing="0" w:line="360" w:lineRule="auto"/>
        <w:ind w:firstLine="480" w:firstLineChars="200"/>
        <w:rPr>
          <w:rFonts w:hint="eastAsia" w:cs="宋体"/>
          <w:color w:val="auto"/>
          <w:lang w:val="en-US" w:eastAsia="zh-CN"/>
        </w:rPr>
      </w:pPr>
      <w:r>
        <w:rPr>
          <w:rFonts w:hint="eastAsia" w:cs="宋体"/>
          <w:color w:val="auto"/>
          <w:lang w:val="en-US" w:eastAsia="zh-CN"/>
        </w:rPr>
        <w:t>发包人和承包人除应协助现场治安管理机构或联防组织维护施工场地的社会治安外，还应做好包括生活区在内的各自管辖区的治安保卫工作。</w:t>
      </w:r>
    </w:p>
    <w:p>
      <w:pPr>
        <w:pStyle w:val="26"/>
        <w:numPr>
          <w:ilvl w:val="0"/>
          <w:numId w:val="0"/>
        </w:numPr>
        <w:spacing w:before="0" w:beforeAutospacing="0" w:after="0" w:afterAutospacing="0" w:line="360" w:lineRule="auto"/>
        <w:ind w:firstLine="480" w:firstLineChars="200"/>
        <w:rPr>
          <w:rFonts w:hint="eastAsia" w:cs="宋体"/>
          <w:color w:val="auto"/>
          <w:lang w:val="en-US" w:eastAsia="zh-CN"/>
        </w:rPr>
      </w:pPr>
      <w:r>
        <w:rPr>
          <w:rFonts w:hint="eastAsia" w:cs="宋体"/>
          <w:color w:val="auto"/>
          <w:lang w:val="en-US" w:eastAsia="zh-CN"/>
        </w:rPr>
        <w:t>除专用合同条款另有约定外，发包人和承包人应在工程开工后7天内共同编制施工场地治安管理计划，并制定应对突发治安事件的紧急预案。在工程施工过程中，发生暴乱、爆炸等恐怖事件，以及群殴、械斗等群体性突发治安事件的，发包人和承包人应立即向当地政府报告。发包人和承包人应积极协助当地有关部门采取措施平息事态，防止事态扩大，尽量避免人员伤亡和财产损失。</w:t>
      </w:r>
    </w:p>
    <w:p>
      <w:pPr>
        <w:pStyle w:val="26"/>
        <w:numPr>
          <w:ilvl w:val="0"/>
          <w:numId w:val="0"/>
        </w:numPr>
        <w:spacing w:before="0" w:beforeAutospacing="0" w:after="0" w:afterAutospacing="0" w:line="360" w:lineRule="auto"/>
        <w:ind w:firstLine="480" w:firstLineChars="200"/>
        <w:rPr>
          <w:rFonts w:hint="eastAsia" w:cs="宋体"/>
          <w:color w:val="auto"/>
          <w:lang w:val="en-US" w:eastAsia="zh-CN"/>
        </w:rPr>
      </w:pPr>
      <w:r>
        <w:rPr>
          <w:rFonts w:hint="eastAsia" w:cs="宋体"/>
          <w:color w:val="auto"/>
          <w:lang w:val="en-US" w:eastAsia="zh-CN"/>
        </w:rPr>
        <w:t>6.1.5文明施工</w:t>
      </w:r>
    </w:p>
    <w:p>
      <w:pPr>
        <w:pStyle w:val="26"/>
        <w:numPr>
          <w:ilvl w:val="0"/>
          <w:numId w:val="0"/>
        </w:numPr>
        <w:spacing w:before="0" w:beforeAutospacing="0" w:after="0" w:afterAutospacing="0" w:line="360" w:lineRule="auto"/>
        <w:ind w:firstLine="480" w:firstLineChars="200"/>
        <w:rPr>
          <w:rFonts w:hint="eastAsia" w:cs="宋体"/>
          <w:color w:val="auto"/>
          <w:lang w:val="en-US" w:eastAsia="zh-CN"/>
        </w:rPr>
      </w:pPr>
      <w:r>
        <w:rPr>
          <w:rFonts w:hint="eastAsia" w:cs="宋体"/>
          <w:color w:val="auto"/>
          <w:lang w:val="en-US" w:eastAsia="zh-CN"/>
        </w:rPr>
        <w:t>承包人在工程施工期间，应当采取措施保持施工现场平整，物料堆放整齐。工程所在地有关政府行政管理部门有特殊要求的，按照其要求执行。合同当事人对文明施工有其他要求的，可以在专用合同条款中明确。</w:t>
      </w:r>
    </w:p>
    <w:p>
      <w:pPr>
        <w:pStyle w:val="26"/>
        <w:numPr>
          <w:ilvl w:val="0"/>
          <w:numId w:val="0"/>
        </w:numPr>
        <w:spacing w:before="0" w:beforeAutospacing="0" w:after="0" w:afterAutospacing="0" w:line="360" w:lineRule="auto"/>
        <w:ind w:firstLine="480" w:firstLineChars="200"/>
        <w:rPr>
          <w:rFonts w:hint="eastAsia" w:cs="宋体"/>
          <w:color w:val="auto"/>
          <w:lang w:val="en-US" w:eastAsia="zh-CN"/>
        </w:rPr>
      </w:pPr>
      <w:r>
        <w:rPr>
          <w:rFonts w:hint="eastAsia" w:cs="宋体"/>
          <w:color w:val="auto"/>
          <w:lang w:val="en-US" w:eastAsia="zh-CN"/>
        </w:rPr>
        <w:t>在工程移交之前，承包人应当从施工现场清除承包人的全部工程设备、多余材料、垃圾和各种临时工程，并保持施工现场清洁整齐。经发包人书面同意，承包人可在发包人指定的地点保留承包人履行保修期内的各项义务所需要的材料、施工设备和临时工程。</w:t>
      </w:r>
    </w:p>
    <w:p>
      <w:pPr>
        <w:pStyle w:val="26"/>
        <w:numPr>
          <w:ilvl w:val="0"/>
          <w:numId w:val="0"/>
        </w:numPr>
        <w:spacing w:before="0" w:beforeAutospacing="0" w:after="0" w:afterAutospacing="0" w:line="360" w:lineRule="auto"/>
        <w:ind w:firstLine="480" w:firstLineChars="200"/>
        <w:rPr>
          <w:rFonts w:hint="eastAsia" w:cs="宋体"/>
          <w:color w:val="auto"/>
          <w:lang w:val="en-US" w:eastAsia="zh-CN"/>
        </w:rPr>
      </w:pPr>
      <w:r>
        <w:rPr>
          <w:rFonts w:hint="eastAsia" w:cs="宋体"/>
          <w:color w:val="auto"/>
          <w:lang w:val="en-US" w:eastAsia="zh-CN"/>
        </w:rPr>
        <w:t>6.1.6安全文明施工费</w:t>
      </w:r>
    </w:p>
    <w:p>
      <w:pPr>
        <w:pStyle w:val="26"/>
        <w:numPr>
          <w:ilvl w:val="0"/>
          <w:numId w:val="0"/>
        </w:numPr>
        <w:spacing w:before="0" w:beforeAutospacing="0" w:after="0" w:afterAutospacing="0" w:line="360" w:lineRule="auto"/>
        <w:ind w:firstLine="480" w:firstLineChars="200"/>
        <w:rPr>
          <w:rFonts w:hint="eastAsia" w:cs="宋体"/>
          <w:color w:val="auto"/>
          <w:lang w:val="en-US" w:eastAsia="zh-CN"/>
        </w:rPr>
      </w:pPr>
      <w:r>
        <w:rPr>
          <w:rFonts w:hint="eastAsia" w:cs="宋体"/>
          <w:color w:val="auto"/>
          <w:lang w:val="en-US" w:eastAsia="zh-CN"/>
        </w:rPr>
        <w:t>安全文明施工费由发包人承担，发包人不得以任何形式扣减该部分费用。因基准日期后合同所适用的法律或政府有关规定发生变化，增加的安全文明施工费由发包人承担。</w:t>
      </w:r>
    </w:p>
    <w:p>
      <w:pPr>
        <w:pStyle w:val="26"/>
        <w:numPr>
          <w:ilvl w:val="0"/>
          <w:numId w:val="0"/>
        </w:numPr>
        <w:spacing w:before="0" w:beforeAutospacing="0" w:after="0" w:afterAutospacing="0" w:line="360" w:lineRule="auto"/>
        <w:ind w:firstLine="480" w:firstLineChars="200"/>
        <w:rPr>
          <w:rFonts w:hint="eastAsia" w:cs="宋体"/>
          <w:color w:val="auto"/>
          <w:lang w:val="en-US" w:eastAsia="zh-CN"/>
        </w:rPr>
      </w:pPr>
      <w:r>
        <w:rPr>
          <w:rFonts w:hint="eastAsia" w:cs="宋体"/>
          <w:color w:val="auto"/>
          <w:lang w:val="en-US" w:eastAsia="zh-CN"/>
        </w:rPr>
        <w:t>承包人经发包人同意采取合同约定以外的安全措施所产生的费用，由发包人承担。未经发包人同意的，如果该措施避免了发包人的损失，则发包人在避免损失的额度内</w:t>
      </w:r>
    </w:p>
    <w:p>
      <w:pPr>
        <w:pStyle w:val="26"/>
        <w:numPr>
          <w:ilvl w:val="0"/>
          <w:numId w:val="0"/>
        </w:numPr>
        <w:spacing w:before="0" w:beforeAutospacing="0" w:after="0" w:afterAutospacing="0" w:line="360" w:lineRule="auto"/>
        <w:rPr>
          <w:rFonts w:hint="eastAsia" w:cs="宋体"/>
          <w:color w:val="auto"/>
          <w:lang w:val="en-US" w:eastAsia="zh-CN"/>
        </w:rPr>
      </w:pPr>
      <w:r>
        <w:rPr>
          <w:rFonts w:hint="eastAsia" w:cs="宋体"/>
          <w:color w:val="auto"/>
          <w:lang w:val="en-US" w:eastAsia="zh-CN"/>
        </w:rPr>
        <w:t>承担该措施费。如果该措施避免了承包人的损失，由承包人承担该措施费。</w:t>
      </w:r>
    </w:p>
    <w:p>
      <w:pPr>
        <w:pStyle w:val="26"/>
        <w:numPr>
          <w:ilvl w:val="0"/>
          <w:numId w:val="0"/>
        </w:numPr>
        <w:spacing w:before="0" w:beforeAutospacing="0" w:after="0" w:afterAutospacing="0" w:line="360" w:lineRule="auto"/>
        <w:ind w:firstLine="480" w:firstLineChars="200"/>
        <w:rPr>
          <w:rFonts w:hint="eastAsia" w:cs="宋体"/>
          <w:color w:val="auto"/>
          <w:lang w:val="en-US" w:eastAsia="zh-CN"/>
        </w:rPr>
      </w:pPr>
      <w:r>
        <w:rPr>
          <w:rFonts w:hint="eastAsia" w:cs="宋体"/>
          <w:color w:val="auto"/>
          <w:lang w:val="en-US" w:eastAsia="zh-CN"/>
        </w:rPr>
        <w:t>安全及文明施工措施费开工前一次性支付100%。发包人逾期支付安全文明施工费超过7天的，承包人有权向发包人发出要求预付的催告通知，发包人收到通知后7天内仍未支付的，承包人有权暂停施工，并按第16.1.1项〔发包人违约的情形〕执行。</w:t>
      </w:r>
    </w:p>
    <w:p>
      <w:pPr>
        <w:pStyle w:val="26"/>
        <w:numPr>
          <w:ilvl w:val="0"/>
          <w:numId w:val="0"/>
        </w:numPr>
        <w:spacing w:before="0" w:beforeAutospacing="0" w:after="0" w:afterAutospacing="0" w:line="360" w:lineRule="auto"/>
        <w:ind w:firstLine="480" w:firstLineChars="200"/>
        <w:rPr>
          <w:rFonts w:hint="eastAsia" w:cs="宋体"/>
          <w:color w:val="auto"/>
          <w:lang w:val="en-US" w:eastAsia="zh-CN"/>
        </w:rPr>
      </w:pPr>
      <w:r>
        <w:rPr>
          <w:rFonts w:hint="eastAsia" w:cs="宋体"/>
          <w:color w:val="auto"/>
          <w:lang w:val="en-US" w:eastAsia="zh-CN"/>
        </w:rPr>
        <w:t>承包人对安全文明施工费应专款专用，承包人应在财务账目中单独列项备查，不得挪作他用，否则发包人有权责令其限期改正；逾期未改正的，可以责令其暂停施工，由此增加的费用和(或)延误的工期由承包人承担。</w:t>
      </w:r>
    </w:p>
    <w:p>
      <w:pPr>
        <w:pStyle w:val="26"/>
        <w:numPr>
          <w:ilvl w:val="0"/>
          <w:numId w:val="0"/>
        </w:numPr>
        <w:spacing w:before="0" w:beforeAutospacing="0" w:after="0" w:afterAutospacing="0" w:line="360" w:lineRule="auto"/>
        <w:ind w:firstLine="480" w:firstLineChars="200"/>
        <w:rPr>
          <w:rFonts w:hint="eastAsia" w:cs="宋体"/>
          <w:color w:val="auto"/>
          <w:lang w:val="en-US" w:eastAsia="zh-CN"/>
        </w:rPr>
      </w:pPr>
      <w:r>
        <w:rPr>
          <w:rFonts w:hint="eastAsia" w:cs="宋体"/>
          <w:color w:val="auto"/>
          <w:lang w:val="en-US" w:eastAsia="zh-CN"/>
        </w:rPr>
        <w:t>6.1.7紧急情况处理</w:t>
      </w:r>
    </w:p>
    <w:p>
      <w:pPr>
        <w:pStyle w:val="26"/>
        <w:numPr>
          <w:ilvl w:val="0"/>
          <w:numId w:val="0"/>
        </w:numPr>
        <w:spacing w:before="0" w:beforeAutospacing="0" w:after="0" w:afterAutospacing="0" w:line="360" w:lineRule="auto"/>
        <w:ind w:firstLine="480" w:firstLineChars="200"/>
        <w:rPr>
          <w:rFonts w:hint="eastAsia" w:cs="宋体"/>
          <w:color w:val="auto"/>
          <w:lang w:val="en-US" w:eastAsia="zh-CN"/>
        </w:rPr>
      </w:pPr>
      <w:r>
        <w:rPr>
          <w:rFonts w:hint="eastAsia" w:cs="宋体"/>
          <w:color w:val="auto"/>
          <w:lang w:val="en-US" w:eastAsia="zh-CN"/>
        </w:rPr>
        <w:t>在工程实施期间或缺陷责任期内发生危及工程安全的事件，监理人通知承包人进行抢救，承包人声明无能力或不愿立即执行的，发包人有权雇佣其他人员进行抢救。此类抢救按合同约定属于承包人义务的，由此增加的费用和(或)延误的工期由承包人承担。</w:t>
      </w:r>
    </w:p>
    <w:p>
      <w:pPr>
        <w:pStyle w:val="26"/>
        <w:numPr>
          <w:ilvl w:val="0"/>
          <w:numId w:val="0"/>
        </w:numPr>
        <w:spacing w:before="0" w:beforeAutospacing="0" w:after="0" w:afterAutospacing="0" w:line="360" w:lineRule="auto"/>
        <w:ind w:firstLine="480" w:firstLineChars="200"/>
        <w:rPr>
          <w:rFonts w:hint="eastAsia" w:cs="宋体"/>
          <w:color w:val="auto"/>
          <w:lang w:val="en-US" w:eastAsia="zh-CN"/>
        </w:rPr>
      </w:pPr>
      <w:r>
        <w:rPr>
          <w:rFonts w:hint="eastAsia" w:cs="宋体"/>
          <w:color w:val="auto"/>
          <w:lang w:val="en-US" w:eastAsia="zh-CN"/>
        </w:rPr>
        <w:t>6.1.8事故处理</w:t>
      </w:r>
    </w:p>
    <w:p>
      <w:pPr>
        <w:pStyle w:val="26"/>
        <w:numPr>
          <w:ilvl w:val="0"/>
          <w:numId w:val="0"/>
        </w:numPr>
        <w:spacing w:before="0" w:beforeAutospacing="0" w:after="0" w:afterAutospacing="0" w:line="360" w:lineRule="auto"/>
        <w:ind w:firstLine="480" w:firstLineChars="200"/>
        <w:rPr>
          <w:rFonts w:hint="eastAsia" w:cs="宋体"/>
          <w:color w:val="auto"/>
          <w:lang w:val="en-US" w:eastAsia="zh-CN"/>
        </w:rPr>
      </w:pPr>
      <w:r>
        <w:rPr>
          <w:rFonts w:hint="eastAsia" w:cs="宋体"/>
          <w:color w:val="auto"/>
          <w:lang w:val="en-US" w:eastAsia="zh-CN"/>
        </w:rPr>
        <w:t>工程施工过程中发生事故的，承包人应立即通知监理人，监理人应立即通知发包人。发包人和承包人应立即组织人员和设备进行紧急抢救和抢修，减少人员伤亡和财产损失，防止事故扩大，并保护事故现场。需要移动现场物品时，应作出标记和书面记录，妥善保管有关证据。发包人和承包人应按国家有关规定，及时如实地向有关部门报告事故发生的情况，以及正在采取的紧急措施等。</w:t>
      </w:r>
    </w:p>
    <w:p>
      <w:pPr>
        <w:pStyle w:val="26"/>
        <w:numPr>
          <w:ilvl w:val="0"/>
          <w:numId w:val="0"/>
        </w:numPr>
        <w:spacing w:before="0" w:beforeAutospacing="0" w:after="0" w:afterAutospacing="0" w:line="360" w:lineRule="auto"/>
        <w:ind w:firstLine="480" w:firstLineChars="200"/>
        <w:rPr>
          <w:rFonts w:hint="eastAsia" w:cs="宋体"/>
          <w:color w:val="auto"/>
          <w:lang w:val="en-US" w:eastAsia="zh-CN"/>
        </w:rPr>
      </w:pPr>
      <w:r>
        <w:rPr>
          <w:rFonts w:hint="eastAsia" w:cs="宋体"/>
          <w:color w:val="auto"/>
          <w:lang w:val="en-US" w:eastAsia="zh-CN"/>
        </w:rPr>
        <w:t>6.1.9安全生产责任</w:t>
      </w:r>
    </w:p>
    <w:p>
      <w:pPr>
        <w:pStyle w:val="26"/>
        <w:numPr>
          <w:ilvl w:val="0"/>
          <w:numId w:val="0"/>
        </w:numPr>
        <w:spacing w:before="0" w:beforeAutospacing="0" w:after="0" w:afterAutospacing="0" w:line="360" w:lineRule="auto"/>
        <w:ind w:firstLine="480" w:firstLineChars="200"/>
        <w:rPr>
          <w:rFonts w:hint="eastAsia" w:cs="宋体"/>
          <w:color w:val="auto"/>
          <w:lang w:val="en-US" w:eastAsia="zh-CN"/>
        </w:rPr>
      </w:pPr>
      <w:r>
        <w:rPr>
          <w:rFonts w:hint="eastAsia" w:cs="宋体"/>
          <w:color w:val="auto"/>
          <w:lang w:val="en-US" w:eastAsia="zh-CN"/>
        </w:rPr>
        <w:t>6.1.9.1发包人的安全责任</w:t>
      </w:r>
    </w:p>
    <w:p>
      <w:pPr>
        <w:pStyle w:val="26"/>
        <w:numPr>
          <w:ilvl w:val="0"/>
          <w:numId w:val="0"/>
        </w:numPr>
        <w:spacing w:before="0" w:beforeAutospacing="0" w:after="0" w:afterAutospacing="0" w:line="360" w:lineRule="auto"/>
        <w:ind w:firstLine="480" w:firstLineChars="200"/>
        <w:rPr>
          <w:rFonts w:hint="eastAsia" w:cs="宋体"/>
          <w:color w:val="auto"/>
          <w:lang w:val="en-US" w:eastAsia="zh-CN"/>
        </w:rPr>
      </w:pPr>
      <w:r>
        <w:rPr>
          <w:rFonts w:hint="eastAsia" w:cs="宋体"/>
          <w:color w:val="auto"/>
          <w:lang w:val="en-US" w:eastAsia="zh-CN"/>
        </w:rPr>
        <w:t>发包人应负责赔偿以下各种情况造成的损失：</w:t>
      </w:r>
    </w:p>
    <w:p>
      <w:pPr>
        <w:pStyle w:val="26"/>
        <w:numPr>
          <w:ilvl w:val="0"/>
          <w:numId w:val="0"/>
        </w:numPr>
        <w:spacing w:before="0" w:beforeAutospacing="0" w:after="0" w:afterAutospacing="0" w:line="360" w:lineRule="auto"/>
        <w:ind w:firstLine="480" w:firstLineChars="200"/>
        <w:rPr>
          <w:rFonts w:hint="eastAsia" w:cs="宋体"/>
          <w:color w:val="auto"/>
          <w:lang w:val="en-US" w:eastAsia="zh-CN"/>
        </w:rPr>
      </w:pPr>
      <w:r>
        <w:rPr>
          <w:rFonts w:hint="eastAsia" w:cs="宋体"/>
          <w:color w:val="auto"/>
          <w:lang w:val="en-US" w:eastAsia="zh-CN"/>
        </w:rPr>
        <w:t>(1)工程或工程的任何部分对土地的占用所造成的第三者财产损失；</w:t>
      </w:r>
    </w:p>
    <w:p>
      <w:pPr>
        <w:pStyle w:val="26"/>
        <w:numPr>
          <w:ilvl w:val="0"/>
          <w:numId w:val="0"/>
        </w:numPr>
        <w:spacing w:before="0" w:beforeAutospacing="0" w:after="0" w:afterAutospacing="0" w:line="360" w:lineRule="auto"/>
        <w:ind w:firstLine="480" w:firstLineChars="200"/>
        <w:rPr>
          <w:rFonts w:hint="eastAsia" w:cs="宋体"/>
          <w:color w:val="auto"/>
          <w:lang w:val="en-US" w:eastAsia="zh-CN"/>
        </w:rPr>
      </w:pPr>
      <w:r>
        <w:rPr>
          <w:rFonts w:hint="eastAsia" w:cs="宋体"/>
          <w:color w:val="auto"/>
          <w:lang w:val="en-US" w:eastAsia="zh-CN"/>
        </w:rPr>
        <w:t>(2)由于发包人原因在施工场地及其毗邻地带造成的第三者人身伤亡和财产损失；</w:t>
      </w:r>
    </w:p>
    <w:p>
      <w:pPr>
        <w:pStyle w:val="26"/>
        <w:numPr>
          <w:ilvl w:val="0"/>
          <w:numId w:val="0"/>
        </w:numPr>
        <w:spacing w:before="0" w:beforeAutospacing="0" w:after="0" w:afterAutospacing="0" w:line="360" w:lineRule="auto"/>
        <w:ind w:firstLine="480" w:firstLineChars="200"/>
        <w:rPr>
          <w:rFonts w:hint="eastAsia" w:cs="宋体"/>
          <w:color w:val="auto"/>
          <w:lang w:val="en-US" w:eastAsia="zh-CN"/>
        </w:rPr>
      </w:pPr>
      <w:r>
        <w:rPr>
          <w:rFonts w:hint="eastAsia" w:cs="宋体"/>
          <w:color w:val="auto"/>
          <w:lang w:val="en-US" w:eastAsia="zh-CN"/>
        </w:rPr>
        <w:t>(3)由于发包人原因对承包人、监理人造成的人员人身伤亡和财产损失；</w:t>
      </w:r>
    </w:p>
    <w:p>
      <w:pPr>
        <w:pStyle w:val="26"/>
        <w:numPr>
          <w:ilvl w:val="0"/>
          <w:numId w:val="0"/>
        </w:numPr>
        <w:spacing w:before="0" w:beforeAutospacing="0" w:after="0" w:afterAutospacing="0" w:line="360" w:lineRule="auto"/>
        <w:ind w:firstLine="480" w:firstLineChars="200"/>
        <w:rPr>
          <w:rFonts w:hint="eastAsia" w:cs="宋体"/>
          <w:color w:val="auto"/>
          <w:lang w:val="en-US" w:eastAsia="zh-CN"/>
        </w:rPr>
      </w:pPr>
      <w:r>
        <w:rPr>
          <w:rFonts w:hint="eastAsia" w:cs="宋体"/>
          <w:color w:val="auto"/>
          <w:lang w:val="en-US" w:eastAsia="zh-CN"/>
        </w:rPr>
        <w:t>(4)由于发包人原因造成的发包人自身人员的人身伤害以及财产损失。</w:t>
      </w:r>
    </w:p>
    <w:p>
      <w:pPr>
        <w:pStyle w:val="26"/>
        <w:numPr>
          <w:ilvl w:val="0"/>
          <w:numId w:val="0"/>
        </w:numPr>
        <w:spacing w:before="0" w:beforeAutospacing="0" w:after="0" w:afterAutospacing="0" w:line="360" w:lineRule="auto"/>
        <w:ind w:firstLine="480" w:firstLineChars="200"/>
        <w:rPr>
          <w:rFonts w:hint="eastAsia" w:cs="宋体"/>
          <w:color w:val="auto"/>
          <w:lang w:val="en-US" w:eastAsia="zh-CN"/>
        </w:rPr>
      </w:pPr>
      <w:r>
        <w:rPr>
          <w:rFonts w:hint="eastAsia" w:cs="宋体"/>
          <w:color w:val="auto"/>
          <w:lang w:val="en-US" w:eastAsia="zh-CN"/>
        </w:rPr>
        <w:t>6.1.9.2承包人的安全责任</w:t>
      </w:r>
    </w:p>
    <w:p>
      <w:pPr>
        <w:pStyle w:val="26"/>
        <w:numPr>
          <w:ilvl w:val="0"/>
          <w:numId w:val="0"/>
        </w:numPr>
        <w:spacing w:before="0" w:beforeAutospacing="0" w:after="0" w:afterAutospacing="0" w:line="360" w:lineRule="auto"/>
        <w:ind w:firstLine="480" w:firstLineChars="200"/>
        <w:rPr>
          <w:rFonts w:hint="eastAsia" w:cs="宋体"/>
          <w:color w:val="auto"/>
          <w:lang w:val="en-US" w:eastAsia="zh-CN"/>
        </w:rPr>
      </w:pPr>
      <w:r>
        <w:rPr>
          <w:rFonts w:hint="eastAsia" w:cs="宋体"/>
          <w:color w:val="auto"/>
          <w:lang w:val="en-US" w:eastAsia="zh-CN"/>
        </w:rPr>
        <w:t>由于承包人原因在施工场地内及其毗邻地带造成的发包人、监理人以及第三者人员伤亡和财产损失，由承包人负责赔偿。</w:t>
      </w:r>
    </w:p>
    <w:p>
      <w:pPr>
        <w:pStyle w:val="26"/>
        <w:numPr>
          <w:ilvl w:val="0"/>
          <w:numId w:val="0"/>
        </w:numPr>
        <w:spacing w:before="0" w:beforeAutospacing="0" w:after="0" w:afterAutospacing="0" w:line="360" w:lineRule="auto"/>
        <w:ind w:firstLine="482" w:firstLineChars="200"/>
        <w:rPr>
          <w:rFonts w:hint="eastAsia" w:cs="宋体"/>
          <w:b/>
          <w:bCs/>
          <w:color w:val="auto"/>
          <w:lang w:val="en-US" w:eastAsia="zh-CN"/>
        </w:rPr>
      </w:pPr>
      <w:r>
        <w:rPr>
          <w:rFonts w:hint="eastAsia" w:cs="宋体"/>
          <w:b/>
          <w:bCs/>
          <w:color w:val="auto"/>
          <w:lang w:val="en-US" w:eastAsia="zh-CN"/>
        </w:rPr>
        <w:t>6.2职业健康</w:t>
      </w:r>
    </w:p>
    <w:p>
      <w:pPr>
        <w:pStyle w:val="26"/>
        <w:numPr>
          <w:ilvl w:val="0"/>
          <w:numId w:val="0"/>
        </w:numPr>
        <w:spacing w:before="0" w:beforeAutospacing="0" w:after="0" w:afterAutospacing="0" w:line="360" w:lineRule="auto"/>
        <w:ind w:firstLine="480" w:firstLineChars="200"/>
        <w:rPr>
          <w:rFonts w:hint="eastAsia" w:cs="宋体"/>
          <w:color w:val="auto"/>
          <w:lang w:val="en-US" w:eastAsia="zh-CN"/>
        </w:rPr>
      </w:pPr>
      <w:r>
        <w:rPr>
          <w:rFonts w:hint="eastAsia" w:cs="宋体"/>
          <w:color w:val="auto"/>
          <w:lang w:val="en-US" w:eastAsia="zh-CN"/>
        </w:rPr>
        <w:t>6.2.1劳动保护</w:t>
      </w:r>
    </w:p>
    <w:p>
      <w:pPr>
        <w:pStyle w:val="26"/>
        <w:numPr>
          <w:ilvl w:val="0"/>
          <w:numId w:val="0"/>
        </w:numPr>
        <w:spacing w:before="0" w:beforeAutospacing="0" w:after="0" w:afterAutospacing="0" w:line="360" w:lineRule="auto"/>
        <w:ind w:firstLine="480" w:firstLineChars="200"/>
        <w:rPr>
          <w:rFonts w:hint="eastAsia" w:cs="宋体"/>
          <w:color w:val="auto"/>
          <w:lang w:val="en-US" w:eastAsia="zh-CN"/>
        </w:rPr>
      </w:pPr>
      <w:r>
        <w:rPr>
          <w:rFonts w:hint="eastAsia" w:cs="宋体"/>
          <w:color w:val="auto"/>
          <w:lang w:val="en-US" w:eastAsia="zh-CN"/>
        </w:rPr>
        <w:t>承包人应按照法律规定安排现场施工人员的劳动和休息时间，保障劳动者的休息时间，并支付合理的报酬和费用。承包人应依法为其履行合同所雇用的人员办理必要的证件、许可、保险和注册等，承包人应督促其分包人为分包人所雇用的人员办理必</w:t>
      </w:r>
    </w:p>
    <w:p>
      <w:pPr>
        <w:pStyle w:val="26"/>
        <w:numPr>
          <w:ilvl w:val="0"/>
          <w:numId w:val="0"/>
        </w:numPr>
        <w:spacing w:before="0" w:beforeAutospacing="0" w:after="0" w:afterAutospacing="0" w:line="360" w:lineRule="auto"/>
        <w:rPr>
          <w:rFonts w:hint="eastAsia" w:cs="宋体"/>
          <w:color w:val="auto"/>
          <w:lang w:val="en-US" w:eastAsia="zh-CN"/>
        </w:rPr>
      </w:pPr>
      <w:r>
        <w:rPr>
          <w:rFonts w:hint="eastAsia" w:cs="宋体"/>
          <w:color w:val="auto"/>
          <w:lang w:val="en-US" w:eastAsia="zh-CN"/>
        </w:rPr>
        <w:t>要的证件、许可、保险和注册等。</w:t>
      </w:r>
    </w:p>
    <w:p>
      <w:pPr>
        <w:pStyle w:val="26"/>
        <w:numPr>
          <w:ilvl w:val="0"/>
          <w:numId w:val="0"/>
        </w:numPr>
        <w:spacing w:before="0" w:beforeAutospacing="0" w:after="0" w:afterAutospacing="0" w:line="360" w:lineRule="auto"/>
        <w:ind w:firstLine="480" w:firstLineChars="200"/>
        <w:rPr>
          <w:rFonts w:hint="eastAsia" w:cs="宋体"/>
          <w:color w:val="auto"/>
          <w:lang w:val="en-US" w:eastAsia="zh-CN"/>
        </w:rPr>
      </w:pPr>
      <w:r>
        <w:rPr>
          <w:rFonts w:hint="eastAsia" w:cs="宋体"/>
          <w:color w:val="auto"/>
          <w:lang w:val="en-US" w:eastAsia="zh-CN"/>
        </w:rPr>
        <w:t>承包人应按照法律规定保障现场施工人员的劳动安全，并提供劳动保护,并应按国家有关劳动保护的规定，采取有效的防止粉尘、降低噪声、控制有害气体和保障高温、高寒、高空作业安全等劳动保护措施。承包人雇佣人员在施工中受到伤害的，承包人应立即采取有效措施进行抢救和治疗。</w:t>
      </w:r>
    </w:p>
    <w:p>
      <w:pPr>
        <w:pStyle w:val="26"/>
        <w:numPr>
          <w:ilvl w:val="0"/>
          <w:numId w:val="0"/>
        </w:numPr>
        <w:spacing w:before="0" w:beforeAutospacing="0" w:after="0" w:afterAutospacing="0" w:line="360" w:lineRule="auto"/>
        <w:ind w:firstLine="480" w:firstLineChars="200"/>
        <w:rPr>
          <w:rFonts w:hint="eastAsia" w:cs="宋体"/>
          <w:color w:val="auto"/>
          <w:lang w:val="en-US" w:eastAsia="zh-CN"/>
        </w:rPr>
      </w:pPr>
      <w:r>
        <w:rPr>
          <w:rFonts w:hint="eastAsia" w:cs="宋体"/>
          <w:color w:val="auto"/>
          <w:lang w:val="en-US" w:eastAsia="zh-CN"/>
        </w:rPr>
        <w:t>承包人应按法律规定安排工作时间，保证其雇佣人员享有休息和休假的权利。因工程施工的特殊需要占用休假日或延长工作时间的，应不超过法律规定的限度，并按法律规定给予补休或付酬。</w:t>
      </w:r>
    </w:p>
    <w:p>
      <w:pPr>
        <w:pStyle w:val="26"/>
        <w:numPr>
          <w:ilvl w:val="0"/>
          <w:numId w:val="0"/>
        </w:numPr>
        <w:spacing w:before="0" w:beforeAutospacing="0" w:after="0" w:afterAutospacing="0" w:line="360" w:lineRule="auto"/>
        <w:ind w:firstLine="480" w:firstLineChars="200"/>
        <w:rPr>
          <w:rFonts w:hint="eastAsia" w:cs="宋体"/>
          <w:color w:val="auto"/>
          <w:lang w:val="en-US" w:eastAsia="zh-CN"/>
        </w:rPr>
      </w:pPr>
      <w:r>
        <w:rPr>
          <w:rFonts w:hint="eastAsia" w:cs="宋体"/>
          <w:color w:val="auto"/>
          <w:lang w:val="en-US" w:eastAsia="zh-CN"/>
        </w:rPr>
        <w:t>6.2.2生活条件</w:t>
      </w:r>
    </w:p>
    <w:p>
      <w:pPr>
        <w:pStyle w:val="26"/>
        <w:numPr>
          <w:ilvl w:val="0"/>
          <w:numId w:val="0"/>
        </w:numPr>
        <w:spacing w:before="0" w:beforeAutospacing="0" w:after="0" w:afterAutospacing="0" w:line="360" w:lineRule="auto"/>
        <w:ind w:firstLine="480" w:firstLineChars="200"/>
        <w:rPr>
          <w:rFonts w:hint="eastAsia" w:cs="宋体"/>
          <w:color w:val="auto"/>
          <w:lang w:val="en-US" w:eastAsia="zh-CN"/>
        </w:rPr>
      </w:pPr>
      <w:r>
        <w:rPr>
          <w:rFonts w:hint="eastAsia" w:cs="宋体"/>
          <w:color w:val="auto"/>
          <w:lang w:val="en-US" w:eastAsia="zh-CN"/>
        </w:rPr>
        <w:t>承包人应为其履行合同所雇用的人员提供必要的膳宿条件和生活环境；承包人应采取有效措施预防传染病，保证施工人员的健康，并定期对施工现场、施工人员生活基地和工程进行防疫和卫生的专业检查和处理,在远离城镇的施工场地，还应配备必要的伤病防治和急救的医务人员与医疗设施。</w:t>
      </w:r>
    </w:p>
    <w:p>
      <w:pPr>
        <w:pStyle w:val="26"/>
        <w:numPr>
          <w:ilvl w:val="0"/>
          <w:numId w:val="0"/>
        </w:numPr>
        <w:spacing w:before="0" w:beforeAutospacing="0" w:after="0" w:afterAutospacing="0" w:line="360" w:lineRule="auto"/>
        <w:ind w:firstLine="482" w:firstLineChars="200"/>
        <w:rPr>
          <w:rFonts w:hint="eastAsia" w:cs="宋体"/>
          <w:b/>
          <w:bCs/>
          <w:color w:val="auto"/>
          <w:lang w:val="en-US" w:eastAsia="zh-CN"/>
        </w:rPr>
      </w:pPr>
      <w:r>
        <w:rPr>
          <w:rFonts w:hint="eastAsia" w:cs="宋体"/>
          <w:b/>
          <w:bCs/>
          <w:color w:val="auto"/>
          <w:lang w:val="en-US" w:eastAsia="zh-CN"/>
        </w:rPr>
        <w:t>6.3环境保护</w:t>
      </w:r>
    </w:p>
    <w:p>
      <w:pPr>
        <w:pStyle w:val="26"/>
        <w:numPr>
          <w:ilvl w:val="0"/>
          <w:numId w:val="0"/>
        </w:numPr>
        <w:spacing w:before="0" w:beforeAutospacing="0" w:after="0" w:afterAutospacing="0" w:line="360" w:lineRule="auto"/>
        <w:ind w:firstLine="480" w:firstLineChars="200"/>
        <w:rPr>
          <w:rFonts w:hint="eastAsia" w:cs="宋体"/>
          <w:color w:val="auto"/>
          <w:lang w:val="en-US" w:eastAsia="zh-CN"/>
        </w:rPr>
      </w:pPr>
      <w:r>
        <w:rPr>
          <w:rFonts w:hint="eastAsia" w:cs="宋体"/>
          <w:color w:val="auto"/>
          <w:lang w:val="en-US" w:eastAsia="zh-CN"/>
        </w:rPr>
        <w:t>承包人应在施工组织设计中列明环境保护的具体措施。在合同履行期间，承包人应采取合理措施保护施工现场环境。对施工作业过程中可能引起的大气、水、噪音以及固体废物污染采取具体可行的防范措施。</w:t>
      </w:r>
    </w:p>
    <w:p>
      <w:pPr>
        <w:pStyle w:val="26"/>
        <w:numPr>
          <w:ilvl w:val="0"/>
          <w:numId w:val="0"/>
        </w:numPr>
        <w:spacing w:before="0" w:beforeAutospacing="0" w:after="0" w:afterAutospacing="0" w:line="360" w:lineRule="auto"/>
        <w:ind w:firstLine="480" w:firstLineChars="200"/>
        <w:rPr>
          <w:rFonts w:hint="eastAsia" w:cs="宋体"/>
          <w:color w:val="auto"/>
          <w:lang w:val="en-US" w:eastAsia="zh-CN"/>
        </w:rPr>
      </w:pPr>
      <w:r>
        <w:rPr>
          <w:rFonts w:hint="eastAsia" w:cs="宋体"/>
          <w:color w:val="auto"/>
          <w:lang w:val="en-US" w:eastAsia="zh-CN"/>
        </w:rPr>
        <w:t>承包人应当承担因其原因引起的环境污染侵权损害赔偿责任，因上述环境污染引起纠纷而导致暂停施工的，由此增加的费用和(或)延误的工期由承包人承担。</w:t>
      </w:r>
    </w:p>
    <w:p>
      <w:pPr>
        <w:pStyle w:val="26"/>
        <w:numPr>
          <w:ilvl w:val="0"/>
          <w:numId w:val="0"/>
        </w:numPr>
        <w:spacing w:before="0" w:beforeAutospacing="0" w:after="0" w:afterAutospacing="0" w:line="360" w:lineRule="auto"/>
        <w:ind w:firstLine="482" w:firstLineChars="200"/>
        <w:rPr>
          <w:rFonts w:hint="eastAsia" w:cs="宋体"/>
          <w:b/>
          <w:bCs/>
          <w:color w:val="auto"/>
          <w:lang w:val="en-US" w:eastAsia="zh-CN"/>
        </w:rPr>
      </w:pPr>
      <w:r>
        <w:rPr>
          <w:rFonts w:hint="eastAsia" w:cs="宋体"/>
          <w:b/>
          <w:bCs/>
          <w:color w:val="auto"/>
          <w:lang w:val="en-US" w:eastAsia="zh-CN"/>
        </w:rPr>
        <w:t>7.工期和进度</w:t>
      </w:r>
    </w:p>
    <w:p>
      <w:pPr>
        <w:pStyle w:val="26"/>
        <w:numPr>
          <w:ilvl w:val="0"/>
          <w:numId w:val="0"/>
        </w:numPr>
        <w:spacing w:before="0" w:beforeAutospacing="0" w:after="0" w:afterAutospacing="0" w:line="360" w:lineRule="auto"/>
        <w:ind w:firstLine="482" w:firstLineChars="200"/>
        <w:rPr>
          <w:rFonts w:hint="eastAsia" w:cs="宋体"/>
          <w:b/>
          <w:bCs/>
          <w:color w:val="auto"/>
          <w:lang w:val="en-US" w:eastAsia="zh-CN"/>
        </w:rPr>
      </w:pPr>
      <w:r>
        <w:rPr>
          <w:rFonts w:hint="eastAsia" w:cs="宋体"/>
          <w:b/>
          <w:bCs/>
          <w:color w:val="auto"/>
          <w:lang w:val="en-US" w:eastAsia="zh-CN"/>
        </w:rPr>
        <w:t>7.1施工组织设计</w:t>
      </w:r>
    </w:p>
    <w:p>
      <w:pPr>
        <w:pStyle w:val="26"/>
        <w:numPr>
          <w:ilvl w:val="0"/>
          <w:numId w:val="0"/>
        </w:numPr>
        <w:spacing w:before="0" w:beforeAutospacing="0" w:after="0" w:afterAutospacing="0" w:line="360" w:lineRule="auto"/>
        <w:ind w:firstLine="480" w:firstLineChars="200"/>
        <w:rPr>
          <w:rFonts w:hint="eastAsia" w:cs="宋体"/>
          <w:color w:val="auto"/>
          <w:lang w:val="en-US" w:eastAsia="zh-CN"/>
        </w:rPr>
      </w:pPr>
      <w:r>
        <w:rPr>
          <w:rFonts w:hint="eastAsia" w:cs="宋体"/>
          <w:color w:val="auto"/>
          <w:lang w:val="en-US" w:eastAsia="zh-CN"/>
        </w:rPr>
        <w:t>7.1.1施工组织设计的内容</w:t>
      </w:r>
    </w:p>
    <w:p>
      <w:pPr>
        <w:pStyle w:val="26"/>
        <w:numPr>
          <w:ilvl w:val="0"/>
          <w:numId w:val="0"/>
        </w:numPr>
        <w:spacing w:before="0" w:beforeAutospacing="0" w:after="0" w:afterAutospacing="0" w:line="360" w:lineRule="auto"/>
        <w:ind w:firstLine="480" w:firstLineChars="200"/>
        <w:rPr>
          <w:rFonts w:hint="eastAsia" w:cs="宋体"/>
          <w:color w:val="auto"/>
          <w:lang w:val="en-US" w:eastAsia="zh-CN"/>
        </w:rPr>
      </w:pPr>
      <w:r>
        <w:rPr>
          <w:rFonts w:hint="eastAsia" w:cs="宋体"/>
          <w:color w:val="auto"/>
          <w:lang w:val="en-US" w:eastAsia="zh-CN"/>
        </w:rPr>
        <w:t>施工组织设计应包含以下内容：</w:t>
      </w:r>
    </w:p>
    <w:p>
      <w:pPr>
        <w:pStyle w:val="26"/>
        <w:numPr>
          <w:ilvl w:val="0"/>
          <w:numId w:val="0"/>
        </w:numPr>
        <w:spacing w:before="0" w:beforeAutospacing="0" w:after="0" w:afterAutospacing="0" w:line="360" w:lineRule="auto"/>
        <w:ind w:firstLine="480" w:firstLineChars="200"/>
        <w:rPr>
          <w:rFonts w:hint="eastAsia" w:cs="宋体"/>
          <w:color w:val="auto"/>
          <w:lang w:val="en-US" w:eastAsia="zh-CN"/>
        </w:rPr>
      </w:pPr>
      <w:r>
        <w:rPr>
          <w:rFonts w:hint="eastAsia" w:cs="宋体"/>
          <w:color w:val="auto"/>
          <w:lang w:val="en-US" w:eastAsia="zh-CN"/>
        </w:rPr>
        <w:t>(1)施工方案；</w:t>
      </w:r>
    </w:p>
    <w:p>
      <w:pPr>
        <w:pStyle w:val="26"/>
        <w:numPr>
          <w:ilvl w:val="0"/>
          <w:numId w:val="0"/>
        </w:numPr>
        <w:spacing w:before="0" w:beforeAutospacing="0" w:after="0" w:afterAutospacing="0" w:line="360" w:lineRule="auto"/>
        <w:ind w:firstLine="480" w:firstLineChars="200"/>
        <w:rPr>
          <w:rFonts w:hint="eastAsia" w:cs="宋体"/>
          <w:color w:val="auto"/>
          <w:lang w:val="en-US" w:eastAsia="zh-CN"/>
        </w:rPr>
      </w:pPr>
      <w:r>
        <w:rPr>
          <w:rFonts w:hint="eastAsia" w:cs="宋体"/>
          <w:color w:val="auto"/>
          <w:lang w:val="en-US" w:eastAsia="zh-CN"/>
        </w:rPr>
        <w:t>(2)施工现场平面布置图；</w:t>
      </w:r>
    </w:p>
    <w:p>
      <w:pPr>
        <w:pStyle w:val="26"/>
        <w:numPr>
          <w:ilvl w:val="0"/>
          <w:numId w:val="0"/>
        </w:numPr>
        <w:spacing w:before="0" w:beforeAutospacing="0" w:after="0" w:afterAutospacing="0" w:line="360" w:lineRule="auto"/>
        <w:ind w:firstLine="480" w:firstLineChars="200"/>
        <w:rPr>
          <w:rFonts w:hint="eastAsia" w:cs="宋体"/>
          <w:color w:val="auto"/>
          <w:lang w:val="en-US" w:eastAsia="zh-CN"/>
        </w:rPr>
      </w:pPr>
      <w:r>
        <w:rPr>
          <w:rFonts w:hint="eastAsia" w:cs="宋体"/>
          <w:color w:val="auto"/>
          <w:lang w:val="en-US" w:eastAsia="zh-CN"/>
        </w:rPr>
        <w:t>(3)施工进度计划和保证措施；</w:t>
      </w:r>
    </w:p>
    <w:p>
      <w:pPr>
        <w:pStyle w:val="26"/>
        <w:numPr>
          <w:ilvl w:val="0"/>
          <w:numId w:val="0"/>
        </w:numPr>
        <w:spacing w:before="0" w:beforeAutospacing="0" w:after="0" w:afterAutospacing="0" w:line="360" w:lineRule="auto"/>
        <w:ind w:firstLine="480" w:firstLineChars="200"/>
        <w:rPr>
          <w:rFonts w:hint="eastAsia" w:cs="宋体"/>
          <w:color w:val="auto"/>
          <w:lang w:val="en-US" w:eastAsia="zh-CN"/>
        </w:rPr>
      </w:pPr>
      <w:r>
        <w:rPr>
          <w:rFonts w:hint="eastAsia" w:cs="宋体"/>
          <w:color w:val="auto"/>
          <w:lang w:val="en-US" w:eastAsia="zh-CN"/>
        </w:rPr>
        <w:t>(4)劳动力及材料供应计划；</w:t>
      </w:r>
    </w:p>
    <w:p>
      <w:pPr>
        <w:pStyle w:val="26"/>
        <w:numPr>
          <w:ilvl w:val="0"/>
          <w:numId w:val="0"/>
        </w:numPr>
        <w:spacing w:before="0" w:beforeAutospacing="0" w:after="0" w:afterAutospacing="0" w:line="360" w:lineRule="auto"/>
        <w:ind w:firstLine="480" w:firstLineChars="200"/>
        <w:rPr>
          <w:rFonts w:hint="eastAsia" w:cs="宋体"/>
          <w:color w:val="auto"/>
          <w:lang w:val="en-US" w:eastAsia="zh-CN"/>
        </w:rPr>
      </w:pPr>
      <w:r>
        <w:rPr>
          <w:rFonts w:hint="eastAsia" w:cs="宋体"/>
          <w:color w:val="auto"/>
          <w:lang w:val="en-US" w:eastAsia="zh-CN"/>
        </w:rPr>
        <w:t>(5)施工机械设备的选用；</w:t>
      </w:r>
    </w:p>
    <w:p>
      <w:pPr>
        <w:pStyle w:val="26"/>
        <w:numPr>
          <w:ilvl w:val="0"/>
          <w:numId w:val="0"/>
        </w:numPr>
        <w:spacing w:before="0" w:beforeAutospacing="0" w:after="0" w:afterAutospacing="0" w:line="360" w:lineRule="auto"/>
        <w:ind w:firstLine="480" w:firstLineChars="200"/>
        <w:rPr>
          <w:rFonts w:hint="eastAsia" w:cs="宋体"/>
          <w:color w:val="auto"/>
          <w:lang w:val="en-US" w:eastAsia="zh-CN"/>
        </w:rPr>
      </w:pPr>
      <w:r>
        <w:rPr>
          <w:rFonts w:hint="eastAsia" w:cs="宋体"/>
          <w:color w:val="auto"/>
          <w:lang w:val="en-US" w:eastAsia="zh-CN"/>
        </w:rPr>
        <w:t>(6)质量保证体系及措施；</w:t>
      </w:r>
    </w:p>
    <w:p>
      <w:pPr>
        <w:pStyle w:val="26"/>
        <w:numPr>
          <w:ilvl w:val="0"/>
          <w:numId w:val="0"/>
        </w:numPr>
        <w:spacing w:before="0" w:beforeAutospacing="0" w:after="0" w:afterAutospacing="0" w:line="360" w:lineRule="auto"/>
        <w:ind w:firstLine="480" w:firstLineChars="200"/>
        <w:rPr>
          <w:rFonts w:hint="eastAsia" w:cs="宋体"/>
          <w:color w:val="auto"/>
          <w:lang w:val="en-US" w:eastAsia="zh-CN"/>
        </w:rPr>
      </w:pPr>
      <w:r>
        <w:rPr>
          <w:rFonts w:hint="eastAsia" w:cs="宋体"/>
          <w:color w:val="auto"/>
          <w:lang w:val="en-US" w:eastAsia="zh-CN"/>
        </w:rPr>
        <w:t>(7)安全生产、文明施工措施；</w:t>
      </w:r>
    </w:p>
    <w:p>
      <w:pPr>
        <w:pStyle w:val="26"/>
        <w:numPr>
          <w:ilvl w:val="0"/>
          <w:numId w:val="0"/>
        </w:numPr>
        <w:spacing w:before="0" w:beforeAutospacing="0" w:after="0" w:afterAutospacing="0" w:line="360" w:lineRule="auto"/>
        <w:ind w:firstLine="480" w:firstLineChars="200"/>
        <w:rPr>
          <w:rFonts w:hint="eastAsia" w:cs="宋体"/>
          <w:color w:val="auto"/>
          <w:lang w:val="en-US" w:eastAsia="zh-CN"/>
        </w:rPr>
      </w:pPr>
      <w:r>
        <w:rPr>
          <w:rFonts w:hint="eastAsia" w:cs="宋体"/>
          <w:color w:val="auto"/>
          <w:lang w:val="en-US" w:eastAsia="zh-CN"/>
        </w:rPr>
        <w:t>(8)环境保护、成本控制措施；</w:t>
      </w:r>
    </w:p>
    <w:p>
      <w:pPr>
        <w:pStyle w:val="26"/>
        <w:numPr>
          <w:ilvl w:val="0"/>
          <w:numId w:val="0"/>
        </w:numPr>
        <w:spacing w:before="0" w:beforeAutospacing="0" w:after="0" w:afterAutospacing="0" w:line="360" w:lineRule="auto"/>
        <w:ind w:firstLine="480" w:firstLineChars="200"/>
        <w:rPr>
          <w:rFonts w:hint="eastAsia" w:cs="宋体"/>
          <w:color w:val="auto"/>
          <w:lang w:val="en-US" w:eastAsia="zh-CN"/>
        </w:rPr>
      </w:pPr>
      <w:r>
        <w:rPr>
          <w:rFonts w:hint="eastAsia" w:cs="宋体"/>
          <w:color w:val="auto"/>
          <w:lang w:val="en-US" w:eastAsia="zh-CN"/>
        </w:rPr>
        <w:t>(9)合同当事人约定的其他内容。</w:t>
      </w:r>
    </w:p>
    <w:p>
      <w:pPr>
        <w:pStyle w:val="26"/>
        <w:numPr>
          <w:ilvl w:val="0"/>
          <w:numId w:val="0"/>
        </w:numPr>
        <w:spacing w:before="0" w:beforeAutospacing="0" w:after="0" w:afterAutospacing="0" w:line="360" w:lineRule="auto"/>
        <w:ind w:firstLine="480" w:firstLineChars="200"/>
        <w:rPr>
          <w:rFonts w:hint="eastAsia" w:cs="宋体"/>
          <w:color w:val="auto"/>
          <w:lang w:val="en-US" w:eastAsia="zh-CN"/>
        </w:rPr>
      </w:pPr>
      <w:r>
        <w:rPr>
          <w:rFonts w:hint="eastAsia" w:cs="宋体"/>
          <w:color w:val="auto"/>
          <w:lang w:val="en-US" w:eastAsia="zh-CN"/>
        </w:rPr>
        <w:t>7.1.2施工组织设计的提交和修改</w:t>
      </w:r>
    </w:p>
    <w:p>
      <w:pPr>
        <w:pStyle w:val="26"/>
        <w:numPr>
          <w:ilvl w:val="0"/>
          <w:numId w:val="0"/>
        </w:numPr>
        <w:spacing w:before="0" w:beforeAutospacing="0" w:after="0" w:afterAutospacing="0" w:line="360" w:lineRule="auto"/>
        <w:ind w:firstLine="480" w:firstLineChars="200"/>
        <w:rPr>
          <w:rFonts w:hint="eastAsia" w:ascii="宋体" w:hAnsi="宋体" w:eastAsia="宋体" w:cs="宋体"/>
          <w:color w:val="auto"/>
        </w:rPr>
      </w:pPr>
      <w:r>
        <w:rPr>
          <w:rFonts w:hint="eastAsia" w:cs="宋体"/>
          <w:color w:val="auto"/>
          <w:lang w:val="en-US" w:eastAsia="zh-CN"/>
        </w:rPr>
        <w:t>除专用合同条款另有约定外，承包人应在合同签订后14天内，但至迟不得晚于第</w:t>
      </w:r>
    </w:p>
    <w:p>
      <w:pPr>
        <w:pStyle w:val="26"/>
        <w:numPr>
          <w:ilvl w:val="0"/>
          <w:numId w:val="0"/>
        </w:numPr>
        <w:spacing w:before="0" w:beforeAutospacing="0" w:after="0" w:afterAutospacing="0" w:line="360" w:lineRule="auto"/>
        <w:ind w:firstLine="480" w:firstLineChars="200"/>
        <w:rPr>
          <w:rFonts w:hint="eastAsia" w:cs="宋体"/>
          <w:color w:val="auto"/>
          <w:lang w:val="en-US" w:eastAsia="zh-CN"/>
        </w:rPr>
      </w:pPr>
      <w:r>
        <w:rPr>
          <w:rFonts w:hint="eastAsia" w:cs="宋体"/>
          <w:color w:val="auto"/>
          <w:lang w:val="en-US" w:eastAsia="zh-CN"/>
        </w:rPr>
        <w:t>7.3.2项〔开工通知〕载明的开工日期前7天，向监理人提交详细的施工组织设计，并由监理人报送发包人。除专用合同条款另有约定外，发包人和监理人应在监理人收到施工组织设计后7天内确认或提出修改意见。对发包人和监理人提出的合理意见和要求，承包人应自费修改完善。根据工程实际情况需要修改施工组织设计的，承包人应向发包人和监理人提交修改后的施工组织设计。</w:t>
      </w:r>
    </w:p>
    <w:p>
      <w:pPr>
        <w:pStyle w:val="26"/>
        <w:numPr>
          <w:ilvl w:val="0"/>
          <w:numId w:val="0"/>
        </w:numPr>
        <w:spacing w:before="0" w:beforeAutospacing="0" w:after="0" w:afterAutospacing="0" w:line="360" w:lineRule="auto"/>
        <w:ind w:firstLine="480" w:firstLineChars="200"/>
        <w:rPr>
          <w:rFonts w:hint="eastAsia" w:cs="宋体"/>
          <w:color w:val="auto"/>
          <w:lang w:val="en-US" w:eastAsia="zh-CN"/>
        </w:rPr>
      </w:pPr>
      <w:r>
        <w:rPr>
          <w:rFonts w:hint="eastAsia" w:cs="宋体"/>
          <w:color w:val="auto"/>
          <w:lang w:val="en-US" w:eastAsia="zh-CN"/>
        </w:rPr>
        <w:t>施工进度计划的编制和修改按照第7.2款〔施工进度计划〕执行。</w:t>
      </w:r>
    </w:p>
    <w:p>
      <w:pPr>
        <w:pStyle w:val="26"/>
        <w:numPr>
          <w:ilvl w:val="0"/>
          <w:numId w:val="0"/>
        </w:numPr>
        <w:spacing w:before="0" w:beforeAutospacing="0" w:after="0" w:afterAutospacing="0" w:line="360" w:lineRule="auto"/>
        <w:ind w:firstLine="482" w:firstLineChars="200"/>
        <w:rPr>
          <w:rFonts w:hint="eastAsia" w:cs="宋体"/>
          <w:b/>
          <w:bCs/>
          <w:color w:val="auto"/>
          <w:lang w:val="en-US" w:eastAsia="zh-CN"/>
        </w:rPr>
      </w:pPr>
      <w:r>
        <w:rPr>
          <w:rFonts w:hint="eastAsia" w:cs="宋体"/>
          <w:b/>
          <w:bCs/>
          <w:color w:val="auto"/>
          <w:lang w:val="en-US" w:eastAsia="zh-CN"/>
        </w:rPr>
        <w:t>7.2施工进度计划</w:t>
      </w:r>
    </w:p>
    <w:p>
      <w:pPr>
        <w:pStyle w:val="26"/>
        <w:numPr>
          <w:ilvl w:val="0"/>
          <w:numId w:val="0"/>
        </w:numPr>
        <w:spacing w:before="0" w:beforeAutospacing="0" w:after="0" w:afterAutospacing="0" w:line="360" w:lineRule="auto"/>
        <w:ind w:firstLine="480" w:firstLineChars="200"/>
        <w:rPr>
          <w:rFonts w:hint="eastAsia" w:cs="宋体"/>
          <w:color w:val="auto"/>
          <w:lang w:val="en-US" w:eastAsia="zh-CN"/>
        </w:rPr>
      </w:pPr>
      <w:r>
        <w:rPr>
          <w:rFonts w:hint="eastAsia" w:cs="宋体"/>
          <w:color w:val="auto"/>
          <w:lang w:val="en-US" w:eastAsia="zh-CN"/>
        </w:rPr>
        <w:t>7.2.1施工进度计划的编制</w:t>
      </w:r>
    </w:p>
    <w:p>
      <w:pPr>
        <w:pStyle w:val="26"/>
        <w:numPr>
          <w:ilvl w:val="0"/>
          <w:numId w:val="0"/>
        </w:numPr>
        <w:spacing w:before="0" w:beforeAutospacing="0" w:after="0" w:afterAutospacing="0" w:line="360" w:lineRule="auto"/>
        <w:ind w:firstLine="480" w:firstLineChars="200"/>
        <w:rPr>
          <w:rFonts w:hint="eastAsia" w:cs="宋体"/>
          <w:color w:val="auto"/>
          <w:lang w:val="en-US" w:eastAsia="zh-CN"/>
        </w:rPr>
      </w:pPr>
      <w:r>
        <w:rPr>
          <w:rFonts w:hint="eastAsia" w:cs="宋体"/>
          <w:color w:val="auto"/>
          <w:lang w:val="en-US" w:eastAsia="zh-CN"/>
        </w:rPr>
        <w:t>承包人应按照第7.1款〔施工组织设计〕约定提交详细的施工进度计划，施工进度计划的编制应当符合国家法律规定和一般工程实践惯例，施工进度计划经发包人批准后实施。施工进度计划是控制工程进度的依据，发包人和监理人有权按照施工进度计划检查工程进度情况。</w:t>
      </w:r>
    </w:p>
    <w:p>
      <w:pPr>
        <w:pStyle w:val="26"/>
        <w:numPr>
          <w:ilvl w:val="0"/>
          <w:numId w:val="0"/>
        </w:numPr>
        <w:spacing w:before="0" w:beforeAutospacing="0" w:after="0" w:afterAutospacing="0" w:line="360" w:lineRule="auto"/>
        <w:ind w:firstLine="480" w:firstLineChars="200"/>
        <w:rPr>
          <w:rFonts w:hint="eastAsia" w:cs="宋体"/>
          <w:color w:val="auto"/>
          <w:lang w:val="en-US" w:eastAsia="zh-CN"/>
        </w:rPr>
      </w:pPr>
      <w:r>
        <w:rPr>
          <w:rFonts w:hint="eastAsia" w:cs="宋体"/>
          <w:color w:val="auto"/>
          <w:lang w:val="en-US" w:eastAsia="zh-CN"/>
        </w:rPr>
        <w:t>7.2.2施工进度计划的修订</w:t>
      </w:r>
    </w:p>
    <w:p>
      <w:pPr>
        <w:pStyle w:val="26"/>
        <w:numPr>
          <w:ilvl w:val="0"/>
          <w:numId w:val="0"/>
        </w:numPr>
        <w:spacing w:before="0" w:beforeAutospacing="0" w:after="0" w:afterAutospacing="0" w:line="360" w:lineRule="auto"/>
        <w:ind w:firstLine="480" w:firstLineChars="200"/>
        <w:rPr>
          <w:rFonts w:hint="eastAsia" w:cs="宋体"/>
          <w:color w:val="auto"/>
          <w:lang w:val="en-US" w:eastAsia="zh-CN"/>
        </w:rPr>
      </w:pPr>
      <w:r>
        <w:rPr>
          <w:rFonts w:hint="eastAsia" w:cs="宋体"/>
          <w:color w:val="auto"/>
          <w:lang w:val="en-US" w:eastAsia="zh-CN"/>
        </w:rPr>
        <w:t>施工进度计划不符合合同要求或与工程的实际进度不一致的，承包人应向监理人提交修订的施工进度计划，并附具有关措施和相关资料，由监理人报送发包人。除专用合同条款另有约定外，发包人和监理人应在收到修订的施工进度计划后7天内完成审核和批准或提出修改意见。发包人和监理人对承包人提交的施工进度计划的确认，不能减轻或免除承包人根据法律规定和合同约定应承担的任何责任或义务。</w:t>
      </w:r>
    </w:p>
    <w:p>
      <w:pPr>
        <w:pStyle w:val="26"/>
        <w:numPr>
          <w:ilvl w:val="0"/>
          <w:numId w:val="0"/>
        </w:numPr>
        <w:spacing w:before="0" w:beforeAutospacing="0" w:after="0" w:afterAutospacing="0" w:line="360" w:lineRule="auto"/>
        <w:ind w:firstLine="482" w:firstLineChars="200"/>
        <w:rPr>
          <w:rFonts w:hint="eastAsia" w:cs="宋体"/>
          <w:b/>
          <w:bCs/>
          <w:color w:val="auto"/>
          <w:lang w:val="en-US" w:eastAsia="zh-CN"/>
        </w:rPr>
      </w:pPr>
      <w:r>
        <w:rPr>
          <w:rFonts w:hint="eastAsia" w:cs="宋体"/>
          <w:b/>
          <w:bCs/>
          <w:color w:val="auto"/>
          <w:lang w:val="en-US" w:eastAsia="zh-CN"/>
        </w:rPr>
        <w:t>7.3开工</w:t>
      </w:r>
    </w:p>
    <w:p>
      <w:pPr>
        <w:pStyle w:val="26"/>
        <w:numPr>
          <w:ilvl w:val="0"/>
          <w:numId w:val="0"/>
        </w:numPr>
        <w:spacing w:before="0" w:beforeAutospacing="0" w:after="0" w:afterAutospacing="0" w:line="360" w:lineRule="auto"/>
        <w:ind w:firstLine="480" w:firstLineChars="200"/>
        <w:rPr>
          <w:rFonts w:hint="eastAsia" w:cs="宋体"/>
          <w:color w:val="auto"/>
          <w:lang w:val="en-US" w:eastAsia="zh-CN"/>
        </w:rPr>
      </w:pPr>
      <w:r>
        <w:rPr>
          <w:rFonts w:hint="eastAsia" w:cs="宋体"/>
          <w:color w:val="auto"/>
          <w:lang w:val="en-US" w:eastAsia="zh-CN"/>
        </w:rPr>
        <w:t>7.3.1开工准备</w:t>
      </w:r>
    </w:p>
    <w:p>
      <w:pPr>
        <w:pStyle w:val="26"/>
        <w:numPr>
          <w:ilvl w:val="0"/>
          <w:numId w:val="0"/>
        </w:numPr>
        <w:spacing w:before="0" w:beforeAutospacing="0" w:after="0" w:afterAutospacing="0" w:line="360" w:lineRule="auto"/>
        <w:ind w:firstLine="480" w:firstLineChars="200"/>
        <w:rPr>
          <w:rFonts w:hint="eastAsia" w:cs="宋体"/>
          <w:color w:val="auto"/>
          <w:lang w:val="en-US" w:eastAsia="zh-CN"/>
        </w:rPr>
      </w:pPr>
      <w:r>
        <w:rPr>
          <w:rFonts w:hint="eastAsia" w:cs="宋体"/>
          <w:color w:val="auto"/>
          <w:lang w:val="en-US" w:eastAsia="zh-CN"/>
        </w:rPr>
        <w:t>除专用合同条款另有约定外，承包人应按照第7.1款〔施工组织设计〕约定的期</w:t>
      </w:r>
    </w:p>
    <w:p>
      <w:pPr>
        <w:pStyle w:val="26"/>
        <w:numPr>
          <w:ilvl w:val="0"/>
          <w:numId w:val="0"/>
        </w:numPr>
        <w:spacing w:before="0" w:beforeAutospacing="0" w:after="0" w:afterAutospacing="0" w:line="360" w:lineRule="auto"/>
        <w:rPr>
          <w:rFonts w:hint="eastAsia" w:cs="宋体"/>
          <w:color w:val="auto"/>
          <w:lang w:val="en-US" w:eastAsia="zh-CN"/>
        </w:rPr>
      </w:pPr>
      <w:r>
        <w:rPr>
          <w:rFonts w:hint="eastAsia" w:cs="宋体"/>
          <w:color w:val="auto"/>
          <w:lang w:val="en-US" w:eastAsia="zh-CN"/>
        </w:rPr>
        <w:t>限，向监理人提交工程开工报审表，经监理人报发包人批准后执行。开工报审表应详细说明按施工进度计划正常施工所需的施工道路、临时设施、材料、工程设备、施工设备、施工人员等落实情况以及工程的进度安排。</w:t>
      </w:r>
    </w:p>
    <w:p>
      <w:pPr>
        <w:pStyle w:val="26"/>
        <w:numPr>
          <w:ilvl w:val="0"/>
          <w:numId w:val="0"/>
        </w:numPr>
        <w:spacing w:before="0" w:beforeAutospacing="0" w:after="0" w:afterAutospacing="0" w:line="360" w:lineRule="auto"/>
        <w:ind w:firstLine="480" w:firstLineChars="200"/>
        <w:rPr>
          <w:rFonts w:hint="eastAsia" w:cs="宋体"/>
          <w:color w:val="auto"/>
          <w:lang w:val="en-US" w:eastAsia="zh-CN"/>
        </w:rPr>
      </w:pPr>
      <w:r>
        <w:rPr>
          <w:rFonts w:hint="eastAsia" w:cs="宋体"/>
          <w:color w:val="auto"/>
          <w:lang w:val="en-US" w:eastAsia="zh-CN"/>
        </w:rPr>
        <w:t>除专用合同条款另有约定外，合同当事人应按约定完成开工准备工作。</w:t>
      </w:r>
    </w:p>
    <w:p>
      <w:pPr>
        <w:pStyle w:val="26"/>
        <w:numPr>
          <w:ilvl w:val="0"/>
          <w:numId w:val="0"/>
        </w:numPr>
        <w:spacing w:before="0" w:beforeAutospacing="0" w:after="0" w:afterAutospacing="0" w:line="360" w:lineRule="auto"/>
        <w:ind w:firstLine="480" w:firstLineChars="200"/>
        <w:rPr>
          <w:rFonts w:hint="eastAsia" w:cs="宋体"/>
          <w:color w:val="auto"/>
          <w:lang w:val="en-US" w:eastAsia="zh-CN"/>
        </w:rPr>
      </w:pPr>
      <w:r>
        <w:rPr>
          <w:rFonts w:hint="eastAsia" w:cs="宋体"/>
          <w:color w:val="auto"/>
          <w:lang w:val="en-US" w:eastAsia="zh-CN"/>
        </w:rPr>
        <w:t>7.3.2开工通知</w:t>
      </w:r>
    </w:p>
    <w:p>
      <w:pPr>
        <w:pStyle w:val="26"/>
        <w:numPr>
          <w:ilvl w:val="0"/>
          <w:numId w:val="0"/>
        </w:numPr>
        <w:spacing w:before="0" w:beforeAutospacing="0" w:after="0" w:afterAutospacing="0" w:line="360" w:lineRule="auto"/>
        <w:ind w:firstLine="480" w:firstLineChars="200"/>
        <w:rPr>
          <w:rFonts w:hint="eastAsia" w:cs="宋体"/>
          <w:color w:val="auto"/>
          <w:lang w:val="en-US" w:eastAsia="zh-CN"/>
        </w:rPr>
      </w:pPr>
      <w:r>
        <w:rPr>
          <w:rFonts w:hint="eastAsia" w:cs="宋体"/>
          <w:color w:val="auto"/>
          <w:lang w:val="en-US" w:eastAsia="zh-CN"/>
        </w:rPr>
        <w:t>发包人应按照法律规定获得工程施工所需的许可。经发包人同意后，监理人发出的开工通知应符合法律规定。监理人应在计划开工日期7天前向承包人发出开工通知，工期自开工通知中载明的开工日期起算。</w:t>
      </w:r>
    </w:p>
    <w:p>
      <w:pPr>
        <w:pStyle w:val="26"/>
        <w:numPr>
          <w:ilvl w:val="0"/>
          <w:numId w:val="0"/>
        </w:numPr>
        <w:spacing w:before="0" w:beforeAutospacing="0" w:after="0" w:afterAutospacing="0" w:line="360" w:lineRule="auto"/>
        <w:ind w:firstLine="480" w:firstLineChars="200"/>
        <w:rPr>
          <w:rFonts w:hint="eastAsia" w:cs="宋体"/>
          <w:color w:val="auto"/>
          <w:lang w:val="en-US" w:eastAsia="zh-CN"/>
        </w:rPr>
      </w:pPr>
      <w:r>
        <w:rPr>
          <w:rFonts w:hint="eastAsia" w:cs="宋体"/>
          <w:color w:val="auto"/>
          <w:lang w:val="en-US" w:eastAsia="zh-CN"/>
        </w:rPr>
        <w:t>除专用合同条款另有约定外，因发包人原因造成监理人未能在计划开工日期之日起90天内发出开工通知的，承包人有权提出价格调整要求，或者解除合同。发包人应当承担由此增加的费用和(或)延误的工期，并向承包人支付合理利润。</w:t>
      </w:r>
    </w:p>
    <w:p>
      <w:pPr>
        <w:pStyle w:val="26"/>
        <w:numPr>
          <w:ilvl w:val="0"/>
          <w:numId w:val="0"/>
        </w:numPr>
        <w:spacing w:before="0" w:beforeAutospacing="0" w:after="0" w:afterAutospacing="0" w:line="360" w:lineRule="auto"/>
        <w:ind w:firstLine="482" w:firstLineChars="200"/>
        <w:rPr>
          <w:rFonts w:hint="eastAsia" w:cs="宋体"/>
          <w:b/>
          <w:bCs/>
          <w:color w:val="auto"/>
          <w:lang w:val="en-US" w:eastAsia="zh-CN"/>
        </w:rPr>
      </w:pPr>
      <w:r>
        <w:rPr>
          <w:rFonts w:hint="eastAsia" w:cs="宋体"/>
          <w:b/>
          <w:bCs/>
          <w:color w:val="auto"/>
          <w:lang w:val="en-US" w:eastAsia="zh-CN"/>
        </w:rPr>
        <w:t>7.4测量放线</w:t>
      </w:r>
    </w:p>
    <w:p>
      <w:pPr>
        <w:pStyle w:val="26"/>
        <w:numPr>
          <w:ilvl w:val="0"/>
          <w:numId w:val="0"/>
        </w:numPr>
        <w:spacing w:before="0" w:beforeAutospacing="0" w:after="0" w:afterAutospacing="0" w:line="360" w:lineRule="auto"/>
        <w:ind w:firstLine="480" w:firstLineChars="200"/>
        <w:rPr>
          <w:rFonts w:hint="eastAsia" w:cs="宋体"/>
          <w:color w:val="auto"/>
          <w:lang w:val="en-US" w:eastAsia="zh-CN"/>
        </w:rPr>
      </w:pPr>
      <w:r>
        <w:rPr>
          <w:rFonts w:hint="eastAsia" w:cs="宋体"/>
          <w:color w:val="auto"/>
          <w:lang w:val="en-US" w:eastAsia="zh-CN"/>
        </w:rPr>
        <w:t>7.4.1除专用合同条款另有约定外，发包人应在至迟不得晚于第7.3.2项〔开工通知〕载明的开工日期前7天通过监理人向承包人提供测量基准点、基准线和水准点</w:t>
      </w:r>
    </w:p>
    <w:p>
      <w:pPr>
        <w:pStyle w:val="26"/>
        <w:numPr>
          <w:ilvl w:val="0"/>
          <w:numId w:val="0"/>
        </w:numPr>
        <w:spacing w:before="0" w:beforeAutospacing="0" w:after="0" w:afterAutospacing="0" w:line="360" w:lineRule="auto"/>
        <w:rPr>
          <w:rFonts w:hint="eastAsia" w:cs="宋体"/>
          <w:color w:val="auto"/>
          <w:lang w:val="en-US" w:eastAsia="zh-CN"/>
        </w:rPr>
      </w:pPr>
      <w:r>
        <w:rPr>
          <w:rFonts w:hint="eastAsia" w:cs="宋体"/>
          <w:color w:val="auto"/>
          <w:lang w:val="en-US" w:eastAsia="zh-CN"/>
        </w:rPr>
        <w:t>及其书面资料。发包人应对其提供的测量基准点、基准线和水准点及其书面资料的真实性、准确性和完整性负责。</w:t>
      </w:r>
    </w:p>
    <w:p>
      <w:pPr>
        <w:pStyle w:val="26"/>
        <w:numPr>
          <w:ilvl w:val="0"/>
          <w:numId w:val="0"/>
        </w:numPr>
        <w:spacing w:before="0" w:beforeAutospacing="0" w:after="0" w:afterAutospacing="0" w:line="360" w:lineRule="auto"/>
        <w:ind w:firstLine="480" w:firstLineChars="200"/>
        <w:rPr>
          <w:rFonts w:hint="eastAsia" w:cs="宋体"/>
          <w:color w:val="auto"/>
          <w:lang w:val="en-US" w:eastAsia="zh-CN"/>
        </w:rPr>
      </w:pPr>
      <w:r>
        <w:rPr>
          <w:rFonts w:hint="eastAsia" w:cs="宋体"/>
          <w:color w:val="auto"/>
          <w:lang w:val="en-US" w:eastAsia="zh-CN"/>
        </w:rPr>
        <w:t>承包人发现发包人提供的测量基准点、基准线和水准点及其书面资料存在错误或疏漏的，应及时通知监理人。监理人应及时报告发包人，并会同发包人和承包人予以核实。发包人应就如何处理和是否继续施工作出决定，并通知监理人和承包人。</w:t>
      </w:r>
    </w:p>
    <w:p>
      <w:pPr>
        <w:pStyle w:val="26"/>
        <w:numPr>
          <w:ilvl w:val="0"/>
          <w:numId w:val="0"/>
        </w:numPr>
        <w:spacing w:before="0" w:beforeAutospacing="0" w:after="0" w:afterAutospacing="0" w:line="360" w:lineRule="auto"/>
        <w:ind w:firstLine="480" w:firstLineChars="200"/>
        <w:rPr>
          <w:rFonts w:hint="eastAsia" w:cs="宋体"/>
          <w:color w:val="auto"/>
          <w:lang w:val="en-US" w:eastAsia="zh-CN"/>
        </w:rPr>
      </w:pPr>
      <w:r>
        <w:rPr>
          <w:rFonts w:hint="eastAsia" w:cs="宋体"/>
          <w:color w:val="auto"/>
          <w:lang w:val="en-US" w:eastAsia="zh-CN"/>
        </w:rPr>
        <w:t>7.4.2承包人负责施工过程中的全部施工测量放线工作，并配置具有相应资质的人员、合格的仪器、设备和其他物品。承包人应矫正工程的位置、标高、尺寸或准线中出现的任何差错，并对工程各部分的定位负责。</w:t>
      </w:r>
    </w:p>
    <w:p>
      <w:pPr>
        <w:pStyle w:val="26"/>
        <w:numPr>
          <w:ilvl w:val="0"/>
          <w:numId w:val="0"/>
        </w:numPr>
        <w:spacing w:before="0" w:beforeAutospacing="0" w:after="0" w:afterAutospacing="0" w:line="360" w:lineRule="auto"/>
        <w:ind w:firstLine="480" w:firstLineChars="200"/>
        <w:rPr>
          <w:rFonts w:hint="eastAsia" w:cs="宋体"/>
          <w:color w:val="auto"/>
          <w:lang w:val="en-US" w:eastAsia="zh-CN"/>
        </w:rPr>
      </w:pPr>
      <w:r>
        <w:rPr>
          <w:rFonts w:hint="eastAsia" w:cs="宋体"/>
          <w:color w:val="auto"/>
          <w:lang w:val="en-US" w:eastAsia="zh-CN"/>
        </w:rPr>
        <w:t>施工过程中对施工现场内水准点等测量标志物的保护工作由承包人负责。</w:t>
      </w:r>
    </w:p>
    <w:p>
      <w:pPr>
        <w:pStyle w:val="26"/>
        <w:numPr>
          <w:ilvl w:val="0"/>
          <w:numId w:val="0"/>
        </w:numPr>
        <w:spacing w:before="0" w:beforeAutospacing="0" w:after="0" w:afterAutospacing="0" w:line="360" w:lineRule="auto"/>
        <w:ind w:firstLine="482" w:firstLineChars="200"/>
        <w:rPr>
          <w:rFonts w:hint="eastAsia" w:cs="宋体"/>
          <w:b/>
          <w:bCs/>
          <w:color w:val="auto"/>
          <w:lang w:val="en-US" w:eastAsia="zh-CN"/>
        </w:rPr>
      </w:pPr>
      <w:r>
        <w:rPr>
          <w:rFonts w:hint="eastAsia" w:cs="宋体"/>
          <w:b/>
          <w:bCs/>
          <w:color w:val="auto"/>
          <w:lang w:val="en-US" w:eastAsia="zh-CN"/>
        </w:rPr>
        <w:t>7.5工期延误</w:t>
      </w:r>
    </w:p>
    <w:p>
      <w:pPr>
        <w:pStyle w:val="26"/>
        <w:numPr>
          <w:ilvl w:val="0"/>
          <w:numId w:val="0"/>
        </w:numPr>
        <w:spacing w:before="0" w:beforeAutospacing="0" w:after="0" w:afterAutospacing="0" w:line="360" w:lineRule="auto"/>
        <w:ind w:firstLine="480" w:firstLineChars="200"/>
        <w:rPr>
          <w:rFonts w:hint="eastAsia" w:cs="宋体"/>
          <w:color w:val="auto"/>
          <w:lang w:val="en-US" w:eastAsia="zh-CN"/>
        </w:rPr>
      </w:pPr>
      <w:r>
        <w:rPr>
          <w:rFonts w:hint="eastAsia" w:cs="宋体"/>
          <w:color w:val="auto"/>
          <w:lang w:val="en-US" w:eastAsia="zh-CN"/>
        </w:rPr>
        <w:t>7.5.1因发包人原因导致工期延误</w:t>
      </w:r>
    </w:p>
    <w:p>
      <w:pPr>
        <w:pStyle w:val="26"/>
        <w:numPr>
          <w:ilvl w:val="0"/>
          <w:numId w:val="0"/>
        </w:numPr>
        <w:spacing w:before="0" w:beforeAutospacing="0" w:after="0" w:afterAutospacing="0" w:line="360" w:lineRule="auto"/>
        <w:ind w:firstLine="480" w:firstLineChars="200"/>
        <w:rPr>
          <w:rFonts w:hint="eastAsia" w:cs="宋体"/>
          <w:color w:val="auto"/>
          <w:lang w:val="en-US" w:eastAsia="zh-CN"/>
        </w:rPr>
      </w:pPr>
      <w:r>
        <w:rPr>
          <w:rFonts w:hint="eastAsia" w:cs="宋体"/>
          <w:color w:val="auto"/>
          <w:lang w:val="en-US" w:eastAsia="zh-CN"/>
        </w:rPr>
        <w:t>在合同履行过程中，因下列情况导致工期延误和(或)费用增加的，由发包人承担由此延误的工期和(或)增加的费用，且发包人应支付承包人合理的利润：</w:t>
      </w:r>
    </w:p>
    <w:p>
      <w:pPr>
        <w:pStyle w:val="26"/>
        <w:numPr>
          <w:ilvl w:val="0"/>
          <w:numId w:val="0"/>
        </w:numPr>
        <w:spacing w:before="0" w:beforeAutospacing="0" w:after="0" w:afterAutospacing="0" w:line="360" w:lineRule="auto"/>
        <w:ind w:firstLine="480" w:firstLineChars="200"/>
        <w:rPr>
          <w:rFonts w:hint="eastAsia" w:cs="宋体"/>
          <w:color w:val="auto"/>
          <w:lang w:val="en-US" w:eastAsia="zh-CN"/>
        </w:rPr>
      </w:pPr>
      <w:r>
        <w:rPr>
          <w:rFonts w:hint="eastAsia" w:cs="宋体"/>
          <w:color w:val="auto"/>
          <w:lang w:val="en-US" w:eastAsia="zh-CN"/>
        </w:rPr>
        <w:t>(1)发包人未能按合同约定提供图纸或所提供图纸不符合合同约定的；</w:t>
      </w:r>
    </w:p>
    <w:p>
      <w:pPr>
        <w:pStyle w:val="26"/>
        <w:numPr>
          <w:ilvl w:val="0"/>
          <w:numId w:val="0"/>
        </w:numPr>
        <w:spacing w:before="0" w:beforeAutospacing="0" w:after="0" w:afterAutospacing="0" w:line="360" w:lineRule="auto"/>
        <w:ind w:firstLine="480" w:firstLineChars="200"/>
        <w:rPr>
          <w:rFonts w:hint="eastAsia" w:cs="宋体"/>
          <w:color w:val="auto"/>
          <w:lang w:val="en-US" w:eastAsia="zh-CN"/>
        </w:rPr>
      </w:pPr>
      <w:r>
        <w:rPr>
          <w:rFonts w:hint="eastAsia" w:cs="宋体"/>
          <w:color w:val="auto"/>
          <w:lang w:val="en-US" w:eastAsia="zh-CN"/>
        </w:rPr>
        <w:t>(2)发包人未能按合同约定提供施工现场、施工条件、基础资料、许可、批准等开工条件的；</w:t>
      </w:r>
    </w:p>
    <w:p>
      <w:pPr>
        <w:pStyle w:val="26"/>
        <w:numPr>
          <w:ilvl w:val="0"/>
          <w:numId w:val="0"/>
        </w:numPr>
        <w:spacing w:before="0" w:beforeAutospacing="0" w:after="0" w:afterAutospacing="0" w:line="360" w:lineRule="auto"/>
        <w:ind w:firstLine="480" w:firstLineChars="200"/>
        <w:rPr>
          <w:rFonts w:hint="eastAsia" w:cs="宋体"/>
          <w:color w:val="auto"/>
          <w:lang w:val="en-US" w:eastAsia="zh-CN"/>
        </w:rPr>
      </w:pPr>
      <w:r>
        <w:rPr>
          <w:rFonts w:hint="eastAsia" w:cs="宋体"/>
          <w:color w:val="auto"/>
          <w:lang w:val="en-US" w:eastAsia="zh-CN"/>
        </w:rPr>
        <w:t>(3)发包人提供的测量基准点、基准线和水准点及其书面资料存在错误或疏漏的；</w:t>
      </w:r>
    </w:p>
    <w:p>
      <w:pPr>
        <w:pStyle w:val="26"/>
        <w:numPr>
          <w:ilvl w:val="0"/>
          <w:numId w:val="0"/>
        </w:numPr>
        <w:spacing w:before="0" w:beforeAutospacing="0" w:after="0" w:afterAutospacing="0" w:line="360" w:lineRule="auto"/>
        <w:ind w:firstLine="480" w:firstLineChars="200"/>
        <w:rPr>
          <w:rFonts w:hint="eastAsia" w:cs="宋体"/>
          <w:color w:val="auto"/>
          <w:lang w:val="en-US" w:eastAsia="zh-CN"/>
        </w:rPr>
      </w:pPr>
      <w:r>
        <w:rPr>
          <w:rFonts w:hint="eastAsia" w:cs="宋体"/>
          <w:color w:val="auto"/>
          <w:lang w:val="en-US" w:eastAsia="zh-CN"/>
        </w:rPr>
        <w:t>(4)发包人未能在计划开工日期之日起7天内同意下达开工通知的；</w:t>
      </w:r>
    </w:p>
    <w:p>
      <w:pPr>
        <w:pStyle w:val="26"/>
        <w:numPr>
          <w:ilvl w:val="0"/>
          <w:numId w:val="0"/>
        </w:numPr>
        <w:spacing w:before="0" w:beforeAutospacing="0" w:after="0" w:afterAutospacing="0" w:line="360" w:lineRule="auto"/>
        <w:ind w:firstLine="480" w:firstLineChars="200"/>
        <w:rPr>
          <w:rFonts w:hint="eastAsia" w:cs="宋体"/>
          <w:color w:val="auto"/>
          <w:lang w:val="en-US" w:eastAsia="zh-CN"/>
        </w:rPr>
      </w:pPr>
      <w:r>
        <w:rPr>
          <w:rFonts w:hint="eastAsia" w:cs="宋体"/>
          <w:color w:val="auto"/>
          <w:lang w:val="en-US" w:eastAsia="zh-CN"/>
        </w:rPr>
        <w:t>(5)发包人未能按合同约定日期支付工程预付款、进度款或竣工结算款的；</w:t>
      </w:r>
    </w:p>
    <w:p>
      <w:pPr>
        <w:pStyle w:val="26"/>
        <w:numPr>
          <w:ilvl w:val="0"/>
          <w:numId w:val="0"/>
        </w:numPr>
        <w:spacing w:before="0" w:beforeAutospacing="0" w:after="0" w:afterAutospacing="0" w:line="360" w:lineRule="auto"/>
        <w:ind w:firstLine="480" w:firstLineChars="200"/>
        <w:rPr>
          <w:rFonts w:hint="eastAsia" w:cs="宋体"/>
          <w:color w:val="auto"/>
          <w:lang w:val="en-US" w:eastAsia="zh-CN"/>
        </w:rPr>
      </w:pPr>
      <w:r>
        <w:rPr>
          <w:rFonts w:hint="eastAsia" w:cs="宋体"/>
          <w:color w:val="auto"/>
          <w:lang w:val="en-US" w:eastAsia="zh-CN"/>
        </w:rPr>
        <w:t>(6)监理人未按合同约定发出指示、批准等文件的；</w:t>
      </w:r>
    </w:p>
    <w:p>
      <w:pPr>
        <w:pStyle w:val="26"/>
        <w:numPr>
          <w:ilvl w:val="0"/>
          <w:numId w:val="0"/>
        </w:numPr>
        <w:spacing w:before="0" w:beforeAutospacing="0" w:after="0" w:afterAutospacing="0" w:line="360" w:lineRule="auto"/>
        <w:ind w:firstLine="480" w:firstLineChars="200"/>
        <w:rPr>
          <w:rFonts w:hint="eastAsia" w:cs="宋体"/>
          <w:color w:val="auto"/>
          <w:lang w:val="en-US" w:eastAsia="zh-CN"/>
        </w:rPr>
      </w:pPr>
      <w:r>
        <w:rPr>
          <w:rFonts w:hint="eastAsia" w:cs="宋体"/>
          <w:color w:val="auto"/>
          <w:lang w:val="en-US" w:eastAsia="zh-CN"/>
        </w:rPr>
        <w:t>(7)专用合同条款中约定的其他情形。</w:t>
      </w:r>
    </w:p>
    <w:p>
      <w:pPr>
        <w:pStyle w:val="26"/>
        <w:numPr>
          <w:ilvl w:val="0"/>
          <w:numId w:val="0"/>
        </w:numPr>
        <w:spacing w:before="0" w:beforeAutospacing="0" w:after="0" w:afterAutospacing="0" w:line="360" w:lineRule="auto"/>
        <w:ind w:firstLine="480" w:firstLineChars="200"/>
        <w:rPr>
          <w:rFonts w:hint="eastAsia" w:cs="宋体"/>
          <w:color w:val="auto"/>
          <w:lang w:val="en-US" w:eastAsia="zh-CN"/>
        </w:rPr>
      </w:pPr>
      <w:r>
        <w:rPr>
          <w:rFonts w:hint="eastAsia" w:cs="宋体"/>
          <w:color w:val="auto"/>
          <w:lang w:val="en-US" w:eastAsia="zh-CN"/>
        </w:rPr>
        <w:t>因发包人原因未按计划开工日期开工的，发包人应按实际开工日期顺延竣工日期，确保实际工期不低于合同约定的工期总日历天数。因发包人原因导致工期延误需要修订施工进度计划的，按照第7.2.2项〔施工进度计划的修订〕执行。</w:t>
      </w:r>
    </w:p>
    <w:p>
      <w:pPr>
        <w:pStyle w:val="26"/>
        <w:numPr>
          <w:ilvl w:val="0"/>
          <w:numId w:val="0"/>
        </w:numPr>
        <w:spacing w:before="0" w:beforeAutospacing="0" w:after="0" w:afterAutospacing="0" w:line="360" w:lineRule="auto"/>
        <w:ind w:firstLine="480" w:firstLineChars="200"/>
        <w:rPr>
          <w:rFonts w:hint="eastAsia" w:cs="宋体"/>
          <w:color w:val="auto"/>
          <w:lang w:val="en-US" w:eastAsia="zh-CN"/>
        </w:rPr>
      </w:pPr>
      <w:r>
        <w:rPr>
          <w:rFonts w:hint="eastAsia" w:cs="宋体"/>
          <w:color w:val="auto"/>
          <w:lang w:val="en-US" w:eastAsia="zh-CN"/>
        </w:rPr>
        <w:t>7.5.2因承包人原因导致工期延误</w:t>
      </w:r>
    </w:p>
    <w:p>
      <w:pPr>
        <w:pStyle w:val="26"/>
        <w:numPr>
          <w:ilvl w:val="0"/>
          <w:numId w:val="0"/>
        </w:numPr>
        <w:spacing w:before="0" w:beforeAutospacing="0" w:after="0" w:afterAutospacing="0" w:line="360" w:lineRule="auto"/>
        <w:ind w:firstLine="480" w:firstLineChars="200"/>
        <w:rPr>
          <w:rFonts w:hint="eastAsia" w:cs="宋体"/>
          <w:color w:val="auto"/>
          <w:lang w:val="en-US" w:eastAsia="zh-CN"/>
        </w:rPr>
      </w:pPr>
      <w:r>
        <w:rPr>
          <w:rFonts w:hint="eastAsia" w:cs="宋体"/>
          <w:color w:val="auto"/>
          <w:lang w:val="en-US" w:eastAsia="zh-CN"/>
        </w:rPr>
        <w:t>因承包人原因造成工期延误的，可以在专用合同条款中约定逾期竣工违约金的计算方法和逾期竣工违约金的上限。承包人支付逾期竣工违约金后，不免除承包人继续完成工程及修补缺陷的义务。</w:t>
      </w:r>
    </w:p>
    <w:p>
      <w:pPr>
        <w:pStyle w:val="26"/>
        <w:numPr>
          <w:ilvl w:val="0"/>
          <w:numId w:val="0"/>
        </w:numPr>
        <w:spacing w:before="0" w:beforeAutospacing="0" w:after="0" w:afterAutospacing="0" w:line="360" w:lineRule="auto"/>
        <w:ind w:firstLine="482" w:firstLineChars="200"/>
        <w:rPr>
          <w:rFonts w:hint="eastAsia" w:cs="宋体"/>
          <w:b/>
          <w:bCs/>
          <w:color w:val="auto"/>
          <w:lang w:val="en-US" w:eastAsia="zh-CN"/>
        </w:rPr>
      </w:pPr>
      <w:r>
        <w:rPr>
          <w:rFonts w:hint="eastAsia" w:cs="宋体"/>
          <w:b/>
          <w:bCs/>
          <w:color w:val="auto"/>
          <w:lang w:val="en-US" w:eastAsia="zh-CN"/>
        </w:rPr>
        <w:t>7.6不利物质条件</w:t>
      </w:r>
    </w:p>
    <w:p>
      <w:pPr>
        <w:pStyle w:val="26"/>
        <w:numPr>
          <w:ilvl w:val="0"/>
          <w:numId w:val="0"/>
        </w:numPr>
        <w:spacing w:before="0" w:beforeAutospacing="0" w:after="0" w:afterAutospacing="0" w:line="360" w:lineRule="auto"/>
        <w:ind w:firstLine="480" w:firstLineChars="200"/>
        <w:rPr>
          <w:rFonts w:hint="eastAsia" w:cs="宋体"/>
          <w:color w:val="auto"/>
          <w:lang w:val="en-US" w:eastAsia="zh-CN"/>
        </w:rPr>
      </w:pPr>
      <w:r>
        <w:rPr>
          <w:rFonts w:hint="eastAsia" w:cs="宋体"/>
          <w:color w:val="auto"/>
          <w:lang w:val="en-US" w:eastAsia="zh-CN"/>
        </w:rPr>
        <w:t>不利物质条件是指有经验的承包人在施工现场遇到的不可预见的自然物质条件、非自然的物质障碍和污染物，包括地表以下物质条件和水文条件以及专用合同条款约定的其他情形，但不包括气候条件。</w:t>
      </w:r>
    </w:p>
    <w:p>
      <w:pPr>
        <w:pStyle w:val="26"/>
        <w:numPr>
          <w:ilvl w:val="0"/>
          <w:numId w:val="0"/>
        </w:numPr>
        <w:spacing w:before="0" w:beforeAutospacing="0" w:after="0" w:afterAutospacing="0" w:line="360" w:lineRule="auto"/>
        <w:ind w:firstLine="480" w:firstLineChars="200"/>
        <w:rPr>
          <w:rFonts w:hint="eastAsia" w:cs="宋体"/>
          <w:color w:val="auto"/>
          <w:lang w:val="en-US" w:eastAsia="zh-CN"/>
        </w:rPr>
      </w:pPr>
      <w:r>
        <w:rPr>
          <w:rFonts w:hint="eastAsia" w:cs="宋体"/>
          <w:color w:val="auto"/>
          <w:lang w:val="en-US" w:eastAsia="zh-CN"/>
        </w:rPr>
        <w:t>承包人遇到不利物质条件时，应采取克服不利物质条件的合理措施继续施工，并及时通知发包人和监理人。通知应载明不利物质条件的内容以及承包人认为不可预见</w:t>
      </w:r>
    </w:p>
    <w:p>
      <w:pPr>
        <w:pStyle w:val="26"/>
        <w:numPr>
          <w:ilvl w:val="0"/>
          <w:numId w:val="0"/>
        </w:numPr>
        <w:spacing w:before="0" w:beforeAutospacing="0" w:after="0" w:afterAutospacing="0" w:line="360" w:lineRule="auto"/>
        <w:rPr>
          <w:rFonts w:hint="eastAsia" w:cs="宋体"/>
          <w:color w:val="auto"/>
          <w:lang w:val="en-US" w:eastAsia="zh-CN"/>
        </w:rPr>
      </w:pPr>
      <w:r>
        <w:rPr>
          <w:rFonts w:hint="eastAsia" w:cs="宋体"/>
          <w:color w:val="auto"/>
          <w:lang w:val="en-US" w:eastAsia="zh-CN"/>
        </w:rPr>
        <w:t>的理由。监理人经发包人同意后应当及时发出指示，指示构成变更的，按第10条〔变更〕约定执行。承包人因采取合理措施而增加的费用和(或)延误的工期由发包人承担。</w:t>
      </w:r>
    </w:p>
    <w:p>
      <w:pPr>
        <w:pStyle w:val="26"/>
        <w:numPr>
          <w:ilvl w:val="0"/>
          <w:numId w:val="0"/>
        </w:numPr>
        <w:spacing w:before="0" w:beforeAutospacing="0" w:after="0" w:afterAutospacing="0" w:line="360" w:lineRule="auto"/>
        <w:ind w:firstLine="482" w:firstLineChars="200"/>
        <w:rPr>
          <w:rFonts w:hint="eastAsia" w:cs="宋体"/>
          <w:b/>
          <w:bCs/>
          <w:color w:val="auto"/>
          <w:lang w:val="en-US" w:eastAsia="zh-CN"/>
        </w:rPr>
      </w:pPr>
      <w:r>
        <w:rPr>
          <w:rFonts w:hint="eastAsia" w:cs="宋体"/>
          <w:b/>
          <w:bCs/>
          <w:color w:val="auto"/>
          <w:lang w:val="en-US" w:eastAsia="zh-CN"/>
        </w:rPr>
        <w:t>7.7异常恶劣的气候条件</w:t>
      </w:r>
    </w:p>
    <w:p>
      <w:pPr>
        <w:pStyle w:val="26"/>
        <w:numPr>
          <w:ilvl w:val="0"/>
          <w:numId w:val="0"/>
        </w:numPr>
        <w:spacing w:before="0" w:beforeAutospacing="0" w:after="0" w:afterAutospacing="0" w:line="360" w:lineRule="auto"/>
        <w:ind w:firstLine="480" w:firstLineChars="200"/>
        <w:rPr>
          <w:rFonts w:hint="eastAsia" w:cs="宋体"/>
          <w:color w:val="auto"/>
          <w:lang w:val="en-US" w:eastAsia="zh-CN"/>
        </w:rPr>
      </w:pPr>
      <w:r>
        <w:rPr>
          <w:rFonts w:hint="eastAsia" w:cs="宋体"/>
          <w:color w:val="auto"/>
          <w:lang w:val="en-US" w:eastAsia="zh-CN"/>
        </w:rPr>
        <w:t>异常恶劣的气候条件是指在施工过程中遇到的，有经验的承包人在签订合同时不可预见的，对合同履行造成实质性影响的，但尚未构成不可抗力事件的恶劣气候条件。合同当事人可以在专用合同条款中约定异常恶劣的气候条件的具体情形。</w:t>
      </w:r>
    </w:p>
    <w:p>
      <w:pPr>
        <w:pStyle w:val="26"/>
        <w:numPr>
          <w:ilvl w:val="0"/>
          <w:numId w:val="0"/>
        </w:numPr>
        <w:spacing w:before="0" w:beforeAutospacing="0" w:after="0" w:afterAutospacing="0" w:line="360" w:lineRule="auto"/>
        <w:ind w:firstLine="480" w:firstLineChars="200"/>
        <w:rPr>
          <w:rFonts w:hint="eastAsia" w:cs="宋体"/>
          <w:color w:val="auto"/>
          <w:lang w:val="en-US" w:eastAsia="zh-CN"/>
        </w:rPr>
      </w:pPr>
      <w:r>
        <w:rPr>
          <w:rFonts w:hint="eastAsia" w:cs="宋体"/>
          <w:color w:val="auto"/>
          <w:lang w:val="en-US" w:eastAsia="zh-CN"/>
        </w:rPr>
        <w:t>承包人应采取克服异常恶劣的气候条件的合理措施继续施工，并及时通知发包人和监理人。监理人经发包人同意后应当及时发出指示，指示构成变更的，按第10条〔变更〕约定办理。承包人因采取合理措施而增加的费用和(或)延误的工期由发包人承担。</w:t>
      </w:r>
    </w:p>
    <w:p>
      <w:pPr>
        <w:pStyle w:val="26"/>
        <w:numPr>
          <w:ilvl w:val="0"/>
          <w:numId w:val="0"/>
        </w:numPr>
        <w:spacing w:before="0" w:beforeAutospacing="0" w:after="0" w:afterAutospacing="0" w:line="360" w:lineRule="auto"/>
        <w:ind w:firstLine="482" w:firstLineChars="200"/>
        <w:rPr>
          <w:rFonts w:hint="eastAsia" w:cs="宋体"/>
          <w:b/>
          <w:bCs/>
          <w:color w:val="auto"/>
          <w:lang w:val="en-US" w:eastAsia="zh-CN"/>
        </w:rPr>
      </w:pPr>
      <w:r>
        <w:rPr>
          <w:rFonts w:hint="eastAsia" w:cs="宋体"/>
          <w:b/>
          <w:bCs/>
          <w:color w:val="auto"/>
          <w:lang w:val="en-US" w:eastAsia="zh-CN"/>
        </w:rPr>
        <w:t>7.8暂停施工</w:t>
      </w:r>
    </w:p>
    <w:p>
      <w:pPr>
        <w:pStyle w:val="26"/>
        <w:numPr>
          <w:ilvl w:val="0"/>
          <w:numId w:val="0"/>
        </w:numPr>
        <w:spacing w:before="0" w:beforeAutospacing="0" w:after="0" w:afterAutospacing="0" w:line="360" w:lineRule="auto"/>
        <w:ind w:firstLine="480" w:firstLineChars="200"/>
        <w:rPr>
          <w:rFonts w:hint="eastAsia" w:cs="宋体"/>
          <w:color w:val="auto"/>
          <w:lang w:val="en-US" w:eastAsia="zh-CN"/>
        </w:rPr>
      </w:pPr>
      <w:r>
        <w:rPr>
          <w:rFonts w:hint="eastAsia" w:cs="宋体"/>
          <w:color w:val="auto"/>
          <w:lang w:val="en-US" w:eastAsia="zh-CN"/>
        </w:rPr>
        <w:t>7.8.1发包人原因引起的暂停施工</w:t>
      </w:r>
    </w:p>
    <w:p>
      <w:pPr>
        <w:pStyle w:val="26"/>
        <w:numPr>
          <w:ilvl w:val="0"/>
          <w:numId w:val="0"/>
        </w:numPr>
        <w:spacing w:before="0" w:beforeAutospacing="0" w:after="0" w:afterAutospacing="0" w:line="360" w:lineRule="auto"/>
        <w:ind w:firstLine="480" w:firstLineChars="200"/>
        <w:rPr>
          <w:rFonts w:hint="eastAsia" w:cs="宋体"/>
          <w:color w:val="auto"/>
          <w:lang w:val="en-US" w:eastAsia="zh-CN"/>
        </w:rPr>
      </w:pPr>
      <w:r>
        <w:rPr>
          <w:rFonts w:hint="eastAsia" w:cs="宋体"/>
          <w:color w:val="auto"/>
          <w:lang w:val="en-US" w:eastAsia="zh-CN"/>
        </w:rPr>
        <w:t>因发包人原因引起暂停施工的，监理人经发包人同意后，应及时下达暂停施工指示。情况紧急且监理人未及时下达暂停施工指示的，按照第7.8.4项〔紧急情况下的暂停施工〕执行。</w:t>
      </w:r>
    </w:p>
    <w:p>
      <w:pPr>
        <w:pStyle w:val="26"/>
        <w:numPr>
          <w:ilvl w:val="0"/>
          <w:numId w:val="0"/>
        </w:numPr>
        <w:spacing w:before="0" w:beforeAutospacing="0" w:after="0" w:afterAutospacing="0" w:line="360" w:lineRule="auto"/>
        <w:ind w:firstLine="480" w:firstLineChars="200"/>
        <w:rPr>
          <w:rFonts w:hint="eastAsia" w:cs="宋体"/>
          <w:color w:val="auto"/>
          <w:lang w:val="en-US" w:eastAsia="zh-CN"/>
        </w:rPr>
      </w:pPr>
      <w:r>
        <w:rPr>
          <w:rFonts w:hint="eastAsia" w:cs="宋体"/>
          <w:color w:val="auto"/>
          <w:lang w:val="en-US" w:eastAsia="zh-CN"/>
        </w:rPr>
        <w:t>因发包人原因引起的暂停施工，发包人应承担由此增加的费用和(或)延误的工</w:t>
      </w:r>
    </w:p>
    <w:p>
      <w:pPr>
        <w:pStyle w:val="26"/>
        <w:numPr>
          <w:ilvl w:val="0"/>
          <w:numId w:val="0"/>
        </w:numPr>
        <w:spacing w:before="0" w:beforeAutospacing="0" w:after="0" w:afterAutospacing="0" w:line="360" w:lineRule="auto"/>
        <w:rPr>
          <w:rFonts w:hint="eastAsia" w:cs="宋体"/>
          <w:color w:val="auto"/>
          <w:lang w:val="en-US" w:eastAsia="zh-CN"/>
        </w:rPr>
      </w:pPr>
      <w:r>
        <w:rPr>
          <w:rFonts w:hint="eastAsia" w:cs="宋体"/>
          <w:color w:val="auto"/>
          <w:lang w:val="en-US" w:eastAsia="zh-CN"/>
        </w:rPr>
        <w:t>期，并支付承包人合理的利润。</w:t>
      </w:r>
    </w:p>
    <w:p>
      <w:pPr>
        <w:pStyle w:val="26"/>
        <w:numPr>
          <w:ilvl w:val="0"/>
          <w:numId w:val="0"/>
        </w:numPr>
        <w:spacing w:before="0" w:beforeAutospacing="0" w:after="0" w:afterAutospacing="0" w:line="360" w:lineRule="auto"/>
        <w:ind w:firstLine="480" w:firstLineChars="200"/>
        <w:rPr>
          <w:rFonts w:hint="eastAsia" w:cs="宋体"/>
          <w:color w:val="auto"/>
          <w:lang w:val="en-US" w:eastAsia="zh-CN"/>
        </w:rPr>
      </w:pPr>
      <w:r>
        <w:rPr>
          <w:rFonts w:hint="eastAsia" w:cs="宋体"/>
          <w:color w:val="auto"/>
          <w:lang w:val="en-US" w:eastAsia="zh-CN"/>
        </w:rPr>
        <w:t>7.8.2承包人原因引起的暂停施工</w:t>
      </w:r>
    </w:p>
    <w:p>
      <w:pPr>
        <w:pStyle w:val="26"/>
        <w:numPr>
          <w:ilvl w:val="0"/>
          <w:numId w:val="0"/>
        </w:numPr>
        <w:spacing w:before="0" w:beforeAutospacing="0" w:after="0" w:afterAutospacing="0" w:line="360" w:lineRule="auto"/>
        <w:ind w:firstLine="480" w:firstLineChars="200"/>
        <w:rPr>
          <w:rFonts w:hint="eastAsia" w:cs="宋体"/>
          <w:color w:val="auto"/>
          <w:lang w:val="en-US" w:eastAsia="zh-CN"/>
        </w:rPr>
      </w:pPr>
      <w:r>
        <w:rPr>
          <w:rFonts w:hint="eastAsia" w:cs="宋体"/>
          <w:color w:val="auto"/>
          <w:lang w:val="en-US" w:eastAsia="zh-CN"/>
        </w:rPr>
        <w:t>因承包人原因引起的暂停施工，承包人应承担由此增加的费用和(或)延误的工</w:t>
      </w:r>
    </w:p>
    <w:p>
      <w:pPr>
        <w:pStyle w:val="26"/>
        <w:numPr>
          <w:ilvl w:val="0"/>
          <w:numId w:val="0"/>
        </w:numPr>
        <w:spacing w:before="0" w:beforeAutospacing="0" w:after="0" w:afterAutospacing="0" w:line="360" w:lineRule="auto"/>
        <w:rPr>
          <w:rFonts w:hint="eastAsia" w:cs="宋体"/>
          <w:color w:val="auto"/>
          <w:lang w:val="en-US" w:eastAsia="zh-CN"/>
        </w:rPr>
      </w:pPr>
      <w:r>
        <w:rPr>
          <w:rFonts w:hint="eastAsia" w:cs="宋体"/>
          <w:color w:val="auto"/>
          <w:lang w:val="en-US" w:eastAsia="zh-CN"/>
        </w:rPr>
        <w:t>期，且承包人在收到监理人复工指示后84天内仍未复工的，视为第16.2.1项〔承包人违约的情形〕第(7)目约定的承包人无法继续履行合同的情形。</w:t>
      </w:r>
    </w:p>
    <w:p>
      <w:pPr>
        <w:pStyle w:val="26"/>
        <w:numPr>
          <w:ilvl w:val="0"/>
          <w:numId w:val="0"/>
        </w:numPr>
        <w:spacing w:before="0" w:beforeAutospacing="0" w:after="0" w:afterAutospacing="0" w:line="360" w:lineRule="auto"/>
        <w:ind w:firstLine="480" w:firstLineChars="200"/>
        <w:rPr>
          <w:rFonts w:hint="eastAsia" w:cs="宋体"/>
          <w:color w:val="auto"/>
          <w:lang w:val="en-US" w:eastAsia="zh-CN"/>
        </w:rPr>
      </w:pPr>
      <w:r>
        <w:rPr>
          <w:rFonts w:hint="eastAsia" w:cs="宋体"/>
          <w:color w:val="auto"/>
          <w:lang w:val="en-US" w:eastAsia="zh-CN"/>
        </w:rPr>
        <w:t>7.8.3指示暂停施工</w:t>
      </w:r>
    </w:p>
    <w:p>
      <w:pPr>
        <w:pStyle w:val="26"/>
        <w:numPr>
          <w:ilvl w:val="0"/>
          <w:numId w:val="0"/>
        </w:numPr>
        <w:spacing w:before="0" w:beforeAutospacing="0" w:after="0" w:afterAutospacing="0" w:line="360" w:lineRule="auto"/>
        <w:ind w:firstLine="480" w:firstLineChars="200"/>
        <w:rPr>
          <w:rFonts w:hint="eastAsia" w:cs="宋体"/>
          <w:color w:val="auto"/>
          <w:lang w:val="en-US" w:eastAsia="zh-CN"/>
        </w:rPr>
      </w:pPr>
      <w:r>
        <w:rPr>
          <w:rFonts w:hint="eastAsia" w:cs="宋体"/>
          <w:color w:val="auto"/>
          <w:lang w:val="en-US" w:eastAsia="zh-CN"/>
        </w:rPr>
        <w:t>监理人认为有必要时，并经发包人批准后，可向承包人作出暂停施工的指示，承包人应按监理人指示暂停施工。</w:t>
      </w:r>
    </w:p>
    <w:p>
      <w:pPr>
        <w:pStyle w:val="26"/>
        <w:numPr>
          <w:ilvl w:val="0"/>
          <w:numId w:val="0"/>
        </w:numPr>
        <w:spacing w:before="0" w:beforeAutospacing="0" w:after="0" w:afterAutospacing="0" w:line="360" w:lineRule="auto"/>
        <w:ind w:firstLine="480" w:firstLineChars="200"/>
        <w:rPr>
          <w:rFonts w:hint="eastAsia" w:cs="宋体"/>
          <w:color w:val="auto"/>
          <w:lang w:val="en-US" w:eastAsia="zh-CN"/>
        </w:rPr>
      </w:pPr>
      <w:r>
        <w:rPr>
          <w:rFonts w:hint="eastAsia" w:cs="宋体"/>
          <w:color w:val="auto"/>
          <w:lang w:val="en-US" w:eastAsia="zh-CN"/>
        </w:rPr>
        <w:t>7.8.4紧急情况下的暂停施工</w:t>
      </w:r>
    </w:p>
    <w:p>
      <w:pPr>
        <w:pStyle w:val="26"/>
        <w:numPr>
          <w:ilvl w:val="0"/>
          <w:numId w:val="0"/>
        </w:numPr>
        <w:spacing w:before="0" w:beforeAutospacing="0" w:after="0" w:afterAutospacing="0" w:line="360" w:lineRule="auto"/>
        <w:ind w:firstLine="480" w:firstLineChars="200"/>
        <w:rPr>
          <w:rFonts w:hint="eastAsia" w:cs="宋体"/>
          <w:color w:val="auto"/>
          <w:lang w:val="en-US" w:eastAsia="zh-CN"/>
        </w:rPr>
      </w:pPr>
      <w:r>
        <w:rPr>
          <w:rFonts w:hint="eastAsia" w:cs="宋体"/>
          <w:color w:val="auto"/>
          <w:lang w:val="en-US" w:eastAsia="zh-CN"/>
        </w:rPr>
        <w:t>因紧急情况需暂停施工，且监理人未及时下达暂停施工指示的，承包人可先暂停施工，并及时通知监理人。监理人应在接到通知后24小时内发出指示，逾期未发出指示，视为同意承包人暂停施工。监理人不同意承包人暂停施工的，应说明理由，承包人对监理人的答复有异议，按照第20条〔争议解决〕约定处理。</w:t>
      </w:r>
    </w:p>
    <w:p>
      <w:pPr>
        <w:pStyle w:val="26"/>
        <w:numPr>
          <w:ilvl w:val="0"/>
          <w:numId w:val="0"/>
        </w:numPr>
        <w:spacing w:before="0" w:beforeAutospacing="0" w:after="0" w:afterAutospacing="0" w:line="360" w:lineRule="auto"/>
        <w:ind w:firstLine="480" w:firstLineChars="200"/>
        <w:rPr>
          <w:rFonts w:hint="eastAsia" w:cs="宋体"/>
          <w:color w:val="auto"/>
          <w:lang w:val="en-US" w:eastAsia="zh-CN"/>
        </w:rPr>
      </w:pPr>
      <w:r>
        <w:rPr>
          <w:rFonts w:hint="eastAsia" w:cs="宋体"/>
          <w:color w:val="auto"/>
          <w:lang w:val="en-US" w:eastAsia="zh-CN"/>
        </w:rPr>
        <w:t>7.8.5暂停施工后的复工</w:t>
      </w:r>
    </w:p>
    <w:p>
      <w:pPr>
        <w:pStyle w:val="26"/>
        <w:numPr>
          <w:ilvl w:val="0"/>
          <w:numId w:val="0"/>
        </w:numPr>
        <w:spacing w:before="0" w:beforeAutospacing="0" w:after="0" w:afterAutospacing="0" w:line="360" w:lineRule="auto"/>
        <w:ind w:firstLine="480" w:firstLineChars="200"/>
        <w:rPr>
          <w:rFonts w:hint="eastAsia" w:cs="宋体"/>
          <w:color w:val="auto"/>
          <w:lang w:val="en-US" w:eastAsia="zh-CN"/>
        </w:rPr>
      </w:pPr>
      <w:r>
        <w:rPr>
          <w:rFonts w:hint="eastAsia" w:cs="宋体"/>
          <w:color w:val="auto"/>
          <w:lang w:val="en-US" w:eastAsia="zh-CN"/>
        </w:rPr>
        <w:t>暂停施工后，发包人和承包人应采取有效措施积极消除暂停施工的影响。在工程复工前，监理人会同发包人和承包人确定因暂停施工造成的损失，并确定工程复工条件。当工程具备复工条件时，监理人应经发包人批准后向承包人发出复工通知，承包人应按照复工通知要求复工。</w:t>
      </w:r>
    </w:p>
    <w:p>
      <w:pPr>
        <w:pStyle w:val="26"/>
        <w:numPr>
          <w:ilvl w:val="0"/>
          <w:numId w:val="0"/>
        </w:numPr>
        <w:spacing w:before="0" w:beforeAutospacing="0" w:after="0" w:afterAutospacing="0" w:line="360" w:lineRule="auto"/>
        <w:ind w:firstLine="480" w:firstLineChars="200"/>
        <w:rPr>
          <w:rFonts w:hint="eastAsia" w:cs="宋体"/>
          <w:color w:val="auto"/>
          <w:lang w:val="en-US" w:eastAsia="zh-CN"/>
        </w:rPr>
      </w:pPr>
      <w:r>
        <w:rPr>
          <w:rFonts w:hint="eastAsia" w:cs="宋体"/>
          <w:color w:val="auto"/>
          <w:lang w:val="en-US" w:eastAsia="zh-CN"/>
        </w:rPr>
        <w:t>承包人无故拖延和拒绝复工的，承包人承担由此增加的费用和(或)延误的工期；因发包人原因无法按时复工的，按照第7.5.1项〔因发包人原因导致工期延误〕约定办理。</w:t>
      </w:r>
    </w:p>
    <w:p>
      <w:pPr>
        <w:pStyle w:val="26"/>
        <w:numPr>
          <w:ilvl w:val="0"/>
          <w:numId w:val="0"/>
        </w:numPr>
        <w:spacing w:before="0" w:beforeAutospacing="0" w:after="0" w:afterAutospacing="0" w:line="360" w:lineRule="auto"/>
        <w:ind w:firstLine="480" w:firstLineChars="200"/>
        <w:rPr>
          <w:rFonts w:hint="eastAsia" w:cs="宋体"/>
          <w:color w:val="auto"/>
          <w:lang w:val="en-US" w:eastAsia="zh-CN"/>
        </w:rPr>
      </w:pPr>
      <w:r>
        <w:rPr>
          <w:rFonts w:hint="eastAsia" w:cs="宋体"/>
          <w:color w:val="auto"/>
          <w:lang w:val="en-US" w:eastAsia="zh-CN"/>
        </w:rPr>
        <w:t>7.8.6暂停施工持续56天以上</w:t>
      </w:r>
    </w:p>
    <w:p>
      <w:pPr>
        <w:pStyle w:val="26"/>
        <w:numPr>
          <w:ilvl w:val="0"/>
          <w:numId w:val="0"/>
        </w:numPr>
        <w:spacing w:before="0" w:beforeAutospacing="0" w:after="0" w:afterAutospacing="0" w:line="360" w:lineRule="auto"/>
        <w:ind w:firstLine="480" w:firstLineChars="200"/>
        <w:rPr>
          <w:rFonts w:hint="eastAsia" w:cs="宋体"/>
          <w:color w:val="auto"/>
          <w:lang w:val="en-US" w:eastAsia="zh-CN"/>
        </w:rPr>
      </w:pPr>
      <w:r>
        <w:rPr>
          <w:rFonts w:hint="eastAsia" w:cs="宋体"/>
          <w:color w:val="auto"/>
          <w:lang w:val="en-US" w:eastAsia="zh-CN"/>
        </w:rPr>
        <w:t>监理人发出暂停施工指示后56天内未向承包人发出复工通知，除该项停工属于第7.8.2项〔承包人原因引起的暂停施工〕及第17条〔不可抗力〕约定的情形外，承包人可向发包人提交书面通知，要求发包人在收到书面通知后28天内准许已暂停施工的部分或全部工程继续施工。发包人逾期不予批准的，则承包人可以通知发包人，将工程受影响的部分视为按第10.1款〔变更的范围〕第(2)项的可取消工作。</w:t>
      </w:r>
    </w:p>
    <w:p>
      <w:pPr>
        <w:pStyle w:val="26"/>
        <w:numPr>
          <w:ilvl w:val="0"/>
          <w:numId w:val="0"/>
        </w:numPr>
        <w:spacing w:before="0" w:beforeAutospacing="0" w:after="0" w:afterAutospacing="0" w:line="360" w:lineRule="auto"/>
        <w:ind w:firstLine="480" w:firstLineChars="200"/>
        <w:rPr>
          <w:rFonts w:hint="eastAsia" w:cs="宋体"/>
          <w:color w:val="auto"/>
          <w:lang w:val="en-US" w:eastAsia="zh-CN"/>
        </w:rPr>
      </w:pPr>
      <w:r>
        <w:rPr>
          <w:rFonts w:hint="eastAsia" w:cs="宋体"/>
          <w:color w:val="auto"/>
          <w:lang w:val="en-US" w:eastAsia="zh-CN"/>
        </w:rPr>
        <w:t>暂停施工持续84天以上不复工的，且不属于第7.8.2项〔承包人原因引起的暂停施工〕及第17条〔不可抗力〕约定的情形，并影响到整个工程以及合同目的实现</w:t>
      </w:r>
    </w:p>
    <w:p>
      <w:pPr>
        <w:pStyle w:val="26"/>
        <w:numPr>
          <w:ilvl w:val="0"/>
          <w:numId w:val="0"/>
        </w:numPr>
        <w:spacing w:before="0" w:beforeAutospacing="0" w:after="0" w:afterAutospacing="0" w:line="360" w:lineRule="auto"/>
        <w:ind w:firstLine="480" w:firstLineChars="200"/>
        <w:rPr>
          <w:rFonts w:hint="eastAsia" w:cs="宋体"/>
          <w:color w:val="auto"/>
          <w:lang w:val="en-US" w:eastAsia="zh-CN"/>
        </w:rPr>
      </w:pPr>
      <w:r>
        <w:rPr>
          <w:rFonts w:hint="eastAsia" w:cs="宋体"/>
          <w:color w:val="auto"/>
          <w:lang w:val="en-US" w:eastAsia="zh-CN"/>
        </w:rPr>
        <w:t>的，承包人有权提出价格调整要求，或者解除合同。解除合同的，按照第16.1.3项〔因发包人违约解除合同〕执行。</w:t>
      </w:r>
    </w:p>
    <w:p>
      <w:pPr>
        <w:pStyle w:val="26"/>
        <w:numPr>
          <w:ilvl w:val="0"/>
          <w:numId w:val="0"/>
        </w:numPr>
        <w:spacing w:before="0" w:beforeAutospacing="0" w:after="0" w:afterAutospacing="0" w:line="360" w:lineRule="auto"/>
        <w:ind w:firstLine="480" w:firstLineChars="200"/>
        <w:rPr>
          <w:rFonts w:hint="eastAsia" w:cs="宋体"/>
          <w:color w:val="auto"/>
          <w:lang w:val="en-US" w:eastAsia="zh-CN"/>
        </w:rPr>
      </w:pPr>
      <w:r>
        <w:rPr>
          <w:rFonts w:hint="eastAsia" w:cs="宋体"/>
          <w:color w:val="auto"/>
          <w:lang w:val="en-US" w:eastAsia="zh-CN"/>
        </w:rPr>
        <w:t>7.8.7暂停施工期间的工程照管</w:t>
      </w:r>
    </w:p>
    <w:p>
      <w:pPr>
        <w:pStyle w:val="26"/>
        <w:numPr>
          <w:ilvl w:val="0"/>
          <w:numId w:val="0"/>
        </w:numPr>
        <w:spacing w:before="0" w:beforeAutospacing="0" w:after="0" w:afterAutospacing="0" w:line="360" w:lineRule="auto"/>
        <w:ind w:firstLine="480" w:firstLineChars="200"/>
        <w:rPr>
          <w:rFonts w:hint="eastAsia" w:cs="宋体"/>
          <w:color w:val="auto"/>
          <w:lang w:val="en-US" w:eastAsia="zh-CN"/>
        </w:rPr>
      </w:pPr>
      <w:r>
        <w:rPr>
          <w:rFonts w:hint="eastAsia" w:cs="宋体"/>
          <w:color w:val="auto"/>
          <w:lang w:val="en-US" w:eastAsia="zh-CN"/>
        </w:rPr>
        <w:t>暂停施工期间，承包人应负责妥善照管工程并提供安全保障，由此增加的费用由责任方承担。</w:t>
      </w:r>
    </w:p>
    <w:p>
      <w:pPr>
        <w:pStyle w:val="26"/>
        <w:numPr>
          <w:ilvl w:val="0"/>
          <w:numId w:val="0"/>
        </w:numPr>
        <w:spacing w:before="0" w:beforeAutospacing="0" w:after="0" w:afterAutospacing="0" w:line="360" w:lineRule="auto"/>
        <w:ind w:firstLine="480" w:firstLineChars="200"/>
        <w:rPr>
          <w:rFonts w:hint="eastAsia" w:cs="宋体"/>
          <w:color w:val="auto"/>
          <w:lang w:val="en-US" w:eastAsia="zh-CN"/>
        </w:rPr>
      </w:pPr>
      <w:r>
        <w:rPr>
          <w:rFonts w:hint="eastAsia" w:cs="宋体"/>
          <w:color w:val="auto"/>
          <w:lang w:val="en-US" w:eastAsia="zh-CN"/>
        </w:rPr>
        <w:t>7.8.8暂停施工的措施</w:t>
      </w:r>
    </w:p>
    <w:p>
      <w:pPr>
        <w:pStyle w:val="26"/>
        <w:numPr>
          <w:ilvl w:val="0"/>
          <w:numId w:val="0"/>
        </w:numPr>
        <w:spacing w:before="0" w:beforeAutospacing="0" w:after="0" w:afterAutospacing="0" w:line="360" w:lineRule="auto"/>
        <w:ind w:firstLine="480" w:firstLineChars="200"/>
        <w:rPr>
          <w:rFonts w:hint="eastAsia" w:cs="宋体"/>
          <w:color w:val="auto"/>
          <w:lang w:val="en-US" w:eastAsia="zh-CN"/>
        </w:rPr>
      </w:pPr>
      <w:r>
        <w:rPr>
          <w:rFonts w:hint="eastAsia" w:cs="宋体"/>
          <w:color w:val="auto"/>
          <w:lang w:val="en-US" w:eastAsia="zh-CN"/>
        </w:rPr>
        <w:t>暂停施工期间，发包人和承包人均应采取必要的措施确保工程质量及安全，防止因暂停施工扩大损失。</w:t>
      </w:r>
    </w:p>
    <w:p>
      <w:pPr>
        <w:pStyle w:val="26"/>
        <w:numPr>
          <w:ilvl w:val="0"/>
          <w:numId w:val="0"/>
        </w:numPr>
        <w:spacing w:before="0" w:beforeAutospacing="0" w:after="0" w:afterAutospacing="0" w:line="360" w:lineRule="auto"/>
        <w:ind w:firstLine="482" w:firstLineChars="200"/>
        <w:rPr>
          <w:rFonts w:hint="eastAsia" w:cs="宋体"/>
          <w:b/>
          <w:bCs/>
          <w:color w:val="auto"/>
          <w:lang w:val="en-US" w:eastAsia="zh-CN"/>
        </w:rPr>
      </w:pPr>
      <w:r>
        <w:rPr>
          <w:rFonts w:hint="eastAsia" w:cs="宋体"/>
          <w:b/>
          <w:bCs/>
          <w:color w:val="auto"/>
          <w:lang w:val="en-US" w:eastAsia="zh-CN"/>
        </w:rPr>
        <w:t>7.9提前竣工</w:t>
      </w:r>
    </w:p>
    <w:p>
      <w:pPr>
        <w:pStyle w:val="26"/>
        <w:numPr>
          <w:ilvl w:val="0"/>
          <w:numId w:val="0"/>
        </w:numPr>
        <w:spacing w:before="0" w:beforeAutospacing="0" w:after="0" w:afterAutospacing="0" w:line="360" w:lineRule="auto"/>
        <w:ind w:firstLine="480" w:firstLineChars="200"/>
        <w:rPr>
          <w:rFonts w:hint="eastAsia" w:cs="宋体"/>
          <w:color w:val="auto"/>
          <w:lang w:val="en-US" w:eastAsia="zh-CN"/>
        </w:rPr>
      </w:pPr>
      <w:r>
        <w:rPr>
          <w:rFonts w:hint="eastAsia" w:cs="宋体"/>
          <w:color w:val="auto"/>
          <w:lang w:val="en-US" w:eastAsia="zh-CN"/>
        </w:rPr>
        <w:t>7.9.1发包人要求承包人提前竣工的，发包人应通过监理人向承包人下达提前竣工指示，承包人应向发包人和监理人提交提前竣工建议书，提前竣工建议书应包括实施的方案、缩短的时间、增加的合同价格等内容。发包人接受该提前竣工建议书的，监理人应与发包人和承包人协商采取加快工程进度的措施，并修订施工进度计划，由此增加的费用由发包人承担。承包人认为提前竣工指示无法执行的，应向监理人和发包人提出书面异议，发包人和监理人应在收到异议后7天内予以答复。任何情况下，发包人不得压缩合理工期。</w:t>
      </w:r>
    </w:p>
    <w:p>
      <w:pPr>
        <w:pStyle w:val="26"/>
        <w:numPr>
          <w:ilvl w:val="0"/>
          <w:numId w:val="0"/>
        </w:numPr>
        <w:spacing w:before="0" w:beforeAutospacing="0" w:after="0" w:afterAutospacing="0" w:line="360" w:lineRule="auto"/>
        <w:ind w:firstLine="480" w:firstLineChars="200"/>
        <w:rPr>
          <w:rFonts w:hint="eastAsia" w:cs="宋体"/>
          <w:color w:val="auto"/>
          <w:lang w:val="en-US" w:eastAsia="zh-CN"/>
        </w:rPr>
      </w:pPr>
      <w:r>
        <w:rPr>
          <w:rFonts w:hint="eastAsia" w:cs="宋体"/>
          <w:color w:val="auto"/>
          <w:lang w:val="en-US" w:eastAsia="zh-CN"/>
        </w:rPr>
        <w:t>7.9.2发包人要求承包人提前竣工，或承包人提出提前竣工的建议能够给发包人带来效益的，合同当事人可以在专用合同条款中约定提前竣工的奖励。</w:t>
      </w:r>
    </w:p>
    <w:p>
      <w:pPr>
        <w:pStyle w:val="26"/>
        <w:numPr>
          <w:ilvl w:val="0"/>
          <w:numId w:val="0"/>
        </w:numPr>
        <w:spacing w:before="0" w:beforeAutospacing="0" w:after="0" w:afterAutospacing="0" w:line="360" w:lineRule="auto"/>
        <w:ind w:firstLine="482" w:firstLineChars="200"/>
        <w:rPr>
          <w:rFonts w:hint="eastAsia" w:cs="宋体"/>
          <w:b/>
          <w:bCs/>
          <w:color w:val="auto"/>
          <w:lang w:val="en-US" w:eastAsia="zh-CN"/>
        </w:rPr>
      </w:pPr>
      <w:r>
        <w:rPr>
          <w:rFonts w:hint="eastAsia" w:cs="宋体"/>
          <w:b/>
          <w:bCs/>
          <w:color w:val="auto"/>
          <w:lang w:val="en-US" w:eastAsia="zh-CN"/>
        </w:rPr>
        <w:t>8.材料与设备</w:t>
      </w:r>
    </w:p>
    <w:p>
      <w:pPr>
        <w:pStyle w:val="26"/>
        <w:numPr>
          <w:ilvl w:val="0"/>
          <w:numId w:val="0"/>
        </w:numPr>
        <w:spacing w:before="0" w:beforeAutospacing="0" w:after="0" w:afterAutospacing="0" w:line="360" w:lineRule="auto"/>
        <w:ind w:firstLine="482" w:firstLineChars="200"/>
        <w:rPr>
          <w:rFonts w:hint="eastAsia" w:cs="宋体"/>
          <w:b/>
          <w:bCs/>
          <w:color w:val="auto"/>
          <w:lang w:val="en-US" w:eastAsia="zh-CN"/>
        </w:rPr>
      </w:pPr>
      <w:r>
        <w:rPr>
          <w:rFonts w:hint="eastAsia" w:cs="宋体"/>
          <w:b/>
          <w:bCs/>
          <w:color w:val="auto"/>
          <w:lang w:val="en-US" w:eastAsia="zh-CN"/>
        </w:rPr>
        <w:t>8.1发包人供应材料与工程设备</w:t>
      </w:r>
    </w:p>
    <w:p>
      <w:pPr>
        <w:pStyle w:val="26"/>
        <w:numPr>
          <w:ilvl w:val="0"/>
          <w:numId w:val="0"/>
        </w:numPr>
        <w:spacing w:before="0" w:beforeAutospacing="0" w:after="0" w:afterAutospacing="0" w:line="360" w:lineRule="auto"/>
        <w:ind w:firstLine="480" w:firstLineChars="200"/>
        <w:rPr>
          <w:rFonts w:hint="eastAsia" w:cs="宋体"/>
          <w:color w:val="auto"/>
          <w:lang w:val="en-US" w:eastAsia="zh-CN"/>
        </w:rPr>
      </w:pPr>
      <w:r>
        <w:rPr>
          <w:rFonts w:hint="eastAsia" w:cs="宋体"/>
          <w:color w:val="auto"/>
          <w:lang w:val="en-US" w:eastAsia="zh-CN"/>
        </w:rPr>
        <w:t>发包人自行供应材料、工程设备的，应在签订合同时在专用合同条款的附件《发包人供应材料设备一览表》中明确材料、工程设备的品种、规格、型号、数量、单价、质量等级和送达地点。</w:t>
      </w:r>
    </w:p>
    <w:p>
      <w:pPr>
        <w:pStyle w:val="26"/>
        <w:numPr>
          <w:ilvl w:val="0"/>
          <w:numId w:val="0"/>
        </w:numPr>
        <w:spacing w:before="0" w:beforeAutospacing="0" w:after="0" w:afterAutospacing="0" w:line="360" w:lineRule="auto"/>
        <w:ind w:firstLine="480" w:firstLineChars="200"/>
        <w:rPr>
          <w:rFonts w:hint="eastAsia" w:cs="宋体"/>
          <w:color w:val="auto"/>
          <w:lang w:val="en-US" w:eastAsia="zh-CN"/>
        </w:rPr>
      </w:pPr>
      <w:r>
        <w:rPr>
          <w:rFonts w:hint="eastAsia" w:cs="宋体"/>
          <w:color w:val="auto"/>
          <w:lang w:val="en-US" w:eastAsia="zh-CN"/>
        </w:rPr>
        <w:t>承包人应提前30天通过监理人以书面形式通知发包人供应材料与工程设备进场。承包人按照第7.2.2项〔施工进度计划的修订〕约定修订施工进度计划时，需同时提交经修订后的发包人供应材料与工程设备的进场计划。</w:t>
      </w:r>
    </w:p>
    <w:p>
      <w:pPr>
        <w:pStyle w:val="26"/>
        <w:numPr>
          <w:ilvl w:val="0"/>
          <w:numId w:val="0"/>
        </w:numPr>
        <w:spacing w:before="0" w:beforeAutospacing="0" w:after="0" w:afterAutospacing="0" w:line="360" w:lineRule="auto"/>
        <w:ind w:firstLine="482" w:firstLineChars="200"/>
        <w:rPr>
          <w:rFonts w:hint="eastAsia" w:cs="宋体"/>
          <w:b/>
          <w:bCs/>
          <w:color w:val="auto"/>
          <w:lang w:val="en-US" w:eastAsia="zh-CN"/>
        </w:rPr>
      </w:pPr>
      <w:r>
        <w:rPr>
          <w:rFonts w:hint="eastAsia" w:cs="宋体"/>
          <w:b/>
          <w:bCs/>
          <w:color w:val="auto"/>
          <w:lang w:val="en-US" w:eastAsia="zh-CN"/>
        </w:rPr>
        <w:t>8.2承包人采购材料与工程设备</w:t>
      </w:r>
    </w:p>
    <w:p>
      <w:pPr>
        <w:pStyle w:val="26"/>
        <w:numPr>
          <w:ilvl w:val="0"/>
          <w:numId w:val="0"/>
        </w:numPr>
        <w:spacing w:before="0" w:beforeAutospacing="0" w:after="0" w:afterAutospacing="0" w:line="360" w:lineRule="auto"/>
        <w:ind w:firstLine="480" w:firstLineChars="200"/>
        <w:rPr>
          <w:rFonts w:hint="eastAsia" w:cs="宋体"/>
          <w:color w:val="auto"/>
          <w:lang w:val="en-US" w:eastAsia="zh-CN"/>
        </w:rPr>
      </w:pPr>
      <w:r>
        <w:rPr>
          <w:rFonts w:hint="eastAsia" w:cs="宋体"/>
          <w:color w:val="auto"/>
          <w:lang w:val="en-US" w:eastAsia="zh-CN"/>
        </w:rPr>
        <w:t>承包人负责采购材料、工程设备的，应按照设计和有关标准要求采购，并提供产品合格证明及出厂证明，对材料、工程设备质量负责。合同约定由承包人采购的材料、工程设备，发包人不得指定生产厂家或投标单位，发包人违反本款约定指定生产厂家或投标单位的，承包人有权拒绝，并由发包人承担相应责任。</w:t>
      </w:r>
    </w:p>
    <w:p>
      <w:pPr>
        <w:pStyle w:val="26"/>
        <w:numPr>
          <w:ilvl w:val="0"/>
          <w:numId w:val="0"/>
        </w:numPr>
        <w:spacing w:before="0" w:beforeAutospacing="0" w:after="0" w:afterAutospacing="0" w:line="360" w:lineRule="auto"/>
        <w:ind w:firstLine="482" w:firstLineChars="200"/>
        <w:rPr>
          <w:rFonts w:hint="eastAsia" w:cs="宋体"/>
          <w:b/>
          <w:bCs/>
          <w:color w:val="auto"/>
          <w:lang w:val="en-US" w:eastAsia="zh-CN"/>
        </w:rPr>
      </w:pPr>
      <w:r>
        <w:rPr>
          <w:rFonts w:hint="eastAsia" w:cs="宋体"/>
          <w:b/>
          <w:bCs/>
          <w:color w:val="auto"/>
          <w:lang w:val="en-US" w:eastAsia="zh-CN"/>
        </w:rPr>
        <w:t>8.3材料与工程设备的接收与拒收</w:t>
      </w:r>
    </w:p>
    <w:p>
      <w:pPr>
        <w:pStyle w:val="26"/>
        <w:numPr>
          <w:ilvl w:val="0"/>
          <w:numId w:val="0"/>
        </w:numPr>
        <w:spacing w:before="0" w:beforeAutospacing="0" w:after="0" w:afterAutospacing="0" w:line="360" w:lineRule="auto"/>
        <w:ind w:firstLine="480" w:firstLineChars="200"/>
        <w:rPr>
          <w:rFonts w:hint="eastAsia" w:cs="宋体"/>
          <w:color w:val="auto"/>
          <w:lang w:val="en-US" w:eastAsia="zh-CN"/>
        </w:rPr>
      </w:pPr>
      <w:r>
        <w:rPr>
          <w:rFonts w:hint="eastAsia" w:cs="宋体"/>
          <w:color w:val="auto"/>
          <w:lang w:val="en-US" w:eastAsia="zh-CN"/>
        </w:rPr>
        <w:t>8.3.1发包人应按《发包人供应材料设备一览表》约定的内容提供材料和工程设</w:t>
      </w:r>
    </w:p>
    <w:p>
      <w:pPr>
        <w:pStyle w:val="26"/>
        <w:numPr>
          <w:ilvl w:val="0"/>
          <w:numId w:val="0"/>
        </w:numPr>
        <w:spacing w:before="0" w:beforeAutospacing="0" w:after="0" w:afterAutospacing="0" w:line="360" w:lineRule="auto"/>
        <w:rPr>
          <w:rFonts w:hint="eastAsia" w:cs="宋体"/>
          <w:color w:val="auto"/>
          <w:lang w:val="en-US" w:eastAsia="zh-CN"/>
        </w:rPr>
      </w:pPr>
      <w:r>
        <w:rPr>
          <w:rFonts w:hint="eastAsia" w:cs="宋体"/>
          <w:color w:val="auto"/>
          <w:lang w:val="en-US" w:eastAsia="zh-CN"/>
        </w:rPr>
        <w:t>备，并向承包人提供产品合格证明及出厂证明，对其质量负责。发包人应提前24小时以书面形式通知承包人、监理人材料和工程设备到货时间，承包人负责材料和工程设备的清点、检验和接收。</w:t>
      </w:r>
    </w:p>
    <w:p>
      <w:pPr>
        <w:pStyle w:val="26"/>
        <w:numPr>
          <w:ilvl w:val="0"/>
          <w:numId w:val="0"/>
        </w:numPr>
        <w:spacing w:before="0" w:beforeAutospacing="0" w:after="0" w:afterAutospacing="0" w:line="360" w:lineRule="auto"/>
        <w:ind w:firstLine="480" w:firstLineChars="200"/>
        <w:rPr>
          <w:rFonts w:hint="eastAsia" w:cs="宋体"/>
          <w:color w:val="auto"/>
          <w:lang w:val="en-US" w:eastAsia="zh-CN"/>
        </w:rPr>
      </w:pPr>
      <w:r>
        <w:rPr>
          <w:rFonts w:hint="eastAsia" w:cs="宋体"/>
          <w:color w:val="auto"/>
          <w:lang w:val="en-US" w:eastAsia="zh-CN"/>
        </w:rPr>
        <w:t>发包人提供的材料和工程设备的规格、数量或质量不符合合同约定的，或因发包人原因导致交货日期延误或交货地点变更等情况的，按照第16.1款〔发包人违约〕约定办理。</w:t>
      </w:r>
    </w:p>
    <w:p>
      <w:pPr>
        <w:pStyle w:val="26"/>
        <w:numPr>
          <w:ilvl w:val="0"/>
          <w:numId w:val="0"/>
        </w:numPr>
        <w:spacing w:before="0" w:beforeAutospacing="0" w:after="0" w:afterAutospacing="0" w:line="360" w:lineRule="auto"/>
        <w:ind w:firstLine="480" w:firstLineChars="200"/>
        <w:rPr>
          <w:rFonts w:hint="eastAsia" w:cs="宋体"/>
          <w:color w:val="auto"/>
          <w:lang w:val="en-US" w:eastAsia="zh-CN"/>
        </w:rPr>
      </w:pPr>
      <w:r>
        <w:rPr>
          <w:rFonts w:hint="eastAsia" w:cs="宋体"/>
          <w:color w:val="auto"/>
          <w:lang w:val="en-US" w:eastAsia="zh-CN"/>
        </w:rPr>
        <w:t>8.3.2承包人采购的材料和工程设备，应保证产品质量合格，承包人应在材料和工程设备到货前24小时通知监理人检验。承包人进行永久设备、材料的制造和生产的，应符合相关质量标准，并向监理人提交材料的样本以及有关资料，并应在使用该材料或工程设备之前获得监理人同意。</w:t>
      </w:r>
    </w:p>
    <w:p>
      <w:pPr>
        <w:pStyle w:val="26"/>
        <w:numPr>
          <w:ilvl w:val="0"/>
          <w:numId w:val="0"/>
        </w:numPr>
        <w:spacing w:before="0" w:beforeAutospacing="0" w:after="0" w:afterAutospacing="0" w:line="360" w:lineRule="auto"/>
        <w:ind w:firstLine="480" w:firstLineChars="200"/>
        <w:rPr>
          <w:rFonts w:hint="eastAsia" w:cs="宋体"/>
          <w:color w:val="auto"/>
          <w:lang w:val="en-US" w:eastAsia="zh-CN"/>
        </w:rPr>
      </w:pPr>
      <w:r>
        <w:rPr>
          <w:rFonts w:hint="eastAsia" w:cs="宋体"/>
          <w:color w:val="auto"/>
          <w:lang w:val="en-US" w:eastAsia="zh-CN"/>
        </w:rPr>
        <w:t>承包人采购的材料和工程设备不符合设计或有关标准要求时，承包人应在监理人要求的合理期限内将不符合设计或有关标准要求的材料、工程设备运出施工现场，并重新采购符合要求的材料、工程设备，由此增加的费用和(或)延误的工期，由承包人承担。</w:t>
      </w:r>
    </w:p>
    <w:p>
      <w:pPr>
        <w:pStyle w:val="26"/>
        <w:numPr>
          <w:ilvl w:val="0"/>
          <w:numId w:val="0"/>
        </w:numPr>
        <w:spacing w:before="0" w:beforeAutospacing="0" w:after="0" w:afterAutospacing="0" w:line="360" w:lineRule="auto"/>
        <w:ind w:firstLine="482" w:firstLineChars="200"/>
        <w:rPr>
          <w:rFonts w:hint="eastAsia" w:cs="宋体"/>
          <w:b/>
          <w:bCs/>
          <w:color w:val="auto"/>
          <w:lang w:val="en-US" w:eastAsia="zh-CN"/>
        </w:rPr>
      </w:pPr>
      <w:r>
        <w:rPr>
          <w:rFonts w:hint="eastAsia" w:cs="宋体"/>
          <w:b/>
          <w:bCs/>
          <w:color w:val="auto"/>
          <w:lang w:val="en-US" w:eastAsia="zh-CN"/>
        </w:rPr>
        <w:t>8.4材料与工程设备的保管与使用</w:t>
      </w:r>
    </w:p>
    <w:p>
      <w:pPr>
        <w:pStyle w:val="26"/>
        <w:numPr>
          <w:ilvl w:val="0"/>
          <w:numId w:val="0"/>
        </w:numPr>
        <w:spacing w:before="0" w:beforeAutospacing="0" w:after="0" w:afterAutospacing="0" w:line="360" w:lineRule="auto"/>
        <w:ind w:firstLine="480" w:firstLineChars="200"/>
        <w:rPr>
          <w:rFonts w:hint="eastAsia" w:cs="宋体"/>
          <w:color w:val="auto"/>
          <w:lang w:val="en-US" w:eastAsia="zh-CN"/>
        </w:rPr>
      </w:pPr>
      <w:r>
        <w:rPr>
          <w:rFonts w:hint="eastAsia" w:cs="宋体"/>
          <w:color w:val="auto"/>
          <w:lang w:val="en-US" w:eastAsia="zh-CN"/>
        </w:rPr>
        <w:t>8.4.1发包人供应材料与工程设备的保管与使用</w:t>
      </w:r>
    </w:p>
    <w:p>
      <w:pPr>
        <w:pStyle w:val="26"/>
        <w:numPr>
          <w:ilvl w:val="0"/>
          <w:numId w:val="0"/>
        </w:numPr>
        <w:spacing w:before="0" w:beforeAutospacing="0" w:after="0" w:afterAutospacing="0" w:line="360" w:lineRule="auto"/>
        <w:ind w:firstLine="480" w:firstLineChars="200"/>
        <w:rPr>
          <w:rFonts w:hint="eastAsia" w:cs="宋体"/>
          <w:color w:val="auto"/>
          <w:lang w:val="en-US" w:eastAsia="zh-CN"/>
        </w:rPr>
      </w:pPr>
      <w:r>
        <w:rPr>
          <w:rFonts w:hint="eastAsia" w:cs="宋体"/>
          <w:color w:val="auto"/>
          <w:lang w:val="en-US" w:eastAsia="zh-CN"/>
        </w:rPr>
        <w:t>发包人供应的材料和工程设备，承包人清点后由承包人妥善保管，保管费用由发包人承担，但已标价工程量清单或预算书已经列支或专用合同条款另有约定除外。因承包人原因发生丢失毁损的，由承包人负责赔偿；监理人未通知承包人清点的，承包人不负责材料和工程设备的保管，由此导致丢失毁损的由发包人负责。</w:t>
      </w:r>
    </w:p>
    <w:p>
      <w:pPr>
        <w:pStyle w:val="26"/>
        <w:numPr>
          <w:ilvl w:val="0"/>
          <w:numId w:val="0"/>
        </w:numPr>
        <w:spacing w:before="0" w:beforeAutospacing="0" w:after="0" w:afterAutospacing="0" w:line="360" w:lineRule="auto"/>
        <w:ind w:firstLine="480" w:firstLineChars="200"/>
        <w:rPr>
          <w:rFonts w:hint="eastAsia" w:cs="宋体"/>
          <w:color w:val="auto"/>
          <w:lang w:val="en-US" w:eastAsia="zh-CN"/>
        </w:rPr>
      </w:pPr>
      <w:r>
        <w:rPr>
          <w:rFonts w:hint="eastAsia" w:cs="宋体"/>
          <w:color w:val="auto"/>
          <w:lang w:val="en-US" w:eastAsia="zh-CN"/>
        </w:rPr>
        <w:t>发包人供应的材料和工程设备使用前，由承包人负责检验，检验费用由发包人承</w:t>
      </w:r>
    </w:p>
    <w:p>
      <w:pPr>
        <w:pStyle w:val="26"/>
        <w:numPr>
          <w:ilvl w:val="0"/>
          <w:numId w:val="0"/>
        </w:numPr>
        <w:spacing w:before="0" w:beforeAutospacing="0" w:after="0" w:afterAutospacing="0" w:line="360" w:lineRule="auto"/>
        <w:rPr>
          <w:rFonts w:hint="eastAsia" w:cs="宋体"/>
          <w:color w:val="auto"/>
          <w:lang w:val="en-US" w:eastAsia="zh-CN"/>
        </w:rPr>
      </w:pPr>
      <w:r>
        <w:rPr>
          <w:rFonts w:hint="eastAsia" w:cs="宋体"/>
          <w:color w:val="auto"/>
          <w:lang w:val="en-US" w:eastAsia="zh-CN"/>
        </w:rPr>
        <w:t>担，不合格的不得使用。</w:t>
      </w:r>
    </w:p>
    <w:p>
      <w:pPr>
        <w:pStyle w:val="26"/>
        <w:numPr>
          <w:ilvl w:val="0"/>
          <w:numId w:val="0"/>
        </w:numPr>
        <w:spacing w:before="0" w:beforeAutospacing="0" w:after="0" w:afterAutospacing="0" w:line="360" w:lineRule="auto"/>
        <w:ind w:firstLine="480" w:firstLineChars="200"/>
        <w:rPr>
          <w:rFonts w:hint="eastAsia" w:cs="宋体"/>
          <w:color w:val="auto"/>
          <w:lang w:val="en-US" w:eastAsia="zh-CN"/>
        </w:rPr>
      </w:pPr>
      <w:r>
        <w:rPr>
          <w:rFonts w:hint="eastAsia" w:cs="宋体"/>
          <w:color w:val="auto"/>
          <w:lang w:val="en-US" w:eastAsia="zh-CN"/>
        </w:rPr>
        <w:t>8.4.2承包人采购材料与工程设备的保管与使用</w:t>
      </w:r>
    </w:p>
    <w:p>
      <w:pPr>
        <w:pStyle w:val="26"/>
        <w:numPr>
          <w:ilvl w:val="0"/>
          <w:numId w:val="0"/>
        </w:numPr>
        <w:spacing w:before="0" w:beforeAutospacing="0" w:after="0" w:afterAutospacing="0" w:line="360" w:lineRule="auto"/>
        <w:ind w:firstLine="480" w:firstLineChars="200"/>
        <w:rPr>
          <w:rFonts w:hint="eastAsia" w:cs="宋体"/>
          <w:color w:val="auto"/>
          <w:lang w:val="en-US" w:eastAsia="zh-CN"/>
        </w:rPr>
      </w:pPr>
      <w:r>
        <w:rPr>
          <w:rFonts w:hint="eastAsia" w:cs="宋体"/>
          <w:color w:val="auto"/>
          <w:lang w:val="en-US" w:eastAsia="zh-CN"/>
        </w:rPr>
        <w:t>承包人采购的材料和工程设备由承包人妥善保管，保管费用由承包人承担。法律规定材料和工程设备使用前必须进行检验或试验的，承包人应按监理人的要求进行检验或试验，检验或试验费用由承包人承担，不合格的不得使用。</w:t>
      </w:r>
    </w:p>
    <w:p>
      <w:pPr>
        <w:pStyle w:val="26"/>
        <w:numPr>
          <w:ilvl w:val="0"/>
          <w:numId w:val="0"/>
        </w:numPr>
        <w:spacing w:before="0" w:beforeAutospacing="0" w:after="0" w:afterAutospacing="0" w:line="360" w:lineRule="auto"/>
        <w:ind w:firstLine="480" w:firstLineChars="200"/>
        <w:rPr>
          <w:rFonts w:hint="eastAsia" w:cs="宋体"/>
          <w:color w:val="auto"/>
          <w:lang w:val="en-US" w:eastAsia="zh-CN"/>
        </w:rPr>
      </w:pPr>
      <w:r>
        <w:rPr>
          <w:rFonts w:hint="eastAsia" w:cs="宋体"/>
          <w:color w:val="auto"/>
          <w:lang w:val="en-US" w:eastAsia="zh-CN"/>
        </w:rPr>
        <w:t>发包人或监理人发现承包人使用不符合设计或有关标准要求的材料和工程设备时，有权要求承包人进行修复、拆除或重新采购，由此增加的费用和(或)延误的工期，由承包人承担。</w:t>
      </w:r>
    </w:p>
    <w:p>
      <w:pPr>
        <w:pStyle w:val="26"/>
        <w:numPr>
          <w:ilvl w:val="0"/>
          <w:numId w:val="0"/>
        </w:numPr>
        <w:spacing w:before="0" w:beforeAutospacing="0" w:after="0" w:afterAutospacing="0" w:line="360" w:lineRule="auto"/>
        <w:ind w:firstLine="482" w:firstLineChars="200"/>
        <w:rPr>
          <w:rFonts w:hint="eastAsia" w:cs="宋体"/>
          <w:b/>
          <w:bCs/>
          <w:color w:val="auto"/>
          <w:lang w:val="en-US" w:eastAsia="zh-CN"/>
        </w:rPr>
      </w:pPr>
      <w:r>
        <w:rPr>
          <w:rFonts w:hint="eastAsia" w:cs="宋体"/>
          <w:b/>
          <w:bCs/>
          <w:color w:val="auto"/>
          <w:lang w:val="en-US" w:eastAsia="zh-CN"/>
        </w:rPr>
        <w:t>8.5禁止使用不合格的材料和工程设备</w:t>
      </w:r>
    </w:p>
    <w:p>
      <w:pPr>
        <w:pStyle w:val="26"/>
        <w:numPr>
          <w:ilvl w:val="0"/>
          <w:numId w:val="0"/>
        </w:numPr>
        <w:spacing w:before="0" w:beforeAutospacing="0" w:after="0" w:afterAutospacing="0" w:line="360" w:lineRule="auto"/>
        <w:ind w:firstLine="480" w:firstLineChars="200"/>
        <w:rPr>
          <w:rFonts w:hint="eastAsia" w:cs="宋体"/>
          <w:color w:val="auto"/>
          <w:lang w:val="en-US" w:eastAsia="zh-CN"/>
        </w:rPr>
      </w:pPr>
      <w:r>
        <w:rPr>
          <w:rFonts w:hint="eastAsia" w:cs="宋体"/>
          <w:color w:val="auto"/>
          <w:lang w:val="en-US" w:eastAsia="zh-CN"/>
        </w:rPr>
        <w:t>8.5.1监理人有权拒绝承包人提供的不合格材料或工程设备，并要求承包人立即进行更换。监理人应在更换后再次进行检查和检验，由此增加的费用和(或)延误的工期由承包人承担。</w:t>
      </w:r>
    </w:p>
    <w:p>
      <w:pPr>
        <w:pStyle w:val="26"/>
        <w:numPr>
          <w:ilvl w:val="0"/>
          <w:numId w:val="0"/>
        </w:numPr>
        <w:spacing w:before="0" w:beforeAutospacing="0" w:after="0" w:afterAutospacing="0" w:line="360" w:lineRule="auto"/>
        <w:ind w:firstLine="480" w:firstLineChars="200"/>
        <w:rPr>
          <w:rFonts w:hint="eastAsia" w:cs="宋体"/>
          <w:color w:val="auto"/>
          <w:lang w:val="en-US" w:eastAsia="zh-CN"/>
        </w:rPr>
      </w:pPr>
      <w:r>
        <w:rPr>
          <w:rFonts w:hint="eastAsia" w:cs="宋体"/>
          <w:color w:val="auto"/>
          <w:lang w:val="en-US" w:eastAsia="zh-CN"/>
        </w:rPr>
        <w:t>8.5.2监理人发现承包人使用了不合格的材料和工程设备，承包人应按照监理人的指示立即改正，并禁止在工程中继续使用不合格的材料和工程设备。</w:t>
      </w:r>
    </w:p>
    <w:p>
      <w:pPr>
        <w:pStyle w:val="26"/>
        <w:numPr>
          <w:ilvl w:val="0"/>
          <w:numId w:val="0"/>
        </w:numPr>
        <w:spacing w:before="0" w:beforeAutospacing="0" w:after="0" w:afterAutospacing="0" w:line="360" w:lineRule="auto"/>
        <w:ind w:firstLine="480" w:firstLineChars="200"/>
        <w:rPr>
          <w:rFonts w:hint="eastAsia" w:cs="宋体"/>
          <w:color w:val="auto"/>
          <w:lang w:val="en-US" w:eastAsia="zh-CN"/>
        </w:rPr>
      </w:pPr>
      <w:r>
        <w:rPr>
          <w:rFonts w:hint="eastAsia" w:cs="宋体"/>
          <w:color w:val="auto"/>
          <w:lang w:val="en-US" w:eastAsia="zh-CN"/>
        </w:rPr>
        <w:t>8.5.3发包人提供的材料或工程设备不符合合同要求的，承包人有权拒绝，并可要求发包人更换，由此增加的费用和(或)延误的工期由发包人承担，并支付承包人合理的利润。</w:t>
      </w:r>
    </w:p>
    <w:p>
      <w:pPr>
        <w:pStyle w:val="26"/>
        <w:numPr>
          <w:ilvl w:val="0"/>
          <w:numId w:val="0"/>
        </w:numPr>
        <w:spacing w:before="0" w:beforeAutospacing="0" w:after="0" w:afterAutospacing="0" w:line="360" w:lineRule="auto"/>
        <w:ind w:firstLine="482" w:firstLineChars="200"/>
        <w:rPr>
          <w:rFonts w:hint="eastAsia" w:cs="宋体"/>
          <w:b/>
          <w:bCs/>
          <w:color w:val="auto"/>
          <w:lang w:val="en-US" w:eastAsia="zh-CN"/>
        </w:rPr>
      </w:pPr>
      <w:r>
        <w:rPr>
          <w:rFonts w:hint="eastAsia" w:cs="宋体"/>
          <w:b/>
          <w:bCs/>
          <w:color w:val="auto"/>
          <w:lang w:val="en-US" w:eastAsia="zh-CN"/>
        </w:rPr>
        <w:t>8.6样品</w:t>
      </w:r>
    </w:p>
    <w:p>
      <w:pPr>
        <w:pStyle w:val="26"/>
        <w:numPr>
          <w:ilvl w:val="0"/>
          <w:numId w:val="0"/>
        </w:numPr>
        <w:spacing w:before="0" w:beforeAutospacing="0" w:after="0" w:afterAutospacing="0" w:line="360" w:lineRule="auto"/>
        <w:ind w:firstLine="480" w:firstLineChars="200"/>
        <w:rPr>
          <w:rFonts w:hint="eastAsia" w:cs="宋体"/>
          <w:color w:val="auto"/>
          <w:lang w:val="en-US" w:eastAsia="zh-CN"/>
        </w:rPr>
      </w:pPr>
      <w:r>
        <w:rPr>
          <w:rFonts w:hint="eastAsia" w:cs="宋体"/>
          <w:color w:val="auto"/>
          <w:lang w:val="en-US" w:eastAsia="zh-CN"/>
        </w:rPr>
        <w:t>8.6.1样品的报送与封存</w:t>
      </w:r>
    </w:p>
    <w:p>
      <w:pPr>
        <w:pStyle w:val="26"/>
        <w:numPr>
          <w:ilvl w:val="0"/>
          <w:numId w:val="0"/>
        </w:numPr>
        <w:spacing w:before="0" w:beforeAutospacing="0" w:after="0" w:afterAutospacing="0" w:line="360" w:lineRule="auto"/>
        <w:ind w:firstLine="480" w:firstLineChars="200"/>
        <w:rPr>
          <w:rFonts w:hint="eastAsia" w:cs="宋体"/>
          <w:color w:val="auto"/>
          <w:lang w:val="en-US" w:eastAsia="zh-CN"/>
        </w:rPr>
      </w:pPr>
      <w:r>
        <w:rPr>
          <w:rFonts w:hint="eastAsia" w:cs="宋体"/>
          <w:color w:val="auto"/>
          <w:lang w:val="en-US" w:eastAsia="zh-CN"/>
        </w:rPr>
        <w:t>需要承包人报送样品的材料或工程设备，样品的种类、名称、规格、数量等要求均应在专用合同条款中约定。样品的报送程序如下：</w:t>
      </w:r>
    </w:p>
    <w:p>
      <w:pPr>
        <w:pStyle w:val="26"/>
        <w:numPr>
          <w:ilvl w:val="0"/>
          <w:numId w:val="0"/>
        </w:numPr>
        <w:spacing w:before="0" w:beforeAutospacing="0" w:after="0" w:afterAutospacing="0" w:line="360" w:lineRule="auto"/>
        <w:ind w:firstLine="480" w:firstLineChars="200"/>
        <w:rPr>
          <w:rFonts w:hint="eastAsia" w:cs="宋体"/>
          <w:color w:val="auto"/>
          <w:lang w:val="en-US" w:eastAsia="zh-CN"/>
        </w:rPr>
      </w:pPr>
      <w:r>
        <w:rPr>
          <w:rFonts w:hint="eastAsia" w:cs="宋体"/>
          <w:color w:val="auto"/>
          <w:lang w:val="en-US" w:eastAsia="zh-CN"/>
        </w:rPr>
        <w:t>(1)承包人应在计划采购前28天向监理人报送样品。承包人报送的样品均应来自供应材料的实际生产地，且提供的样品的规格、数量足以表明材料或工程设备的质量、型号、颜色、表面处理、质地、误差和其他要求的特征。</w:t>
      </w:r>
    </w:p>
    <w:p>
      <w:pPr>
        <w:pStyle w:val="26"/>
        <w:numPr>
          <w:ilvl w:val="0"/>
          <w:numId w:val="0"/>
        </w:numPr>
        <w:spacing w:before="0" w:beforeAutospacing="0" w:after="0" w:afterAutospacing="0" w:line="360" w:lineRule="auto"/>
        <w:ind w:firstLine="480" w:firstLineChars="200"/>
        <w:rPr>
          <w:rFonts w:hint="eastAsia" w:cs="宋体"/>
          <w:color w:val="auto"/>
          <w:lang w:val="en-US" w:eastAsia="zh-CN"/>
        </w:rPr>
      </w:pPr>
      <w:r>
        <w:rPr>
          <w:rFonts w:hint="eastAsia" w:cs="宋体"/>
          <w:color w:val="auto"/>
          <w:lang w:val="en-US" w:eastAsia="zh-CN"/>
        </w:rPr>
        <w:t>(2)承包人每次报送样品时应随附申报单，申报单应载明报送样品的相关数据和资料，并标明每件样品对应的图纸号，预留监理人批复意见栏。监理人应在收到承包人报送的样品后7天向承包人回复经发包人签认的样品审批意见。</w:t>
      </w:r>
    </w:p>
    <w:p>
      <w:pPr>
        <w:pStyle w:val="26"/>
        <w:numPr>
          <w:ilvl w:val="0"/>
          <w:numId w:val="0"/>
        </w:numPr>
        <w:spacing w:before="0" w:beforeAutospacing="0" w:after="0" w:afterAutospacing="0" w:line="360" w:lineRule="auto"/>
        <w:ind w:firstLine="480" w:firstLineChars="200"/>
        <w:rPr>
          <w:rFonts w:hint="eastAsia" w:cs="宋体"/>
          <w:color w:val="auto"/>
          <w:lang w:val="en-US" w:eastAsia="zh-CN"/>
        </w:rPr>
      </w:pPr>
      <w:r>
        <w:rPr>
          <w:rFonts w:hint="eastAsia" w:cs="宋体"/>
          <w:color w:val="auto"/>
          <w:lang w:val="en-US" w:eastAsia="zh-CN"/>
        </w:rPr>
        <w:t>(3)经发包人和监理人审批确认的样品应按约定的方法封样，封存的样品作为检验工程相关部分的标准之一。承包人在施工过程中不得使用与样品不符的材料或工程设备。</w:t>
      </w:r>
    </w:p>
    <w:p>
      <w:pPr>
        <w:pStyle w:val="26"/>
        <w:numPr>
          <w:ilvl w:val="0"/>
          <w:numId w:val="0"/>
        </w:numPr>
        <w:spacing w:before="0" w:beforeAutospacing="0" w:after="0" w:afterAutospacing="0" w:line="360" w:lineRule="auto"/>
        <w:ind w:firstLine="480" w:firstLineChars="200"/>
        <w:rPr>
          <w:rFonts w:hint="eastAsia" w:cs="宋体"/>
          <w:color w:val="auto"/>
          <w:lang w:val="en-US" w:eastAsia="zh-CN"/>
        </w:rPr>
      </w:pPr>
      <w:r>
        <w:rPr>
          <w:rFonts w:hint="eastAsia" w:cs="宋体"/>
          <w:color w:val="auto"/>
          <w:lang w:val="en-US" w:eastAsia="zh-CN"/>
        </w:rPr>
        <w:t>(4)发包人和监理人对样品的审批确认仅为确认相关材料或工程设备的特征或</w:t>
      </w:r>
    </w:p>
    <w:p>
      <w:pPr>
        <w:pStyle w:val="26"/>
        <w:numPr>
          <w:ilvl w:val="0"/>
          <w:numId w:val="0"/>
        </w:numPr>
        <w:spacing w:before="0" w:beforeAutospacing="0" w:after="0" w:afterAutospacing="0" w:line="360" w:lineRule="auto"/>
        <w:rPr>
          <w:rFonts w:hint="eastAsia" w:cs="宋体"/>
          <w:color w:val="auto"/>
          <w:lang w:val="en-US" w:eastAsia="zh-CN"/>
        </w:rPr>
      </w:pPr>
      <w:r>
        <w:rPr>
          <w:rFonts w:hint="eastAsia" w:cs="宋体"/>
          <w:color w:val="auto"/>
          <w:lang w:val="en-US" w:eastAsia="zh-CN"/>
        </w:rPr>
        <w:t>用途，不得被理解为对合同的修改或改变，也并不减轻或免除承包人任何的责任和义务。如果封存的样品修改或改变了合同约定，合同当事人应当以书面协议予以确认。</w:t>
      </w:r>
    </w:p>
    <w:p>
      <w:pPr>
        <w:pStyle w:val="26"/>
        <w:numPr>
          <w:ilvl w:val="0"/>
          <w:numId w:val="0"/>
        </w:numPr>
        <w:spacing w:before="0" w:beforeAutospacing="0" w:after="0" w:afterAutospacing="0" w:line="360" w:lineRule="auto"/>
        <w:ind w:firstLine="480" w:firstLineChars="200"/>
        <w:rPr>
          <w:rFonts w:hint="eastAsia" w:cs="宋体"/>
          <w:color w:val="auto"/>
          <w:lang w:val="en-US" w:eastAsia="zh-CN"/>
        </w:rPr>
      </w:pPr>
      <w:r>
        <w:rPr>
          <w:rFonts w:hint="eastAsia" w:cs="宋体"/>
          <w:color w:val="auto"/>
          <w:lang w:val="en-US" w:eastAsia="zh-CN"/>
        </w:rPr>
        <w:t>8.6.2样品的保管</w:t>
      </w:r>
    </w:p>
    <w:p>
      <w:pPr>
        <w:pStyle w:val="26"/>
        <w:numPr>
          <w:ilvl w:val="0"/>
          <w:numId w:val="0"/>
        </w:numPr>
        <w:spacing w:before="0" w:beforeAutospacing="0" w:after="0" w:afterAutospacing="0" w:line="360" w:lineRule="auto"/>
        <w:ind w:firstLine="480" w:firstLineChars="200"/>
        <w:rPr>
          <w:rFonts w:hint="eastAsia" w:cs="宋体"/>
          <w:color w:val="auto"/>
          <w:lang w:val="en-US" w:eastAsia="zh-CN"/>
        </w:rPr>
      </w:pPr>
      <w:r>
        <w:rPr>
          <w:rFonts w:hint="eastAsia" w:cs="宋体"/>
          <w:color w:val="auto"/>
          <w:lang w:val="en-US" w:eastAsia="zh-CN"/>
        </w:rPr>
        <w:t>经批准的样品应由监理人负责封存于现场，承包人应在现场为保存样品提供适当和固定的场所并保持适当和良好的存储环境条件。</w:t>
      </w:r>
    </w:p>
    <w:p>
      <w:pPr>
        <w:pStyle w:val="26"/>
        <w:numPr>
          <w:ilvl w:val="0"/>
          <w:numId w:val="0"/>
        </w:numPr>
        <w:spacing w:before="0" w:beforeAutospacing="0" w:after="0" w:afterAutospacing="0" w:line="360" w:lineRule="auto"/>
        <w:ind w:firstLine="482" w:firstLineChars="200"/>
        <w:rPr>
          <w:rFonts w:hint="eastAsia" w:cs="宋体"/>
          <w:b/>
          <w:bCs/>
          <w:color w:val="auto"/>
          <w:lang w:val="en-US" w:eastAsia="zh-CN"/>
        </w:rPr>
      </w:pPr>
      <w:r>
        <w:rPr>
          <w:rFonts w:hint="eastAsia" w:cs="宋体"/>
          <w:b/>
          <w:bCs/>
          <w:color w:val="auto"/>
          <w:lang w:val="en-US" w:eastAsia="zh-CN"/>
        </w:rPr>
        <w:t>8.7材料与工程设备的替代</w:t>
      </w:r>
    </w:p>
    <w:p>
      <w:pPr>
        <w:pStyle w:val="26"/>
        <w:numPr>
          <w:ilvl w:val="0"/>
          <w:numId w:val="0"/>
        </w:numPr>
        <w:spacing w:before="0" w:beforeAutospacing="0" w:after="0" w:afterAutospacing="0" w:line="360" w:lineRule="auto"/>
        <w:ind w:firstLine="480" w:firstLineChars="200"/>
        <w:rPr>
          <w:rFonts w:hint="eastAsia" w:cs="宋体"/>
          <w:color w:val="auto"/>
          <w:lang w:val="en-US" w:eastAsia="zh-CN"/>
        </w:rPr>
      </w:pPr>
      <w:r>
        <w:rPr>
          <w:rFonts w:hint="eastAsia" w:cs="宋体"/>
          <w:color w:val="auto"/>
          <w:lang w:val="en-US" w:eastAsia="zh-CN"/>
        </w:rPr>
        <w:t>8.7.1出现下列情况需要使用替代材料和工程设备的，承包人应按照第8.7.2项约定的程序执行：</w:t>
      </w:r>
    </w:p>
    <w:p>
      <w:pPr>
        <w:pStyle w:val="26"/>
        <w:numPr>
          <w:ilvl w:val="0"/>
          <w:numId w:val="0"/>
        </w:numPr>
        <w:spacing w:before="0" w:beforeAutospacing="0" w:after="0" w:afterAutospacing="0" w:line="360" w:lineRule="auto"/>
        <w:ind w:firstLine="480" w:firstLineChars="200"/>
        <w:rPr>
          <w:rFonts w:hint="eastAsia" w:cs="宋体"/>
          <w:color w:val="auto"/>
          <w:lang w:val="en-US" w:eastAsia="zh-CN"/>
        </w:rPr>
      </w:pPr>
      <w:r>
        <w:rPr>
          <w:rFonts w:hint="eastAsia" w:cs="宋体"/>
          <w:color w:val="auto"/>
          <w:lang w:val="en-US" w:eastAsia="zh-CN"/>
        </w:rPr>
        <w:t>(1)基准日期后生效的法律规定禁止使用的；</w:t>
      </w:r>
    </w:p>
    <w:p>
      <w:pPr>
        <w:pStyle w:val="26"/>
        <w:numPr>
          <w:ilvl w:val="0"/>
          <w:numId w:val="0"/>
        </w:numPr>
        <w:spacing w:before="0" w:beforeAutospacing="0" w:after="0" w:afterAutospacing="0" w:line="360" w:lineRule="auto"/>
        <w:ind w:firstLine="480" w:firstLineChars="200"/>
        <w:rPr>
          <w:rFonts w:hint="eastAsia" w:cs="宋体"/>
          <w:color w:val="auto"/>
          <w:lang w:val="en-US" w:eastAsia="zh-CN"/>
        </w:rPr>
      </w:pPr>
      <w:r>
        <w:rPr>
          <w:rFonts w:hint="eastAsia" w:cs="宋体"/>
          <w:color w:val="auto"/>
          <w:lang w:val="en-US" w:eastAsia="zh-CN"/>
        </w:rPr>
        <w:t>(2)发包人要求使用替代品的；</w:t>
      </w:r>
    </w:p>
    <w:p>
      <w:pPr>
        <w:pStyle w:val="26"/>
        <w:numPr>
          <w:ilvl w:val="0"/>
          <w:numId w:val="0"/>
        </w:numPr>
        <w:spacing w:before="0" w:beforeAutospacing="0" w:after="0" w:afterAutospacing="0" w:line="360" w:lineRule="auto"/>
        <w:ind w:firstLine="480" w:firstLineChars="200"/>
        <w:rPr>
          <w:rFonts w:hint="eastAsia" w:cs="宋体"/>
          <w:color w:val="auto"/>
          <w:lang w:val="en-US" w:eastAsia="zh-CN"/>
        </w:rPr>
      </w:pPr>
      <w:r>
        <w:rPr>
          <w:rFonts w:hint="eastAsia" w:cs="宋体"/>
          <w:color w:val="auto"/>
          <w:lang w:val="en-US" w:eastAsia="zh-CN"/>
        </w:rPr>
        <w:t>(3)因其他原因必须使用替代品的。</w:t>
      </w:r>
    </w:p>
    <w:p>
      <w:pPr>
        <w:pStyle w:val="26"/>
        <w:numPr>
          <w:ilvl w:val="0"/>
          <w:numId w:val="0"/>
        </w:numPr>
        <w:spacing w:before="0" w:beforeAutospacing="0" w:after="0" w:afterAutospacing="0" w:line="360" w:lineRule="auto"/>
        <w:ind w:firstLine="480" w:firstLineChars="200"/>
        <w:rPr>
          <w:rFonts w:hint="eastAsia" w:cs="宋体"/>
          <w:color w:val="auto"/>
          <w:lang w:val="en-US" w:eastAsia="zh-CN"/>
        </w:rPr>
      </w:pPr>
      <w:r>
        <w:rPr>
          <w:rFonts w:hint="eastAsia" w:cs="宋体"/>
          <w:color w:val="auto"/>
          <w:lang w:val="en-US" w:eastAsia="zh-CN"/>
        </w:rPr>
        <w:t>8.7.2承包人应在使用替代材料和工程设备28天前书面通知监理人，并附下列文件：</w:t>
      </w:r>
    </w:p>
    <w:p>
      <w:pPr>
        <w:pStyle w:val="26"/>
        <w:numPr>
          <w:ilvl w:val="0"/>
          <w:numId w:val="0"/>
        </w:numPr>
        <w:spacing w:before="0" w:beforeAutospacing="0" w:after="0" w:afterAutospacing="0" w:line="360" w:lineRule="auto"/>
        <w:ind w:firstLine="480" w:firstLineChars="200"/>
        <w:rPr>
          <w:rFonts w:hint="eastAsia" w:cs="宋体"/>
          <w:color w:val="auto"/>
          <w:lang w:val="en-US" w:eastAsia="zh-CN"/>
        </w:rPr>
      </w:pPr>
      <w:r>
        <w:rPr>
          <w:rFonts w:hint="eastAsia" w:cs="宋体"/>
          <w:color w:val="auto"/>
          <w:lang w:val="en-US" w:eastAsia="zh-CN"/>
        </w:rPr>
        <w:t>(1)被替代的材料和工程设备的名称、数量、规格、型号、品牌、性能、价格及其他相关资料；</w:t>
      </w:r>
    </w:p>
    <w:p>
      <w:pPr>
        <w:pStyle w:val="26"/>
        <w:numPr>
          <w:ilvl w:val="0"/>
          <w:numId w:val="0"/>
        </w:numPr>
        <w:spacing w:before="0" w:beforeAutospacing="0" w:after="0" w:afterAutospacing="0" w:line="360" w:lineRule="auto"/>
        <w:ind w:firstLine="480" w:firstLineChars="200"/>
        <w:rPr>
          <w:rFonts w:hint="eastAsia" w:cs="宋体"/>
          <w:color w:val="auto"/>
          <w:lang w:val="en-US" w:eastAsia="zh-CN"/>
        </w:rPr>
      </w:pPr>
      <w:r>
        <w:rPr>
          <w:rFonts w:hint="eastAsia" w:cs="宋体"/>
          <w:color w:val="auto"/>
          <w:lang w:val="en-US" w:eastAsia="zh-CN"/>
        </w:rPr>
        <w:t>(2)替代品的名称、数量、规格、型号、品牌、性能、价格及其他相关资料；</w:t>
      </w:r>
    </w:p>
    <w:p>
      <w:pPr>
        <w:pStyle w:val="26"/>
        <w:numPr>
          <w:ilvl w:val="0"/>
          <w:numId w:val="0"/>
        </w:numPr>
        <w:spacing w:before="0" w:beforeAutospacing="0" w:after="0" w:afterAutospacing="0" w:line="360" w:lineRule="auto"/>
        <w:ind w:firstLine="480" w:firstLineChars="200"/>
        <w:rPr>
          <w:rFonts w:hint="eastAsia" w:cs="宋体"/>
          <w:color w:val="auto"/>
          <w:lang w:val="en-US" w:eastAsia="zh-CN"/>
        </w:rPr>
      </w:pPr>
      <w:r>
        <w:rPr>
          <w:rFonts w:hint="eastAsia" w:cs="宋体"/>
          <w:color w:val="auto"/>
          <w:lang w:val="en-US" w:eastAsia="zh-CN"/>
        </w:rPr>
        <w:t>(3)替代品与被替代产品之间的差异以及使用替代品可能对工程产生的影响；</w:t>
      </w:r>
    </w:p>
    <w:p>
      <w:pPr>
        <w:pStyle w:val="26"/>
        <w:numPr>
          <w:ilvl w:val="0"/>
          <w:numId w:val="0"/>
        </w:numPr>
        <w:spacing w:before="0" w:beforeAutospacing="0" w:after="0" w:afterAutospacing="0" w:line="360" w:lineRule="auto"/>
        <w:ind w:firstLine="480" w:firstLineChars="200"/>
        <w:rPr>
          <w:rFonts w:hint="eastAsia" w:cs="宋体"/>
          <w:color w:val="auto"/>
          <w:lang w:val="en-US" w:eastAsia="zh-CN"/>
        </w:rPr>
      </w:pPr>
      <w:r>
        <w:rPr>
          <w:rFonts w:hint="eastAsia" w:cs="宋体"/>
          <w:color w:val="auto"/>
          <w:lang w:val="en-US" w:eastAsia="zh-CN"/>
        </w:rPr>
        <w:t>(4)替代品与被替代产品的价格差异；</w:t>
      </w:r>
    </w:p>
    <w:p>
      <w:pPr>
        <w:pStyle w:val="26"/>
        <w:numPr>
          <w:ilvl w:val="0"/>
          <w:numId w:val="0"/>
        </w:numPr>
        <w:spacing w:before="0" w:beforeAutospacing="0" w:after="0" w:afterAutospacing="0" w:line="360" w:lineRule="auto"/>
        <w:ind w:firstLine="480" w:firstLineChars="200"/>
        <w:rPr>
          <w:rFonts w:hint="eastAsia" w:cs="宋体"/>
          <w:color w:val="auto"/>
          <w:lang w:val="en-US" w:eastAsia="zh-CN"/>
        </w:rPr>
      </w:pPr>
      <w:r>
        <w:rPr>
          <w:rFonts w:hint="eastAsia" w:cs="宋体"/>
          <w:color w:val="auto"/>
          <w:lang w:val="en-US" w:eastAsia="zh-CN"/>
        </w:rPr>
        <w:t>(5)使用替代品的理由和原因说明；</w:t>
      </w:r>
    </w:p>
    <w:p>
      <w:pPr>
        <w:pStyle w:val="26"/>
        <w:numPr>
          <w:ilvl w:val="0"/>
          <w:numId w:val="0"/>
        </w:numPr>
        <w:spacing w:before="0" w:beforeAutospacing="0" w:after="0" w:afterAutospacing="0" w:line="360" w:lineRule="auto"/>
        <w:ind w:firstLine="480" w:firstLineChars="200"/>
        <w:rPr>
          <w:rFonts w:hint="eastAsia" w:cs="宋体"/>
          <w:color w:val="auto"/>
          <w:lang w:val="en-US" w:eastAsia="zh-CN"/>
        </w:rPr>
      </w:pPr>
      <w:r>
        <w:rPr>
          <w:rFonts w:hint="eastAsia" w:cs="宋体"/>
          <w:color w:val="auto"/>
          <w:lang w:val="en-US" w:eastAsia="zh-CN"/>
        </w:rPr>
        <w:t>(6)监理人要求的其他文件。</w:t>
      </w:r>
    </w:p>
    <w:p>
      <w:pPr>
        <w:pStyle w:val="26"/>
        <w:numPr>
          <w:ilvl w:val="0"/>
          <w:numId w:val="0"/>
        </w:numPr>
        <w:spacing w:before="0" w:beforeAutospacing="0" w:after="0" w:afterAutospacing="0" w:line="360" w:lineRule="auto"/>
        <w:ind w:firstLine="480" w:firstLineChars="200"/>
        <w:rPr>
          <w:rFonts w:hint="eastAsia" w:cs="宋体"/>
          <w:color w:val="auto"/>
          <w:lang w:val="en-US" w:eastAsia="zh-CN"/>
        </w:rPr>
      </w:pPr>
      <w:r>
        <w:rPr>
          <w:rFonts w:hint="eastAsia" w:cs="宋体"/>
          <w:color w:val="auto"/>
          <w:lang w:val="en-US" w:eastAsia="zh-CN"/>
        </w:rPr>
        <w:t>监理人应在收到通知后14天内向承包人发出经发包人签认的书面指示；监理人逾期发出书面指示的，视为发包人和监理人同意使用替代品。</w:t>
      </w:r>
    </w:p>
    <w:p>
      <w:pPr>
        <w:pStyle w:val="26"/>
        <w:numPr>
          <w:ilvl w:val="0"/>
          <w:numId w:val="0"/>
        </w:numPr>
        <w:spacing w:before="0" w:beforeAutospacing="0" w:after="0" w:afterAutospacing="0" w:line="360" w:lineRule="auto"/>
        <w:ind w:firstLine="480" w:firstLineChars="200"/>
        <w:rPr>
          <w:rFonts w:hint="eastAsia" w:cs="宋体"/>
          <w:color w:val="auto"/>
          <w:lang w:val="en-US" w:eastAsia="zh-CN"/>
        </w:rPr>
      </w:pPr>
      <w:r>
        <w:rPr>
          <w:rFonts w:hint="eastAsia" w:cs="宋体"/>
          <w:color w:val="auto"/>
          <w:lang w:val="en-US" w:eastAsia="zh-CN"/>
        </w:rPr>
        <w:t>8.7.3发包人认可使用替代材料和工程设备的，替代材料和工程设备的价格，按照已标价工程量清单或预算书相同项目的价格认定；无相同项目的，参考相似项目价格认定；既无相同项目也无相似项目的，按照合理的成本与利润构成的原则，由合同当事人按照第4.4款〔商定或确定〕确定价格。</w:t>
      </w:r>
    </w:p>
    <w:p>
      <w:pPr>
        <w:pStyle w:val="26"/>
        <w:numPr>
          <w:ilvl w:val="0"/>
          <w:numId w:val="0"/>
        </w:numPr>
        <w:spacing w:before="0" w:beforeAutospacing="0" w:after="0" w:afterAutospacing="0" w:line="360" w:lineRule="auto"/>
        <w:ind w:firstLine="482" w:firstLineChars="200"/>
        <w:rPr>
          <w:rFonts w:hint="eastAsia" w:cs="宋体"/>
          <w:b/>
          <w:bCs/>
          <w:color w:val="auto"/>
          <w:lang w:val="en-US" w:eastAsia="zh-CN"/>
        </w:rPr>
      </w:pPr>
      <w:r>
        <w:rPr>
          <w:rFonts w:hint="eastAsia" w:cs="宋体"/>
          <w:b/>
          <w:bCs/>
          <w:color w:val="auto"/>
          <w:lang w:val="en-US" w:eastAsia="zh-CN"/>
        </w:rPr>
        <w:t>8.8施工设备和临时设施</w:t>
      </w:r>
    </w:p>
    <w:p>
      <w:pPr>
        <w:pStyle w:val="26"/>
        <w:numPr>
          <w:ilvl w:val="0"/>
          <w:numId w:val="0"/>
        </w:numPr>
        <w:spacing w:before="0" w:beforeAutospacing="0" w:after="0" w:afterAutospacing="0" w:line="360" w:lineRule="auto"/>
        <w:ind w:firstLine="480" w:firstLineChars="200"/>
        <w:rPr>
          <w:rFonts w:hint="eastAsia" w:cs="宋体"/>
          <w:color w:val="auto"/>
          <w:lang w:val="en-US" w:eastAsia="zh-CN"/>
        </w:rPr>
      </w:pPr>
      <w:r>
        <w:rPr>
          <w:rFonts w:hint="eastAsia" w:cs="宋体"/>
          <w:color w:val="auto"/>
          <w:lang w:val="en-US" w:eastAsia="zh-CN"/>
        </w:rPr>
        <w:t>8.8.1承包人提供的施工设备和临时设施</w:t>
      </w:r>
    </w:p>
    <w:p>
      <w:pPr>
        <w:pStyle w:val="26"/>
        <w:numPr>
          <w:ilvl w:val="0"/>
          <w:numId w:val="0"/>
        </w:numPr>
        <w:spacing w:before="0" w:beforeAutospacing="0" w:after="0" w:afterAutospacing="0" w:line="360" w:lineRule="auto"/>
        <w:ind w:firstLine="480" w:firstLineChars="200"/>
        <w:rPr>
          <w:rFonts w:hint="eastAsia" w:cs="宋体"/>
          <w:color w:val="auto"/>
          <w:lang w:val="en-US" w:eastAsia="zh-CN"/>
        </w:rPr>
      </w:pPr>
      <w:r>
        <w:rPr>
          <w:rFonts w:hint="eastAsia" w:cs="宋体"/>
          <w:color w:val="auto"/>
          <w:lang w:val="en-US" w:eastAsia="zh-CN"/>
        </w:rPr>
        <w:t>承包人应按合同进度计划的要求，及时配置施工设备和修建临时设施。进入施工场地的承包人设备需经监理人核查后才能投入使用。承包人更换合同约定的承包人设备的，应报监理人批准。</w:t>
      </w:r>
    </w:p>
    <w:p>
      <w:pPr>
        <w:pStyle w:val="26"/>
        <w:numPr>
          <w:ilvl w:val="0"/>
          <w:numId w:val="0"/>
        </w:numPr>
        <w:spacing w:before="0" w:beforeAutospacing="0" w:after="0" w:afterAutospacing="0" w:line="360" w:lineRule="auto"/>
        <w:ind w:firstLine="480" w:firstLineChars="200"/>
        <w:rPr>
          <w:rFonts w:hint="eastAsia" w:cs="宋体"/>
          <w:color w:val="auto"/>
          <w:lang w:val="en-US" w:eastAsia="zh-CN"/>
        </w:rPr>
      </w:pPr>
      <w:r>
        <w:rPr>
          <w:rFonts w:hint="eastAsia" w:cs="宋体"/>
          <w:color w:val="auto"/>
          <w:lang w:val="en-US" w:eastAsia="zh-CN"/>
        </w:rPr>
        <w:t>除专用合同条款另有约定外，承包人应自行承担修建临时设施的费用，需要临时占地的，应由发包人办理申请手续并承担相应费用。</w:t>
      </w:r>
    </w:p>
    <w:p>
      <w:pPr>
        <w:pStyle w:val="26"/>
        <w:numPr>
          <w:ilvl w:val="0"/>
          <w:numId w:val="0"/>
        </w:numPr>
        <w:spacing w:before="0" w:beforeAutospacing="0" w:after="0" w:afterAutospacing="0" w:line="360" w:lineRule="auto"/>
        <w:ind w:firstLine="480" w:firstLineChars="200"/>
        <w:rPr>
          <w:rFonts w:hint="eastAsia" w:cs="宋体"/>
          <w:color w:val="auto"/>
          <w:lang w:val="en-US" w:eastAsia="zh-CN"/>
        </w:rPr>
      </w:pPr>
      <w:r>
        <w:rPr>
          <w:rFonts w:hint="eastAsia" w:cs="宋体"/>
          <w:color w:val="auto"/>
          <w:lang w:val="en-US" w:eastAsia="zh-CN"/>
        </w:rPr>
        <w:t>8.8.2发包人提供的施工设备和临时设施</w:t>
      </w:r>
    </w:p>
    <w:p>
      <w:pPr>
        <w:pStyle w:val="26"/>
        <w:numPr>
          <w:ilvl w:val="0"/>
          <w:numId w:val="0"/>
        </w:numPr>
        <w:spacing w:before="0" w:beforeAutospacing="0" w:after="0" w:afterAutospacing="0" w:line="360" w:lineRule="auto"/>
        <w:ind w:firstLine="480" w:firstLineChars="200"/>
        <w:rPr>
          <w:rFonts w:hint="eastAsia" w:cs="宋体"/>
          <w:color w:val="auto"/>
          <w:lang w:val="en-US" w:eastAsia="zh-CN"/>
        </w:rPr>
      </w:pPr>
      <w:r>
        <w:rPr>
          <w:rFonts w:hint="eastAsia" w:cs="宋体"/>
          <w:color w:val="auto"/>
          <w:lang w:val="en-US" w:eastAsia="zh-CN"/>
        </w:rPr>
        <w:t>发包人提供的施工设备或临时设施在专用合同条款中约定。</w:t>
      </w:r>
    </w:p>
    <w:p>
      <w:pPr>
        <w:pStyle w:val="26"/>
        <w:numPr>
          <w:ilvl w:val="0"/>
          <w:numId w:val="0"/>
        </w:numPr>
        <w:spacing w:before="0" w:beforeAutospacing="0" w:after="0" w:afterAutospacing="0" w:line="360" w:lineRule="auto"/>
        <w:ind w:firstLine="480" w:firstLineChars="200"/>
        <w:rPr>
          <w:rFonts w:hint="eastAsia" w:cs="宋体"/>
          <w:color w:val="auto"/>
          <w:lang w:val="en-US" w:eastAsia="zh-CN"/>
        </w:rPr>
      </w:pPr>
      <w:r>
        <w:rPr>
          <w:rFonts w:hint="eastAsia" w:cs="宋体"/>
          <w:color w:val="auto"/>
          <w:lang w:val="en-US" w:eastAsia="zh-CN"/>
        </w:rPr>
        <w:t>8.8.3要求承包人增加或更换施工设备</w:t>
      </w:r>
    </w:p>
    <w:p>
      <w:pPr>
        <w:pStyle w:val="26"/>
        <w:numPr>
          <w:ilvl w:val="0"/>
          <w:numId w:val="0"/>
        </w:numPr>
        <w:spacing w:before="0" w:beforeAutospacing="0" w:after="0" w:afterAutospacing="0" w:line="360" w:lineRule="auto"/>
        <w:ind w:firstLine="480" w:firstLineChars="200"/>
        <w:rPr>
          <w:rFonts w:hint="eastAsia" w:cs="宋体"/>
          <w:color w:val="auto"/>
          <w:lang w:val="en-US" w:eastAsia="zh-CN"/>
        </w:rPr>
      </w:pPr>
      <w:r>
        <w:rPr>
          <w:rFonts w:hint="eastAsia" w:cs="宋体"/>
          <w:color w:val="auto"/>
          <w:lang w:val="en-US" w:eastAsia="zh-CN"/>
        </w:rPr>
        <w:t>承包人使用的施工设备不能满足合同进度计划和(或)质量要求时，监理人有权要求承包人增加或更换施工设备，承包人应及时增加或更换，由此增加的费用和(或)延误的工期由承包人承担。</w:t>
      </w:r>
    </w:p>
    <w:p>
      <w:pPr>
        <w:pStyle w:val="26"/>
        <w:numPr>
          <w:ilvl w:val="0"/>
          <w:numId w:val="0"/>
        </w:numPr>
        <w:spacing w:before="0" w:beforeAutospacing="0" w:after="0" w:afterAutospacing="0" w:line="360" w:lineRule="auto"/>
        <w:ind w:firstLine="482" w:firstLineChars="200"/>
        <w:rPr>
          <w:rFonts w:hint="eastAsia" w:cs="宋体"/>
          <w:b/>
          <w:bCs/>
          <w:color w:val="auto"/>
          <w:lang w:val="en-US" w:eastAsia="zh-CN"/>
        </w:rPr>
      </w:pPr>
      <w:r>
        <w:rPr>
          <w:rFonts w:hint="eastAsia" w:cs="宋体"/>
          <w:b/>
          <w:bCs/>
          <w:color w:val="auto"/>
          <w:lang w:val="en-US" w:eastAsia="zh-CN"/>
        </w:rPr>
        <w:t>8.9材料与设备专用要求</w:t>
      </w:r>
    </w:p>
    <w:p>
      <w:pPr>
        <w:pStyle w:val="26"/>
        <w:numPr>
          <w:ilvl w:val="0"/>
          <w:numId w:val="0"/>
        </w:numPr>
        <w:spacing w:before="0" w:beforeAutospacing="0" w:after="0" w:afterAutospacing="0" w:line="360" w:lineRule="auto"/>
        <w:ind w:firstLine="480" w:firstLineChars="200"/>
        <w:rPr>
          <w:rFonts w:hint="eastAsia" w:cs="宋体"/>
          <w:color w:val="auto"/>
          <w:lang w:val="en-US" w:eastAsia="zh-CN"/>
        </w:rPr>
      </w:pPr>
      <w:r>
        <w:rPr>
          <w:rFonts w:hint="eastAsia" w:cs="宋体"/>
          <w:color w:val="auto"/>
          <w:lang w:val="en-US" w:eastAsia="zh-CN"/>
        </w:rPr>
        <w:t>承包人运入施工现场的材料、工程设备、施工设备以及在施工场地建设的临时设</w:t>
      </w:r>
    </w:p>
    <w:p>
      <w:pPr>
        <w:pStyle w:val="26"/>
        <w:numPr>
          <w:ilvl w:val="0"/>
          <w:numId w:val="0"/>
        </w:numPr>
        <w:spacing w:before="0" w:beforeAutospacing="0" w:after="0" w:afterAutospacing="0" w:line="360" w:lineRule="auto"/>
        <w:rPr>
          <w:rFonts w:hint="eastAsia" w:cs="宋体"/>
          <w:color w:val="auto"/>
          <w:lang w:val="en-US" w:eastAsia="zh-CN"/>
        </w:rPr>
      </w:pPr>
      <w:r>
        <w:rPr>
          <w:rFonts w:hint="eastAsia" w:cs="宋体"/>
          <w:color w:val="auto"/>
          <w:lang w:val="en-US" w:eastAsia="zh-CN"/>
        </w:rPr>
        <w:t>施，包括备品备件、安装工具与资料，必须专用于工程。未经发包人批准，承包人不得运出施工现场或挪作他用；经发包人批准，承包人可以根据施工进度计划撤走闲置的施工设备和其他物品。</w:t>
      </w:r>
    </w:p>
    <w:p>
      <w:pPr>
        <w:pStyle w:val="26"/>
        <w:numPr>
          <w:ilvl w:val="0"/>
          <w:numId w:val="0"/>
        </w:numPr>
        <w:spacing w:before="0" w:beforeAutospacing="0" w:after="0" w:afterAutospacing="0" w:line="360" w:lineRule="auto"/>
        <w:ind w:firstLine="482" w:firstLineChars="200"/>
        <w:rPr>
          <w:rFonts w:hint="eastAsia" w:cs="宋体"/>
          <w:b/>
          <w:bCs/>
          <w:color w:val="auto"/>
          <w:lang w:val="en-US" w:eastAsia="zh-CN"/>
        </w:rPr>
      </w:pPr>
      <w:r>
        <w:rPr>
          <w:rFonts w:hint="eastAsia" w:cs="宋体"/>
          <w:b/>
          <w:bCs/>
          <w:color w:val="auto"/>
          <w:lang w:val="en-US" w:eastAsia="zh-CN"/>
        </w:rPr>
        <w:t>9.试验与检验</w:t>
      </w:r>
    </w:p>
    <w:p>
      <w:pPr>
        <w:pStyle w:val="26"/>
        <w:numPr>
          <w:ilvl w:val="0"/>
          <w:numId w:val="0"/>
        </w:numPr>
        <w:spacing w:before="0" w:beforeAutospacing="0" w:after="0" w:afterAutospacing="0" w:line="360" w:lineRule="auto"/>
        <w:ind w:firstLine="482" w:firstLineChars="200"/>
        <w:rPr>
          <w:rFonts w:hint="eastAsia" w:cs="宋体"/>
          <w:b/>
          <w:bCs/>
          <w:color w:val="auto"/>
          <w:lang w:val="en-US" w:eastAsia="zh-CN"/>
        </w:rPr>
      </w:pPr>
      <w:r>
        <w:rPr>
          <w:rFonts w:hint="eastAsia" w:cs="宋体"/>
          <w:b/>
          <w:bCs/>
          <w:color w:val="auto"/>
          <w:lang w:val="en-US" w:eastAsia="zh-CN"/>
        </w:rPr>
        <w:t>9.1试验设备与试验人员</w:t>
      </w:r>
    </w:p>
    <w:p>
      <w:pPr>
        <w:pStyle w:val="26"/>
        <w:numPr>
          <w:ilvl w:val="0"/>
          <w:numId w:val="0"/>
        </w:numPr>
        <w:spacing w:before="0" w:beforeAutospacing="0" w:after="0" w:afterAutospacing="0" w:line="360" w:lineRule="auto"/>
        <w:ind w:firstLine="480" w:firstLineChars="200"/>
        <w:rPr>
          <w:rFonts w:hint="eastAsia" w:cs="宋体"/>
          <w:color w:val="auto"/>
          <w:lang w:val="en-US" w:eastAsia="zh-CN"/>
        </w:rPr>
      </w:pPr>
      <w:r>
        <w:rPr>
          <w:rFonts w:hint="eastAsia" w:cs="宋体"/>
          <w:color w:val="auto"/>
          <w:lang w:val="en-US" w:eastAsia="zh-CN"/>
        </w:rPr>
        <w:t>9.1.1承包人根据合同约定或监理人指示进行的现场材料试验，应由承包人提供试验场所、试验人员、试验设备以及其他必要的试验条件。监理人在必要时可以使用承包人提供的试验场所、试验设备以及其他试验条件，进行以工程质量检查为目的的材料复核试验，承包人应予以协助。</w:t>
      </w:r>
    </w:p>
    <w:p>
      <w:pPr>
        <w:pStyle w:val="26"/>
        <w:numPr>
          <w:ilvl w:val="0"/>
          <w:numId w:val="0"/>
        </w:numPr>
        <w:spacing w:before="0" w:beforeAutospacing="0" w:after="0" w:afterAutospacing="0" w:line="360" w:lineRule="auto"/>
        <w:ind w:firstLine="480" w:firstLineChars="200"/>
        <w:rPr>
          <w:rFonts w:hint="eastAsia" w:cs="宋体"/>
          <w:color w:val="auto"/>
          <w:lang w:val="en-US" w:eastAsia="zh-CN"/>
        </w:rPr>
      </w:pPr>
      <w:r>
        <w:rPr>
          <w:rFonts w:hint="eastAsia" w:cs="宋体"/>
          <w:color w:val="auto"/>
          <w:lang w:val="en-US" w:eastAsia="zh-CN"/>
        </w:rPr>
        <w:t>9.1.2承包人应按专用合同条款的约定提供试验设备、取样装置、试验场所和试验条件，并向监理人提交相应进场计划表。</w:t>
      </w:r>
    </w:p>
    <w:p>
      <w:pPr>
        <w:pStyle w:val="26"/>
        <w:numPr>
          <w:ilvl w:val="0"/>
          <w:numId w:val="0"/>
        </w:numPr>
        <w:spacing w:before="0" w:beforeAutospacing="0" w:after="0" w:afterAutospacing="0" w:line="360" w:lineRule="auto"/>
        <w:ind w:firstLine="480" w:firstLineChars="200"/>
        <w:rPr>
          <w:rFonts w:hint="eastAsia" w:cs="宋体"/>
          <w:color w:val="auto"/>
          <w:lang w:val="en-US" w:eastAsia="zh-CN"/>
        </w:rPr>
      </w:pPr>
      <w:r>
        <w:rPr>
          <w:rFonts w:hint="eastAsia" w:cs="宋体"/>
          <w:color w:val="auto"/>
          <w:lang w:val="en-US" w:eastAsia="zh-CN"/>
        </w:rPr>
        <w:t>承包人配置的试验设备要符合相应试验规程的要求并经过具有资质的检测单位检测，且在正式使用该试验设备前，需要经过监理人与承包人共同校定。</w:t>
      </w:r>
    </w:p>
    <w:p>
      <w:pPr>
        <w:pStyle w:val="26"/>
        <w:numPr>
          <w:ilvl w:val="0"/>
          <w:numId w:val="0"/>
        </w:numPr>
        <w:spacing w:before="0" w:beforeAutospacing="0" w:after="0" w:afterAutospacing="0" w:line="360" w:lineRule="auto"/>
        <w:ind w:firstLine="480" w:firstLineChars="200"/>
        <w:rPr>
          <w:rFonts w:hint="eastAsia" w:cs="宋体"/>
          <w:color w:val="auto"/>
          <w:lang w:val="en-US" w:eastAsia="zh-CN"/>
        </w:rPr>
      </w:pPr>
      <w:r>
        <w:rPr>
          <w:rFonts w:hint="eastAsia" w:cs="宋体"/>
          <w:color w:val="auto"/>
          <w:lang w:val="en-US" w:eastAsia="zh-CN"/>
        </w:rPr>
        <w:t>9.1.3承包人应向监理人提交试验人员的名单及其岗位、资格等证明资料，试验人员必须能够熟练进行相应的检测试验，承包人对试验人员的试验程序和试验结果的正确性负责。</w:t>
      </w:r>
    </w:p>
    <w:p>
      <w:pPr>
        <w:pStyle w:val="26"/>
        <w:numPr>
          <w:ilvl w:val="0"/>
          <w:numId w:val="0"/>
        </w:numPr>
        <w:spacing w:before="0" w:beforeAutospacing="0" w:after="0" w:afterAutospacing="0" w:line="360" w:lineRule="auto"/>
        <w:ind w:firstLine="482" w:firstLineChars="200"/>
        <w:rPr>
          <w:rFonts w:hint="eastAsia" w:cs="宋体"/>
          <w:b/>
          <w:bCs/>
          <w:color w:val="auto"/>
          <w:lang w:val="en-US" w:eastAsia="zh-CN"/>
        </w:rPr>
      </w:pPr>
      <w:r>
        <w:rPr>
          <w:rFonts w:hint="eastAsia" w:cs="宋体"/>
          <w:b/>
          <w:bCs/>
          <w:color w:val="auto"/>
          <w:lang w:val="en-US" w:eastAsia="zh-CN"/>
        </w:rPr>
        <w:t>9.2取样</w:t>
      </w:r>
    </w:p>
    <w:p>
      <w:pPr>
        <w:pStyle w:val="26"/>
        <w:numPr>
          <w:ilvl w:val="0"/>
          <w:numId w:val="0"/>
        </w:numPr>
        <w:spacing w:before="0" w:beforeAutospacing="0" w:after="0" w:afterAutospacing="0" w:line="360" w:lineRule="auto"/>
        <w:ind w:firstLine="480" w:firstLineChars="200"/>
        <w:rPr>
          <w:rFonts w:hint="eastAsia" w:cs="宋体"/>
          <w:color w:val="auto"/>
          <w:lang w:val="en-US" w:eastAsia="zh-CN"/>
        </w:rPr>
      </w:pPr>
      <w:r>
        <w:rPr>
          <w:rFonts w:hint="eastAsia" w:cs="宋体"/>
          <w:color w:val="auto"/>
          <w:lang w:val="en-US" w:eastAsia="zh-CN"/>
        </w:rPr>
        <w:t>试验属于自检性质的，承包人可以单独取样。试验属于监理人抽检性质的，可由监理人取样，也可由承包人的试验人员在监理人的监督下取样。</w:t>
      </w:r>
    </w:p>
    <w:p>
      <w:pPr>
        <w:pStyle w:val="26"/>
        <w:numPr>
          <w:ilvl w:val="0"/>
          <w:numId w:val="0"/>
        </w:numPr>
        <w:spacing w:before="0" w:beforeAutospacing="0" w:after="0" w:afterAutospacing="0" w:line="360" w:lineRule="auto"/>
        <w:ind w:firstLine="482" w:firstLineChars="200"/>
        <w:rPr>
          <w:rFonts w:hint="eastAsia" w:cs="宋体"/>
          <w:b/>
          <w:bCs/>
          <w:color w:val="auto"/>
          <w:lang w:val="en-US" w:eastAsia="zh-CN"/>
        </w:rPr>
      </w:pPr>
      <w:r>
        <w:rPr>
          <w:rFonts w:hint="eastAsia" w:cs="宋体"/>
          <w:b/>
          <w:bCs/>
          <w:color w:val="auto"/>
          <w:lang w:val="en-US" w:eastAsia="zh-CN"/>
        </w:rPr>
        <w:t>9.3材料、工程设备和工程的试验和检验</w:t>
      </w:r>
    </w:p>
    <w:p>
      <w:pPr>
        <w:pStyle w:val="26"/>
        <w:numPr>
          <w:ilvl w:val="0"/>
          <w:numId w:val="0"/>
        </w:numPr>
        <w:spacing w:before="0" w:beforeAutospacing="0" w:after="0" w:afterAutospacing="0" w:line="360" w:lineRule="auto"/>
        <w:ind w:firstLine="480" w:firstLineChars="200"/>
        <w:rPr>
          <w:rFonts w:hint="eastAsia" w:cs="宋体"/>
          <w:color w:val="auto"/>
          <w:lang w:val="en-US" w:eastAsia="zh-CN"/>
        </w:rPr>
      </w:pPr>
      <w:r>
        <w:rPr>
          <w:rFonts w:hint="eastAsia" w:cs="宋体"/>
          <w:color w:val="auto"/>
          <w:lang w:val="en-US" w:eastAsia="zh-CN"/>
        </w:rPr>
        <w:t>9.3.1承包人应按合同约定进行材料、工程设备和工程的试验和检验，并为监理人对上述材料、工程设备和工程的质量检查提供必要的试验资料和原始记录。按合同约定应由监理人与承包人共同进行试验和检验的，由承包人负责提供必要的试验资料和原始记录。</w:t>
      </w:r>
    </w:p>
    <w:p>
      <w:pPr>
        <w:pStyle w:val="26"/>
        <w:numPr>
          <w:ilvl w:val="0"/>
          <w:numId w:val="0"/>
        </w:numPr>
        <w:spacing w:before="0" w:beforeAutospacing="0" w:after="0" w:afterAutospacing="0" w:line="360" w:lineRule="auto"/>
        <w:ind w:firstLine="480" w:firstLineChars="200"/>
        <w:rPr>
          <w:rFonts w:hint="eastAsia" w:cs="宋体"/>
          <w:color w:val="auto"/>
          <w:lang w:val="en-US" w:eastAsia="zh-CN"/>
        </w:rPr>
      </w:pPr>
      <w:r>
        <w:rPr>
          <w:rFonts w:hint="eastAsia" w:cs="宋体"/>
          <w:color w:val="auto"/>
          <w:lang w:val="en-US" w:eastAsia="zh-CN"/>
        </w:rPr>
        <w:t>9.3.2试验属于自检性质的，承包人可以单独进行试验。试验属于监理人抽检性质的，监理人可以单独进行试验，也可由承包人与监理人共同进行。承包人对由监理人单独进行的试验结果有异议的，可以申请重新共同进行试验。约定共同进行试验的，监理人未按照约定参加试验的，承包人可自行试验，并将试验结果报送监理人，监理人应承认该试验结果。</w:t>
      </w:r>
    </w:p>
    <w:p>
      <w:pPr>
        <w:pStyle w:val="26"/>
        <w:numPr>
          <w:ilvl w:val="0"/>
          <w:numId w:val="0"/>
        </w:numPr>
        <w:spacing w:before="0" w:beforeAutospacing="0" w:after="0" w:afterAutospacing="0" w:line="360" w:lineRule="auto"/>
        <w:ind w:firstLine="480" w:firstLineChars="200"/>
        <w:rPr>
          <w:rFonts w:hint="eastAsia" w:cs="宋体"/>
          <w:color w:val="auto"/>
          <w:lang w:val="en-US" w:eastAsia="zh-CN"/>
        </w:rPr>
      </w:pPr>
      <w:r>
        <w:rPr>
          <w:rFonts w:hint="eastAsia" w:cs="宋体"/>
          <w:color w:val="auto"/>
          <w:lang w:val="en-US" w:eastAsia="zh-CN"/>
        </w:rPr>
        <w:t>9.3.3监理人对承包人的试验和检验结果有异议的，或为查清承包人试验和检验</w:t>
      </w:r>
    </w:p>
    <w:p>
      <w:pPr>
        <w:pStyle w:val="26"/>
        <w:numPr>
          <w:ilvl w:val="0"/>
          <w:numId w:val="0"/>
        </w:numPr>
        <w:spacing w:before="0" w:beforeAutospacing="0" w:after="0" w:afterAutospacing="0" w:line="360" w:lineRule="auto"/>
        <w:rPr>
          <w:rFonts w:hint="eastAsia" w:cs="宋体"/>
          <w:color w:val="auto"/>
          <w:lang w:val="en-US" w:eastAsia="zh-CN"/>
        </w:rPr>
      </w:pPr>
      <w:r>
        <w:rPr>
          <w:rFonts w:hint="eastAsia" w:cs="宋体"/>
          <w:color w:val="auto"/>
          <w:lang w:val="en-US" w:eastAsia="zh-CN"/>
        </w:rPr>
        <w:t>成果的可靠性要求承包人重新试验和检验的，可由监理人与承包人共同进行。重新试验和检验的结果证明该项材料、工程设备或工程的质量不符合合同要求的，由此增加的费用和(或)延误的工期由承包人承担；重新试验和检验结果证明该项材料、工程设备和工程符合合同要求的，由此增加的费用和(或)延误的工期由发包人承担。</w:t>
      </w:r>
    </w:p>
    <w:p>
      <w:pPr>
        <w:pStyle w:val="26"/>
        <w:numPr>
          <w:ilvl w:val="0"/>
          <w:numId w:val="0"/>
        </w:numPr>
        <w:spacing w:before="0" w:beforeAutospacing="0" w:after="0" w:afterAutospacing="0" w:line="360" w:lineRule="auto"/>
        <w:ind w:firstLine="482" w:firstLineChars="200"/>
        <w:rPr>
          <w:rFonts w:hint="eastAsia" w:cs="宋体"/>
          <w:b/>
          <w:bCs/>
          <w:color w:val="auto"/>
          <w:lang w:val="en-US" w:eastAsia="zh-CN"/>
        </w:rPr>
      </w:pPr>
      <w:r>
        <w:rPr>
          <w:rFonts w:hint="eastAsia" w:cs="宋体"/>
          <w:b/>
          <w:bCs/>
          <w:color w:val="auto"/>
          <w:lang w:val="en-US" w:eastAsia="zh-CN"/>
        </w:rPr>
        <w:t>9.4现场工艺试验</w:t>
      </w:r>
    </w:p>
    <w:p>
      <w:pPr>
        <w:pStyle w:val="26"/>
        <w:numPr>
          <w:ilvl w:val="0"/>
          <w:numId w:val="0"/>
        </w:numPr>
        <w:spacing w:before="0" w:beforeAutospacing="0" w:after="0" w:afterAutospacing="0" w:line="360" w:lineRule="auto"/>
        <w:ind w:firstLine="480" w:firstLineChars="200"/>
        <w:rPr>
          <w:rFonts w:hint="eastAsia" w:cs="宋体"/>
          <w:color w:val="auto"/>
          <w:lang w:val="en-US" w:eastAsia="zh-CN"/>
        </w:rPr>
      </w:pPr>
      <w:r>
        <w:rPr>
          <w:rFonts w:hint="eastAsia" w:cs="宋体"/>
          <w:color w:val="auto"/>
          <w:lang w:val="en-US" w:eastAsia="zh-CN"/>
        </w:rPr>
        <w:t>承包人应按合同约定或监理人指示进行现场工艺试验。对大型的现场工艺试验，</w:t>
      </w:r>
    </w:p>
    <w:p>
      <w:pPr>
        <w:pStyle w:val="26"/>
        <w:numPr>
          <w:ilvl w:val="0"/>
          <w:numId w:val="0"/>
        </w:numPr>
        <w:spacing w:before="0" w:beforeAutospacing="0" w:after="0" w:afterAutospacing="0" w:line="360" w:lineRule="auto"/>
        <w:rPr>
          <w:rFonts w:hint="eastAsia" w:cs="宋体"/>
          <w:color w:val="auto"/>
          <w:lang w:val="en-US" w:eastAsia="zh-CN"/>
        </w:rPr>
      </w:pPr>
      <w:r>
        <w:rPr>
          <w:rFonts w:hint="eastAsia" w:cs="宋体"/>
          <w:color w:val="auto"/>
          <w:lang w:val="en-US" w:eastAsia="zh-CN"/>
        </w:rPr>
        <w:t>监理人认为必要时，承包人应根据监理人提出的工艺试验要求，编制工艺试验措施计划，报送监理人审查。</w:t>
      </w:r>
    </w:p>
    <w:p>
      <w:pPr>
        <w:pStyle w:val="26"/>
        <w:numPr>
          <w:ilvl w:val="0"/>
          <w:numId w:val="0"/>
        </w:numPr>
        <w:spacing w:before="0" w:beforeAutospacing="0" w:after="0" w:afterAutospacing="0" w:line="360" w:lineRule="auto"/>
        <w:ind w:firstLine="482" w:firstLineChars="200"/>
        <w:rPr>
          <w:rFonts w:hint="eastAsia" w:cs="宋体"/>
          <w:b/>
          <w:bCs/>
          <w:color w:val="auto"/>
          <w:lang w:val="en-US" w:eastAsia="zh-CN"/>
        </w:rPr>
      </w:pPr>
      <w:r>
        <w:rPr>
          <w:rFonts w:hint="eastAsia" w:cs="宋体"/>
          <w:b/>
          <w:bCs/>
          <w:color w:val="auto"/>
          <w:lang w:val="en-US" w:eastAsia="zh-CN"/>
        </w:rPr>
        <w:t>10.变更</w:t>
      </w:r>
    </w:p>
    <w:p>
      <w:pPr>
        <w:pStyle w:val="26"/>
        <w:numPr>
          <w:ilvl w:val="0"/>
          <w:numId w:val="0"/>
        </w:numPr>
        <w:spacing w:before="0" w:beforeAutospacing="0" w:after="0" w:afterAutospacing="0" w:line="360" w:lineRule="auto"/>
        <w:ind w:firstLine="482" w:firstLineChars="200"/>
        <w:rPr>
          <w:rFonts w:hint="eastAsia" w:cs="宋体"/>
          <w:b/>
          <w:bCs/>
          <w:color w:val="auto"/>
          <w:lang w:val="en-US" w:eastAsia="zh-CN"/>
        </w:rPr>
      </w:pPr>
      <w:r>
        <w:rPr>
          <w:rFonts w:hint="eastAsia" w:cs="宋体"/>
          <w:b/>
          <w:bCs/>
          <w:color w:val="auto"/>
          <w:lang w:val="en-US" w:eastAsia="zh-CN"/>
        </w:rPr>
        <w:t>10.1变更的范围</w:t>
      </w:r>
    </w:p>
    <w:p>
      <w:pPr>
        <w:pStyle w:val="26"/>
        <w:numPr>
          <w:ilvl w:val="0"/>
          <w:numId w:val="0"/>
        </w:numPr>
        <w:spacing w:before="0" w:beforeAutospacing="0" w:after="0" w:afterAutospacing="0" w:line="360" w:lineRule="auto"/>
        <w:ind w:firstLine="480" w:firstLineChars="200"/>
        <w:rPr>
          <w:rFonts w:hint="eastAsia" w:cs="宋体"/>
          <w:color w:val="auto"/>
          <w:lang w:val="en-US" w:eastAsia="zh-CN"/>
        </w:rPr>
      </w:pPr>
      <w:r>
        <w:rPr>
          <w:rFonts w:hint="eastAsia" w:cs="宋体"/>
          <w:color w:val="auto"/>
          <w:lang w:val="en-US" w:eastAsia="zh-CN"/>
        </w:rPr>
        <w:t>除专用合同条款另有约定外，合同履行过程中发生以下情形的，应按照本条约定进行变更：</w:t>
      </w:r>
    </w:p>
    <w:p>
      <w:pPr>
        <w:pStyle w:val="26"/>
        <w:numPr>
          <w:ilvl w:val="0"/>
          <w:numId w:val="0"/>
        </w:numPr>
        <w:spacing w:before="0" w:beforeAutospacing="0" w:after="0" w:afterAutospacing="0" w:line="360" w:lineRule="auto"/>
        <w:ind w:firstLine="480" w:firstLineChars="200"/>
        <w:rPr>
          <w:rFonts w:hint="eastAsia" w:cs="宋体"/>
          <w:color w:val="auto"/>
          <w:lang w:val="en-US" w:eastAsia="zh-CN"/>
        </w:rPr>
      </w:pPr>
      <w:r>
        <w:rPr>
          <w:rFonts w:hint="eastAsia" w:cs="宋体"/>
          <w:color w:val="auto"/>
          <w:lang w:val="en-US" w:eastAsia="zh-CN"/>
        </w:rPr>
        <w:t>(1)增加或减少合同中任何工作，或追加额外的工作；</w:t>
      </w:r>
    </w:p>
    <w:p>
      <w:pPr>
        <w:pStyle w:val="26"/>
        <w:numPr>
          <w:ilvl w:val="0"/>
          <w:numId w:val="0"/>
        </w:numPr>
        <w:spacing w:before="0" w:beforeAutospacing="0" w:after="0" w:afterAutospacing="0" w:line="360" w:lineRule="auto"/>
        <w:ind w:firstLine="480" w:firstLineChars="200"/>
        <w:rPr>
          <w:rFonts w:hint="eastAsia" w:cs="宋体"/>
          <w:color w:val="auto"/>
          <w:lang w:val="en-US" w:eastAsia="zh-CN"/>
        </w:rPr>
      </w:pPr>
      <w:r>
        <w:rPr>
          <w:rFonts w:hint="eastAsia" w:cs="宋体"/>
          <w:color w:val="auto"/>
          <w:lang w:val="en-US" w:eastAsia="zh-CN"/>
        </w:rPr>
        <w:t>(2)取消合同中任何工作，但转由他人实施的工作除外；</w:t>
      </w:r>
    </w:p>
    <w:p>
      <w:pPr>
        <w:pStyle w:val="26"/>
        <w:numPr>
          <w:ilvl w:val="0"/>
          <w:numId w:val="0"/>
        </w:numPr>
        <w:spacing w:before="0" w:beforeAutospacing="0" w:after="0" w:afterAutospacing="0" w:line="360" w:lineRule="auto"/>
        <w:ind w:firstLine="480" w:firstLineChars="200"/>
        <w:rPr>
          <w:rFonts w:hint="eastAsia" w:cs="宋体"/>
          <w:color w:val="auto"/>
          <w:lang w:val="en-US" w:eastAsia="zh-CN"/>
        </w:rPr>
      </w:pPr>
      <w:r>
        <w:rPr>
          <w:rFonts w:hint="eastAsia" w:cs="宋体"/>
          <w:color w:val="auto"/>
          <w:lang w:val="en-US" w:eastAsia="zh-CN"/>
        </w:rPr>
        <w:t>(3)改变合同中任何工作的质量标准或其他特性；</w:t>
      </w:r>
    </w:p>
    <w:p>
      <w:pPr>
        <w:pStyle w:val="26"/>
        <w:numPr>
          <w:ilvl w:val="0"/>
          <w:numId w:val="0"/>
        </w:numPr>
        <w:spacing w:before="0" w:beforeAutospacing="0" w:after="0" w:afterAutospacing="0" w:line="360" w:lineRule="auto"/>
        <w:ind w:firstLine="480" w:firstLineChars="200"/>
        <w:rPr>
          <w:rFonts w:hint="eastAsia" w:cs="宋体"/>
          <w:color w:val="auto"/>
          <w:lang w:val="en-US" w:eastAsia="zh-CN"/>
        </w:rPr>
      </w:pPr>
      <w:r>
        <w:rPr>
          <w:rFonts w:hint="eastAsia" w:cs="宋体"/>
          <w:color w:val="auto"/>
          <w:lang w:val="en-US" w:eastAsia="zh-CN"/>
        </w:rPr>
        <w:t>(4)改变工程的基线、标高、位置和尺寸；</w:t>
      </w:r>
    </w:p>
    <w:p>
      <w:pPr>
        <w:pStyle w:val="26"/>
        <w:numPr>
          <w:ilvl w:val="0"/>
          <w:numId w:val="0"/>
        </w:numPr>
        <w:spacing w:before="0" w:beforeAutospacing="0" w:after="0" w:afterAutospacing="0" w:line="360" w:lineRule="auto"/>
        <w:ind w:firstLine="480" w:firstLineChars="200"/>
        <w:rPr>
          <w:rFonts w:hint="eastAsia" w:cs="宋体"/>
          <w:color w:val="auto"/>
          <w:lang w:val="en-US" w:eastAsia="zh-CN"/>
        </w:rPr>
      </w:pPr>
      <w:r>
        <w:rPr>
          <w:rFonts w:hint="eastAsia" w:cs="宋体"/>
          <w:color w:val="auto"/>
          <w:lang w:val="en-US" w:eastAsia="zh-CN"/>
        </w:rPr>
        <w:t>(5)改变工程的时间安排或实施顺序。</w:t>
      </w:r>
    </w:p>
    <w:p>
      <w:pPr>
        <w:pStyle w:val="26"/>
        <w:numPr>
          <w:ilvl w:val="0"/>
          <w:numId w:val="0"/>
        </w:numPr>
        <w:spacing w:before="0" w:beforeAutospacing="0" w:after="0" w:afterAutospacing="0" w:line="360" w:lineRule="auto"/>
        <w:ind w:firstLine="482" w:firstLineChars="200"/>
        <w:rPr>
          <w:rFonts w:hint="eastAsia" w:cs="宋体"/>
          <w:b/>
          <w:bCs/>
          <w:color w:val="auto"/>
          <w:lang w:val="en-US" w:eastAsia="zh-CN"/>
        </w:rPr>
      </w:pPr>
      <w:r>
        <w:rPr>
          <w:rFonts w:hint="eastAsia" w:cs="宋体"/>
          <w:b/>
          <w:bCs/>
          <w:color w:val="auto"/>
          <w:lang w:val="en-US" w:eastAsia="zh-CN"/>
        </w:rPr>
        <w:t>10.2变更权</w:t>
      </w:r>
    </w:p>
    <w:p>
      <w:pPr>
        <w:pStyle w:val="26"/>
        <w:numPr>
          <w:ilvl w:val="0"/>
          <w:numId w:val="0"/>
        </w:numPr>
        <w:spacing w:before="0" w:beforeAutospacing="0" w:after="0" w:afterAutospacing="0" w:line="360" w:lineRule="auto"/>
        <w:ind w:firstLine="480" w:firstLineChars="200"/>
        <w:rPr>
          <w:rFonts w:hint="eastAsia" w:cs="宋体"/>
          <w:color w:val="auto"/>
          <w:lang w:val="en-US" w:eastAsia="zh-CN"/>
        </w:rPr>
      </w:pPr>
      <w:r>
        <w:rPr>
          <w:rFonts w:hint="eastAsia" w:cs="宋体"/>
          <w:color w:val="auto"/>
          <w:lang w:val="en-US" w:eastAsia="zh-CN"/>
        </w:rPr>
        <w:t>发包人和监理人均可以提出变更。变更指示均通过监理人发出，监理人发出变更指示前应征得发包人同意。承包人收到经发包人签认的变更指示后，方可实施变更。未经许可，承包人不得擅自对工程的任何部分进行变更。</w:t>
      </w:r>
    </w:p>
    <w:p>
      <w:pPr>
        <w:pStyle w:val="26"/>
        <w:numPr>
          <w:ilvl w:val="0"/>
          <w:numId w:val="0"/>
        </w:numPr>
        <w:spacing w:before="0" w:beforeAutospacing="0" w:after="0" w:afterAutospacing="0" w:line="360" w:lineRule="auto"/>
        <w:ind w:firstLine="480" w:firstLineChars="200"/>
        <w:rPr>
          <w:rFonts w:hint="eastAsia" w:cs="宋体"/>
          <w:color w:val="auto"/>
          <w:lang w:val="en-US" w:eastAsia="zh-CN"/>
        </w:rPr>
      </w:pPr>
      <w:r>
        <w:rPr>
          <w:rFonts w:hint="eastAsia" w:cs="宋体"/>
          <w:color w:val="auto"/>
          <w:lang w:val="en-US" w:eastAsia="zh-CN"/>
        </w:rPr>
        <w:t>涉及设计变更的，应由设计人提供变更后的图纸和说明。如变更超过原设计标准或批准的建设规模时，发包人应及时办理规划、设计变更等审批手续。</w:t>
      </w:r>
    </w:p>
    <w:p>
      <w:pPr>
        <w:pStyle w:val="26"/>
        <w:numPr>
          <w:ilvl w:val="0"/>
          <w:numId w:val="0"/>
        </w:numPr>
        <w:spacing w:before="0" w:beforeAutospacing="0" w:after="0" w:afterAutospacing="0" w:line="360" w:lineRule="auto"/>
        <w:ind w:firstLine="482" w:firstLineChars="200"/>
        <w:rPr>
          <w:rFonts w:hint="eastAsia" w:cs="宋体"/>
          <w:b/>
          <w:bCs/>
          <w:color w:val="auto"/>
          <w:lang w:val="en-US" w:eastAsia="zh-CN"/>
        </w:rPr>
      </w:pPr>
      <w:r>
        <w:rPr>
          <w:rFonts w:hint="eastAsia" w:cs="宋体"/>
          <w:b/>
          <w:bCs/>
          <w:color w:val="auto"/>
          <w:lang w:val="en-US" w:eastAsia="zh-CN"/>
        </w:rPr>
        <w:t>10.3变更程序</w:t>
      </w:r>
    </w:p>
    <w:p>
      <w:pPr>
        <w:pStyle w:val="26"/>
        <w:numPr>
          <w:ilvl w:val="0"/>
          <w:numId w:val="0"/>
        </w:numPr>
        <w:spacing w:before="0" w:beforeAutospacing="0" w:after="0" w:afterAutospacing="0" w:line="360" w:lineRule="auto"/>
        <w:ind w:firstLine="480" w:firstLineChars="200"/>
        <w:rPr>
          <w:rFonts w:hint="eastAsia" w:cs="宋体"/>
          <w:color w:val="auto"/>
          <w:lang w:val="en-US" w:eastAsia="zh-CN"/>
        </w:rPr>
      </w:pPr>
      <w:r>
        <w:rPr>
          <w:rFonts w:hint="eastAsia" w:cs="宋体"/>
          <w:color w:val="auto"/>
          <w:lang w:val="en-US" w:eastAsia="zh-CN"/>
        </w:rPr>
        <w:t>10.3.1发包人提出变更</w:t>
      </w:r>
    </w:p>
    <w:p>
      <w:pPr>
        <w:pStyle w:val="26"/>
        <w:numPr>
          <w:ilvl w:val="0"/>
          <w:numId w:val="0"/>
        </w:numPr>
        <w:spacing w:before="0" w:beforeAutospacing="0" w:after="0" w:afterAutospacing="0" w:line="360" w:lineRule="auto"/>
        <w:ind w:firstLine="480" w:firstLineChars="200"/>
        <w:rPr>
          <w:rFonts w:hint="eastAsia" w:cs="宋体"/>
          <w:color w:val="auto"/>
          <w:lang w:val="en-US" w:eastAsia="zh-CN"/>
        </w:rPr>
      </w:pPr>
      <w:r>
        <w:rPr>
          <w:rFonts w:hint="eastAsia" w:cs="宋体"/>
          <w:color w:val="auto"/>
          <w:lang w:val="en-US" w:eastAsia="zh-CN"/>
        </w:rPr>
        <w:t>发包人提出变更的，应通过监理人向承包人发出变更指示，变更指示应说明计划变更的工程范围和变更的内容。</w:t>
      </w:r>
    </w:p>
    <w:p>
      <w:pPr>
        <w:pStyle w:val="26"/>
        <w:numPr>
          <w:ilvl w:val="0"/>
          <w:numId w:val="0"/>
        </w:numPr>
        <w:spacing w:before="0" w:beforeAutospacing="0" w:after="0" w:afterAutospacing="0" w:line="360" w:lineRule="auto"/>
        <w:ind w:firstLine="480" w:firstLineChars="200"/>
        <w:rPr>
          <w:rFonts w:hint="eastAsia" w:cs="宋体"/>
          <w:color w:val="auto"/>
          <w:lang w:val="en-US" w:eastAsia="zh-CN"/>
        </w:rPr>
      </w:pPr>
      <w:r>
        <w:rPr>
          <w:rFonts w:hint="eastAsia" w:cs="宋体"/>
          <w:color w:val="auto"/>
          <w:lang w:val="en-US" w:eastAsia="zh-CN"/>
        </w:rPr>
        <w:t>10.3.2监理人提出变更建议</w:t>
      </w:r>
    </w:p>
    <w:p>
      <w:pPr>
        <w:pStyle w:val="26"/>
        <w:numPr>
          <w:ilvl w:val="0"/>
          <w:numId w:val="0"/>
        </w:numPr>
        <w:spacing w:before="0" w:beforeAutospacing="0" w:after="0" w:afterAutospacing="0" w:line="360" w:lineRule="auto"/>
        <w:ind w:firstLine="480" w:firstLineChars="200"/>
        <w:rPr>
          <w:rFonts w:hint="eastAsia" w:cs="宋体"/>
          <w:color w:val="auto"/>
          <w:lang w:val="en-US" w:eastAsia="zh-CN"/>
        </w:rPr>
      </w:pPr>
      <w:r>
        <w:rPr>
          <w:rFonts w:hint="eastAsia" w:cs="宋体"/>
          <w:color w:val="auto"/>
          <w:lang w:val="en-US" w:eastAsia="zh-CN"/>
        </w:rPr>
        <w:t>监理人提出变更建议的，需要向发包人以书面形式提出变更计划，说明计划变更工程范围和变更的内容、理由，以及实施该变更对合同价格和工期的影响。发包人同意变更的，由监理人向承包人发出变更指示。发包人不同意变更的，监理人无权擅自发出变更指示。</w:t>
      </w:r>
    </w:p>
    <w:p>
      <w:pPr>
        <w:pStyle w:val="26"/>
        <w:numPr>
          <w:ilvl w:val="0"/>
          <w:numId w:val="0"/>
        </w:numPr>
        <w:spacing w:before="0" w:beforeAutospacing="0" w:after="0" w:afterAutospacing="0" w:line="360" w:lineRule="auto"/>
        <w:ind w:firstLine="480" w:firstLineChars="200"/>
        <w:rPr>
          <w:rFonts w:hint="eastAsia" w:cs="宋体"/>
          <w:color w:val="auto"/>
          <w:lang w:val="en-US" w:eastAsia="zh-CN"/>
        </w:rPr>
      </w:pPr>
      <w:r>
        <w:rPr>
          <w:rFonts w:hint="eastAsia" w:cs="宋体"/>
          <w:color w:val="auto"/>
          <w:lang w:val="en-US" w:eastAsia="zh-CN"/>
        </w:rPr>
        <w:t>10.3.3变更执行</w:t>
      </w:r>
    </w:p>
    <w:p>
      <w:pPr>
        <w:pStyle w:val="26"/>
        <w:numPr>
          <w:ilvl w:val="0"/>
          <w:numId w:val="0"/>
        </w:numPr>
        <w:spacing w:before="0" w:beforeAutospacing="0" w:after="0" w:afterAutospacing="0" w:line="360" w:lineRule="auto"/>
        <w:ind w:firstLine="480" w:firstLineChars="200"/>
        <w:rPr>
          <w:rFonts w:hint="eastAsia" w:cs="宋体"/>
          <w:color w:val="auto"/>
          <w:lang w:val="en-US" w:eastAsia="zh-CN"/>
        </w:rPr>
      </w:pPr>
      <w:r>
        <w:rPr>
          <w:rFonts w:hint="eastAsia" w:cs="宋体"/>
          <w:color w:val="auto"/>
          <w:lang w:val="en-US" w:eastAsia="zh-CN"/>
        </w:rPr>
        <w:t>承包人收到监理人下达的变更指示后，认为不能执行，应立即提出不能执行该变更指示的理由。承包人认为可以执行变更的，应当书面说明实施该变更指示对合同价格和工期的影响，且合同当事人应当按照第10.4款〔变更估价〕约定确定变更估价。</w:t>
      </w:r>
    </w:p>
    <w:p>
      <w:pPr>
        <w:pStyle w:val="26"/>
        <w:numPr>
          <w:ilvl w:val="0"/>
          <w:numId w:val="0"/>
        </w:numPr>
        <w:spacing w:before="0" w:beforeAutospacing="0" w:after="0" w:afterAutospacing="0" w:line="360" w:lineRule="auto"/>
        <w:ind w:firstLine="482" w:firstLineChars="200"/>
        <w:rPr>
          <w:rFonts w:hint="eastAsia" w:cs="宋体"/>
          <w:b/>
          <w:bCs/>
          <w:color w:val="auto"/>
          <w:lang w:val="en-US" w:eastAsia="zh-CN"/>
        </w:rPr>
      </w:pPr>
      <w:r>
        <w:rPr>
          <w:rFonts w:hint="eastAsia" w:cs="宋体"/>
          <w:b/>
          <w:bCs/>
          <w:color w:val="auto"/>
          <w:lang w:val="en-US" w:eastAsia="zh-CN"/>
        </w:rPr>
        <w:t>10.4变更估价</w:t>
      </w:r>
    </w:p>
    <w:p>
      <w:pPr>
        <w:pStyle w:val="26"/>
        <w:numPr>
          <w:ilvl w:val="0"/>
          <w:numId w:val="0"/>
        </w:numPr>
        <w:spacing w:before="0" w:beforeAutospacing="0" w:after="0" w:afterAutospacing="0" w:line="360" w:lineRule="auto"/>
        <w:ind w:firstLine="480" w:firstLineChars="200"/>
        <w:rPr>
          <w:rFonts w:hint="eastAsia" w:cs="宋体"/>
          <w:color w:val="auto"/>
          <w:lang w:val="en-US" w:eastAsia="zh-CN"/>
        </w:rPr>
      </w:pPr>
      <w:r>
        <w:rPr>
          <w:rFonts w:hint="eastAsia" w:cs="宋体"/>
          <w:color w:val="auto"/>
          <w:lang w:val="en-US" w:eastAsia="zh-CN"/>
        </w:rPr>
        <w:t>10.4.1变更估价原则</w:t>
      </w:r>
    </w:p>
    <w:p>
      <w:pPr>
        <w:pStyle w:val="26"/>
        <w:numPr>
          <w:ilvl w:val="0"/>
          <w:numId w:val="0"/>
        </w:numPr>
        <w:spacing w:before="0" w:beforeAutospacing="0" w:after="0" w:afterAutospacing="0" w:line="360" w:lineRule="auto"/>
        <w:ind w:firstLine="480" w:firstLineChars="200"/>
        <w:rPr>
          <w:rFonts w:hint="eastAsia" w:cs="宋体"/>
          <w:color w:val="auto"/>
          <w:lang w:val="en-US" w:eastAsia="zh-CN"/>
        </w:rPr>
      </w:pPr>
      <w:r>
        <w:rPr>
          <w:rFonts w:hint="eastAsia" w:cs="宋体"/>
          <w:color w:val="auto"/>
          <w:lang w:val="en-US" w:eastAsia="zh-CN"/>
        </w:rPr>
        <w:t>除专用合同条款另有约定外，变更估价按照本款约定处理：</w:t>
      </w:r>
    </w:p>
    <w:p>
      <w:pPr>
        <w:pStyle w:val="26"/>
        <w:numPr>
          <w:ilvl w:val="0"/>
          <w:numId w:val="0"/>
        </w:numPr>
        <w:spacing w:before="0" w:beforeAutospacing="0" w:after="0" w:afterAutospacing="0" w:line="360" w:lineRule="auto"/>
        <w:ind w:firstLine="480" w:firstLineChars="200"/>
        <w:rPr>
          <w:rFonts w:hint="eastAsia" w:cs="宋体"/>
          <w:color w:val="auto"/>
          <w:lang w:val="en-US" w:eastAsia="zh-CN"/>
        </w:rPr>
      </w:pPr>
      <w:r>
        <w:rPr>
          <w:rFonts w:hint="eastAsia" w:cs="宋体"/>
          <w:color w:val="auto"/>
          <w:lang w:val="en-US" w:eastAsia="zh-CN"/>
        </w:rPr>
        <w:t>(1)已标价工程量清单或预算书有相同项目的，按照相同项目单价认定；</w:t>
      </w:r>
    </w:p>
    <w:p>
      <w:pPr>
        <w:pStyle w:val="26"/>
        <w:numPr>
          <w:ilvl w:val="0"/>
          <w:numId w:val="0"/>
        </w:numPr>
        <w:spacing w:before="0" w:beforeAutospacing="0" w:after="0" w:afterAutospacing="0" w:line="360" w:lineRule="auto"/>
        <w:ind w:firstLine="480" w:firstLineChars="200"/>
        <w:rPr>
          <w:rFonts w:hint="eastAsia" w:cs="宋体"/>
          <w:color w:val="auto"/>
          <w:lang w:val="en-US" w:eastAsia="zh-CN"/>
        </w:rPr>
      </w:pPr>
      <w:r>
        <w:rPr>
          <w:rFonts w:hint="eastAsia" w:cs="宋体"/>
          <w:color w:val="auto"/>
          <w:lang w:val="en-US" w:eastAsia="zh-CN"/>
        </w:rPr>
        <w:t>(2)已标价工程量清单或预算书中无相同项目，但有类似项目的，参照类似项目的单价认定；</w:t>
      </w:r>
    </w:p>
    <w:p>
      <w:pPr>
        <w:pStyle w:val="26"/>
        <w:numPr>
          <w:ilvl w:val="0"/>
          <w:numId w:val="0"/>
        </w:numPr>
        <w:spacing w:before="0" w:beforeAutospacing="0" w:after="0" w:afterAutospacing="0" w:line="360" w:lineRule="auto"/>
        <w:ind w:firstLine="480" w:firstLineChars="200"/>
        <w:rPr>
          <w:rFonts w:hint="eastAsia" w:cs="宋体"/>
          <w:color w:val="auto"/>
          <w:lang w:val="en-US" w:eastAsia="zh-CN"/>
        </w:rPr>
      </w:pPr>
      <w:r>
        <w:rPr>
          <w:rFonts w:hint="eastAsia" w:cs="宋体"/>
          <w:color w:val="auto"/>
          <w:lang w:val="en-US" w:eastAsia="zh-CN"/>
        </w:rPr>
        <w:t>(3)变更导致实际完成的变更工程量与已标价工程量清单或预算书中列明的该项目工程量的变化幅度超过15%的，或已标价工程量清单或预算书中无相同项目及类似项目单价的，按照合理的成本与利润构成的原则，由合同当事人按照第4.4款〔商定或确定〕确定变更工作的单价。</w:t>
      </w:r>
    </w:p>
    <w:p>
      <w:pPr>
        <w:pStyle w:val="26"/>
        <w:numPr>
          <w:ilvl w:val="0"/>
          <w:numId w:val="0"/>
        </w:numPr>
        <w:spacing w:before="0" w:beforeAutospacing="0" w:after="0" w:afterAutospacing="0" w:line="360" w:lineRule="auto"/>
        <w:ind w:firstLine="480" w:firstLineChars="200"/>
        <w:rPr>
          <w:rFonts w:hint="eastAsia" w:cs="宋体"/>
          <w:color w:val="auto"/>
          <w:lang w:val="en-US" w:eastAsia="zh-CN"/>
        </w:rPr>
      </w:pPr>
      <w:r>
        <w:rPr>
          <w:rFonts w:hint="eastAsia" w:cs="宋体"/>
          <w:color w:val="auto"/>
          <w:lang w:val="en-US" w:eastAsia="zh-CN"/>
        </w:rPr>
        <w:t>10.4.2变更估价程序</w:t>
      </w:r>
    </w:p>
    <w:p>
      <w:pPr>
        <w:pStyle w:val="26"/>
        <w:numPr>
          <w:ilvl w:val="0"/>
          <w:numId w:val="0"/>
        </w:numPr>
        <w:spacing w:before="0" w:beforeAutospacing="0" w:after="0" w:afterAutospacing="0" w:line="360" w:lineRule="auto"/>
        <w:ind w:firstLine="480" w:firstLineChars="200"/>
        <w:rPr>
          <w:rFonts w:hint="eastAsia" w:cs="宋体"/>
          <w:color w:val="auto"/>
          <w:lang w:val="en-US" w:eastAsia="zh-CN"/>
        </w:rPr>
      </w:pPr>
      <w:r>
        <w:rPr>
          <w:rFonts w:hint="eastAsia" w:cs="宋体"/>
          <w:color w:val="auto"/>
          <w:lang w:val="en-US" w:eastAsia="zh-CN"/>
        </w:rPr>
        <w:t>承包人应在收到变更指示后14天内，向监理人提交变更估价申请。监理人应在收到承包人提交的变更估价申请后7天内审查完毕并报送发包人，监理人对变更估价申请有异议，通知承包人修改后重新提交。发包人应在承包人提交变更估价申请后14天内审批完毕。发包人逾期未完成审批或未提出异议的，视为认可承包人提交的变更估价申请。</w:t>
      </w:r>
    </w:p>
    <w:p>
      <w:pPr>
        <w:pStyle w:val="26"/>
        <w:numPr>
          <w:ilvl w:val="0"/>
          <w:numId w:val="0"/>
        </w:numPr>
        <w:spacing w:before="0" w:beforeAutospacing="0" w:after="0" w:afterAutospacing="0" w:line="360" w:lineRule="auto"/>
        <w:ind w:firstLine="480" w:firstLineChars="200"/>
        <w:rPr>
          <w:rFonts w:hint="eastAsia" w:cs="宋体"/>
          <w:color w:val="auto"/>
          <w:lang w:val="en-US" w:eastAsia="zh-CN"/>
        </w:rPr>
      </w:pPr>
      <w:r>
        <w:rPr>
          <w:rFonts w:hint="eastAsia" w:cs="宋体"/>
          <w:color w:val="auto"/>
          <w:lang w:val="en-US" w:eastAsia="zh-CN"/>
        </w:rPr>
        <w:t>因变更引起的价格调整应计入最近一期的进度款中支付。</w:t>
      </w:r>
    </w:p>
    <w:p>
      <w:pPr>
        <w:pStyle w:val="26"/>
        <w:numPr>
          <w:ilvl w:val="0"/>
          <w:numId w:val="0"/>
        </w:numPr>
        <w:spacing w:before="0" w:beforeAutospacing="0" w:after="0" w:afterAutospacing="0" w:line="360" w:lineRule="auto"/>
        <w:ind w:firstLine="482" w:firstLineChars="200"/>
        <w:rPr>
          <w:rFonts w:hint="eastAsia" w:cs="宋体"/>
          <w:b/>
          <w:bCs/>
          <w:color w:val="auto"/>
          <w:lang w:val="en-US" w:eastAsia="zh-CN"/>
        </w:rPr>
      </w:pPr>
      <w:r>
        <w:rPr>
          <w:rFonts w:hint="eastAsia" w:cs="宋体"/>
          <w:b/>
          <w:bCs/>
          <w:color w:val="auto"/>
          <w:lang w:val="en-US" w:eastAsia="zh-CN"/>
        </w:rPr>
        <w:t>10.5承包人的合理化建议</w:t>
      </w:r>
    </w:p>
    <w:p>
      <w:pPr>
        <w:pStyle w:val="26"/>
        <w:numPr>
          <w:ilvl w:val="0"/>
          <w:numId w:val="0"/>
        </w:numPr>
        <w:spacing w:before="0" w:beforeAutospacing="0" w:after="0" w:afterAutospacing="0" w:line="360" w:lineRule="auto"/>
        <w:ind w:firstLine="480" w:firstLineChars="200"/>
        <w:rPr>
          <w:rFonts w:hint="eastAsia" w:cs="宋体"/>
          <w:color w:val="auto"/>
          <w:lang w:val="en-US" w:eastAsia="zh-CN"/>
        </w:rPr>
      </w:pPr>
      <w:r>
        <w:rPr>
          <w:rFonts w:hint="eastAsia" w:cs="宋体"/>
          <w:color w:val="auto"/>
          <w:lang w:val="en-US" w:eastAsia="zh-CN"/>
        </w:rPr>
        <w:t>承包人提出合理化建议的，应向监理人提交合理化建议说明，说明建议的内容和理由，以及实施该建议对合同价格和工期的影响。</w:t>
      </w:r>
    </w:p>
    <w:p>
      <w:pPr>
        <w:pStyle w:val="26"/>
        <w:numPr>
          <w:ilvl w:val="0"/>
          <w:numId w:val="0"/>
        </w:numPr>
        <w:spacing w:before="0" w:beforeAutospacing="0" w:after="0" w:afterAutospacing="0" w:line="360" w:lineRule="auto"/>
        <w:ind w:firstLine="480" w:firstLineChars="200"/>
        <w:rPr>
          <w:rFonts w:hint="eastAsia" w:cs="宋体"/>
          <w:color w:val="auto"/>
          <w:lang w:val="en-US" w:eastAsia="zh-CN"/>
        </w:rPr>
      </w:pPr>
      <w:r>
        <w:rPr>
          <w:rFonts w:hint="eastAsia" w:cs="宋体"/>
          <w:color w:val="auto"/>
          <w:lang w:val="en-US" w:eastAsia="zh-CN"/>
        </w:rPr>
        <w:t>除专用合同条款另有约定外，监理人应在收到承包人提交的合理化建议后7天内审查完毕并报送发包人，发现其中存在技术上的缺陷，应通知承包人修改。发包人应在收到监理人报送的合理化建议后7天内审批完毕。合理化建议经发包人批准的，监理人应及时发出变更指示，由此引起的合同价格调整按照第10.4款〔变更估价〕约定执行。发包人不同意变更的，监理人应书面通知承包人。</w:t>
      </w:r>
    </w:p>
    <w:p>
      <w:pPr>
        <w:pStyle w:val="26"/>
        <w:numPr>
          <w:ilvl w:val="0"/>
          <w:numId w:val="0"/>
        </w:numPr>
        <w:spacing w:before="0" w:beforeAutospacing="0" w:after="0" w:afterAutospacing="0" w:line="360" w:lineRule="auto"/>
        <w:ind w:firstLine="480" w:firstLineChars="200"/>
        <w:rPr>
          <w:rFonts w:hint="eastAsia" w:cs="宋体"/>
          <w:color w:val="auto"/>
          <w:lang w:val="en-US" w:eastAsia="zh-CN"/>
        </w:rPr>
      </w:pPr>
      <w:r>
        <w:rPr>
          <w:rFonts w:hint="eastAsia" w:cs="宋体"/>
          <w:color w:val="auto"/>
          <w:lang w:val="en-US" w:eastAsia="zh-CN"/>
        </w:rPr>
        <w:t>合理化建议降低了合同价格或者提高了工程经济效益的，发包人可对承包人给予奖励，奖励的方法和金额在专用合同条款中约定。</w:t>
      </w:r>
    </w:p>
    <w:p>
      <w:pPr>
        <w:pStyle w:val="26"/>
        <w:numPr>
          <w:ilvl w:val="0"/>
          <w:numId w:val="0"/>
        </w:numPr>
        <w:spacing w:before="0" w:beforeAutospacing="0" w:after="0" w:afterAutospacing="0" w:line="360" w:lineRule="auto"/>
        <w:ind w:firstLine="482" w:firstLineChars="200"/>
        <w:rPr>
          <w:rFonts w:hint="eastAsia" w:cs="宋体"/>
          <w:b/>
          <w:bCs/>
          <w:color w:val="auto"/>
          <w:lang w:val="en-US" w:eastAsia="zh-CN"/>
        </w:rPr>
      </w:pPr>
      <w:r>
        <w:rPr>
          <w:rFonts w:hint="eastAsia" w:cs="宋体"/>
          <w:b/>
          <w:bCs/>
          <w:color w:val="auto"/>
          <w:lang w:val="en-US" w:eastAsia="zh-CN"/>
        </w:rPr>
        <w:t>10.6变更引起的工期调整</w:t>
      </w:r>
    </w:p>
    <w:p>
      <w:pPr>
        <w:pStyle w:val="26"/>
        <w:numPr>
          <w:ilvl w:val="0"/>
          <w:numId w:val="0"/>
        </w:numPr>
        <w:spacing w:before="0" w:beforeAutospacing="0" w:after="0" w:afterAutospacing="0" w:line="360" w:lineRule="auto"/>
        <w:ind w:firstLine="480" w:firstLineChars="200"/>
        <w:rPr>
          <w:rFonts w:hint="eastAsia" w:cs="宋体"/>
          <w:color w:val="auto"/>
          <w:lang w:val="en-US" w:eastAsia="zh-CN"/>
        </w:rPr>
      </w:pPr>
      <w:r>
        <w:rPr>
          <w:rFonts w:hint="eastAsia" w:cs="宋体"/>
          <w:color w:val="auto"/>
          <w:lang w:val="en-US" w:eastAsia="zh-CN"/>
        </w:rPr>
        <w:t>因变更引起工期变化的，合同当事人均可要求调整合同工期，由合同当事人按照第4.4款〔商定或确定〕并参考工程所在地的工期定额标准确定增减工期天数。</w:t>
      </w:r>
    </w:p>
    <w:p>
      <w:pPr>
        <w:pStyle w:val="26"/>
        <w:numPr>
          <w:ilvl w:val="0"/>
          <w:numId w:val="0"/>
        </w:numPr>
        <w:spacing w:before="0" w:beforeAutospacing="0" w:after="0" w:afterAutospacing="0" w:line="360" w:lineRule="auto"/>
        <w:ind w:firstLine="482" w:firstLineChars="200"/>
        <w:rPr>
          <w:rFonts w:hint="eastAsia" w:cs="宋体"/>
          <w:b/>
          <w:bCs/>
          <w:color w:val="auto"/>
          <w:lang w:val="en-US" w:eastAsia="zh-CN"/>
        </w:rPr>
      </w:pPr>
      <w:r>
        <w:rPr>
          <w:rFonts w:hint="eastAsia" w:cs="宋体"/>
          <w:b/>
          <w:bCs/>
          <w:color w:val="auto"/>
          <w:lang w:val="en-US" w:eastAsia="zh-CN"/>
        </w:rPr>
        <w:t>10.7暂估价</w:t>
      </w:r>
    </w:p>
    <w:p>
      <w:pPr>
        <w:pStyle w:val="26"/>
        <w:numPr>
          <w:ilvl w:val="0"/>
          <w:numId w:val="0"/>
        </w:numPr>
        <w:spacing w:before="0" w:beforeAutospacing="0" w:after="0" w:afterAutospacing="0" w:line="360" w:lineRule="auto"/>
        <w:ind w:firstLine="480" w:firstLineChars="200"/>
        <w:rPr>
          <w:rFonts w:hint="eastAsia" w:cs="宋体"/>
          <w:color w:val="auto"/>
          <w:lang w:val="en-US" w:eastAsia="zh-CN"/>
        </w:rPr>
      </w:pPr>
      <w:r>
        <w:rPr>
          <w:rFonts w:hint="eastAsia" w:cs="宋体"/>
          <w:color w:val="auto"/>
          <w:lang w:val="en-US" w:eastAsia="zh-CN"/>
        </w:rPr>
        <w:t>暂估价专业分包工程、服务、材料和工程设备的明细由合同当事人在专用合同条款中约定。</w:t>
      </w:r>
    </w:p>
    <w:p>
      <w:pPr>
        <w:pStyle w:val="26"/>
        <w:numPr>
          <w:ilvl w:val="0"/>
          <w:numId w:val="0"/>
        </w:numPr>
        <w:spacing w:before="0" w:beforeAutospacing="0" w:after="0" w:afterAutospacing="0" w:line="360" w:lineRule="auto"/>
        <w:ind w:firstLine="480" w:firstLineChars="200"/>
        <w:rPr>
          <w:rFonts w:hint="eastAsia" w:cs="宋体"/>
          <w:color w:val="auto"/>
          <w:lang w:val="en-US" w:eastAsia="zh-CN"/>
        </w:rPr>
      </w:pPr>
      <w:r>
        <w:rPr>
          <w:rFonts w:hint="eastAsia" w:cs="宋体"/>
          <w:color w:val="auto"/>
          <w:lang w:val="en-US" w:eastAsia="zh-CN"/>
        </w:rPr>
        <w:t>10.7.1依法必须招标的暂估价项目</w:t>
      </w:r>
    </w:p>
    <w:p>
      <w:pPr>
        <w:pStyle w:val="26"/>
        <w:numPr>
          <w:ilvl w:val="0"/>
          <w:numId w:val="0"/>
        </w:numPr>
        <w:spacing w:before="0" w:beforeAutospacing="0" w:after="0" w:afterAutospacing="0" w:line="360" w:lineRule="auto"/>
        <w:ind w:firstLine="480" w:firstLineChars="200"/>
        <w:rPr>
          <w:rFonts w:hint="eastAsia" w:cs="宋体"/>
          <w:color w:val="auto"/>
          <w:lang w:val="en-US" w:eastAsia="zh-CN"/>
        </w:rPr>
      </w:pPr>
      <w:r>
        <w:rPr>
          <w:rFonts w:hint="eastAsia" w:cs="宋体"/>
          <w:color w:val="auto"/>
          <w:lang w:val="en-US" w:eastAsia="zh-CN"/>
        </w:rPr>
        <w:t>对于依法必须招标的暂估价项目，采取以下第1种方式确定。合同当事人也可以在专用合同条款中选择其他招标方式。</w:t>
      </w:r>
    </w:p>
    <w:p>
      <w:pPr>
        <w:pStyle w:val="26"/>
        <w:numPr>
          <w:ilvl w:val="0"/>
          <w:numId w:val="0"/>
        </w:numPr>
        <w:spacing w:before="0" w:beforeAutospacing="0" w:after="0" w:afterAutospacing="0" w:line="360" w:lineRule="auto"/>
        <w:ind w:firstLine="480" w:firstLineChars="200"/>
        <w:rPr>
          <w:rFonts w:hint="eastAsia" w:cs="宋体"/>
          <w:color w:val="auto"/>
          <w:lang w:val="en-US" w:eastAsia="zh-CN"/>
        </w:rPr>
      </w:pPr>
      <w:r>
        <w:rPr>
          <w:rFonts w:hint="eastAsia" w:cs="宋体"/>
          <w:color w:val="auto"/>
          <w:lang w:val="en-US" w:eastAsia="zh-CN"/>
        </w:rPr>
        <w:t>第1种方式：对于依法必须招标的暂估价项目，由承包人招标，对该暂估价项目的确认和批准按照以下约定执行：</w:t>
      </w:r>
    </w:p>
    <w:p>
      <w:pPr>
        <w:pStyle w:val="26"/>
        <w:numPr>
          <w:ilvl w:val="0"/>
          <w:numId w:val="0"/>
        </w:numPr>
        <w:spacing w:before="0" w:beforeAutospacing="0" w:after="0" w:afterAutospacing="0" w:line="360" w:lineRule="auto"/>
        <w:ind w:firstLine="480" w:firstLineChars="200"/>
        <w:rPr>
          <w:rFonts w:hint="eastAsia" w:cs="宋体"/>
          <w:color w:val="auto"/>
          <w:lang w:val="en-US" w:eastAsia="zh-CN"/>
        </w:rPr>
      </w:pPr>
      <w:r>
        <w:rPr>
          <w:rFonts w:hint="eastAsia" w:cs="宋体"/>
          <w:color w:val="auto"/>
          <w:lang w:val="en-US" w:eastAsia="zh-CN"/>
        </w:rPr>
        <w:t>(1)承包人应当根据施工进度计划，在招标工作启动前14天将招标方案通过监</w:t>
      </w:r>
    </w:p>
    <w:p>
      <w:pPr>
        <w:pStyle w:val="26"/>
        <w:numPr>
          <w:ilvl w:val="0"/>
          <w:numId w:val="0"/>
        </w:numPr>
        <w:spacing w:before="0" w:beforeAutospacing="0" w:after="0" w:afterAutospacing="0" w:line="360" w:lineRule="auto"/>
        <w:rPr>
          <w:rFonts w:hint="eastAsia" w:cs="宋体"/>
          <w:color w:val="auto"/>
          <w:lang w:val="en-US" w:eastAsia="zh-CN"/>
        </w:rPr>
      </w:pPr>
      <w:r>
        <w:rPr>
          <w:rFonts w:hint="eastAsia" w:cs="宋体"/>
          <w:color w:val="auto"/>
          <w:lang w:val="en-US" w:eastAsia="zh-CN"/>
        </w:rPr>
        <w:t>理人报送发包人审查，发包人应当在收到承包人报送的招标方案后7天内批准或提出修改意见。承包人应当按照经过发包人批准的招标方案开展招标工作；</w:t>
      </w:r>
    </w:p>
    <w:p>
      <w:pPr>
        <w:pStyle w:val="26"/>
        <w:numPr>
          <w:ilvl w:val="0"/>
          <w:numId w:val="0"/>
        </w:numPr>
        <w:spacing w:before="0" w:beforeAutospacing="0" w:after="0" w:afterAutospacing="0" w:line="360" w:lineRule="auto"/>
        <w:ind w:firstLine="480" w:firstLineChars="200"/>
        <w:rPr>
          <w:rFonts w:hint="eastAsia" w:cs="宋体"/>
          <w:color w:val="auto"/>
          <w:lang w:val="en-US" w:eastAsia="zh-CN"/>
        </w:rPr>
      </w:pPr>
      <w:r>
        <w:rPr>
          <w:rFonts w:hint="eastAsia" w:cs="宋体"/>
          <w:color w:val="auto"/>
          <w:lang w:val="en-US" w:eastAsia="zh-CN"/>
        </w:rPr>
        <w:t>(2)承包人应当根据施工进度计划，提前14天将磋商文件通过监理人报送发包人审批，发包人应当在收到承包人报送的相关文件后7天内完成审批或提出修改意见；发包人有权确定招标控制价并按照法律规定参加评标；</w:t>
      </w:r>
    </w:p>
    <w:p>
      <w:pPr>
        <w:pStyle w:val="26"/>
        <w:numPr>
          <w:ilvl w:val="0"/>
          <w:numId w:val="0"/>
        </w:numPr>
        <w:spacing w:before="0" w:beforeAutospacing="0" w:after="0" w:afterAutospacing="0" w:line="360" w:lineRule="auto"/>
        <w:ind w:firstLine="480" w:firstLineChars="200"/>
        <w:rPr>
          <w:rFonts w:hint="eastAsia" w:cs="宋体"/>
          <w:color w:val="auto"/>
          <w:lang w:val="en-US" w:eastAsia="zh-CN"/>
        </w:rPr>
      </w:pPr>
      <w:r>
        <w:rPr>
          <w:rFonts w:hint="eastAsia" w:cs="宋体"/>
          <w:color w:val="auto"/>
          <w:lang w:val="en-US" w:eastAsia="zh-CN"/>
        </w:rPr>
        <w:t>(3)承包人与投标单位、分包人在签订暂估价合同前，应当提前7天将确定的中标候选单位或中标候选分包人的资料报送发包人，发包人应在收到资料后3天内与承包人共同确定中标人；承包人应当在签订合同后7天内，将暂估价合同副本报送发包人留存。</w:t>
      </w:r>
    </w:p>
    <w:p>
      <w:pPr>
        <w:pStyle w:val="26"/>
        <w:numPr>
          <w:ilvl w:val="0"/>
          <w:numId w:val="0"/>
        </w:numPr>
        <w:spacing w:before="0" w:beforeAutospacing="0" w:after="0" w:afterAutospacing="0" w:line="360" w:lineRule="auto"/>
        <w:ind w:firstLine="480" w:firstLineChars="200"/>
        <w:rPr>
          <w:rFonts w:hint="eastAsia" w:cs="宋体"/>
          <w:color w:val="auto"/>
          <w:lang w:val="en-US" w:eastAsia="zh-CN"/>
        </w:rPr>
      </w:pPr>
      <w:r>
        <w:rPr>
          <w:rFonts w:hint="eastAsia" w:cs="宋体"/>
          <w:color w:val="auto"/>
          <w:lang w:val="en-US" w:eastAsia="zh-CN"/>
        </w:rPr>
        <w:t>第2种方式：对于依法必须招标的暂估价项目，由发包人和承包人共同招标确定暂估价投标单位或分包人的，承包人应按照施工进度计划，在招标工作启动前14天通知发包人，并提交暂估价招标方案和工作分工。发包人应在收到后7天内确认。确定中标人后，由发包人、承包人与中标人共同签订暂估价合同。</w:t>
      </w:r>
    </w:p>
    <w:p>
      <w:pPr>
        <w:pStyle w:val="26"/>
        <w:numPr>
          <w:ilvl w:val="0"/>
          <w:numId w:val="0"/>
        </w:numPr>
        <w:spacing w:before="0" w:beforeAutospacing="0" w:after="0" w:afterAutospacing="0" w:line="360" w:lineRule="auto"/>
        <w:ind w:firstLine="480" w:firstLineChars="200"/>
        <w:rPr>
          <w:rFonts w:hint="eastAsia" w:cs="宋体"/>
          <w:color w:val="auto"/>
          <w:lang w:val="en-US" w:eastAsia="zh-CN"/>
        </w:rPr>
      </w:pPr>
      <w:r>
        <w:rPr>
          <w:rFonts w:hint="eastAsia" w:cs="宋体"/>
          <w:color w:val="auto"/>
          <w:lang w:val="en-US" w:eastAsia="zh-CN"/>
        </w:rPr>
        <w:t>10.7.2不属于依法必须招标的暂估价项目</w:t>
      </w:r>
    </w:p>
    <w:p>
      <w:pPr>
        <w:pStyle w:val="26"/>
        <w:numPr>
          <w:ilvl w:val="0"/>
          <w:numId w:val="0"/>
        </w:numPr>
        <w:spacing w:before="0" w:beforeAutospacing="0" w:after="0" w:afterAutospacing="0" w:line="360" w:lineRule="auto"/>
        <w:ind w:firstLine="480" w:firstLineChars="200"/>
        <w:rPr>
          <w:rFonts w:hint="eastAsia" w:cs="宋体"/>
          <w:color w:val="auto"/>
          <w:lang w:val="en-US" w:eastAsia="zh-CN"/>
        </w:rPr>
      </w:pPr>
      <w:r>
        <w:rPr>
          <w:rFonts w:hint="eastAsia" w:cs="宋体"/>
          <w:color w:val="auto"/>
          <w:lang w:val="en-US" w:eastAsia="zh-CN"/>
        </w:rPr>
        <w:t>除专用合同条款另有约定外，对于不属于依法必须招标的暂估价项目，采取以下第1种方式确定：</w:t>
      </w:r>
    </w:p>
    <w:p>
      <w:pPr>
        <w:pStyle w:val="26"/>
        <w:numPr>
          <w:ilvl w:val="0"/>
          <w:numId w:val="0"/>
        </w:numPr>
        <w:spacing w:before="0" w:beforeAutospacing="0" w:after="0" w:afterAutospacing="0" w:line="360" w:lineRule="auto"/>
        <w:ind w:firstLine="480" w:firstLineChars="200"/>
        <w:rPr>
          <w:rFonts w:hint="eastAsia" w:cs="宋体"/>
          <w:color w:val="auto"/>
          <w:lang w:val="en-US" w:eastAsia="zh-CN"/>
        </w:rPr>
      </w:pPr>
      <w:r>
        <w:rPr>
          <w:rFonts w:hint="eastAsia" w:cs="宋体"/>
          <w:color w:val="auto"/>
          <w:lang w:val="en-US" w:eastAsia="zh-CN"/>
        </w:rPr>
        <w:t>第1种方式：对于不属于依法必须招标的暂估价项目，按本项约定确认和批准：</w:t>
      </w:r>
    </w:p>
    <w:p>
      <w:pPr>
        <w:pStyle w:val="26"/>
        <w:numPr>
          <w:ilvl w:val="0"/>
          <w:numId w:val="0"/>
        </w:numPr>
        <w:spacing w:before="0" w:beforeAutospacing="0" w:after="0" w:afterAutospacing="0" w:line="360" w:lineRule="auto"/>
        <w:ind w:firstLine="480" w:firstLineChars="200"/>
        <w:rPr>
          <w:rFonts w:hint="eastAsia" w:cs="宋体"/>
          <w:color w:val="auto"/>
          <w:lang w:val="en-US" w:eastAsia="zh-CN"/>
        </w:rPr>
      </w:pPr>
      <w:r>
        <w:rPr>
          <w:rFonts w:hint="eastAsia" w:cs="宋体"/>
          <w:color w:val="auto"/>
          <w:lang w:val="en-US" w:eastAsia="zh-CN"/>
        </w:rPr>
        <w:t>(1)承包人应根据施工进度计划，在签订暂估价项目的采购合同、分包合同前28天向监理人提出书面申请。监理人应当在收到申请后3天内报送发包人，发包人应当在收到申请后14天内给予批准或提出修改意见，发包人逾期未予批准或提出修改意见的，视为该书面申请已获得同意；</w:t>
      </w:r>
    </w:p>
    <w:p>
      <w:pPr>
        <w:pStyle w:val="26"/>
        <w:numPr>
          <w:ilvl w:val="0"/>
          <w:numId w:val="0"/>
        </w:numPr>
        <w:spacing w:before="0" w:beforeAutospacing="0" w:after="0" w:afterAutospacing="0" w:line="360" w:lineRule="auto"/>
        <w:ind w:firstLine="480" w:firstLineChars="200"/>
        <w:rPr>
          <w:rFonts w:hint="eastAsia" w:cs="宋体"/>
          <w:color w:val="auto"/>
          <w:lang w:val="en-US" w:eastAsia="zh-CN"/>
        </w:rPr>
      </w:pPr>
      <w:r>
        <w:rPr>
          <w:rFonts w:hint="eastAsia" w:cs="宋体"/>
          <w:color w:val="auto"/>
          <w:lang w:val="en-US" w:eastAsia="zh-CN"/>
        </w:rPr>
        <w:t>(2)发包人认为承包人确定的投标单位、分包人无法满足工程质量或合同要求的，发包人可以要求承包人重新确定暂估价项目的投标单位、分包人;</w:t>
      </w:r>
    </w:p>
    <w:p>
      <w:pPr>
        <w:pStyle w:val="26"/>
        <w:numPr>
          <w:ilvl w:val="0"/>
          <w:numId w:val="0"/>
        </w:numPr>
        <w:spacing w:before="0" w:beforeAutospacing="0" w:after="0" w:afterAutospacing="0" w:line="360" w:lineRule="auto"/>
        <w:ind w:firstLine="480" w:firstLineChars="200"/>
        <w:rPr>
          <w:rFonts w:hint="eastAsia" w:cs="宋体"/>
          <w:color w:val="auto"/>
          <w:lang w:val="en-US" w:eastAsia="zh-CN"/>
        </w:rPr>
      </w:pPr>
      <w:r>
        <w:rPr>
          <w:rFonts w:hint="eastAsia" w:cs="宋体"/>
          <w:color w:val="auto"/>
          <w:lang w:val="en-US" w:eastAsia="zh-CN"/>
        </w:rPr>
        <w:t>(3)承包人应当在签订暂估价合同后7天内，将暂估价合同副本报送发包人留存。</w:t>
      </w:r>
    </w:p>
    <w:p>
      <w:pPr>
        <w:pStyle w:val="26"/>
        <w:numPr>
          <w:ilvl w:val="0"/>
          <w:numId w:val="0"/>
        </w:numPr>
        <w:spacing w:before="0" w:beforeAutospacing="0" w:after="0" w:afterAutospacing="0" w:line="360" w:lineRule="auto"/>
        <w:ind w:firstLine="480" w:firstLineChars="200"/>
        <w:rPr>
          <w:rFonts w:hint="eastAsia" w:cs="宋体"/>
          <w:color w:val="auto"/>
          <w:lang w:val="en-US" w:eastAsia="zh-CN"/>
        </w:rPr>
      </w:pPr>
      <w:r>
        <w:rPr>
          <w:rFonts w:hint="eastAsia" w:cs="宋体"/>
          <w:color w:val="auto"/>
          <w:lang w:val="en-US" w:eastAsia="zh-CN"/>
        </w:rPr>
        <w:t>第2种方式：承包人按照第10.7.1项〔依法必须招标的暂估价项目〕约定的第1种方式确定暂估价项目。</w:t>
      </w:r>
    </w:p>
    <w:p>
      <w:pPr>
        <w:pStyle w:val="26"/>
        <w:numPr>
          <w:ilvl w:val="0"/>
          <w:numId w:val="0"/>
        </w:numPr>
        <w:spacing w:before="0" w:beforeAutospacing="0" w:after="0" w:afterAutospacing="0" w:line="360" w:lineRule="auto"/>
        <w:ind w:firstLine="480" w:firstLineChars="200"/>
        <w:rPr>
          <w:rFonts w:hint="eastAsia" w:cs="宋体"/>
          <w:color w:val="auto"/>
          <w:lang w:val="en-US" w:eastAsia="zh-CN"/>
        </w:rPr>
      </w:pPr>
      <w:r>
        <w:rPr>
          <w:rFonts w:hint="eastAsia" w:cs="宋体"/>
          <w:color w:val="auto"/>
          <w:lang w:val="en-US" w:eastAsia="zh-CN"/>
        </w:rPr>
        <w:t>第3种方式：承包人直接实施的暂估价项目承包人具备实施暂估价项目的资格和条件的，经发包人和承包人协商一致后，可由承包人自行实施暂估价项目，合同当事人可以在专用合同条款约定具体事项。</w:t>
      </w:r>
    </w:p>
    <w:p>
      <w:pPr>
        <w:pStyle w:val="26"/>
        <w:numPr>
          <w:ilvl w:val="0"/>
          <w:numId w:val="0"/>
        </w:numPr>
        <w:spacing w:before="0" w:beforeAutospacing="0" w:after="0" w:afterAutospacing="0" w:line="360" w:lineRule="auto"/>
        <w:ind w:firstLine="480" w:firstLineChars="200"/>
        <w:rPr>
          <w:rFonts w:hint="eastAsia" w:cs="宋体"/>
          <w:color w:val="auto"/>
          <w:lang w:val="en-US" w:eastAsia="zh-CN"/>
        </w:rPr>
      </w:pPr>
      <w:r>
        <w:rPr>
          <w:rFonts w:hint="eastAsia" w:cs="宋体"/>
          <w:color w:val="auto"/>
          <w:lang w:val="en-US" w:eastAsia="zh-CN"/>
        </w:rPr>
        <w:t>10.7.3因发包人原因导致暂估价合同订立和履行迟延的，由此增加的费用和(或)延误的工期由发包人承担，并支付承包人合理的利润。因承包人原因导致暂估价合同订立和履行迟延的，由此增加的费用和(或)延误的工期由承包人承担。</w:t>
      </w:r>
    </w:p>
    <w:p>
      <w:pPr>
        <w:pStyle w:val="26"/>
        <w:numPr>
          <w:ilvl w:val="0"/>
          <w:numId w:val="0"/>
        </w:numPr>
        <w:spacing w:before="0" w:beforeAutospacing="0" w:after="0" w:afterAutospacing="0" w:line="360" w:lineRule="auto"/>
        <w:ind w:firstLine="482" w:firstLineChars="200"/>
        <w:rPr>
          <w:rFonts w:hint="eastAsia" w:cs="宋体"/>
          <w:b/>
          <w:bCs/>
          <w:color w:val="auto"/>
          <w:lang w:val="en-US" w:eastAsia="zh-CN"/>
        </w:rPr>
      </w:pPr>
      <w:r>
        <w:rPr>
          <w:rFonts w:hint="eastAsia" w:cs="宋体"/>
          <w:b/>
          <w:bCs/>
          <w:color w:val="auto"/>
          <w:lang w:val="en-US" w:eastAsia="zh-CN"/>
        </w:rPr>
        <w:t>10.8暂列金额</w:t>
      </w:r>
    </w:p>
    <w:p>
      <w:pPr>
        <w:pStyle w:val="26"/>
        <w:numPr>
          <w:ilvl w:val="0"/>
          <w:numId w:val="0"/>
        </w:numPr>
        <w:spacing w:before="0" w:beforeAutospacing="0" w:after="0" w:afterAutospacing="0" w:line="360" w:lineRule="auto"/>
        <w:ind w:firstLine="480" w:firstLineChars="200"/>
        <w:rPr>
          <w:rFonts w:hint="eastAsia" w:cs="宋体"/>
          <w:color w:val="auto"/>
          <w:lang w:val="en-US" w:eastAsia="zh-CN"/>
        </w:rPr>
      </w:pPr>
      <w:r>
        <w:rPr>
          <w:rFonts w:hint="eastAsia" w:cs="宋体"/>
          <w:color w:val="auto"/>
          <w:lang w:val="en-US" w:eastAsia="zh-CN"/>
        </w:rPr>
        <w:t>暂列金额应按照发包人的要求使用，发包人的要求应通过监理人发出。合同当事人可以在专用合同条款中协商确定有关事项。</w:t>
      </w:r>
    </w:p>
    <w:p>
      <w:pPr>
        <w:pStyle w:val="26"/>
        <w:numPr>
          <w:ilvl w:val="0"/>
          <w:numId w:val="0"/>
        </w:numPr>
        <w:spacing w:before="0" w:beforeAutospacing="0" w:after="0" w:afterAutospacing="0" w:line="360" w:lineRule="auto"/>
        <w:ind w:firstLine="482" w:firstLineChars="200"/>
        <w:rPr>
          <w:rFonts w:hint="eastAsia" w:cs="宋体"/>
          <w:b/>
          <w:bCs/>
          <w:color w:val="auto"/>
          <w:lang w:val="en-US" w:eastAsia="zh-CN"/>
        </w:rPr>
      </w:pPr>
      <w:r>
        <w:rPr>
          <w:rFonts w:hint="eastAsia" w:cs="宋体"/>
          <w:b/>
          <w:bCs/>
          <w:color w:val="auto"/>
          <w:lang w:val="en-US" w:eastAsia="zh-CN"/>
        </w:rPr>
        <w:t>10.9计日工</w:t>
      </w:r>
    </w:p>
    <w:p>
      <w:pPr>
        <w:pStyle w:val="26"/>
        <w:numPr>
          <w:ilvl w:val="0"/>
          <w:numId w:val="0"/>
        </w:numPr>
        <w:spacing w:before="0" w:beforeAutospacing="0" w:after="0" w:afterAutospacing="0" w:line="360" w:lineRule="auto"/>
        <w:ind w:firstLine="480" w:firstLineChars="200"/>
        <w:rPr>
          <w:rFonts w:hint="eastAsia" w:cs="宋体"/>
          <w:b/>
          <w:bCs/>
          <w:color w:val="auto"/>
          <w:lang w:val="en-US" w:eastAsia="zh-CN"/>
        </w:rPr>
      </w:pPr>
      <w:r>
        <w:rPr>
          <w:rFonts w:hint="eastAsia" w:cs="宋体"/>
          <w:color w:val="auto"/>
          <w:lang w:val="en-US" w:eastAsia="zh-CN"/>
        </w:rPr>
        <w:t>需要采用计日工方式的，经发包人同意后，由监理人通知承包人以计日工计价方</w:t>
      </w:r>
    </w:p>
    <w:p>
      <w:pPr>
        <w:pStyle w:val="26"/>
        <w:numPr>
          <w:ilvl w:val="0"/>
          <w:numId w:val="0"/>
        </w:numPr>
        <w:spacing w:before="0" w:beforeAutospacing="0" w:after="0" w:afterAutospacing="0" w:line="360" w:lineRule="auto"/>
        <w:rPr>
          <w:rFonts w:hint="eastAsia" w:cs="宋体"/>
          <w:color w:val="auto"/>
          <w:lang w:val="en-US" w:eastAsia="zh-CN"/>
        </w:rPr>
      </w:pPr>
      <w:r>
        <w:rPr>
          <w:rFonts w:hint="eastAsia" w:cs="宋体"/>
          <w:color w:val="auto"/>
          <w:lang w:val="en-US" w:eastAsia="zh-CN"/>
        </w:rPr>
        <w:t>式实施相应的工作，其价款按列入已标价工程量清单或预算书中的计日工计价项目及其单价进行计算；已标价工程量清单或预算书中无相应的计日工单价的，按照合理的成本与利润构成的原则，由合同当事人按照第4.4款〔商定或确定〕确定变更工作的单价。</w:t>
      </w:r>
    </w:p>
    <w:p>
      <w:pPr>
        <w:pStyle w:val="26"/>
        <w:numPr>
          <w:ilvl w:val="0"/>
          <w:numId w:val="0"/>
        </w:numPr>
        <w:spacing w:before="0" w:beforeAutospacing="0" w:after="0" w:afterAutospacing="0" w:line="360" w:lineRule="auto"/>
        <w:ind w:firstLine="480" w:firstLineChars="200"/>
        <w:rPr>
          <w:rFonts w:hint="eastAsia" w:cs="宋体"/>
          <w:color w:val="auto"/>
          <w:lang w:val="en-US" w:eastAsia="zh-CN"/>
        </w:rPr>
      </w:pPr>
      <w:r>
        <w:rPr>
          <w:rFonts w:hint="eastAsia" w:cs="宋体"/>
          <w:color w:val="auto"/>
          <w:lang w:val="en-US" w:eastAsia="zh-CN"/>
        </w:rPr>
        <w:t>采用计日工计价的任何一项工作，承包人应在该项工作实施过程中，每天提交以下报表和有关凭证报送监理人审查：</w:t>
      </w:r>
    </w:p>
    <w:p>
      <w:pPr>
        <w:pStyle w:val="26"/>
        <w:numPr>
          <w:ilvl w:val="0"/>
          <w:numId w:val="0"/>
        </w:numPr>
        <w:spacing w:before="0" w:beforeAutospacing="0" w:after="0" w:afterAutospacing="0" w:line="360" w:lineRule="auto"/>
        <w:ind w:firstLine="480" w:firstLineChars="200"/>
        <w:rPr>
          <w:rFonts w:hint="eastAsia" w:cs="宋体"/>
          <w:color w:val="auto"/>
          <w:lang w:val="en-US" w:eastAsia="zh-CN"/>
        </w:rPr>
      </w:pPr>
      <w:r>
        <w:rPr>
          <w:rFonts w:hint="eastAsia" w:cs="宋体"/>
          <w:color w:val="auto"/>
          <w:lang w:val="en-US" w:eastAsia="zh-CN"/>
        </w:rPr>
        <w:t>(1)工作名称、内容和数量；</w:t>
      </w:r>
    </w:p>
    <w:p>
      <w:pPr>
        <w:pStyle w:val="26"/>
        <w:numPr>
          <w:ilvl w:val="0"/>
          <w:numId w:val="0"/>
        </w:numPr>
        <w:spacing w:before="0" w:beforeAutospacing="0" w:after="0" w:afterAutospacing="0" w:line="360" w:lineRule="auto"/>
        <w:ind w:firstLine="480" w:firstLineChars="200"/>
        <w:rPr>
          <w:rFonts w:hint="eastAsia" w:cs="宋体"/>
          <w:color w:val="auto"/>
          <w:lang w:val="en-US" w:eastAsia="zh-CN"/>
        </w:rPr>
      </w:pPr>
      <w:r>
        <w:rPr>
          <w:rFonts w:hint="eastAsia" w:cs="宋体"/>
          <w:color w:val="auto"/>
          <w:lang w:val="en-US" w:eastAsia="zh-CN"/>
        </w:rPr>
        <w:t>(2)投入该工作的所有人员的姓名、专业、工种、级别和耗用工时；</w:t>
      </w:r>
    </w:p>
    <w:p>
      <w:pPr>
        <w:pStyle w:val="26"/>
        <w:numPr>
          <w:ilvl w:val="0"/>
          <w:numId w:val="0"/>
        </w:numPr>
        <w:spacing w:before="0" w:beforeAutospacing="0" w:after="0" w:afterAutospacing="0" w:line="360" w:lineRule="auto"/>
        <w:ind w:firstLine="480" w:firstLineChars="200"/>
        <w:rPr>
          <w:rFonts w:hint="eastAsia" w:cs="宋体"/>
          <w:color w:val="auto"/>
          <w:lang w:val="en-US" w:eastAsia="zh-CN"/>
        </w:rPr>
      </w:pPr>
      <w:r>
        <w:rPr>
          <w:rFonts w:hint="eastAsia" w:cs="宋体"/>
          <w:color w:val="auto"/>
          <w:lang w:val="en-US" w:eastAsia="zh-CN"/>
        </w:rPr>
        <w:t>(3)投入该工作的材料类别和数量；</w:t>
      </w:r>
    </w:p>
    <w:p>
      <w:pPr>
        <w:pStyle w:val="26"/>
        <w:numPr>
          <w:ilvl w:val="0"/>
          <w:numId w:val="0"/>
        </w:numPr>
        <w:spacing w:before="0" w:beforeAutospacing="0" w:after="0" w:afterAutospacing="0" w:line="360" w:lineRule="auto"/>
        <w:ind w:firstLine="480" w:firstLineChars="200"/>
        <w:rPr>
          <w:rFonts w:hint="eastAsia" w:cs="宋体"/>
          <w:color w:val="auto"/>
          <w:lang w:val="en-US" w:eastAsia="zh-CN"/>
        </w:rPr>
      </w:pPr>
      <w:r>
        <w:rPr>
          <w:rFonts w:hint="eastAsia" w:cs="宋体"/>
          <w:color w:val="auto"/>
          <w:lang w:val="en-US" w:eastAsia="zh-CN"/>
        </w:rPr>
        <w:t>(4)投入该工作的施工设备型号、台数和耗用台时；</w:t>
      </w:r>
    </w:p>
    <w:p>
      <w:pPr>
        <w:pStyle w:val="26"/>
        <w:numPr>
          <w:ilvl w:val="0"/>
          <w:numId w:val="0"/>
        </w:numPr>
        <w:spacing w:before="0" w:beforeAutospacing="0" w:after="0" w:afterAutospacing="0" w:line="360" w:lineRule="auto"/>
        <w:ind w:firstLine="480" w:firstLineChars="200"/>
        <w:rPr>
          <w:rFonts w:hint="eastAsia" w:cs="宋体"/>
          <w:color w:val="auto"/>
          <w:lang w:val="en-US" w:eastAsia="zh-CN"/>
        </w:rPr>
      </w:pPr>
      <w:r>
        <w:rPr>
          <w:rFonts w:hint="eastAsia" w:cs="宋体"/>
          <w:color w:val="auto"/>
          <w:lang w:val="en-US" w:eastAsia="zh-CN"/>
        </w:rPr>
        <w:t>(5)其他有关资料和凭证。</w:t>
      </w:r>
    </w:p>
    <w:p>
      <w:pPr>
        <w:pStyle w:val="26"/>
        <w:numPr>
          <w:ilvl w:val="0"/>
          <w:numId w:val="0"/>
        </w:numPr>
        <w:spacing w:before="0" w:beforeAutospacing="0" w:after="0" w:afterAutospacing="0" w:line="360" w:lineRule="auto"/>
        <w:ind w:firstLine="480" w:firstLineChars="200"/>
        <w:rPr>
          <w:rFonts w:hint="eastAsia" w:cs="宋体"/>
          <w:color w:val="auto"/>
          <w:lang w:val="en-US" w:eastAsia="zh-CN"/>
        </w:rPr>
      </w:pPr>
      <w:r>
        <w:rPr>
          <w:rFonts w:hint="eastAsia" w:cs="宋体"/>
          <w:color w:val="auto"/>
          <w:lang w:val="en-US" w:eastAsia="zh-CN"/>
        </w:rPr>
        <w:t>计日工由承包人汇总后，列入最近一期进度付款申请单，由监理人审查并经发包人批准后列入进度付款。</w:t>
      </w:r>
    </w:p>
    <w:p>
      <w:pPr>
        <w:pStyle w:val="26"/>
        <w:numPr>
          <w:ilvl w:val="0"/>
          <w:numId w:val="0"/>
        </w:numPr>
        <w:spacing w:before="0" w:beforeAutospacing="0" w:after="0" w:afterAutospacing="0" w:line="360" w:lineRule="auto"/>
        <w:ind w:firstLine="482" w:firstLineChars="200"/>
        <w:rPr>
          <w:rFonts w:hint="eastAsia" w:cs="宋体"/>
          <w:b/>
          <w:bCs/>
          <w:color w:val="auto"/>
          <w:lang w:val="en-US" w:eastAsia="zh-CN"/>
        </w:rPr>
      </w:pPr>
      <w:r>
        <w:rPr>
          <w:rFonts w:hint="eastAsia" w:cs="宋体"/>
          <w:b/>
          <w:bCs/>
          <w:color w:val="auto"/>
          <w:lang w:val="en-US" w:eastAsia="zh-CN"/>
        </w:rPr>
        <w:t>11.价格调整</w:t>
      </w:r>
    </w:p>
    <w:p>
      <w:pPr>
        <w:pStyle w:val="26"/>
        <w:numPr>
          <w:ilvl w:val="0"/>
          <w:numId w:val="0"/>
        </w:numPr>
        <w:spacing w:before="0" w:beforeAutospacing="0" w:after="0" w:afterAutospacing="0" w:line="360" w:lineRule="auto"/>
        <w:ind w:firstLine="482" w:firstLineChars="200"/>
        <w:rPr>
          <w:rFonts w:hint="eastAsia" w:cs="宋体"/>
          <w:b/>
          <w:bCs/>
          <w:color w:val="auto"/>
          <w:lang w:val="en-US" w:eastAsia="zh-CN"/>
        </w:rPr>
      </w:pPr>
      <w:r>
        <w:rPr>
          <w:rFonts w:hint="eastAsia" w:cs="宋体"/>
          <w:b/>
          <w:bCs/>
          <w:color w:val="auto"/>
          <w:lang w:val="en-US" w:eastAsia="zh-CN"/>
        </w:rPr>
        <w:t>11.1市场价格波动引起的调整</w:t>
      </w:r>
    </w:p>
    <w:p>
      <w:pPr>
        <w:pStyle w:val="26"/>
        <w:numPr>
          <w:ilvl w:val="0"/>
          <w:numId w:val="0"/>
        </w:numPr>
        <w:spacing w:before="0" w:beforeAutospacing="0" w:after="0" w:afterAutospacing="0" w:line="360" w:lineRule="auto"/>
        <w:ind w:firstLine="480" w:firstLineChars="200"/>
        <w:rPr>
          <w:rFonts w:hint="eastAsia" w:cs="宋体"/>
          <w:color w:val="auto"/>
          <w:lang w:val="en-US" w:eastAsia="zh-CN"/>
        </w:rPr>
      </w:pPr>
      <w:r>
        <w:rPr>
          <w:rFonts w:hint="eastAsia" w:cs="宋体"/>
          <w:color w:val="auto"/>
          <w:lang w:val="en-US" w:eastAsia="zh-CN"/>
        </w:rPr>
        <w:t>除专用合同条款另有约定外，市场价格波动超过合同当事人约定的范围，合同价格应当调整。合同当事人可以在专用合同条款中约定选择以下一种方式对合同价格进行调整：</w:t>
      </w:r>
    </w:p>
    <w:p>
      <w:pPr>
        <w:pStyle w:val="26"/>
        <w:numPr>
          <w:ilvl w:val="0"/>
          <w:numId w:val="0"/>
        </w:numPr>
        <w:spacing w:before="0" w:beforeAutospacing="0" w:after="0" w:afterAutospacing="0" w:line="360" w:lineRule="auto"/>
        <w:ind w:firstLine="480" w:firstLineChars="200"/>
        <w:rPr>
          <w:rFonts w:hint="eastAsia" w:cs="宋体"/>
          <w:color w:val="auto"/>
          <w:lang w:val="en-US" w:eastAsia="zh-CN"/>
        </w:rPr>
      </w:pPr>
      <w:r>
        <w:rPr>
          <w:rFonts w:hint="eastAsia" w:cs="宋体"/>
          <w:color w:val="auto"/>
          <w:lang w:val="en-US" w:eastAsia="zh-CN"/>
        </w:rPr>
        <w:t>第1种方式：采用价格指数进行价格调整。</w:t>
      </w:r>
    </w:p>
    <w:p>
      <w:pPr>
        <w:pStyle w:val="26"/>
        <w:numPr>
          <w:ilvl w:val="0"/>
          <w:numId w:val="0"/>
        </w:numPr>
        <w:spacing w:before="0" w:beforeAutospacing="0" w:after="0" w:afterAutospacing="0" w:line="360" w:lineRule="auto"/>
        <w:ind w:firstLine="480" w:firstLineChars="200"/>
        <w:rPr>
          <w:rFonts w:hint="eastAsia" w:cs="宋体"/>
          <w:color w:val="auto"/>
          <w:lang w:val="en-US" w:eastAsia="zh-CN"/>
        </w:rPr>
      </w:pPr>
      <w:r>
        <w:rPr>
          <w:rFonts w:hint="eastAsia" w:cs="宋体"/>
          <w:color w:val="auto"/>
          <w:lang w:val="en-US" w:eastAsia="zh-CN"/>
        </w:rPr>
        <w:t>(1)价格调整公式</w:t>
      </w:r>
    </w:p>
    <w:p>
      <w:pPr>
        <w:pStyle w:val="26"/>
        <w:numPr>
          <w:ilvl w:val="0"/>
          <w:numId w:val="0"/>
        </w:numPr>
        <w:spacing w:before="0" w:beforeAutospacing="0" w:after="0" w:afterAutospacing="0" w:line="360" w:lineRule="auto"/>
        <w:ind w:firstLine="480" w:firstLineChars="200"/>
        <w:rPr>
          <w:rFonts w:hint="eastAsia" w:cs="宋体"/>
          <w:color w:val="auto"/>
          <w:lang w:val="en-US" w:eastAsia="zh-CN"/>
        </w:rPr>
      </w:pPr>
      <w:r>
        <w:rPr>
          <w:rFonts w:hint="eastAsia" w:cs="宋体"/>
          <w:color w:val="auto"/>
          <w:lang w:val="en-US" w:eastAsia="zh-CN"/>
        </w:rPr>
        <w:t>因人工、材料和设备等价格波动影响合同价格时，根据专用合同条款中约定的数</w:t>
      </w:r>
    </w:p>
    <w:p>
      <w:pPr>
        <w:pStyle w:val="26"/>
        <w:numPr>
          <w:ilvl w:val="0"/>
          <w:numId w:val="0"/>
        </w:numPr>
        <w:spacing w:before="0" w:beforeAutospacing="0" w:after="0" w:afterAutospacing="0" w:line="360" w:lineRule="auto"/>
        <w:ind w:firstLine="480" w:firstLineChars="200"/>
        <w:rPr>
          <w:rFonts w:hint="eastAsia" w:cs="宋体"/>
          <w:color w:val="auto"/>
          <w:lang w:val="en-US" w:eastAsia="zh-CN"/>
        </w:rPr>
      </w:pPr>
      <w:r>
        <w:rPr>
          <w:rFonts w:hint="eastAsia" w:cs="宋体"/>
          <w:color w:val="auto"/>
          <w:lang w:val="en-US" w:eastAsia="zh-CN"/>
        </w:rPr>
        <w:t>据，按以下公式计算差额并调整合同价格：</w:t>
      </w:r>
    </w:p>
    <w:p>
      <w:pPr>
        <w:pStyle w:val="26"/>
        <w:numPr>
          <w:ilvl w:val="0"/>
          <w:numId w:val="0"/>
        </w:numPr>
        <w:spacing w:before="0" w:beforeAutospacing="0" w:after="0" w:afterAutospacing="0" w:line="360" w:lineRule="auto"/>
        <w:ind w:firstLine="480" w:firstLineChars="200"/>
        <w:rPr>
          <w:rFonts w:hint="eastAsia" w:cs="宋体"/>
          <w:color w:val="auto"/>
          <w:lang w:val="en-US" w:eastAsia="zh-CN"/>
        </w:rPr>
      </w:pPr>
      <w:r>
        <w:rPr>
          <w:rFonts w:hint="eastAsia" w:cs="宋体"/>
          <w:color w:val="auto"/>
          <w:lang w:val="en-US" w:eastAsia="zh-CN"/>
        </w:rPr>
        <w:t>AP=P0</w:t>
      </w:r>
      <w:r>
        <w:rPr>
          <w:rFonts w:hint="eastAsia" w:cs="宋体"/>
          <w:color w:val="auto"/>
          <w:lang w:val="en-US" w:eastAsia="zh-CN"/>
        </w:rPr>
        <w:drawing>
          <wp:inline distT="0" distB="0" distL="0" distR="0">
            <wp:extent cx="84455" cy="635635"/>
            <wp:effectExtent l="0" t="0" r="10795" b="12065"/>
            <wp:docPr id="73" name="IM 3"/>
            <wp:cNvGraphicFramePr/>
            <a:graphic xmlns:a="http://schemas.openxmlformats.org/drawingml/2006/main">
              <a:graphicData uri="http://schemas.openxmlformats.org/drawingml/2006/picture">
                <pic:pic xmlns:pic="http://schemas.openxmlformats.org/drawingml/2006/picture">
                  <pic:nvPicPr>
                    <pic:cNvPr id="73" name="IM 3"/>
                    <pic:cNvPicPr/>
                  </pic:nvPicPr>
                  <pic:blipFill>
                    <a:blip r:embed="rId35"/>
                    <a:stretch>
                      <a:fillRect/>
                    </a:stretch>
                  </pic:blipFill>
                  <pic:spPr>
                    <a:xfrm>
                      <a:off x="0" y="0"/>
                      <a:ext cx="84915" cy="636088"/>
                    </a:xfrm>
                    <a:prstGeom prst="rect">
                      <a:avLst/>
                    </a:prstGeom>
                  </pic:spPr>
                </pic:pic>
              </a:graphicData>
            </a:graphic>
          </wp:inline>
        </w:drawing>
      </w:r>
      <w:r>
        <w:rPr>
          <w:rFonts w:hint="eastAsia" w:cs="宋体"/>
          <w:color w:val="auto"/>
          <w:lang w:val="en-US" w:eastAsia="zh-CN"/>
        </w:rPr>
        <w:t>A+</w:t>
      </w:r>
      <w:r>
        <w:rPr>
          <w:rFonts w:hint="eastAsia" w:cs="宋体"/>
          <w:color w:val="auto"/>
          <w:lang w:val="en-US" w:eastAsia="zh-CN"/>
        </w:rPr>
        <w:drawing>
          <wp:inline distT="0" distB="0" distL="0" distR="0">
            <wp:extent cx="87630" cy="598805"/>
            <wp:effectExtent l="0" t="0" r="7620" b="10795"/>
            <wp:docPr id="74" name="IM 4"/>
            <wp:cNvGraphicFramePr/>
            <a:graphic xmlns:a="http://schemas.openxmlformats.org/drawingml/2006/main">
              <a:graphicData uri="http://schemas.openxmlformats.org/drawingml/2006/picture">
                <pic:pic xmlns:pic="http://schemas.openxmlformats.org/drawingml/2006/picture">
                  <pic:nvPicPr>
                    <pic:cNvPr id="74" name="IM 4"/>
                    <pic:cNvPicPr/>
                  </pic:nvPicPr>
                  <pic:blipFill>
                    <a:blip r:embed="rId36"/>
                    <a:stretch>
                      <a:fillRect/>
                    </a:stretch>
                  </pic:blipFill>
                  <pic:spPr>
                    <a:xfrm>
                      <a:off x="0" y="0"/>
                      <a:ext cx="87797" cy="599005"/>
                    </a:xfrm>
                    <a:prstGeom prst="rect">
                      <a:avLst/>
                    </a:prstGeom>
                  </pic:spPr>
                </pic:pic>
              </a:graphicData>
            </a:graphic>
          </wp:inline>
        </w:drawing>
      </w:r>
      <w:r>
        <w:rPr>
          <w:rFonts w:hint="eastAsia" w:cs="宋体"/>
          <w:color w:val="auto"/>
          <w:lang w:val="en-US" w:eastAsia="zh-CN"/>
        </w:rPr>
        <w:t>B1收</w:t>
      </w:r>
      <w:r>
        <w:rPr>
          <w:rFonts w:hint="eastAsia" w:cs="宋体"/>
          <w:color w:val="auto"/>
          <w:lang w:val="en-US" w:eastAsia="zh-CN"/>
        </w:rPr>
        <w:drawing>
          <wp:inline distT="0" distB="0" distL="0" distR="0">
            <wp:extent cx="246380" cy="466090"/>
            <wp:effectExtent l="0" t="0" r="1270" b="10160"/>
            <wp:docPr id="75" name="IM 5"/>
            <wp:cNvGraphicFramePr/>
            <a:graphic xmlns:a="http://schemas.openxmlformats.org/drawingml/2006/main">
              <a:graphicData uri="http://schemas.openxmlformats.org/drawingml/2006/picture">
                <pic:pic xmlns:pic="http://schemas.openxmlformats.org/drawingml/2006/picture">
                  <pic:nvPicPr>
                    <pic:cNvPr id="75" name="IM 5"/>
                    <pic:cNvPicPr/>
                  </pic:nvPicPr>
                  <pic:blipFill>
                    <a:blip r:embed="rId37"/>
                    <a:stretch>
                      <a:fillRect/>
                    </a:stretch>
                  </pic:blipFill>
                  <pic:spPr>
                    <a:xfrm>
                      <a:off x="0" y="0"/>
                      <a:ext cx="246463" cy="466185"/>
                    </a:xfrm>
                    <a:prstGeom prst="rect">
                      <a:avLst/>
                    </a:prstGeom>
                  </pic:spPr>
                </pic:pic>
              </a:graphicData>
            </a:graphic>
          </wp:inline>
        </w:drawing>
      </w:r>
      <w:r>
        <w:rPr>
          <w:rFonts w:hint="eastAsia" w:cs="宋体"/>
          <w:color w:val="auto"/>
          <w:lang w:val="en-US" w:eastAsia="zh-CN"/>
        </w:rPr>
        <w:t>+B2收</w:t>
      </w:r>
      <w:r>
        <w:rPr>
          <w:rFonts w:hint="eastAsia" w:cs="宋体"/>
          <w:color w:val="auto"/>
          <w:lang w:val="en-US" w:eastAsia="zh-CN"/>
        </w:rPr>
        <w:drawing>
          <wp:inline distT="0" distB="0" distL="0" distR="0">
            <wp:extent cx="246380" cy="466090"/>
            <wp:effectExtent l="0" t="0" r="1270" b="10160"/>
            <wp:docPr id="76" name="IM 6"/>
            <wp:cNvGraphicFramePr/>
            <a:graphic xmlns:a="http://schemas.openxmlformats.org/drawingml/2006/main">
              <a:graphicData uri="http://schemas.openxmlformats.org/drawingml/2006/picture">
                <pic:pic xmlns:pic="http://schemas.openxmlformats.org/drawingml/2006/picture">
                  <pic:nvPicPr>
                    <pic:cNvPr id="76" name="IM 6"/>
                    <pic:cNvPicPr/>
                  </pic:nvPicPr>
                  <pic:blipFill>
                    <a:blip r:embed="rId38"/>
                    <a:stretch>
                      <a:fillRect/>
                    </a:stretch>
                  </pic:blipFill>
                  <pic:spPr>
                    <a:xfrm>
                      <a:off x="0" y="0"/>
                      <a:ext cx="246450" cy="466185"/>
                    </a:xfrm>
                    <a:prstGeom prst="rect">
                      <a:avLst/>
                    </a:prstGeom>
                  </pic:spPr>
                </pic:pic>
              </a:graphicData>
            </a:graphic>
          </wp:inline>
        </w:drawing>
      </w:r>
      <w:r>
        <w:rPr>
          <w:rFonts w:hint="eastAsia" w:cs="宋体"/>
          <w:color w:val="auto"/>
          <w:lang w:val="en-US" w:eastAsia="zh-CN"/>
        </w:rPr>
        <w:t>+B3收</w:t>
      </w:r>
      <w:r>
        <w:rPr>
          <w:rFonts w:hint="eastAsia" w:cs="宋体"/>
          <w:color w:val="auto"/>
          <w:lang w:val="en-US" w:eastAsia="zh-CN"/>
        </w:rPr>
        <w:drawing>
          <wp:inline distT="0" distB="0" distL="0" distR="0">
            <wp:extent cx="246380" cy="466090"/>
            <wp:effectExtent l="0" t="0" r="1270" b="10160"/>
            <wp:docPr id="77" name="IM 7"/>
            <wp:cNvGraphicFramePr/>
            <a:graphic xmlns:a="http://schemas.openxmlformats.org/drawingml/2006/main">
              <a:graphicData uri="http://schemas.openxmlformats.org/drawingml/2006/picture">
                <pic:pic xmlns:pic="http://schemas.openxmlformats.org/drawingml/2006/picture">
                  <pic:nvPicPr>
                    <pic:cNvPr id="77" name="IM 7"/>
                    <pic:cNvPicPr/>
                  </pic:nvPicPr>
                  <pic:blipFill>
                    <a:blip r:embed="rId39"/>
                    <a:stretch>
                      <a:fillRect/>
                    </a:stretch>
                  </pic:blipFill>
                  <pic:spPr>
                    <a:xfrm>
                      <a:off x="0" y="0"/>
                      <a:ext cx="246450" cy="466185"/>
                    </a:xfrm>
                    <a:prstGeom prst="rect">
                      <a:avLst/>
                    </a:prstGeom>
                  </pic:spPr>
                </pic:pic>
              </a:graphicData>
            </a:graphic>
          </wp:inline>
        </w:drawing>
      </w:r>
      <w:r>
        <w:rPr>
          <w:rFonts w:hint="eastAsia" w:cs="宋体"/>
          <w:color w:val="auto"/>
          <w:lang w:val="en-US" w:eastAsia="zh-CN"/>
        </w:rPr>
        <w:t>+…+Bn收</w:t>
      </w:r>
      <w:r>
        <w:rPr>
          <w:rFonts w:hint="eastAsia" w:cs="宋体"/>
          <w:color w:val="auto"/>
          <w:lang w:val="en-US" w:eastAsia="zh-CN"/>
        </w:rPr>
        <w:drawing>
          <wp:inline distT="0" distB="0" distL="0" distR="0">
            <wp:extent cx="246380" cy="466090"/>
            <wp:effectExtent l="0" t="0" r="1270" b="10160"/>
            <wp:docPr id="78" name="IM 8"/>
            <wp:cNvGraphicFramePr/>
            <a:graphic xmlns:a="http://schemas.openxmlformats.org/drawingml/2006/main">
              <a:graphicData uri="http://schemas.openxmlformats.org/drawingml/2006/picture">
                <pic:pic xmlns:pic="http://schemas.openxmlformats.org/drawingml/2006/picture">
                  <pic:nvPicPr>
                    <pic:cNvPr id="78" name="IM 8"/>
                    <pic:cNvPicPr/>
                  </pic:nvPicPr>
                  <pic:blipFill>
                    <a:blip r:embed="rId40"/>
                    <a:stretch>
                      <a:fillRect/>
                    </a:stretch>
                  </pic:blipFill>
                  <pic:spPr>
                    <a:xfrm>
                      <a:off x="0" y="0"/>
                      <a:ext cx="246463" cy="466185"/>
                    </a:xfrm>
                    <a:prstGeom prst="rect">
                      <a:avLst/>
                    </a:prstGeom>
                  </pic:spPr>
                </pic:pic>
              </a:graphicData>
            </a:graphic>
          </wp:inline>
        </w:drawing>
      </w:r>
      <w:r>
        <w:rPr>
          <w:rFonts w:hint="eastAsia" w:cs="宋体"/>
          <w:color w:val="auto"/>
          <w:lang w:val="en-US" w:eastAsia="zh-CN"/>
        </w:rPr>
        <w:t>))|-1</w:t>
      </w:r>
      <w:r>
        <w:rPr>
          <w:rFonts w:hint="eastAsia" w:cs="宋体"/>
          <w:color w:val="auto"/>
          <w:lang w:val="en-US" w:eastAsia="zh-CN"/>
        </w:rPr>
        <w:drawing>
          <wp:inline distT="0" distB="0" distL="0" distR="0">
            <wp:extent cx="80645" cy="635635"/>
            <wp:effectExtent l="0" t="0" r="14605" b="12065"/>
            <wp:docPr id="79" name="IM 9"/>
            <wp:cNvGraphicFramePr/>
            <a:graphic xmlns:a="http://schemas.openxmlformats.org/drawingml/2006/main">
              <a:graphicData uri="http://schemas.openxmlformats.org/drawingml/2006/picture">
                <pic:pic xmlns:pic="http://schemas.openxmlformats.org/drawingml/2006/picture">
                  <pic:nvPicPr>
                    <pic:cNvPr id="79" name="IM 9"/>
                    <pic:cNvPicPr/>
                  </pic:nvPicPr>
                  <pic:blipFill>
                    <a:blip r:embed="rId41"/>
                    <a:stretch>
                      <a:fillRect/>
                    </a:stretch>
                  </pic:blipFill>
                  <pic:spPr>
                    <a:xfrm>
                      <a:off x="0" y="0"/>
                      <a:ext cx="81146" cy="636088"/>
                    </a:xfrm>
                    <a:prstGeom prst="rect">
                      <a:avLst/>
                    </a:prstGeom>
                  </pic:spPr>
                </pic:pic>
              </a:graphicData>
            </a:graphic>
          </wp:inline>
        </w:drawing>
      </w:r>
    </w:p>
    <w:p>
      <w:pPr>
        <w:pStyle w:val="26"/>
        <w:numPr>
          <w:ilvl w:val="0"/>
          <w:numId w:val="0"/>
        </w:numPr>
        <w:spacing w:before="0" w:beforeAutospacing="0" w:after="0" w:afterAutospacing="0" w:line="360" w:lineRule="auto"/>
        <w:ind w:firstLine="480" w:firstLineChars="200"/>
        <w:rPr>
          <w:rFonts w:hint="eastAsia" w:cs="宋体"/>
          <w:color w:val="auto"/>
          <w:lang w:val="en-US" w:eastAsia="zh-CN"/>
        </w:rPr>
      </w:pPr>
      <w:r>
        <w:rPr>
          <w:rFonts w:hint="eastAsia" w:cs="宋体"/>
          <w:color w:val="auto"/>
          <w:lang w:val="en-US" w:eastAsia="zh-CN"/>
        </w:rPr>
        <w:t>公式中：ΔP——需调整的价格差额；</w:t>
      </w:r>
    </w:p>
    <w:p>
      <w:pPr>
        <w:pStyle w:val="26"/>
        <w:numPr>
          <w:ilvl w:val="0"/>
          <w:numId w:val="0"/>
        </w:numPr>
        <w:spacing w:before="0" w:beforeAutospacing="0" w:after="0" w:afterAutospacing="0" w:line="360" w:lineRule="auto"/>
        <w:ind w:firstLine="480" w:firstLineChars="200"/>
        <w:rPr>
          <w:rFonts w:hint="eastAsia" w:cs="宋体"/>
          <w:color w:val="auto"/>
          <w:lang w:val="en-US" w:eastAsia="zh-CN"/>
        </w:rPr>
      </w:pPr>
      <w:r>
        <w:rPr>
          <w:rFonts w:hint="eastAsia" w:cs="宋体"/>
          <w:color w:val="auto"/>
          <w:lang w:val="en-US" w:eastAsia="zh-CN"/>
        </w:rPr>
        <w:t>P0——约定的付款证书中承包人应得到的已完成工程量的金额。此项金额应不包括价格调整、不计质量保证金的扣留和支付、预付款的支付和扣回。约定的变更及其他金额已按现行价格计价的，也不计在内；</w:t>
      </w:r>
    </w:p>
    <w:p>
      <w:pPr>
        <w:pStyle w:val="26"/>
        <w:numPr>
          <w:ilvl w:val="0"/>
          <w:numId w:val="0"/>
        </w:numPr>
        <w:spacing w:before="0" w:beforeAutospacing="0" w:after="0" w:afterAutospacing="0" w:line="360" w:lineRule="auto"/>
        <w:ind w:firstLine="480" w:firstLineChars="200"/>
        <w:rPr>
          <w:rFonts w:hint="eastAsia" w:cs="宋体"/>
          <w:color w:val="auto"/>
          <w:lang w:val="en-US" w:eastAsia="zh-CN"/>
        </w:rPr>
      </w:pPr>
      <w:r>
        <w:rPr>
          <w:rFonts w:hint="eastAsia" w:cs="宋体"/>
          <w:color w:val="auto"/>
          <w:lang w:val="en-US" w:eastAsia="zh-CN"/>
        </w:rPr>
        <w:t>A——定值权重(即不调部分的权重)；</w:t>
      </w:r>
    </w:p>
    <w:p>
      <w:pPr>
        <w:pStyle w:val="26"/>
        <w:numPr>
          <w:ilvl w:val="0"/>
          <w:numId w:val="0"/>
        </w:numPr>
        <w:spacing w:before="0" w:beforeAutospacing="0" w:after="0" w:afterAutospacing="0" w:line="360" w:lineRule="auto"/>
        <w:ind w:firstLine="480" w:firstLineChars="200"/>
        <w:rPr>
          <w:rFonts w:hint="eastAsia" w:cs="宋体"/>
          <w:color w:val="auto"/>
          <w:lang w:val="en-US" w:eastAsia="zh-CN"/>
        </w:rPr>
      </w:pPr>
      <w:r>
        <w:rPr>
          <w:rFonts w:hint="eastAsia" w:cs="宋体"/>
          <w:color w:val="auto"/>
          <w:lang w:val="en-US" w:eastAsia="zh-CN"/>
        </w:rPr>
        <w:t>B1;B2;B3......Bn——各可调因子的变值权重(即可调部分的权重)，为各可调因子在签约合同价中所占的比例；</w:t>
      </w:r>
    </w:p>
    <w:p>
      <w:pPr>
        <w:pStyle w:val="26"/>
        <w:numPr>
          <w:ilvl w:val="0"/>
          <w:numId w:val="0"/>
        </w:numPr>
        <w:spacing w:before="0" w:beforeAutospacing="0" w:after="0" w:afterAutospacing="0" w:line="360" w:lineRule="auto"/>
        <w:ind w:firstLine="480" w:firstLineChars="200"/>
        <w:rPr>
          <w:rFonts w:hint="eastAsia" w:cs="宋体"/>
          <w:color w:val="auto"/>
          <w:lang w:val="en-US" w:eastAsia="zh-CN"/>
        </w:rPr>
      </w:pPr>
      <w:r>
        <w:rPr>
          <w:rFonts w:hint="eastAsia" w:cs="宋体"/>
          <w:color w:val="auto"/>
          <w:lang w:val="en-US" w:eastAsia="zh-CN"/>
        </w:rPr>
        <w:t>Ft1;Ft2;Ft3......Ftn——各可调因子的现行价格指数，指约定的付款证书相关周期最后一天的前42天的各可调因子的价格指数；</w:t>
      </w:r>
    </w:p>
    <w:p>
      <w:pPr>
        <w:pStyle w:val="26"/>
        <w:numPr>
          <w:ilvl w:val="0"/>
          <w:numId w:val="0"/>
        </w:numPr>
        <w:spacing w:before="0" w:beforeAutospacing="0" w:after="0" w:afterAutospacing="0" w:line="360" w:lineRule="auto"/>
        <w:ind w:firstLine="480" w:firstLineChars="200"/>
        <w:rPr>
          <w:rFonts w:hint="eastAsia" w:cs="宋体"/>
          <w:color w:val="auto"/>
          <w:lang w:val="en-US" w:eastAsia="zh-CN"/>
        </w:rPr>
      </w:pPr>
      <w:r>
        <w:rPr>
          <w:rFonts w:hint="eastAsia" w:cs="宋体"/>
          <w:color w:val="auto"/>
          <w:lang w:val="en-US" w:eastAsia="zh-CN"/>
        </w:rPr>
        <w:t>F01;F02;F03......F0n——各可调因子的基本价格指数，指基准日期的各可调因子的价格指数。</w:t>
      </w:r>
    </w:p>
    <w:p>
      <w:pPr>
        <w:pStyle w:val="26"/>
        <w:numPr>
          <w:ilvl w:val="0"/>
          <w:numId w:val="0"/>
        </w:numPr>
        <w:spacing w:before="0" w:beforeAutospacing="0" w:after="0" w:afterAutospacing="0" w:line="360" w:lineRule="auto"/>
        <w:ind w:firstLine="480" w:firstLineChars="200"/>
        <w:rPr>
          <w:rFonts w:hint="eastAsia" w:cs="宋体"/>
          <w:color w:val="auto"/>
          <w:lang w:val="en-US" w:eastAsia="zh-CN"/>
        </w:rPr>
      </w:pPr>
      <w:r>
        <w:rPr>
          <w:rFonts w:hint="eastAsia" w:cs="宋体"/>
          <w:color w:val="auto"/>
          <w:lang w:val="en-US" w:eastAsia="zh-CN"/>
        </w:rPr>
        <w:t>以上价格调整公式中的各可调因子、定值和变值权重，以及基本价格指数及其来源在磋商函附录价格指数和权重表中约定，非招标订立的合同，由合同当事人在专用合同条款中约定。价格指数应首先采用工程造价管理机构发布的价格指数，无前述价格指数时，可采用工程造价管理机构发布的价格代替。</w:t>
      </w:r>
    </w:p>
    <w:p>
      <w:pPr>
        <w:pStyle w:val="26"/>
        <w:numPr>
          <w:ilvl w:val="0"/>
          <w:numId w:val="0"/>
        </w:numPr>
        <w:spacing w:before="0" w:beforeAutospacing="0" w:after="0" w:afterAutospacing="0" w:line="360" w:lineRule="auto"/>
        <w:ind w:firstLine="480" w:firstLineChars="200"/>
        <w:rPr>
          <w:rFonts w:hint="eastAsia" w:cs="宋体"/>
          <w:color w:val="auto"/>
          <w:lang w:val="en-US" w:eastAsia="zh-CN"/>
        </w:rPr>
      </w:pPr>
      <w:r>
        <w:rPr>
          <w:rFonts w:hint="eastAsia" w:cs="宋体"/>
          <w:color w:val="auto"/>
          <w:lang w:val="en-US" w:eastAsia="zh-CN"/>
        </w:rPr>
        <w:t>(2)暂时确定调整差额</w:t>
      </w:r>
    </w:p>
    <w:p>
      <w:pPr>
        <w:pStyle w:val="26"/>
        <w:numPr>
          <w:ilvl w:val="0"/>
          <w:numId w:val="0"/>
        </w:numPr>
        <w:spacing w:before="0" w:beforeAutospacing="0" w:after="0" w:afterAutospacing="0" w:line="360" w:lineRule="auto"/>
        <w:ind w:firstLine="480" w:firstLineChars="200"/>
        <w:rPr>
          <w:rFonts w:hint="eastAsia" w:cs="宋体"/>
          <w:color w:val="auto"/>
          <w:lang w:val="en-US" w:eastAsia="zh-CN"/>
        </w:rPr>
      </w:pPr>
      <w:r>
        <w:rPr>
          <w:rFonts w:hint="eastAsia" w:cs="宋体"/>
          <w:color w:val="auto"/>
          <w:lang w:val="en-US" w:eastAsia="zh-CN"/>
        </w:rPr>
        <w:t>在计算调整差额时无现行价格指数的，合同当事人同意暂用前次价格指数计算。</w:t>
      </w:r>
    </w:p>
    <w:p>
      <w:pPr>
        <w:pStyle w:val="26"/>
        <w:numPr>
          <w:ilvl w:val="0"/>
          <w:numId w:val="0"/>
        </w:numPr>
        <w:spacing w:before="0" w:beforeAutospacing="0" w:after="0" w:afterAutospacing="0" w:line="360" w:lineRule="auto"/>
        <w:rPr>
          <w:rFonts w:hint="eastAsia" w:cs="宋体"/>
          <w:color w:val="auto"/>
          <w:lang w:val="en-US" w:eastAsia="zh-CN"/>
        </w:rPr>
      </w:pPr>
      <w:r>
        <w:rPr>
          <w:rFonts w:hint="eastAsia" w:cs="宋体"/>
          <w:color w:val="auto"/>
          <w:lang w:val="en-US" w:eastAsia="zh-CN"/>
        </w:rPr>
        <w:t>实际价格指数有调整的，合同当事人进行相应调整。</w:t>
      </w:r>
    </w:p>
    <w:p>
      <w:pPr>
        <w:pStyle w:val="26"/>
        <w:numPr>
          <w:ilvl w:val="0"/>
          <w:numId w:val="0"/>
        </w:numPr>
        <w:spacing w:before="0" w:beforeAutospacing="0" w:after="0" w:afterAutospacing="0" w:line="360" w:lineRule="auto"/>
        <w:ind w:firstLine="480" w:firstLineChars="200"/>
        <w:rPr>
          <w:rFonts w:hint="eastAsia" w:cs="宋体"/>
          <w:color w:val="auto"/>
          <w:lang w:val="en-US" w:eastAsia="zh-CN"/>
        </w:rPr>
      </w:pPr>
      <w:r>
        <w:rPr>
          <w:rFonts w:hint="eastAsia" w:cs="宋体"/>
          <w:color w:val="auto"/>
          <w:lang w:val="en-US" w:eastAsia="zh-CN"/>
        </w:rPr>
        <w:t>(3)权重的调整</w:t>
      </w:r>
    </w:p>
    <w:p>
      <w:pPr>
        <w:pStyle w:val="26"/>
        <w:numPr>
          <w:ilvl w:val="0"/>
          <w:numId w:val="0"/>
        </w:numPr>
        <w:spacing w:before="0" w:beforeAutospacing="0" w:after="0" w:afterAutospacing="0" w:line="360" w:lineRule="auto"/>
        <w:ind w:firstLine="480" w:firstLineChars="200"/>
        <w:rPr>
          <w:rFonts w:hint="eastAsia" w:cs="宋体"/>
          <w:color w:val="auto"/>
          <w:lang w:val="en-US" w:eastAsia="zh-CN"/>
        </w:rPr>
      </w:pPr>
      <w:r>
        <w:rPr>
          <w:rFonts w:hint="eastAsia" w:cs="宋体"/>
          <w:color w:val="auto"/>
          <w:lang w:val="en-US" w:eastAsia="zh-CN"/>
        </w:rPr>
        <w:t>因变更导致合同约定的权重不合理时，按照第4.4款〔商定或确定〕执行。</w:t>
      </w:r>
    </w:p>
    <w:p>
      <w:pPr>
        <w:pStyle w:val="26"/>
        <w:numPr>
          <w:ilvl w:val="0"/>
          <w:numId w:val="0"/>
        </w:numPr>
        <w:spacing w:before="0" w:beforeAutospacing="0" w:after="0" w:afterAutospacing="0" w:line="360" w:lineRule="auto"/>
        <w:ind w:firstLine="480" w:firstLineChars="200"/>
        <w:rPr>
          <w:rFonts w:hint="eastAsia" w:cs="宋体"/>
          <w:color w:val="auto"/>
          <w:lang w:val="en-US" w:eastAsia="zh-CN"/>
        </w:rPr>
      </w:pPr>
      <w:r>
        <w:rPr>
          <w:rFonts w:hint="eastAsia" w:cs="宋体"/>
          <w:color w:val="auto"/>
          <w:lang w:val="en-US" w:eastAsia="zh-CN"/>
        </w:rPr>
        <w:t>(4)因承包人原因工期延误后的价格调整</w:t>
      </w:r>
    </w:p>
    <w:p>
      <w:pPr>
        <w:pStyle w:val="26"/>
        <w:numPr>
          <w:ilvl w:val="0"/>
          <w:numId w:val="0"/>
        </w:numPr>
        <w:spacing w:before="0" w:beforeAutospacing="0" w:after="0" w:afterAutospacing="0" w:line="360" w:lineRule="auto"/>
        <w:ind w:firstLine="480" w:firstLineChars="200"/>
        <w:rPr>
          <w:rFonts w:hint="eastAsia" w:cs="宋体"/>
          <w:color w:val="auto"/>
          <w:lang w:val="en-US" w:eastAsia="zh-CN"/>
        </w:rPr>
      </w:pPr>
      <w:r>
        <w:rPr>
          <w:rFonts w:hint="eastAsia" w:cs="宋体"/>
          <w:color w:val="auto"/>
          <w:lang w:val="en-US" w:eastAsia="zh-CN"/>
        </w:rPr>
        <w:t>因承包人原因未按期竣工的，对合同约定的竣工日期后继续施工的工程，在使用价格调整公式时，应采用计划竣工日期与实际竣工日期的两个价格指数中较低的一个作为现行价格指数。</w:t>
      </w:r>
    </w:p>
    <w:p>
      <w:pPr>
        <w:pStyle w:val="26"/>
        <w:numPr>
          <w:ilvl w:val="0"/>
          <w:numId w:val="0"/>
        </w:numPr>
        <w:spacing w:before="0" w:beforeAutospacing="0" w:after="0" w:afterAutospacing="0" w:line="360" w:lineRule="auto"/>
        <w:ind w:firstLine="480" w:firstLineChars="200"/>
        <w:rPr>
          <w:rFonts w:hint="eastAsia" w:cs="宋体"/>
          <w:color w:val="auto"/>
          <w:lang w:val="en-US" w:eastAsia="zh-CN"/>
        </w:rPr>
      </w:pPr>
      <w:r>
        <w:rPr>
          <w:rFonts w:hint="eastAsia" w:cs="宋体"/>
          <w:color w:val="auto"/>
          <w:lang w:val="en-US" w:eastAsia="zh-CN"/>
        </w:rPr>
        <w:t>第2种方式：采用造价信息进行价格调整。</w:t>
      </w:r>
    </w:p>
    <w:p>
      <w:pPr>
        <w:pStyle w:val="26"/>
        <w:numPr>
          <w:ilvl w:val="0"/>
          <w:numId w:val="0"/>
        </w:numPr>
        <w:spacing w:before="0" w:beforeAutospacing="0" w:after="0" w:afterAutospacing="0" w:line="360" w:lineRule="auto"/>
        <w:ind w:firstLine="480" w:firstLineChars="200"/>
        <w:rPr>
          <w:rFonts w:hint="eastAsia" w:cs="宋体"/>
          <w:color w:val="auto"/>
          <w:lang w:val="en-US" w:eastAsia="zh-CN"/>
        </w:rPr>
      </w:pPr>
      <w:r>
        <w:rPr>
          <w:rFonts w:hint="eastAsia" w:cs="宋体"/>
          <w:color w:val="auto"/>
          <w:lang w:val="en-US" w:eastAsia="zh-CN"/>
        </w:rPr>
        <w:t>合同履行期间，因人工、材料、工程设备和机械台班价格波动影响合同价格时，人工、机械使用费按照国家或省、自治区、直辖市建设行政管理部门、行业建设管理部门或其授权的工程造价管理机构发布的人工、机械使用费系数进行调整；需要进行价格调整的材料，其单价和采购数量应由发包人审批，发包人确认需调整的材料单价及数量，作为调整合同价格的依据。</w:t>
      </w:r>
    </w:p>
    <w:p>
      <w:pPr>
        <w:pStyle w:val="26"/>
        <w:numPr>
          <w:ilvl w:val="0"/>
          <w:numId w:val="0"/>
        </w:numPr>
        <w:spacing w:before="0" w:beforeAutospacing="0" w:after="0" w:afterAutospacing="0" w:line="360" w:lineRule="auto"/>
        <w:ind w:firstLine="480" w:firstLineChars="200"/>
        <w:rPr>
          <w:rFonts w:hint="eastAsia" w:cs="宋体"/>
          <w:color w:val="auto"/>
          <w:lang w:val="en-US" w:eastAsia="zh-CN"/>
        </w:rPr>
      </w:pPr>
      <w:r>
        <w:rPr>
          <w:rFonts w:hint="eastAsia" w:cs="宋体"/>
          <w:color w:val="auto"/>
          <w:lang w:val="en-US" w:eastAsia="zh-CN"/>
        </w:rPr>
        <w:t>(1)人工单价发生变化且符合省级或行业建设主管部门发布的人工费调整规定，合同当事人应按省级或行业建设主管部门或其授权的工程造价管理机构发布的人工费等文件调整合同价格，但承包人对人工费或人工单价的报价高于发布价格的除外。</w:t>
      </w:r>
    </w:p>
    <w:p>
      <w:pPr>
        <w:pStyle w:val="26"/>
        <w:numPr>
          <w:ilvl w:val="0"/>
          <w:numId w:val="0"/>
        </w:numPr>
        <w:spacing w:before="0" w:beforeAutospacing="0" w:after="0" w:afterAutospacing="0" w:line="360" w:lineRule="auto"/>
        <w:ind w:firstLine="480" w:firstLineChars="200"/>
        <w:rPr>
          <w:rFonts w:hint="eastAsia" w:cs="宋体"/>
          <w:color w:val="auto"/>
          <w:lang w:val="en-US" w:eastAsia="zh-CN"/>
        </w:rPr>
      </w:pPr>
      <w:r>
        <w:rPr>
          <w:rFonts w:hint="eastAsia" w:cs="宋体"/>
          <w:color w:val="auto"/>
          <w:lang w:val="en-US" w:eastAsia="zh-CN"/>
        </w:rPr>
        <w:t>(2)材料、工程设备价格变化的价款调整按照发包人提供的基准价格，按以下风险范围规定执行:</w:t>
      </w:r>
    </w:p>
    <w:p>
      <w:pPr>
        <w:pStyle w:val="26"/>
        <w:numPr>
          <w:ilvl w:val="0"/>
          <w:numId w:val="0"/>
        </w:numPr>
        <w:spacing w:before="0" w:beforeAutospacing="0" w:after="0" w:afterAutospacing="0" w:line="360" w:lineRule="auto"/>
        <w:ind w:firstLine="480" w:firstLineChars="200"/>
        <w:rPr>
          <w:rFonts w:hint="eastAsia" w:cs="宋体"/>
          <w:color w:val="auto"/>
          <w:lang w:val="en-US" w:eastAsia="zh-CN"/>
        </w:rPr>
      </w:pPr>
      <w:r>
        <w:rPr>
          <w:rFonts w:hint="eastAsia" w:cs="宋体"/>
          <w:color w:val="auto"/>
          <w:lang w:val="en-US" w:eastAsia="zh-CN"/>
        </w:rPr>
        <w:t>①承包人在已标价工程量清单或预算书中载明材料单价低于基准价格的：除专用合同条款另有约定外，合同履行期间材料单价涨幅以基准价格为基础超过5%时，或材料单价跌幅以在已标价工程量清单或预算书中载明材料单价为基础超过5%时，其超过部分据实调整。</w:t>
      </w:r>
    </w:p>
    <w:p>
      <w:pPr>
        <w:pStyle w:val="26"/>
        <w:numPr>
          <w:ilvl w:val="0"/>
          <w:numId w:val="0"/>
        </w:numPr>
        <w:spacing w:before="0" w:beforeAutospacing="0" w:after="0" w:afterAutospacing="0" w:line="360" w:lineRule="auto"/>
        <w:ind w:firstLine="480" w:firstLineChars="200"/>
        <w:rPr>
          <w:rFonts w:hint="eastAsia" w:cs="宋体"/>
          <w:color w:val="auto"/>
          <w:lang w:val="en-US" w:eastAsia="zh-CN"/>
        </w:rPr>
      </w:pPr>
      <w:r>
        <w:rPr>
          <w:rFonts w:hint="eastAsia" w:cs="宋体"/>
          <w:color w:val="auto"/>
          <w:lang w:val="en-US" w:eastAsia="zh-CN"/>
        </w:rPr>
        <w:t>②承包人在已标价工程量清单或预算书中载明材料单价高于基准价格的：除专用合同条款另有约定外，合同履行期间材料单价跌幅以基准价格为基础超过5%时，材料</w:t>
      </w:r>
    </w:p>
    <w:p>
      <w:pPr>
        <w:pStyle w:val="26"/>
        <w:numPr>
          <w:ilvl w:val="0"/>
          <w:numId w:val="0"/>
        </w:numPr>
        <w:spacing w:before="0" w:beforeAutospacing="0" w:after="0" w:afterAutospacing="0" w:line="360" w:lineRule="auto"/>
        <w:rPr>
          <w:rFonts w:hint="eastAsia" w:cs="宋体"/>
          <w:color w:val="auto"/>
          <w:lang w:val="en-US" w:eastAsia="zh-CN"/>
        </w:rPr>
      </w:pPr>
      <w:r>
        <w:rPr>
          <w:rFonts w:hint="eastAsia" w:cs="宋体"/>
          <w:color w:val="auto"/>
          <w:lang w:val="en-US" w:eastAsia="zh-CN"/>
        </w:rPr>
        <w:t>单价涨幅以在已标价工程量清单或预算书中载明材料单价为基础超过5%时，其超过部分据实调整。</w:t>
      </w:r>
    </w:p>
    <w:p>
      <w:pPr>
        <w:pStyle w:val="26"/>
        <w:numPr>
          <w:ilvl w:val="0"/>
          <w:numId w:val="0"/>
        </w:numPr>
        <w:spacing w:before="0" w:beforeAutospacing="0" w:after="0" w:afterAutospacing="0" w:line="360" w:lineRule="auto"/>
        <w:ind w:firstLine="480" w:firstLineChars="200"/>
        <w:rPr>
          <w:rFonts w:hint="eastAsia" w:cs="宋体"/>
          <w:color w:val="auto"/>
          <w:lang w:val="en-US" w:eastAsia="zh-CN"/>
        </w:rPr>
      </w:pPr>
      <w:r>
        <w:rPr>
          <w:rFonts w:hint="eastAsia" w:cs="宋体"/>
          <w:color w:val="auto"/>
          <w:lang w:val="en-US" w:eastAsia="zh-CN"/>
        </w:rPr>
        <w:t>③承包人在已标价工程量清单或预算书中载明材料单价等于基准价格的：除专用合同条款另有约定外，合同履行期间材料单价涨跌幅以基准价格为基础超过±5%时，其超过部分据实调整。</w:t>
      </w:r>
    </w:p>
    <w:p>
      <w:pPr>
        <w:pStyle w:val="26"/>
        <w:numPr>
          <w:ilvl w:val="0"/>
          <w:numId w:val="0"/>
        </w:numPr>
        <w:spacing w:before="0" w:beforeAutospacing="0" w:after="0" w:afterAutospacing="0" w:line="360" w:lineRule="auto"/>
        <w:ind w:firstLine="480" w:firstLineChars="200"/>
        <w:rPr>
          <w:rFonts w:hint="eastAsia" w:cs="宋体"/>
          <w:color w:val="auto"/>
          <w:lang w:val="en-US" w:eastAsia="zh-CN"/>
        </w:rPr>
      </w:pPr>
      <w:r>
        <w:rPr>
          <w:rFonts w:hint="eastAsia" w:cs="宋体"/>
          <w:color w:val="auto"/>
          <w:lang w:val="en-US" w:eastAsia="zh-CN"/>
        </w:rPr>
        <w:t>④承包人应在采购材料前将采购数量和新的材料单价报发包人核对，发包人确认用于工程时，发包人应确认采购材料的数量和单价。发包人在收到承包人报送的确认资料后5天内不予答复的视为认可，作为调整合同价格的依据。未经发包人事先核对，承包人自行采购材料的，发包人有权不予调整合同价格。发包人同意的，可以调整合同价格。</w:t>
      </w:r>
    </w:p>
    <w:p>
      <w:pPr>
        <w:pStyle w:val="26"/>
        <w:numPr>
          <w:ilvl w:val="0"/>
          <w:numId w:val="0"/>
        </w:numPr>
        <w:spacing w:before="0" w:beforeAutospacing="0" w:after="0" w:afterAutospacing="0" w:line="360" w:lineRule="auto"/>
        <w:ind w:firstLine="480" w:firstLineChars="200"/>
        <w:rPr>
          <w:rFonts w:hint="eastAsia" w:cs="宋体"/>
          <w:color w:val="auto"/>
          <w:lang w:val="en-US" w:eastAsia="zh-CN"/>
        </w:rPr>
      </w:pPr>
      <w:r>
        <w:rPr>
          <w:rFonts w:hint="eastAsia" w:cs="宋体"/>
          <w:color w:val="auto"/>
          <w:lang w:val="en-US" w:eastAsia="zh-CN"/>
        </w:rPr>
        <w:t>前述基准价格是指由发包人在磋商文件或专用合同条款中给定的材料、工程设备的价格，该价格原则上应当按照省级或行业建设主管部门或其授权的工程造价管理机构发布的信息价编制。</w:t>
      </w:r>
    </w:p>
    <w:p>
      <w:pPr>
        <w:pStyle w:val="26"/>
        <w:numPr>
          <w:ilvl w:val="0"/>
          <w:numId w:val="0"/>
        </w:numPr>
        <w:spacing w:before="0" w:beforeAutospacing="0" w:after="0" w:afterAutospacing="0" w:line="360" w:lineRule="auto"/>
        <w:ind w:firstLine="480" w:firstLineChars="200"/>
        <w:rPr>
          <w:rFonts w:hint="eastAsia" w:cs="宋体"/>
          <w:color w:val="auto"/>
          <w:lang w:val="en-US" w:eastAsia="zh-CN"/>
        </w:rPr>
      </w:pPr>
      <w:r>
        <w:rPr>
          <w:rFonts w:hint="eastAsia" w:cs="宋体"/>
          <w:color w:val="auto"/>
          <w:lang w:val="en-US" w:eastAsia="zh-CN"/>
        </w:rPr>
        <w:t>(3)施工机械台班单价或施工机械使用费发生变化超过省级或行业建设主管部门或其授权的工程造价管理机构规定的范围时，按规定调整合同价格。</w:t>
      </w:r>
    </w:p>
    <w:p>
      <w:pPr>
        <w:pStyle w:val="26"/>
        <w:numPr>
          <w:ilvl w:val="0"/>
          <w:numId w:val="0"/>
        </w:numPr>
        <w:spacing w:before="0" w:beforeAutospacing="0" w:after="0" w:afterAutospacing="0" w:line="360" w:lineRule="auto"/>
        <w:ind w:firstLine="480" w:firstLineChars="200"/>
        <w:rPr>
          <w:rFonts w:hint="eastAsia" w:cs="宋体"/>
          <w:color w:val="auto"/>
          <w:lang w:val="en-US" w:eastAsia="zh-CN"/>
        </w:rPr>
      </w:pPr>
      <w:r>
        <w:rPr>
          <w:rFonts w:hint="eastAsia" w:cs="宋体"/>
          <w:color w:val="auto"/>
          <w:lang w:val="en-US" w:eastAsia="zh-CN"/>
        </w:rPr>
        <w:t>第3种方式：专用合同条款约定的其他方式。</w:t>
      </w:r>
    </w:p>
    <w:p>
      <w:pPr>
        <w:pStyle w:val="26"/>
        <w:numPr>
          <w:ilvl w:val="0"/>
          <w:numId w:val="0"/>
        </w:numPr>
        <w:spacing w:before="0" w:beforeAutospacing="0" w:after="0" w:afterAutospacing="0" w:line="360" w:lineRule="auto"/>
        <w:ind w:firstLine="482" w:firstLineChars="200"/>
        <w:rPr>
          <w:rFonts w:hint="eastAsia" w:cs="宋体"/>
          <w:b/>
          <w:bCs/>
          <w:color w:val="auto"/>
          <w:lang w:val="en-US" w:eastAsia="zh-CN"/>
        </w:rPr>
      </w:pPr>
      <w:r>
        <w:rPr>
          <w:rFonts w:hint="eastAsia" w:cs="宋体"/>
          <w:b/>
          <w:bCs/>
          <w:color w:val="auto"/>
          <w:lang w:val="en-US" w:eastAsia="zh-CN"/>
        </w:rPr>
        <w:t>11.2法律变化引起的调整</w:t>
      </w:r>
    </w:p>
    <w:p>
      <w:pPr>
        <w:pStyle w:val="26"/>
        <w:numPr>
          <w:ilvl w:val="0"/>
          <w:numId w:val="0"/>
        </w:numPr>
        <w:spacing w:before="0" w:beforeAutospacing="0" w:after="0" w:afterAutospacing="0" w:line="360" w:lineRule="auto"/>
        <w:ind w:firstLine="480" w:firstLineChars="200"/>
        <w:rPr>
          <w:rFonts w:hint="eastAsia" w:cs="宋体"/>
          <w:color w:val="auto"/>
          <w:lang w:val="en-US" w:eastAsia="zh-CN"/>
        </w:rPr>
      </w:pPr>
      <w:r>
        <w:rPr>
          <w:rFonts w:hint="eastAsia" w:cs="宋体"/>
          <w:color w:val="auto"/>
          <w:lang w:val="en-US" w:eastAsia="zh-CN"/>
        </w:rPr>
        <w:t>基准日期后，法律变化导致承包人在合同履行过程中所需要的费用发生除第11.1款〔市场价格波动引起的调整〕约定以外的增加时，由发包人承担由此增加的费用；减少时，应从合同价格中予以扣减。基准日期后，因法律变化造成工期延误时，工期应予以顺延。</w:t>
      </w:r>
    </w:p>
    <w:p>
      <w:pPr>
        <w:pStyle w:val="26"/>
        <w:numPr>
          <w:ilvl w:val="0"/>
          <w:numId w:val="0"/>
        </w:numPr>
        <w:spacing w:before="0" w:beforeAutospacing="0" w:after="0" w:afterAutospacing="0" w:line="360" w:lineRule="auto"/>
        <w:ind w:firstLine="480" w:firstLineChars="200"/>
        <w:rPr>
          <w:rFonts w:hint="eastAsia" w:cs="宋体"/>
          <w:color w:val="auto"/>
          <w:lang w:val="en-US" w:eastAsia="zh-CN"/>
        </w:rPr>
      </w:pPr>
      <w:r>
        <w:rPr>
          <w:rFonts w:hint="eastAsia" w:cs="宋体"/>
          <w:color w:val="auto"/>
          <w:lang w:val="en-US" w:eastAsia="zh-CN"/>
        </w:rPr>
        <w:t>因法律变化引起的合同价格和工期调整，合同当事人无法达成一致的，由总监理工程师按第4.4款〔商定或确定〕的约定处理。</w:t>
      </w:r>
    </w:p>
    <w:p>
      <w:pPr>
        <w:pStyle w:val="26"/>
        <w:numPr>
          <w:ilvl w:val="0"/>
          <w:numId w:val="0"/>
        </w:numPr>
        <w:spacing w:before="0" w:beforeAutospacing="0" w:after="0" w:afterAutospacing="0" w:line="360" w:lineRule="auto"/>
        <w:ind w:firstLine="480" w:firstLineChars="200"/>
        <w:rPr>
          <w:rFonts w:hint="eastAsia" w:cs="宋体"/>
          <w:color w:val="auto"/>
          <w:lang w:val="en-US" w:eastAsia="zh-CN"/>
        </w:rPr>
      </w:pPr>
      <w:r>
        <w:rPr>
          <w:rFonts w:hint="eastAsia" w:cs="宋体"/>
          <w:color w:val="auto"/>
          <w:lang w:val="en-US" w:eastAsia="zh-CN"/>
        </w:rPr>
        <w:t>因承包人原因造成工期延误，在工期延误期间出现法律变化的，由此增加的费用和(或)延误的工期由承包人承担。</w:t>
      </w:r>
    </w:p>
    <w:p>
      <w:pPr>
        <w:pStyle w:val="26"/>
        <w:numPr>
          <w:ilvl w:val="0"/>
          <w:numId w:val="0"/>
        </w:numPr>
        <w:spacing w:before="0" w:beforeAutospacing="0" w:after="0" w:afterAutospacing="0" w:line="360" w:lineRule="auto"/>
        <w:ind w:firstLine="482" w:firstLineChars="200"/>
        <w:rPr>
          <w:rFonts w:hint="eastAsia" w:cs="宋体"/>
          <w:b/>
          <w:bCs/>
          <w:color w:val="auto"/>
          <w:lang w:val="en-US" w:eastAsia="zh-CN"/>
        </w:rPr>
      </w:pPr>
      <w:r>
        <w:rPr>
          <w:rFonts w:hint="eastAsia" w:cs="宋体"/>
          <w:b/>
          <w:bCs/>
          <w:color w:val="auto"/>
          <w:lang w:val="en-US" w:eastAsia="zh-CN"/>
        </w:rPr>
        <w:t>12.合同价格、计量与支付</w:t>
      </w:r>
    </w:p>
    <w:p>
      <w:pPr>
        <w:pStyle w:val="26"/>
        <w:numPr>
          <w:ilvl w:val="0"/>
          <w:numId w:val="0"/>
        </w:numPr>
        <w:spacing w:before="0" w:beforeAutospacing="0" w:after="0" w:afterAutospacing="0" w:line="360" w:lineRule="auto"/>
        <w:ind w:firstLine="482" w:firstLineChars="200"/>
        <w:rPr>
          <w:rFonts w:hint="eastAsia" w:cs="宋体"/>
          <w:b/>
          <w:bCs/>
          <w:color w:val="auto"/>
          <w:lang w:val="en-US" w:eastAsia="zh-CN"/>
        </w:rPr>
      </w:pPr>
      <w:r>
        <w:rPr>
          <w:rFonts w:hint="eastAsia" w:cs="宋体"/>
          <w:b/>
          <w:bCs/>
          <w:color w:val="auto"/>
          <w:lang w:val="en-US" w:eastAsia="zh-CN"/>
        </w:rPr>
        <w:t>12.1合同价格形式</w:t>
      </w:r>
    </w:p>
    <w:p>
      <w:pPr>
        <w:pStyle w:val="26"/>
        <w:numPr>
          <w:ilvl w:val="0"/>
          <w:numId w:val="0"/>
        </w:numPr>
        <w:spacing w:before="0" w:beforeAutospacing="0" w:after="0" w:afterAutospacing="0" w:line="360" w:lineRule="auto"/>
        <w:ind w:firstLine="480" w:firstLineChars="200"/>
        <w:rPr>
          <w:rFonts w:hint="eastAsia" w:cs="宋体"/>
          <w:color w:val="auto"/>
          <w:lang w:val="en-US" w:eastAsia="zh-CN"/>
        </w:rPr>
      </w:pPr>
      <w:r>
        <w:rPr>
          <w:rFonts w:hint="eastAsia" w:cs="宋体"/>
          <w:color w:val="auto"/>
          <w:lang w:val="en-US" w:eastAsia="zh-CN"/>
        </w:rPr>
        <w:t>发包人和承包人应在合同协议书中选择下列一种合同价格形式：</w:t>
      </w:r>
    </w:p>
    <w:p>
      <w:pPr>
        <w:pStyle w:val="26"/>
        <w:numPr>
          <w:ilvl w:val="0"/>
          <w:numId w:val="0"/>
        </w:numPr>
        <w:spacing w:before="0" w:beforeAutospacing="0" w:after="0" w:afterAutospacing="0" w:line="360" w:lineRule="auto"/>
        <w:ind w:firstLine="480" w:firstLineChars="200"/>
        <w:rPr>
          <w:rFonts w:hint="eastAsia" w:cs="宋体"/>
          <w:color w:val="auto"/>
          <w:lang w:val="en-US" w:eastAsia="zh-CN"/>
        </w:rPr>
      </w:pPr>
      <w:r>
        <w:rPr>
          <w:rFonts w:hint="eastAsia" w:cs="宋体"/>
          <w:color w:val="auto"/>
          <w:lang w:val="en-US" w:eastAsia="zh-CN"/>
        </w:rPr>
        <w:t>1、单价合同</w:t>
      </w:r>
    </w:p>
    <w:p>
      <w:pPr>
        <w:pStyle w:val="26"/>
        <w:numPr>
          <w:ilvl w:val="0"/>
          <w:numId w:val="0"/>
        </w:numPr>
        <w:spacing w:before="0" w:beforeAutospacing="0" w:after="0" w:afterAutospacing="0" w:line="360" w:lineRule="auto"/>
        <w:ind w:firstLine="480" w:firstLineChars="200"/>
        <w:rPr>
          <w:rFonts w:hint="eastAsia" w:cs="宋体"/>
          <w:color w:val="auto"/>
          <w:lang w:val="en-US" w:eastAsia="zh-CN"/>
        </w:rPr>
      </w:pPr>
      <w:r>
        <w:rPr>
          <w:rFonts w:hint="eastAsia" w:cs="宋体"/>
          <w:color w:val="auto"/>
          <w:lang w:val="en-US" w:eastAsia="zh-CN"/>
        </w:rPr>
        <w:t>单价合同是指合同当事人约定以工程量清单及其综合单价进行合同价格计算、调整和确认的建设工程施工合同，在约定的范围内合同单价不作调整。合同当事人应在专用合同条款中约定综合单价包含的风险范围和风险费用的计算方法，并约定风险范围以外的合同价格的调整方法，其中因市场价格波动引起的调整按第11.1款〔市场价格波动引起的调整〕约定执行。</w:t>
      </w:r>
    </w:p>
    <w:p>
      <w:pPr>
        <w:pStyle w:val="26"/>
        <w:numPr>
          <w:ilvl w:val="0"/>
          <w:numId w:val="0"/>
        </w:numPr>
        <w:spacing w:before="0" w:beforeAutospacing="0" w:after="0" w:afterAutospacing="0" w:line="360" w:lineRule="auto"/>
        <w:ind w:firstLine="480" w:firstLineChars="200"/>
        <w:rPr>
          <w:rFonts w:hint="eastAsia" w:cs="宋体"/>
          <w:color w:val="auto"/>
          <w:lang w:val="en-US" w:eastAsia="zh-CN"/>
        </w:rPr>
      </w:pPr>
      <w:r>
        <w:rPr>
          <w:rFonts w:hint="eastAsia" w:cs="宋体"/>
          <w:color w:val="auto"/>
          <w:lang w:val="en-US" w:eastAsia="zh-CN"/>
        </w:rPr>
        <w:t>2、总价合同</w:t>
      </w:r>
    </w:p>
    <w:p>
      <w:pPr>
        <w:pStyle w:val="26"/>
        <w:numPr>
          <w:ilvl w:val="0"/>
          <w:numId w:val="0"/>
        </w:numPr>
        <w:spacing w:before="0" w:beforeAutospacing="0" w:after="0" w:afterAutospacing="0" w:line="360" w:lineRule="auto"/>
        <w:ind w:firstLine="480" w:firstLineChars="200"/>
        <w:rPr>
          <w:rFonts w:hint="eastAsia" w:cs="宋体"/>
          <w:color w:val="auto"/>
          <w:lang w:val="en-US" w:eastAsia="zh-CN"/>
        </w:rPr>
      </w:pPr>
      <w:r>
        <w:rPr>
          <w:rFonts w:hint="eastAsia" w:cs="宋体"/>
          <w:color w:val="auto"/>
          <w:lang w:val="en-US" w:eastAsia="zh-CN"/>
        </w:rPr>
        <w:t>总价合同是指合同当事人约定以施工图、已标价工程量清单或预算书及有关条件进行合同价格计算、调整和确认的建设工程施工合同，在约定的范围内合同总价不作调整。合同当事人应在专用合同条款中约定总价包含的风险范围和风险费用的计算方法，并约定风险范围以外的合同价格的调整方法，其中因市场价格波动引起的调整按第11.1款〔市场价格波动引起的调整〕、因法律变化引起的调整按第11.2款〔法律变化引起的调整〕约定执行。</w:t>
      </w:r>
    </w:p>
    <w:p>
      <w:pPr>
        <w:pStyle w:val="26"/>
        <w:numPr>
          <w:ilvl w:val="0"/>
          <w:numId w:val="0"/>
        </w:numPr>
        <w:spacing w:before="0" w:beforeAutospacing="0" w:after="0" w:afterAutospacing="0" w:line="360" w:lineRule="auto"/>
        <w:ind w:firstLine="480" w:firstLineChars="200"/>
        <w:rPr>
          <w:rFonts w:hint="eastAsia" w:cs="宋体"/>
          <w:color w:val="auto"/>
          <w:lang w:val="en-US" w:eastAsia="zh-CN"/>
        </w:rPr>
      </w:pPr>
      <w:r>
        <w:rPr>
          <w:rFonts w:hint="eastAsia" w:cs="宋体"/>
          <w:color w:val="auto"/>
          <w:lang w:val="en-US" w:eastAsia="zh-CN"/>
        </w:rPr>
        <w:t>3、其它价格形式</w:t>
      </w:r>
    </w:p>
    <w:p>
      <w:pPr>
        <w:pStyle w:val="26"/>
        <w:numPr>
          <w:ilvl w:val="0"/>
          <w:numId w:val="0"/>
        </w:numPr>
        <w:spacing w:before="0" w:beforeAutospacing="0" w:after="0" w:afterAutospacing="0" w:line="360" w:lineRule="auto"/>
        <w:ind w:firstLine="480" w:firstLineChars="200"/>
        <w:rPr>
          <w:rFonts w:hint="eastAsia" w:cs="宋体"/>
          <w:color w:val="auto"/>
          <w:lang w:val="en-US" w:eastAsia="zh-CN"/>
        </w:rPr>
      </w:pPr>
      <w:r>
        <w:rPr>
          <w:rFonts w:hint="eastAsia" w:cs="宋体"/>
          <w:color w:val="auto"/>
          <w:lang w:val="en-US" w:eastAsia="zh-CN"/>
        </w:rPr>
        <w:t>合同当事人可在专用合同条款中约定其他合同价格形式。</w:t>
      </w:r>
    </w:p>
    <w:p>
      <w:pPr>
        <w:pStyle w:val="26"/>
        <w:numPr>
          <w:ilvl w:val="0"/>
          <w:numId w:val="0"/>
        </w:numPr>
        <w:spacing w:before="0" w:beforeAutospacing="0" w:after="0" w:afterAutospacing="0" w:line="360" w:lineRule="auto"/>
        <w:ind w:firstLine="482" w:firstLineChars="200"/>
        <w:rPr>
          <w:rFonts w:hint="eastAsia" w:cs="宋体"/>
          <w:b/>
          <w:bCs/>
          <w:color w:val="auto"/>
          <w:lang w:val="en-US" w:eastAsia="zh-CN"/>
        </w:rPr>
      </w:pPr>
      <w:r>
        <w:rPr>
          <w:rFonts w:hint="eastAsia" w:cs="宋体"/>
          <w:b/>
          <w:bCs/>
          <w:color w:val="auto"/>
          <w:lang w:val="en-US" w:eastAsia="zh-CN"/>
        </w:rPr>
        <w:t>12.2预付款</w:t>
      </w:r>
    </w:p>
    <w:p>
      <w:pPr>
        <w:pStyle w:val="26"/>
        <w:numPr>
          <w:ilvl w:val="0"/>
          <w:numId w:val="0"/>
        </w:numPr>
        <w:spacing w:before="0" w:beforeAutospacing="0" w:after="0" w:afterAutospacing="0" w:line="360" w:lineRule="auto"/>
        <w:ind w:firstLine="480" w:firstLineChars="200"/>
        <w:rPr>
          <w:rFonts w:hint="eastAsia" w:cs="宋体"/>
          <w:color w:val="auto"/>
          <w:lang w:val="en-US" w:eastAsia="zh-CN"/>
        </w:rPr>
      </w:pPr>
      <w:r>
        <w:rPr>
          <w:rFonts w:hint="eastAsia" w:cs="宋体"/>
          <w:color w:val="auto"/>
          <w:lang w:val="en-US" w:eastAsia="zh-CN"/>
        </w:rPr>
        <w:t>12.2.1预付款的支付</w:t>
      </w:r>
    </w:p>
    <w:p>
      <w:pPr>
        <w:pStyle w:val="26"/>
        <w:numPr>
          <w:ilvl w:val="0"/>
          <w:numId w:val="0"/>
        </w:numPr>
        <w:spacing w:before="0" w:beforeAutospacing="0" w:after="0" w:afterAutospacing="0" w:line="360" w:lineRule="auto"/>
        <w:ind w:firstLine="480" w:firstLineChars="200"/>
        <w:rPr>
          <w:rFonts w:hint="eastAsia" w:cs="宋体"/>
          <w:color w:val="auto"/>
          <w:lang w:val="en-US" w:eastAsia="zh-CN"/>
        </w:rPr>
      </w:pPr>
      <w:r>
        <w:rPr>
          <w:rFonts w:hint="eastAsia" w:cs="宋体"/>
          <w:color w:val="auto"/>
          <w:lang w:val="en-US" w:eastAsia="zh-CN"/>
        </w:rPr>
        <w:t>预付款的支付按照专用合同条款约定执行，但至迟应在开工通知载明的开工日期7天前支付。预付款应当用于材料、工程设备、施工设备的采购及修建临时工程、组织施工队伍进场等。</w:t>
      </w:r>
    </w:p>
    <w:p>
      <w:pPr>
        <w:pStyle w:val="26"/>
        <w:numPr>
          <w:ilvl w:val="0"/>
          <w:numId w:val="0"/>
        </w:numPr>
        <w:spacing w:before="0" w:beforeAutospacing="0" w:after="0" w:afterAutospacing="0" w:line="360" w:lineRule="auto"/>
        <w:ind w:firstLine="480" w:firstLineChars="200"/>
        <w:rPr>
          <w:rFonts w:hint="eastAsia" w:cs="宋体"/>
          <w:color w:val="auto"/>
          <w:lang w:val="en-US" w:eastAsia="zh-CN"/>
        </w:rPr>
      </w:pPr>
      <w:r>
        <w:rPr>
          <w:rFonts w:hint="eastAsia" w:cs="宋体"/>
          <w:color w:val="auto"/>
          <w:lang w:val="en-US" w:eastAsia="zh-CN"/>
        </w:rPr>
        <w:t>除专用合同条款另有约定外，预付款在进度付款中同比例扣回。在颁发工程接收证书前，提前解除合同的，尚未扣完的预付款应与合同价款一并结算。</w:t>
      </w:r>
    </w:p>
    <w:p>
      <w:pPr>
        <w:pStyle w:val="26"/>
        <w:numPr>
          <w:ilvl w:val="0"/>
          <w:numId w:val="0"/>
        </w:numPr>
        <w:spacing w:before="0" w:beforeAutospacing="0" w:after="0" w:afterAutospacing="0" w:line="360" w:lineRule="auto"/>
        <w:ind w:firstLine="480" w:firstLineChars="200"/>
        <w:rPr>
          <w:rFonts w:hint="eastAsia" w:cs="宋体"/>
          <w:color w:val="auto"/>
          <w:lang w:val="en-US" w:eastAsia="zh-CN"/>
        </w:rPr>
      </w:pPr>
      <w:r>
        <w:rPr>
          <w:rFonts w:hint="eastAsia" w:cs="宋体"/>
          <w:color w:val="auto"/>
          <w:lang w:val="en-US" w:eastAsia="zh-CN"/>
        </w:rPr>
        <w:t>发包人逾期支付预付款超过7天的，承包人有权向发包人发出要求预付的催告通知，发包人收到通知后7天内仍未支付的，承包人有权暂停施工，并按第16.1.1项〔发包人违约的情形〕执行。</w:t>
      </w:r>
    </w:p>
    <w:p>
      <w:pPr>
        <w:pStyle w:val="26"/>
        <w:numPr>
          <w:ilvl w:val="0"/>
          <w:numId w:val="0"/>
        </w:numPr>
        <w:spacing w:before="0" w:beforeAutospacing="0" w:after="0" w:afterAutospacing="0" w:line="360" w:lineRule="auto"/>
        <w:ind w:firstLine="480" w:firstLineChars="200"/>
        <w:rPr>
          <w:rFonts w:hint="eastAsia" w:cs="宋体"/>
          <w:color w:val="auto"/>
          <w:lang w:val="en-US" w:eastAsia="zh-CN"/>
        </w:rPr>
      </w:pPr>
      <w:r>
        <w:rPr>
          <w:rFonts w:hint="eastAsia" w:cs="宋体"/>
          <w:color w:val="auto"/>
          <w:lang w:val="en-US" w:eastAsia="zh-CN"/>
        </w:rPr>
        <w:t>12.2.2预付款担保</w:t>
      </w:r>
    </w:p>
    <w:p>
      <w:pPr>
        <w:pStyle w:val="26"/>
        <w:numPr>
          <w:ilvl w:val="0"/>
          <w:numId w:val="0"/>
        </w:numPr>
        <w:spacing w:before="0" w:beforeAutospacing="0" w:after="0" w:afterAutospacing="0" w:line="360" w:lineRule="auto"/>
        <w:ind w:firstLine="480" w:firstLineChars="200"/>
        <w:rPr>
          <w:rFonts w:hint="eastAsia" w:cs="宋体"/>
          <w:color w:val="auto"/>
          <w:lang w:val="en-US" w:eastAsia="zh-CN"/>
        </w:rPr>
      </w:pPr>
      <w:r>
        <w:rPr>
          <w:rFonts w:hint="eastAsia" w:cs="宋体"/>
          <w:color w:val="auto"/>
          <w:lang w:val="en-US" w:eastAsia="zh-CN"/>
        </w:rPr>
        <w:t>发包人要求承包人提供预付款担保的，承包人应在发包人支付预付款7天前提供预付款担保，专用合同条款另有约定除外。预付款担保可采用银行保函、担保公司担保等形式，具体由合同当事人在专用合同条款中约定。在预付款完全扣回之前，承包人应保证预付款担保持续有效。</w:t>
      </w:r>
    </w:p>
    <w:p>
      <w:pPr>
        <w:pStyle w:val="26"/>
        <w:numPr>
          <w:ilvl w:val="0"/>
          <w:numId w:val="0"/>
        </w:numPr>
        <w:spacing w:before="0" w:beforeAutospacing="0" w:after="0" w:afterAutospacing="0" w:line="360" w:lineRule="auto"/>
        <w:ind w:firstLine="480" w:firstLineChars="200"/>
        <w:rPr>
          <w:rFonts w:hint="eastAsia" w:cs="宋体"/>
          <w:color w:val="auto"/>
          <w:lang w:val="en-US" w:eastAsia="zh-CN"/>
        </w:rPr>
      </w:pPr>
      <w:r>
        <w:rPr>
          <w:rFonts w:hint="eastAsia" w:cs="宋体"/>
          <w:color w:val="auto"/>
          <w:lang w:val="en-US" w:eastAsia="zh-CN"/>
        </w:rPr>
        <w:t>发包人在工程款中逐期扣回预付款后，预付款担保额度应相应减少，但剩余的预付款担保金额不得低于未被扣回的预付款金额。</w:t>
      </w:r>
    </w:p>
    <w:p>
      <w:pPr>
        <w:pStyle w:val="26"/>
        <w:numPr>
          <w:ilvl w:val="0"/>
          <w:numId w:val="0"/>
        </w:numPr>
        <w:spacing w:before="0" w:beforeAutospacing="0" w:after="0" w:afterAutospacing="0" w:line="360" w:lineRule="auto"/>
        <w:ind w:firstLine="482" w:firstLineChars="200"/>
        <w:rPr>
          <w:rFonts w:hint="eastAsia" w:cs="宋体"/>
          <w:b/>
          <w:bCs/>
          <w:color w:val="auto"/>
          <w:lang w:val="en-US" w:eastAsia="zh-CN"/>
        </w:rPr>
      </w:pPr>
      <w:r>
        <w:rPr>
          <w:rFonts w:hint="eastAsia" w:cs="宋体"/>
          <w:b/>
          <w:bCs/>
          <w:color w:val="auto"/>
          <w:lang w:val="en-US" w:eastAsia="zh-CN"/>
        </w:rPr>
        <w:t>12.3计量</w:t>
      </w:r>
    </w:p>
    <w:p>
      <w:pPr>
        <w:pStyle w:val="26"/>
        <w:numPr>
          <w:ilvl w:val="0"/>
          <w:numId w:val="0"/>
        </w:numPr>
        <w:spacing w:before="0" w:beforeAutospacing="0" w:after="0" w:afterAutospacing="0" w:line="360" w:lineRule="auto"/>
        <w:ind w:firstLine="480" w:firstLineChars="200"/>
        <w:rPr>
          <w:rFonts w:hint="eastAsia" w:cs="宋体"/>
          <w:color w:val="auto"/>
          <w:lang w:val="en-US" w:eastAsia="zh-CN"/>
        </w:rPr>
      </w:pPr>
      <w:r>
        <w:rPr>
          <w:rFonts w:hint="eastAsia" w:cs="宋体"/>
          <w:color w:val="auto"/>
          <w:lang w:val="en-US" w:eastAsia="zh-CN"/>
        </w:rPr>
        <w:t>12.3.1计量原则</w:t>
      </w:r>
    </w:p>
    <w:p>
      <w:pPr>
        <w:pStyle w:val="26"/>
        <w:numPr>
          <w:ilvl w:val="0"/>
          <w:numId w:val="0"/>
        </w:numPr>
        <w:spacing w:before="0" w:beforeAutospacing="0" w:after="0" w:afterAutospacing="0" w:line="360" w:lineRule="auto"/>
        <w:ind w:firstLine="480" w:firstLineChars="200"/>
        <w:rPr>
          <w:rFonts w:hint="eastAsia" w:cs="宋体"/>
          <w:color w:val="auto"/>
          <w:lang w:val="en-US" w:eastAsia="zh-CN"/>
        </w:rPr>
      </w:pPr>
      <w:r>
        <w:rPr>
          <w:rFonts w:hint="eastAsia" w:cs="宋体"/>
          <w:color w:val="auto"/>
          <w:lang w:val="en-US" w:eastAsia="zh-CN"/>
        </w:rPr>
        <w:t>工程量计量按照合同约定的工程量计算规则、图纸及变更指示等进行计量。工程量计算规则应以相关的国家标准、行业标准等为依据，由合同当事人在专用合同条款中约定。</w:t>
      </w:r>
    </w:p>
    <w:p>
      <w:pPr>
        <w:pStyle w:val="26"/>
        <w:numPr>
          <w:ilvl w:val="0"/>
          <w:numId w:val="0"/>
        </w:numPr>
        <w:spacing w:before="0" w:beforeAutospacing="0" w:after="0" w:afterAutospacing="0" w:line="360" w:lineRule="auto"/>
        <w:ind w:firstLine="480" w:firstLineChars="200"/>
        <w:rPr>
          <w:rFonts w:hint="eastAsia" w:cs="宋体"/>
          <w:color w:val="auto"/>
          <w:lang w:val="en-US" w:eastAsia="zh-CN"/>
        </w:rPr>
      </w:pPr>
      <w:r>
        <w:rPr>
          <w:rFonts w:hint="eastAsia" w:cs="宋体"/>
          <w:color w:val="auto"/>
          <w:lang w:val="en-US" w:eastAsia="zh-CN"/>
        </w:rPr>
        <w:t>12.3.2计量周期</w:t>
      </w:r>
    </w:p>
    <w:p>
      <w:pPr>
        <w:pStyle w:val="26"/>
        <w:numPr>
          <w:ilvl w:val="0"/>
          <w:numId w:val="0"/>
        </w:numPr>
        <w:spacing w:before="0" w:beforeAutospacing="0" w:after="0" w:afterAutospacing="0" w:line="360" w:lineRule="auto"/>
        <w:ind w:firstLine="480" w:firstLineChars="200"/>
        <w:rPr>
          <w:rFonts w:hint="eastAsia" w:cs="宋体"/>
          <w:color w:val="auto"/>
          <w:lang w:val="en-US" w:eastAsia="zh-CN"/>
        </w:rPr>
      </w:pPr>
      <w:r>
        <w:rPr>
          <w:rFonts w:hint="eastAsia" w:cs="宋体"/>
          <w:color w:val="auto"/>
          <w:lang w:val="en-US" w:eastAsia="zh-CN"/>
        </w:rPr>
        <w:t>除专用合同条款另有约定外，工程量的计量按月进行。</w:t>
      </w:r>
    </w:p>
    <w:p>
      <w:pPr>
        <w:pStyle w:val="26"/>
        <w:numPr>
          <w:ilvl w:val="0"/>
          <w:numId w:val="0"/>
        </w:numPr>
        <w:spacing w:before="0" w:beforeAutospacing="0" w:after="0" w:afterAutospacing="0" w:line="360" w:lineRule="auto"/>
        <w:ind w:firstLine="480" w:firstLineChars="200"/>
        <w:rPr>
          <w:rFonts w:hint="eastAsia" w:cs="宋体"/>
          <w:color w:val="auto"/>
          <w:lang w:val="en-US" w:eastAsia="zh-CN"/>
        </w:rPr>
      </w:pPr>
      <w:r>
        <w:rPr>
          <w:rFonts w:hint="eastAsia" w:cs="宋体"/>
          <w:color w:val="auto"/>
          <w:lang w:val="en-US" w:eastAsia="zh-CN"/>
        </w:rPr>
        <w:t>12.3.3单价合同的计量</w:t>
      </w:r>
    </w:p>
    <w:p>
      <w:pPr>
        <w:pStyle w:val="26"/>
        <w:numPr>
          <w:ilvl w:val="0"/>
          <w:numId w:val="0"/>
        </w:numPr>
        <w:spacing w:before="0" w:beforeAutospacing="0" w:after="0" w:afterAutospacing="0" w:line="360" w:lineRule="auto"/>
        <w:ind w:firstLine="480" w:firstLineChars="200"/>
        <w:rPr>
          <w:rFonts w:hint="eastAsia" w:cs="宋体"/>
          <w:color w:val="auto"/>
          <w:lang w:val="en-US" w:eastAsia="zh-CN"/>
        </w:rPr>
      </w:pPr>
      <w:r>
        <w:rPr>
          <w:rFonts w:hint="eastAsia" w:cs="宋体"/>
          <w:color w:val="auto"/>
          <w:lang w:val="en-US" w:eastAsia="zh-CN"/>
        </w:rPr>
        <w:t>除专用合同条款另有约定外，单价合同的计量按照本项约定执行：</w:t>
      </w:r>
    </w:p>
    <w:p>
      <w:pPr>
        <w:pStyle w:val="26"/>
        <w:numPr>
          <w:ilvl w:val="0"/>
          <w:numId w:val="0"/>
        </w:numPr>
        <w:spacing w:before="0" w:beforeAutospacing="0" w:after="0" w:afterAutospacing="0" w:line="360" w:lineRule="auto"/>
        <w:ind w:firstLine="480" w:firstLineChars="200"/>
        <w:rPr>
          <w:rFonts w:hint="eastAsia" w:cs="宋体"/>
          <w:color w:val="auto"/>
          <w:lang w:val="en-US" w:eastAsia="zh-CN"/>
        </w:rPr>
      </w:pPr>
      <w:r>
        <w:rPr>
          <w:rFonts w:hint="eastAsia" w:cs="宋体"/>
          <w:color w:val="auto"/>
          <w:lang w:val="en-US" w:eastAsia="zh-CN"/>
        </w:rPr>
        <w:t>(1)承包人应于每月25日向监理人报送上月20日至当月19日已完成的工程量报告，并附具进度付款申请单、已完成工程量报表和有关资料。</w:t>
      </w:r>
    </w:p>
    <w:p>
      <w:pPr>
        <w:pStyle w:val="26"/>
        <w:numPr>
          <w:ilvl w:val="0"/>
          <w:numId w:val="0"/>
        </w:numPr>
        <w:spacing w:before="0" w:beforeAutospacing="0" w:after="0" w:afterAutospacing="0" w:line="360" w:lineRule="auto"/>
        <w:ind w:firstLine="480" w:firstLineChars="200"/>
        <w:rPr>
          <w:rFonts w:hint="eastAsia" w:cs="宋体"/>
          <w:color w:val="auto"/>
          <w:lang w:val="en-US" w:eastAsia="zh-CN"/>
        </w:rPr>
      </w:pPr>
      <w:r>
        <w:rPr>
          <w:rFonts w:hint="eastAsia" w:cs="宋体"/>
          <w:color w:val="auto"/>
          <w:lang w:val="en-US" w:eastAsia="zh-CN"/>
        </w:rPr>
        <w:t>(2)监理人应在收到承包人提交的工程量报告后7天内完成对承包人提交的工程量报表的审核并报送发包人，以确定当月实际完成的工程量。监理人对工程量有异议的，有权要求承包人进行共同复核或抽样复测。承包人应协助监理人进行复核或抽样复测，并按监理人要求提供补充计量资料。承包人未按监理人要求参加复核或抽样复测的，监理人复核或修正的工程量视为承包人实际完成的工程量。</w:t>
      </w:r>
    </w:p>
    <w:p>
      <w:pPr>
        <w:pStyle w:val="26"/>
        <w:numPr>
          <w:ilvl w:val="0"/>
          <w:numId w:val="0"/>
        </w:numPr>
        <w:spacing w:before="0" w:beforeAutospacing="0" w:after="0" w:afterAutospacing="0" w:line="360" w:lineRule="auto"/>
        <w:ind w:firstLine="480" w:firstLineChars="200"/>
        <w:rPr>
          <w:rFonts w:hint="eastAsia" w:cs="宋体"/>
          <w:color w:val="auto"/>
          <w:lang w:val="en-US" w:eastAsia="zh-CN"/>
        </w:rPr>
      </w:pPr>
      <w:r>
        <w:rPr>
          <w:rFonts w:hint="eastAsia" w:cs="宋体"/>
          <w:color w:val="auto"/>
          <w:lang w:val="en-US" w:eastAsia="zh-CN"/>
        </w:rPr>
        <w:t>(3)监理人未在收到承包人提交的工程量报表后的7天内完成审核的，承包人报送的工程量报告中的工程量视为承包人实际完成的工程量，据此计算工程价款。</w:t>
      </w:r>
    </w:p>
    <w:p>
      <w:pPr>
        <w:pStyle w:val="26"/>
        <w:numPr>
          <w:ilvl w:val="0"/>
          <w:numId w:val="0"/>
        </w:numPr>
        <w:spacing w:before="0" w:beforeAutospacing="0" w:after="0" w:afterAutospacing="0" w:line="360" w:lineRule="auto"/>
        <w:ind w:firstLine="480" w:firstLineChars="200"/>
        <w:rPr>
          <w:rFonts w:hint="eastAsia" w:cs="宋体"/>
          <w:color w:val="auto"/>
          <w:lang w:val="en-US" w:eastAsia="zh-CN"/>
        </w:rPr>
      </w:pPr>
      <w:r>
        <w:rPr>
          <w:rFonts w:hint="eastAsia" w:cs="宋体"/>
          <w:color w:val="auto"/>
          <w:lang w:val="en-US" w:eastAsia="zh-CN"/>
        </w:rPr>
        <w:t>12.3.4总价合同的计量</w:t>
      </w:r>
    </w:p>
    <w:p>
      <w:pPr>
        <w:pStyle w:val="26"/>
        <w:numPr>
          <w:ilvl w:val="0"/>
          <w:numId w:val="0"/>
        </w:numPr>
        <w:spacing w:before="0" w:beforeAutospacing="0" w:after="0" w:afterAutospacing="0" w:line="360" w:lineRule="auto"/>
        <w:ind w:firstLine="480" w:firstLineChars="200"/>
        <w:rPr>
          <w:rFonts w:hint="eastAsia" w:cs="宋体"/>
          <w:color w:val="auto"/>
          <w:lang w:val="en-US" w:eastAsia="zh-CN"/>
        </w:rPr>
      </w:pPr>
      <w:r>
        <w:rPr>
          <w:rFonts w:hint="eastAsia" w:cs="宋体"/>
          <w:color w:val="auto"/>
          <w:lang w:val="en-US" w:eastAsia="zh-CN"/>
        </w:rPr>
        <w:t>除专用合同条款另有约定外，按月计量支付的总价合同，按照本项约定执行：</w:t>
      </w:r>
    </w:p>
    <w:p>
      <w:pPr>
        <w:pStyle w:val="26"/>
        <w:numPr>
          <w:ilvl w:val="0"/>
          <w:numId w:val="0"/>
        </w:numPr>
        <w:spacing w:before="0" w:beforeAutospacing="0" w:after="0" w:afterAutospacing="0" w:line="360" w:lineRule="auto"/>
        <w:ind w:firstLine="480" w:firstLineChars="200"/>
        <w:rPr>
          <w:rFonts w:hint="eastAsia" w:cs="宋体"/>
          <w:color w:val="auto"/>
          <w:lang w:val="en-US" w:eastAsia="zh-CN"/>
        </w:rPr>
      </w:pPr>
      <w:r>
        <w:rPr>
          <w:rFonts w:hint="eastAsia" w:cs="宋体"/>
          <w:color w:val="auto"/>
          <w:lang w:val="en-US" w:eastAsia="zh-CN"/>
        </w:rPr>
        <w:t>(1)承包人应于每月25日向监理人报送上月20日至当月19日已完成的工程量报告，并附具进度付款申请单、已完成工程量报表和有关资料。</w:t>
      </w:r>
    </w:p>
    <w:p>
      <w:pPr>
        <w:pStyle w:val="26"/>
        <w:numPr>
          <w:ilvl w:val="0"/>
          <w:numId w:val="0"/>
        </w:numPr>
        <w:spacing w:before="0" w:beforeAutospacing="0" w:after="0" w:afterAutospacing="0" w:line="360" w:lineRule="auto"/>
        <w:ind w:firstLine="480" w:firstLineChars="200"/>
        <w:rPr>
          <w:rFonts w:hint="eastAsia" w:cs="宋体"/>
          <w:color w:val="auto"/>
          <w:lang w:val="en-US" w:eastAsia="zh-CN"/>
        </w:rPr>
      </w:pPr>
      <w:r>
        <w:rPr>
          <w:rFonts w:hint="eastAsia" w:cs="宋体"/>
          <w:color w:val="auto"/>
          <w:lang w:val="en-US" w:eastAsia="zh-CN"/>
        </w:rPr>
        <w:t>(2)监理人应在收到承包人提交的工程量报告后7天内完成对承包人提交的工程量报表的审核并报送发包人，以确定当月实际完成的工程量。监理人对工程量有异议的，有权要求承包人进行共同复核或抽样复测。承包人应协助监理人进行复核或抽样复测并按监理人要求提供补充计量资料。承包人未按监理人要求参加复核或抽样复测的，监理人审核或修正的工程量视为承包人实际完成的工程量。</w:t>
      </w:r>
    </w:p>
    <w:p>
      <w:pPr>
        <w:pStyle w:val="26"/>
        <w:numPr>
          <w:ilvl w:val="0"/>
          <w:numId w:val="0"/>
        </w:numPr>
        <w:spacing w:before="0" w:beforeAutospacing="0" w:after="0" w:afterAutospacing="0" w:line="360" w:lineRule="auto"/>
        <w:ind w:firstLine="480" w:firstLineChars="200"/>
        <w:rPr>
          <w:rFonts w:hint="eastAsia" w:cs="宋体"/>
          <w:color w:val="auto"/>
          <w:lang w:val="en-US" w:eastAsia="zh-CN"/>
        </w:rPr>
      </w:pPr>
      <w:r>
        <w:rPr>
          <w:rFonts w:hint="eastAsia" w:cs="宋体"/>
          <w:color w:val="auto"/>
          <w:lang w:val="en-US" w:eastAsia="zh-CN"/>
        </w:rPr>
        <w:t>(3)监理人未在收到承包人提交的工程量报表后的7天内完成复核的，承包人提交的工程量报告中的工程量视为承包人实际完成的工程量。</w:t>
      </w:r>
    </w:p>
    <w:p>
      <w:pPr>
        <w:pStyle w:val="26"/>
        <w:numPr>
          <w:ilvl w:val="0"/>
          <w:numId w:val="0"/>
        </w:numPr>
        <w:spacing w:before="0" w:beforeAutospacing="0" w:after="0" w:afterAutospacing="0" w:line="360" w:lineRule="auto"/>
        <w:ind w:firstLine="480" w:firstLineChars="200"/>
        <w:rPr>
          <w:rFonts w:hint="eastAsia" w:cs="宋体"/>
          <w:color w:val="auto"/>
          <w:lang w:val="en-US" w:eastAsia="zh-CN"/>
        </w:rPr>
      </w:pPr>
      <w:r>
        <w:rPr>
          <w:rFonts w:hint="eastAsia" w:cs="宋体"/>
          <w:color w:val="auto"/>
          <w:lang w:val="en-US" w:eastAsia="zh-CN"/>
        </w:rPr>
        <w:t>12.3.5总价合同采用支付分解表计量支付的，可以按照第12.3.4项〔总价合同的计量〕约定进行计量，但合同价款按照支付分解表进行支付。</w:t>
      </w:r>
    </w:p>
    <w:p>
      <w:pPr>
        <w:pStyle w:val="26"/>
        <w:numPr>
          <w:ilvl w:val="0"/>
          <w:numId w:val="0"/>
        </w:numPr>
        <w:spacing w:before="0" w:beforeAutospacing="0" w:after="0" w:afterAutospacing="0" w:line="360" w:lineRule="auto"/>
        <w:ind w:firstLine="480" w:firstLineChars="200"/>
        <w:rPr>
          <w:rFonts w:hint="eastAsia" w:cs="宋体"/>
          <w:color w:val="auto"/>
          <w:lang w:val="en-US" w:eastAsia="zh-CN"/>
        </w:rPr>
      </w:pPr>
      <w:r>
        <w:rPr>
          <w:rFonts w:hint="eastAsia" w:cs="宋体"/>
          <w:color w:val="auto"/>
          <w:lang w:val="en-US" w:eastAsia="zh-CN"/>
        </w:rPr>
        <w:t>12.3.6其他价格形式合同的计量</w:t>
      </w:r>
    </w:p>
    <w:p>
      <w:pPr>
        <w:pStyle w:val="26"/>
        <w:numPr>
          <w:ilvl w:val="0"/>
          <w:numId w:val="0"/>
        </w:numPr>
        <w:spacing w:before="0" w:beforeAutospacing="0" w:after="0" w:afterAutospacing="0" w:line="360" w:lineRule="auto"/>
        <w:ind w:firstLine="480" w:firstLineChars="200"/>
        <w:rPr>
          <w:rFonts w:hint="eastAsia" w:cs="宋体"/>
          <w:color w:val="auto"/>
          <w:lang w:val="en-US" w:eastAsia="zh-CN"/>
        </w:rPr>
      </w:pPr>
      <w:r>
        <w:rPr>
          <w:rFonts w:hint="eastAsia" w:cs="宋体"/>
          <w:color w:val="auto"/>
          <w:lang w:val="en-US" w:eastAsia="zh-CN"/>
        </w:rPr>
        <w:t>合同当事人可在专用合同条款中约定其他价格形式合同的计量方式和程序。</w:t>
      </w:r>
    </w:p>
    <w:p>
      <w:pPr>
        <w:pStyle w:val="26"/>
        <w:numPr>
          <w:ilvl w:val="0"/>
          <w:numId w:val="0"/>
        </w:numPr>
        <w:spacing w:before="0" w:beforeAutospacing="0" w:after="0" w:afterAutospacing="0" w:line="360" w:lineRule="auto"/>
        <w:ind w:firstLine="482" w:firstLineChars="200"/>
        <w:rPr>
          <w:rFonts w:hint="eastAsia" w:cs="宋体"/>
          <w:b/>
          <w:bCs/>
          <w:color w:val="auto"/>
          <w:lang w:val="en-US" w:eastAsia="zh-CN"/>
        </w:rPr>
      </w:pPr>
      <w:r>
        <w:rPr>
          <w:rFonts w:hint="eastAsia" w:cs="宋体"/>
          <w:b/>
          <w:bCs/>
          <w:color w:val="auto"/>
          <w:lang w:val="en-US" w:eastAsia="zh-CN"/>
        </w:rPr>
        <w:t>12.4工程进度款支付</w:t>
      </w:r>
    </w:p>
    <w:p>
      <w:pPr>
        <w:pStyle w:val="26"/>
        <w:numPr>
          <w:ilvl w:val="0"/>
          <w:numId w:val="0"/>
        </w:numPr>
        <w:spacing w:before="0" w:beforeAutospacing="0" w:after="0" w:afterAutospacing="0" w:line="360" w:lineRule="auto"/>
        <w:ind w:firstLine="482" w:firstLineChars="200"/>
        <w:rPr>
          <w:rFonts w:hint="eastAsia" w:cs="宋体"/>
          <w:b/>
          <w:bCs/>
          <w:color w:val="auto"/>
          <w:lang w:val="en-US" w:eastAsia="zh-CN"/>
        </w:rPr>
      </w:pPr>
      <w:r>
        <w:rPr>
          <w:rFonts w:hint="eastAsia" w:cs="宋体"/>
          <w:b/>
          <w:bCs/>
          <w:color w:val="auto"/>
          <w:lang w:val="en-US" w:eastAsia="zh-CN"/>
        </w:rPr>
        <w:t>12.4.1付款周期</w:t>
      </w:r>
    </w:p>
    <w:p>
      <w:pPr>
        <w:pStyle w:val="26"/>
        <w:numPr>
          <w:ilvl w:val="0"/>
          <w:numId w:val="0"/>
        </w:numPr>
        <w:spacing w:before="0" w:beforeAutospacing="0" w:after="0" w:afterAutospacing="0" w:line="360" w:lineRule="auto"/>
        <w:ind w:firstLine="480" w:firstLineChars="200"/>
        <w:rPr>
          <w:rFonts w:hint="eastAsia" w:cs="宋体"/>
          <w:color w:val="auto"/>
          <w:lang w:val="en-US" w:eastAsia="zh-CN"/>
        </w:rPr>
      </w:pPr>
      <w:r>
        <w:rPr>
          <w:rFonts w:hint="eastAsia" w:cs="宋体"/>
          <w:color w:val="auto"/>
          <w:lang w:val="en-US" w:eastAsia="zh-CN"/>
        </w:rPr>
        <w:t>除专用合同条款另有约定外，付款周期应按照第12.3.2项〔计量周期〕的约定与计量周期保持一致。</w:t>
      </w:r>
    </w:p>
    <w:p>
      <w:pPr>
        <w:pStyle w:val="26"/>
        <w:numPr>
          <w:ilvl w:val="0"/>
          <w:numId w:val="0"/>
        </w:numPr>
        <w:spacing w:before="0" w:beforeAutospacing="0" w:after="0" w:afterAutospacing="0" w:line="360" w:lineRule="auto"/>
        <w:ind w:firstLine="480" w:firstLineChars="200"/>
        <w:rPr>
          <w:rFonts w:hint="eastAsia" w:cs="宋体"/>
          <w:color w:val="auto"/>
          <w:lang w:val="en-US" w:eastAsia="zh-CN"/>
        </w:rPr>
      </w:pPr>
      <w:r>
        <w:rPr>
          <w:rFonts w:hint="eastAsia" w:cs="宋体"/>
          <w:color w:val="auto"/>
          <w:lang w:val="en-US" w:eastAsia="zh-CN"/>
        </w:rPr>
        <w:t>12.4.2进度付款申请单的编制</w:t>
      </w:r>
    </w:p>
    <w:p>
      <w:pPr>
        <w:pStyle w:val="26"/>
        <w:numPr>
          <w:ilvl w:val="0"/>
          <w:numId w:val="0"/>
        </w:numPr>
        <w:spacing w:before="0" w:beforeAutospacing="0" w:after="0" w:afterAutospacing="0" w:line="360" w:lineRule="auto"/>
        <w:ind w:firstLine="480" w:firstLineChars="200"/>
        <w:rPr>
          <w:rFonts w:hint="eastAsia" w:cs="宋体"/>
          <w:color w:val="auto"/>
          <w:lang w:val="en-US" w:eastAsia="zh-CN"/>
        </w:rPr>
      </w:pPr>
      <w:r>
        <w:rPr>
          <w:rFonts w:hint="eastAsia" w:cs="宋体"/>
          <w:color w:val="auto"/>
          <w:lang w:val="en-US" w:eastAsia="zh-CN"/>
        </w:rPr>
        <w:t>除专用合同条款另有约定外，进度付款申请单应包括下列内容：</w:t>
      </w:r>
    </w:p>
    <w:p>
      <w:pPr>
        <w:pStyle w:val="26"/>
        <w:numPr>
          <w:ilvl w:val="0"/>
          <w:numId w:val="0"/>
        </w:numPr>
        <w:spacing w:before="0" w:beforeAutospacing="0" w:after="0" w:afterAutospacing="0" w:line="360" w:lineRule="auto"/>
        <w:ind w:firstLine="480" w:firstLineChars="200"/>
        <w:rPr>
          <w:rFonts w:hint="eastAsia" w:cs="宋体"/>
          <w:color w:val="auto"/>
          <w:lang w:val="en-US" w:eastAsia="zh-CN"/>
        </w:rPr>
      </w:pPr>
      <w:r>
        <w:rPr>
          <w:rFonts w:hint="eastAsia" w:cs="宋体"/>
          <w:color w:val="auto"/>
          <w:lang w:val="en-US" w:eastAsia="zh-CN"/>
        </w:rPr>
        <w:t>(1)截至本次付款周期已完成工作对应的金额；</w:t>
      </w:r>
    </w:p>
    <w:p>
      <w:pPr>
        <w:pStyle w:val="26"/>
        <w:numPr>
          <w:ilvl w:val="0"/>
          <w:numId w:val="0"/>
        </w:numPr>
        <w:spacing w:before="0" w:beforeAutospacing="0" w:after="0" w:afterAutospacing="0" w:line="360" w:lineRule="auto"/>
        <w:ind w:firstLine="480" w:firstLineChars="200"/>
        <w:rPr>
          <w:rFonts w:hint="eastAsia" w:cs="宋体"/>
          <w:color w:val="auto"/>
          <w:lang w:val="en-US" w:eastAsia="zh-CN"/>
        </w:rPr>
      </w:pPr>
      <w:r>
        <w:rPr>
          <w:rFonts w:hint="eastAsia" w:cs="宋体"/>
          <w:color w:val="auto"/>
          <w:lang w:val="en-US" w:eastAsia="zh-CN"/>
        </w:rPr>
        <w:t>(2)根据第10条〔变更〕应增加和扣减的变更金额；</w:t>
      </w:r>
    </w:p>
    <w:p>
      <w:pPr>
        <w:pStyle w:val="26"/>
        <w:numPr>
          <w:ilvl w:val="0"/>
          <w:numId w:val="0"/>
        </w:numPr>
        <w:spacing w:before="0" w:beforeAutospacing="0" w:after="0" w:afterAutospacing="0" w:line="360" w:lineRule="auto"/>
        <w:ind w:firstLine="480" w:firstLineChars="200"/>
        <w:rPr>
          <w:rFonts w:hint="eastAsia" w:cs="宋体"/>
          <w:color w:val="auto"/>
          <w:lang w:val="en-US" w:eastAsia="zh-CN"/>
        </w:rPr>
      </w:pPr>
      <w:r>
        <w:rPr>
          <w:rFonts w:hint="eastAsia" w:cs="宋体"/>
          <w:color w:val="auto"/>
          <w:lang w:val="en-US" w:eastAsia="zh-CN"/>
        </w:rPr>
        <w:t>(3)根据第12.2款〔预付款〕约定应支付的预付款和扣减的返还预付款；</w:t>
      </w:r>
    </w:p>
    <w:p>
      <w:pPr>
        <w:pStyle w:val="26"/>
        <w:numPr>
          <w:ilvl w:val="0"/>
          <w:numId w:val="0"/>
        </w:numPr>
        <w:spacing w:before="0" w:beforeAutospacing="0" w:after="0" w:afterAutospacing="0" w:line="360" w:lineRule="auto"/>
        <w:ind w:firstLine="480" w:firstLineChars="200"/>
        <w:rPr>
          <w:rFonts w:hint="eastAsia" w:cs="宋体"/>
          <w:color w:val="auto"/>
          <w:lang w:val="en-US" w:eastAsia="zh-CN"/>
        </w:rPr>
      </w:pPr>
      <w:r>
        <w:rPr>
          <w:rFonts w:hint="eastAsia" w:cs="宋体"/>
          <w:color w:val="auto"/>
          <w:lang w:val="en-US" w:eastAsia="zh-CN"/>
        </w:rPr>
        <w:t>(4)根据第15.3款〔质量保证金〕约定应扣减的质量保证金；</w:t>
      </w:r>
    </w:p>
    <w:p>
      <w:pPr>
        <w:pStyle w:val="26"/>
        <w:numPr>
          <w:ilvl w:val="0"/>
          <w:numId w:val="0"/>
        </w:numPr>
        <w:spacing w:before="0" w:beforeAutospacing="0" w:after="0" w:afterAutospacing="0" w:line="360" w:lineRule="auto"/>
        <w:ind w:firstLine="480" w:firstLineChars="200"/>
        <w:rPr>
          <w:rFonts w:hint="eastAsia" w:cs="宋体"/>
          <w:color w:val="auto"/>
          <w:lang w:val="en-US" w:eastAsia="zh-CN"/>
        </w:rPr>
      </w:pPr>
      <w:r>
        <w:rPr>
          <w:rFonts w:hint="eastAsia" w:cs="宋体"/>
          <w:color w:val="auto"/>
          <w:lang w:val="en-US" w:eastAsia="zh-CN"/>
        </w:rPr>
        <w:t>(5)根据第19条〔索赔〕应增加和扣减的索赔金额；</w:t>
      </w:r>
    </w:p>
    <w:p>
      <w:pPr>
        <w:pStyle w:val="26"/>
        <w:numPr>
          <w:ilvl w:val="0"/>
          <w:numId w:val="0"/>
        </w:numPr>
        <w:spacing w:before="0" w:beforeAutospacing="0" w:after="0" w:afterAutospacing="0" w:line="360" w:lineRule="auto"/>
        <w:ind w:firstLine="480" w:firstLineChars="200"/>
        <w:rPr>
          <w:rFonts w:hint="eastAsia" w:cs="宋体"/>
          <w:color w:val="auto"/>
          <w:lang w:val="en-US" w:eastAsia="zh-CN"/>
        </w:rPr>
      </w:pPr>
      <w:r>
        <w:rPr>
          <w:rFonts w:hint="eastAsia" w:cs="宋体"/>
          <w:color w:val="auto"/>
          <w:lang w:val="en-US" w:eastAsia="zh-CN"/>
        </w:rPr>
        <w:t>(6)对已签发的进度款支付证书中出现错误的修正，应在本次进度付款中支付或扣除的金额；</w:t>
      </w:r>
    </w:p>
    <w:p>
      <w:pPr>
        <w:pStyle w:val="26"/>
        <w:numPr>
          <w:ilvl w:val="0"/>
          <w:numId w:val="0"/>
        </w:numPr>
        <w:spacing w:before="0" w:beforeAutospacing="0" w:after="0" w:afterAutospacing="0" w:line="360" w:lineRule="auto"/>
        <w:ind w:firstLine="480" w:firstLineChars="200"/>
        <w:rPr>
          <w:rFonts w:hint="eastAsia" w:cs="宋体"/>
          <w:color w:val="auto"/>
          <w:lang w:val="en-US" w:eastAsia="zh-CN"/>
        </w:rPr>
      </w:pPr>
      <w:r>
        <w:rPr>
          <w:rFonts w:hint="eastAsia" w:cs="宋体"/>
          <w:color w:val="auto"/>
          <w:lang w:val="en-US" w:eastAsia="zh-CN"/>
        </w:rPr>
        <w:t>(7)根据合同约定应增加和扣减的其他金额。</w:t>
      </w:r>
    </w:p>
    <w:p>
      <w:pPr>
        <w:pStyle w:val="26"/>
        <w:numPr>
          <w:ilvl w:val="0"/>
          <w:numId w:val="0"/>
        </w:numPr>
        <w:spacing w:before="0" w:beforeAutospacing="0" w:after="0" w:afterAutospacing="0" w:line="360" w:lineRule="auto"/>
        <w:ind w:firstLine="480" w:firstLineChars="200"/>
        <w:rPr>
          <w:rFonts w:hint="eastAsia" w:cs="宋体"/>
          <w:color w:val="auto"/>
          <w:lang w:val="en-US" w:eastAsia="zh-CN"/>
        </w:rPr>
      </w:pPr>
      <w:r>
        <w:rPr>
          <w:rFonts w:hint="eastAsia" w:cs="宋体"/>
          <w:color w:val="auto"/>
          <w:lang w:val="en-US" w:eastAsia="zh-CN"/>
        </w:rPr>
        <w:t>12.4.3进度付款申请单的提交</w:t>
      </w:r>
    </w:p>
    <w:p>
      <w:pPr>
        <w:pStyle w:val="26"/>
        <w:numPr>
          <w:ilvl w:val="0"/>
          <w:numId w:val="0"/>
        </w:numPr>
        <w:spacing w:before="0" w:beforeAutospacing="0" w:after="0" w:afterAutospacing="0" w:line="360" w:lineRule="auto"/>
        <w:ind w:firstLine="480" w:firstLineChars="200"/>
        <w:rPr>
          <w:rFonts w:hint="eastAsia" w:cs="宋体"/>
          <w:color w:val="auto"/>
          <w:lang w:val="en-US" w:eastAsia="zh-CN"/>
        </w:rPr>
      </w:pPr>
      <w:r>
        <w:rPr>
          <w:rFonts w:hint="eastAsia" w:cs="宋体"/>
          <w:color w:val="auto"/>
          <w:lang w:val="en-US" w:eastAsia="zh-CN"/>
        </w:rPr>
        <w:t>(1)单价合同进度付款申请单的提交</w:t>
      </w:r>
    </w:p>
    <w:p>
      <w:pPr>
        <w:pStyle w:val="26"/>
        <w:numPr>
          <w:ilvl w:val="0"/>
          <w:numId w:val="0"/>
        </w:numPr>
        <w:spacing w:before="0" w:beforeAutospacing="0" w:after="0" w:afterAutospacing="0" w:line="360" w:lineRule="auto"/>
        <w:ind w:firstLine="480" w:firstLineChars="200"/>
        <w:rPr>
          <w:rFonts w:hint="eastAsia" w:cs="宋体"/>
          <w:color w:val="auto"/>
          <w:lang w:val="en-US" w:eastAsia="zh-CN"/>
        </w:rPr>
      </w:pPr>
      <w:r>
        <w:rPr>
          <w:rFonts w:hint="eastAsia" w:cs="宋体"/>
          <w:color w:val="auto"/>
          <w:lang w:val="en-US" w:eastAsia="zh-CN"/>
        </w:rPr>
        <w:t>单价合同的进度付款申请单，按照第12.3.3项〔单价合同的计量〕约定的时间按月向监理人提交，并附上已完成工程量报表和有关资料。单价合同中的总价项目按月进行支付分解，并汇总列入当期进度付款申请单。</w:t>
      </w:r>
    </w:p>
    <w:p>
      <w:pPr>
        <w:pStyle w:val="26"/>
        <w:numPr>
          <w:ilvl w:val="0"/>
          <w:numId w:val="0"/>
        </w:numPr>
        <w:spacing w:before="0" w:beforeAutospacing="0" w:after="0" w:afterAutospacing="0" w:line="360" w:lineRule="auto"/>
        <w:ind w:firstLine="480" w:firstLineChars="200"/>
        <w:rPr>
          <w:rFonts w:hint="eastAsia" w:cs="宋体"/>
          <w:color w:val="auto"/>
          <w:lang w:val="en-US" w:eastAsia="zh-CN"/>
        </w:rPr>
      </w:pPr>
      <w:r>
        <w:rPr>
          <w:rFonts w:hint="eastAsia" w:cs="宋体"/>
          <w:color w:val="auto"/>
          <w:lang w:val="en-US" w:eastAsia="zh-CN"/>
        </w:rPr>
        <w:t>(2)总价合同进度付款申请单的提交</w:t>
      </w:r>
    </w:p>
    <w:p>
      <w:pPr>
        <w:pStyle w:val="26"/>
        <w:numPr>
          <w:ilvl w:val="0"/>
          <w:numId w:val="0"/>
        </w:numPr>
        <w:spacing w:before="0" w:beforeAutospacing="0" w:after="0" w:afterAutospacing="0" w:line="360" w:lineRule="auto"/>
        <w:ind w:firstLine="480" w:firstLineChars="200"/>
        <w:rPr>
          <w:rFonts w:hint="eastAsia" w:cs="宋体"/>
          <w:color w:val="auto"/>
          <w:lang w:val="en-US" w:eastAsia="zh-CN"/>
        </w:rPr>
      </w:pPr>
      <w:r>
        <w:rPr>
          <w:rFonts w:hint="eastAsia" w:cs="宋体"/>
          <w:color w:val="auto"/>
          <w:lang w:val="en-US" w:eastAsia="zh-CN"/>
        </w:rPr>
        <w:t>总价合同按月计量支付的，承包人按照第12.3.4项〔总价合同的计量〕约定的时间按月向监理人提交进度付款申请单，并附上已完成工程量报表和有关资料。</w:t>
      </w:r>
    </w:p>
    <w:p>
      <w:pPr>
        <w:pStyle w:val="26"/>
        <w:numPr>
          <w:ilvl w:val="0"/>
          <w:numId w:val="0"/>
        </w:numPr>
        <w:spacing w:before="0" w:beforeAutospacing="0" w:after="0" w:afterAutospacing="0" w:line="360" w:lineRule="auto"/>
        <w:ind w:firstLine="480" w:firstLineChars="200"/>
        <w:rPr>
          <w:rFonts w:hint="eastAsia" w:cs="宋体"/>
          <w:color w:val="auto"/>
          <w:lang w:val="en-US" w:eastAsia="zh-CN"/>
        </w:rPr>
      </w:pPr>
      <w:r>
        <w:rPr>
          <w:rFonts w:hint="eastAsia" w:cs="宋体"/>
          <w:color w:val="auto"/>
          <w:lang w:val="en-US" w:eastAsia="zh-CN"/>
        </w:rPr>
        <w:t>总价合同按支付分解表支付的，承包人应按照第12.4.6项〔支付分解表〕及第12.4.2项〔进度付款申请单的编制〕的约定向监理人提交进度付款申请单。</w:t>
      </w:r>
    </w:p>
    <w:p>
      <w:pPr>
        <w:pStyle w:val="26"/>
        <w:numPr>
          <w:ilvl w:val="0"/>
          <w:numId w:val="0"/>
        </w:numPr>
        <w:spacing w:before="0" w:beforeAutospacing="0" w:after="0" w:afterAutospacing="0" w:line="360" w:lineRule="auto"/>
        <w:ind w:firstLine="480" w:firstLineChars="200"/>
        <w:rPr>
          <w:rFonts w:hint="eastAsia" w:cs="宋体"/>
          <w:color w:val="auto"/>
          <w:lang w:val="en-US" w:eastAsia="zh-CN"/>
        </w:rPr>
      </w:pPr>
      <w:r>
        <w:rPr>
          <w:rFonts w:hint="eastAsia" w:cs="宋体"/>
          <w:color w:val="auto"/>
          <w:lang w:val="en-US" w:eastAsia="zh-CN"/>
        </w:rPr>
        <w:t>(3)其他价格形式合同的进度付款申请单的提交</w:t>
      </w:r>
    </w:p>
    <w:p>
      <w:pPr>
        <w:pStyle w:val="26"/>
        <w:numPr>
          <w:ilvl w:val="0"/>
          <w:numId w:val="0"/>
        </w:numPr>
        <w:spacing w:before="0" w:beforeAutospacing="0" w:after="0" w:afterAutospacing="0" w:line="360" w:lineRule="auto"/>
        <w:ind w:firstLine="480" w:firstLineChars="200"/>
        <w:rPr>
          <w:rFonts w:hint="eastAsia" w:cs="宋体"/>
          <w:color w:val="auto"/>
          <w:lang w:val="en-US" w:eastAsia="zh-CN"/>
        </w:rPr>
      </w:pPr>
      <w:r>
        <w:rPr>
          <w:rFonts w:hint="eastAsia" w:cs="宋体"/>
          <w:color w:val="auto"/>
          <w:lang w:val="en-US" w:eastAsia="zh-CN"/>
        </w:rPr>
        <w:t>合同当事人可在专用合同条款中约定其他价格形式合同的进度付款申请单的编制和提交程序。</w:t>
      </w:r>
    </w:p>
    <w:p>
      <w:pPr>
        <w:pStyle w:val="26"/>
        <w:numPr>
          <w:ilvl w:val="0"/>
          <w:numId w:val="0"/>
        </w:numPr>
        <w:spacing w:before="0" w:beforeAutospacing="0" w:after="0" w:afterAutospacing="0" w:line="360" w:lineRule="auto"/>
        <w:ind w:firstLine="480" w:firstLineChars="200"/>
        <w:rPr>
          <w:rFonts w:hint="eastAsia" w:cs="宋体"/>
          <w:color w:val="auto"/>
          <w:lang w:val="en-US" w:eastAsia="zh-CN"/>
        </w:rPr>
      </w:pPr>
      <w:r>
        <w:rPr>
          <w:rFonts w:hint="eastAsia" w:cs="宋体"/>
          <w:color w:val="auto"/>
          <w:lang w:val="en-US" w:eastAsia="zh-CN"/>
        </w:rPr>
        <w:t>12.4.4进度款审核和支付</w:t>
      </w:r>
    </w:p>
    <w:p>
      <w:pPr>
        <w:pStyle w:val="26"/>
        <w:numPr>
          <w:ilvl w:val="0"/>
          <w:numId w:val="0"/>
        </w:numPr>
        <w:spacing w:before="0" w:beforeAutospacing="0" w:after="0" w:afterAutospacing="0" w:line="360" w:lineRule="auto"/>
        <w:ind w:firstLine="480" w:firstLineChars="200"/>
        <w:rPr>
          <w:rFonts w:hint="eastAsia" w:cs="宋体"/>
          <w:color w:val="auto"/>
          <w:lang w:val="en-US" w:eastAsia="zh-CN"/>
        </w:rPr>
      </w:pPr>
      <w:r>
        <w:rPr>
          <w:rFonts w:hint="eastAsia" w:cs="宋体"/>
          <w:color w:val="auto"/>
          <w:lang w:val="en-US" w:eastAsia="zh-CN"/>
        </w:rPr>
        <w:t>(1)除专用合同条款另有约定外，监理人应在收到承包人进度付款申请单以及相关资料后7天内完成审查并报送发包人，发包人应在收到后7天内完成审批并签发进度款支付证书。发包人逾期未完成审批且未提出异议的，视为已签发进度款支付证书。</w:t>
      </w:r>
    </w:p>
    <w:p>
      <w:pPr>
        <w:pStyle w:val="26"/>
        <w:numPr>
          <w:ilvl w:val="0"/>
          <w:numId w:val="0"/>
        </w:numPr>
        <w:spacing w:before="0" w:beforeAutospacing="0" w:after="0" w:afterAutospacing="0" w:line="360" w:lineRule="auto"/>
        <w:ind w:firstLine="480" w:firstLineChars="200"/>
        <w:rPr>
          <w:rFonts w:hint="eastAsia" w:cs="宋体"/>
          <w:color w:val="auto"/>
          <w:lang w:val="en-US" w:eastAsia="zh-CN"/>
        </w:rPr>
      </w:pPr>
      <w:r>
        <w:rPr>
          <w:rFonts w:hint="eastAsia" w:cs="宋体"/>
          <w:color w:val="auto"/>
          <w:lang w:val="en-US" w:eastAsia="zh-CN"/>
        </w:rPr>
        <w:t>发包人和监理人对承包人的进度付款申请单有异议的，有权要求承包人修正和提供补充资料，承包人应提交修正后的进度付款申请单。监理人应在收到承包人修正后的进度付款申请单及相关资料后7天内完成审查并报送发包人，发包人应在收到监理人报送的进度付款申请单及相关资料后7天内，向承包人签发无异议部分的临时进度款支付证书。存在争议的部分，按照第20条〔争议解决〕的约定处理。</w:t>
      </w:r>
    </w:p>
    <w:p>
      <w:pPr>
        <w:pStyle w:val="26"/>
        <w:numPr>
          <w:ilvl w:val="0"/>
          <w:numId w:val="0"/>
        </w:numPr>
        <w:spacing w:before="0" w:beforeAutospacing="0" w:after="0" w:afterAutospacing="0" w:line="360" w:lineRule="auto"/>
        <w:ind w:firstLine="480" w:firstLineChars="200"/>
        <w:rPr>
          <w:rFonts w:hint="eastAsia" w:cs="宋体"/>
          <w:color w:val="auto"/>
          <w:lang w:val="en-US" w:eastAsia="zh-CN"/>
        </w:rPr>
      </w:pPr>
      <w:r>
        <w:rPr>
          <w:rFonts w:hint="eastAsia" w:cs="宋体"/>
          <w:color w:val="auto"/>
          <w:lang w:val="en-US" w:eastAsia="zh-CN"/>
        </w:rPr>
        <w:t>(2)除专用合同条款另有约定外，发包人应在进度款支付证书或临时进度款支付证书签发后14天内完成支付，发包人逾期支付进度款的，应按照中国人民银行发布的</w:t>
      </w:r>
    </w:p>
    <w:p>
      <w:pPr>
        <w:pStyle w:val="26"/>
        <w:numPr>
          <w:ilvl w:val="0"/>
          <w:numId w:val="0"/>
        </w:numPr>
        <w:spacing w:before="0" w:beforeAutospacing="0" w:after="0" w:afterAutospacing="0" w:line="360" w:lineRule="auto"/>
        <w:rPr>
          <w:rFonts w:hint="eastAsia" w:cs="宋体"/>
          <w:color w:val="auto"/>
          <w:lang w:val="en-US" w:eastAsia="zh-CN"/>
        </w:rPr>
      </w:pPr>
      <w:r>
        <w:rPr>
          <w:rFonts w:hint="eastAsia" w:cs="宋体"/>
          <w:color w:val="auto"/>
          <w:lang w:val="en-US" w:eastAsia="zh-CN"/>
        </w:rPr>
        <w:t>同期同类贷款基准利率支付违约金。</w:t>
      </w:r>
    </w:p>
    <w:p>
      <w:pPr>
        <w:pStyle w:val="26"/>
        <w:numPr>
          <w:ilvl w:val="0"/>
          <w:numId w:val="0"/>
        </w:numPr>
        <w:spacing w:before="0" w:beforeAutospacing="0" w:after="0" w:afterAutospacing="0" w:line="360" w:lineRule="auto"/>
        <w:ind w:firstLine="480" w:firstLineChars="200"/>
        <w:rPr>
          <w:rFonts w:hint="eastAsia" w:cs="宋体"/>
          <w:color w:val="auto"/>
          <w:lang w:val="en-US" w:eastAsia="zh-CN"/>
        </w:rPr>
      </w:pPr>
      <w:r>
        <w:rPr>
          <w:rFonts w:hint="eastAsia" w:cs="宋体"/>
          <w:color w:val="auto"/>
          <w:lang w:val="en-US" w:eastAsia="zh-CN"/>
        </w:rPr>
        <w:t>(3)发包人签发进度款支付证书或临时进度款支付证书，不表明发包人已同意、批准或接受了承包人完成的相应部分的工作。</w:t>
      </w:r>
    </w:p>
    <w:p>
      <w:pPr>
        <w:pStyle w:val="26"/>
        <w:numPr>
          <w:ilvl w:val="0"/>
          <w:numId w:val="0"/>
        </w:numPr>
        <w:spacing w:before="0" w:beforeAutospacing="0" w:after="0" w:afterAutospacing="0" w:line="360" w:lineRule="auto"/>
        <w:ind w:firstLine="480" w:firstLineChars="200"/>
        <w:rPr>
          <w:rFonts w:hint="eastAsia" w:cs="宋体"/>
          <w:color w:val="auto"/>
          <w:lang w:val="en-US" w:eastAsia="zh-CN"/>
        </w:rPr>
      </w:pPr>
      <w:r>
        <w:rPr>
          <w:rFonts w:hint="eastAsia" w:cs="宋体"/>
          <w:color w:val="auto"/>
          <w:lang w:val="en-US" w:eastAsia="zh-CN"/>
        </w:rPr>
        <w:t>12.4.5进度付款的修正</w:t>
      </w:r>
    </w:p>
    <w:p>
      <w:pPr>
        <w:pStyle w:val="26"/>
        <w:numPr>
          <w:ilvl w:val="0"/>
          <w:numId w:val="0"/>
        </w:numPr>
        <w:spacing w:before="0" w:beforeAutospacing="0" w:after="0" w:afterAutospacing="0" w:line="360" w:lineRule="auto"/>
        <w:ind w:firstLine="480" w:firstLineChars="200"/>
        <w:rPr>
          <w:rFonts w:hint="eastAsia" w:cs="宋体"/>
          <w:color w:val="auto"/>
          <w:lang w:val="en-US" w:eastAsia="zh-CN"/>
        </w:rPr>
      </w:pPr>
      <w:r>
        <w:rPr>
          <w:rFonts w:hint="eastAsia" w:cs="宋体"/>
          <w:color w:val="auto"/>
          <w:lang w:val="en-US" w:eastAsia="zh-CN"/>
        </w:rPr>
        <w:t>在对已签发的进度款支付证书进行阶段汇总和复核中发现错误、遗漏或重复的，发包人和承包人均有权提出修正申请。经发包人和承包人同意的修正，应在下期进度付款中支付或扣除。</w:t>
      </w:r>
    </w:p>
    <w:p>
      <w:pPr>
        <w:pStyle w:val="26"/>
        <w:numPr>
          <w:ilvl w:val="0"/>
          <w:numId w:val="0"/>
        </w:numPr>
        <w:spacing w:before="0" w:beforeAutospacing="0" w:after="0" w:afterAutospacing="0" w:line="360" w:lineRule="auto"/>
        <w:ind w:firstLine="480" w:firstLineChars="200"/>
        <w:rPr>
          <w:rFonts w:hint="eastAsia" w:cs="宋体"/>
          <w:color w:val="auto"/>
          <w:lang w:val="en-US" w:eastAsia="zh-CN"/>
        </w:rPr>
      </w:pPr>
      <w:r>
        <w:rPr>
          <w:rFonts w:hint="eastAsia" w:cs="宋体"/>
          <w:color w:val="auto"/>
          <w:lang w:val="en-US" w:eastAsia="zh-CN"/>
        </w:rPr>
        <w:t>12.4.6支付分解表</w:t>
      </w:r>
    </w:p>
    <w:p>
      <w:pPr>
        <w:pStyle w:val="26"/>
        <w:numPr>
          <w:ilvl w:val="0"/>
          <w:numId w:val="0"/>
        </w:numPr>
        <w:spacing w:before="0" w:beforeAutospacing="0" w:after="0" w:afterAutospacing="0" w:line="360" w:lineRule="auto"/>
        <w:ind w:firstLine="480" w:firstLineChars="200"/>
        <w:rPr>
          <w:rFonts w:hint="eastAsia" w:cs="宋体"/>
          <w:color w:val="auto"/>
          <w:lang w:val="en-US" w:eastAsia="zh-CN"/>
        </w:rPr>
      </w:pPr>
      <w:r>
        <w:rPr>
          <w:rFonts w:hint="eastAsia" w:cs="宋体"/>
          <w:color w:val="auto"/>
          <w:lang w:val="en-US" w:eastAsia="zh-CN"/>
        </w:rPr>
        <w:t>1、支付分解表的编制要求</w:t>
      </w:r>
    </w:p>
    <w:p>
      <w:pPr>
        <w:pStyle w:val="26"/>
        <w:numPr>
          <w:ilvl w:val="0"/>
          <w:numId w:val="0"/>
        </w:numPr>
        <w:spacing w:before="0" w:beforeAutospacing="0" w:after="0" w:afterAutospacing="0" w:line="360" w:lineRule="auto"/>
        <w:ind w:firstLine="480" w:firstLineChars="200"/>
        <w:rPr>
          <w:rFonts w:hint="eastAsia" w:cs="宋体"/>
          <w:color w:val="auto"/>
          <w:lang w:val="en-US" w:eastAsia="zh-CN"/>
        </w:rPr>
      </w:pPr>
      <w:r>
        <w:rPr>
          <w:rFonts w:hint="eastAsia" w:cs="宋体"/>
          <w:color w:val="auto"/>
          <w:lang w:val="en-US" w:eastAsia="zh-CN"/>
        </w:rPr>
        <w:t>(1)支付分解表中所列的每期付款金额，应为第12.4.2项〔进度付款申请单的编制〕第(1)目的估算金额；</w:t>
      </w:r>
    </w:p>
    <w:p>
      <w:pPr>
        <w:pStyle w:val="26"/>
        <w:numPr>
          <w:ilvl w:val="0"/>
          <w:numId w:val="0"/>
        </w:numPr>
        <w:spacing w:before="0" w:beforeAutospacing="0" w:after="0" w:afterAutospacing="0" w:line="360" w:lineRule="auto"/>
        <w:ind w:firstLine="480" w:firstLineChars="200"/>
        <w:rPr>
          <w:rFonts w:hint="eastAsia" w:cs="宋体"/>
          <w:color w:val="auto"/>
          <w:lang w:val="en-US" w:eastAsia="zh-CN"/>
        </w:rPr>
      </w:pPr>
      <w:r>
        <w:rPr>
          <w:rFonts w:hint="eastAsia" w:cs="宋体"/>
          <w:color w:val="auto"/>
          <w:lang w:val="en-US" w:eastAsia="zh-CN"/>
        </w:rPr>
        <w:t>(2)实际进度与施工进度计划不一致的，合同当事人可按照第4.4款〔商定或确定〕修改支付分解表；</w:t>
      </w:r>
    </w:p>
    <w:p>
      <w:pPr>
        <w:pStyle w:val="26"/>
        <w:numPr>
          <w:ilvl w:val="0"/>
          <w:numId w:val="0"/>
        </w:numPr>
        <w:spacing w:before="0" w:beforeAutospacing="0" w:after="0" w:afterAutospacing="0" w:line="360" w:lineRule="auto"/>
        <w:ind w:firstLine="480" w:firstLineChars="200"/>
        <w:rPr>
          <w:rFonts w:hint="eastAsia" w:cs="宋体"/>
          <w:color w:val="auto"/>
          <w:lang w:val="en-US" w:eastAsia="zh-CN"/>
        </w:rPr>
      </w:pPr>
      <w:r>
        <w:rPr>
          <w:rFonts w:hint="eastAsia" w:cs="宋体"/>
          <w:color w:val="auto"/>
          <w:lang w:val="en-US" w:eastAsia="zh-CN"/>
        </w:rPr>
        <w:t>(3)不采用支付分解表的，承包人应向发包人和监理人提交按季度编制的支付估算分解表，用于支付参考。</w:t>
      </w:r>
    </w:p>
    <w:p>
      <w:pPr>
        <w:pStyle w:val="26"/>
        <w:numPr>
          <w:ilvl w:val="0"/>
          <w:numId w:val="0"/>
        </w:numPr>
        <w:spacing w:before="0" w:beforeAutospacing="0" w:after="0" w:afterAutospacing="0" w:line="360" w:lineRule="auto"/>
        <w:ind w:firstLine="480" w:firstLineChars="200"/>
        <w:rPr>
          <w:rFonts w:hint="eastAsia" w:cs="宋体"/>
          <w:color w:val="auto"/>
          <w:lang w:val="en-US" w:eastAsia="zh-CN"/>
        </w:rPr>
      </w:pPr>
      <w:r>
        <w:rPr>
          <w:rFonts w:hint="eastAsia" w:cs="宋体"/>
          <w:color w:val="auto"/>
          <w:lang w:val="en-US" w:eastAsia="zh-CN"/>
        </w:rPr>
        <w:t>2、总价合同支付分解表的编制与审批</w:t>
      </w:r>
    </w:p>
    <w:p>
      <w:pPr>
        <w:pStyle w:val="26"/>
        <w:numPr>
          <w:ilvl w:val="0"/>
          <w:numId w:val="0"/>
        </w:numPr>
        <w:spacing w:before="0" w:beforeAutospacing="0" w:after="0" w:afterAutospacing="0" w:line="360" w:lineRule="auto"/>
        <w:ind w:firstLine="480" w:firstLineChars="200"/>
        <w:rPr>
          <w:rFonts w:hint="eastAsia" w:cs="宋体"/>
          <w:color w:val="auto"/>
          <w:lang w:val="en-US" w:eastAsia="zh-CN"/>
        </w:rPr>
      </w:pPr>
      <w:r>
        <w:rPr>
          <w:rFonts w:hint="eastAsia" w:cs="宋体"/>
          <w:color w:val="auto"/>
          <w:lang w:val="en-US" w:eastAsia="zh-CN"/>
        </w:rPr>
        <w:t>(1)除专用合同条款另有约定外，承包人应根据第7.2款〔施工进度计划〕约定的施工进度计划、签约合同价和工程量等因素对总价合同按月进行分解，编制支付分解表。承包人应当在收到监理人和发包人批准的施工进度计划后7天内，将支付分解表及编制支付分解表的支持性资料报送监理人。</w:t>
      </w:r>
    </w:p>
    <w:p>
      <w:pPr>
        <w:pStyle w:val="26"/>
        <w:numPr>
          <w:ilvl w:val="0"/>
          <w:numId w:val="0"/>
        </w:numPr>
        <w:spacing w:before="0" w:beforeAutospacing="0" w:after="0" w:afterAutospacing="0" w:line="360" w:lineRule="auto"/>
        <w:ind w:firstLine="480" w:firstLineChars="200"/>
        <w:rPr>
          <w:rFonts w:hint="eastAsia" w:cs="宋体"/>
          <w:color w:val="auto"/>
          <w:lang w:val="en-US" w:eastAsia="zh-CN"/>
        </w:rPr>
      </w:pPr>
      <w:r>
        <w:rPr>
          <w:rFonts w:hint="eastAsia" w:cs="宋体"/>
          <w:color w:val="auto"/>
          <w:lang w:val="en-US" w:eastAsia="zh-CN"/>
        </w:rPr>
        <w:t>(2)监理人应在收到支付分解表后7天内完成审核并报送发包人。发包人应在收到经监理人审核的支付分解表后7天内完成审批，经发包人批准的支付分解表为有约束力的支付分解表。</w:t>
      </w:r>
    </w:p>
    <w:p>
      <w:pPr>
        <w:pStyle w:val="26"/>
        <w:numPr>
          <w:ilvl w:val="0"/>
          <w:numId w:val="0"/>
        </w:numPr>
        <w:spacing w:before="0" w:beforeAutospacing="0" w:after="0" w:afterAutospacing="0" w:line="360" w:lineRule="auto"/>
        <w:ind w:firstLine="480" w:firstLineChars="200"/>
        <w:rPr>
          <w:rFonts w:hint="eastAsia" w:cs="宋体"/>
          <w:color w:val="auto"/>
          <w:lang w:val="en-US" w:eastAsia="zh-CN"/>
        </w:rPr>
      </w:pPr>
      <w:r>
        <w:rPr>
          <w:rFonts w:hint="eastAsia" w:cs="宋体"/>
          <w:color w:val="auto"/>
          <w:lang w:val="en-US" w:eastAsia="zh-CN"/>
        </w:rPr>
        <w:t>(3)发包人逾期未完成支付分解表审批的，也未及时要求承包人进行修正和提供补充资料的，则承包人提交的支付分解表视为已经获得发包人批准。</w:t>
      </w:r>
    </w:p>
    <w:p>
      <w:pPr>
        <w:pStyle w:val="26"/>
        <w:numPr>
          <w:ilvl w:val="0"/>
          <w:numId w:val="0"/>
        </w:numPr>
        <w:spacing w:before="0" w:beforeAutospacing="0" w:after="0" w:afterAutospacing="0" w:line="360" w:lineRule="auto"/>
        <w:ind w:firstLine="480" w:firstLineChars="200"/>
        <w:rPr>
          <w:rFonts w:hint="eastAsia" w:cs="宋体"/>
          <w:color w:val="auto"/>
          <w:lang w:val="en-US" w:eastAsia="zh-CN"/>
        </w:rPr>
      </w:pPr>
      <w:r>
        <w:rPr>
          <w:rFonts w:hint="eastAsia" w:cs="宋体"/>
          <w:color w:val="auto"/>
          <w:lang w:val="en-US" w:eastAsia="zh-CN"/>
        </w:rPr>
        <w:t>3、单价合同的总价项目支付分解表的编制与审批</w:t>
      </w:r>
    </w:p>
    <w:p>
      <w:pPr>
        <w:pStyle w:val="26"/>
        <w:numPr>
          <w:ilvl w:val="0"/>
          <w:numId w:val="0"/>
        </w:numPr>
        <w:spacing w:before="0" w:beforeAutospacing="0" w:after="0" w:afterAutospacing="0" w:line="360" w:lineRule="auto"/>
        <w:ind w:firstLine="480" w:firstLineChars="200"/>
        <w:rPr>
          <w:rFonts w:hint="eastAsia" w:cs="宋体"/>
          <w:color w:val="auto"/>
          <w:lang w:val="en-US" w:eastAsia="zh-CN"/>
        </w:rPr>
      </w:pPr>
      <w:r>
        <w:rPr>
          <w:rFonts w:hint="eastAsia" w:cs="宋体"/>
          <w:color w:val="auto"/>
          <w:lang w:val="en-US" w:eastAsia="zh-CN"/>
        </w:rPr>
        <w:t>除专用合同条款另有约定外，单价合同的总价项目，由承包人根据施工进度计划和总价项目的总价构成、费用性质、计划发生时间和相应工程量等因素按月进行分解，形成支付分解表，其编制与审批参照总价合同支付分解表的编制与审批执行。</w:t>
      </w:r>
    </w:p>
    <w:p>
      <w:pPr>
        <w:pStyle w:val="26"/>
        <w:numPr>
          <w:ilvl w:val="0"/>
          <w:numId w:val="0"/>
        </w:numPr>
        <w:spacing w:before="0" w:beforeAutospacing="0" w:after="0" w:afterAutospacing="0" w:line="360" w:lineRule="auto"/>
        <w:ind w:firstLine="482" w:firstLineChars="200"/>
        <w:rPr>
          <w:rFonts w:hint="eastAsia" w:cs="宋体"/>
          <w:b/>
          <w:bCs/>
          <w:color w:val="auto"/>
          <w:lang w:val="en-US" w:eastAsia="zh-CN"/>
        </w:rPr>
      </w:pPr>
      <w:r>
        <w:rPr>
          <w:rFonts w:hint="eastAsia" w:cs="宋体"/>
          <w:b/>
          <w:bCs/>
          <w:color w:val="auto"/>
          <w:lang w:val="en-US" w:eastAsia="zh-CN"/>
        </w:rPr>
        <w:t>12.5支付账户</w:t>
      </w:r>
    </w:p>
    <w:p>
      <w:pPr>
        <w:pStyle w:val="26"/>
        <w:numPr>
          <w:ilvl w:val="0"/>
          <w:numId w:val="0"/>
        </w:numPr>
        <w:spacing w:before="0" w:beforeAutospacing="0" w:after="0" w:afterAutospacing="0" w:line="360" w:lineRule="auto"/>
        <w:ind w:firstLine="480" w:firstLineChars="200"/>
        <w:rPr>
          <w:rFonts w:hint="eastAsia" w:cs="宋体"/>
          <w:color w:val="auto"/>
          <w:lang w:val="en-US" w:eastAsia="zh-CN"/>
        </w:rPr>
      </w:pPr>
      <w:r>
        <w:rPr>
          <w:rFonts w:hint="eastAsia" w:cs="宋体"/>
          <w:color w:val="auto"/>
          <w:lang w:val="en-US" w:eastAsia="zh-CN"/>
        </w:rPr>
        <w:t>发包人应将合同价款支付至合同协议书中约定的承包人账户。</w:t>
      </w:r>
    </w:p>
    <w:p>
      <w:pPr>
        <w:pStyle w:val="26"/>
        <w:numPr>
          <w:ilvl w:val="0"/>
          <w:numId w:val="0"/>
        </w:numPr>
        <w:spacing w:before="0" w:beforeAutospacing="0" w:after="0" w:afterAutospacing="0" w:line="360" w:lineRule="auto"/>
        <w:ind w:firstLine="482" w:firstLineChars="200"/>
        <w:rPr>
          <w:rFonts w:hint="eastAsia" w:cs="宋体"/>
          <w:b/>
          <w:bCs/>
          <w:color w:val="auto"/>
          <w:lang w:val="en-US" w:eastAsia="zh-CN"/>
        </w:rPr>
      </w:pPr>
      <w:r>
        <w:rPr>
          <w:rFonts w:hint="eastAsia" w:cs="宋体"/>
          <w:b/>
          <w:bCs/>
          <w:color w:val="auto"/>
          <w:lang w:val="en-US" w:eastAsia="zh-CN"/>
        </w:rPr>
        <w:t>13.验收和工程试车</w:t>
      </w:r>
    </w:p>
    <w:p>
      <w:pPr>
        <w:pStyle w:val="26"/>
        <w:numPr>
          <w:ilvl w:val="0"/>
          <w:numId w:val="0"/>
        </w:numPr>
        <w:spacing w:before="0" w:beforeAutospacing="0" w:after="0" w:afterAutospacing="0" w:line="360" w:lineRule="auto"/>
        <w:ind w:firstLine="482" w:firstLineChars="200"/>
        <w:rPr>
          <w:rFonts w:hint="eastAsia" w:cs="宋体"/>
          <w:b/>
          <w:bCs/>
          <w:color w:val="auto"/>
          <w:lang w:val="en-US" w:eastAsia="zh-CN"/>
        </w:rPr>
      </w:pPr>
      <w:r>
        <w:rPr>
          <w:rFonts w:hint="eastAsia" w:cs="宋体"/>
          <w:b/>
          <w:bCs/>
          <w:color w:val="auto"/>
          <w:lang w:val="en-US" w:eastAsia="zh-CN"/>
        </w:rPr>
        <w:t>13.1分部分项工程验收</w:t>
      </w:r>
    </w:p>
    <w:p>
      <w:pPr>
        <w:pStyle w:val="26"/>
        <w:numPr>
          <w:ilvl w:val="0"/>
          <w:numId w:val="0"/>
        </w:numPr>
        <w:spacing w:before="0" w:beforeAutospacing="0" w:after="0" w:afterAutospacing="0" w:line="360" w:lineRule="auto"/>
        <w:ind w:firstLine="480" w:firstLineChars="200"/>
        <w:rPr>
          <w:rFonts w:hint="eastAsia" w:cs="宋体"/>
          <w:color w:val="auto"/>
          <w:lang w:val="en-US" w:eastAsia="zh-CN"/>
        </w:rPr>
      </w:pPr>
      <w:r>
        <w:rPr>
          <w:rFonts w:hint="eastAsia" w:cs="宋体"/>
          <w:color w:val="auto"/>
          <w:lang w:val="en-US" w:eastAsia="zh-CN"/>
        </w:rPr>
        <w:t>13.1.1分部分项工程质量应符合国家有关工程施工验收规范、标准及合同约定，承包人应按照施工组织设计的要求完成分部分项工程施工。</w:t>
      </w:r>
    </w:p>
    <w:p>
      <w:pPr>
        <w:pStyle w:val="26"/>
        <w:numPr>
          <w:ilvl w:val="0"/>
          <w:numId w:val="0"/>
        </w:numPr>
        <w:spacing w:before="0" w:beforeAutospacing="0" w:after="0" w:afterAutospacing="0" w:line="360" w:lineRule="auto"/>
        <w:ind w:firstLine="480" w:firstLineChars="200"/>
        <w:rPr>
          <w:rFonts w:hint="eastAsia" w:cs="宋体"/>
          <w:color w:val="auto"/>
          <w:lang w:val="en-US" w:eastAsia="zh-CN"/>
        </w:rPr>
      </w:pPr>
      <w:r>
        <w:rPr>
          <w:rFonts w:hint="eastAsia" w:cs="宋体"/>
          <w:color w:val="auto"/>
          <w:lang w:val="en-US" w:eastAsia="zh-CN"/>
        </w:rPr>
        <w:t>13.1.2除专用合同条款另有约定外，分部分项工程经承包人自检合格并具备验收条件的，承包人应提前48小时通知监理人进行验收。监理人不能按时进行验收的，应在验收前24小时向承包人提交书面延期要求，但延期不能超过48小时。监理人未按时进行验收，也未提出延期要求的，承包人有权自行验收，监理人应认可验收结果。分部分项工程未经验收的，不得进入下一道工序施工。</w:t>
      </w:r>
    </w:p>
    <w:p>
      <w:pPr>
        <w:pStyle w:val="26"/>
        <w:numPr>
          <w:ilvl w:val="0"/>
          <w:numId w:val="0"/>
        </w:numPr>
        <w:spacing w:before="0" w:beforeAutospacing="0" w:after="0" w:afterAutospacing="0" w:line="360" w:lineRule="auto"/>
        <w:ind w:firstLine="480" w:firstLineChars="200"/>
        <w:rPr>
          <w:rFonts w:hint="eastAsia" w:cs="宋体"/>
          <w:color w:val="auto"/>
          <w:lang w:val="en-US" w:eastAsia="zh-CN"/>
        </w:rPr>
      </w:pPr>
      <w:r>
        <w:rPr>
          <w:rFonts w:hint="eastAsia" w:cs="宋体"/>
          <w:color w:val="auto"/>
          <w:lang w:val="en-US" w:eastAsia="zh-CN"/>
        </w:rPr>
        <w:t>分部分项工程的验收资料应当作为竣工资料的组成部分。</w:t>
      </w:r>
    </w:p>
    <w:p>
      <w:pPr>
        <w:pStyle w:val="26"/>
        <w:numPr>
          <w:ilvl w:val="0"/>
          <w:numId w:val="0"/>
        </w:numPr>
        <w:spacing w:before="0" w:beforeAutospacing="0" w:after="0" w:afterAutospacing="0" w:line="360" w:lineRule="auto"/>
        <w:ind w:firstLine="482" w:firstLineChars="200"/>
        <w:rPr>
          <w:rFonts w:hint="eastAsia" w:cs="宋体"/>
          <w:b/>
          <w:bCs/>
          <w:color w:val="auto"/>
          <w:lang w:val="en-US" w:eastAsia="zh-CN"/>
        </w:rPr>
      </w:pPr>
      <w:r>
        <w:rPr>
          <w:rFonts w:hint="eastAsia" w:cs="宋体"/>
          <w:b/>
          <w:bCs/>
          <w:color w:val="auto"/>
          <w:lang w:val="en-US" w:eastAsia="zh-CN"/>
        </w:rPr>
        <w:t>13.2竣工验收</w:t>
      </w:r>
    </w:p>
    <w:p>
      <w:pPr>
        <w:pStyle w:val="26"/>
        <w:numPr>
          <w:ilvl w:val="0"/>
          <w:numId w:val="0"/>
        </w:numPr>
        <w:spacing w:before="0" w:beforeAutospacing="0" w:after="0" w:afterAutospacing="0" w:line="360" w:lineRule="auto"/>
        <w:ind w:firstLine="480" w:firstLineChars="200"/>
        <w:rPr>
          <w:rFonts w:hint="eastAsia" w:cs="宋体"/>
          <w:color w:val="auto"/>
          <w:lang w:val="en-US" w:eastAsia="zh-CN"/>
        </w:rPr>
      </w:pPr>
      <w:r>
        <w:rPr>
          <w:rFonts w:hint="eastAsia" w:cs="宋体"/>
          <w:color w:val="auto"/>
          <w:lang w:val="en-US" w:eastAsia="zh-CN"/>
        </w:rPr>
        <w:t>13.2.1竣工验收条件</w:t>
      </w:r>
    </w:p>
    <w:p>
      <w:pPr>
        <w:pStyle w:val="26"/>
        <w:numPr>
          <w:ilvl w:val="0"/>
          <w:numId w:val="0"/>
        </w:numPr>
        <w:spacing w:before="0" w:beforeAutospacing="0" w:after="0" w:afterAutospacing="0" w:line="360" w:lineRule="auto"/>
        <w:ind w:firstLine="480" w:firstLineChars="200"/>
        <w:rPr>
          <w:rFonts w:hint="eastAsia" w:cs="宋体"/>
          <w:color w:val="auto"/>
          <w:lang w:val="en-US" w:eastAsia="zh-CN"/>
        </w:rPr>
      </w:pPr>
      <w:r>
        <w:rPr>
          <w:rFonts w:hint="eastAsia" w:cs="宋体"/>
          <w:color w:val="auto"/>
          <w:lang w:val="en-US" w:eastAsia="zh-CN"/>
        </w:rPr>
        <w:t>工程具备以下条件的，承包人可以申请竣工验收：</w:t>
      </w:r>
    </w:p>
    <w:p>
      <w:pPr>
        <w:pStyle w:val="26"/>
        <w:numPr>
          <w:ilvl w:val="0"/>
          <w:numId w:val="0"/>
        </w:numPr>
        <w:spacing w:before="0" w:beforeAutospacing="0" w:after="0" w:afterAutospacing="0" w:line="360" w:lineRule="auto"/>
        <w:ind w:firstLine="480" w:firstLineChars="200"/>
        <w:rPr>
          <w:rFonts w:hint="eastAsia" w:cs="宋体"/>
          <w:color w:val="auto"/>
          <w:lang w:val="en-US" w:eastAsia="zh-CN"/>
        </w:rPr>
      </w:pPr>
      <w:r>
        <w:rPr>
          <w:rFonts w:hint="eastAsia" w:cs="宋体"/>
          <w:color w:val="auto"/>
          <w:lang w:val="en-US" w:eastAsia="zh-CN"/>
        </w:rPr>
        <w:t>(1)除发包人同意的甩项工作和缺陷修补工作外，合同范围内的全部工程以及有关工作，包括合同要求的试验、试运行以及检验均已完成，并符合合同要求；</w:t>
      </w:r>
    </w:p>
    <w:p>
      <w:pPr>
        <w:pStyle w:val="26"/>
        <w:numPr>
          <w:ilvl w:val="0"/>
          <w:numId w:val="0"/>
        </w:numPr>
        <w:spacing w:before="0" w:beforeAutospacing="0" w:after="0" w:afterAutospacing="0" w:line="360" w:lineRule="auto"/>
        <w:ind w:firstLine="480" w:firstLineChars="200"/>
        <w:rPr>
          <w:rFonts w:hint="eastAsia" w:cs="宋体"/>
          <w:color w:val="auto"/>
          <w:lang w:val="en-US" w:eastAsia="zh-CN"/>
        </w:rPr>
      </w:pPr>
      <w:r>
        <w:rPr>
          <w:rFonts w:hint="eastAsia" w:cs="宋体"/>
          <w:color w:val="auto"/>
          <w:lang w:val="en-US" w:eastAsia="zh-CN"/>
        </w:rPr>
        <w:t>(2)已按合同约定编制了甩项工作和缺陷修补工作清单以及相应的施工计划；</w:t>
      </w:r>
    </w:p>
    <w:p>
      <w:pPr>
        <w:pStyle w:val="26"/>
        <w:numPr>
          <w:ilvl w:val="0"/>
          <w:numId w:val="0"/>
        </w:numPr>
        <w:spacing w:before="0" w:beforeAutospacing="0" w:after="0" w:afterAutospacing="0" w:line="360" w:lineRule="auto"/>
        <w:ind w:firstLine="480" w:firstLineChars="200"/>
        <w:rPr>
          <w:rFonts w:hint="eastAsia" w:cs="宋体"/>
          <w:color w:val="auto"/>
          <w:lang w:val="en-US" w:eastAsia="zh-CN"/>
        </w:rPr>
      </w:pPr>
      <w:r>
        <w:rPr>
          <w:rFonts w:hint="eastAsia" w:cs="宋体"/>
          <w:color w:val="auto"/>
          <w:lang w:val="en-US" w:eastAsia="zh-CN"/>
        </w:rPr>
        <w:t>(3)已按合同约定的内容和份数备齐竣工资料。</w:t>
      </w:r>
    </w:p>
    <w:p>
      <w:pPr>
        <w:pStyle w:val="26"/>
        <w:numPr>
          <w:ilvl w:val="0"/>
          <w:numId w:val="0"/>
        </w:numPr>
        <w:spacing w:before="0" w:beforeAutospacing="0" w:after="0" w:afterAutospacing="0" w:line="360" w:lineRule="auto"/>
        <w:ind w:firstLine="480" w:firstLineChars="200"/>
        <w:rPr>
          <w:rFonts w:hint="eastAsia" w:cs="宋体"/>
          <w:color w:val="auto"/>
          <w:lang w:val="en-US" w:eastAsia="zh-CN"/>
        </w:rPr>
      </w:pPr>
      <w:r>
        <w:rPr>
          <w:rFonts w:hint="eastAsia" w:cs="宋体"/>
          <w:color w:val="auto"/>
          <w:lang w:val="en-US" w:eastAsia="zh-CN"/>
        </w:rPr>
        <w:t>13.2.2竣工验收程序</w:t>
      </w:r>
    </w:p>
    <w:p>
      <w:pPr>
        <w:pStyle w:val="26"/>
        <w:numPr>
          <w:ilvl w:val="0"/>
          <w:numId w:val="0"/>
        </w:numPr>
        <w:spacing w:before="0" w:beforeAutospacing="0" w:after="0" w:afterAutospacing="0" w:line="360" w:lineRule="auto"/>
        <w:ind w:firstLine="480" w:firstLineChars="200"/>
        <w:rPr>
          <w:rFonts w:hint="eastAsia" w:cs="宋体"/>
          <w:color w:val="auto"/>
          <w:lang w:val="en-US" w:eastAsia="zh-CN"/>
        </w:rPr>
      </w:pPr>
      <w:r>
        <w:rPr>
          <w:rFonts w:hint="eastAsia" w:cs="宋体"/>
          <w:color w:val="auto"/>
          <w:lang w:val="en-US" w:eastAsia="zh-CN"/>
        </w:rPr>
        <w:t>除专用合同条款另有约定外，承包人申请竣工验收的，应当按照以下程序进行：</w:t>
      </w:r>
    </w:p>
    <w:p>
      <w:pPr>
        <w:pStyle w:val="26"/>
        <w:numPr>
          <w:ilvl w:val="0"/>
          <w:numId w:val="0"/>
        </w:numPr>
        <w:spacing w:before="0" w:beforeAutospacing="0" w:after="0" w:afterAutospacing="0" w:line="360" w:lineRule="auto"/>
        <w:ind w:firstLine="480" w:firstLineChars="200"/>
        <w:rPr>
          <w:rFonts w:hint="eastAsia" w:cs="宋体"/>
          <w:color w:val="auto"/>
          <w:lang w:val="en-US" w:eastAsia="zh-CN"/>
        </w:rPr>
      </w:pPr>
      <w:r>
        <w:rPr>
          <w:rFonts w:hint="eastAsia" w:cs="宋体"/>
          <w:color w:val="auto"/>
          <w:lang w:val="en-US" w:eastAsia="zh-CN"/>
        </w:rPr>
        <w:t>(1)承包人向监理人报送竣工验收申请报告，监理人应在收到竣工验收申请报告后14天内完成审查并报送发包人。监理人审查后认为尚不具备验收条件的，应通知承包人在竣工验收前承包人还需完成的工作内容，承包人应在完成监理人通知的全部工作内容后，再次提交竣工验收申请报告。</w:t>
      </w:r>
    </w:p>
    <w:p>
      <w:pPr>
        <w:pStyle w:val="26"/>
        <w:numPr>
          <w:ilvl w:val="0"/>
          <w:numId w:val="0"/>
        </w:numPr>
        <w:spacing w:before="0" w:beforeAutospacing="0" w:after="0" w:afterAutospacing="0" w:line="360" w:lineRule="auto"/>
        <w:ind w:firstLine="480" w:firstLineChars="200"/>
        <w:rPr>
          <w:rFonts w:hint="eastAsia" w:cs="宋体"/>
          <w:color w:val="auto"/>
          <w:lang w:val="en-US" w:eastAsia="zh-CN"/>
        </w:rPr>
      </w:pPr>
      <w:r>
        <w:rPr>
          <w:rFonts w:hint="eastAsia" w:cs="宋体"/>
          <w:color w:val="auto"/>
          <w:lang w:val="en-US" w:eastAsia="zh-CN"/>
        </w:rPr>
        <w:t>(2)监理人审查后认为已具备竣工验收条件的，应将竣工验收申请报告提交发包人，发包人应在收到经监理人审核的竣工验收申请报告后28天内审批完毕并组织监理人、承包人、设计人等相关单位完成竣工验收。</w:t>
      </w:r>
    </w:p>
    <w:p>
      <w:pPr>
        <w:pStyle w:val="26"/>
        <w:numPr>
          <w:ilvl w:val="0"/>
          <w:numId w:val="0"/>
        </w:numPr>
        <w:spacing w:before="0" w:beforeAutospacing="0" w:after="0" w:afterAutospacing="0" w:line="360" w:lineRule="auto"/>
        <w:ind w:firstLine="480" w:firstLineChars="200"/>
        <w:rPr>
          <w:rFonts w:hint="eastAsia" w:cs="宋体"/>
          <w:color w:val="auto"/>
          <w:lang w:val="en-US" w:eastAsia="zh-CN"/>
        </w:rPr>
      </w:pPr>
      <w:r>
        <w:rPr>
          <w:rFonts w:hint="eastAsia" w:cs="宋体"/>
          <w:color w:val="auto"/>
          <w:lang w:val="en-US" w:eastAsia="zh-CN"/>
        </w:rPr>
        <w:t>(3)竣工验收合格的，发包人应在验收合格后14天内向承包人签发工程接收证书。发包人无正当理由逾期不颁发工程接收证书的，自验收合格后第15天起视为已颁发工程接收证书。</w:t>
      </w:r>
    </w:p>
    <w:p>
      <w:pPr>
        <w:pStyle w:val="26"/>
        <w:numPr>
          <w:ilvl w:val="0"/>
          <w:numId w:val="0"/>
        </w:numPr>
        <w:spacing w:before="0" w:beforeAutospacing="0" w:after="0" w:afterAutospacing="0" w:line="360" w:lineRule="auto"/>
        <w:ind w:firstLine="480" w:firstLineChars="200"/>
        <w:rPr>
          <w:rFonts w:hint="eastAsia" w:cs="宋体"/>
          <w:color w:val="auto"/>
          <w:lang w:val="en-US" w:eastAsia="zh-CN"/>
        </w:rPr>
      </w:pPr>
      <w:r>
        <w:rPr>
          <w:rFonts w:hint="eastAsia" w:cs="宋体"/>
          <w:color w:val="auto"/>
          <w:lang w:val="en-US" w:eastAsia="zh-CN"/>
        </w:rPr>
        <w:t>(4)竣工验收不合格的，监理人应按照验收意见发出指示，要求承包人对不合格工程返工、修复或采取其他补救措施，由此增加的费用和(或)延误的工期由承包人承担。承包人在完成不合格工程的返工、修复或采取其他补救措施后，应重新提交竣工验收申请报告，并按本项约定的程序重新进行验收。</w:t>
      </w:r>
    </w:p>
    <w:p>
      <w:pPr>
        <w:pStyle w:val="26"/>
        <w:numPr>
          <w:ilvl w:val="0"/>
          <w:numId w:val="0"/>
        </w:numPr>
        <w:spacing w:before="0" w:beforeAutospacing="0" w:after="0" w:afterAutospacing="0" w:line="360" w:lineRule="auto"/>
        <w:ind w:firstLine="480" w:firstLineChars="200"/>
        <w:rPr>
          <w:rFonts w:hint="eastAsia" w:cs="宋体"/>
          <w:color w:val="auto"/>
          <w:lang w:val="en-US" w:eastAsia="zh-CN"/>
        </w:rPr>
      </w:pPr>
      <w:r>
        <w:rPr>
          <w:rFonts w:hint="eastAsia" w:cs="宋体"/>
          <w:color w:val="auto"/>
          <w:lang w:val="en-US" w:eastAsia="zh-CN"/>
        </w:rPr>
        <w:t>(5)工程未经验收或验收不合格，发包人擅自使用的，应在转移占有工程后7天内向承包人颁发工程接收证书；发包人无正当理由逾期不颁发工程接收证书的，自转移占有后第15天起视为已颁发工程接收证书。</w:t>
      </w:r>
    </w:p>
    <w:p>
      <w:pPr>
        <w:pStyle w:val="26"/>
        <w:numPr>
          <w:ilvl w:val="0"/>
          <w:numId w:val="0"/>
        </w:numPr>
        <w:spacing w:before="0" w:beforeAutospacing="0" w:after="0" w:afterAutospacing="0" w:line="360" w:lineRule="auto"/>
        <w:ind w:firstLine="480" w:firstLineChars="200"/>
        <w:rPr>
          <w:rFonts w:hint="eastAsia" w:cs="宋体"/>
          <w:color w:val="auto"/>
          <w:lang w:val="en-US" w:eastAsia="zh-CN"/>
        </w:rPr>
      </w:pPr>
      <w:r>
        <w:rPr>
          <w:rFonts w:hint="eastAsia" w:cs="宋体"/>
          <w:color w:val="auto"/>
          <w:lang w:val="en-US" w:eastAsia="zh-CN"/>
        </w:rPr>
        <w:t>除专用合同条款另有约定外，发包人不按照本项约定组织竣工验收、颁发工程接收证书的，每逾期一天，应以签约合同价为基数，按照中国人民银行发布的同期同类贷款基准利率支付违约金。</w:t>
      </w:r>
    </w:p>
    <w:p>
      <w:pPr>
        <w:pStyle w:val="26"/>
        <w:numPr>
          <w:ilvl w:val="0"/>
          <w:numId w:val="0"/>
        </w:numPr>
        <w:spacing w:before="0" w:beforeAutospacing="0" w:after="0" w:afterAutospacing="0" w:line="360" w:lineRule="auto"/>
        <w:ind w:firstLine="480" w:firstLineChars="200"/>
        <w:rPr>
          <w:rFonts w:hint="eastAsia" w:cs="宋体"/>
          <w:color w:val="auto"/>
          <w:lang w:val="en-US" w:eastAsia="zh-CN"/>
        </w:rPr>
      </w:pPr>
      <w:r>
        <w:rPr>
          <w:rFonts w:hint="eastAsia" w:cs="宋体"/>
          <w:color w:val="auto"/>
          <w:lang w:val="en-US" w:eastAsia="zh-CN"/>
        </w:rPr>
        <w:t>13.2.3竣工日期</w:t>
      </w:r>
    </w:p>
    <w:p>
      <w:pPr>
        <w:pStyle w:val="26"/>
        <w:numPr>
          <w:ilvl w:val="0"/>
          <w:numId w:val="0"/>
        </w:numPr>
        <w:spacing w:before="0" w:beforeAutospacing="0" w:after="0" w:afterAutospacing="0" w:line="360" w:lineRule="auto"/>
        <w:ind w:firstLine="480" w:firstLineChars="200"/>
        <w:rPr>
          <w:rFonts w:hint="eastAsia" w:cs="宋体"/>
          <w:color w:val="auto"/>
          <w:lang w:val="en-US" w:eastAsia="zh-CN"/>
        </w:rPr>
      </w:pPr>
      <w:r>
        <w:rPr>
          <w:rFonts w:hint="eastAsia" w:cs="宋体"/>
          <w:color w:val="auto"/>
          <w:lang w:val="en-US" w:eastAsia="zh-CN"/>
        </w:rPr>
        <w:t>工程经竣工验收合格的，以承包人提交竣工验收申请报告之日为实际竣工日期，并在工程接收证书中载明；因发包人原因，未在监理人收到承包人提交的竣工验收申请报告42天内完成竣工验收，或完成竣工验收不予签发工程接收证书的，以提交竣工验收申请报告的日期为实际竣工日期；工程未经竣工验收，发包人擅自使用的，以转移占有工程之日为实际竣工日期。</w:t>
      </w:r>
    </w:p>
    <w:p>
      <w:pPr>
        <w:pStyle w:val="26"/>
        <w:numPr>
          <w:ilvl w:val="0"/>
          <w:numId w:val="0"/>
        </w:numPr>
        <w:spacing w:before="0" w:beforeAutospacing="0" w:after="0" w:afterAutospacing="0" w:line="360" w:lineRule="auto"/>
        <w:ind w:firstLine="480" w:firstLineChars="200"/>
        <w:rPr>
          <w:rFonts w:hint="eastAsia" w:cs="宋体"/>
          <w:color w:val="auto"/>
          <w:lang w:val="en-US" w:eastAsia="zh-CN"/>
        </w:rPr>
      </w:pPr>
      <w:r>
        <w:rPr>
          <w:rFonts w:hint="eastAsia" w:cs="宋体"/>
          <w:color w:val="auto"/>
          <w:lang w:val="en-US" w:eastAsia="zh-CN"/>
        </w:rPr>
        <w:t>13.2.4拒绝接收全部或部分工程</w:t>
      </w:r>
    </w:p>
    <w:p>
      <w:pPr>
        <w:pStyle w:val="26"/>
        <w:numPr>
          <w:ilvl w:val="0"/>
          <w:numId w:val="0"/>
        </w:numPr>
        <w:spacing w:before="0" w:beforeAutospacing="0" w:after="0" w:afterAutospacing="0" w:line="360" w:lineRule="auto"/>
        <w:ind w:firstLine="480" w:firstLineChars="200"/>
        <w:rPr>
          <w:rFonts w:hint="eastAsia" w:cs="宋体"/>
          <w:color w:val="auto"/>
          <w:lang w:val="en-US" w:eastAsia="zh-CN"/>
        </w:rPr>
      </w:pPr>
      <w:r>
        <w:rPr>
          <w:rFonts w:hint="eastAsia" w:cs="宋体"/>
          <w:color w:val="auto"/>
          <w:lang w:val="en-US" w:eastAsia="zh-CN"/>
        </w:rPr>
        <w:t>对于竣工验收不合格的工程，承包人完成整改后，应当重新进行竣工验收，经重新组织验收仍不合格的且无法采取措施补救的，则发包人可以拒绝接收不合格工程，因不合格工程导致其他工程不能正常使用的，承包人应采取措施确保相关工程的正常使用，由此增加的费用和(或)延误的工期由承包人承担。</w:t>
      </w:r>
    </w:p>
    <w:p>
      <w:pPr>
        <w:pStyle w:val="26"/>
        <w:numPr>
          <w:ilvl w:val="0"/>
          <w:numId w:val="0"/>
        </w:numPr>
        <w:spacing w:before="0" w:beforeAutospacing="0" w:after="0" w:afterAutospacing="0" w:line="360" w:lineRule="auto"/>
        <w:ind w:firstLine="480" w:firstLineChars="200"/>
        <w:rPr>
          <w:rFonts w:hint="eastAsia" w:cs="宋体"/>
          <w:color w:val="auto"/>
          <w:lang w:val="en-US" w:eastAsia="zh-CN"/>
        </w:rPr>
      </w:pPr>
      <w:r>
        <w:rPr>
          <w:rFonts w:hint="eastAsia" w:cs="宋体"/>
          <w:color w:val="auto"/>
          <w:lang w:val="en-US" w:eastAsia="zh-CN"/>
        </w:rPr>
        <w:t>13.2.5移交、接收全部与部分工程</w:t>
      </w:r>
    </w:p>
    <w:p>
      <w:pPr>
        <w:pStyle w:val="26"/>
        <w:numPr>
          <w:ilvl w:val="0"/>
          <w:numId w:val="0"/>
        </w:numPr>
        <w:spacing w:before="0" w:beforeAutospacing="0" w:after="0" w:afterAutospacing="0" w:line="360" w:lineRule="auto"/>
        <w:ind w:firstLine="480" w:firstLineChars="200"/>
        <w:rPr>
          <w:rFonts w:hint="eastAsia" w:cs="宋体"/>
          <w:color w:val="auto"/>
          <w:lang w:val="en-US" w:eastAsia="zh-CN"/>
        </w:rPr>
      </w:pPr>
      <w:r>
        <w:rPr>
          <w:rFonts w:hint="eastAsia" w:cs="宋体"/>
          <w:color w:val="auto"/>
          <w:lang w:val="en-US" w:eastAsia="zh-CN"/>
        </w:rPr>
        <w:t>除专用合同条款另有约定外，合同当事人应当在颁发工程接收证书后7天内完成工程的移交。</w:t>
      </w:r>
    </w:p>
    <w:p>
      <w:pPr>
        <w:pStyle w:val="26"/>
        <w:numPr>
          <w:ilvl w:val="0"/>
          <w:numId w:val="0"/>
        </w:numPr>
        <w:spacing w:before="0" w:beforeAutospacing="0" w:after="0" w:afterAutospacing="0" w:line="360" w:lineRule="auto"/>
        <w:ind w:firstLine="480" w:firstLineChars="200"/>
        <w:rPr>
          <w:rFonts w:hint="eastAsia" w:cs="宋体"/>
          <w:color w:val="auto"/>
          <w:lang w:val="en-US" w:eastAsia="zh-CN"/>
        </w:rPr>
      </w:pPr>
      <w:r>
        <w:rPr>
          <w:rFonts w:hint="eastAsia" w:cs="宋体"/>
          <w:color w:val="auto"/>
          <w:lang w:val="en-US" w:eastAsia="zh-CN"/>
        </w:rPr>
        <w:t>发包人无正当理由不接收工程的，发包人自应当接收工程之日起，承担工程照管、成品保护、保管等与工程有关的各项费用，合同当事人可以在专用合同条款中另行约定发包人逾期接收工程的违约责任。</w:t>
      </w:r>
    </w:p>
    <w:p>
      <w:pPr>
        <w:pStyle w:val="26"/>
        <w:numPr>
          <w:ilvl w:val="0"/>
          <w:numId w:val="0"/>
        </w:numPr>
        <w:spacing w:before="0" w:beforeAutospacing="0" w:after="0" w:afterAutospacing="0" w:line="360" w:lineRule="auto"/>
        <w:ind w:firstLine="480" w:firstLineChars="200"/>
        <w:rPr>
          <w:rFonts w:hint="eastAsia" w:cs="宋体"/>
          <w:color w:val="auto"/>
          <w:lang w:val="en-US" w:eastAsia="zh-CN"/>
        </w:rPr>
      </w:pPr>
      <w:r>
        <w:rPr>
          <w:rFonts w:hint="eastAsia" w:cs="宋体"/>
          <w:color w:val="auto"/>
          <w:lang w:val="en-US" w:eastAsia="zh-CN"/>
        </w:rPr>
        <w:t>承包人无正当理由不移交工程的，承包人应承担工程照管、成品保护、保管等与工程有关的各项费用，合同当事人可以在专用合同条款中另行约定承包人无正当理由不移交工程的违约责任。</w:t>
      </w:r>
    </w:p>
    <w:p>
      <w:pPr>
        <w:pStyle w:val="26"/>
        <w:numPr>
          <w:ilvl w:val="0"/>
          <w:numId w:val="0"/>
        </w:numPr>
        <w:spacing w:before="0" w:beforeAutospacing="0" w:after="0" w:afterAutospacing="0" w:line="360" w:lineRule="auto"/>
        <w:ind w:firstLine="482" w:firstLineChars="200"/>
        <w:rPr>
          <w:rFonts w:hint="eastAsia" w:cs="宋体"/>
          <w:b/>
          <w:bCs/>
          <w:color w:val="auto"/>
          <w:lang w:val="en-US" w:eastAsia="zh-CN"/>
        </w:rPr>
      </w:pPr>
      <w:r>
        <w:rPr>
          <w:rFonts w:hint="eastAsia" w:cs="宋体"/>
          <w:b/>
          <w:bCs/>
          <w:color w:val="auto"/>
          <w:lang w:val="en-US" w:eastAsia="zh-CN"/>
        </w:rPr>
        <w:t>13.3工程试车</w:t>
      </w:r>
    </w:p>
    <w:p>
      <w:pPr>
        <w:pStyle w:val="26"/>
        <w:numPr>
          <w:ilvl w:val="0"/>
          <w:numId w:val="0"/>
        </w:numPr>
        <w:spacing w:before="0" w:beforeAutospacing="0" w:after="0" w:afterAutospacing="0" w:line="360" w:lineRule="auto"/>
        <w:ind w:firstLine="480" w:firstLineChars="200"/>
        <w:rPr>
          <w:rFonts w:hint="eastAsia" w:cs="宋体"/>
          <w:color w:val="auto"/>
          <w:lang w:val="en-US" w:eastAsia="zh-CN"/>
        </w:rPr>
      </w:pPr>
      <w:r>
        <w:rPr>
          <w:rFonts w:hint="eastAsia" w:cs="宋体"/>
          <w:color w:val="auto"/>
          <w:lang w:val="en-US" w:eastAsia="zh-CN"/>
        </w:rPr>
        <w:t>13.3.1试车程序</w:t>
      </w:r>
    </w:p>
    <w:p>
      <w:pPr>
        <w:pStyle w:val="26"/>
        <w:numPr>
          <w:ilvl w:val="0"/>
          <w:numId w:val="0"/>
        </w:numPr>
        <w:spacing w:before="0" w:beforeAutospacing="0" w:after="0" w:afterAutospacing="0" w:line="360" w:lineRule="auto"/>
        <w:ind w:firstLine="480" w:firstLineChars="200"/>
        <w:rPr>
          <w:rFonts w:hint="eastAsia" w:cs="宋体"/>
          <w:color w:val="auto"/>
          <w:lang w:val="en-US" w:eastAsia="zh-CN"/>
        </w:rPr>
      </w:pPr>
      <w:r>
        <w:rPr>
          <w:rFonts w:hint="eastAsia" w:cs="宋体"/>
          <w:color w:val="auto"/>
          <w:lang w:val="en-US" w:eastAsia="zh-CN"/>
        </w:rPr>
        <w:t>工程需要试车的，除专用合同条款另有约定外，试车内容应与承包人承包范围相</w:t>
      </w:r>
    </w:p>
    <w:p>
      <w:pPr>
        <w:pStyle w:val="26"/>
        <w:numPr>
          <w:ilvl w:val="0"/>
          <w:numId w:val="0"/>
        </w:numPr>
        <w:spacing w:before="0" w:beforeAutospacing="0" w:after="0" w:afterAutospacing="0" w:line="360" w:lineRule="auto"/>
        <w:rPr>
          <w:rFonts w:hint="eastAsia" w:cs="宋体"/>
          <w:color w:val="auto"/>
          <w:lang w:val="en-US" w:eastAsia="zh-CN"/>
        </w:rPr>
      </w:pPr>
      <w:r>
        <w:rPr>
          <w:rFonts w:hint="eastAsia" w:cs="宋体"/>
          <w:color w:val="auto"/>
          <w:lang w:val="en-US" w:eastAsia="zh-CN"/>
        </w:rPr>
        <w:t>一致，试车费用由承包人承担。工程试车应按如下程序进行：</w:t>
      </w:r>
    </w:p>
    <w:p>
      <w:pPr>
        <w:pStyle w:val="26"/>
        <w:numPr>
          <w:ilvl w:val="0"/>
          <w:numId w:val="0"/>
        </w:numPr>
        <w:spacing w:before="0" w:beforeAutospacing="0" w:after="0" w:afterAutospacing="0" w:line="360" w:lineRule="auto"/>
        <w:ind w:firstLine="480" w:firstLineChars="200"/>
        <w:rPr>
          <w:rFonts w:hint="eastAsia" w:cs="宋体"/>
          <w:color w:val="auto"/>
          <w:lang w:val="en-US" w:eastAsia="zh-CN"/>
        </w:rPr>
      </w:pPr>
      <w:r>
        <w:rPr>
          <w:rFonts w:hint="eastAsia" w:cs="宋体"/>
          <w:color w:val="auto"/>
          <w:lang w:val="en-US" w:eastAsia="zh-CN"/>
        </w:rPr>
        <w:t>(1)具备单机无负荷试车条件，承包人组织试车，并在试车前48小时书面通知监理人，通知中应载明试车内容、时间、地点。承包人准备试车记录，发包人根据承包人要求为试车提供必要条件。试车合格的，监理人在试车记录上签字。监理人在试车合格后不在试车记录上签字，自试车结束满24小时后视为监理人已经认可试车记录，承包人可继续施工或办理竣工验收手续。</w:t>
      </w:r>
    </w:p>
    <w:p>
      <w:pPr>
        <w:pStyle w:val="26"/>
        <w:numPr>
          <w:ilvl w:val="0"/>
          <w:numId w:val="0"/>
        </w:numPr>
        <w:spacing w:before="0" w:beforeAutospacing="0" w:after="0" w:afterAutospacing="0" w:line="360" w:lineRule="auto"/>
        <w:ind w:firstLine="480" w:firstLineChars="200"/>
        <w:rPr>
          <w:rFonts w:hint="eastAsia" w:cs="宋体"/>
          <w:color w:val="auto"/>
          <w:lang w:val="en-US" w:eastAsia="zh-CN"/>
        </w:rPr>
      </w:pPr>
      <w:r>
        <w:rPr>
          <w:rFonts w:hint="eastAsia" w:cs="宋体"/>
          <w:color w:val="auto"/>
          <w:lang w:val="en-US" w:eastAsia="zh-CN"/>
        </w:rPr>
        <w:t>监理人不能按时参加试车，应在试车前24小时以书面形式向承包人提出延期要</w:t>
      </w:r>
    </w:p>
    <w:p>
      <w:pPr>
        <w:pStyle w:val="26"/>
        <w:numPr>
          <w:ilvl w:val="0"/>
          <w:numId w:val="0"/>
        </w:numPr>
        <w:spacing w:before="0" w:beforeAutospacing="0" w:after="0" w:afterAutospacing="0" w:line="360" w:lineRule="auto"/>
        <w:rPr>
          <w:rFonts w:hint="eastAsia" w:cs="宋体"/>
          <w:color w:val="auto"/>
          <w:lang w:val="en-US" w:eastAsia="zh-CN"/>
        </w:rPr>
      </w:pPr>
      <w:r>
        <w:rPr>
          <w:rFonts w:hint="eastAsia" w:cs="宋体"/>
          <w:color w:val="auto"/>
          <w:lang w:val="en-US" w:eastAsia="zh-CN"/>
        </w:rPr>
        <w:t>求，但延期不能超过48小时，由此导致工期延误的，工期应予以顺延。监理人未能在前述期限内提出延期要求，又不参加试车的，视为认可试车记录。</w:t>
      </w:r>
    </w:p>
    <w:p>
      <w:pPr>
        <w:pStyle w:val="26"/>
        <w:numPr>
          <w:ilvl w:val="0"/>
          <w:numId w:val="0"/>
        </w:numPr>
        <w:spacing w:before="0" w:beforeAutospacing="0" w:after="0" w:afterAutospacing="0" w:line="360" w:lineRule="auto"/>
        <w:ind w:firstLine="480" w:firstLineChars="200"/>
        <w:rPr>
          <w:rFonts w:hint="eastAsia" w:cs="宋体"/>
          <w:color w:val="auto"/>
          <w:lang w:val="en-US" w:eastAsia="zh-CN"/>
        </w:rPr>
      </w:pPr>
      <w:r>
        <w:rPr>
          <w:rFonts w:hint="eastAsia" w:cs="宋体"/>
          <w:color w:val="auto"/>
          <w:lang w:val="en-US" w:eastAsia="zh-CN"/>
        </w:rPr>
        <w:t>(2)具备无负荷联动试车条件，发包人组织试车，并在试车前48小时以书面形式通知承包人。通知中应载明试车内容、时间、地点和对承包人的要求，承包人按要求做好准备工作。试车合格，合同当事人在试车记录上签字。承包人无正当理由不参加试车的，视为认可试车记录。</w:t>
      </w:r>
    </w:p>
    <w:p>
      <w:pPr>
        <w:pStyle w:val="26"/>
        <w:numPr>
          <w:ilvl w:val="0"/>
          <w:numId w:val="0"/>
        </w:numPr>
        <w:spacing w:before="0" w:beforeAutospacing="0" w:after="0" w:afterAutospacing="0" w:line="360" w:lineRule="auto"/>
        <w:ind w:firstLine="480" w:firstLineChars="200"/>
        <w:rPr>
          <w:rFonts w:hint="eastAsia" w:cs="宋体"/>
          <w:color w:val="auto"/>
          <w:lang w:val="en-US" w:eastAsia="zh-CN"/>
        </w:rPr>
      </w:pPr>
      <w:r>
        <w:rPr>
          <w:rFonts w:hint="eastAsia" w:cs="宋体"/>
          <w:color w:val="auto"/>
          <w:lang w:val="en-US" w:eastAsia="zh-CN"/>
        </w:rPr>
        <w:t>13.3.2试车中的责任</w:t>
      </w:r>
    </w:p>
    <w:p>
      <w:pPr>
        <w:pStyle w:val="26"/>
        <w:numPr>
          <w:ilvl w:val="0"/>
          <w:numId w:val="0"/>
        </w:numPr>
        <w:spacing w:before="0" w:beforeAutospacing="0" w:after="0" w:afterAutospacing="0" w:line="360" w:lineRule="auto"/>
        <w:ind w:firstLine="480" w:firstLineChars="200"/>
        <w:rPr>
          <w:rFonts w:hint="eastAsia" w:cs="宋体"/>
          <w:color w:val="auto"/>
          <w:lang w:val="en-US" w:eastAsia="zh-CN"/>
        </w:rPr>
      </w:pPr>
      <w:r>
        <w:rPr>
          <w:rFonts w:hint="eastAsia" w:cs="宋体"/>
          <w:color w:val="auto"/>
          <w:lang w:val="en-US" w:eastAsia="zh-CN"/>
        </w:rPr>
        <w:t>因设计原因导致试车达不到验收要求，发包人应要求设计人修改设计，承包人按修改后的设计重新安装。发包人承担修改设计、拆除及重新安装的全部费用，工期相应顺延。因承包人原因导致试车达不到验收要求，承包人按监理人要求重新安装和试车，并承担重新安装和试车的费用，工期不予顺延。</w:t>
      </w:r>
    </w:p>
    <w:p>
      <w:pPr>
        <w:pStyle w:val="26"/>
        <w:numPr>
          <w:ilvl w:val="0"/>
          <w:numId w:val="0"/>
        </w:numPr>
        <w:spacing w:before="0" w:beforeAutospacing="0" w:after="0" w:afterAutospacing="0" w:line="360" w:lineRule="auto"/>
        <w:ind w:firstLine="480" w:firstLineChars="200"/>
        <w:rPr>
          <w:rFonts w:hint="eastAsia" w:cs="宋体"/>
          <w:color w:val="auto"/>
          <w:lang w:val="en-US" w:eastAsia="zh-CN"/>
        </w:rPr>
      </w:pPr>
      <w:r>
        <w:rPr>
          <w:rFonts w:hint="eastAsia" w:cs="宋体"/>
          <w:color w:val="auto"/>
          <w:lang w:val="en-US" w:eastAsia="zh-CN"/>
        </w:rPr>
        <w:t>因工程设备制造原因导致试车达不到验收要求的，由采购该工程设备的合同当事人负责重新购置或修理，承包人负责拆除和重新安装，由此增加的修理、重新购置、拆除及重新安装的费用及延误的工期由采购该工程设备的合同当事人承担。</w:t>
      </w:r>
    </w:p>
    <w:p>
      <w:pPr>
        <w:pStyle w:val="26"/>
        <w:numPr>
          <w:ilvl w:val="0"/>
          <w:numId w:val="0"/>
        </w:numPr>
        <w:spacing w:before="0" w:beforeAutospacing="0" w:after="0" w:afterAutospacing="0" w:line="360" w:lineRule="auto"/>
        <w:ind w:firstLine="480" w:firstLineChars="200"/>
        <w:rPr>
          <w:rFonts w:hint="eastAsia" w:cs="宋体"/>
          <w:color w:val="auto"/>
          <w:lang w:val="en-US" w:eastAsia="zh-CN"/>
        </w:rPr>
      </w:pPr>
      <w:r>
        <w:rPr>
          <w:rFonts w:hint="eastAsia" w:cs="宋体"/>
          <w:color w:val="auto"/>
          <w:lang w:val="en-US" w:eastAsia="zh-CN"/>
        </w:rPr>
        <w:t>13.3.3投料试车</w:t>
      </w:r>
    </w:p>
    <w:p>
      <w:pPr>
        <w:pStyle w:val="26"/>
        <w:numPr>
          <w:ilvl w:val="0"/>
          <w:numId w:val="0"/>
        </w:numPr>
        <w:spacing w:before="0" w:beforeAutospacing="0" w:after="0" w:afterAutospacing="0" w:line="360" w:lineRule="auto"/>
        <w:ind w:firstLine="480" w:firstLineChars="200"/>
        <w:rPr>
          <w:rFonts w:hint="eastAsia" w:cs="宋体"/>
          <w:color w:val="auto"/>
          <w:lang w:val="en-US" w:eastAsia="zh-CN"/>
        </w:rPr>
      </w:pPr>
      <w:r>
        <w:rPr>
          <w:rFonts w:hint="eastAsia" w:cs="宋体"/>
          <w:color w:val="auto"/>
          <w:lang w:val="en-US" w:eastAsia="zh-CN"/>
        </w:rPr>
        <w:t>如需进行投料试车的，发包人应在工程竣工验收后组织投料试车。发包人要求在工程竣工验收前进行或需要承包人配合时，应征得承包人同意，并在专用合同条款中约定有关事项。</w:t>
      </w:r>
    </w:p>
    <w:p>
      <w:pPr>
        <w:pStyle w:val="26"/>
        <w:numPr>
          <w:ilvl w:val="0"/>
          <w:numId w:val="0"/>
        </w:numPr>
        <w:spacing w:before="0" w:beforeAutospacing="0" w:after="0" w:afterAutospacing="0" w:line="360" w:lineRule="auto"/>
        <w:ind w:firstLine="480" w:firstLineChars="200"/>
        <w:rPr>
          <w:rFonts w:hint="eastAsia" w:cs="宋体"/>
          <w:color w:val="auto"/>
          <w:lang w:val="en-US" w:eastAsia="zh-CN"/>
        </w:rPr>
      </w:pPr>
      <w:r>
        <w:rPr>
          <w:rFonts w:hint="eastAsia" w:cs="宋体"/>
          <w:color w:val="auto"/>
          <w:lang w:val="en-US" w:eastAsia="zh-CN"/>
        </w:rPr>
        <w:t>投料试车合格的，费用由发包人承担；因承包人原因造成投料试车不合格的，承包人应按照发包人要求进行整改，由此产生的整改费用由承包人承担；非因承包人原因导致投料试车不合格的，如发包人要求承包人进行整改的，由此产生的费用由发包人承担。</w:t>
      </w:r>
    </w:p>
    <w:p>
      <w:pPr>
        <w:pStyle w:val="26"/>
        <w:numPr>
          <w:ilvl w:val="0"/>
          <w:numId w:val="0"/>
        </w:numPr>
        <w:spacing w:before="0" w:beforeAutospacing="0" w:after="0" w:afterAutospacing="0" w:line="360" w:lineRule="auto"/>
        <w:ind w:firstLine="482" w:firstLineChars="200"/>
        <w:rPr>
          <w:rFonts w:hint="eastAsia" w:cs="宋体"/>
          <w:b/>
          <w:bCs/>
          <w:color w:val="auto"/>
          <w:lang w:val="en-US" w:eastAsia="zh-CN"/>
        </w:rPr>
      </w:pPr>
      <w:r>
        <w:rPr>
          <w:rFonts w:hint="eastAsia" w:cs="宋体"/>
          <w:b/>
          <w:bCs/>
          <w:color w:val="auto"/>
          <w:lang w:val="en-US" w:eastAsia="zh-CN"/>
        </w:rPr>
        <w:t>13.4提前交付单位工程的验收</w:t>
      </w:r>
    </w:p>
    <w:p>
      <w:pPr>
        <w:pStyle w:val="26"/>
        <w:numPr>
          <w:ilvl w:val="0"/>
          <w:numId w:val="0"/>
        </w:numPr>
        <w:spacing w:before="0" w:beforeAutospacing="0" w:after="0" w:afterAutospacing="0" w:line="360" w:lineRule="auto"/>
        <w:ind w:firstLine="480" w:firstLineChars="200"/>
        <w:rPr>
          <w:rFonts w:hint="eastAsia" w:cs="宋体"/>
          <w:color w:val="auto"/>
          <w:lang w:val="en-US" w:eastAsia="zh-CN"/>
        </w:rPr>
      </w:pPr>
      <w:r>
        <w:rPr>
          <w:rFonts w:hint="eastAsia" w:cs="宋体"/>
          <w:color w:val="auto"/>
          <w:lang w:val="en-US" w:eastAsia="zh-CN"/>
        </w:rPr>
        <w:t>13.4.1发包人需要在工程竣工前使用单位工程的，或承包人提出提前交付已经竣工的单位工程且经发包人同意的，可进行单位工程验收，验收的程序按照第13.2款〔竣工验收〕的约定进行。</w:t>
      </w:r>
    </w:p>
    <w:p>
      <w:pPr>
        <w:pStyle w:val="26"/>
        <w:numPr>
          <w:ilvl w:val="0"/>
          <w:numId w:val="0"/>
        </w:numPr>
        <w:spacing w:before="0" w:beforeAutospacing="0" w:after="0" w:afterAutospacing="0" w:line="360" w:lineRule="auto"/>
        <w:ind w:firstLine="480" w:firstLineChars="200"/>
        <w:rPr>
          <w:rFonts w:hint="eastAsia" w:cs="宋体"/>
          <w:color w:val="auto"/>
          <w:lang w:val="en-US" w:eastAsia="zh-CN"/>
        </w:rPr>
      </w:pPr>
      <w:r>
        <w:rPr>
          <w:rFonts w:hint="eastAsia" w:cs="宋体"/>
          <w:color w:val="auto"/>
          <w:lang w:val="en-US" w:eastAsia="zh-CN"/>
        </w:rPr>
        <w:t>验收合格后，由监理人向承包人出具经发包人签认的单位工程接收证书。已签发单位工程接收证书的单位工程由发包人负责照管。单位工程的验收成果和结论作为整体工程竣工验收申请报告的附件。</w:t>
      </w:r>
    </w:p>
    <w:p>
      <w:pPr>
        <w:pStyle w:val="26"/>
        <w:numPr>
          <w:ilvl w:val="0"/>
          <w:numId w:val="0"/>
        </w:numPr>
        <w:spacing w:before="0" w:beforeAutospacing="0" w:after="0" w:afterAutospacing="0" w:line="360" w:lineRule="auto"/>
        <w:ind w:firstLine="480" w:firstLineChars="200"/>
        <w:rPr>
          <w:rFonts w:hint="eastAsia" w:cs="宋体"/>
          <w:color w:val="auto"/>
          <w:lang w:val="en-US" w:eastAsia="zh-CN"/>
        </w:rPr>
      </w:pPr>
      <w:r>
        <w:rPr>
          <w:rFonts w:hint="eastAsia" w:cs="宋体"/>
          <w:color w:val="auto"/>
          <w:lang w:val="en-US" w:eastAsia="zh-CN"/>
        </w:rPr>
        <w:t>13.4.2发包人要求在工程竣工前交付单位工程，由此导致承包人费用增加和(或)工期延误的，由发包人承担由此增加的费用和(或)延误的工期，并支付承包人合理的利润。</w:t>
      </w:r>
    </w:p>
    <w:p>
      <w:pPr>
        <w:pStyle w:val="26"/>
        <w:numPr>
          <w:ilvl w:val="0"/>
          <w:numId w:val="0"/>
        </w:numPr>
        <w:spacing w:before="0" w:beforeAutospacing="0" w:after="0" w:afterAutospacing="0" w:line="360" w:lineRule="auto"/>
        <w:ind w:firstLine="482" w:firstLineChars="200"/>
        <w:rPr>
          <w:rFonts w:hint="eastAsia" w:cs="宋体"/>
          <w:b/>
          <w:bCs/>
          <w:color w:val="auto"/>
          <w:lang w:val="en-US" w:eastAsia="zh-CN"/>
        </w:rPr>
      </w:pPr>
      <w:r>
        <w:rPr>
          <w:rFonts w:hint="eastAsia" w:cs="宋体"/>
          <w:b/>
          <w:bCs/>
          <w:color w:val="auto"/>
          <w:lang w:val="en-US" w:eastAsia="zh-CN"/>
        </w:rPr>
        <w:t>13.5施工期运行</w:t>
      </w:r>
    </w:p>
    <w:p>
      <w:pPr>
        <w:pStyle w:val="26"/>
        <w:numPr>
          <w:ilvl w:val="0"/>
          <w:numId w:val="0"/>
        </w:numPr>
        <w:spacing w:before="0" w:beforeAutospacing="0" w:after="0" w:afterAutospacing="0" w:line="360" w:lineRule="auto"/>
        <w:ind w:firstLine="480" w:firstLineChars="200"/>
        <w:rPr>
          <w:rFonts w:hint="eastAsia" w:cs="宋体"/>
          <w:color w:val="auto"/>
          <w:lang w:val="en-US" w:eastAsia="zh-CN"/>
        </w:rPr>
      </w:pPr>
      <w:r>
        <w:rPr>
          <w:rFonts w:hint="eastAsia" w:cs="宋体"/>
          <w:color w:val="auto"/>
          <w:lang w:val="en-US" w:eastAsia="zh-CN"/>
        </w:rPr>
        <w:t>13.5.1施工期运行是指合同工程尚未全部竣工，其中某项或某几项单位工程或工程设备安装已竣工，根据专用合同条款约定，需要投入施工期运行的，经发包人按第13.4款〔提前交付单位工程的验收〕的约定验收合格，证明能确保安全后，才能在施工期投入运行。</w:t>
      </w:r>
    </w:p>
    <w:p>
      <w:pPr>
        <w:pStyle w:val="26"/>
        <w:numPr>
          <w:ilvl w:val="0"/>
          <w:numId w:val="0"/>
        </w:numPr>
        <w:spacing w:before="0" w:beforeAutospacing="0" w:after="0" w:afterAutospacing="0" w:line="360" w:lineRule="auto"/>
        <w:ind w:firstLine="480" w:firstLineChars="200"/>
        <w:rPr>
          <w:rFonts w:hint="eastAsia" w:cs="宋体"/>
          <w:color w:val="auto"/>
          <w:lang w:val="en-US" w:eastAsia="zh-CN"/>
        </w:rPr>
      </w:pPr>
      <w:r>
        <w:rPr>
          <w:rFonts w:hint="eastAsia" w:cs="宋体"/>
          <w:color w:val="auto"/>
          <w:lang w:val="en-US" w:eastAsia="zh-CN"/>
        </w:rPr>
        <w:t>13.5.2在施工期运行中发现工程或工程设备损坏或存在缺陷的，由承包人按第15.2款〔缺陷责任期〕约定进行修复。</w:t>
      </w:r>
    </w:p>
    <w:p>
      <w:pPr>
        <w:pStyle w:val="26"/>
        <w:numPr>
          <w:ilvl w:val="0"/>
          <w:numId w:val="0"/>
        </w:numPr>
        <w:spacing w:before="0" w:beforeAutospacing="0" w:after="0" w:afterAutospacing="0" w:line="360" w:lineRule="auto"/>
        <w:ind w:firstLine="482" w:firstLineChars="200"/>
        <w:rPr>
          <w:rFonts w:hint="eastAsia" w:cs="宋体"/>
          <w:b/>
          <w:bCs/>
          <w:color w:val="auto"/>
          <w:lang w:val="en-US" w:eastAsia="zh-CN"/>
        </w:rPr>
      </w:pPr>
      <w:r>
        <w:rPr>
          <w:rFonts w:hint="eastAsia" w:cs="宋体"/>
          <w:b/>
          <w:bCs/>
          <w:color w:val="auto"/>
          <w:lang w:val="en-US" w:eastAsia="zh-CN"/>
        </w:rPr>
        <w:t>13.6竣工退场</w:t>
      </w:r>
    </w:p>
    <w:p>
      <w:pPr>
        <w:pStyle w:val="26"/>
        <w:numPr>
          <w:ilvl w:val="0"/>
          <w:numId w:val="0"/>
        </w:numPr>
        <w:spacing w:before="0" w:beforeAutospacing="0" w:after="0" w:afterAutospacing="0" w:line="360" w:lineRule="auto"/>
        <w:ind w:firstLine="482" w:firstLineChars="200"/>
        <w:rPr>
          <w:rFonts w:hint="eastAsia" w:cs="宋体"/>
          <w:b/>
          <w:bCs/>
          <w:color w:val="auto"/>
          <w:lang w:val="en-US" w:eastAsia="zh-CN"/>
        </w:rPr>
      </w:pPr>
      <w:r>
        <w:rPr>
          <w:rFonts w:hint="eastAsia" w:cs="宋体"/>
          <w:b/>
          <w:bCs/>
          <w:color w:val="auto"/>
          <w:lang w:val="en-US" w:eastAsia="zh-CN"/>
        </w:rPr>
        <w:t>13.6.1竣工退场</w:t>
      </w:r>
    </w:p>
    <w:p>
      <w:pPr>
        <w:pStyle w:val="26"/>
        <w:numPr>
          <w:ilvl w:val="0"/>
          <w:numId w:val="0"/>
        </w:numPr>
        <w:spacing w:before="0" w:beforeAutospacing="0" w:after="0" w:afterAutospacing="0" w:line="360" w:lineRule="auto"/>
        <w:ind w:firstLine="480" w:firstLineChars="200"/>
        <w:rPr>
          <w:rFonts w:hint="eastAsia" w:cs="宋体"/>
          <w:color w:val="auto"/>
          <w:lang w:val="en-US" w:eastAsia="zh-CN"/>
        </w:rPr>
      </w:pPr>
      <w:r>
        <w:rPr>
          <w:rFonts w:hint="eastAsia" w:cs="宋体"/>
          <w:color w:val="auto"/>
          <w:lang w:val="en-US" w:eastAsia="zh-CN"/>
        </w:rPr>
        <w:t>颁发工程接收证书后，承包人应按以下要求对施工现场进行清理：</w:t>
      </w:r>
    </w:p>
    <w:p>
      <w:pPr>
        <w:pStyle w:val="26"/>
        <w:numPr>
          <w:ilvl w:val="0"/>
          <w:numId w:val="0"/>
        </w:numPr>
        <w:spacing w:before="0" w:beforeAutospacing="0" w:after="0" w:afterAutospacing="0" w:line="360" w:lineRule="auto"/>
        <w:ind w:firstLine="480" w:firstLineChars="200"/>
        <w:rPr>
          <w:rFonts w:hint="eastAsia" w:cs="宋体"/>
          <w:color w:val="auto"/>
          <w:lang w:val="en-US" w:eastAsia="zh-CN"/>
        </w:rPr>
      </w:pPr>
      <w:r>
        <w:rPr>
          <w:rFonts w:hint="eastAsia" w:cs="宋体"/>
          <w:color w:val="auto"/>
          <w:lang w:val="en-US" w:eastAsia="zh-CN"/>
        </w:rPr>
        <w:t>(1)施工现场内残留的垃圾已全部清除出场；</w:t>
      </w:r>
    </w:p>
    <w:p>
      <w:pPr>
        <w:pStyle w:val="26"/>
        <w:numPr>
          <w:ilvl w:val="0"/>
          <w:numId w:val="0"/>
        </w:numPr>
        <w:spacing w:before="0" w:beforeAutospacing="0" w:after="0" w:afterAutospacing="0" w:line="360" w:lineRule="auto"/>
        <w:ind w:firstLine="480" w:firstLineChars="200"/>
        <w:rPr>
          <w:rFonts w:hint="eastAsia" w:cs="宋体"/>
          <w:color w:val="auto"/>
          <w:lang w:val="en-US" w:eastAsia="zh-CN"/>
        </w:rPr>
      </w:pPr>
      <w:r>
        <w:rPr>
          <w:rFonts w:hint="eastAsia" w:cs="宋体"/>
          <w:color w:val="auto"/>
          <w:lang w:val="en-US" w:eastAsia="zh-CN"/>
        </w:rPr>
        <w:t>(2)临时工程已拆除，场地已进行清理、平整或复原；</w:t>
      </w:r>
    </w:p>
    <w:p>
      <w:pPr>
        <w:pStyle w:val="26"/>
        <w:numPr>
          <w:ilvl w:val="0"/>
          <w:numId w:val="0"/>
        </w:numPr>
        <w:spacing w:before="0" w:beforeAutospacing="0" w:after="0" w:afterAutospacing="0" w:line="360" w:lineRule="auto"/>
        <w:ind w:firstLine="480" w:firstLineChars="200"/>
        <w:rPr>
          <w:rFonts w:hint="eastAsia" w:cs="宋体"/>
          <w:color w:val="auto"/>
          <w:lang w:val="en-US" w:eastAsia="zh-CN"/>
        </w:rPr>
      </w:pPr>
      <w:r>
        <w:rPr>
          <w:rFonts w:hint="eastAsia" w:cs="宋体"/>
          <w:color w:val="auto"/>
          <w:lang w:val="en-US" w:eastAsia="zh-CN"/>
        </w:rPr>
        <w:t>(3)按合同约定应撤离的人员、承包人施工设备和剩余的材料，包括废弃的施工设备和材料，已按计划撤离施工现场；</w:t>
      </w:r>
    </w:p>
    <w:p>
      <w:pPr>
        <w:pStyle w:val="26"/>
        <w:numPr>
          <w:ilvl w:val="0"/>
          <w:numId w:val="0"/>
        </w:numPr>
        <w:spacing w:before="0" w:beforeAutospacing="0" w:after="0" w:afterAutospacing="0" w:line="360" w:lineRule="auto"/>
        <w:ind w:firstLine="480" w:firstLineChars="200"/>
        <w:rPr>
          <w:rFonts w:hint="eastAsia" w:cs="宋体"/>
          <w:color w:val="auto"/>
          <w:lang w:val="en-US" w:eastAsia="zh-CN"/>
        </w:rPr>
      </w:pPr>
      <w:r>
        <w:rPr>
          <w:rFonts w:hint="eastAsia" w:cs="宋体"/>
          <w:color w:val="auto"/>
          <w:lang w:val="en-US" w:eastAsia="zh-CN"/>
        </w:rPr>
        <w:t>(4)施工现场周边及其附近道路、河道的施工堆积物，已全部清理；</w:t>
      </w:r>
    </w:p>
    <w:p>
      <w:pPr>
        <w:pStyle w:val="26"/>
        <w:numPr>
          <w:ilvl w:val="0"/>
          <w:numId w:val="0"/>
        </w:numPr>
        <w:spacing w:before="0" w:beforeAutospacing="0" w:after="0" w:afterAutospacing="0" w:line="360" w:lineRule="auto"/>
        <w:ind w:firstLine="480" w:firstLineChars="200"/>
        <w:rPr>
          <w:rFonts w:hint="eastAsia" w:cs="宋体"/>
          <w:color w:val="auto"/>
          <w:lang w:val="en-US" w:eastAsia="zh-CN"/>
        </w:rPr>
      </w:pPr>
      <w:r>
        <w:rPr>
          <w:rFonts w:hint="eastAsia" w:cs="宋体"/>
          <w:color w:val="auto"/>
          <w:lang w:val="en-US" w:eastAsia="zh-CN"/>
        </w:rPr>
        <w:t>(5)施工现场其他场地清理工作已全部完成。</w:t>
      </w:r>
    </w:p>
    <w:p>
      <w:pPr>
        <w:pStyle w:val="26"/>
        <w:numPr>
          <w:ilvl w:val="0"/>
          <w:numId w:val="0"/>
        </w:numPr>
        <w:spacing w:before="0" w:beforeAutospacing="0" w:after="0" w:afterAutospacing="0" w:line="360" w:lineRule="auto"/>
        <w:ind w:firstLine="480" w:firstLineChars="200"/>
        <w:rPr>
          <w:rFonts w:hint="eastAsia" w:cs="宋体"/>
          <w:color w:val="auto"/>
          <w:lang w:val="en-US" w:eastAsia="zh-CN"/>
        </w:rPr>
      </w:pPr>
      <w:r>
        <w:rPr>
          <w:rFonts w:hint="eastAsia" w:cs="宋体"/>
          <w:color w:val="auto"/>
          <w:lang w:val="en-US" w:eastAsia="zh-CN"/>
        </w:rPr>
        <w:t>施工现场的竣工退场费用由承包人承担。承包人应在专用合同条款约定的期限内完成竣工退场，逾期未完成的，发包人有权出售或另行处理承包人遗留的物品，由此支出的费用由承包人承担，发包人出售承包人遗留物品所得款项在扣除必要费用后应返还承包人。</w:t>
      </w:r>
    </w:p>
    <w:p>
      <w:pPr>
        <w:pStyle w:val="26"/>
        <w:numPr>
          <w:ilvl w:val="0"/>
          <w:numId w:val="0"/>
        </w:numPr>
        <w:spacing w:before="0" w:beforeAutospacing="0" w:after="0" w:afterAutospacing="0" w:line="360" w:lineRule="auto"/>
        <w:ind w:firstLine="480" w:firstLineChars="200"/>
        <w:rPr>
          <w:rFonts w:hint="eastAsia" w:cs="宋体"/>
          <w:color w:val="auto"/>
          <w:lang w:val="en-US" w:eastAsia="zh-CN"/>
        </w:rPr>
      </w:pPr>
      <w:r>
        <w:rPr>
          <w:rFonts w:hint="eastAsia" w:cs="宋体"/>
          <w:color w:val="auto"/>
          <w:lang w:val="en-US" w:eastAsia="zh-CN"/>
        </w:rPr>
        <w:t>13.6.2地表还原</w:t>
      </w:r>
    </w:p>
    <w:p>
      <w:pPr>
        <w:pStyle w:val="26"/>
        <w:numPr>
          <w:ilvl w:val="0"/>
          <w:numId w:val="0"/>
        </w:numPr>
        <w:spacing w:before="0" w:beforeAutospacing="0" w:after="0" w:afterAutospacing="0" w:line="360" w:lineRule="auto"/>
        <w:ind w:firstLine="480" w:firstLineChars="200"/>
        <w:rPr>
          <w:rFonts w:hint="eastAsia" w:cs="宋体"/>
          <w:color w:val="auto"/>
          <w:lang w:val="en-US" w:eastAsia="zh-CN"/>
        </w:rPr>
      </w:pPr>
      <w:r>
        <w:rPr>
          <w:rFonts w:hint="eastAsia" w:cs="宋体"/>
          <w:color w:val="auto"/>
          <w:lang w:val="en-US" w:eastAsia="zh-CN"/>
        </w:rPr>
        <w:t>承包人应按发包人要求恢复临时占地及清理场地，承包人未按发包人的要求恢复</w:t>
      </w:r>
    </w:p>
    <w:p>
      <w:pPr>
        <w:pStyle w:val="26"/>
        <w:numPr>
          <w:ilvl w:val="0"/>
          <w:numId w:val="0"/>
        </w:numPr>
        <w:spacing w:before="0" w:beforeAutospacing="0" w:after="0" w:afterAutospacing="0" w:line="360" w:lineRule="auto"/>
        <w:rPr>
          <w:rFonts w:hint="eastAsia" w:cs="宋体"/>
          <w:color w:val="auto"/>
          <w:lang w:val="en-US" w:eastAsia="zh-CN"/>
        </w:rPr>
      </w:pPr>
      <w:r>
        <w:rPr>
          <w:rFonts w:hint="eastAsia" w:cs="宋体"/>
          <w:color w:val="auto"/>
          <w:lang w:val="en-US" w:eastAsia="zh-CN"/>
        </w:rPr>
        <w:t>临时占地，或者场地清理未达到合同约定要求的，发包人有权委托其他人恢复或清理，所发生的费用由承包人承担。</w:t>
      </w:r>
    </w:p>
    <w:p>
      <w:pPr>
        <w:pStyle w:val="26"/>
        <w:numPr>
          <w:ilvl w:val="0"/>
          <w:numId w:val="0"/>
        </w:numPr>
        <w:spacing w:before="0" w:beforeAutospacing="0" w:after="0" w:afterAutospacing="0" w:line="360" w:lineRule="auto"/>
        <w:ind w:firstLine="482" w:firstLineChars="200"/>
        <w:rPr>
          <w:rFonts w:hint="eastAsia" w:cs="宋体"/>
          <w:b/>
          <w:bCs/>
          <w:color w:val="auto"/>
          <w:lang w:val="en-US" w:eastAsia="zh-CN"/>
        </w:rPr>
      </w:pPr>
      <w:r>
        <w:rPr>
          <w:rFonts w:hint="eastAsia" w:cs="宋体"/>
          <w:b/>
          <w:bCs/>
          <w:color w:val="auto"/>
          <w:lang w:val="en-US" w:eastAsia="zh-CN"/>
        </w:rPr>
        <w:t>14.竣工结算</w:t>
      </w:r>
    </w:p>
    <w:p>
      <w:pPr>
        <w:pStyle w:val="26"/>
        <w:numPr>
          <w:ilvl w:val="0"/>
          <w:numId w:val="0"/>
        </w:numPr>
        <w:spacing w:before="0" w:beforeAutospacing="0" w:after="0" w:afterAutospacing="0" w:line="360" w:lineRule="auto"/>
        <w:ind w:firstLine="482" w:firstLineChars="200"/>
        <w:rPr>
          <w:rFonts w:hint="eastAsia" w:cs="宋体"/>
          <w:b/>
          <w:bCs/>
          <w:color w:val="auto"/>
          <w:lang w:val="en-US" w:eastAsia="zh-CN"/>
        </w:rPr>
      </w:pPr>
      <w:r>
        <w:rPr>
          <w:rFonts w:hint="eastAsia" w:cs="宋体"/>
          <w:b/>
          <w:bCs/>
          <w:color w:val="auto"/>
          <w:lang w:val="en-US" w:eastAsia="zh-CN"/>
        </w:rPr>
        <w:t>14.1竣工结算申请</w:t>
      </w:r>
    </w:p>
    <w:p>
      <w:pPr>
        <w:pStyle w:val="26"/>
        <w:numPr>
          <w:ilvl w:val="0"/>
          <w:numId w:val="0"/>
        </w:numPr>
        <w:spacing w:before="0" w:beforeAutospacing="0" w:after="0" w:afterAutospacing="0" w:line="360" w:lineRule="auto"/>
        <w:ind w:firstLine="480" w:firstLineChars="200"/>
        <w:rPr>
          <w:rFonts w:hint="eastAsia" w:cs="宋体"/>
          <w:color w:val="auto"/>
          <w:lang w:val="en-US" w:eastAsia="zh-CN"/>
        </w:rPr>
      </w:pPr>
      <w:r>
        <w:rPr>
          <w:rFonts w:hint="eastAsia" w:cs="宋体"/>
          <w:color w:val="auto"/>
          <w:lang w:val="en-US" w:eastAsia="zh-CN"/>
        </w:rPr>
        <w:t>除专用合同条款另有约定外，承包人应在工程竣工验收合格后28天内向发包人和监理人提交竣工结算申请单，并提交完整的结算资料，有关竣工结算申请单的资料清单和份数等要求由合同当事人在专用合同条款中约定。</w:t>
      </w:r>
    </w:p>
    <w:p>
      <w:pPr>
        <w:pStyle w:val="26"/>
        <w:numPr>
          <w:ilvl w:val="0"/>
          <w:numId w:val="0"/>
        </w:numPr>
        <w:spacing w:before="0" w:beforeAutospacing="0" w:after="0" w:afterAutospacing="0" w:line="360" w:lineRule="auto"/>
        <w:ind w:firstLine="480" w:firstLineChars="200"/>
        <w:rPr>
          <w:rFonts w:hint="eastAsia" w:cs="宋体"/>
          <w:color w:val="auto"/>
          <w:lang w:val="en-US" w:eastAsia="zh-CN"/>
        </w:rPr>
      </w:pPr>
      <w:r>
        <w:rPr>
          <w:rFonts w:hint="eastAsia" w:cs="宋体"/>
          <w:color w:val="auto"/>
          <w:lang w:val="en-US" w:eastAsia="zh-CN"/>
        </w:rPr>
        <w:t>除专用合同条款另有约定外，竣工结算申请单应包括以下内容：</w:t>
      </w:r>
    </w:p>
    <w:p>
      <w:pPr>
        <w:pStyle w:val="26"/>
        <w:numPr>
          <w:ilvl w:val="0"/>
          <w:numId w:val="0"/>
        </w:numPr>
        <w:spacing w:before="0" w:beforeAutospacing="0" w:after="0" w:afterAutospacing="0" w:line="360" w:lineRule="auto"/>
        <w:ind w:firstLine="480" w:firstLineChars="200"/>
        <w:rPr>
          <w:rFonts w:hint="eastAsia" w:cs="宋体"/>
          <w:color w:val="auto"/>
          <w:lang w:val="en-US" w:eastAsia="zh-CN"/>
        </w:rPr>
      </w:pPr>
      <w:r>
        <w:rPr>
          <w:rFonts w:hint="eastAsia" w:cs="宋体"/>
          <w:color w:val="auto"/>
          <w:lang w:val="en-US" w:eastAsia="zh-CN"/>
        </w:rPr>
        <w:t>(1)竣工结算合同价格；</w:t>
      </w:r>
    </w:p>
    <w:p>
      <w:pPr>
        <w:pStyle w:val="26"/>
        <w:numPr>
          <w:ilvl w:val="0"/>
          <w:numId w:val="0"/>
        </w:numPr>
        <w:spacing w:before="0" w:beforeAutospacing="0" w:after="0" w:afterAutospacing="0" w:line="360" w:lineRule="auto"/>
        <w:ind w:firstLine="480" w:firstLineChars="200"/>
        <w:rPr>
          <w:rFonts w:hint="eastAsia" w:cs="宋体"/>
          <w:color w:val="auto"/>
          <w:lang w:val="en-US" w:eastAsia="zh-CN"/>
        </w:rPr>
      </w:pPr>
      <w:r>
        <w:rPr>
          <w:rFonts w:hint="eastAsia" w:cs="宋体"/>
          <w:color w:val="auto"/>
          <w:lang w:val="en-US" w:eastAsia="zh-CN"/>
        </w:rPr>
        <w:t>(2)发包人已支付承包人的款项；</w:t>
      </w:r>
    </w:p>
    <w:p>
      <w:pPr>
        <w:pStyle w:val="26"/>
        <w:numPr>
          <w:ilvl w:val="0"/>
          <w:numId w:val="0"/>
        </w:numPr>
        <w:spacing w:before="0" w:beforeAutospacing="0" w:after="0" w:afterAutospacing="0" w:line="360" w:lineRule="auto"/>
        <w:ind w:firstLine="480" w:firstLineChars="200"/>
        <w:rPr>
          <w:rFonts w:hint="eastAsia" w:cs="宋体"/>
          <w:color w:val="auto"/>
          <w:lang w:val="en-US" w:eastAsia="zh-CN"/>
        </w:rPr>
      </w:pPr>
      <w:r>
        <w:rPr>
          <w:rFonts w:hint="eastAsia" w:cs="宋体"/>
          <w:color w:val="auto"/>
          <w:lang w:val="en-US" w:eastAsia="zh-CN"/>
        </w:rPr>
        <w:t>(3)应扣留的质量保证金；(已缴纳履约保证金的或提供其他工程质量担保方式的除外)</w:t>
      </w:r>
    </w:p>
    <w:p>
      <w:pPr>
        <w:pStyle w:val="26"/>
        <w:numPr>
          <w:ilvl w:val="0"/>
          <w:numId w:val="0"/>
        </w:numPr>
        <w:spacing w:before="0" w:beforeAutospacing="0" w:after="0" w:afterAutospacing="0" w:line="360" w:lineRule="auto"/>
        <w:ind w:firstLine="480" w:firstLineChars="200"/>
        <w:rPr>
          <w:rFonts w:hint="eastAsia" w:cs="宋体"/>
          <w:color w:val="auto"/>
          <w:lang w:val="en-US" w:eastAsia="zh-CN"/>
        </w:rPr>
      </w:pPr>
      <w:r>
        <w:rPr>
          <w:rFonts w:hint="eastAsia" w:cs="宋体"/>
          <w:color w:val="auto"/>
          <w:lang w:val="en-US" w:eastAsia="zh-CN"/>
        </w:rPr>
        <w:t>(4)发包人应支付承包人的合同价款。</w:t>
      </w:r>
    </w:p>
    <w:p>
      <w:pPr>
        <w:pStyle w:val="26"/>
        <w:numPr>
          <w:ilvl w:val="0"/>
          <w:numId w:val="0"/>
        </w:numPr>
        <w:spacing w:before="0" w:beforeAutospacing="0" w:after="0" w:afterAutospacing="0" w:line="360" w:lineRule="auto"/>
        <w:ind w:firstLine="482" w:firstLineChars="200"/>
        <w:rPr>
          <w:rFonts w:hint="eastAsia" w:cs="宋体"/>
          <w:b/>
          <w:bCs/>
          <w:color w:val="auto"/>
          <w:lang w:val="en-US" w:eastAsia="zh-CN"/>
        </w:rPr>
      </w:pPr>
      <w:r>
        <w:rPr>
          <w:rFonts w:hint="eastAsia" w:cs="宋体"/>
          <w:b/>
          <w:bCs/>
          <w:color w:val="auto"/>
          <w:lang w:val="en-US" w:eastAsia="zh-CN"/>
        </w:rPr>
        <w:t>14.2竣工结算审核</w:t>
      </w:r>
    </w:p>
    <w:p>
      <w:pPr>
        <w:pStyle w:val="26"/>
        <w:numPr>
          <w:ilvl w:val="0"/>
          <w:numId w:val="0"/>
        </w:numPr>
        <w:spacing w:before="0" w:beforeAutospacing="0" w:after="0" w:afterAutospacing="0" w:line="360" w:lineRule="auto"/>
        <w:ind w:firstLine="480" w:firstLineChars="200"/>
        <w:rPr>
          <w:rFonts w:hint="eastAsia" w:cs="宋体"/>
          <w:color w:val="auto"/>
          <w:lang w:val="en-US" w:eastAsia="zh-CN"/>
        </w:rPr>
      </w:pPr>
      <w:r>
        <w:rPr>
          <w:rFonts w:hint="eastAsia" w:cs="宋体"/>
          <w:color w:val="auto"/>
          <w:lang w:val="en-US" w:eastAsia="zh-CN"/>
        </w:rPr>
        <w:t>(1)除专用合同条款另有约定外，监理人应在收到竣工结算申请单后14天内完成核查并报送发包人。发包人应在收到监理人提交的经审核的竣工结算申请单后14天内完成审批，并由监理人向承包人签发经发包人签认的竣工付款证书。监理人或发包人对竣工结算申请单有异议的，有权要求承包人进行修正和提供补充资料，承包人应提交修正后的竣工结算申请单。</w:t>
      </w:r>
    </w:p>
    <w:p>
      <w:pPr>
        <w:pStyle w:val="26"/>
        <w:numPr>
          <w:ilvl w:val="0"/>
          <w:numId w:val="0"/>
        </w:numPr>
        <w:spacing w:before="0" w:beforeAutospacing="0" w:after="0" w:afterAutospacing="0" w:line="360" w:lineRule="auto"/>
        <w:ind w:firstLine="480" w:firstLineChars="200"/>
        <w:rPr>
          <w:rFonts w:hint="eastAsia" w:cs="宋体"/>
          <w:color w:val="auto"/>
          <w:lang w:val="en-US" w:eastAsia="zh-CN"/>
        </w:rPr>
      </w:pPr>
      <w:r>
        <w:rPr>
          <w:rFonts w:hint="eastAsia" w:cs="宋体"/>
          <w:color w:val="auto"/>
          <w:lang w:val="en-US" w:eastAsia="zh-CN"/>
        </w:rPr>
        <w:t>发包人在收到承包人提交竣工结算申请书后28天内未完成审批且未提出异议的，视为发包人认可承包人提交的竣工结算申请单，并自发包人收到承包人提交的竣工结算申请单后第29天起视为已签发竣工付款证书。</w:t>
      </w:r>
    </w:p>
    <w:p>
      <w:pPr>
        <w:pStyle w:val="26"/>
        <w:numPr>
          <w:ilvl w:val="0"/>
          <w:numId w:val="0"/>
        </w:numPr>
        <w:spacing w:before="0" w:beforeAutospacing="0" w:after="0" w:afterAutospacing="0" w:line="360" w:lineRule="auto"/>
        <w:ind w:firstLine="480" w:firstLineChars="200"/>
        <w:rPr>
          <w:rFonts w:hint="eastAsia" w:cs="宋体"/>
          <w:color w:val="auto"/>
          <w:lang w:val="en-US" w:eastAsia="zh-CN"/>
        </w:rPr>
      </w:pPr>
      <w:r>
        <w:rPr>
          <w:rFonts w:hint="eastAsia" w:cs="宋体"/>
          <w:color w:val="auto"/>
          <w:lang w:val="en-US" w:eastAsia="zh-CN"/>
        </w:rPr>
        <w:t>(2)除专用合同条款另有约定外，发包人应在签发竣工付款证书后的14天内，完成对承包人的竣工付款。发包人逾期支付的，按照中国人民银行发布的同期同类贷款基准利率支付违约金；逾期支付超过56天的，按照中国人民银行发布的同期同类贷款基准利率的两倍支付违约金。</w:t>
      </w:r>
    </w:p>
    <w:p>
      <w:pPr>
        <w:pStyle w:val="26"/>
        <w:numPr>
          <w:ilvl w:val="0"/>
          <w:numId w:val="0"/>
        </w:numPr>
        <w:spacing w:before="0" w:beforeAutospacing="0" w:after="0" w:afterAutospacing="0" w:line="360" w:lineRule="auto"/>
        <w:ind w:firstLine="480" w:firstLineChars="200"/>
        <w:rPr>
          <w:rFonts w:hint="eastAsia" w:cs="宋体"/>
          <w:color w:val="auto"/>
          <w:lang w:val="en-US" w:eastAsia="zh-CN"/>
        </w:rPr>
      </w:pPr>
      <w:r>
        <w:rPr>
          <w:rFonts w:hint="eastAsia" w:cs="宋体"/>
          <w:color w:val="auto"/>
          <w:lang w:val="en-US" w:eastAsia="zh-CN"/>
        </w:rPr>
        <w:t>(3)承包人对发包人签认的竣工付款证书有异议的，对于有异议部分应在收到发包人签认的竣工付款证书后7天内提出异议，并由合同当事人按照专用合同条款约定的方式和程序进行复核，或按照第20条〔争议解决〕约定处理。对于无异议部分，发包人应签发临时竣工付款证书，并按本款第(2)项完成付款。承包人逾期未提出异议的，视为认可发包人的审批结果。</w:t>
      </w:r>
    </w:p>
    <w:p>
      <w:pPr>
        <w:pStyle w:val="26"/>
        <w:numPr>
          <w:ilvl w:val="0"/>
          <w:numId w:val="0"/>
        </w:numPr>
        <w:spacing w:before="0" w:beforeAutospacing="0" w:after="0" w:afterAutospacing="0" w:line="360" w:lineRule="auto"/>
        <w:ind w:firstLine="482" w:firstLineChars="200"/>
        <w:rPr>
          <w:rFonts w:hint="eastAsia" w:cs="宋体"/>
          <w:b/>
          <w:bCs/>
          <w:color w:val="auto"/>
          <w:lang w:val="en-US" w:eastAsia="zh-CN"/>
        </w:rPr>
      </w:pPr>
      <w:r>
        <w:rPr>
          <w:rFonts w:hint="eastAsia" w:cs="宋体"/>
          <w:b/>
          <w:bCs/>
          <w:color w:val="auto"/>
          <w:lang w:val="en-US" w:eastAsia="zh-CN"/>
        </w:rPr>
        <w:t>14.3甩项竣工协议</w:t>
      </w:r>
    </w:p>
    <w:p>
      <w:pPr>
        <w:pStyle w:val="26"/>
        <w:numPr>
          <w:ilvl w:val="0"/>
          <w:numId w:val="0"/>
        </w:numPr>
        <w:spacing w:before="0" w:beforeAutospacing="0" w:after="0" w:afterAutospacing="0" w:line="360" w:lineRule="auto"/>
        <w:ind w:firstLine="480" w:firstLineChars="200"/>
        <w:rPr>
          <w:rFonts w:hint="eastAsia" w:cs="宋体"/>
          <w:color w:val="auto"/>
          <w:lang w:val="en-US" w:eastAsia="zh-CN"/>
        </w:rPr>
      </w:pPr>
      <w:r>
        <w:rPr>
          <w:rFonts w:hint="eastAsia" w:cs="宋体"/>
          <w:color w:val="auto"/>
          <w:lang w:val="en-US" w:eastAsia="zh-CN"/>
        </w:rPr>
        <w:t>发包人要求甩项竣工的，合同当事人应签订甩项竣工协议。在甩项竣工协议中应明确，合同当事人按照第14.1款〔竣工结算申请〕及14.2款〔竣工结算审核〕的约定，对已完合格工程进行结算，并支付相应合同价款。</w:t>
      </w:r>
    </w:p>
    <w:p>
      <w:pPr>
        <w:pStyle w:val="26"/>
        <w:numPr>
          <w:ilvl w:val="0"/>
          <w:numId w:val="0"/>
        </w:numPr>
        <w:spacing w:before="0" w:beforeAutospacing="0" w:after="0" w:afterAutospacing="0" w:line="360" w:lineRule="auto"/>
        <w:ind w:firstLine="482" w:firstLineChars="200"/>
        <w:rPr>
          <w:rFonts w:hint="eastAsia" w:cs="宋体"/>
          <w:b/>
          <w:bCs/>
          <w:color w:val="auto"/>
          <w:lang w:val="en-US" w:eastAsia="zh-CN"/>
        </w:rPr>
      </w:pPr>
      <w:r>
        <w:rPr>
          <w:rFonts w:hint="eastAsia" w:cs="宋体"/>
          <w:b/>
          <w:bCs/>
          <w:color w:val="auto"/>
          <w:lang w:val="en-US" w:eastAsia="zh-CN"/>
        </w:rPr>
        <w:t>14.4最终结清</w:t>
      </w:r>
    </w:p>
    <w:p>
      <w:pPr>
        <w:pStyle w:val="26"/>
        <w:numPr>
          <w:ilvl w:val="0"/>
          <w:numId w:val="0"/>
        </w:numPr>
        <w:spacing w:before="0" w:beforeAutospacing="0" w:after="0" w:afterAutospacing="0" w:line="360" w:lineRule="auto"/>
        <w:ind w:firstLine="480" w:firstLineChars="200"/>
        <w:rPr>
          <w:rFonts w:hint="eastAsia" w:cs="宋体"/>
          <w:color w:val="auto"/>
          <w:lang w:val="en-US" w:eastAsia="zh-CN"/>
        </w:rPr>
      </w:pPr>
      <w:r>
        <w:rPr>
          <w:rFonts w:hint="eastAsia" w:cs="宋体"/>
          <w:color w:val="auto"/>
          <w:lang w:val="en-US" w:eastAsia="zh-CN"/>
        </w:rPr>
        <w:t>14.4.1最终结清申请单</w:t>
      </w:r>
    </w:p>
    <w:p>
      <w:pPr>
        <w:pStyle w:val="26"/>
        <w:numPr>
          <w:ilvl w:val="0"/>
          <w:numId w:val="0"/>
        </w:numPr>
        <w:spacing w:before="0" w:beforeAutospacing="0" w:after="0" w:afterAutospacing="0" w:line="360" w:lineRule="auto"/>
        <w:ind w:firstLine="480" w:firstLineChars="200"/>
        <w:rPr>
          <w:rFonts w:hint="eastAsia" w:cs="宋体"/>
          <w:color w:val="auto"/>
          <w:lang w:val="en-US" w:eastAsia="zh-CN"/>
        </w:rPr>
      </w:pPr>
      <w:r>
        <w:rPr>
          <w:rFonts w:hint="eastAsia" w:cs="宋体"/>
          <w:color w:val="auto"/>
          <w:lang w:val="en-US" w:eastAsia="zh-CN"/>
        </w:rPr>
        <w:t>(1)除专用合同条款另有约定外，承包人应在缺陷责任期终止证书颁发后7天内，按专用合同条款约定的份数向发包人提交最终结清申请单，并提供相关证明材料。</w:t>
      </w:r>
    </w:p>
    <w:p>
      <w:pPr>
        <w:pStyle w:val="26"/>
        <w:numPr>
          <w:ilvl w:val="0"/>
          <w:numId w:val="0"/>
        </w:numPr>
        <w:spacing w:before="0" w:beforeAutospacing="0" w:after="0" w:afterAutospacing="0" w:line="360" w:lineRule="auto"/>
        <w:ind w:firstLine="480" w:firstLineChars="200"/>
        <w:rPr>
          <w:rFonts w:hint="eastAsia" w:cs="宋体"/>
          <w:color w:val="auto"/>
          <w:lang w:val="en-US" w:eastAsia="zh-CN"/>
        </w:rPr>
      </w:pPr>
      <w:r>
        <w:rPr>
          <w:rFonts w:hint="eastAsia" w:cs="宋体"/>
          <w:color w:val="auto"/>
          <w:lang w:val="en-US" w:eastAsia="zh-CN"/>
        </w:rPr>
        <w:t>除专用合同条款另有约定外，最终结清申请单应列明质量保证金、应扣除的质量保证金、缺陷责任期内发生的增减费用。</w:t>
      </w:r>
    </w:p>
    <w:p>
      <w:pPr>
        <w:pStyle w:val="26"/>
        <w:numPr>
          <w:ilvl w:val="0"/>
          <w:numId w:val="0"/>
        </w:numPr>
        <w:spacing w:before="0" w:beforeAutospacing="0" w:after="0" w:afterAutospacing="0" w:line="360" w:lineRule="auto"/>
        <w:ind w:firstLine="480" w:firstLineChars="200"/>
        <w:rPr>
          <w:rFonts w:hint="eastAsia" w:cs="宋体"/>
          <w:color w:val="auto"/>
          <w:lang w:val="en-US" w:eastAsia="zh-CN"/>
        </w:rPr>
      </w:pPr>
      <w:r>
        <w:rPr>
          <w:rFonts w:hint="eastAsia" w:cs="宋体"/>
          <w:color w:val="auto"/>
          <w:lang w:val="en-US" w:eastAsia="zh-CN"/>
        </w:rPr>
        <w:t>(2)发包人对最终结清申请单内容有异议的，有权要求承包人进行修正和提供补充资料，承包人应向发包人提交修正后的最终结清申请单。</w:t>
      </w:r>
    </w:p>
    <w:p>
      <w:pPr>
        <w:pStyle w:val="26"/>
        <w:numPr>
          <w:ilvl w:val="0"/>
          <w:numId w:val="0"/>
        </w:numPr>
        <w:spacing w:before="0" w:beforeAutospacing="0" w:after="0" w:afterAutospacing="0" w:line="360" w:lineRule="auto"/>
        <w:ind w:firstLine="480" w:firstLineChars="200"/>
        <w:rPr>
          <w:rFonts w:hint="eastAsia" w:cs="宋体"/>
          <w:color w:val="auto"/>
          <w:lang w:val="en-US" w:eastAsia="zh-CN"/>
        </w:rPr>
      </w:pPr>
      <w:r>
        <w:rPr>
          <w:rFonts w:hint="eastAsia" w:cs="宋体"/>
          <w:color w:val="auto"/>
          <w:lang w:val="en-US" w:eastAsia="zh-CN"/>
        </w:rPr>
        <w:t>14.4.2最终结清证书和支付</w:t>
      </w:r>
    </w:p>
    <w:p>
      <w:pPr>
        <w:pStyle w:val="26"/>
        <w:numPr>
          <w:ilvl w:val="0"/>
          <w:numId w:val="0"/>
        </w:numPr>
        <w:spacing w:before="0" w:beforeAutospacing="0" w:after="0" w:afterAutospacing="0" w:line="360" w:lineRule="auto"/>
        <w:ind w:firstLine="480" w:firstLineChars="200"/>
        <w:rPr>
          <w:rFonts w:hint="eastAsia" w:cs="宋体"/>
          <w:color w:val="auto"/>
          <w:lang w:val="en-US" w:eastAsia="zh-CN"/>
        </w:rPr>
      </w:pPr>
      <w:r>
        <w:rPr>
          <w:rFonts w:hint="eastAsia" w:cs="宋体"/>
          <w:color w:val="auto"/>
          <w:lang w:val="en-US" w:eastAsia="zh-CN"/>
        </w:rPr>
        <w:t>(1)除专用合同条款另有约定外，发包人应在收到承包人提交的最终结清申请单后14天内完成审批并向承包人颁发最终结清证书。发包人逾期未完成审批，又未提出修改意见的，视为发包人同意承包人提交的最终结清申请单，且自发包人收到承包人提交的最终结清申请单后15天起视为已颁发最终结清证书。</w:t>
      </w:r>
    </w:p>
    <w:p>
      <w:pPr>
        <w:pStyle w:val="26"/>
        <w:numPr>
          <w:ilvl w:val="0"/>
          <w:numId w:val="0"/>
        </w:numPr>
        <w:spacing w:before="0" w:beforeAutospacing="0" w:after="0" w:afterAutospacing="0" w:line="360" w:lineRule="auto"/>
        <w:ind w:firstLine="480" w:firstLineChars="200"/>
        <w:rPr>
          <w:rFonts w:hint="eastAsia" w:cs="宋体"/>
          <w:color w:val="auto"/>
          <w:lang w:val="en-US" w:eastAsia="zh-CN"/>
        </w:rPr>
      </w:pPr>
      <w:r>
        <w:rPr>
          <w:rFonts w:hint="eastAsia" w:cs="宋体"/>
          <w:color w:val="auto"/>
          <w:lang w:val="en-US" w:eastAsia="zh-CN"/>
        </w:rPr>
        <w:t>(2)除专用合同条款另有约定外，发包人应在颁发最终结清证书后7天内完成支付。发包人逾期支付的，按照中国人民银行发布的同期同类贷款基准利率支付违约金；逾期支付超过56天的，按照中国人民银行发布的同期同类贷款基准利率的两倍支付违约金。</w:t>
      </w:r>
    </w:p>
    <w:p>
      <w:pPr>
        <w:pStyle w:val="26"/>
        <w:numPr>
          <w:ilvl w:val="0"/>
          <w:numId w:val="0"/>
        </w:numPr>
        <w:spacing w:before="0" w:beforeAutospacing="0" w:after="0" w:afterAutospacing="0" w:line="360" w:lineRule="auto"/>
        <w:ind w:firstLine="480" w:firstLineChars="200"/>
        <w:rPr>
          <w:rFonts w:hint="eastAsia" w:cs="宋体"/>
          <w:color w:val="auto"/>
          <w:lang w:val="en-US" w:eastAsia="zh-CN"/>
        </w:rPr>
      </w:pPr>
      <w:r>
        <w:rPr>
          <w:rFonts w:hint="eastAsia" w:cs="宋体"/>
          <w:color w:val="auto"/>
          <w:lang w:val="en-US" w:eastAsia="zh-CN"/>
        </w:rPr>
        <w:t>(3)承包人对发包人颁发的最终结清证书有异议的，按第20条〔争议解决〕的约定办理。</w:t>
      </w:r>
    </w:p>
    <w:p>
      <w:pPr>
        <w:pStyle w:val="26"/>
        <w:numPr>
          <w:ilvl w:val="0"/>
          <w:numId w:val="0"/>
        </w:numPr>
        <w:spacing w:before="0" w:beforeAutospacing="0" w:after="0" w:afterAutospacing="0" w:line="360" w:lineRule="auto"/>
        <w:ind w:firstLine="482" w:firstLineChars="200"/>
        <w:rPr>
          <w:rFonts w:hint="eastAsia" w:cs="宋体"/>
          <w:b/>
          <w:bCs/>
          <w:color w:val="auto"/>
          <w:lang w:val="en-US" w:eastAsia="zh-CN"/>
        </w:rPr>
      </w:pPr>
      <w:r>
        <w:rPr>
          <w:rFonts w:hint="eastAsia" w:cs="宋体"/>
          <w:b/>
          <w:bCs/>
          <w:color w:val="auto"/>
          <w:lang w:val="en-US" w:eastAsia="zh-CN"/>
        </w:rPr>
        <w:t>15.缺陷责任与保修</w:t>
      </w:r>
    </w:p>
    <w:p>
      <w:pPr>
        <w:pStyle w:val="26"/>
        <w:numPr>
          <w:ilvl w:val="0"/>
          <w:numId w:val="0"/>
        </w:numPr>
        <w:spacing w:before="0" w:beforeAutospacing="0" w:after="0" w:afterAutospacing="0" w:line="360" w:lineRule="auto"/>
        <w:ind w:firstLine="480" w:firstLineChars="200"/>
        <w:rPr>
          <w:rFonts w:hint="eastAsia" w:cs="宋体"/>
          <w:color w:val="auto"/>
          <w:lang w:val="en-US" w:eastAsia="zh-CN"/>
        </w:rPr>
      </w:pPr>
      <w:r>
        <w:rPr>
          <w:rFonts w:hint="eastAsia" w:cs="宋体"/>
          <w:color w:val="auto"/>
          <w:lang w:val="en-US" w:eastAsia="zh-CN"/>
        </w:rPr>
        <w:t>15.1工程保修的原则</w:t>
      </w:r>
    </w:p>
    <w:p>
      <w:pPr>
        <w:pStyle w:val="26"/>
        <w:numPr>
          <w:ilvl w:val="0"/>
          <w:numId w:val="0"/>
        </w:numPr>
        <w:spacing w:before="0" w:beforeAutospacing="0" w:after="0" w:afterAutospacing="0" w:line="360" w:lineRule="auto"/>
        <w:ind w:firstLine="480" w:firstLineChars="200"/>
        <w:rPr>
          <w:rFonts w:hint="eastAsia" w:cs="宋体"/>
          <w:b/>
          <w:bCs/>
          <w:color w:val="auto"/>
          <w:lang w:val="en-US" w:eastAsia="zh-CN"/>
        </w:rPr>
      </w:pPr>
      <w:r>
        <w:rPr>
          <w:rFonts w:hint="eastAsia" w:cs="宋体"/>
          <w:color w:val="auto"/>
          <w:lang w:val="en-US" w:eastAsia="zh-CN"/>
        </w:rPr>
        <w:t>在工程移交发包人后，因承包人原因产生的质量缺陷，承包人应承担质量缺陷责任和保修义务。缺陷责任期届满，承包人仍应按合同约定的工程各部位保修年限承担保修义务。</w:t>
      </w:r>
    </w:p>
    <w:p>
      <w:pPr>
        <w:pStyle w:val="26"/>
        <w:numPr>
          <w:ilvl w:val="0"/>
          <w:numId w:val="0"/>
        </w:numPr>
        <w:spacing w:before="0" w:beforeAutospacing="0" w:after="0" w:afterAutospacing="0" w:line="360" w:lineRule="auto"/>
        <w:ind w:firstLine="482" w:firstLineChars="200"/>
        <w:rPr>
          <w:rFonts w:hint="eastAsia" w:cs="宋体"/>
          <w:b/>
          <w:bCs/>
          <w:color w:val="auto"/>
          <w:lang w:val="en-US" w:eastAsia="zh-CN"/>
        </w:rPr>
      </w:pPr>
      <w:r>
        <w:rPr>
          <w:rFonts w:hint="eastAsia" w:cs="宋体"/>
          <w:b/>
          <w:bCs/>
          <w:color w:val="auto"/>
          <w:lang w:val="en-US" w:eastAsia="zh-CN"/>
        </w:rPr>
        <w:t>15.2缺陷责任期</w:t>
      </w:r>
    </w:p>
    <w:p>
      <w:pPr>
        <w:pStyle w:val="26"/>
        <w:numPr>
          <w:ilvl w:val="0"/>
          <w:numId w:val="0"/>
        </w:numPr>
        <w:spacing w:before="0" w:beforeAutospacing="0" w:after="0" w:afterAutospacing="0" w:line="360" w:lineRule="auto"/>
        <w:ind w:firstLine="480" w:firstLineChars="200"/>
        <w:rPr>
          <w:rFonts w:hint="eastAsia" w:cs="宋体"/>
          <w:color w:val="auto"/>
          <w:lang w:val="en-US" w:eastAsia="zh-CN"/>
        </w:rPr>
      </w:pPr>
      <w:r>
        <w:rPr>
          <w:rFonts w:hint="eastAsia" w:cs="宋体"/>
          <w:color w:val="auto"/>
          <w:lang w:val="en-US" w:eastAsia="zh-CN"/>
        </w:rPr>
        <w:t>15.2.1缺陷责任期从工程通过竣工验收之日起计算，合同当事人应在专用合同条款约定缺陷责任期的具体期限，但该期限最长不超过24个月。</w:t>
      </w:r>
    </w:p>
    <w:p>
      <w:pPr>
        <w:pStyle w:val="26"/>
        <w:numPr>
          <w:ilvl w:val="0"/>
          <w:numId w:val="0"/>
        </w:numPr>
        <w:spacing w:before="0" w:beforeAutospacing="0" w:after="0" w:afterAutospacing="0" w:line="360" w:lineRule="auto"/>
        <w:ind w:firstLine="480" w:firstLineChars="200"/>
        <w:rPr>
          <w:rFonts w:hint="eastAsia" w:cs="宋体"/>
          <w:color w:val="auto"/>
          <w:lang w:val="en-US" w:eastAsia="zh-CN"/>
        </w:rPr>
      </w:pPr>
      <w:r>
        <w:rPr>
          <w:rFonts w:hint="eastAsia" w:cs="宋体"/>
          <w:color w:val="auto"/>
          <w:lang w:val="en-US" w:eastAsia="zh-CN"/>
        </w:rPr>
        <w:t>单位工程先于全部工程进行验收，经验收合格并交付使用的，该单位工程缺陷责任期自单位工程验收合格之日起算。因承包人原因导致工程无法按合同约定期限进行竣工验收的，缺陷责任期从实际通过竣工验收之日起计算，因发包人原因导致工程无法按合同约定期限进行竣工验收的，在承包人提交竣工验收申请报告90天后，工程自动进入缺陷责任期；发包人未经竣工验收擅自使用工程的，缺陷责任期自工程转移占有之日起开始计算。</w:t>
      </w:r>
    </w:p>
    <w:p>
      <w:pPr>
        <w:pStyle w:val="26"/>
        <w:numPr>
          <w:ilvl w:val="0"/>
          <w:numId w:val="0"/>
        </w:numPr>
        <w:spacing w:before="0" w:beforeAutospacing="0" w:after="0" w:afterAutospacing="0" w:line="360" w:lineRule="auto"/>
        <w:ind w:firstLine="480" w:firstLineChars="200"/>
        <w:rPr>
          <w:rFonts w:hint="eastAsia" w:cs="宋体"/>
          <w:color w:val="auto"/>
          <w:lang w:val="en-US" w:eastAsia="zh-CN"/>
        </w:rPr>
      </w:pPr>
      <w:r>
        <w:rPr>
          <w:rFonts w:hint="eastAsia" w:cs="宋体"/>
          <w:color w:val="auto"/>
          <w:lang w:val="en-US" w:eastAsia="zh-CN"/>
        </w:rPr>
        <w:t>15.2.2缺陷责任期内，由承包人原因造成的缺陷，承包人应负责维修，并承担鉴定及维修费用，如承包人不维修也不承担费用，发包人可按合同约定从保证金或银行保函中扣除，费用超过保证金额的，发包人可按合同约定向承包人索赔。承包人维修并承担相应费用后，不免除对工程的损失承担赔偿责任。发包人有权要求承包人延长缺陷责任期，并应在原缺陷责任期届满前发出延长通知，但缺陷责任期(含延长部分)最长不能超过24个月。</w:t>
      </w:r>
    </w:p>
    <w:p>
      <w:pPr>
        <w:pStyle w:val="26"/>
        <w:numPr>
          <w:ilvl w:val="0"/>
          <w:numId w:val="0"/>
        </w:numPr>
        <w:spacing w:before="0" w:beforeAutospacing="0" w:after="0" w:afterAutospacing="0" w:line="360" w:lineRule="auto"/>
        <w:ind w:firstLine="480" w:firstLineChars="200"/>
        <w:rPr>
          <w:rFonts w:hint="eastAsia" w:cs="宋体"/>
          <w:color w:val="auto"/>
          <w:lang w:val="en-US" w:eastAsia="zh-CN"/>
        </w:rPr>
      </w:pPr>
      <w:r>
        <w:rPr>
          <w:rFonts w:hint="eastAsia" w:cs="宋体"/>
          <w:color w:val="auto"/>
          <w:lang w:val="en-US" w:eastAsia="zh-CN"/>
        </w:rPr>
        <w:t>由他人原因造成的缺陷，发包人负责组织维修，承包人不承担费用，且发包人不得从保证金中扣除费用。</w:t>
      </w:r>
    </w:p>
    <w:p>
      <w:pPr>
        <w:pStyle w:val="26"/>
        <w:numPr>
          <w:ilvl w:val="0"/>
          <w:numId w:val="0"/>
        </w:numPr>
        <w:spacing w:before="0" w:beforeAutospacing="0" w:after="0" w:afterAutospacing="0" w:line="360" w:lineRule="auto"/>
        <w:ind w:firstLine="480" w:firstLineChars="200"/>
        <w:rPr>
          <w:rFonts w:hint="eastAsia" w:cs="宋体"/>
          <w:color w:val="auto"/>
          <w:lang w:val="en-US" w:eastAsia="zh-CN"/>
        </w:rPr>
      </w:pPr>
      <w:r>
        <w:rPr>
          <w:rFonts w:hint="eastAsia" w:cs="宋体"/>
          <w:color w:val="auto"/>
          <w:lang w:val="en-US" w:eastAsia="zh-CN"/>
        </w:rPr>
        <w:t>15.2.3任何一项缺陷或损坏修复后，经检查证明其影响了工程或工程设备的使用性能，承包人应重新进行合同约定的试验和试运行，试验和试运行的全部费用应由责任方承担。</w:t>
      </w:r>
    </w:p>
    <w:p>
      <w:pPr>
        <w:pStyle w:val="26"/>
        <w:numPr>
          <w:ilvl w:val="0"/>
          <w:numId w:val="0"/>
        </w:numPr>
        <w:spacing w:before="0" w:beforeAutospacing="0" w:after="0" w:afterAutospacing="0" w:line="360" w:lineRule="auto"/>
        <w:ind w:firstLine="480" w:firstLineChars="200"/>
        <w:rPr>
          <w:rFonts w:hint="eastAsia" w:cs="宋体"/>
          <w:color w:val="auto"/>
          <w:lang w:val="en-US" w:eastAsia="zh-CN"/>
        </w:rPr>
      </w:pPr>
      <w:r>
        <w:rPr>
          <w:rFonts w:hint="eastAsia" w:cs="宋体"/>
          <w:color w:val="auto"/>
          <w:lang w:val="en-US" w:eastAsia="zh-CN"/>
        </w:rPr>
        <w:t>15.2.4除专用合同条款另有约定外，承包人应于缺陷责任期届满后7天内向发包人发出缺陷责任期届满通知，发包人应在收到缺陷责任期满通知后14天内核实承包人是否履行缺陷修复义务，承包人未能履行缺陷修复义务的，发包人有权扣除相应金额的维修费用。发包人应在收到缺陷责任期届满通知后14天内，向承包人颁发缺陷责任期终止证书。</w:t>
      </w:r>
    </w:p>
    <w:p>
      <w:pPr>
        <w:pStyle w:val="26"/>
        <w:numPr>
          <w:ilvl w:val="0"/>
          <w:numId w:val="0"/>
        </w:numPr>
        <w:spacing w:before="0" w:beforeAutospacing="0" w:after="0" w:afterAutospacing="0" w:line="360" w:lineRule="auto"/>
        <w:ind w:firstLine="482" w:firstLineChars="200"/>
        <w:rPr>
          <w:rFonts w:hint="eastAsia" w:cs="宋体"/>
          <w:b/>
          <w:bCs/>
          <w:color w:val="auto"/>
          <w:lang w:val="en-US" w:eastAsia="zh-CN"/>
        </w:rPr>
      </w:pPr>
      <w:r>
        <w:rPr>
          <w:rFonts w:hint="eastAsia" w:cs="宋体"/>
          <w:b/>
          <w:bCs/>
          <w:color w:val="auto"/>
          <w:lang w:val="en-US" w:eastAsia="zh-CN"/>
        </w:rPr>
        <w:t>15.3质量保证金</w:t>
      </w:r>
    </w:p>
    <w:p>
      <w:pPr>
        <w:pStyle w:val="26"/>
        <w:numPr>
          <w:ilvl w:val="0"/>
          <w:numId w:val="0"/>
        </w:numPr>
        <w:spacing w:before="0" w:beforeAutospacing="0" w:after="0" w:afterAutospacing="0" w:line="360" w:lineRule="auto"/>
        <w:ind w:firstLine="480" w:firstLineChars="200"/>
        <w:rPr>
          <w:rFonts w:hint="eastAsia" w:cs="宋体"/>
          <w:color w:val="auto"/>
          <w:lang w:val="en-US" w:eastAsia="zh-CN"/>
        </w:rPr>
      </w:pPr>
      <w:r>
        <w:rPr>
          <w:rFonts w:hint="eastAsia" w:cs="宋体"/>
          <w:color w:val="auto"/>
          <w:lang w:val="en-US" w:eastAsia="zh-CN"/>
        </w:rPr>
        <w:t>经合同当事人协商一致扣留质量保证金的，应在专用合同条款中予以明确。</w:t>
      </w:r>
    </w:p>
    <w:p>
      <w:pPr>
        <w:pStyle w:val="26"/>
        <w:numPr>
          <w:ilvl w:val="0"/>
          <w:numId w:val="0"/>
        </w:numPr>
        <w:spacing w:before="0" w:beforeAutospacing="0" w:after="0" w:afterAutospacing="0" w:line="360" w:lineRule="auto"/>
        <w:ind w:firstLine="480" w:firstLineChars="200"/>
        <w:rPr>
          <w:rFonts w:hint="eastAsia" w:cs="宋体"/>
          <w:color w:val="auto"/>
          <w:lang w:val="en-US" w:eastAsia="zh-CN"/>
        </w:rPr>
      </w:pPr>
      <w:r>
        <w:rPr>
          <w:rFonts w:hint="eastAsia" w:cs="宋体"/>
          <w:color w:val="auto"/>
          <w:lang w:val="en-US" w:eastAsia="zh-CN"/>
        </w:rPr>
        <w:t>在工程项目竣工前，承包人已经提供履约担保的，发包人不得同时预留工程质量保证金。</w:t>
      </w:r>
    </w:p>
    <w:p>
      <w:pPr>
        <w:pStyle w:val="26"/>
        <w:numPr>
          <w:ilvl w:val="0"/>
          <w:numId w:val="0"/>
        </w:numPr>
        <w:spacing w:before="0" w:beforeAutospacing="0" w:after="0" w:afterAutospacing="0" w:line="360" w:lineRule="auto"/>
        <w:ind w:firstLine="480" w:firstLineChars="200"/>
        <w:rPr>
          <w:rFonts w:hint="eastAsia" w:cs="宋体"/>
          <w:color w:val="auto"/>
          <w:lang w:val="en-US" w:eastAsia="zh-CN"/>
        </w:rPr>
      </w:pPr>
      <w:r>
        <w:rPr>
          <w:rFonts w:hint="eastAsia" w:cs="宋体"/>
          <w:color w:val="auto"/>
          <w:lang w:val="en-US" w:eastAsia="zh-CN"/>
        </w:rPr>
        <w:t>15.3.1承包人提供质量保证金的方式承包人提供质量保证金有以下三种方式：</w:t>
      </w:r>
    </w:p>
    <w:p>
      <w:pPr>
        <w:pStyle w:val="26"/>
        <w:numPr>
          <w:ilvl w:val="0"/>
          <w:numId w:val="0"/>
        </w:numPr>
        <w:spacing w:before="0" w:beforeAutospacing="0" w:after="0" w:afterAutospacing="0" w:line="360" w:lineRule="auto"/>
        <w:ind w:firstLine="480" w:firstLineChars="200"/>
        <w:rPr>
          <w:rFonts w:hint="eastAsia" w:cs="宋体"/>
          <w:color w:val="auto"/>
          <w:lang w:val="en-US" w:eastAsia="zh-CN"/>
        </w:rPr>
      </w:pPr>
      <w:r>
        <w:rPr>
          <w:rFonts w:hint="eastAsia" w:cs="宋体"/>
          <w:color w:val="auto"/>
          <w:lang w:val="en-US" w:eastAsia="zh-CN"/>
        </w:rPr>
        <w:t>(1)质量保证金保函；</w:t>
      </w:r>
    </w:p>
    <w:p>
      <w:pPr>
        <w:pStyle w:val="26"/>
        <w:numPr>
          <w:ilvl w:val="0"/>
          <w:numId w:val="0"/>
        </w:numPr>
        <w:spacing w:before="0" w:beforeAutospacing="0" w:after="0" w:afterAutospacing="0" w:line="360" w:lineRule="auto"/>
        <w:ind w:firstLine="480" w:firstLineChars="200"/>
        <w:rPr>
          <w:rFonts w:hint="eastAsia" w:cs="宋体"/>
          <w:color w:val="auto"/>
          <w:lang w:val="en-US" w:eastAsia="zh-CN"/>
        </w:rPr>
      </w:pPr>
      <w:r>
        <w:rPr>
          <w:rFonts w:hint="eastAsia" w:cs="宋体"/>
          <w:color w:val="auto"/>
          <w:lang w:val="en-US" w:eastAsia="zh-CN"/>
        </w:rPr>
        <w:t>(2)相应比例的工程款；</w:t>
      </w:r>
    </w:p>
    <w:p>
      <w:pPr>
        <w:pStyle w:val="26"/>
        <w:numPr>
          <w:ilvl w:val="0"/>
          <w:numId w:val="0"/>
        </w:numPr>
        <w:spacing w:before="0" w:beforeAutospacing="0" w:after="0" w:afterAutospacing="0" w:line="360" w:lineRule="auto"/>
        <w:ind w:firstLine="480" w:firstLineChars="200"/>
        <w:rPr>
          <w:rFonts w:hint="eastAsia" w:cs="宋体"/>
          <w:color w:val="auto"/>
          <w:lang w:val="en-US" w:eastAsia="zh-CN"/>
        </w:rPr>
      </w:pPr>
      <w:r>
        <w:rPr>
          <w:rFonts w:hint="eastAsia" w:cs="宋体"/>
          <w:color w:val="auto"/>
          <w:lang w:val="en-US" w:eastAsia="zh-CN"/>
        </w:rPr>
        <w:t>(3)双方约定的其他方式。</w:t>
      </w:r>
    </w:p>
    <w:p>
      <w:pPr>
        <w:pStyle w:val="26"/>
        <w:numPr>
          <w:ilvl w:val="0"/>
          <w:numId w:val="0"/>
        </w:numPr>
        <w:spacing w:before="0" w:beforeAutospacing="0" w:after="0" w:afterAutospacing="0" w:line="360" w:lineRule="auto"/>
        <w:ind w:firstLine="480" w:firstLineChars="200"/>
        <w:rPr>
          <w:rFonts w:hint="eastAsia" w:cs="宋体"/>
          <w:color w:val="auto"/>
          <w:lang w:val="en-US" w:eastAsia="zh-CN"/>
        </w:rPr>
      </w:pPr>
      <w:r>
        <w:rPr>
          <w:rFonts w:hint="eastAsia" w:cs="宋体"/>
          <w:color w:val="auto"/>
          <w:lang w:val="en-US" w:eastAsia="zh-CN"/>
        </w:rPr>
        <w:t>除专用合同条款另有约定外，质量保证金原则上采用上述第(1)种方式。</w:t>
      </w:r>
    </w:p>
    <w:p>
      <w:pPr>
        <w:pStyle w:val="26"/>
        <w:numPr>
          <w:ilvl w:val="0"/>
          <w:numId w:val="0"/>
        </w:numPr>
        <w:spacing w:before="0" w:beforeAutospacing="0" w:after="0" w:afterAutospacing="0" w:line="360" w:lineRule="auto"/>
        <w:ind w:firstLine="480" w:firstLineChars="200"/>
        <w:rPr>
          <w:rFonts w:hint="eastAsia" w:cs="宋体"/>
          <w:color w:val="auto"/>
          <w:lang w:val="en-US" w:eastAsia="zh-CN"/>
        </w:rPr>
      </w:pPr>
      <w:r>
        <w:rPr>
          <w:rFonts w:hint="eastAsia" w:cs="宋体"/>
          <w:color w:val="auto"/>
          <w:lang w:val="en-US" w:eastAsia="zh-CN"/>
        </w:rPr>
        <w:t>15.3.2质量保证金的扣留</w:t>
      </w:r>
    </w:p>
    <w:p>
      <w:pPr>
        <w:pStyle w:val="26"/>
        <w:numPr>
          <w:ilvl w:val="0"/>
          <w:numId w:val="0"/>
        </w:numPr>
        <w:spacing w:before="0" w:beforeAutospacing="0" w:after="0" w:afterAutospacing="0" w:line="360" w:lineRule="auto"/>
        <w:ind w:firstLine="480" w:firstLineChars="200"/>
        <w:rPr>
          <w:rFonts w:hint="eastAsia" w:cs="宋体"/>
          <w:color w:val="auto"/>
          <w:lang w:val="en-US" w:eastAsia="zh-CN"/>
        </w:rPr>
      </w:pPr>
      <w:r>
        <w:rPr>
          <w:rFonts w:hint="eastAsia" w:cs="宋体"/>
          <w:color w:val="auto"/>
          <w:lang w:val="en-US" w:eastAsia="zh-CN"/>
        </w:rPr>
        <w:t>质量保证金的扣留有以下三种方式：</w:t>
      </w:r>
    </w:p>
    <w:p>
      <w:pPr>
        <w:pStyle w:val="26"/>
        <w:numPr>
          <w:ilvl w:val="0"/>
          <w:numId w:val="0"/>
        </w:numPr>
        <w:spacing w:before="0" w:beforeAutospacing="0" w:after="0" w:afterAutospacing="0" w:line="360" w:lineRule="auto"/>
        <w:ind w:firstLine="480" w:firstLineChars="200"/>
        <w:rPr>
          <w:rFonts w:hint="eastAsia" w:cs="宋体"/>
          <w:color w:val="auto"/>
          <w:lang w:val="en-US" w:eastAsia="zh-CN"/>
        </w:rPr>
      </w:pPr>
      <w:r>
        <w:rPr>
          <w:rFonts w:hint="eastAsia" w:cs="宋体"/>
          <w:color w:val="auto"/>
          <w:lang w:val="en-US" w:eastAsia="zh-CN"/>
        </w:rPr>
        <w:t>(1)在支付工程进度款时逐次扣留，在此情形下，质量保证金的计算基数不包括预付款的支付、扣回以及价格调整的金额；</w:t>
      </w:r>
    </w:p>
    <w:p>
      <w:pPr>
        <w:pStyle w:val="26"/>
        <w:numPr>
          <w:ilvl w:val="0"/>
          <w:numId w:val="0"/>
        </w:numPr>
        <w:spacing w:before="0" w:beforeAutospacing="0" w:after="0" w:afterAutospacing="0" w:line="360" w:lineRule="auto"/>
        <w:ind w:firstLine="480" w:firstLineChars="200"/>
        <w:rPr>
          <w:rFonts w:hint="eastAsia" w:cs="宋体"/>
          <w:color w:val="auto"/>
          <w:lang w:val="en-US" w:eastAsia="zh-CN"/>
        </w:rPr>
      </w:pPr>
      <w:r>
        <w:rPr>
          <w:rFonts w:hint="eastAsia" w:cs="宋体"/>
          <w:color w:val="auto"/>
          <w:lang w:val="en-US" w:eastAsia="zh-CN"/>
        </w:rPr>
        <w:t>(2)工程竣工结算时一次性扣留质量保证金；</w:t>
      </w:r>
    </w:p>
    <w:p>
      <w:pPr>
        <w:pStyle w:val="26"/>
        <w:numPr>
          <w:ilvl w:val="0"/>
          <w:numId w:val="0"/>
        </w:numPr>
        <w:spacing w:before="0" w:beforeAutospacing="0" w:after="0" w:afterAutospacing="0" w:line="360" w:lineRule="auto"/>
        <w:ind w:firstLine="480" w:firstLineChars="200"/>
        <w:rPr>
          <w:rFonts w:hint="eastAsia" w:cs="宋体"/>
          <w:color w:val="auto"/>
          <w:lang w:val="en-US" w:eastAsia="zh-CN"/>
        </w:rPr>
      </w:pPr>
      <w:r>
        <w:rPr>
          <w:rFonts w:hint="eastAsia" w:cs="宋体"/>
          <w:color w:val="auto"/>
          <w:lang w:val="en-US" w:eastAsia="zh-CN"/>
        </w:rPr>
        <w:t>(3)双方约定的其他扣留方式。</w:t>
      </w:r>
    </w:p>
    <w:p>
      <w:pPr>
        <w:pStyle w:val="26"/>
        <w:numPr>
          <w:ilvl w:val="0"/>
          <w:numId w:val="0"/>
        </w:numPr>
        <w:spacing w:before="0" w:beforeAutospacing="0" w:after="0" w:afterAutospacing="0" w:line="360" w:lineRule="auto"/>
        <w:ind w:firstLine="480" w:firstLineChars="200"/>
        <w:rPr>
          <w:rFonts w:hint="eastAsia" w:cs="宋体"/>
          <w:color w:val="auto"/>
          <w:lang w:val="en-US" w:eastAsia="zh-CN"/>
        </w:rPr>
      </w:pPr>
      <w:r>
        <w:rPr>
          <w:rFonts w:hint="eastAsia" w:cs="宋体"/>
          <w:color w:val="auto"/>
          <w:lang w:val="en-US" w:eastAsia="zh-CN"/>
        </w:rPr>
        <w:t>除专用合同条款另有约定外，质量保证金的扣留原则上采用上述第(1)种方式。</w:t>
      </w:r>
    </w:p>
    <w:p>
      <w:pPr>
        <w:pStyle w:val="26"/>
        <w:numPr>
          <w:ilvl w:val="0"/>
          <w:numId w:val="0"/>
        </w:numPr>
        <w:spacing w:before="0" w:beforeAutospacing="0" w:after="0" w:afterAutospacing="0" w:line="360" w:lineRule="auto"/>
        <w:ind w:firstLine="480" w:firstLineChars="200"/>
        <w:rPr>
          <w:rFonts w:hint="eastAsia" w:cs="宋体"/>
          <w:color w:val="auto"/>
          <w:lang w:val="en-US" w:eastAsia="zh-CN"/>
        </w:rPr>
      </w:pPr>
      <w:r>
        <w:rPr>
          <w:rFonts w:hint="eastAsia" w:cs="宋体"/>
          <w:color w:val="auto"/>
          <w:lang w:val="en-US" w:eastAsia="zh-CN"/>
        </w:rPr>
        <w:t>发包人累计扣留的质量保证金不得超过工程价款结算总额的3%，如承包人在发包人签发竣工付款证书后28天内提交质量保证金保函，发包人应同时退还扣留的作为质量保证金的工程价款。保函金额不得超过工程价款结算总额的3%。</w:t>
      </w:r>
    </w:p>
    <w:p>
      <w:pPr>
        <w:pStyle w:val="26"/>
        <w:numPr>
          <w:ilvl w:val="0"/>
          <w:numId w:val="0"/>
        </w:numPr>
        <w:spacing w:before="0" w:beforeAutospacing="0" w:after="0" w:afterAutospacing="0" w:line="360" w:lineRule="auto"/>
        <w:ind w:firstLine="480" w:firstLineChars="200"/>
        <w:rPr>
          <w:rFonts w:hint="eastAsia" w:cs="宋体"/>
          <w:color w:val="auto"/>
          <w:lang w:val="en-US" w:eastAsia="zh-CN"/>
        </w:rPr>
      </w:pPr>
      <w:r>
        <w:rPr>
          <w:rFonts w:hint="eastAsia" w:cs="宋体"/>
          <w:color w:val="auto"/>
          <w:lang w:val="en-US" w:eastAsia="zh-CN"/>
        </w:rPr>
        <w:t>15.3.3质量保证金的退还</w:t>
      </w:r>
    </w:p>
    <w:p>
      <w:pPr>
        <w:pStyle w:val="26"/>
        <w:numPr>
          <w:ilvl w:val="0"/>
          <w:numId w:val="0"/>
        </w:numPr>
        <w:spacing w:before="0" w:beforeAutospacing="0" w:after="0" w:afterAutospacing="0" w:line="360" w:lineRule="auto"/>
        <w:ind w:firstLine="480" w:firstLineChars="200"/>
        <w:rPr>
          <w:rFonts w:hint="eastAsia" w:cs="宋体"/>
          <w:color w:val="auto"/>
          <w:lang w:val="en-US" w:eastAsia="zh-CN"/>
        </w:rPr>
      </w:pPr>
      <w:r>
        <w:rPr>
          <w:rFonts w:hint="eastAsia" w:cs="宋体"/>
          <w:color w:val="auto"/>
          <w:lang w:val="en-US" w:eastAsia="zh-CN"/>
        </w:rPr>
        <w:t>缺陷责任期内，承包人认真履行合同约定的责任，到期后，承包人可向发包人申请返还保证金。</w:t>
      </w:r>
    </w:p>
    <w:p>
      <w:pPr>
        <w:pStyle w:val="26"/>
        <w:numPr>
          <w:ilvl w:val="0"/>
          <w:numId w:val="0"/>
        </w:numPr>
        <w:spacing w:before="0" w:beforeAutospacing="0" w:after="0" w:afterAutospacing="0" w:line="360" w:lineRule="auto"/>
        <w:ind w:firstLine="480" w:firstLineChars="200"/>
        <w:rPr>
          <w:rFonts w:hint="eastAsia" w:cs="宋体"/>
          <w:color w:val="auto"/>
          <w:lang w:val="en-US" w:eastAsia="zh-CN"/>
        </w:rPr>
      </w:pPr>
      <w:r>
        <w:rPr>
          <w:rFonts w:hint="eastAsia" w:cs="宋体"/>
          <w:color w:val="auto"/>
          <w:lang w:val="en-US" w:eastAsia="zh-CN"/>
        </w:rPr>
        <w:t>发包人在接到承包人返还保证金的申请后，应于14天内会同承包人按照合同约定的内容进行核实，如无异议，发包人应当按照约定将保证金返还给承包人。对返还期限没有约定或约定不明确的，发包人应当在核实后14天内将保证金返还承包人，逾期未返还的，依法承担违约责任。发包人在接到承包人返还保证金申请后14天内不予答复，经催告后14天内仍不予答复，视同认可承包人的返还保证金申请。</w:t>
      </w:r>
    </w:p>
    <w:p>
      <w:pPr>
        <w:pStyle w:val="26"/>
        <w:numPr>
          <w:ilvl w:val="0"/>
          <w:numId w:val="0"/>
        </w:numPr>
        <w:spacing w:before="0" w:beforeAutospacing="0" w:after="0" w:afterAutospacing="0" w:line="360" w:lineRule="auto"/>
        <w:ind w:firstLine="480" w:firstLineChars="200"/>
        <w:rPr>
          <w:rFonts w:hint="eastAsia" w:cs="宋体"/>
          <w:color w:val="auto"/>
          <w:lang w:val="en-US" w:eastAsia="zh-CN"/>
        </w:rPr>
      </w:pPr>
      <w:r>
        <w:rPr>
          <w:rFonts w:hint="eastAsia" w:cs="宋体"/>
          <w:color w:val="auto"/>
          <w:lang w:val="en-US" w:eastAsia="zh-CN"/>
        </w:rPr>
        <w:t>发包人和承包人对保证金预留、返还以及工程维修质量、费用有争议的，按本合同第20条约定的争议和纠纷解决程序处理。</w:t>
      </w:r>
    </w:p>
    <w:p>
      <w:pPr>
        <w:pStyle w:val="26"/>
        <w:numPr>
          <w:ilvl w:val="0"/>
          <w:numId w:val="0"/>
        </w:numPr>
        <w:spacing w:before="0" w:beforeAutospacing="0" w:after="0" w:afterAutospacing="0" w:line="360" w:lineRule="auto"/>
        <w:ind w:firstLine="482" w:firstLineChars="200"/>
        <w:rPr>
          <w:rFonts w:hint="eastAsia" w:cs="宋体"/>
          <w:b/>
          <w:bCs/>
          <w:color w:val="auto"/>
          <w:lang w:val="en-US" w:eastAsia="zh-CN"/>
        </w:rPr>
      </w:pPr>
      <w:r>
        <w:rPr>
          <w:rFonts w:hint="eastAsia" w:cs="宋体"/>
          <w:b/>
          <w:bCs/>
          <w:color w:val="auto"/>
          <w:lang w:val="en-US" w:eastAsia="zh-CN"/>
        </w:rPr>
        <w:t>15.4保修</w:t>
      </w:r>
    </w:p>
    <w:p>
      <w:pPr>
        <w:pStyle w:val="26"/>
        <w:numPr>
          <w:ilvl w:val="0"/>
          <w:numId w:val="0"/>
        </w:numPr>
        <w:spacing w:before="0" w:beforeAutospacing="0" w:after="0" w:afterAutospacing="0" w:line="360" w:lineRule="auto"/>
        <w:ind w:firstLine="480" w:firstLineChars="200"/>
        <w:rPr>
          <w:rFonts w:hint="eastAsia" w:cs="宋体"/>
          <w:b w:val="0"/>
          <w:bCs w:val="0"/>
          <w:color w:val="auto"/>
          <w:lang w:val="en-US" w:eastAsia="zh-CN"/>
        </w:rPr>
      </w:pPr>
      <w:r>
        <w:rPr>
          <w:rFonts w:hint="eastAsia" w:cs="宋体"/>
          <w:b w:val="0"/>
          <w:bCs w:val="0"/>
          <w:color w:val="auto"/>
          <w:lang w:val="en-US" w:eastAsia="zh-CN"/>
        </w:rPr>
        <w:t>15.4.1保修责任</w:t>
      </w:r>
    </w:p>
    <w:p>
      <w:pPr>
        <w:pStyle w:val="26"/>
        <w:numPr>
          <w:ilvl w:val="0"/>
          <w:numId w:val="0"/>
        </w:numPr>
        <w:spacing w:before="0" w:beforeAutospacing="0" w:after="0" w:afterAutospacing="0" w:line="360" w:lineRule="auto"/>
        <w:ind w:firstLine="480" w:firstLineChars="200"/>
        <w:rPr>
          <w:rFonts w:hint="eastAsia" w:cs="宋体"/>
          <w:color w:val="auto"/>
          <w:lang w:val="en-US" w:eastAsia="zh-CN"/>
        </w:rPr>
      </w:pPr>
      <w:r>
        <w:rPr>
          <w:rFonts w:hint="eastAsia" w:cs="宋体"/>
          <w:color w:val="auto"/>
          <w:lang w:val="en-US" w:eastAsia="zh-CN"/>
        </w:rPr>
        <w:t>工程保修期从工程竣工验收合格之日起算，具体分部分项工程的保修期由合同当事人在专用合同条款中约定，但不得低于法定最低保修年限。在工程保修期内，承包人应当根据有关法律规定以及合同约定承担保修责任。</w:t>
      </w:r>
    </w:p>
    <w:p>
      <w:pPr>
        <w:pStyle w:val="26"/>
        <w:numPr>
          <w:ilvl w:val="0"/>
          <w:numId w:val="0"/>
        </w:numPr>
        <w:spacing w:before="0" w:beforeAutospacing="0" w:after="0" w:afterAutospacing="0" w:line="360" w:lineRule="auto"/>
        <w:ind w:firstLine="480" w:firstLineChars="200"/>
        <w:rPr>
          <w:rFonts w:hint="eastAsia" w:cs="宋体"/>
          <w:color w:val="auto"/>
          <w:lang w:val="en-US" w:eastAsia="zh-CN"/>
        </w:rPr>
      </w:pPr>
      <w:r>
        <w:rPr>
          <w:rFonts w:hint="eastAsia" w:cs="宋体"/>
          <w:color w:val="auto"/>
          <w:lang w:val="en-US" w:eastAsia="zh-CN"/>
        </w:rPr>
        <w:t>发包人未经竣工验收擅自使用工程的，保修期自转移占有之日起算。15.4.2修复费用保修期内，修复的费用按照以下约定处理：</w:t>
      </w:r>
    </w:p>
    <w:p>
      <w:pPr>
        <w:pStyle w:val="26"/>
        <w:numPr>
          <w:ilvl w:val="0"/>
          <w:numId w:val="0"/>
        </w:numPr>
        <w:spacing w:before="0" w:beforeAutospacing="0" w:after="0" w:afterAutospacing="0" w:line="360" w:lineRule="auto"/>
        <w:ind w:firstLine="480" w:firstLineChars="200"/>
        <w:rPr>
          <w:rFonts w:hint="eastAsia" w:cs="宋体"/>
          <w:color w:val="auto"/>
          <w:lang w:val="en-US" w:eastAsia="zh-CN"/>
        </w:rPr>
      </w:pPr>
      <w:r>
        <w:rPr>
          <w:rFonts w:hint="eastAsia" w:cs="宋体"/>
          <w:color w:val="auto"/>
          <w:lang w:val="en-US" w:eastAsia="zh-CN"/>
        </w:rPr>
        <w:t>(1)保修期内，因承包人原因造成工程的缺陷、损坏，承包人应负责修复，并承担修复的费用以及因工程的缺陷、损坏造成的人身伤害和财产损失；</w:t>
      </w:r>
    </w:p>
    <w:p>
      <w:pPr>
        <w:pStyle w:val="26"/>
        <w:numPr>
          <w:ilvl w:val="0"/>
          <w:numId w:val="0"/>
        </w:numPr>
        <w:spacing w:before="0" w:beforeAutospacing="0" w:after="0" w:afterAutospacing="0" w:line="360" w:lineRule="auto"/>
        <w:ind w:firstLine="480" w:firstLineChars="200"/>
        <w:rPr>
          <w:rFonts w:hint="eastAsia" w:cs="宋体"/>
          <w:color w:val="auto"/>
          <w:lang w:val="en-US" w:eastAsia="zh-CN"/>
        </w:rPr>
      </w:pPr>
      <w:r>
        <w:rPr>
          <w:rFonts w:hint="eastAsia" w:cs="宋体"/>
          <w:color w:val="auto"/>
          <w:lang w:val="en-US" w:eastAsia="zh-CN"/>
        </w:rPr>
        <w:t>(2)保修期内，因发包人使用不当造成工程的缺陷、损坏，可以委托承包人修复，但发包人应承担修复的费用，并支付承包人合理利润；</w:t>
      </w:r>
    </w:p>
    <w:p>
      <w:pPr>
        <w:pStyle w:val="26"/>
        <w:numPr>
          <w:ilvl w:val="0"/>
          <w:numId w:val="0"/>
        </w:numPr>
        <w:spacing w:before="0" w:beforeAutospacing="0" w:after="0" w:afterAutospacing="0" w:line="360" w:lineRule="auto"/>
        <w:ind w:firstLine="480" w:firstLineChars="200"/>
        <w:rPr>
          <w:rFonts w:hint="eastAsia" w:cs="宋体"/>
          <w:color w:val="auto"/>
          <w:lang w:val="en-US" w:eastAsia="zh-CN"/>
        </w:rPr>
      </w:pPr>
      <w:r>
        <w:rPr>
          <w:rFonts w:hint="eastAsia" w:cs="宋体"/>
          <w:color w:val="auto"/>
          <w:lang w:val="en-US" w:eastAsia="zh-CN"/>
        </w:rPr>
        <w:t>(3)因其他原因造成工程的缺陷、损坏，可以委托承包人修复，发包人应承担修复的费用，并支付承包人合理的利润，因工程的缺陷、损坏造成的人身伤害和财产损失由责任方承担。</w:t>
      </w:r>
    </w:p>
    <w:p>
      <w:pPr>
        <w:pStyle w:val="26"/>
        <w:numPr>
          <w:ilvl w:val="0"/>
          <w:numId w:val="0"/>
        </w:numPr>
        <w:spacing w:before="0" w:beforeAutospacing="0" w:after="0" w:afterAutospacing="0" w:line="360" w:lineRule="auto"/>
        <w:ind w:firstLine="480" w:firstLineChars="200"/>
        <w:rPr>
          <w:rFonts w:hint="eastAsia" w:cs="宋体"/>
          <w:color w:val="auto"/>
          <w:lang w:val="en-US" w:eastAsia="zh-CN"/>
        </w:rPr>
      </w:pPr>
      <w:r>
        <w:rPr>
          <w:rFonts w:hint="eastAsia" w:cs="宋体"/>
          <w:color w:val="auto"/>
          <w:lang w:val="en-US" w:eastAsia="zh-CN"/>
        </w:rPr>
        <w:t>15.4.3修复通知</w:t>
      </w:r>
    </w:p>
    <w:p>
      <w:pPr>
        <w:pStyle w:val="26"/>
        <w:numPr>
          <w:ilvl w:val="0"/>
          <w:numId w:val="0"/>
        </w:numPr>
        <w:spacing w:before="0" w:beforeAutospacing="0" w:after="0" w:afterAutospacing="0" w:line="360" w:lineRule="auto"/>
        <w:ind w:firstLine="480" w:firstLineChars="200"/>
        <w:rPr>
          <w:rFonts w:hint="eastAsia" w:cs="宋体"/>
          <w:color w:val="auto"/>
          <w:lang w:val="en-US" w:eastAsia="zh-CN"/>
        </w:rPr>
      </w:pPr>
      <w:r>
        <w:rPr>
          <w:rFonts w:hint="eastAsia" w:cs="宋体"/>
          <w:color w:val="auto"/>
          <w:lang w:val="en-US" w:eastAsia="zh-CN"/>
        </w:rPr>
        <w:t>在保修期内，发包人在使用过程中，发现已接收的工程存在缺陷或损坏的，应书面通知承包人予以修复，但情况紧急必须立即修复缺陷或损坏的，发包人可以口头通知承包人并在口头通知后48小时内书面确认，承包人应在专用合同条款约定的合理期限内到达工程现场并修复缺陷或损坏。</w:t>
      </w:r>
    </w:p>
    <w:p>
      <w:pPr>
        <w:pStyle w:val="26"/>
        <w:numPr>
          <w:ilvl w:val="0"/>
          <w:numId w:val="0"/>
        </w:numPr>
        <w:spacing w:before="0" w:beforeAutospacing="0" w:after="0" w:afterAutospacing="0" w:line="360" w:lineRule="auto"/>
        <w:ind w:firstLine="480" w:firstLineChars="200"/>
        <w:rPr>
          <w:rFonts w:hint="eastAsia" w:cs="宋体"/>
          <w:color w:val="auto"/>
          <w:lang w:val="en-US" w:eastAsia="zh-CN"/>
        </w:rPr>
      </w:pPr>
      <w:r>
        <w:rPr>
          <w:rFonts w:hint="eastAsia" w:cs="宋体"/>
          <w:color w:val="auto"/>
          <w:lang w:val="en-US" w:eastAsia="zh-CN"/>
        </w:rPr>
        <w:t>15.4.4未能修复</w:t>
      </w:r>
    </w:p>
    <w:p>
      <w:pPr>
        <w:pStyle w:val="26"/>
        <w:numPr>
          <w:ilvl w:val="0"/>
          <w:numId w:val="0"/>
        </w:numPr>
        <w:spacing w:before="0" w:beforeAutospacing="0" w:after="0" w:afterAutospacing="0" w:line="360" w:lineRule="auto"/>
        <w:ind w:firstLine="480" w:firstLineChars="200"/>
        <w:rPr>
          <w:rFonts w:hint="eastAsia" w:cs="宋体"/>
          <w:color w:val="auto"/>
          <w:lang w:val="en-US" w:eastAsia="zh-CN"/>
        </w:rPr>
      </w:pPr>
      <w:r>
        <w:rPr>
          <w:rFonts w:hint="eastAsia" w:cs="宋体"/>
          <w:color w:val="auto"/>
          <w:lang w:val="en-US" w:eastAsia="zh-CN"/>
        </w:rPr>
        <w:t>因承包人原因造成工程的缺陷或损坏，承包人拒绝维修或未能在合理期限内修复缺陷或损坏，且经发包人书面催告后仍未修复的，发包人有权自行修复或委托第三方修复，所需费用由承包人承担。但修复范围超出缺陷或损坏范围的，超出范围部分的修复费用由发包人承担。</w:t>
      </w:r>
    </w:p>
    <w:p>
      <w:pPr>
        <w:pStyle w:val="26"/>
        <w:numPr>
          <w:ilvl w:val="0"/>
          <w:numId w:val="0"/>
        </w:numPr>
        <w:spacing w:before="0" w:beforeAutospacing="0" w:after="0" w:afterAutospacing="0" w:line="360" w:lineRule="auto"/>
        <w:ind w:firstLine="480" w:firstLineChars="200"/>
        <w:rPr>
          <w:rFonts w:hint="eastAsia" w:cs="宋体"/>
          <w:color w:val="auto"/>
          <w:lang w:val="en-US" w:eastAsia="zh-CN"/>
        </w:rPr>
      </w:pPr>
      <w:r>
        <w:rPr>
          <w:rFonts w:hint="eastAsia" w:cs="宋体"/>
          <w:color w:val="auto"/>
          <w:lang w:val="en-US" w:eastAsia="zh-CN"/>
        </w:rPr>
        <w:t>15.4.5承包人出入权</w:t>
      </w:r>
    </w:p>
    <w:p>
      <w:pPr>
        <w:pStyle w:val="26"/>
        <w:numPr>
          <w:ilvl w:val="0"/>
          <w:numId w:val="0"/>
        </w:numPr>
        <w:spacing w:before="0" w:beforeAutospacing="0" w:after="0" w:afterAutospacing="0" w:line="360" w:lineRule="auto"/>
        <w:ind w:firstLine="480" w:firstLineChars="200"/>
        <w:rPr>
          <w:rFonts w:hint="eastAsia" w:cs="宋体"/>
          <w:color w:val="auto"/>
          <w:lang w:val="en-US" w:eastAsia="zh-CN"/>
        </w:rPr>
      </w:pPr>
      <w:r>
        <w:rPr>
          <w:rFonts w:hint="eastAsia" w:cs="宋体"/>
          <w:color w:val="auto"/>
          <w:lang w:val="en-US" w:eastAsia="zh-CN"/>
        </w:rPr>
        <w:t>在保修期内，为了修复缺陷或损坏，承包人有权出入工程现场，除情况紧急必须立即修复缺陷或损坏外，承包人应提前24小时通知发包人进场修复的时间。承包人进入工程现场前应获得发包人同意，且不应影响发包人正常的生产经营，并应遵守发包人有关保安和保密等规定。</w:t>
      </w:r>
    </w:p>
    <w:p>
      <w:pPr>
        <w:pStyle w:val="26"/>
        <w:numPr>
          <w:ilvl w:val="0"/>
          <w:numId w:val="0"/>
        </w:numPr>
        <w:spacing w:before="0" w:beforeAutospacing="0" w:after="0" w:afterAutospacing="0" w:line="360" w:lineRule="auto"/>
        <w:ind w:firstLine="482" w:firstLineChars="200"/>
        <w:rPr>
          <w:rFonts w:hint="eastAsia" w:cs="宋体"/>
          <w:b/>
          <w:bCs/>
          <w:color w:val="auto"/>
          <w:lang w:val="en-US" w:eastAsia="zh-CN"/>
        </w:rPr>
      </w:pPr>
      <w:r>
        <w:rPr>
          <w:rFonts w:hint="eastAsia" w:cs="宋体"/>
          <w:b/>
          <w:bCs/>
          <w:color w:val="auto"/>
          <w:lang w:val="en-US" w:eastAsia="zh-CN"/>
        </w:rPr>
        <w:t>16.违约</w:t>
      </w:r>
    </w:p>
    <w:p>
      <w:pPr>
        <w:pStyle w:val="26"/>
        <w:numPr>
          <w:ilvl w:val="0"/>
          <w:numId w:val="0"/>
        </w:numPr>
        <w:spacing w:before="0" w:beforeAutospacing="0" w:after="0" w:afterAutospacing="0" w:line="360" w:lineRule="auto"/>
        <w:ind w:firstLine="482" w:firstLineChars="200"/>
        <w:rPr>
          <w:rFonts w:hint="eastAsia" w:cs="宋体"/>
          <w:b/>
          <w:bCs/>
          <w:color w:val="auto"/>
          <w:lang w:val="en-US" w:eastAsia="zh-CN"/>
        </w:rPr>
      </w:pPr>
      <w:r>
        <w:rPr>
          <w:rFonts w:hint="eastAsia" w:cs="宋体"/>
          <w:b/>
          <w:bCs/>
          <w:color w:val="auto"/>
          <w:lang w:val="en-US" w:eastAsia="zh-CN"/>
        </w:rPr>
        <w:t>16.1发包人违约</w:t>
      </w:r>
    </w:p>
    <w:p>
      <w:pPr>
        <w:pStyle w:val="26"/>
        <w:numPr>
          <w:ilvl w:val="0"/>
          <w:numId w:val="0"/>
        </w:numPr>
        <w:spacing w:before="0" w:beforeAutospacing="0" w:after="0" w:afterAutospacing="0" w:line="360" w:lineRule="auto"/>
        <w:ind w:firstLine="480" w:firstLineChars="200"/>
        <w:rPr>
          <w:rFonts w:hint="eastAsia" w:cs="宋体"/>
          <w:color w:val="auto"/>
          <w:lang w:val="en-US" w:eastAsia="zh-CN"/>
        </w:rPr>
      </w:pPr>
      <w:r>
        <w:rPr>
          <w:rFonts w:hint="eastAsia" w:cs="宋体"/>
          <w:color w:val="auto"/>
          <w:lang w:val="en-US" w:eastAsia="zh-CN"/>
        </w:rPr>
        <w:t>16.1.1发包人违约的情形</w:t>
      </w:r>
    </w:p>
    <w:p>
      <w:pPr>
        <w:pStyle w:val="26"/>
        <w:numPr>
          <w:ilvl w:val="0"/>
          <w:numId w:val="0"/>
        </w:numPr>
        <w:spacing w:before="0" w:beforeAutospacing="0" w:after="0" w:afterAutospacing="0" w:line="360" w:lineRule="auto"/>
        <w:ind w:firstLine="480" w:firstLineChars="200"/>
        <w:rPr>
          <w:rFonts w:hint="eastAsia" w:cs="宋体"/>
          <w:color w:val="auto"/>
          <w:lang w:val="en-US" w:eastAsia="zh-CN"/>
        </w:rPr>
      </w:pPr>
      <w:r>
        <w:rPr>
          <w:rFonts w:hint="eastAsia" w:cs="宋体"/>
          <w:color w:val="auto"/>
          <w:lang w:val="en-US" w:eastAsia="zh-CN"/>
        </w:rPr>
        <w:t>在合同履行过程中发生的下列情形，属于发包人违约：</w:t>
      </w:r>
    </w:p>
    <w:p>
      <w:pPr>
        <w:pStyle w:val="26"/>
        <w:numPr>
          <w:ilvl w:val="0"/>
          <w:numId w:val="0"/>
        </w:numPr>
        <w:spacing w:before="0" w:beforeAutospacing="0" w:after="0" w:afterAutospacing="0" w:line="360" w:lineRule="auto"/>
        <w:ind w:firstLine="480" w:firstLineChars="200"/>
        <w:rPr>
          <w:rFonts w:hint="eastAsia" w:cs="宋体"/>
          <w:color w:val="auto"/>
          <w:lang w:val="en-US" w:eastAsia="zh-CN"/>
        </w:rPr>
      </w:pPr>
      <w:r>
        <w:rPr>
          <w:rFonts w:hint="eastAsia" w:cs="宋体"/>
          <w:color w:val="auto"/>
          <w:lang w:val="en-US" w:eastAsia="zh-CN"/>
        </w:rPr>
        <w:t>(1)因发包人原因未能在计划开工日期前7天内下达开工通知的；</w:t>
      </w:r>
    </w:p>
    <w:p>
      <w:pPr>
        <w:pStyle w:val="26"/>
        <w:numPr>
          <w:ilvl w:val="0"/>
          <w:numId w:val="0"/>
        </w:numPr>
        <w:spacing w:before="0" w:beforeAutospacing="0" w:after="0" w:afterAutospacing="0" w:line="360" w:lineRule="auto"/>
        <w:ind w:firstLine="480" w:firstLineChars="200"/>
        <w:rPr>
          <w:rFonts w:hint="eastAsia" w:cs="宋体"/>
          <w:color w:val="auto"/>
          <w:lang w:val="en-US" w:eastAsia="zh-CN"/>
        </w:rPr>
      </w:pPr>
      <w:r>
        <w:rPr>
          <w:rFonts w:hint="eastAsia" w:cs="宋体"/>
          <w:color w:val="auto"/>
          <w:lang w:val="en-US" w:eastAsia="zh-CN"/>
        </w:rPr>
        <w:t>(2)因发包人原因未能按合同约定支付合同价款的；</w:t>
      </w:r>
    </w:p>
    <w:p>
      <w:pPr>
        <w:pStyle w:val="26"/>
        <w:numPr>
          <w:ilvl w:val="0"/>
          <w:numId w:val="0"/>
        </w:numPr>
        <w:spacing w:before="0" w:beforeAutospacing="0" w:after="0" w:afterAutospacing="0" w:line="360" w:lineRule="auto"/>
        <w:ind w:firstLine="480" w:firstLineChars="200"/>
        <w:rPr>
          <w:rFonts w:hint="eastAsia" w:cs="宋体"/>
          <w:color w:val="auto"/>
          <w:lang w:val="en-US" w:eastAsia="zh-CN"/>
        </w:rPr>
      </w:pPr>
      <w:r>
        <w:rPr>
          <w:rFonts w:hint="eastAsia" w:cs="宋体"/>
          <w:color w:val="auto"/>
          <w:lang w:val="en-US" w:eastAsia="zh-CN"/>
        </w:rPr>
        <w:t>(3)发包人违反第10.1款〔变更的范围〕第(2)项约定，自行实施被取消的工作或转由他人实施的；</w:t>
      </w:r>
    </w:p>
    <w:p>
      <w:pPr>
        <w:pStyle w:val="26"/>
        <w:numPr>
          <w:ilvl w:val="0"/>
          <w:numId w:val="0"/>
        </w:numPr>
        <w:spacing w:before="0" w:beforeAutospacing="0" w:after="0" w:afterAutospacing="0" w:line="360" w:lineRule="auto"/>
        <w:ind w:firstLine="480" w:firstLineChars="200"/>
        <w:rPr>
          <w:rFonts w:hint="eastAsia" w:cs="宋体"/>
          <w:color w:val="auto"/>
          <w:lang w:val="en-US" w:eastAsia="zh-CN"/>
        </w:rPr>
      </w:pPr>
      <w:r>
        <w:rPr>
          <w:rFonts w:hint="eastAsia" w:cs="宋体"/>
          <w:color w:val="auto"/>
          <w:lang w:val="en-US" w:eastAsia="zh-CN"/>
        </w:rPr>
        <w:t>(4)发包人提供的材料、工程设备的规格、数量或质量不符合合同约定，或因发包人原因导致交货日期延误或交货地点变更等情况的；</w:t>
      </w:r>
    </w:p>
    <w:p>
      <w:pPr>
        <w:pStyle w:val="26"/>
        <w:numPr>
          <w:ilvl w:val="0"/>
          <w:numId w:val="0"/>
        </w:numPr>
        <w:spacing w:before="0" w:beforeAutospacing="0" w:after="0" w:afterAutospacing="0" w:line="360" w:lineRule="auto"/>
        <w:ind w:firstLine="480" w:firstLineChars="200"/>
        <w:rPr>
          <w:rFonts w:hint="eastAsia" w:cs="宋体"/>
          <w:color w:val="auto"/>
          <w:lang w:val="en-US" w:eastAsia="zh-CN"/>
        </w:rPr>
      </w:pPr>
      <w:r>
        <w:rPr>
          <w:rFonts w:hint="eastAsia" w:cs="宋体"/>
          <w:color w:val="auto"/>
          <w:lang w:val="en-US" w:eastAsia="zh-CN"/>
        </w:rPr>
        <w:t>(5)因发包人违反合同约定造成暂停施工的；</w:t>
      </w:r>
    </w:p>
    <w:p>
      <w:pPr>
        <w:pStyle w:val="26"/>
        <w:numPr>
          <w:ilvl w:val="0"/>
          <w:numId w:val="0"/>
        </w:numPr>
        <w:spacing w:before="0" w:beforeAutospacing="0" w:after="0" w:afterAutospacing="0" w:line="360" w:lineRule="auto"/>
        <w:ind w:firstLine="480" w:firstLineChars="200"/>
        <w:rPr>
          <w:rFonts w:hint="eastAsia" w:cs="宋体"/>
          <w:color w:val="auto"/>
          <w:lang w:val="en-US" w:eastAsia="zh-CN"/>
        </w:rPr>
      </w:pPr>
      <w:r>
        <w:rPr>
          <w:rFonts w:hint="eastAsia" w:cs="宋体"/>
          <w:color w:val="auto"/>
          <w:lang w:val="en-US" w:eastAsia="zh-CN"/>
        </w:rPr>
        <w:t>(6)发包人无正当理由没有在约定期限内发出复工指示，导致承包人无法复工的；</w:t>
      </w:r>
    </w:p>
    <w:p>
      <w:pPr>
        <w:pStyle w:val="26"/>
        <w:numPr>
          <w:ilvl w:val="0"/>
          <w:numId w:val="0"/>
        </w:numPr>
        <w:spacing w:before="0" w:beforeAutospacing="0" w:after="0" w:afterAutospacing="0" w:line="360" w:lineRule="auto"/>
        <w:ind w:firstLine="480" w:firstLineChars="200"/>
        <w:rPr>
          <w:rFonts w:hint="eastAsia" w:cs="宋体"/>
          <w:color w:val="auto"/>
          <w:lang w:val="en-US" w:eastAsia="zh-CN"/>
        </w:rPr>
      </w:pPr>
      <w:r>
        <w:rPr>
          <w:rFonts w:hint="eastAsia" w:cs="宋体"/>
          <w:color w:val="auto"/>
          <w:lang w:val="en-US" w:eastAsia="zh-CN"/>
        </w:rPr>
        <w:t>(7)发包人明确表示或者以其行为表明不履行合同主要义务的；</w:t>
      </w:r>
    </w:p>
    <w:p>
      <w:pPr>
        <w:pStyle w:val="26"/>
        <w:numPr>
          <w:ilvl w:val="0"/>
          <w:numId w:val="0"/>
        </w:numPr>
        <w:spacing w:before="0" w:beforeAutospacing="0" w:after="0" w:afterAutospacing="0" w:line="360" w:lineRule="auto"/>
        <w:ind w:firstLine="480" w:firstLineChars="200"/>
        <w:rPr>
          <w:rFonts w:hint="eastAsia" w:cs="宋体"/>
          <w:color w:val="auto"/>
          <w:lang w:val="en-US" w:eastAsia="zh-CN"/>
        </w:rPr>
      </w:pPr>
      <w:r>
        <w:rPr>
          <w:rFonts w:hint="eastAsia" w:cs="宋体"/>
          <w:color w:val="auto"/>
          <w:lang w:val="en-US" w:eastAsia="zh-CN"/>
        </w:rPr>
        <w:t>(8)发包人未能按照合同约定履行其他义务的。</w:t>
      </w:r>
    </w:p>
    <w:p>
      <w:pPr>
        <w:pStyle w:val="26"/>
        <w:numPr>
          <w:ilvl w:val="0"/>
          <w:numId w:val="0"/>
        </w:numPr>
        <w:spacing w:before="0" w:beforeAutospacing="0" w:after="0" w:afterAutospacing="0" w:line="360" w:lineRule="auto"/>
        <w:ind w:firstLine="480" w:firstLineChars="200"/>
        <w:rPr>
          <w:rFonts w:hint="eastAsia" w:cs="宋体"/>
          <w:color w:val="auto"/>
          <w:lang w:val="en-US" w:eastAsia="zh-CN"/>
        </w:rPr>
      </w:pPr>
      <w:r>
        <w:rPr>
          <w:rFonts w:hint="eastAsia" w:cs="宋体"/>
          <w:color w:val="auto"/>
          <w:lang w:val="en-US" w:eastAsia="zh-CN"/>
        </w:rPr>
        <w:t>发包人发生除本项第(7)目以外的违约情况时，承包人可向发包人发出通知，要求发包人采取有效措施纠正违约行为。发包人收到承包人通知后28天内仍不纠正违约行为的，承包人有权暂停相应部位工程施工，并通知监理人。</w:t>
      </w:r>
    </w:p>
    <w:p>
      <w:pPr>
        <w:pStyle w:val="26"/>
        <w:numPr>
          <w:ilvl w:val="0"/>
          <w:numId w:val="0"/>
        </w:numPr>
        <w:spacing w:before="0" w:beforeAutospacing="0" w:after="0" w:afterAutospacing="0" w:line="360" w:lineRule="auto"/>
        <w:ind w:firstLine="480" w:firstLineChars="200"/>
        <w:rPr>
          <w:rFonts w:hint="eastAsia" w:cs="宋体"/>
          <w:color w:val="auto"/>
          <w:lang w:val="en-US" w:eastAsia="zh-CN"/>
        </w:rPr>
      </w:pPr>
      <w:r>
        <w:rPr>
          <w:rFonts w:hint="eastAsia" w:cs="宋体"/>
          <w:color w:val="auto"/>
          <w:lang w:val="en-US" w:eastAsia="zh-CN"/>
        </w:rPr>
        <w:t>16.1.2发包人违约的责任</w:t>
      </w:r>
    </w:p>
    <w:p>
      <w:pPr>
        <w:pStyle w:val="26"/>
        <w:numPr>
          <w:ilvl w:val="0"/>
          <w:numId w:val="0"/>
        </w:numPr>
        <w:spacing w:before="0" w:beforeAutospacing="0" w:after="0" w:afterAutospacing="0" w:line="360" w:lineRule="auto"/>
        <w:ind w:firstLine="480" w:firstLineChars="200"/>
        <w:rPr>
          <w:rFonts w:hint="eastAsia" w:cs="宋体"/>
          <w:color w:val="auto"/>
          <w:lang w:val="en-US" w:eastAsia="zh-CN"/>
        </w:rPr>
      </w:pPr>
      <w:r>
        <w:rPr>
          <w:rFonts w:hint="eastAsia" w:cs="宋体"/>
          <w:color w:val="auto"/>
          <w:lang w:val="en-US" w:eastAsia="zh-CN"/>
        </w:rPr>
        <w:t>发包人应承担因其违约给承包人增加的费用和(或)延误的工期，并支付承包人合理的利润。此外，合同当事人可在专用合同条款中另行约定发包人违约责任的承担方式和计算方法。</w:t>
      </w:r>
    </w:p>
    <w:p>
      <w:pPr>
        <w:pStyle w:val="26"/>
        <w:numPr>
          <w:ilvl w:val="0"/>
          <w:numId w:val="0"/>
        </w:numPr>
        <w:spacing w:before="0" w:beforeAutospacing="0" w:after="0" w:afterAutospacing="0" w:line="360" w:lineRule="auto"/>
        <w:ind w:firstLine="480" w:firstLineChars="200"/>
        <w:rPr>
          <w:rFonts w:hint="eastAsia" w:cs="宋体"/>
          <w:color w:val="auto"/>
          <w:lang w:val="en-US" w:eastAsia="zh-CN"/>
        </w:rPr>
      </w:pPr>
      <w:r>
        <w:rPr>
          <w:rFonts w:hint="eastAsia" w:cs="宋体"/>
          <w:color w:val="auto"/>
          <w:lang w:val="en-US" w:eastAsia="zh-CN"/>
        </w:rPr>
        <w:t>16.1.3因发包人违约解除合同</w:t>
      </w:r>
    </w:p>
    <w:p>
      <w:pPr>
        <w:pStyle w:val="26"/>
        <w:numPr>
          <w:ilvl w:val="0"/>
          <w:numId w:val="0"/>
        </w:numPr>
        <w:spacing w:before="0" w:beforeAutospacing="0" w:after="0" w:afterAutospacing="0" w:line="360" w:lineRule="auto"/>
        <w:ind w:firstLine="480" w:firstLineChars="200"/>
        <w:rPr>
          <w:rFonts w:hint="eastAsia" w:cs="宋体"/>
          <w:color w:val="auto"/>
          <w:lang w:val="en-US" w:eastAsia="zh-CN"/>
        </w:rPr>
      </w:pPr>
      <w:r>
        <w:rPr>
          <w:rFonts w:hint="eastAsia" w:cs="宋体"/>
          <w:color w:val="auto"/>
          <w:lang w:val="en-US" w:eastAsia="zh-CN"/>
        </w:rPr>
        <w:t>除专用合同条款另有约定外，承包人按第16.1.1项〔发包人违约的情形〕约定暂停施工满28天后，发包人仍不纠正其违约行为并致使合同目的不能实现的，或出现第16.1.1项〔发包人违约的情形〕第(7)目约定的违约情况，承包人有权解除合同，发包人应承担由此增加的费用，并支付承包人合理的利润。</w:t>
      </w:r>
    </w:p>
    <w:p>
      <w:pPr>
        <w:pStyle w:val="26"/>
        <w:numPr>
          <w:ilvl w:val="0"/>
          <w:numId w:val="0"/>
        </w:numPr>
        <w:spacing w:before="0" w:beforeAutospacing="0" w:after="0" w:afterAutospacing="0" w:line="360" w:lineRule="auto"/>
        <w:ind w:firstLine="480" w:firstLineChars="200"/>
        <w:rPr>
          <w:rFonts w:hint="eastAsia" w:cs="宋体"/>
          <w:color w:val="auto"/>
          <w:lang w:val="en-US" w:eastAsia="zh-CN"/>
        </w:rPr>
      </w:pPr>
      <w:r>
        <w:rPr>
          <w:rFonts w:hint="eastAsia" w:cs="宋体"/>
          <w:color w:val="auto"/>
          <w:lang w:val="en-US" w:eastAsia="zh-CN"/>
        </w:rPr>
        <w:t>16.1.4因发包人违约解除合同后的付款</w:t>
      </w:r>
    </w:p>
    <w:p>
      <w:pPr>
        <w:pStyle w:val="26"/>
        <w:numPr>
          <w:ilvl w:val="0"/>
          <w:numId w:val="0"/>
        </w:numPr>
        <w:spacing w:before="0" w:beforeAutospacing="0" w:after="0" w:afterAutospacing="0" w:line="360" w:lineRule="auto"/>
        <w:ind w:firstLine="480" w:firstLineChars="200"/>
        <w:rPr>
          <w:rFonts w:hint="eastAsia" w:cs="宋体"/>
          <w:color w:val="auto"/>
          <w:lang w:val="en-US" w:eastAsia="zh-CN"/>
        </w:rPr>
      </w:pPr>
      <w:r>
        <w:rPr>
          <w:rFonts w:hint="eastAsia" w:cs="宋体"/>
          <w:color w:val="auto"/>
          <w:lang w:val="en-US" w:eastAsia="zh-CN"/>
        </w:rPr>
        <w:t>承包人按照本款约定解除合同的，发包人应在解除合同后28天内支付下列款项，并解除履约担保：</w:t>
      </w:r>
    </w:p>
    <w:p>
      <w:pPr>
        <w:pStyle w:val="26"/>
        <w:numPr>
          <w:ilvl w:val="0"/>
          <w:numId w:val="0"/>
        </w:numPr>
        <w:spacing w:before="0" w:beforeAutospacing="0" w:after="0" w:afterAutospacing="0" w:line="360" w:lineRule="auto"/>
        <w:ind w:firstLine="480" w:firstLineChars="200"/>
        <w:rPr>
          <w:rFonts w:hint="eastAsia" w:cs="宋体"/>
          <w:color w:val="auto"/>
          <w:lang w:val="en-US" w:eastAsia="zh-CN"/>
        </w:rPr>
      </w:pPr>
      <w:r>
        <w:rPr>
          <w:rFonts w:hint="eastAsia" w:cs="宋体"/>
          <w:color w:val="auto"/>
          <w:lang w:val="en-US" w:eastAsia="zh-CN"/>
        </w:rPr>
        <w:t>(1)合同解除前所完成工作的价款；</w:t>
      </w:r>
    </w:p>
    <w:p>
      <w:pPr>
        <w:pStyle w:val="26"/>
        <w:numPr>
          <w:ilvl w:val="0"/>
          <w:numId w:val="0"/>
        </w:numPr>
        <w:spacing w:before="0" w:beforeAutospacing="0" w:after="0" w:afterAutospacing="0" w:line="360" w:lineRule="auto"/>
        <w:ind w:firstLine="480" w:firstLineChars="200"/>
        <w:rPr>
          <w:rFonts w:hint="eastAsia" w:cs="宋体"/>
          <w:color w:val="auto"/>
          <w:lang w:val="en-US" w:eastAsia="zh-CN"/>
        </w:rPr>
      </w:pPr>
      <w:r>
        <w:rPr>
          <w:rFonts w:hint="eastAsia" w:cs="宋体"/>
          <w:color w:val="auto"/>
          <w:lang w:val="en-US" w:eastAsia="zh-CN"/>
        </w:rPr>
        <w:t>(2)承包人为工程施工订购并已付款的材料、工程设备和其他物品的价款；</w:t>
      </w:r>
    </w:p>
    <w:p>
      <w:pPr>
        <w:pStyle w:val="26"/>
        <w:numPr>
          <w:ilvl w:val="0"/>
          <w:numId w:val="0"/>
        </w:numPr>
        <w:spacing w:before="0" w:beforeAutospacing="0" w:after="0" w:afterAutospacing="0" w:line="360" w:lineRule="auto"/>
        <w:ind w:firstLine="480" w:firstLineChars="200"/>
        <w:rPr>
          <w:rFonts w:hint="eastAsia" w:cs="宋体"/>
          <w:color w:val="auto"/>
          <w:lang w:val="en-US" w:eastAsia="zh-CN"/>
        </w:rPr>
      </w:pPr>
      <w:r>
        <w:rPr>
          <w:rFonts w:hint="eastAsia" w:cs="宋体"/>
          <w:color w:val="auto"/>
          <w:lang w:val="en-US" w:eastAsia="zh-CN"/>
        </w:rPr>
        <w:t>(3)承包人撤离施工现场以及遣散承包人人员的款项；</w:t>
      </w:r>
    </w:p>
    <w:p>
      <w:pPr>
        <w:pStyle w:val="26"/>
        <w:numPr>
          <w:ilvl w:val="0"/>
          <w:numId w:val="0"/>
        </w:numPr>
        <w:spacing w:before="0" w:beforeAutospacing="0" w:after="0" w:afterAutospacing="0" w:line="360" w:lineRule="auto"/>
        <w:ind w:firstLine="480" w:firstLineChars="200"/>
        <w:rPr>
          <w:rFonts w:hint="eastAsia" w:cs="宋体"/>
          <w:color w:val="auto"/>
          <w:lang w:val="en-US" w:eastAsia="zh-CN"/>
        </w:rPr>
      </w:pPr>
      <w:r>
        <w:rPr>
          <w:rFonts w:hint="eastAsia" w:cs="宋体"/>
          <w:color w:val="auto"/>
          <w:lang w:val="en-US" w:eastAsia="zh-CN"/>
        </w:rPr>
        <w:t>(4)按照合同约定在合同解除前应支付的违约金；</w:t>
      </w:r>
    </w:p>
    <w:p>
      <w:pPr>
        <w:pStyle w:val="26"/>
        <w:numPr>
          <w:ilvl w:val="0"/>
          <w:numId w:val="0"/>
        </w:numPr>
        <w:spacing w:before="0" w:beforeAutospacing="0" w:after="0" w:afterAutospacing="0" w:line="360" w:lineRule="auto"/>
        <w:ind w:firstLine="480" w:firstLineChars="200"/>
        <w:rPr>
          <w:rFonts w:hint="eastAsia" w:cs="宋体"/>
          <w:color w:val="auto"/>
          <w:lang w:val="en-US" w:eastAsia="zh-CN"/>
        </w:rPr>
      </w:pPr>
      <w:r>
        <w:rPr>
          <w:rFonts w:hint="eastAsia" w:cs="宋体"/>
          <w:color w:val="auto"/>
          <w:lang w:val="en-US" w:eastAsia="zh-CN"/>
        </w:rPr>
        <w:t>(5)按照合同约定应当支付给承包人的其他款项；</w:t>
      </w:r>
    </w:p>
    <w:p>
      <w:pPr>
        <w:pStyle w:val="26"/>
        <w:numPr>
          <w:ilvl w:val="0"/>
          <w:numId w:val="0"/>
        </w:numPr>
        <w:spacing w:before="0" w:beforeAutospacing="0" w:after="0" w:afterAutospacing="0" w:line="360" w:lineRule="auto"/>
        <w:ind w:firstLine="480" w:firstLineChars="200"/>
        <w:rPr>
          <w:rFonts w:hint="eastAsia" w:cs="宋体"/>
          <w:color w:val="auto"/>
          <w:lang w:val="en-US" w:eastAsia="zh-CN"/>
        </w:rPr>
      </w:pPr>
      <w:r>
        <w:rPr>
          <w:rFonts w:hint="eastAsia" w:cs="宋体"/>
          <w:color w:val="auto"/>
          <w:lang w:val="en-US" w:eastAsia="zh-CN"/>
        </w:rPr>
        <w:t>(6)按照合同约定应退还的质量保证金；</w:t>
      </w:r>
    </w:p>
    <w:p>
      <w:pPr>
        <w:pStyle w:val="26"/>
        <w:numPr>
          <w:ilvl w:val="0"/>
          <w:numId w:val="0"/>
        </w:numPr>
        <w:spacing w:before="0" w:beforeAutospacing="0" w:after="0" w:afterAutospacing="0" w:line="360" w:lineRule="auto"/>
        <w:ind w:firstLine="480" w:firstLineChars="200"/>
        <w:rPr>
          <w:rFonts w:hint="eastAsia" w:cs="宋体"/>
          <w:color w:val="auto"/>
          <w:lang w:val="en-US" w:eastAsia="zh-CN"/>
        </w:rPr>
      </w:pPr>
      <w:r>
        <w:rPr>
          <w:rFonts w:hint="eastAsia" w:cs="宋体"/>
          <w:color w:val="auto"/>
          <w:lang w:val="en-US" w:eastAsia="zh-CN"/>
        </w:rPr>
        <w:t>(7)因解除合同给承包人造成的损失。</w:t>
      </w:r>
    </w:p>
    <w:p>
      <w:pPr>
        <w:pStyle w:val="26"/>
        <w:numPr>
          <w:ilvl w:val="0"/>
          <w:numId w:val="0"/>
        </w:numPr>
        <w:spacing w:before="0" w:beforeAutospacing="0" w:after="0" w:afterAutospacing="0" w:line="360" w:lineRule="auto"/>
        <w:ind w:firstLine="480" w:firstLineChars="200"/>
        <w:rPr>
          <w:rFonts w:hint="eastAsia" w:cs="宋体"/>
          <w:color w:val="auto"/>
          <w:lang w:val="en-US" w:eastAsia="zh-CN"/>
        </w:rPr>
      </w:pPr>
      <w:r>
        <w:rPr>
          <w:rFonts w:hint="eastAsia" w:cs="宋体"/>
          <w:color w:val="auto"/>
          <w:lang w:val="en-US" w:eastAsia="zh-CN"/>
        </w:rPr>
        <w:t>合同当事人未能就解除合同后的结清达成一致的，按照第20条〔争议解决〕的约定处理。</w:t>
      </w:r>
    </w:p>
    <w:p>
      <w:pPr>
        <w:pStyle w:val="26"/>
        <w:numPr>
          <w:ilvl w:val="0"/>
          <w:numId w:val="0"/>
        </w:numPr>
        <w:spacing w:before="0" w:beforeAutospacing="0" w:after="0" w:afterAutospacing="0" w:line="360" w:lineRule="auto"/>
        <w:ind w:firstLine="480" w:firstLineChars="200"/>
        <w:rPr>
          <w:rFonts w:hint="eastAsia" w:cs="宋体"/>
          <w:color w:val="auto"/>
          <w:lang w:val="en-US" w:eastAsia="zh-CN"/>
        </w:rPr>
      </w:pPr>
      <w:r>
        <w:rPr>
          <w:rFonts w:hint="eastAsia" w:cs="宋体"/>
          <w:color w:val="auto"/>
          <w:lang w:val="en-US" w:eastAsia="zh-CN"/>
        </w:rPr>
        <w:t>承包人应妥善做好已完工程和与工程有关的已购材料、工程设备的保护和移交工</w:t>
      </w:r>
    </w:p>
    <w:p>
      <w:pPr>
        <w:pStyle w:val="26"/>
        <w:numPr>
          <w:ilvl w:val="0"/>
          <w:numId w:val="0"/>
        </w:numPr>
        <w:spacing w:before="0" w:beforeAutospacing="0" w:after="0" w:afterAutospacing="0" w:line="360" w:lineRule="auto"/>
        <w:rPr>
          <w:rFonts w:hint="eastAsia" w:cs="宋体"/>
          <w:color w:val="auto"/>
          <w:lang w:val="en-US" w:eastAsia="zh-CN"/>
        </w:rPr>
      </w:pPr>
      <w:r>
        <w:rPr>
          <w:rFonts w:hint="eastAsia" w:cs="宋体"/>
          <w:color w:val="auto"/>
          <w:lang w:val="en-US" w:eastAsia="zh-CN"/>
        </w:rPr>
        <w:t>作，并将施工设备和人员撤出施工现场，发包人应为承包人撤出提供必要条件。</w:t>
      </w:r>
    </w:p>
    <w:p>
      <w:pPr>
        <w:pStyle w:val="26"/>
        <w:numPr>
          <w:ilvl w:val="0"/>
          <w:numId w:val="0"/>
        </w:numPr>
        <w:spacing w:before="0" w:beforeAutospacing="0" w:after="0" w:afterAutospacing="0" w:line="360" w:lineRule="auto"/>
        <w:ind w:firstLine="482" w:firstLineChars="200"/>
        <w:rPr>
          <w:rFonts w:hint="eastAsia" w:cs="宋体"/>
          <w:b/>
          <w:bCs/>
          <w:color w:val="auto"/>
          <w:lang w:val="en-US" w:eastAsia="zh-CN"/>
        </w:rPr>
      </w:pPr>
      <w:r>
        <w:rPr>
          <w:rFonts w:hint="eastAsia" w:cs="宋体"/>
          <w:b/>
          <w:bCs/>
          <w:color w:val="auto"/>
          <w:lang w:val="en-US" w:eastAsia="zh-CN"/>
        </w:rPr>
        <w:t>16.2承包人违约</w:t>
      </w:r>
    </w:p>
    <w:p>
      <w:pPr>
        <w:pStyle w:val="26"/>
        <w:numPr>
          <w:ilvl w:val="0"/>
          <w:numId w:val="0"/>
        </w:numPr>
        <w:spacing w:before="0" w:beforeAutospacing="0" w:after="0" w:afterAutospacing="0" w:line="360" w:lineRule="auto"/>
        <w:ind w:firstLine="480" w:firstLineChars="200"/>
        <w:rPr>
          <w:rFonts w:hint="eastAsia" w:cs="宋体"/>
          <w:color w:val="auto"/>
          <w:lang w:val="en-US" w:eastAsia="zh-CN"/>
        </w:rPr>
      </w:pPr>
      <w:r>
        <w:rPr>
          <w:rFonts w:hint="eastAsia" w:cs="宋体"/>
          <w:color w:val="auto"/>
          <w:lang w:val="en-US" w:eastAsia="zh-CN"/>
        </w:rPr>
        <w:t>16.2.1承包人违约的情形</w:t>
      </w:r>
    </w:p>
    <w:p>
      <w:pPr>
        <w:pStyle w:val="26"/>
        <w:numPr>
          <w:ilvl w:val="0"/>
          <w:numId w:val="0"/>
        </w:numPr>
        <w:spacing w:before="0" w:beforeAutospacing="0" w:after="0" w:afterAutospacing="0" w:line="360" w:lineRule="auto"/>
        <w:ind w:firstLine="480" w:firstLineChars="200"/>
        <w:rPr>
          <w:rFonts w:hint="eastAsia" w:cs="宋体"/>
          <w:color w:val="auto"/>
          <w:lang w:val="en-US" w:eastAsia="zh-CN"/>
        </w:rPr>
      </w:pPr>
      <w:r>
        <w:rPr>
          <w:rFonts w:hint="eastAsia" w:cs="宋体"/>
          <w:color w:val="auto"/>
          <w:lang w:val="en-US" w:eastAsia="zh-CN"/>
        </w:rPr>
        <w:t>在合同履行过程中发生的下列情形，属于承包人违约：</w:t>
      </w:r>
    </w:p>
    <w:p>
      <w:pPr>
        <w:pStyle w:val="26"/>
        <w:numPr>
          <w:ilvl w:val="0"/>
          <w:numId w:val="0"/>
        </w:numPr>
        <w:spacing w:before="0" w:beforeAutospacing="0" w:after="0" w:afterAutospacing="0" w:line="360" w:lineRule="auto"/>
        <w:ind w:firstLine="480" w:firstLineChars="200"/>
        <w:rPr>
          <w:rFonts w:hint="eastAsia" w:cs="宋体"/>
          <w:color w:val="auto"/>
          <w:lang w:val="en-US" w:eastAsia="zh-CN"/>
        </w:rPr>
      </w:pPr>
      <w:r>
        <w:rPr>
          <w:rFonts w:hint="eastAsia" w:cs="宋体"/>
          <w:color w:val="auto"/>
          <w:lang w:val="en-US" w:eastAsia="zh-CN"/>
        </w:rPr>
        <w:t>(1)承包人违反合同约定进行转包或违法分包的；</w:t>
      </w:r>
    </w:p>
    <w:p>
      <w:pPr>
        <w:pStyle w:val="26"/>
        <w:numPr>
          <w:ilvl w:val="0"/>
          <w:numId w:val="0"/>
        </w:numPr>
        <w:spacing w:before="0" w:beforeAutospacing="0" w:after="0" w:afterAutospacing="0" w:line="360" w:lineRule="auto"/>
        <w:ind w:firstLine="480" w:firstLineChars="200"/>
        <w:rPr>
          <w:rFonts w:hint="eastAsia" w:cs="宋体"/>
          <w:color w:val="auto"/>
          <w:lang w:val="en-US" w:eastAsia="zh-CN"/>
        </w:rPr>
      </w:pPr>
      <w:r>
        <w:rPr>
          <w:rFonts w:hint="eastAsia" w:cs="宋体"/>
          <w:color w:val="auto"/>
          <w:lang w:val="en-US" w:eastAsia="zh-CN"/>
        </w:rPr>
        <w:t>(2)承包人违反合同约定采购和使用不合格的材料和工程设备的；</w:t>
      </w:r>
    </w:p>
    <w:p>
      <w:pPr>
        <w:pStyle w:val="26"/>
        <w:numPr>
          <w:ilvl w:val="0"/>
          <w:numId w:val="0"/>
        </w:numPr>
        <w:spacing w:before="0" w:beforeAutospacing="0" w:after="0" w:afterAutospacing="0" w:line="360" w:lineRule="auto"/>
        <w:ind w:firstLine="480" w:firstLineChars="200"/>
        <w:rPr>
          <w:rFonts w:hint="eastAsia" w:cs="宋体"/>
          <w:color w:val="auto"/>
          <w:lang w:val="en-US" w:eastAsia="zh-CN"/>
        </w:rPr>
      </w:pPr>
      <w:r>
        <w:rPr>
          <w:rFonts w:hint="eastAsia" w:cs="宋体"/>
          <w:color w:val="auto"/>
          <w:lang w:val="en-US" w:eastAsia="zh-CN"/>
        </w:rPr>
        <w:t>(3)因承包人原因导致工程质量不符合合同要求的；</w:t>
      </w:r>
    </w:p>
    <w:p>
      <w:pPr>
        <w:pStyle w:val="26"/>
        <w:numPr>
          <w:ilvl w:val="0"/>
          <w:numId w:val="0"/>
        </w:numPr>
        <w:spacing w:before="0" w:beforeAutospacing="0" w:after="0" w:afterAutospacing="0" w:line="360" w:lineRule="auto"/>
        <w:ind w:firstLine="480" w:firstLineChars="200"/>
        <w:rPr>
          <w:rFonts w:hint="eastAsia" w:cs="宋体"/>
          <w:color w:val="auto"/>
          <w:lang w:val="en-US" w:eastAsia="zh-CN"/>
        </w:rPr>
      </w:pPr>
      <w:r>
        <w:rPr>
          <w:rFonts w:hint="eastAsia" w:cs="宋体"/>
          <w:color w:val="auto"/>
          <w:lang w:val="en-US" w:eastAsia="zh-CN"/>
        </w:rPr>
        <w:t>(4)承包人违反第8.9款〔材料与设备专用要求〕的约定，未经批准，私自将已按照合同约定进入施工现场的材料或设备撤离施工现场的；</w:t>
      </w:r>
    </w:p>
    <w:p>
      <w:pPr>
        <w:pStyle w:val="26"/>
        <w:numPr>
          <w:ilvl w:val="0"/>
          <w:numId w:val="0"/>
        </w:numPr>
        <w:spacing w:before="0" w:beforeAutospacing="0" w:after="0" w:afterAutospacing="0" w:line="360" w:lineRule="auto"/>
        <w:ind w:firstLine="480" w:firstLineChars="200"/>
        <w:rPr>
          <w:rFonts w:hint="eastAsia" w:cs="宋体"/>
          <w:color w:val="auto"/>
          <w:lang w:val="en-US" w:eastAsia="zh-CN"/>
        </w:rPr>
      </w:pPr>
      <w:r>
        <w:rPr>
          <w:rFonts w:hint="eastAsia" w:cs="宋体"/>
          <w:color w:val="auto"/>
          <w:lang w:val="en-US" w:eastAsia="zh-CN"/>
        </w:rPr>
        <w:t>(5)承包人未能按施工进度计划及时完成合同约定的工作，造成工期延误的；</w:t>
      </w:r>
    </w:p>
    <w:p>
      <w:pPr>
        <w:pStyle w:val="26"/>
        <w:numPr>
          <w:ilvl w:val="0"/>
          <w:numId w:val="0"/>
        </w:numPr>
        <w:spacing w:before="0" w:beforeAutospacing="0" w:after="0" w:afterAutospacing="0" w:line="360" w:lineRule="auto"/>
        <w:ind w:firstLine="480" w:firstLineChars="200"/>
        <w:rPr>
          <w:rFonts w:hint="eastAsia" w:cs="宋体"/>
          <w:color w:val="auto"/>
          <w:lang w:val="en-US" w:eastAsia="zh-CN"/>
        </w:rPr>
      </w:pPr>
      <w:r>
        <w:rPr>
          <w:rFonts w:hint="eastAsia" w:cs="宋体"/>
          <w:color w:val="auto"/>
          <w:lang w:val="en-US" w:eastAsia="zh-CN"/>
        </w:rPr>
        <w:t>(6)承包人在缺陷责任期及保修期内，未能在合理期限对工程缺陷进行修复，或拒绝按发包人要求进行修复的；</w:t>
      </w:r>
    </w:p>
    <w:p>
      <w:pPr>
        <w:pStyle w:val="26"/>
        <w:numPr>
          <w:ilvl w:val="0"/>
          <w:numId w:val="0"/>
        </w:numPr>
        <w:spacing w:before="0" w:beforeAutospacing="0" w:after="0" w:afterAutospacing="0" w:line="360" w:lineRule="auto"/>
        <w:ind w:firstLine="480" w:firstLineChars="200"/>
        <w:rPr>
          <w:rFonts w:hint="eastAsia" w:cs="宋体"/>
          <w:color w:val="auto"/>
          <w:lang w:val="en-US" w:eastAsia="zh-CN"/>
        </w:rPr>
      </w:pPr>
      <w:r>
        <w:rPr>
          <w:rFonts w:hint="eastAsia" w:cs="宋体"/>
          <w:color w:val="auto"/>
          <w:lang w:val="en-US" w:eastAsia="zh-CN"/>
        </w:rPr>
        <w:t>(7)承包人明确表示或者以其行为表明不履行合同主要义务的；</w:t>
      </w:r>
    </w:p>
    <w:p>
      <w:pPr>
        <w:pStyle w:val="26"/>
        <w:numPr>
          <w:ilvl w:val="0"/>
          <w:numId w:val="0"/>
        </w:numPr>
        <w:spacing w:before="0" w:beforeAutospacing="0" w:after="0" w:afterAutospacing="0" w:line="360" w:lineRule="auto"/>
        <w:ind w:firstLine="480" w:firstLineChars="200"/>
        <w:rPr>
          <w:rFonts w:hint="eastAsia" w:cs="宋体"/>
          <w:color w:val="auto"/>
          <w:lang w:val="en-US" w:eastAsia="zh-CN"/>
        </w:rPr>
      </w:pPr>
      <w:r>
        <w:rPr>
          <w:rFonts w:hint="eastAsia" w:cs="宋体"/>
          <w:color w:val="auto"/>
          <w:lang w:val="en-US" w:eastAsia="zh-CN"/>
        </w:rPr>
        <w:t>(8)承包人未能按照合同约定履行其他义务的。</w:t>
      </w:r>
    </w:p>
    <w:p>
      <w:pPr>
        <w:pStyle w:val="26"/>
        <w:numPr>
          <w:ilvl w:val="0"/>
          <w:numId w:val="0"/>
        </w:numPr>
        <w:spacing w:before="0" w:beforeAutospacing="0" w:after="0" w:afterAutospacing="0" w:line="360" w:lineRule="auto"/>
        <w:ind w:firstLine="480" w:firstLineChars="200"/>
        <w:rPr>
          <w:rFonts w:hint="eastAsia" w:cs="宋体"/>
          <w:color w:val="auto"/>
          <w:lang w:val="en-US" w:eastAsia="zh-CN"/>
        </w:rPr>
      </w:pPr>
      <w:r>
        <w:rPr>
          <w:rFonts w:hint="eastAsia" w:cs="宋体"/>
          <w:color w:val="auto"/>
          <w:lang w:val="en-US" w:eastAsia="zh-CN"/>
        </w:rPr>
        <w:t>承包人发生除本项第(7)目约定以外的其他违约情况时，监理人可向承包人发出整改通知，要求其在指定的期限内改正。</w:t>
      </w:r>
    </w:p>
    <w:p>
      <w:pPr>
        <w:pStyle w:val="26"/>
        <w:numPr>
          <w:ilvl w:val="0"/>
          <w:numId w:val="0"/>
        </w:numPr>
        <w:spacing w:before="0" w:beforeAutospacing="0" w:after="0" w:afterAutospacing="0" w:line="360" w:lineRule="auto"/>
        <w:ind w:firstLine="480" w:firstLineChars="200"/>
        <w:rPr>
          <w:rFonts w:hint="eastAsia" w:cs="宋体"/>
          <w:color w:val="auto"/>
          <w:lang w:val="en-US" w:eastAsia="zh-CN"/>
        </w:rPr>
      </w:pPr>
      <w:r>
        <w:rPr>
          <w:rFonts w:hint="eastAsia" w:cs="宋体"/>
          <w:color w:val="auto"/>
          <w:lang w:val="en-US" w:eastAsia="zh-CN"/>
        </w:rPr>
        <w:t>16.2.2承包人违约的责任</w:t>
      </w:r>
    </w:p>
    <w:p>
      <w:pPr>
        <w:pStyle w:val="26"/>
        <w:numPr>
          <w:ilvl w:val="0"/>
          <w:numId w:val="0"/>
        </w:numPr>
        <w:spacing w:before="0" w:beforeAutospacing="0" w:after="0" w:afterAutospacing="0" w:line="360" w:lineRule="auto"/>
        <w:ind w:firstLine="480" w:firstLineChars="200"/>
        <w:rPr>
          <w:rFonts w:hint="eastAsia" w:cs="宋体"/>
          <w:color w:val="auto"/>
          <w:lang w:val="en-US" w:eastAsia="zh-CN"/>
        </w:rPr>
      </w:pPr>
      <w:r>
        <w:rPr>
          <w:rFonts w:hint="eastAsia" w:cs="宋体"/>
          <w:color w:val="auto"/>
          <w:lang w:val="en-US" w:eastAsia="zh-CN"/>
        </w:rPr>
        <w:t>承包人应承担因其违约行为而增加的费用和(或)延误的工期。此外，合同当事人可在专用合同条款中另行约定承包人违约责任的承担方式和计算方法。</w:t>
      </w:r>
    </w:p>
    <w:p>
      <w:pPr>
        <w:pStyle w:val="26"/>
        <w:numPr>
          <w:ilvl w:val="0"/>
          <w:numId w:val="0"/>
        </w:numPr>
        <w:spacing w:before="0" w:beforeAutospacing="0" w:after="0" w:afterAutospacing="0" w:line="360" w:lineRule="auto"/>
        <w:ind w:firstLine="480" w:firstLineChars="200"/>
        <w:rPr>
          <w:rFonts w:hint="eastAsia" w:cs="宋体"/>
          <w:color w:val="auto"/>
          <w:lang w:val="en-US" w:eastAsia="zh-CN"/>
        </w:rPr>
      </w:pPr>
      <w:r>
        <w:rPr>
          <w:rFonts w:hint="eastAsia" w:cs="宋体"/>
          <w:color w:val="auto"/>
          <w:lang w:val="en-US" w:eastAsia="zh-CN"/>
        </w:rPr>
        <w:t>16.2.3因承包人违约解除合同</w:t>
      </w:r>
    </w:p>
    <w:p>
      <w:pPr>
        <w:pStyle w:val="26"/>
        <w:numPr>
          <w:ilvl w:val="0"/>
          <w:numId w:val="0"/>
        </w:numPr>
        <w:spacing w:before="0" w:beforeAutospacing="0" w:after="0" w:afterAutospacing="0" w:line="360" w:lineRule="auto"/>
        <w:ind w:firstLine="480" w:firstLineChars="200"/>
        <w:rPr>
          <w:rFonts w:hint="eastAsia" w:cs="宋体"/>
          <w:color w:val="auto"/>
          <w:lang w:val="en-US" w:eastAsia="zh-CN"/>
        </w:rPr>
      </w:pPr>
      <w:r>
        <w:rPr>
          <w:rFonts w:hint="eastAsia" w:cs="宋体"/>
          <w:color w:val="auto"/>
          <w:lang w:val="en-US" w:eastAsia="zh-CN"/>
        </w:rPr>
        <w:t>除专用合同条款另有约定外，出现第16.2.1项〔承包人违约的情形〕第(7)目约定的违约情况时，或监理人发出整改通知后，承包人在指定的合理期限内仍不纠正违约行为并致使合同目的不能实现的，发包人有权解除合同。合同解除后，因继续完成工程的需要，发包人有权使用承包人在施工现场的材料、设备、临时工程、承包人文件和由承包人或以其名义编制的其他文件，合同当事人应在专用合同条款约定相应费用的承担方式。发包人继续使用的行为不免除或减轻承包人应承担的违约责任。</w:t>
      </w:r>
    </w:p>
    <w:p>
      <w:pPr>
        <w:pStyle w:val="26"/>
        <w:numPr>
          <w:ilvl w:val="0"/>
          <w:numId w:val="0"/>
        </w:numPr>
        <w:spacing w:before="0" w:beforeAutospacing="0" w:after="0" w:afterAutospacing="0" w:line="360" w:lineRule="auto"/>
        <w:ind w:firstLine="480" w:firstLineChars="200"/>
        <w:rPr>
          <w:rFonts w:hint="eastAsia" w:cs="宋体"/>
          <w:color w:val="auto"/>
          <w:lang w:val="en-US" w:eastAsia="zh-CN"/>
        </w:rPr>
      </w:pPr>
      <w:r>
        <w:rPr>
          <w:rFonts w:hint="eastAsia" w:cs="宋体"/>
          <w:color w:val="auto"/>
          <w:lang w:val="en-US" w:eastAsia="zh-CN"/>
        </w:rPr>
        <w:t>16.2.4因承包人违约解除合同后的处理</w:t>
      </w:r>
    </w:p>
    <w:p>
      <w:pPr>
        <w:pStyle w:val="26"/>
        <w:numPr>
          <w:ilvl w:val="0"/>
          <w:numId w:val="0"/>
        </w:numPr>
        <w:spacing w:before="0" w:beforeAutospacing="0" w:after="0" w:afterAutospacing="0" w:line="360" w:lineRule="auto"/>
        <w:ind w:firstLine="480" w:firstLineChars="200"/>
        <w:rPr>
          <w:rFonts w:hint="eastAsia" w:cs="宋体"/>
          <w:color w:val="auto"/>
          <w:lang w:val="en-US" w:eastAsia="zh-CN"/>
        </w:rPr>
      </w:pPr>
      <w:r>
        <w:rPr>
          <w:rFonts w:hint="eastAsia" w:cs="宋体"/>
          <w:color w:val="auto"/>
          <w:lang w:val="en-US" w:eastAsia="zh-CN"/>
        </w:rPr>
        <w:t>因承包人原因导致合同解除的，则合同当事人应在合同解除后28天内完成估价、付款和清算，并按以下约定执行：</w:t>
      </w:r>
    </w:p>
    <w:p>
      <w:pPr>
        <w:pStyle w:val="26"/>
        <w:numPr>
          <w:ilvl w:val="0"/>
          <w:numId w:val="0"/>
        </w:numPr>
        <w:spacing w:before="0" w:beforeAutospacing="0" w:after="0" w:afterAutospacing="0" w:line="360" w:lineRule="auto"/>
        <w:ind w:firstLine="480" w:firstLineChars="200"/>
        <w:rPr>
          <w:rFonts w:hint="eastAsia" w:cs="宋体"/>
          <w:color w:val="auto"/>
          <w:lang w:val="en-US" w:eastAsia="zh-CN"/>
        </w:rPr>
      </w:pPr>
      <w:r>
        <w:rPr>
          <w:rFonts w:hint="eastAsia" w:cs="宋体"/>
          <w:color w:val="auto"/>
          <w:lang w:val="en-US" w:eastAsia="zh-CN"/>
        </w:rPr>
        <w:t>(1)合同解除后，按第4.4款〔商定或确定〕商定或确定承包人实际完成工作对应的合同价款，以及承包人已提供的材料、工程设备、施工设备和临时工程等的价值；</w:t>
      </w:r>
    </w:p>
    <w:p>
      <w:pPr>
        <w:pStyle w:val="26"/>
        <w:numPr>
          <w:ilvl w:val="0"/>
          <w:numId w:val="0"/>
        </w:numPr>
        <w:spacing w:before="0" w:beforeAutospacing="0" w:after="0" w:afterAutospacing="0" w:line="360" w:lineRule="auto"/>
        <w:ind w:firstLine="480" w:firstLineChars="200"/>
        <w:rPr>
          <w:rFonts w:hint="eastAsia" w:cs="宋体"/>
          <w:color w:val="auto"/>
          <w:lang w:val="en-US" w:eastAsia="zh-CN"/>
        </w:rPr>
      </w:pPr>
      <w:r>
        <w:rPr>
          <w:rFonts w:hint="eastAsia" w:cs="宋体"/>
          <w:color w:val="auto"/>
          <w:lang w:val="en-US" w:eastAsia="zh-CN"/>
        </w:rPr>
        <w:t>(2)合同解除后，承包人应支付的违约金；</w:t>
      </w:r>
    </w:p>
    <w:p>
      <w:pPr>
        <w:pStyle w:val="26"/>
        <w:numPr>
          <w:ilvl w:val="0"/>
          <w:numId w:val="0"/>
        </w:numPr>
        <w:spacing w:before="0" w:beforeAutospacing="0" w:after="0" w:afterAutospacing="0" w:line="360" w:lineRule="auto"/>
        <w:ind w:firstLine="480" w:firstLineChars="200"/>
        <w:rPr>
          <w:rFonts w:hint="eastAsia" w:cs="宋体"/>
          <w:color w:val="auto"/>
          <w:lang w:val="en-US" w:eastAsia="zh-CN"/>
        </w:rPr>
      </w:pPr>
      <w:r>
        <w:rPr>
          <w:rFonts w:hint="eastAsia" w:cs="宋体"/>
          <w:color w:val="auto"/>
          <w:lang w:val="en-US" w:eastAsia="zh-CN"/>
        </w:rPr>
        <w:t>(3)合同解除后，因解除合同给发包人造成的损失；</w:t>
      </w:r>
    </w:p>
    <w:p>
      <w:pPr>
        <w:pStyle w:val="26"/>
        <w:numPr>
          <w:ilvl w:val="0"/>
          <w:numId w:val="0"/>
        </w:numPr>
        <w:spacing w:before="0" w:beforeAutospacing="0" w:after="0" w:afterAutospacing="0" w:line="360" w:lineRule="auto"/>
        <w:ind w:firstLine="480" w:firstLineChars="200"/>
        <w:rPr>
          <w:rFonts w:hint="eastAsia" w:cs="宋体"/>
          <w:color w:val="auto"/>
          <w:lang w:val="en-US" w:eastAsia="zh-CN"/>
        </w:rPr>
      </w:pPr>
      <w:r>
        <w:rPr>
          <w:rFonts w:hint="eastAsia" w:cs="宋体"/>
          <w:color w:val="auto"/>
          <w:lang w:val="en-US" w:eastAsia="zh-CN"/>
        </w:rPr>
        <w:t>(4)合同解除后，承包人应按照发包人要求和监理人的指示完成现场的清理和撤离；</w:t>
      </w:r>
    </w:p>
    <w:p>
      <w:pPr>
        <w:pStyle w:val="26"/>
        <w:numPr>
          <w:ilvl w:val="0"/>
          <w:numId w:val="0"/>
        </w:numPr>
        <w:spacing w:before="0" w:beforeAutospacing="0" w:after="0" w:afterAutospacing="0" w:line="360" w:lineRule="auto"/>
        <w:ind w:firstLine="480" w:firstLineChars="200"/>
        <w:rPr>
          <w:rFonts w:hint="eastAsia" w:cs="宋体"/>
          <w:color w:val="auto"/>
          <w:lang w:val="en-US" w:eastAsia="zh-CN"/>
        </w:rPr>
      </w:pPr>
      <w:r>
        <w:rPr>
          <w:rFonts w:hint="eastAsia" w:cs="宋体"/>
          <w:color w:val="auto"/>
          <w:lang w:val="en-US" w:eastAsia="zh-CN"/>
        </w:rPr>
        <w:t>(5)发包人和承包人应在合同解除后进行清算，出具最终结清付款证书，结清全</w:t>
      </w:r>
    </w:p>
    <w:p>
      <w:pPr>
        <w:pStyle w:val="26"/>
        <w:numPr>
          <w:ilvl w:val="0"/>
          <w:numId w:val="0"/>
        </w:numPr>
        <w:spacing w:before="0" w:beforeAutospacing="0" w:after="0" w:afterAutospacing="0" w:line="360" w:lineRule="auto"/>
        <w:rPr>
          <w:rFonts w:hint="eastAsia" w:cs="宋体"/>
          <w:color w:val="auto"/>
          <w:lang w:val="en-US" w:eastAsia="zh-CN"/>
        </w:rPr>
      </w:pPr>
      <w:r>
        <w:rPr>
          <w:rFonts w:hint="eastAsia" w:cs="宋体"/>
          <w:color w:val="auto"/>
          <w:lang w:val="en-US" w:eastAsia="zh-CN"/>
        </w:rPr>
        <w:t>部款项。</w:t>
      </w:r>
    </w:p>
    <w:p>
      <w:pPr>
        <w:pStyle w:val="26"/>
        <w:numPr>
          <w:ilvl w:val="0"/>
          <w:numId w:val="0"/>
        </w:numPr>
        <w:spacing w:before="0" w:beforeAutospacing="0" w:after="0" w:afterAutospacing="0" w:line="360" w:lineRule="auto"/>
        <w:ind w:firstLine="480" w:firstLineChars="200"/>
        <w:rPr>
          <w:rFonts w:hint="eastAsia" w:cs="宋体"/>
          <w:color w:val="auto"/>
          <w:lang w:val="en-US" w:eastAsia="zh-CN"/>
        </w:rPr>
      </w:pPr>
      <w:r>
        <w:rPr>
          <w:rFonts w:hint="eastAsia" w:cs="宋体"/>
          <w:color w:val="auto"/>
          <w:lang w:val="en-US" w:eastAsia="zh-CN"/>
        </w:rPr>
        <w:t>因承包人违约解除合同的，发包人有权暂停对承包人的付款，查清各项付款和已扣款项。发包人和承包人未能就合同解除后的清算和款项支付达成一致的，按照第20条〔争议解决〕的约定处理。</w:t>
      </w:r>
    </w:p>
    <w:p>
      <w:pPr>
        <w:pStyle w:val="26"/>
        <w:numPr>
          <w:ilvl w:val="0"/>
          <w:numId w:val="0"/>
        </w:numPr>
        <w:spacing w:before="0" w:beforeAutospacing="0" w:after="0" w:afterAutospacing="0" w:line="360" w:lineRule="auto"/>
        <w:ind w:firstLine="480" w:firstLineChars="200"/>
        <w:rPr>
          <w:rFonts w:hint="eastAsia" w:cs="宋体"/>
          <w:color w:val="auto"/>
          <w:lang w:val="en-US" w:eastAsia="zh-CN"/>
        </w:rPr>
      </w:pPr>
      <w:r>
        <w:rPr>
          <w:rFonts w:hint="eastAsia" w:cs="宋体"/>
          <w:color w:val="auto"/>
          <w:lang w:val="en-US" w:eastAsia="zh-CN"/>
        </w:rPr>
        <w:t>16.2.5采购合同权益转让</w:t>
      </w:r>
    </w:p>
    <w:p>
      <w:pPr>
        <w:pStyle w:val="26"/>
        <w:numPr>
          <w:ilvl w:val="0"/>
          <w:numId w:val="0"/>
        </w:numPr>
        <w:spacing w:before="0" w:beforeAutospacing="0" w:after="0" w:afterAutospacing="0" w:line="360" w:lineRule="auto"/>
        <w:ind w:firstLine="480" w:firstLineChars="200"/>
        <w:rPr>
          <w:rFonts w:hint="eastAsia" w:cs="宋体"/>
          <w:color w:val="auto"/>
          <w:lang w:val="en-US" w:eastAsia="zh-CN"/>
        </w:rPr>
      </w:pPr>
      <w:r>
        <w:rPr>
          <w:rFonts w:hint="eastAsia" w:cs="宋体"/>
          <w:color w:val="auto"/>
          <w:lang w:val="en-US" w:eastAsia="zh-CN"/>
        </w:rPr>
        <w:t>因承包人违约解除合同的，发包人有权要求承包人将其为实施合同而签订的材料和设备的采购合同的权益转让给发包人，承包人应在收到解除合同通知后14天内，协助发包人与采购合同的投标单位达成相关的转让协议。</w:t>
      </w:r>
    </w:p>
    <w:p>
      <w:pPr>
        <w:pStyle w:val="26"/>
        <w:numPr>
          <w:ilvl w:val="0"/>
          <w:numId w:val="0"/>
        </w:numPr>
        <w:spacing w:before="0" w:beforeAutospacing="0" w:after="0" w:afterAutospacing="0" w:line="360" w:lineRule="auto"/>
        <w:ind w:firstLine="482" w:firstLineChars="200"/>
        <w:rPr>
          <w:rFonts w:hint="eastAsia" w:cs="宋体"/>
          <w:b/>
          <w:bCs/>
          <w:color w:val="auto"/>
          <w:lang w:val="en-US" w:eastAsia="zh-CN"/>
        </w:rPr>
      </w:pPr>
      <w:r>
        <w:rPr>
          <w:rFonts w:hint="eastAsia" w:cs="宋体"/>
          <w:b/>
          <w:bCs/>
          <w:color w:val="auto"/>
          <w:lang w:val="en-US" w:eastAsia="zh-CN"/>
        </w:rPr>
        <w:t>16.3第三人造成的违约</w:t>
      </w:r>
    </w:p>
    <w:p>
      <w:pPr>
        <w:pStyle w:val="26"/>
        <w:numPr>
          <w:ilvl w:val="0"/>
          <w:numId w:val="0"/>
        </w:numPr>
        <w:spacing w:before="0" w:beforeAutospacing="0" w:after="0" w:afterAutospacing="0" w:line="360" w:lineRule="auto"/>
        <w:ind w:firstLine="480" w:firstLineChars="200"/>
        <w:rPr>
          <w:rFonts w:hint="eastAsia" w:cs="宋体"/>
          <w:color w:val="auto"/>
          <w:lang w:val="en-US" w:eastAsia="zh-CN"/>
        </w:rPr>
      </w:pPr>
      <w:r>
        <w:rPr>
          <w:rFonts w:hint="eastAsia" w:cs="宋体"/>
          <w:color w:val="auto"/>
          <w:lang w:val="en-US" w:eastAsia="zh-CN"/>
        </w:rPr>
        <w:t>在履行合同过程中，一方当事人因第三人的原因造成违约的，应当向对方当事人承担违约责任。一方当事人和第三人之间的纠纷，依照法律规定或者按照约定解决。</w:t>
      </w:r>
    </w:p>
    <w:p>
      <w:pPr>
        <w:pStyle w:val="26"/>
        <w:numPr>
          <w:ilvl w:val="0"/>
          <w:numId w:val="0"/>
        </w:numPr>
        <w:spacing w:before="0" w:beforeAutospacing="0" w:after="0" w:afterAutospacing="0" w:line="360" w:lineRule="auto"/>
        <w:ind w:firstLine="482" w:firstLineChars="200"/>
        <w:rPr>
          <w:rFonts w:hint="eastAsia" w:cs="宋体"/>
          <w:b/>
          <w:bCs/>
          <w:color w:val="auto"/>
          <w:lang w:val="en-US" w:eastAsia="zh-CN"/>
        </w:rPr>
      </w:pPr>
      <w:r>
        <w:rPr>
          <w:rFonts w:hint="eastAsia" w:cs="宋体"/>
          <w:b/>
          <w:bCs/>
          <w:color w:val="auto"/>
          <w:lang w:val="en-US" w:eastAsia="zh-CN"/>
        </w:rPr>
        <w:t>17.不可抗力</w:t>
      </w:r>
    </w:p>
    <w:p>
      <w:pPr>
        <w:pStyle w:val="26"/>
        <w:numPr>
          <w:ilvl w:val="0"/>
          <w:numId w:val="0"/>
        </w:numPr>
        <w:spacing w:before="0" w:beforeAutospacing="0" w:after="0" w:afterAutospacing="0" w:line="360" w:lineRule="auto"/>
        <w:ind w:firstLine="482" w:firstLineChars="200"/>
        <w:rPr>
          <w:rFonts w:hint="eastAsia" w:cs="宋体"/>
          <w:b/>
          <w:bCs/>
          <w:color w:val="auto"/>
          <w:lang w:val="en-US" w:eastAsia="zh-CN"/>
        </w:rPr>
      </w:pPr>
      <w:r>
        <w:rPr>
          <w:rFonts w:hint="eastAsia" w:cs="宋体"/>
          <w:b/>
          <w:bCs/>
          <w:color w:val="auto"/>
          <w:lang w:val="en-US" w:eastAsia="zh-CN"/>
        </w:rPr>
        <w:t>17.1不可抗力的确认</w:t>
      </w:r>
    </w:p>
    <w:p>
      <w:pPr>
        <w:pStyle w:val="26"/>
        <w:numPr>
          <w:ilvl w:val="0"/>
          <w:numId w:val="0"/>
        </w:numPr>
        <w:spacing w:before="0" w:beforeAutospacing="0" w:after="0" w:afterAutospacing="0" w:line="360" w:lineRule="auto"/>
        <w:ind w:firstLine="480" w:firstLineChars="200"/>
        <w:rPr>
          <w:rFonts w:hint="eastAsia" w:cs="宋体"/>
          <w:color w:val="auto"/>
          <w:lang w:val="en-US" w:eastAsia="zh-CN"/>
        </w:rPr>
      </w:pPr>
      <w:r>
        <w:rPr>
          <w:rFonts w:hint="eastAsia" w:cs="宋体"/>
          <w:color w:val="auto"/>
          <w:lang w:val="en-US" w:eastAsia="zh-CN"/>
        </w:rPr>
        <w:t>不可抗力是指合同当事人在签订合同时不可预见，在合同履行过程中不可避免且不能克服的自然灾害和社会性突发事件，如地震、海啸、瘟疫、骚乱、戒严、暴动、战争和专用合同条款中约定的其他情形。</w:t>
      </w:r>
    </w:p>
    <w:p>
      <w:pPr>
        <w:pStyle w:val="26"/>
        <w:numPr>
          <w:ilvl w:val="0"/>
          <w:numId w:val="0"/>
        </w:numPr>
        <w:spacing w:before="0" w:beforeAutospacing="0" w:after="0" w:afterAutospacing="0" w:line="360" w:lineRule="auto"/>
        <w:ind w:firstLine="480" w:firstLineChars="200"/>
        <w:rPr>
          <w:rFonts w:hint="eastAsia" w:cs="宋体"/>
          <w:color w:val="auto"/>
          <w:lang w:val="en-US" w:eastAsia="zh-CN"/>
        </w:rPr>
      </w:pPr>
      <w:r>
        <w:rPr>
          <w:rFonts w:hint="eastAsia" w:cs="宋体"/>
          <w:color w:val="auto"/>
          <w:lang w:val="en-US" w:eastAsia="zh-CN"/>
        </w:rPr>
        <w:t>不可抗力发生后，发包人和承包人应收集证明不可抗力发生及不可抗力造成损失的证据，并及时认真统计所造成的损失。合同当事人对是否属于不可抗力或其损失的意见不一致的，由监理人按第4.4款〔商定或确定〕的约定处理。发生争议时，按第20条〔争议解决〕的约定处理。</w:t>
      </w:r>
    </w:p>
    <w:p>
      <w:pPr>
        <w:pStyle w:val="26"/>
        <w:numPr>
          <w:ilvl w:val="0"/>
          <w:numId w:val="0"/>
        </w:numPr>
        <w:spacing w:before="0" w:beforeAutospacing="0" w:after="0" w:afterAutospacing="0" w:line="360" w:lineRule="auto"/>
        <w:ind w:firstLine="482" w:firstLineChars="200"/>
        <w:rPr>
          <w:rFonts w:hint="eastAsia" w:cs="宋体"/>
          <w:b/>
          <w:bCs/>
          <w:color w:val="auto"/>
          <w:lang w:val="en-US" w:eastAsia="zh-CN"/>
        </w:rPr>
      </w:pPr>
      <w:r>
        <w:rPr>
          <w:rFonts w:hint="eastAsia" w:cs="宋体"/>
          <w:b/>
          <w:bCs/>
          <w:color w:val="auto"/>
          <w:lang w:val="en-US" w:eastAsia="zh-CN"/>
        </w:rPr>
        <w:t>17.2不可抗力的通知</w:t>
      </w:r>
    </w:p>
    <w:p>
      <w:pPr>
        <w:pStyle w:val="26"/>
        <w:numPr>
          <w:ilvl w:val="0"/>
          <w:numId w:val="0"/>
        </w:numPr>
        <w:spacing w:before="0" w:beforeAutospacing="0" w:after="0" w:afterAutospacing="0" w:line="360" w:lineRule="auto"/>
        <w:ind w:firstLine="480" w:firstLineChars="200"/>
        <w:rPr>
          <w:rFonts w:hint="eastAsia" w:cs="宋体"/>
          <w:color w:val="auto"/>
          <w:lang w:val="en-US" w:eastAsia="zh-CN"/>
        </w:rPr>
      </w:pPr>
      <w:r>
        <w:rPr>
          <w:rFonts w:hint="eastAsia" w:cs="宋体"/>
          <w:color w:val="auto"/>
          <w:lang w:val="en-US" w:eastAsia="zh-CN"/>
        </w:rPr>
        <w:t>合同一方当事人遇到不可抗力事件，使其履行合同义务受到阻碍时，应立即通知合同另一方当事人和监理人，书面说明不可抗力和受阻碍的详细情况，并提供必要的证明。</w:t>
      </w:r>
    </w:p>
    <w:p>
      <w:pPr>
        <w:pStyle w:val="26"/>
        <w:numPr>
          <w:ilvl w:val="0"/>
          <w:numId w:val="0"/>
        </w:numPr>
        <w:spacing w:before="0" w:beforeAutospacing="0" w:after="0" w:afterAutospacing="0" w:line="360" w:lineRule="auto"/>
        <w:ind w:firstLine="480" w:firstLineChars="200"/>
        <w:rPr>
          <w:rFonts w:hint="eastAsia" w:cs="宋体"/>
          <w:color w:val="auto"/>
          <w:lang w:val="en-US" w:eastAsia="zh-CN"/>
        </w:rPr>
      </w:pPr>
      <w:r>
        <w:rPr>
          <w:rFonts w:hint="eastAsia" w:cs="宋体"/>
          <w:color w:val="auto"/>
          <w:lang w:val="en-US" w:eastAsia="zh-CN"/>
        </w:rPr>
        <w:t>不可抗力持续发生的，合同一方当事人应及时向合同另一方当事人和监理人提交中间报告，说明不可抗力和履行合同受阻的情况，并于不可抗力事件结束后28天内提交最终报告及有关资料。</w:t>
      </w:r>
    </w:p>
    <w:p>
      <w:pPr>
        <w:pStyle w:val="26"/>
        <w:numPr>
          <w:ilvl w:val="0"/>
          <w:numId w:val="0"/>
        </w:numPr>
        <w:spacing w:before="0" w:beforeAutospacing="0" w:after="0" w:afterAutospacing="0" w:line="360" w:lineRule="auto"/>
        <w:ind w:firstLine="482" w:firstLineChars="200"/>
        <w:rPr>
          <w:rFonts w:hint="eastAsia" w:cs="宋体"/>
          <w:b/>
          <w:bCs/>
          <w:color w:val="auto"/>
          <w:lang w:val="en-US" w:eastAsia="zh-CN"/>
        </w:rPr>
      </w:pPr>
      <w:r>
        <w:rPr>
          <w:rFonts w:hint="eastAsia" w:cs="宋体"/>
          <w:b/>
          <w:bCs/>
          <w:color w:val="auto"/>
          <w:lang w:val="en-US" w:eastAsia="zh-CN"/>
        </w:rPr>
        <w:t>17.3不可抗力后果的承担</w:t>
      </w:r>
    </w:p>
    <w:p>
      <w:pPr>
        <w:pStyle w:val="26"/>
        <w:numPr>
          <w:ilvl w:val="0"/>
          <w:numId w:val="0"/>
        </w:numPr>
        <w:spacing w:before="0" w:beforeAutospacing="0" w:after="0" w:afterAutospacing="0" w:line="360" w:lineRule="auto"/>
        <w:ind w:firstLine="480" w:firstLineChars="200"/>
        <w:rPr>
          <w:rFonts w:hint="eastAsia" w:cs="宋体"/>
          <w:color w:val="auto"/>
          <w:lang w:val="en-US" w:eastAsia="zh-CN"/>
        </w:rPr>
      </w:pPr>
      <w:r>
        <w:rPr>
          <w:rFonts w:hint="eastAsia" w:cs="宋体"/>
          <w:color w:val="auto"/>
          <w:lang w:val="en-US" w:eastAsia="zh-CN"/>
        </w:rPr>
        <w:t>17.3.1不可抗力引起的后果及造成的损失由合同当事人按照法律规定及合同约定各自承担。不可抗力发生前已完成的工程应当按照合同约定进行计量支付。</w:t>
      </w:r>
    </w:p>
    <w:p>
      <w:pPr>
        <w:pStyle w:val="26"/>
        <w:numPr>
          <w:ilvl w:val="0"/>
          <w:numId w:val="0"/>
        </w:numPr>
        <w:spacing w:before="0" w:beforeAutospacing="0" w:after="0" w:afterAutospacing="0" w:line="360" w:lineRule="auto"/>
        <w:ind w:firstLine="480" w:firstLineChars="200"/>
        <w:rPr>
          <w:rFonts w:hint="eastAsia" w:cs="宋体"/>
          <w:color w:val="auto"/>
          <w:lang w:val="en-US" w:eastAsia="zh-CN"/>
        </w:rPr>
      </w:pPr>
      <w:r>
        <w:rPr>
          <w:rFonts w:hint="eastAsia" w:cs="宋体"/>
          <w:color w:val="auto"/>
          <w:lang w:val="en-US" w:eastAsia="zh-CN"/>
        </w:rPr>
        <w:t>17.3.2不可抗力导致的人员伤亡、财产损失、费用增加和(或)工期延误等后</w:t>
      </w:r>
    </w:p>
    <w:p>
      <w:pPr>
        <w:pStyle w:val="26"/>
        <w:numPr>
          <w:ilvl w:val="0"/>
          <w:numId w:val="0"/>
        </w:numPr>
        <w:spacing w:before="0" w:beforeAutospacing="0" w:after="0" w:afterAutospacing="0" w:line="360" w:lineRule="auto"/>
        <w:rPr>
          <w:rFonts w:hint="eastAsia" w:cs="宋体"/>
          <w:color w:val="auto"/>
          <w:lang w:val="en-US" w:eastAsia="zh-CN"/>
        </w:rPr>
      </w:pPr>
      <w:r>
        <w:rPr>
          <w:rFonts w:hint="eastAsia" w:cs="宋体"/>
          <w:color w:val="auto"/>
          <w:lang w:val="en-US" w:eastAsia="zh-CN"/>
        </w:rPr>
        <w:t>果，由合同当事人按以下原则承担：</w:t>
      </w:r>
    </w:p>
    <w:p>
      <w:pPr>
        <w:pStyle w:val="26"/>
        <w:numPr>
          <w:ilvl w:val="0"/>
          <w:numId w:val="0"/>
        </w:numPr>
        <w:spacing w:before="0" w:beforeAutospacing="0" w:after="0" w:afterAutospacing="0" w:line="360" w:lineRule="auto"/>
        <w:ind w:firstLine="480" w:firstLineChars="200"/>
        <w:rPr>
          <w:rFonts w:hint="eastAsia" w:cs="宋体"/>
          <w:color w:val="auto"/>
          <w:lang w:val="en-US" w:eastAsia="zh-CN"/>
        </w:rPr>
      </w:pPr>
      <w:r>
        <w:rPr>
          <w:rFonts w:hint="eastAsia" w:cs="宋体"/>
          <w:color w:val="auto"/>
          <w:lang w:val="en-US" w:eastAsia="zh-CN"/>
        </w:rPr>
        <w:t>(1)永久工程、已运至施工现场的材料和工程设备的损坏，以及因工程损坏造成的第三人人员伤亡和财产损失由发包人承担；</w:t>
      </w:r>
    </w:p>
    <w:p>
      <w:pPr>
        <w:pStyle w:val="26"/>
        <w:numPr>
          <w:ilvl w:val="0"/>
          <w:numId w:val="0"/>
        </w:numPr>
        <w:spacing w:before="0" w:beforeAutospacing="0" w:after="0" w:afterAutospacing="0" w:line="360" w:lineRule="auto"/>
        <w:ind w:firstLine="480" w:firstLineChars="200"/>
        <w:rPr>
          <w:rFonts w:hint="eastAsia" w:cs="宋体"/>
          <w:color w:val="auto"/>
          <w:lang w:val="en-US" w:eastAsia="zh-CN"/>
        </w:rPr>
      </w:pPr>
      <w:r>
        <w:rPr>
          <w:rFonts w:hint="eastAsia" w:cs="宋体"/>
          <w:color w:val="auto"/>
          <w:lang w:val="en-US" w:eastAsia="zh-CN"/>
        </w:rPr>
        <w:t>(2)承包人施工设备的损坏由承包人承担；</w:t>
      </w:r>
    </w:p>
    <w:p>
      <w:pPr>
        <w:pStyle w:val="26"/>
        <w:numPr>
          <w:ilvl w:val="0"/>
          <w:numId w:val="0"/>
        </w:numPr>
        <w:spacing w:before="0" w:beforeAutospacing="0" w:after="0" w:afterAutospacing="0" w:line="360" w:lineRule="auto"/>
        <w:ind w:firstLine="480" w:firstLineChars="200"/>
        <w:rPr>
          <w:rFonts w:hint="eastAsia" w:cs="宋体"/>
          <w:color w:val="auto"/>
          <w:lang w:val="en-US" w:eastAsia="zh-CN"/>
        </w:rPr>
      </w:pPr>
      <w:r>
        <w:rPr>
          <w:rFonts w:hint="eastAsia" w:cs="宋体"/>
          <w:color w:val="auto"/>
          <w:lang w:val="en-US" w:eastAsia="zh-CN"/>
        </w:rPr>
        <w:t>(3)发包人和承包人承担各自人员伤亡和财产的损失；</w:t>
      </w:r>
    </w:p>
    <w:p>
      <w:pPr>
        <w:pStyle w:val="26"/>
        <w:numPr>
          <w:ilvl w:val="0"/>
          <w:numId w:val="0"/>
        </w:numPr>
        <w:spacing w:before="0" w:beforeAutospacing="0" w:after="0" w:afterAutospacing="0" w:line="360" w:lineRule="auto"/>
        <w:ind w:firstLine="480" w:firstLineChars="200"/>
        <w:rPr>
          <w:rFonts w:hint="eastAsia" w:cs="宋体"/>
          <w:color w:val="auto"/>
          <w:lang w:val="en-US" w:eastAsia="zh-CN"/>
        </w:rPr>
      </w:pPr>
      <w:r>
        <w:rPr>
          <w:rFonts w:hint="eastAsia" w:cs="宋体"/>
          <w:color w:val="auto"/>
          <w:lang w:val="en-US" w:eastAsia="zh-CN"/>
        </w:rPr>
        <w:t>(4)因不可抗力影响承包人履行合同约定的义务，已经引起或将引起工期延误的，应当顺延工期，由此导致承包人停工的费用损失由发包人和承包人合理分担，停工期间必须支付的工人工资由发包人承担；</w:t>
      </w:r>
    </w:p>
    <w:p>
      <w:pPr>
        <w:pStyle w:val="26"/>
        <w:numPr>
          <w:ilvl w:val="0"/>
          <w:numId w:val="0"/>
        </w:numPr>
        <w:spacing w:before="0" w:beforeAutospacing="0" w:after="0" w:afterAutospacing="0" w:line="360" w:lineRule="auto"/>
        <w:ind w:firstLine="480" w:firstLineChars="200"/>
        <w:rPr>
          <w:rFonts w:hint="eastAsia" w:cs="宋体"/>
          <w:color w:val="auto"/>
          <w:lang w:val="en-US" w:eastAsia="zh-CN"/>
        </w:rPr>
      </w:pPr>
      <w:r>
        <w:rPr>
          <w:rFonts w:hint="eastAsia" w:cs="宋体"/>
          <w:color w:val="auto"/>
          <w:lang w:val="en-US" w:eastAsia="zh-CN"/>
        </w:rPr>
        <w:t>(5)因不可抗力引起或将引起工期延误，发包人要求赶工的，由此增加的赶工费用由发包人承担；</w:t>
      </w:r>
    </w:p>
    <w:p>
      <w:pPr>
        <w:pStyle w:val="26"/>
        <w:numPr>
          <w:ilvl w:val="0"/>
          <w:numId w:val="0"/>
        </w:numPr>
        <w:spacing w:before="0" w:beforeAutospacing="0" w:after="0" w:afterAutospacing="0" w:line="360" w:lineRule="auto"/>
        <w:ind w:firstLine="480" w:firstLineChars="200"/>
        <w:rPr>
          <w:rFonts w:hint="eastAsia" w:cs="宋体"/>
          <w:color w:val="auto"/>
          <w:lang w:val="en-US" w:eastAsia="zh-CN"/>
        </w:rPr>
      </w:pPr>
      <w:r>
        <w:rPr>
          <w:rFonts w:hint="eastAsia" w:cs="宋体"/>
          <w:color w:val="auto"/>
          <w:lang w:val="en-US" w:eastAsia="zh-CN"/>
        </w:rPr>
        <w:t>(6)承包人在停工期间按照发包人要求照管、清理和修复工程的费用由发包人承担。</w:t>
      </w:r>
    </w:p>
    <w:p>
      <w:pPr>
        <w:pStyle w:val="26"/>
        <w:numPr>
          <w:ilvl w:val="0"/>
          <w:numId w:val="0"/>
        </w:numPr>
        <w:spacing w:before="0" w:beforeAutospacing="0" w:after="0" w:afterAutospacing="0" w:line="360" w:lineRule="auto"/>
        <w:ind w:firstLine="480" w:firstLineChars="200"/>
        <w:rPr>
          <w:rFonts w:hint="eastAsia" w:cs="宋体"/>
          <w:color w:val="auto"/>
          <w:lang w:val="en-US" w:eastAsia="zh-CN"/>
        </w:rPr>
      </w:pPr>
      <w:r>
        <w:rPr>
          <w:rFonts w:hint="eastAsia" w:cs="宋体"/>
          <w:color w:val="auto"/>
          <w:lang w:val="en-US" w:eastAsia="zh-CN"/>
        </w:rPr>
        <w:t>不可抗力发生后，合同当事人均应采取措施尽量避免和减少损失的扩大，任何一方当事人没有采取有效措施导致损失扩大的，应对扩大的损失承担责任。</w:t>
      </w:r>
    </w:p>
    <w:p>
      <w:pPr>
        <w:pStyle w:val="26"/>
        <w:numPr>
          <w:ilvl w:val="0"/>
          <w:numId w:val="0"/>
        </w:numPr>
        <w:spacing w:before="0" w:beforeAutospacing="0" w:after="0" w:afterAutospacing="0" w:line="360" w:lineRule="auto"/>
        <w:ind w:firstLine="480" w:firstLineChars="200"/>
        <w:rPr>
          <w:rFonts w:hint="eastAsia" w:cs="宋体"/>
          <w:color w:val="auto"/>
          <w:lang w:val="en-US" w:eastAsia="zh-CN"/>
        </w:rPr>
      </w:pPr>
      <w:r>
        <w:rPr>
          <w:rFonts w:hint="eastAsia" w:cs="宋体"/>
          <w:color w:val="auto"/>
          <w:lang w:val="en-US" w:eastAsia="zh-CN"/>
        </w:rPr>
        <w:t>因合同一方迟延履行合同义务，在迟延履行期间遭遇不可抗力的，不免除其违约责任。</w:t>
      </w:r>
    </w:p>
    <w:p>
      <w:pPr>
        <w:pStyle w:val="26"/>
        <w:numPr>
          <w:ilvl w:val="0"/>
          <w:numId w:val="0"/>
        </w:numPr>
        <w:spacing w:before="0" w:beforeAutospacing="0" w:after="0" w:afterAutospacing="0" w:line="360" w:lineRule="auto"/>
        <w:ind w:firstLine="482" w:firstLineChars="200"/>
        <w:rPr>
          <w:rFonts w:hint="eastAsia" w:cs="宋体"/>
          <w:b/>
          <w:bCs/>
          <w:color w:val="auto"/>
          <w:lang w:val="en-US" w:eastAsia="zh-CN"/>
        </w:rPr>
      </w:pPr>
      <w:r>
        <w:rPr>
          <w:rFonts w:hint="eastAsia" w:cs="宋体"/>
          <w:b/>
          <w:bCs/>
          <w:color w:val="auto"/>
          <w:lang w:val="en-US" w:eastAsia="zh-CN"/>
        </w:rPr>
        <w:t>17.4因不可抗力解除合同</w:t>
      </w:r>
    </w:p>
    <w:p>
      <w:pPr>
        <w:pStyle w:val="26"/>
        <w:numPr>
          <w:ilvl w:val="0"/>
          <w:numId w:val="0"/>
        </w:numPr>
        <w:spacing w:before="0" w:beforeAutospacing="0" w:after="0" w:afterAutospacing="0" w:line="360" w:lineRule="auto"/>
        <w:ind w:firstLine="480" w:firstLineChars="200"/>
        <w:rPr>
          <w:rFonts w:hint="eastAsia" w:cs="宋体"/>
          <w:color w:val="auto"/>
          <w:lang w:val="en-US" w:eastAsia="zh-CN"/>
        </w:rPr>
      </w:pPr>
      <w:r>
        <w:rPr>
          <w:rFonts w:hint="eastAsia" w:cs="宋体"/>
          <w:color w:val="auto"/>
          <w:lang w:val="en-US" w:eastAsia="zh-CN"/>
        </w:rPr>
        <w:t>因不可抗力导致合同无法履行连续超过84天或累计超过140天的，发包人和承包人均有权解除合同。合同解除后，由双方当事人按照第4.4款〔商定或确定〕商定或确定发包人应支付的款项，该款项包括：</w:t>
      </w:r>
    </w:p>
    <w:p>
      <w:pPr>
        <w:pStyle w:val="26"/>
        <w:numPr>
          <w:ilvl w:val="0"/>
          <w:numId w:val="0"/>
        </w:numPr>
        <w:spacing w:before="0" w:beforeAutospacing="0" w:after="0" w:afterAutospacing="0" w:line="360" w:lineRule="auto"/>
        <w:ind w:firstLine="480" w:firstLineChars="200"/>
        <w:rPr>
          <w:rFonts w:hint="eastAsia" w:cs="宋体"/>
          <w:color w:val="auto"/>
          <w:lang w:val="en-US" w:eastAsia="zh-CN"/>
        </w:rPr>
      </w:pPr>
      <w:r>
        <w:rPr>
          <w:rFonts w:hint="eastAsia" w:cs="宋体"/>
          <w:color w:val="auto"/>
          <w:lang w:val="en-US" w:eastAsia="zh-CN"/>
        </w:rPr>
        <w:t>(1)合同解除前承包人已完成工作的价款；</w:t>
      </w:r>
    </w:p>
    <w:p>
      <w:pPr>
        <w:pStyle w:val="26"/>
        <w:numPr>
          <w:ilvl w:val="0"/>
          <w:numId w:val="0"/>
        </w:numPr>
        <w:spacing w:before="0" w:beforeAutospacing="0" w:after="0" w:afterAutospacing="0" w:line="360" w:lineRule="auto"/>
        <w:ind w:firstLine="480" w:firstLineChars="200"/>
        <w:rPr>
          <w:rFonts w:hint="eastAsia" w:cs="宋体"/>
          <w:color w:val="auto"/>
          <w:lang w:val="en-US" w:eastAsia="zh-CN"/>
        </w:rPr>
      </w:pPr>
      <w:r>
        <w:rPr>
          <w:rFonts w:hint="eastAsia" w:cs="宋体"/>
          <w:color w:val="auto"/>
          <w:lang w:val="en-US" w:eastAsia="zh-CN"/>
        </w:rPr>
        <w:t>(2)承包人为工程订购的并已交付给承包人，或承包人有责任接受交付的材料、工程设备和其他物品的价款；</w:t>
      </w:r>
    </w:p>
    <w:p>
      <w:pPr>
        <w:pStyle w:val="26"/>
        <w:numPr>
          <w:ilvl w:val="0"/>
          <w:numId w:val="0"/>
        </w:numPr>
        <w:spacing w:before="0" w:beforeAutospacing="0" w:after="0" w:afterAutospacing="0" w:line="360" w:lineRule="auto"/>
        <w:ind w:firstLine="480" w:firstLineChars="200"/>
        <w:rPr>
          <w:rFonts w:hint="eastAsia" w:cs="宋体"/>
          <w:color w:val="auto"/>
          <w:lang w:val="en-US" w:eastAsia="zh-CN"/>
        </w:rPr>
      </w:pPr>
      <w:r>
        <w:rPr>
          <w:rFonts w:hint="eastAsia" w:cs="宋体"/>
          <w:color w:val="auto"/>
          <w:lang w:val="en-US" w:eastAsia="zh-CN"/>
        </w:rPr>
        <w:t>(3)发包人要求承包人退货或解除订货合同而产生的费用，或因不能退货或解除合同而产生的损失；</w:t>
      </w:r>
    </w:p>
    <w:p>
      <w:pPr>
        <w:pStyle w:val="26"/>
        <w:numPr>
          <w:ilvl w:val="0"/>
          <w:numId w:val="0"/>
        </w:numPr>
        <w:spacing w:before="0" w:beforeAutospacing="0" w:after="0" w:afterAutospacing="0" w:line="360" w:lineRule="auto"/>
        <w:ind w:firstLine="480" w:firstLineChars="200"/>
        <w:rPr>
          <w:rFonts w:hint="eastAsia" w:cs="宋体"/>
          <w:color w:val="auto"/>
          <w:lang w:val="en-US" w:eastAsia="zh-CN"/>
        </w:rPr>
      </w:pPr>
      <w:r>
        <w:rPr>
          <w:rFonts w:hint="eastAsia" w:cs="宋体"/>
          <w:color w:val="auto"/>
          <w:lang w:val="en-US" w:eastAsia="zh-CN"/>
        </w:rPr>
        <w:t>(4)承包人撤离施工现场以及遣散承包人人员的费用；</w:t>
      </w:r>
    </w:p>
    <w:p>
      <w:pPr>
        <w:pStyle w:val="26"/>
        <w:numPr>
          <w:ilvl w:val="0"/>
          <w:numId w:val="0"/>
        </w:numPr>
        <w:spacing w:before="0" w:beforeAutospacing="0" w:after="0" w:afterAutospacing="0" w:line="360" w:lineRule="auto"/>
        <w:ind w:firstLine="480" w:firstLineChars="200"/>
        <w:rPr>
          <w:rFonts w:hint="eastAsia" w:cs="宋体"/>
          <w:color w:val="auto"/>
          <w:lang w:val="en-US" w:eastAsia="zh-CN"/>
        </w:rPr>
      </w:pPr>
      <w:r>
        <w:rPr>
          <w:rFonts w:hint="eastAsia" w:cs="宋体"/>
          <w:color w:val="auto"/>
          <w:lang w:val="en-US" w:eastAsia="zh-CN"/>
        </w:rPr>
        <w:t>(5)按照合同约定在合同解除前应支付给承包人的其他款项；</w:t>
      </w:r>
    </w:p>
    <w:p>
      <w:pPr>
        <w:pStyle w:val="26"/>
        <w:numPr>
          <w:ilvl w:val="0"/>
          <w:numId w:val="0"/>
        </w:numPr>
        <w:spacing w:before="0" w:beforeAutospacing="0" w:after="0" w:afterAutospacing="0" w:line="360" w:lineRule="auto"/>
        <w:ind w:firstLine="480" w:firstLineChars="200"/>
        <w:rPr>
          <w:rFonts w:hint="eastAsia" w:cs="宋体"/>
          <w:color w:val="auto"/>
          <w:lang w:val="en-US" w:eastAsia="zh-CN"/>
        </w:rPr>
      </w:pPr>
      <w:r>
        <w:rPr>
          <w:rFonts w:hint="eastAsia" w:cs="宋体"/>
          <w:color w:val="auto"/>
          <w:lang w:val="en-US" w:eastAsia="zh-CN"/>
        </w:rPr>
        <w:t>(6)扣减承包人按照合同约定应向发包人支付的款项；</w:t>
      </w:r>
    </w:p>
    <w:p>
      <w:pPr>
        <w:pStyle w:val="26"/>
        <w:numPr>
          <w:ilvl w:val="0"/>
          <w:numId w:val="0"/>
        </w:numPr>
        <w:spacing w:before="0" w:beforeAutospacing="0" w:after="0" w:afterAutospacing="0" w:line="360" w:lineRule="auto"/>
        <w:ind w:firstLine="480" w:firstLineChars="200"/>
        <w:rPr>
          <w:rFonts w:hint="eastAsia" w:cs="宋体"/>
          <w:color w:val="auto"/>
          <w:lang w:val="en-US" w:eastAsia="zh-CN"/>
        </w:rPr>
      </w:pPr>
      <w:r>
        <w:rPr>
          <w:rFonts w:hint="eastAsia" w:cs="宋体"/>
          <w:color w:val="auto"/>
          <w:lang w:val="en-US" w:eastAsia="zh-CN"/>
        </w:rPr>
        <w:t>(7)双方商定或确定的其他款项。</w:t>
      </w:r>
    </w:p>
    <w:p>
      <w:pPr>
        <w:pStyle w:val="26"/>
        <w:numPr>
          <w:ilvl w:val="0"/>
          <w:numId w:val="0"/>
        </w:numPr>
        <w:spacing w:before="0" w:beforeAutospacing="0" w:after="0" w:afterAutospacing="0" w:line="360" w:lineRule="auto"/>
        <w:ind w:firstLine="480" w:firstLineChars="200"/>
        <w:rPr>
          <w:rFonts w:hint="eastAsia" w:cs="宋体"/>
          <w:color w:val="auto"/>
          <w:lang w:val="en-US" w:eastAsia="zh-CN"/>
        </w:rPr>
      </w:pPr>
      <w:r>
        <w:rPr>
          <w:rFonts w:hint="eastAsia" w:cs="宋体"/>
          <w:color w:val="auto"/>
          <w:lang w:val="en-US" w:eastAsia="zh-CN"/>
        </w:rPr>
        <w:t>除专用合同条款另有约定外，合同解除后，发包人应在商定或确定上述款项后28天内完成上述款项的支付。</w:t>
      </w:r>
    </w:p>
    <w:p>
      <w:pPr>
        <w:pStyle w:val="26"/>
        <w:numPr>
          <w:ilvl w:val="0"/>
          <w:numId w:val="0"/>
        </w:numPr>
        <w:spacing w:before="0" w:beforeAutospacing="0" w:after="0" w:afterAutospacing="0" w:line="360" w:lineRule="auto"/>
        <w:ind w:firstLine="482" w:firstLineChars="200"/>
        <w:rPr>
          <w:rFonts w:hint="eastAsia" w:cs="宋体"/>
          <w:b/>
          <w:bCs/>
          <w:color w:val="auto"/>
          <w:lang w:val="en-US" w:eastAsia="zh-CN"/>
        </w:rPr>
      </w:pPr>
      <w:r>
        <w:rPr>
          <w:rFonts w:hint="eastAsia" w:cs="宋体"/>
          <w:b/>
          <w:bCs/>
          <w:color w:val="auto"/>
          <w:lang w:val="en-US" w:eastAsia="zh-CN"/>
        </w:rPr>
        <w:t>18.保险</w:t>
      </w:r>
    </w:p>
    <w:p>
      <w:pPr>
        <w:pStyle w:val="26"/>
        <w:numPr>
          <w:ilvl w:val="0"/>
          <w:numId w:val="0"/>
        </w:numPr>
        <w:spacing w:before="0" w:beforeAutospacing="0" w:after="0" w:afterAutospacing="0" w:line="360" w:lineRule="auto"/>
        <w:ind w:firstLine="482" w:firstLineChars="200"/>
        <w:rPr>
          <w:rFonts w:hint="eastAsia" w:cs="宋体"/>
          <w:b/>
          <w:bCs/>
          <w:color w:val="auto"/>
          <w:lang w:val="en-US" w:eastAsia="zh-CN"/>
        </w:rPr>
      </w:pPr>
      <w:r>
        <w:rPr>
          <w:rFonts w:hint="eastAsia" w:cs="宋体"/>
          <w:b/>
          <w:bCs/>
          <w:color w:val="auto"/>
          <w:lang w:val="en-US" w:eastAsia="zh-CN"/>
        </w:rPr>
        <w:t>18.1工程保险</w:t>
      </w:r>
    </w:p>
    <w:p>
      <w:pPr>
        <w:pStyle w:val="26"/>
        <w:numPr>
          <w:ilvl w:val="0"/>
          <w:numId w:val="0"/>
        </w:numPr>
        <w:spacing w:before="0" w:beforeAutospacing="0" w:after="0" w:afterAutospacing="0" w:line="360" w:lineRule="auto"/>
        <w:ind w:firstLine="480" w:firstLineChars="200"/>
        <w:rPr>
          <w:rFonts w:hint="eastAsia" w:cs="宋体"/>
          <w:color w:val="auto"/>
          <w:lang w:val="en-US" w:eastAsia="zh-CN"/>
        </w:rPr>
      </w:pPr>
      <w:r>
        <w:rPr>
          <w:rFonts w:hint="eastAsia" w:cs="宋体"/>
          <w:color w:val="auto"/>
          <w:lang w:val="en-US" w:eastAsia="zh-CN"/>
        </w:rPr>
        <w:t>除专用合同条款另有约定外，发包人应投保建设工程一切险或安装工程一切险；发包人委托承包人投保的，因投保产生的保险费和其他相关费用由发包人承担。</w:t>
      </w:r>
    </w:p>
    <w:p>
      <w:pPr>
        <w:pStyle w:val="26"/>
        <w:numPr>
          <w:ilvl w:val="0"/>
          <w:numId w:val="0"/>
        </w:numPr>
        <w:spacing w:before="0" w:beforeAutospacing="0" w:after="0" w:afterAutospacing="0" w:line="360" w:lineRule="auto"/>
        <w:ind w:firstLine="480" w:firstLineChars="200"/>
        <w:rPr>
          <w:rFonts w:hint="eastAsia" w:cs="宋体"/>
          <w:color w:val="auto"/>
          <w:lang w:val="en-US" w:eastAsia="zh-CN"/>
        </w:rPr>
      </w:pPr>
      <w:r>
        <w:rPr>
          <w:rFonts w:hint="eastAsia" w:cs="宋体"/>
          <w:color w:val="auto"/>
          <w:lang w:val="en-US" w:eastAsia="zh-CN"/>
        </w:rPr>
        <w:t>18.2工伤保险</w:t>
      </w:r>
    </w:p>
    <w:p>
      <w:pPr>
        <w:pStyle w:val="26"/>
        <w:numPr>
          <w:ilvl w:val="0"/>
          <w:numId w:val="0"/>
        </w:numPr>
        <w:spacing w:before="0" w:beforeAutospacing="0" w:after="0" w:afterAutospacing="0" w:line="360" w:lineRule="auto"/>
        <w:ind w:firstLine="480" w:firstLineChars="200"/>
        <w:rPr>
          <w:rFonts w:hint="eastAsia" w:cs="宋体"/>
          <w:color w:val="auto"/>
          <w:lang w:val="en-US" w:eastAsia="zh-CN"/>
        </w:rPr>
      </w:pPr>
      <w:r>
        <w:rPr>
          <w:rFonts w:hint="eastAsia" w:cs="宋体"/>
          <w:color w:val="auto"/>
          <w:lang w:val="en-US" w:eastAsia="zh-CN"/>
        </w:rPr>
        <w:t>18.2.1发包人应依照法律规定参加工伤保险，并为在施工现场的全部员工办理工伤保险，缴纳工伤保险费，并要求监理人及由发包人为履行合同聘请的第三方依法参加工伤保险。</w:t>
      </w:r>
    </w:p>
    <w:p>
      <w:pPr>
        <w:pStyle w:val="26"/>
        <w:numPr>
          <w:ilvl w:val="0"/>
          <w:numId w:val="0"/>
        </w:numPr>
        <w:spacing w:before="0" w:beforeAutospacing="0" w:after="0" w:afterAutospacing="0" w:line="360" w:lineRule="auto"/>
        <w:ind w:firstLine="480" w:firstLineChars="200"/>
        <w:rPr>
          <w:rFonts w:hint="eastAsia" w:cs="宋体"/>
          <w:color w:val="auto"/>
          <w:lang w:val="en-US" w:eastAsia="zh-CN"/>
        </w:rPr>
      </w:pPr>
      <w:r>
        <w:rPr>
          <w:rFonts w:hint="eastAsia" w:cs="宋体"/>
          <w:color w:val="auto"/>
          <w:lang w:val="en-US" w:eastAsia="zh-CN"/>
        </w:rPr>
        <w:t>18.2.2承包人应依照法律规定参加工伤保险，并为其履行合同的全部员工办理工伤保险，缴纳工伤保险费，并要求分包人及由承包人为履行合同聘请的第三方依法参加工伤保险。</w:t>
      </w:r>
    </w:p>
    <w:p>
      <w:pPr>
        <w:pStyle w:val="26"/>
        <w:numPr>
          <w:ilvl w:val="0"/>
          <w:numId w:val="0"/>
        </w:numPr>
        <w:spacing w:before="0" w:beforeAutospacing="0" w:after="0" w:afterAutospacing="0" w:line="360" w:lineRule="auto"/>
        <w:ind w:firstLine="480" w:firstLineChars="200"/>
        <w:rPr>
          <w:rFonts w:hint="eastAsia" w:cs="宋体"/>
          <w:color w:val="auto"/>
          <w:lang w:val="en-US" w:eastAsia="zh-CN"/>
        </w:rPr>
      </w:pPr>
      <w:r>
        <w:rPr>
          <w:rFonts w:hint="eastAsia" w:cs="宋体"/>
          <w:color w:val="auto"/>
          <w:lang w:val="en-US" w:eastAsia="zh-CN"/>
        </w:rPr>
        <w:t>18.3其他保险</w:t>
      </w:r>
    </w:p>
    <w:p>
      <w:pPr>
        <w:pStyle w:val="26"/>
        <w:numPr>
          <w:ilvl w:val="0"/>
          <w:numId w:val="0"/>
        </w:numPr>
        <w:spacing w:before="0" w:beforeAutospacing="0" w:after="0" w:afterAutospacing="0" w:line="360" w:lineRule="auto"/>
        <w:ind w:firstLine="480" w:firstLineChars="200"/>
        <w:rPr>
          <w:rFonts w:hint="eastAsia" w:cs="宋体"/>
          <w:color w:val="auto"/>
          <w:lang w:val="en-US" w:eastAsia="zh-CN"/>
        </w:rPr>
      </w:pPr>
      <w:r>
        <w:rPr>
          <w:rFonts w:hint="eastAsia" w:cs="宋体"/>
          <w:color w:val="auto"/>
          <w:lang w:val="en-US" w:eastAsia="zh-CN"/>
        </w:rPr>
        <w:t>发包人和承包人可以为其施工现场的全部人员办理意外伤害保险并支付保险费，包括其员工及为履行合同聘请的第三方的人员，具体事项由合同当事人在专用合同条款约定。</w:t>
      </w:r>
    </w:p>
    <w:p>
      <w:pPr>
        <w:pStyle w:val="26"/>
        <w:numPr>
          <w:ilvl w:val="0"/>
          <w:numId w:val="0"/>
        </w:numPr>
        <w:spacing w:before="0" w:beforeAutospacing="0" w:after="0" w:afterAutospacing="0" w:line="360" w:lineRule="auto"/>
        <w:ind w:firstLine="480" w:firstLineChars="200"/>
        <w:rPr>
          <w:rFonts w:hint="eastAsia" w:cs="宋体"/>
          <w:color w:val="auto"/>
          <w:lang w:val="en-US" w:eastAsia="zh-CN"/>
        </w:rPr>
      </w:pPr>
      <w:r>
        <w:rPr>
          <w:rFonts w:hint="eastAsia" w:cs="宋体"/>
          <w:color w:val="auto"/>
          <w:lang w:val="en-US" w:eastAsia="zh-CN"/>
        </w:rPr>
        <w:t>除专用合同条款另有约定外，承包人应为其施工设备等办理财产保险。</w:t>
      </w:r>
    </w:p>
    <w:p>
      <w:pPr>
        <w:pStyle w:val="26"/>
        <w:numPr>
          <w:ilvl w:val="0"/>
          <w:numId w:val="0"/>
        </w:numPr>
        <w:spacing w:before="0" w:beforeAutospacing="0" w:after="0" w:afterAutospacing="0" w:line="360" w:lineRule="auto"/>
        <w:ind w:firstLine="482" w:firstLineChars="200"/>
        <w:rPr>
          <w:rFonts w:hint="eastAsia" w:cs="宋体"/>
          <w:b/>
          <w:bCs/>
          <w:color w:val="auto"/>
          <w:lang w:val="en-US" w:eastAsia="zh-CN"/>
        </w:rPr>
      </w:pPr>
      <w:r>
        <w:rPr>
          <w:rFonts w:hint="eastAsia" w:cs="宋体"/>
          <w:b/>
          <w:bCs/>
          <w:color w:val="auto"/>
          <w:lang w:val="en-US" w:eastAsia="zh-CN"/>
        </w:rPr>
        <w:t>18.4持续保险</w:t>
      </w:r>
    </w:p>
    <w:p>
      <w:pPr>
        <w:pStyle w:val="26"/>
        <w:numPr>
          <w:ilvl w:val="0"/>
          <w:numId w:val="0"/>
        </w:numPr>
        <w:spacing w:before="0" w:beforeAutospacing="0" w:after="0" w:afterAutospacing="0" w:line="360" w:lineRule="auto"/>
        <w:ind w:firstLine="480" w:firstLineChars="200"/>
        <w:rPr>
          <w:rFonts w:hint="eastAsia" w:cs="宋体"/>
          <w:color w:val="auto"/>
          <w:lang w:val="en-US" w:eastAsia="zh-CN"/>
        </w:rPr>
      </w:pPr>
      <w:r>
        <w:rPr>
          <w:rFonts w:hint="eastAsia" w:cs="宋体"/>
          <w:color w:val="auto"/>
          <w:lang w:val="en-US" w:eastAsia="zh-CN"/>
        </w:rPr>
        <w:t>合同当事人应与保险人保持联系，使保险人能够随时了解工程实施中的变动，并确保按保险合同条款要求持续保险。</w:t>
      </w:r>
    </w:p>
    <w:p>
      <w:pPr>
        <w:pStyle w:val="26"/>
        <w:numPr>
          <w:ilvl w:val="0"/>
          <w:numId w:val="0"/>
        </w:numPr>
        <w:spacing w:before="0" w:beforeAutospacing="0" w:after="0" w:afterAutospacing="0" w:line="360" w:lineRule="auto"/>
        <w:ind w:firstLine="482" w:firstLineChars="200"/>
        <w:rPr>
          <w:rFonts w:hint="eastAsia" w:cs="宋体"/>
          <w:b/>
          <w:bCs/>
          <w:color w:val="auto"/>
          <w:lang w:val="en-US" w:eastAsia="zh-CN"/>
        </w:rPr>
      </w:pPr>
      <w:r>
        <w:rPr>
          <w:rFonts w:hint="eastAsia" w:cs="宋体"/>
          <w:b/>
          <w:bCs/>
          <w:color w:val="auto"/>
          <w:lang w:val="en-US" w:eastAsia="zh-CN"/>
        </w:rPr>
        <w:t>18.5保险凭证</w:t>
      </w:r>
    </w:p>
    <w:p>
      <w:pPr>
        <w:pStyle w:val="26"/>
        <w:numPr>
          <w:ilvl w:val="0"/>
          <w:numId w:val="0"/>
        </w:numPr>
        <w:spacing w:before="0" w:beforeAutospacing="0" w:after="0" w:afterAutospacing="0" w:line="360" w:lineRule="auto"/>
        <w:ind w:firstLine="480" w:firstLineChars="200"/>
        <w:rPr>
          <w:rFonts w:hint="eastAsia" w:cs="宋体"/>
          <w:color w:val="auto"/>
          <w:lang w:val="en-US" w:eastAsia="zh-CN"/>
        </w:rPr>
      </w:pPr>
      <w:r>
        <w:rPr>
          <w:rFonts w:hint="eastAsia" w:cs="宋体"/>
          <w:color w:val="auto"/>
          <w:lang w:val="en-US" w:eastAsia="zh-CN"/>
        </w:rPr>
        <w:t>合同当事人应及时向另一方当事人提交其已投保的各项保险的凭证和保险单复印件。</w:t>
      </w:r>
    </w:p>
    <w:p>
      <w:pPr>
        <w:pStyle w:val="26"/>
        <w:numPr>
          <w:ilvl w:val="0"/>
          <w:numId w:val="0"/>
        </w:numPr>
        <w:spacing w:before="0" w:beforeAutospacing="0" w:after="0" w:afterAutospacing="0" w:line="360" w:lineRule="auto"/>
        <w:ind w:firstLine="482" w:firstLineChars="200"/>
        <w:rPr>
          <w:rFonts w:hint="eastAsia" w:cs="宋体"/>
          <w:b/>
          <w:bCs/>
          <w:color w:val="auto"/>
          <w:lang w:val="en-US" w:eastAsia="zh-CN"/>
        </w:rPr>
      </w:pPr>
      <w:r>
        <w:rPr>
          <w:rFonts w:hint="eastAsia" w:cs="宋体"/>
          <w:b/>
          <w:bCs/>
          <w:color w:val="auto"/>
          <w:lang w:val="en-US" w:eastAsia="zh-CN"/>
        </w:rPr>
        <w:t>18.6未按约定投保的补救</w:t>
      </w:r>
    </w:p>
    <w:p>
      <w:pPr>
        <w:pStyle w:val="26"/>
        <w:numPr>
          <w:ilvl w:val="0"/>
          <w:numId w:val="0"/>
        </w:numPr>
        <w:spacing w:before="0" w:beforeAutospacing="0" w:after="0" w:afterAutospacing="0" w:line="360" w:lineRule="auto"/>
        <w:ind w:firstLine="480" w:firstLineChars="200"/>
        <w:rPr>
          <w:rFonts w:hint="eastAsia" w:cs="宋体"/>
          <w:color w:val="auto"/>
          <w:lang w:val="en-US" w:eastAsia="zh-CN"/>
        </w:rPr>
      </w:pPr>
      <w:r>
        <w:rPr>
          <w:rFonts w:hint="eastAsia" w:cs="宋体"/>
          <w:color w:val="auto"/>
          <w:lang w:val="en-US" w:eastAsia="zh-CN"/>
        </w:rPr>
        <w:t>18.6.1发包人未按合同约定办理保险，或未能使保险持续有效的，则承包人可代为办理，所需费用由发包人承担。发包人未按合同约定办理保险，导致未能得到足额赔偿的，由发包人负责补足。</w:t>
      </w:r>
    </w:p>
    <w:p>
      <w:pPr>
        <w:pStyle w:val="26"/>
        <w:numPr>
          <w:ilvl w:val="0"/>
          <w:numId w:val="0"/>
        </w:numPr>
        <w:spacing w:before="0" w:beforeAutospacing="0" w:after="0" w:afterAutospacing="0" w:line="360" w:lineRule="auto"/>
        <w:ind w:firstLine="480" w:firstLineChars="200"/>
        <w:rPr>
          <w:rFonts w:hint="eastAsia" w:cs="宋体"/>
          <w:color w:val="auto"/>
          <w:lang w:val="en-US" w:eastAsia="zh-CN"/>
        </w:rPr>
      </w:pPr>
      <w:r>
        <w:rPr>
          <w:rFonts w:hint="eastAsia" w:cs="宋体"/>
          <w:color w:val="auto"/>
          <w:lang w:val="en-US" w:eastAsia="zh-CN"/>
        </w:rPr>
        <w:t>18.6.2承包人未按合同约定办理保险，或未能使保险持续有效的，则发包人可代为办理，所需费用由承包人承担。承包人未按合同约定办理保险，导致未能得到足额赔偿的，由承包人负责补足。</w:t>
      </w:r>
    </w:p>
    <w:p>
      <w:pPr>
        <w:pStyle w:val="26"/>
        <w:numPr>
          <w:ilvl w:val="0"/>
          <w:numId w:val="0"/>
        </w:numPr>
        <w:spacing w:before="0" w:beforeAutospacing="0" w:after="0" w:afterAutospacing="0" w:line="360" w:lineRule="auto"/>
        <w:ind w:firstLine="482" w:firstLineChars="200"/>
        <w:rPr>
          <w:rFonts w:hint="eastAsia" w:cs="宋体"/>
          <w:b/>
          <w:bCs/>
          <w:color w:val="auto"/>
          <w:lang w:val="en-US" w:eastAsia="zh-CN"/>
        </w:rPr>
      </w:pPr>
      <w:r>
        <w:rPr>
          <w:rFonts w:hint="eastAsia" w:cs="宋体"/>
          <w:b/>
          <w:bCs/>
          <w:color w:val="auto"/>
          <w:lang w:val="en-US" w:eastAsia="zh-CN"/>
        </w:rPr>
        <w:t>18.7通知义务</w:t>
      </w:r>
    </w:p>
    <w:p>
      <w:pPr>
        <w:pStyle w:val="26"/>
        <w:numPr>
          <w:ilvl w:val="0"/>
          <w:numId w:val="0"/>
        </w:numPr>
        <w:spacing w:before="0" w:beforeAutospacing="0" w:after="0" w:afterAutospacing="0" w:line="360" w:lineRule="auto"/>
        <w:ind w:firstLine="480" w:firstLineChars="200"/>
        <w:rPr>
          <w:rFonts w:hint="eastAsia" w:cs="宋体"/>
          <w:color w:val="auto"/>
          <w:lang w:val="en-US" w:eastAsia="zh-CN"/>
        </w:rPr>
      </w:pPr>
      <w:r>
        <w:rPr>
          <w:rFonts w:hint="eastAsia" w:cs="宋体"/>
          <w:color w:val="auto"/>
          <w:lang w:val="en-US" w:eastAsia="zh-CN"/>
        </w:rPr>
        <w:t>除专用合同条款另有约定外，发包人变更除工伤保险之外的保险合同时，应事先征得承包人同意，并通知监理人；承包人变更除工伤保险之外的保险合同时，应事先征得发包人同意，并通知监理人。</w:t>
      </w:r>
    </w:p>
    <w:p>
      <w:pPr>
        <w:pStyle w:val="26"/>
        <w:numPr>
          <w:ilvl w:val="0"/>
          <w:numId w:val="0"/>
        </w:numPr>
        <w:spacing w:before="0" w:beforeAutospacing="0" w:after="0" w:afterAutospacing="0" w:line="360" w:lineRule="auto"/>
        <w:ind w:firstLine="480" w:firstLineChars="200"/>
        <w:rPr>
          <w:rFonts w:hint="eastAsia" w:cs="宋体"/>
          <w:color w:val="auto"/>
          <w:lang w:val="en-US" w:eastAsia="zh-CN"/>
        </w:rPr>
      </w:pPr>
      <w:r>
        <w:rPr>
          <w:rFonts w:hint="eastAsia" w:cs="宋体"/>
          <w:color w:val="auto"/>
          <w:lang w:val="en-US" w:eastAsia="zh-CN"/>
        </w:rPr>
        <w:t>保险事故发生时，投保人应按照保险合同规定的条件和期限及时向保险人报告。发包人和承包人应当在知道保险事故发生后及时通知对方。</w:t>
      </w:r>
    </w:p>
    <w:p>
      <w:pPr>
        <w:pStyle w:val="26"/>
        <w:numPr>
          <w:ilvl w:val="0"/>
          <w:numId w:val="0"/>
        </w:numPr>
        <w:spacing w:before="0" w:beforeAutospacing="0" w:after="0" w:afterAutospacing="0" w:line="360" w:lineRule="auto"/>
        <w:ind w:firstLine="482" w:firstLineChars="200"/>
        <w:rPr>
          <w:rFonts w:hint="eastAsia" w:cs="宋体"/>
          <w:b/>
          <w:bCs/>
          <w:color w:val="auto"/>
          <w:lang w:val="en-US" w:eastAsia="zh-CN"/>
        </w:rPr>
      </w:pPr>
      <w:r>
        <w:rPr>
          <w:rFonts w:hint="eastAsia" w:cs="宋体"/>
          <w:b/>
          <w:bCs/>
          <w:color w:val="auto"/>
          <w:lang w:val="en-US" w:eastAsia="zh-CN"/>
        </w:rPr>
        <w:t>19.索赔</w:t>
      </w:r>
    </w:p>
    <w:p>
      <w:pPr>
        <w:pStyle w:val="26"/>
        <w:numPr>
          <w:ilvl w:val="0"/>
          <w:numId w:val="0"/>
        </w:numPr>
        <w:spacing w:before="0" w:beforeAutospacing="0" w:after="0" w:afterAutospacing="0" w:line="360" w:lineRule="auto"/>
        <w:ind w:firstLine="482" w:firstLineChars="200"/>
        <w:rPr>
          <w:rFonts w:hint="eastAsia" w:cs="宋体"/>
          <w:b/>
          <w:bCs/>
          <w:color w:val="auto"/>
          <w:lang w:val="en-US" w:eastAsia="zh-CN"/>
        </w:rPr>
      </w:pPr>
      <w:r>
        <w:rPr>
          <w:rFonts w:hint="eastAsia" w:cs="宋体"/>
          <w:b/>
          <w:bCs/>
          <w:color w:val="auto"/>
          <w:lang w:val="en-US" w:eastAsia="zh-CN"/>
        </w:rPr>
        <w:t>19.1承包人的索赔</w:t>
      </w:r>
    </w:p>
    <w:p>
      <w:pPr>
        <w:pStyle w:val="26"/>
        <w:numPr>
          <w:ilvl w:val="0"/>
          <w:numId w:val="0"/>
        </w:numPr>
        <w:spacing w:before="0" w:beforeAutospacing="0" w:after="0" w:afterAutospacing="0" w:line="360" w:lineRule="auto"/>
        <w:ind w:firstLine="480" w:firstLineChars="200"/>
        <w:rPr>
          <w:rFonts w:hint="eastAsia" w:cs="宋体"/>
          <w:color w:val="auto"/>
          <w:lang w:val="en-US" w:eastAsia="zh-CN"/>
        </w:rPr>
      </w:pPr>
      <w:r>
        <w:rPr>
          <w:rFonts w:hint="eastAsia" w:cs="宋体"/>
          <w:color w:val="auto"/>
          <w:lang w:val="en-US" w:eastAsia="zh-CN"/>
        </w:rPr>
        <w:t>根据合同约定，承包人认为有权得到追加付款和(或)延长工期的，应按以下程序向发包人提出索赔：</w:t>
      </w:r>
    </w:p>
    <w:p>
      <w:pPr>
        <w:pStyle w:val="26"/>
        <w:numPr>
          <w:ilvl w:val="0"/>
          <w:numId w:val="0"/>
        </w:numPr>
        <w:spacing w:before="0" w:beforeAutospacing="0" w:after="0" w:afterAutospacing="0" w:line="360" w:lineRule="auto"/>
        <w:ind w:firstLine="480" w:firstLineChars="200"/>
        <w:rPr>
          <w:rFonts w:hint="eastAsia" w:cs="宋体"/>
          <w:color w:val="auto"/>
          <w:lang w:val="en-US" w:eastAsia="zh-CN"/>
        </w:rPr>
      </w:pPr>
      <w:r>
        <w:rPr>
          <w:rFonts w:hint="eastAsia" w:cs="宋体"/>
          <w:color w:val="auto"/>
          <w:lang w:val="en-US" w:eastAsia="zh-CN"/>
        </w:rPr>
        <w:t>(1)承包人应在知道或应当知道索赔事件发生后28天内，向监理人递交索赔意向通知书，并说明发生索赔事件的事由；承包人未在前述28天内发出索赔意向通知书的，丧失要求追加付款和(或)延长工期的权利；</w:t>
      </w:r>
    </w:p>
    <w:p>
      <w:pPr>
        <w:pStyle w:val="26"/>
        <w:numPr>
          <w:ilvl w:val="0"/>
          <w:numId w:val="0"/>
        </w:numPr>
        <w:spacing w:before="0" w:beforeAutospacing="0" w:after="0" w:afterAutospacing="0" w:line="360" w:lineRule="auto"/>
        <w:ind w:firstLine="480" w:firstLineChars="200"/>
        <w:rPr>
          <w:rFonts w:hint="eastAsia" w:cs="宋体"/>
          <w:color w:val="auto"/>
          <w:lang w:val="en-US" w:eastAsia="zh-CN"/>
        </w:rPr>
      </w:pPr>
      <w:r>
        <w:rPr>
          <w:rFonts w:hint="eastAsia" w:cs="宋体"/>
          <w:color w:val="auto"/>
          <w:lang w:val="en-US" w:eastAsia="zh-CN"/>
        </w:rPr>
        <w:t>(2)承包人应在发出索赔意向通知书后28天内，向监理人正式递交索赔报告；索赔报告应详细说明索赔理由以及要求追加的付款金额和(或)延长的工期，并附必要的记录和证明材料；</w:t>
      </w:r>
    </w:p>
    <w:p>
      <w:pPr>
        <w:pStyle w:val="26"/>
        <w:numPr>
          <w:ilvl w:val="0"/>
          <w:numId w:val="0"/>
        </w:numPr>
        <w:spacing w:before="0" w:beforeAutospacing="0" w:after="0" w:afterAutospacing="0" w:line="360" w:lineRule="auto"/>
        <w:ind w:firstLine="480" w:firstLineChars="200"/>
        <w:rPr>
          <w:rFonts w:hint="eastAsia" w:cs="宋体"/>
          <w:color w:val="auto"/>
          <w:lang w:val="en-US" w:eastAsia="zh-CN"/>
        </w:rPr>
      </w:pPr>
      <w:r>
        <w:rPr>
          <w:rFonts w:hint="eastAsia" w:cs="宋体"/>
          <w:color w:val="auto"/>
          <w:lang w:val="en-US" w:eastAsia="zh-CN"/>
        </w:rPr>
        <w:t>(3)索赔事件具有持续影响的，承包人应按合理时间间隔继续递交延续索赔通知，说明持续影响的实际情况和记录，列出累计的追加付款金额和(或)工期延长天数；</w:t>
      </w:r>
    </w:p>
    <w:p>
      <w:pPr>
        <w:pStyle w:val="26"/>
        <w:numPr>
          <w:ilvl w:val="0"/>
          <w:numId w:val="0"/>
        </w:numPr>
        <w:spacing w:before="0" w:beforeAutospacing="0" w:after="0" w:afterAutospacing="0" w:line="360" w:lineRule="auto"/>
        <w:ind w:firstLine="480" w:firstLineChars="200"/>
        <w:rPr>
          <w:rFonts w:hint="eastAsia" w:cs="宋体"/>
          <w:color w:val="auto"/>
          <w:lang w:val="en-US" w:eastAsia="zh-CN"/>
        </w:rPr>
      </w:pPr>
      <w:r>
        <w:rPr>
          <w:rFonts w:hint="eastAsia" w:cs="宋体"/>
          <w:color w:val="auto"/>
          <w:lang w:val="en-US" w:eastAsia="zh-CN"/>
        </w:rPr>
        <w:t>(4)在索赔事件影响结束后28天内，承包人应向监理人递交最终索赔报告，说明最终要求索赔的追加付款金额和(或)延长的工期，并附必要的记录和证明材料。</w:t>
      </w:r>
    </w:p>
    <w:p>
      <w:pPr>
        <w:pStyle w:val="26"/>
        <w:numPr>
          <w:ilvl w:val="0"/>
          <w:numId w:val="0"/>
        </w:numPr>
        <w:spacing w:before="0" w:beforeAutospacing="0" w:after="0" w:afterAutospacing="0" w:line="360" w:lineRule="auto"/>
        <w:ind w:firstLine="482" w:firstLineChars="200"/>
        <w:rPr>
          <w:rFonts w:hint="eastAsia" w:cs="宋体"/>
          <w:b/>
          <w:bCs/>
          <w:color w:val="auto"/>
          <w:lang w:val="en-US" w:eastAsia="zh-CN"/>
        </w:rPr>
      </w:pPr>
      <w:r>
        <w:rPr>
          <w:rFonts w:hint="eastAsia" w:cs="宋体"/>
          <w:b/>
          <w:bCs/>
          <w:color w:val="auto"/>
          <w:lang w:val="en-US" w:eastAsia="zh-CN"/>
        </w:rPr>
        <w:t>19.2对承包人索赔的处理</w:t>
      </w:r>
    </w:p>
    <w:p>
      <w:pPr>
        <w:pStyle w:val="26"/>
        <w:numPr>
          <w:ilvl w:val="0"/>
          <w:numId w:val="0"/>
        </w:numPr>
        <w:spacing w:before="0" w:beforeAutospacing="0" w:after="0" w:afterAutospacing="0" w:line="360" w:lineRule="auto"/>
        <w:ind w:firstLine="480" w:firstLineChars="200"/>
        <w:rPr>
          <w:rFonts w:hint="eastAsia" w:cs="宋体"/>
          <w:color w:val="auto"/>
          <w:lang w:val="en-US" w:eastAsia="zh-CN"/>
        </w:rPr>
      </w:pPr>
      <w:r>
        <w:rPr>
          <w:rFonts w:hint="eastAsia" w:cs="宋体"/>
          <w:color w:val="auto"/>
          <w:lang w:val="en-US" w:eastAsia="zh-CN"/>
        </w:rPr>
        <w:t>对承包人索赔的处理如下：</w:t>
      </w:r>
    </w:p>
    <w:p>
      <w:pPr>
        <w:pStyle w:val="26"/>
        <w:numPr>
          <w:ilvl w:val="0"/>
          <w:numId w:val="0"/>
        </w:numPr>
        <w:spacing w:before="0" w:beforeAutospacing="0" w:after="0" w:afterAutospacing="0" w:line="360" w:lineRule="auto"/>
        <w:ind w:firstLine="480" w:firstLineChars="200"/>
        <w:rPr>
          <w:rFonts w:hint="eastAsia" w:cs="宋体"/>
          <w:color w:val="auto"/>
          <w:lang w:val="en-US" w:eastAsia="zh-CN"/>
        </w:rPr>
      </w:pPr>
      <w:r>
        <w:rPr>
          <w:rFonts w:hint="eastAsia" w:cs="宋体"/>
          <w:color w:val="auto"/>
          <w:lang w:val="en-US" w:eastAsia="zh-CN"/>
        </w:rPr>
        <w:t>(1)监理人应在收到索赔报告后14天内完成审查并报送发包人。监理人对索赔报告存在异议的，有权要求承包人提交全部原始记录副本；</w:t>
      </w:r>
    </w:p>
    <w:p>
      <w:pPr>
        <w:pStyle w:val="26"/>
        <w:numPr>
          <w:ilvl w:val="0"/>
          <w:numId w:val="0"/>
        </w:numPr>
        <w:spacing w:before="0" w:beforeAutospacing="0" w:after="0" w:afterAutospacing="0" w:line="360" w:lineRule="auto"/>
        <w:ind w:firstLine="480" w:firstLineChars="200"/>
        <w:rPr>
          <w:rFonts w:hint="eastAsia" w:cs="宋体"/>
          <w:color w:val="auto"/>
          <w:lang w:val="en-US" w:eastAsia="zh-CN"/>
        </w:rPr>
      </w:pPr>
      <w:r>
        <w:rPr>
          <w:rFonts w:hint="eastAsia" w:cs="宋体"/>
          <w:color w:val="auto"/>
          <w:lang w:val="en-US" w:eastAsia="zh-CN"/>
        </w:rPr>
        <w:t>(2)发包人应在监理人收到索赔报告或有关索赔的进一步证明材料后的28天内，由监理人向承包人出具经发包人签认的索赔处理结果。发包人逾期答复的，则视为认可承包人的索赔要求；</w:t>
      </w:r>
    </w:p>
    <w:p>
      <w:pPr>
        <w:pStyle w:val="26"/>
        <w:numPr>
          <w:ilvl w:val="0"/>
          <w:numId w:val="0"/>
        </w:numPr>
        <w:spacing w:before="0" w:beforeAutospacing="0" w:after="0" w:afterAutospacing="0" w:line="360" w:lineRule="auto"/>
        <w:ind w:firstLine="480" w:firstLineChars="200"/>
        <w:rPr>
          <w:rFonts w:hint="eastAsia" w:cs="宋体"/>
          <w:color w:val="auto"/>
          <w:lang w:val="en-US" w:eastAsia="zh-CN"/>
        </w:rPr>
      </w:pPr>
      <w:r>
        <w:rPr>
          <w:rFonts w:hint="eastAsia" w:cs="宋体"/>
          <w:color w:val="auto"/>
          <w:lang w:val="en-US" w:eastAsia="zh-CN"/>
        </w:rPr>
        <w:t>(3)承包人接受索赔处理结果的，索赔款项在当期进度款中进行支付；承包人不接受索赔处理结果的，按照第20条〔争议解决〕约定处理。</w:t>
      </w:r>
    </w:p>
    <w:p>
      <w:pPr>
        <w:pStyle w:val="26"/>
        <w:numPr>
          <w:ilvl w:val="0"/>
          <w:numId w:val="0"/>
        </w:numPr>
        <w:spacing w:before="0" w:beforeAutospacing="0" w:after="0" w:afterAutospacing="0" w:line="360" w:lineRule="auto"/>
        <w:ind w:firstLine="482" w:firstLineChars="200"/>
        <w:rPr>
          <w:rFonts w:hint="eastAsia" w:cs="宋体"/>
          <w:b/>
          <w:bCs/>
          <w:color w:val="auto"/>
          <w:lang w:val="en-US" w:eastAsia="zh-CN"/>
        </w:rPr>
      </w:pPr>
      <w:r>
        <w:rPr>
          <w:rFonts w:hint="eastAsia" w:cs="宋体"/>
          <w:b/>
          <w:bCs/>
          <w:color w:val="auto"/>
          <w:lang w:val="en-US" w:eastAsia="zh-CN"/>
        </w:rPr>
        <w:t>19.3发包人的索赔</w:t>
      </w:r>
    </w:p>
    <w:p>
      <w:pPr>
        <w:pStyle w:val="26"/>
        <w:numPr>
          <w:ilvl w:val="0"/>
          <w:numId w:val="0"/>
        </w:numPr>
        <w:spacing w:before="0" w:beforeAutospacing="0" w:after="0" w:afterAutospacing="0" w:line="360" w:lineRule="auto"/>
        <w:ind w:firstLine="480" w:firstLineChars="200"/>
        <w:rPr>
          <w:rFonts w:hint="eastAsia" w:cs="宋体"/>
          <w:color w:val="auto"/>
          <w:lang w:val="en-US" w:eastAsia="zh-CN"/>
        </w:rPr>
      </w:pPr>
      <w:r>
        <w:rPr>
          <w:rFonts w:hint="eastAsia" w:cs="宋体"/>
          <w:color w:val="auto"/>
          <w:lang w:val="en-US" w:eastAsia="zh-CN"/>
        </w:rPr>
        <w:t>根据合同约定，发包人认为有权得到赔付金额和(或)延长缺陷责任期的，监理人应向承包人发出通知并附有详细的证明。</w:t>
      </w:r>
    </w:p>
    <w:p>
      <w:pPr>
        <w:pStyle w:val="26"/>
        <w:numPr>
          <w:ilvl w:val="0"/>
          <w:numId w:val="0"/>
        </w:numPr>
        <w:spacing w:before="0" w:beforeAutospacing="0" w:after="0" w:afterAutospacing="0" w:line="360" w:lineRule="auto"/>
        <w:ind w:firstLine="480" w:firstLineChars="200"/>
        <w:rPr>
          <w:rFonts w:hint="eastAsia" w:cs="宋体"/>
          <w:color w:val="auto"/>
          <w:lang w:val="en-US" w:eastAsia="zh-CN"/>
        </w:rPr>
      </w:pPr>
      <w:r>
        <w:rPr>
          <w:rFonts w:hint="eastAsia" w:cs="宋体"/>
          <w:color w:val="auto"/>
          <w:lang w:val="en-US" w:eastAsia="zh-CN"/>
        </w:rPr>
        <w:t>发包人应在知道或应当知道索赔事件发生后28天内通过监理人向承包人提出索赔意向通知书，发包人未在前述28天内发出索赔意向通知书的，丧失要求赔付金额和(或)延长缺陷责任期的权利。发包人应在发出索赔意向通知书后28天内，通过监理人向承包人正式递交索赔报告。</w:t>
      </w:r>
    </w:p>
    <w:p>
      <w:pPr>
        <w:pStyle w:val="26"/>
        <w:numPr>
          <w:ilvl w:val="0"/>
          <w:numId w:val="0"/>
        </w:numPr>
        <w:spacing w:before="0" w:beforeAutospacing="0" w:after="0" w:afterAutospacing="0" w:line="360" w:lineRule="auto"/>
        <w:ind w:firstLine="482" w:firstLineChars="200"/>
        <w:rPr>
          <w:rFonts w:hint="eastAsia" w:cs="宋体"/>
          <w:b/>
          <w:bCs/>
          <w:color w:val="auto"/>
          <w:lang w:val="en-US" w:eastAsia="zh-CN"/>
        </w:rPr>
      </w:pPr>
      <w:r>
        <w:rPr>
          <w:rFonts w:hint="eastAsia" w:cs="宋体"/>
          <w:b/>
          <w:bCs/>
          <w:color w:val="auto"/>
          <w:lang w:val="en-US" w:eastAsia="zh-CN"/>
        </w:rPr>
        <w:t>19.4对发包人索赔的处理</w:t>
      </w:r>
    </w:p>
    <w:p>
      <w:pPr>
        <w:pStyle w:val="26"/>
        <w:numPr>
          <w:ilvl w:val="0"/>
          <w:numId w:val="0"/>
        </w:numPr>
        <w:spacing w:before="0" w:beforeAutospacing="0" w:after="0" w:afterAutospacing="0" w:line="360" w:lineRule="auto"/>
        <w:ind w:firstLine="480" w:firstLineChars="200"/>
        <w:rPr>
          <w:rFonts w:hint="eastAsia" w:cs="宋体"/>
          <w:color w:val="auto"/>
          <w:lang w:val="en-US" w:eastAsia="zh-CN"/>
        </w:rPr>
      </w:pPr>
      <w:r>
        <w:rPr>
          <w:rFonts w:hint="eastAsia" w:cs="宋体"/>
          <w:color w:val="auto"/>
          <w:lang w:val="en-US" w:eastAsia="zh-CN"/>
        </w:rPr>
        <w:t>对发包人索赔的处理如下：</w:t>
      </w:r>
    </w:p>
    <w:p>
      <w:pPr>
        <w:pStyle w:val="26"/>
        <w:numPr>
          <w:ilvl w:val="0"/>
          <w:numId w:val="0"/>
        </w:numPr>
        <w:spacing w:before="0" w:beforeAutospacing="0" w:after="0" w:afterAutospacing="0" w:line="360" w:lineRule="auto"/>
        <w:ind w:firstLine="480" w:firstLineChars="200"/>
        <w:rPr>
          <w:rFonts w:hint="eastAsia" w:cs="宋体"/>
          <w:color w:val="auto"/>
          <w:lang w:val="en-US" w:eastAsia="zh-CN"/>
        </w:rPr>
      </w:pPr>
      <w:r>
        <w:rPr>
          <w:rFonts w:hint="eastAsia" w:cs="宋体"/>
          <w:color w:val="auto"/>
          <w:lang w:val="en-US" w:eastAsia="zh-CN"/>
        </w:rPr>
        <w:t>(1)承包人收到发包人提交的索赔报告后，应及时审查索赔报告的内容、查验发包人证明材料；</w:t>
      </w:r>
    </w:p>
    <w:p>
      <w:pPr>
        <w:pStyle w:val="26"/>
        <w:numPr>
          <w:ilvl w:val="0"/>
          <w:numId w:val="0"/>
        </w:numPr>
        <w:spacing w:before="0" w:beforeAutospacing="0" w:after="0" w:afterAutospacing="0" w:line="360" w:lineRule="auto"/>
        <w:ind w:firstLine="480" w:firstLineChars="200"/>
        <w:rPr>
          <w:rFonts w:hint="eastAsia" w:cs="宋体"/>
          <w:color w:val="auto"/>
          <w:lang w:val="en-US" w:eastAsia="zh-CN"/>
        </w:rPr>
      </w:pPr>
      <w:r>
        <w:rPr>
          <w:rFonts w:hint="eastAsia" w:cs="宋体"/>
          <w:color w:val="auto"/>
          <w:lang w:val="en-US" w:eastAsia="zh-CN"/>
        </w:rPr>
        <w:t>(2)承包人应在收到索赔报告或有关索赔的进一步证明材料后28天内，将索赔处理结果答复发包人。如果承包人未在上述期限内作出答复的，则视为对发包人索赔要求的认可；</w:t>
      </w:r>
    </w:p>
    <w:p>
      <w:pPr>
        <w:pStyle w:val="26"/>
        <w:numPr>
          <w:ilvl w:val="0"/>
          <w:numId w:val="0"/>
        </w:numPr>
        <w:spacing w:before="0" w:beforeAutospacing="0" w:after="0" w:afterAutospacing="0" w:line="360" w:lineRule="auto"/>
        <w:ind w:firstLine="480" w:firstLineChars="200"/>
        <w:rPr>
          <w:rFonts w:hint="eastAsia" w:cs="宋体"/>
          <w:color w:val="auto"/>
          <w:lang w:val="en-US" w:eastAsia="zh-CN"/>
        </w:rPr>
      </w:pPr>
      <w:r>
        <w:rPr>
          <w:rFonts w:hint="eastAsia" w:cs="宋体"/>
          <w:color w:val="auto"/>
          <w:lang w:val="en-US" w:eastAsia="zh-CN"/>
        </w:rPr>
        <w:t>(3)承包人接受索赔处理结果的，发包人可从应支付给承包人的合同价款中扣除赔付的金额或延长缺陷责任期；发包人不接受索赔处理结果的，按第20条〔争议解决〕约定处理。</w:t>
      </w:r>
    </w:p>
    <w:p>
      <w:pPr>
        <w:pStyle w:val="26"/>
        <w:numPr>
          <w:ilvl w:val="0"/>
          <w:numId w:val="0"/>
        </w:numPr>
        <w:spacing w:before="0" w:beforeAutospacing="0" w:after="0" w:afterAutospacing="0" w:line="360" w:lineRule="auto"/>
        <w:ind w:firstLine="482" w:firstLineChars="200"/>
        <w:rPr>
          <w:rFonts w:hint="eastAsia" w:cs="宋体"/>
          <w:b/>
          <w:bCs/>
          <w:color w:val="auto"/>
          <w:lang w:val="en-US" w:eastAsia="zh-CN"/>
        </w:rPr>
      </w:pPr>
      <w:r>
        <w:rPr>
          <w:rFonts w:hint="eastAsia" w:cs="宋体"/>
          <w:b/>
          <w:bCs/>
          <w:color w:val="auto"/>
          <w:lang w:val="en-US" w:eastAsia="zh-CN"/>
        </w:rPr>
        <w:t>19.5提出索赔的期限</w:t>
      </w:r>
    </w:p>
    <w:p>
      <w:pPr>
        <w:pStyle w:val="26"/>
        <w:numPr>
          <w:ilvl w:val="0"/>
          <w:numId w:val="0"/>
        </w:numPr>
        <w:spacing w:before="0" w:beforeAutospacing="0" w:after="0" w:afterAutospacing="0" w:line="360" w:lineRule="auto"/>
        <w:ind w:firstLine="480" w:firstLineChars="200"/>
        <w:rPr>
          <w:rFonts w:hint="eastAsia" w:cs="宋体"/>
          <w:color w:val="auto"/>
          <w:lang w:val="en-US" w:eastAsia="zh-CN"/>
        </w:rPr>
      </w:pPr>
      <w:r>
        <w:rPr>
          <w:rFonts w:hint="eastAsia" w:cs="宋体"/>
          <w:color w:val="auto"/>
          <w:lang w:val="en-US" w:eastAsia="zh-CN"/>
        </w:rPr>
        <w:t>(1)承包人按第14.2款〔竣工结算审核〕约定接收竣工付款证书后，应被视为已无权再提出在工程接收证书颁发前所发生的任何索赔。</w:t>
      </w:r>
    </w:p>
    <w:p>
      <w:pPr>
        <w:pStyle w:val="26"/>
        <w:numPr>
          <w:ilvl w:val="0"/>
          <w:numId w:val="0"/>
        </w:numPr>
        <w:spacing w:before="0" w:beforeAutospacing="0" w:after="0" w:afterAutospacing="0" w:line="360" w:lineRule="auto"/>
        <w:ind w:firstLine="480" w:firstLineChars="200"/>
        <w:rPr>
          <w:rFonts w:hint="eastAsia" w:cs="宋体"/>
          <w:color w:val="auto"/>
          <w:lang w:val="en-US" w:eastAsia="zh-CN"/>
        </w:rPr>
      </w:pPr>
      <w:r>
        <w:rPr>
          <w:rFonts w:hint="eastAsia" w:cs="宋体"/>
          <w:color w:val="auto"/>
          <w:lang w:val="en-US" w:eastAsia="zh-CN"/>
        </w:rPr>
        <w:t>(2)承包人按第14.4款〔最终结清〕提交的最终结清申请单中，只限于提出工程接收证书颁发后发生的索赔。提出索赔的期限自接受最终结清证书时终止。</w:t>
      </w:r>
    </w:p>
    <w:p>
      <w:pPr>
        <w:pStyle w:val="26"/>
        <w:numPr>
          <w:ilvl w:val="0"/>
          <w:numId w:val="0"/>
        </w:numPr>
        <w:spacing w:before="0" w:beforeAutospacing="0" w:after="0" w:afterAutospacing="0" w:line="360" w:lineRule="auto"/>
        <w:ind w:firstLine="482" w:firstLineChars="200"/>
        <w:rPr>
          <w:rFonts w:hint="eastAsia" w:cs="宋体"/>
          <w:b/>
          <w:bCs/>
          <w:color w:val="auto"/>
          <w:lang w:val="en-US" w:eastAsia="zh-CN"/>
        </w:rPr>
      </w:pPr>
      <w:r>
        <w:rPr>
          <w:rFonts w:hint="eastAsia" w:cs="宋体"/>
          <w:b/>
          <w:bCs/>
          <w:color w:val="auto"/>
          <w:lang w:val="en-US" w:eastAsia="zh-CN"/>
        </w:rPr>
        <w:t>20.争议解决</w:t>
      </w:r>
    </w:p>
    <w:p>
      <w:pPr>
        <w:pStyle w:val="26"/>
        <w:numPr>
          <w:ilvl w:val="0"/>
          <w:numId w:val="0"/>
        </w:numPr>
        <w:spacing w:before="0" w:beforeAutospacing="0" w:after="0" w:afterAutospacing="0" w:line="360" w:lineRule="auto"/>
        <w:ind w:firstLine="482" w:firstLineChars="200"/>
        <w:rPr>
          <w:rFonts w:hint="eastAsia" w:cs="宋体"/>
          <w:b/>
          <w:bCs/>
          <w:color w:val="auto"/>
          <w:lang w:val="en-US" w:eastAsia="zh-CN"/>
        </w:rPr>
      </w:pPr>
      <w:r>
        <w:rPr>
          <w:rFonts w:hint="eastAsia" w:cs="宋体"/>
          <w:b/>
          <w:bCs/>
          <w:color w:val="auto"/>
          <w:lang w:val="en-US" w:eastAsia="zh-CN"/>
        </w:rPr>
        <w:t>20.1和解</w:t>
      </w:r>
    </w:p>
    <w:p>
      <w:pPr>
        <w:pStyle w:val="26"/>
        <w:numPr>
          <w:ilvl w:val="0"/>
          <w:numId w:val="0"/>
        </w:numPr>
        <w:spacing w:before="0" w:beforeAutospacing="0" w:after="0" w:afterAutospacing="0" w:line="360" w:lineRule="auto"/>
        <w:ind w:firstLine="480" w:firstLineChars="200"/>
        <w:rPr>
          <w:rFonts w:hint="eastAsia" w:cs="宋体"/>
          <w:color w:val="auto"/>
          <w:lang w:val="en-US" w:eastAsia="zh-CN"/>
        </w:rPr>
      </w:pPr>
      <w:r>
        <w:rPr>
          <w:rFonts w:hint="eastAsia" w:cs="宋体"/>
          <w:color w:val="auto"/>
          <w:lang w:val="en-US" w:eastAsia="zh-CN"/>
        </w:rPr>
        <w:t>合同当事人可以就争议自行和解，自行和解达成协议的经双方签字并盖章后作为合同补充文件，双方均应遵照执行。</w:t>
      </w:r>
    </w:p>
    <w:p>
      <w:pPr>
        <w:pStyle w:val="26"/>
        <w:numPr>
          <w:ilvl w:val="0"/>
          <w:numId w:val="0"/>
        </w:numPr>
        <w:spacing w:before="0" w:beforeAutospacing="0" w:after="0" w:afterAutospacing="0" w:line="360" w:lineRule="auto"/>
        <w:ind w:firstLine="482" w:firstLineChars="200"/>
        <w:rPr>
          <w:rFonts w:hint="eastAsia" w:cs="宋体"/>
          <w:b/>
          <w:bCs/>
          <w:color w:val="auto"/>
          <w:lang w:val="en-US" w:eastAsia="zh-CN"/>
        </w:rPr>
      </w:pPr>
      <w:r>
        <w:rPr>
          <w:rFonts w:hint="eastAsia" w:cs="宋体"/>
          <w:b/>
          <w:bCs/>
          <w:color w:val="auto"/>
          <w:lang w:val="en-US" w:eastAsia="zh-CN"/>
        </w:rPr>
        <w:t>20.2调解</w:t>
      </w:r>
    </w:p>
    <w:p>
      <w:pPr>
        <w:pStyle w:val="26"/>
        <w:numPr>
          <w:ilvl w:val="0"/>
          <w:numId w:val="0"/>
        </w:numPr>
        <w:spacing w:before="0" w:beforeAutospacing="0" w:after="0" w:afterAutospacing="0" w:line="360" w:lineRule="auto"/>
        <w:ind w:firstLine="480" w:firstLineChars="200"/>
        <w:rPr>
          <w:rFonts w:hint="eastAsia" w:cs="宋体"/>
          <w:color w:val="auto"/>
          <w:lang w:val="en-US" w:eastAsia="zh-CN"/>
        </w:rPr>
      </w:pPr>
      <w:r>
        <w:rPr>
          <w:rFonts w:hint="eastAsia" w:cs="宋体"/>
          <w:color w:val="auto"/>
          <w:lang w:val="en-US" w:eastAsia="zh-CN"/>
        </w:rPr>
        <w:t>合同当事人可以就争议请求建设行政主管部门、行业协会或其他第三方进行调解，调解达成协议的，经双方签字并盖章后作为合同补充文件，双方均应遵照执行。</w:t>
      </w:r>
    </w:p>
    <w:p>
      <w:pPr>
        <w:pStyle w:val="26"/>
        <w:numPr>
          <w:ilvl w:val="0"/>
          <w:numId w:val="0"/>
        </w:numPr>
        <w:spacing w:before="0" w:beforeAutospacing="0" w:after="0" w:afterAutospacing="0" w:line="360" w:lineRule="auto"/>
        <w:ind w:firstLine="482" w:firstLineChars="200"/>
        <w:rPr>
          <w:rFonts w:hint="eastAsia" w:cs="宋体"/>
          <w:b/>
          <w:bCs/>
          <w:color w:val="auto"/>
          <w:lang w:val="en-US" w:eastAsia="zh-CN"/>
        </w:rPr>
      </w:pPr>
      <w:r>
        <w:rPr>
          <w:rFonts w:hint="eastAsia" w:cs="宋体"/>
          <w:b/>
          <w:bCs/>
          <w:color w:val="auto"/>
          <w:lang w:val="en-US" w:eastAsia="zh-CN"/>
        </w:rPr>
        <w:t>20.3争议评审</w:t>
      </w:r>
    </w:p>
    <w:p>
      <w:pPr>
        <w:pStyle w:val="26"/>
        <w:numPr>
          <w:ilvl w:val="0"/>
          <w:numId w:val="0"/>
        </w:numPr>
        <w:spacing w:before="0" w:beforeAutospacing="0" w:after="0" w:afterAutospacing="0" w:line="360" w:lineRule="auto"/>
        <w:ind w:firstLine="480" w:firstLineChars="200"/>
        <w:rPr>
          <w:rFonts w:hint="eastAsia" w:cs="宋体"/>
          <w:color w:val="auto"/>
          <w:lang w:val="en-US" w:eastAsia="zh-CN"/>
        </w:rPr>
      </w:pPr>
      <w:r>
        <w:rPr>
          <w:rFonts w:hint="eastAsia" w:cs="宋体"/>
          <w:color w:val="auto"/>
          <w:lang w:val="en-US" w:eastAsia="zh-CN"/>
        </w:rPr>
        <w:t>合同当事人在专用合同条款中约定采取争议评审方式解决争议以及评审规则，并按下列约定执行：</w:t>
      </w:r>
    </w:p>
    <w:p>
      <w:pPr>
        <w:pStyle w:val="26"/>
        <w:numPr>
          <w:ilvl w:val="0"/>
          <w:numId w:val="0"/>
        </w:numPr>
        <w:spacing w:before="0" w:beforeAutospacing="0" w:after="0" w:afterAutospacing="0" w:line="360" w:lineRule="auto"/>
        <w:ind w:firstLine="480" w:firstLineChars="200"/>
        <w:rPr>
          <w:rFonts w:hint="eastAsia" w:cs="宋体"/>
          <w:color w:val="auto"/>
          <w:lang w:val="en-US" w:eastAsia="zh-CN"/>
        </w:rPr>
      </w:pPr>
      <w:r>
        <w:rPr>
          <w:rFonts w:hint="eastAsia" w:cs="宋体"/>
          <w:color w:val="auto"/>
          <w:lang w:val="en-US" w:eastAsia="zh-CN"/>
        </w:rPr>
        <w:t>20.3.1争议评审小组的确定</w:t>
      </w:r>
    </w:p>
    <w:p>
      <w:pPr>
        <w:pStyle w:val="26"/>
        <w:numPr>
          <w:ilvl w:val="0"/>
          <w:numId w:val="0"/>
        </w:numPr>
        <w:spacing w:before="0" w:beforeAutospacing="0" w:after="0" w:afterAutospacing="0" w:line="360" w:lineRule="auto"/>
        <w:ind w:firstLine="480" w:firstLineChars="200"/>
        <w:rPr>
          <w:rFonts w:hint="eastAsia" w:cs="宋体"/>
          <w:color w:val="auto"/>
          <w:lang w:val="en-US" w:eastAsia="zh-CN"/>
        </w:rPr>
      </w:pPr>
      <w:r>
        <w:rPr>
          <w:rFonts w:hint="eastAsia" w:cs="宋体"/>
          <w:color w:val="auto"/>
          <w:lang w:val="en-US" w:eastAsia="zh-CN"/>
        </w:rPr>
        <w:t>合同当事人可以共同选择一名或三名争议评审员，组成争议评审小组。除专用合同条款另有约定外，合同当事人应当自合同签订后28天内，或者争议发生后14天内，选定争议评审员。</w:t>
      </w:r>
    </w:p>
    <w:p>
      <w:pPr>
        <w:pStyle w:val="26"/>
        <w:numPr>
          <w:ilvl w:val="0"/>
          <w:numId w:val="0"/>
        </w:numPr>
        <w:spacing w:before="0" w:beforeAutospacing="0" w:after="0" w:afterAutospacing="0" w:line="360" w:lineRule="auto"/>
        <w:ind w:firstLine="480" w:firstLineChars="200"/>
        <w:rPr>
          <w:rFonts w:hint="eastAsia" w:cs="宋体"/>
          <w:color w:val="auto"/>
          <w:lang w:val="en-US" w:eastAsia="zh-CN"/>
        </w:rPr>
      </w:pPr>
      <w:r>
        <w:rPr>
          <w:rFonts w:hint="eastAsia" w:cs="宋体"/>
          <w:color w:val="auto"/>
          <w:lang w:val="en-US" w:eastAsia="zh-CN"/>
        </w:rPr>
        <w:t>选择一名争议评审员的，由合同当事人共同确定；选择三名争议评审员的，各自选定一名，第三名成员为首席争议评审员，由合同当事人共同确定或由合同当事人委托已选定的争议评审员共同确定，或由专用合同条款约定的评审机构指定第三名首席争议评审员。</w:t>
      </w:r>
    </w:p>
    <w:p>
      <w:pPr>
        <w:pStyle w:val="26"/>
        <w:numPr>
          <w:ilvl w:val="0"/>
          <w:numId w:val="0"/>
        </w:numPr>
        <w:spacing w:before="0" w:beforeAutospacing="0" w:after="0" w:afterAutospacing="0" w:line="360" w:lineRule="auto"/>
        <w:ind w:firstLine="480" w:firstLineChars="200"/>
        <w:rPr>
          <w:rFonts w:hint="eastAsia" w:cs="宋体"/>
          <w:color w:val="auto"/>
          <w:lang w:val="en-US" w:eastAsia="zh-CN"/>
        </w:rPr>
      </w:pPr>
      <w:r>
        <w:rPr>
          <w:rFonts w:hint="eastAsia" w:cs="宋体"/>
          <w:color w:val="auto"/>
          <w:lang w:val="en-US" w:eastAsia="zh-CN"/>
        </w:rPr>
        <w:t>除专用合同条款另有约定外，评审员报酬由发包人和承包人各承担一半。</w:t>
      </w:r>
    </w:p>
    <w:p>
      <w:pPr>
        <w:pStyle w:val="26"/>
        <w:numPr>
          <w:ilvl w:val="0"/>
          <w:numId w:val="0"/>
        </w:numPr>
        <w:spacing w:before="0" w:beforeAutospacing="0" w:after="0" w:afterAutospacing="0" w:line="360" w:lineRule="auto"/>
        <w:ind w:firstLine="480" w:firstLineChars="200"/>
        <w:rPr>
          <w:rFonts w:hint="eastAsia" w:cs="宋体"/>
          <w:color w:val="auto"/>
          <w:lang w:val="en-US" w:eastAsia="zh-CN"/>
        </w:rPr>
      </w:pPr>
      <w:r>
        <w:rPr>
          <w:rFonts w:hint="eastAsia" w:cs="宋体"/>
          <w:color w:val="auto"/>
          <w:lang w:val="en-US" w:eastAsia="zh-CN"/>
        </w:rPr>
        <w:t>20.3.2争议评审小组的决定</w:t>
      </w:r>
    </w:p>
    <w:p>
      <w:pPr>
        <w:pStyle w:val="26"/>
        <w:numPr>
          <w:ilvl w:val="0"/>
          <w:numId w:val="0"/>
        </w:numPr>
        <w:spacing w:before="0" w:beforeAutospacing="0" w:after="0" w:afterAutospacing="0" w:line="360" w:lineRule="auto"/>
        <w:ind w:firstLine="480" w:firstLineChars="200"/>
        <w:rPr>
          <w:rFonts w:hint="eastAsia" w:cs="宋体"/>
          <w:color w:val="auto"/>
          <w:lang w:val="en-US" w:eastAsia="zh-CN"/>
        </w:rPr>
      </w:pPr>
      <w:r>
        <w:rPr>
          <w:rFonts w:hint="eastAsia" w:cs="宋体"/>
          <w:color w:val="auto"/>
          <w:lang w:val="en-US" w:eastAsia="zh-CN"/>
        </w:rPr>
        <w:t>合同当事人可在任何时间将与合同有关的任何争议共同提请争议评审小组进行评审。争议评审小组应秉持客观、公正原则，充分听取合同当事人的意见，依据相关法律、规范、标准、案例经验及商业惯例等，自收到争议评审申请报告后14天内作出书面决定，并说明理由。合同当事人可以在专用合同条款中对本项事项另行约定。</w:t>
      </w:r>
    </w:p>
    <w:p>
      <w:pPr>
        <w:pStyle w:val="26"/>
        <w:numPr>
          <w:ilvl w:val="0"/>
          <w:numId w:val="0"/>
        </w:numPr>
        <w:spacing w:before="0" w:beforeAutospacing="0" w:after="0" w:afterAutospacing="0" w:line="360" w:lineRule="auto"/>
        <w:ind w:firstLine="480" w:firstLineChars="200"/>
        <w:rPr>
          <w:rFonts w:hint="eastAsia" w:cs="宋体"/>
          <w:color w:val="auto"/>
          <w:lang w:val="en-US" w:eastAsia="zh-CN"/>
        </w:rPr>
      </w:pPr>
      <w:r>
        <w:rPr>
          <w:rFonts w:hint="eastAsia" w:cs="宋体"/>
          <w:color w:val="auto"/>
          <w:lang w:val="en-US" w:eastAsia="zh-CN"/>
        </w:rPr>
        <w:t>20.3.3争议评审小组决定的效力</w:t>
      </w:r>
    </w:p>
    <w:p>
      <w:pPr>
        <w:pStyle w:val="26"/>
        <w:numPr>
          <w:ilvl w:val="0"/>
          <w:numId w:val="0"/>
        </w:numPr>
        <w:spacing w:before="0" w:beforeAutospacing="0" w:after="0" w:afterAutospacing="0" w:line="360" w:lineRule="auto"/>
        <w:ind w:firstLine="480" w:firstLineChars="200"/>
        <w:rPr>
          <w:rFonts w:hint="eastAsia" w:cs="宋体"/>
          <w:color w:val="auto"/>
          <w:lang w:val="en-US" w:eastAsia="zh-CN"/>
        </w:rPr>
      </w:pPr>
      <w:r>
        <w:rPr>
          <w:rFonts w:hint="eastAsia" w:cs="宋体"/>
          <w:color w:val="auto"/>
          <w:lang w:val="en-US" w:eastAsia="zh-CN"/>
        </w:rPr>
        <w:t>争议评审小组作出的书面决定经合同当事人签字确认后，对双方具有约束力，双方应遵照执行。</w:t>
      </w:r>
    </w:p>
    <w:p>
      <w:pPr>
        <w:pStyle w:val="26"/>
        <w:numPr>
          <w:ilvl w:val="0"/>
          <w:numId w:val="0"/>
        </w:numPr>
        <w:spacing w:before="0" w:beforeAutospacing="0" w:after="0" w:afterAutospacing="0" w:line="360" w:lineRule="auto"/>
        <w:ind w:firstLine="480" w:firstLineChars="200"/>
        <w:rPr>
          <w:rFonts w:hint="eastAsia" w:cs="宋体"/>
          <w:color w:val="auto"/>
          <w:lang w:val="en-US" w:eastAsia="zh-CN"/>
        </w:rPr>
      </w:pPr>
      <w:r>
        <w:rPr>
          <w:rFonts w:hint="eastAsia" w:cs="宋体"/>
          <w:color w:val="auto"/>
          <w:lang w:val="en-US" w:eastAsia="zh-CN"/>
        </w:rPr>
        <w:t>任何一方当事人不接受争议评审小组决定或不履行争议评审小组决定的，双方可选择采用其他争议解决方式。</w:t>
      </w:r>
    </w:p>
    <w:p>
      <w:pPr>
        <w:pStyle w:val="26"/>
        <w:numPr>
          <w:ilvl w:val="0"/>
          <w:numId w:val="0"/>
        </w:numPr>
        <w:spacing w:before="0" w:beforeAutospacing="0" w:after="0" w:afterAutospacing="0" w:line="360" w:lineRule="auto"/>
        <w:ind w:firstLine="482" w:firstLineChars="200"/>
        <w:rPr>
          <w:rFonts w:hint="eastAsia" w:cs="宋体"/>
          <w:b/>
          <w:bCs/>
          <w:color w:val="auto"/>
          <w:lang w:val="en-US" w:eastAsia="zh-CN"/>
        </w:rPr>
      </w:pPr>
      <w:r>
        <w:rPr>
          <w:rFonts w:hint="eastAsia" w:cs="宋体"/>
          <w:b/>
          <w:bCs/>
          <w:color w:val="auto"/>
          <w:lang w:val="en-US" w:eastAsia="zh-CN"/>
        </w:rPr>
        <w:t>20.4仲裁或诉讼</w:t>
      </w:r>
    </w:p>
    <w:p>
      <w:pPr>
        <w:pStyle w:val="26"/>
        <w:numPr>
          <w:ilvl w:val="0"/>
          <w:numId w:val="0"/>
        </w:numPr>
        <w:spacing w:before="0" w:beforeAutospacing="0" w:after="0" w:afterAutospacing="0" w:line="360" w:lineRule="auto"/>
        <w:ind w:firstLine="480" w:firstLineChars="200"/>
        <w:rPr>
          <w:rFonts w:hint="eastAsia" w:cs="宋体"/>
          <w:color w:val="auto"/>
          <w:lang w:val="en-US" w:eastAsia="zh-CN"/>
        </w:rPr>
      </w:pPr>
      <w:r>
        <w:rPr>
          <w:rFonts w:hint="eastAsia" w:cs="宋体"/>
          <w:color w:val="auto"/>
          <w:lang w:val="en-US" w:eastAsia="zh-CN"/>
        </w:rPr>
        <w:t>因合同及合同有关事项产生的争议，合同当事人可以在专用合同条款中约定以下一种方式解决争议：</w:t>
      </w:r>
    </w:p>
    <w:p>
      <w:pPr>
        <w:pStyle w:val="26"/>
        <w:numPr>
          <w:ilvl w:val="0"/>
          <w:numId w:val="0"/>
        </w:numPr>
        <w:spacing w:before="0" w:beforeAutospacing="0" w:after="0" w:afterAutospacing="0" w:line="360" w:lineRule="auto"/>
        <w:ind w:firstLine="480" w:firstLineChars="200"/>
        <w:rPr>
          <w:rFonts w:hint="eastAsia" w:cs="宋体"/>
          <w:color w:val="auto"/>
          <w:lang w:val="en-US" w:eastAsia="zh-CN"/>
        </w:rPr>
      </w:pPr>
      <w:r>
        <w:rPr>
          <w:rFonts w:hint="eastAsia" w:cs="宋体"/>
          <w:color w:val="auto"/>
          <w:lang w:val="en-US" w:eastAsia="zh-CN"/>
        </w:rPr>
        <w:t>(1)向约定的仲裁委员会申请仲裁；</w:t>
      </w:r>
    </w:p>
    <w:p>
      <w:pPr>
        <w:pStyle w:val="26"/>
        <w:numPr>
          <w:ilvl w:val="0"/>
          <w:numId w:val="0"/>
        </w:numPr>
        <w:spacing w:before="0" w:beforeAutospacing="0" w:after="0" w:afterAutospacing="0" w:line="360" w:lineRule="auto"/>
        <w:ind w:firstLine="480" w:firstLineChars="200"/>
        <w:rPr>
          <w:rFonts w:hint="eastAsia" w:cs="宋体"/>
          <w:color w:val="auto"/>
          <w:lang w:val="en-US" w:eastAsia="zh-CN"/>
        </w:rPr>
      </w:pPr>
      <w:r>
        <w:rPr>
          <w:rFonts w:hint="eastAsia" w:cs="宋体"/>
          <w:color w:val="auto"/>
          <w:lang w:val="en-US" w:eastAsia="zh-CN"/>
        </w:rPr>
        <w:t>(2)向有管辖权的人民法院起诉。</w:t>
      </w:r>
    </w:p>
    <w:p>
      <w:pPr>
        <w:pStyle w:val="26"/>
        <w:numPr>
          <w:ilvl w:val="0"/>
          <w:numId w:val="0"/>
        </w:numPr>
        <w:spacing w:before="0" w:beforeAutospacing="0" w:after="0" w:afterAutospacing="0" w:line="360" w:lineRule="auto"/>
        <w:ind w:firstLine="482" w:firstLineChars="200"/>
        <w:rPr>
          <w:rFonts w:hint="eastAsia" w:cs="宋体"/>
          <w:b/>
          <w:bCs/>
          <w:color w:val="auto"/>
          <w:lang w:val="en-US" w:eastAsia="zh-CN"/>
        </w:rPr>
      </w:pPr>
      <w:r>
        <w:rPr>
          <w:rFonts w:hint="eastAsia" w:cs="宋体"/>
          <w:b/>
          <w:bCs/>
          <w:color w:val="auto"/>
          <w:lang w:val="en-US" w:eastAsia="zh-CN"/>
        </w:rPr>
        <w:t>20.5争议解决条款效力</w:t>
      </w:r>
    </w:p>
    <w:p>
      <w:pPr>
        <w:pStyle w:val="26"/>
        <w:numPr>
          <w:ilvl w:val="0"/>
          <w:numId w:val="0"/>
        </w:numPr>
        <w:spacing w:before="0" w:beforeAutospacing="0" w:after="0" w:afterAutospacing="0" w:line="360" w:lineRule="auto"/>
        <w:ind w:firstLine="480" w:firstLineChars="200"/>
        <w:rPr>
          <w:rFonts w:hint="eastAsia" w:cs="宋体"/>
          <w:color w:val="auto"/>
          <w:lang w:val="en-US" w:eastAsia="zh-CN"/>
        </w:rPr>
        <w:sectPr>
          <w:headerReference r:id="rId12" w:type="default"/>
          <w:footerReference r:id="rId13" w:type="default"/>
          <w:pgSz w:w="11906" w:h="16838"/>
          <w:pgMar w:top="1440" w:right="1242" w:bottom="1440" w:left="1502" w:header="851" w:footer="992" w:gutter="0"/>
          <w:pgNumType w:fmt="numberInDash" w:start="88"/>
          <w:cols w:space="720" w:num="1"/>
          <w:docGrid w:linePitch="312" w:charSpace="0"/>
        </w:sectPr>
      </w:pPr>
      <w:r>
        <w:rPr>
          <w:rFonts w:hint="eastAsia" w:cs="宋体"/>
          <w:color w:val="auto"/>
          <w:lang w:val="en-US" w:eastAsia="zh-CN"/>
        </w:rPr>
        <w:t>合同有关争议解决的条款独立存在，合同的变更、解除、终止、无效或者被撤销均不影响其效力。</w:t>
      </w:r>
    </w:p>
    <w:p>
      <w:pPr>
        <w:pStyle w:val="26"/>
        <w:numPr>
          <w:ilvl w:val="0"/>
          <w:numId w:val="4"/>
        </w:numPr>
        <w:spacing w:before="0" w:beforeAutospacing="0" w:after="0" w:afterAutospacing="0" w:line="480" w:lineRule="auto"/>
        <w:jc w:val="center"/>
        <w:rPr>
          <w:rFonts w:hint="eastAsia" w:cs="宋体"/>
          <w:b/>
          <w:bCs/>
          <w:color w:val="auto"/>
          <w:sz w:val="32"/>
          <w:szCs w:val="32"/>
          <w:lang w:eastAsia="zh-CN"/>
        </w:rPr>
      </w:pPr>
      <w:r>
        <w:rPr>
          <w:rFonts w:hint="eastAsia" w:ascii="宋体" w:hAnsi="宋体" w:eastAsia="宋体" w:cs="宋体"/>
          <w:b/>
          <w:bCs/>
          <w:color w:val="auto"/>
          <w:sz w:val="32"/>
          <w:szCs w:val="32"/>
        </w:rPr>
        <w:t>专用合同条款</w:t>
      </w:r>
      <w:r>
        <w:rPr>
          <w:rFonts w:hint="eastAsia" w:cs="宋体"/>
          <w:b/>
          <w:bCs/>
          <w:color w:val="auto"/>
          <w:sz w:val="32"/>
          <w:szCs w:val="32"/>
          <w:lang w:eastAsia="zh-CN"/>
        </w:rPr>
        <w:t>（略）</w:t>
      </w:r>
    </w:p>
    <w:p>
      <w:pPr>
        <w:pStyle w:val="26"/>
        <w:numPr>
          <w:ilvl w:val="0"/>
          <w:numId w:val="0"/>
        </w:numPr>
        <w:spacing w:before="0" w:beforeAutospacing="0" w:after="0" w:afterAutospacing="0" w:line="360" w:lineRule="auto"/>
        <w:ind w:firstLine="482" w:firstLineChars="200"/>
        <w:rPr>
          <w:rFonts w:hint="eastAsia" w:cs="宋体"/>
          <w:b/>
          <w:bCs/>
          <w:color w:val="auto"/>
          <w:lang w:val="en-US" w:eastAsia="zh-CN"/>
        </w:rPr>
      </w:pPr>
      <w:r>
        <w:rPr>
          <w:rFonts w:hint="eastAsia" w:cs="宋体"/>
          <w:b/>
          <w:bCs/>
          <w:color w:val="auto"/>
          <w:lang w:val="en-US" w:eastAsia="zh-CN"/>
        </w:rPr>
        <w:t>附件</w:t>
      </w:r>
    </w:p>
    <w:p>
      <w:pPr>
        <w:pStyle w:val="26"/>
        <w:numPr>
          <w:ilvl w:val="0"/>
          <w:numId w:val="0"/>
        </w:numPr>
        <w:spacing w:before="0" w:beforeAutospacing="0" w:after="0" w:afterAutospacing="0" w:line="360" w:lineRule="auto"/>
        <w:ind w:firstLine="482" w:firstLineChars="200"/>
        <w:rPr>
          <w:rFonts w:hint="eastAsia" w:cs="宋体"/>
          <w:b/>
          <w:bCs/>
          <w:color w:val="auto"/>
          <w:lang w:val="en-US" w:eastAsia="zh-CN"/>
        </w:rPr>
      </w:pPr>
      <w:r>
        <w:rPr>
          <w:rFonts w:hint="eastAsia" w:cs="宋体"/>
          <w:b/>
          <w:bCs/>
          <w:color w:val="auto"/>
          <w:lang w:val="en-US" w:eastAsia="zh-CN"/>
        </w:rPr>
        <w:t>协议书附件：</w:t>
      </w:r>
    </w:p>
    <w:p>
      <w:pPr>
        <w:pStyle w:val="26"/>
        <w:numPr>
          <w:ilvl w:val="0"/>
          <w:numId w:val="0"/>
        </w:numPr>
        <w:spacing w:before="0" w:beforeAutospacing="0" w:after="0" w:afterAutospacing="0" w:line="360" w:lineRule="auto"/>
        <w:ind w:firstLine="482" w:firstLineChars="200"/>
        <w:rPr>
          <w:rFonts w:hint="eastAsia" w:cs="宋体"/>
          <w:b/>
          <w:bCs/>
          <w:color w:val="auto"/>
          <w:lang w:val="en-US" w:eastAsia="zh-CN"/>
        </w:rPr>
      </w:pPr>
      <w:r>
        <w:rPr>
          <w:rFonts w:hint="eastAsia" w:cs="宋体"/>
          <w:b/>
          <w:bCs/>
          <w:color w:val="auto"/>
          <w:lang w:val="en-US" w:eastAsia="zh-CN"/>
        </w:rPr>
        <w:t>附件1：承包人承揽工程项目一览表</w:t>
      </w:r>
    </w:p>
    <w:p>
      <w:pPr>
        <w:pStyle w:val="26"/>
        <w:numPr>
          <w:ilvl w:val="0"/>
          <w:numId w:val="0"/>
        </w:numPr>
        <w:spacing w:before="0" w:beforeAutospacing="0" w:after="0" w:afterAutospacing="0" w:line="360" w:lineRule="auto"/>
        <w:ind w:firstLine="482" w:firstLineChars="200"/>
        <w:rPr>
          <w:rFonts w:hint="eastAsia" w:cs="宋体"/>
          <w:b/>
          <w:bCs/>
          <w:color w:val="auto"/>
          <w:lang w:val="en-US" w:eastAsia="zh-CN"/>
        </w:rPr>
      </w:pPr>
      <w:r>
        <w:rPr>
          <w:rFonts w:hint="eastAsia" w:cs="宋体"/>
          <w:b/>
          <w:bCs/>
          <w:color w:val="auto"/>
          <w:lang w:val="en-US" w:eastAsia="zh-CN"/>
        </w:rPr>
        <w:t>专用合同条款附件：</w:t>
      </w:r>
    </w:p>
    <w:p>
      <w:pPr>
        <w:pStyle w:val="26"/>
        <w:numPr>
          <w:ilvl w:val="0"/>
          <w:numId w:val="0"/>
        </w:numPr>
        <w:spacing w:before="0" w:beforeAutospacing="0" w:after="0" w:afterAutospacing="0" w:line="360" w:lineRule="auto"/>
        <w:ind w:firstLine="482" w:firstLineChars="200"/>
        <w:rPr>
          <w:rFonts w:hint="eastAsia" w:cs="宋体"/>
          <w:b/>
          <w:bCs/>
          <w:color w:val="auto"/>
          <w:lang w:val="en-US" w:eastAsia="zh-CN"/>
        </w:rPr>
      </w:pPr>
      <w:r>
        <w:rPr>
          <w:rFonts w:hint="eastAsia" w:cs="宋体"/>
          <w:b/>
          <w:bCs/>
          <w:color w:val="auto"/>
          <w:lang w:val="en-US" w:eastAsia="zh-CN"/>
        </w:rPr>
        <w:t>附件2：发包人供应材料设备一览表</w:t>
      </w:r>
    </w:p>
    <w:p>
      <w:pPr>
        <w:pStyle w:val="26"/>
        <w:numPr>
          <w:ilvl w:val="0"/>
          <w:numId w:val="0"/>
        </w:numPr>
        <w:spacing w:before="0" w:beforeAutospacing="0" w:after="0" w:afterAutospacing="0" w:line="360" w:lineRule="auto"/>
        <w:ind w:firstLine="482" w:firstLineChars="200"/>
        <w:rPr>
          <w:rFonts w:hint="eastAsia" w:cs="宋体"/>
          <w:b/>
          <w:bCs/>
          <w:color w:val="auto"/>
          <w:lang w:val="en-US" w:eastAsia="zh-CN"/>
        </w:rPr>
      </w:pPr>
      <w:r>
        <w:rPr>
          <w:rFonts w:hint="eastAsia" w:cs="宋体"/>
          <w:b/>
          <w:bCs/>
          <w:color w:val="auto"/>
          <w:lang w:val="en-US" w:eastAsia="zh-CN"/>
        </w:rPr>
        <w:t>附件3：工程质量保修书</w:t>
      </w:r>
    </w:p>
    <w:p>
      <w:pPr>
        <w:pStyle w:val="26"/>
        <w:numPr>
          <w:ilvl w:val="0"/>
          <w:numId w:val="0"/>
        </w:numPr>
        <w:spacing w:before="0" w:beforeAutospacing="0" w:after="0" w:afterAutospacing="0" w:line="360" w:lineRule="auto"/>
        <w:ind w:firstLine="482" w:firstLineChars="200"/>
        <w:rPr>
          <w:rFonts w:hint="eastAsia" w:cs="宋体"/>
          <w:b/>
          <w:bCs/>
          <w:color w:val="auto"/>
          <w:lang w:val="en-US" w:eastAsia="zh-CN"/>
        </w:rPr>
      </w:pPr>
      <w:r>
        <w:rPr>
          <w:rFonts w:hint="eastAsia" w:cs="宋体"/>
          <w:b/>
          <w:bCs/>
          <w:color w:val="auto"/>
          <w:lang w:val="en-US" w:eastAsia="zh-CN"/>
        </w:rPr>
        <w:t>附件4：主要建设工程文件目录</w:t>
      </w:r>
    </w:p>
    <w:p>
      <w:pPr>
        <w:pStyle w:val="26"/>
        <w:numPr>
          <w:ilvl w:val="0"/>
          <w:numId w:val="0"/>
        </w:numPr>
        <w:spacing w:before="0" w:beforeAutospacing="0" w:after="0" w:afterAutospacing="0" w:line="360" w:lineRule="auto"/>
        <w:ind w:firstLine="482" w:firstLineChars="200"/>
        <w:rPr>
          <w:rFonts w:hint="eastAsia" w:cs="宋体"/>
          <w:b/>
          <w:bCs/>
          <w:color w:val="auto"/>
          <w:lang w:val="en-US" w:eastAsia="zh-CN"/>
        </w:rPr>
      </w:pPr>
      <w:r>
        <w:rPr>
          <w:rFonts w:hint="eastAsia" w:cs="宋体"/>
          <w:b/>
          <w:bCs/>
          <w:color w:val="auto"/>
          <w:lang w:val="en-US" w:eastAsia="zh-CN"/>
        </w:rPr>
        <w:t>附件5：承包人用于本工程施工的机械设备表</w:t>
      </w:r>
    </w:p>
    <w:p>
      <w:pPr>
        <w:pStyle w:val="26"/>
        <w:numPr>
          <w:ilvl w:val="0"/>
          <w:numId w:val="0"/>
        </w:numPr>
        <w:spacing w:before="0" w:beforeAutospacing="0" w:after="0" w:afterAutospacing="0" w:line="360" w:lineRule="auto"/>
        <w:ind w:firstLine="482" w:firstLineChars="200"/>
        <w:rPr>
          <w:rFonts w:hint="eastAsia" w:cs="宋体"/>
          <w:b/>
          <w:bCs/>
          <w:color w:val="auto"/>
          <w:lang w:val="en-US" w:eastAsia="zh-CN"/>
        </w:rPr>
      </w:pPr>
      <w:r>
        <w:rPr>
          <w:rFonts w:hint="eastAsia" w:cs="宋体"/>
          <w:b/>
          <w:bCs/>
          <w:color w:val="auto"/>
          <w:lang w:val="en-US" w:eastAsia="zh-CN"/>
        </w:rPr>
        <w:t>附件6：承包人主要施工管理人员表</w:t>
      </w:r>
    </w:p>
    <w:p>
      <w:pPr>
        <w:pStyle w:val="26"/>
        <w:numPr>
          <w:ilvl w:val="0"/>
          <w:numId w:val="0"/>
        </w:numPr>
        <w:spacing w:before="0" w:beforeAutospacing="0" w:after="0" w:afterAutospacing="0" w:line="360" w:lineRule="auto"/>
        <w:ind w:firstLine="482" w:firstLineChars="200"/>
        <w:rPr>
          <w:rFonts w:hint="eastAsia" w:cs="宋体"/>
          <w:b/>
          <w:bCs/>
          <w:color w:val="auto"/>
          <w:lang w:val="en-US" w:eastAsia="zh-CN"/>
        </w:rPr>
      </w:pPr>
      <w:r>
        <w:rPr>
          <w:rFonts w:hint="eastAsia" w:cs="宋体"/>
          <w:b/>
          <w:bCs/>
          <w:color w:val="auto"/>
          <w:lang w:val="en-US" w:eastAsia="zh-CN"/>
        </w:rPr>
        <w:t>附件7：分包人主要施工管理人员表</w:t>
      </w:r>
    </w:p>
    <w:p>
      <w:pPr>
        <w:pStyle w:val="26"/>
        <w:numPr>
          <w:ilvl w:val="0"/>
          <w:numId w:val="0"/>
        </w:numPr>
        <w:spacing w:before="0" w:beforeAutospacing="0" w:after="0" w:afterAutospacing="0" w:line="360" w:lineRule="auto"/>
        <w:ind w:firstLine="482" w:firstLineChars="200"/>
        <w:rPr>
          <w:rFonts w:hint="eastAsia" w:cs="宋体"/>
          <w:b/>
          <w:bCs/>
          <w:color w:val="auto"/>
          <w:lang w:val="en-US" w:eastAsia="zh-CN"/>
        </w:rPr>
      </w:pPr>
      <w:r>
        <w:rPr>
          <w:rFonts w:hint="eastAsia" w:cs="宋体"/>
          <w:b/>
          <w:bCs/>
          <w:color w:val="auto"/>
          <w:lang w:val="en-US" w:eastAsia="zh-CN"/>
        </w:rPr>
        <w:t>附件8：预付款担保格式</w:t>
      </w:r>
    </w:p>
    <w:p>
      <w:pPr>
        <w:pStyle w:val="26"/>
        <w:numPr>
          <w:ilvl w:val="0"/>
          <w:numId w:val="0"/>
        </w:numPr>
        <w:spacing w:before="0" w:beforeAutospacing="0" w:after="0" w:afterAutospacing="0" w:line="360" w:lineRule="auto"/>
        <w:ind w:firstLine="482" w:firstLineChars="200"/>
        <w:rPr>
          <w:rFonts w:hint="eastAsia" w:cs="宋体"/>
          <w:b/>
          <w:bCs/>
          <w:color w:val="auto"/>
          <w:lang w:val="en-US" w:eastAsia="zh-CN"/>
        </w:rPr>
      </w:pPr>
      <w:r>
        <w:rPr>
          <w:rFonts w:hint="eastAsia" w:cs="宋体"/>
          <w:b/>
          <w:bCs/>
          <w:color w:val="auto"/>
          <w:lang w:val="en-US" w:eastAsia="zh-CN"/>
        </w:rPr>
        <w:t>附件9：支付担保格式</w:t>
      </w:r>
    </w:p>
    <w:p>
      <w:pPr>
        <w:pStyle w:val="26"/>
        <w:numPr>
          <w:ilvl w:val="0"/>
          <w:numId w:val="0"/>
        </w:numPr>
        <w:spacing w:before="0" w:beforeAutospacing="0" w:after="0" w:afterAutospacing="0" w:line="360" w:lineRule="auto"/>
        <w:ind w:firstLine="482" w:firstLineChars="200"/>
        <w:rPr>
          <w:rFonts w:hint="eastAsia" w:cs="宋体"/>
          <w:b/>
          <w:bCs/>
          <w:color w:val="auto"/>
          <w:lang w:val="en-US" w:eastAsia="zh-CN"/>
        </w:rPr>
        <w:sectPr>
          <w:footerReference r:id="rId14" w:type="default"/>
          <w:pgSz w:w="11906" w:h="16838"/>
          <w:pgMar w:top="1440" w:right="1242" w:bottom="1440" w:left="1502" w:header="851" w:footer="992" w:gutter="0"/>
          <w:pgNumType w:fmt="numberInDash" w:start="148"/>
          <w:cols w:space="720" w:num="1"/>
          <w:docGrid w:linePitch="312" w:charSpace="0"/>
        </w:sectPr>
      </w:pPr>
      <w:r>
        <w:rPr>
          <w:rFonts w:hint="eastAsia" w:cs="宋体"/>
          <w:b/>
          <w:bCs/>
          <w:color w:val="auto"/>
          <w:lang w:val="en-US" w:eastAsia="zh-CN"/>
        </w:rPr>
        <w:t>附件10：暂估价一览表</w:t>
      </w:r>
    </w:p>
    <w:p>
      <w:pPr>
        <w:spacing w:before="75" w:line="227" w:lineRule="auto"/>
        <w:ind w:left="5578"/>
        <w:rPr>
          <w:rFonts w:ascii="宋体" w:hAnsi="宋体" w:eastAsia="宋体" w:cs="宋体"/>
          <w:sz w:val="28"/>
          <w:szCs w:val="28"/>
        </w:rPr>
      </w:pPr>
      <w:r>
        <w:rPr>
          <w:rFonts w:ascii="宋体" w:hAnsi="宋体" w:eastAsia="宋体" w:cs="宋体"/>
          <w:spacing w:val="7"/>
          <w:sz w:val="28"/>
          <w:szCs w:val="28"/>
        </w:rPr>
        <w:t>附</w:t>
      </w:r>
      <w:r>
        <w:rPr>
          <w:rFonts w:ascii="宋体" w:hAnsi="宋体" w:eastAsia="宋体" w:cs="宋体"/>
          <w:spacing w:val="4"/>
          <w:sz w:val="28"/>
          <w:szCs w:val="28"/>
        </w:rPr>
        <w:t>件1：承包人承揽工程项目一览表</w:t>
      </w:r>
    </w:p>
    <w:p>
      <w:pPr>
        <w:spacing w:line="165" w:lineRule="exact"/>
      </w:pPr>
    </w:p>
    <w:tbl>
      <w:tblPr>
        <w:tblStyle w:val="94"/>
        <w:tblW w:w="14603" w:type="dxa"/>
        <w:tblInd w:w="1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998"/>
        <w:gridCol w:w="4306"/>
        <w:gridCol w:w="3311"/>
        <w:gridCol w:w="1988"/>
        <w:gridCol w:w="200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30" w:hRule="atLeast"/>
        </w:trPr>
        <w:tc>
          <w:tcPr>
            <w:tcW w:w="2998" w:type="dxa"/>
            <w:vAlign w:val="top"/>
          </w:tcPr>
          <w:p>
            <w:pPr>
              <w:spacing w:line="365" w:lineRule="auto"/>
              <w:jc w:val="center"/>
              <w:rPr>
                <w:rFonts w:ascii="Arial"/>
                <w:sz w:val="21"/>
              </w:rPr>
            </w:pPr>
          </w:p>
          <w:p>
            <w:pPr>
              <w:spacing w:before="74" w:line="228" w:lineRule="auto"/>
              <w:ind w:left="101"/>
              <w:jc w:val="center"/>
              <w:rPr>
                <w:rFonts w:ascii="宋体" w:hAnsi="宋体" w:eastAsia="宋体" w:cs="宋体"/>
                <w:sz w:val="23"/>
                <w:szCs w:val="23"/>
              </w:rPr>
            </w:pPr>
            <w:r>
              <w:rPr>
                <w:rFonts w:ascii="宋体" w:hAnsi="宋体" w:eastAsia="宋体" w:cs="宋体"/>
                <w:spacing w:val="11"/>
                <w:sz w:val="23"/>
                <w:szCs w:val="23"/>
              </w:rPr>
              <w:t>单</w:t>
            </w:r>
            <w:r>
              <w:rPr>
                <w:rFonts w:ascii="宋体" w:hAnsi="宋体" w:eastAsia="宋体" w:cs="宋体"/>
                <w:spacing w:val="7"/>
                <w:sz w:val="23"/>
                <w:szCs w:val="23"/>
              </w:rPr>
              <w:t>位工程名称</w:t>
            </w:r>
          </w:p>
        </w:tc>
        <w:tc>
          <w:tcPr>
            <w:tcW w:w="4306" w:type="dxa"/>
            <w:vAlign w:val="top"/>
          </w:tcPr>
          <w:p>
            <w:pPr>
              <w:spacing w:line="365" w:lineRule="auto"/>
              <w:jc w:val="center"/>
              <w:rPr>
                <w:rFonts w:ascii="Arial"/>
                <w:sz w:val="21"/>
              </w:rPr>
            </w:pPr>
          </w:p>
          <w:p>
            <w:pPr>
              <w:spacing w:before="75" w:line="227" w:lineRule="auto"/>
              <w:ind w:left="94"/>
              <w:jc w:val="center"/>
              <w:rPr>
                <w:rFonts w:ascii="宋体" w:hAnsi="宋体" w:eastAsia="宋体" w:cs="宋体"/>
                <w:sz w:val="23"/>
                <w:szCs w:val="23"/>
              </w:rPr>
            </w:pPr>
            <w:r>
              <w:rPr>
                <w:rFonts w:ascii="宋体" w:hAnsi="宋体" w:eastAsia="宋体" w:cs="宋体"/>
                <w:spacing w:val="7"/>
                <w:sz w:val="23"/>
                <w:szCs w:val="23"/>
              </w:rPr>
              <w:t>建设规</w:t>
            </w:r>
            <w:r>
              <w:rPr>
                <w:rFonts w:ascii="宋体" w:hAnsi="宋体" w:eastAsia="宋体" w:cs="宋体"/>
                <w:spacing w:val="6"/>
                <w:sz w:val="23"/>
                <w:szCs w:val="23"/>
              </w:rPr>
              <w:t>模</w:t>
            </w:r>
          </w:p>
        </w:tc>
        <w:tc>
          <w:tcPr>
            <w:tcW w:w="3311" w:type="dxa"/>
            <w:vAlign w:val="top"/>
          </w:tcPr>
          <w:p>
            <w:pPr>
              <w:spacing w:line="364" w:lineRule="auto"/>
              <w:jc w:val="center"/>
              <w:rPr>
                <w:rFonts w:ascii="Arial"/>
                <w:sz w:val="21"/>
              </w:rPr>
            </w:pPr>
          </w:p>
          <w:p>
            <w:pPr>
              <w:spacing w:before="75" w:line="226" w:lineRule="auto"/>
              <w:ind w:left="99"/>
              <w:jc w:val="center"/>
              <w:rPr>
                <w:rFonts w:ascii="宋体" w:hAnsi="宋体" w:eastAsia="宋体" w:cs="宋体"/>
                <w:sz w:val="23"/>
                <w:szCs w:val="23"/>
              </w:rPr>
            </w:pPr>
            <w:r>
              <w:rPr>
                <w:rFonts w:ascii="宋体" w:hAnsi="宋体" w:eastAsia="宋体" w:cs="宋体"/>
                <w:spacing w:val="7"/>
                <w:sz w:val="23"/>
                <w:szCs w:val="23"/>
              </w:rPr>
              <w:t>合</w:t>
            </w:r>
            <w:r>
              <w:rPr>
                <w:rFonts w:ascii="宋体" w:hAnsi="宋体" w:eastAsia="宋体" w:cs="宋体"/>
                <w:spacing w:val="6"/>
                <w:sz w:val="23"/>
                <w:szCs w:val="23"/>
              </w:rPr>
              <w:t>同价格(元)</w:t>
            </w:r>
          </w:p>
        </w:tc>
        <w:tc>
          <w:tcPr>
            <w:tcW w:w="1988" w:type="dxa"/>
            <w:vAlign w:val="top"/>
          </w:tcPr>
          <w:p>
            <w:pPr>
              <w:spacing w:line="365" w:lineRule="auto"/>
              <w:jc w:val="center"/>
              <w:rPr>
                <w:rFonts w:ascii="Arial"/>
                <w:sz w:val="21"/>
              </w:rPr>
            </w:pPr>
          </w:p>
          <w:p>
            <w:pPr>
              <w:spacing w:before="74" w:line="228" w:lineRule="auto"/>
              <w:ind w:left="105"/>
              <w:jc w:val="center"/>
              <w:rPr>
                <w:rFonts w:ascii="宋体" w:hAnsi="宋体" w:eastAsia="宋体" w:cs="宋体"/>
                <w:sz w:val="23"/>
                <w:szCs w:val="23"/>
              </w:rPr>
            </w:pPr>
            <w:r>
              <w:rPr>
                <w:rFonts w:ascii="宋体" w:hAnsi="宋体" w:eastAsia="宋体" w:cs="宋体"/>
                <w:spacing w:val="8"/>
                <w:sz w:val="23"/>
                <w:szCs w:val="23"/>
              </w:rPr>
              <w:t>开</w:t>
            </w:r>
            <w:r>
              <w:rPr>
                <w:rFonts w:ascii="宋体" w:hAnsi="宋体" w:eastAsia="宋体" w:cs="宋体"/>
                <w:spacing w:val="7"/>
                <w:sz w:val="23"/>
                <w:szCs w:val="23"/>
              </w:rPr>
              <w:t>工日期</w:t>
            </w:r>
          </w:p>
        </w:tc>
        <w:tc>
          <w:tcPr>
            <w:tcW w:w="2000" w:type="dxa"/>
            <w:vAlign w:val="top"/>
          </w:tcPr>
          <w:p>
            <w:pPr>
              <w:spacing w:line="365" w:lineRule="auto"/>
              <w:jc w:val="center"/>
              <w:rPr>
                <w:rFonts w:ascii="Arial"/>
                <w:sz w:val="21"/>
              </w:rPr>
            </w:pPr>
          </w:p>
          <w:p>
            <w:pPr>
              <w:spacing w:before="75" w:line="227" w:lineRule="auto"/>
              <w:ind w:left="109"/>
              <w:jc w:val="center"/>
              <w:rPr>
                <w:rFonts w:ascii="宋体" w:hAnsi="宋体" w:eastAsia="宋体" w:cs="宋体"/>
                <w:sz w:val="23"/>
                <w:szCs w:val="23"/>
              </w:rPr>
            </w:pPr>
            <w:r>
              <w:rPr>
                <w:rFonts w:ascii="宋体" w:hAnsi="宋体" w:eastAsia="宋体" w:cs="宋体"/>
                <w:spacing w:val="8"/>
                <w:sz w:val="23"/>
                <w:szCs w:val="23"/>
              </w:rPr>
              <w:t>竣</w:t>
            </w:r>
            <w:r>
              <w:rPr>
                <w:rFonts w:ascii="宋体" w:hAnsi="宋体" w:eastAsia="宋体" w:cs="宋体"/>
                <w:spacing w:val="7"/>
                <w:sz w:val="23"/>
                <w:szCs w:val="23"/>
              </w:rPr>
              <w:t>工日期</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2" w:hRule="atLeast"/>
        </w:trPr>
        <w:tc>
          <w:tcPr>
            <w:tcW w:w="2998" w:type="dxa"/>
            <w:tcBorders>
              <w:left w:val="single" w:color="000000" w:sz="10" w:space="0"/>
              <w:right w:val="single" w:color="000000" w:sz="4" w:space="0"/>
            </w:tcBorders>
            <w:vAlign w:val="top"/>
          </w:tcPr>
          <w:p>
            <w:pPr>
              <w:rPr>
                <w:rFonts w:ascii="Arial"/>
                <w:sz w:val="21"/>
              </w:rPr>
            </w:pPr>
          </w:p>
        </w:tc>
        <w:tc>
          <w:tcPr>
            <w:tcW w:w="4306" w:type="dxa"/>
            <w:tcBorders>
              <w:left w:val="single" w:color="000000" w:sz="4" w:space="0"/>
              <w:right w:val="single" w:color="000000" w:sz="4" w:space="0"/>
            </w:tcBorders>
            <w:vAlign w:val="top"/>
          </w:tcPr>
          <w:p>
            <w:pPr>
              <w:rPr>
                <w:rFonts w:ascii="Arial"/>
                <w:sz w:val="21"/>
              </w:rPr>
            </w:pPr>
          </w:p>
        </w:tc>
        <w:tc>
          <w:tcPr>
            <w:tcW w:w="3311" w:type="dxa"/>
            <w:tcBorders>
              <w:left w:val="single" w:color="000000" w:sz="4" w:space="0"/>
              <w:right w:val="single" w:color="000000" w:sz="4" w:space="0"/>
            </w:tcBorders>
            <w:vAlign w:val="top"/>
          </w:tcPr>
          <w:p>
            <w:pPr>
              <w:rPr>
                <w:rFonts w:ascii="Arial"/>
                <w:sz w:val="21"/>
              </w:rPr>
            </w:pPr>
          </w:p>
        </w:tc>
        <w:tc>
          <w:tcPr>
            <w:tcW w:w="1988" w:type="dxa"/>
            <w:tcBorders>
              <w:left w:val="single" w:color="000000" w:sz="4" w:space="0"/>
              <w:right w:val="single" w:color="000000" w:sz="4" w:space="0"/>
            </w:tcBorders>
            <w:vAlign w:val="top"/>
          </w:tcPr>
          <w:p>
            <w:pPr>
              <w:rPr>
                <w:rFonts w:ascii="Arial"/>
                <w:sz w:val="21"/>
              </w:rPr>
            </w:pPr>
          </w:p>
        </w:tc>
        <w:tc>
          <w:tcPr>
            <w:tcW w:w="2000" w:type="dxa"/>
            <w:tcBorders>
              <w:left w:val="single" w:color="000000" w:sz="4"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5" w:hRule="atLeast"/>
        </w:trPr>
        <w:tc>
          <w:tcPr>
            <w:tcW w:w="2998" w:type="dxa"/>
            <w:tcBorders>
              <w:left w:val="single" w:color="000000" w:sz="10" w:space="0"/>
              <w:right w:val="single" w:color="000000" w:sz="4" w:space="0"/>
            </w:tcBorders>
            <w:vAlign w:val="top"/>
          </w:tcPr>
          <w:p>
            <w:pPr>
              <w:rPr>
                <w:rFonts w:ascii="Arial"/>
                <w:sz w:val="21"/>
              </w:rPr>
            </w:pPr>
          </w:p>
        </w:tc>
        <w:tc>
          <w:tcPr>
            <w:tcW w:w="4306" w:type="dxa"/>
            <w:tcBorders>
              <w:left w:val="single" w:color="000000" w:sz="4" w:space="0"/>
              <w:right w:val="single" w:color="000000" w:sz="4" w:space="0"/>
            </w:tcBorders>
            <w:vAlign w:val="top"/>
          </w:tcPr>
          <w:p>
            <w:pPr>
              <w:rPr>
                <w:rFonts w:ascii="Arial"/>
                <w:sz w:val="21"/>
              </w:rPr>
            </w:pPr>
          </w:p>
        </w:tc>
        <w:tc>
          <w:tcPr>
            <w:tcW w:w="3311" w:type="dxa"/>
            <w:tcBorders>
              <w:left w:val="single" w:color="000000" w:sz="4" w:space="0"/>
              <w:right w:val="single" w:color="000000" w:sz="4" w:space="0"/>
            </w:tcBorders>
            <w:vAlign w:val="top"/>
          </w:tcPr>
          <w:p>
            <w:pPr>
              <w:rPr>
                <w:rFonts w:ascii="Arial"/>
                <w:sz w:val="21"/>
              </w:rPr>
            </w:pPr>
          </w:p>
        </w:tc>
        <w:tc>
          <w:tcPr>
            <w:tcW w:w="1988" w:type="dxa"/>
            <w:tcBorders>
              <w:left w:val="single" w:color="000000" w:sz="4" w:space="0"/>
              <w:right w:val="single" w:color="000000" w:sz="4" w:space="0"/>
            </w:tcBorders>
            <w:vAlign w:val="top"/>
          </w:tcPr>
          <w:p>
            <w:pPr>
              <w:rPr>
                <w:rFonts w:ascii="Arial"/>
                <w:sz w:val="21"/>
              </w:rPr>
            </w:pPr>
          </w:p>
        </w:tc>
        <w:tc>
          <w:tcPr>
            <w:tcW w:w="2000" w:type="dxa"/>
            <w:tcBorders>
              <w:left w:val="single" w:color="000000" w:sz="4"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6" w:hRule="atLeast"/>
        </w:trPr>
        <w:tc>
          <w:tcPr>
            <w:tcW w:w="2998" w:type="dxa"/>
            <w:tcBorders>
              <w:left w:val="single" w:color="000000" w:sz="10" w:space="0"/>
              <w:right w:val="single" w:color="000000" w:sz="4" w:space="0"/>
            </w:tcBorders>
            <w:vAlign w:val="top"/>
          </w:tcPr>
          <w:p>
            <w:pPr>
              <w:rPr>
                <w:rFonts w:ascii="Arial"/>
                <w:sz w:val="21"/>
              </w:rPr>
            </w:pPr>
          </w:p>
        </w:tc>
        <w:tc>
          <w:tcPr>
            <w:tcW w:w="4306" w:type="dxa"/>
            <w:tcBorders>
              <w:left w:val="single" w:color="000000" w:sz="4" w:space="0"/>
              <w:right w:val="single" w:color="000000" w:sz="4" w:space="0"/>
            </w:tcBorders>
            <w:vAlign w:val="top"/>
          </w:tcPr>
          <w:p>
            <w:pPr>
              <w:rPr>
                <w:rFonts w:ascii="Arial"/>
                <w:sz w:val="21"/>
              </w:rPr>
            </w:pPr>
          </w:p>
        </w:tc>
        <w:tc>
          <w:tcPr>
            <w:tcW w:w="3311" w:type="dxa"/>
            <w:tcBorders>
              <w:left w:val="single" w:color="000000" w:sz="4" w:space="0"/>
              <w:right w:val="single" w:color="000000" w:sz="4" w:space="0"/>
            </w:tcBorders>
            <w:vAlign w:val="top"/>
          </w:tcPr>
          <w:p>
            <w:pPr>
              <w:rPr>
                <w:rFonts w:ascii="Arial"/>
                <w:sz w:val="21"/>
              </w:rPr>
            </w:pPr>
          </w:p>
        </w:tc>
        <w:tc>
          <w:tcPr>
            <w:tcW w:w="1988" w:type="dxa"/>
            <w:tcBorders>
              <w:left w:val="single" w:color="000000" w:sz="4" w:space="0"/>
              <w:right w:val="single" w:color="000000" w:sz="4" w:space="0"/>
            </w:tcBorders>
            <w:vAlign w:val="top"/>
          </w:tcPr>
          <w:p>
            <w:pPr>
              <w:rPr>
                <w:rFonts w:ascii="Arial"/>
                <w:sz w:val="21"/>
              </w:rPr>
            </w:pPr>
          </w:p>
        </w:tc>
        <w:tc>
          <w:tcPr>
            <w:tcW w:w="2000" w:type="dxa"/>
            <w:tcBorders>
              <w:left w:val="single" w:color="000000" w:sz="4"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6" w:hRule="atLeast"/>
        </w:trPr>
        <w:tc>
          <w:tcPr>
            <w:tcW w:w="2998" w:type="dxa"/>
            <w:tcBorders>
              <w:left w:val="single" w:color="000000" w:sz="10" w:space="0"/>
              <w:right w:val="single" w:color="000000" w:sz="4" w:space="0"/>
            </w:tcBorders>
            <w:vAlign w:val="top"/>
          </w:tcPr>
          <w:p>
            <w:pPr>
              <w:rPr>
                <w:rFonts w:ascii="Arial"/>
                <w:sz w:val="21"/>
              </w:rPr>
            </w:pPr>
          </w:p>
        </w:tc>
        <w:tc>
          <w:tcPr>
            <w:tcW w:w="4306" w:type="dxa"/>
            <w:tcBorders>
              <w:left w:val="single" w:color="000000" w:sz="4" w:space="0"/>
              <w:right w:val="single" w:color="000000" w:sz="4" w:space="0"/>
            </w:tcBorders>
            <w:vAlign w:val="top"/>
          </w:tcPr>
          <w:p>
            <w:pPr>
              <w:rPr>
                <w:rFonts w:ascii="Arial"/>
                <w:sz w:val="21"/>
              </w:rPr>
            </w:pPr>
          </w:p>
        </w:tc>
        <w:tc>
          <w:tcPr>
            <w:tcW w:w="3311" w:type="dxa"/>
            <w:tcBorders>
              <w:left w:val="single" w:color="000000" w:sz="4" w:space="0"/>
              <w:right w:val="single" w:color="000000" w:sz="4" w:space="0"/>
            </w:tcBorders>
            <w:vAlign w:val="top"/>
          </w:tcPr>
          <w:p>
            <w:pPr>
              <w:rPr>
                <w:rFonts w:ascii="Arial"/>
                <w:sz w:val="21"/>
              </w:rPr>
            </w:pPr>
          </w:p>
        </w:tc>
        <w:tc>
          <w:tcPr>
            <w:tcW w:w="1988" w:type="dxa"/>
            <w:tcBorders>
              <w:left w:val="single" w:color="000000" w:sz="4" w:space="0"/>
              <w:right w:val="single" w:color="000000" w:sz="4" w:space="0"/>
            </w:tcBorders>
            <w:vAlign w:val="top"/>
          </w:tcPr>
          <w:p>
            <w:pPr>
              <w:rPr>
                <w:rFonts w:ascii="Arial"/>
                <w:sz w:val="21"/>
              </w:rPr>
            </w:pPr>
          </w:p>
        </w:tc>
        <w:tc>
          <w:tcPr>
            <w:tcW w:w="2000" w:type="dxa"/>
            <w:tcBorders>
              <w:left w:val="single" w:color="000000" w:sz="4"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5" w:hRule="atLeast"/>
        </w:trPr>
        <w:tc>
          <w:tcPr>
            <w:tcW w:w="2998" w:type="dxa"/>
            <w:tcBorders>
              <w:left w:val="single" w:color="000000" w:sz="10" w:space="0"/>
              <w:right w:val="single" w:color="000000" w:sz="4" w:space="0"/>
            </w:tcBorders>
            <w:vAlign w:val="top"/>
          </w:tcPr>
          <w:p>
            <w:pPr>
              <w:rPr>
                <w:rFonts w:ascii="Arial"/>
                <w:sz w:val="21"/>
              </w:rPr>
            </w:pPr>
          </w:p>
        </w:tc>
        <w:tc>
          <w:tcPr>
            <w:tcW w:w="4306" w:type="dxa"/>
            <w:tcBorders>
              <w:left w:val="single" w:color="000000" w:sz="4" w:space="0"/>
              <w:right w:val="single" w:color="000000" w:sz="4" w:space="0"/>
            </w:tcBorders>
            <w:vAlign w:val="top"/>
          </w:tcPr>
          <w:p>
            <w:pPr>
              <w:rPr>
                <w:rFonts w:ascii="Arial"/>
                <w:sz w:val="21"/>
              </w:rPr>
            </w:pPr>
          </w:p>
        </w:tc>
        <w:tc>
          <w:tcPr>
            <w:tcW w:w="3311" w:type="dxa"/>
            <w:tcBorders>
              <w:left w:val="single" w:color="000000" w:sz="4" w:space="0"/>
              <w:right w:val="single" w:color="000000" w:sz="4" w:space="0"/>
            </w:tcBorders>
            <w:vAlign w:val="top"/>
          </w:tcPr>
          <w:p>
            <w:pPr>
              <w:rPr>
                <w:rFonts w:ascii="Arial"/>
                <w:sz w:val="21"/>
              </w:rPr>
            </w:pPr>
          </w:p>
        </w:tc>
        <w:tc>
          <w:tcPr>
            <w:tcW w:w="1988" w:type="dxa"/>
            <w:tcBorders>
              <w:left w:val="single" w:color="000000" w:sz="4" w:space="0"/>
              <w:right w:val="single" w:color="000000" w:sz="4" w:space="0"/>
            </w:tcBorders>
            <w:vAlign w:val="top"/>
          </w:tcPr>
          <w:p>
            <w:pPr>
              <w:rPr>
                <w:rFonts w:ascii="Arial"/>
                <w:sz w:val="21"/>
              </w:rPr>
            </w:pPr>
          </w:p>
        </w:tc>
        <w:tc>
          <w:tcPr>
            <w:tcW w:w="2000" w:type="dxa"/>
            <w:tcBorders>
              <w:left w:val="single" w:color="000000" w:sz="4"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5" w:hRule="atLeast"/>
        </w:trPr>
        <w:tc>
          <w:tcPr>
            <w:tcW w:w="2998" w:type="dxa"/>
            <w:tcBorders>
              <w:left w:val="single" w:color="000000" w:sz="10" w:space="0"/>
              <w:right w:val="single" w:color="000000" w:sz="4" w:space="0"/>
            </w:tcBorders>
            <w:vAlign w:val="top"/>
          </w:tcPr>
          <w:p>
            <w:pPr>
              <w:rPr>
                <w:rFonts w:ascii="Arial"/>
                <w:sz w:val="21"/>
              </w:rPr>
            </w:pPr>
          </w:p>
        </w:tc>
        <w:tc>
          <w:tcPr>
            <w:tcW w:w="4306" w:type="dxa"/>
            <w:tcBorders>
              <w:left w:val="single" w:color="000000" w:sz="4" w:space="0"/>
              <w:right w:val="single" w:color="000000" w:sz="4" w:space="0"/>
            </w:tcBorders>
            <w:vAlign w:val="top"/>
          </w:tcPr>
          <w:p>
            <w:pPr>
              <w:rPr>
                <w:rFonts w:ascii="Arial"/>
                <w:sz w:val="21"/>
              </w:rPr>
            </w:pPr>
          </w:p>
        </w:tc>
        <w:tc>
          <w:tcPr>
            <w:tcW w:w="3311" w:type="dxa"/>
            <w:tcBorders>
              <w:left w:val="single" w:color="000000" w:sz="4" w:space="0"/>
              <w:right w:val="single" w:color="000000" w:sz="4" w:space="0"/>
            </w:tcBorders>
            <w:vAlign w:val="top"/>
          </w:tcPr>
          <w:p>
            <w:pPr>
              <w:rPr>
                <w:rFonts w:ascii="Arial"/>
                <w:sz w:val="21"/>
              </w:rPr>
            </w:pPr>
          </w:p>
        </w:tc>
        <w:tc>
          <w:tcPr>
            <w:tcW w:w="1988" w:type="dxa"/>
            <w:tcBorders>
              <w:left w:val="single" w:color="000000" w:sz="4" w:space="0"/>
              <w:right w:val="single" w:color="000000" w:sz="4" w:space="0"/>
            </w:tcBorders>
            <w:vAlign w:val="top"/>
          </w:tcPr>
          <w:p>
            <w:pPr>
              <w:rPr>
                <w:rFonts w:ascii="Arial"/>
                <w:sz w:val="21"/>
              </w:rPr>
            </w:pPr>
          </w:p>
        </w:tc>
        <w:tc>
          <w:tcPr>
            <w:tcW w:w="2000" w:type="dxa"/>
            <w:tcBorders>
              <w:left w:val="single" w:color="000000" w:sz="4"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5" w:hRule="atLeast"/>
        </w:trPr>
        <w:tc>
          <w:tcPr>
            <w:tcW w:w="2998" w:type="dxa"/>
            <w:tcBorders>
              <w:left w:val="single" w:color="000000" w:sz="10" w:space="0"/>
              <w:right w:val="single" w:color="000000" w:sz="4" w:space="0"/>
            </w:tcBorders>
            <w:vAlign w:val="top"/>
          </w:tcPr>
          <w:p>
            <w:pPr>
              <w:rPr>
                <w:rFonts w:ascii="Arial"/>
                <w:sz w:val="21"/>
              </w:rPr>
            </w:pPr>
          </w:p>
        </w:tc>
        <w:tc>
          <w:tcPr>
            <w:tcW w:w="4306" w:type="dxa"/>
            <w:tcBorders>
              <w:left w:val="single" w:color="000000" w:sz="4" w:space="0"/>
              <w:right w:val="single" w:color="000000" w:sz="4" w:space="0"/>
            </w:tcBorders>
            <w:vAlign w:val="top"/>
          </w:tcPr>
          <w:p>
            <w:pPr>
              <w:rPr>
                <w:rFonts w:ascii="Arial"/>
                <w:sz w:val="21"/>
              </w:rPr>
            </w:pPr>
          </w:p>
        </w:tc>
        <w:tc>
          <w:tcPr>
            <w:tcW w:w="3311" w:type="dxa"/>
            <w:tcBorders>
              <w:left w:val="single" w:color="000000" w:sz="4" w:space="0"/>
              <w:right w:val="single" w:color="000000" w:sz="4" w:space="0"/>
            </w:tcBorders>
            <w:vAlign w:val="top"/>
          </w:tcPr>
          <w:p>
            <w:pPr>
              <w:rPr>
                <w:rFonts w:ascii="Arial"/>
                <w:sz w:val="21"/>
              </w:rPr>
            </w:pPr>
          </w:p>
        </w:tc>
        <w:tc>
          <w:tcPr>
            <w:tcW w:w="1988" w:type="dxa"/>
            <w:tcBorders>
              <w:left w:val="single" w:color="000000" w:sz="4" w:space="0"/>
              <w:right w:val="single" w:color="000000" w:sz="4" w:space="0"/>
            </w:tcBorders>
            <w:vAlign w:val="top"/>
          </w:tcPr>
          <w:p>
            <w:pPr>
              <w:rPr>
                <w:rFonts w:ascii="Arial"/>
                <w:sz w:val="21"/>
              </w:rPr>
            </w:pPr>
          </w:p>
        </w:tc>
        <w:tc>
          <w:tcPr>
            <w:tcW w:w="2000" w:type="dxa"/>
            <w:tcBorders>
              <w:left w:val="single" w:color="000000" w:sz="4"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72" w:hRule="atLeast"/>
        </w:trPr>
        <w:tc>
          <w:tcPr>
            <w:tcW w:w="2998" w:type="dxa"/>
            <w:tcBorders>
              <w:left w:val="single" w:color="000000" w:sz="10" w:space="0"/>
              <w:right w:val="single" w:color="000000" w:sz="4" w:space="0"/>
            </w:tcBorders>
            <w:vAlign w:val="top"/>
          </w:tcPr>
          <w:p>
            <w:pPr>
              <w:rPr>
                <w:rFonts w:ascii="Arial"/>
                <w:sz w:val="21"/>
              </w:rPr>
            </w:pPr>
          </w:p>
        </w:tc>
        <w:tc>
          <w:tcPr>
            <w:tcW w:w="4306" w:type="dxa"/>
            <w:tcBorders>
              <w:left w:val="single" w:color="000000" w:sz="4" w:space="0"/>
              <w:right w:val="single" w:color="000000" w:sz="4" w:space="0"/>
            </w:tcBorders>
            <w:vAlign w:val="top"/>
          </w:tcPr>
          <w:p>
            <w:pPr>
              <w:rPr>
                <w:rFonts w:ascii="Arial"/>
                <w:sz w:val="21"/>
              </w:rPr>
            </w:pPr>
          </w:p>
        </w:tc>
        <w:tc>
          <w:tcPr>
            <w:tcW w:w="3311" w:type="dxa"/>
            <w:tcBorders>
              <w:left w:val="single" w:color="000000" w:sz="4" w:space="0"/>
              <w:right w:val="single" w:color="000000" w:sz="4" w:space="0"/>
            </w:tcBorders>
            <w:vAlign w:val="top"/>
          </w:tcPr>
          <w:p>
            <w:pPr>
              <w:rPr>
                <w:rFonts w:ascii="Arial"/>
                <w:sz w:val="21"/>
              </w:rPr>
            </w:pPr>
          </w:p>
        </w:tc>
        <w:tc>
          <w:tcPr>
            <w:tcW w:w="1988" w:type="dxa"/>
            <w:tcBorders>
              <w:left w:val="single" w:color="000000" w:sz="4" w:space="0"/>
              <w:right w:val="single" w:color="000000" w:sz="4" w:space="0"/>
            </w:tcBorders>
            <w:vAlign w:val="top"/>
          </w:tcPr>
          <w:p>
            <w:pPr>
              <w:rPr>
                <w:rFonts w:ascii="Arial"/>
                <w:sz w:val="21"/>
              </w:rPr>
            </w:pPr>
          </w:p>
        </w:tc>
        <w:tc>
          <w:tcPr>
            <w:tcW w:w="2000" w:type="dxa"/>
            <w:tcBorders>
              <w:left w:val="single" w:color="000000" w:sz="4"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72" w:hRule="atLeast"/>
        </w:trPr>
        <w:tc>
          <w:tcPr>
            <w:tcW w:w="2998" w:type="dxa"/>
            <w:tcBorders>
              <w:left w:val="single" w:color="000000" w:sz="10" w:space="0"/>
              <w:right w:val="single" w:color="000000" w:sz="4" w:space="0"/>
            </w:tcBorders>
            <w:vAlign w:val="top"/>
          </w:tcPr>
          <w:p>
            <w:pPr>
              <w:rPr>
                <w:rFonts w:ascii="Arial"/>
                <w:sz w:val="21"/>
              </w:rPr>
            </w:pPr>
          </w:p>
        </w:tc>
        <w:tc>
          <w:tcPr>
            <w:tcW w:w="4306" w:type="dxa"/>
            <w:tcBorders>
              <w:left w:val="single" w:color="000000" w:sz="4" w:space="0"/>
              <w:right w:val="single" w:color="000000" w:sz="4" w:space="0"/>
            </w:tcBorders>
            <w:vAlign w:val="top"/>
          </w:tcPr>
          <w:p>
            <w:pPr>
              <w:rPr>
                <w:rFonts w:ascii="Arial"/>
                <w:sz w:val="21"/>
              </w:rPr>
            </w:pPr>
          </w:p>
        </w:tc>
        <w:tc>
          <w:tcPr>
            <w:tcW w:w="3311" w:type="dxa"/>
            <w:tcBorders>
              <w:left w:val="single" w:color="000000" w:sz="4" w:space="0"/>
              <w:right w:val="single" w:color="000000" w:sz="4" w:space="0"/>
            </w:tcBorders>
            <w:vAlign w:val="top"/>
          </w:tcPr>
          <w:p>
            <w:pPr>
              <w:rPr>
                <w:rFonts w:ascii="Arial"/>
                <w:sz w:val="21"/>
              </w:rPr>
            </w:pPr>
          </w:p>
        </w:tc>
        <w:tc>
          <w:tcPr>
            <w:tcW w:w="1988" w:type="dxa"/>
            <w:tcBorders>
              <w:left w:val="single" w:color="000000" w:sz="4" w:space="0"/>
              <w:right w:val="single" w:color="000000" w:sz="4" w:space="0"/>
            </w:tcBorders>
            <w:vAlign w:val="top"/>
          </w:tcPr>
          <w:p>
            <w:pPr>
              <w:rPr>
                <w:rFonts w:ascii="Arial"/>
                <w:sz w:val="21"/>
              </w:rPr>
            </w:pPr>
          </w:p>
        </w:tc>
        <w:tc>
          <w:tcPr>
            <w:tcW w:w="2000" w:type="dxa"/>
            <w:tcBorders>
              <w:left w:val="single" w:color="000000" w:sz="4"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72" w:hRule="atLeast"/>
        </w:trPr>
        <w:tc>
          <w:tcPr>
            <w:tcW w:w="2998" w:type="dxa"/>
            <w:tcBorders>
              <w:left w:val="single" w:color="000000" w:sz="10" w:space="0"/>
              <w:right w:val="single" w:color="000000" w:sz="4" w:space="0"/>
            </w:tcBorders>
            <w:vAlign w:val="top"/>
          </w:tcPr>
          <w:p>
            <w:pPr>
              <w:rPr>
                <w:rFonts w:ascii="Arial"/>
                <w:sz w:val="21"/>
              </w:rPr>
            </w:pPr>
          </w:p>
        </w:tc>
        <w:tc>
          <w:tcPr>
            <w:tcW w:w="4306" w:type="dxa"/>
            <w:tcBorders>
              <w:left w:val="single" w:color="000000" w:sz="4" w:space="0"/>
              <w:right w:val="single" w:color="000000" w:sz="4" w:space="0"/>
            </w:tcBorders>
            <w:vAlign w:val="top"/>
          </w:tcPr>
          <w:p>
            <w:pPr>
              <w:rPr>
                <w:rFonts w:ascii="Arial"/>
                <w:sz w:val="21"/>
              </w:rPr>
            </w:pPr>
          </w:p>
        </w:tc>
        <w:tc>
          <w:tcPr>
            <w:tcW w:w="3311" w:type="dxa"/>
            <w:tcBorders>
              <w:left w:val="single" w:color="000000" w:sz="4" w:space="0"/>
              <w:right w:val="single" w:color="000000" w:sz="4" w:space="0"/>
            </w:tcBorders>
            <w:vAlign w:val="top"/>
          </w:tcPr>
          <w:p>
            <w:pPr>
              <w:rPr>
                <w:rFonts w:ascii="Arial"/>
                <w:sz w:val="21"/>
              </w:rPr>
            </w:pPr>
          </w:p>
        </w:tc>
        <w:tc>
          <w:tcPr>
            <w:tcW w:w="1988" w:type="dxa"/>
            <w:tcBorders>
              <w:left w:val="single" w:color="000000" w:sz="4" w:space="0"/>
              <w:right w:val="single" w:color="000000" w:sz="4" w:space="0"/>
            </w:tcBorders>
            <w:vAlign w:val="top"/>
          </w:tcPr>
          <w:p>
            <w:pPr>
              <w:rPr>
                <w:rFonts w:ascii="Arial"/>
                <w:sz w:val="21"/>
              </w:rPr>
            </w:pPr>
          </w:p>
        </w:tc>
        <w:tc>
          <w:tcPr>
            <w:tcW w:w="2000" w:type="dxa"/>
            <w:tcBorders>
              <w:left w:val="single" w:color="000000" w:sz="4" w:space="0"/>
              <w:right w:val="single" w:color="000000" w:sz="10" w:space="0"/>
            </w:tcBorders>
            <w:vAlign w:val="top"/>
          </w:tcPr>
          <w:p>
            <w:pPr>
              <w:rPr>
                <w:rFonts w:ascii="Arial"/>
                <w:sz w:val="21"/>
              </w:rPr>
            </w:pPr>
          </w:p>
        </w:tc>
      </w:tr>
    </w:tbl>
    <w:p>
      <w:pPr>
        <w:pStyle w:val="26"/>
        <w:numPr>
          <w:ilvl w:val="0"/>
          <w:numId w:val="0"/>
        </w:numPr>
        <w:spacing w:before="0" w:beforeAutospacing="0" w:after="0" w:afterAutospacing="0" w:line="360" w:lineRule="auto"/>
        <w:ind w:firstLine="482" w:firstLineChars="200"/>
        <w:rPr>
          <w:rFonts w:hint="eastAsia" w:cs="宋体"/>
          <w:b/>
          <w:bCs/>
          <w:color w:val="auto"/>
          <w:lang w:val="en-US" w:eastAsia="zh-CN"/>
        </w:rPr>
        <w:sectPr>
          <w:footerReference r:id="rId15" w:type="default"/>
          <w:pgSz w:w="16838" w:h="11906" w:orient="landscape"/>
          <w:pgMar w:top="1502" w:right="1440" w:bottom="1242" w:left="1440" w:header="851" w:footer="992" w:gutter="0"/>
          <w:pgNumType w:fmt="numberInDash" w:start="149"/>
          <w:cols w:space="720" w:num="1"/>
          <w:docGrid w:linePitch="312" w:charSpace="0"/>
        </w:sectPr>
      </w:pPr>
    </w:p>
    <w:p>
      <w:pPr>
        <w:spacing w:before="75" w:line="227" w:lineRule="auto"/>
        <w:ind w:left="734"/>
        <w:rPr>
          <w:rFonts w:ascii="宋体" w:hAnsi="宋体" w:eastAsia="宋体" w:cs="宋体"/>
          <w:sz w:val="28"/>
          <w:szCs w:val="28"/>
        </w:rPr>
      </w:pPr>
      <w:r>
        <w:rPr>
          <w:rFonts w:ascii="宋体" w:hAnsi="宋体" w:eastAsia="宋体" w:cs="宋体"/>
          <w:spacing w:val="-15"/>
          <w:sz w:val="28"/>
          <w:szCs w:val="28"/>
        </w:rPr>
        <w:t>附</w:t>
      </w:r>
      <w:r>
        <w:rPr>
          <w:rFonts w:ascii="宋体" w:hAnsi="宋体" w:eastAsia="宋体" w:cs="宋体"/>
          <w:spacing w:val="-11"/>
          <w:sz w:val="28"/>
          <w:szCs w:val="28"/>
        </w:rPr>
        <w:t>件2：</w:t>
      </w:r>
    </w:p>
    <w:p>
      <w:pPr>
        <w:spacing w:before="276" w:line="227" w:lineRule="auto"/>
        <w:ind w:left="3928"/>
        <w:rPr>
          <w:rFonts w:ascii="宋体" w:hAnsi="宋体" w:eastAsia="宋体" w:cs="宋体"/>
          <w:sz w:val="23"/>
          <w:szCs w:val="23"/>
        </w:rPr>
      </w:pPr>
      <w:r>
        <w:rPr>
          <w:rFonts w:ascii="宋体" w:hAnsi="宋体" w:eastAsia="宋体" w:cs="宋体"/>
          <w:spacing w:val="9"/>
          <w:sz w:val="28"/>
          <w:szCs w:val="28"/>
        </w:rPr>
        <w:t>发包人供应材料设备一览</w:t>
      </w:r>
      <w:r>
        <w:rPr>
          <w:rFonts w:ascii="宋体" w:hAnsi="宋体" w:eastAsia="宋体" w:cs="宋体"/>
          <w:spacing w:val="7"/>
          <w:sz w:val="28"/>
          <w:szCs w:val="28"/>
        </w:rPr>
        <w:t>表</w:t>
      </w:r>
    </w:p>
    <w:p>
      <w:pPr>
        <w:spacing w:line="131" w:lineRule="exact"/>
      </w:pPr>
    </w:p>
    <w:tbl>
      <w:tblPr>
        <w:tblStyle w:val="94"/>
        <w:tblW w:w="1070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55"/>
        <w:gridCol w:w="1275"/>
        <w:gridCol w:w="1417"/>
        <w:gridCol w:w="940"/>
        <w:gridCol w:w="851"/>
        <w:gridCol w:w="1043"/>
        <w:gridCol w:w="1336"/>
        <w:gridCol w:w="885"/>
        <w:gridCol w:w="1108"/>
        <w:gridCol w:w="996"/>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9" w:hRule="atLeast"/>
        </w:trPr>
        <w:tc>
          <w:tcPr>
            <w:tcW w:w="855" w:type="dxa"/>
            <w:vAlign w:val="top"/>
          </w:tcPr>
          <w:p>
            <w:pPr>
              <w:spacing w:line="293" w:lineRule="auto"/>
              <w:jc w:val="center"/>
              <w:rPr>
                <w:rFonts w:ascii="Arial"/>
                <w:sz w:val="21"/>
              </w:rPr>
            </w:pPr>
          </w:p>
          <w:p>
            <w:pPr>
              <w:spacing w:before="75" w:line="229" w:lineRule="auto"/>
              <w:ind w:left="99"/>
              <w:jc w:val="center"/>
              <w:rPr>
                <w:rFonts w:ascii="宋体" w:hAnsi="宋体" w:eastAsia="宋体" w:cs="宋体"/>
                <w:sz w:val="23"/>
                <w:szCs w:val="23"/>
              </w:rPr>
            </w:pPr>
            <w:r>
              <w:rPr>
                <w:rFonts w:ascii="宋体" w:hAnsi="宋体" w:eastAsia="宋体" w:cs="宋体"/>
                <w:spacing w:val="6"/>
                <w:sz w:val="23"/>
                <w:szCs w:val="23"/>
              </w:rPr>
              <w:t>序</w:t>
            </w:r>
            <w:r>
              <w:rPr>
                <w:rFonts w:ascii="宋体" w:hAnsi="宋体" w:eastAsia="宋体" w:cs="宋体"/>
                <w:spacing w:val="5"/>
                <w:sz w:val="23"/>
                <w:szCs w:val="23"/>
              </w:rPr>
              <w:t>号</w:t>
            </w:r>
          </w:p>
        </w:tc>
        <w:tc>
          <w:tcPr>
            <w:tcW w:w="1275" w:type="dxa"/>
            <w:vAlign w:val="top"/>
          </w:tcPr>
          <w:p>
            <w:pPr>
              <w:spacing w:before="152" w:line="439" w:lineRule="exact"/>
              <w:ind w:left="95"/>
              <w:jc w:val="center"/>
              <w:rPr>
                <w:rFonts w:ascii="宋体" w:hAnsi="宋体" w:eastAsia="宋体" w:cs="宋体"/>
                <w:sz w:val="23"/>
                <w:szCs w:val="23"/>
              </w:rPr>
            </w:pPr>
            <w:r>
              <w:rPr>
                <w:rFonts w:ascii="宋体" w:hAnsi="宋体" w:eastAsia="宋体" w:cs="宋体"/>
                <w:spacing w:val="4"/>
                <w:position w:val="15"/>
                <w:sz w:val="23"/>
                <w:szCs w:val="23"/>
              </w:rPr>
              <w:t>材</w:t>
            </w:r>
            <w:r>
              <w:rPr>
                <w:rFonts w:ascii="宋体" w:hAnsi="宋体" w:eastAsia="宋体" w:cs="宋体"/>
                <w:spacing w:val="3"/>
                <w:position w:val="15"/>
                <w:sz w:val="23"/>
                <w:szCs w:val="23"/>
              </w:rPr>
              <w:t>料、</w:t>
            </w:r>
          </w:p>
          <w:p>
            <w:pPr>
              <w:spacing w:line="228" w:lineRule="auto"/>
              <w:ind w:left="36"/>
              <w:jc w:val="center"/>
              <w:rPr>
                <w:rFonts w:ascii="宋体" w:hAnsi="宋体" w:eastAsia="宋体" w:cs="宋体"/>
                <w:sz w:val="23"/>
                <w:szCs w:val="23"/>
              </w:rPr>
            </w:pPr>
            <w:r>
              <w:rPr>
                <w:rFonts w:ascii="宋体" w:hAnsi="宋体" w:eastAsia="宋体" w:cs="宋体"/>
                <w:spacing w:val="8"/>
                <w:sz w:val="23"/>
                <w:szCs w:val="23"/>
              </w:rPr>
              <w:t>设</w:t>
            </w:r>
            <w:r>
              <w:rPr>
                <w:rFonts w:ascii="宋体" w:hAnsi="宋体" w:eastAsia="宋体" w:cs="宋体"/>
                <w:spacing w:val="6"/>
                <w:sz w:val="23"/>
                <w:szCs w:val="23"/>
              </w:rPr>
              <w:t>备品种</w:t>
            </w:r>
          </w:p>
        </w:tc>
        <w:tc>
          <w:tcPr>
            <w:tcW w:w="1417" w:type="dxa"/>
            <w:vAlign w:val="top"/>
          </w:tcPr>
          <w:p>
            <w:pPr>
              <w:spacing w:line="294" w:lineRule="auto"/>
              <w:jc w:val="center"/>
              <w:rPr>
                <w:rFonts w:ascii="Arial"/>
                <w:sz w:val="21"/>
              </w:rPr>
            </w:pPr>
          </w:p>
          <w:p>
            <w:pPr>
              <w:spacing w:before="75" w:line="227" w:lineRule="auto"/>
              <w:ind w:left="98"/>
              <w:jc w:val="center"/>
              <w:rPr>
                <w:rFonts w:ascii="宋体" w:hAnsi="宋体" w:eastAsia="宋体" w:cs="宋体"/>
                <w:sz w:val="23"/>
                <w:szCs w:val="23"/>
              </w:rPr>
            </w:pPr>
            <w:r>
              <w:rPr>
                <w:rFonts w:ascii="宋体" w:hAnsi="宋体" w:eastAsia="宋体" w:cs="宋体"/>
                <w:spacing w:val="8"/>
                <w:sz w:val="23"/>
                <w:szCs w:val="23"/>
              </w:rPr>
              <w:t>规</w:t>
            </w:r>
            <w:r>
              <w:rPr>
                <w:rFonts w:ascii="宋体" w:hAnsi="宋体" w:eastAsia="宋体" w:cs="宋体"/>
                <w:spacing w:val="7"/>
                <w:sz w:val="23"/>
                <w:szCs w:val="23"/>
              </w:rPr>
              <w:t>格型号</w:t>
            </w:r>
          </w:p>
        </w:tc>
        <w:tc>
          <w:tcPr>
            <w:tcW w:w="940" w:type="dxa"/>
            <w:vAlign w:val="top"/>
          </w:tcPr>
          <w:p>
            <w:pPr>
              <w:spacing w:line="294" w:lineRule="auto"/>
              <w:jc w:val="center"/>
              <w:rPr>
                <w:rFonts w:ascii="Arial"/>
                <w:sz w:val="21"/>
              </w:rPr>
            </w:pPr>
          </w:p>
          <w:p>
            <w:pPr>
              <w:spacing w:before="74" w:line="228" w:lineRule="auto"/>
              <w:ind w:left="100"/>
              <w:jc w:val="center"/>
              <w:rPr>
                <w:rFonts w:ascii="宋体" w:hAnsi="宋体" w:eastAsia="宋体" w:cs="宋体"/>
                <w:sz w:val="23"/>
                <w:szCs w:val="23"/>
              </w:rPr>
            </w:pPr>
            <w:r>
              <w:rPr>
                <w:rFonts w:ascii="宋体" w:hAnsi="宋体" w:eastAsia="宋体" w:cs="宋体"/>
                <w:spacing w:val="4"/>
                <w:sz w:val="23"/>
                <w:szCs w:val="23"/>
              </w:rPr>
              <w:t>单位</w:t>
            </w:r>
          </w:p>
        </w:tc>
        <w:tc>
          <w:tcPr>
            <w:tcW w:w="851" w:type="dxa"/>
            <w:vAlign w:val="top"/>
          </w:tcPr>
          <w:p>
            <w:pPr>
              <w:spacing w:line="294" w:lineRule="auto"/>
              <w:jc w:val="center"/>
              <w:rPr>
                <w:rFonts w:ascii="Arial"/>
                <w:sz w:val="21"/>
              </w:rPr>
            </w:pPr>
          </w:p>
          <w:p>
            <w:pPr>
              <w:spacing w:before="75" w:line="227" w:lineRule="auto"/>
              <w:ind w:left="98"/>
              <w:jc w:val="center"/>
              <w:rPr>
                <w:rFonts w:ascii="宋体" w:hAnsi="宋体" w:eastAsia="宋体" w:cs="宋体"/>
                <w:sz w:val="23"/>
                <w:szCs w:val="23"/>
              </w:rPr>
            </w:pPr>
            <w:r>
              <w:rPr>
                <w:rFonts w:ascii="宋体" w:hAnsi="宋体" w:eastAsia="宋体" w:cs="宋体"/>
                <w:spacing w:val="4"/>
                <w:sz w:val="23"/>
                <w:szCs w:val="23"/>
              </w:rPr>
              <w:t>数量</w:t>
            </w:r>
          </w:p>
        </w:tc>
        <w:tc>
          <w:tcPr>
            <w:tcW w:w="1043" w:type="dxa"/>
            <w:vAlign w:val="top"/>
          </w:tcPr>
          <w:p>
            <w:pPr>
              <w:spacing w:before="152" w:line="439" w:lineRule="exact"/>
              <w:ind w:left="99"/>
              <w:jc w:val="center"/>
              <w:rPr>
                <w:rFonts w:ascii="宋体" w:hAnsi="宋体" w:eastAsia="宋体" w:cs="宋体"/>
                <w:sz w:val="23"/>
                <w:szCs w:val="23"/>
              </w:rPr>
            </w:pPr>
            <w:r>
              <w:rPr>
                <w:rFonts w:ascii="宋体" w:hAnsi="宋体" w:eastAsia="宋体" w:cs="宋体"/>
                <w:spacing w:val="9"/>
                <w:position w:val="15"/>
                <w:sz w:val="23"/>
                <w:szCs w:val="23"/>
              </w:rPr>
              <w:t>单价</w:t>
            </w:r>
          </w:p>
          <w:p>
            <w:pPr>
              <w:spacing w:line="228" w:lineRule="auto"/>
              <w:ind w:left="109"/>
              <w:jc w:val="center"/>
              <w:rPr>
                <w:rFonts w:ascii="宋体" w:hAnsi="宋体" w:eastAsia="宋体" w:cs="宋体"/>
                <w:sz w:val="23"/>
                <w:szCs w:val="23"/>
              </w:rPr>
            </w:pPr>
            <w:r>
              <w:rPr>
                <w:rFonts w:ascii="宋体" w:hAnsi="宋体" w:eastAsia="宋体" w:cs="宋体"/>
                <w:spacing w:val="38"/>
                <w:sz w:val="23"/>
                <w:szCs w:val="23"/>
              </w:rPr>
              <w:t>(元)</w:t>
            </w:r>
          </w:p>
        </w:tc>
        <w:tc>
          <w:tcPr>
            <w:tcW w:w="1336" w:type="dxa"/>
            <w:vAlign w:val="top"/>
          </w:tcPr>
          <w:p>
            <w:pPr>
              <w:spacing w:before="152" w:line="439" w:lineRule="exact"/>
              <w:ind w:left="99"/>
              <w:jc w:val="center"/>
              <w:rPr>
                <w:rFonts w:ascii="宋体" w:hAnsi="宋体" w:eastAsia="宋体" w:cs="宋体"/>
                <w:sz w:val="23"/>
                <w:szCs w:val="23"/>
              </w:rPr>
            </w:pPr>
            <w:r>
              <w:rPr>
                <w:rFonts w:ascii="宋体" w:hAnsi="宋体" w:eastAsia="宋体" w:cs="宋体"/>
                <w:spacing w:val="27"/>
                <w:position w:val="15"/>
                <w:sz w:val="23"/>
                <w:szCs w:val="23"/>
              </w:rPr>
              <w:t>质量</w:t>
            </w:r>
          </w:p>
          <w:p>
            <w:pPr>
              <w:spacing w:line="227" w:lineRule="auto"/>
              <w:ind w:left="100"/>
              <w:jc w:val="center"/>
              <w:rPr>
                <w:rFonts w:ascii="宋体" w:hAnsi="宋体" w:eastAsia="宋体" w:cs="宋体"/>
                <w:sz w:val="23"/>
                <w:szCs w:val="23"/>
              </w:rPr>
            </w:pPr>
            <w:r>
              <w:rPr>
                <w:rFonts w:ascii="宋体" w:hAnsi="宋体" w:eastAsia="宋体" w:cs="宋体"/>
                <w:spacing w:val="4"/>
                <w:sz w:val="23"/>
                <w:szCs w:val="23"/>
              </w:rPr>
              <w:t>等级</w:t>
            </w:r>
          </w:p>
        </w:tc>
        <w:tc>
          <w:tcPr>
            <w:tcW w:w="885" w:type="dxa"/>
            <w:vAlign w:val="top"/>
          </w:tcPr>
          <w:p>
            <w:pPr>
              <w:spacing w:before="152" w:line="439" w:lineRule="exact"/>
              <w:ind w:left="98"/>
              <w:jc w:val="center"/>
              <w:rPr>
                <w:rFonts w:ascii="宋体" w:hAnsi="宋体" w:eastAsia="宋体" w:cs="宋体"/>
                <w:sz w:val="23"/>
                <w:szCs w:val="23"/>
              </w:rPr>
            </w:pPr>
            <w:r>
              <w:rPr>
                <w:rFonts w:ascii="宋体" w:hAnsi="宋体" w:eastAsia="宋体" w:cs="宋体"/>
                <w:spacing w:val="29"/>
                <w:position w:val="15"/>
                <w:sz w:val="23"/>
                <w:szCs w:val="23"/>
              </w:rPr>
              <w:t>供</w:t>
            </w:r>
            <w:r>
              <w:rPr>
                <w:rFonts w:ascii="宋体" w:hAnsi="宋体" w:eastAsia="宋体" w:cs="宋体"/>
                <w:spacing w:val="28"/>
                <w:position w:val="15"/>
                <w:sz w:val="23"/>
                <w:szCs w:val="23"/>
              </w:rPr>
              <w:t>应</w:t>
            </w:r>
          </w:p>
          <w:p>
            <w:pPr>
              <w:spacing w:line="229" w:lineRule="auto"/>
              <w:ind w:left="109"/>
              <w:jc w:val="center"/>
              <w:rPr>
                <w:rFonts w:ascii="宋体" w:hAnsi="宋体" w:eastAsia="宋体" w:cs="宋体"/>
                <w:sz w:val="23"/>
                <w:szCs w:val="23"/>
              </w:rPr>
            </w:pPr>
            <w:r>
              <w:rPr>
                <w:rFonts w:ascii="宋体" w:hAnsi="宋体" w:eastAsia="宋体" w:cs="宋体"/>
                <w:spacing w:val="-1"/>
                <w:sz w:val="23"/>
                <w:szCs w:val="23"/>
              </w:rPr>
              <w:t>时</w:t>
            </w:r>
            <w:r>
              <w:rPr>
                <w:rFonts w:ascii="宋体" w:hAnsi="宋体" w:eastAsia="宋体" w:cs="宋体"/>
                <w:sz w:val="23"/>
                <w:szCs w:val="23"/>
              </w:rPr>
              <w:t>间</w:t>
            </w:r>
          </w:p>
        </w:tc>
        <w:tc>
          <w:tcPr>
            <w:tcW w:w="1108" w:type="dxa"/>
            <w:vAlign w:val="top"/>
          </w:tcPr>
          <w:p>
            <w:pPr>
              <w:spacing w:line="294" w:lineRule="auto"/>
              <w:jc w:val="center"/>
              <w:rPr>
                <w:rFonts w:ascii="Arial"/>
                <w:sz w:val="21"/>
              </w:rPr>
            </w:pPr>
          </w:p>
          <w:p>
            <w:pPr>
              <w:spacing w:before="74" w:line="228" w:lineRule="auto"/>
              <w:ind w:left="97"/>
              <w:jc w:val="center"/>
              <w:rPr>
                <w:rFonts w:ascii="宋体" w:hAnsi="宋体" w:eastAsia="宋体" w:cs="宋体"/>
                <w:sz w:val="23"/>
                <w:szCs w:val="23"/>
              </w:rPr>
            </w:pPr>
            <w:r>
              <w:rPr>
                <w:rFonts w:ascii="宋体" w:hAnsi="宋体" w:eastAsia="宋体" w:cs="宋体"/>
                <w:spacing w:val="8"/>
                <w:sz w:val="23"/>
                <w:szCs w:val="23"/>
              </w:rPr>
              <w:t>送达地点</w:t>
            </w:r>
          </w:p>
        </w:tc>
        <w:tc>
          <w:tcPr>
            <w:tcW w:w="996" w:type="dxa"/>
            <w:vAlign w:val="top"/>
          </w:tcPr>
          <w:p>
            <w:pPr>
              <w:spacing w:line="293" w:lineRule="auto"/>
              <w:jc w:val="center"/>
              <w:rPr>
                <w:rFonts w:ascii="Arial"/>
                <w:sz w:val="21"/>
              </w:rPr>
            </w:pPr>
          </w:p>
          <w:p>
            <w:pPr>
              <w:spacing w:before="75" w:line="229" w:lineRule="auto"/>
              <w:ind w:left="104"/>
              <w:jc w:val="center"/>
              <w:rPr>
                <w:rFonts w:ascii="宋体" w:hAnsi="宋体" w:eastAsia="宋体" w:cs="宋体"/>
                <w:sz w:val="23"/>
                <w:szCs w:val="23"/>
              </w:rPr>
            </w:pPr>
            <w:r>
              <w:rPr>
                <w:rFonts w:ascii="宋体" w:hAnsi="宋体" w:eastAsia="宋体" w:cs="宋体"/>
                <w:spacing w:val="4"/>
                <w:sz w:val="23"/>
                <w:szCs w:val="23"/>
              </w:rPr>
              <w:t>备</w:t>
            </w:r>
            <w:r>
              <w:rPr>
                <w:rFonts w:ascii="宋体" w:hAnsi="宋体" w:eastAsia="宋体" w:cs="宋体"/>
                <w:spacing w:val="3"/>
                <w:sz w:val="23"/>
                <w:szCs w:val="23"/>
              </w:rPr>
              <w:t>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855" w:type="dxa"/>
            <w:vAlign w:val="top"/>
          </w:tcPr>
          <w:p>
            <w:pPr>
              <w:rPr>
                <w:rFonts w:ascii="Arial"/>
                <w:sz w:val="21"/>
              </w:rPr>
            </w:pPr>
          </w:p>
        </w:tc>
        <w:tc>
          <w:tcPr>
            <w:tcW w:w="1275" w:type="dxa"/>
            <w:vAlign w:val="top"/>
          </w:tcPr>
          <w:p>
            <w:pPr>
              <w:rPr>
                <w:rFonts w:ascii="Arial"/>
                <w:sz w:val="21"/>
              </w:rPr>
            </w:pPr>
          </w:p>
        </w:tc>
        <w:tc>
          <w:tcPr>
            <w:tcW w:w="1417" w:type="dxa"/>
            <w:vAlign w:val="top"/>
          </w:tcPr>
          <w:p>
            <w:pPr>
              <w:rPr>
                <w:rFonts w:ascii="Arial"/>
                <w:sz w:val="21"/>
              </w:rPr>
            </w:pPr>
          </w:p>
        </w:tc>
        <w:tc>
          <w:tcPr>
            <w:tcW w:w="940" w:type="dxa"/>
            <w:vAlign w:val="top"/>
          </w:tcPr>
          <w:p>
            <w:pPr>
              <w:rPr>
                <w:rFonts w:ascii="Arial"/>
                <w:sz w:val="21"/>
              </w:rPr>
            </w:pPr>
          </w:p>
        </w:tc>
        <w:tc>
          <w:tcPr>
            <w:tcW w:w="851" w:type="dxa"/>
            <w:vAlign w:val="top"/>
          </w:tcPr>
          <w:p>
            <w:pPr>
              <w:rPr>
                <w:rFonts w:ascii="Arial"/>
                <w:sz w:val="21"/>
              </w:rPr>
            </w:pPr>
          </w:p>
        </w:tc>
        <w:tc>
          <w:tcPr>
            <w:tcW w:w="1043" w:type="dxa"/>
            <w:vAlign w:val="top"/>
          </w:tcPr>
          <w:p>
            <w:pPr>
              <w:rPr>
                <w:rFonts w:ascii="Arial"/>
                <w:sz w:val="21"/>
              </w:rPr>
            </w:pPr>
          </w:p>
        </w:tc>
        <w:tc>
          <w:tcPr>
            <w:tcW w:w="1336" w:type="dxa"/>
            <w:vAlign w:val="top"/>
          </w:tcPr>
          <w:p>
            <w:pPr>
              <w:rPr>
                <w:rFonts w:ascii="Arial"/>
                <w:sz w:val="21"/>
              </w:rPr>
            </w:pPr>
          </w:p>
        </w:tc>
        <w:tc>
          <w:tcPr>
            <w:tcW w:w="885" w:type="dxa"/>
            <w:vAlign w:val="top"/>
          </w:tcPr>
          <w:p>
            <w:pPr>
              <w:rPr>
                <w:rFonts w:ascii="Arial"/>
                <w:sz w:val="21"/>
              </w:rPr>
            </w:pPr>
          </w:p>
        </w:tc>
        <w:tc>
          <w:tcPr>
            <w:tcW w:w="1108" w:type="dxa"/>
            <w:vAlign w:val="top"/>
          </w:tcPr>
          <w:p>
            <w:pPr>
              <w:rPr>
                <w:rFonts w:ascii="Arial"/>
                <w:sz w:val="21"/>
              </w:rPr>
            </w:pPr>
          </w:p>
        </w:tc>
        <w:tc>
          <w:tcPr>
            <w:tcW w:w="996"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855" w:type="dxa"/>
            <w:vAlign w:val="top"/>
          </w:tcPr>
          <w:p>
            <w:pPr>
              <w:rPr>
                <w:rFonts w:ascii="Arial"/>
                <w:sz w:val="21"/>
              </w:rPr>
            </w:pPr>
          </w:p>
        </w:tc>
        <w:tc>
          <w:tcPr>
            <w:tcW w:w="1275" w:type="dxa"/>
            <w:vAlign w:val="top"/>
          </w:tcPr>
          <w:p>
            <w:pPr>
              <w:rPr>
                <w:rFonts w:ascii="Arial"/>
                <w:sz w:val="21"/>
              </w:rPr>
            </w:pPr>
          </w:p>
        </w:tc>
        <w:tc>
          <w:tcPr>
            <w:tcW w:w="1417" w:type="dxa"/>
            <w:vAlign w:val="top"/>
          </w:tcPr>
          <w:p>
            <w:pPr>
              <w:rPr>
                <w:rFonts w:ascii="Arial"/>
                <w:sz w:val="21"/>
              </w:rPr>
            </w:pPr>
          </w:p>
        </w:tc>
        <w:tc>
          <w:tcPr>
            <w:tcW w:w="940" w:type="dxa"/>
            <w:vAlign w:val="top"/>
          </w:tcPr>
          <w:p>
            <w:pPr>
              <w:rPr>
                <w:rFonts w:ascii="Arial"/>
                <w:sz w:val="21"/>
              </w:rPr>
            </w:pPr>
          </w:p>
        </w:tc>
        <w:tc>
          <w:tcPr>
            <w:tcW w:w="851" w:type="dxa"/>
            <w:vAlign w:val="top"/>
          </w:tcPr>
          <w:p>
            <w:pPr>
              <w:rPr>
                <w:rFonts w:ascii="Arial"/>
                <w:sz w:val="21"/>
              </w:rPr>
            </w:pPr>
          </w:p>
        </w:tc>
        <w:tc>
          <w:tcPr>
            <w:tcW w:w="1043" w:type="dxa"/>
            <w:vAlign w:val="top"/>
          </w:tcPr>
          <w:p>
            <w:pPr>
              <w:rPr>
                <w:rFonts w:ascii="Arial"/>
                <w:sz w:val="21"/>
              </w:rPr>
            </w:pPr>
          </w:p>
        </w:tc>
        <w:tc>
          <w:tcPr>
            <w:tcW w:w="1336" w:type="dxa"/>
            <w:vAlign w:val="top"/>
          </w:tcPr>
          <w:p>
            <w:pPr>
              <w:rPr>
                <w:rFonts w:ascii="Arial"/>
                <w:sz w:val="21"/>
              </w:rPr>
            </w:pPr>
          </w:p>
        </w:tc>
        <w:tc>
          <w:tcPr>
            <w:tcW w:w="885" w:type="dxa"/>
            <w:vAlign w:val="top"/>
          </w:tcPr>
          <w:p>
            <w:pPr>
              <w:rPr>
                <w:rFonts w:ascii="Arial"/>
                <w:sz w:val="21"/>
              </w:rPr>
            </w:pPr>
          </w:p>
        </w:tc>
        <w:tc>
          <w:tcPr>
            <w:tcW w:w="1108" w:type="dxa"/>
            <w:vAlign w:val="top"/>
          </w:tcPr>
          <w:p>
            <w:pPr>
              <w:rPr>
                <w:rFonts w:ascii="Arial"/>
                <w:sz w:val="21"/>
              </w:rPr>
            </w:pPr>
          </w:p>
        </w:tc>
        <w:tc>
          <w:tcPr>
            <w:tcW w:w="996"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855" w:type="dxa"/>
            <w:vAlign w:val="top"/>
          </w:tcPr>
          <w:p>
            <w:pPr>
              <w:rPr>
                <w:rFonts w:ascii="Arial"/>
                <w:sz w:val="21"/>
              </w:rPr>
            </w:pPr>
          </w:p>
        </w:tc>
        <w:tc>
          <w:tcPr>
            <w:tcW w:w="1275" w:type="dxa"/>
            <w:vAlign w:val="top"/>
          </w:tcPr>
          <w:p>
            <w:pPr>
              <w:rPr>
                <w:rFonts w:ascii="Arial"/>
                <w:sz w:val="21"/>
              </w:rPr>
            </w:pPr>
          </w:p>
        </w:tc>
        <w:tc>
          <w:tcPr>
            <w:tcW w:w="1417" w:type="dxa"/>
            <w:vAlign w:val="top"/>
          </w:tcPr>
          <w:p>
            <w:pPr>
              <w:rPr>
                <w:rFonts w:ascii="Arial"/>
                <w:sz w:val="21"/>
              </w:rPr>
            </w:pPr>
          </w:p>
        </w:tc>
        <w:tc>
          <w:tcPr>
            <w:tcW w:w="940" w:type="dxa"/>
            <w:vAlign w:val="top"/>
          </w:tcPr>
          <w:p>
            <w:pPr>
              <w:rPr>
                <w:rFonts w:ascii="Arial"/>
                <w:sz w:val="21"/>
              </w:rPr>
            </w:pPr>
          </w:p>
        </w:tc>
        <w:tc>
          <w:tcPr>
            <w:tcW w:w="851" w:type="dxa"/>
            <w:vAlign w:val="top"/>
          </w:tcPr>
          <w:p>
            <w:pPr>
              <w:rPr>
                <w:rFonts w:ascii="Arial"/>
                <w:sz w:val="21"/>
              </w:rPr>
            </w:pPr>
          </w:p>
        </w:tc>
        <w:tc>
          <w:tcPr>
            <w:tcW w:w="1043" w:type="dxa"/>
            <w:vAlign w:val="top"/>
          </w:tcPr>
          <w:p>
            <w:pPr>
              <w:rPr>
                <w:rFonts w:ascii="Arial"/>
                <w:sz w:val="21"/>
              </w:rPr>
            </w:pPr>
          </w:p>
        </w:tc>
        <w:tc>
          <w:tcPr>
            <w:tcW w:w="1336" w:type="dxa"/>
            <w:vAlign w:val="top"/>
          </w:tcPr>
          <w:p>
            <w:pPr>
              <w:rPr>
                <w:rFonts w:ascii="Arial"/>
                <w:sz w:val="21"/>
              </w:rPr>
            </w:pPr>
          </w:p>
        </w:tc>
        <w:tc>
          <w:tcPr>
            <w:tcW w:w="885" w:type="dxa"/>
            <w:vAlign w:val="top"/>
          </w:tcPr>
          <w:p>
            <w:pPr>
              <w:rPr>
                <w:rFonts w:ascii="Arial"/>
                <w:sz w:val="21"/>
              </w:rPr>
            </w:pPr>
          </w:p>
        </w:tc>
        <w:tc>
          <w:tcPr>
            <w:tcW w:w="1108" w:type="dxa"/>
            <w:vAlign w:val="top"/>
          </w:tcPr>
          <w:p>
            <w:pPr>
              <w:rPr>
                <w:rFonts w:ascii="Arial"/>
                <w:sz w:val="21"/>
              </w:rPr>
            </w:pPr>
          </w:p>
        </w:tc>
        <w:tc>
          <w:tcPr>
            <w:tcW w:w="996"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71" w:hRule="atLeast"/>
        </w:trPr>
        <w:tc>
          <w:tcPr>
            <w:tcW w:w="855" w:type="dxa"/>
            <w:vAlign w:val="top"/>
          </w:tcPr>
          <w:p>
            <w:pPr>
              <w:rPr>
                <w:rFonts w:ascii="Arial"/>
                <w:sz w:val="21"/>
              </w:rPr>
            </w:pPr>
          </w:p>
        </w:tc>
        <w:tc>
          <w:tcPr>
            <w:tcW w:w="1275" w:type="dxa"/>
            <w:vAlign w:val="top"/>
          </w:tcPr>
          <w:p>
            <w:pPr>
              <w:rPr>
                <w:rFonts w:ascii="Arial"/>
                <w:sz w:val="21"/>
              </w:rPr>
            </w:pPr>
          </w:p>
        </w:tc>
        <w:tc>
          <w:tcPr>
            <w:tcW w:w="1417" w:type="dxa"/>
            <w:vAlign w:val="top"/>
          </w:tcPr>
          <w:p>
            <w:pPr>
              <w:rPr>
                <w:rFonts w:ascii="Arial"/>
                <w:sz w:val="21"/>
              </w:rPr>
            </w:pPr>
          </w:p>
        </w:tc>
        <w:tc>
          <w:tcPr>
            <w:tcW w:w="940" w:type="dxa"/>
            <w:vAlign w:val="top"/>
          </w:tcPr>
          <w:p>
            <w:pPr>
              <w:rPr>
                <w:rFonts w:ascii="Arial"/>
                <w:sz w:val="21"/>
              </w:rPr>
            </w:pPr>
          </w:p>
        </w:tc>
        <w:tc>
          <w:tcPr>
            <w:tcW w:w="851" w:type="dxa"/>
            <w:vAlign w:val="top"/>
          </w:tcPr>
          <w:p>
            <w:pPr>
              <w:rPr>
                <w:rFonts w:ascii="Arial"/>
                <w:sz w:val="21"/>
              </w:rPr>
            </w:pPr>
          </w:p>
        </w:tc>
        <w:tc>
          <w:tcPr>
            <w:tcW w:w="1043" w:type="dxa"/>
            <w:vAlign w:val="top"/>
          </w:tcPr>
          <w:p>
            <w:pPr>
              <w:rPr>
                <w:rFonts w:ascii="Arial"/>
                <w:sz w:val="21"/>
              </w:rPr>
            </w:pPr>
          </w:p>
        </w:tc>
        <w:tc>
          <w:tcPr>
            <w:tcW w:w="1336" w:type="dxa"/>
            <w:vAlign w:val="top"/>
          </w:tcPr>
          <w:p>
            <w:pPr>
              <w:rPr>
                <w:rFonts w:ascii="Arial"/>
                <w:sz w:val="21"/>
              </w:rPr>
            </w:pPr>
          </w:p>
        </w:tc>
        <w:tc>
          <w:tcPr>
            <w:tcW w:w="885" w:type="dxa"/>
            <w:vAlign w:val="top"/>
          </w:tcPr>
          <w:p>
            <w:pPr>
              <w:rPr>
                <w:rFonts w:ascii="Arial"/>
                <w:sz w:val="21"/>
              </w:rPr>
            </w:pPr>
          </w:p>
        </w:tc>
        <w:tc>
          <w:tcPr>
            <w:tcW w:w="1108" w:type="dxa"/>
            <w:vAlign w:val="top"/>
          </w:tcPr>
          <w:p>
            <w:pPr>
              <w:rPr>
                <w:rFonts w:ascii="Arial"/>
                <w:sz w:val="21"/>
              </w:rPr>
            </w:pPr>
          </w:p>
        </w:tc>
        <w:tc>
          <w:tcPr>
            <w:tcW w:w="996"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855" w:type="dxa"/>
            <w:vAlign w:val="top"/>
          </w:tcPr>
          <w:p>
            <w:pPr>
              <w:rPr>
                <w:rFonts w:ascii="Arial"/>
                <w:sz w:val="21"/>
              </w:rPr>
            </w:pPr>
          </w:p>
        </w:tc>
        <w:tc>
          <w:tcPr>
            <w:tcW w:w="1275" w:type="dxa"/>
            <w:vAlign w:val="top"/>
          </w:tcPr>
          <w:p>
            <w:pPr>
              <w:rPr>
                <w:rFonts w:ascii="Arial"/>
                <w:sz w:val="21"/>
              </w:rPr>
            </w:pPr>
          </w:p>
        </w:tc>
        <w:tc>
          <w:tcPr>
            <w:tcW w:w="1417" w:type="dxa"/>
            <w:vAlign w:val="top"/>
          </w:tcPr>
          <w:p>
            <w:pPr>
              <w:rPr>
                <w:rFonts w:ascii="Arial"/>
                <w:sz w:val="21"/>
              </w:rPr>
            </w:pPr>
          </w:p>
        </w:tc>
        <w:tc>
          <w:tcPr>
            <w:tcW w:w="940" w:type="dxa"/>
            <w:vAlign w:val="top"/>
          </w:tcPr>
          <w:p>
            <w:pPr>
              <w:rPr>
                <w:rFonts w:ascii="Arial"/>
                <w:sz w:val="21"/>
              </w:rPr>
            </w:pPr>
          </w:p>
        </w:tc>
        <w:tc>
          <w:tcPr>
            <w:tcW w:w="851" w:type="dxa"/>
            <w:vAlign w:val="top"/>
          </w:tcPr>
          <w:p>
            <w:pPr>
              <w:rPr>
                <w:rFonts w:ascii="Arial"/>
                <w:sz w:val="21"/>
              </w:rPr>
            </w:pPr>
          </w:p>
        </w:tc>
        <w:tc>
          <w:tcPr>
            <w:tcW w:w="1043" w:type="dxa"/>
            <w:vAlign w:val="top"/>
          </w:tcPr>
          <w:p>
            <w:pPr>
              <w:rPr>
                <w:rFonts w:ascii="Arial"/>
                <w:sz w:val="21"/>
              </w:rPr>
            </w:pPr>
          </w:p>
        </w:tc>
        <w:tc>
          <w:tcPr>
            <w:tcW w:w="1336" w:type="dxa"/>
            <w:vAlign w:val="top"/>
          </w:tcPr>
          <w:p>
            <w:pPr>
              <w:rPr>
                <w:rFonts w:ascii="Arial"/>
                <w:sz w:val="21"/>
              </w:rPr>
            </w:pPr>
          </w:p>
        </w:tc>
        <w:tc>
          <w:tcPr>
            <w:tcW w:w="885" w:type="dxa"/>
            <w:vAlign w:val="top"/>
          </w:tcPr>
          <w:p>
            <w:pPr>
              <w:rPr>
                <w:rFonts w:ascii="Arial"/>
                <w:sz w:val="21"/>
              </w:rPr>
            </w:pPr>
          </w:p>
        </w:tc>
        <w:tc>
          <w:tcPr>
            <w:tcW w:w="1108" w:type="dxa"/>
            <w:vAlign w:val="top"/>
          </w:tcPr>
          <w:p>
            <w:pPr>
              <w:rPr>
                <w:rFonts w:ascii="Arial"/>
                <w:sz w:val="21"/>
              </w:rPr>
            </w:pPr>
          </w:p>
        </w:tc>
        <w:tc>
          <w:tcPr>
            <w:tcW w:w="996"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855" w:type="dxa"/>
            <w:vAlign w:val="top"/>
          </w:tcPr>
          <w:p>
            <w:pPr>
              <w:rPr>
                <w:rFonts w:ascii="Arial"/>
                <w:sz w:val="21"/>
              </w:rPr>
            </w:pPr>
          </w:p>
        </w:tc>
        <w:tc>
          <w:tcPr>
            <w:tcW w:w="1275" w:type="dxa"/>
            <w:vAlign w:val="top"/>
          </w:tcPr>
          <w:p>
            <w:pPr>
              <w:rPr>
                <w:rFonts w:ascii="Arial"/>
                <w:sz w:val="21"/>
              </w:rPr>
            </w:pPr>
          </w:p>
        </w:tc>
        <w:tc>
          <w:tcPr>
            <w:tcW w:w="1417" w:type="dxa"/>
            <w:vAlign w:val="top"/>
          </w:tcPr>
          <w:p>
            <w:pPr>
              <w:rPr>
                <w:rFonts w:ascii="Arial"/>
                <w:sz w:val="21"/>
              </w:rPr>
            </w:pPr>
          </w:p>
        </w:tc>
        <w:tc>
          <w:tcPr>
            <w:tcW w:w="940" w:type="dxa"/>
            <w:vAlign w:val="top"/>
          </w:tcPr>
          <w:p>
            <w:pPr>
              <w:rPr>
                <w:rFonts w:ascii="Arial"/>
                <w:sz w:val="21"/>
              </w:rPr>
            </w:pPr>
          </w:p>
        </w:tc>
        <w:tc>
          <w:tcPr>
            <w:tcW w:w="851" w:type="dxa"/>
            <w:vAlign w:val="top"/>
          </w:tcPr>
          <w:p>
            <w:pPr>
              <w:rPr>
                <w:rFonts w:ascii="Arial"/>
                <w:sz w:val="21"/>
              </w:rPr>
            </w:pPr>
          </w:p>
        </w:tc>
        <w:tc>
          <w:tcPr>
            <w:tcW w:w="1043" w:type="dxa"/>
            <w:vAlign w:val="top"/>
          </w:tcPr>
          <w:p>
            <w:pPr>
              <w:rPr>
                <w:rFonts w:ascii="Arial"/>
                <w:sz w:val="21"/>
              </w:rPr>
            </w:pPr>
          </w:p>
        </w:tc>
        <w:tc>
          <w:tcPr>
            <w:tcW w:w="1336" w:type="dxa"/>
            <w:vAlign w:val="top"/>
          </w:tcPr>
          <w:p>
            <w:pPr>
              <w:rPr>
                <w:rFonts w:ascii="Arial"/>
                <w:sz w:val="21"/>
              </w:rPr>
            </w:pPr>
          </w:p>
        </w:tc>
        <w:tc>
          <w:tcPr>
            <w:tcW w:w="885" w:type="dxa"/>
            <w:vAlign w:val="top"/>
          </w:tcPr>
          <w:p>
            <w:pPr>
              <w:rPr>
                <w:rFonts w:ascii="Arial"/>
                <w:sz w:val="21"/>
              </w:rPr>
            </w:pPr>
          </w:p>
        </w:tc>
        <w:tc>
          <w:tcPr>
            <w:tcW w:w="1108" w:type="dxa"/>
            <w:vAlign w:val="top"/>
          </w:tcPr>
          <w:p>
            <w:pPr>
              <w:rPr>
                <w:rFonts w:ascii="Arial"/>
                <w:sz w:val="21"/>
              </w:rPr>
            </w:pPr>
          </w:p>
        </w:tc>
        <w:tc>
          <w:tcPr>
            <w:tcW w:w="996"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855" w:type="dxa"/>
            <w:vAlign w:val="top"/>
          </w:tcPr>
          <w:p>
            <w:pPr>
              <w:rPr>
                <w:rFonts w:ascii="Arial"/>
                <w:sz w:val="21"/>
              </w:rPr>
            </w:pPr>
          </w:p>
        </w:tc>
        <w:tc>
          <w:tcPr>
            <w:tcW w:w="1275" w:type="dxa"/>
            <w:vAlign w:val="top"/>
          </w:tcPr>
          <w:p>
            <w:pPr>
              <w:rPr>
                <w:rFonts w:ascii="Arial"/>
                <w:sz w:val="21"/>
              </w:rPr>
            </w:pPr>
          </w:p>
        </w:tc>
        <w:tc>
          <w:tcPr>
            <w:tcW w:w="1417" w:type="dxa"/>
            <w:vAlign w:val="top"/>
          </w:tcPr>
          <w:p>
            <w:pPr>
              <w:rPr>
                <w:rFonts w:ascii="Arial"/>
                <w:sz w:val="21"/>
              </w:rPr>
            </w:pPr>
          </w:p>
        </w:tc>
        <w:tc>
          <w:tcPr>
            <w:tcW w:w="940" w:type="dxa"/>
            <w:vAlign w:val="top"/>
          </w:tcPr>
          <w:p>
            <w:pPr>
              <w:rPr>
                <w:rFonts w:ascii="Arial"/>
                <w:sz w:val="21"/>
              </w:rPr>
            </w:pPr>
          </w:p>
        </w:tc>
        <w:tc>
          <w:tcPr>
            <w:tcW w:w="851" w:type="dxa"/>
            <w:vAlign w:val="top"/>
          </w:tcPr>
          <w:p>
            <w:pPr>
              <w:rPr>
                <w:rFonts w:ascii="Arial"/>
                <w:sz w:val="21"/>
              </w:rPr>
            </w:pPr>
          </w:p>
        </w:tc>
        <w:tc>
          <w:tcPr>
            <w:tcW w:w="1043" w:type="dxa"/>
            <w:vAlign w:val="top"/>
          </w:tcPr>
          <w:p>
            <w:pPr>
              <w:rPr>
                <w:rFonts w:ascii="Arial"/>
                <w:sz w:val="21"/>
              </w:rPr>
            </w:pPr>
          </w:p>
        </w:tc>
        <w:tc>
          <w:tcPr>
            <w:tcW w:w="1336" w:type="dxa"/>
            <w:vAlign w:val="top"/>
          </w:tcPr>
          <w:p>
            <w:pPr>
              <w:rPr>
                <w:rFonts w:ascii="Arial"/>
                <w:sz w:val="21"/>
              </w:rPr>
            </w:pPr>
          </w:p>
        </w:tc>
        <w:tc>
          <w:tcPr>
            <w:tcW w:w="885" w:type="dxa"/>
            <w:vAlign w:val="top"/>
          </w:tcPr>
          <w:p>
            <w:pPr>
              <w:rPr>
                <w:rFonts w:ascii="Arial"/>
                <w:sz w:val="21"/>
              </w:rPr>
            </w:pPr>
          </w:p>
        </w:tc>
        <w:tc>
          <w:tcPr>
            <w:tcW w:w="1108" w:type="dxa"/>
            <w:vAlign w:val="top"/>
          </w:tcPr>
          <w:p>
            <w:pPr>
              <w:rPr>
                <w:rFonts w:ascii="Arial"/>
                <w:sz w:val="21"/>
              </w:rPr>
            </w:pPr>
          </w:p>
        </w:tc>
        <w:tc>
          <w:tcPr>
            <w:tcW w:w="996"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855" w:type="dxa"/>
            <w:vAlign w:val="top"/>
          </w:tcPr>
          <w:p>
            <w:pPr>
              <w:rPr>
                <w:rFonts w:ascii="Arial"/>
                <w:sz w:val="21"/>
              </w:rPr>
            </w:pPr>
          </w:p>
        </w:tc>
        <w:tc>
          <w:tcPr>
            <w:tcW w:w="1275" w:type="dxa"/>
            <w:vAlign w:val="top"/>
          </w:tcPr>
          <w:p>
            <w:pPr>
              <w:rPr>
                <w:rFonts w:ascii="Arial"/>
                <w:sz w:val="21"/>
              </w:rPr>
            </w:pPr>
          </w:p>
        </w:tc>
        <w:tc>
          <w:tcPr>
            <w:tcW w:w="1417" w:type="dxa"/>
            <w:vAlign w:val="top"/>
          </w:tcPr>
          <w:p>
            <w:pPr>
              <w:rPr>
                <w:rFonts w:ascii="Arial"/>
                <w:sz w:val="21"/>
              </w:rPr>
            </w:pPr>
          </w:p>
        </w:tc>
        <w:tc>
          <w:tcPr>
            <w:tcW w:w="940" w:type="dxa"/>
            <w:vAlign w:val="top"/>
          </w:tcPr>
          <w:p>
            <w:pPr>
              <w:rPr>
                <w:rFonts w:ascii="Arial"/>
                <w:sz w:val="21"/>
              </w:rPr>
            </w:pPr>
          </w:p>
        </w:tc>
        <w:tc>
          <w:tcPr>
            <w:tcW w:w="851" w:type="dxa"/>
            <w:vAlign w:val="top"/>
          </w:tcPr>
          <w:p>
            <w:pPr>
              <w:rPr>
                <w:rFonts w:ascii="Arial"/>
                <w:sz w:val="21"/>
              </w:rPr>
            </w:pPr>
          </w:p>
        </w:tc>
        <w:tc>
          <w:tcPr>
            <w:tcW w:w="1043" w:type="dxa"/>
            <w:vAlign w:val="top"/>
          </w:tcPr>
          <w:p>
            <w:pPr>
              <w:rPr>
                <w:rFonts w:ascii="Arial"/>
                <w:sz w:val="21"/>
              </w:rPr>
            </w:pPr>
          </w:p>
        </w:tc>
        <w:tc>
          <w:tcPr>
            <w:tcW w:w="1336" w:type="dxa"/>
            <w:vAlign w:val="top"/>
          </w:tcPr>
          <w:p>
            <w:pPr>
              <w:rPr>
                <w:rFonts w:ascii="Arial"/>
                <w:sz w:val="21"/>
              </w:rPr>
            </w:pPr>
          </w:p>
        </w:tc>
        <w:tc>
          <w:tcPr>
            <w:tcW w:w="885" w:type="dxa"/>
            <w:vAlign w:val="top"/>
          </w:tcPr>
          <w:p>
            <w:pPr>
              <w:rPr>
                <w:rFonts w:ascii="Arial"/>
                <w:sz w:val="21"/>
              </w:rPr>
            </w:pPr>
          </w:p>
        </w:tc>
        <w:tc>
          <w:tcPr>
            <w:tcW w:w="1108" w:type="dxa"/>
            <w:vAlign w:val="top"/>
          </w:tcPr>
          <w:p>
            <w:pPr>
              <w:rPr>
                <w:rFonts w:ascii="Arial"/>
                <w:sz w:val="21"/>
              </w:rPr>
            </w:pPr>
          </w:p>
        </w:tc>
        <w:tc>
          <w:tcPr>
            <w:tcW w:w="996"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72" w:hRule="atLeast"/>
        </w:trPr>
        <w:tc>
          <w:tcPr>
            <w:tcW w:w="855" w:type="dxa"/>
            <w:vAlign w:val="top"/>
          </w:tcPr>
          <w:p>
            <w:pPr>
              <w:rPr>
                <w:rFonts w:ascii="Arial"/>
                <w:sz w:val="21"/>
              </w:rPr>
            </w:pPr>
          </w:p>
        </w:tc>
        <w:tc>
          <w:tcPr>
            <w:tcW w:w="1275" w:type="dxa"/>
            <w:vAlign w:val="top"/>
          </w:tcPr>
          <w:p>
            <w:pPr>
              <w:rPr>
                <w:rFonts w:ascii="Arial"/>
                <w:sz w:val="21"/>
              </w:rPr>
            </w:pPr>
          </w:p>
        </w:tc>
        <w:tc>
          <w:tcPr>
            <w:tcW w:w="1417" w:type="dxa"/>
            <w:vAlign w:val="top"/>
          </w:tcPr>
          <w:p>
            <w:pPr>
              <w:rPr>
                <w:rFonts w:ascii="Arial"/>
                <w:sz w:val="21"/>
              </w:rPr>
            </w:pPr>
          </w:p>
        </w:tc>
        <w:tc>
          <w:tcPr>
            <w:tcW w:w="940" w:type="dxa"/>
            <w:vAlign w:val="top"/>
          </w:tcPr>
          <w:p>
            <w:pPr>
              <w:rPr>
                <w:rFonts w:ascii="Arial"/>
                <w:sz w:val="21"/>
              </w:rPr>
            </w:pPr>
          </w:p>
        </w:tc>
        <w:tc>
          <w:tcPr>
            <w:tcW w:w="851" w:type="dxa"/>
            <w:vAlign w:val="top"/>
          </w:tcPr>
          <w:p>
            <w:pPr>
              <w:rPr>
                <w:rFonts w:ascii="Arial"/>
                <w:sz w:val="21"/>
              </w:rPr>
            </w:pPr>
          </w:p>
        </w:tc>
        <w:tc>
          <w:tcPr>
            <w:tcW w:w="1043" w:type="dxa"/>
            <w:vAlign w:val="top"/>
          </w:tcPr>
          <w:p>
            <w:pPr>
              <w:rPr>
                <w:rFonts w:ascii="Arial"/>
                <w:sz w:val="21"/>
              </w:rPr>
            </w:pPr>
          </w:p>
        </w:tc>
        <w:tc>
          <w:tcPr>
            <w:tcW w:w="1336" w:type="dxa"/>
            <w:vAlign w:val="top"/>
          </w:tcPr>
          <w:p>
            <w:pPr>
              <w:rPr>
                <w:rFonts w:ascii="Arial"/>
                <w:sz w:val="21"/>
              </w:rPr>
            </w:pPr>
          </w:p>
        </w:tc>
        <w:tc>
          <w:tcPr>
            <w:tcW w:w="885" w:type="dxa"/>
            <w:vAlign w:val="top"/>
          </w:tcPr>
          <w:p>
            <w:pPr>
              <w:rPr>
                <w:rFonts w:ascii="Arial"/>
                <w:sz w:val="21"/>
              </w:rPr>
            </w:pPr>
          </w:p>
        </w:tc>
        <w:tc>
          <w:tcPr>
            <w:tcW w:w="1108" w:type="dxa"/>
            <w:vAlign w:val="top"/>
          </w:tcPr>
          <w:p>
            <w:pPr>
              <w:rPr>
                <w:rFonts w:ascii="Arial"/>
                <w:sz w:val="21"/>
              </w:rPr>
            </w:pPr>
          </w:p>
        </w:tc>
        <w:tc>
          <w:tcPr>
            <w:tcW w:w="996"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855" w:type="dxa"/>
            <w:vAlign w:val="top"/>
          </w:tcPr>
          <w:p>
            <w:pPr>
              <w:rPr>
                <w:rFonts w:ascii="Arial"/>
                <w:sz w:val="21"/>
              </w:rPr>
            </w:pPr>
          </w:p>
        </w:tc>
        <w:tc>
          <w:tcPr>
            <w:tcW w:w="1275" w:type="dxa"/>
            <w:vAlign w:val="top"/>
          </w:tcPr>
          <w:p>
            <w:pPr>
              <w:rPr>
                <w:rFonts w:ascii="Arial"/>
                <w:sz w:val="21"/>
              </w:rPr>
            </w:pPr>
          </w:p>
        </w:tc>
        <w:tc>
          <w:tcPr>
            <w:tcW w:w="1417" w:type="dxa"/>
            <w:vAlign w:val="top"/>
          </w:tcPr>
          <w:p>
            <w:pPr>
              <w:rPr>
                <w:rFonts w:ascii="Arial"/>
                <w:sz w:val="21"/>
              </w:rPr>
            </w:pPr>
          </w:p>
        </w:tc>
        <w:tc>
          <w:tcPr>
            <w:tcW w:w="940" w:type="dxa"/>
            <w:vAlign w:val="top"/>
          </w:tcPr>
          <w:p>
            <w:pPr>
              <w:rPr>
                <w:rFonts w:ascii="Arial"/>
                <w:sz w:val="21"/>
              </w:rPr>
            </w:pPr>
          </w:p>
        </w:tc>
        <w:tc>
          <w:tcPr>
            <w:tcW w:w="851" w:type="dxa"/>
            <w:vAlign w:val="top"/>
          </w:tcPr>
          <w:p>
            <w:pPr>
              <w:rPr>
                <w:rFonts w:ascii="Arial"/>
                <w:sz w:val="21"/>
              </w:rPr>
            </w:pPr>
          </w:p>
        </w:tc>
        <w:tc>
          <w:tcPr>
            <w:tcW w:w="1043" w:type="dxa"/>
            <w:vAlign w:val="top"/>
          </w:tcPr>
          <w:p>
            <w:pPr>
              <w:rPr>
                <w:rFonts w:ascii="Arial"/>
                <w:sz w:val="21"/>
              </w:rPr>
            </w:pPr>
          </w:p>
        </w:tc>
        <w:tc>
          <w:tcPr>
            <w:tcW w:w="1336" w:type="dxa"/>
            <w:vAlign w:val="top"/>
          </w:tcPr>
          <w:p>
            <w:pPr>
              <w:rPr>
                <w:rFonts w:ascii="Arial"/>
                <w:sz w:val="21"/>
              </w:rPr>
            </w:pPr>
          </w:p>
        </w:tc>
        <w:tc>
          <w:tcPr>
            <w:tcW w:w="885" w:type="dxa"/>
            <w:vAlign w:val="top"/>
          </w:tcPr>
          <w:p>
            <w:pPr>
              <w:rPr>
                <w:rFonts w:ascii="Arial"/>
                <w:sz w:val="21"/>
              </w:rPr>
            </w:pPr>
          </w:p>
        </w:tc>
        <w:tc>
          <w:tcPr>
            <w:tcW w:w="1108" w:type="dxa"/>
            <w:vAlign w:val="top"/>
          </w:tcPr>
          <w:p>
            <w:pPr>
              <w:rPr>
                <w:rFonts w:ascii="Arial"/>
                <w:sz w:val="21"/>
              </w:rPr>
            </w:pPr>
          </w:p>
        </w:tc>
        <w:tc>
          <w:tcPr>
            <w:tcW w:w="996"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855" w:type="dxa"/>
            <w:vAlign w:val="top"/>
          </w:tcPr>
          <w:p>
            <w:pPr>
              <w:rPr>
                <w:rFonts w:ascii="Arial"/>
                <w:sz w:val="21"/>
              </w:rPr>
            </w:pPr>
          </w:p>
        </w:tc>
        <w:tc>
          <w:tcPr>
            <w:tcW w:w="1275" w:type="dxa"/>
            <w:vAlign w:val="top"/>
          </w:tcPr>
          <w:p>
            <w:pPr>
              <w:rPr>
                <w:rFonts w:ascii="Arial"/>
                <w:sz w:val="21"/>
              </w:rPr>
            </w:pPr>
          </w:p>
        </w:tc>
        <w:tc>
          <w:tcPr>
            <w:tcW w:w="1417" w:type="dxa"/>
            <w:vAlign w:val="top"/>
          </w:tcPr>
          <w:p>
            <w:pPr>
              <w:rPr>
                <w:rFonts w:ascii="Arial"/>
                <w:sz w:val="21"/>
              </w:rPr>
            </w:pPr>
          </w:p>
        </w:tc>
        <w:tc>
          <w:tcPr>
            <w:tcW w:w="940" w:type="dxa"/>
            <w:vAlign w:val="top"/>
          </w:tcPr>
          <w:p>
            <w:pPr>
              <w:rPr>
                <w:rFonts w:ascii="Arial"/>
                <w:sz w:val="21"/>
              </w:rPr>
            </w:pPr>
          </w:p>
        </w:tc>
        <w:tc>
          <w:tcPr>
            <w:tcW w:w="851" w:type="dxa"/>
            <w:vAlign w:val="top"/>
          </w:tcPr>
          <w:p>
            <w:pPr>
              <w:rPr>
                <w:rFonts w:ascii="Arial"/>
                <w:sz w:val="21"/>
              </w:rPr>
            </w:pPr>
          </w:p>
        </w:tc>
        <w:tc>
          <w:tcPr>
            <w:tcW w:w="1043" w:type="dxa"/>
            <w:vAlign w:val="top"/>
          </w:tcPr>
          <w:p>
            <w:pPr>
              <w:rPr>
                <w:rFonts w:ascii="Arial"/>
                <w:sz w:val="21"/>
              </w:rPr>
            </w:pPr>
          </w:p>
        </w:tc>
        <w:tc>
          <w:tcPr>
            <w:tcW w:w="1336" w:type="dxa"/>
            <w:vAlign w:val="top"/>
          </w:tcPr>
          <w:p>
            <w:pPr>
              <w:rPr>
                <w:rFonts w:ascii="Arial"/>
                <w:sz w:val="21"/>
              </w:rPr>
            </w:pPr>
          </w:p>
        </w:tc>
        <w:tc>
          <w:tcPr>
            <w:tcW w:w="885" w:type="dxa"/>
            <w:vAlign w:val="top"/>
          </w:tcPr>
          <w:p>
            <w:pPr>
              <w:rPr>
                <w:rFonts w:ascii="Arial"/>
                <w:sz w:val="21"/>
              </w:rPr>
            </w:pPr>
          </w:p>
        </w:tc>
        <w:tc>
          <w:tcPr>
            <w:tcW w:w="1108" w:type="dxa"/>
            <w:vAlign w:val="top"/>
          </w:tcPr>
          <w:p>
            <w:pPr>
              <w:rPr>
                <w:rFonts w:ascii="Arial"/>
                <w:sz w:val="21"/>
              </w:rPr>
            </w:pPr>
          </w:p>
        </w:tc>
        <w:tc>
          <w:tcPr>
            <w:tcW w:w="996"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855" w:type="dxa"/>
            <w:vAlign w:val="top"/>
          </w:tcPr>
          <w:p>
            <w:pPr>
              <w:rPr>
                <w:rFonts w:ascii="Arial"/>
                <w:sz w:val="21"/>
              </w:rPr>
            </w:pPr>
          </w:p>
        </w:tc>
        <w:tc>
          <w:tcPr>
            <w:tcW w:w="1275" w:type="dxa"/>
            <w:vAlign w:val="top"/>
          </w:tcPr>
          <w:p>
            <w:pPr>
              <w:rPr>
                <w:rFonts w:ascii="Arial"/>
                <w:sz w:val="21"/>
              </w:rPr>
            </w:pPr>
          </w:p>
        </w:tc>
        <w:tc>
          <w:tcPr>
            <w:tcW w:w="1417" w:type="dxa"/>
            <w:vAlign w:val="top"/>
          </w:tcPr>
          <w:p>
            <w:pPr>
              <w:rPr>
                <w:rFonts w:ascii="Arial"/>
                <w:sz w:val="21"/>
              </w:rPr>
            </w:pPr>
          </w:p>
        </w:tc>
        <w:tc>
          <w:tcPr>
            <w:tcW w:w="940" w:type="dxa"/>
            <w:vAlign w:val="top"/>
          </w:tcPr>
          <w:p>
            <w:pPr>
              <w:rPr>
                <w:rFonts w:ascii="Arial"/>
                <w:sz w:val="21"/>
              </w:rPr>
            </w:pPr>
          </w:p>
        </w:tc>
        <w:tc>
          <w:tcPr>
            <w:tcW w:w="851" w:type="dxa"/>
            <w:vAlign w:val="top"/>
          </w:tcPr>
          <w:p>
            <w:pPr>
              <w:rPr>
                <w:rFonts w:ascii="Arial"/>
                <w:sz w:val="21"/>
              </w:rPr>
            </w:pPr>
          </w:p>
        </w:tc>
        <w:tc>
          <w:tcPr>
            <w:tcW w:w="1043" w:type="dxa"/>
            <w:vAlign w:val="top"/>
          </w:tcPr>
          <w:p>
            <w:pPr>
              <w:rPr>
                <w:rFonts w:ascii="Arial"/>
                <w:sz w:val="21"/>
              </w:rPr>
            </w:pPr>
          </w:p>
        </w:tc>
        <w:tc>
          <w:tcPr>
            <w:tcW w:w="1336" w:type="dxa"/>
            <w:vAlign w:val="top"/>
          </w:tcPr>
          <w:p>
            <w:pPr>
              <w:rPr>
                <w:rFonts w:ascii="Arial"/>
                <w:sz w:val="21"/>
              </w:rPr>
            </w:pPr>
          </w:p>
        </w:tc>
        <w:tc>
          <w:tcPr>
            <w:tcW w:w="885" w:type="dxa"/>
            <w:vAlign w:val="top"/>
          </w:tcPr>
          <w:p>
            <w:pPr>
              <w:rPr>
                <w:rFonts w:ascii="Arial"/>
                <w:sz w:val="21"/>
              </w:rPr>
            </w:pPr>
          </w:p>
        </w:tc>
        <w:tc>
          <w:tcPr>
            <w:tcW w:w="1108" w:type="dxa"/>
            <w:vAlign w:val="top"/>
          </w:tcPr>
          <w:p>
            <w:pPr>
              <w:rPr>
                <w:rFonts w:ascii="Arial"/>
                <w:sz w:val="21"/>
              </w:rPr>
            </w:pPr>
          </w:p>
        </w:tc>
        <w:tc>
          <w:tcPr>
            <w:tcW w:w="996"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855" w:type="dxa"/>
            <w:vAlign w:val="top"/>
          </w:tcPr>
          <w:p>
            <w:pPr>
              <w:rPr>
                <w:rFonts w:ascii="Arial"/>
                <w:sz w:val="21"/>
              </w:rPr>
            </w:pPr>
          </w:p>
        </w:tc>
        <w:tc>
          <w:tcPr>
            <w:tcW w:w="1275" w:type="dxa"/>
            <w:vAlign w:val="top"/>
          </w:tcPr>
          <w:p>
            <w:pPr>
              <w:rPr>
                <w:rFonts w:ascii="Arial"/>
                <w:sz w:val="21"/>
              </w:rPr>
            </w:pPr>
          </w:p>
        </w:tc>
        <w:tc>
          <w:tcPr>
            <w:tcW w:w="1417" w:type="dxa"/>
            <w:vAlign w:val="top"/>
          </w:tcPr>
          <w:p>
            <w:pPr>
              <w:rPr>
                <w:rFonts w:ascii="Arial"/>
                <w:sz w:val="21"/>
              </w:rPr>
            </w:pPr>
          </w:p>
        </w:tc>
        <w:tc>
          <w:tcPr>
            <w:tcW w:w="940" w:type="dxa"/>
            <w:vAlign w:val="top"/>
          </w:tcPr>
          <w:p>
            <w:pPr>
              <w:rPr>
                <w:rFonts w:ascii="Arial"/>
                <w:sz w:val="21"/>
              </w:rPr>
            </w:pPr>
          </w:p>
        </w:tc>
        <w:tc>
          <w:tcPr>
            <w:tcW w:w="851" w:type="dxa"/>
            <w:vAlign w:val="top"/>
          </w:tcPr>
          <w:p>
            <w:pPr>
              <w:rPr>
                <w:rFonts w:ascii="Arial"/>
                <w:sz w:val="21"/>
              </w:rPr>
            </w:pPr>
          </w:p>
        </w:tc>
        <w:tc>
          <w:tcPr>
            <w:tcW w:w="1043" w:type="dxa"/>
            <w:vAlign w:val="top"/>
          </w:tcPr>
          <w:p>
            <w:pPr>
              <w:rPr>
                <w:rFonts w:ascii="Arial"/>
                <w:sz w:val="21"/>
              </w:rPr>
            </w:pPr>
          </w:p>
        </w:tc>
        <w:tc>
          <w:tcPr>
            <w:tcW w:w="1336" w:type="dxa"/>
            <w:vAlign w:val="top"/>
          </w:tcPr>
          <w:p>
            <w:pPr>
              <w:rPr>
                <w:rFonts w:ascii="Arial"/>
                <w:sz w:val="21"/>
              </w:rPr>
            </w:pPr>
          </w:p>
        </w:tc>
        <w:tc>
          <w:tcPr>
            <w:tcW w:w="885" w:type="dxa"/>
            <w:vAlign w:val="top"/>
          </w:tcPr>
          <w:p>
            <w:pPr>
              <w:rPr>
                <w:rFonts w:ascii="Arial"/>
                <w:sz w:val="21"/>
              </w:rPr>
            </w:pPr>
          </w:p>
        </w:tc>
        <w:tc>
          <w:tcPr>
            <w:tcW w:w="1108" w:type="dxa"/>
            <w:vAlign w:val="top"/>
          </w:tcPr>
          <w:p>
            <w:pPr>
              <w:rPr>
                <w:rFonts w:ascii="Arial"/>
                <w:sz w:val="21"/>
              </w:rPr>
            </w:pPr>
          </w:p>
        </w:tc>
        <w:tc>
          <w:tcPr>
            <w:tcW w:w="996"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72" w:hRule="atLeast"/>
        </w:trPr>
        <w:tc>
          <w:tcPr>
            <w:tcW w:w="855" w:type="dxa"/>
            <w:vAlign w:val="top"/>
          </w:tcPr>
          <w:p>
            <w:pPr>
              <w:rPr>
                <w:rFonts w:ascii="Arial"/>
                <w:sz w:val="21"/>
              </w:rPr>
            </w:pPr>
          </w:p>
        </w:tc>
        <w:tc>
          <w:tcPr>
            <w:tcW w:w="1275" w:type="dxa"/>
            <w:vAlign w:val="top"/>
          </w:tcPr>
          <w:p>
            <w:pPr>
              <w:rPr>
                <w:rFonts w:ascii="Arial"/>
                <w:sz w:val="21"/>
              </w:rPr>
            </w:pPr>
          </w:p>
        </w:tc>
        <w:tc>
          <w:tcPr>
            <w:tcW w:w="1417" w:type="dxa"/>
            <w:vAlign w:val="top"/>
          </w:tcPr>
          <w:p>
            <w:pPr>
              <w:rPr>
                <w:rFonts w:ascii="Arial"/>
                <w:sz w:val="21"/>
              </w:rPr>
            </w:pPr>
          </w:p>
        </w:tc>
        <w:tc>
          <w:tcPr>
            <w:tcW w:w="940" w:type="dxa"/>
            <w:vAlign w:val="top"/>
          </w:tcPr>
          <w:p>
            <w:pPr>
              <w:rPr>
                <w:rFonts w:ascii="Arial"/>
                <w:sz w:val="21"/>
              </w:rPr>
            </w:pPr>
          </w:p>
        </w:tc>
        <w:tc>
          <w:tcPr>
            <w:tcW w:w="851" w:type="dxa"/>
            <w:vAlign w:val="top"/>
          </w:tcPr>
          <w:p>
            <w:pPr>
              <w:rPr>
                <w:rFonts w:ascii="Arial"/>
                <w:sz w:val="21"/>
              </w:rPr>
            </w:pPr>
          </w:p>
        </w:tc>
        <w:tc>
          <w:tcPr>
            <w:tcW w:w="1043" w:type="dxa"/>
            <w:vAlign w:val="top"/>
          </w:tcPr>
          <w:p>
            <w:pPr>
              <w:rPr>
                <w:rFonts w:ascii="Arial"/>
                <w:sz w:val="21"/>
              </w:rPr>
            </w:pPr>
          </w:p>
        </w:tc>
        <w:tc>
          <w:tcPr>
            <w:tcW w:w="1336" w:type="dxa"/>
            <w:vAlign w:val="top"/>
          </w:tcPr>
          <w:p>
            <w:pPr>
              <w:rPr>
                <w:rFonts w:ascii="Arial"/>
                <w:sz w:val="21"/>
              </w:rPr>
            </w:pPr>
          </w:p>
        </w:tc>
        <w:tc>
          <w:tcPr>
            <w:tcW w:w="885" w:type="dxa"/>
            <w:vAlign w:val="top"/>
          </w:tcPr>
          <w:p>
            <w:pPr>
              <w:rPr>
                <w:rFonts w:ascii="Arial"/>
                <w:sz w:val="21"/>
              </w:rPr>
            </w:pPr>
          </w:p>
        </w:tc>
        <w:tc>
          <w:tcPr>
            <w:tcW w:w="1108" w:type="dxa"/>
            <w:vAlign w:val="top"/>
          </w:tcPr>
          <w:p>
            <w:pPr>
              <w:rPr>
                <w:rFonts w:ascii="Arial"/>
                <w:sz w:val="21"/>
              </w:rPr>
            </w:pPr>
          </w:p>
        </w:tc>
        <w:tc>
          <w:tcPr>
            <w:tcW w:w="996"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855" w:type="dxa"/>
            <w:vAlign w:val="top"/>
          </w:tcPr>
          <w:p>
            <w:pPr>
              <w:rPr>
                <w:rFonts w:ascii="Arial"/>
                <w:sz w:val="21"/>
              </w:rPr>
            </w:pPr>
          </w:p>
        </w:tc>
        <w:tc>
          <w:tcPr>
            <w:tcW w:w="1275" w:type="dxa"/>
            <w:vAlign w:val="top"/>
          </w:tcPr>
          <w:p>
            <w:pPr>
              <w:rPr>
                <w:rFonts w:ascii="Arial"/>
                <w:sz w:val="21"/>
              </w:rPr>
            </w:pPr>
          </w:p>
        </w:tc>
        <w:tc>
          <w:tcPr>
            <w:tcW w:w="1417" w:type="dxa"/>
            <w:vAlign w:val="top"/>
          </w:tcPr>
          <w:p>
            <w:pPr>
              <w:rPr>
                <w:rFonts w:ascii="Arial"/>
                <w:sz w:val="21"/>
              </w:rPr>
            </w:pPr>
          </w:p>
        </w:tc>
        <w:tc>
          <w:tcPr>
            <w:tcW w:w="940" w:type="dxa"/>
            <w:vAlign w:val="top"/>
          </w:tcPr>
          <w:p>
            <w:pPr>
              <w:rPr>
                <w:rFonts w:ascii="Arial"/>
                <w:sz w:val="21"/>
              </w:rPr>
            </w:pPr>
          </w:p>
        </w:tc>
        <w:tc>
          <w:tcPr>
            <w:tcW w:w="851" w:type="dxa"/>
            <w:vAlign w:val="top"/>
          </w:tcPr>
          <w:p>
            <w:pPr>
              <w:rPr>
                <w:rFonts w:ascii="Arial"/>
                <w:sz w:val="21"/>
              </w:rPr>
            </w:pPr>
          </w:p>
        </w:tc>
        <w:tc>
          <w:tcPr>
            <w:tcW w:w="1043" w:type="dxa"/>
            <w:vAlign w:val="top"/>
          </w:tcPr>
          <w:p>
            <w:pPr>
              <w:rPr>
                <w:rFonts w:ascii="Arial"/>
                <w:sz w:val="21"/>
              </w:rPr>
            </w:pPr>
          </w:p>
        </w:tc>
        <w:tc>
          <w:tcPr>
            <w:tcW w:w="1336" w:type="dxa"/>
            <w:vAlign w:val="top"/>
          </w:tcPr>
          <w:p>
            <w:pPr>
              <w:rPr>
                <w:rFonts w:ascii="Arial"/>
                <w:sz w:val="21"/>
              </w:rPr>
            </w:pPr>
          </w:p>
        </w:tc>
        <w:tc>
          <w:tcPr>
            <w:tcW w:w="885" w:type="dxa"/>
            <w:vAlign w:val="top"/>
          </w:tcPr>
          <w:p>
            <w:pPr>
              <w:rPr>
                <w:rFonts w:ascii="Arial"/>
                <w:sz w:val="21"/>
              </w:rPr>
            </w:pPr>
          </w:p>
        </w:tc>
        <w:tc>
          <w:tcPr>
            <w:tcW w:w="1108" w:type="dxa"/>
            <w:vAlign w:val="top"/>
          </w:tcPr>
          <w:p>
            <w:pPr>
              <w:rPr>
                <w:rFonts w:ascii="Arial"/>
                <w:sz w:val="21"/>
              </w:rPr>
            </w:pPr>
          </w:p>
        </w:tc>
        <w:tc>
          <w:tcPr>
            <w:tcW w:w="996"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855" w:type="dxa"/>
            <w:vAlign w:val="top"/>
          </w:tcPr>
          <w:p>
            <w:pPr>
              <w:rPr>
                <w:rFonts w:ascii="Arial"/>
                <w:sz w:val="21"/>
              </w:rPr>
            </w:pPr>
          </w:p>
        </w:tc>
        <w:tc>
          <w:tcPr>
            <w:tcW w:w="1275" w:type="dxa"/>
            <w:vAlign w:val="top"/>
          </w:tcPr>
          <w:p>
            <w:pPr>
              <w:rPr>
                <w:rFonts w:ascii="Arial"/>
                <w:sz w:val="21"/>
              </w:rPr>
            </w:pPr>
          </w:p>
        </w:tc>
        <w:tc>
          <w:tcPr>
            <w:tcW w:w="1417" w:type="dxa"/>
            <w:vAlign w:val="top"/>
          </w:tcPr>
          <w:p>
            <w:pPr>
              <w:rPr>
                <w:rFonts w:ascii="Arial"/>
                <w:sz w:val="21"/>
              </w:rPr>
            </w:pPr>
          </w:p>
        </w:tc>
        <w:tc>
          <w:tcPr>
            <w:tcW w:w="940" w:type="dxa"/>
            <w:vAlign w:val="top"/>
          </w:tcPr>
          <w:p>
            <w:pPr>
              <w:rPr>
                <w:rFonts w:ascii="Arial"/>
                <w:sz w:val="21"/>
              </w:rPr>
            </w:pPr>
          </w:p>
        </w:tc>
        <w:tc>
          <w:tcPr>
            <w:tcW w:w="851" w:type="dxa"/>
            <w:vAlign w:val="top"/>
          </w:tcPr>
          <w:p>
            <w:pPr>
              <w:rPr>
                <w:rFonts w:ascii="Arial"/>
                <w:sz w:val="21"/>
              </w:rPr>
            </w:pPr>
          </w:p>
        </w:tc>
        <w:tc>
          <w:tcPr>
            <w:tcW w:w="1043" w:type="dxa"/>
            <w:vAlign w:val="top"/>
          </w:tcPr>
          <w:p>
            <w:pPr>
              <w:rPr>
                <w:rFonts w:ascii="Arial"/>
                <w:sz w:val="21"/>
              </w:rPr>
            </w:pPr>
          </w:p>
        </w:tc>
        <w:tc>
          <w:tcPr>
            <w:tcW w:w="1336" w:type="dxa"/>
            <w:vAlign w:val="top"/>
          </w:tcPr>
          <w:p>
            <w:pPr>
              <w:rPr>
                <w:rFonts w:ascii="Arial"/>
                <w:sz w:val="21"/>
              </w:rPr>
            </w:pPr>
          </w:p>
        </w:tc>
        <w:tc>
          <w:tcPr>
            <w:tcW w:w="885" w:type="dxa"/>
            <w:vAlign w:val="top"/>
          </w:tcPr>
          <w:p>
            <w:pPr>
              <w:rPr>
                <w:rFonts w:ascii="Arial"/>
                <w:sz w:val="21"/>
              </w:rPr>
            </w:pPr>
          </w:p>
        </w:tc>
        <w:tc>
          <w:tcPr>
            <w:tcW w:w="1108" w:type="dxa"/>
            <w:vAlign w:val="top"/>
          </w:tcPr>
          <w:p>
            <w:pPr>
              <w:rPr>
                <w:rFonts w:ascii="Arial"/>
                <w:sz w:val="21"/>
              </w:rPr>
            </w:pPr>
          </w:p>
        </w:tc>
        <w:tc>
          <w:tcPr>
            <w:tcW w:w="996"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855" w:type="dxa"/>
            <w:vAlign w:val="top"/>
          </w:tcPr>
          <w:p>
            <w:pPr>
              <w:rPr>
                <w:rFonts w:ascii="Arial"/>
                <w:sz w:val="21"/>
              </w:rPr>
            </w:pPr>
          </w:p>
        </w:tc>
        <w:tc>
          <w:tcPr>
            <w:tcW w:w="1275" w:type="dxa"/>
            <w:vAlign w:val="top"/>
          </w:tcPr>
          <w:p>
            <w:pPr>
              <w:rPr>
                <w:rFonts w:ascii="Arial"/>
                <w:sz w:val="21"/>
              </w:rPr>
            </w:pPr>
          </w:p>
        </w:tc>
        <w:tc>
          <w:tcPr>
            <w:tcW w:w="1417" w:type="dxa"/>
            <w:vAlign w:val="top"/>
          </w:tcPr>
          <w:p>
            <w:pPr>
              <w:rPr>
                <w:rFonts w:ascii="Arial"/>
                <w:sz w:val="21"/>
              </w:rPr>
            </w:pPr>
          </w:p>
        </w:tc>
        <w:tc>
          <w:tcPr>
            <w:tcW w:w="940" w:type="dxa"/>
            <w:vAlign w:val="top"/>
          </w:tcPr>
          <w:p>
            <w:pPr>
              <w:rPr>
                <w:rFonts w:ascii="Arial"/>
                <w:sz w:val="21"/>
              </w:rPr>
            </w:pPr>
          </w:p>
        </w:tc>
        <w:tc>
          <w:tcPr>
            <w:tcW w:w="851" w:type="dxa"/>
            <w:vAlign w:val="top"/>
          </w:tcPr>
          <w:p>
            <w:pPr>
              <w:rPr>
                <w:rFonts w:ascii="Arial"/>
                <w:sz w:val="21"/>
              </w:rPr>
            </w:pPr>
          </w:p>
        </w:tc>
        <w:tc>
          <w:tcPr>
            <w:tcW w:w="1043" w:type="dxa"/>
            <w:vAlign w:val="top"/>
          </w:tcPr>
          <w:p>
            <w:pPr>
              <w:rPr>
                <w:rFonts w:ascii="Arial"/>
                <w:sz w:val="21"/>
              </w:rPr>
            </w:pPr>
          </w:p>
        </w:tc>
        <w:tc>
          <w:tcPr>
            <w:tcW w:w="1336" w:type="dxa"/>
            <w:vAlign w:val="top"/>
          </w:tcPr>
          <w:p>
            <w:pPr>
              <w:rPr>
                <w:rFonts w:ascii="Arial"/>
                <w:sz w:val="21"/>
              </w:rPr>
            </w:pPr>
          </w:p>
        </w:tc>
        <w:tc>
          <w:tcPr>
            <w:tcW w:w="885" w:type="dxa"/>
            <w:vAlign w:val="top"/>
          </w:tcPr>
          <w:p>
            <w:pPr>
              <w:rPr>
                <w:rFonts w:ascii="Arial"/>
                <w:sz w:val="21"/>
              </w:rPr>
            </w:pPr>
          </w:p>
        </w:tc>
        <w:tc>
          <w:tcPr>
            <w:tcW w:w="1108" w:type="dxa"/>
            <w:vAlign w:val="top"/>
          </w:tcPr>
          <w:p>
            <w:pPr>
              <w:rPr>
                <w:rFonts w:ascii="Arial"/>
                <w:sz w:val="21"/>
              </w:rPr>
            </w:pPr>
          </w:p>
        </w:tc>
        <w:tc>
          <w:tcPr>
            <w:tcW w:w="996"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6" w:hRule="atLeast"/>
        </w:trPr>
        <w:tc>
          <w:tcPr>
            <w:tcW w:w="855" w:type="dxa"/>
            <w:vAlign w:val="top"/>
          </w:tcPr>
          <w:p>
            <w:pPr>
              <w:rPr>
                <w:rFonts w:ascii="Arial"/>
                <w:sz w:val="21"/>
              </w:rPr>
            </w:pPr>
          </w:p>
        </w:tc>
        <w:tc>
          <w:tcPr>
            <w:tcW w:w="1275" w:type="dxa"/>
            <w:vAlign w:val="top"/>
          </w:tcPr>
          <w:p>
            <w:pPr>
              <w:rPr>
                <w:rFonts w:ascii="Arial"/>
                <w:sz w:val="21"/>
              </w:rPr>
            </w:pPr>
          </w:p>
        </w:tc>
        <w:tc>
          <w:tcPr>
            <w:tcW w:w="1417" w:type="dxa"/>
            <w:vAlign w:val="top"/>
          </w:tcPr>
          <w:p>
            <w:pPr>
              <w:rPr>
                <w:rFonts w:ascii="Arial"/>
                <w:sz w:val="21"/>
              </w:rPr>
            </w:pPr>
          </w:p>
        </w:tc>
        <w:tc>
          <w:tcPr>
            <w:tcW w:w="940" w:type="dxa"/>
            <w:vAlign w:val="top"/>
          </w:tcPr>
          <w:p>
            <w:pPr>
              <w:rPr>
                <w:rFonts w:ascii="Arial"/>
                <w:sz w:val="21"/>
              </w:rPr>
            </w:pPr>
          </w:p>
        </w:tc>
        <w:tc>
          <w:tcPr>
            <w:tcW w:w="851" w:type="dxa"/>
            <w:vAlign w:val="top"/>
          </w:tcPr>
          <w:p>
            <w:pPr>
              <w:rPr>
                <w:rFonts w:ascii="Arial"/>
                <w:sz w:val="21"/>
              </w:rPr>
            </w:pPr>
          </w:p>
        </w:tc>
        <w:tc>
          <w:tcPr>
            <w:tcW w:w="1043" w:type="dxa"/>
            <w:vAlign w:val="top"/>
          </w:tcPr>
          <w:p>
            <w:pPr>
              <w:rPr>
                <w:rFonts w:ascii="Arial"/>
                <w:sz w:val="21"/>
              </w:rPr>
            </w:pPr>
          </w:p>
        </w:tc>
        <w:tc>
          <w:tcPr>
            <w:tcW w:w="1336" w:type="dxa"/>
            <w:vAlign w:val="top"/>
          </w:tcPr>
          <w:p>
            <w:pPr>
              <w:rPr>
                <w:rFonts w:ascii="Arial"/>
                <w:sz w:val="21"/>
              </w:rPr>
            </w:pPr>
          </w:p>
        </w:tc>
        <w:tc>
          <w:tcPr>
            <w:tcW w:w="885" w:type="dxa"/>
            <w:vAlign w:val="top"/>
          </w:tcPr>
          <w:p>
            <w:pPr>
              <w:rPr>
                <w:rFonts w:ascii="Arial"/>
                <w:sz w:val="21"/>
              </w:rPr>
            </w:pPr>
          </w:p>
        </w:tc>
        <w:tc>
          <w:tcPr>
            <w:tcW w:w="1108" w:type="dxa"/>
            <w:vAlign w:val="top"/>
          </w:tcPr>
          <w:p>
            <w:pPr>
              <w:rPr>
                <w:rFonts w:ascii="Arial"/>
                <w:sz w:val="21"/>
              </w:rPr>
            </w:pPr>
          </w:p>
        </w:tc>
        <w:tc>
          <w:tcPr>
            <w:tcW w:w="996"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76" w:hRule="atLeast"/>
        </w:trPr>
        <w:tc>
          <w:tcPr>
            <w:tcW w:w="855" w:type="dxa"/>
            <w:vAlign w:val="top"/>
          </w:tcPr>
          <w:p>
            <w:pPr>
              <w:rPr>
                <w:rFonts w:ascii="Arial"/>
                <w:sz w:val="21"/>
              </w:rPr>
            </w:pPr>
          </w:p>
        </w:tc>
        <w:tc>
          <w:tcPr>
            <w:tcW w:w="1275" w:type="dxa"/>
            <w:vAlign w:val="top"/>
          </w:tcPr>
          <w:p>
            <w:pPr>
              <w:rPr>
                <w:rFonts w:ascii="Arial"/>
                <w:sz w:val="21"/>
              </w:rPr>
            </w:pPr>
          </w:p>
        </w:tc>
        <w:tc>
          <w:tcPr>
            <w:tcW w:w="1417" w:type="dxa"/>
            <w:vAlign w:val="top"/>
          </w:tcPr>
          <w:p>
            <w:pPr>
              <w:rPr>
                <w:rFonts w:ascii="Arial"/>
                <w:sz w:val="21"/>
              </w:rPr>
            </w:pPr>
          </w:p>
        </w:tc>
        <w:tc>
          <w:tcPr>
            <w:tcW w:w="940" w:type="dxa"/>
            <w:vAlign w:val="top"/>
          </w:tcPr>
          <w:p>
            <w:pPr>
              <w:rPr>
                <w:rFonts w:ascii="Arial"/>
                <w:sz w:val="21"/>
              </w:rPr>
            </w:pPr>
          </w:p>
        </w:tc>
        <w:tc>
          <w:tcPr>
            <w:tcW w:w="851" w:type="dxa"/>
            <w:vAlign w:val="top"/>
          </w:tcPr>
          <w:p>
            <w:pPr>
              <w:rPr>
                <w:rFonts w:ascii="Arial"/>
                <w:sz w:val="21"/>
              </w:rPr>
            </w:pPr>
          </w:p>
        </w:tc>
        <w:tc>
          <w:tcPr>
            <w:tcW w:w="1043" w:type="dxa"/>
            <w:vAlign w:val="top"/>
          </w:tcPr>
          <w:p>
            <w:pPr>
              <w:rPr>
                <w:rFonts w:ascii="Arial"/>
                <w:sz w:val="21"/>
              </w:rPr>
            </w:pPr>
          </w:p>
        </w:tc>
        <w:tc>
          <w:tcPr>
            <w:tcW w:w="1336" w:type="dxa"/>
            <w:vAlign w:val="top"/>
          </w:tcPr>
          <w:p>
            <w:pPr>
              <w:rPr>
                <w:rFonts w:ascii="Arial"/>
                <w:sz w:val="21"/>
              </w:rPr>
            </w:pPr>
          </w:p>
        </w:tc>
        <w:tc>
          <w:tcPr>
            <w:tcW w:w="885" w:type="dxa"/>
            <w:vAlign w:val="top"/>
          </w:tcPr>
          <w:p>
            <w:pPr>
              <w:rPr>
                <w:rFonts w:ascii="Arial"/>
                <w:sz w:val="21"/>
              </w:rPr>
            </w:pPr>
          </w:p>
        </w:tc>
        <w:tc>
          <w:tcPr>
            <w:tcW w:w="1108" w:type="dxa"/>
            <w:vAlign w:val="top"/>
          </w:tcPr>
          <w:p>
            <w:pPr>
              <w:rPr>
                <w:rFonts w:ascii="Arial"/>
                <w:sz w:val="21"/>
              </w:rPr>
            </w:pPr>
          </w:p>
        </w:tc>
        <w:tc>
          <w:tcPr>
            <w:tcW w:w="996"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6" w:hRule="atLeast"/>
        </w:trPr>
        <w:tc>
          <w:tcPr>
            <w:tcW w:w="855" w:type="dxa"/>
            <w:vAlign w:val="top"/>
          </w:tcPr>
          <w:p>
            <w:pPr>
              <w:rPr>
                <w:rFonts w:ascii="Arial"/>
                <w:sz w:val="21"/>
              </w:rPr>
            </w:pPr>
          </w:p>
        </w:tc>
        <w:tc>
          <w:tcPr>
            <w:tcW w:w="1275" w:type="dxa"/>
            <w:vAlign w:val="top"/>
          </w:tcPr>
          <w:p>
            <w:pPr>
              <w:rPr>
                <w:rFonts w:ascii="Arial"/>
                <w:sz w:val="21"/>
              </w:rPr>
            </w:pPr>
          </w:p>
        </w:tc>
        <w:tc>
          <w:tcPr>
            <w:tcW w:w="1417" w:type="dxa"/>
            <w:vAlign w:val="top"/>
          </w:tcPr>
          <w:p>
            <w:pPr>
              <w:rPr>
                <w:rFonts w:ascii="Arial"/>
                <w:sz w:val="21"/>
              </w:rPr>
            </w:pPr>
          </w:p>
        </w:tc>
        <w:tc>
          <w:tcPr>
            <w:tcW w:w="940" w:type="dxa"/>
            <w:vAlign w:val="top"/>
          </w:tcPr>
          <w:p>
            <w:pPr>
              <w:rPr>
                <w:rFonts w:ascii="Arial"/>
                <w:sz w:val="21"/>
              </w:rPr>
            </w:pPr>
          </w:p>
        </w:tc>
        <w:tc>
          <w:tcPr>
            <w:tcW w:w="851" w:type="dxa"/>
            <w:vAlign w:val="top"/>
          </w:tcPr>
          <w:p>
            <w:pPr>
              <w:rPr>
                <w:rFonts w:ascii="Arial"/>
                <w:sz w:val="21"/>
              </w:rPr>
            </w:pPr>
          </w:p>
        </w:tc>
        <w:tc>
          <w:tcPr>
            <w:tcW w:w="1043" w:type="dxa"/>
            <w:vAlign w:val="top"/>
          </w:tcPr>
          <w:p>
            <w:pPr>
              <w:rPr>
                <w:rFonts w:ascii="Arial"/>
                <w:sz w:val="21"/>
              </w:rPr>
            </w:pPr>
          </w:p>
        </w:tc>
        <w:tc>
          <w:tcPr>
            <w:tcW w:w="1336" w:type="dxa"/>
            <w:vAlign w:val="top"/>
          </w:tcPr>
          <w:p>
            <w:pPr>
              <w:rPr>
                <w:rFonts w:ascii="Arial"/>
                <w:sz w:val="21"/>
              </w:rPr>
            </w:pPr>
          </w:p>
        </w:tc>
        <w:tc>
          <w:tcPr>
            <w:tcW w:w="885" w:type="dxa"/>
            <w:vAlign w:val="top"/>
          </w:tcPr>
          <w:p>
            <w:pPr>
              <w:rPr>
                <w:rFonts w:ascii="Arial"/>
                <w:sz w:val="21"/>
              </w:rPr>
            </w:pPr>
          </w:p>
        </w:tc>
        <w:tc>
          <w:tcPr>
            <w:tcW w:w="1108" w:type="dxa"/>
            <w:vAlign w:val="top"/>
          </w:tcPr>
          <w:p>
            <w:pPr>
              <w:rPr>
                <w:rFonts w:ascii="Arial"/>
                <w:sz w:val="21"/>
              </w:rPr>
            </w:pPr>
          </w:p>
        </w:tc>
        <w:tc>
          <w:tcPr>
            <w:tcW w:w="996" w:type="dxa"/>
            <w:vAlign w:val="top"/>
          </w:tcPr>
          <w:p>
            <w:pPr>
              <w:rPr>
                <w:rFonts w:ascii="Arial"/>
                <w:sz w:val="21"/>
              </w:rPr>
            </w:pPr>
          </w:p>
        </w:tc>
      </w:tr>
    </w:tbl>
    <w:p>
      <w:pPr>
        <w:rPr>
          <w:rFonts w:ascii="Arial"/>
          <w:sz w:val="21"/>
        </w:rPr>
      </w:pPr>
    </w:p>
    <w:p>
      <w:pPr>
        <w:sectPr>
          <w:headerReference r:id="rId16" w:type="default"/>
          <w:footerReference r:id="rId17" w:type="default"/>
          <w:pgSz w:w="11906" w:h="16839"/>
          <w:pgMar w:top="1118" w:right="597" w:bottom="1190" w:left="597" w:header="850" w:footer="907" w:gutter="0"/>
          <w:pgNumType w:fmt="numberInDash"/>
          <w:cols w:space="720" w:num="1"/>
        </w:sectPr>
      </w:pPr>
    </w:p>
    <w:p>
      <w:pPr>
        <w:spacing w:before="75" w:line="227" w:lineRule="auto"/>
        <w:ind w:left="28"/>
        <w:rPr>
          <w:rFonts w:ascii="宋体" w:hAnsi="宋体" w:eastAsia="宋体" w:cs="宋体"/>
          <w:sz w:val="32"/>
          <w:szCs w:val="32"/>
        </w:rPr>
      </w:pPr>
      <w:r>
        <w:rPr>
          <w:rFonts w:ascii="宋体" w:hAnsi="宋体" w:eastAsia="宋体" w:cs="宋体"/>
          <w:spacing w:val="-15"/>
          <w:sz w:val="32"/>
          <w:szCs w:val="32"/>
        </w:rPr>
        <w:t>附</w:t>
      </w:r>
      <w:r>
        <w:rPr>
          <w:rFonts w:ascii="宋体" w:hAnsi="宋体" w:eastAsia="宋体" w:cs="宋体"/>
          <w:spacing w:val="-11"/>
          <w:sz w:val="32"/>
          <w:szCs w:val="32"/>
        </w:rPr>
        <w:t>件3：</w:t>
      </w:r>
    </w:p>
    <w:p>
      <w:pPr>
        <w:spacing w:before="276" w:line="227" w:lineRule="auto"/>
        <w:ind w:left="3821"/>
        <w:rPr>
          <w:rFonts w:ascii="宋体" w:hAnsi="宋体" w:eastAsia="宋体" w:cs="宋体"/>
          <w:sz w:val="32"/>
          <w:szCs w:val="32"/>
        </w:rPr>
      </w:pPr>
      <w:r>
        <w:rPr>
          <w:rFonts w:ascii="宋体" w:hAnsi="宋体" w:eastAsia="宋体" w:cs="宋体"/>
          <w:spacing w:val="9"/>
          <w:sz w:val="32"/>
          <w:szCs w:val="32"/>
        </w:rPr>
        <w:t>工</w:t>
      </w:r>
      <w:r>
        <w:rPr>
          <w:rFonts w:ascii="宋体" w:hAnsi="宋体" w:eastAsia="宋体" w:cs="宋体"/>
          <w:spacing w:val="8"/>
          <w:sz w:val="32"/>
          <w:szCs w:val="32"/>
        </w:rPr>
        <w:t>程质量保修书</w:t>
      </w:r>
    </w:p>
    <w:p>
      <w:pPr>
        <w:spacing w:before="166" w:line="376" w:lineRule="auto"/>
        <w:ind w:left="493"/>
        <w:rPr>
          <w:rFonts w:hint="eastAsia" w:ascii="宋体" w:hAnsi="宋体" w:eastAsia="宋体" w:cs="宋体"/>
          <w:sz w:val="23"/>
          <w:szCs w:val="23"/>
          <w:lang w:eastAsia="zh-CN"/>
        </w:rPr>
      </w:pPr>
      <w:r>
        <w:rPr>
          <w:rFonts w:ascii="宋体" w:hAnsi="宋体" w:eastAsia="宋体" w:cs="宋体"/>
          <w:spacing w:val="6"/>
          <w:sz w:val="23"/>
          <w:szCs w:val="23"/>
        </w:rPr>
        <w:t>发包人(全称)</w:t>
      </w:r>
      <w:r>
        <w:rPr>
          <w:rFonts w:ascii="宋体" w:hAnsi="宋体" w:eastAsia="宋体" w:cs="宋体"/>
          <w:spacing w:val="5"/>
          <w:sz w:val="23"/>
          <w:szCs w:val="23"/>
        </w:rPr>
        <w:t>：</w:t>
      </w:r>
    </w:p>
    <w:p>
      <w:pPr>
        <w:spacing w:line="227" w:lineRule="auto"/>
        <w:ind w:left="489"/>
        <w:rPr>
          <w:rFonts w:hint="eastAsia" w:ascii="宋体" w:hAnsi="宋体" w:eastAsia="宋体" w:cs="宋体"/>
          <w:sz w:val="23"/>
          <w:szCs w:val="23"/>
          <w:lang w:eastAsia="zh-CN"/>
        </w:rPr>
      </w:pPr>
      <w:r>
        <w:rPr>
          <w:rFonts w:ascii="宋体" w:hAnsi="宋体" w:eastAsia="宋体" w:cs="宋体"/>
          <w:spacing w:val="9"/>
          <w:sz w:val="23"/>
          <w:szCs w:val="23"/>
        </w:rPr>
        <w:t>承</w:t>
      </w:r>
      <w:r>
        <w:rPr>
          <w:rFonts w:ascii="宋体" w:hAnsi="宋体" w:eastAsia="宋体" w:cs="宋体"/>
          <w:spacing w:val="6"/>
          <w:sz w:val="23"/>
          <w:szCs w:val="23"/>
        </w:rPr>
        <w:t>包人(全称)：</w:t>
      </w:r>
    </w:p>
    <w:p>
      <w:pPr>
        <w:spacing w:line="285" w:lineRule="auto"/>
        <w:rPr>
          <w:rFonts w:ascii="Arial"/>
          <w:sz w:val="21"/>
        </w:rPr>
      </w:pPr>
    </w:p>
    <w:p>
      <w:pPr>
        <w:spacing w:line="286" w:lineRule="auto"/>
        <w:rPr>
          <w:rFonts w:ascii="Arial"/>
          <w:sz w:val="21"/>
        </w:rPr>
      </w:pPr>
    </w:p>
    <w:p>
      <w:pPr>
        <w:spacing w:before="75" w:line="375" w:lineRule="auto"/>
        <w:ind w:left="14" w:right="2" w:firstLine="479"/>
        <w:rPr>
          <w:rFonts w:ascii="宋体" w:hAnsi="宋体" w:eastAsia="宋体" w:cs="宋体"/>
          <w:sz w:val="23"/>
          <w:szCs w:val="23"/>
        </w:rPr>
      </w:pPr>
      <w:r>
        <w:rPr>
          <w:rFonts w:ascii="宋体" w:hAnsi="宋体" w:eastAsia="宋体" w:cs="宋体"/>
          <w:spacing w:val="8"/>
          <w:sz w:val="23"/>
          <w:szCs w:val="23"/>
        </w:rPr>
        <w:t>发包人和承包人根据《中华人民共和国建筑法》和《建设工程质量管理条例》，经</w:t>
      </w:r>
      <w:r>
        <w:rPr>
          <w:rFonts w:ascii="宋体" w:hAnsi="宋体" w:eastAsia="宋体" w:cs="宋体"/>
          <w:spacing w:val="6"/>
          <w:sz w:val="23"/>
          <w:szCs w:val="23"/>
        </w:rPr>
        <w:t>协</w:t>
      </w:r>
      <w:r>
        <w:rPr>
          <w:rFonts w:ascii="宋体" w:hAnsi="宋体" w:eastAsia="宋体" w:cs="宋体"/>
          <w:spacing w:val="12"/>
          <w:sz w:val="23"/>
          <w:szCs w:val="23"/>
        </w:rPr>
        <w:t>商一致就</w:t>
      </w:r>
      <w:r>
        <w:rPr>
          <w:rFonts w:ascii="宋体" w:hAnsi="宋体" w:eastAsia="宋体" w:cs="宋体"/>
          <w:spacing w:val="6"/>
          <w:sz w:val="23"/>
          <w:szCs w:val="23"/>
        </w:rPr>
        <w:t>(工程全称)签订工程质量保修书。</w:t>
      </w:r>
    </w:p>
    <w:p>
      <w:pPr>
        <w:spacing w:line="393" w:lineRule="exact"/>
        <w:ind w:left="493"/>
        <w:rPr>
          <w:rFonts w:ascii="宋体" w:hAnsi="宋体" w:eastAsia="宋体" w:cs="宋体"/>
          <w:sz w:val="23"/>
          <w:szCs w:val="23"/>
        </w:rPr>
      </w:pPr>
      <w:r>
        <w:rPr>
          <w:rFonts w:ascii="宋体" w:hAnsi="宋体" w:eastAsia="宋体" w:cs="宋体"/>
          <w:spacing w:val="9"/>
          <w:position w:val="2"/>
          <w:sz w:val="23"/>
          <w:szCs w:val="23"/>
        </w:rPr>
        <w:t>一、工程质量保修范围和内</w:t>
      </w:r>
      <w:r>
        <w:rPr>
          <w:rFonts w:ascii="宋体" w:hAnsi="宋体" w:eastAsia="宋体" w:cs="宋体"/>
          <w:spacing w:val="8"/>
          <w:position w:val="2"/>
          <w:sz w:val="23"/>
          <w:szCs w:val="23"/>
        </w:rPr>
        <w:t>容</w:t>
      </w:r>
    </w:p>
    <w:p>
      <w:pPr>
        <w:spacing w:before="72" w:line="227" w:lineRule="auto"/>
        <w:ind w:left="489"/>
        <w:rPr>
          <w:rFonts w:ascii="宋体" w:hAnsi="宋体" w:eastAsia="宋体" w:cs="宋体"/>
          <w:sz w:val="23"/>
          <w:szCs w:val="23"/>
        </w:rPr>
      </w:pPr>
      <w:r>
        <w:rPr>
          <w:rFonts w:ascii="宋体" w:hAnsi="宋体" w:eastAsia="宋体" w:cs="宋体"/>
          <w:spacing w:val="18"/>
          <w:sz w:val="23"/>
          <w:szCs w:val="23"/>
        </w:rPr>
        <w:t>承</w:t>
      </w:r>
      <w:r>
        <w:rPr>
          <w:rFonts w:ascii="宋体" w:hAnsi="宋体" w:eastAsia="宋体" w:cs="宋体"/>
          <w:spacing w:val="16"/>
          <w:sz w:val="23"/>
          <w:szCs w:val="23"/>
        </w:rPr>
        <w:t>包</w:t>
      </w:r>
      <w:r>
        <w:rPr>
          <w:rFonts w:ascii="宋体" w:hAnsi="宋体" w:eastAsia="宋体" w:cs="宋体"/>
          <w:spacing w:val="9"/>
          <w:sz w:val="23"/>
          <w:szCs w:val="23"/>
        </w:rPr>
        <w:t>人在质量保修期内，按照有关法律规定和合同约定，承担工程质量保修责任。</w:t>
      </w:r>
    </w:p>
    <w:p>
      <w:pPr>
        <w:spacing w:before="186" w:line="380" w:lineRule="auto"/>
        <w:ind w:left="12" w:right="2" w:firstLine="478"/>
        <w:rPr>
          <w:rFonts w:ascii="宋体" w:hAnsi="宋体" w:eastAsia="宋体" w:cs="宋体"/>
          <w:sz w:val="23"/>
          <w:szCs w:val="23"/>
        </w:rPr>
      </w:pPr>
      <w:r>
        <w:rPr>
          <w:rFonts w:ascii="宋体" w:hAnsi="宋体" w:eastAsia="宋体" w:cs="宋体"/>
          <w:spacing w:val="9"/>
          <w:sz w:val="23"/>
          <w:szCs w:val="23"/>
        </w:rPr>
        <w:t>质</w:t>
      </w:r>
      <w:r>
        <w:rPr>
          <w:rFonts w:ascii="宋体" w:hAnsi="宋体" w:eastAsia="宋体" w:cs="宋体"/>
          <w:spacing w:val="8"/>
          <w:sz w:val="23"/>
          <w:szCs w:val="23"/>
        </w:rPr>
        <w:t>量保修范围包括地基基础工程、主体结构工程，屋面防水工程、有防水要求的卫生</w:t>
      </w:r>
      <w:r>
        <w:rPr>
          <w:rFonts w:ascii="宋体" w:hAnsi="宋体" w:eastAsia="宋体" w:cs="宋体"/>
          <w:spacing w:val="11"/>
          <w:sz w:val="23"/>
          <w:szCs w:val="23"/>
        </w:rPr>
        <w:t>间</w:t>
      </w:r>
      <w:r>
        <w:rPr>
          <w:rFonts w:ascii="宋体" w:hAnsi="宋体" w:eastAsia="宋体" w:cs="宋体"/>
          <w:spacing w:val="8"/>
          <w:sz w:val="23"/>
          <w:szCs w:val="23"/>
        </w:rPr>
        <w:t>、房间和外墙面的防渗漏，供热与供冷系统，电气管线、给排水管道、设备安装和装修</w:t>
      </w:r>
      <w:r>
        <w:rPr>
          <w:rFonts w:ascii="宋体" w:hAnsi="宋体" w:eastAsia="宋体" w:cs="宋体"/>
          <w:spacing w:val="16"/>
          <w:sz w:val="23"/>
          <w:szCs w:val="23"/>
        </w:rPr>
        <w:t>工</w:t>
      </w:r>
      <w:r>
        <w:rPr>
          <w:rFonts w:ascii="宋体" w:hAnsi="宋体" w:eastAsia="宋体" w:cs="宋体"/>
          <w:spacing w:val="9"/>
          <w:sz w:val="23"/>
          <w:szCs w:val="23"/>
        </w:rPr>
        <w:t>程，以及双方约定的其他项目。具体保修的内容，双方约定如下：</w:t>
      </w:r>
    </w:p>
    <w:p>
      <w:pPr>
        <w:tabs>
          <w:tab w:val="left" w:pos="9239"/>
        </w:tabs>
        <w:spacing w:before="14" w:line="241" w:lineRule="exact"/>
        <w:ind w:left="480"/>
        <w:rPr>
          <w:rFonts w:ascii="Arial"/>
          <w:sz w:val="21"/>
        </w:rPr>
      </w:pPr>
      <w:r>
        <w:rPr>
          <w:rFonts w:ascii="Arial" w:hAnsi="Arial" w:eastAsia="Arial" w:cs="Arial"/>
          <w:sz w:val="21"/>
          <w:szCs w:val="21"/>
          <w:u w:val="single" w:color="auto"/>
        </w:rPr>
        <w:tab/>
      </w:r>
    </w:p>
    <w:p>
      <w:pPr>
        <w:tabs>
          <w:tab w:val="left" w:pos="9239"/>
        </w:tabs>
        <w:spacing w:before="227" w:line="241" w:lineRule="exact"/>
        <w:rPr>
          <w:rFonts w:ascii="Arial"/>
          <w:sz w:val="21"/>
        </w:rPr>
      </w:pPr>
      <w:r>
        <w:rPr>
          <w:rFonts w:ascii="Arial" w:hAnsi="Arial" w:eastAsia="Arial" w:cs="Arial"/>
          <w:sz w:val="21"/>
          <w:szCs w:val="21"/>
          <w:u w:val="single" w:color="auto"/>
        </w:rPr>
        <w:tab/>
      </w:r>
    </w:p>
    <w:p>
      <w:pPr>
        <w:spacing w:line="317" w:lineRule="auto"/>
        <w:rPr>
          <w:rFonts w:ascii="Arial"/>
          <w:sz w:val="21"/>
        </w:rPr>
      </w:pPr>
    </w:p>
    <w:p>
      <w:pPr>
        <w:tabs>
          <w:tab w:val="left" w:pos="2313"/>
        </w:tabs>
        <w:spacing w:before="26" w:line="173" w:lineRule="auto"/>
        <w:rPr>
          <w:rFonts w:ascii="宋体" w:hAnsi="宋体" w:eastAsia="宋体" w:cs="宋体"/>
          <w:sz w:val="8"/>
          <w:szCs w:val="8"/>
        </w:rPr>
      </w:pPr>
      <w:r>
        <w:rPr>
          <w:rFonts w:ascii="宋体" w:hAnsi="宋体" w:eastAsia="宋体" w:cs="宋体"/>
          <w:sz w:val="8"/>
          <w:szCs w:val="8"/>
          <w:u w:val="single" w:color="auto"/>
        </w:rPr>
        <w:tab/>
      </w:r>
      <w:r>
        <w:rPr>
          <w:rFonts w:ascii="宋体" w:hAnsi="宋体" w:eastAsia="宋体" w:cs="宋体"/>
          <w:spacing w:val="12"/>
          <w:sz w:val="8"/>
          <w:szCs w:val="8"/>
        </w:rPr>
        <w:t>。</w:t>
      </w:r>
    </w:p>
    <w:p>
      <w:pPr>
        <w:spacing w:before="236" w:line="314" w:lineRule="exact"/>
        <w:ind w:left="495"/>
        <w:rPr>
          <w:rFonts w:ascii="宋体" w:hAnsi="宋体" w:eastAsia="宋体" w:cs="宋体"/>
          <w:sz w:val="23"/>
          <w:szCs w:val="23"/>
        </w:rPr>
      </w:pPr>
      <w:r>
        <w:rPr>
          <w:rFonts w:ascii="宋体" w:hAnsi="宋体" w:eastAsia="宋体" w:cs="宋体"/>
          <w:spacing w:val="8"/>
          <w:position w:val="1"/>
          <w:sz w:val="23"/>
          <w:szCs w:val="23"/>
        </w:rPr>
        <w:t>二、质量保修期</w:t>
      </w:r>
    </w:p>
    <w:p>
      <w:pPr>
        <w:spacing w:before="155" w:line="227" w:lineRule="auto"/>
        <w:ind w:left="489"/>
        <w:rPr>
          <w:rFonts w:ascii="宋体" w:hAnsi="宋体" w:eastAsia="宋体" w:cs="宋体"/>
          <w:sz w:val="23"/>
          <w:szCs w:val="23"/>
        </w:rPr>
      </w:pPr>
      <w:r>
        <w:rPr>
          <w:rFonts w:ascii="宋体" w:hAnsi="宋体" w:eastAsia="宋体" w:cs="宋体"/>
          <w:spacing w:val="18"/>
          <w:sz w:val="23"/>
          <w:szCs w:val="23"/>
        </w:rPr>
        <w:t>根</w:t>
      </w:r>
      <w:r>
        <w:rPr>
          <w:rFonts w:ascii="宋体" w:hAnsi="宋体" w:eastAsia="宋体" w:cs="宋体"/>
          <w:spacing w:val="11"/>
          <w:sz w:val="23"/>
          <w:szCs w:val="23"/>
        </w:rPr>
        <w:t>据</w:t>
      </w:r>
      <w:r>
        <w:rPr>
          <w:rFonts w:ascii="宋体" w:hAnsi="宋体" w:eastAsia="宋体" w:cs="宋体"/>
          <w:spacing w:val="9"/>
          <w:sz w:val="23"/>
          <w:szCs w:val="23"/>
        </w:rPr>
        <w:t>《建设工程质量管理条例》及有关规定，工程的质量保修期如下：</w:t>
      </w:r>
    </w:p>
    <w:p>
      <w:pPr>
        <w:spacing w:before="182" w:line="310" w:lineRule="exact"/>
        <w:ind w:left="507"/>
        <w:rPr>
          <w:rFonts w:ascii="宋体" w:hAnsi="宋体" w:eastAsia="宋体" w:cs="宋体"/>
          <w:sz w:val="23"/>
          <w:szCs w:val="23"/>
        </w:rPr>
      </w:pPr>
      <w:r>
        <w:rPr>
          <w:rFonts w:ascii="宋体" w:hAnsi="宋体" w:eastAsia="宋体" w:cs="宋体"/>
          <w:spacing w:val="16"/>
          <w:position w:val="1"/>
          <w:sz w:val="23"/>
          <w:szCs w:val="23"/>
        </w:rPr>
        <w:t>1．</w:t>
      </w:r>
      <w:r>
        <w:rPr>
          <w:rFonts w:ascii="宋体" w:hAnsi="宋体" w:eastAsia="宋体" w:cs="宋体"/>
          <w:spacing w:val="13"/>
          <w:position w:val="1"/>
          <w:sz w:val="23"/>
          <w:szCs w:val="23"/>
        </w:rPr>
        <w:t>地</w:t>
      </w:r>
      <w:r>
        <w:rPr>
          <w:rFonts w:ascii="宋体" w:hAnsi="宋体" w:eastAsia="宋体" w:cs="宋体"/>
          <w:spacing w:val="8"/>
          <w:position w:val="1"/>
          <w:sz w:val="23"/>
          <w:szCs w:val="23"/>
        </w:rPr>
        <w:t>基基础工程和主体结构工程为设计文件规定的工程合理使用年限；</w:t>
      </w:r>
    </w:p>
    <w:p>
      <w:pPr>
        <w:spacing w:before="158" w:line="227" w:lineRule="auto"/>
        <w:ind w:left="492"/>
        <w:rPr>
          <w:rFonts w:ascii="宋体" w:hAnsi="宋体" w:eastAsia="宋体" w:cs="宋体"/>
          <w:sz w:val="23"/>
          <w:szCs w:val="23"/>
        </w:rPr>
      </w:pPr>
      <w:r>
        <w:rPr>
          <w:rFonts w:ascii="宋体" w:hAnsi="宋体" w:eastAsia="宋体" w:cs="宋体"/>
          <w:spacing w:val="16"/>
          <w:sz w:val="23"/>
          <w:szCs w:val="23"/>
        </w:rPr>
        <w:t>2．</w:t>
      </w:r>
      <w:r>
        <w:rPr>
          <w:rFonts w:ascii="宋体" w:hAnsi="宋体" w:eastAsia="宋体" w:cs="宋体"/>
          <w:spacing w:val="14"/>
          <w:sz w:val="23"/>
          <w:szCs w:val="23"/>
        </w:rPr>
        <w:t>屋</w:t>
      </w:r>
      <w:r>
        <w:rPr>
          <w:rFonts w:ascii="宋体" w:hAnsi="宋体" w:eastAsia="宋体" w:cs="宋体"/>
          <w:spacing w:val="8"/>
          <w:sz w:val="23"/>
          <w:szCs w:val="23"/>
        </w:rPr>
        <w:t>面防水工程、有防水要求的卫生间、房间和外墙面的防渗为</w:t>
      </w:r>
      <w:r>
        <w:rPr>
          <w:rFonts w:ascii="宋体" w:hAnsi="宋体" w:eastAsia="宋体" w:cs="宋体"/>
          <w:spacing w:val="8"/>
          <w:sz w:val="23"/>
          <w:szCs w:val="23"/>
          <w:u w:val="single" w:color="auto"/>
        </w:rPr>
        <w:t>5</w:t>
      </w:r>
      <w:r>
        <w:rPr>
          <w:rFonts w:ascii="宋体" w:hAnsi="宋体" w:eastAsia="宋体" w:cs="宋体"/>
          <w:spacing w:val="8"/>
          <w:sz w:val="23"/>
          <w:szCs w:val="23"/>
        </w:rPr>
        <w:t>年；</w:t>
      </w:r>
    </w:p>
    <w:p>
      <w:pPr>
        <w:spacing w:before="183" w:line="227" w:lineRule="auto"/>
        <w:ind w:left="439"/>
        <w:rPr>
          <w:rFonts w:ascii="宋体" w:hAnsi="宋体" w:eastAsia="宋体" w:cs="宋体"/>
          <w:sz w:val="23"/>
          <w:szCs w:val="23"/>
        </w:rPr>
      </w:pPr>
      <w:r>
        <w:rPr>
          <w:rFonts w:ascii="宋体" w:hAnsi="宋体" w:eastAsia="宋体" w:cs="宋体"/>
          <w:spacing w:val="-2"/>
          <w:sz w:val="23"/>
          <w:szCs w:val="23"/>
        </w:rPr>
        <w:t>3．装</w:t>
      </w:r>
      <w:r>
        <w:rPr>
          <w:rFonts w:ascii="宋体" w:hAnsi="宋体" w:eastAsia="宋体" w:cs="宋体"/>
          <w:spacing w:val="-1"/>
          <w:sz w:val="23"/>
          <w:szCs w:val="23"/>
        </w:rPr>
        <w:t>修工程为</w:t>
      </w:r>
      <w:r>
        <w:rPr>
          <w:rFonts w:ascii="宋体" w:hAnsi="宋体" w:eastAsia="宋体" w:cs="宋体"/>
          <w:spacing w:val="-1"/>
          <w:sz w:val="23"/>
          <w:szCs w:val="23"/>
          <w:u w:val="single" w:color="auto"/>
        </w:rPr>
        <w:t>2</w:t>
      </w:r>
      <w:r>
        <w:rPr>
          <w:rFonts w:ascii="宋体" w:hAnsi="宋体" w:eastAsia="宋体" w:cs="宋体"/>
          <w:spacing w:val="-1"/>
          <w:sz w:val="23"/>
          <w:szCs w:val="23"/>
        </w:rPr>
        <w:t>年；</w:t>
      </w:r>
    </w:p>
    <w:p>
      <w:pPr>
        <w:spacing w:before="185" w:line="227" w:lineRule="auto"/>
        <w:ind w:left="433"/>
        <w:rPr>
          <w:rFonts w:ascii="宋体" w:hAnsi="宋体" w:eastAsia="宋体" w:cs="宋体"/>
          <w:sz w:val="23"/>
          <w:szCs w:val="23"/>
        </w:rPr>
      </w:pPr>
      <w:r>
        <w:rPr>
          <w:rFonts w:ascii="宋体" w:hAnsi="宋体" w:eastAsia="宋体" w:cs="宋体"/>
          <w:spacing w:val="4"/>
          <w:sz w:val="23"/>
          <w:szCs w:val="23"/>
        </w:rPr>
        <w:t>4．电气管线、给排水管道、设备安装工程为</w:t>
      </w:r>
      <w:r>
        <w:rPr>
          <w:rFonts w:ascii="宋体" w:hAnsi="宋体" w:eastAsia="宋体" w:cs="宋体"/>
          <w:spacing w:val="4"/>
          <w:sz w:val="23"/>
          <w:szCs w:val="23"/>
          <w:u w:val="single" w:color="auto"/>
        </w:rPr>
        <w:t>2</w:t>
      </w:r>
      <w:r>
        <w:rPr>
          <w:rFonts w:ascii="宋体" w:hAnsi="宋体" w:eastAsia="宋体" w:cs="宋体"/>
          <w:spacing w:val="4"/>
          <w:sz w:val="23"/>
          <w:szCs w:val="23"/>
        </w:rPr>
        <w:t>年</w:t>
      </w:r>
      <w:r>
        <w:rPr>
          <w:rFonts w:ascii="宋体" w:hAnsi="宋体" w:eastAsia="宋体" w:cs="宋体"/>
          <w:sz w:val="23"/>
          <w:szCs w:val="23"/>
        </w:rPr>
        <w:t>；</w:t>
      </w:r>
    </w:p>
    <w:p>
      <w:pPr>
        <w:spacing w:before="182" w:line="227" w:lineRule="auto"/>
        <w:ind w:left="439"/>
        <w:rPr>
          <w:rFonts w:ascii="宋体" w:hAnsi="宋体" w:eastAsia="宋体" w:cs="宋体"/>
          <w:sz w:val="23"/>
          <w:szCs w:val="23"/>
        </w:rPr>
      </w:pPr>
      <w:r>
        <w:rPr>
          <w:rFonts w:ascii="宋体" w:hAnsi="宋体" w:eastAsia="宋体" w:cs="宋体"/>
          <w:spacing w:val="3"/>
          <w:sz w:val="23"/>
          <w:szCs w:val="23"/>
        </w:rPr>
        <w:t>5．供热与供冷系统为</w:t>
      </w:r>
      <w:r>
        <w:rPr>
          <w:rFonts w:ascii="宋体" w:hAnsi="宋体" w:eastAsia="宋体" w:cs="宋体"/>
          <w:spacing w:val="3"/>
          <w:sz w:val="23"/>
          <w:szCs w:val="23"/>
          <w:u w:val="single" w:color="auto"/>
        </w:rPr>
        <w:t>2</w:t>
      </w:r>
      <w:r>
        <w:rPr>
          <w:rFonts w:ascii="宋体" w:hAnsi="宋体" w:eastAsia="宋体" w:cs="宋体"/>
          <w:spacing w:val="3"/>
          <w:sz w:val="23"/>
          <w:szCs w:val="23"/>
        </w:rPr>
        <w:t>个采暖期、供冷期</w:t>
      </w:r>
      <w:r>
        <w:rPr>
          <w:rFonts w:ascii="宋体" w:hAnsi="宋体" w:eastAsia="宋体" w:cs="宋体"/>
          <w:sz w:val="23"/>
          <w:szCs w:val="23"/>
        </w:rPr>
        <w:t>；</w:t>
      </w:r>
    </w:p>
    <w:p>
      <w:pPr>
        <w:spacing w:before="185" w:line="301" w:lineRule="auto"/>
        <w:ind w:left="439" w:right="2456" w:hanging="3"/>
        <w:rPr>
          <w:rFonts w:ascii="宋体" w:hAnsi="宋体" w:eastAsia="宋体" w:cs="宋体"/>
          <w:sz w:val="23"/>
          <w:szCs w:val="23"/>
        </w:rPr>
      </w:pPr>
      <w:r>
        <w:rPr>
          <w:rFonts w:ascii="宋体" w:hAnsi="宋体" w:eastAsia="宋体" w:cs="宋体"/>
          <w:spacing w:val="4"/>
          <w:sz w:val="23"/>
          <w:szCs w:val="23"/>
        </w:rPr>
        <w:t>6．住宅小区内的给</w:t>
      </w:r>
      <w:r>
        <w:rPr>
          <w:rFonts w:ascii="宋体" w:hAnsi="宋体" w:eastAsia="宋体" w:cs="宋体"/>
          <w:spacing w:val="2"/>
          <w:sz w:val="23"/>
          <w:szCs w:val="23"/>
        </w:rPr>
        <w:t>排水设施、道路等配套工程为</w:t>
      </w:r>
      <w:r>
        <w:rPr>
          <w:rFonts w:ascii="宋体" w:hAnsi="宋体" w:eastAsia="宋体" w:cs="宋体"/>
          <w:spacing w:val="2"/>
          <w:sz w:val="23"/>
          <w:szCs w:val="23"/>
          <w:u w:val="single" w:color="auto"/>
        </w:rPr>
        <w:t>2</w:t>
      </w:r>
      <w:r>
        <w:rPr>
          <w:rFonts w:ascii="宋体" w:hAnsi="宋体" w:eastAsia="宋体" w:cs="宋体"/>
          <w:spacing w:val="2"/>
          <w:sz w:val="23"/>
          <w:szCs w:val="23"/>
        </w:rPr>
        <w:t>年；</w:t>
      </w:r>
      <w:r>
        <w:rPr>
          <w:rFonts w:ascii="宋体" w:hAnsi="宋体" w:eastAsia="宋体" w:cs="宋体"/>
          <w:spacing w:val="-1"/>
          <w:sz w:val="23"/>
          <w:szCs w:val="23"/>
        </w:rPr>
        <w:t>7.工程质量</w:t>
      </w:r>
      <w:r>
        <w:rPr>
          <w:rFonts w:ascii="宋体" w:hAnsi="宋体" w:eastAsia="宋体" w:cs="宋体"/>
          <w:sz w:val="23"/>
          <w:szCs w:val="23"/>
        </w:rPr>
        <w:t>保修期为</w:t>
      </w:r>
      <w:r>
        <w:rPr>
          <w:rFonts w:ascii="宋体" w:hAnsi="宋体" w:eastAsia="宋体" w:cs="宋体"/>
          <w:sz w:val="23"/>
          <w:szCs w:val="23"/>
          <w:u w:val="single" w:color="auto"/>
        </w:rPr>
        <w:t>2</w:t>
      </w:r>
      <w:r>
        <w:rPr>
          <w:rFonts w:ascii="宋体" w:hAnsi="宋体" w:eastAsia="宋体" w:cs="宋体"/>
          <w:sz w:val="23"/>
          <w:szCs w:val="23"/>
        </w:rPr>
        <w:t>年；</w:t>
      </w:r>
    </w:p>
    <w:p>
      <w:pPr>
        <w:spacing w:before="183" w:line="302" w:lineRule="auto"/>
        <w:ind w:left="490" w:right="3514" w:hanging="55"/>
        <w:rPr>
          <w:rFonts w:ascii="宋体" w:hAnsi="宋体" w:eastAsia="宋体" w:cs="宋体"/>
          <w:sz w:val="23"/>
          <w:szCs w:val="23"/>
        </w:rPr>
      </w:pPr>
      <w:r>
        <w:rPr>
          <w:rFonts w:ascii="宋体" w:hAnsi="宋体" w:eastAsia="宋体" w:cs="宋体"/>
          <w:spacing w:val="6"/>
          <w:sz w:val="23"/>
          <w:szCs w:val="23"/>
        </w:rPr>
        <w:t>8．其他项目保修期限约定如下：</w:t>
      </w:r>
      <w:r>
        <w:rPr>
          <w:rFonts w:ascii="宋体" w:hAnsi="宋体" w:eastAsia="宋体" w:cs="宋体"/>
          <w:spacing w:val="6"/>
          <w:sz w:val="23"/>
          <w:szCs w:val="23"/>
          <w:u w:val="single" w:color="auto"/>
        </w:rPr>
        <w:t>/</w:t>
      </w:r>
      <w:r>
        <w:rPr>
          <w:rFonts w:ascii="宋体" w:hAnsi="宋体" w:eastAsia="宋体" w:cs="宋体"/>
          <w:sz w:val="23"/>
          <w:szCs w:val="23"/>
        </w:rPr>
        <w:t>。</w:t>
      </w:r>
      <w:r>
        <w:rPr>
          <w:rFonts w:ascii="宋体" w:hAnsi="宋体" w:eastAsia="宋体" w:cs="宋体"/>
          <w:spacing w:val="9"/>
          <w:sz w:val="23"/>
          <w:szCs w:val="23"/>
        </w:rPr>
        <w:t>质量保修期自工程竣工验收合格之日起计算</w:t>
      </w:r>
      <w:r>
        <w:rPr>
          <w:rFonts w:ascii="宋体" w:hAnsi="宋体" w:eastAsia="宋体" w:cs="宋体"/>
          <w:spacing w:val="8"/>
          <w:sz w:val="23"/>
          <w:szCs w:val="23"/>
        </w:rPr>
        <w:t>。</w:t>
      </w:r>
    </w:p>
    <w:p>
      <w:pPr>
        <w:spacing w:before="183" w:line="305" w:lineRule="exact"/>
        <w:ind w:left="489"/>
        <w:rPr>
          <w:rFonts w:ascii="宋体" w:hAnsi="宋体" w:eastAsia="宋体" w:cs="宋体"/>
          <w:sz w:val="23"/>
          <w:szCs w:val="23"/>
        </w:rPr>
      </w:pPr>
      <w:r>
        <w:rPr>
          <w:rFonts w:ascii="宋体" w:hAnsi="宋体" w:eastAsia="宋体" w:cs="宋体"/>
          <w:spacing w:val="12"/>
          <w:position w:val="1"/>
          <w:sz w:val="23"/>
          <w:szCs w:val="23"/>
        </w:rPr>
        <w:t>三</w:t>
      </w:r>
      <w:r>
        <w:rPr>
          <w:rFonts w:ascii="宋体" w:hAnsi="宋体" w:eastAsia="宋体" w:cs="宋体"/>
          <w:spacing w:val="8"/>
          <w:position w:val="1"/>
          <w:sz w:val="23"/>
          <w:szCs w:val="23"/>
        </w:rPr>
        <w:t>、缺陷责任期</w:t>
      </w:r>
    </w:p>
    <w:p>
      <w:pPr>
        <w:spacing w:before="160" w:line="375" w:lineRule="auto"/>
        <w:ind w:left="14" w:firstLine="478"/>
        <w:rPr>
          <w:rFonts w:ascii="宋体" w:hAnsi="宋体" w:eastAsia="宋体" w:cs="宋体"/>
          <w:sz w:val="23"/>
          <w:szCs w:val="23"/>
        </w:rPr>
      </w:pPr>
      <w:r>
        <w:rPr>
          <w:rFonts w:ascii="宋体" w:hAnsi="宋体" w:eastAsia="宋体" w:cs="宋体"/>
          <w:spacing w:val="14"/>
          <w:sz w:val="23"/>
          <w:szCs w:val="23"/>
        </w:rPr>
        <w:t>工程缺</w:t>
      </w:r>
      <w:r>
        <w:rPr>
          <w:rFonts w:ascii="宋体" w:hAnsi="宋体" w:eastAsia="宋体" w:cs="宋体"/>
          <w:spacing w:val="10"/>
          <w:sz w:val="23"/>
          <w:szCs w:val="23"/>
        </w:rPr>
        <w:t>陷</w:t>
      </w:r>
      <w:r>
        <w:rPr>
          <w:rFonts w:ascii="宋体" w:hAnsi="宋体" w:eastAsia="宋体" w:cs="宋体"/>
          <w:spacing w:val="7"/>
          <w:sz w:val="23"/>
          <w:szCs w:val="23"/>
        </w:rPr>
        <w:t>责任期为</w:t>
      </w:r>
      <w:r>
        <w:rPr>
          <w:rFonts w:ascii="宋体" w:hAnsi="宋体" w:eastAsia="宋体" w:cs="宋体"/>
          <w:spacing w:val="7"/>
          <w:sz w:val="23"/>
          <w:szCs w:val="23"/>
          <w:u w:val="single" w:color="auto"/>
        </w:rPr>
        <w:t>24</w:t>
      </w:r>
      <w:r>
        <w:rPr>
          <w:rFonts w:ascii="宋体" w:hAnsi="宋体" w:eastAsia="宋体" w:cs="宋体"/>
          <w:spacing w:val="7"/>
          <w:sz w:val="23"/>
          <w:szCs w:val="23"/>
        </w:rPr>
        <w:t>个月，缺陷责任期自工程竣工验收合格之日起计算。单位工程</w:t>
      </w:r>
      <w:r>
        <w:rPr>
          <w:rFonts w:ascii="宋体" w:hAnsi="宋体" w:eastAsia="宋体" w:cs="宋体"/>
          <w:spacing w:val="18"/>
          <w:sz w:val="23"/>
          <w:szCs w:val="23"/>
        </w:rPr>
        <w:t>先</w:t>
      </w:r>
      <w:r>
        <w:rPr>
          <w:rFonts w:ascii="宋体" w:hAnsi="宋体" w:eastAsia="宋体" w:cs="宋体"/>
          <w:spacing w:val="9"/>
          <w:sz w:val="23"/>
          <w:szCs w:val="23"/>
        </w:rPr>
        <w:t>于全部工程进行验收，单位工程缺陷责任期自单位工程验收合格之日起算。</w:t>
      </w:r>
    </w:p>
    <w:p>
      <w:pPr>
        <w:spacing w:line="224" w:lineRule="auto"/>
        <w:ind w:left="489"/>
        <w:rPr>
          <w:rFonts w:ascii="宋体" w:hAnsi="宋体" w:eastAsia="宋体" w:cs="宋体"/>
          <w:sz w:val="23"/>
          <w:szCs w:val="23"/>
        </w:rPr>
      </w:pPr>
      <w:r>
        <w:rPr>
          <w:rFonts w:ascii="宋体" w:hAnsi="宋体" w:eastAsia="宋体" w:cs="宋体"/>
          <w:spacing w:val="13"/>
          <w:sz w:val="23"/>
          <w:szCs w:val="23"/>
        </w:rPr>
        <w:t>缺</w:t>
      </w:r>
      <w:r>
        <w:rPr>
          <w:rFonts w:ascii="宋体" w:hAnsi="宋体" w:eastAsia="宋体" w:cs="宋体"/>
          <w:spacing w:val="9"/>
          <w:sz w:val="23"/>
          <w:szCs w:val="23"/>
        </w:rPr>
        <w:t>陷责任期终止后，发包人应退还剩余的质量保证金。</w:t>
      </w:r>
    </w:p>
    <w:p>
      <w:pPr>
        <w:sectPr>
          <w:headerReference r:id="rId18" w:type="default"/>
          <w:footerReference r:id="rId19" w:type="default"/>
          <w:pgSz w:w="11906" w:h="16839"/>
          <w:pgMar w:top="1118" w:right="1302" w:bottom="1190" w:left="1303" w:header="878" w:footer="794" w:gutter="0"/>
          <w:pgNumType w:fmt="numberInDash" w:start="151"/>
          <w:cols w:space="720" w:num="1"/>
        </w:sectPr>
      </w:pPr>
    </w:p>
    <w:p>
      <w:pPr>
        <w:spacing w:before="222" w:line="230" w:lineRule="auto"/>
        <w:ind w:left="512"/>
        <w:rPr>
          <w:rFonts w:ascii="宋体" w:hAnsi="宋体" w:eastAsia="宋体" w:cs="宋体"/>
          <w:sz w:val="23"/>
          <w:szCs w:val="23"/>
        </w:rPr>
      </w:pPr>
      <w:r>
        <w:rPr>
          <w:rFonts w:ascii="宋体" w:hAnsi="宋体" w:eastAsia="宋体" w:cs="宋体"/>
          <w:spacing w:val="6"/>
          <w:sz w:val="23"/>
          <w:szCs w:val="23"/>
        </w:rPr>
        <w:t>四、质量保修责任</w:t>
      </w:r>
    </w:p>
    <w:p>
      <w:pPr>
        <w:spacing w:before="177" w:line="375" w:lineRule="auto"/>
        <w:ind w:left="115" w:firstLine="509"/>
        <w:rPr>
          <w:rFonts w:ascii="宋体" w:hAnsi="宋体" w:eastAsia="宋体" w:cs="宋体"/>
          <w:sz w:val="23"/>
          <w:szCs w:val="23"/>
        </w:rPr>
      </w:pPr>
      <w:r>
        <w:rPr>
          <w:rFonts w:ascii="宋体" w:hAnsi="宋体" w:eastAsia="宋体" w:cs="宋体"/>
          <w:spacing w:val="1"/>
          <w:sz w:val="23"/>
          <w:szCs w:val="23"/>
        </w:rPr>
        <w:t>1．属于保修范围、内容的项</w:t>
      </w:r>
      <w:r>
        <w:rPr>
          <w:rFonts w:ascii="宋体" w:hAnsi="宋体" w:eastAsia="宋体" w:cs="宋体"/>
          <w:sz w:val="23"/>
          <w:szCs w:val="23"/>
        </w:rPr>
        <w:t>目，承包人应当在接到保修通知之日起7天内派人保修。</w:t>
      </w:r>
      <w:r>
        <w:rPr>
          <w:rFonts w:ascii="宋体" w:hAnsi="宋体" w:eastAsia="宋体" w:cs="宋体"/>
          <w:spacing w:val="17"/>
          <w:sz w:val="23"/>
          <w:szCs w:val="23"/>
        </w:rPr>
        <w:t>承</w:t>
      </w:r>
      <w:r>
        <w:rPr>
          <w:rFonts w:ascii="宋体" w:hAnsi="宋体" w:eastAsia="宋体" w:cs="宋体"/>
          <w:spacing w:val="9"/>
          <w:sz w:val="23"/>
          <w:szCs w:val="23"/>
        </w:rPr>
        <w:t>包人不在约定期限内派人保修的，发包人可以委托他人修理。</w:t>
      </w:r>
    </w:p>
    <w:p>
      <w:pPr>
        <w:spacing w:line="310" w:lineRule="exact"/>
        <w:ind w:left="610"/>
        <w:rPr>
          <w:rFonts w:ascii="宋体" w:hAnsi="宋体" w:eastAsia="宋体" w:cs="宋体"/>
          <w:sz w:val="23"/>
          <w:szCs w:val="23"/>
        </w:rPr>
      </w:pPr>
      <w:r>
        <w:rPr>
          <w:rFonts w:ascii="宋体" w:hAnsi="宋体" w:eastAsia="宋体" w:cs="宋体"/>
          <w:spacing w:val="6"/>
          <w:position w:val="1"/>
          <w:sz w:val="23"/>
          <w:szCs w:val="23"/>
        </w:rPr>
        <w:t>2．发生紧急事故需</w:t>
      </w:r>
      <w:r>
        <w:rPr>
          <w:rFonts w:ascii="宋体" w:hAnsi="宋体" w:eastAsia="宋体" w:cs="宋体"/>
          <w:spacing w:val="4"/>
          <w:position w:val="1"/>
          <w:sz w:val="23"/>
          <w:szCs w:val="23"/>
        </w:rPr>
        <w:t>抢</w:t>
      </w:r>
      <w:r>
        <w:rPr>
          <w:rFonts w:ascii="宋体" w:hAnsi="宋体" w:eastAsia="宋体" w:cs="宋体"/>
          <w:spacing w:val="3"/>
          <w:position w:val="1"/>
          <w:sz w:val="23"/>
          <w:szCs w:val="23"/>
        </w:rPr>
        <w:t>修的，承包人在接到事故通知后，应当立即到达事故现场抢修。</w:t>
      </w:r>
    </w:p>
    <w:p>
      <w:pPr>
        <w:spacing w:before="159" w:line="374" w:lineRule="auto"/>
        <w:ind w:left="116" w:right="80" w:firstLine="495"/>
        <w:rPr>
          <w:rFonts w:ascii="宋体" w:hAnsi="宋体" w:eastAsia="宋体" w:cs="宋体"/>
          <w:sz w:val="23"/>
          <w:szCs w:val="23"/>
        </w:rPr>
      </w:pPr>
      <w:r>
        <w:rPr>
          <w:rFonts w:ascii="宋体" w:hAnsi="宋体" w:eastAsia="宋体" w:cs="宋体"/>
          <w:spacing w:val="8"/>
          <w:sz w:val="23"/>
          <w:szCs w:val="23"/>
        </w:rPr>
        <w:t>3．对于涉及结构安全的质量问题，应当按照《建设工程质量管理条例》的规定，</w:t>
      </w:r>
      <w:r>
        <w:rPr>
          <w:rFonts w:ascii="宋体" w:hAnsi="宋体" w:eastAsia="宋体" w:cs="宋体"/>
          <w:spacing w:val="2"/>
          <w:sz w:val="23"/>
          <w:szCs w:val="23"/>
        </w:rPr>
        <w:t>立</w:t>
      </w:r>
      <w:r>
        <w:rPr>
          <w:rFonts w:ascii="宋体" w:hAnsi="宋体" w:eastAsia="宋体" w:cs="宋体"/>
          <w:spacing w:val="22"/>
          <w:sz w:val="23"/>
          <w:szCs w:val="23"/>
        </w:rPr>
        <w:t>即向</w:t>
      </w:r>
      <w:r>
        <w:rPr>
          <w:rFonts w:ascii="宋体" w:hAnsi="宋体" w:eastAsia="宋体" w:cs="宋体"/>
          <w:spacing w:val="12"/>
          <w:sz w:val="23"/>
          <w:szCs w:val="23"/>
        </w:rPr>
        <w:t>当</w:t>
      </w:r>
      <w:r>
        <w:rPr>
          <w:rFonts w:ascii="宋体" w:hAnsi="宋体" w:eastAsia="宋体" w:cs="宋体"/>
          <w:spacing w:val="11"/>
          <w:sz w:val="23"/>
          <w:szCs w:val="23"/>
        </w:rPr>
        <w:t>地建设行政主管部门和有关部门报告，采取安全防范措施，并由原设计人或者具</w:t>
      </w:r>
      <w:r>
        <w:rPr>
          <w:rFonts w:ascii="宋体" w:hAnsi="宋体" w:eastAsia="宋体" w:cs="宋体"/>
          <w:spacing w:val="14"/>
          <w:sz w:val="23"/>
          <w:szCs w:val="23"/>
        </w:rPr>
        <w:t>有</w:t>
      </w:r>
      <w:r>
        <w:rPr>
          <w:rFonts w:ascii="宋体" w:hAnsi="宋体" w:eastAsia="宋体" w:cs="宋体"/>
          <w:spacing w:val="9"/>
          <w:sz w:val="23"/>
          <w:szCs w:val="23"/>
        </w:rPr>
        <w:t>相应资质等级的设计人提出保修方案，承包人实施保修。</w:t>
      </w:r>
    </w:p>
    <w:p>
      <w:pPr>
        <w:spacing w:line="227" w:lineRule="auto"/>
        <w:ind w:left="548"/>
        <w:rPr>
          <w:rFonts w:ascii="宋体" w:hAnsi="宋体" w:eastAsia="宋体" w:cs="宋体"/>
          <w:sz w:val="23"/>
          <w:szCs w:val="23"/>
        </w:rPr>
      </w:pPr>
      <w:r>
        <w:rPr>
          <w:rFonts w:ascii="宋体" w:hAnsi="宋体" w:eastAsia="宋体" w:cs="宋体"/>
          <w:spacing w:val="4"/>
          <w:sz w:val="23"/>
          <w:szCs w:val="23"/>
        </w:rPr>
        <w:t>4．质量保</w:t>
      </w:r>
      <w:r>
        <w:rPr>
          <w:rFonts w:ascii="宋体" w:hAnsi="宋体" w:eastAsia="宋体" w:cs="宋体"/>
          <w:spacing w:val="3"/>
          <w:sz w:val="23"/>
          <w:szCs w:val="23"/>
        </w:rPr>
        <w:t>修</w:t>
      </w:r>
      <w:r>
        <w:rPr>
          <w:rFonts w:ascii="宋体" w:hAnsi="宋体" w:eastAsia="宋体" w:cs="宋体"/>
          <w:spacing w:val="2"/>
          <w:sz w:val="23"/>
          <w:szCs w:val="23"/>
        </w:rPr>
        <w:t>完成后，由发包人组织验收。</w:t>
      </w:r>
    </w:p>
    <w:p>
      <w:pPr>
        <w:spacing w:before="185" w:line="237" w:lineRule="auto"/>
        <w:ind w:left="493"/>
        <w:rPr>
          <w:rFonts w:ascii="宋体" w:hAnsi="宋体" w:eastAsia="宋体" w:cs="宋体"/>
          <w:sz w:val="23"/>
          <w:szCs w:val="23"/>
        </w:rPr>
      </w:pPr>
      <w:r>
        <w:rPr>
          <w:rFonts w:ascii="宋体" w:hAnsi="宋体" w:eastAsia="宋体" w:cs="宋体"/>
          <w:spacing w:val="11"/>
          <w:sz w:val="23"/>
          <w:szCs w:val="23"/>
        </w:rPr>
        <w:t>五</w:t>
      </w:r>
      <w:r>
        <w:rPr>
          <w:rFonts w:ascii="宋体" w:hAnsi="宋体" w:eastAsia="宋体" w:cs="宋体"/>
          <w:spacing w:val="7"/>
          <w:sz w:val="23"/>
          <w:szCs w:val="23"/>
        </w:rPr>
        <w:t>、保修费用</w:t>
      </w:r>
    </w:p>
    <w:p>
      <w:pPr>
        <w:spacing w:before="170" w:line="224" w:lineRule="auto"/>
        <w:ind w:left="416"/>
        <w:rPr>
          <w:rFonts w:ascii="宋体" w:hAnsi="宋体" w:eastAsia="宋体" w:cs="宋体"/>
          <w:sz w:val="23"/>
          <w:szCs w:val="23"/>
        </w:rPr>
      </w:pPr>
      <w:r>
        <w:rPr>
          <w:rFonts w:ascii="宋体" w:hAnsi="宋体" w:eastAsia="宋体" w:cs="宋体"/>
          <w:spacing w:val="9"/>
          <w:sz w:val="23"/>
          <w:szCs w:val="23"/>
        </w:rPr>
        <w:t>保修费用由造成质量缺陷的责任方承担</w:t>
      </w:r>
      <w:r>
        <w:rPr>
          <w:rFonts w:ascii="宋体" w:hAnsi="宋体" w:eastAsia="宋体" w:cs="宋体"/>
          <w:spacing w:val="6"/>
          <w:sz w:val="23"/>
          <w:szCs w:val="23"/>
        </w:rPr>
        <w:t>。</w:t>
      </w:r>
    </w:p>
    <w:p>
      <w:pPr>
        <w:spacing w:before="188" w:line="232" w:lineRule="auto"/>
        <w:ind w:left="417"/>
        <w:rPr>
          <w:rFonts w:hint="eastAsia" w:ascii="宋体" w:hAnsi="宋体" w:eastAsia="宋体" w:cs="宋体"/>
          <w:sz w:val="23"/>
          <w:szCs w:val="23"/>
          <w:lang w:eastAsia="zh-CN"/>
        </w:rPr>
      </w:pPr>
      <w:r>
        <w:rPr>
          <w:rFonts w:ascii="宋体" w:hAnsi="宋体" w:eastAsia="宋体" w:cs="宋体"/>
          <w:spacing w:val="9"/>
          <w:sz w:val="23"/>
          <w:szCs w:val="23"/>
        </w:rPr>
        <w:t>六、双方约定的其他工程质量保修事项</w:t>
      </w:r>
      <w:r>
        <w:rPr>
          <w:rFonts w:ascii="宋体" w:hAnsi="宋体" w:eastAsia="宋体" w:cs="宋体"/>
          <w:spacing w:val="5"/>
          <w:sz w:val="23"/>
          <w:szCs w:val="23"/>
        </w:rPr>
        <w:t>：</w:t>
      </w:r>
    </w:p>
    <w:p>
      <w:pPr>
        <w:tabs>
          <w:tab w:val="left" w:pos="9239"/>
        </w:tabs>
        <w:spacing w:before="214" w:line="242" w:lineRule="exact"/>
        <w:rPr>
          <w:rFonts w:ascii="Arial"/>
          <w:sz w:val="21"/>
        </w:rPr>
      </w:pPr>
      <w:r>
        <w:rPr>
          <w:rFonts w:ascii="Arial" w:hAnsi="Arial" w:eastAsia="Arial" w:cs="Arial"/>
          <w:sz w:val="21"/>
          <w:szCs w:val="21"/>
          <w:u w:val="single" w:color="auto"/>
        </w:rPr>
        <w:tab/>
      </w:r>
    </w:p>
    <w:p>
      <w:pPr>
        <w:spacing w:line="316" w:lineRule="auto"/>
        <w:rPr>
          <w:rFonts w:ascii="Arial"/>
          <w:sz w:val="21"/>
        </w:rPr>
      </w:pPr>
    </w:p>
    <w:p>
      <w:pPr>
        <w:tabs>
          <w:tab w:val="left" w:pos="4592"/>
        </w:tabs>
        <w:spacing w:before="26" w:line="173" w:lineRule="auto"/>
        <w:rPr>
          <w:rFonts w:ascii="宋体" w:hAnsi="宋体" w:eastAsia="宋体" w:cs="宋体"/>
          <w:sz w:val="8"/>
          <w:szCs w:val="8"/>
        </w:rPr>
      </w:pPr>
      <w:r>
        <w:rPr>
          <w:rFonts w:ascii="宋体" w:hAnsi="宋体" w:eastAsia="宋体" w:cs="宋体"/>
          <w:sz w:val="8"/>
          <w:szCs w:val="8"/>
          <w:u w:val="single" w:color="auto"/>
        </w:rPr>
        <w:tab/>
      </w:r>
      <w:r>
        <w:rPr>
          <w:rFonts w:ascii="宋体" w:hAnsi="宋体" w:eastAsia="宋体" w:cs="宋体"/>
          <w:spacing w:val="12"/>
          <w:sz w:val="8"/>
          <w:szCs w:val="8"/>
        </w:rPr>
        <w:t>。</w:t>
      </w:r>
    </w:p>
    <w:p>
      <w:pPr>
        <w:spacing w:before="236" w:line="383" w:lineRule="auto"/>
        <w:ind w:left="10" w:right="100" w:firstLine="457"/>
        <w:rPr>
          <w:rFonts w:ascii="宋体" w:hAnsi="宋体" w:eastAsia="宋体" w:cs="宋体"/>
          <w:spacing w:val="8"/>
          <w:sz w:val="23"/>
          <w:szCs w:val="23"/>
        </w:rPr>
      </w:pPr>
      <w:r>
        <w:rPr>
          <w:rFonts w:ascii="宋体" w:hAnsi="宋体" w:eastAsia="宋体" w:cs="宋体"/>
          <w:spacing w:val="11"/>
          <w:sz w:val="23"/>
          <w:szCs w:val="23"/>
        </w:rPr>
        <w:t>工</w:t>
      </w:r>
      <w:r>
        <w:rPr>
          <w:rFonts w:ascii="宋体" w:hAnsi="宋体" w:eastAsia="宋体" w:cs="宋体"/>
          <w:spacing w:val="8"/>
          <w:sz w:val="23"/>
          <w:szCs w:val="23"/>
        </w:rPr>
        <w:t>程质量保修书由发包人、承包人在工程竣工验收前共同签署，作为施工合同附件，</w:t>
      </w:r>
      <w:r>
        <w:rPr>
          <w:rFonts w:ascii="宋体" w:hAnsi="宋体" w:eastAsia="宋体" w:cs="宋体"/>
          <w:spacing w:val="9"/>
          <w:sz w:val="23"/>
          <w:szCs w:val="23"/>
        </w:rPr>
        <w:t>其</w:t>
      </w:r>
      <w:r>
        <w:rPr>
          <w:rFonts w:ascii="宋体" w:hAnsi="宋体" w:eastAsia="宋体" w:cs="宋体"/>
          <w:spacing w:val="8"/>
          <w:sz w:val="23"/>
          <w:szCs w:val="23"/>
        </w:rPr>
        <w:t>有效期限至保修期满。</w:t>
      </w:r>
    </w:p>
    <w:p>
      <w:pPr>
        <w:spacing w:before="236" w:line="383" w:lineRule="auto"/>
        <w:ind w:right="100"/>
        <w:rPr>
          <w:rFonts w:hint="eastAsia" w:ascii="宋体" w:hAnsi="宋体" w:eastAsia="宋体" w:cs="宋体"/>
          <w:sz w:val="23"/>
          <w:szCs w:val="23"/>
          <w:lang w:eastAsia="zh-CN"/>
        </w:rPr>
      </w:pPr>
      <w:r>
        <w:rPr>
          <w:rFonts w:ascii="宋体" w:hAnsi="宋体" w:eastAsia="宋体" w:cs="宋体"/>
          <w:spacing w:val="6"/>
          <w:sz w:val="23"/>
          <w:szCs w:val="23"/>
        </w:rPr>
        <w:t>发包人(公章)</w:t>
      </w:r>
      <w:r>
        <w:rPr>
          <w:rFonts w:ascii="宋体" w:hAnsi="宋体" w:eastAsia="宋体" w:cs="宋体"/>
          <w:spacing w:val="4"/>
          <w:sz w:val="23"/>
          <w:szCs w:val="23"/>
        </w:rPr>
        <w:t>：</w:t>
      </w:r>
      <w:r>
        <w:rPr>
          <w:rFonts w:hint="eastAsia" w:ascii="宋体" w:hAnsi="宋体" w:cs="宋体"/>
          <w:spacing w:val="4"/>
          <w:sz w:val="23"/>
          <w:szCs w:val="23"/>
          <w:lang w:val="en-US" w:eastAsia="zh-CN"/>
        </w:rPr>
        <w:t xml:space="preserve">                            </w:t>
      </w:r>
      <w:r>
        <w:rPr>
          <w:rFonts w:ascii="宋体" w:hAnsi="宋体" w:eastAsia="宋体" w:cs="宋体"/>
          <w:spacing w:val="8"/>
          <w:sz w:val="23"/>
          <w:szCs w:val="23"/>
        </w:rPr>
        <w:t>承</w:t>
      </w:r>
      <w:r>
        <w:rPr>
          <w:rFonts w:ascii="宋体" w:hAnsi="宋体" w:eastAsia="宋体" w:cs="宋体"/>
          <w:spacing w:val="6"/>
          <w:sz w:val="23"/>
          <w:szCs w:val="23"/>
        </w:rPr>
        <w:t>包人(公章)：</w:t>
      </w:r>
    </w:p>
    <w:p>
      <w:pPr>
        <w:spacing w:before="183" w:line="237" w:lineRule="auto"/>
        <w:ind w:left="9"/>
        <w:rPr>
          <w:rFonts w:hint="eastAsia" w:ascii="宋体" w:hAnsi="宋体" w:eastAsia="宋体" w:cs="宋体"/>
          <w:sz w:val="23"/>
          <w:szCs w:val="23"/>
          <w:lang w:val="en-US" w:eastAsia="zh-CN"/>
        </w:rPr>
      </w:pPr>
      <w:r>
        <w:rPr>
          <w:rFonts w:ascii="宋体" w:hAnsi="宋体" w:eastAsia="宋体" w:cs="宋体"/>
          <w:spacing w:val="-17"/>
          <w:sz w:val="23"/>
          <w:szCs w:val="23"/>
        </w:rPr>
        <w:t>地</w:t>
      </w:r>
      <w:r>
        <w:rPr>
          <w:rFonts w:ascii="宋体" w:hAnsi="宋体" w:eastAsia="宋体" w:cs="宋体"/>
          <w:spacing w:val="-15"/>
          <w:sz w:val="23"/>
          <w:szCs w:val="23"/>
        </w:rPr>
        <w:t>址：</w:t>
      </w:r>
      <w:r>
        <w:rPr>
          <w:rFonts w:hint="eastAsia" w:ascii="宋体" w:hAnsi="宋体" w:cs="宋体"/>
          <w:spacing w:val="-15"/>
          <w:sz w:val="23"/>
          <w:szCs w:val="23"/>
          <w:lang w:val="en-US" w:eastAsia="zh-CN"/>
        </w:rPr>
        <w:t xml:space="preserve">                                                      </w:t>
      </w:r>
      <w:r>
        <w:rPr>
          <w:rFonts w:ascii="宋体" w:hAnsi="宋体" w:eastAsia="宋体" w:cs="宋体"/>
          <w:spacing w:val="-17"/>
          <w:sz w:val="23"/>
          <w:szCs w:val="23"/>
        </w:rPr>
        <w:t>地</w:t>
      </w:r>
      <w:r>
        <w:rPr>
          <w:rFonts w:ascii="宋体" w:hAnsi="宋体" w:eastAsia="宋体" w:cs="宋体"/>
          <w:spacing w:val="-15"/>
          <w:sz w:val="23"/>
          <w:szCs w:val="23"/>
        </w:rPr>
        <w:t>址：</w:t>
      </w:r>
    </w:p>
    <w:p>
      <w:pPr>
        <w:spacing w:before="173" w:line="226" w:lineRule="auto"/>
        <w:ind w:left="10"/>
        <w:rPr>
          <w:rFonts w:hint="eastAsia" w:ascii="宋体" w:hAnsi="宋体" w:eastAsia="宋体" w:cs="宋体"/>
          <w:sz w:val="23"/>
          <w:szCs w:val="23"/>
          <w:lang w:eastAsia="zh-CN"/>
        </w:rPr>
      </w:pPr>
      <w:r>
        <w:rPr>
          <w:rFonts w:ascii="宋体" w:hAnsi="宋体" w:eastAsia="宋体" w:cs="宋体"/>
          <w:spacing w:val="7"/>
          <w:sz w:val="23"/>
          <w:szCs w:val="23"/>
        </w:rPr>
        <w:t>法定代表人(签字)</w:t>
      </w:r>
      <w:r>
        <w:rPr>
          <w:rFonts w:ascii="宋体" w:hAnsi="宋体" w:eastAsia="宋体" w:cs="宋体"/>
          <w:spacing w:val="6"/>
          <w:sz w:val="23"/>
          <w:szCs w:val="23"/>
        </w:rPr>
        <w:t>：</w:t>
      </w:r>
      <w:r>
        <w:rPr>
          <w:rFonts w:hint="eastAsia" w:ascii="宋体" w:hAnsi="宋体" w:cs="宋体"/>
          <w:spacing w:val="6"/>
          <w:sz w:val="23"/>
          <w:szCs w:val="23"/>
          <w:lang w:val="en-US" w:eastAsia="zh-CN"/>
        </w:rPr>
        <w:t xml:space="preserve">                       </w:t>
      </w:r>
      <w:r>
        <w:rPr>
          <w:rFonts w:ascii="宋体" w:hAnsi="宋体" w:eastAsia="宋体" w:cs="宋体"/>
          <w:spacing w:val="7"/>
          <w:sz w:val="23"/>
          <w:szCs w:val="23"/>
        </w:rPr>
        <w:t>法定代表人(签字)</w:t>
      </w:r>
      <w:r>
        <w:rPr>
          <w:rFonts w:ascii="宋体" w:hAnsi="宋体" w:eastAsia="宋体" w:cs="宋体"/>
          <w:spacing w:val="6"/>
          <w:sz w:val="23"/>
          <w:szCs w:val="23"/>
        </w:rPr>
        <w:t>：</w:t>
      </w:r>
    </w:p>
    <w:p>
      <w:pPr>
        <w:spacing w:before="186" w:line="224" w:lineRule="auto"/>
        <w:ind w:left="8"/>
        <w:rPr>
          <w:rFonts w:hint="eastAsia" w:ascii="宋体" w:hAnsi="宋体" w:eastAsia="宋体" w:cs="宋体"/>
          <w:sz w:val="23"/>
          <w:szCs w:val="23"/>
          <w:lang w:eastAsia="zh-CN"/>
        </w:rPr>
      </w:pPr>
      <w:r>
        <w:rPr>
          <w:rFonts w:ascii="宋体" w:hAnsi="宋体" w:eastAsia="宋体" w:cs="宋体"/>
          <w:spacing w:val="8"/>
          <w:sz w:val="23"/>
          <w:szCs w:val="23"/>
        </w:rPr>
        <w:t>委</w:t>
      </w:r>
      <w:r>
        <w:rPr>
          <w:rFonts w:ascii="宋体" w:hAnsi="宋体" w:eastAsia="宋体" w:cs="宋体"/>
          <w:spacing w:val="7"/>
          <w:sz w:val="23"/>
          <w:szCs w:val="23"/>
        </w:rPr>
        <w:t>托代理人(签字)：</w:t>
      </w:r>
      <w:r>
        <w:rPr>
          <w:rFonts w:hint="eastAsia" w:ascii="宋体" w:hAnsi="宋体" w:cs="宋体"/>
          <w:spacing w:val="7"/>
          <w:sz w:val="23"/>
          <w:szCs w:val="23"/>
          <w:lang w:val="en-US" w:eastAsia="zh-CN"/>
        </w:rPr>
        <w:t xml:space="preserve">                       </w:t>
      </w:r>
      <w:r>
        <w:rPr>
          <w:rFonts w:ascii="宋体" w:hAnsi="宋体" w:eastAsia="宋体" w:cs="宋体"/>
          <w:spacing w:val="8"/>
          <w:sz w:val="23"/>
          <w:szCs w:val="23"/>
        </w:rPr>
        <w:t>委</w:t>
      </w:r>
      <w:r>
        <w:rPr>
          <w:rFonts w:ascii="宋体" w:hAnsi="宋体" w:eastAsia="宋体" w:cs="宋体"/>
          <w:spacing w:val="7"/>
          <w:sz w:val="23"/>
          <w:szCs w:val="23"/>
        </w:rPr>
        <w:t>托代理人(签字)：</w:t>
      </w:r>
    </w:p>
    <w:p>
      <w:pPr>
        <w:spacing w:before="187" w:line="230" w:lineRule="auto"/>
        <w:ind w:left="37"/>
        <w:rPr>
          <w:rFonts w:hint="eastAsia" w:ascii="宋体" w:hAnsi="宋体" w:eastAsia="宋体" w:cs="宋体"/>
          <w:sz w:val="23"/>
          <w:szCs w:val="23"/>
          <w:lang w:eastAsia="zh-CN"/>
        </w:rPr>
      </w:pPr>
      <w:r>
        <w:rPr>
          <w:rFonts w:ascii="宋体" w:hAnsi="宋体" w:eastAsia="宋体" w:cs="宋体"/>
          <w:spacing w:val="-20"/>
          <w:sz w:val="23"/>
          <w:szCs w:val="23"/>
        </w:rPr>
        <w:t>电话：</w:t>
      </w:r>
      <w:r>
        <w:rPr>
          <w:rFonts w:hint="eastAsia" w:ascii="宋体" w:hAnsi="宋体" w:cs="宋体"/>
          <w:spacing w:val="-20"/>
          <w:sz w:val="23"/>
          <w:szCs w:val="23"/>
          <w:lang w:val="en-US" w:eastAsia="zh-CN"/>
        </w:rPr>
        <w:t xml:space="preserve">                                                             </w:t>
      </w:r>
      <w:r>
        <w:rPr>
          <w:rFonts w:ascii="宋体" w:hAnsi="宋体" w:eastAsia="宋体" w:cs="宋体"/>
          <w:spacing w:val="-20"/>
          <w:sz w:val="23"/>
          <w:szCs w:val="23"/>
        </w:rPr>
        <w:t>电话：</w:t>
      </w:r>
    </w:p>
    <w:p>
      <w:pPr>
        <w:spacing w:before="181" w:line="224" w:lineRule="auto"/>
        <w:ind w:left="7"/>
        <w:rPr>
          <w:rFonts w:hint="eastAsia" w:ascii="宋体" w:hAnsi="宋体" w:eastAsia="宋体" w:cs="宋体"/>
          <w:sz w:val="23"/>
          <w:szCs w:val="23"/>
          <w:lang w:eastAsia="zh-CN"/>
        </w:rPr>
      </w:pPr>
      <w:r>
        <w:rPr>
          <w:rFonts w:ascii="宋体" w:hAnsi="宋体" w:eastAsia="宋体" w:cs="宋体"/>
          <w:spacing w:val="-15"/>
          <w:sz w:val="23"/>
          <w:szCs w:val="23"/>
        </w:rPr>
        <w:t>传真：</w:t>
      </w:r>
      <w:r>
        <w:rPr>
          <w:rFonts w:hint="eastAsia" w:ascii="宋体" w:hAnsi="宋体" w:cs="宋体"/>
          <w:spacing w:val="-15"/>
          <w:sz w:val="23"/>
          <w:szCs w:val="23"/>
          <w:lang w:val="en-US" w:eastAsia="zh-CN"/>
        </w:rPr>
        <w:t xml:space="preserve">                                                      </w:t>
      </w:r>
      <w:r>
        <w:rPr>
          <w:rFonts w:ascii="宋体" w:hAnsi="宋体" w:eastAsia="宋体" w:cs="宋体"/>
          <w:spacing w:val="-15"/>
          <w:sz w:val="23"/>
          <w:szCs w:val="23"/>
        </w:rPr>
        <w:t>传真：</w:t>
      </w:r>
    </w:p>
    <w:p>
      <w:pPr>
        <w:spacing w:before="187" w:line="228" w:lineRule="auto"/>
        <w:ind w:left="10"/>
        <w:rPr>
          <w:rFonts w:hint="eastAsia" w:ascii="宋体" w:hAnsi="宋体" w:eastAsia="宋体" w:cs="宋体"/>
          <w:sz w:val="23"/>
          <w:szCs w:val="23"/>
          <w:lang w:eastAsia="zh-CN"/>
        </w:rPr>
      </w:pPr>
      <w:r>
        <w:rPr>
          <w:rFonts w:ascii="宋体" w:hAnsi="宋体" w:eastAsia="宋体" w:cs="宋体"/>
          <w:spacing w:val="6"/>
          <w:sz w:val="23"/>
          <w:szCs w:val="23"/>
        </w:rPr>
        <w:t>开户银行</w:t>
      </w:r>
      <w:r>
        <w:rPr>
          <w:rFonts w:ascii="宋体" w:hAnsi="宋体" w:eastAsia="宋体" w:cs="宋体"/>
          <w:spacing w:val="5"/>
          <w:sz w:val="23"/>
          <w:szCs w:val="23"/>
        </w:rPr>
        <w:t>：</w:t>
      </w:r>
      <w:r>
        <w:rPr>
          <w:rFonts w:hint="eastAsia" w:ascii="宋体" w:hAnsi="宋体" w:cs="宋体"/>
          <w:spacing w:val="5"/>
          <w:sz w:val="23"/>
          <w:szCs w:val="23"/>
          <w:lang w:val="en-US" w:eastAsia="zh-CN"/>
        </w:rPr>
        <w:t xml:space="preserve">                                </w:t>
      </w:r>
      <w:r>
        <w:rPr>
          <w:rFonts w:ascii="宋体" w:hAnsi="宋体" w:eastAsia="宋体" w:cs="宋体"/>
          <w:spacing w:val="6"/>
          <w:sz w:val="23"/>
          <w:szCs w:val="23"/>
        </w:rPr>
        <w:t>开户银行</w:t>
      </w:r>
      <w:r>
        <w:rPr>
          <w:rFonts w:ascii="宋体" w:hAnsi="宋体" w:eastAsia="宋体" w:cs="宋体"/>
          <w:spacing w:val="5"/>
          <w:sz w:val="23"/>
          <w:szCs w:val="23"/>
        </w:rPr>
        <w:t>：</w:t>
      </w:r>
    </w:p>
    <w:p>
      <w:pPr>
        <w:spacing w:before="184" w:line="229" w:lineRule="auto"/>
        <w:ind w:left="13"/>
        <w:rPr>
          <w:rFonts w:hint="eastAsia" w:ascii="宋体" w:hAnsi="宋体" w:eastAsia="宋体" w:cs="宋体"/>
          <w:sz w:val="23"/>
          <w:szCs w:val="23"/>
          <w:lang w:eastAsia="zh-CN"/>
        </w:rPr>
      </w:pPr>
      <w:r>
        <w:rPr>
          <w:rFonts w:ascii="宋体" w:hAnsi="宋体" w:eastAsia="宋体" w:cs="宋体"/>
          <w:spacing w:val="-16"/>
          <w:sz w:val="23"/>
          <w:szCs w:val="23"/>
        </w:rPr>
        <w:t>账号：</w:t>
      </w:r>
      <w:r>
        <w:rPr>
          <w:rFonts w:hint="eastAsia" w:ascii="宋体" w:hAnsi="宋体" w:cs="宋体"/>
          <w:spacing w:val="-16"/>
          <w:sz w:val="23"/>
          <w:szCs w:val="23"/>
          <w:lang w:val="en-US" w:eastAsia="zh-CN"/>
        </w:rPr>
        <w:t xml:space="preserve">                                                        </w:t>
      </w:r>
      <w:r>
        <w:rPr>
          <w:rFonts w:ascii="宋体" w:hAnsi="宋体" w:eastAsia="宋体" w:cs="宋体"/>
          <w:spacing w:val="-16"/>
          <w:sz w:val="23"/>
          <w:szCs w:val="23"/>
        </w:rPr>
        <w:t>账号：</w:t>
      </w:r>
    </w:p>
    <w:p>
      <w:pPr>
        <w:spacing w:before="181" w:line="192" w:lineRule="auto"/>
        <w:ind w:left="27"/>
        <w:rPr>
          <w:rFonts w:hint="eastAsia" w:ascii="宋体" w:hAnsi="宋体" w:eastAsia="宋体" w:cs="宋体"/>
          <w:sz w:val="23"/>
          <w:szCs w:val="23"/>
          <w:lang w:eastAsia="zh-CN"/>
        </w:rPr>
      </w:pPr>
      <w:r>
        <w:rPr>
          <w:rFonts w:ascii="宋体" w:hAnsi="宋体" w:eastAsia="宋体" w:cs="宋体"/>
          <w:spacing w:val="4"/>
          <w:sz w:val="23"/>
          <w:szCs w:val="23"/>
        </w:rPr>
        <w:t>邮</w:t>
      </w:r>
      <w:r>
        <w:rPr>
          <w:rFonts w:ascii="宋体" w:hAnsi="宋体" w:eastAsia="宋体" w:cs="宋体"/>
          <w:spacing w:val="2"/>
          <w:sz w:val="23"/>
          <w:szCs w:val="23"/>
        </w:rPr>
        <w:t>政编码：</w:t>
      </w:r>
      <w:r>
        <w:rPr>
          <w:rFonts w:hint="eastAsia" w:ascii="宋体" w:hAnsi="宋体" w:cs="宋体"/>
          <w:spacing w:val="2"/>
          <w:sz w:val="23"/>
          <w:szCs w:val="23"/>
          <w:lang w:val="en-US" w:eastAsia="zh-CN"/>
        </w:rPr>
        <w:t xml:space="preserve">                                  </w:t>
      </w:r>
      <w:r>
        <w:rPr>
          <w:rFonts w:ascii="宋体" w:hAnsi="宋体" w:eastAsia="宋体" w:cs="宋体"/>
          <w:spacing w:val="4"/>
          <w:sz w:val="23"/>
          <w:szCs w:val="23"/>
        </w:rPr>
        <w:t>邮</w:t>
      </w:r>
      <w:r>
        <w:rPr>
          <w:rFonts w:ascii="宋体" w:hAnsi="宋体" w:eastAsia="宋体" w:cs="宋体"/>
          <w:spacing w:val="2"/>
          <w:sz w:val="23"/>
          <w:szCs w:val="23"/>
        </w:rPr>
        <w:t>政编码：</w:t>
      </w:r>
    </w:p>
    <w:p>
      <w:pPr>
        <w:spacing w:before="181" w:line="192" w:lineRule="auto"/>
        <w:ind w:left="27"/>
        <w:rPr>
          <w:rFonts w:hint="eastAsia" w:ascii="宋体" w:hAnsi="宋体" w:eastAsia="宋体" w:cs="宋体"/>
          <w:sz w:val="23"/>
          <w:szCs w:val="23"/>
          <w:u w:val="none" w:color="auto"/>
          <w:lang w:eastAsia="zh-CN"/>
        </w:rPr>
      </w:pPr>
    </w:p>
    <w:p>
      <w:pPr>
        <w:spacing w:line="14" w:lineRule="auto"/>
        <w:rPr>
          <w:rFonts w:ascii="Arial"/>
          <w:sz w:val="6"/>
          <w:szCs w:val="32"/>
        </w:rPr>
        <w:sectPr>
          <w:headerReference r:id="rId20" w:type="default"/>
          <w:footerReference r:id="rId21" w:type="default"/>
          <w:pgSz w:w="11907" w:h="16840"/>
          <w:pgMar w:top="1118" w:right="1474" w:bottom="1189" w:left="1473" w:header="878" w:footer="794" w:gutter="0"/>
          <w:pgNumType w:fmt="numberInDash" w:start="152"/>
          <w:cols w:space="720" w:num="1"/>
        </w:sectPr>
      </w:pPr>
    </w:p>
    <w:p>
      <w:pPr>
        <w:pStyle w:val="2"/>
      </w:pPr>
    </w:p>
    <w:p>
      <w:pPr>
        <w:spacing w:before="75" w:line="227" w:lineRule="auto"/>
        <w:rPr>
          <w:rFonts w:ascii="宋体" w:hAnsi="宋体" w:eastAsia="宋体" w:cs="宋体"/>
          <w:sz w:val="28"/>
          <w:szCs w:val="28"/>
        </w:rPr>
      </w:pPr>
      <w:r>
        <w:rPr>
          <w:rFonts w:ascii="宋体" w:hAnsi="宋体" w:eastAsia="宋体" w:cs="宋体"/>
          <w:spacing w:val="-15"/>
          <w:sz w:val="28"/>
          <w:szCs w:val="28"/>
        </w:rPr>
        <w:t>附</w:t>
      </w:r>
      <w:r>
        <w:rPr>
          <w:rFonts w:ascii="宋体" w:hAnsi="宋体" w:eastAsia="宋体" w:cs="宋体"/>
          <w:spacing w:val="-11"/>
          <w:sz w:val="28"/>
          <w:szCs w:val="28"/>
        </w:rPr>
        <w:t>件4：</w:t>
      </w:r>
    </w:p>
    <w:p>
      <w:pPr>
        <w:spacing w:before="277" w:line="227" w:lineRule="auto"/>
        <w:ind w:left="3459"/>
        <w:rPr>
          <w:rFonts w:ascii="宋体" w:hAnsi="宋体" w:eastAsia="宋体" w:cs="宋体"/>
          <w:sz w:val="28"/>
          <w:szCs w:val="28"/>
        </w:rPr>
      </w:pPr>
      <w:r>
        <w:rPr>
          <w:rFonts w:ascii="宋体" w:hAnsi="宋体" w:eastAsia="宋体" w:cs="宋体"/>
          <w:spacing w:val="9"/>
          <w:sz w:val="28"/>
          <w:szCs w:val="28"/>
        </w:rPr>
        <w:t>主要建设工程文件目</w:t>
      </w:r>
      <w:r>
        <w:rPr>
          <w:rFonts w:ascii="宋体" w:hAnsi="宋体" w:eastAsia="宋体" w:cs="宋体"/>
          <w:spacing w:val="7"/>
          <w:sz w:val="28"/>
          <w:szCs w:val="28"/>
        </w:rPr>
        <w:t>录</w:t>
      </w:r>
    </w:p>
    <w:p>
      <w:pPr>
        <w:spacing w:line="130" w:lineRule="exact"/>
      </w:pPr>
    </w:p>
    <w:tbl>
      <w:tblPr>
        <w:tblStyle w:val="94"/>
        <w:tblW w:w="9043" w:type="dxa"/>
        <w:tblInd w:w="126"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957"/>
        <w:gridCol w:w="1275"/>
        <w:gridCol w:w="1449"/>
        <w:gridCol w:w="1242"/>
        <w:gridCol w:w="1449"/>
        <w:gridCol w:w="1671"/>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9" w:hRule="atLeast"/>
        </w:trPr>
        <w:tc>
          <w:tcPr>
            <w:tcW w:w="1957" w:type="dxa"/>
            <w:vAlign w:val="top"/>
          </w:tcPr>
          <w:p>
            <w:pPr>
              <w:spacing w:before="152" w:line="227" w:lineRule="auto"/>
              <w:ind w:left="102"/>
              <w:rPr>
                <w:rFonts w:ascii="宋体" w:hAnsi="宋体" w:eastAsia="宋体" w:cs="宋体"/>
                <w:sz w:val="23"/>
                <w:szCs w:val="23"/>
              </w:rPr>
            </w:pPr>
            <w:r>
              <w:rPr>
                <w:rFonts w:ascii="宋体" w:hAnsi="宋体" w:eastAsia="宋体" w:cs="宋体"/>
                <w:spacing w:val="7"/>
                <w:sz w:val="23"/>
                <w:szCs w:val="23"/>
              </w:rPr>
              <w:t>文件名称</w:t>
            </w:r>
          </w:p>
        </w:tc>
        <w:tc>
          <w:tcPr>
            <w:tcW w:w="1275" w:type="dxa"/>
            <w:vAlign w:val="top"/>
          </w:tcPr>
          <w:p>
            <w:pPr>
              <w:spacing w:before="152" w:line="226" w:lineRule="auto"/>
              <w:ind w:left="97"/>
              <w:rPr>
                <w:rFonts w:ascii="宋体" w:hAnsi="宋体" w:eastAsia="宋体" w:cs="宋体"/>
                <w:sz w:val="23"/>
                <w:szCs w:val="23"/>
              </w:rPr>
            </w:pPr>
            <w:r>
              <w:rPr>
                <w:rFonts w:ascii="宋体" w:hAnsi="宋体" w:eastAsia="宋体" w:cs="宋体"/>
                <w:spacing w:val="5"/>
                <w:sz w:val="23"/>
                <w:szCs w:val="23"/>
              </w:rPr>
              <w:t>套</w:t>
            </w:r>
            <w:r>
              <w:rPr>
                <w:rFonts w:ascii="宋体" w:hAnsi="宋体" w:eastAsia="宋体" w:cs="宋体"/>
                <w:spacing w:val="4"/>
                <w:sz w:val="23"/>
                <w:szCs w:val="23"/>
              </w:rPr>
              <w:t>数</w:t>
            </w:r>
          </w:p>
        </w:tc>
        <w:tc>
          <w:tcPr>
            <w:tcW w:w="1449" w:type="dxa"/>
            <w:vAlign w:val="top"/>
          </w:tcPr>
          <w:p>
            <w:pPr>
              <w:spacing w:before="151" w:line="227" w:lineRule="auto"/>
              <w:ind w:left="109"/>
              <w:rPr>
                <w:rFonts w:ascii="宋体" w:hAnsi="宋体" w:eastAsia="宋体" w:cs="宋体"/>
                <w:sz w:val="23"/>
                <w:szCs w:val="23"/>
              </w:rPr>
            </w:pPr>
            <w:r>
              <w:rPr>
                <w:rFonts w:ascii="宋体" w:hAnsi="宋体" w:eastAsia="宋体" w:cs="宋体"/>
                <w:spacing w:val="3"/>
                <w:sz w:val="23"/>
                <w:szCs w:val="23"/>
              </w:rPr>
              <w:t>费用(元</w:t>
            </w:r>
            <w:r>
              <w:rPr>
                <w:rFonts w:ascii="宋体" w:hAnsi="宋体" w:eastAsia="宋体" w:cs="宋体"/>
                <w:spacing w:val="2"/>
                <w:sz w:val="23"/>
                <w:szCs w:val="23"/>
              </w:rPr>
              <w:t>)</w:t>
            </w:r>
          </w:p>
        </w:tc>
        <w:tc>
          <w:tcPr>
            <w:tcW w:w="1242" w:type="dxa"/>
            <w:vAlign w:val="top"/>
          </w:tcPr>
          <w:p>
            <w:pPr>
              <w:spacing w:before="152" w:line="228" w:lineRule="auto"/>
              <w:ind w:left="100"/>
              <w:rPr>
                <w:rFonts w:ascii="宋体" w:hAnsi="宋体" w:eastAsia="宋体" w:cs="宋体"/>
                <w:sz w:val="23"/>
                <w:szCs w:val="23"/>
              </w:rPr>
            </w:pPr>
            <w:r>
              <w:rPr>
                <w:rFonts w:ascii="宋体" w:hAnsi="宋体" w:eastAsia="宋体" w:cs="宋体"/>
                <w:spacing w:val="5"/>
                <w:sz w:val="23"/>
                <w:szCs w:val="23"/>
              </w:rPr>
              <w:t>质</w:t>
            </w:r>
            <w:r>
              <w:rPr>
                <w:rFonts w:ascii="宋体" w:hAnsi="宋体" w:eastAsia="宋体" w:cs="宋体"/>
                <w:spacing w:val="4"/>
                <w:sz w:val="23"/>
                <w:szCs w:val="23"/>
              </w:rPr>
              <w:t>量</w:t>
            </w:r>
          </w:p>
        </w:tc>
        <w:tc>
          <w:tcPr>
            <w:tcW w:w="1449" w:type="dxa"/>
            <w:vAlign w:val="top"/>
          </w:tcPr>
          <w:p>
            <w:pPr>
              <w:spacing w:before="151" w:line="229" w:lineRule="auto"/>
              <w:ind w:left="254"/>
              <w:rPr>
                <w:rFonts w:ascii="宋体" w:hAnsi="宋体" w:eastAsia="宋体" w:cs="宋体"/>
                <w:sz w:val="23"/>
                <w:szCs w:val="23"/>
              </w:rPr>
            </w:pPr>
            <w:r>
              <w:rPr>
                <w:rFonts w:ascii="宋体" w:hAnsi="宋体" w:eastAsia="宋体" w:cs="宋体"/>
                <w:spacing w:val="8"/>
                <w:sz w:val="23"/>
                <w:szCs w:val="23"/>
              </w:rPr>
              <w:t>移</w:t>
            </w:r>
            <w:r>
              <w:rPr>
                <w:rFonts w:ascii="宋体" w:hAnsi="宋体" w:eastAsia="宋体" w:cs="宋体"/>
                <w:spacing w:val="7"/>
                <w:sz w:val="23"/>
                <w:szCs w:val="23"/>
              </w:rPr>
              <w:t>交时间</w:t>
            </w:r>
          </w:p>
        </w:tc>
        <w:tc>
          <w:tcPr>
            <w:tcW w:w="1671" w:type="dxa"/>
            <w:vAlign w:val="top"/>
          </w:tcPr>
          <w:p>
            <w:pPr>
              <w:spacing w:before="152" w:line="224" w:lineRule="auto"/>
              <w:ind w:left="490"/>
              <w:rPr>
                <w:rFonts w:ascii="宋体" w:hAnsi="宋体" w:eastAsia="宋体" w:cs="宋体"/>
                <w:sz w:val="23"/>
                <w:szCs w:val="23"/>
              </w:rPr>
            </w:pPr>
            <w:r>
              <w:rPr>
                <w:rFonts w:ascii="宋体" w:hAnsi="宋体" w:eastAsia="宋体" w:cs="宋体"/>
                <w:spacing w:val="4"/>
                <w:sz w:val="23"/>
                <w:szCs w:val="23"/>
              </w:rPr>
              <w:t>责任人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1957" w:type="dxa"/>
            <w:vAlign w:val="top"/>
          </w:tcPr>
          <w:p>
            <w:pPr>
              <w:rPr>
                <w:rFonts w:ascii="Arial"/>
                <w:sz w:val="21"/>
              </w:rPr>
            </w:pPr>
          </w:p>
        </w:tc>
        <w:tc>
          <w:tcPr>
            <w:tcW w:w="1275" w:type="dxa"/>
            <w:vAlign w:val="top"/>
          </w:tcPr>
          <w:p>
            <w:pPr>
              <w:rPr>
                <w:rFonts w:ascii="Arial"/>
                <w:sz w:val="21"/>
              </w:rPr>
            </w:pPr>
          </w:p>
        </w:tc>
        <w:tc>
          <w:tcPr>
            <w:tcW w:w="1449" w:type="dxa"/>
            <w:vAlign w:val="top"/>
          </w:tcPr>
          <w:p>
            <w:pPr>
              <w:rPr>
                <w:rFonts w:ascii="Arial"/>
                <w:sz w:val="21"/>
              </w:rPr>
            </w:pPr>
          </w:p>
        </w:tc>
        <w:tc>
          <w:tcPr>
            <w:tcW w:w="1242" w:type="dxa"/>
            <w:vAlign w:val="top"/>
          </w:tcPr>
          <w:p>
            <w:pPr>
              <w:rPr>
                <w:rFonts w:ascii="Arial"/>
                <w:sz w:val="21"/>
              </w:rPr>
            </w:pPr>
          </w:p>
        </w:tc>
        <w:tc>
          <w:tcPr>
            <w:tcW w:w="1449" w:type="dxa"/>
            <w:vAlign w:val="top"/>
          </w:tcPr>
          <w:p>
            <w:pPr>
              <w:rPr>
                <w:rFonts w:ascii="Arial"/>
                <w:sz w:val="21"/>
              </w:rPr>
            </w:pPr>
          </w:p>
        </w:tc>
        <w:tc>
          <w:tcPr>
            <w:tcW w:w="1671"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1957" w:type="dxa"/>
            <w:vAlign w:val="top"/>
          </w:tcPr>
          <w:p>
            <w:pPr>
              <w:rPr>
                <w:rFonts w:ascii="Arial"/>
                <w:sz w:val="21"/>
              </w:rPr>
            </w:pPr>
          </w:p>
        </w:tc>
        <w:tc>
          <w:tcPr>
            <w:tcW w:w="1275" w:type="dxa"/>
            <w:vAlign w:val="top"/>
          </w:tcPr>
          <w:p>
            <w:pPr>
              <w:rPr>
                <w:rFonts w:ascii="Arial"/>
                <w:sz w:val="21"/>
              </w:rPr>
            </w:pPr>
          </w:p>
        </w:tc>
        <w:tc>
          <w:tcPr>
            <w:tcW w:w="1449" w:type="dxa"/>
            <w:vAlign w:val="top"/>
          </w:tcPr>
          <w:p>
            <w:pPr>
              <w:rPr>
                <w:rFonts w:ascii="Arial"/>
                <w:sz w:val="21"/>
              </w:rPr>
            </w:pPr>
          </w:p>
        </w:tc>
        <w:tc>
          <w:tcPr>
            <w:tcW w:w="1242" w:type="dxa"/>
            <w:vAlign w:val="top"/>
          </w:tcPr>
          <w:p>
            <w:pPr>
              <w:rPr>
                <w:rFonts w:ascii="Arial"/>
                <w:sz w:val="21"/>
              </w:rPr>
            </w:pPr>
          </w:p>
        </w:tc>
        <w:tc>
          <w:tcPr>
            <w:tcW w:w="1449" w:type="dxa"/>
            <w:vAlign w:val="top"/>
          </w:tcPr>
          <w:p>
            <w:pPr>
              <w:rPr>
                <w:rFonts w:ascii="Arial"/>
                <w:sz w:val="21"/>
              </w:rPr>
            </w:pPr>
          </w:p>
        </w:tc>
        <w:tc>
          <w:tcPr>
            <w:tcW w:w="1671"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1957" w:type="dxa"/>
            <w:vAlign w:val="top"/>
          </w:tcPr>
          <w:p>
            <w:pPr>
              <w:rPr>
                <w:rFonts w:ascii="Arial"/>
                <w:sz w:val="21"/>
              </w:rPr>
            </w:pPr>
          </w:p>
        </w:tc>
        <w:tc>
          <w:tcPr>
            <w:tcW w:w="1275" w:type="dxa"/>
            <w:vAlign w:val="top"/>
          </w:tcPr>
          <w:p>
            <w:pPr>
              <w:rPr>
                <w:rFonts w:ascii="Arial"/>
                <w:sz w:val="21"/>
              </w:rPr>
            </w:pPr>
          </w:p>
        </w:tc>
        <w:tc>
          <w:tcPr>
            <w:tcW w:w="1449" w:type="dxa"/>
            <w:vAlign w:val="top"/>
          </w:tcPr>
          <w:p>
            <w:pPr>
              <w:rPr>
                <w:rFonts w:ascii="Arial"/>
                <w:sz w:val="21"/>
              </w:rPr>
            </w:pPr>
          </w:p>
        </w:tc>
        <w:tc>
          <w:tcPr>
            <w:tcW w:w="1242" w:type="dxa"/>
            <w:vAlign w:val="top"/>
          </w:tcPr>
          <w:p>
            <w:pPr>
              <w:rPr>
                <w:rFonts w:ascii="Arial"/>
                <w:sz w:val="21"/>
              </w:rPr>
            </w:pPr>
          </w:p>
        </w:tc>
        <w:tc>
          <w:tcPr>
            <w:tcW w:w="1449" w:type="dxa"/>
            <w:vAlign w:val="top"/>
          </w:tcPr>
          <w:p>
            <w:pPr>
              <w:rPr>
                <w:rFonts w:ascii="Arial"/>
                <w:sz w:val="21"/>
              </w:rPr>
            </w:pPr>
          </w:p>
        </w:tc>
        <w:tc>
          <w:tcPr>
            <w:tcW w:w="1671"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1957" w:type="dxa"/>
            <w:vAlign w:val="top"/>
          </w:tcPr>
          <w:p>
            <w:pPr>
              <w:rPr>
                <w:rFonts w:ascii="Arial"/>
                <w:sz w:val="21"/>
              </w:rPr>
            </w:pPr>
          </w:p>
        </w:tc>
        <w:tc>
          <w:tcPr>
            <w:tcW w:w="1275" w:type="dxa"/>
            <w:vAlign w:val="top"/>
          </w:tcPr>
          <w:p>
            <w:pPr>
              <w:rPr>
                <w:rFonts w:ascii="Arial"/>
                <w:sz w:val="21"/>
              </w:rPr>
            </w:pPr>
          </w:p>
        </w:tc>
        <w:tc>
          <w:tcPr>
            <w:tcW w:w="1449" w:type="dxa"/>
            <w:vAlign w:val="top"/>
          </w:tcPr>
          <w:p>
            <w:pPr>
              <w:rPr>
                <w:rFonts w:ascii="Arial"/>
                <w:sz w:val="21"/>
              </w:rPr>
            </w:pPr>
          </w:p>
        </w:tc>
        <w:tc>
          <w:tcPr>
            <w:tcW w:w="1242" w:type="dxa"/>
            <w:vAlign w:val="top"/>
          </w:tcPr>
          <w:p>
            <w:pPr>
              <w:rPr>
                <w:rFonts w:ascii="Arial"/>
                <w:sz w:val="21"/>
              </w:rPr>
            </w:pPr>
          </w:p>
        </w:tc>
        <w:tc>
          <w:tcPr>
            <w:tcW w:w="1449" w:type="dxa"/>
            <w:vAlign w:val="top"/>
          </w:tcPr>
          <w:p>
            <w:pPr>
              <w:rPr>
                <w:rFonts w:ascii="Arial"/>
                <w:sz w:val="21"/>
              </w:rPr>
            </w:pPr>
          </w:p>
        </w:tc>
        <w:tc>
          <w:tcPr>
            <w:tcW w:w="1671"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1957" w:type="dxa"/>
            <w:vAlign w:val="top"/>
          </w:tcPr>
          <w:p>
            <w:pPr>
              <w:rPr>
                <w:rFonts w:ascii="Arial"/>
                <w:sz w:val="21"/>
              </w:rPr>
            </w:pPr>
          </w:p>
        </w:tc>
        <w:tc>
          <w:tcPr>
            <w:tcW w:w="1275" w:type="dxa"/>
            <w:vAlign w:val="top"/>
          </w:tcPr>
          <w:p>
            <w:pPr>
              <w:rPr>
                <w:rFonts w:ascii="Arial"/>
                <w:sz w:val="21"/>
              </w:rPr>
            </w:pPr>
          </w:p>
        </w:tc>
        <w:tc>
          <w:tcPr>
            <w:tcW w:w="1449" w:type="dxa"/>
            <w:vAlign w:val="top"/>
          </w:tcPr>
          <w:p>
            <w:pPr>
              <w:rPr>
                <w:rFonts w:ascii="Arial"/>
                <w:sz w:val="21"/>
              </w:rPr>
            </w:pPr>
          </w:p>
        </w:tc>
        <w:tc>
          <w:tcPr>
            <w:tcW w:w="1242" w:type="dxa"/>
            <w:vAlign w:val="top"/>
          </w:tcPr>
          <w:p>
            <w:pPr>
              <w:rPr>
                <w:rFonts w:ascii="Arial"/>
                <w:sz w:val="21"/>
              </w:rPr>
            </w:pPr>
          </w:p>
        </w:tc>
        <w:tc>
          <w:tcPr>
            <w:tcW w:w="1449" w:type="dxa"/>
            <w:vAlign w:val="top"/>
          </w:tcPr>
          <w:p>
            <w:pPr>
              <w:rPr>
                <w:rFonts w:ascii="Arial"/>
                <w:sz w:val="21"/>
              </w:rPr>
            </w:pPr>
          </w:p>
        </w:tc>
        <w:tc>
          <w:tcPr>
            <w:tcW w:w="1671"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1957" w:type="dxa"/>
            <w:vAlign w:val="top"/>
          </w:tcPr>
          <w:p>
            <w:pPr>
              <w:rPr>
                <w:rFonts w:ascii="Arial"/>
                <w:sz w:val="21"/>
              </w:rPr>
            </w:pPr>
          </w:p>
        </w:tc>
        <w:tc>
          <w:tcPr>
            <w:tcW w:w="1275" w:type="dxa"/>
            <w:vAlign w:val="top"/>
          </w:tcPr>
          <w:p>
            <w:pPr>
              <w:rPr>
                <w:rFonts w:ascii="Arial"/>
                <w:sz w:val="21"/>
              </w:rPr>
            </w:pPr>
          </w:p>
        </w:tc>
        <w:tc>
          <w:tcPr>
            <w:tcW w:w="1449" w:type="dxa"/>
            <w:vAlign w:val="top"/>
          </w:tcPr>
          <w:p>
            <w:pPr>
              <w:rPr>
                <w:rFonts w:ascii="Arial"/>
                <w:sz w:val="21"/>
              </w:rPr>
            </w:pPr>
          </w:p>
        </w:tc>
        <w:tc>
          <w:tcPr>
            <w:tcW w:w="1242" w:type="dxa"/>
            <w:vAlign w:val="top"/>
          </w:tcPr>
          <w:p>
            <w:pPr>
              <w:rPr>
                <w:rFonts w:ascii="Arial"/>
                <w:sz w:val="21"/>
              </w:rPr>
            </w:pPr>
          </w:p>
        </w:tc>
        <w:tc>
          <w:tcPr>
            <w:tcW w:w="1449" w:type="dxa"/>
            <w:vAlign w:val="top"/>
          </w:tcPr>
          <w:p>
            <w:pPr>
              <w:rPr>
                <w:rFonts w:ascii="Arial"/>
                <w:sz w:val="21"/>
              </w:rPr>
            </w:pPr>
          </w:p>
        </w:tc>
        <w:tc>
          <w:tcPr>
            <w:tcW w:w="1671"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1957" w:type="dxa"/>
            <w:vAlign w:val="top"/>
          </w:tcPr>
          <w:p>
            <w:pPr>
              <w:rPr>
                <w:rFonts w:ascii="Arial"/>
                <w:sz w:val="21"/>
              </w:rPr>
            </w:pPr>
          </w:p>
        </w:tc>
        <w:tc>
          <w:tcPr>
            <w:tcW w:w="1275" w:type="dxa"/>
            <w:vAlign w:val="top"/>
          </w:tcPr>
          <w:p>
            <w:pPr>
              <w:rPr>
                <w:rFonts w:ascii="Arial"/>
                <w:sz w:val="21"/>
              </w:rPr>
            </w:pPr>
          </w:p>
        </w:tc>
        <w:tc>
          <w:tcPr>
            <w:tcW w:w="1449" w:type="dxa"/>
            <w:vAlign w:val="top"/>
          </w:tcPr>
          <w:p>
            <w:pPr>
              <w:rPr>
                <w:rFonts w:ascii="Arial"/>
                <w:sz w:val="21"/>
              </w:rPr>
            </w:pPr>
          </w:p>
        </w:tc>
        <w:tc>
          <w:tcPr>
            <w:tcW w:w="1242" w:type="dxa"/>
            <w:vAlign w:val="top"/>
          </w:tcPr>
          <w:p>
            <w:pPr>
              <w:rPr>
                <w:rFonts w:ascii="Arial"/>
                <w:sz w:val="21"/>
              </w:rPr>
            </w:pPr>
          </w:p>
        </w:tc>
        <w:tc>
          <w:tcPr>
            <w:tcW w:w="1449" w:type="dxa"/>
            <w:vAlign w:val="top"/>
          </w:tcPr>
          <w:p>
            <w:pPr>
              <w:rPr>
                <w:rFonts w:ascii="Arial"/>
                <w:sz w:val="21"/>
              </w:rPr>
            </w:pPr>
          </w:p>
        </w:tc>
        <w:tc>
          <w:tcPr>
            <w:tcW w:w="1671"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1957" w:type="dxa"/>
            <w:vAlign w:val="top"/>
          </w:tcPr>
          <w:p>
            <w:pPr>
              <w:rPr>
                <w:rFonts w:ascii="Arial"/>
                <w:sz w:val="21"/>
              </w:rPr>
            </w:pPr>
          </w:p>
        </w:tc>
        <w:tc>
          <w:tcPr>
            <w:tcW w:w="1275" w:type="dxa"/>
            <w:vAlign w:val="top"/>
          </w:tcPr>
          <w:p>
            <w:pPr>
              <w:rPr>
                <w:rFonts w:ascii="Arial"/>
                <w:sz w:val="21"/>
              </w:rPr>
            </w:pPr>
          </w:p>
        </w:tc>
        <w:tc>
          <w:tcPr>
            <w:tcW w:w="1449" w:type="dxa"/>
            <w:vAlign w:val="top"/>
          </w:tcPr>
          <w:p>
            <w:pPr>
              <w:rPr>
                <w:rFonts w:ascii="Arial"/>
                <w:sz w:val="21"/>
              </w:rPr>
            </w:pPr>
          </w:p>
        </w:tc>
        <w:tc>
          <w:tcPr>
            <w:tcW w:w="1242" w:type="dxa"/>
            <w:vAlign w:val="top"/>
          </w:tcPr>
          <w:p>
            <w:pPr>
              <w:rPr>
                <w:rFonts w:ascii="Arial"/>
                <w:sz w:val="21"/>
              </w:rPr>
            </w:pPr>
          </w:p>
        </w:tc>
        <w:tc>
          <w:tcPr>
            <w:tcW w:w="1449" w:type="dxa"/>
            <w:vAlign w:val="top"/>
          </w:tcPr>
          <w:p>
            <w:pPr>
              <w:rPr>
                <w:rFonts w:ascii="Arial"/>
                <w:sz w:val="21"/>
              </w:rPr>
            </w:pPr>
          </w:p>
        </w:tc>
        <w:tc>
          <w:tcPr>
            <w:tcW w:w="1671"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1957" w:type="dxa"/>
            <w:vAlign w:val="top"/>
          </w:tcPr>
          <w:p>
            <w:pPr>
              <w:rPr>
                <w:rFonts w:ascii="Arial"/>
                <w:sz w:val="21"/>
              </w:rPr>
            </w:pPr>
          </w:p>
        </w:tc>
        <w:tc>
          <w:tcPr>
            <w:tcW w:w="1275" w:type="dxa"/>
            <w:vAlign w:val="top"/>
          </w:tcPr>
          <w:p>
            <w:pPr>
              <w:rPr>
                <w:rFonts w:ascii="Arial"/>
                <w:sz w:val="21"/>
              </w:rPr>
            </w:pPr>
          </w:p>
        </w:tc>
        <w:tc>
          <w:tcPr>
            <w:tcW w:w="1449" w:type="dxa"/>
            <w:vAlign w:val="top"/>
          </w:tcPr>
          <w:p>
            <w:pPr>
              <w:rPr>
                <w:rFonts w:ascii="Arial"/>
                <w:sz w:val="21"/>
              </w:rPr>
            </w:pPr>
          </w:p>
        </w:tc>
        <w:tc>
          <w:tcPr>
            <w:tcW w:w="1242" w:type="dxa"/>
            <w:vAlign w:val="top"/>
          </w:tcPr>
          <w:p>
            <w:pPr>
              <w:rPr>
                <w:rFonts w:ascii="Arial"/>
                <w:sz w:val="21"/>
              </w:rPr>
            </w:pPr>
          </w:p>
        </w:tc>
        <w:tc>
          <w:tcPr>
            <w:tcW w:w="1449" w:type="dxa"/>
            <w:vAlign w:val="top"/>
          </w:tcPr>
          <w:p>
            <w:pPr>
              <w:rPr>
                <w:rFonts w:ascii="Arial"/>
                <w:sz w:val="21"/>
              </w:rPr>
            </w:pPr>
          </w:p>
        </w:tc>
        <w:tc>
          <w:tcPr>
            <w:tcW w:w="1671"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1957" w:type="dxa"/>
            <w:vAlign w:val="top"/>
          </w:tcPr>
          <w:p>
            <w:pPr>
              <w:rPr>
                <w:rFonts w:ascii="Arial"/>
                <w:sz w:val="21"/>
              </w:rPr>
            </w:pPr>
          </w:p>
        </w:tc>
        <w:tc>
          <w:tcPr>
            <w:tcW w:w="1275" w:type="dxa"/>
            <w:vAlign w:val="top"/>
          </w:tcPr>
          <w:p>
            <w:pPr>
              <w:rPr>
                <w:rFonts w:ascii="Arial"/>
                <w:sz w:val="21"/>
              </w:rPr>
            </w:pPr>
          </w:p>
        </w:tc>
        <w:tc>
          <w:tcPr>
            <w:tcW w:w="1449" w:type="dxa"/>
            <w:vAlign w:val="top"/>
          </w:tcPr>
          <w:p>
            <w:pPr>
              <w:rPr>
                <w:rFonts w:ascii="Arial"/>
                <w:sz w:val="21"/>
              </w:rPr>
            </w:pPr>
          </w:p>
        </w:tc>
        <w:tc>
          <w:tcPr>
            <w:tcW w:w="1242" w:type="dxa"/>
            <w:vAlign w:val="top"/>
          </w:tcPr>
          <w:p>
            <w:pPr>
              <w:rPr>
                <w:rFonts w:ascii="Arial"/>
                <w:sz w:val="21"/>
              </w:rPr>
            </w:pPr>
          </w:p>
        </w:tc>
        <w:tc>
          <w:tcPr>
            <w:tcW w:w="1449" w:type="dxa"/>
            <w:vAlign w:val="top"/>
          </w:tcPr>
          <w:p>
            <w:pPr>
              <w:rPr>
                <w:rFonts w:ascii="Arial"/>
                <w:sz w:val="21"/>
              </w:rPr>
            </w:pPr>
          </w:p>
        </w:tc>
        <w:tc>
          <w:tcPr>
            <w:tcW w:w="1671"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1957" w:type="dxa"/>
            <w:vAlign w:val="top"/>
          </w:tcPr>
          <w:p>
            <w:pPr>
              <w:rPr>
                <w:rFonts w:ascii="Arial"/>
                <w:sz w:val="21"/>
              </w:rPr>
            </w:pPr>
          </w:p>
        </w:tc>
        <w:tc>
          <w:tcPr>
            <w:tcW w:w="1275" w:type="dxa"/>
            <w:vAlign w:val="top"/>
          </w:tcPr>
          <w:p>
            <w:pPr>
              <w:rPr>
                <w:rFonts w:ascii="Arial"/>
                <w:sz w:val="21"/>
              </w:rPr>
            </w:pPr>
          </w:p>
        </w:tc>
        <w:tc>
          <w:tcPr>
            <w:tcW w:w="1449" w:type="dxa"/>
            <w:vAlign w:val="top"/>
          </w:tcPr>
          <w:p>
            <w:pPr>
              <w:rPr>
                <w:rFonts w:ascii="Arial"/>
                <w:sz w:val="21"/>
              </w:rPr>
            </w:pPr>
          </w:p>
        </w:tc>
        <w:tc>
          <w:tcPr>
            <w:tcW w:w="1242" w:type="dxa"/>
            <w:vAlign w:val="top"/>
          </w:tcPr>
          <w:p>
            <w:pPr>
              <w:rPr>
                <w:rFonts w:ascii="Arial"/>
                <w:sz w:val="21"/>
              </w:rPr>
            </w:pPr>
          </w:p>
        </w:tc>
        <w:tc>
          <w:tcPr>
            <w:tcW w:w="1449" w:type="dxa"/>
            <w:vAlign w:val="top"/>
          </w:tcPr>
          <w:p>
            <w:pPr>
              <w:rPr>
                <w:rFonts w:ascii="Arial"/>
                <w:sz w:val="21"/>
              </w:rPr>
            </w:pPr>
          </w:p>
        </w:tc>
        <w:tc>
          <w:tcPr>
            <w:tcW w:w="1671"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1957" w:type="dxa"/>
            <w:vAlign w:val="top"/>
          </w:tcPr>
          <w:p>
            <w:pPr>
              <w:rPr>
                <w:rFonts w:ascii="Arial"/>
                <w:sz w:val="21"/>
              </w:rPr>
            </w:pPr>
          </w:p>
        </w:tc>
        <w:tc>
          <w:tcPr>
            <w:tcW w:w="1275" w:type="dxa"/>
            <w:vAlign w:val="top"/>
          </w:tcPr>
          <w:p>
            <w:pPr>
              <w:rPr>
                <w:rFonts w:ascii="Arial"/>
                <w:sz w:val="21"/>
              </w:rPr>
            </w:pPr>
          </w:p>
        </w:tc>
        <w:tc>
          <w:tcPr>
            <w:tcW w:w="1449" w:type="dxa"/>
            <w:vAlign w:val="top"/>
          </w:tcPr>
          <w:p>
            <w:pPr>
              <w:rPr>
                <w:rFonts w:ascii="Arial"/>
                <w:sz w:val="21"/>
              </w:rPr>
            </w:pPr>
          </w:p>
        </w:tc>
        <w:tc>
          <w:tcPr>
            <w:tcW w:w="1242" w:type="dxa"/>
            <w:vAlign w:val="top"/>
          </w:tcPr>
          <w:p>
            <w:pPr>
              <w:rPr>
                <w:rFonts w:ascii="Arial"/>
                <w:sz w:val="21"/>
              </w:rPr>
            </w:pPr>
          </w:p>
        </w:tc>
        <w:tc>
          <w:tcPr>
            <w:tcW w:w="1449" w:type="dxa"/>
            <w:vAlign w:val="top"/>
          </w:tcPr>
          <w:p>
            <w:pPr>
              <w:rPr>
                <w:rFonts w:ascii="Arial"/>
                <w:sz w:val="21"/>
              </w:rPr>
            </w:pPr>
          </w:p>
        </w:tc>
        <w:tc>
          <w:tcPr>
            <w:tcW w:w="1671"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1957" w:type="dxa"/>
            <w:vAlign w:val="top"/>
          </w:tcPr>
          <w:p>
            <w:pPr>
              <w:rPr>
                <w:rFonts w:ascii="Arial"/>
                <w:sz w:val="21"/>
              </w:rPr>
            </w:pPr>
          </w:p>
        </w:tc>
        <w:tc>
          <w:tcPr>
            <w:tcW w:w="1275" w:type="dxa"/>
            <w:vAlign w:val="top"/>
          </w:tcPr>
          <w:p>
            <w:pPr>
              <w:rPr>
                <w:rFonts w:ascii="Arial"/>
                <w:sz w:val="21"/>
              </w:rPr>
            </w:pPr>
          </w:p>
        </w:tc>
        <w:tc>
          <w:tcPr>
            <w:tcW w:w="1449" w:type="dxa"/>
            <w:vAlign w:val="top"/>
          </w:tcPr>
          <w:p>
            <w:pPr>
              <w:rPr>
                <w:rFonts w:ascii="Arial"/>
                <w:sz w:val="21"/>
              </w:rPr>
            </w:pPr>
          </w:p>
        </w:tc>
        <w:tc>
          <w:tcPr>
            <w:tcW w:w="1242" w:type="dxa"/>
            <w:vAlign w:val="top"/>
          </w:tcPr>
          <w:p>
            <w:pPr>
              <w:rPr>
                <w:rFonts w:ascii="Arial"/>
                <w:sz w:val="21"/>
              </w:rPr>
            </w:pPr>
          </w:p>
        </w:tc>
        <w:tc>
          <w:tcPr>
            <w:tcW w:w="1449" w:type="dxa"/>
            <w:vAlign w:val="top"/>
          </w:tcPr>
          <w:p>
            <w:pPr>
              <w:rPr>
                <w:rFonts w:ascii="Arial"/>
                <w:sz w:val="21"/>
              </w:rPr>
            </w:pPr>
          </w:p>
        </w:tc>
        <w:tc>
          <w:tcPr>
            <w:tcW w:w="1671"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1957" w:type="dxa"/>
            <w:vAlign w:val="top"/>
          </w:tcPr>
          <w:p>
            <w:pPr>
              <w:rPr>
                <w:rFonts w:ascii="Arial"/>
                <w:sz w:val="21"/>
              </w:rPr>
            </w:pPr>
          </w:p>
        </w:tc>
        <w:tc>
          <w:tcPr>
            <w:tcW w:w="1275" w:type="dxa"/>
            <w:vAlign w:val="top"/>
          </w:tcPr>
          <w:p>
            <w:pPr>
              <w:rPr>
                <w:rFonts w:ascii="Arial"/>
                <w:sz w:val="21"/>
              </w:rPr>
            </w:pPr>
          </w:p>
        </w:tc>
        <w:tc>
          <w:tcPr>
            <w:tcW w:w="1449" w:type="dxa"/>
            <w:vAlign w:val="top"/>
          </w:tcPr>
          <w:p>
            <w:pPr>
              <w:rPr>
                <w:rFonts w:ascii="Arial"/>
                <w:sz w:val="21"/>
              </w:rPr>
            </w:pPr>
          </w:p>
        </w:tc>
        <w:tc>
          <w:tcPr>
            <w:tcW w:w="1242" w:type="dxa"/>
            <w:vAlign w:val="top"/>
          </w:tcPr>
          <w:p>
            <w:pPr>
              <w:rPr>
                <w:rFonts w:ascii="Arial"/>
                <w:sz w:val="21"/>
              </w:rPr>
            </w:pPr>
          </w:p>
        </w:tc>
        <w:tc>
          <w:tcPr>
            <w:tcW w:w="1449" w:type="dxa"/>
            <w:vAlign w:val="top"/>
          </w:tcPr>
          <w:p>
            <w:pPr>
              <w:rPr>
                <w:rFonts w:ascii="Arial"/>
                <w:sz w:val="21"/>
              </w:rPr>
            </w:pPr>
          </w:p>
        </w:tc>
        <w:tc>
          <w:tcPr>
            <w:tcW w:w="1671"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1957" w:type="dxa"/>
            <w:vAlign w:val="top"/>
          </w:tcPr>
          <w:p>
            <w:pPr>
              <w:rPr>
                <w:rFonts w:ascii="Arial"/>
                <w:sz w:val="21"/>
              </w:rPr>
            </w:pPr>
          </w:p>
        </w:tc>
        <w:tc>
          <w:tcPr>
            <w:tcW w:w="1275" w:type="dxa"/>
            <w:vAlign w:val="top"/>
          </w:tcPr>
          <w:p>
            <w:pPr>
              <w:rPr>
                <w:rFonts w:ascii="Arial"/>
                <w:sz w:val="21"/>
              </w:rPr>
            </w:pPr>
          </w:p>
        </w:tc>
        <w:tc>
          <w:tcPr>
            <w:tcW w:w="1449" w:type="dxa"/>
            <w:vAlign w:val="top"/>
          </w:tcPr>
          <w:p>
            <w:pPr>
              <w:rPr>
                <w:rFonts w:ascii="Arial"/>
                <w:sz w:val="21"/>
              </w:rPr>
            </w:pPr>
          </w:p>
        </w:tc>
        <w:tc>
          <w:tcPr>
            <w:tcW w:w="1242" w:type="dxa"/>
            <w:vAlign w:val="top"/>
          </w:tcPr>
          <w:p>
            <w:pPr>
              <w:rPr>
                <w:rFonts w:ascii="Arial"/>
                <w:sz w:val="21"/>
              </w:rPr>
            </w:pPr>
          </w:p>
        </w:tc>
        <w:tc>
          <w:tcPr>
            <w:tcW w:w="1449" w:type="dxa"/>
            <w:vAlign w:val="top"/>
          </w:tcPr>
          <w:p>
            <w:pPr>
              <w:rPr>
                <w:rFonts w:ascii="Arial"/>
                <w:sz w:val="21"/>
              </w:rPr>
            </w:pPr>
          </w:p>
        </w:tc>
        <w:tc>
          <w:tcPr>
            <w:tcW w:w="1671"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1957" w:type="dxa"/>
            <w:vAlign w:val="top"/>
          </w:tcPr>
          <w:p>
            <w:pPr>
              <w:rPr>
                <w:rFonts w:ascii="Arial"/>
                <w:sz w:val="21"/>
              </w:rPr>
            </w:pPr>
          </w:p>
        </w:tc>
        <w:tc>
          <w:tcPr>
            <w:tcW w:w="1275" w:type="dxa"/>
            <w:vAlign w:val="top"/>
          </w:tcPr>
          <w:p>
            <w:pPr>
              <w:rPr>
                <w:rFonts w:ascii="Arial"/>
                <w:sz w:val="21"/>
              </w:rPr>
            </w:pPr>
          </w:p>
        </w:tc>
        <w:tc>
          <w:tcPr>
            <w:tcW w:w="1449" w:type="dxa"/>
            <w:vAlign w:val="top"/>
          </w:tcPr>
          <w:p>
            <w:pPr>
              <w:rPr>
                <w:rFonts w:ascii="Arial"/>
                <w:sz w:val="21"/>
              </w:rPr>
            </w:pPr>
          </w:p>
        </w:tc>
        <w:tc>
          <w:tcPr>
            <w:tcW w:w="1242" w:type="dxa"/>
            <w:vAlign w:val="top"/>
          </w:tcPr>
          <w:p>
            <w:pPr>
              <w:rPr>
                <w:rFonts w:ascii="Arial"/>
                <w:sz w:val="21"/>
              </w:rPr>
            </w:pPr>
          </w:p>
        </w:tc>
        <w:tc>
          <w:tcPr>
            <w:tcW w:w="1449" w:type="dxa"/>
            <w:vAlign w:val="top"/>
          </w:tcPr>
          <w:p>
            <w:pPr>
              <w:rPr>
                <w:rFonts w:ascii="Arial"/>
                <w:sz w:val="21"/>
              </w:rPr>
            </w:pPr>
          </w:p>
        </w:tc>
        <w:tc>
          <w:tcPr>
            <w:tcW w:w="1671"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1957" w:type="dxa"/>
            <w:vAlign w:val="top"/>
          </w:tcPr>
          <w:p>
            <w:pPr>
              <w:rPr>
                <w:rFonts w:ascii="Arial"/>
                <w:sz w:val="21"/>
              </w:rPr>
            </w:pPr>
          </w:p>
        </w:tc>
        <w:tc>
          <w:tcPr>
            <w:tcW w:w="1275" w:type="dxa"/>
            <w:vAlign w:val="top"/>
          </w:tcPr>
          <w:p>
            <w:pPr>
              <w:rPr>
                <w:rFonts w:ascii="Arial"/>
                <w:sz w:val="21"/>
              </w:rPr>
            </w:pPr>
          </w:p>
        </w:tc>
        <w:tc>
          <w:tcPr>
            <w:tcW w:w="1449" w:type="dxa"/>
            <w:vAlign w:val="top"/>
          </w:tcPr>
          <w:p>
            <w:pPr>
              <w:rPr>
                <w:rFonts w:ascii="Arial"/>
                <w:sz w:val="21"/>
              </w:rPr>
            </w:pPr>
          </w:p>
        </w:tc>
        <w:tc>
          <w:tcPr>
            <w:tcW w:w="1242" w:type="dxa"/>
            <w:vAlign w:val="top"/>
          </w:tcPr>
          <w:p>
            <w:pPr>
              <w:rPr>
                <w:rFonts w:ascii="Arial"/>
                <w:sz w:val="21"/>
              </w:rPr>
            </w:pPr>
          </w:p>
        </w:tc>
        <w:tc>
          <w:tcPr>
            <w:tcW w:w="1449" w:type="dxa"/>
            <w:vAlign w:val="top"/>
          </w:tcPr>
          <w:p>
            <w:pPr>
              <w:rPr>
                <w:rFonts w:ascii="Arial"/>
                <w:sz w:val="21"/>
              </w:rPr>
            </w:pPr>
          </w:p>
        </w:tc>
        <w:tc>
          <w:tcPr>
            <w:tcW w:w="1671"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1957" w:type="dxa"/>
            <w:vAlign w:val="top"/>
          </w:tcPr>
          <w:p>
            <w:pPr>
              <w:rPr>
                <w:rFonts w:ascii="Arial"/>
                <w:sz w:val="21"/>
              </w:rPr>
            </w:pPr>
          </w:p>
        </w:tc>
        <w:tc>
          <w:tcPr>
            <w:tcW w:w="1275" w:type="dxa"/>
            <w:vAlign w:val="top"/>
          </w:tcPr>
          <w:p>
            <w:pPr>
              <w:rPr>
                <w:rFonts w:ascii="Arial"/>
                <w:sz w:val="21"/>
              </w:rPr>
            </w:pPr>
          </w:p>
        </w:tc>
        <w:tc>
          <w:tcPr>
            <w:tcW w:w="1449" w:type="dxa"/>
            <w:vAlign w:val="top"/>
          </w:tcPr>
          <w:p>
            <w:pPr>
              <w:rPr>
                <w:rFonts w:ascii="Arial"/>
                <w:sz w:val="21"/>
              </w:rPr>
            </w:pPr>
          </w:p>
        </w:tc>
        <w:tc>
          <w:tcPr>
            <w:tcW w:w="1242" w:type="dxa"/>
            <w:vAlign w:val="top"/>
          </w:tcPr>
          <w:p>
            <w:pPr>
              <w:rPr>
                <w:rFonts w:ascii="Arial"/>
                <w:sz w:val="21"/>
              </w:rPr>
            </w:pPr>
          </w:p>
        </w:tc>
        <w:tc>
          <w:tcPr>
            <w:tcW w:w="1449" w:type="dxa"/>
            <w:vAlign w:val="top"/>
          </w:tcPr>
          <w:p>
            <w:pPr>
              <w:rPr>
                <w:rFonts w:ascii="Arial"/>
                <w:sz w:val="21"/>
              </w:rPr>
            </w:pPr>
          </w:p>
        </w:tc>
        <w:tc>
          <w:tcPr>
            <w:tcW w:w="1671"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6" w:hRule="atLeast"/>
        </w:trPr>
        <w:tc>
          <w:tcPr>
            <w:tcW w:w="1957" w:type="dxa"/>
            <w:vAlign w:val="top"/>
          </w:tcPr>
          <w:p>
            <w:pPr>
              <w:rPr>
                <w:rFonts w:ascii="Arial"/>
                <w:sz w:val="21"/>
              </w:rPr>
            </w:pPr>
          </w:p>
        </w:tc>
        <w:tc>
          <w:tcPr>
            <w:tcW w:w="1275" w:type="dxa"/>
            <w:vAlign w:val="top"/>
          </w:tcPr>
          <w:p>
            <w:pPr>
              <w:rPr>
                <w:rFonts w:ascii="Arial"/>
                <w:sz w:val="21"/>
              </w:rPr>
            </w:pPr>
          </w:p>
        </w:tc>
        <w:tc>
          <w:tcPr>
            <w:tcW w:w="1449" w:type="dxa"/>
            <w:vAlign w:val="top"/>
          </w:tcPr>
          <w:p>
            <w:pPr>
              <w:rPr>
                <w:rFonts w:ascii="Arial"/>
                <w:sz w:val="21"/>
              </w:rPr>
            </w:pPr>
          </w:p>
        </w:tc>
        <w:tc>
          <w:tcPr>
            <w:tcW w:w="1242" w:type="dxa"/>
            <w:vAlign w:val="top"/>
          </w:tcPr>
          <w:p>
            <w:pPr>
              <w:rPr>
                <w:rFonts w:ascii="Arial"/>
                <w:sz w:val="21"/>
              </w:rPr>
            </w:pPr>
          </w:p>
        </w:tc>
        <w:tc>
          <w:tcPr>
            <w:tcW w:w="1449" w:type="dxa"/>
            <w:vAlign w:val="top"/>
          </w:tcPr>
          <w:p>
            <w:pPr>
              <w:rPr>
                <w:rFonts w:ascii="Arial"/>
                <w:sz w:val="21"/>
              </w:rPr>
            </w:pPr>
          </w:p>
        </w:tc>
        <w:tc>
          <w:tcPr>
            <w:tcW w:w="1671"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6" w:hRule="atLeast"/>
        </w:trPr>
        <w:tc>
          <w:tcPr>
            <w:tcW w:w="1957" w:type="dxa"/>
            <w:vAlign w:val="top"/>
          </w:tcPr>
          <w:p>
            <w:pPr>
              <w:rPr>
                <w:rFonts w:ascii="Arial"/>
                <w:sz w:val="21"/>
              </w:rPr>
            </w:pPr>
          </w:p>
        </w:tc>
        <w:tc>
          <w:tcPr>
            <w:tcW w:w="1275" w:type="dxa"/>
            <w:vAlign w:val="top"/>
          </w:tcPr>
          <w:p>
            <w:pPr>
              <w:rPr>
                <w:rFonts w:ascii="Arial"/>
                <w:sz w:val="21"/>
              </w:rPr>
            </w:pPr>
          </w:p>
        </w:tc>
        <w:tc>
          <w:tcPr>
            <w:tcW w:w="1449" w:type="dxa"/>
            <w:vAlign w:val="top"/>
          </w:tcPr>
          <w:p>
            <w:pPr>
              <w:rPr>
                <w:rFonts w:ascii="Arial"/>
                <w:sz w:val="21"/>
              </w:rPr>
            </w:pPr>
          </w:p>
        </w:tc>
        <w:tc>
          <w:tcPr>
            <w:tcW w:w="1242" w:type="dxa"/>
            <w:vAlign w:val="top"/>
          </w:tcPr>
          <w:p>
            <w:pPr>
              <w:rPr>
                <w:rFonts w:ascii="Arial"/>
                <w:sz w:val="21"/>
              </w:rPr>
            </w:pPr>
          </w:p>
        </w:tc>
        <w:tc>
          <w:tcPr>
            <w:tcW w:w="1449" w:type="dxa"/>
            <w:vAlign w:val="top"/>
          </w:tcPr>
          <w:p>
            <w:pPr>
              <w:rPr>
                <w:rFonts w:ascii="Arial"/>
                <w:sz w:val="21"/>
              </w:rPr>
            </w:pPr>
          </w:p>
        </w:tc>
        <w:tc>
          <w:tcPr>
            <w:tcW w:w="1671"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6" w:hRule="atLeast"/>
        </w:trPr>
        <w:tc>
          <w:tcPr>
            <w:tcW w:w="1957" w:type="dxa"/>
            <w:vAlign w:val="top"/>
          </w:tcPr>
          <w:p>
            <w:pPr>
              <w:rPr>
                <w:rFonts w:ascii="Arial"/>
                <w:sz w:val="21"/>
              </w:rPr>
            </w:pPr>
          </w:p>
        </w:tc>
        <w:tc>
          <w:tcPr>
            <w:tcW w:w="1275" w:type="dxa"/>
            <w:vAlign w:val="top"/>
          </w:tcPr>
          <w:p>
            <w:pPr>
              <w:rPr>
                <w:rFonts w:ascii="Arial"/>
                <w:sz w:val="21"/>
              </w:rPr>
            </w:pPr>
          </w:p>
        </w:tc>
        <w:tc>
          <w:tcPr>
            <w:tcW w:w="1449" w:type="dxa"/>
            <w:vAlign w:val="top"/>
          </w:tcPr>
          <w:p>
            <w:pPr>
              <w:rPr>
                <w:rFonts w:ascii="Arial"/>
                <w:sz w:val="21"/>
              </w:rPr>
            </w:pPr>
          </w:p>
        </w:tc>
        <w:tc>
          <w:tcPr>
            <w:tcW w:w="1242" w:type="dxa"/>
            <w:vAlign w:val="top"/>
          </w:tcPr>
          <w:p>
            <w:pPr>
              <w:rPr>
                <w:rFonts w:ascii="Arial"/>
                <w:sz w:val="21"/>
              </w:rPr>
            </w:pPr>
          </w:p>
        </w:tc>
        <w:tc>
          <w:tcPr>
            <w:tcW w:w="1449" w:type="dxa"/>
            <w:vAlign w:val="top"/>
          </w:tcPr>
          <w:p>
            <w:pPr>
              <w:rPr>
                <w:rFonts w:ascii="Arial"/>
                <w:sz w:val="21"/>
              </w:rPr>
            </w:pPr>
          </w:p>
        </w:tc>
        <w:tc>
          <w:tcPr>
            <w:tcW w:w="1671" w:type="dxa"/>
            <w:vAlign w:val="top"/>
          </w:tcPr>
          <w:p>
            <w:pPr>
              <w:rPr>
                <w:rFonts w:ascii="Arial"/>
                <w:sz w:val="21"/>
              </w:rPr>
            </w:pPr>
          </w:p>
        </w:tc>
      </w:tr>
    </w:tbl>
    <w:p>
      <w:pPr>
        <w:spacing w:before="75" w:line="227" w:lineRule="auto"/>
        <w:rPr>
          <w:rFonts w:ascii="宋体" w:hAnsi="宋体" w:eastAsia="宋体" w:cs="宋体"/>
          <w:sz w:val="32"/>
          <w:szCs w:val="32"/>
        </w:rPr>
      </w:pPr>
      <w:bookmarkStart w:id="19" w:name="_Toc78884382"/>
      <w:r>
        <w:rPr>
          <w:rFonts w:ascii="宋体" w:hAnsi="宋体" w:eastAsia="宋体" w:cs="宋体"/>
          <w:spacing w:val="-15"/>
          <w:sz w:val="32"/>
          <w:szCs w:val="32"/>
        </w:rPr>
        <w:t>附</w:t>
      </w:r>
      <w:r>
        <w:rPr>
          <w:rFonts w:ascii="宋体" w:hAnsi="宋体" w:eastAsia="宋体" w:cs="宋体"/>
          <w:spacing w:val="-11"/>
          <w:sz w:val="32"/>
          <w:szCs w:val="32"/>
        </w:rPr>
        <w:t>件5：</w:t>
      </w:r>
    </w:p>
    <w:p>
      <w:pPr>
        <w:spacing w:before="276" w:line="227" w:lineRule="auto"/>
        <w:ind w:firstLine="2100" w:firstLineChars="600"/>
        <w:rPr>
          <w:rFonts w:ascii="宋体" w:hAnsi="宋体" w:eastAsia="宋体" w:cs="宋体"/>
          <w:sz w:val="32"/>
          <w:szCs w:val="32"/>
        </w:rPr>
      </w:pPr>
      <w:r>
        <w:rPr>
          <w:rFonts w:ascii="宋体" w:hAnsi="宋体" w:eastAsia="宋体" w:cs="宋体"/>
          <w:spacing w:val="15"/>
          <w:sz w:val="32"/>
          <w:szCs w:val="32"/>
        </w:rPr>
        <w:t>承</w:t>
      </w:r>
      <w:r>
        <w:rPr>
          <w:rFonts w:ascii="宋体" w:hAnsi="宋体" w:eastAsia="宋体" w:cs="宋体"/>
          <w:spacing w:val="9"/>
          <w:sz w:val="32"/>
          <w:szCs w:val="32"/>
        </w:rPr>
        <w:t>包人用于本工程施工的机械设备表</w:t>
      </w:r>
    </w:p>
    <w:tbl>
      <w:tblPr>
        <w:tblStyle w:val="94"/>
        <w:tblpPr w:leftFromText="180" w:rightFromText="180" w:vertAnchor="text" w:horzAnchor="page" w:tblpX="1106" w:tblpY="130"/>
        <w:tblOverlap w:val="never"/>
        <w:tblW w:w="9813"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66"/>
        <w:gridCol w:w="1417"/>
        <w:gridCol w:w="850"/>
        <w:gridCol w:w="1057"/>
        <w:gridCol w:w="880"/>
        <w:gridCol w:w="1019"/>
        <w:gridCol w:w="1479"/>
        <w:gridCol w:w="1020"/>
        <w:gridCol w:w="925"/>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9" w:hRule="atLeast"/>
        </w:trPr>
        <w:tc>
          <w:tcPr>
            <w:tcW w:w="1166" w:type="dxa"/>
            <w:vAlign w:val="top"/>
          </w:tcPr>
          <w:p>
            <w:pPr>
              <w:spacing w:line="293" w:lineRule="auto"/>
              <w:jc w:val="center"/>
              <w:rPr>
                <w:rFonts w:ascii="Arial"/>
                <w:sz w:val="21"/>
              </w:rPr>
            </w:pPr>
          </w:p>
          <w:p>
            <w:pPr>
              <w:spacing w:before="75" w:line="229" w:lineRule="auto"/>
              <w:ind w:left="100"/>
              <w:jc w:val="center"/>
              <w:rPr>
                <w:rFonts w:ascii="宋体" w:hAnsi="宋体" w:eastAsia="宋体" w:cs="宋体"/>
                <w:sz w:val="23"/>
                <w:szCs w:val="23"/>
              </w:rPr>
            </w:pPr>
            <w:r>
              <w:rPr>
                <w:rFonts w:ascii="宋体" w:hAnsi="宋体" w:eastAsia="宋体" w:cs="宋体"/>
                <w:spacing w:val="6"/>
                <w:sz w:val="23"/>
                <w:szCs w:val="23"/>
              </w:rPr>
              <w:t>序</w:t>
            </w:r>
            <w:r>
              <w:rPr>
                <w:rFonts w:ascii="宋体" w:hAnsi="宋体" w:eastAsia="宋体" w:cs="宋体"/>
                <w:spacing w:val="5"/>
                <w:sz w:val="23"/>
                <w:szCs w:val="23"/>
              </w:rPr>
              <w:t>号</w:t>
            </w:r>
          </w:p>
        </w:tc>
        <w:tc>
          <w:tcPr>
            <w:tcW w:w="1417" w:type="dxa"/>
            <w:vAlign w:val="top"/>
          </w:tcPr>
          <w:p>
            <w:pPr>
              <w:spacing w:before="152" w:line="439" w:lineRule="exact"/>
              <w:ind w:left="95"/>
              <w:jc w:val="center"/>
              <w:rPr>
                <w:rFonts w:ascii="宋体" w:hAnsi="宋体" w:eastAsia="宋体" w:cs="宋体"/>
                <w:sz w:val="23"/>
                <w:szCs w:val="23"/>
              </w:rPr>
            </w:pPr>
            <w:r>
              <w:rPr>
                <w:rFonts w:ascii="宋体" w:hAnsi="宋体" w:eastAsia="宋体" w:cs="宋体"/>
                <w:spacing w:val="17"/>
                <w:position w:val="15"/>
                <w:sz w:val="23"/>
                <w:szCs w:val="23"/>
              </w:rPr>
              <w:t>机</w:t>
            </w:r>
            <w:r>
              <w:rPr>
                <w:rFonts w:ascii="宋体" w:hAnsi="宋体" w:eastAsia="宋体" w:cs="宋体"/>
                <w:spacing w:val="15"/>
                <w:position w:val="15"/>
                <w:sz w:val="23"/>
                <w:szCs w:val="23"/>
              </w:rPr>
              <w:t>械或设备</w:t>
            </w:r>
          </w:p>
          <w:p>
            <w:pPr>
              <w:spacing w:line="229" w:lineRule="auto"/>
              <w:ind w:left="99"/>
              <w:jc w:val="center"/>
              <w:rPr>
                <w:rFonts w:ascii="宋体" w:hAnsi="宋体" w:eastAsia="宋体" w:cs="宋体"/>
                <w:sz w:val="23"/>
                <w:szCs w:val="23"/>
              </w:rPr>
            </w:pPr>
            <w:r>
              <w:rPr>
                <w:rFonts w:ascii="宋体" w:hAnsi="宋体" w:eastAsia="宋体" w:cs="宋体"/>
                <w:spacing w:val="4"/>
                <w:sz w:val="23"/>
                <w:szCs w:val="23"/>
              </w:rPr>
              <w:t>名</w:t>
            </w:r>
            <w:r>
              <w:rPr>
                <w:rFonts w:ascii="宋体" w:hAnsi="宋体" w:eastAsia="宋体" w:cs="宋体"/>
                <w:spacing w:val="3"/>
                <w:sz w:val="23"/>
                <w:szCs w:val="23"/>
              </w:rPr>
              <w:t>称</w:t>
            </w:r>
          </w:p>
        </w:tc>
        <w:tc>
          <w:tcPr>
            <w:tcW w:w="850" w:type="dxa"/>
            <w:vAlign w:val="top"/>
          </w:tcPr>
          <w:p>
            <w:pPr>
              <w:spacing w:before="152" w:line="439" w:lineRule="exact"/>
              <w:ind w:left="99"/>
              <w:jc w:val="center"/>
              <w:rPr>
                <w:rFonts w:ascii="宋体" w:hAnsi="宋体" w:eastAsia="宋体" w:cs="宋体"/>
                <w:sz w:val="23"/>
                <w:szCs w:val="23"/>
              </w:rPr>
            </w:pPr>
            <w:r>
              <w:rPr>
                <w:rFonts w:ascii="宋体" w:hAnsi="宋体" w:eastAsia="宋体" w:cs="宋体"/>
                <w:spacing w:val="27"/>
                <w:position w:val="15"/>
                <w:sz w:val="23"/>
                <w:szCs w:val="23"/>
              </w:rPr>
              <w:t>规格</w:t>
            </w:r>
          </w:p>
          <w:p>
            <w:pPr>
              <w:spacing w:line="228" w:lineRule="auto"/>
              <w:ind w:left="105"/>
              <w:jc w:val="center"/>
              <w:rPr>
                <w:rFonts w:ascii="宋体" w:hAnsi="宋体" w:eastAsia="宋体" w:cs="宋体"/>
                <w:sz w:val="23"/>
                <w:szCs w:val="23"/>
              </w:rPr>
            </w:pPr>
            <w:r>
              <w:rPr>
                <w:rFonts w:ascii="宋体" w:hAnsi="宋体" w:eastAsia="宋体" w:cs="宋体"/>
                <w:spacing w:val="2"/>
                <w:sz w:val="23"/>
                <w:szCs w:val="23"/>
              </w:rPr>
              <w:t>型</w:t>
            </w:r>
            <w:r>
              <w:rPr>
                <w:rFonts w:ascii="宋体" w:hAnsi="宋体" w:eastAsia="宋体" w:cs="宋体"/>
                <w:spacing w:val="1"/>
                <w:sz w:val="23"/>
                <w:szCs w:val="23"/>
              </w:rPr>
              <w:t>号</w:t>
            </w:r>
          </w:p>
        </w:tc>
        <w:tc>
          <w:tcPr>
            <w:tcW w:w="1057" w:type="dxa"/>
            <w:vAlign w:val="top"/>
          </w:tcPr>
          <w:p>
            <w:pPr>
              <w:spacing w:line="294" w:lineRule="auto"/>
              <w:jc w:val="center"/>
              <w:rPr>
                <w:rFonts w:ascii="Arial"/>
                <w:sz w:val="21"/>
              </w:rPr>
            </w:pPr>
          </w:p>
          <w:p>
            <w:pPr>
              <w:spacing w:before="75" w:line="227" w:lineRule="auto"/>
              <w:ind w:left="99"/>
              <w:jc w:val="center"/>
              <w:rPr>
                <w:rFonts w:ascii="宋体" w:hAnsi="宋体" w:eastAsia="宋体" w:cs="宋体"/>
                <w:sz w:val="23"/>
                <w:szCs w:val="23"/>
              </w:rPr>
            </w:pPr>
            <w:r>
              <w:rPr>
                <w:rFonts w:ascii="宋体" w:hAnsi="宋体" w:eastAsia="宋体" w:cs="宋体"/>
                <w:spacing w:val="4"/>
                <w:sz w:val="23"/>
                <w:szCs w:val="23"/>
              </w:rPr>
              <w:t>数量</w:t>
            </w:r>
          </w:p>
        </w:tc>
        <w:tc>
          <w:tcPr>
            <w:tcW w:w="880" w:type="dxa"/>
            <w:vAlign w:val="top"/>
          </w:tcPr>
          <w:p>
            <w:pPr>
              <w:spacing w:line="294" w:lineRule="auto"/>
              <w:jc w:val="center"/>
              <w:rPr>
                <w:rFonts w:ascii="Arial"/>
                <w:sz w:val="21"/>
              </w:rPr>
            </w:pPr>
          </w:p>
          <w:p>
            <w:pPr>
              <w:spacing w:before="75" w:line="227" w:lineRule="auto"/>
              <w:ind w:left="99"/>
              <w:jc w:val="center"/>
              <w:rPr>
                <w:rFonts w:ascii="宋体" w:hAnsi="宋体" w:eastAsia="宋体" w:cs="宋体"/>
                <w:sz w:val="23"/>
                <w:szCs w:val="23"/>
              </w:rPr>
            </w:pPr>
            <w:r>
              <w:rPr>
                <w:rFonts w:ascii="宋体" w:hAnsi="宋体" w:eastAsia="宋体" w:cs="宋体"/>
                <w:spacing w:val="5"/>
                <w:sz w:val="23"/>
                <w:szCs w:val="23"/>
              </w:rPr>
              <w:t>产地</w:t>
            </w:r>
          </w:p>
        </w:tc>
        <w:tc>
          <w:tcPr>
            <w:tcW w:w="1019" w:type="dxa"/>
            <w:vAlign w:val="top"/>
          </w:tcPr>
          <w:p>
            <w:pPr>
              <w:spacing w:before="152" w:line="439" w:lineRule="exact"/>
              <w:ind w:left="98"/>
              <w:jc w:val="center"/>
              <w:rPr>
                <w:rFonts w:ascii="宋体" w:hAnsi="宋体" w:eastAsia="宋体" w:cs="宋体"/>
                <w:sz w:val="23"/>
                <w:szCs w:val="23"/>
              </w:rPr>
            </w:pPr>
            <w:r>
              <w:rPr>
                <w:rFonts w:ascii="宋体" w:hAnsi="宋体" w:eastAsia="宋体" w:cs="宋体"/>
                <w:spacing w:val="6"/>
                <w:position w:val="15"/>
                <w:sz w:val="23"/>
                <w:szCs w:val="23"/>
              </w:rPr>
              <w:t>制</w:t>
            </w:r>
            <w:r>
              <w:rPr>
                <w:rFonts w:ascii="宋体" w:hAnsi="宋体" w:eastAsia="宋体" w:cs="宋体"/>
                <w:spacing w:val="4"/>
                <w:position w:val="15"/>
                <w:sz w:val="23"/>
                <w:szCs w:val="23"/>
              </w:rPr>
              <w:t>造</w:t>
            </w:r>
          </w:p>
          <w:p>
            <w:pPr>
              <w:spacing w:line="227" w:lineRule="auto"/>
              <w:ind w:left="98"/>
              <w:jc w:val="center"/>
              <w:rPr>
                <w:rFonts w:ascii="宋体" w:hAnsi="宋体" w:eastAsia="宋体" w:cs="宋体"/>
                <w:sz w:val="23"/>
                <w:szCs w:val="23"/>
              </w:rPr>
            </w:pPr>
            <w:r>
              <w:rPr>
                <w:rFonts w:ascii="宋体" w:hAnsi="宋体" w:eastAsia="宋体" w:cs="宋体"/>
                <w:spacing w:val="5"/>
                <w:sz w:val="23"/>
                <w:szCs w:val="23"/>
              </w:rPr>
              <w:t>年</w:t>
            </w:r>
            <w:r>
              <w:rPr>
                <w:rFonts w:ascii="宋体" w:hAnsi="宋体" w:eastAsia="宋体" w:cs="宋体"/>
                <w:spacing w:val="4"/>
                <w:sz w:val="23"/>
                <w:szCs w:val="23"/>
              </w:rPr>
              <w:t>份</w:t>
            </w:r>
          </w:p>
        </w:tc>
        <w:tc>
          <w:tcPr>
            <w:tcW w:w="1479" w:type="dxa"/>
            <w:vAlign w:val="top"/>
          </w:tcPr>
          <w:p>
            <w:pPr>
              <w:spacing w:before="152" w:line="439" w:lineRule="exact"/>
              <w:ind w:left="98"/>
              <w:jc w:val="center"/>
              <w:rPr>
                <w:rFonts w:ascii="宋体" w:hAnsi="宋体" w:eastAsia="宋体" w:cs="宋体"/>
                <w:sz w:val="23"/>
                <w:szCs w:val="23"/>
              </w:rPr>
            </w:pPr>
            <w:r>
              <w:rPr>
                <w:rFonts w:ascii="宋体" w:hAnsi="宋体" w:eastAsia="宋体" w:cs="宋体"/>
                <w:spacing w:val="6"/>
                <w:position w:val="15"/>
                <w:sz w:val="23"/>
                <w:szCs w:val="23"/>
              </w:rPr>
              <w:t>额</w:t>
            </w:r>
            <w:r>
              <w:rPr>
                <w:rFonts w:ascii="宋体" w:hAnsi="宋体" w:eastAsia="宋体" w:cs="宋体"/>
                <w:spacing w:val="3"/>
                <w:position w:val="15"/>
                <w:sz w:val="23"/>
                <w:szCs w:val="23"/>
              </w:rPr>
              <w:t>定功率</w:t>
            </w:r>
          </w:p>
          <w:p>
            <w:pPr>
              <w:spacing w:line="230" w:lineRule="auto"/>
              <w:ind w:left="140"/>
              <w:jc w:val="center"/>
              <w:rPr>
                <w:rFonts w:ascii="宋体" w:hAnsi="宋体" w:eastAsia="宋体" w:cs="宋体"/>
                <w:sz w:val="23"/>
                <w:szCs w:val="23"/>
              </w:rPr>
            </w:pPr>
            <w:r>
              <w:rPr>
                <w:rFonts w:ascii="宋体" w:hAnsi="宋体" w:eastAsia="宋体" w:cs="宋体"/>
                <w:spacing w:val="-8"/>
                <w:sz w:val="23"/>
                <w:szCs w:val="23"/>
              </w:rPr>
              <w:t>(kW)</w:t>
            </w:r>
          </w:p>
        </w:tc>
        <w:tc>
          <w:tcPr>
            <w:tcW w:w="1020" w:type="dxa"/>
            <w:vAlign w:val="top"/>
          </w:tcPr>
          <w:p>
            <w:pPr>
              <w:spacing w:before="152" w:line="439" w:lineRule="exact"/>
              <w:ind w:left="102"/>
              <w:jc w:val="center"/>
              <w:rPr>
                <w:rFonts w:ascii="宋体" w:hAnsi="宋体" w:eastAsia="宋体" w:cs="宋体"/>
                <w:sz w:val="23"/>
                <w:szCs w:val="23"/>
              </w:rPr>
            </w:pPr>
            <w:r>
              <w:rPr>
                <w:rFonts w:ascii="宋体" w:hAnsi="宋体" w:eastAsia="宋体" w:cs="宋体"/>
                <w:spacing w:val="5"/>
                <w:position w:val="15"/>
                <w:sz w:val="23"/>
                <w:szCs w:val="23"/>
              </w:rPr>
              <w:t>生</w:t>
            </w:r>
            <w:r>
              <w:rPr>
                <w:rFonts w:ascii="宋体" w:hAnsi="宋体" w:eastAsia="宋体" w:cs="宋体"/>
                <w:spacing w:val="4"/>
                <w:position w:val="15"/>
                <w:sz w:val="23"/>
                <w:szCs w:val="23"/>
              </w:rPr>
              <w:t>产</w:t>
            </w:r>
          </w:p>
          <w:p>
            <w:pPr>
              <w:spacing w:line="227" w:lineRule="auto"/>
              <w:ind w:left="109"/>
              <w:jc w:val="center"/>
              <w:rPr>
                <w:rFonts w:ascii="宋体" w:hAnsi="宋体" w:eastAsia="宋体" w:cs="宋体"/>
                <w:sz w:val="23"/>
                <w:szCs w:val="23"/>
              </w:rPr>
            </w:pPr>
            <w:r>
              <w:rPr>
                <w:rFonts w:ascii="宋体" w:hAnsi="宋体" w:eastAsia="宋体" w:cs="宋体"/>
                <w:spacing w:val="1"/>
                <w:sz w:val="23"/>
                <w:szCs w:val="23"/>
              </w:rPr>
              <w:t>能</w:t>
            </w:r>
            <w:r>
              <w:rPr>
                <w:rFonts w:ascii="宋体" w:hAnsi="宋体" w:eastAsia="宋体" w:cs="宋体"/>
                <w:sz w:val="23"/>
                <w:szCs w:val="23"/>
              </w:rPr>
              <w:t>力</w:t>
            </w:r>
          </w:p>
        </w:tc>
        <w:tc>
          <w:tcPr>
            <w:tcW w:w="925" w:type="dxa"/>
            <w:vAlign w:val="top"/>
          </w:tcPr>
          <w:p>
            <w:pPr>
              <w:spacing w:line="293" w:lineRule="auto"/>
              <w:jc w:val="center"/>
              <w:rPr>
                <w:rFonts w:ascii="Arial"/>
                <w:sz w:val="21"/>
              </w:rPr>
            </w:pPr>
          </w:p>
          <w:p>
            <w:pPr>
              <w:spacing w:before="75" w:line="229" w:lineRule="auto"/>
              <w:ind w:left="103"/>
              <w:jc w:val="center"/>
              <w:rPr>
                <w:rFonts w:ascii="宋体" w:hAnsi="宋体" w:eastAsia="宋体" w:cs="宋体"/>
                <w:sz w:val="23"/>
                <w:szCs w:val="23"/>
              </w:rPr>
            </w:pPr>
            <w:r>
              <w:rPr>
                <w:rFonts w:ascii="宋体" w:hAnsi="宋体" w:eastAsia="宋体" w:cs="宋体"/>
                <w:spacing w:val="4"/>
                <w:sz w:val="23"/>
                <w:szCs w:val="23"/>
              </w:rPr>
              <w:t>备</w:t>
            </w:r>
            <w:r>
              <w:rPr>
                <w:rFonts w:ascii="宋体" w:hAnsi="宋体" w:eastAsia="宋体" w:cs="宋体"/>
                <w:spacing w:val="3"/>
                <w:sz w:val="23"/>
                <w:szCs w:val="23"/>
              </w:rPr>
              <w:t>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1166" w:type="dxa"/>
            <w:vAlign w:val="top"/>
          </w:tcPr>
          <w:p>
            <w:pPr>
              <w:rPr>
                <w:rFonts w:ascii="Arial"/>
                <w:sz w:val="21"/>
              </w:rPr>
            </w:pPr>
          </w:p>
        </w:tc>
        <w:tc>
          <w:tcPr>
            <w:tcW w:w="1417" w:type="dxa"/>
            <w:vAlign w:val="top"/>
          </w:tcPr>
          <w:p>
            <w:pPr>
              <w:rPr>
                <w:rFonts w:ascii="Arial"/>
                <w:sz w:val="21"/>
              </w:rPr>
            </w:pPr>
          </w:p>
        </w:tc>
        <w:tc>
          <w:tcPr>
            <w:tcW w:w="850" w:type="dxa"/>
            <w:vAlign w:val="top"/>
          </w:tcPr>
          <w:p>
            <w:pPr>
              <w:rPr>
                <w:rFonts w:ascii="Arial"/>
                <w:sz w:val="21"/>
              </w:rPr>
            </w:pPr>
          </w:p>
        </w:tc>
        <w:tc>
          <w:tcPr>
            <w:tcW w:w="1057" w:type="dxa"/>
            <w:vAlign w:val="top"/>
          </w:tcPr>
          <w:p>
            <w:pPr>
              <w:rPr>
                <w:rFonts w:ascii="Arial"/>
                <w:sz w:val="21"/>
              </w:rPr>
            </w:pPr>
          </w:p>
        </w:tc>
        <w:tc>
          <w:tcPr>
            <w:tcW w:w="880" w:type="dxa"/>
            <w:vAlign w:val="top"/>
          </w:tcPr>
          <w:p>
            <w:pPr>
              <w:rPr>
                <w:rFonts w:ascii="Arial"/>
                <w:sz w:val="21"/>
              </w:rPr>
            </w:pPr>
          </w:p>
        </w:tc>
        <w:tc>
          <w:tcPr>
            <w:tcW w:w="1019" w:type="dxa"/>
            <w:vAlign w:val="top"/>
          </w:tcPr>
          <w:p>
            <w:pPr>
              <w:rPr>
                <w:rFonts w:ascii="Arial"/>
                <w:sz w:val="21"/>
              </w:rPr>
            </w:pPr>
          </w:p>
        </w:tc>
        <w:tc>
          <w:tcPr>
            <w:tcW w:w="1479" w:type="dxa"/>
            <w:vAlign w:val="top"/>
          </w:tcPr>
          <w:p>
            <w:pPr>
              <w:rPr>
                <w:rFonts w:ascii="Arial"/>
                <w:sz w:val="21"/>
              </w:rPr>
            </w:pPr>
          </w:p>
        </w:tc>
        <w:tc>
          <w:tcPr>
            <w:tcW w:w="1020" w:type="dxa"/>
            <w:vAlign w:val="top"/>
          </w:tcPr>
          <w:p>
            <w:pPr>
              <w:rPr>
                <w:rFonts w:ascii="Arial"/>
                <w:sz w:val="21"/>
              </w:rPr>
            </w:pPr>
          </w:p>
        </w:tc>
        <w:tc>
          <w:tcPr>
            <w:tcW w:w="925"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1166" w:type="dxa"/>
            <w:vAlign w:val="top"/>
          </w:tcPr>
          <w:p>
            <w:pPr>
              <w:rPr>
                <w:rFonts w:ascii="Arial"/>
                <w:sz w:val="21"/>
              </w:rPr>
            </w:pPr>
          </w:p>
        </w:tc>
        <w:tc>
          <w:tcPr>
            <w:tcW w:w="1417" w:type="dxa"/>
            <w:vAlign w:val="top"/>
          </w:tcPr>
          <w:p>
            <w:pPr>
              <w:rPr>
                <w:rFonts w:ascii="Arial"/>
                <w:sz w:val="21"/>
              </w:rPr>
            </w:pPr>
          </w:p>
        </w:tc>
        <w:tc>
          <w:tcPr>
            <w:tcW w:w="850" w:type="dxa"/>
            <w:vAlign w:val="top"/>
          </w:tcPr>
          <w:p>
            <w:pPr>
              <w:rPr>
                <w:rFonts w:ascii="Arial"/>
                <w:sz w:val="21"/>
              </w:rPr>
            </w:pPr>
          </w:p>
        </w:tc>
        <w:tc>
          <w:tcPr>
            <w:tcW w:w="1057" w:type="dxa"/>
            <w:vAlign w:val="top"/>
          </w:tcPr>
          <w:p>
            <w:pPr>
              <w:rPr>
                <w:rFonts w:ascii="Arial"/>
                <w:sz w:val="21"/>
              </w:rPr>
            </w:pPr>
          </w:p>
        </w:tc>
        <w:tc>
          <w:tcPr>
            <w:tcW w:w="880" w:type="dxa"/>
            <w:vAlign w:val="top"/>
          </w:tcPr>
          <w:p>
            <w:pPr>
              <w:rPr>
                <w:rFonts w:ascii="Arial"/>
                <w:sz w:val="21"/>
              </w:rPr>
            </w:pPr>
          </w:p>
        </w:tc>
        <w:tc>
          <w:tcPr>
            <w:tcW w:w="1019" w:type="dxa"/>
            <w:vAlign w:val="top"/>
          </w:tcPr>
          <w:p>
            <w:pPr>
              <w:rPr>
                <w:rFonts w:ascii="Arial"/>
                <w:sz w:val="21"/>
              </w:rPr>
            </w:pPr>
          </w:p>
        </w:tc>
        <w:tc>
          <w:tcPr>
            <w:tcW w:w="1479" w:type="dxa"/>
            <w:vAlign w:val="top"/>
          </w:tcPr>
          <w:p>
            <w:pPr>
              <w:rPr>
                <w:rFonts w:ascii="Arial"/>
                <w:sz w:val="21"/>
              </w:rPr>
            </w:pPr>
          </w:p>
        </w:tc>
        <w:tc>
          <w:tcPr>
            <w:tcW w:w="1020" w:type="dxa"/>
            <w:vAlign w:val="top"/>
          </w:tcPr>
          <w:p>
            <w:pPr>
              <w:rPr>
                <w:rFonts w:ascii="Arial"/>
                <w:sz w:val="21"/>
              </w:rPr>
            </w:pPr>
          </w:p>
        </w:tc>
        <w:tc>
          <w:tcPr>
            <w:tcW w:w="925"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1166" w:type="dxa"/>
            <w:vAlign w:val="top"/>
          </w:tcPr>
          <w:p>
            <w:pPr>
              <w:rPr>
                <w:rFonts w:ascii="Arial"/>
                <w:sz w:val="21"/>
              </w:rPr>
            </w:pPr>
          </w:p>
        </w:tc>
        <w:tc>
          <w:tcPr>
            <w:tcW w:w="1417" w:type="dxa"/>
            <w:vAlign w:val="top"/>
          </w:tcPr>
          <w:p>
            <w:pPr>
              <w:rPr>
                <w:rFonts w:ascii="Arial"/>
                <w:sz w:val="21"/>
              </w:rPr>
            </w:pPr>
          </w:p>
        </w:tc>
        <w:tc>
          <w:tcPr>
            <w:tcW w:w="850" w:type="dxa"/>
            <w:vAlign w:val="top"/>
          </w:tcPr>
          <w:p>
            <w:pPr>
              <w:rPr>
                <w:rFonts w:ascii="Arial"/>
                <w:sz w:val="21"/>
              </w:rPr>
            </w:pPr>
          </w:p>
        </w:tc>
        <w:tc>
          <w:tcPr>
            <w:tcW w:w="1057" w:type="dxa"/>
            <w:vAlign w:val="top"/>
          </w:tcPr>
          <w:p>
            <w:pPr>
              <w:rPr>
                <w:rFonts w:ascii="Arial"/>
                <w:sz w:val="21"/>
              </w:rPr>
            </w:pPr>
          </w:p>
        </w:tc>
        <w:tc>
          <w:tcPr>
            <w:tcW w:w="880" w:type="dxa"/>
            <w:vAlign w:val="top"/>
          </w:tcPr>
          <w:p>
            <w:pPr>
              <w:rPr>
                <w:rFonts w:ascii="Arial"/>
                <w:sz w:val="21"/>
              </w:rPr>
            </w:pPr>
          </w:p>
        </w:tc>
        <w:tc>
          <w:tcPr>
            <w:tcW w:w="1019" w:type="dxa"/>
            <w:vAlign w:val="top"/>
          </w:tcPr>
          <w:p>
            <w:pPr>
              <w:rPr>
                <w:rFonts w:ascii="Arial"/>
                <w:sz w:val="21"/>
              </w:rPr>
            </w:pPr>
          </w:p>
        </w:tc>
        <w:tc>
          <w:tcPr>
            <w:tcW w:w="1479" w:type="dxa"/>
            <w:vAlign w:val="top"/>
          </w:tcPr>
          <w:p>
            <w:pPr>
              <w:rPr>
                <w:rFonts w:ascii="Arial"/>
                <w:sz w:val="21"/>
              </w:rPr>
            </w:pPr>
          </w:p>
        </w:tc>
        <w:tc>
          <w:tcPr>
            <w:tcW w:w="1020" w:type="dxa"/>
            <w:vAlign w:val="top"/>
          </w:tcPr>
          <w:p>
            <w:pPr>
              <w:rPr>
                <w:rFonts w:ascii="Arial"/>
                <w:sz w:val="21"/>
              </w:rPr>
            </w:pPr>
          </w:p>
        </w:tc>
        <w:tc>
          <w:tcPr>
            <w:tcW w:w="925"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1166" w:type="dxa"/>
            <w:vAlign w:val="top"/>
          </w:tcPr>
          <w:p>
            <w:pPr>
              <w:rPr>
                <w:rFonts w:ascii="Arial"/>
                <w:sz w:val="21"/>
              </w:rPr>
            </w:pPr>
          </w:p>
        </w:tc>
        <w:tc>
          <w:tcPr>
            <w:tcW w:w="1417" w:type="dxa"/>
            <w:vAlign w:val="top"/>
          </w:tcPr>
          <w:p>
            <w:pPr>
              <w:rPr>
                <w:rFonts w:ascii="Arial"/>
                <w:sz w:val="21"/>
              </w:rPr>
            </w:pPr>
          </w:p>
        </w:tc>
        <w:tc>
          <w:tcPr>
            <w:tcW w:w="850" w:type="dxa"/>
            <w:vAlign w:val="top"/>
          </w:tcPr>
          <w:p>
            <w:pPr>
              <w:rPr>
                <w:rFonts w:ascii="Arial"/>
                <w:sz w:val="21"/>
              </w:rPr>
            </w:pPr>
          </w:p>
        </w:tc>
        <w:tc>
          <w:tcPr>
            <w:tcW w:w="1057" w:type="dxa"/>
            <w:vAlign w:val="top"/>
          </w:tcPr>
          <w:p>
            <w:pPr>
              <w:rPr>
                <w:rFonts w:ascii="Arial"/>
                <w:sz w:val="21"/>
              </w:rPr>
            </w:pPr>
          </w:p>
        </w:tc>
        <w:tc>
          <w:tcPr>
            <w:tcW w:w="880" w:type="dxa"/>
            <w:vAlign w:val="top"/>
          </w:tcPr>
          <w:p>
            <w:pPr>
              <w:rPr>
                <w:rFonts w:ascii="Arial"/>
                <w:sz w:val="21"/>
              </w:rPr>
            </w:pPr>
          </w:p>
        </w:tc>
        <w:tc>
          <w:tcPr>
            <w:tcW w:w="1019" w:type="dxa"/>
            <w:vAlign w:val="top"/>
          </w:tcPr>
          <w:p>
            <w:pPr>
              <w:rPr>
                <w:rFonts w:ascii="Arial"/>
                <w:sz w:val="21"/>
              </w:rPr>
            </w:pPr>
          </w:p>
        </w:tc>
        <w:tc>
          <w:tcPr>
            <w:tcW w:w="1479" w:type="dxa"/>
            <w:vAlign w:val="top"/>
          </w:tcPr>
          <w:p>
            <w:pPr>
              <w:rPr>
                <w:rFonts w:ascii="Arial"/>
                <w:sz w:val="21"/>
              </w:rPr>
            </w:pPr>
          </w:p>
        </w:tc>
        <w:tc>
          <w:tcPr>
            <w:tcW w:w="1020" w:type="dxa"/>
            <w:vAlign w:val="top"/>
          </w:tcPr>
          <w:p>
            <w:pPr>
              <w:rPr>
                <w:rFonts w:ascii="Arial"/>
                <w:sz w:val="21"/>
              </w:rPr>
            </w:pPr>
          </w:p>
        </w:tc>
        <w:tc>
          <w:tcPr>
            <w:tcW w:w="925"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1166" w:type="dxa"/>
            <w:vAlign w:val="top"/>
          </w:tcPr>
          <w:p>
            <w:pPr>
              <w:rPr>
                <w:rFonts w:ascii="Arial"/>
                <w:sz w:val="21"/>
              </w:rPr>
            </w:pPr>
          </w:p>
        </w:tc>
        <w:tc>
          <w:tcPr>
            <w:tcW w:w="1417" w:type="dxa"/>
            <w:vAlign w:val="top"/>
          </w:tcPr>
          <w:p>
            <w:pPr>
              <w:rPr>
                <w:rFonts w:ascii="Arial"/>
                <w:sz w:val="21"/>
              </w:rPr>
            </w:pPr>
          </w:p>
        </w:tc>
        <w:tc>
          <w:tcPr>
            <w:tcW w:w="850" w:type="dxa"/>
            <w:vAlign w:val="top"/>
          </w:tcPr>
          <w:p>
            <w:pPr>
              <w:rPr>
                <w:rFonts w:ascii="Arial"/>
                <w:sz w:val="21"/>
              </w:rPr>
            </w:pPr>
          </w:p>
        </w:tc>
        <w:tc>
          <w:tcPr>
            <w:tcW w:w="1057" w:type="dxa"/>
            <w:vAlign w:val="top"/>
          </w:tcPr>
          <w:p>
            <w:pPr>
              <w:rPr>
                <w:rFonts w:ascii="Arial"/>
                <w:sz w:val="21"/>
              </w:rPr>
            </w:pPr>
          </w:p>
        </w:tc>
        <w:tc>
          <w:tcPr>
            <w:tcW w:w="880" w:type="dxa"/>
            <w:vAlign w:val="top"/>
          </w:tcPr>
          <w:p>
            <w:pPr>
              <w:rPr>
                <w:rFonts w:ascii="Arial"/>
                <w:sz w:val="21"/>
              </w:rPr>
            </w:pPr>
          </w:p>
        </w:tc>
        <w:tc>
          <w:tcPr>
            <w:tcW w:w="1019" w:type="dxa"/>
            <w:vAlign w:val="top"/>
          </w:tcPr>
          <w:p>
            <w:pPr>
              <w:rPr>
                <w:rFonts w:ascii="Arial"/>
                <w:sz w:val="21"/>
              </w:rPr>
            </w:pPr>
          </w:p>
        </w:tc>
        <w:tc>
          <w:tcPr>
            <w:tcW w:w="1479" w:type="dxa"/>
            <w:vAlign w:val="top"/>
          </w:tcPr>
          <w:p>
            <w:pPr>
              <w:rPr>
                <w:rFonts w:ascii="Arial"/>
                <w:sz w:val="21"/>
              </w:rPr>
            </w:pPr>
          </w:p>
        </w:tc>
        <w:tc>
          <w:tcPr>
            <w:tcW w:w="1020" w:type="dxa"/>
            <w:vAlign w:val="top"/>
          </w:tcPr>
          <w:p>
            <w:pPr>
              <w:rPr>
                <w:rFonts w:ascii="Arial"/>
                <w:sz w:val="21"/>
              </w:rPr>
            </w:pPr>
          </w:p>
        </w:tc>
        <w:tc>
          <w:tcPr>
            <w:tcW w:w="925"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1166" w:type="dxa"/>
            <w:vAlign w:val="top"/>
          </w:tcPr>
          <w:p>
            <w:pPr>
              <w:rPr>
                <w:rFonts w:ascii="Arial"/>
                <w:sz w:val="21"/>
              </w:rPr>
            </w:pPr>
          </w:p>
        </w:tc>
        <w:tc>
          <w:tcPr>
            <w:tcW w:w="1417" w:type="dxa"/>
            <w:vAlign w:val="top"/>
          </w:tcPr>
          <w:p>
            <w:pPr>
              <w:rPr>
                <w:rFonts w:ascii="Arial"/>
                <w:sz w:val="21"/>
              </w:rPr>
            </w:pPr>
          </w:p>
        </w:tc>
        <w:tc>
          <w:tcPr>
            <w:tcW w:w="850" w:type="dxa"/>
            <w:vAlign w:val="top"/>
          </w:tcPr>
          <w:p>
            <w:pPr>
              <w:rPr>
                <w:rFonts w:ascii="Arial"/>
                <w:sz w:val="21"/>
              </w:rPr>
            </w:pPr>
          </w:p>
        </w:tc>
        <w:tc>
          <w:tcPr>
            <w:tcW w:w="1057" w:type="dxa"/>
            <w:vAlign w:val="top"/>
          </w:tcPr>
          <w:p>
            <w:pPr>
              <w:rPr>
                <w:rFonts w:ascii="Arial"/>
                <w:sz w:val="21"/>
              </w:rPr>
            </w:pPr>
          </w:p>
        </w:tc>
        <w:tc>
          <w:tcPr>
            <w:tcW w:w="880" w:type="dxa"/>
            <w:vAlign w:val="top"/>
          </w:tcPr>
          <w:p>
            <w:pPr>
              <w:rPr>
                <w:rFonts w:ascii="Arial"/>
                <w:sz w:val="21"/>
              </w:rPr>
            </w:pPr>
          </w:p>
        </w:tc>
        <w:tc>
          <w:tcPr>
            <w:tcW w:w="1019" w:type="dxa"/>
            <w:vAlign w:val="top"/>
          </w:tcPr>
          <w:p>
            <w:pPr>
              <w:rPr>
                <w:rFonts w:ascii="Arial"/>
                <w:sz w:val="21"/>
              </w:rPr>
            </w:pPr>
          </w:p>
        </w:tc>
        <w:tc>
          <w:tcPr>
            <w:tcW w:w="1479" w:type="dxa"/>
            <w:vAlign w:val="top"/>
          </w:tcPr>
          <w:p>
            <w:pPr>
              <w:rPr>
                <w:rFonts w:ascii="Arial"/>
                <w:sz w:val="21"/>
              </w:rPr>
            </w:pPr>
          </w:p>
        </w:tc>
        <w:tc>
          <w:tcPr>
            <w:tcW w:w="1020" w:type="dxa"/>
            <w:vAlign w:val="top"/>
          </w:tcPr>
          <w:p>
            <w:pPr>
              <w:rPr>
                <w:rFonts w:ascii="Arial"/>
                <w:sz w:val="21"/>
              </w:rPr>
            </w:pPr>
          </w:p>
        </w:tc>
        <w:tc>
          <w:tcPr>
            <w:tcW w:w="925"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1166" w:type="dxa"/>
            <w:vAlign w:val="top"/>
          </w:tcPr>
          <w:p>
            <w:pPr>
              <w:rPr>
                <w:rFonts w:ascii="Arial"/>
                <w:sz w:val="21"/>
              </w:rPr>
            </w:pPr>
          </w:p>
        </w:tc>
        <w:tc>
          <w:tcPr>
            <w:tcW w:w="1417" w:type="dxa"/>
            <w:vAlign w:val="top"/>
          </w:tcPr>
          <w:p>
            <w:pPr>
              <w:rPr>
                <w:rFonts w:ascii="Arial"/>
                <w:sz w:val="21"/>
              </w:rPr>
            </w:pPr>
          </w:p>
        </w:tc>
        <w:tc>
          <w:tcPr>
            <w:tcW w:w="850" w:type="dxa"/>
            <w:vAlign w:val="top"/>
          </w:tcPr>
          <w:p>
            <w:pPr>
              <w:rPr>
                <w:rFonts w:ascii="Arial"/>
                <w:sz w:val="21"/>
              </w:rPr>
            </w:pPr>
          </w:p>
        </w:tc>
        <w:tc>
          <w:tcPr>
            <w:tcW w:w="1057" w:type="dxa"/>
            <w:vAlign w:val="top"/>
          </w:tcPr>
          <w:p>
            <w:pPr>
              <w:rPr>
                <w:rFonts w:ascii="Arial"/>
                <w:sz w:val="21"/>
              </w:rPr>
            </w:pPr>
          </w:p>
        </w:tc>
        <w:tc>
          <w:tcPr>
            <w:tcW w:w="880" w:type="dxa"/>
            <w:vAlign w:val="top"/>
          </w:tcPr>
          <w:p>
            <w:pPr>
              <w:rPr>
                <w:rFonts w:ascii="Arial"/>
                <w:sz w:val="21"/>
              </w:rPr>
            </w:pPr>
          </w:p>
        </w:tc>
        <w:tc>
          <w:tcPr>
            <w:tcW w:w="1019" w:type="dxa"/>
            <w:vAlign w:val="top"/>
          </w:tcPr>
          <w:p>
            <w:pPr>
              <w:rPr>
                <w:rFonts w:ascii="Arial"/>
                <w:sz w:val="21"/>
              </w:rPr>
            </w:pPr>
          </w:p>
        </w:tc>
        <w:tc>
          <w:tcPr>
            <w:tcW w:w="1479" w:type="dxa"/>
            <w:vAlign w:val="top"/>
          </w:tcPr>
          <w:p>
            <w:pPr>
              <w:rPr>
                <w:rFonts w:ascii="Arial"/>
                <w:sz w:val="21"/>
              </w:rPr>
            </w:pPr>
          </w:p>
        </w:tc>
        <w:tc>
          <w:tcPr>
            <w:tcW w:w="1020" w:type="dxa"/>
            <w:vAlign w:val="top"/>
          </w:tcPr>
          <w:p>
            <w:pPr>
              <w:rPr>
                <w:rFonts w:ascii="Arial"/>
                <w:sz w:val="21"/>
              </w:rPr>
            </w:pPr>
          </w:p>
        </w:tc>
        <w:tc>
          <w:tcPr>
            <w:tcW w:w="925"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1166" w:type="dxa"/>
            <w:vAlign w:val="top"/>
          </w:tcPr>
          <w:p>
            <w:pPr>
              <w:rPr>
                <w:rFonts w:ascii="Arial"/>
                <w:sz w:val="21"/>
              </w:rPr>
            </w:pPr>
          </w:p>
        </w:tc>
        <w:tc>
          <w:tcPr>
            <w:tcW w:w="1417" w:type="dxa"/>
            <w:vAlign w:val="top"/>
          </w:tcPr>
          <w:p>
            <w:pPr>
              <w:rPr>
                <w:rFonts w:ascii="Arial"/>
                <w:sz w:val="21"/>
              </w:rPr>
            </w:pPr>
          </w:p>
        </w:tc>
        <w:tc>
          <w:tcPr>
            <w:tcW w:w="850" w:type="dxa"/>
            <w:vAlign w:val="top"/>
          </w:tcPr>
          <w:p>
            <w:pPr>
              <w:rPr>
                <w:rFonts w:ascii="Arial"/>
                <w:sz w:val="21"/>
              </w:rPr>
            </w:pPr>
          </w:p>
        </w:tc>
        <w:tc>
          <w:tcPr>
            <w:tcW w:w="1057" w:type="dxa"/>
            <w:vAlign w:val="top"/>
          </w:tcPr>
          <w:p>
            <w:pPr>
              <w:rPr>
                <w:rFonts w:ascii="Arial"/>
                <w:sz w:val="21"/>
              </w:rPr>
            </w:pPr>
          </w:p>
        </w:tc>
        <w:tc>
          <w:tcPr>
            <w:tcW w:w="880" w:type="dxa"/>
            <w:vAlign w:val="top"/>
          </w:tcPr>
          <w:p>
            <w:pPr>
              <w:rPr>
                <w:rFonts w:ascii="Arial"/>
                <w:sz w:val="21"/>
              </w:rPr>
            </w:pPr>
          </w:p>
        </w:tc>
        <w:tc>
          <w:tcPr>
            <w:tcW w:w="1019" w:type="dxa"/>
            <w:vAlign w:val="top"/>
          </w:tcPr>
          <w:p>
            <w:pPr>
              <w:rPr>
                <w:rFonts w:ascii="Arial"/>
                <w:sz w:val="21"/>
              </w:rPr>
            </w:pPr>
          </w:p>
        </w:tc>
        <w:tc>
          <w:tcPr>
            <w:tcW w:w="1479" w:type="dxa"/>
            <w:vAlign w:val="top"/>
          </w:tcPr>
          <w:p>
            <w:pPr>
              <w:rPr>
                <w:rFonts w:ascii="Arial"/>
                <w:sz w:val="21"/>
              </w:rPr>
            </w:pPr>
          </w:p>
        </w:tc>
        <w:tc>
          <w:tcPr>
            <w:tcW w:w="1020" w:type="dxa"/>
            <w:vAlign w:val="top"/>
          </w:tcPr>
          <w:p>
            <w:pPr>
              <w:rPr>
                <w:rFonts w:ascii="Arial"/>
                <w:sz w:val="21"/>
              </w:rPr>
            </w:pPr>
          </w:p>
        </w:tc>
        <w:tc>
          <w:tcPr>
            <w:tcW w:w="925"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1166" w:type="dxa"/>
            <w:vAlign w:val="top"/>
          </w:tcPr>
          <w:p>
            <w:pPr>
              <w:rPr>
                <w:rFonts w:ascii="Arial"/>
                <w:sz w:val="21"/>
              </w:rPr>
            </w:pPr>
          </w:p>
        </w:tc>
        <w:tc>
          <w:tcPr>
            <w:tcW w:w="1417" w:type="dxa"/>
            <w:vAlign w:val="top"/>
          </w:tcPr>
          <w:p>
            <w:pPr>
              <w:rPr>
                <w:rFonts w:ascii="Arial"/>
                <w:sz w:val="21"/>
              </w:rPr>
            </w:pPr>
          </w:p>
        </w:tc>
        <w:tc>
          <w:tcPr>
            <w:tcW w:w="850" w:type="dxa"/>
            <w:vAlign w:val="top"/>
          </w:tcPr>
          <w:p>
            <w:pPr>
              <w:rPr>
                <w:rFonts w:ascii="Arial"/>
                <w:sz w:val="21"/>
              </w:rPr>
            </w:pPr>
          </w:p>
        </w:tc>
        <w:tc>
          <w:tcPr>
            <w:tcW w:w="1057" w:type="dxa"/>
            <w:vAlign w:val="top"/>
          </w:tcPr>
          <w:p>
            <w:pPr>
              <w:rPr>
                <w:rFonts w:ascii="Arial"/>
                <w:sz w:val="21"/>
              </w:rPr>
            </w:pPr>
          </w:p>
        </w:tc>
        <w:tc>
          <w:tcPr>
            <w:tcW w:w="880" w:type="dxa"/>
            <w:vAlign w:val="top"/>
          </w:tcPr>
          <w:p>
            <w:pPr>
              <w:rPr>
                <w:rFonts w:ascii="Arial"/>
                <w:sz w:val="21"/>
              </w:rPr>
            </w:pPr>
          </w:p>
        </w:tc>
        <w:tc>
          <w:tcPr>
            <w:tcW w:w="1019" w:type="dxa"/>
            <w:vAlign w:val="top"/>
          </w:tcPr>
          <w:p>
            <w:pPr>
              <w:rPr>
                <w:rFonts w:ascii="Arial"/>
                <w:sz w:val="21"/>
              </w:rPr>
            </w:pPr>
          </w:p>
        </w:tc>
        <w:tc>
          <w:tcPr>
            <w:tcW w:w="1479" w:type="dxa"/>
            <w:vAlign w:val="top"/>
          </w:tcPr>
          <w:p>
            <w:pPr>
              <w:rPr>
                <w:rFonts w:ascii="Arial"/>
                <w:sz w:val="21"/>
              </w:rPr>
            </w:pPr>
          </w:p>
        </w:tc>
        <w:tc>
          <w:tcPr>
            <w:tcW w:w="1020" w:type="dxa"/>
            <w:vAlign w:val="top"/>
          </w:tcPr>
          <w:p>
            <w:pPr>
              <w:rPr>
                <w:rFonts w:ascii="Arial"/>
                <w:sz w:val="21"/>
              </w:rPr>
            </w:pPr>
          </w:p>
        </w:tc>
        <w:tc>
          <w:tcPr>
            <w:tcW w:w="925"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1166" w:type="dxa"/>
            <w:vAlign w:val="top"/>
          </w:tcPr>
          <w:p>
            <w:pPr>
              <w:rPr>
                <w:rFonts w:ascii="Arial"/>
                <w:sz w:val="21"/>
              </w:rPr>
            </w:pPr>
          </w:p>
        </w:tc>
        <w:tc>
          <w:tcPr>
            <w:tcW w:w="1417" w:type="dxa"/>
            <w:vAlign w:val="top"/>
          </w:tcPr>
          <w:p>
            <w:pPr>
              <w:rPr>
                <w:rFonts w:ascii="Arial"/>
                <w:sz w:val="21"/>
              </w:rPr>
            </w:pPr>
          </w:p>
        </w:tc>
        <w:tc>
          <w:tcPr>
            <w:tcW w:w="850" w:type="dxa"/>
            <w:vAlign w:val="top"/>
          </w:tcPr>
          <w:p>
            <w:pPr>
              <w:rPr>
                <w:rFonts w:ascii="Arial"/>
                <w:sz w:val="21"/>
              </w:rPr>
            </w:pPr>
          </w:p>
        </w:tc>
        <w:tc>
          <w:tcPr>
            <w:tcW w:w="1057" w:type="dxa"/>
            <w:vAlign w:val="top"/>
          </w:tcPr>
          <w:p>
            <w:pPr>
              <w:rPr>
                <w:rFonts w:ascii="Arial"/>
                <w:sz w:val="21"/>
              </w:rPr>
            </w:pPr>
          </w:p>
        </w:tc>
        <w:tc>
          <w:tcPr>
            <w:tcW w:w="880" w:type="dxa"/>
            <w:vAlign w:val="top"/>
          </w:tcPr>
          <w:p>
            <w:pPr>
              <w:rPr>
                <w:rFonts w:ascii="Arial"/>
                <w:sz w:val="21"/>
              </w:rPr>
            </w:pPr>
          </w:p>
        </w:tc>
        <w:tc>
          <w:tcPr>
            <w:tcW w:w="1019" w:type="dxa"/>
            <w:vAlign w:val="top"/>
          </w:tcPr>
          <w:p>
            <w:pPr>
              <w:rPr>
                <w:rFonts w:ascii="Arial"/>
                <w:sz w:val="21"/>
              </w:rPr>
            </w:pPr>
          </w:p>
        </w:tc>
        <w:tc>
          <w:tcPr>
            <w:tcW w:w="1479" w:type="dxa"/>
            <w:vAlign w:val="top"/>
          </w:tcPr>
          <w:p>
            <w:pPr>
              <w:rPr>
                <w:rFonts w:ascii="Arial"/>
                <w:sz w:val="21"/>
              </w:rPr>
            </w:pPr>
          </w:p>
        </w:tc>
        <w:tc>
          <w:tcPr>
            <w:tcW w:w="1020" w:type="dxa"/>
            <w:vAlign w:val="top"/>
          </w:tcPr>
          <w:p>
            <w:pPr>
              <w:rPr>
                <w:rFonts w:ascii="Arial"/>
                <w:sz w:val="21"/>
              </w:rPr>
            </w:pPr>
          </w:p>
        </w:tc>
        <w:tc>
          <w:tcPr>
            <w:tcW w:w="925"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1166" w:type="dxa"/>
            <w:vAlign w:val="top"/>
          </w:tcPr>
          <w:p>
            <w:pPr>
              <w:rPr>
                <w:rFonts w:ascii="Arial"/>
                <w:sz w:val="21"/>
              </w:rPr>
            </w:pPr>
          </w:p>
        </w:tc>
        <w:tc>
          <w:tcPr>
            <w:tcW w:w="1417" w:type="dxa"/>
            <w:vAlign w:val="top"/>
          </w:tcPr>
          <w:p>
            <w:pPr>
              <w:rPr>
                <w:rFonts w:ascii="Arial"/>
                <w:sz w:val="21"/>
              </w:rPr>
            </w:pPr>
          </w:p>
        </w:tc>
        <w:tc>
          <w:tcPr>
            <w:tcW w:w="850" w:type="dxa"/>
            <w:vAlign w:val="top"/>
          </w:tcPr>
          <w:p>
            <w:pPr>
              <w:rPr>
                <w:rFonts w:ascii="Arial"/>
                <w:sz w:val="21"/>
              </w:rPr>
            </w:pPr>
          </w:p>
        </w:tc>
        <w:tc>
          <w:tcPr>
            <w:tcW w:w="1057" w:type="dxa"/>
            <w:vAlign w:val="top"/>
          </w:tcPr>
          <w:p>
            <w:pPr>
              <w:rPr>
                <w:rFonts w:ascii="Arial"/>
                <w:sz w:val="21"/>
              </w:rPr>
            </w:pPr>
          </w:p>
        </w:tc>
        <w:tc>
          <w:tcPr>
            <w:tcW w:w="880" w:type="dxa"/>
            <w:vAlign w:val="top"/>
          </w:tcPr>
          <w:p>
            <w:pPr>
              <w:rPr>
                <w:rFonts w:ascii="Arial"/>
                <w:sz w:val="21"/>
              </w:rPr>
            </w:pPr>
          </w:p>
        </w:tc>
        <w:tc>
          <w:tcPr>
            <w:tcW w:w="1019" w:type="dxa"/>
            <w:vAlign w:val="top"/>
          </w:tcPr>
          <w:p>
            <w:pPr>
              <w:rPr>
                <w:rFonts w:ascii="Arial"/>
                <w:sz w:val="21"/>
              </w:rPr>
            </w:pPr>
          </w:p>
        </w:tc>
        <w:tc>
          <w:tcPr>
            <w:tcW w:w="1479" w:type="dxa"/>
            <w:vAlign w:val="top"/>
          </w:tcPr>
          <w:p>
            <w:pPr>
              <w:rPr>
                <w:rFonts w:ascii="Arial"/>
                <w:sz w:val="21"/>
              </w:rPr>
            </w:pPr>
          </w:p>
        </w:tc>
        <w:tc>
          <w:tcPr>
            <w:tcW w:w="1020" w:type="dxa"/>
            <w:vAlign w:val="top"/>
          </w:tcPr>
          <w:p>
            <w:pPr>
              <w:rPr>
                <w:rFonts w:ascii="Arial"/>
                <w:sz w:val="21"/>
              </w:rPr>
            </w:pPr>
          </w:p>
        </w:tc>
        <w:tc>
          <w:tcPr>
            <w:tcW w:w="925"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1166" w:type="dxa"/>
            <w:vAlign w:val="top"/>
          </w:tcPr>
          <w:p>
            <w:pPr>
              <w:rPr>
                <w:rFonts w:ascii="Arial"/>
                <w:sz w:val="21"/>
              </w:rPr>
            </w:pPr>
          </w:p>
        </w:tc>
        <w:tc>
          <w:tcPr>
            <w:tcW w:w="1417" w:type="dxa"/>
            <w:vAlign w:val="top"/>
          </w:tcPr>
          <w:p>
            <w:pPr>
              <w:rPr>
                <w:rFonts w:ascii="Arial"/>
                <w:sz w:val="21"/>
              </w:rPr>
            </w:pPr>
          </w:p>
        </w:tc>
        <w:tc>
          <w:tcPr>
            <w:tcW w:w="850" w:type="dxa"/>
            <w:vAlign w:val="top"/>
          </w:tcPr>
          <w:p>
            <w:pPr>
              <w:rPr>
                <w:rFonts w:ascii="Arial"/>
                <w:sz w:val="21"/>
              </w:rPr>
            </w:pPr>
          </w:p>
        </w:tc>
        <w:tc>
          <w:tcPr>
            <w:tcW w:w="1057" w:type="dxa"/>
            <w:vAlign w:val="top"/>
          </w:tcPr>
          <w:p>
            <w:pPr>
              <w:rPr>
                <w:rFonts w:ascii="Arial"/>
                <w:sz w:val="21"/>
              </w:rPr>
            </w:pPr>
          </w:p>
        </w:tc>
        <w:tc>
          <w:tcPr>
            <w:tcW w:w="880" w:type="dxa"/>
            <w:vAlign w:val="top"/>
          </w:tcPr>
          <w:p>
            <w:pPr>
              <w:rPr>
                <w:rFonts w:ascii="Arial"/>
                <w:sz w:val="21"/>
              </w:rPr>
            </w:pPr>
          </w:p>
        </w:tc>
        <w:tc>
          <w:tcPr>
            <w:tcW w:w="1019" w:type="dxa"/>
            <w:vAlign w:val="top"/>
          </w:tcPr>
          <w:p>
            <w:pPr>
              <w:rPr>
                <w:rFonts w:ascii="Arial"/>
                <w:sz w:val="21"/>
              </w:rPr>
            </w:pPr>
          </w:p>
        </w:tc>
        <w:tc>
          <w:tcPr>
            <w:tcW w:w="1479" w:type="dxa"/>
            <w:vAlign w:val="top"/>
          </w:tcPr>
          <w:p>
            <w:pPr>
              <w:rPr>
                <w:rFonts w:ascii="Arial"/>
                <w:sz w:val="21"/>
              </w:rPr>
            </w:pPr>
          </w:p>
        </w:tc>
        <w:tc>
          <w:tcPr>
            <w:tcW w:w="1020" w:type="dxa"/>
            <w:vAlign w:val="top"/>
          </w:tcPr>
          <w:p>
            <w:pPr>
              <w:rPr>
                <w:rFonts w:ascii="Arial"/>
                <w:sz w:val="21"/>
              </w:rPr>
            </w:pPr>
          </w:p>
        </w:tc>
        <w:tc>
          <w:tcPr>
            <w:tcW w:w="925"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1166" w:type="dxa"/>
            <w:vAlign w:val="top"/>
          </w:tcPr>
          <w:p>
            <w:pPr>
              <w:rPr>
                <w:rFonts w:ascii="Arial"/>
                <w:sz w:val="21"/>
              </w:rPr>
            </w:pPr>
          </w:p>
        </w:tc>
        <w:tc>
          <w:tcPr>
            <w:tcW w:w="1417" w:type="dxa"/>
            <w:vAlign w:val="top"/>
          </w:tcPr>
          <w:p>
            <w:pPr>
              <w:rPr>
                <w:rFonts w:ascii="Arial"/>
                <w:sz w:val="21"/>
              </w:rPr>
            </w:pPr>
          </w:p>
        </w:tc>
        <w:tc>
          <w:tcPr>
            <w:tcW w:w="850" w:type="dxa"/>
            <w:vAlign w:val="top"/>
          </w:tcPr>
          <w:p>
            <w:pPr>
              <w:rPr>
                <w:rFonts w:ascii="Arial"/>
                <w:sz w:val="21"/>
              </w:rPr>
            </w:pPr>
          </w:p>
        </w:tc>
        <w:tc>
          <w:tcPr>
            <w:tcW w:w="1057" w:type="dxa"/>
            <w:vAlign w:val="top"/>
          </w:tcPr>
          <w:p>
            <w:pPr>
              <w:rPr>
                <w:rFonts w:ascii="Arial"/>
                <w:sz w:val="21"/>
              </w:rPr>
            </w:pPr>
          </w:p>
        </w:tc>
        <w:tc>
          <w:tcPr>
            <w:tcW w:w="880" w:type="dxa"/>
            <w:vAlign w:val="top"/>
          </w:tcPr>
          <w:p>
            <w:pPr>
              <w:rPr>
                <w:rFonts w:ascii="Arial"/>
                <w:sz w:val="21"/>
              </w:rPr>
            </w:pPr>
          </w:p>
        </w:tc>
        <w:tc>
          <w:tcPr>
            <w:tcW w:w="1019" w:type="dxa"/>
            <w:vAlign w:val="top"/>
          </w:tcPr>
          <w:p>
            <w:pPr>
              <w:rPr>
                <w:rFonts w:ascii="Arial"/>
                <w:sz w:val="21"/>
              </w:rPr>
            </w:pPr>
          </w:p>
        </w:tc>
        <w:tc>
          <w:tcPr>
            <w:tcW w:w="1479" w:type="dxa"/>
            <w:vAlign w:val="top"/>
          </w:tcPr>
          <w:p>
            <w:pPr>
              <w:rPr>
                <w:rFonts w:ascii="Arial"/>
                <w:sz w:val="21"/>
              </w:rPr>
            </w:pPr>
          </w:p>
        </w:tc>
        <w:tc>
          <w:tcPr>
            <w:tcW w:w="1020" w:type="dxa"/>
            <w:vAlign w:val="top"/>
          </w:tcPr>
          <w:p>
            <w:pPr>
              <w:rPr>
                <w:rFonts w:ascii="Arial"/>
                <w:sz w:val="21"/>
              </w:rPr>
            </w:pPr>
          </w:p>
        </w:tc>
        <w:tc>
          <w:tcPr>
            <w:tcW w:w="925"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1166" w:type="dxa"/>
            <w:vAlign w:val="top"/>
          </w:tcPr>
          <w:p>
            <w:pPr>
              <w:rPr>
                <w:rFonts w:ascii="Arial"/>
                <w:sz w:val="21"/>
              </w:rPr>
            </w:pPr>
          </w:p>
        </w:tc>
        <w:tc>
          <w:tcPr>
            <w:tcW w:w="1417" w:type="dxa"/>
            <w:vAlign w:val="top"/>
          </w:tcPr>
          <w:p>
            <w:pPr>
              <w:rPr>
                <w:rFonts w:ascii="Arial"/>
                <w:sz w:val="21"/>
              </w:rPr>
            </w:pPr>
          </w:p>
        </w:tc>
        <w:tc>
          <w:tcPr>
            <w:tcW w:w="850" w:type="dxa"/>
            <w:vAlign w:val="top"/>
          </w:tcPr>
          <w:p>
            <w:pPr>
              <w:rPr>
                <w:rFonts w:ascii="Arial"/>
                <w:sz w:val="21"/>
              </w:rPr>
            </w:pPr>
          </w:p>
        </w:tc>
        <w:tc>
          <w:tcPr>
            <w:tcW w:w="1057" w:type="dxa"/>
            <w:vAlign w:val="top"/>
          </w:tcPr>
          <w:p>
            <w:pPr>
              <w:rPr>
                <w:rFonts w:ascii="Arial"/>
                <w:sz w:val="21"/>
              </w:rPr>
            </w:pPr>
          </w:p>
        </w:tc>
        <w:tc>
          <w:tcPr>
            <w:tcW w:w="880" w:type="dxa"/>
            <w:vAlign w:val="top"/>
          </w:tcPr>
          <w:p>
            <w:pPr>
              <w:rPr>
                <w:rFonts w:ascii="Arial"/>
                <w:sz w:val="21"/>
              </w:rPr>
            </w:pPr>
          </w:p>
        </w:tc>
        <w:tc>
          <w:tcPr>
            <w:tcW w:w="1019" w:type="dxa"/>
            <w:vAlign w:val="top"/>
          </w:tcPr>
          <w:p>
            <w:pPr>
              <w:rPr>
                <w:rFonts w:ascii="Arial"/>
                <w:sz w:val="21"/>
              </w:rPr>
            </w:pPr>
          </w:p>
        </w:tc>
        <w:tc>
          <w:tcPr>
            <w:tcW w:w="1479" w:type="dxa"/>
            <w:vAlign w:val="top"/>
          </w:tcPr>
          <w:p>
            <w:pPr>
              <w:rPr>
                <w:rFonts w:ascii="Arial"/>
                <w:sz w:val="21"/>
              </w:rPr>
            </w:pPr>
          </w:p>
        </w:tc>
        <w:tc>
          <w:tcPr>
            <w:tcW w:w="1020" w:type="dxa"/>
            <w:vAlign w:val="top"/>
          </w:tcPr>
          <w:p>
            <w:pPr>
              <w:rPr>
                <w:rFonts w:ascii="Arial"/>
                <w:sz w:val="21"/>
              </w:rPr>
            </w:pPr>
          </w:p>
        </w:tc>
        <w:tc>
          <w:tcPr>
            <w:tcW w:w="925"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1166" w:type="dxa"/>
            <w:vAlign w:val="top"/>
          </w:tcPr>
          <w:p>
            <w:pPr>
              <w:rPr>
                <w:rFonts w:ascii="Arial"/>
                <w:sz w:val="21"/>
              </w:rPr>
            </w:pPr>
          </w:p>
        </w:tc>
        <w:tc>
          <w:tcPr>
            <w:tcW w:w="1417" w:type="dxa"/>
            <w:vAlign w:val="top"/>
          </w:tcPr>
          <w:p>
            <w:pPr>
              <w:rPr>
                <w:rFonts w:ascii="Arial"/>
                <w:sz w:val="21"/>
              </w:rPr>
            </w:pPr>
          </w:p>
        </w:tc>
        <w:tc>
          <w:tcPr>
            <w:tcW w:w="850" w:type="dxa"/>
            <w:vAlign w:val="top"/>
          </w:tcPr>
          <w:p>
            <w:pPr>
              <w:rPr>
                <w:rFonts w:ascii="Arial"/>
                <w:sz w:val="21"/>
              </w:rPr>
            </w:pPr>
          </w:p>
        </w:tc>
        <w:tc>
          <w:tcPr>
            <w:tcW w:w="1057" w:type="dxa"/>
            <w:vAlign w:val="top"/>
          </w:tcPr>
          <w:p>
            <w:pPr>
              <w:rPr>
                <w:rFonts w:ascii="Arial"/>
                <w:sz w:val="21"/>
              </w:rPr>
            </w:pPr>
          </w:p>
        </w:tc>
        <w:tc>
          <w:tcPr>
            <w:tcW w:w="880" w:type="dxa"/>
            <w:vAlign w:val="top"/>
          </w:tcPr>
          <w:p>
            <w:pPr>
              <w:rPr>
                <w:rFonts w:ascii="Arial"/>
                <w:sz w:val="21"/>
              </w:rPr>
            </w:pPr>
          </w:p>
        </w:tc>
        <w:tc>
          <w:tcPr>
            <w:tcW w:w="1019" w:type="dxa"/>
            <w:vAlign w:val="top"/>
          </w:tcPr>
          <w:p>
            <w:pPr>
              <w:rPr>
                <w:rFonts w:ascii="Arial"/>
                <w:sz w:val="21"/>
              </w:rPr>
            </w:pPr>
          </w:p>
        </w:tc>
        <w:tc>
          <w:tcPr>
            <w:tcW w:w="1479" w:type="dxa"/>
            <w:vAlign w:val="top"/>
          </w:tcPr>
          <w:p>
            <w:pPr>
              <w:rPr>
                <w:rFonts w:ascii="Arial"/>
                <w:sz w:val="21"/>
              </w:rPr>
            </w:pPr>
          </w:p>
        </w:tc>
        <w:tc>
          <w:tcPr>
            <w:tcW w:w="1020" w:type="dxa"/>
            <w:vAlign w:val="top"/>
          </w:tcPr>
          <w:p>
            <w:pPr>
              <w:rPr>
                <w:rFonts w:ascii="Arial"/>
                <w:sz w:val="21"/>
              </w:rPr>
            </w:pPr>
          </w:p>
        </w:tc>
        <w:tc>
          <w:tcPr>
            <w:tcW w:w="925"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1166" w:type="dxa"/>
            <w:vAlign w:val="top"/>
          </w:tcPr>
          <w:p>
            <w:pPr>
              <w:rPr>
                <w:rFonts w:ascii="Arial"/>
                <w:sz w:val="21"/>
              </w:rPr>
            </w:pPr>
          </w:p>
        </w:tc>
        <w:tc>
          <w:tcPr>
            <w:tcW w:w="1417" w:type="dxa"/>
            <w:vAlign w:val="top"/>
          </w:tcPr>
          <w:p>
            <w:pPr>
              <w:rPr>
                <w:rFonts w:ascii="Arial"/>
                <w:sz w:val="21"/>
              </w:rPr>
            </w:pPr>
          </w:p>
        </w:tc>
        <w:tc>
          <w:tcPr>
            <w:tcW w:w="850" w:type="dxa"/>
            <w:vAlign w:val="top"/>
          </w:tcPr>
          <w:p>
            <w:pPr>
              <w:rPr>
                <w:rFonts w:ascii="Arial"/>
                <w:sz w:val="21"/>
              </w:rPr>
            </w:pPr>
          </w:p>
        </w:tc>
        <w:tc>
          <w:tcPr>
            <w:tcW w:w="1057" w:type="dxa"/>
            <w:vAlign w:val="top"/>
          </w:tcPr>
          <w:p>
            <w:pPr>
              <w:rPr>
                <w:rFonts w:ascii="Arial"/>
                <w:sz w:val="21"/>
              </w:rPr>
            </w:pPr>
          </w:p>
        </w:tc>
        <w:tc>
          <w:tcPr>
            <w:tcW w:w="880" w:type="dxa"/>
            <w:vAlign w:val="top"/>
          </w:tcPr>
          <w:p>
            <w:pPr>
              <w:rPr>
                <w:rFonts w:ascii="Arial"/>
                <w:sz w:val="21"/>
              </w:rPr>
            </w:pPr>
          </w:p>
        </w:tc>
        <w:tc>
          <w:tcPr>
            <w:tcW w:w="1019" w:type="dxa"/>
            <w:vAlign w:val="top"/>
          </w:tcPr>
          <w:p>
            <w:pPr>
              <w:rPr>
                <w:rFonts w:ascii="Arial"/>
                <w:sz w:val="21"/>
              </w:rPr>
            </w:pPr>
          </w:p>
        </w:tc>
        <w:tc>
          <w:tcPr>
            <w:tcW w:w="1479" w:type="dxa"/>
            <w:vAlign w:val="top"/>
          </w:tcPr>
          <w:p>
            <w:pPr>
              <w:rPr>
                <w:rFonts w:ascii="Arial"/>
                <w:sz w:val="21"/>
              </w:rPr>
            </w:pPr>
          </w:p>
        </w:tc>
        <w:tc>
          <w:tcPr>
            <w:tcW w:w="1020" w:type="dxa"/>
            <w:vAlign w:val="top"/>
          </w:tcPr>
          <w:p>
            <w:pPr>
              <w:rPr>
                <w:rFonts w:ascii="Arial"/>
                <w:sz w:val="21"/>
              </w:rPr>
            </w:pPr>
          </w:p>
        </w:tc>
        <w:tc>
          <w:tcPr>
            <w:tcW w:w="925"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1166" w:type="dxa"/>
            <w:vAlign w:val="top"/>
          </w:tcPr>
          <w:p>
            <w:pPr>
              <w:rPr>
                <w:rFonts w:ascii="Arial"/>
                <w:sz w:val="21"/>
              </w:rPr>
            </w:pPr>
          </w:p>
        </w:tc>
        <w:tc>
          <w:tcPr>
            <w:tcW w:w="1417" w:type="dxa"/>
            <w:vAlign w:val="top"/>
          </w:tcPr>
          <w:p>
            <w:pPr>
              <w:rPr>
                <w:rFonts w:ascii="Arial"/>
                <w:sz w:val="21"/>
              </w:rPr>
            </w:pPr>
          </w:p>
        </w:tc>
        <w:tc>
          <w:tcPr>
            <w:tcW w:w="850" w:type="dxa"/>
            <w:vAlign w:val="top"/>
          </w:tcPr>
          <w:p>
            <w:pPr>
              <w:rPr>
                <w:rFonts w:ascii="Arial"/>
                <w:sz w:val="21"/>
              </w:rPr>
            </w:pPr>
          </w:p>
        </w:tc>
        <w:tc>
          <w:tcPr>
            <w:tcW w:w="1057" w:type="dxa"/>
            <w:vAlign w:val="top"/>
          </w:tcPr>
          <w:p>
            <w:pPr>
              <w:rPr>
                <w:rFonts w:ascii="Arial"/>
                <w:sz w:val="21"/>
              </w:rPr>
            </w:pPr>
          </w:p>
        </w:tc>
        <w:tc>
          <w:tcPr>
            <w:tcW w:w="880" w:type="dxa"/>
            <w:vAlign w:val="top"/>
          </w:tcPr>
          <w:p>
            <w:pPr>
              <w:rPr>
                <w:rFonts w:ascii="Arial"/>
                <w:sz w:val="21"/>
              </w:rPr>
            </w:pPr>
          </w:p>
        </w:tc>
        <w:tc>
          <w:tcPr>
            <w:tcW w:w="1019" w:type="dxa"/>
            <w:vAlign w:val="top"/>
          </w:tcPr>
          <w:p>
            <w:pPr>
              <w:rPr>
                <w:rFonts w:ascii="Arial"/>
                <w:sz w:val="21"/>
              </w:rPr>
            </w:pPr>
          </w:p>
        </w:tc>
        <w:tc>
          <w:tcPr>
            <w:tcW w:w="1479" w:type="dxa"/>
            <w:vAlign w:val="top"/>
          </w:tcPr>
          <w:p>
            <w:pPr>
              <w:rPr>
                <w:rFonts w:ascii="Arial"/>
                <w:sz w:val="21"/>
              </w:rPr>
            </w:pPr>
          </w:p>
        </w:tc>
        <w:tc>
          <w:tcPr>
            <w:tcW w:w="1020" w:type="dxa"/>
            <w:vAlign w:val="top"/>
          </w:tcPr>
          <w:p>
            <w:pPr>
              <w:rPr>
                <w:rFonts w:ascii="Arial"/>
                <w:sz w:val="21"/>
              </w:rPr>
            </w:pPr>
          </w:p>
        </w:tc>
        <w:tc>
          <w:tcPr>
            <w:tcW w:w="925"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1166" w:type="dxa"/>
            <w:vAlign w:val="top"/>
          </w:tcPr>
          <w:p>
            <w:pPr>
              <w:rPr>
                <w:rFonts w:ascii="Arial"/>
                <w:sz w:val="21"/>
              </w:rPr>
            </w:pPr>
          </w:p>
        </w:tc>
        <w:tc>
          <w:tcPr>
            <w:tcW w:w="1417" w:type="dxa"/>
            <w:vAlign w:val="top"/>
          </w:tcPr>
          <w:p>
            <w:pPr>
              <w:rPr>
                <w:rFonts w:ascii="Arial"/>
                <w:sz w:val="21"/>
              </w:rPr>
            </w:pPr>
          </w:p>
        </w:tc>
        <w:tc>
          <w:tcPr>
            <w:tcW w:w="850" w:type="dxa"/>
            <w:vAlign w:val="top"/>
          </w:tcPr>
          <w:p>
            <w:pPr>
              <w:rPr>
                <w:rFonts w:ascii="Arial"/>
                <w:sz w:val="21"/>
              </w:rPr>
            </w:pPr>
          </w:p>
        </w:tc>
        <w:tc>
          <w:tcPr>
            <w:tcW w:w="1057" w:type="dxa"/>
            <w:vAlign w:val="top"/>
          </w:tcPr>
          <w:p>
            <w:pPr>
              <w:rPr>
                <w:rFonts w:ascii="Arial"/>
                <w:sz w:val="21"/>
              </w:rPr>
            </w:pPr>
          </w:p>
        </w:tc>
        <w:tc>
          <w:tcPr>
            <w:tcW w:w="880" w:type="dxa"/>
            <w:vAlign w:val="top"/>
          </w:tcPr>
          <w:p>
            <w:pPr>
              <w:rPr>
                <w:rFonts w:ascii="Arial"/>
                <w:sz w:val="21"/>
              </w:rPr>
            </w:pPr>
          </w:p>
        </w:tc>
        <w:tc>
          <w:tcPr>
            <w:tcW w:w="1019" w:type="dxa"/>
            <w:vAlign w:val="top"/>
          </w:tcPr>
          <w:p>
            <w:pPr>
              <w:rPr>
                <w:rFonts w:ascii="Arial"/>
                <w:sz w:val="21"/>
              </w:rPr>
            </w:pPr>
          </w:p>
        </w:tc>
        <w:tc>
          <w:tcPr>
            <w:tcW w:w="1479" w:type="dxa"/>
            <w:vAlign w:val="top"/>
          </w:tcPr>
          <w:p>
            <w:pPr>
              <w:rPr>
                <w:rFonts w:ascii="Arial"/>
                <w:sz w:val="21"/>
              </w:rPr>
            </w:pPr>
          </w:p>
        </w:tc>
        <w:tc>
          <w:tcPr>
            <w:tcW w:w="1020" w:type="dxa"/>
            <w:vAlign w:val="top"/>
          </w:tcPr>
          <w:p>
            <w:pPr>
              <w:rPr>
                <w:rFonts w:ascii="Arial"/>
                <w:sz w:val="21"/>
              </w:rPr>
            </w:pPr>
          </w:p>
        </w:tc>
        <w:tc>
          <w:tcPr>
            <w:tcW w:w="925"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6" w:hRule="atLeast"/>
        </w:trPr>
        <w:tc>
          <w:tcPr>
            <w:tcW w:w="1166" w:type="dxa"/>
            <w:vAlign w:val="top"/>
          </w:tcPr>
          <w:p>
            <w:pPr>
              <w:rPr>
                <w:rFonts w:ascii="Arial"/>
                <w:sz w:val="21"/>
              </w:rPr>
            </w:pPr>
          </w:p>
        </w:tc>
        <w:tc>
          <w:tcPr>
            <w:tcW w:w="1417" w:type="dxa"/>
            <w:vAlign w:val="top"/>
          </w:tcPr>
          <w:p>
            <w:pPr>
              <w:rPr>
                <w:rFonts w:ascii="Arial"/>
                <w:sz w:val="21"/>
              </w:rPr>
            </w:pPr>
          </w:p>
        </w:tc>
        <w:tc>
          <w:tcPr>
            <w:tcW w:w="850" w:type="dxa"/>
            <w:vAlign w:val="top"/>
          </w:tcPr>
          <w:p>
            <w:pPr>
              <w:rPr>
                <w:rFonts w:ascii="Arial"/>
                <w:sz w:val="21"/>
              </w:rPr>
            </w:pPr>
          </w:p>
        </w:tc>
        <w:tc>
          <w:tcPr>
            <w:tcW w:w="1057" w:type="dxa"/>
            <w:vAlign w:val="top"/>
          </w:tcPr>
          <w:p>
            <w:pPr>
              <w:rPr>
                <w:rFonts w:ascii="Arial"/>
                <w:sz w:val="21"/>
              </w:rPr>
            </w:pPr>
          </w:p>
        </w:tc>
        <w:tc>
          <w:tcPr>
            <w:tcW w:w="880" w:type="dxa"/>
            <w:vAlign w:val="top"/>
          </w:tcPr>
          <w:p>
            <w:pPr>
              <w:rPr>
                <w:rFonts w:ascii="Arial"/>
                <w:sz w:val="21"/>
              </w:rPr>
            </w:pPr>
          </w:p>
        </w:tc>
        <w:tc>
          <w:tcPr>
            <w:tcW w:w="1019" w:type="dxa"/>
            <w:vAlign w:val="top"/>
          </w:tcPr>
          <w:p>
            <w:pPr>
              <w:rPr>
                <w:rFonts w:ascii="Arial"/>
                <w:sz w:val="21"/>
              </w:rPr>
            </w:pPr>
          </w:p>
        </w:tc>
        <w:tc>
          <w:tcPr>
            <w:tcW w:w="1479" w:type="dxa"/>
            <w:vAlign w:val="top"/>
          </w:tcPr>
          <w:p>
            <w:pPr>
              <w:rPr>
                <w:rFonts w:ascii="Arial"/>
                <w:sz w:val="21"/>
              </w:rPr>
            </w:pPr>
          </w:p>
        </w:tc>
        <w:tc>
          <w:tcPr>
            <w:tcW w:w="1020" w:type="dxa"/>
            <w:vAlign w:val="top"/>
          </w:tcPr>
          <w:p>
            <w:pPr>
              <w:rPr>
                <w:rFonts w:ascii="Arial"/>
                <w:sz w:val="21"/>
              </w:rPr>
            </w:pPr>
          </w:p>
        </w:tc>
        <w:tc>
          <w:tcPr>
            <w:tcW w:w="925" w:type="dxa"/>
            <w:vAlign w:val="top"/>
          </w:tcPr>
          <w:p>
            <w:pPr>
              <w:rPr>
                <w:rFonts w:ascii="Arial"/>
                <w:sz w:val="21"/>
              </w:rPr>
            </w:pPr>
          </w:p>
        </w:tc>
      </w:tr>
    </w:tbl>
    <w:p>
      <w:pPr>
        <w:spacing w:line="131" w:lineRule="exact"/>
      </w:pPr>
    </w:p>
    <w:p>
      <w:pPr>
        <w:spacing w:before="75" w:line="227" w:lineRule="auto"/>
        <w:ind w:left="457"/>
        <w:rPr>
          <w:rFonts w:ascii="宋体" w:hAnsi="宋体" w:eastAsia="宋体" w:cs="宋体"/>
          <w:spacing w:val="-15"/>
          <w:sz w:val="23"/>
          <w:szCs w:val="23"/>
        </w:rPr>
      </w:pPr>
    </w:p>
    <w:p>
      <w:pPr>
        <w:spacing w:before="75" w:line="227" w:lineRule="auto"/>
        <w:ind w:left="457"/>
        <w:rPr>
          <w:rFonts w:ascii="宋体" w:hAnsi="宋体" w:eastAsia="宋体" w:cs="宋体"/>
          <w:spacing w:val="-15"/>
          <w:sz w:val="23"/>
          <w:szCs w:val="23"/>
        </w:rPr>
      </w:pPr>
    </w:p>
    <w:p>
      <w:pPr>
        <w:spacing w:before="75" w:line="227" w:lineRule="auto"/>
        <w:rPr>
          <w:rFonts w:ascii="宋体" w:hAnsi="宋体" w:eastAsia="宋体" w:cs="宋体"/>
          <w:spacing w:val="-15"/>
          <w:sz w:val="23"/>
          <w:szCs w:val="23"/>
        </w:rPr>
      </w:pPr>
    </w:p>
    <w:p>
      <w:pPr>
        <w:spacing w:before="75" w:line="227" w:lineRule="auto"/>
        <w:ind w:left="457"/>
        <w:rPr>
          <w:rFonts w:ascii="宋体" w:hAnsi="宋体" w:eastAsia="宋体" w:cs="宋体"/>
          <w:sz w:val="32"/>
          <w:szCs w:val="32"/>
        </w:rPr>
      </w:pPr>
      <w:r>
        <w:rPr>
          <w:rFonts w:ascii="宋体" w:hAnsi="宋体" w:eastAsia="宋体" w:cs="宋体"/>
          <w:spacing w:val="-15"/>
          <w:sz w:val="32"/>
          <w:szCs w:val="32"/>
        </w:rPr>
        <w:t>附</w:t>
      </w:r>
      <w:r>
        <w:rPr>
          <w:rFonts w:ascii="宋体" w:hAnsi="宋体" w:eastAsia="宋体" w:cs="宋体"/>
          <w:spacing w:val="-11"/>
          <w:sz w:val="32"/>
          <w:szCs w:val="32"/>
        </w:rPr>
        <w:t>件6：</w:t>
      </w:r>
    </w:p>
    <w:p>
      <w:pPr>
        <w:spacing w:before="277" w:line="227" w:lineRule="auto"/>
        <w:ind w:firstLine="2736" w:firstLineChars="800"/>
        <w:rPr>
          <w:rFonts w:ascii="宋体" w:hAnsi="宋体" w:eastAsia="宋体" w:cs="宋体"/>
          <w:sz w:val="32"/>
          <w:szCs w:val="32"/>
        </w:rPr>
      </w:pPr>
      <w:r>
        <w:rPr>
          <w:rFonts w:ascii="宋体" w:hAnsi="宋体" w:eastAsia="宋体" w:cs="宋体"/>
          <w:spacing w:val="11"/>
          <w:sz w:val="32"/>
          <w:szCs w:val="32"/>
        </w:rPr>
        <w:t>承</w:t>
      </w:r>
      <w:r>
        <w:rPr>
          <w:rFonts w:ascii="宋体" w:hAnsi="宋体" w:eastAsia="宋体" w:cs="宋体"/>
          <w:spacing w:val="9"/>
          <w:sz w:val="32"/>
          <w:szCs w:val="32"/>
        </w:rPr>
        <w:t>包人主要施工管理人员表</w:t>
      </w:r>
    </w:p>
    <w:p>
      <w:pPr>
        <w:spacing w:line="129" w:lineRule="exact"/>
      </w:pPr>
    </w:p>
    <w:tbl>
      <w:tblPr>
        <w:tblStyle w:val="94"/>
        <w:tblW w:w="981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875"/>
        <w:gridCol w:w="1417"/>
        <w:gridCol w:w="1133"/>
        <w:gridCol w:w="1133"/>
        <w:gridCol w:w="4255"/>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9" w:hRule="atLeast"/>
        </w:trPr>
        <w:tc>
          <w:tcPr>
            <w:tcW w:w="1875" w:type="dxa"/>
            <w:vAlign w:val="top"/>
          </w:tcPr>
          <w:p>
            <w:pPr>
              <w:spacing w:before="150" w:line="230" w:lineRule="auto"/>
              <w:ind w:left="103"/>
              <w:rPr>
                <w:rFonts w:ascii="宋体" w:hAnsi="宋体" w:eastAsia="宋体" w:cs="宋体"/>
                <w:sz w:val="23"/>
                <w:szCs w:val="23"/>
              </w:rPr>
            </w:pPr>
            <w:r>
              <w:rPr>
                <w:rFonts w:ascii="宋体" w:hAnsi="宋体" w:eastAsia="宋体" w:cs="宋体"/>
                <w:spacing w:val="7"/>
                <w:sz w:val="23"/>
                <w:szCs w:val="23"/>
              </w:rPr>
              <w:t>名</w:t>
            </w:r>
            <w:r>
              <w:rPr>
                <w:rFonts w:ascii="宋体" w:hAnsi="宋体" w:eastAsia="宋体" w:cs="宋体"/>
                <w:spacing w:val="4"/>
                <w:sz w:val="23"/>
                <w:szCs w:val="23"/>
              </w:rPr>
              <w:t>称</w:t>
            </w:r>
          </w:p>
        </w:tc>
        <w:tc>
          <w:tcPr>
            <w:tcW w:w="1417" w:type="dxa"/>
            <w:vAlign w:val="top"/>
          </w:tcPr>
          <w:p>
            <w:pPr>
              <w:spacing w:before="151" w:line="227" w:lineRule="auto"/>
              <w:ind w:left="97"/>
              <w:rPr>
                <w:rFonts w:ascii="宋体" w:hAnsi="宋体" w:eastAsia="宋体" w:cs="宋体"/>
                <w:sz w:val="23"/>
                <w:szCs w:val="23"/>
              </w:rPr>
            </w:pPr>
            <w:r>
              <w:rPr>
                <w:rFonts w:ascii="宋体" w:hAnsi="宋体" w:eastAsia="宋体" w:cs="宋体"/>
                <w:spacing w:val="5"/>
                <w:sz w:val="23"/>
                <w:szCs w:val="23"/>
              </w:rPr>
              <w:t>姓名</w:t>
            </w:r>
          </w:p>
        </w:tc>
        <w:tc>
          <w:tcPr>
            <w:tcW w:w="1133" w:type="dxa"/>
            <w:vAlign w:val="top"/>
          </w:tcPr>
          <w:p>
            <w:pPr>
              <w:spacing w:before="151" w:line="227" w:lineRule="auto"/>
              <w:ind w:left="97"/>
              <w:rPr>
                <w:rFonts w:ascii="宋体" w:hAnsi="宋体" w:eastAsia="宋体" w:cs="宋体"/>
                <w:sz w:val="23"/>
                <w:szCs w:val="23"/>
              </w:rPr>
            </w:pPr>
            <w:r>
              <w:rPr>
                <w:rFonts w:ascii="宋体" w:hAnsi="宋体" w:eastAsia="宋体" w:cs="宋体"/>
                <w:spacing w:val="5"/>
                <w:sz w:val="23"/>
                <w:szCs w:val="23"/>
              </w:rPr>
              <w:t>职</w:t>
            </w:r>
            <w:r>
              <w:rPr>
                <w:rFonts w:ascii="宋体" w:hAnsi="宋体" w:eastAsia="宋体" w:cs="宋体"/>
                <w:spacing w:val="4"/>
                <w:sz w:val="23"/>
                <w:szCs w:val="23"/>
              </w:rPr>
              <w:t>务</w:t>
            </w:r>
          </w:p>
        </w:tc>
        <w:tc>
          <w:tcPr>
            <w:tcW w:w="1133" w:type="dxa"/>
            <w:vAlign w:val="top"/>
          </w:tcPr>
          <w:p>
            <w:pPr>
              <w:spacing w:before="150" w:line="230" w:lineRule="auto"/>
              <w:ind w:left="99"/>
              <w:rPr>
                <w:rFonts w:ascii="宋体" w:hAnsi="宋体" w:eastAsia="宋体" w:cs="宋体"/>
                <w:sz w:val="23"/>
                <w:szCs w:val="23"/>
              </w:rPr>
            </w:pPr>
            <w:r>
              <w:rPr>
                <w:rFonts w:ascii="宋体" w:hAnsi="宋体" w:eastAsia="宋体" w:cs="宋体"/>
                <w:spacing w:val="5"/>
                <w:sz w:val="23"/>
                <w:szCs w:val="23"/>
              </w:rPr>
              <w:t>职</w:t>
            </w:r>
            <w:r>
              <w:rPr>
                <w:rFonts w:ascii="宋体" w:hAnsi="宋体" w:eastAsia="宋体" w:cs="宋体"/>
                <w:spacing w:val="4"/>
                <w:sz w:val="23"/>
                <w:szCs w:val="23"/>
              </w:rPr>
              <w:t>称</w:t>
            </w:r>
          </w:p>
        </w:tc>
        <w:tc>
          <w:tcPr>
            <w:tcW w:w="4255" w:type="dxa"/>
            <w:vAlign w:val="top"/>
          </w:tcPr>
          <w:p>
            <w:pPr>
              <w:spacing w:before="150" w:line="226" w:lineRule="auto"/>
              <w:ind w:left="100"/>
              <w:rPr>
                <w:rFonts w:ascii="宋体" w:hAnsi="宋体" w:eastAsia="宋体" w:cs="宋体"/>
                <w:sz w:val="23"/>
                <w:szCs w:val="23"/>
              </w:rPr>
            </w:pPr>
            <w:r>
              <w:rPr>
                <w:rFonts w:ascii="宋体" w:hAnsi="宋体" w:eastAsia="宋体" w:cs="宋体"/>
                <w:spacing w:val="11"/>
                <w:sz w:val="23"/>
                <w:szCs w:val="23"/>
              </w:rPr>
              <w:t>主</w:t>
            </w:r>
            <w:r>
              <w:rPr>
                <w:rFonts w:ascii="宋体" w:hAnsi="宋体" w:eastAsia="宋体" w:cs="宋体"/>
                <w:spacing w:val="9"/>
                <w:sz w:val="23"/>
                <w:szCs w:val="23"/>
              </w:rPr>
              <w:t>要资历、经验及承担过的项目</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9813" w:type="dxa"/>
            <w:gridSpan w:val="5"/>
            <w:vAlign w:val="top"/>
          </w:tcPr>
          <w:p>
            <w:pPr>
              <w:spacing w:before="147" w:line="239" w:lineRule="auto"/>
              <w:ind w:left="104"/>
              <w:rPr>
                <w:rFonts w:ascii="宋体" w:hAnsi="宋体" w:eastAsia="宋体" w:cs="宋体"/>
                <w:sz w:val="23"/>
                <w:szCs w:val="23"/>
              </w:rPr>
            </w:pPr>
            <w:r>
              <w:rPr>
                <w:rFonts w:ascii="宋体" w:hAnsi="宋体" w:eastAsia="宋体" w:cs="宋体"/>
                <w:spacing w:val="11"/>
                <w:sz w:val="23"/>
                <w:szCs w:val="23"/>
              </w:rPr>
              <w:t>一</w:t>
            </w:r>
            <w:r>
              <w:rPr>
                <w:rFonts w:ascii="宋体" w:hAnsi="宋体" w:eastAsia="宋体" w:cs="宋体"/>
                <w:spacing w:val="7"/>
                <w:sz w:val="23"/>
                <w:szCs w:val="23"/>
              </w:rPr>
              <w:t>、总部人员</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875" w:type="dxa"/>
            <w:vAlign w:val="top"/>
          </w:tcPr>
          <w:p>
            <w:pPr>
              <w:spacing w:before="147" w:line="227" w:lineRule="auto"/>
              <w:ind w:left="104"/>
              <w:rPr>
                <w:rFonts w:ascii="宋体" w:hAnsi="宋体" w:eastAsia="宋体" w:cs="宋体"/>
                <w:sz w:val="23"/>
                <w:szCs w:val="23"/>
              </w:rPr>
            </w:pPr>
            <w:r>
              <w:rPr>
                <w:rFonts w:ascii="宋体" w:hAnsi="宋体" w:eastAsia="宋体" w:cs="宋体"/>
                <w:spacing w:val="8"/>
                <w:sz w:val="23"/>
                <w:szCs w:val="23"/>
              </w:rPr>
              <w:t>项</w:t>
            </w:r>
            <w:r>
              <w:rPr>
                <w:rFonts w:ascii="宋体" w:hAnsi="宋体" w:eastAsia="宋体" w:cs="宋体"/>
                <w:spacing w:val="6"/>
                <w:sz w:val="23"/>
                <w:szCs w:val="23"/>
              </w:rPr>
              <w:t>目主管</w:t>
            </w:r>
          </w:p>
        </w:tc>
        <w:tc>
          <w:tcPr>
            <w:tcW w:w="1417" w:type="dxa"/>
            <w:vAlign w:val="top"/>
          </w:tcPr>
          <w:p>
            <w:pPr>
              <w:rPr>
                <w:rFonts w:ascii="Arial"/>
                <w:sz w:val="21"/>
              </w:rPr>
            </w:pPr>
          </w:p>
        </w:tc>
        <w:tc>
          <w:tcPr>
            <w:tcW w:w="1133" w:type="dxa"/>
            <w:vAlign w:val="top"/>
          </w:tcPr>
          <w:p>
            <w:pPr>
              <w:rPr>
                <w:rFonts w:ascii="Arial"/>
                <w:sz w:val="21"/>
              </w:rPr>
            </w:pPr>
          </w:p>
        </w:tc>
        <w:tc>
          <w:tcPr>
            <w:tcW w:w="1133" w:type="dxa"/>
            <w:vAlign w:val="top"/>
          </w:tcPr>
          <w:p>
            <w:pPr>
              <w:rPr>
                <w:rFonts w:ascii="Arial"/>
                <w:sz w:val="21"/>
              </w:rPr>
            </w:pPr>
          </w:p>
        </w:tc>
        <w:tc>
          <w:tcPr>
            <w:tcW w:w="4255"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875" w:type="dxa"/>
            <w:vAlign w:val="top"/>
          </w:tcPr>
          <w:p>
            <w:pPr>
              <w:rPr>
                <w:rFonts w:ascii="Arial"/>
                <w:sz w:val="21"/>
              </w:rPr>
            </w:pPr>
          </w:p>
        </w:tc>
        <w:tc>
          <w:tcPr>
            <w:tcW w:w="1417" w:type="dxa"/>
            <w:vAlign w:val="top"/>
          </w:tcPr>
          <w:p>
            <w:pPr>
              <w:rPr>
                <w:rFonts w:ascii="Arial"/>
                <w:sz w:val="21"/>
              </w:rPr>
            </w:pPr>
          </w:p>
        </w:tc>
        <w:tc>
          <w:tcPr>
            <w:tcW w:w="1133" w:type="dxa"/>
            <w:vAlign w:val="top"/>
          </w:tcPr>
          <w:p>
            <w:pPr>
              <w:rPr>
                <w:rFonts w:ascii="Arial"/>
                <w:sz w:val="21"/>
              </w:rPr>
            </w:pPr>
          </w:p>
        </w:tc>
        <w:tc>
          <w:tcPr>
            <w:tcW w:w="1133" w:type="dxa"/>
            <w:vAlign w:val="top"/>
          </w:tcPr>
          <w:p>
            <w:pPr>
              <w:rPr>
                <w:rFonts w:ascii="Arial"/>
                <w:sz w:val="21"/>
              </w:rPr>
            </w:pPr>
          </w:p>
        </w:tc>
        <w:tc>
          <w:tcPr>
            <w:tcW w:w="4255"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875" w:type="dxa"/>
            <w:vAlign w:val="top"/>
          </w:tcPr>
          <w:p>
            <w:pPr>
              <w:spacing w:before="146" w:line="225" w:lineRule="auto"/>
              <w:ind w:left="101"/>
              <w:rPr>
                <w:rFonts w:ascii="宋体" w:hAnsi="宋体" w:eastAsia="宋体" w:cs="宋体"/>
                <w:sz w:val="23"/>
                <w:szCs w:val="23"/>
              </w:rPr>
            </w:pPr>
            <w:r>
              <w:rPr>
                <w:rFonts w:ascii="宋体" w:hAnsi="宋体" w:eastAsia="宋体" w:cs="宋体"/>
                <w:spacing w:val="8"/>
                <w:sz w:val="23"/>
                <w:szCs w:val="23"/>
              </w:rPr>
              <w:t>其</w:t>
            </w:r>
            <w:r>
              <w:rPr>
                <w:rFonts w:ascii="宋体" w:hAnsi="宋体" w:eastAsia="宋体" w:cs="宋体"/>
                <w:spacing w:val="7"/>
                <w:sz w:val="23"/>
                <w:szCs w:val="23"/>
              </w:rPr>
              <w:t>他人员</w:t>
            </w:r>
          </w:p>
        </w:tc>
        <w:tc>
          <w:tcPr>
            <w:tcW w:w="1417" w:type="dxa"/>
            <w:vAlign w:val="top"/>
          </w:tcPr>
          <w:p>
            <w:pPr>
              <w:rPr>
                <w:rFonts w:ascii="Arial"/>
                <w:sz w:val="21"/>
              </w:rPr>
            </w:pPr>
          </w:p>
        </w:tc>
        <w:tc>
          <w:tcPr>
            <w:tcW w:w="1133" w:type="dxa"/>
            <w:vAlign w:val="top"/>
          </w:tcPr>
          <w:p>
            <w:pPr>
              <w:rPr>
                <w:rFonts w:ascii="Arial"/>
                <w:sz w:val="21"/>
              </w:rPr>
            </w:pPr>
          </w:p>
        </w:tc>
        <w:tc>
          <w:tcPr>
            <w:tcW w:w="1133" w:type="dxa"/>
            <w:vAlign w:val="top"/>
          </w:tcPr>
          <w:p>
            <w:pPr>
              <w:rPr>
                <w:rFonts w:ascii="Arial"/>
                <w:sz w:val="21"/>
              </w:rPr>
            </w:pPr>
          </w:p>
        </w:tc>
        <w:tc>
          <w:tcPr>
            <w:tcW w:w="4255"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875" w:type="dxa"/>
            <w:vAlign w:val="top"/>
          </w:tcPr>
          <w:p>
            <w:pPr>
              <w:rPr>
                <w:rFonts w:ascii="Arial"/>
                <w:sz w:val="21"/>
              </w:rPr>
            </w:pPr>
          </w:p>
        </w:tc>
        <w:tc>
          <w:tcPr>
            <w:tcW w:w="1417" w:type="dxa"/>
            <w:vAlign w:val="top"/>
          </w:tcPr>
          <w:p>
            <w:pPr>
              <w:rPr>
                <w:rFonts w:ascii="Arial"/>
                <w:sz w:val="21"/>
              </w:rPr>
            </w:pPr>
          </w:p>
        </w:tc>
        <w:tc>
          <w:tcPr>
            <w:tcW w:w="1133" w:type="dxa"/>
            <w:vAlign w:val="top"/>
          </w:tcPr>
          <w:p>
            <w:pPr>
              <w:rPr>
                <w:rFonts w:ascii="Arial"/>
                <w:sz w:val="21"/>
              </w:rPr>
            </w:pPr>
          </w:p>
        </w:tc>
        <w:tc>
          <w:tcPr>
            <w:tcW w:w="1133" w:type="dxa"/>
            <w:vAlign w:val="top"/>
          </w:tcPr>
          <w:p>
            <w:pPr>
              <w:rPr>
                <w:rFonts w:ascii="Arial"/>
                <w:sz w:val="21"/>
              </w:rPr>
            </w:pPr>
          </w:p>
        </w:tc>
        <w:tc>
          <w:tcPr>
            <w:tcW w:w="4255"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9813" w:type="dxa"/>
            <w:gridSpan w:val="5"/>
            <w:vAlign w:val="top"/>
          </w:tcPr>
          <w:p>
            <w:pPr>
              <w:spacing w:before="147" w:line="239" w:lineRule="auto"/>
              <w:ind w:left="104"/>
              <w:rPr>
                <w:rFonts w:ascii="宋体" w:hAnsi="宋体" w:eastAsia="宋体" w:cs="宋体"/>
                <w:sz w:val="23"/>
                <w:szCs w:val="23"/>
              </w:rPr>
            </w:pPr>
            <w:r>
              <w:rPr>
                <w:rFonts w:ascii="宋体" w:hAnsi="宋体" w:eastAsia="宋体" w:cs="宋体"/>
                <w:spacing w:val="11"/>
                <w:sz w:val="23"/>
                <w:szCs w:val="23"/>
              </w:rPr>
              <w:t>二</w:t>
            </w:r>
            <w:r>
              <w:rPr>
                <w:rFonts w:ascii="宋体" w:hAnsi="宋体" w:eastAsia="宋体" w:cs="宋体"/>
                <w:spacing w:val="7"/>
                <w:sz w:val="23"/>
                <w:szCs w:val="23"/>
              </w:rPr>
              <w:t>、现场人员</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875" w:type="dxa"/>
            <w:vAlign w:val="top"/>
          </w:tcPr>
          <w:p>
            <w:pPr>
              <w:spacing w:before="148" w:line="227" w:lineRule="auto"/>
              <w:ind w:left="104"/>
              <w:rPr>
                <w:rFonts w:ascii="宋体" w:hAnsi="宋体" w:eastAsia="宋体" w:cs="宋体"/>
                <w:sz w:val="23"/>
                <w:szCs w:val="23"/>
              </w:rPr>
            </w:pPr>
            <w:r>
              <w:rPr>
                <w:rFonts w:ascii="宋体" w:hAnsi="宋体" w:eastAsia="宋体" w:cs="宋体"/>
                <w:spacing w:val="8"/>
                <w:sz w:val="23"/>
                <w:szCs w:val="23"/>
              </w:rPr>
              <w:t>项</w:t>
            </w:r>
            <w:r>
              <w:rPr>
                <w:rFonts w:ascii="宋体" w:hAnsi="宋体" w:eastAsia="宋体" w:cs="宋体"/>
                <w:spacing w:val="6"/>
                <w:sz w:val="23"/>
                <w:szCs w:val="23"/>
              </w:rPr>
              <w:t>目经理</w:t>
            </w:r>
          </w:p>
        </w:tc>
        <w:tc>
          <w:tcPr>
            <w:tcW w:w="1417" w:type="dxa"/>
            <w:vAlign w:val="top"/>
          </w:tcPr>
          <w:p>
            <w:pPr>
              <w:rPr>
                <w:rFonts w:ascii="Arial"/>
                <w:sz w:val="21"/>
              </w:rPr>
            </w:pPr>
          </w:p>
        </w:tc>
        <w:tc>
          <w:tcPr>
            <w:tcW w:w="1133" w:type="dxa"/>
            <w:vAlign w:val="top"/>
          </w:tcPr>
          <w:p>
            <w:pPr>
              <w:rPr>
                <w:rFonts w:ascii="Arial"/>
                <w:sz w:val="21"/>
              </w:rPr>
            </w:pPr>
          </w:p>
        </w:tc>
        <w:tc>
          <w:tcPr>
            <w:tcW w:w="1133" w:type="dxa"/>
            <w:vAlign w:val="top"/>
          </w:tcPr>
          <w:p>
            <w:pPr>
              <w:rPr>
                <w:rFonts w:ascii="Arial"/>
                <w:sz w:val="21"/>
              </w:rPr>
            </w:pPr>
          </w:p>
        </w:tc>
        <w:tc>
          <w:tcPr>
            <w:tcW w:w="4255"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875" w:type="dxa"/>
            <w:vAlign w:val="top"/>
          </w:tcPr>
          <w:p>
            <w:pPr>
              <w:spacing w:before="147" w:line="227" w:lineRule="auto"/>
              <w:ind w:left="104"/>
              <w:rPr>
                <w:rFonts w:ascii="宋体" w:hAnsi="宋体" w:eastAsia="宋体" w:cs="宋体"/>
                <w:sz w:val="23"/>
                <w:szCs w:val="23"/>
              </w:rPr>
            </w:pPr>
            <w:r>
              <w:rPr>
                <w:rFonts w:ascii="宋体" w:hAnsi="宋体" w:eastAsia="宋体" w:cs="宋体"/>
                <w:spacing w:val="8"/>
                <w:sz w:val="23"/>
                <w:szCs w:val="23"/>
              </w:rPr>
              <w:t>项</w:t>
            </w:r>
            <w:r>
              <w:rPr>
                <w:rFonts w:ascii="宋体" w:hAnsi="宋体" w:eastAsia="宋体" w:cs="宋体"/>
                <w:spacing w:val="7"/>
                <w:sz w:val="23"/>
                <w:szCs w:val="23"/>
              </w:rPr>
              <w:t>目副经理</w:t>
            </w:r>
          </w:p>
        </w:tc>
        <w:tc>
          <w:tcPr>
            <w:tcW w:w="1417" w:type="dxa"/>
            <w:vAlign w:val="top"/>
          </w:tcPr>
          <w:p>
            <w:pPr>
              <w:rPr>
                <w:rFonts w:ascii="Arial"/>
                <w:sz w:val="21"/>
              </w:rPr>
            </w:pPr>
          </w:p>
        </w:tc>
        <w:tc>
          <w:tcPr>
            <w:tcW w:w="1133" w:type="dxa"/>
            <w:vAlign w:val="top"/>
          </w:tcPr>
          <w:p>
            <w:pPr>
              <w:rPr>
                <w:rFonts w:ascii="Arial"/>
                <w:sz w:val="21"/>
              </w:rPr>
            </w:pPr>
          </w:p>
        </w:tc>
        <w:tc>
          <w:tcPr>
            <w:tcW w:w="1133" w:type="dxa"/>
            <w:vAlign w:val="top"/>
          </w:tcPr>
          <w:p>
            <w:pPr>
              <w:rPr>
                <w:rFonts w:ascii="Arial"/>
                <w:sz w:val="21"/>
              </w:rPr>
            </w:pPr>
          </w:p>
        </w:tc>
        <w:tc>
          <w:tcPr>
            <w:tcW w:w="4255"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875" w:type="dxa"/>
            <w:vAlign w:val="top"/>
          </w:tcPr>
          <w:p>
            <w:pPr>
              <w:spacing w:before="148" w:line="224" w:lineRule="auto"/>
              <w:ind w:left="101"/>
              <w:rPr>
                <w:rFonts w:ascii="宋体" w:hAnsi="宋体" w:eastAsia="宋体" w:cs="宋体"/>
                <w:sz w:val="23"/>
                <w:szCs w:val="23"/>
              </w:rPr>
            </w:pPr>
            <w:r>
              <w:rPr>
                <w:rFonts w:ascii="宋体" w:hAnsi="宋体" w:eastAsia="宋体" w:cs="宋体"/>
                <w:spacing w:val="8"/>
                <w:sz w:val="23"/>
                <w:szCs w:val="23"/>
              </w:rPr>
              <w:t>技术负责</w:t>
            </w:r>
            <w:r>
              <w:rPr>
                <w:rFonts w:ascii="宋体" w:hAnsi="宋体" w:eastAsia="宋体" w:cs="宋体"/>
                <w:spacing w:val="7"/>
                <w:sz w:val="23"/>
                <w:szCs w:val="23"/>
              </w:rPr>
              <w:t>人</w:t>
            </w:r>
          </w:p>
        </w:tc>
        <w:tc>
          <w:tcPr>
            <w:tcW w:w="1417" w:type="dxa"/>
            <w:vAlign w:val="top"/>
          </w:tcPr>
          <w:p>
            <w:pPr>
              <w:rPr>
                <w:rFonts w:ascii="Arial"/>
                <w:sz w:val="21"/>
              </w:rPr>
            </w:pPr>
          </w:p>
        </w:tc>
        <w:tc>
          <w:tcPr>
            <w:tcW w:w="1133" w:type="dxa"/>
            <w:vAlign w:val="top"/>
          </w:tcPr>
          <w:p>
            <w:pPr>
              <w:rPr>
                <w:rFonts w:ascii="Arial"/>
                <w:sz w:val="21"/>
              </w:rPr>
            </w:pPr>
          </w:p>
        </w:tc>
        <w:tc>
          <w:tcPr>
            <w:tcW w:w="1133" w:type="dxa"/>
            <w:vAlign w:val="top"/>
          </w:tcPr>
          <w:p>
            <w:pPr>
              <w:rPr>
                <w:rFonts w:ascii="Arial"/>
                <w:sz w:val="21"/>
              </w:rPr>
            </w:pPr>
          </w:p>
        </w:tc>
        <w:tc>
          <w:tcPr>
            <w:tcW w:w="4255"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875" w:type="dxa"/>
            <w:vAlign w:val="top"/>
          </w:tcPr>
          <w:p>
            <w:pPr>
              <w:spacing w:before="146" w:line="226" w:lineRule="auto"/>
              <w:ind w:left="99"/>
              <w:rPr>
                <w:rFonts w:ascii="宋体" w:hAnsi="宋体" w:eastAsia="宋体" w:cs="宋体"/>
                <w:sz w:val="23"/>
                <w:szCs w:val="23"/>
              </w:rPr>
            </w:pPr>
            <w:r>
              <w:rPr>
                <w:rFonts w:ascii="宋体" w:hAnsi="宋体" w:eastAsia="宋体" w:cs="宋体"/>
                <w:spacing w:val="8"/>
                <w:sz w:val="23"/>
                <w:szCs w:val="23"/>
              </w:rPr>
              <w:t>造价管</w:t>
            </w:r>
            <w:r>
              <w:rPr>
                <w:rFonts w:ascii="宋体" w:hAnsi="宋体" w:eastAsia="宋体" w:cs="宋体"/>
                <w:spacing w:val="7"/>
                <w:sz w:val="23"/>
                <w:szCs w:val="23"/>
              </w:rPr>
              <w:t>理</w:t>
            </w:r>
          </w:p>
        </w:tc>
        <w:tc>
          <w:tcPr>
            <w:tcW w:w="1417" w:type="dxa"/>
            <w:vAlign w:val="top"/>
          </w:tcPr>
          <w:p>
            <w:pPr>
              <w:rPr>
                <w:rFonts w:ascii="Arial"/>
                <w:sz w:val="21"/>
              </w:rPr>
            </w:pPr>
          </w:p>
        </w:tc>
        <w:tc>
          <w:tcPr>
            <w:tcW w:w="1133" w:type="dxa"/>
            <w:vAlign w:val="top"/>
          </w:tcPr>
          <w:p>
            <w:pPr>
              <w:rPr>
                <w:rFonts w:ascii="Arial"/>
                <w:sz w:val="21"/>
              </w:rPr>
            </w:pPr>
          </w:p>
        </w:tc>
        <w:tc>
          <w:tcPr>
            <w:tcW w:w="1133" w:type="dxa"/>
            <w:vAlign w:val="top"/>
          </w:tcPr>
          <w:p>
            <w:pPr>
              <w:rPr>
                <w:rFonts w:ascii="Arial"/>
                <w:sz w:val="21"/>
              </w:rPr>
            </w:pPr>
          </w:p>
        </w:tc>
        <w:tc>
          <w:tcPr>
            <w:tcW w:w="4255"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875" w:type="dxa"/>
            <w:vAlign w:val="top"/>
          </w:tcPr>
          <w:p>
            <w:pPr>
              <w:spacing w:before="148" w:line="227" w:lineRule="auto"/>
              <w:ind w:left="101"/>
              <w:rPr>
                <w:rFonts w:ascii="宋体" w:hAnsi="宋体" w:eastAsia="宋体" w:cs="宋体"/>
                <w:sz w:val="23"/>
                <w:szCs w:val="23"/>
              </w:rPr>
            </w:pPr>
            <w:r>
              <w:rPr>
                <w:rFonts w:ascii="宋体" w:hAnsi="宋体" w:eastAsia="宋体" w:cs="宋体"/>
                <w:spacing w:val="8"/>
                <w:sz w:val="23"/>
                <w:szCs w:val="23"/>
              </w:rPr>
              <w:t>质</w:t>
            </w:r>
            <w:r>
              <w:rPr>
                <w:rFonts w:ascii="宋体" w:hAnsi="宋体" w:eastAsia="宋体" w:cs="宋体"/>
                <w:spacing w:val="7"/>
                <w:sz w:val="23"/>
                <w:szCs w:val="23"/>
              </w:rPr>
              <w:t>量管理</w:t>
            </w:r>
          </w:p>
        </w:tc>
        <w:tc>
          <w:tcPr>
            <w:tcW w:w="1417" w:type="dxa"/>
            <w:vAlign w:val="top"/>
          </w:tcPr>
          <w:p>
            <w:pPr>
              <w:rPr>
                <w:rFonts w:ascii="Arial"/>
                <w:sz w:val="21"/>
              </w:rPr>
            </w:pPr>
          </w:p>
        </w:tc>
        <w:tc>
          <w:tcPr>
            <w:tcW w:w="1133" w:type="dxa"/>
            <w:vAlign w:val="top"/>
          </w:tcPr>
          <w:p>
            <w:pPr>
              <w:rPr>
                <w:rFonts w:ascii="Arial"/>
                <w:sz w:val="21"/>
              </w:rPr>
            </w:pPr>
          </w:p>
        </w:tc>
        <w:tc>
          <w:tcPr>
            <w:tcW w:w="1133" w:type="dxa"/>
            <w:vAlign w:val="top"/>
          </w:tcPr>
          <w:p>
            <w:pPr>
              <w:rPr>
                <w:rFonts w:ascii="Arial"/>
                <w:sz w:val="21"/>
              </w:rPr>
            </w:pPr>
          </w:p>
        </w:tc>
        <w:tc>
          <w:tcPr>
            <w:tcW w:w="4255"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875" w:type="dxa"/>
            <w:vAlign w:val="top"/>
          </w:tcPr>
          <w:p>
            <w:pPr>
              <w:spacing w:before="146" w:line="227" w:lineRule="auto"/>
              <w:ind w:left="100"/>
              <w:rPr>
                <w:rFonts w:ascii="宋体" w:hAnsi="宋体" w:eastAsia="宋体" w:cs="宋体"/>
                <w:sz w:val="23"/>
                <w:szCs w:val="23"/>
              </w:rPr>
            </w:pPr>
            <w:r>
              <w:rPr>
                <w:rFonts w:ascii="宋体" w:hAnsi="宋体" w:eastAsia="宋体" w:cs="宋体"/>
                <w:spacing w:val="9"/>
                <w:sz w:val="23"/>
                <w:szCs w:val="23"/>
              </w:rPr>
              <w:t>材</w:t>
            </w:r>
            <w:r>
              <w:rPr>
                <w:rFonts w:ascii="宋体" w:hAnsi="宋体" w:eastAsia="宋体" w:cs="宋体"/>
                <w:spacing w:val="7"/>
                <w:sz w:val="23"/>
                <w:szCs w:val="23"/>
              </w:rPr>
              <w:t>料管理</w:t>
            </w:r>
          </w:p>
        </w:tc>
        <w:tc>
          <w:tcPr>
            <w:tcW w:w="1417" w:type="dxa"/>
            <w:vAlign w:val="top"/>
          </w:tcPr>
          <w:p>
            <w:pPr>
              <w:rPr>
                <w:rFonts w:ascii="Arial"/>
                <w:sz w:val="21"/>
              </w:rPr>
            </w:pPr>
          </w:p>
        </w:tc>
        <w:tc>
          <w:tcPr>
            <w:tcW w:w="1133" w:type="dxa"/>
            <w:vAlign w:val="top"/>
          </w:tcPr>
          <w:p>
            <w:pPr>
              <w:rPr>
                <w:rFonts w:ascii="Arial"/>
                <w:sz w:val="21"/>
              </w:rPr>
            </w:pPr>
          </w:p>
        </w:tc>
        <w:tc>
          <w:tcPr>
            <w:tcW w:w="1133" w:type="dxa"/>
            <w:vAlign w:val="top"/>
          </w:tcPr>
          <w:p>
            <w:pPr>
              <w:rPr>
                <w:rFonts w:ascii="Arial"/>
                <w:sz w:val="21"/>
              </w:rPr>
            </w:pPr>
          </w:p>
        </w:tc>
        <w:tc>
          <w:tcPr>
            <w:tcW w:w="4255"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875" w:type="dxa"/>
            <w:vAlign w:val="top"/>
          </w:tcPr>
          <w:p>
            <w:pPr>
              <w:spacing w:before="148" w:line="227" w:lineRule="auto"/>
              <w:ind w:left="100"/>
              <w:rPr>
                <w:rFonts w:ascii="宋体" w:hAnsi="宋体" w:eastAsia="宋体" w:cs="宋体"/>
                <w:sz w:val="23"/>
                <w:szCs w:val="23"/>
              </w:rPr>
            </w:pPr>
            <w:r>
              <w:rPr>
                <w:rFonts w:ascii="宋体" w:hAnsi="宋体" w:eastAsia="宋体" w:cs="宋体"/>
                <w:spacing w:val="9"/>
                <w:sz w:val="23"/>
                <w:szCs w:val="23"/>
              </w:rPr>
              <w:t>计</w:t>
            </w:r>
            <w:r>
              <w:rPr>
                <w:rFonts w:ascii="宋体" w:hAnsi="宋体" w:eastAsia="宋体" w:cs="宋体"/>
                <w:spacing w:val="7"/>
                <w:sz w:val="23"/>
                <w:szCs w:val="23"/>
              </w:rPr>
              <w:t>划管理</w:t>
            </w:r>
          </w:p>
        </w:tc>
        <w:tc>
          <w:tcPr>
            <w:tcW w:w="1417" w:type="dxa"/>
            <w:vAlign w:val="top"/>
          </w:tcPr>
          <w:p>
            <w:pPr>
              <w:rPr>
                <w:rFonts w:ascii="Arial"/>
                <w:sz w:val="21"/>
              </w:rPr>
            </w:pPr>
          </w:p>
        </w:tc>
        <w:tc>
          <w:tcPr>
            <w:tcW w:w="1133" w:type="dxa"/>
            <w:vAlign w:val="top"/>
          </w:tcPr>
          <w:p>
            <w:pPr>
              <w:rPr>
                <w:rFonts w:ascii="Arial"/>
                <w:sz w:val="21"/>
              </w:rPr>
            </w:pPr>
          </w:p>
        </w:tc>
        <w:tc>
          <w:tcPr>
            <w:tcW w:w="1133" w:type="dxa"/>
            <w:vAlign w:val="top"/>
          </w:tcPr>
          <w:p>
            <w:pPr>
              <w:rPr>
                <w:rFonts w:ascii="Arial"/>
                <w:sz w:val="21"/>
              </w:rPr>
            </w:pPr>
          </w:p>
        </w:tc>
        <w:tc>
          <w:tcPr>
            <w:tcW w:w="4255"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45" w:hRule="atLeast"/>
        </w:trPr>
        <w:tc>
          <w:tcPr>
            <w:tcW w:w="1875" w:type="dxa"/>
            <w:vAlign w:val="top"/>
          </w:tcPr>
          <w:p>
            <w:pPr>
              <w:spacing w:before="147" w:line="227" w:lineRule="auto"/>
              <w:ind w:left="104"/>
              <w:rPr>
                <w:rFonts w:ascii="宋体" w:hAnsi="宋体" w:eastAsia="宋体" w:cs="宋体"/>
                <w:sz w:val="23"/>
                <w:szCs w:val="23"/>
              </w:rPr>
            </w:pPr>
            <w:r>
              <w:rPr>
                <w:rFonts w:ascii="宋体" w:hAnsi="宋体" w:eastAsia="宋体" w:cs="宋体"/>
                <w:spacing w:val="7"/>
                <w:sz w:val="23"/>
                <w:szCs w:val="23"/>
              </w:rPr>
              <w:t>安</w:t>
            </w:r>
            <w:r>
              <w:rPr>
                <w:rFonts w:ascii="宋体" w:hAnsi="宋体" w:eastAsia="宋体" w:cs="宋体"/>
                <w:spacing w:val="6"/>
                <w:sz w:val="23"/>
                <w:szCs w:val="23"/>
              </w:rPr>
              <w:t>全管理</w:t>
            </w:r>
          </w:p>
        </w:tc>
        <w:tc>
          <w:tcPr>
            <w:tcW w:w="1417" w:type="dxa"/>
            <w:vAlign w:val="top"/>
          </w:tcPr>
          <w:p>
            <w:pPr>
              <w:rPr>
                <w:rFonts w:ascii="Arial"/>
                <w:sz w:val="21"/>
              </w:rPr>
            </w:pPr>
          </w:p>
        </w:tc>
        <w:tc>
          <w:tcPr>
            <w:tcW w:w="1133" w:type="dxa"/>
            <w:vAlign w:val="top"/>
          </w:tcPr>
          <w:p>
            <w:pPr>
              <w:rPr>
                <w:rFonts w:ascii="Arial"/>
                <w:sz w:val="21"/>
              </w:rPr>
            </w:pPr>
          </w:p>
        </w:tc>
        <w:tc>
          <w:tcPr>
            <w:tcW w:w="1133" w:type="dxa"/>
            <w:vAlign w:val="top"/>
          </w:tcPr>
          <w:p>
            <w:pPr>
              <w:rPr>
                <w:rFonts w:ascii="Arial"/>
                <w:sz w:val="21"/>
              </w:rPr>
            </w:pPr>
          </w:p>
        </w:tc>
        <w:tc>
          <w:tcPr>
            <w:tcW w:w="4255"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3" w:hRule="atLeast"/>
        </w:trPr>
        <w:tc>
          <w:tcPr>
            <w:tcW w:w="1875" w:type="dxa"/>
            <w:vMerge w:val="restart"/>
            <w:vAlign w:val="top"/>
          </w:tcPr>
          <w:p>
            <w:pPr>
              <w:spacing w:line="272" w:lineRule="auto"/>
              <w:rPr>
                <w:rFonts w:ascii="Arial"/>
                <w:sz w:val="21"/>
              </w:rPr>
            </w:pPr>
          </w:p>
          <w:p>
            <w:pPr>
              <w:spacing w:line="272" w:lineRule="auto"/>
              <w:rPr>
                <w:rFonts w:ascii="Arial"/>
                <w:sz w:val="21"/>
              </w:rPr>
            </w:pPr>
          </w:p>
          <w:p>
            <w:pPr>
              <w:spacing w:line="272" w:lineRule="auto"/>
              <w:rPr>
                <w:rFonts w:ascii="Arial"/>
                <w:sz w:val="21"/>
              </w:rPr>
            </w:pPr>
          </w:p>
          <w:p>
            <w:pPr>
              <w:spacing w:line="272" w:lineRule="auto"/>
              <w:rPr>
                <w:rFonts w:ascii="Arial"/>
                <w:sz w:val="21"/>
              </w:rPr>
            </w:pPr>
          </w:p>
          <w:p>
            <w:pPr>
              <w:spacing w:line="272" w:lineRule="auto"/>
              <w:rPr>
                <w:rFonts w:ascii="Arial"/>
                <w:sz w:val="21"/>
              </w:rPr>
            </w:pPr>
          </w:p>
          <w:p>
            <w:pPr>
              <w:spacing w:before="75" w:line="225" w:lineRule="auto"/>
              <w:ind w:left="101"/>
              <w:rPr>
                <w:rFonts w:ascii="宋体" w:hAnsi="宋体" w:eastAsia="宋体" w:cs="宋体"/>
                <w:sz w:val="23"/>
                <w:szCs w:val="23"/>
              </w:rPr>
            </w:pPr>
            <w:r>
              <w:rPr>
                <w:rFonts w:ascii="宋体" w:hAnsi="宋体" w:eastAsia="宋体" w:cs="宋体"/>
                <w:spacing w:val="8"/>
                <w:sz w:val="23"/>
                <w:szCs w:val="23"/>
              </w:rPr>
              <w:t>其</w:t>
            </w:r>
            <w:r>
              <w:rPr>
                <w:rFonts w:ascii="宋体" w:hAnsi="宋体" w:eastAsia="宋体" w:cs="宋体"/>
                <w:spacing w:val="7"/>
                <w:sz w:val="23"/>
                <w:szCs w:val="23"/>
              </w:rPr>
              <w:t>他人员</w:t>
            </w:r>
          </w:p>
        </w:tc>
        <w:tc>
          <w:tcPr>
            <w:tcW w:w="1417" w:type="dxa"/>
            <w:vAlign w:val="top"/>
          </w:tcPr>
          <w:p>
            <w:pPr>
              <w:rPr>
                <w:rFonts w:ascii="Arial"/>
                <w:sz w:val="21"/>
              </w:rPr>
            </w:pPr>
          </w:p>
        </w:tc>
        <w:tc>
          <w:tcPr>
            <w:tcW w:w="1133" w:type="dxa"/>
            <w:vAlign w:val="top"/>
          </w:tcPr>
          <w:p>
            <w:pPr>
              <w:rPr>
                <w:rFonts w:ascii="Arial"/>
                <w:sz w:val="21"/>
              </w:rPr>
            </w:pPr>
          </w:p>
        </w:tc>
        <w:tc>
          <w:tcPr>
            <w:tcW w:w="1133" w:type="dxa"/>
            <w:vAlign w:val="top"/>
          </w:tcPr>
          <w:p>
            <w:pPr>
              <w:rPr>
                <w:rFonts w:ascii="Arial"/>
                <w:sz w:val="21"/>
              </w:rPr>
            </w:pPr>
          </w:p>
        </w:tc>
        <w:tc>
          <w:tcPr>
            <w:tcW w:w="4255"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3" w:hRule="atLeast"/>
        </w:trPr>
        <w:tc>
          <w:tcPr>
            <w:tcW w:w="1875" w:type="dxa"/>
            <w:vMerge w:val="continue"/>
            <w:vAlign w:val="top"/>
          </w:tcPr>
          <w:p>
            <w:pPr>
              <w:rPr>
                <w:rFonts w:ascii="Arial"/>
                <w:sz w:val="21"/>
              </w:rPr>
            </w:pPr>
          </w:p>
        </w:tc>
        <w:tc>
          <w:tcPr>
            <w:tcW w:w="1417" w:type="dxa"/>
            <w:vAlign w:val="top"/>
          </w:tcPr>
          <w:p>
            <w:pPr>
              <w:rPr>
                <w:rFonts w:ascii="Arial"/>
                <w:sz w:val="21"/>
              </w:rPr>
            </w:pPr>
          </w:p>
        </w:tc>
        <w:tc>
          <w:tcPr>
            <w:tcW w:w="1133" w:type="dxa"/>
            <w:vAlign w:val="top"/>
          </w:tcPr>
          <w:p>
            <w:pPr>
              <w:rPr>
                <w:rFonts w:ascii="Arial"/>
                <w:sz w:val="21"/>
              </w:rPr>
            </w:pPr>
          </w:p>
        </w:tc>
        <w:tc>
          <w:tcPr>
            <w:tcW w:w="1133" w:type="dxa"/>
            <w:vAlign w:val="top"/>
          </w:tcPr>
          <w:p>
            <w:pPr>
              <w:rPr>
                <w:rFonts w:ascii="Arial"/>
                <w:sz w:val="21"/>
              </w:rPr>
            </w:pPr>
          </w:p>
        </w:tc>
        <w:tc>
          <w:tcPr>
            <w:tcW w:w="4255"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6" w:hRule="atLeast"/>
        </w:trPr>
        <w:tc>
          <w:tcPr>
            <w:tcW w:w="1875" w:type="dxa"/>
            <w:vMerge w:val="continue"/>
            <w:vAlign w:val="top"/>
          </w:tcPr>
          <w:p>
            <w:pPr>
              <w:rPr>
                <w:rFonts w:ascii="Arial"/>
                <w:sz w:val="21"/>
              </w:rPr>
            </w:pPr>
          </w:p>
        </w:tc>
        <w:tc>
          <w:tcPr>
            <w:tcW w:w="1417" w:type="dxa"/>
            <w:vAlign w:val="top"/>
          </w:tcPr>
          <w:p>
            <w:pPr>
              <w:rPr>
                <w:rFonts w:ascii="Arial"/>
                <w:sz w:val="21"/>
              </w:rPr>
            </w:pPr>
          </w:p>
        </w:tc>
        <w:tc>
          <w:tcPr>
            <w:tcW w:w="1133" w:type="dxa"/>
            <w:vAlign w:val="top"/>
          </w:tcPr>
          <w:p>
            <w:pPr>
              <w:rPr>
                <w:rFonts w:ascii="Arial"/>
                <w:sz w:val="21"/>
              </w:rPr>
            </w:pPr>
          </w:p>
        </w:tc>
        <w:tc>
          <w:tcPr>
            <w:tcW w:w="1133" w:type="dxa"/>
            <w:vAlign w:val="top"/>
          </w:tcPr>
          <w:p>
            <w:pPr>
              <w:rPr>
                <w:rFonts w:ascii="Arial"/>
                <w:sz w:val="21"/>
              </w:rPr>
            </w:pPr>
          </w:p>
        </w:tc>
        <w:tc>
          <w:tcPr>
            <w:tcW w:w="4255"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4" w:hRule="atLeast"/>
        </w:trPr>
        <w:tc>
          <w:tcPr>
            <w:tcW w:w="1875" w:type="dxa"/>
            <w:vMerge w:val="continue"/>
            <w:vAlign w:val="top"/>
          </w:tcPr>
          <w:p>
            <w:pPr>
              <w:rPr>
                <w:rFonts w:ascii="Arial"/>
                <w:sz w:val="21"/>
              </w:rPr>
            </w:pPr>
          </w:p>
        </w:tc>
        <w:tc>
          <w:tcPr>
            <w:tcW w:w="1417" w:type="dxa"/>
            <w:vAlign w:val="top"/>
          </w:tcPr>
          <w:p>
            <w:pPr>
              <w:rPr>
                <w:rFonts w:ascii="Arial"/>
                <w:sz w:val="21"/>
              </w:rPr>
            </w:pPr>
          </w:p>
        </w:tc>
        <w:tc>
          <w:tcPr>
            <w:tcW w:w="1133" w:type="dxa"/>
            <w:vAlign w:val="top"/>
          </w:tcPr>
          <w:p>
            <w:pPr>
              <w:rPr>
                <w:rFonts w:ascii="Arial"/>
                <w:sz w:val="21"/>
              </w:rPr>
            </w:pPr>
          </w:p>
        </w:tc>
        <w:tc>
          <w:tcPr>
            <w:tcW w:w="1133" w:type="dxa"/>
            <w:vAlign w:val="top"/>
          </w:tcPr>
          <w:p>
            <w:pPr>
              <w:rPr>
                <w:rFonts w:ascii="Arial"/>
                <w:sz w:val="21"/>
              </w:rPr>
            </w:pPr>
          </w:p>
        </w:tc>
        <w:tc>
          <w:tcPr>
            <w:tcW w:w="4255"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18" w:hRule="atLeast"/>
        </w:trPr>
        <w:tc>
          <w:tcPr>
            <w:tcW w:w="1875" w:type="dxa"/>
            <w:vMerge w:val="continue"/>
            <w:vAlign w:val="top"/>
          </w:tcPr>
          <w:p>
            <w:pPr>
              <w:rPr>
                <w:rFonts w:ascii="Arial"/>
                <w:sz w:val="21"/>
              </w:rPr>
            </w:pPr>
          </w:p>
        </w:tc>
        <w:tc>
          <w:tcPr>
            <w:tcW w:w="1417" w:type="dxa"/>
            <w:vAlign w:val="top"/>
          </w:tcPr>
          <w:p>
            <w:pPr>
              <w:rPr>
                <w:rFonts w:ascii="Arial"/>
                <w:sz w:val="21"/>
              </w:rPr>
            </w:pPr>
          </w:p>
        </w:tc>
        <w:tc>
          <w:tcPr>
            <w:tcW w:w="1133" w:type="dxa"/>
            <w:vAlign w:val="top"/>
          </w:tcPr>
          <w:p>
            <w:pPr>
              <w:rPr>
                <w:rFonts w:ascii="Arial"/>
                <w:sz w:val="21"/>
              </w:rPr>
            </w:pPr>
          </w:p>
        </w:tc>
        <w:tc>
          <w:tcPr>
            <w:tcW w:w="1133" w:type="dxa"/>
            <w:vAlign w:val="top"/>
          </w:tcPr>
          <w:p>
            <w:pPr>
              <w:rPr>
                <w:rFonts w:ascii="Arial"/>
                <w:sz w:val="21"/>
              </w:rPr>
            </w:pPr>
          </w:p>
        </w:tc>
        <w:tc>
          <w:tcPr>
            <w:tcW w:w="4255"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9" w:hRule="atLeast"/>
        </w:trPr>
        <w:tc>
          <w:tcPr>
            <w:tcW w:w="1875" w:type="dxa"/>
            <w:vMerge w:val="continue"/>
            <w:vAlign w:val="top"/>
          </w:tcPr>
          <w:p>
            <w:pPr>
              <w:rPr>
                <w:rFonts w:ascii="Arial"/>
                <w:sz w:val="21"/>
              </w:rPr>
            </w:pPr>
          </w:p>
        </w:tc>
        <w:tc>
          <w:tcPr>
            <w:tcW w:w="1417" w:type="dxa"/>
            <w:vAlign w:val="top"/>
          </w:tcPr>
          <w:p>
            <w:pPr>
              <w:rPr>
                <w:rFonts w:ascii="Arial"/>
                <w:sz w:val="21"/>
              </w:rPr>
            </w:pPr>
          </w:p>
        </w:tc>
        <w:tc>
          <w:tcPr>
            <w:tcW w:w="1133" w:type="dxa"/>
            <w:vAlign w:val="top"/>
          </w:tcPr>
          <w:p>
            <w:pPr>
              <w:rPr>
                <w:rFonts w:ascii="Arial"/>
                <w:sz w:val="21"/>
              </w:rPr>
            </w:pPr>
          </w:p>
        </w:tc>
        <w:tc>
          <w:tcPr>
            <w:tcW w:w="1133" w:type="dxa"/>
            <w:vAlign w:val="top"/>
          </w:tcPr>
          <w:p>
            <w:pPr>
              <w:rPr>
                <w:rFonts w:ascii="Arial"/>
                <w:sz w:val="21"/>
              </w:rPr>
            </w:pPr>
          </w:p>
        </w:tc>
        <w:tc>
          <w:tcPr>
            <w:tcW w:w="4255"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9" w:hRule="atLeast"/>
        </w:trPr>
        <w:tc>
          <w:tcPr>
            <w:tcW w:w="1875" w:type="dxa"/>
            <w:vMerge w:val="continue"/>
            <w:vAlign w:val="top"/>
          </w:tcPr>
          <w:p>
            <w:pPr>
              <w:rPr>
                <w:rFonts w:ascii="Arial"/>
                <w:sz w:val="21"/>
              </w:rPr>
            </w:pPr>
          </w:p>
        </w:tc>
        <w:tc>
          <w:tcPr>
            <w:tcW w:w="1417" w:type="dxa"/>
            <w:vAlign w:val="top"/>
          </w:tcPr>
          <w:p>
            <w:pPr>
              <w:rPr>
                <w:rFonts w:ascii="Arial"/>
                <w:sz w:val="21"/>
              </w:rPr>
            </w:pPr>
          </w:p>
        </w:tc>
        <w:tc>
          <w:tcPr>
            <w:tcW w:w="1133" w:type="dxa"/>
            <w:vAlign w:val="top"/>
          </w:tcPr>
          <w:p>
            <w:pPr>
              <w:rPr>
                <w:rFonts w:ascii="Arial"/>
                <w:sz w:val="21"/>
              </w:rPr>
            </w:pPr>
          </w:p>
        </w:tc>
        <w:tc>
          <w:tcPr>
            <w:tcW w:w="1133" w:type="dxa"/>
            <w:vAlign w:val="top"/>
          </w:tcPr>
          <w:p>
            <w:pPr>
              <w:rPr>
                <w:rFonts w:ascii="Arial"/>
                <w:sz w:val="21"/>
              </w:rPr>
            </w:pPr>
          </w:p>
        </w:tc>
        <w:tc>
          <w:tcPr>
            <w:tcW w:w="4255"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9" w:hRule="atLeast"/>
        </w:trPr>
        <w:tc>
          <w:tcPr>
            <w:tcW w:w="1875" w:type="dxa"/>
            <w:vMerge w:val="continue"/>
            <w:vAlign w:val="top"/>
          </w:tcPr>
          <w:p>
            <w:pPr>
              <w:rPr>
                <w:rFonts w:ascii="Arial"/>
                <w:sz w:val="21"/>
              </w:rPr>
            </w:pPr>
          </w:p>
        </w:tc>
        <w:tc>
          <w:tcPr>
            <w:tcW w:w="1417" w:type="dxa"/>
            <w:vAlign w:val="top"/>
          </w:tcPr>
          <w:p>
            <w:pPr>
              <w:rPr>
                <w:rFonts w:ascii="Arial"/>
                <w:sz w:val="21"/>
              </w:rPr>
            </w:pPr>
          </w:p>
        </w:tc>
        <w:tc>
          <w:tcPr>
            <w:tcW w:w="1133" w:type="dxa"/>
            <w:vAlign w:val="top"/>
          </w:tcPr>
          <w:p>
            <w:pPr>
              <w:rPr>
                <w:rFonts w:ascii="Arial"/>
                <w:sz w:val="21"/>
              </w:rPr>
            </w:pPr>
          </w:p>
        </w:tc>
        <w:tc>
          <w:tcPr>
            <w:tcW w:w="1133" w:type="dxa"/>
            <w:vAlign w:val="top"/>
          </w:tcPr>
          <w:p>
            <w:pPr>
              <w:rPr>
                <w:rFonts w:ascii="Arial"/>
                <w:sz w:val="21"/>
              </w:rPr>
            </w:pPr>
          </w:p>
        </w:tc>
        <w:tc>
          <w:tcPr>
            <w:tcW w:w="4255"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9" w:hRule="atLeast"/>
        </w:trPr>
        <w:tc>
          <w:tcPr>
            <w:tcW w:w="1875" w:type="dxa"/>
            <w:vMerge w:val="continue"/>
            <w:vAlign w:val="top"/>
          </w:tcPr>
          <w:p>
            <w:pPr>
              <w:rPr>
                <w:rFonts w:ascii="Arial"/>
                <w:sz w:val="21"/>
              </w:rPr>
            </w:pPr>
          </w:p>
        </w:tc>
        <w:tc>
          <w:tcPr>
            <w:tcW w:w="1417" w:type="dxa"/>
            <w:vAlign w:val="top"/>
          </w:tcPr>
          <w:p>
            <w:pPr>
              <w:rPr>
                <w:rFonts w:ascii="Arial"/>
                <w:sz w:val="21"/>
              </w:rPr>
            </w:pPr>
          </w:p>
        </w:tc>
        <w:tc>
          <w:tcPr>
            <w:tcW w:w="1133" w:type="dxa"/>
            <w:vAlign w:val="top"/>
          </w:tcPr>
          <w:p>
            <w:pPr>
              <w:rPr>
                <w:rFonts w:ascii="Arial"/>
                <w:sz w:val="21"/>
              </w:rPr>
            </w:pPr>
          </w:p>
        </w:tc>
        <w:tc>
          <w:tcPr>
            <w:tcW w:w="1133" w:type="dxa"/>
            <w:vAlign w:val="top"/>
          </w:tcPr>
          <w:p>
            <w:pPr>
              <w:rPr>
                <w:rFonts w:ascii="Arial"/>
                <w:sz w:val="21"/>
              </w:rPr>
            </w:pPr>
          </w:p>
        </w:tc>
        <w:tc>
          <w:tcPr>
            <w:tcW w:w="4255"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49" w:hRule="atLeast"/>
        </w:trPr>
        <w:tc>
          <w:tcPr>
            <w:tcW w:w="1875" w:type="dxa"/>
            <w:vMerge w:val="continue"/>
            <w:vAlign w:val="top"/>
          </w:tcPr>
          <w:p>
            <w:pPr>
              <w:rPr>
                <w:rFonts w:ascii="Arial"/>
                <w:sz w:val="21"/>
              </w:rPr>
            </w:pPr>
          </w:p>
        </w:tc>
        <w:tc>
          <w:tcPr>
            <w:tcW w:w="1417" w:type="dxa"/>
            <w:vAlign w:val="top"/>
          </w:tcPr>
          <w:p>
            <w:pPr>
              <w:rPr>
                <w:rFonts w:ascii="Arial"/>
                <w:sz w:val="21"/>
              </w:rPr>
            </w:pPr>
          </w:p>
        </w:tc>
        <w:tc>
          <w:tcPr>
            <w:tcW w:w="1133" w:type="dxa"/>
            <w:vAlign w:val="top"/>
          </w:tcPr>
          <w:p>
            <w:pPr>
              <w:rPr>
                <w:rFonts w:ascii="Arial"/>
                <w:sz w:val="21"/>
              </w:rPr>
            </w:pPr>
          </w:p>
        </w:tc>
        <w:tc>
          <w:tcPr>
            <w:tcW w:w="1133" w:type="dxa"/>
            <w:vAlign w:val="top"/>
          </w:tcPr>
          <w:p>
            <w:pPr>
              <w:rPr>
                <w:rFonts w:ascii="Arial"/>
                <w:sz w:val="21"/>
              </w:rPr>
            </w:pPr>
          </w:p>
        </w:tc>
        <w:tc>
          <w:tcPr>
            <w:tcW w:w="4255" w:type="dxa"/>
            <w:vAlign w:val="top"/>
          </w:tcPr>
          <w:p>
            <w:pPr>
              <w:rPr>
                <w:rFonts w:ascii="Arial"/>
                <w:sz w:val="21"/>
              </w:rPr>
            </w:pPr>
          </w:p>
        </w:tc>
      </w:tr>
    </w:tbl>
    <w:p>
      <w:pPr>
        <w:spacing w:before="75" w:line="227" w:lineRule="auto"/>
        <w:ind w:left="457"/>
        <w:rPr>
          <w:rFonts w:ascii="宋体" w:hAnsi="宋体" w:eastAsia="宋体" w:cs="宋体"/>
          <w:spacing w:val="-15"/>
          <w:sz w:val="23"/>
          <w:szCs w:val="23"/>
        </w:rPr>
      </w:pPr>
    </w:p>
    <w:p>
      <w:pPr>
        <w:spacing w:before="75" w:line="227" w:lineRule="auto"/>
        <w:ind w:left="457"/>
        <w:rPr>
          <w:rFonts w:ascii="宋体" w:hAnsi="宋体" w:eastAsia="宋体" w:cs="宋体"/>
          <w:spacing w:val="-15"/>
          <w:sz w:val="23"/>
          <w:szCs w:val="23"/>
        </w:rPr>
      </w:pPr>
    </w:p>
    <w:p>
      <w:pPr>
        <w:spacing w:before="75" w:line="227" w:lineRule="auto"/>
        <w:ind w:left="457"/>
        <w:rPr>
          <w:rFonts w:ascii="宋体" w:hAnsi="宋体" w:eastAsia="宋体" w:cs="宋体"/>
          <w:spacing w:val="-15"/>
          <w:sz w:val="23"/>
          <w:szCs w:val="23"/>
        </w:rPr>
      </w:pPr>
    </w:p>
    <w:p>
      <w:pPr>
        <w:spacing w:before="75" w:line="227" w:lineRule="auto"/>
        <w:ind w:left="457"/>
        <w:rPr>
          <w:rFonts w:ascii="宋体" w:hAnsi="宋体" w:eastAsia="宋体" w:cs="宋体"/>
          <w:spacing w:val="-15"/>
          <w:sz w:val="23"/>
          <w:szCs w:val="23"/>
        </w:rPr>
      </w:pPr>
    </w:p>
    <w:p>
      <w:pPr>
        <w:spacing w:before="75" w:line="227" w:lineRule="auto"/>
        <w:rPr>
          <w:rFonts w:ascii="宋体" w:hAnsi="宋体" w:eastAsia="宋体" w:cs="宋体"/>
          <w:sz w:val="32"/>
          <w:szCs w:val="32"/>
        </w:rPr>
      </w:pPr>
      <w:r>
        <w:rPr>
          <w:rFonts w:ascii="宋体" w:hAnsi="宋体" w:eastAsia="宋体" w:cs="宋体"/>
          <w:spacing w:val="-15"/>
          <w:sz w:val="32"/>
          <w:szCs w:val="32"/>
        </w:rPr>
        <w:t>附</w:t>
      </w:r>
      <w:r>
        <w:rPr>
          <w:rFonts w:ascii="宋体" w:hAnsi="宋体" w:eastAsia="宋体" w:cs="宋体"/>
          <w:spacing w:val="-11"/>
          <w:sz w:val="32"/>
          <w:szCs w:val="32"/>
        </w:rPr>
        <w:t>件7：</w:t>
      </w:r>
    </w:p>
    <w:p>
      <w:pPr>
        <w:spacing w:before="277" w:line="227" w:lineRule="auto"/>
        <w:ind w:firstLine="2704" w:firstLineChars="800"/>
        <w:rPr>
          <w:rFonts w:ascii="宋体" w:hAnsi="宋体" w:eastAsia="宋体" w:cs="宋体"/>
          <w:sz w:val="32"/>
          <w:szCs w:val="32"/>
        </w:rPr>
      </w:pPr>
      <w:r>
        <w:rPr>
          <w:rFonts w:ascii="宋体" w:hAnsi="宋体" w:eastAsia="宋体" w:cs="宋体"/>
          <w:spacing w:val="9"/>
          <w:sz w:val="32"/>
          <w:szCs w:val="32"/>
        </w:rPr>
        <w:t>分包人主要施工管理人员</w:t>
      </w:r>
      <w:r>
        <w:rPr>
          <w:rFonts w:ascii="宋体" w:hAnsi="宋体" w:eastAsia="宋体" w:cs="宋体"/>
          <w:spacing w:val="8"/>
          <w:sz w:val="32"/>
          <w:szCs w:val="32"/>
        </w:rPr>
        <w:t>表</w:t>
      </w:r>
    </w:p>
    <w:tbl>
      <w:tblPr>
        <w:tblStyle w:val="94"/>
        <w:tblpPr w:leftFromText="180" w:rightFromText="180" w:vertAnchor="text" w:horzAnchor="page" w:tblpX="1076" w:tblpY="120"/>
        <w:tblOverlap w:val="never"/>
        <w:tblW w:w="9813"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875"/>
        <w:gridCol w:w="1417"/>
        <w:gridCol w:w="1133"/>
        <w:gridCol w:w="1133"/>
        <w:gridCol w:w="4255"/>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9" w:hRule="atLeast"/>
        </w:trPr>
        <w:tc>
          <w:tcPr>
            <w:tcW w:w="1875" w:type="dxa"/>
            <w:vAlign w:val="top"/>
          </w:tcPr>
          <w:p>
            <w:pPr>
              <w:spacing w:before="150" w:line="230" w:lineRule="auto"/>
              <w:ind w:left="103"/>
              <w:rPr>
                <w:rFonts w:ascii="宋体" w:hAnsi="宋体" w:eastAsia="宋体" w:cs="宋体"/>
                <w:sz w:val="23"/>
                <w:szCs w:val="23"/>
              </w:rPr>
            </w:pPr>
            <w:r>
              <w:rPr>
                <w:rFonts w:ascii="宋体" w:hAnsi="宋体" w:eastAsia="宋体" w:cs="宋体"/>
                <w:spacing w:val="7"/>
                <w:sz w:val="23"/>
                <w:szCs w:val="23"/>
              </w:rPr>
              <w:t>名</w:t>
            </w:r>
            <w:r>
              <w:rPr>
                <w:rFonts w:ascii="宋体" w:hAnsi="宋体" w:eastAsia="宋体" w:cs="宋体"/>
                <w:spacing w:val="4"/>
                <w:sz w:val="23"/>
                <w:szCs w:val="23"/>
              </w:rPr>
              <w:t>称</w:t>
            </w:r>
          </w:p>
        </w:tc>
        <w:tc>
          <w:tcPr>
            <w:tcW w:w="1417" w:type="dxa"/>
            <w:vAlign w:val="top"/>
          </w:tcPr>
          <w:p>
            <w:pPr>
              <w:spacing w:before="151" w:line="227" w:lineRule="auto"/>
              <w:ind w:left="97"/>
              <w:rPr>
                <w:rFonts w:ascii="宋体" w:hAnsi="宋体" w:eastAsia="宋体" w:cs="宋体"/>
                <w:sz w:val="23"/>
                <w:szCs w:val="23"/>
              </w:rPr>
            </w:pPr>
            <w:r>
              <w:rPr>
                <w:rFonts w:ascii="宋体" w:hAnsi="宋体" w:eastAsia="宋体" w:cs="宋体"/>
                <w:spacing w:val="5"/>
                <w:sz w:val="23"/>
                <w:szCs w:val="23"/>
              </w:rPr>
              <w:t>姓名</w:t>
            </w:r>
          </w:p>
        </w:tc>
        <w:tc>
          <w:tcPr>
            <w:tcW w:w="1133" w:type="dxa"/>
            <w:vAlign w:val="top"/>
          </w:tcPr>
          <w:p>
            <w:pPr>
              <w:spacing w:before="151" w:line="227" w:lineRule="auto"/>
              <w:ind w:left="97"/>
              <w:rPr>
                <w:rFonts w:ascii="宋体" w:hAnsi="宋体" w:eastAsia="宋体" w:cs="宋体"/>
                <w:sz w:val="23"/>
                <w:szCs w:val="23"/>
              </w:rPr>
            </w:pPr>
            <w:r>
              <w:rPr>
                <w:rFonts w:ascii="宋体" w:hAnsi="宋体" w:eastAsia="宋体" w:cs="宋体"/>
                <w:spacing w:val="5"/>
                <w:sz w:val="23"/>
                <w:szCs w:val="23"/>
              </w:rPr>
              <w:t>职</w:t>
            </w:r>
            <w:r>
              <w:rPr>
                <w:rFonts w:ascii="宋体" w:hAnsi="宋体" w:eastAsia="宋体" w:cs="宋体"/>
                <w:spacing w:val="4"/>
                <w:sz w:val="23"/>
                <w:szCs w:val="23"/>
              </w:rPr>
              <w:t>务</w:t>
            </w:r>
          </w:p>
        </w:tc>
        <w:tc>
          <w:tcPr>
            <w:tcW w:w="1133" w:type="dxa"/>
            <w:vAlign w:val="top"/>
          </w:tcPr>
          <w:p>
            <w:pPr>
              <w:spacing w:before="150" w:line="230" w:lineRule="auto"/>
              <w:ind w:left="99"/>
              <w:rPr>
                <w:rFonts w:ascii="宋体" w:hAnsi="宋体" w:eastAsia="宋体" w:cs="宋体"/>
                <w:sz w:val="23"/>
                <w:szCs w:val="23"/>
              </w:rPr>
            </w:pPr>
            <w:r>
              <w:rPr>
                <w:rFonts w:ascii="宋体" w:hAnsi="宋体" w:eastAsia="宋体" w:cs="宋体"/>
                <w:spacing w:val="5"/>
                <w:sz w:val="23"/>
                <w:szCs w:val="23"/>
              </w:rPr>
              <w:t>职</w:t>
            </w:r>
            <w:r>
              <w:rPr>
                <w:rFonts w:ascii="宋体" w:hAnsi="宋体" w:eastAsia="宋体" w:cs="宋体"/>
                <w:spacing w:val="4"/>
                <w:sz w:val="23"/>
                <w:szCs w:val="23"/>
              </w:rPr>
              <w:t>称</w:t>
            </w:r>
          </w:p>
        </w:tc>
        <w:tc>
          <w:tcPr>
            <w:tcW w:w="4255" w:type="dxa"/>
            <w:vAlign w:val="top"/>
          </w:tcPr>
          <w:p>
            <w:pPr>
              <w:spacing w:before="150" w:line="226" w:lineRule="auto"/>
              <w:ind w:left="100"/>
              <w:rPr>
                <w:rFonts w:ascii="宋体" w:hAnsi="宋体" w:eastAsia="宋体" w:cs="宋体"/>
                <w:sz w:val="23"/>
                <w:szCs w:val="23"/>
              </w:rPr>
            </w:pPr>
            <w:r>
              <w:rPr>
                <w:rFonts w:ascii="宋体" w:hAnsi="宋体" w:eastAsia="宋体" w:cs="宋体"/>
                <w:spacing w:val="11"/>
                <w:sz w:val="23"/>
                <w:szCs w:val="23"/>
              </w:rPr>
              <w:t>主</w:t>
            </w:r>
            <w:r>
              <w:rPr>
                <w:rFonts w:ascii="宋体" w:hAnsi="宋体" w:eastAsia="宋体" w:cs="宋体"/>
                <w:spacing w:val="9"/>
                <w:sz w:val="23"/>
                <w:szCs w:val="23"/>
              </w:rPr>
              <w:t>要资历、经验及承担过的项目</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9813" w:type="dxa"/>
            <w:gridSpan w:val="5"/>
            <w:vAlign w:val="top"/>
          </w:tcPr>
          <w:p>
            <w:pPr>
              <w:spacing w:before="147" w:line="238" w:lineRule="auto"/>
              <w:ind w:left="104"/>
              <w:rPr>
                <w:rFonts w:ascii="宋体" w:hAnsi="宋体" w:eastAsia="宋体" w:cs="宋体"/>
                <w:sz w:val="23"/>
                <w:szCs w:val="23"/>
              </w:rPr>
            </w:pPr>
            <w:r>
              <w:rPr>
                <w:rFonts w:ascii="宋体" w:hAnsi="宋体" w:eastAsia="宋体" w:cs="宋体"/>
                <w:spacing w:val="11"/>
                <w:sz w:val="23"/>
                <w:szCs w:val="23"/>
              </w:rPr>
              <w:t>一</w:t>
            </w:r>
            <w:r>
              <w:rPr>
                <w:rFonts w:ascii="宋体" w:hAnsi="宋体" w:eastAsia="宋体" w:cs="宋体"/>
                <w:spacing w:val="7"/>
                <w:sz w:val="23"/>
                <w:szCs w:val="23"/>
              </w:rPr>
              <w:t>、总部人员</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875" w:type="dxa"/>
            <w:vAlign w:val="top"/>
          </w:tcPr>
          <w:p>
            <w:pPr>
              <w:spacing w:before="148" w:line="227" w:lineRule="auto"/>
              <w:ind w:left="104"/>
              <w:rPr>
                <w:rFonts w:ascii="宋体" w:hAnsi="宋体" w:eastAsia="宋体" w:cs="宋体"/>
                <w:sz w:val="23"/>
                <w:szCs w:val="23"/>
              </w:rPr>
            </w:pPr>
            <w:r>
              <w:rPr>
                <w:rFonts w:ascii="宋体" w:hAnsi="宋体" w:eastAsia="宋体" w:cs="宋体"/>
                <w:spacing w:val="8"/>
                <w:sz w:val="23"/>
                <w:szCs w:val="23"/>
              </w:rPr>
              <w:t>项</w:t>
            </w:r>
            <w:r>
              <w:rPr>
                <w:rFonts w:ascii="宋体" w:hAnsi="宋体" w:eastAsia="宋体" w:cs="宋体"/>
                <w:spacing w:val="6"/>
                <w:sz w:val="23"/>
                <w:szCs w:val="23"/>
              </w:rPr>
              <w:t>目主管</w:t>
            </w:r>
          </w:p>
        </w:tc>
        <w:tc>
          <w:tcPr>
            <w:tcW w:w="1417" w:type="dxa"/>
            <w:vAlign w:val="top"/>
          </w:tcPr>
          <w:p>
            <w:pPr>
              <w:rPr>
                <w:rFonts w:ascii="Arial"/>
                <w:sz w:val="21"/>
              </w:rPr>
            </w:pPr>
          </w:p>
        </w:tc>
        <w:tc>
          <w:tcPr>
            <w:tcW w:w="1133" w:type="dxa"/>
            <w:vAlign w:val="top"/>
          </w:tcPr>
          <w:p>
            <w:pPr>
              <w:rPr>
                <w:rFonts w:ascii="Arial"/>
                <w:sz w:val="21"/>
              </w:rPr>
            </w:pPr>
          </w:p>
        </w:tc>
        <w:tc>
          <w:tcPr>
            <w:tcW w:w="1133" w:type="dxa"/>
            <w:vAlign w:val="top"/>
          </w:tcPr>
          <w:p>
            <w:pPr>
              <w:rPr>
                <w:rFonts w:ascii="Arial"/>
                <w:sz w:val="21"/>
              </w:rPr>
            </w:pPr>
          </w:p>
        </w:tc>
        <w:tc>
          <w:tcPr>
            <w:tcW w:w="4255"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875" w:type="dxa"/>
            <w:vAlign w:val="top"/>
          </w:tcPr>
          <w:p>
            <w:pPr>
              <w:rPr>
                <w:rFonts w:ascii="Arial"/>
                <w:sz w:val="21"/>
              </w:rPr>
            </w:pPr>
          </w:p>
        </w:tc>
        <w:tc>
          <w:tcPr>
            <w:tcW w:w="1417" w:type="dxa"/>
            <w:vAlign w:val="top"/>
          </w:tcPr>
          <w:p>
            <w:pPr>
              <w:rPr>
                <w:rFonts w:ascii="Arial"/>
                <w:sz w:val="21"/>
              </w:rPr>
            </w:pPr>
          </w:p>
        </w:tc>
        <w:tc>
          <w:tcPr>
            <w:tcW w:w="1133" w:type="dxa"/>
            <w:vAlign w:val="top"/>
          </w:tcPr>
          <w:p>
            <w:pPr>
              <w:rPr>
                <w:rFonts w:ascii="Arial"/>
                <w:sz w:val="21"/>
              </w:rPr>
            </w:pPr>
          </w:p>
        </w:tc>
        <w:tc>
          <w:tcPr>
            <w:tcW w:w="1133" w:type="dxa"/>
            <w:vAlign w:val="top"/>
          </w:tcPr>
          <w:p>
            <w:pPr>
              <w:rPr>
                <w:rFonts w:ascii="Arial"/>
                <w:sz w:val="21"/>
              </w:rPr>
            </w:pPr>
          </w:p>
        </w:tc>
        <w:tc>
          <w:tcPr>
            <w:tcW w:w="4255"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875" w:type="dxa"/>
            <w:vAlign w:val="top"/>
          </w:tcPr>
          <w:p>
            <w:pPr>
              <w:spacing w:before="147" w:line="225" w:lineRule="auto"/>
              <w:ind w:left="101"/>
              <w:rPr>
                <w:rFonts w:ascii="宋体" w:hAnsi="宋体" w:eastAsia="宋体" w:cs="宋体"/>
                <w:sz w:val="23"/>
                <w:szCs w:val="23"/>
              </w:rPr>
            </w:pPr>
            <w:r>
              <w:rPr>
                <w:rFonts w:ascii="宋体" w:hAnsi="宋体" w:eastAsia="宋体" w:cs="宋体"/>
                <w:spacing w:val="8"/>
                <w:sz w:val="23"/>
                <w:szCs w:val="23"/>
              </w:rPr>
              <w:t>其</w:t>
            </w:r>
            <w:r>
              <w:rPr>
                <w:rFonts w:ascii="宋体" w:hAnsi="宋体" w:eastAsia="宋体" w:cs="宋体"/>
                <w:spacing w:val="7"/>
                <w:sz w:val="23"/>
                <w:szCs w:val="23"/>
              </w:rPr>
              <w:t>他人员</w:t>
            </w:r>
          </w:p>
        </w:tc>
        <w:tc>
          <w:tcPr>
            <w:tcW w:w="1417" w:type="dxa"/>
            <w:vAlign w:val="top"/>
          </w:tcPr>
          <w:p>
            <w:pPr>
              <w:rPr>
                <w:rFonts w:ascii="Arial"/>
                <w:sz w:val="21"/>
              </w:rPr>
            </w:pPr>
          </w:p>
        </w:tc>
        <w:tc>
          <w:tcPr>
            <w:tcW w:w="1133" w:type="dxa"/>
            <w:vAlign w:val="top"/>
          </w:tcPr>
          <w:p>
            <w:pPr>
              <w:rPr>
                <w:rFonts w:ascii="Arial"/>
                <w:sz w:val="21"/>
              </w:rPr>
            </w:pPr>
          </w:p>
        </w:tc>
        <w:tc>
          <w:tcPr>
            <w:tcW w:w="1133" w:type="dxa"/>
            <w:vAlign w:val="top"/>
          </w:tcPr>
          <w:p>
            <w:pPr>
              <w:rPr>
                <w:rFonts w:ascii="Arial"/>
                <w:sz w:val="21"/>
              </w:rPr>
            </w:pPr>
          </w:p>
        </w:tc>
        <w:tc>
          <w:tcPr>
            <w:tcW w:w="4255"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1875" w:type="dxa"/>
            <w:vAlign w:val="top"/>
          </w:tcPr>
          <w:p>
            <w:pPr>
              <w:rPr>
                <w:rFonts w:ascii="Arial"/>
                <w:sz w:val="21"/>
              </w:rPr>
            </w:pPr>
          </w:p>
        </w:tc>
        <w:tc>
          <w:tcPr>
            <w:tcW w:w="1417" w:type="dxa"/>
            <w:vAlign w:val="top"/>
          </w:tcPr>
          <w:p>
            <w:pPr>
              <w:rPr>
                <w:rFonts w:ascii="Arial"/>
                <w:sz w:val="21"/>
              </w:rPr>
            </w:pPr>
          </w:p>
        </w:tc>
        <w:tc>
          <w:tcPr>
            <w:tcW w:w="1133" w:type="dxa"/>
            <w:vAlign w:val="top"/>
          </w:tcPr>
          <w:p>
            <w:pPr>
              <w:rPr>
                <w:rFonts w:ascii="Arial"/>
                <w:sz w:val="21"/>
              </w:rPr>
            </w:pPr>
          </w:p>
        </w:tc>
        <w:tc>
          <w:tcPr>
            <w:tcW w:w="1133" w:type="dxa"/>
            <w:vAlign w:val="top"/>
          </w:tcPr>
          <w:p>
            <w:pPr>
              <w:rPr>
                <w:rFonts w:ascii="Arial"/>
                <w:sz w:val="21"/>
              </w:rPr>
            </w:pPr>
          </w:p>
        </w:tc>
        <w:tc>
          <w:tcPr>
            <w:tcW w:w="4255"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9813" w:type="dxa"/>
            <w:gridSpan w:val="5"/>
            <w:vAlign w:val="top"/>
          </w:tcPr>
          <w:p>
            <w:pPr>
              <w:spacing w:before="148" w:line="238" w:lineRule="auto"/>
              <w:ind w:left="104"/>
              <w:rPr>
                <w:rFonts w:ascii="宋体" w:hAnsi="宋体" w:eastAsia="宋体" w:cs="宋体"/>
                <w:sz w:val="23"/>
                <w:szCs w:val="23"/>
              </w:rPr>
            </w:pPr>
            <w:r>
              <w:rPr>
                <w:rFonts w:ascii="宋体" w:hAnsi="宋体" w:eastAsia="宋体" w:cs="宋体"/>
                <w:spacing w:val="11"/>
                <w:sz w:val="23"/>
                <w:szCs w:val="23"/>
              </w:rPr>
              <w:t>二</w:t>
            </w:r>
            <w:r>
              <w:rPr>
                <w:rFonts w:ascii="宋体" w:hAnsi="宋体" w:eastAsia="宋体" w:cs="宋体"/>
                <w:spacing w:val="7"/>
                <w:sz w:val="23"/>
                <w:szCs w:val="23"/>
              </w:rPr>
              <w:t>、现场人员</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875" w:type="dxa"/>
            <w:vAlign w:val="top"/>
          </w:tcPr>
          <w:p>
            <w:pPr>
              <w:spacing w:before="150" w:line="227" w:lineRule="auto"/>
              <w:ind w:left="104"/>
              <w:rPr>
                <w:rFonts w:ascii="宋体" w:hAnsi="宋体" w:eastAsia="宋体" w:cs="宋体"/>
                <w:sz w:val="23"/>
                <w:szCs w:val="23"/>
              </w:rPr>
            </w:pPr>
            <w:r>
              <w:rPr>
                <w:rFonts w:ascii="宋体" w:hAnsi="宋体" w:eastAsia="宋体" w:cs="宋体"/>
                <w:spacing w:val="8"/>
                <w:sz w:val="23"/>
                <w:szCs w:val="23"/>
              </w:rPr>
              <w:t>项</w:t>
            </w:r>
            <w:r>
              <w:rPr>
                <w:rFonts w:ascii="宋体" w:hAnsi="宋体" w:eastAsia="宋体" w:cs="宋体"/>
                <w:spacing w:val="6"/>
                <w:sz w:val="23"/>
                <w:szCs w:val="23"/>
              </w:rPr>
              <w:t>目经理</w:t>
            </w:r>
          </w:p>
        </w:tc>
        <w:tc>
          <w:tcPr>
            <w:tcW w:w="1417" w:type="dxa"/>
            <w:vAlign w:val="top"/>
          </w:tcPr>
          <w:p>
            <w:pPr>
              <w:rPr>
                <w:rFonts w:ascii="Arial"/>
                <w:sz w:val="21"/>
              </w:rPr>
            </w:pPr>
          </w:p>
        </w:tc>
        <w:tc>
          <w:tcPr>
            <w:tcW w:w="1133" w:type="dxa"/>
            <w:vAlign w:val="top"/>
          </w:tcPr>
          <w:p>
            <w:pPr>
              <w:rPr>
                <w:rFonts w:ascii="Arial"/>
                <w:sz w:val="21"/>
              </w:rPr>
            </w:pPr>
          </w:p>
        </w:tc>
        <w:tc>
          <w:tcPr>
            <w:tcW w:w="1133" w:type="dxa"/>
            <w:vAlign w:val="top"/>
          </w:tcPr>
          <w:p>
            <w:pPr>
              <w:rPr>
                <w:rFonts w:ascii="Arial"/>
                <w:sz w:val="21"/>
              </w:rPr>
            </w:pPr>
          </w:p>
        </w:tc>
        <w:tc>
          <w:tcPr>
            <w:tcW w:w="4255"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875" w:type="dxa"/>
            <w:vAlign w:val="top"/>
          </w:tcPr>
          <w:p>
            <w:pPr>
              <w:spacing w:before="149" w:line="227" w:lineRule="auto"/>
              <w:ind w:left="104"/>
              <w:rPr>
                <w:rFonts w:ascii="宋体" w:hAnsi="宋体" w:eastAsia="宋体" w:cs="宋体"/>
                <w:sz w:val="23"/>
                <w:szCs w:val="23"/>
              </w:rPr>
            </w:pPr>
            <w:r>
              <w:rPr>
                <w:rFonts w:ascii="宋体" w:hAnsi="宋体" w:eastAsia="宋体" w:cs="宋体"/>
                <w:spacing w:val="8"/>
                <w:sz w:val="23"/>
                <w:szCs w:val="23"/>
              </w:rPr>
              <w:t>项</w:t>
            </w:r>
            <w:r>
              <w:rPr>
                <w:rFonts w:ascii="宋体" w:hAnsi="宋体" w:eastAsia="宋体" w:cs="宋体"/>
                <w:spacing w:val="7"/>
                <w:sz w:val="23"/>
                <w:szCs w:val="23"/>
              </w:rPr>
              <w:t>目副经理</w:t>
            </w:r>
          </w:p>
        </w:tc>
        <w:tc>
          <w:tcPr>
            <w:tcW w:w="1417" w:type="dxa"/>
            <w:vAlign w:val="top"/>
          </w:tcPr>
          <w:p>
            <w:pPr>
              <w:rPr>
                <w:rFonts w:ascii="Arial"/>
                <w:sz w:val="21"/>
              </w:rPr>
            </w:pPr>
          </w:p>
        </w:tc>
        <w:tc>
          <w:tcPr>
            <w:tcW w:w="1133" w:type="dxa"/>
            <w:vAlign w:val="top"/>
          </w:tcPr>
          <w:p>
            <w:pPr>
              <w:rPr>
                <w:rFonts w:ascii="Arial"/>
                <w:sz w:val="21"/>
              </w:rPr>
            </w:pPr>
          </w:p>
        </w:tc>
        <w:tc>
          <w:tcPr>
            <w:tcW w:w="1133" w:type="dxa"/>
            <w:vAlign w:val="top"/>
          </w:tcPr>
          <w:p>
            <w:pPr>
              <w:rPr>
                <w:rFonts w:ascii="Arial"/>
                <w:sz w:val="21"/>
              </w:rPr>
            </w:pPr>
          </w:p>
        </w:tc>
        <w:tc>
          <w:tcPr>
            <w:tcW w:w="4255"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875" w:type="dxa"/>
            <w:vAlign w:val="top"/>
          </w:tcPr>
          <w:p>
            <w:pPr>
              <w:spacing w:before="150" w:line="224" w:lineRule="auto"/>
              <w:ind w:left="101"/>
              <w:rPr>
                <w:rFonts w:ascii="宋体" w:hAnsi="宋体" w:eastAsia="宋体" w:cs="宋体"/>
                <w:sz w:val="23"/>
                <w:szCs w:val="23"/>
              </w:rPr>
            </w:pPr>
            <w:r>
              <w:rPr>
                <w:rFonts w:ascii="宋体" w:hAnsi="宋体" w:eastAsia="宋体" w:cs="宋体"/>
                <w:spacing w:val="8"/>
                <w:sz w:val="23"/>
                <w:szCs w:val="23"/>
              </w:rPr>
              <w:t>技术负责</w:t>
            </w:r>
            <w:r>
              <w:rPr>
                <w:rFonts w:ascii="宋体" w:hAnsi="宋体" w:eastAsia="宋体" w:cs="宋体"/>
                <w:spacing w:val="7"/>
                <w:sz w:val="23"/>
                <w:szCs w:val="23"/>
              </w:rPr>
              <w:t>人</w:t>
            </w:r>
          </w:p>
        </w:tc>
        <w:tc>
          <w:tcPr>
            <w:tcW w:w="1417" w:type="dxa"/>
            <w:vAlign w:val="top"/>
          </w:tcPr>
          <w:p>
            <w:pPr>
              <w:rPr>
                <w:rFonts w:ascii="Arial"/>
                <w:sz w:val="21"/>
              </w:rPr>
            </w:pPr>
          </w:p>
        </w:tc>
        <w:tc>
          <w:tcPr>
            <w:tcW w:w="1133" w:type="dxa"/>
            <w:vAlign w:val="top"/>
          </w:tcPr>
          <w:p>
            <w:pPr>
              <w:rPr>
                <w:rFonts w:ascii="Arial"/>
                <w:sz w:val="21"/>
              </w:rPr>
            </w:pPr>
          </w:p>
        </w:tc>
        <w:tc>
          <w:tcPr>
            <w:tcW w:w="1133" w:type="dxa"/>
            <w:vAlign w:val="top"/>
          </w:tcPr>
          <w:p>
            <w:pPr>
              <w:rPr>
                <w:rFonts w:ascii="Arial"/>
                <w:sz w:val="21"/>
              </w:rPr>
            </w:pPr>
          </w:p>
        </w:tc>
        <w:tc>
          <w:tcPr>
            <w:tcW w:w="4255"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875" w:type="dxa"/>
            <w:vAlign w:val="top"/>
          </w:tcPr>
          <w:p>
            <w:pPr>
              <w:spacing w:before="148" w:line="226" w:lineRule="auto"/>
              <w:ind w:left="99"/>
              <w:rPr>
                <w:rFonts w:ascii="宋体" w:hAnsi="宋体" w:eastAsia="宋体" w:cs="宋体"/>
                <w:sz w:val="23"/>
                <w:szCs w:val="23"/>
              </w:rPr>
            </w:pPr>
            <w:r>
              <w:rPr>
                <w:rFonts w:ascii="宋体" w:hAnsi="宋体" w:eastAsia="宋体" w:cs="宋体"/>
                <w:spacing w:val="8"/>
                <w:sz w:val="23"/>
                <w:szCs w:val="23"/>
              </w:rPr>
              <w:t>造价管</w:t>
            </w:r>
            <w:r>
              <w:rPr>
                <w:rFonts w:ascii="宋体" w:hAnsi="宋体" w:eastAsia="宋体" w:cs="宋体"/>
                <w:spacing w:val="7"/>
                <w:sz w:val="23"/>
                <w:szCs w:val="23"/>
              </w:rPr>
              <w:t>理</w:t>
            </w:r>
          </w:p>
        </w:tc>
        <w:tc>
          <w:tcPr>
            <w:tcW w:w="1417" w:type="dxa"/>
            <w:vAlign w:val="top"/>
          </w:tcPr>
          <w:p>
            <w:pPr>
              <w:rPr>
                <w:rFonts w:ascii="Arial"/>
                <w:sz w:val="21"/>
              </w:rPr>
            </w:pPr>
          </w:p>
        </w:tc>
        <w:tc>
          <w:tcPr>
            <w:tcW w:w="1133" w:type="dxa"/>
            <w:vAlign w:val="top"/>
          </w:tcPr>
          <w:p>
            <w:pPr>
              <w:rPr>
                <w:rFonts w:ascii="Arial"/>
                <w:sz w:val="21"/>
              </w:rPr>
            </w:pPr>
          </w:p>
        </w:tc>
        <w:tc>
          <w:tcPr>
            <w:tcW w:w="1133" w:type="dxa"/>
            <w:vAlign w:val="top"/>
          </w:tcPr>
          <w:p>
            <w:pPr>
              <w:rPr>
                <w:rFonts w:ascii="Arial"/>
                <w:sz w:val="21"/>
              </w:rPr>
            </w:pPr>
          </w:p>
        </w:tc>
        <w:tc>
          <w:tcPr>
            <w:tcW w:w="4255"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875" w:type="dxa"/>
            <w:vAlign w:val="top"/>
          </w:tcPr>
          <w:p>
            <w:pPr>
              <w:spacing w:before="150" w:line="227" w:lineRule="auto"/>
              <w:ind w:left="101"/>
              <w:rPr>
                <w:rFonts w:ascii="宋体" w:hAnsi="宋体" w:eastAsia="宋体" w:cs="宋体"/>
                <w:sz w:val="23"/>
                <w:szCs w:val="23"/>
              </w:rPr>
            </w:pPr>
            <w:r>
              <w:rPr>
                <w:rFonts w:ascii="宋体" w:hAnsi="宋体" w:eastAsia="宋体" w:cs="宋体"/>
                <w:spacing w:val="8"/>
                <w:sz w:val="23"/>
                <w:szCs w:val="23"/>
              </w:rPr>
              <w:t>质</w:t>
            </w:r>
            <w:r>
              <w:rPr>
                <w:rFonts w:ascii="宋体" w:hAnsi="宋体" w:eastAsia="宋体" w:cs="宋体"/>
                <w:spacing w:val="7"/>
                <w:sz w:val="23"/>
                <w:szCs w:val="23"/>
              </w:rPr>
              <w:t>量管理</w:t>
            </w:r>
          </w:p>
        </w:tc>
        <w:tc>
          <w:tcPr>
            <w:tcW w:w="1417" w:type="dxa"/>
            <w:vAlign w:val="top"/>
          </w:tcPr>
          <w:p>
            <w:pPr>
              <w:rPr>
                <w:rFonts w:ascii="Arial"/>
                <w:sz w:val="21"/>
              </w:rPr>
            </w:pPr>
          </w:p>
        </w:tc>
        <w:tc>
          <w:tcPr>
            <w:tcW w:w="1133" w:type="dxa"/>
            <w:vAlign w:val="top"/>
          </w:tcPr>
          <w:p>
            <w:pPr>
              <w:rPr>
                <w:rFonts w:ascii="Arial"/>
                <w:sz w:val="21"/>
              </w:rPr>
            </w:pPr>
          </w:p>
        </w:tc>
        <w:tc>
          <w:tcPr>
            <w:tcW w:w="1133" w:type="dxa"/>
            <w:vAlign w:val="top"/>
          </w:tcPr>
          <w:p>
            <w:pPr>
              <w:rPr>
                <w:rFonts w:ascii="Arial"/>
                <w:sz w:val="21"/>
              </w:rPr>
            </w:pPr>
          </w:p>
        </w:tc>
        <w:tc>
          <w:tcPr>
            <w:tcW w:w="4255"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875" w:type="dxa"/>
            <w:vAlign w:val="top"/>
          </w:tcPr>
          <w:p>
            <w:pPr>
              <w:spacing w:before="148" w:line="227" w:lineRule="auto"/>
              <w:ind w:left="100"/>
              <w:rPr>
                <w:rFonts w:ascii="宋体" w:hAnsi="宋体" w:eastAsia="宋体" w:cs="宋体"/>
                <w:sz w:val="23"/>
                <w:szCs w:val="23"/>
              </w:rPr>
            </w:pPr>
            <w:r>
              <w:rPr>
                <w:rFonts w:ascii="宋体" w:hAnsi="宋体" w:eastAsia="宋体" w:cs="宋体"/>
                <w:spacing w:val="9"/>
                <w:sz w:val="23"/>
                <w:szCs w:val="23"/>
              </w:rPr>
              <w:t>材</w:t>
            </w:r>
            <w:r>
              <w:rPr>
                <w:rFonts w:ascii="宋体" w:hAnsi="宋体" w:eastAsia="宋体" w:cs="宋体"/>
                <w:spacing w:val="7"/>
                <w:sz w:val="23"/>
                <w:szCs w:val="23"/>
              </w:rPr>
              <w:t>料管理</w:t>
            </w:r>
          </w:p>
        </w:tc>
        <w:tc>
          <w:tcPr>
            <w:tcW w:w="1417" w:type="dxa"/>
            <w:vAlign w:val="top"/>
          </w:tcPr>
          <w:p>
            <w:pPr>
              <w:rPr>
                <w:rFonts w:ascii="Arial"/>
                <w:sz w:val="21"/>
              </w:rPr>
            </w:pPr>
          </w:p>
        </w:tc>
        <w:tc>
          <w:tcPr>
            <w:tcW w:w="1133" w:type="dxa"/>
            <w:vAlign w:val="top"/>
          </w:tcPr>
          <w:p>
            <w:pPr>
              <w:rPr>
                <w:rFonts w:ascii="Arial"/>
                <w:sz w:val="21"/>
              </w:rPr>
            </w:pPr>
          </w:p>
        </w:tc>
        <w:tc>
          <w:tcPr>
            <w:tcW w:w="1133" w:type="dxa"/>
            <w:vAlign w:val="top"/>
          </w:tcPr>
          <w:p>
            <w:pPr>
              <w:rPr>
                <w:rFonts w:ascii="Arial"/>
                <w:sz w:val="21"/>
              </w:rPr>
            </w:pPr>
          </w:p>
        </w:tc>
        <w:tc>
          <w:tcPr>
            <w:tcW w:w="4255"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1875" w:type="dxa"/>
            <w:vAlign w:val="top"/>
          </w:tcPr>
          <w:p>
            <w:pPr>
              <w:spacing w:before="150" w:line="227" w:lineRule="auto"/>
              <w:ind w:left="100"/>
              <w:rPr>
                <w:rFonts w:ascii="宋体" w:hAnsi="宋体" w:eastAsia="宋体" w:cs="宋体"/>
                <w:sz w:val="23"/>
                <w:szCs w:val="23"/>
              </w:rPr>
            </w:pPr>
            <w:r>
              <w:rPr>
                <w:rFonts w:ascii="宋体" w:hAnsi="宋体" w:eastAsia="宋体" w:cs="宋体"/>
                <w:spacing w:val="9"/>
                <w:sz w:val="23"/>
                <w:szCs w:val="23"/>
              </w:rPr>
              <w:t>计</w:t>
            </w:r>
            <w:r>
              <w:rPr>
                <w:rFonts w:ascii="宋体" w:hAnsi="宋体" w:eastAsia="宋体" w:cs="宋体"/>
                <w:spacing w:val="7"/>
                <w:sz w:val="23"/>
                <w:szCs w:val="23"/>
              </w:rPr>
              <w:t>划管理</w:t>
            </w:r>
          </w:p>
        </w:tc>
        <w:tc>
          <w:tcPr>
            <w:tcW w:w="1417" w:type="dxa"/>
            <w:vAlign w:val="top"/>
          </w:tcPr>
          <w:p>
            <w:pPr>
              <w:rPr>
                <w:rFonts w:ascii="Arial"/>
                <w:sz w:val="21"/>
              </w:rPr>
            </w:pPr>
          </w:p>
        </w:tc>
        <w:tc>
          <w:tcPr>
            <w:tcW w:w="1133" w:type="dxa"/>
            <w:vAlign w:val="top"/>
          </w:tcPr>
          <w:p>
            <w:pPr>
              <w:rPr>
                <w:rFonts w:ascii="Arial"/>
                <w:sz w:val="21"/>
              </w:rPr>
            </w:pPr>
          </w:p>
        </w:tc>
        <w:tc>
          <w:tcPr>
            <w:tcW w:w="1133" w:type="dxa"/>
            <w:vAlign w:val="top"/>
          </w:tcPr>
          <w:p>
            <w:pPr>
              <w:rPr>
                <w:rFonts w:ascii="Arial"/>
                <w:sz w:val="21"/>
              </w:rPr>
            </w:pPr>
          </w:p>
        </w:tc>
        <w:tc>
          <w:tcPr>
            <w:tcW w:w="4255"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875" w:type="dxa"/>
            <w:vAlign w:val="top"/>
          </w:tcPr>
          <w:p>
            <w:pPr>
              <w:spacing w:before="150" w:line="227" w:lineRule="auto"/>
              <w:ind w:left="104"/>
              <w:rPr>
                <w:rFonts w:ascii="宋体" w:hAnsi="宋体" w:eastAsia="宋体" w:cs="宋体"/>
                <w:sz w:val="23"/>
                <w:szCs w:val="23"/>
              </w:rPr>
            </w:pPr>
            <w:r>
              <w:rPr>
                <w:rFonts w:ascii="宋体" w:hAnsi="宋体" w:eastAsia="宋体" w:cs="宋体"/>
                <w:spacing w:val="7"/>
                <w:sz w:val="23"/>
                <w:szCs w:val="23"/>
              </w:rPr>
              <w:t>安</w:t>
            </w:r>
            <w:r>
              <w:rPr>
                <w:rFonts w:ascii="宋体" w:hAnsi="宋体" w:eastAsia="宋体" w:cs="宋体"/>
                <w:spacing w:val="6"/>
                <w:sz w:val="23"/>
                <w:szCs w:val="23"/>
              </w:rPr>
              <w:t>全管理</w:t>
            </w:r>
          </w:p>
        </w:tc>
        <w:tc>
          <w:tcPr>
            <w:tcW w:w="1417" w:type="dxa"/>
            <w:vAlign w:val="top"/>
          </w:tcPr>
          <w:p>
            <w:pPr>
              <w:rPr>
                <w:rFonts w:ascii="Arial"/>
                <w:sz w:val="21"/>
              </w:rPr>
            </w:pPr>
          </w:p>
        </w:tc>
        <w:tc>
          <w:tcPr>
            <w:tcW w:w="1133" w:type="dxa"/>
            <w:vAlign w:val="top"/>
          </w:tcPr>
          <w:p>
            <w:pPr>
              <w:rPr>
                <w:rFonts w:ascii="Arial"/>
                <w:sz w:val="21"/>
              </w:rPr>
            </w:pPr>
          </w:p>
        </w:tc>
        <w:tc>
          <w:tcPr>
            <w:tcW w:w="1133" w:type="dxa"/>
            <w:vAlign w:val="top"/>
          </w:tcPr>
          <w:p>
            <w:pPr>
              <w:rPr>
                <w:rFonts w:ascii="Arial"/>
                <w:sz w:val="21"/>
              </w:rPr>
            </w:pPr>
          </w:p>
        </w:tc>
        <w:tc>
          <w:tcPr>
            <w:tcW w:w="4255"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875" w:type="dxa"/>
            <w:vMerge w:val="restart"/>
            <w:vAlign w:val="top"/>
          </w:tcPr>
          <w:p>
            <w:pPr>
              <w:spacing w:line="298" w:lineRule="auto"/>
              <w:rPr>
                <w:rFonts w:ascii="Arial"/>
                <w:sz w:val="21"/>
              </w:rPr>
            </w:pPr>
          </w:p>
          <w:p>
            <w:pPr>
              <w:spacing w:line="298" w:lineRule="auto"/>
              <w:rPr>
                <w:rFonts w:ascii="Arial"/>
                <w:sz w:val="21"/>
              </w:rPr>
            </w:pPr>
          </w:p>
          <w:p>
            <w:pPr>
              <w:spacing w:line="299" w:lineRule="auto"/>
              <w:rPr>
                <w:rFonts w:ascii="Arial"/>
                <w:sz w:val="21"/>
              </w:rPr>
            </w:pPr>
          </w:p>
          <w:p>
            <w:pPr>
              <w:spacing w:line="299" w:lineRule="auto"/>
              <w:rPr>
                <w:rFonts w:ascii="Arial"/>
                <w:sz w:val="21"/>
              </w:rPr>
            </w:pPr>
          </w:p>
          <w:p>
            <w:pPr>
              <w:spacing w:before="75" w:line="225" w:lineRule="auto"/>
              <w:ind w:left="101"/>
              <w:rPr>
                <w:rFonts w:ascii="宋体" w:hAnsi="宋体" w:eastAsia="宋体" w:cs="宋体"/>
                <w:sz w:val="23"/>
                <w:szCs w:val="23"/>
              </w:rPr>
            </w:pPr>
            <w:r>
              <w:rPr>
                <w:rFonts w:ascii="宋体" w:hAnsi="宋体" w:eastAsia="宋体" w:cs="宋体"/>
                <w:spacing w:val="8"/>
                <w:sz w:val="23"/>
                <w:szCs w:val="23"/>
              </w:rPr>
              <w:t>其</w:t>
            </w:r>
            <w:r>
              <w:rPr>
                <w:rFonts w:ascii="宋体" w:hAnsi="宋体" w:eastAsia="宋体" w:cs="宋体"/>
                <w:spacing w:val="7"/>
                <w:sz w:val="23"/>
                <w:szCs w:val="23"/>
              </w:rPr>
              <w:t>他人员</w:t>
            </w:r>
          </w:p>
        </w:tc>
        <w:tc>
          <w:tcPr>
            <w:tcW w:w="1417" w:type="dxa"/>
            <w:vAlign w:val="top"/>
          </w:tcPr>
          <w:p>
            <w:pPr>
              <w:rPr>
                <w:rFonts w:ascii="Arial"/>
                <w:sz w:val="21"/>
              </w:rPr>
            </w:pPr>
          </w:p>
        </w:tc>
        <w:tc>
          <w:tcPr>
            <w:tcW w:w="1133" w:type="dxa"/>
            <w:vAlign w:val="top"/>
          </w:tcPr>
          <w:p>
            <w:pPr>
              <w:rPr>
                <w:rFonts w:ascii="Arial"/>
                <w:sz w:val="21"/>
              </w:rPr>
            </w:pPr>
          </w:p>
        </w:tc>
        <w:tc>
          <w:tcPr>
            <w:tcW w:w="1133" w:type="dxa"/>
            <w:vAlign w:val="top"/>
          </w:tcPr>
          <w:p>
            <w:pPr>
              <w:rPr>
                <w:rFonts w:ascii="Arial"/>
                <w:sz w:val="21"/>
              </w:rPr>
            </w:pPr>
          </w:p>
        </w:tc>
        <w:tc>
          <w:tcPr>
            <w:tcW w:w="4255"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875" w:type="dxa"/>
            <w:vMerge w:val="continue"/>
            <w:vAlign w:val="top"/>
          </w:tcPr>
          <w:p>
            <w:pPr>
              <w:rPr>
                <w:rFonts w:ascii="Arial"/>
                <w:sz w:val="21"/>
              </w:rPr>
            </w:pPr>
          </w:p>
        </w:tc>
        <w:tc>
          <w:tcPr>
            <w:tcW w:w="1417" w:type="dxa"/>
            <w:vAlign w:val="top"/>
          </w:tcPr>
          <w:p>
            <w:pPr>
              <w:rPr>
                <w:rFonts w:ascii="Arial"/>
                <w:sz w:val="21"/>
              </w:rPr>
            </w:pPr>
          </w:p>
        </w:tc>
        <w:tc>
          <w:tcPr>
            <w:tcW w:w="1133" w:type="dxa"/>
            <w:vAlign w:val="top"/>
          </w:tcPr>
          <w:p>
            <w:pPr>
              <w:rPr>
                <w:rFonts w:ascii="Arial"/>
                <w:sz w:val="21"/>
              </w:rPr>
            </w:pPr>
          </w:p>
        </w:tc>
        <w:tc>
          <w:tcPr>
            <w:tcW w:w="1133" w:type="dxa"/>
            <w:vAlign w:val="top"/>
          </w:tcPr>
          <w:p>
            <w:pPr>
              <w:rPr>
                <w:rFonts w:ascii="Arial"/>
                <w:sz w:val="21"/>
              </w:rPr>
            </w:pPr>
          </w:p>
        </w:tc>
        <w:tc>
          <w:tcPr>
            <w:tcW w:w="4255"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1875" w:type="dxa"/>
            <w:vMerge w:val="continue"/>
            <w:vAlign w:val="top"/>
          </w:tcPr>
          <w:p>
            <w:pPr>
              <w:rPr>
                <w:rFonts w:ascii="Arial"/>
                <w:sz w:val="21"/>
              </w:rPr>
            </w:pPr>
          </w:p>
        </w:tc>
        <w:tc>
          <w:tcPr>
            <w:tcW w:w="1417" w:type="dxa"/>
            <w:vAlign w:val="top"/>
          </w:tcPr>
          <w:p>
            <w:pPr>
              <w:rPr>
                <w:rFonts w:ascii="Arial"/>
                <w:sz w:val="21"/>
              </w:rPr>
            </w:pPr>
          </w:p>
        </w:tc>
        <w:tc>
          <w:tcPr>
            <w:tcW w:w="1133" w:type="dxa"/>
            <w:vAlign w:val="top"/>
          </w:tcPr>
          <w:p>
            <w:pPr>
              <w:rPr>
                <w:rFonts w:ascii="Arial"/>
                <w:sz w:val="21"/>
              </w:rPr>
            </w:pPr>
          </w:p>
        </w:tc>
        <w:tc>
          <w:tcPr>
            <w:tcW w:w="1133" w:type="dxa"/>
            <w:vAlign w:val="top"/>
          </w:tcPr>
          <w:p>
            <w:pPr>
              <w:rPr>
                <w:rFonts w:ascii="Arial"/>
                <w:sz w:val="21"/>
              </w:rPr>
            </w:pPr>
          </w:p>
        </w:tc>
        <w:tc>
          <w:tcPr>
            <w:tcW w:w="4255"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875" w:type="dxa"/>
            <w:vMerge w:val="continue"/>
            <w:vAlign w:val="top"/>
          </w:tcPr>
          <w:p>
            <w:pPr>
              <w:rPr>
                <w:rFonts w:ascii="Arial"/>
                <w:sz w:val="21"/>
              </w:rPr>
            </w:pPr>
          </w:p>
        </w:tc>
        <w:tc>
          <w:tcPr>
            <w:tcW w:w="1417" w:type="dxa"/>
            <w:vAlign w:val="top"/>
          </w:tcPr>
          <w:p>
            <w:pPr>
              <w:rPr>
                <w:rFonts w:ascii="Arial"/>
                <w:sz w:val="21"/>
              </w:rPr>
            </w:pPr>
          </w:p>
        </w:tc>
        <w:tc>
          <w:tcPr>
            <w:tcW w:w="1133" w:type="dxa"/>
            <w:vAlign w:val="top"/>
          </w:tcPr>
          <w:p>
            <w:pPr>
              <w:rPr>
                <w:rFonts w:ascii="Arial"/>
                <w:sz w:val="21"/>
              </w:rPr>
            </w:pPr>
          </w:p>
        </w:tc>
        <w:tc>
          <w:tcPr>
            <w:tcW w:w="1133" w:type="dxa"/>
            <w:vAlign w:val="top"/>
          </w:tcPr>
          <w:p>
            <w:pPr>
              <w:rPr>
                <w:rFonts w:ascii="Arial"/>
                <w:sz w:val="21"/>
              </w:rPr>
            </w:pPr>
          </w:p>
        </w:tc>
        <w:tc>
          <w:tcPr>
            <w:tcW w:w="4255"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875" w:type="dxa"/>
            <w:vMerge w:val="continue"/>
            <w:vAlign w:val="top"/>
          </w:tcPr>
          <w:p>
            <w:pPr>
              <w:rPr>
                <w:rFonts w:ascii="Arial"/>
                <w:sz w:val="21"/>
              </w:rPr>
            </w:pPr>
          </w:p>
        </w:tc>
        <w:tc>
          <w:tcPr>
            <w:tcW w:w="1417" w:type="dxa"/>
            <w:vAlign w:val="top"/>
          </w:tcPr>
          <w:p>
            <w:pPr>
              <w:rPr>
                <w:rFonts w:ascii="Arial"/>
                <w:sz w:val="21"/>
              </w:rPr>
            </w:pPr>
          </w:p>
        </w:tc>
        <w:tc>
          <w:tcPr>
            <w:tcW w:w="1133" w:type="dxa"/>
            <w:vAlign w:val="top"/>
          </w:tcPr>
          <w:p>
            <w:pPr>
              <w:rPr>
                <w:rFonts w:ascii="Arial"/>
                <w:sz w:val="21"/>
              </w:rPr>
            </w:pPr>
          </w:p>
        </w:tc>
        <w:tc>
          <w:tcPr>
            <w:tcW w:w="1133" w:type="dxa"/>
            <w:vAlign w:val="top"/>
          </w:tcPr>
          <w:p>
            <w:pPr>
              <w:rPr>
                <w:rFonts w:ascii="Arial"/>
                <w:sz w:val="21"/>
              </w:rPr>
            </w:pPr>
          </w:p>
        </w:tc>
        <w:tc>
          <w:tcPr>
            <w:tcW w:w="4255"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9" w:hRule="atLeast"/>
        </w:trPr>
        <w:tc>
          <w:tcPr>
            <w:tcW w:w="1875" w:type="dxa"/>
            <w:vMerge w:val="continue"/>
            <w:vAlign w:val="top"/>
          </w:tcPr>
          <w:p>
            <w:pPr>
              <w:rPr>
                <w:rFonts w:ascii="Arial"/>
                <w:sz w:val="21"/>
              </w:rPr>
            </w:pPr>
          </w:p>
        </w:tc>
        <w:tc>
          <w:tcPr>
            <w:tcW w:w="1417" w:type="dxa"/>
            <w:vAlign w:val="top"/>
          </w:tcPr>
          <w:p>
            <w:pPr>
              <w:rPr>
                <w:rFonts w:ascii="Arial"/>
                <w:sz w:val="21"/>
              </w:rPr>
            </w:pPr>
          </w:p>
        </w:tc>
        <w:tc>
          <w:tcPr>
            <w:tcW w:w="1133" w:type="dxa"/>
            <w:vAlign w:val="top"/>
          </w:tcPr>
          <w:p>
            <w:pPr>
              <w:rPr>
                <w:rFonts w:ascii="Arial"/>
                <w:sz w:val="21"/>
              </w:rPr>
            </w:pPr>
          </w:p>
        </w:tc>
        <w:tc>
          <w:tcPr>
            <w:tcW w:w="1133" w:type="dxa"/>
            <w:vAlign w:val="top"/>
          </w:tcPr>
          <w:p>
            <w:pPr>
              <w:rPr>
                <w:rFonts w:ascii="Arial"/>
                <w:sz w:val="21"/>
              </w:rPr>
            </w:pPr>
          </w:p>
        </w:tc>
        <w:tc>
          <w:tcPr>
            <w:tcW w:w="4255"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9" w:hRule="atLeast"/>
        </w:trPr>
        <w:tc>
          <w:tcPr>
            <w:tcW w:w="1875" w:type="dxa"/>
            <w:vMerge w:val="continue"/>
            <w:vAlign w:val="top"/>
          </w:tcPr>
          <w:p>
            <w:pPr>
              <w:rPr>
                <w:rFonts w:ascii="Arial"/>
                <w:sz w:val="21"/>
              </w:rPr>
            </w:pPr>
          </w:p>
        </w:tc>
        <w:tc>
          <w:tcPr>
            <w:tcW w:w="1417" w:type="dxa"/>
            <w:vAlign w:val="top"/>
          </w:tcPr>
          <w:p>
            <w:pPr>
              <w:rPr>
                <w:rFonts w:ascii="Arial"/>
                <w:sz w:val="21"/>
              </w:rPr>
            </w:pPr>
          </w:p>
        </w:tc>
        <w:tc>
          <w:tcPr>
            <w:tcW w:w="1133" w:type="dxa"/>
            <w:vAlign w:val="top"/>
          </w:tcPr>
          <w:p>
            <w:pPr>
              <w:rPr>
                <w:rFonts w:ascii="Arial"/>
                <w:sz w:val="21"/>
              </w:rPr>
            </w:pPr>
          </w:p>
        </w:tc>
        <w:tc>
          <w:tcPr>
            <w:tcW w:w="1133" w:type="dxa"/>
            <w:vAlign w:val="top"/>
          </w:tcPr>
          <w:p>
            <w:pPr>
              <w:rPr>
                <w:rFonts w:ascii="Arial"/>
                <w:sz w:val="21"/>
              </w:rPr>
            </w:pPr>
          </w:p>
        </w:tc>
        <w:tc>
          <w:tcPr>
            <w:tcW w:w="4255"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9" w:hRule="atLeast"/>
        </w:trPr>
        <w:tc>
          <w:tcPr>
            <w:tcW w:w="1875" w:type="dxa"/>
            <w:vMerge w:val="continue"/>
            <w:vAlign w:val="top"/>
          </w:tcPr>
          <w:p>
            <w:pPr>
              <w:rPr>
                <w:rFonts w:ascii="Arial"/>
                <w:sz w:val="21"/>
              </w:rPr>
            </w:pPr>
          </w:p>
        </w:tc>
        <w:tc>
          <w:tcPr>
            <w:tcW w:w="1417" w:type="dxa"/>
            <w:vAlign w:val="top"/>
          </w:tcPr>
          <w:p>
            <w:pPr>
              <w:rPr>
                <w:rFonts w:ascii="Arial"/>
                <w:sz w:val="21"/>
              </w:rPr>
            </w:pPr>
          </w:p>
        </w:tc>
        <w:tc>
          <w:tcPr>
            <w:tcW w:w="1133" w:type="dxa"/>
            <w:vAlign w:val="top"/>
          </w:tcPr>
          <w:p>
            <w:pPr>
              <w:rPr>
                <w:rFonts w:ascii="Arial"/>
                <w:sz w:val="21"/>
              </w:rPr>
            </w:pPr>
          </w:p>
        </w:tc>
        <w:tc>
          <w:tcPr>
            <w:tcW w:w="1133" w:type="dxa"/>
            <w:vAlign w:val="top"/>
          </w:tcPr>
          <w:p>
            <w:pPr>
              <w:rPr>
                <w:rFonts w:ascii="Arial"/>
                <w:sz w:val="21"/>
              </w:rPr>
            </w:pPr>
          </w:p>
        </w:tc>
        <w:tc>
          <w:tcPr>
            <w:tcW w:w="4255"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9" w:hRule="atLeast"/>
        </w:trPr>
        <w:tc>
          <w:tcPr>
            <w:tcW w:w="1875" w:type="dxa"/>
            <w:vMerge w:val="continue"/>
            <w:vAlign w:val="top"/>
          </w:tcPr>
          <w:p>
            <w:pPr>
              <w:rPr>
                <w:rFonts w:ascii="Arial"/>
                <w:sz w:val="21"/>
              </w:rPr>
            </w:pPr>
          </w:p>
        </w:tc>
        <w:tc>
          <w:tcPr>
            <w:tcW w:w="1417" w:type="dxa"/>
            <w:vAlign w:val="top"/>
          </w:tcPr>
          <w:p>
            <w:pPr>
              <w:rPr>
                <w:rFonts w:ascii="Arial"/>
                <w:sz w:val="21"/>
              </w:rPr>
            </w:pPr>
          </w:p>
        </w:tc>
        <w:tc>
          <w:tcPr>
            <w:tcW w:w="1133" w:type="dxa"/>
            <w:vAlign w:val="top"/>
          </w:tcPr>
          <w:p>
            <w:pPr>
              <w:rPr>
                <w:rFonts w:ascii="Arial"/>
                <w:sz w:val="21"/>
              </w:rPr>
            </w:pPr>
          </w:p>
        </w:tc>
        <w:tc>
          <w:tcPr>
            <w:tcW w:w="1133" w:type="dxa"/>
            <w:vAlign w:val="top"/>
          </w:tcPr>
          <w:p>
            <w:pPr>
              <w:rPr>
                <w:rFonts w:ascii="Arial"/>
                <w:sz w:val="21"/>
              </w:rPr>
            </w:pPr>
          </w:p>
        </w:tc>
        <w:tc>
          <w:tcPr>
            <w:tcW w:w="4255"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9" w:hRule="atLeast"/>
        </w:trPr>
        <w:tc>
          <w:tcPr>
            <w:tcW w:w="1875" w:type="dxa"/>
            <w:vMerge w:val="continue"/>
            <w:vAlign w:val="top"/>
          </w:tcPr>
          <w:p>
            <w:pPr>
              <w:rPr>
                <w:rFonts w:ascii="Arial"/>
                <w:sz w:val="21"/>
              </w:rPr>
            </w:pPr>
          </w:p>
        </w:tc>
        <w:tc>
          <w:tcPr>
            <w:tcW w:w="1417" w:type="dxa"/>
            <w:vAlign w:val="top"/>
          </w:tcPr>
          <w:p>
            <w:pPr>
              <w:rPr>
                <w:rFonts w:ascii="Arial"/>
                <w:sz w:val="21"/>
              </w:rPr>
            </w:pPr>
          </w:p>
        </w:tc>
        <w:tc>
          <w:tcPr>
            <w:tcW w:w="1133" w:type="dxa"/>
            <w:vAlign w:val="top"/>
          </w:tcPr>
          <w:p>
            <w:pPr>
              <w:rPr>
                <w:rFonts w:ascii="Arial"/>
                <w:sz w:val="21"/>
              </w:rPr>
            </w:pPr>
          </w:p>
        </w:tc>
        <w:tc>
          <w:tcPr>
            <w:tcW w:w="1133" w:type="dxa"/>
            <w:vAlign w:val="top"/>
          </w:tcPr>
          <w:p>
            <w:pPr>
              <w:rPr>
                <w:rFonts w:ascii="Arial"/>
                <w:sz w:val="21"/>
              </w:rPr>
            </w:pPr>
          </w:p>
        </w:tc>
        <w:tc>
          <w:tcPr>
            <w:tcW w:w="4255"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9" w:hRule="atLeast"/>
        </w:trPr>
        <w:tc>
          <w:tcPr>
            <w:tcW w:w="1875" w:type="dxa"/>
            <w:vMerge w:val="continue"/>
            <w:vAlign w:val="top"/>
          </w:tcPr>
          <w:p>
            <w:pPr>
              <w:rPr>
                <w:rFonts w:ascii="Arial"/>
                <w:sz w:val="21"/>
              </w:rPr>
            </w:pPr>
          </w:p>
        </w:tc>
        <w:tc>
          <w:tcPr>
            <w:tcW w:w="1417" w:type="dxa"/>
            <w:vAlign w:val="top"/>
          </w:tcPr>
          <w:p>
            <w:pPr>
              <w:rPr>
                <w:rFonts w:ascii="Arial"/>
                <w:sz w:val="21"/>
              </w:rPr>
            </w:pPr>
          </w:p>
        </w:tc>
        <w:tc>
          <w:tcPr>
            <w:tcW w:w="1133" w:type="dxa"/>
            <w:vAlign w:val="top"/>
          </w:tcPr>
          <w:p>
            <w:pPr>
              <w:rPr>
                <w:rFonts w:ascii="Arial"/>
                <w:sz w:val="21"/>
              </w:rPr>
            </w:pPr>
          </w:p>
        </w:tc>
        <w:tc>
          <w:tcPr>
            <w:tcW w:w="1133" w:type="dxa"/>
            <w:vAlign w:val="top"/>
          </w:tcPr>
          <w:p>
            <w:pPr>
              <w:rPr>
                <w:rFonts w:ascii="Arial"/>
                <w:sz w:val="21"/>
              </w:rPr>
            </w:pPr>
          </w:p>
        </w:tc>
        <w:tc>
          <w:tcPr>
            <w:tcW w:w="4255"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9" w:hRule="atLeast"/>
        </w:trPr>
        <w:tc>
          <w:tcPr>
            <w:tcW w:w="1875" w:type="dxa"/>
            <w:vMerge w:val="continue"/>
            <w:vAlign w:val="top"/>
          </w:tcPr>
          <w:p>
            <w:pPr>
              <w:rPr>
                <w:rFonts w:ascii="Arial"/>
                <w:sz w:val="21"/>
              </w:rPr>
            </w:pPr>
          </w:p>
        </w:tc>
        <w:tc>
          <w:tcPr>
            <w:tcW w:w="1417" w:type="dxa"/>
            <w:vAlign w:val="top"/>
          </w:tcPr>
          <w:p>
            <w:pPr>
              <w:rPr>
                <w:rFonts w:ascii="Arial"/>
                <w:sz w:val="21"/>
              </w:rPr>
            </w:pPr>
          </w:p>
        </w:tc>
        <w:tc>
          <w:tcPr>
            <w:tcW w:w="1133" w:type="dxa"/>
            <w:vAlign w:val="top"/>
          </w:tcPr>
          <w:p>
            <w:pPr>
              <w:rPr>
                <w:rFonts w:ascii="Arial"/>
                <w:sz w:val="21"/>
              </w:rPr>
            </w:pPr>
          </w:p>
        </w:tc>
        <w:tc>
          <w:tcPr>
            <w:tcW w:w="1133" w:type="dxa"/>
            <w:vAlign w:val="top"/>
          </w:tcPr>
          <w:p>
            <w:pPr>
              <w:rPr>
                <w:rFonts w:ascii="Arial"/>
                <w:sz w:val="21"/>
              </w:rPr>
            </w:pPr>
          </w:p>
        </w:tc>
        <w:tc>
          <w:tcPr>
            <w:tcW w:w="4255" w:type="dxa"/>
            <w:vAlign w:val="top"/>
          </w:tcPr>
          <w:p>
            <w:pPr>
              <w:rPr>
                <w:rFonts w:ascii="Arial"/>
                <w:sz w:val="21"/>
              </w:rPr>
            </w:pPr>
          </w:p>
        </w:tc>
      </w:tr>
    </w:tbl>
    <w:p>
      <w:pPr>
        <w:spacing w:line="129" w:lineRule="exact"/>
      </w:pPr>
    </w:p>
    <w:p>
      <w:pPr>
        <w:spacing w:before="75" w:line="227" w:lineRule="auto"/>
        <w:ind w:left="28"/>
        <w:rPr>
          <w:rFonts w:ascii="宋体" w:hAnsi="宋体" w:eastAsia="宋体" w:cs="宋体"/>
          <w:spacing w:val="-12"/>
          <w:sz w:val="23"/>
          <w:szCs w:val="23"/>
        </w:rPr>
      </w:pPr>
    </w:p>
    <w:p>
      <w:pPr>
        <w:spacing w:before="75" w:line="227" w:lineRule="auto"/>
        <w:ind w:left="28"/>
        <w:rPr>
          <w:rFonts w:ascii="宋体" w:hAnsi="宋体" w:eastAsia="宋体" w:cs="宋体"/>
          <w:spacing w:val="-12"/>
          <w:sz w:val="23"/>
          <w:szCs w:val="23"/>
        </w:rPr>
      </w:pPr>
    </w:p>
    <w:p>
      <w:pPr>
        <w:spacing w:before="75" w:line="227" w:lineRule="auto"/>
        <w:ind w:left="28"/>
        <w:rPr>
          <w:rFonts w:ascii="宋体" w:hAnsi="宋体" w:eastAsia="宋体" w:cs="宋体"/>
          <w:sz w:val="28"/>
          <w:szCs w:val="28"/>
        </w:rPr>
      </w:pPr>
      <w:r>
        <w:rPr>
          <w:rFonts w:ascii="宋体" w:hAnsi="宋体" w:eastAsia="宋体" w:cs="宋体"/>
          <w:spacing w:val="-12"/>
          <w:sz w:val="28"/>
          <w:szCs w:val="28"/>
        </w:rPr>
        <w:t>附</w:t>
      </w:r>
      <w:r>
        <w:rPr>
          <w:rFonts w:ascii="宋体" w:hAnsi="宋体" w:eastAsia="宋体" w:cs="宋体"/>
          <w:spacing w:val="-8"/>
          <w:sz w:val="28"/>
          <w:szCs w:val="28"/>
        </w:rPr>
        <w:t>件8：</w:t>
      </w:r>
    </w:p>
    <w:p>
      <w:pPr>
        <w:spacing w:line="339" w:lineRule="auto"/>
        <w:rPr>
          <w:rFonts w:ascii="Arial"/>
          <w:sz w:val="24"/>
          <w:szCs w:val="32"/>
        </w:rPr>
      </w:pPr>
    </w:p>
    <w:p>
      <w:pPr>
        <w:spacing w:before="75" w:line="227" w:lineRule="auto"/>
        <w:ind w:left="3890"/>
        <w:rPr>
          <w:rFonts w:ascii="宋体" w:hAnsi="宋体" w:eastAsia="宋体" w:cs="宋体"/>
          <w:sz w:val="28"/>
          <w:szCs w:val="28"/>
        </w:rPr>
      </w:pPr>
      <w:r>
        <w:rPr>
          <w:rFonts w:ascii="宋体" w:hAnsi="宋体" w:eastAsia="宋体" w:cs="宋体"/>
          <w:spacing w:val="10"/>
          <w:sz w:val="28"/>
          <w:szCs w:val="28"/>
        </w:rPr>
        <w:t>预</w:t>
      </w:r>
      <w:r>
        <w:rPr>
          <w:rFonts w:ascii="宋体" w:hAnsi="宋体" w:eastAsia="宋体" w:cs="宋体"/>
          <w:spacing w:val="7"/>
          <w:sz w:val="28"/>
          <w:szCs w:val="28"/>
        </w:rPr>
        <w:t>付款担保</w:t>
      </w:r>
    </w:p>
    <w:p>
      <w:pPr>
        <w:tabs>
          <w:tab w:val="left" w:pos="2476"/>
        </w:tabs>
        <w:spacing w:before="165" w:line="228" w:lineRule="auto"/>
        <w:rPr>
          <w:rFonts w:ascii="宋体" w:hAnsi="宋体" w:eastAsia="宋体" w:cs="宋体"/>
          <w:sz w:val="23"/>
          <w:szCs w:val="23"/>
        </w:rPr>
      </w:pPr>
      <w:r>
        <w:rPr>
          <w:rFonts w:ascii="宋体" w:hAnsi="宋体" w:eastAsia="宋体" w:cs="宋体"/>
          <w:sz w:val="23"/>
          <w:szCs w:val="23"/>
          <w:u w:val="single" w:color="auto"/>
        </w:rPr>
        <w:tab/>
      </w:r>
      <w:r>
        <w:rPr>
          <w:rFonts w:ascii="宋体" w:hAnsi="宋体" w:eastAsia="宋体" w:cs="宋体"/>
          <w:spacing w:val="10"/>
          <w:sz w:val="23"/>
          <w:szCs w:val="23"/>
        </w:rPr>
        <w:t>(</w:t>
      </w:r>
      <w:r>
        <w:rPr>
          <w:rFonts w:ascii="宋体" w:hAnsi="宋体" w:eastAsia="宋体" w:cs="宋体"/>
          <w:spacing w:val="5"/>
          <w:sz w:val="23"/>
          <w:szCs w:val="23"/>
        </w:rPr>
        <w:t>发包人名称)：</w:t>
      </w:r>
    </w:p>
    <w:p>
      <w:pPr>
        <w:spacing w:line="285" w:lineRule="auto"/>
        <w:rPr>
          <w:rFonts w:ascii="Arial"/>
          <w:sz w:val="21"/>
        </w:rPr>
      </w:pPr>
    </w:p>
    <w:p>
      <w:pPr>
        <w:spacing w:line="286" w:lineRule="auto"/>
        <w:rPr>
          <w:rFonts w:ascii="Arial"/>
          <w:sz w:val="21"/>
        </w:rPr>
      </w:pPr>
    </w:p>
    <w:p>
      <w:pPr>
        <w:spacing w:before="75" w:line="227" w:lineRule="auto"/>
        <w:ind w:left="489"/>
        <w:rPr>
          <w:rFonts w:ascii="宋体" w:hAnsi="宋体" w:eastAsia="宋体" w:cs="宋体"/>
          <w:sz w:val="23"/>
          <w:szCs w:val="23"/>
        </w:rPr>
      </w:pPr>
      <w:r>
        <w:rPr>
          <w:rFonts w:ascii="宋体" w:hAnsi="宋体" w:eastAsia="宋体" w:cs="宋体"/>
          <w:spacing w:val="16"/>
          <w:sz w:val="23"/>
          <w:szCs w:val="23"/>
        </w:rPr>
        <w:t>根据</w:t>
      </w:r>
      <w:r>
        <w:rPr>
          <w:rFonts w:ascii="宋体" w:hAnsi="宋体" w:eastAsia="宋体" w:cs="宋体"/>
          <w:spacing w:val="8"/>
          <w:sz w:val="23"/>
          <w:szCs w:val="23"/>
        </w:rPr>
        <w:t>(承包人名称)(以下称“承包人”)与(发包人名称)</w:t>
      </w:r>
    </w:p>
    <w:p>
      <w:pPr>
        <w:spacing w:before="184" w:line="227" w:lineRule="auto"/>
        <w:ind w:left="21"/>
        <w:rPr>
          <w:rFonts w:ascii="宋体" w:hAnsi="宋体" w:eastAsia="宋体" w:cs="宋体"/>
          <w:sz w:val="23"/>
          <w:szCs w:val="23"/>
        </w:rPr>
      </w:pPr>
      <w:r>
        <w:rPr>
          <w:rFonts w:ascii="宋体" w:hAnsi="宋体" w:eastAsia="宋体" w:cs="宋体"/>
          <w:spacing w:val="24"/>
          <w:sz w:val="23"/>
          <w:szCs w:val="23"/>
        </w:rPr>
        <w:t>(</w:t>
      </w:r>
      <w:r>
        <w:rPr>
          <w:rFonts w:ascii="宋体" w:hAnsi="宋体" w:eastAsia="宋体" w:cs="宋体"/>
          <w:spacing w:val="17"/>
          <w:sz w:val="23"/>
          <w:szCs w:val="23"/>
        </w:rPr>
        <w:t>以下简称“发包人”)</w:t>
      </w:r>
    </w:p>
    <w:p>
      <w:pPr>
        <w:spacing w:before="183" w:line="375" w:lineRule="auto"/>
        <w:ind w:left="9" w:firstLine="3"/>
        <w:rPr>
          <w:rFonts w:ascii="宋体" w:hAnsi="宋体" w:eastAsia="宋体" w:cs="宋体"/>
          <w:sz w:val="23"/>
          <w:szCs w:val="23"/>
        </w:rPr>
      </w:pPr>
      <w:r>
        <w:rPr>
          <w:rFonts w:ascii="宋体" w:hAnsi="宋体" w:eastAsia="宋体" w:cs="宋体"/>
          <w:spacing w:val="-4"/>
          <w:sz w:val="23"/>
          <w:szCs w:val="23"/>
        </w:rPr>
        <w:t>于年</w:t>
      </w:r>
      <w:r>
        <w:rPr>
          <w:rFonts w:ascii="宋体" w:hAnsi="宋体" w:eastAsia="宋体" w:cs="宋体"/>
          <w:spacing w:val="-2"/>
          <w:sz w:val="23"/>
          <w:szCs w:val="23"/>
        </w:rPr>
        <w:t>月日签订的(工程名称)《建设工程施工合</w:t>
      </w:r>
      <w:r>
        <w:rPr>
          <w:rFonts w:ascii="宋体" w:hAnsi="宋体" w:eastAsia="宋体" w:cs="宋体"/>
          <w:spacing w:val="12"/>
          <w:sz w:val="23"/>
          <w:szCs w:val="23"/>
        </w:rPr>
        <w:t>同》，承包人按约定的金额向你方提交一份预付款担保，即有权得到你方支付相等</w:t>
      </w:r>
      <w:r>
        <w:rPr>
          <w:rFonts w:ascii="宋体" w:hAnsi="宋体" w:eastAsia="宋体" w:cs="宋体"/>
          <w:spacing w:val="7"/>
          <w:sz w:val="23"/>
          <w:szCs w:val="23"/>
        </w:rPr>
        <w:t>金</w:t>
      </w:r>
      <w:r>
        <w:rPr>
          <w:rFonts w:ascii="宋体" w:hAnsi="宋体" w:eastAsia="宋体" w:cs="宋体"/>
          <w:spacing w:val="18"/>
          <w:sz w:val="23"/>
          <w:szCs w:val="23"/>
        </w:rPr>
        <w:t>额</w:t>
      </w:r>
      <w:r>
        <w:rPr>
          <w:rFonts w:ascii="宋体" w:hAnsi="宋体" w:eastAsia="宋体" w:cs="宋体"/>
          <w:spacing w:val="16"/>
          <w:sz w:val="23"/>
          <w:szCs w:val="23"/>
        </w:rPr>
        <w:t>的</w:t>
      </w:r>
      <w:r>
        <w:rPr>
          <w:rFonts w:ascii="宋体" w:hAnsi="宋体" w:eastAsia="宋体" w:cs="宋体"/>
          <w:spacing w:val="9"/>
          <w:sz w:val="23"/>
          <w:szCs w:val="23"/>
        </w:rPr>
        <w:t>预付款。我方愿意就你方提供给承包人的预付款为承包人提供连带责任担保。</w:t>
      </w:r>
    </w:p>
    <w:p>
      <w:pPr>
        <w:spacing w:before="1" w:line="225" w:lineRule="auto"/>
        <w:ind w:left="507"/>
        <w:rPr>
          <w:rFonts w:ascii="宋体" w:hAnsi="宋体" w:eastAsia="宋体" w:cs="宋体"/>
          <w:sz w:val="23"/>
          <w:szCs w:val="23"/>
        </w:rPr>
      </w:pPr>
      <w:r>
        <w:rPr>
          <w:rFonts w:ascii="宋体" w:hAnsi="宋体" w:eastAsia="宋体" w:cs="宋体"/>
          <w:spacing w:val="6"/>
          <w:sz w:val="23"/>
          <w:szCs w:val="23"/>
        </w:rPr>
        <w:t>1</w:t>
      </w:r>
      <w:r>
        <w:rPr>
          <w:rFonts w:ascii="宋体" w:hAnsi="宋体" w:eastAsia="宋体" w:cs="宋体"/>
          <w:spacing w:val="5"/>
          <w:sz w:val="23"/>
          <w:szCs w:val="23"/>
        </w:rPr>
        <w:t>.</w:t>
      </w:r>
      <w:r>
        <w:rPr>
          <w:rFonts w:ascii="宋体" w:hAnsi="宋体" w:eastAsia="宋体" w:cs="宋体"/>
          <w:spacing w:val="3"/>
          <w:sz w:val="23"/>
          <w:szCs w:val="23"/>
        </w:rPr>
        <w:t>担保金额人民币(大写)元(¥)。</w:t>
      </w:r>
    </w:p>
    <w:p>
      <w:pPr>
        <w:spacing w:before="183" w:line="375" w:lineRule="auto"/>
        <w:ind w:left="36" w:firstLine="456"/>
        <w:rPr>
          <w:rFonts w:ascii="宋体" w:hAnsi="宋体" w:eastAsia="宋体" w:cs="宋体"/>
          <w:sz w:val="23"/>
          <w:szCs w:val="23"/>
        </w:rPr>
      </w:pPr>
      <w:r>
        <w:rPr>
          <w:rFonts w:ascii="宋体" w:hAnsi="宋体" w:eastAsia="宋体" w:cs="宋体"/>
          <w:spacing w:val="13"/>
          <w:sz w:val="23"/>
          <w:szCs w:val="23"/>
        </w:rPr>
        <w:t>2</w:t>
      </w:r>
      <w:r>
        <w:rPr>
          <w:rFonts w:ascii="宋体" w:hAnsi="宋体" w:eastAsia="宋体" w:cs="宋体"/>
          <w:spacing w:val="8"/>
          <w:sz w:val="23"/>
          <w:szCs w:val="23"/>
        </w:rPr>
        <w:t>.担保有效期自预付款支付给承包人起生效，至你方签发的进度款支付证书说明</w:t>
      </w:r>
      <w:r>
        <w:rPr>
          <w:rFonts w:ascii="宋体" w:hAnsi="宋体" w:eastAsia="宋体" w:cs="宋体"/>
          <w:spacing w:val="6"/>
          <w:sz w:val="23"/>
          <w:szCs w:val="23"/>
        </w:rPr>
        <w:t>已</w:t>
      </w:r>
      <w:r>
        <w:rPr>
          <w:rFonts w:ascii="宋体" w:hAnsi="宋体" w:eastAsia="宋体" w:cs="宋体"/>
          <w:spacing w:val="3"/>
          <w:sz w:val="23"/>
          <w:szCs w:val="23"/>
        </w:rPr>
        <w:t>完全扣清止。</w:t>
      </w:r>
    </w:p>
    <w:p>
      <w:pPr>
        <w:spacing w:before="1" w:line="375" w:lineRule="auto"/>
        <w:ind w:left="8" w:firstLine="485"/>
        <w:rPr>
          <w:rFonts w:ascii="宋体" w:hAnsi="宋体" w:eastAsia="宋体" w:cs="宋体"/>
          <w:sz w:val="23"/>
          <w:szCs w:val="23"/>
        </w:rPr>
      </w:pPr>
      <w:r>
        <w:rPr>
          <w:rFonts w:ascii="宋体" w:hAnsi="宋体" w:eastAsia="宋体" w:cs="宋体"/>
          <w:spacing w:val="12"/>
          <w:sz w:val="23"/>
          <w:szCs w:val="23"/>
        </w:rPr>
        <w:t>3</w:t>
      </w:r>
      <w:r>
        <w:rPr>
          <w:rFonts w:ascii="宋体" w:hAnsi="宋体" w:eastAsia="宋体" w:cs="宋体"/>
          <w:spacing w:val="8"/>
          <w:sz w:val="23"/>
          <w:szCs w:val="23"/>
        </w:rPr>
        <w:t>.在本保函有效期内，因承包人违反合同约定的义务而要求收回预付款时，我方</w:t>
      </w:r>
      <w:r>
        <w:rPr>
          <w:rFonts w:ascii="宋体" w:hAnsi="宋体" w:eastAsia="宋体" w:cs="宋体"/>
          <w:spacing w:val="15"/>
          <w:sz w:val="23"/>
          <w:szCs w:val="23"/>
        </w:rPr>
        <w:t>在收到你方的书面通知后，在7天内无条件支付。但本保函的担保金额，在任何时候</w:t>
      </w:r>
      <w:r>
        <w:rPr>
          <w:rFonts w:ascii="宋体" w:hAnsi="宋体" w:eastAsia="宋体" w:cs="宋体"/>
          <w:spacing w:val="12"/>
          <w:sz w:val="23"/>
          <w:szCs w:val="23"/>
        </w:rPr>
        <w:t>不应超过预付款金额减去你方按合同约定在向承包人签发的进度款支付证书中扣除</w:t>
      </w:r>
      <w:r>
        <w:rPr>
          <w:rFonts w:ascii="宋体" w:hAnsi="宋体" w:eastAsia="宋体" w:cs="宋体"/>
          <w:spacing w:val="8"/>
          <w:sz w:val="23"/>
          <w:szCs w:val="23"/>
        </w:rPr>
        <w:t>的</w:t>
      </w:r>
      <w:r>
        <w:rPr>
          <w:rFonts w:ascii="宋体" w:hAnsi="宋体" w:eastAsia="宋体" w:cs="宋体"/>
          <w:spacing w:val="4"/>
          <w:sz w:val="23"/>
          <w:szCs w:val="23"/>
        </w:rPr>
        <w:t>金额</w:t>
      </w:r>
      <w:r>
        <w:rPr>
          <w:rFonts w:ascii="宋体" w:hAnsi="宋体" w:eastAsia="宋体" w:cs="宋体"/>
          <w:spacing w:val="3"/>
          <w:sz w:val="23"/>
          <w:szCs w:val="23"/>
        </w:rPr>
        <w:t>。</w:t>
      </w:r>
    </w:p>
    <w:p>
      <w:pPr>
        <w:spacing w:before="1" w:line="227" w:lineRule="auto"/>
        <w:ind w:left="488"/>
        <w:rPr>
          <w:rFonts w:ascii="宋体" w:hAnsi="宋体" w:eastAsia="宋体" w:cs="宋体"/>
          <w:sz w:val="23"/>
          <w:szCs w:val="23"/>
        </w:rPr>
      </w:pPr>
      <w:r>
        <w:rPr>
          <w:rFonts w:ascii="宋体" w:hAnsi="宋体" w:eastAsia="宋体" w:cs="宋体"/>
          <w:spacing w:val="10"/>
          <w:sz w:val="23"/>
          <w:szCs w:val="23"/>
        </w:rPr>
        <w:t>4</w:t>
      </w:r>
      <w:r>
        <w:rPr>
          <w:rFonts w:ascii="宋体" w:hAnsi="宋体" w:eastAsia="宋体" w:cs="宋体"/>
          <w:spacing w:val="9"/>
          <w:sz w:val="23"/>
          <w:szCs w:val="23"/>
        </w:rPr>
        <w:t>.你方和承包人按合同约定变更合同时，我方承担本保函规定的义务不变。</w:t>
      </w:r>
    </w:p>
    <w:p>
      <w:pPr>
        <w:spacing w:before="181" w:line="375" w:lineRule="auto"/>
        <w:ind w:left="8" w:firstLine="485"/>
        <w:rPr>
          <w:rFonts w:ascii="宋体" w:hAnsi="宋体" w:eastAsia="宋体" w:cs="宋体"/>
          <w:sz w:val="23"/>
          <w:szCs w:val="23"/>
        </w:rPr>
      </w:pPr>
      <w:r>
        <w:rPr>
          <w:rFonts w:ascii="宋体" w:hAnsi="宋体" w:eastAsia="宋体" w:cs="宋体"/>
          <w:spacing w:val="18"/>
          <w:sz w:val="23"/>
          <w:szCs w:val="23"/>
        </w:rPr>
        <w:t>5</w:t>
      </w:r>
      <w:r>
        <w:rPr>
          <w:rFonts w:ascii="宋体" w:hAnsi="宋体" w:eastAsia="宋体" w:cs="宋体"/>
          <w:spacing w:val="11"/>
          <w:sz w:val="23"/>
          <w:szCs w:val="23"/>
        </w:rPr>
        <w:t>.因本保函发生的纠纷，可由双方协商解决，协商不成的，任何一方均可提请</w:t>
      </w:r>
      <w:r>
        <w:rPr>
          <w:rFonts w:ascii="宋体" w:hAnsi="宋体" w:eastAsia="宋体" w:cs="宋体"/>
          <w:spacing w:val="12"/>
          <w:sz w:val="23"/>
          <w:szCs w:val="23"/>
        </w:rPr>
        <w:t>仲</w:t>
      </w:r>
      <w:r>
        <w:rPr>
          <w:rFonts w:ascii="宋体" w:hAnsi="宋体" w:eastAsia="宋体" w:cs="宋体"/>
          <w:spacing w:val="7"/>
          <w:sz w:val="23"/>
          <w:szCs w:val="23"/>
        </w:rPr>
        <w:t>裁委员会仲裁。</w:t>
      </w:r>
    </w:p>
    <w:p>
      <w:pPr>
        <w:spacing w:before="2" w:line="374" w:lineRule="auto"/>
        <w:ind w:left="10" w:right="239" w:firstLine="480"/>
        <w:rPr>
          <w:rFonts w:ascii="宋体" w:hAnsi="宋体" w:eastAsia="宋体" w:cs="宋体"/>
          <w:sz w:val="23"/>
          <w:szCs w:val="23"/>
        </w:rPr>
      </w:pPr>
      <w:r>
        <w:rPr>
          <w:rFonts w:ascii="宋体" w:hAnsi="宋体" w:eastAsia="宋体" w:cs="宋体"/>
          <w:spacing w:val="14"/>
          <w:sz w:val="23"/>
          <w:szCs w:val="23"/>
        </w:rPr>
        <w:t>6.</w:t>
      </w:r>
      <w:r>
        <w:rPr>
          <w:rFonts w:ascii="宋体" w:hAnsi="宋体" w:eastAsia="宋体" w:cs="宋体"/>
          <w:spacing w:val="13"/>
          <w:sz w:val="23"/>
          <w:szCs w:val="23"/>
        </w:rPr>
        <w:t>本</w:t>
      </w:r>
      <w:r>
        <w:rPr>
          <w:rFonts w:ascii="宋体" w:hAnsi="宋体" w:eastAsia="宋体" w:cs="宋体"/>
          <w:spacing w:val="7"/>
          <w:sz w:val="23"/>
          <w:szCs w:val="23"/>
        </w:rPr>
        <w:t>保函自我方法定代表人(或其授权代理人)签字并加盖公章之日起生效。</w:t>
      </w:r>
      <w:r>
        <w:rPr>
          <w:rFonts w:ascii="宋体" w:hAnsi="宋体" w:eastAsia="宋体" w:cs="宋体"/>
          <w:spacing w:val="-1"/>
          <w:sz w:val="23"/>
          <w:szCs w:val="23"/>
        </w:rPr>
        <w:t>担保人：</w:t>
      </w:r>
      <w:r>
        <w:rPr>
          <w:rFonts w:ascii="宋体" w:hAnsi="宋体" w:eastAsia="宋体" w:cs="宋体"/>
          <w:sz w:val="23"/>
          <w:szCs w:val="23"/>
        </w:rPr>
        <w:t>(盖单位章)</w:t>
      </w:r>
    </w:p>
    <w:p>
      <w:pPr>
        <w:spacing w:before="1" w:line="223" w:lineRule="auto"/>
        <w:ind w:left="10"/>
        <w:rPr>
          <w:rFonts w:ascii="宋体" w:hAnsi="宋体" w:eastAsia="宋体" w:cs="宋体"/>
          <w:sz w:val="23"/>
          <w:szCs w:val="23"/>
        </w:rPr>
      </w:pPr>
      <w:r>
        <w:rPr>
          <w:rFonts w:ascii="宋体" w:hAnsi="宋体" w:eastAsia="宋体" w:cs="宋体"/>
          <w:spacing w:val="-1"/>
          <w:sz w:val="23"/>
          <w:szCs w:val="23"/>
        </w:rPr>
        <w:t>法定代表人或其委托代理人：</w:t>
      </w:r>
      <w:r>
        <w:rPr>
          <w:rFonts w:ascii="宋体" w:hAnsi="宋体" w:eastAsia="宋体" w:cs="宋体"/>
          <w:sz w:val="23"/>
          <w:szCs w:val="23"/>
        </w:rPr>
        <w:t>(签字)</w:t>
      </w:r>
    </w:p>
    <w:p>
      <w:pPr>
        <w:spacing w:before="189" w:line="374" w:lineRule="auto"/>
        <w:ind w:left="9"/>
        <w:rPr>
          <w:rFonts w:hint="eastAsia" w:ascii="宋体" w:hAnsi="宋体" w:eastAsia="宋体" w:cs="宋体"/>
          <w:sz w:val="23"/>
          <w:szCs w:val="23"/>
          <w:lang w:eastAsia="zh-CN"/>
        </w:rPr>
      </w:pPr>
      <w:r>
        <w:rPr>
          <w:rFonts w:ascii="宋体" w:hAnsi="宋体" w:eastAsia="宋体" w:cs="宋体"/>
          <w:spacing w:val="-12"/>
          <w:sz w:val="23"/>
          <w:szCs w:val="23"/>
        </w:rPr>
        <w:t>地</w:t>
      </w:r>
      <w:r>
        <w:rPr>
          <w:rFonts w:ascii="宋体" w:hAnsi="宋体" w:eastAsia="宋体" w:cs="宋体"/>
          <w:spacing w:val="-10"/>
          <w:sz w:val="23"/>
          <w:szCs w:val="23"/>
        </w:rPr>
        <w:t>址：</w:t>
      </w:r>
    </w:p>
    <w:p>
      <w:pPr>
        <w:spacing w:line="227" w:lineRule="auto"/>
        <w:ind w:left="27"/>
        <w:rPr>
          <w:rFonts w:hint="eastAsia" w:ascii="宋体" w:hAnsi="宋体" w:eastAsia="宋体" w:cs="宋体"/>
          <w:sz w:val="23"/>
          <w:szCs w:val="23"/>
          <w:lang w:eastAsia="zh-CN"/>
        </w:rPr>
      </w:pPr>
      <w:r>
        <w:rPr>
          <w:rFonts w:ascii="宋体" w:hAnsi="宋体" w:eastAsia="宋体" w:cs="宋体"/>
          <w:spacing w:val="4"/>
          <w:sz w:val="23"/>
          <w:szCs w:val="23"/>
        </w:rPr>
        <w:t>邮</w:t>
      </w:r>
      <w:r>
        <w:rPr>
          <w:rFonts w:ascii="宋体" w:hAnsi="宋体" w:eastAsia="宋体" w:cs="宋体"/>
          <w:spacing w:val="2"/>
          <w:sz w:val="23"/>
          <w:szCs w:val="23"/>
        </w:rPr>
        <w:t>政编码：</w:t>
      </w:r>
    </w:p>
    <w:p>
      <w:pPr>
        <w:spacing w:before="184" w:line="230" w:lineRule="auto"/>
        <w:ind w:left="38"/>
        <w:rPr>
          <w:rFonts w:hint="eastAsia" w:ascii="宋体" w:hAnsi="宋体" w:eastAsia="宋体" w:cs="宋体"/>
          <w:sz w:val="23"/>
          <w:szCs w:val="23"/>
          <w:lang w:eastAsia="zh-CN"/>
        </w:rPr>
      </w:pPr>
      <w:r>
        <w:rPr>
          <w:rFonts w:ascii="宋体" w:hAnsi="宋体" w:eastAsia="宋体" w:cs="宋体"/>
          <w:spacing w:val="-19"/>
          <w:sz w:val="23"/>
          <w:szCs w:val="23"/>
        </w:rPr>
        <w:t>电</w:t>
      </w:r>
      <w:r>
        <w:rPr>
          <w:rFonts w:ascii="宋体" w:hAnsi="宋体" w:eastAsia="宋体" w:cs="宋体"/>
          <w:spacing w:val="-13"/>
          <w:sz w:val="23"/>
          <w:szCs w:val="23"/>
        </w:rPr>
        <w:t>话：</w:t>
      </w:r>
    </w:p>
    <w:p>
      <w:pPr>
        <w:spacing w:before="180" w:line="224" w:lineRule="auto"/>
        <w:ind w:left="8"/>
        <w:rPr>
          <w:rFonts w:hint="eastAsia" w:ascii="宋体" w:hAnsi="宋体" w:eastAsia="宋体" w:cs="宋体"/>
          <w:b/>
          <w:color w:val="auto"/>
          <w:spacing w:val="-20"/>
          <w:sz w:val="32"/>
          <w:szCs w:val="24"/>
        </w:rPr>
      </w:pPr>
      <w:r>
        <w:rPr>
          <w:rFonts w:ascii="宋体" w:hAnsi="宋体" w:eastAsia="宋体" w:cs="宋体"/>
          <w:spacing w:val="-10"/>
          <w:sz w:val="23"/>
          <w:szCs w:val="23"/>
        </w:rPr>
        <w:t>传真：</w:t>
      </w:r>
      <w:r>
        <w:rPr>
          <w:rFonts w:ascii="宋体" w:hAnsi="宋体" w:eastAsia="宋体" w:cs="宋体"/>
          <w:sz w:val="23"/>
          <w:szCs w:val="23"/>
          <w:u w:val="single" w:color="auto"/>
        </w:rPr>
        <w:tab/>
      </w:r>
      <w:r>
        <w:rPr>
          <w:rFonts w:ascii="宋体" w:hAnsi="宋体" w:eastAsia="宋体" w:cs="宋体"/>
          <w:spacing w:val="-9"/>
          <w:sz w:val="23"/>
          <w:szCs w:val="23"/>
        </w:rPr>
        <w:t>年</w:t>
      </w:r>
      <w:r>
        <w:rPr>
          <w:rFonts w:ascii="宋体" w:hAnsi="宋体" w:eastAsia="宋体" w:cs="宋体"/>
          <w:spacing w:val="-5"/>
          <w:sz w:val="23"/>
          <w:szCs w:val="23"/>
        </w:rPr>
        <w:t>月日</w:t>
      </w:r>
    </w:p>
    <w:p>
      <w:pPr>
        <w:pStyle w:val="4"/>
        <w:numPr>
          <w:ilvl w:val="0"/>
          <w:numId w:val="0"/>
        </w:numPr>
        <w:ind w:left="2940" w:leftChars="0"/>
        <w:jc w:val="both"/>
        <w:rPr>
          <w:rFonts w:hint="eastAsia" w:ascii="宋体" w:hAnsi="宋体" w:eastAsia="宋体" w:cs="宋体"/>
          <w:b/>
          <w:color w:val="auto"/>
          <w:spacing w:val="-20"/>
          <w:sz w:val="32"/>
          <w:szCs w:val="24"/>
        </w:rPr>
      </w:pPr>
    </w:p>
    <w:p>
      <w:pPr>
        <w:spacing w:before="75" w:line="227" w:lineRule="auto"/>
        <w:ind w:left="28"/>
        <w:rPr>
          <w:rFonts w:ascii="宋体" w:hAnsi="宋体" w:eastAsia="宋体" w:cs="宋体"/>
          <w:spacing w:val="-4"/>
          <w:sz w:val="23"/>
          <w:szCs w:val="23"/>
        </w:rPr>
      </w:pPr>
    </w:p>
    <w:p>
      <w:pPr>
        <w:spacing w:before="75" w:line="227" w:lineRule="auto"/>
        <w:ind w:left="28"/>
        <w:rPr>
          <w:rFonts w:ascii="宋体" w:hAnsi="宋体" w:eastAsia="宋体" w:cs="宋体"/>
          <w:spacing w:val="-4"/>
          <w:sz w:val="23"/>
          <w:szCs w:val="23"/>
        </w:rPr>
      </w:pPr>
    </w:p>
    <w:p>
      <w:pPr>
        <w:spacing w:before="75" w:line="227" w:lineRule="auto"/>
        <w:ind w:left="28"/>
        <w:rPr>
          <w:rFonts w:ascii="宋体" w:hAnsi="宋体" w:eastAsia="宋体" w:cs="宋体"/>
          <w:spacing w:val="-4"/>
          <w:sz w:val="32"/>
          <w:szCs w:val="32"/>
        </w:rPr>
      </w:pPr>
    </w:p>
    <w:p>
      <w:pPr>
        <w:spacing w:before="75" w:line="227" w:lineRule="auto"/>
        <w:ind w:left="28"/>
        <w:rPr>
          <w:rFonts w:ascii="宋体" w:hAnsi="宋体" w:eastAsia="宋体" w:cs="宋体"/>
          <w:spacing w:val="-4"/>
          <w:sz w:val="32"/>
          <w:szCs w:val="32"/>
        </w:rPr>
      </w:pPr>
    </w:p>
    <w:p>
      <w:pPr>
        <w:spacing w:before="75" w:line="227" w:lineRule="auto"/>
        <w:ind w:left="28"/>
        <w:rPr>
          <w:rFonts w:ascii="宋体" w:hAnsi="宋体" w:eastAsia="宋体" w:cs="宋体"/>
          <w:sz w:val="32"/>
          <w:szCs w:val="32"/>
        </w:rPr>
      </w:pPr>
      <w:r>
        <w:rPr>
          <w:rFonts w:ascii="宋体" w:hAnsi="宋体" w:eastAsia="宋体" w:cs="宋体"/>
          <w:spacing w:val="-4"/>
          <w:sz w:val="32"/>
          <w:szCs w:val="32"/>
        </w:rPr>
        <w:t>附</w:t>
      </w:r>
      <w:r>
        <w:rPr>
          <w:rFonts w:ascii="宋体" w:hAnsi="宋体" w:eastAsia="宋体" w:cs="宋体"/>
          <w:spacing w:val="-3"/>
          <w:sz w:val="32"/>
          <w:szCs w:val="32"/>
        </w:rPr>
        <w:t>件</w:t>
      </w:r>
      <w:r>
        <w:rPr>
          <w:rFonts w:ascii="宋体" w:hAnsi="宋体" w:eastAsia="宋体" w:cs="宋体"/>
          <w:spacing w:val="-2"/>
          <w:sz w:val="32"/>
          <w:szCs w:val="32"/>
        </w:rPr>
        <w:t>9:</w:t>
      </w:r>
    </w:p>
    <w:p>
      <w:pPr>
        <w:spacing w:before="277" w:line="227" w:lineRule="auto"/>
        <w:ind w:left="4009"/>
        <w:rPr>
          <w:rFonts w:ascii="宋体" w:hAnsi="宋体" w:eastAsia="宋体" w:cs="宋体"/>
          <w:sz w:val="32"/>
          <w:szCs w:val="32"/>
        </w:rPr>
      </w:pPr>
      <w:r>
        <w:rPr>
          <w:rFonts w:ascii="宋体" w:hAnsi="宋体" w:eastAsia="宋体" w:cs="宋体"/>
          <w:spacing w:val="8"/>
          <w:sz w:val="32"/>
          <w:szCs w:val="32"/>
        </w:rPr>
        <w:t>支</w:t>
      </w:r>
      <w:r>
        <w:rPr>
          <w:rFonts w:ascii="宋体" w:hAnsi="宋体" w:eastAsia="宋体" w:cs="宋体"/>
          <w:spacing w:val="7"/>
          <w:sz w:val="32"/>
          <w:szCs w:val="32"/>
        </w:rPr>
        <w:t>付担保</w:t>
      </w:r>
    </w:p>
    <w:p>
      <w:pPr>
        <w:tabs>
          <w:tab w:val="left" w:pos="1696"/>
        </w:tabs>
        <w:spacing w:before="276" w:line="227" w:lineRule="auto"/>
        <w:rPr>
          <w:rFonts w:ascii="宋体" w:hAnsi="宋体" w:eastAsia="宋体" w:cs="宋体"/>
          <w:sz w:val="23"/>
          <w:szCs w:val="23"/>
        </w:rPr>
      </w:pPr>
      <w:r>
        <w:rPr>
          <w:rFonts w:ascii="宋体" w:hAnsi="宋体" w:eastAsia="宋体" w:cs="宋体"/>
          <w:sz w:val="23"/>
          <w:szCs w:val="23"/>
          <w:u w:val="single" w:color="auto"/>
        </w:rPr>
        <w:tab/>
      </w:r>
      <w:r>
        <w:rPr>
          <w:rFonts w:ascii="宋体" w:hAnsi="宋体" w:eastAsia="宋体" w:cs="宋体"/>
          <w:spacing w:val="6"/>
          <w:sz w:val="23"/>
          <w:szCs w:val="23"/>
        </w:rPr>
        <w:t>(</w:t>
      </w:r>
      <w:r>
        <w:rPr>
          <w:rFonts w:ascii="宋体" w:hAnsi="宋体" w:eastAsia="宋体" w:cs="宋体"/>
          <w:spacing w:val="4"/>
          <w:sz w:val="23"/>
          <w:szCs w:val="23"/>
        </w:rPr>
        <w:t>承包人)：</w:t>
      </w:r>
    </w:p>
    <w:p>
      <w:pPr>
        <w:spacing w:line="408" w:lineRule="auto"/>
        <w:rPr>
          <w:rFonts w:ascii="Arial"/>
          <w:sz w:val="21"/>
        </w:rPr>
      </w:pPr>
    </w:p>
    <w:p>
      <w:pPr>
        <w:spacing w:before="75" w:line="375" w:lineRule="auto"/>
        <w:ind w:left="8" w:firstLine="483"/>
        <w:rPr>
          <w:rFonts w:ascii="宋体" w:hAnsi="宋体" w:eastAsia="宋体" w:cs="宋体"/>
          <w:sz w:val="23"/>
          <w:szCs w:val="23"/>
        </w:rPr>
      </w:pPr>
      <w:r>
        <w:rPr>
          <w:rFonts w:ascii="宋体" w:hAnsi="宋体" w:eastAsia="宋体" w:cs="宋体"/>
          <w:spacing w:val="13"/>
          <w:sz w:val="23"/>
          <w:szCs w:val="23"/>
        </w:rPr>
        <w:t>鉴</w:t>
      </w:r>
      <w:r>
        <w:rPr>
          <w:rFonts w:ascii="宋体" w:hAnsi="宋体" w:eastAsia="宋体" w:cs="宋体"/>
          <w:spacing w:val="7"/>
          <w:sz w:val="23"/>
          <w:szCs w:val="23"/>
        </w:rPr>
        <w:t>于你方作为承包人已经与(发包人名称)(以下称“发包人”)</w:t>
      </w:r>
      <w:r>
        <w:rPr>
          <w:rFonts w:ascii="宋体" w:hAnsi="宋体" w:eastAsia="宋体" w:cs="宋体"/>
          <w:spacing w:val="-8"/>
          <w:sz w:val="23"/>
          <w:szCs w:val="23"/>
        </w:rPr>
        <w:t>于</w:t>
      </w:r>
      <w:r>
        <w:rPr>
          <w:rFonts w:ascii="宋体" w:hAnsi="宋体" w:eastAsia="宋体" w:cs="宋体"/>
          <w:spacing w:val="-6"/>
          <w:sz w:val="23"/>
          <w:szCs w:val="23"/>
        </w:rPr>
        <w:t>年</w:t>
      </w:r>
      <w:r>
        <w:rPr>
          <w:rFonts w:ascii="宋体" w:hAnsi="宋体" w:eastAsia="宋体" w:cs="宋体"/>
          <w:spacing w:val="-4"/>
          <w:sz w:val="23"/>
          <w:szCs w:val="23"/>
        </w:rPr>
        <w:t>月日签订了(工程名称)《建设工程施工合同》(以下</w:t>
      </w:r>
      <w:r>
        <w:rPr>
          <w:rFonts w:ascii="宋体" w:hAnsi="宋体" w:eastAsia="宋体" w:cs="宋体"/>
          <w:spacing w:val="18"/>
          <w:sz w:val="23"/>
          <w:szCs w:val="23"/>
        </w:rPr>
        <w:t>称“</w:t>
      </w:r>
      <w:r>
        <w:rPr>
          <w:rFonts w:ascii="宋体" w:hAnsi="宋体" w:eastAsia="宋体" w:cs="宋体"/>
          <w:spacing w:val="10"/>
          <w:sz w:val="23"/>
          <w:szCs w:val="23"/>
        </w:rPr>
        <w:t>主</w:t>
      </w:r>
      <w:r>
        <w:rPr>
          <w:rFonts w:ascii="宋体" w:hAnsi="宋体" w:eastAsia="宋体" w:cs="宋体"/>
          <w:spacing w:val="9"/>
          <w:sz w:val="23"/>
          <w:szCs w:val="23"/>
        </w:rPr>
        <w:t>合同”)，应发包人的申请，我方愿就发包人履行主合同约定的工程款支付义务以保证的方式向你方提供如下担保</w:t>
      </w:r>
      <w:r>
        <w:rPr>
          <w:rFonts w:ascii="宋体" w:hAnsi="宋体" w:eastAsia="宋体" w:cs="宋体"/>
          <w:spacing w:val="7"/>
          <w:sz w:val="23"/>
          <w:szCs w:val="23"/>
        </w:rPr>
        <w:t>：</w:t>
      </w:r>
    </w:p>
    <w:p>
      <w:pPr>
        <w:spacing w:line="393" w:lineRule="exact"/>
        <w:ind w:left="493"/>
        <w:rPr>
          <w:rFonts w:ascii="宋体" w:hAnsi="宋体" w:eastAsia="宋体" w:cs="宋体"/>
          <w:sz w:val="23"/>
          <w:szCs w:val="23"/>
        </w:rPr>
      </w:pPr>
      <w:r>
        <w:rPr>
          <w:rFonts w:ascii="宋体" w:hAnsi="宋体" w:eastAsia="宋体" w:cs="宋体"/>
          <w:spacing w:val="9"/>
          <w:position w:val="2"/>
          <w:sz w:val="23"/>
          <w:szCs w:val="23"/>
        </w:rPr>
        <w:t>一、保证的范围及保证金</w:t>
      </w:r>
      <w:r>
        <w:rPr>
          <w:rFonts w:ascii="宋体" w:hAnsi="宋体" w:eastAsia="宋体" w:cs="宋体"/>
          <w:spacing w:val="7"/>
          <w:position w:val="2"/>
          <w:sz w:val="23"/>
          <w:szCs w:val="23"/>
        </w:rPr>
        <w:t>额</w:t>
      </w:r>
    </w:p>
    <w:p>
      <w:pPr>
        <w:spacing w:before="71" w:line="226" w:lineRule="auto"/>
        <w:ind w:left="507"/>
        <w:rPr>
          <w:rFonts w:ascii="宋体" w:hAnsi="宋体" w:eastAsia="宋体" w:cs="宋体"/>
          <w:sz w:val="23"/>
          <w:szCs w:val="23"/>
        </w:rPr>
      </w:pPr>
      <w:r>
        <w:rPr>
          <w:rFonts w:ascii="宋体" w:hAnsi="宋体" w:eastAsia="宋体" w:cs="宋体"/>
          <w:spacing w:val="14"/>
          <w:sz w:val="23"/>
          <w:szCs w:val="23"/>
        </w:rPr>
        <w:t>1</w:t>
      </w:r>
      <w:r>
        <w:rPr>
          <w:rFonts w:ascii="宋体" w:hAnsi="宋体" w:eastAsia="宋体" w:cs="宋体"/>
          <w:spacing w:val="10"/>
          <w:sz w:val="23"/>
          <w:szCs w:val="23"/>
        </w:rPr>
        <w:t>.</w:t>
      </w:r>
      <w:r>
        <w:rPr>
          <w:rFonts w:ascii="宋体" w:hAnsi="宋体" w:eastAsia="宋体" w:cs="宋体"/>
          <w:spacing w:val="7"/>
          <w:sz w:val="23"/>
          <w:szCs w:val="23"/>
        </w:rPr>
        <w:t>我方的保证范围是主合同约定的工程款。</w:t>
      </w:r>
    </w:p>
    <w:p>
      <w:pPr>
        <w:spacing w:before="186" w:line="375" w:lineRule="auto"/>
        <w:ind w:left="10" w:right="219" w:firstLine="481"/>
        <w:rPr>
          <w:rFonts w:ascii="宋体" w:hAnsi="宋体" w:eastAsia="宋体" w:cs="宋体"/>
          <w:sz w:val="23"/>
          <w:szCs w:val="23"/>
        </w:rPr>
      </w:pPr>
      <w:r>
        <w:rPr>
          <w:rFonts w:ascii="宋体" w:hAnsi="宋体" w:eastAsia="宋体" w:cs="宋体"/>
          <w:spacing w:val="17"/>
          <w:sz w:val="23"/>
          <w:szCs w:val="23"/>
        </w:rPr>
        <w:t>2</w:t>
      </w:r>
      <w:r>
        <w:rPr>
          <w:rFonts w:ascii="宋体" w:hAnsi="宋体" w:eastAsia="宋体" w:cs="宋体"/>
          <w:spacing w:val="9"/>
          <w:sz w:val="23"/>
          <w:szCs w:val="23"/>
        </w:rPr>
        <w:t>.本保函所称主合同约定的工程款是指主合同约定的除工程质量保证金以外的</w:t>
      </w:r>
      <w:r>
        <w:rPr>
          <w:rFonts w:ascii="宋体" w:hAnsi="宋体" w:eastAsia="宋体" w:cs="宋体"/>
          <w:spacing w:val="6"/>
          <w:sz w:val="23"/>
          <w:szCs w:val="23"/>
        </w:rPr>
        <w:t>合同价款</w:t>
      </w:r>
      <w:r>
        <w:rPr>
          <w:rFonts w:ascii="宋体" w:hAnsi="宋体" w:eastAsia="宋体" w:cs="宋体"/>
          <w:spacing w:val="5"/>
          <w:sz w:val="23"/>
          <w:szCs w:val="23"/>
        </w:rPr>
        <w:t>。</w:t>
      </w:r>
    </w:p>
    <w:p>
      <w:pPr>
        <w:spacing w:before="2" w:line="374" w:lineRule="auto"/>
        <w:ind w:left="21" w:right="19" w:firstLine="473"/>
        <w:rPr>
          <w:rFonts w:ascii="宋体" w:hAnsi="宋体" w:eastAsia="宋体" w:cs="宋体"/>
          <w:sz w:val="23"/>
          <w:szCs w:val="23"/>
        </w:rPr>
      </w:pPr>
      <w:r>
        <w:rPr>
          <w:rFonts w:ascii="宋体" w:hAnsi="宋体" w:eastAsia="宋体" w:cs="宋体"/>
          <w:spacing w:val="8"/>
          <w:sz w:val="23"/>
          <w:szCs w:val="23"/>
        </w:rPr>
        <w:t>3.我</w:t>
      </w:r>
      <w:r>
        <w:rPr>
          <w:rFonts w:ascii="宋体" w:hAnsi="宋体" w:eastAsia="宋体" w:cs="宋体"/>
          <w:spacing w:val="5"/>
          <w:sz w:val="23"/>
          <w:szCs w:val="23"/>
        </w:rPr>
        <w:t>方</w:t>
      </w:r>
      <w:r>
        <w:rPr>
          <w:rFonts w:ascii="宋体" w:hAnsi="宋体" w:eastAsia="宋体" w:cs="宋体"/>
          <w:spacing w:val="4"/>
          <w:sz w:val="23"/>
          <w:szCs w:val="23"/>
        </w:rPr>
        <w:t>保证的金额是主合同约定的工程款的%，数额最高不超过人民币元</w:t>
      </w:r>
      <w:r>
        <w:rPr>
          <w:rFonts w:ascii="宋体" w:hAnsi="宋体" w:eastAsia="宋体" w:cs="宋体"/>
          <w:spacing w:val="-4"/>
          <w:sz w:val="23"/>
          <w:szCs w:val="23"/>
        </w:rPr>
        <w:t>(大写：</w:t>
      </w:r>
      <w:r>
        <w:rPr>
          <w:rFonts w:ascii="宋体" w:hAnsi="宋体" w:eastAsia="宋体" w:cs="宋体"/>
          <w:spacing w:val="-2"/>
          <w:sz w:val="23"/>
          <w:szCs w:val="23"/>
        </w:rPr>
        <w:t>)。</w:t>
      </w:r>
    </w:p>
    <w:p>
      <w:pPr>
        <w:spacing w:line="313" w:lineRule="exact"/>
        <w:ind w:left="493"/>
        <w:rPr>
          <w:rFonts w:ascii="宋体" w:hAnsi="宋体" w:eastAsia="宋体" w:cs="宋体"/>
          <w:sz w:val="23"/>
          <w:szCs w:val="23"/>
        </w:rPr>
      </w:pPr>
      <w:r>
        <w:rPr>
          <w:rFonts w:ascii="宋体" w:hAnsi="宋体" w:eastAsia="宋体" w:cs="宋体"/>
          <w:spacing w:val="9"/>
          <w:position w:val="1"/>
          <w:sz w:val="23"/>
          <w:szCs w:val="23"/>
        </w:rPr>
        <w:t>二、保证的方式及保证期</w:t>
      </w:r>
      <w:r>
        <w:rPr>
          <w:rFonts w:ascii="宋体" w:hAnsi="宋体" w:eastAsia="宋体" w:cs="宋体"/>
          <w:spacing w:val="7"/>
          <w:position w:val="1"/>
          <w:sz w:val="23"/>
          <w:szCs w:val="23"/>
        </w:rPr>
        <w:t>间</w:t>
      </w:r>
    </w:p>
    <w:p>
      <w:pPr>
        <w:spacing w:before="152" w:line="226" w:lineRule="auto"/>
        <w:ind w:left="507"/>
        <w:rPr>
          <w:rFonts w:ascii="宋体" w:hAnsi="宋体" w:eastAsia="宋体" w:cs="宋体"/>
          <w:sz w:val="23"/>
          <w:szCs w:val="23"/>
        </w:rPr>
      </w:pPr>
      <w:r>
        <w:rPr>
          <w:rFonts w:ascii="宋体" w:hAnsi="宋体" w:eastAsia="宋体" w:cs="宋体"/>
          <w:spacing w:val="11"/>
          <w:sz w:val="23"/>
          <w:szCs w:val="23"/>
        </w:rPr>
        <w:t>1</w:t>
      </w:r>
      <w:r>
        <w:rPr>
          <w:rFonts w:ascii="宋体" w:hAnsi="宋体" w:eastAsia="宋体" w:cs="宋体"/>
          <w:spacing w:val="7"/>
          <w:sz w:val="23"/>
          <w:szCs w:val="23"/>
        </w:rPr>
        <w:t>.我方保证的方式为：连带责任保证。</w:t>
      </w:r>
    </w:p>
    <w:p>
      <w:pPr>
        <w:spacing w:before="186" w:line="375" w:lineRule="auto"/>
        <w:ind w:left="11" w:right="19" w:firstLine="480"/>
        <w:rPr>
          <w:rFonts w:ascii="宋体" w:hAnsi="宋体" w:eastAsia="宋体" w:cs="宋体"/>
          <w:sz w:val="23"/>
          <w:szCs w:val="23"/>
        </w:rPr>
      </w:pPr>
      <w:r>
        <w:rPr>
          <w:rFonts w:ascii="宋体" w:hAnsi="宋体" w:eastAsia="宋体" w:cs="宋体"/>
          <w:spacing w:val="13"/>
          <w:sz w:val="23"/>
          <w:szCs w:val="23"/>
        </w:rPr>
        <w:t>2</w:t>
      </w:r>
      <w:r>
        <w:rPr>
          <w:rFonts w:ascii="宋体" w:hAnsi="宋体" w:eastAsia="宋体" w:cs="宋体"/>
          <w:spacing w:val="8"/>
          <w:sz w:val="23"/>
          <w:szCs w:val="23"/>
        </w:rPr>
        <w:t>.我方保证的期间为：自本合同生效之日起至主合同约定的工程款支付完毕之日</w:t>
      </w:r>
      <w:r>
        <w:rPr>
          <w:rFonts w:ascii="宋体" w:hAnsi="宋体" w:eastAsia="宋体" w:cs="宋体"/>
          <w:spacing w:val="-13"/>
          <w:sz w:val="23"/>
          <w:szCs w:val="23"/>
        </w:rPr>
        <w:t>后</w:t>
      </w:r>
      <w:r>
        <w:rPr>
          <w:rFonts w:ascii="宋体" w:hAnsi="宋体" w:eastAsia="宋体" w:cs="宋体"/>
          <w:spacing w:val="-8"/>
          <w:sz w:val="23"/>
          <w:szCs w:val="23"/>
        </w:rPr>
        <w:t>日内。</w:t>
      </w:r>
    </w:p>
    <w:p>
      <w:pPr>
        <w:spacing w:before="2" w:line="374" w:lineRule="auto"/>
        <w:ind w:left="9" w:right="19" w:firstLine="484"/>
        <w:rPr>
          <w:rFonts w:ascii="宋体" w:hAnsi="宋体" w:eastAsia="宋体" w:cs="宋体"/>
          <w:sz w:val="23"/>
          <w:szCs w:val="23"/>
        </w:rPr>
      </w:pPr>
      <w:r>
        <w:rPr>
          <w:rFonts w:ascii="宋体" w:hAnsi="宋体" w:eastAsia="宋体" w:cs="宋体"/>
          <w:spacing w:val="12"/>
          <w:sz w:val="23"/>
          <w:szCs w:val="23"/>
        </w:rPr>
        <w:t>3</w:t>
      </w:r>
      <w:r>
        <w:rPr>
          <w:rFonts w:ascii="宋体" w:hAnsi="宋体" w:eastAsia="宋体" w:cs="宋体"/>
          <w:spacing w:val="8"/>
          <w:sz w:val="23"/>
          <w:szCs w:val="23"/>
        </w:rPr>
        <w:t>.你方与发包人协议变更工程款支付日期的，经我方书面同意后，保证期间按照</w:t>
      </w:r>
      <w:r>
        <w:rPr>
          <w:rFonts w:ascii="宋体" w:hAnsi="宋体" w:eastAsia="宋体" w:cs="宋体"/>
          <w:spacing w:val="16"/>
          <w:sz w:val="23"/>
          <w:szCs w:val="23"/>
        </w:rPr>
        <w:t>变</w:t>
      </w:r>
      <w:r>
        <w:rPr>
          <w:rFonts w:ascii="宋体" w:hAnsi="宋体" w:eastAsia="宋体" w:cs="宋体"/>
          <w:spacing w:val="8"/>
          <w:sz w:val="23"/>
          <w:szCs w:val="23"/>
        </w:rPr>
        <w:t>更后的支付日期做相应调整。</w:t>
      </w:r>
    </w:p>
    <w:p>
      <w:pPr>
        <w:spacing w:line="304" w:lineRule="exact"/>
        <w:ind w:left="489"/>
        <w:rPr>
          <w:rFonts w:ascii="宋体" w:hAnsi="宋体" w:eastAsia="宋体" w:cs="宋体"/>
          <w:sz w:val="23"/>
          <w:szCs w:val="23"/>
        </w:rPr>
      </w:pPr>
      <w:r>
        <w:rPr>
          <w:rFonts w:ascii="宋体" w:hAnsi="宋体" w:eastAsia="宋体" w:cs="宋体"/>
          <w:spacing w:val="10"/>
          <w:position w:val="1"/>
          <w:sz w:val="23"/>
          <w:szCs w:val="23"/>
        </w:rPr>
        <w:t>三</w:t>
      </w:r>
      <w:r>
        <w:rPr>
          <w:rFonts w:ascii="宋体" w:hAnsi="宋体" w:eastAsia="宋体" w:cs="宋体"/>
          <w:spacing w:val="9"/>
          <w:position w:val="1"/>
          <w:sz w:val="23"/>
          <w:szCs w:val="23"/>
        </w:rPr>
        <w:t>、承担保证责任的形式</w:t>
      </w:r>
    </w:p>
    <w:p>
      <w:pPr>
        <w:spacing w:before="162" w:line="224" w:lineRule="auto"/>
        <w:ind w:left="491"/>
        <w:rPr>
          <w:rFonts w:ascii="宋体" w:hAnsi="宋体" w:eastAsia="宋体" w:cs="宋体"/>
          <w:sz w:val="23"/>
          <w:szCs w:val="23"/>
        </w:rPr>
      </w:pPr>
      <w:r>
        <w:rPr>
          <w:rFonts w:ascii="宋体" w:hAnsi="宋体" w:eastAsia="宋体" w:cs="宋体"/>
          <w:spacing w:val="18"/>
          <w:sz w:val="23"/>
          <w:szCs w:val="23"/>
        </w:rPr>
        <w:t>我方</w:t>
      </w:r>
      <w:r>
        <w:rPr>
          <w:rFonts w:ascii="宋体" w:hAnsi="宋体" w:eastAsia="宋体" w:cs="宋体"/>
          <w:spacing w:val="14"/>
          <w:sz w:val="23"/>
          <w:szCs w:val="23"/>
        </w:rPr>
        <w:t>承</w:t>
      </w:r>
      <w:r>
        <w:rPr>
          <w:rFonts w:ascii="宋体" w:hAnsi="宋体" w:eastAsia="宋体" w:cs="宋体"/>
          <w:spacing w:val="9"/>
          <w:sz w:val="23"/>
          <w:szCs w:val="23"/>
        </w:rPr>
        <w:t>担保证责任的形式是代为支付。发包人未按主合同约定向你方支付工程款</w:t>
      </w:r>
    </w:p>
    <w:p>
      <w:pPr>
        <w:spacing w:before="188" w:line="226" w:lineRule="auto"/>
        <w:ind w:left="29"/>
        <w:rPr>
          <w:rFonts w:ascii="宋体" w:hAnsi="宋体" w:eastAsia="宋体" w:cs="宋体"/>
          <w:sz w:val="23"/>
          <w:szCs w:val="23"/>
        </w:rPr>
      </w:pPr>
      <w:r>
        <w:rPr>
          <w:rFonts w:ascii="宋体" w:hAnsi="宋体" w:eastAsia="宋体" w:cs="宋体"/>
          <w:spacing w:val="1"/>
          <w:sz w:val="23"/>
          <w:szCs w:val="23"/>
        </w:rPr>
        <w:t>的，由我</w:t>
      </w:r>
      <w:r>
        <w:rPr>
          <w:rFonts w:ascii="宋体" w:hAnsi="宋体" w:eastAsia="宋体" w:cs="宋体"/>
          <w:sz w:val="23"/>
          <w:szCs w:val="23"/>
        </w:rPr>
        <w:t>方在保证金额内代为支付。</w:t>
      </w:r>
    </w:p>
    <w:p>
      <w:pPr>
        <w:spacing w:before="187" w:line="230" w:lineRule="auto"/>
        <w:ind w:left="512"/>
        <w:rPr>
          <w:rFonts w:ascii="宋体" w:hAnsi="宋体" w:eastAsia="宋体" w:cs="宋体"/>
          <w:sz w:val="23"/>
          <w:szCs w:val="23"/>
        </w:rPr>
      </w:pPr>
      <w:r>
        <w:rPr>
          <w:rFonts w:ascii="宋体" w:hAnsi="宋体" w:eastAsia="宋体" w:cs="宋体"/>
          <w:spacing w:val="8"/>
          <w:sz w:val="23"/>
          <w:szCs w:val="23"/>
        </w:rPr>
        <w:t>四</w:t>
      </w:r>
      <w:r>
        <w:rPr>
          <w:rFonts w:ascii="宋体" w:hAnsi="宋体" w:eastAsia="宋体" w:cs="宋体"/>
          <w:spacing w:val="5"/>
          <w:sz w:val="23"/>
          <w:szCs w:val="23"/>
        </w:rPr>
        <w:t>、代偿的安排</w:t>
      </w:r>
    </w:p>
    <w:p>
      <w:pPr>
        <w:spacing w:before="179" w:line="375" w:lineRule="auto"/>
        <w:ind w:left="10" w:right="19" w:firstLine="496"/>
        <w:rPr>
          <w:rFonts w:ascii="宋体" w:hAnsi="宋体" w:eastAsia="宋体" w:cs="宋体"/>
          <w:sz w:val="23"/>
          <w:szCs w:val="23"/>
        </w:rPr>
      </w:pPr>
      <w:r>
        <w:rPr>
          <w:rFonts w:ascii="宋体" w:hAnsi="宋体" w:eastAsia="宋体" w:cs="宋体"/>
          <w:spacing w:val="14"/>
          <w:sz w:val="23"/>
          <w:szCs w:val="23"/>
        </w:rPr>
        <w:t>1.你</w:t>
      </w:r>
      <w:r>
        <w:rPr>
          <w:rFonts w:ascii="宋体" w:hAnsi="宋体" w:eastAsia="宋体" w:cs="宋体"/>
          <w:spacing w:val="7"/>
          <w:sz w:val="23"/>
          <w:szCs w:val="23"/>
        </w:rPr>
        <w:t>方要求我方承担保证责任的，应向我方发出书面索赔通知及发包人未支付主</w:t>
      </w:r>
      <w:r>
        <w:rPr>
          <w:rFonts w:ascii="宋体" w:hAnsi="宋体" w:eastAsia="宋体" w:cs="宋体"/>
          <w:spacing w:val="18"/>
          <w:sz w:val="23"/>
          <w:szCs w:val="23"/>
        </w:rPr>
        <w:t>合同</w:t>
      </w:r>
      <w:r>
        <w:rPr>
          <w:rFonts w:ascii="宋体" w:hAnsi="宋体" w:eastAsia="宋体" w:cs="宋体"/>
          <w:spacing w:val="17"/>
          <w:sz w:val="23"/>
          <w:szCs w:val="23"/>
        </w:rPr>
        <w:t>约</w:t>
      </w:r>
      <w:r>
        <w:rPr>
          <w:rFonts w:ascii="宋体" w:hAnsi="宋体" w:eastAsia="宋体" w:cs="宋体"/>
          <w:spacing w:val="9"/>
          <w:sz w:val="23"/>
          <w:szCs w:val="23"/>
        </w:rPr>
        <w:t>定工程款的证明材料。索赔通知应写明要求索赔的金额，支付款项应到达的账</w:t>
      </w:r>
      <w:r>
        <w:rPr>
          <w:rFonts w:ascii="宋体" w:hAnsi="宋体" w:eastAsia="宋体" w:cs="宋体"/>
          <w:spacing w:val="-1"/>
          <w:sz w:val="23"/>
          <w:szCs w:val="23"/>
        </w:rPr>
        <w:t>号</w:t>
      </w:r>
      <w:r>
        <w:rPr>
          <w:rFonts w:ascii="宋体" w:hAnsi="宋体" w:eastAsia="宋体" w:cs="宋体"/>
          <w:sz w:val="23"/>
          <w:szCs w:val="23"/>
        </w:rPr>
        <w:t>。</w:t>
      </w:r>
    </w:p>
    <w:p>
      <w:pPr>
        <w:spacing w:line="383" w:lineRule="auto"/>
        <w:ind w:left="12" w:right="19" w:firstLine="480"/>
        <w:rPr>
          <w:rFonts w:ascii="宋体" w:hAnsi="宋体" w:eastAsia="宋体" w:cs="宋体"/>
          <w:sz w:val="23"/>
          <w:szCs w:val="23"/>
        </w:rPr>
      </w:pPr>
      <w:r>
        <w:rPr>
          <w:rFonts w:ascii="宋体" w:hAnsi="宋体" w:eastAsia="宋体" w:cs="宋体"/>
          <w:spacing w:val="13"/>
          <w:sz w:val="23"/>
          <w:szCs w:val="23"/>
        </w:rPr>
        <w:t>2</w:t>
      </w:r>
      <w:r>
        <w:rPr>
          <w:rFonts w:ascii="宋体" w:hAnsi="宋体" w:eastAsia="宋体" w:cs="宋体"/>
          <w:spacing w:val="8"/>
          <w:sz w:val="23"/>
          <w:szCs w:val="23"/>
        </w:rPr>
        <w:t>.在出现你方与发包人因工程质量发生争议，发包人拒绝向你方支付工程款的情</w:t>
      </w:r>
      <w:r>
        <w:rPr>
          <w:rFonts w:ascii="宋体" w:hAnsi="宋体" w:eastAsia="宋体" w:cs="宋体"/>
          <w:spacing w:val="18"/>
          <w:sz w:val="23"/>
          <w:szCs w:val="23"/>
        </w:rPr>
        <w:t>形时</w:t>
      </w:r>
      <w:r>
        <w:rPr>
          <w:rFonts w:ascii="宋体" w:hAnsi="宋体" w:eastAsia="宋体" w:cs="宋体"/>
          <w:spacing w:val="15"/>
          <w:sz w:val="23"/>
          <w:szCs w:val="23"/>
        </w:rPr>
        <w:t>，</w:t>
      </w:r>
      <w:r>
        <w:rPr>
          <w:rFonts w:ascii="宋体" w:hAnsi="宋体" w:eastAsia="宋体" w:cs="宋体"/>
          <w:spacing w:val="9"/>
          <w:sz w:val="23"/>
          <w:szCs w:val="23"/>
        </w:rPr>
        <w:t>你方要求我方履行保证责任代为支付的，需提供符合相应条件要求的工程质量</w:t>
      </w:r>
      <w:r>
        <w:rPr>
          <w:rFonts w:ascii="宋体" w:hAnsi="宋体" w:eastAsia="宋体" w:cs="宋体"/>
          <w:spacing w:val="16"/>
          <w:sz w:val="23"/>
          <w:szCs w:val="23"/>
        </w:rPr>
        <w:t>检</w:t>
      </w:r>
      <w:r>
        <w:rPr>
          <w:rFonts w:ascii="宋体" w:hAnsi="宋体" w:eastAsia="宋体" w:cs="宋体"/>
          <w:spacing w:val="8"/>
          <w:sz w:val="23"/>
          <w:szCs w:val="23"/>
        </w:rPr>
        <w:t>测机构出具的质量说明材料。</w:t>
      </w:r>
    </w:p>
    <w:p>
      <w:pPr>
        <w:spacing w:before="187" w:line="226" w:lineRule="auto"/>
        <w:ind w:left="493"/>
        <w:rPr>
          <w:rFonts w:ascii="宋体" w:hAnsi="宋体" w:eastAsia="宋体" w:cs="宋体"/>
          <w:sz w:val="23"/>
          <w:szCs w:val="23"/>
        </w:rPr>
      </w:pPr>
      <w:r>
        <w:rPr>
          <w:rFonts w:ascii="宋体" w:hAnsi="宋体" w:eastAsia="宋体" w:cs="宋体"/>
          <w:spacing w:val="19"/>
          <w:sz w:val="23"/>
          <w:szCs w:val="23"/>
        </w:rPr>
        <w:t>3</w:t>
      </w:r>
      <w:r>
        <w:rPr>
          <w:rFonts w:ascii="宋体" w:hAnsi="宋体" w:eastAsia="宋体" w:cs="宋体"/>
          <w:spacing w:val="12"/>
          <w:sz w:val="23"/>
          <w:szCs w:val="23"/>
        </w:rPr>
        <w:t>.我方收到你方的书面索赔通知及相应的证明材料后7天内无条件支付。</w:t>
      </w:r>
    </w:p>
    <w:p>
      <w:pPr>
        <w:spacing w:before="184" w:line="237" w:lineRule="auto"/>
        <w:ind w:left="492"/>
        <w:rPr>
          <w:rFonts w:ascii="宋体" w:hAnsi="宋体" w:eastAsia="宋体" w:cs="宋体"/>
          <w:sz w:val="23"/>
          <w:szCs w:val="23"/>
        </w:rPr>
      </w:pPr>
      <w:r>
        <w:rPr>
          <w:rFonts w:ascii="宋体" w:hAnsi="宋体" w:eastAsia="宋体" w:cs="宋体"/>
          <w:spacing w:val="12"/>
          <w:sz w:val="23"/>
          <w:szCs w:val="23"/>
        </w:rPr>
        <w:t>五</w:t>
      </w:r>
      <w:r>
        <w:rPr>
          <w:rFonts w:ascii="宋体" w:hAnsi="宋体" w:eastAsia="宋体" w:cs="宋体"/>
          <w:spacing w:val="8"/>
          <w:sz w:val="23"/>
          <w:szCs w:val="23"/>
        </w:rPr>
        <w:t>、保证责任的解除</w:t>
      </w:r>
    </w:p>
    <w:p>
      <w:pPr>
        <w:spacing w:before="171" w:line="375" w:lineRule="auto"/>
        <w:ind w:left="12" w:firstLine="493"/>
        <w:rPr>
          <w:rFonts w:ascii="宋体" w:hAnsi="宋体" w:eastAsia="宋体" w:cs="宋体"/>
          <w:sz w:val="23"/>
          <w:szCs w:val="23"/>
        </w:rPr>
      </w:pPr>
      <w:r>
        <w:rPr>
          <w:rFonts w:ascii="宋体" w:hAnsi="宋体" w:eastAsia="宋体" w:cs="宋体"/>
          <w:spacing w:val="14"/>
          <w:sz w:val="23"/>
          <w:szCs w:val="23"/>
        </w:rPr>
        <w:t>1.在</w:t>
      </w:r>
      <w:r>
        <w:rPr>
          <w:rFonts w:ascii="宋体" w:hAnsi="宋体" w:eastAsia="宋体" w:cs="宋体"/>
          <w:spacing w:val="7"/>
          <w:sz w:val="23"/>
          <w:szCs w:val="23"/>
        </w:rPr>
        <w:t>本保函承诺的保证期间内，你方未书面向我方主张保证责任的，自保证期间</w:t>
      </w:r>
      <w:r>
        <w:rPr>
          <w:rFonts w:ascii="宋体" w:hAnsi="宋体" w:eastAsia="宋体" w:cs="宋体"/>
          <w:spacing w:val="14"/>
          <w:sz w:val="23"/>
          <w:szCs w:val="23"/>
        </w:rPr>
        <w:t>届</w:t>
      </w:r>
      <w:r>
        <w:rPr>
          <w:rFonts w:ascii="宋体" w:hAnsi="宋体" w:eastAsia="宋体" w:cs="宋体"/>
          <w:spacing w:val="8"/>
          <w:sz w:val="23"/>
          <w:szCs w:val="23"/>
        </w:rPr>
        <w:t>满次日起，我方保证责任解除。</w:t>
      </w:r>
    </w:p>
    <w:p>
      <w:pPr>
        <w:spacing w:before="2" w:line="374" w:lineRule="auto"/>
        <w:ind w:left="27" w:firstLine="464"/>
        <w:rPr>
          <w:rFonts w:ascii="宋体" w:hAnsi="宋体" w:eastAsia="宋体" w:cs="宋体"/>
          <w:sz w:val="23"/>
          <w:szCs w:val="23"/>
        </w:rPr>
      </w:pPr>
      <w:r>
        <w:rPr>
          <w:rFonts w:ascii="宋体" w:hAnsi="宋体" w:eastAsia="宋体" w:cs="宋体"/>
          <w:spacing w:val="13"/>
          <w:sz w:val="23"/>
          <w:szCs w:val="23"/>
        </w:rPr>
        <w:t>2</w:t>
      </w:r>
      <w:r>
        <w:rPr>
          <w:rFonts w:ascii="宋体" w:hAnsi="宋体" w:eastAsia="宋体" w:cs="宋体"/>
          <w:spacing w:val="8"/>
          <w:sz w:val="23"/>
          <w:szCs w:val="23"/>
        </w:rPr>
        <w:t>.发包人按主合同约定履行了工程款的全部支付义务的，自本保函承诺的保证期</w:t>
      </w:r>
      <w:r>
        <w:rPr>
          <w:rFonts w:ascii="宋体" w:hAnsi="宋体" w:eastAsia="宋体" w:cs="宋体"/>
          <w:spacing w:val="14"/>
          <w:sz w:val="23"/>
          <w:szCs w:val="23"/>
        </w:rPr>
        <w:t>间</w:t>
      </w:r>
      <w:r>
        <w:rPr>
          <w:rFonts w:ascii="宋体" w:hAnsi="宋体" w:eastAsia="宋体" w:cs="宋体"/>
          <w:spacing w:val="9"/>
          <w:sz w:val="23"/>
          <w:szCs w:val="23"/>
        </w:rPr>
        <w:t>届</w:t>
      </w:r>
      <w:r>
        <w:rPr>
          <w:rFonts w:ascii="宋体" w:hAnsi="宋体" w:eastAsia="宋体" w:cs="宋体"/>
          <w:spacing w:val="7"/>
          <w:sz w:val="23"/>
          <w:szCs w:val="23"/>
        </w:rPr>
        <w:t>满次日起，我方保证责任解除。</w:t>
      </w:r>
    </w:p>
    <w:p>
      <w:pPr>
        <w:spacing w:before="1" w:line="374" w:lineRule="auto"/>
        <w:ind w:left="9" w:firstLine="483"/>
        <w:rPr>
          <w:rFonts w:ascii="宋体" w:hAnsi="宋体" w:eastAsia="宋体" w:cs="宋体"/>
          <w:sz w:val="23"/>
          <w:szCs w:val="23"/>
        </w:rPr>
      </w:pPr>
      <w:r>
        <w:rPr>
          <w:rFonts w:ascii="宋体" w:hAnsi="宋体" w:eastAsia="宋体" w:cs="宋体"/>
          <w:spacing w:val="12"/>
          <w:sz w:val="23"/>
          <w:szCs w:val="23"/>
        </w:rPr>
        <w:t>3</w:t>
      </w:r>
      <w:r>
        <w:rPr>
          <w:rFonts w:ascii="宋体" w:hAnsi="宋体" w:eastAsia="宋体" w:cs="宋体"/>
          <w:spacing w:val="8"/>
          <w:sz w:val="23"/>
          <w:szCs w:val="23"/>
        </w:rPr>
        <w:t>.我方按照本保函向你方履行保证责任所支付金额达到本保函保证金额时，自我</w:t>
      </w:r>
      <w:r>
        <w:rPr>
          <w:rFonts w:ascii="宋体" w:hAnsi="宋体" w:eastAsia="宋体" w:cs="宋体"/>
          <w:spacing w:val="16"/>
          <w:sz w:val="23"/>
          <w:szCs w:val="23"/>
        </w:rPr>
        <w:t>方向你</w:t>
      </w:r>
      <w:r>
        <w:rPr>
          <w:rFonts w:ascii="宋体" w:hAnsi="宋体" w:eastAsia="宋体" w:cs="宋体"/>
          <w:spacing w:val="9"/>
          <w:sz w:val="23"/>
          <w:szCs w:val="23"/>
        </w:rPr>
        <w:t>方</w:t>
      </w:r>
      <w:r>
        <w:rPr>
          <w:rFonts w:ascii="宋体" w:hAnsi="宋体" w:eastAsia="宋体" w:cs="宋体"/>
          <w:spacing w:val="8"/>
          <w:sz w:val="23"/>
          <w:szCs w:val="23"/>
        </w:rPr>
        <w:t>支付(支付款项从我方账户划出)之日起，保证责任即解除。</w:t>
      </w:r>
    </w:p>
    <w:p>
      <w:pPr>
        <w:spacing w:before="2" w:line="374" w:lineRule="auto"/>
        <w:ind w:left="12" w:firstLine="475"/>
        <w:rPr>
          <w:rFonts w:ascii="宋体" w:hAnsi="宋体" w:eastAsia="宋体" w:cs="宋体"/>
          <w:sz w:val="23"/>
          <w:szCs w:val="23"/>
        </w:rPr>
      </w:pPr>
      <w:r>
        <w:rPr>
          <w:rFonts w:ascii="宋体" w:hAnsi="宋体" w:eastAsia="宋体" w:cs="宋体"/>
          <w:spacing w:val="16"/>
          <w:sz w:val="23"/>
          <w:szCs w:val="23"/>
        </w:rPr>
        <w:t>4</w:t>
      </w:r>
      <w:r>
        <w:rPr>
          <w:rFonts w:ascii="宋体" w:hAnsi="宋体" w:eastAsia="宋体" w:cs="宋体"/>
          <w:spacing w:val="9"/>
          <w:sz w:val="23"/>
          <w:szCs w:val="23"/>
        </w:rPr>
        <w:t>.</w:t>
      </w:r>
      <w:r>
        <w:rPr>
          <w:rFonts w:ascii="宋体" w:hAnsi="宋体" w:eastAsia="宋体" w:cs="宋体"/>
          <w:spacing w:val="8"/>
          <w:sz w:val="23"/>
          <w:szCs w:val="23"/>
        </w:rPr>
        <w:t>按照法律法规的规定或出现应解除我方保证责任的其他情形的，我方在本保函项下的保证责任亦解除</w:t>
      </w:r>
      <w:r>
        <w:rPr>
          <w:rFonts w:ascii="宋体" w:hAnsi="宋体" w:eastAsia="宋体" w:cs="宋体"/>
          <w:spacing w:val="6"/>
          <w:sz w:val="23"/>
          <w:szCs w:val="23"/>
        </w:rPr>
        <w:t>。</w:t>
      </w:r>
    </w:p>
    <w:p>
      <w:pPr>
        <w:spacing w:before="2" w:line="374" w:lineRule="auto"/>
        <w:ind w:left="9" w:firstLine="483"/>
        <w:rPr>
          <w:rFonts w:ascii="宋体" w:hAnsi="宋体" w:eastAsia="宋体" w:cs="宋体"/>
          <w:sz w:val="23"/>
          <w:szCs w:val="23"/>
        </w:rPr>
      </w:pPr>
      <w:r>
        <w:rPr>
          <w:rFonts w:ascii="宋体" w:hAnsi="宋体" w:eastAsia="宋体" w:cs="宋体"/>
          <w:spacing w:val="8"/>
          <w:sz w:val="23"/>
          <w:szCs w:val="23"/>
        </w:rPr>
        <w:t>5.我方解除保证责任后，你方应自我方保证责任解除之日起个工作日内，将</w:t>
      </w:r>
      <w:r>
        <w:rPr>
          <w:rFonts w:ascii="宋体" w:hAnsi="宋体" w:eastAsia="宋体" w:cs="宋体"/>
          <w:spacing w:val="4"/>
          <w:sz w:val="23"/>
          <w:szCs w:val="23"/>
        </w:rPr>
        <w:t>本</w:t>
      </w:r>
      <w:r>
        <w:rPr>
          <w:rFonts w:ascii="宋体" w:hAnsi="宋体" w:eastAsia="宋体" w:cs="宋体"/>
          <w:spacing w:val="13"/>
          <w:sz w:val="23"/>
          <w:szCs w:val="23"/>
        </w:rPr>
        <w:t>保</w:t>
      </w:r>
      <w:r>
        <w:rPr>
          <w:rFonts w:ascii="宋体" w:hAnsi="宋体" w:eastAsia="宋体" w:cs="宋体"/>
          <w:spacing w:val="7"/>
          <w:sz w:val="23"/>
          <w:szCs w:val="23"/>
        </w:rPr>
        <w:t>函原件返还我方。</w:t>
      </w:r>
    </w:p>
    <w:p>
      <w:pPr>
        <w:spacing w:before="1" w:line="231" w:lineRule="auto"/>
        <w:ind w:left="490"/>
        <w:rPr>
          <w:rFonts w:ascii="宋体" w:hAnsi="宋体" w:eastAsia="宋体" w:cs="宋体"/>
          <w:sz w:val="23"/>
          <w:szCs w:val="23"/>
        </w:rPr>
      </w:pPr>
      <w:r>
        <w:rPr>
          <w:rFonts w:ascii="宋体" w:hAnsi="宋体" w:eastAsia="宋体" w:cs="宋体"/>
          <w:spacing w:val="8"/>
          <w:sz w:val="23"/>
          <w:szCs w:val="23"/>
        </w:rPr>
        <w:t>六、免责条款</w:t>
      </w:r>
    </w:p>
    <w:p>
      <w:pPr>
        <w:spacing w:before="179" w:line="227" w:lineRule="auto"/>
        <w:ind w:left="506"/>
        <w:rPr>
          <w:rFonts w:ascii="宋体" w:hAnsi="宋体" w:eastAsia="宋体" w:cs="宋体"/>
          <w:sz w:val="23"/>
          <w:szCs w:val="23"/>
        </w:rPr>
      </w:pPr>
      <w:r>
        <w:rPr>
          <w:rFonts w:ascii="宋体" w:hAnsi="宋体" w:eastAsia="宋体" w:cs="宋体"/>
          <w:spacing w:val="16"/>
          <w:sz w:val="23"/>
          <w:szCs w:val="23"/>
        </w:rPr>
        <w:t>1</w:t>
      </w:r>
      <w:r>
        <w:rPr>
          <w:rFonts w:ascii="宋体" w:hAnsi="宋体" w:eastAsia="宋体" w:cs="宋体"/>
          <w:spacing w:val="9"/>
          <w:sz w:val="23"/>
          <w:szCs w:val="23"/>
        </w:rPr>
        <w:t>.</w:t>
      </w:r>
      <w:r>
        <w:rPr>
          <w:rFonts w:ascii="宋体" w:hAnsi="宋体" w:eastAsia="宋体" w:cs="宋体"/>
          <w:spacing w:val="8"/>
          <w:sz w:val="23"/>
          <w:szCs w:val="23"/>
        </w:rPr>
        <w:t>因你方违约致使发包人不能履行义务的，我方不承担保证责任。</w:t>
      </w:r>
    </w:p>
    <w:p>
      <w:pPr>
        <w:spacing w:before="182" w:line="227" w:lineRule="auto"/>
        <w:ind w:left="491"/>
        <w:rPr>
          <w:rFonts w:ascii="宋体" w:hAnsi="宋体" w:eastAsia="宋体" w:cs="宋体"/>
          <w:sz w:val="23"/>
          <w:szCs w:val="23"/>
        </w:rPr>
      </w:pPr>
      <w:r>
        <w:rPr>
          <w:rFonts w:ascii="宋体" w:hAnsi="宋体" w:eastAsia="宋体" w:cs="宋体"/>
          <w:spacing w:val="13"/>
          <w:sz w:val="23"/>
          <w:szCs w:val="23"/>
        </w:rPr>
        <w:t>2</w:t>
      </w:r>
      <w:r>
        <w:rPr>
          <w:rFonts w:ascii="宋体" w:hAnsi="宋体" w:eastAsia="宋体" w:cs="宋体"/>
          <w:spacing w:val="8"/>
          <w:sz w:val="23"/>
          <w:szCs w:val="23"/>
        </w:rPr>
        <w:t>.依照法律法规的规定或你方与发包人的另行约定，免除发包人部分或全部义务</w:t>
      </w:r>
    </w:p>
    <w:p>
      <w:pPr>
        <w:spacing w:before="186" w:line="230" w:lineRule="auto"/>
        <w:ind w:left="28"/>
        <w:rPr>
          <w:rFonts w:ascii="宋体" w:hAnsi="宋体" w:eastAsia="宋体" w:cs="宋体"/>
          <w:sz w:val="23"/>
          <w:szCs w:val="23"/>
        </w:rPr>
      </w:pPr>
      <w:r>
        <w:rPr>
          <w:rFonts w:ascii="宋体" w:hAnsi="宋体" w:eastAsia="宋体" w:cs="宋体"/>
          <w:spacing w:val="14"/>
          <w:sz w:val="23"/>
          <w:szCs w:val="23"/>
        </w:rPr>
        <w:t>的</w:t>
      </w:r>
      <w:r>
        <w:rPr>
          <w:rFonts w:ascii="宋体" w:hAnsi="宋体" w:eastAsia="宋体" w:cs="宋体"/>
          <w:spacing w:val="8"/>
          <w:sz w:val="23"/>
          <w:szCs w:val="23"/>
        </w:rPr>
        <w:t>，</w:t>
      </w:r>
      <w:r>
        <w:rPr>
          <w:rFonts w:ascii="宋体" w:hAnsi="宋体" w:eastAsia="宋体" w:cs="宋体"/>
          <w:spacing w:val="7"/>
          <w:sz w:val="23"/>
          <w:szCs w:val="23"/>
        </w:rPr>
        <w:t>我方亦免除其相应的保证责任。</w:t>
      </w:r>
    </w:p>
    <w:p>
      <w:pPr>
        <w:spacing w:before="179" w:line="228" w:lineRule="auto"/>
        <w:ind w:left="493"/>
        <w:rPr>
          <w:rFonts w:ascii="宋体" w:hAnsi="宋体" w:eastAsia="宋体" w:cs="宋体"/>
          <w:sz w:val="23"/>
          <w:szCs w:val="23"/>
        </w:rPr>
      </w:pPr>
      <w:r>
        <w:rPr>
          <w:rFonts w:ascii="宋体" w:hAnsi="宋体" w:eastAsia="宋体" w:cs="宋体"/>
          <w:spacing w:val="15"/>
          <w:sz w:val="23"/>
          <w:szCs w:val="23"/>
        </w:rPr>
        <w:t>3</w:t>
      </w:r>
      <w:r>
        <w:rPr>
          <w:rFonts w:ascii="宋体" w:hAnsi="宋体" w:eastAsia="宋体" w:cs="宋体"/>
          <w:spacing w:val="9"/>
          <w:sz w:val="23"/>
          <w:szCs w:val="23"/>
        </w:rPr>
        <w:t>.你方与发包人协议变更主合同的，如加重发包人责任致使我方保证责任加重</w:t>
      </w:r>
    </w:p>
    <w:p>
      <w:pPr>
        <w:spacing w:before="183" w:line="375" w:lineRule="auto"/>
        <w:ind w:left="8" w:right="79" w:firstLine="19"/>
        <w:rPr>
          <w:rFonts w:ascii="宋体" w:hAnsi="宋体" w:eastAsia="宋体" w:cs="宋体"/>
          <w:sz w:val="23"/>
          <w:szCs w:val="23"/>
        </w:rPr>
      </w:pPr>
      <w:r>
        <w:rPr>
          <w:rFonts w:ascii="宋体" w:hAnsi="宋体" w:eastAsia="宋体" w:cs="宋体"/>
          <w:spacing w:val="16"/>
          <w:sz w:val="23"/>
          <w:szCs w:val="23"/>
        </w:rPr>
        <w:t>的</w:t>
      </w:r>
      <w:r>
        <w:rPr>
          <w:rFonts w:ascii="宋体" w:hAnsi="宋体" w:eastAsia="宋体" w:cs="宋体"/>
          <w:spacing w:val="9"/>
          <w:sz w:val="23"/>
          <w:szCs w:val="23"/>
        </w:rPr>
        <w:t>，需征得我方书面同意，否则我方不再承担因此而加重部分的保证责任，但主合同</w:t>
      </w:r>
      <w:r>
        <w:rPr>
          <w:rFonts w:ascii="宋体" w:hAnsi="宋体" w:eastAsia="宋体" w:cs="宋体"/>
          <w:spacing w:val="4"/>
          <w:sz w:val="23"/>
          <w:szCs w:val="23"/>
        </w:rPr>
        <w:t>第10条〔变</w:t>
      </w:r>
      <w:r>
        <w:rPr>
          <w:rFonts w:ascii="宋体" w:hAnsi="宋体" w:eastAsia="宋体" w:cs="宋体"/>
          <w:spacing w:val="2"/>
          <w:sz w:val="23"/>
          <w:szCs w:val="23"/>
        </w:rPr>
        <w:t>更〕约定的变更不受本款限制。</w:t>
      </w:r>
    </w:p>
    <w:p>
      <w:pPr>
        <w:spacing w:before="1" w:line="227" w:lineRule="auto"/>
        <w:ind w:left="488"/>
        <w:rPr>
          <w:rFonts w:ascii="宋体" w:hAnsi="宋体" w:eastAsia="宋体" w:cs="宋体"/>
          <w:sz w:val="23"/>
          <w:szCs w:val="23"/>
        </w:rPr>
      </w:pPr>
      <w:r>
        <w:rPr>
          <w:rFonts w:ascii="宋体" w:hAnsi="宋体" w:eastAsia="宋体" w:cs="宋体"/>
          <w:spacing w:val="9"/>
          <w:sz w:val="23"/>
          <w:szCs w:val="23"/>
        </w:rPr>
        <w:t>4.因不可抗力造成发包人不能履行义务的，我方不承担保证责任</w:t>
      </w:r>
      <w:r>
        <w:rPr>
          <w:rFonts w:ascii="宋体" w:hAnsi="宋体" w:eastAsia="宋体" w:cs="宋体"/>
          <w:spacing w:val="6"/>
          <w:sz w:val="23"/>
          <w:szCs w:val="23"/>
        </w:rPr>
        <w:t>。</w:t>
      </w:r>
    </w:p>
    <w:p>
      <w:pPr>
        <w:spacing w:before="182" w:line="239" w:lineRule="auto"/>
        <w:ind w:left="488"/>
        <w:rPr>
          <w:rFonts w:ascii="宋体" w:hAnsi="宋体" w:eastAsia="宋体" w:cs="宋体"/>
          <w:sz w:val="23"/>
          <w:szCs w:val="23"/>
        </w:rPr>
      </w:pPr>
      <w:r>
        <w:rPr>
          <w:rFonts w:ascii="宋体" w:hAnsi="宋体" w:eastAsia="宋体" w:cs="宋体"/>
          <w:spacing w:val="11"/>
          <w:sz w:val="23"/>
          <w:szCs w:val="23"/>
        </w:rPr>
        <w:t>七</w:t>
      </w:r>
      <w:r>
        <w:rPr>
          <w:rFonts w:ascii="宋体" w:hAnsi="宋体" w:eastAsia="宋体" w:cs="宋体"/>
          <w:spacing w:val="8"/>
          <w:sz w:val="23"/>
          <w:szCs w:val="23"/>
        </w:rPr>
        <w:t>、争议解决</w:t>
      </w:r>
    </w:p>
    <w:p>
      <w:pPr>
        <w:spacing w:before="169" w:line="384" w:lineRule="auto"/>
        <w:ind w:left="13" w:firstLine="493"/>
        <w:rPr>
          <w:rFonts w:ascii="宋体" w:hAnsi="宋体" w:eastAsia="宋体" w:cs="宋体"/>
          <w:sz w:val="23"/>
          <w:szCs w:val="23"/>
        </w:rPr>
      </w:pPr>
      <w:r>
        <w:rPr>
          <w:rFonts w:ascii="宋体" w:hAnsi="宋体" w:eastAsia="宋体" w:cs="宋体"/>
          <w:spacing w:val="22"/>
          <w:sz w:val="23"/>
          <w:szCs w:val="23"/>
        </w:rPr>
        <w:t>因</w:t>
      </w:r>
      <w:r>
        <w:rPr>
          <w:rFonts w:ascii="宋体" w:hAnsi="宋体" w:eastAsia="宋体" w:cs="宋体"/>
          <w:spacing w:val="15"/>
          <w:sz w:val="23"/>
          <w:szCs w:val="23"/>
        </w:rPr>
        <w:t>本</w:t>
      </w:r>
      <w:r>
        <w:rPr>
          <w:rFonts w:ascii="宋体" w:hAnsi="宋体" w:eastAsia="宋体" w:cs="宋体"/>
          <w:spacing w:val="11"/>
          <w:sz w:val="23"/>
          <w:szCs w:val="23"/>
        </w:rPr>
        <w:t>保函或本保函相关事项发生的纠纷，可由双方协商解决，协商不成的，按下</w:t>
      </w:r>
      <w:r>
        <w:rPr>
          <w:rFonts w:ascii="宋体" w:hAnsi="宋体" w:eastAsia="宋体" w:cs="宋体"/>
          <w:spacing w:val="-4"/>
          <w:sz w:val="23"/>
          <w:szCs w:val="23"/>
        </w:rPr>
        <w:t>列第</w:t>
      </w:r>
      <w:r>
        <w:rPr>
          <w:rFonts w:ascii="宋体" w:hAnsi="宋体" w:eastAsia="宋体" w:cs="宋体"/>
          <w:spacing w:val="-2"/>
          <w:sz w:val="23"/>
          <w:szCs w:val="23"/>
        </w:rPr>
        <w:t>种方式解决：</w:t>
      </w:r>
    </w:p>
    <w:p>
      <w:pPr>
        <w:spacing w:before="98" w:line="224" w:lineRule="auto"/>
        <w:ind w:left="500"/>
        <w:rPr>
          <w:rFonts w:ascii="宋体" w:hAnsi="宋体" w:eastAsia="宋体" w:cs="宋体"/>
          <w:sz w:val="23"/>
          <w:szCs w:val="23"/>
        </w:rPr>
      </w:pPr>
      <w:r>
        <w:rPr>
          <w:rFonts w:ascii="宋体" w:hAnsi="宋体" w:eastAsia="宋体" w:cs="宋体"/>
          <w:spacing w:val="10"/>
          <w:sz w:val="23"/>
          <w:szCs w:val="23"/>
        </w:rPr>
        <w:t>(1)</w:t>
      </w:r>
      <w:r>
        <w:rPr>
          <w:rFonts w:ascii="宋体" w:hAnsi="宋体" w:eastAsia="宋体" w:cs="宋体"/>
          <w:spacing w:val="9"/>
          <w:sz w:val="23"/>
          <w:szCs w:val="23"/>
        </w:rPr>
        <w:t>向</w:t>
      </w:r>
      <w:r>
        <w:rPr>
          <w:rFonts w:ascii="宋体" w:hAnsi="宋体" w:eastAsia="宋体" w:cs="宋体"/>
          <w:spacing w:val="5"/>
          <w:sz w:val="23"/>
          <w:szCs w:val="23"/>
        </w:rPr>
        <w:t>仲裁委员会申请仲裁；</w:t>
      </w:r>
    </w:p>
    <w:p>
      <w:pPr>
        <w:spacing w:before="187" w:line="228" w:lineRule="auto"/>
        <w:ind w:left="500"/>
        <w:rPr>
          <w:rFonts w:ascii="宋体" w:hAnsi="宋体" w:eastAsia="宋体" w:cs="宋体"/>
          <w:sz w:val="23"/>
          <w:szCs w:val="23"/>
        </w:rPr>
      </w:pPr>
      <w:r>
        <w:rPr>
          <w:rFonts w:ascii="宋体" w:hAnsi="宋体" w:eastAsia="宋体" w:cs="宋体"/>
          <w:spacing w:val="10"/>
          <w:sz w:val="23"/>
          <w:szCs w:val="23"/>
        </w:rPr>
        <w:t>(</w:t>
      </w:r>
      <w:r>
        <w:rPr>
          <w:rFonts w:ascii="宋体" w:hAnsi="宋体" w:eastAsia="宋体" w:cs="宋体"/>
          <w:spacing w:val="9"/>
          <w:sz w:val="23"/>
          <w:szCs w:val="23"/>
        </w:rPr>
        <w:t>2</w:t>
      </w:r>
      <w:r>
        <w:rPr>
          <w:rFonts w:ascii="宋体" w:hAnsi="宋体" w:eastAsia="宋体" w:cs="宋体"/>
          <w:spacing w:val="5"/>
          <w:sz w:val="23"/>
          <w:szCs w:val="23"/>
        </w:rPr>
        <w:t>)向人民法院起诉。</w:t>
      </w:r>
    </w:p>
    <w:p>
      <w:pPr>
        <w:spacing w:before="184" w:line="228" w:lineRule="auto"/>
        <w:ind w:left="492"/>
        <w:rPr>
          <w:rFonts w:ascii="宋体" w:hAnsi="宋体" w:eastAsia="宋体" w:cs="宋体"/>
          <w:sz w:val="23"/>
          <w:szCs w:val="23"/>
        </w:rPr>
      </w:pPr>
      <w:r>
        <w:rPr>
          <w:rFonts w:ascii="宋体" w:hAnsi="宋体" w:eastAsia="宋体" w:cs="宋体"/>
          <w:spacing w:val="8"/>
          <w:sz w:val="23"/>
          <w:szCs w:val="23"/>
        </w:rPr>
        <w:t>八、保函的生效</w:t>
      </w:r>
    </w:p>
    <w:p>
      <w:pPr>
        <w:spacing w:before="181" w:line="225" w:lineRule="auto"/>
        <w:ind w:left="489"/>
        <w:rPr>
          <w:rFonts w:ascii="宋体" w:hAnsi="宋体" w:eastAsia="宋体" w:cs="宋体"/>
          <w:sz w:val="23"/>
          <w:szCs w:val="23"/>
        </w:rPr>
      </w:pPr>
      <w:r>
        <w:rPr>
          <w:rFonts w:ascii="宋体" w:hAnsi="宋体" w:eastAsia="宋体" w:cs="宋体"/>
          <w:spacing w:val="9"/>
          <w:sz w:val="23"/>
          <w:szCs w:val="23"/>
        </w:rPr>
        <w:t>本保函自我方法定代表人(或其授权代理人)签字并加盖公章之日起生效</w:t>
      </w:r>
      <w:r>
        <w:rPr>
          <w:rFonts w:ascii="宋体" w:hAnsi="宋体" w:eastAsia="宋体" w:cs="宋体"/>
          <w:spacing w:val="3"/>
          <w:sz w:val="23"/>
          <w:szCs w:val="23"/>
        </w:rPr>
        <w:t>。</w:t>
      </w:r>
    </w:p>
    <w:p>
      <w:pPr>
        <w:sectPr>
          <w:footerReference r:id="rId22" w:type="default"/>
          <w:pgSz w:w="11907" w:h="16840"/>
          <w:pgMar w:top="1118" w:right="1474" w:bottom="1189" w:left="1473" w:header="878" w:footer="794" w:gutter="0"/>
          <w:pgNumType w:fmt="numberInDash"/>
          <w:cols w:space="720" w:num="1"/>
        </w:sectPr>
      </w:pPr>
    </w:p>
    <w:p>
      <w:pPr>
        <w:spacing w:line="248" w:lineRule="auto"/>
        <w:rPr>
          <w:rFonts w:ascii="Arial"/>
          <w:sz w:val="21"/>
        </w:rPr>
      </w:pPr>
    </w:p>
    <w:p>
      <w:pPr>
        <w:spacing w:line="248" w:lineRule="auto"/>
        <w:rPr>
          <w:rFonts w:ascii="Arial"/>
          <w:sz w:val="21"/>
        </w:rPr>
      </w:pPr>
    </w:p>
    <w:p>
      <w:pPr>
        <w:spacing w:before="75" w:line="227" w:lineRule="auto"/>
        <w:ind w:left="174"/>
        <w:rPr>
          <w:rFonts w:ascii="宋体" w:hAnsi="宋体" w:eastAsia="宋体" w:cs="宋体"/>
          <w:sz w:val="32"/>
          <w:szCs w:val="32"/>
        </w:rPr>
      </w:pPr>
      <w:r>
        <w:rPr>
          <w:rFonts w:ascii="宋体" w:hAnsi="宋体" w:eastAsia="宋体" w:cs="宋体"/>
          <w:spacing w:val="-9"/>
          <w:sz w:val="32"/>
          <w:szCs w:val="32"/>
        </w:rPr>
        <w:t>附件10：</w:t>
      </w:r>
    </w:p>
    <w:p>
      <w:pPr>
        <w:spacing w:before="276" w:line="309" w:lineRule="exact"/>
        <w:ind w:firstLine="2720" w:firstLineChars="800"/>
        <w:rPr>
          <w:rFonts w:ascii="宋体" w:hAnsi="宋体" w:eastAsia="宋体" w:cs="宋体"/>
          <w:sz w:val="32"/>
          <w:szCs w:val="32"/>
        </w:rPr>
      </w:pPr>
      <w:r>
        <w:rPr>
          <w:rFonts w:ascii="宋体" w:hAnsi="宋体" w:eastAsia="宋体" w:cs="宋体"/>
          <w:spacing w:val="10"/>
          <w:position w:val="1"/>
          <w:sz w:val="32"/>
          <w:szCs w:val="32"/>
        </w:rPr>
        <w:t>1</w:t>
      </w:r>
      <w:r>
        <w:rPr>
          <w:rFonts w:ascii="宋体" w:hAnsi="宋体" w:eastAsia="宋体" w:cs="宋体"/>
          <w:spacing w:val="7"/>
          <w:position w:val="1"/>
          <w:sz w:val="32"/>
          <w:szCs w:val="32"/>
        </w:rPr>
        <w:t>0</w:t>
      </w:r>
      <w:r>
        <w:rPr>
          <w:rFonts w:ascii="宋体" w:hAnsi="宋体" w:eastAsia="宋体" w:cs="宋体"/>
          <w:spacing w:val="5"/>
          <w:position w:val="1"/>
          <w:sz w:val="32"/>
          <w:szCs w:val="32"/>
        </w:rPr>
        <w:t>-1：材料暂估价表</w:t>
      </w:r>
    </w:p>
    <w:p>
      <w:pPr>
        <w:spacing w:line="104" w:lineRule="exact"/>
      </w:pPr>
    </w:p>
    <w:tbl>
      <w:tblPr>
        <w:tblStyle w:val="94"/>
        <w:tblW w:w="907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97"/>
        <w:gridCol w:w="1983"/>
        <w:gridCol w:w="850"/>
        <w:gridCol w:w="774"/>
        <w:gridCol w:w="1351"/>
        <w:gridCol w:w="1417"/>
        <w:gridCol w:w="1705"/>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9" w:hRule="atLeast"/>
        </w:trPr>
        <w:tc>
          <w:tcPr>
            <w:tcW w:w="997" w:type="dxa"/>
            <w:vAlign w:val="top"/>
          </w:tcPr>
          <w:p>
            <w:pPr>
              <w:spacing w:before="150" w:line="229" w:lineRule="auto"/>
              <w:ind w:left="99"/>
              <w:rPr>
                <w:rFonts w:ascii="宋体" w:hAnsi="宋体" w:eastAsia="宋体" w:cs="宋体"/>
                <w:sz w:val="23"/>
                <w:szCs w:val="23"/>
              </w:rPr>
            </w:pPr>
            <w:r>
              <w:rPr>
                <w:rFonts w:ascii="宋体" w:hAnsi="宋体" w:eastAsia="宋体" w:cs="宋体"/>
                <w:spacing w:val="6"/>
                <w:sz w:val="23"/>
                <w:szCs w:val="23"/>
              </w:rPr>
              <w:t>序</w:t>
            </w:r>
            <w:r>
              <w:rPr>
                <w:rFonts w:ascii="宋体" w:hAnsi="宋体" w:eastAsia="宋体" w:cs="宋体"/>
                <w:spacing w:val="5"/>
                <w:sz w:val="23"/>
                <w:szCs w:val="23"/>
              </w:rPr>
              <w:t>号</w:t>
            </w:r>
          </w:p>
        </w:tc>
        <w:tc>
          <w:tcPr>
            <w:tcW w:w="1983" w:type="dxa"/>
            <w:vAlign w:val="top"/>
          </w:tcPr>
          <w:p>
            <w:pPr>
              <w:spacing w:before="150" w:line="230" w:lineRule="auto"/>
              <w:ind w:left="99"/>
              <w:rPr>
                <w:rFonts w:ascii="宋体" w:hAnsi="宋体" w:eastAsia="宋体" w:cs="宋体"/>
                <w:sz w:val="23"/>
                <w:szCs w:val="23"/>
              </w:rPr>
            </w:pPr>
            <w:r>
              <w:rPr>
                <w:rFonts w:ascii="宋体" w:hAnsi="宋体" w:eastAsia="宋体" w:cs="宋体"/>
                <w:spacing w:val="4"/>
                <w:sz w:val="23"/>
                <w:szCs w:val="23"/>
              </w:rPr>
              <w:t>名</w:t>
            </w:r>
            <w:r>
              <w:rPr>
                <w:rFonts w:ascii="宋体" w:hAnsi="宋体" w:eastAsia="宋体" w:cs="宋体"/>
                <w:spacing w:val="3"/>
                <w:sz w:val="23"/>
                <w:szCs w:val="23"/>
              </w:rPr>
              <w:t>称</w:t>
            </w:r>
          </w:p>
        </w:tc>
        <w:tc>
          <w:tcPr>
            <w:tcW w:w="850" w:type="dxa"/>
            <w:vAlign w:val="top"/>
          </w:tcPr>
          <w:p>
            <w:pPr>
              <w:spacing w:before="150" w:line="228" w:lineRule="auto"/>
              <w:ind w:left="98"/>
              <w:rPr>
                <w:rFonts w:ascii="宋体" w:hAnsi="宋体" w:eastAsia="宋体" w:cs="宋体"/>
                <w:sz w:val="23"/>
                <w:szCs w:val="23"/>
              </w:rPr>
            </w:pPr>
            <w:r>
              <w:rPr>
                <w:rFonts w:ascii="宋体" w:hAnsi="宋体" w:eastAsia="宋体" w:cs="宋体"/>
                <w:spacing w:val="4"/>
                <w:sz w:val="23"/>
                <w:szCs w:val="23"/>
              </w:rPr>
              <w:t>单位</w:t>
            </w:r>
          </w:p>
        </w:tc>
        <w:tc>
          <w:tcPr>
            <w:tcW w:w="774" w:type="dxa"/>
            <w:vAlign w:val="top"/>
          </w:tcPr>
          <w:p>
            <w:pPr>
              <w:spacing w:before="151" w:line="227" w:lineRule="auto"/>
              <w:ind w:left="100"/>
              <w:rPr>
                <w:rFonts w:ascii="宋体" w:hAnsi="宋体" w:eastAsia="宋体" w:cs="宋体"/>
                <w:sz w:val="23"/>
                <w:szCs w:val="23"/>
              </w:rPr>
            </w:pPr>
            <w:r>
              <w:rPr>
                <w:rFonts w:ascii="宋体" w:hAnsi="宋体" w:eastAsia="宋体" w:cs="宋体"/>
                <w:spacing w:val="4"/>
                <w:sz w:val="23"/>
                <w:szCs w:val="23"/>
              </w:rPr>
              <w:t>数量</w:t>
            </w:r>
          </w:p>
        </w:tc>
        <w:tc>
          <w:tcPr>
            <w:tcW w:w="1351" w:type="dxa"/>
            <w:vAlign w:val="top"/>
          </w:tcPr>
          <w:p>
            <w:pPr>
              <w:spacing w:before="150" w:line="226" w:lineRule="auto"/>
              <w:ind w:left="99"/>
              <w:rPr>
                <w:rFonts w:ascii="宋体" w:hAnsi="宋体" w:eastAsia="宋体" w:cs="宋体"/>
                <w:sz w:val="23"/>
                <w:szCs w:val="23"/>
              </w:rPr>
            </w:pPr>
            <w:r>
              <w:rPr>
                <w:rFonts w:ascii="宋体" w:hAnsi="宋体" w:eastAsia="宋体" w:cs="宋体"/>
                <w:spacing w:val="8"/>
                <w:sz w:val="23"/>
                <w:szCs w:val="23"/>
              </w:rPr>
              <w:t>单</w:t>
            </w:r>
            <w:r>
              <w:rPr>
                <w:rFonts w:ascii="宋体" w:hAnsi="宋体" w:eastAsia="宋体" w:cs="宋体"/>
                <w:spacing w:val="4"/>
                <w:sz w:val="23"/>
                <w:szCs w:val="23"/>
              </w:rPr>
              <w:t>价(元)</w:t>
            </w:r>
          </w:p>
        </w:tc>
        <w:tc>
          <w:tcPr>
            <w:tcW w:w="1417" w:type="dxa"/>
            <w:vAlign w:val="top"/>
          </w:tcPr>
          <w:p>
            <w:pPr>
              <w:spacing w:before="150" w:line="226" w:lineRule="auto"/>
              <w:ind w:left="100"/>
              <w:rPr>
                <w:rFonts w:ascii="宋体" w:hAnsi="宋体" w:eastAsia="宋体" w:cs="宋体"/>
                <w:sz w:val="23"/>
                <w:szCs w:val="23"/>
              </w:rPr>
            </w:pPr>
            <w:r>
              <w:rPr>
                <w:rFonts w:ascii="宋体" w:hAnsi="宋体" w:eastAsia="宋体" w:cs="宋体"/>
                <w:spacing w:val="5"/>
                <w:sz w:val="23"/>
                <w:szCs w:val="23"/>
              </w:rPr>
              <w:t>合价(元</w:t>
            </w:r>
            <w:r>
              <w:rPr>
                <w:rFonts w:ascii="宋体" w:hAnsi="宋体" w:eastAsia="宋体" w:cs="宋体"/>
                <w:spacing w:val="4"/>
                <w:sz w:val="23"/>
                <w:szCs w:val="23"/>
              </w:rPr>
              <w:t>)</w:t>
            </w:r>
          </w:p>
        </w:tc>
        <w:tc>
          <w:tcPr>
            <w:tcW w:w="1705" w:type="dxa"/>
            <w:vAlign w:val="top"/>
          </w:tcPr>
          <w:p>
            <w:pPr>
              <w:spacing w:before="150" w:line="229" w:lineRule="auto"/>
              <w:ind w:left="104"/>
              <w:rPr>
                <w:rFonts w:ascii="宋体" w:hAnsi="宋体" w:eastAsia="宋体" w:cs="宋体"/>
                <w:sz w:val="23"/>
                <w:szCs w:val="23"/>
              </w:rPr>
            </w:pPr>
            <w:r>
              <w:rPr>
                <w:rFonts w:ascii="宋体" w:hAnsi="宋体" w:eastAsia="宋体" w:cs="宋体"/>
                <w:spacing w:val="4"/>
                <w:sz w:val="23"/>
                <w:szCs w:val="23"/>
              </w:rPr>
              <w:t>备</w:t>
            </w:r>
            <w:r>
              <w:rPr>
                <w:rFonts w:ascii="宋体" w:hAnsi="宋体" w:eastAsia="宋体" w:cs="宋体"/>
                <w:spacing w:val="3"/>
                <w:sz w:val="23"/>
                <w:szCs w:val="23"/>
              </w:rPr>
              <w:t>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997" w:type="dxa"/>
            <w:vAlign w:val="top"/>
          </w:tcPr>
          <w:p>
            <w:pPr>
              <w:rPr>
                <w:rFonts w:ascii="Arial"/>
                <w:sz w:val="21"/>
              </w:rPr>
            </w:pPr>
          </w:p>
        </w:tc>
        <w:tc>
          <w:tcPr>
            <w:tcW w:w="1983" w:type="dxa"/>
            <w:vAlign w:val="top"/>
          </w:tcPr>
          <w:p>
            <w:pPr>
              <w:rPr>
                <w:rFonts w:ascii="Arial"/>
                <w:sz w:val="21"/>
              </w:rPr>
            </w:pPr>
          </w:p>
        </w:tc>
        <w:tc>
          <w:tcPr>
            <w:tcW w:w="850" w:type="dxa"/>
            <w:vAlign w:val="top"/>
          </w:tcPr>
          <w:p>
            <w:pPr>
              <w:rPr>
                <w:rFonts w:ascii="Arial"/>
                <w:sz w:val="21"/>
              </w:rPr>
            </w:pPr>
          </w:p>
        </w:tc>
        <w:tc>
          <w:tcPr>
            <w:tcW w:w="774" w:type="dxa"/>
            <w:vAlign w:val="top"/>
          </w:tcPr>
          <w:p>
            <w:pPr>
              <w:rPr>
                <w:rFonts w:ascii="Arial"/>
                <w:sz w:val="21"/>
              </w:rPr>
            </w:pPr>
          </w:p>
        </w:tc>
        <w:tc>
          <w:tcPr>
            <w:tcW w:w="1351" w:type="dxa"/>
            <w:vAlign w:val="top"/>
          </w:tcPr>
          <w:p>
            <w:pPr>
              <w:rPr>
                <w:rFonts w:ascii="Arial"/>
                <w:sz w:val="21"/>
              </w:rPr>
            </w:pPr>
          </w:p>
        </w:tc>
        <w:tc>
          <w:tcPr>
            <w:tcW w:w="1417" w:type="dxa"/>
            <w:vAlign w:val="top"/>
          </w:tcPr>
          <w:p>
            <w:pPr>
              <w:rPr>
                <w:rFonts w:ascii="Arial"/>
                <w:sz w:val="21"/>
              </w:rPr>
            </w:pPr>
          </w:p>
        </w:tc>
        <w:tc>
          <w:tcPr>
            <w:tcW w:w="1705"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997" w:type="dxa"/>
            <w:vAlign w:val="top"/>
          </w:tcPr>
          <w:p>
            <w:pPr>
              <w:rPr>
                <w:rFonts w:ascii="Arial"/>
                <w:sz w:val="21"/>
              </w:rPr>
            </w:pPr>
          </w:p>
        </w:tc>
        <w:tc>
          <w:tcPr>
            <w:tcW w:w="1983" w:type="dxa"/>
            <w:vAlign w:val="top"/>
          </w:tcPr>
          <w:p>
            <w:pPr>
              <w:rPr>
                <w:rFonts w:ascii="Arial"/>
                <w:sz w:val="21"/>
              </w:rPr>
            </w:pPr>
          </w:p>
        </w:tc>
        <w:tc>
          <w:tcPr>
            <w:tcW w:w="850" w:type="dxa"/>
            <w:vAlign w:val="top"/>
          </w:tcPr>
          <w:p>
            <w:pPr>
              <w:rPr>
                <w:rFonts w:ascii="Arial"/>
                <w:sz w:val="21"/>
              </w:rPr>
            </w:pPr>
          </w:p>
        </w:tc>
        <w:tc>
          <w:tcPr>
            <w:tcW w:w="774" w:type="dxa"/>
            <w:vAlign w:val="top"/>
          </w:tcPr>
          <w:p>
            <w:pPr>
              <w:rPr>
                <w:rFonts w:ascii="Arial"/>
                <w:sz w:val="21"/>
              </w:rPr>
            </w:pPr>
          </w:p>
        </w:tc>
        <w:tc>
          <w:tcPr>
            <w:tcW w:w="1351" w:type="dxa"/>
            <w:vAlign w:val="top"/>
          </w:tcPr>
          <w:p>
            <w:pPr>
              <w:rPr>
                <w:rFonts w:ascii="Arial"/>
                <w:sz w:val="21"/>
              </w:rPr>
            </w:pPr>
          </w:p>
        </w:tc>
        <w:tc>
          <w:tcPr>
            <w:tcW w:w="1417" w:type="dxa"/>
            <w:vAlign w:val="top"/>
          </w:tcPr>
          <w:p>
            <w:pPr>
              <w:rPr>
                <w:rFonts w:ascii="Arial"/>
                <w:sz w:val="21"/>
              </w:rPr>
            </w:pPr>
          </w:p>
        </w:tc>
        <w:tc>
          <w:tcPr>
            <w:tcW w:w="1705"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997" w:type="dxa"/>
            <w:vAlign w:val="top"/>
          </w:tcPr>
          <w:p>
            <w:pPr>
              <w:rPr>
                <w:rFonts w:ascii="Arial"/>
                <w:sz w:val="21"/>
              </w:rPr>
            </w:pPr>
          </w:p>
        </w:tc>
        <w:tc>
          <w:tcPr>
            <w:tcW w:w="1983" w:type="dxa"/>
            <w:vAlign w:val="top"/>
          </w:tcPr>
          <w:p>
            <w:pPr>
              <w:rPr>
                <w:rFonts w:ascii="Arial"/>
                <w:sz w:val="21"/>
              </w:rPr>
            </w:pPr>
          </w:p>
        </w:tc>
        <w:tc>
          <w:tcPr>
            <w:tcW w:w="850" w:type="dxa"/>
            <w:vAlign w:val="top"/>
          </w:tcPr>
          <w:p>
            <w:pPr>
              <w:rPr>
                <w:rFonts w:ascii="Arial"/>
                <w:sz w:val="21"/>
              </w:rPr>
            </w:pPr>
          </w:p>
        </w:tc>
        <w:tc>
          <w:tcPr>
            <w:tcW w:w="774" w:type="dxa"/>
            <w:vAlign w:val="top"/>
          </w:tcPr>
          <w:p>
            <w:pPr>
              <w:rPr>
                <w:rFonts w:ascii="Arial"/>
                <w:sz w:val="21"/>
              </w:rPr>
            </w:pPr>
          </w:p>
        </w:tc>
        <w:tc>
          <w:tcPr>
            <w:tcW w:w="1351" w:type="dxa"/>
            <w:vAlign w:val="top"/>
          </w:tcPr>
          <w:p>
            <w:pPr>
              <w:rPr>
                <w:rFonts w:ascii="Arial"/>
                <w:sz w:val="21"/>
              </w:rPr>
            </w:pPr>
          </w:p>
        </w:tc>
        <w:tc>
          <w:tcPr>
            <w:tcW w:w="1417" w:type="dxa"/>
            <w:vAlign w:val="top"/>
          </w:tcPr>
          <w:p>
            <w:pPr>
              <w:rPr>
                <w:rFonts w:ascii="Arial"/>
                <w:sz w:val="21"/>
              </w:rPr>
            </w:pPr>
          </w:p>
        </w:tc>
        <w:tc>
          <w:tcPr>
            <w:tcW w:w="1705"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997" w:type="dxa"/>
            <w:vAlign w:val="top"/>
          </w:tcPr>
          <w:p>
            <w:pPr>
              <w:rPr>
                <w:rFonts w:ascii="Arial"/>
                <w:sz w:val="21"/>
              </w:rPr>
            </w:pPr>
          </w:p>
        </w:tc>
        <w:tc>
          <w:tcPr>
            <w:tcW w:w="1983" w:type="dxa"/>
            <w:vAlign w:val="top"/>
          </w:tcPr>
          <w:p>
            <w:pPr>
              <w:rPr>
                <w:rFonts w:ascii="Arial"/>
                <w:sz w:val="21"/>
              </w:rPr>
            </w:pPr>
          </w:p>
        </w:tc>
        <w:tc>
          <w:tcPr>
            <w:tcW w:w="850" w:type="dxa"/>
            <w:vAlign w:val="top"/>
          </w:tcPr>
          <w:p>
            <w:pPr>
              <w:rPr>
                <w:rFonts w:ascii="Arial"/>
                <w:sz w:val="21"/>
              </w:rPr>
            </w:pPr>
          </w:p>
        </w:tc>
        <w:tc>
          <w:tcPr>
            <w:tcW w:w="774" w:type="dxa"/>
            <w:vAlign w:val="top"/>
          </w:tcPr>
          <w:p>
            <w:pPr>
              <w:rPr>
                <w:rFonts w:ascii="Arial"/>
                <w:sz w:val="21"/>
              </w:rPr>
            </w:pPr>
          </w:p>
        </w:tc>
        <w:tc>
          <w:tcPr>
            <w:tcW w:w="1351" w:type="dxa"/>
            <w:vAlign w:val="top"/>
          </w:tcPr>
          <w:p>
            <w:pPr>
              <w:rPr>
                <w:rFonts w:ascii="Arial"/>
                <w:sz w:val="21"/>
              </w:rPr>
            </w:pPr>
          </w:p>
        </w:tc>
        <w:tc>
          <w:tcPr>
            <w:tcW w:w="1417" w:type="dxa"/>
            <w:vAlign w:val="top"/>
          </w:tcPr>
          <w:p>
            <w:pPr>
              <w:rPr>
                <w:rFonts w:ascii="Arial"/>
                <w:sz w:val="21"/>
              </w:rPr>
            </w:pPr>
          </w:p>
        </w:tc>
        <w:tc>
          <w:tcPr>
            <w:tcW w:w="1705"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997" w:type="dxa"/>
            <w:vAlign w:val="top"/>
          </w:tcPr>
          <w:p>
            <w:pPr>
              <w:rPr>
                <w:rFonts w:ascii="Arial"/>
                <w:sz w:val="21"/>
              </w:rPr>
            </w:pPr>
          </w:p>
        </w:tc>
        <w:tc>
          <w:tcPr>
            <w:tcW w:w="1983" w:type="dxa"/>
            <w:vAlign w:val="top"/>
          </w:tcPr>
          <w:p>
            <w:pPr>
              <w:rPr>
                <w:rFonts w:ascii="Arial"/>
                <w:sz w:val="21"/>
              </w:rPr>
            </w:pPr>
          </w:p>
        </w:tc>
        <w:tc>
          <w:tcPr>
            <w:tcW w:w="850" w:type="dxa"/>
            <w:vAlign w:val="top"/>
          </w:tcPr>
          <w:p>
            <w:pPr>
              <w:rPr>
                <w:rFonts w:ascii="Arial"/>
                <w:sz w:val="21"/>
              </w:rPr>
            </w:pPr>
          </w:p>
        </w:tc>
        <w:tc>
          <w:tcPr>
            <w:tcW w:w="774" w:type="dxa"/>
            <w:vAlign w:val="top"/>
          </w:tcPr>
          <w:p>
            <w:pPr>
              <w:rPr>
                <w:rFonts w:ascii="Arial"/>
                <w:sz w:val="21"/>
              </w:rPr>
            </w:pPr>
          </w:p>
        </w:tc>
        <w:tc>
          <w:tcPr>
            <w:tcW w:w="1351" w:type="dxa"/>
            <w:vAlign w:val="top"/>
          </w:tcPr>
          <w:p>
            <w:pPr>
              <w:rPr>
                <w:rFonts w:ascii="Arial"/>
                <w:sz w:val="21"/>
              </w:rPr>
            </w:pPr>
          </w:p>
        </w:tc>
        <w:tc>
          <w:tcPr>
            <w:tcW w:w="1417" w:type="dxa"/>
            <w:vAlign w:val="top"/>
          </w:tcPr>
          <w:p>
            <w:pPr>
              <w:rPr>
                <w:rFonts w:ascii="Arial"/>
                <w:sz w:val="21"/>
              </w:rPr>
            </w:pPr>
          </w:p>
        </w:tc>
        <w:tc>
          <w:tcPr>
            <w:tcW w:w="1705"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997" w:type="dxa"/>
            <w:vAlign w:val="top"/>
          </w:tcPr>
          <w:p>
            <w:pPr>
              <w:rPr>
                <w:rFonts w:ascii="Arial"/>
                <w:sz w:val="21"/>
              </w:rPr>
            </w:pPr>
          </w:p>
        </w:tc>
        <w:tc>
          <w:tcPr>
            <w:tcW w:w="1983" w:type="dxa"/>
            <w:vAlign w:val="top"/>
          </w:tcPr>
          <w:p>
            <w:pPr>
              <w:rPr>
                <w:rFonts w:ascii="Arial"/>
                <w:sz w:val="21"/>
              </w:rPr>
            </w:pPr>
          </w:p>
        </w:tc>
        <w:tc>
          <w:tcPr>
            <w:tcW w:w="850" w:type="dxa"/>
            <w:vAlign w:val="top"/>
          </w:tcPr>
          <w:p>
            <w:pPr>
              <w:rPr>
                <w:rFonts w:ascii="Arial"/>
                <w:sz w:val="21"/>
              </w:rPr>
            </w:pPr>
          </w:p>
        </w:tc>
        <w:tc>
          <w:tcPr>
            <w:tcW w:w="774" w:type="dxa"/>
            <w:vAlign w:val="top"/>
          </w:tcPr>
          <w:p>
            <w:pPr>
              <w:rPr>
                <w:rFonts w:ascii="Arial"/>
                <w:sz w:val="21"/>
              </w:rPr>
            </w:pPr>
          </w:p>
        </w:tc>
        <w:tc>
          <w:tcPr>
            <w:tcW w:w="1351" w:type="dxa"/>
            <w:vAlign w:val="top"/>
          </w:tcPr>
          <w:p>
            <w:pPr>
              <w:rPr>
                <w:rFonts w:ascii="Arial"/>
                <w:sz w:val="21"/>
              </w:rPr>
            </w:pPr>
          </w:p>
        </w:tc>
        <w:tc>
          <w:tcPr>
            <w:tcW w:w="1417" w:type="dxa"/>
            <w:vAlign w:val="top"/>
          </w:tcPr>
          <w:p>
            <w:pPr>
              <w:rPr>
                <w:rFonts w:ascii="Arial"/>
                <w:sz w:val="21"/>
              </w:rPr>
            </w:pPr>
          </w:p>
        </w:tc>
        <w:tc>
          <w:tcPr>
            <w:tcW w:w="1705"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997" w:type="dxa"/>
            <w:vAlign w:val="top"/>
          </w:tcPr>
          <w:p>
            <w:pPr>
              <w:rPr>
                <w:rFonts w:ascii="Arial"/>
                <w:sz w:val="21"/>
              </w:rPr>
            </w:pPr>
          </w:p>
        </w:tc>
        <w:tc>
          <w:tcPr>
            <w:tcW w:w="1983" w:type="dxa"/>
            <w:vAlign w:val="top"/>
          </w:tcPr>
          <w:p>
            <w:pPr>
              <w:rPr>
                <w:rFonts w:ascii="Arial"/>
                <w:sz w:val="21"/>
              </w:rPr>
            </w:pPr>
          </w:p>
        </w:tc>
        <w:tc>
          <w:tcPr>
            <w:tcW w:w="850" w:type="dxa"/>
            <w:vAlign w:val="top"/>
          </w:tcPr>
          <w:p>
            <w:pPr>
              <w:rPr>
                <w:rFonts w:ascii="Arial"/>
                <w:sz w:val="21"/>
              </w:rPr>
            </w:pPr>
          </w:p>
        </w:tc>
        <w:tc>
          <w:tcPr>
            <w:tcW w:w="774" w:type="dxa"/>
            <w:vAlign w:val="top"/>
          </w:tcPr>
          <w:p>
            <w:pPr>
              <w:rPr>
                <w:rFonts w:ascii="Arial"/>
                <w:sz w:val="21"/>
              </w:rPr>
            </w:pPr>
          </w:p>
        </w:tc>
        <w:tc>
          <w:tcPr>
            <w:tcW w:w="1351" w:type="dxa"/>
            <w:vAlign w:val="top"/>
          </w:tcPr>
          <w:p>
            <w:pPr>
              <w:rPr>
                <w:rFonts w:ascii="Arial"/>
                <w:sz w:val="21"/>
              </w:rPr>
            </w:pPr>
          </w:p>
        </w:tc>
        <w:tc>
          <w:tcPr>
            <w:tcW w:w="1417" w:type="dxa"/>
            <w:vAlign w:val="top"/>
          </w:tcPr>
          <w:p>
            <w:pPr>
              <w:rPr>
                <w:rFonts w:ascii="Arial"/>
                <w:sz w:val="21"/>
              </w:rPr>
            </w:pPr>
          </w:p>
        </w:tc>
        <w:tc>
          <w:tcPr>
            <w:tcW w:w="1705"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997" w:type="dxa"/>
            <w:vAlign w:val="top"/>
          </w:tcPr>
          <w:p>
            <w:pPr>
              <w:rPr>
                <w:rFonts w:ascii="Arial"/>
                <w:sz w:val="21"/>
              </w:rPr>
            </w:pPr>
          </w:p>
        </w:tc>
        <w:tc>
          <w:tcPr>
            <w:tcW w:w="1983" w:type="dxa"/>
            <w:vAlign w:val="top"/>
          </w:tcPr>
          <w:p>
            <w:pPr>
              <w:rPr>
                <w:rFonts w:ascii="Arial"/>
                <w:sz w:val="21"/>
              </w:rPr>
            </w:pPr>
          </w:p>
        </w:tc>
        <w:tc>
          <w:tcPr>
            <w:tcW w:w="850" w:type="dxa"/>
            <w:vAlign w:val="top"/>
          </w:tcPr>
          <w:p>
            <w:pPr>
              <w:rPr>
                <w:rFonts w:ascii="Arial"/>
                <w:sz w:val="21"/>
              </w:rPr>
            </w:pPr>
          </w:p>
        </w:tc>
        <w:tc>
          <w:tcPr>
            <w:tcW w:w="774" w:type="dxa"/>
            <w:vAlign w:val="top"/>
          </w:tcPr>
          <w:p>
            <w:pPr>
              <w:rPr>
                <w:rFonts w:ascii="Arial"/>
                <w:sz w:val="21"/>
              </w:rPr>
            </w:pPr>
          </w:p>
        </w:tc>
        <w:tc>
          <w:tcPr>
            <w:tcW w:w="1351" w:type="dxa"/>
            <w:vAlign w:val="top"/>
          </w:tcPr>
          <w:p>
            <w:pPr>
              <w:rPr>
                <w:rFonts w:ascii="Arial"/>
                <w:sz w:val="21"/>
              </w:rPr>
            </w:pPr>
          </w:p>
        </w:tc>
        <w:tc>
          <w:tcPr>
            <w:tcW w:w="1417" w:type="dxa"/>
            <w:vAlign w:val="top"/>
          </w:tcPr>
          <w:p>
            <w:pPr>
              <w:rPr>
                <w:rFonts w:ascii="Arial"/>
                <w:sz w:val="21"/>
              </w:rPr>
            </w:pPr>
          </w:p>
        </w:tc>
        <w:tc>
          <w:tcPr>
            <w:tcW w:w="1705"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997" w:type="dxa"/>
            <w:vAlign w:val="top"/>
          </w:tcPr>
          <w:p>
            <w:pPr>
              <w:rPr>
                <w:rFonts w:ascii="Arial"/>
                <w:sz w:val="21"/>
              </w:rPr>
            </w:pPr>
          </w:p>
        </w:tc>
        <w:tc>
          <w:tcPr>
            <w:tcW w:w="1983" w:type="dxa"/>
            <w:vAlign w:val="top"/>
          </w:tcPr>
          <w:p>
            <w:pPr>
              <w:rPr>
                <w:rFonts w:ascii="Arial"/>
                <w:sz w:val="21"/>
              </w:rPr>
            </w:pPr>
          </w:p>
        </w:tc>
        <w:tc>
          <w:tcPr>
            <w:tcW w:w="850" w:type="dxa"/>
            <w:vAlign w:val="top"/>
          </w:tcPr>
          <w:p>
            <w:pPr>
              <w:rPr>
                <w:rFonts w:ascii="Arial"/>
                <w:sz w:val="21"/>
              </w:rPr>
            </w:pPr>
          </w:p>
        </w:tc>
        <w:tc>
          <w:tcPr>
            <w:tcW w:w="774" w:type="dxa"/>
            <w:vAlign w:val="top"/>
          </w:tcPr>
          <w:p>
            <w:pPr>
              <w:rPr>
                <w:rFonts w:ascii="Arial"/>
                <w:sz w:val="21"/>
              </w:rPr>
            </w:pPr>
          </w:p>
        </w:tc>
        <w:tc>
          <w:tcPr>
            <w:tcW w:w="1351" w:type="dxa"/>
            <w:vAlign w:val="top"/>
          </w:tcPr>
          <w:p>
            <w:pPr>
              <w:rPr>
                <w:rFonts w:ascii="Arial"/>
                <w:sz w:val="21"/>
              </w:rPr>
            </w:pPr>
          </w:p>
        </w:tc>
        <w:tc>
          <w:tcPr>
            <w:tcW w:w="1417" w:type="dxa"/>
            <w:vAlign w:val="top"/>
          </w:tcPr>
          <w:p>
            <w:pPr>
              <w:rPr>
                <w:rFonts w:ascii="Arial"/>
                <w:sz w:val="21"/>
              </w:rPr>
            </w:pPr>
          </w:p>
        </w:tc>
        <w:tc>
          <w:tcPr>
            <w:tcW w:w="1705"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997" w:type="dxa"/>
            <w:vAlign w:val="top"/>
          </w:tcPr>
          <w:p>
            <w:pPr>
              <w:rPr>
                <w:rFonts w:ascii="Arial"/>
                <w:sz w:val="21"/>
              </w:rPr>
            </w:pPr>
          </w:p>
        </w:tc>
        <w:tc>
          <w:tcPr>
            <w:tcW w:w="1983" w:type="dxa"/>
            <w:vAlign w:val="top"/>
          </w:tcPr>
          <w:p>
            <w:pPr>
              <w:rPr>
                <w:rFonts w:ascii="Arial"/>
                <w:sz w:val="21"/>
              </w:rPr>
            </w:pPr>
          </w:p>
        </w:tc>
        <w:tc>
          <w:tcPr>
            <w:tcW w:w="850" w:type="dxa"/>
            <w:vAlign w:val="top"/>
          </w:tcPr>
          <w:p>
            <w:pPr>
              <w:rPr>
                <w:rFonts w:ascii="Arial"/>
                <w:sz w:val="21"/>
              </w:rPr>
            </w:pPr>
          </w:p>
        </w:tc>
        <w:tc>
          <w:tcPr>
            <w:tcW w:w="774" w:type="dxa"/>
            <w:vAlign w:val="top"/>
          </w:tcPr>
          <w:p>
            <w:pPr>
              <w:rPr>
                <w:rFonts w:ascii="Arial"/>
                <w:sz w:val="21"/>
              </w:rPr>
            </w:pPr>
          </w:p>
        </w:tc>
        <w:tc>
          <w:tcPr>
            <w:tcW w:w="1351" w:type="dxa"/>
            <w:vAlign w:val="top"/>
          </w:tcPr>
          <w:p>
            <w:pPr>
              <w:rPr>
                <w:rFonts w:ascii="Arial"/>
                <w:sz w:val="21"/>
              </w:rPr>
            </w:pPr>
          </w:p>
        </w:tc>
        <w:tc>
          <w:tcPr>
            <w:tcW w:w="1417" w:type="dxa"/>
            <w:vAlign w:val="top"/>
          </w:tcPr>
          <w:p>
            <w:pPr>
              <w:rPr>
                <w:rFonts w:ascii="Arial"/>
                <w:sz w:val="21"/>
              </w:rPr>
            </w:pPr>
          </w:p>
        </w:tc>
        <w:tc>
          <w:tcPr>
            <w:tcW w:w="1705"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997" w:type="dxa"/>
            <w:vAlign w:val="top"/>
          </w:tcPr>
          <w:p>
            <w:pPr>
              <w:rPr>
                <w:rFonts w:ascii="Arial"/>
                <w:sz w:val="21"/>
              </w:rPr>
            </w:pPr>
          </w:p>
        </w:tc>
        <w:tc>
          <w:tcPr>
            <w:tcW w:w="1983" w:type="dxa"/>
            <w:vAlign w:val="top"/>
          </w:tcPr>
          <w:p>
            <w:pPr>
              <w:rPr>
                <w:rFonts w:ascii="Arial"/>
                <w:sz w:val="21"/>
              </w:rPr>
            </w:pPr>
          </w:p>
        </w:tc>
        <w:tc>
          <w:tcPr>
            <w:tcW w:w="850" w:type="dxa"/>
            <w:vAlign w:val="top"/>
          </w:tcPr>
          <w:p>
            <w:pPr>
              <w:rPr>
                <w:rFonts w:ascii="Arial"/>
                <w:sz w:val="21"/>
              </w:rPr>
            </w:pPr>
          </w:p>
        </w:tc>
        <w:tc>
          <w:tcPr>
            <w:tcW w:w="774" w:type="dxa"/>
            <w:vAlign w:val="top"/>
          </w:tcPr>
          <w:p>
            <w:pPr>
              <w:rPr>
                <w:rFonts w:ascii="Arial"/>
                <w:sz w:val="21"/>
              </w:rPr>
            </w:pPr>
          </w:p>
        </w:tc>
        <w:tc>
          <w:tcPr>
            <w:tcW w:w="1351" w:type="dxa"/>
            <w:vAlign w:val="top"/>
          </w:tcPr>
          <w:p>
            <w:pPr>
              <w:rPr>
                <w:rFonts w:ascii="Arial"/>
                <w:sz w:val="21"/>
              </w:rPr>
            </w:pPr>
          </w:p>
        </w:tc>
        <w:tc>
          <w:tcPr>
            <w:tcW w:w="1417" w:type="dxa"/>
            <w:vAlign w:val="top"/>
          </w:tcPr>
          <w:p>
            <w:pPr>
              <w:rPr>
                <w:rFonts w:ascii="Arial"/>
                <w:sz w:val="21"/>
              </w:rPr>
            </w:pPr>
          </w:p>
        </w:tc>
        <w:tc>
          <w:tcPr>
            <w:tcW w:w="1705"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997" w:type="dxa"/>
            <w:vAlign w:val="top"/>
          </w:tcPr>
          <w:p>
            <w:pPr>
              <w:rPr>
                <w:rFonts w:ascii="Arial"/>
                <w:sz w:val="21"/>
              </w:rPr>
            </w:pPr>
          </w:p>
        </w:tc>
        <w:tc>
          <w:tcPr>
            <w:tcW w:w="1983" w:type="dxa"/>
            <w:vAlign w:val="top"/>
          </w:tcPr>
          <w:p>
            <w:pPr>
              <w:rPr>
                <w:rFonts w:ascii="Arial"/>
                <w:sz w:val="21"/>
              </w:rPr>
            </w:pPr>
          </w:p>
        </w:tc>
        <w:tc>
          <w:tcPr>
            <w:tcW w:w="850" w:type="dxa"/>
            <w:vAlign w:val="top"/>
          </w:tcPr>
          <w:p>
            <w:pPr>
              <w:rPr>
                <w:rFonts w:ascii="Arial"/>
                <w:sz w:val="21"/>
              </w:rPr>
            </w:pPr>
          </w:p>
        </w:tc>
        <w:tc>
          <w:tcPr>
            <w:tcW w:w="774" w:type="dxa"/>
            <w:vAlign w:val="top"/>
          </w:tcPr>
          <w:p>
            <w:pPr>
              <w:rPr>
                <w:rFonts w:ascii="Arial"/>
                <w:sz w:val="21"/>
              </w:rPr>
            </w:pPr>
          </w:p>
        </w:tc>
        <w:tc>
          <w:tcPr>
            <w:tcW w:w="1351" w:type="dxa"/>
            <w:vAlign w:val="top"/>
          </w:tcPr>
          <w:p>
            <w:pPr>
              <w:rPr>
                <w:rFonts w:ascii="Arial"/>
                <w:sz w:val="21"/>
              </w:rPr>
            </w:pPr>
          </w:p>
        </w:tc>
        <w:tc>
          <w:tcPr>
            <w:tcW w:w="1417" w:type="dxa"/>
            <w:vAlign w:val="top"/>
          </w:tcPr>
          <w:p>
            <w:pPr>
              <w:rPr>
                <w:rFonts w:ascii="Arial"/>
                <w:sz w:val="21"/>
              </w:rPr>
            </w:pPr>
          </w:p>
        </w:tc>
        <w:tc>
          <w:tcPr>
            <w:tcW w:w="1705"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997" w:type="dxa"/>
            <w:vAlign w:val="top"/>
          </w:tcPr>
          <w:p>
            <w:pPr>
              <w:rPr>
                <w:rFonts w:ascii="Arial"/>
                <w:sz w:val="21"/>
              </w:rPr>
            </w:pPr>
          </w:p>
        </w:tc>
        <w:tc>
          <w:tcPr>
            <w:tcW w:w="1983" w:type="dxa"/>
            <w:vAlign w:val="top"/>
          </w:tcPr>
          <w:p>
            <w:pPr>
              <w:rPr>
                <w:rFonts w:ascii="Arial"/>
                <w:sz w:val="21"/>
              </w:rPr>
            </w:pPr>
          </w:p>
        </w:tc>
        <w:tc>
          <w:tcPr>
            <w:tcW w:w="850" w:type="dxa"/>
            <w:vAlign w:val="top"/>
          </w:tcPr>
          <w:p>
            <w:pPr>
              <w:rPr>
                <w:rFonts w:ascii="Arial"/>
                <w:sz w:val="21"/>
              </w:rPr>
            </w:pPr>
          </w:p>
        </w:tc>
        <w:tc>
          <w:tcPr>
            <w:tcW w:w="774" w:type="dxa"/>
            <w:vAlign w:val="top"/>
          </w:tcPr>
          <w:p>
            <w:pPr>
              <w:rPr>
                <w:rFonts w:ascii="Arial"/>
                <w:sz w:val="21"/>
              </w:rPr>
            </w:pPr>
          </w:p>
        </w:tc>
        <w:tc>
          <w:tcPr>
            <w:tcW w:w="1351" w:type="dxa"/>
            <w:vAlign w:val="top"/>
          </w:tcPr>
          <w:p>
            <w:pPr>
              <w:rPr>
                <w:rFonts w:ascii="Arial"/>
                <w:sz w:val="21"/>
              </w:rPr>
            </w:pPr>
          </w:p>
        </w:tc>
        <w:tc>
          <w:tcPr>
            <w:tcW w:w="1417" w:type="dxa"/>
            <w:vAlign w:val="top"/>
          </w:tcPr>
          <w:p>
            <w:pPr>
              <w:rPr>
                <w:rFonts w:ascii="Arial"/>
                <w:sz w:val="21"/>
              </w:rPr>
            </w:pPr>
          </w:p>
        </w:tc>
        <w:tc>
          <w:tcPr>
            <w:tcW w:w="1705"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997" w:type="dxa"/>
            <w:vAlign w:val="top"/>
          </w:tcPr>
          <w:p>
            <w:pPr>
              <w:rPr>
                <w:rFonts w:ascii="Arial"/>
                <w:sz w:val="21"/>
              </w:rPr>
            </w:pPr>
          </w:p>
        </w:tc>
        <w:tc>
          <w:tcPr>
            <w:tcW w:w="1983" w:type="dxa"/>
            <w:vAlign w:val="top"/>
          </w:tcPr>
          <w:p>
            <w:pPr>
              <w:rPr>
                <w:rFonts w:ascii="Arial"/>
                <w:sz w:val="21"/>
              </w:rPr>
            </w:pPr>
          </w:p>
        </w:tc>
        <w:tc>
          <w:tcPr>
            <w:tcW w:w="850" w:type="dxa"/>
            <w:vAlign w:val="top"/>
          </w:tcPr>
          <w:p>
            <w:pPr>
              <w:rPr>
                <w:rFonts w:ascii="Arial"/>
                <w:sz w:val="21"/>
              </w:rPr>
            </w:pPr>
          </w:p>
        </w:tc>
        <w:tc>
          <w:tcPr>
            <w:tcW w:w="774" w:type="dxa"/>
            <w:vAlign w:val="top"/>
          </w:tcPr>
          <w:p>
            <w:pPr>
              <w:rPr>
                <w:rFonts w:ascii="Arial"/>
                <w:sz w:val="21"/>
              </w:rPr>
            </w:pPr>
          </w:p>
        </w:tc>
        <w:tc>
          <w:tcPr>
            <w:tcW w:w="1351" w:type="dxa"/>
            <w:vAlign w:val="top"/>
          </w:tcPr>
          <w:p>
            <w:pPr>
              <w:rPr>
                <w:rFonts w:ascii="Arial"/>
                <w:sz w:val="21"/>
              </w:rPr>
            </w:pPr>
          </w:p>
        </w:tc>
        <w:tc>
          <w:tcPr>
            <w:tcW w:w="1417" w:type="dxa"/>
            <w:vAlign w:val="top"/>
          </w:tcPr>
          <w:p>
            <w:pPr>
              <w:rPr>
                <w:rFonts w:ascii="Arial"/>
                <w:sz w:val="21"/>
              </w:rPr>
            </w:pPr>
          </w:p>
        </w:tc>
        <w:tc>
          <w:tcPr>
            <w:tcW w:w="1705"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997" w:type="dxa"/>
            <w:vAlign w:val="top"/>
          </w:tcPr>
          <w:p>
            <w:pPr>
              <w:rPr>
                <w:rFonts w:ascii="Arial"/>
                <w:sz w:val="21"/>
              </w:rPr>
            </w:pPr>
          </w:p>
        </w:tc>
        <w:tc>
          <w:tcPr>
            <w:tcW w:w="1983" w:type="dxa"/>
            <w:vAlign w:val="top"/>
          </w:tcPr>
          <w:p>
            <w:pPr>
              <w:rPr>
                <w:rFonts w:ascii="Arial"/>
                <w:sz w:val="21"/>
              </w:rPr>
            </w:pPr>
          </w:p>
        </w:tc>
        <w:tc>
          <w:tcPr>
            <w:tcW w:w="850" w:type="dxa"/>
            <w:vAlign w:val="top"/>
          </w:tcPr>
          <w:p>
            <w:pPr>
              <w:rPr>
                <w:rFonts w:ascii="Arial"/>
                <w:sz w:val="21"/>
              </w:rPr>
            </w:pPr>
          </w:p>
        </w:tc>
        <w:tc>
          <w:tcPr>
            <w:tcW w:w="774" w:type="dxa"/>
            <w:vAlign w:val="top"/>
          </w:tcPr>
          <w:p>
            <w:pPr>
              <w:rPr>
                <w:rFonts w:ascii="Arial"/>
                <w:sz w:val="21"/>
              </w:rPr>
            </w:pPr>
          </w:p>
        </w:tc>
        <w:tc>
          <w:tcPr>
            <w:tcW w:w="1351" w:type="dxa"/>
            <w:vAlign w:val="top"/>
          </w:tcPr>
          <w:p>
            <w:pPr>
              <w:rPr>
                <w:rFonts w:ascii="Arial"/>
                <w:sz w:val="21"/>
              </w:rPr>
            </w:pPr>
          </w:p>
        </w:tc>
        <w:tc>
          <w:tcPr>
            <w:tcW w:w="1417" w:type="dxa"/>
            <w:vAlign w:val="top"/>
          </w:tcPr>
          <w:p>
            <w:pPr>
              <w:rPr>
                <w:rFonts w:ascii="Arial"/>
                <w:sz w:val="21"/>
              </w:rPr>
            </w:pPr>
          </w:p>
        </w:tc>
        <w:tc>
          <w:tcPr>
            <w:tcW w:w="1705"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997" w:type="dxa"/>
            <w:vAlign w:val="top"/>
          </w:tcPr>
          <w:p>
            <w:pPr>
              <w:rPr>
                <w:rFonts w:ascii="Arial"/>
                <w:sz w:val="21"/>
              </w:rPr>
            </w:pPr>
          </w:p>
        </w:tc>
        <w:tc>
          <w:tcPr>
            <w:tcW w:w="1983" w:type="dxa"/>
            <w:vAlign w:val="top"/>
          </w:tcPr>
          <w:p>
            <w:pPr>
              <w:rPr>
                <w:rFonts w:ascii="Arial"/>
                <w:sz w:val="21"/>
              </w:rPr>
            </w:pPr>
          </w:p>
        </w:tc>
        <w:tc>
          <w:tcPr>
            <w:tcW w:w="850" w:type="dxa"/>
            <w:vAlign w:val="top"/>
          </w:tcPr>
          <w:p>
            <w:pPr>
              <w:rPr>
                <w:rFonts w:ascii="Arial"/>
                <w:sz w:val="21"/>
              </w:rPr>
            </w:pPr>
          </w:p>
        </w:tc>
        <w:tc>
          <w:tcPr>
            <w:tcW w:w="774" w:type="dxa"/>
            <w:vAlign w:val="top"/>
          </w:tcPr>
          <w:p>
            <w:pPr>
              <w:rPr>
                <w:rFonts w:ascii="Arial"/>
                <w:sz w:val="21"/>
              </w:rPr>
            </w:pPr>
          </w:p>
        </w:tc>
        <w:tc>
          <w:tcPr>
            <w:tcW w:w="1351" w:type="dxa"/>
            <w:vAlign w:val="top"/>
          </w:tcPr>
          <w:p>
            <w:pPr>
              <w:rPr>
                <w:rFonts w:ascii="Arial"/>
                <w:sz w:val="21"/>
              </w:rPr>
            </w:pPr>
          </w:p>
        </w:tc>
        <w:tc>
          <w:tcPr>
            <w:tcW w:w="1417" w:type="dxa"/>
            <w:vAlign w:val="top"/>
          </w:tcPr>
          <w:p>
            <w:pPr>
              <w:rPr>
                <w:rFonts w:ascii="Arial"/>
                <w:sz w:val="21"/>
              </w:rPr>
            </w:pPr>
          </w:p>
        </w:tc>
        <w:tc>
          <w:tcPr>
            <w:tcW w:w="1705"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997" w:type="dxa"/>
            <w:vAlign w:val="top"/>
          </w:tcPr>
          <w:p>
            <w:pPr>
              <w:rPr>
                <w:rFonts w:ascii="Arial"/>
                <w:sz w:val="21"/>
              </w:rPr>
            </w:pPr>
          </w:p>
        </w:tc>
        <w:tc>
          <w:tcPr>
            <w:tcW w:w="1983" w:type="dxa"/>
            <w:vAlign w:val="top"/>
          </w:tcPr>
          <w:p>
            <w:pPr>
              <w:rPr>
                <w:rFonts w:ascii="Arial"/>
                <w:sz w:val="21"/>
              </w:rPr>
            </w:pPr>
          </w:p>
        </w:tc>
        <w:tc>
          <w:tcPr>
            <w:tcW w:w="850" w:type="dxa"/>
            <w:vAlign w:val="top"/>
          </w:tcPr>
          <w:p>
            <w:pPr>
              <w:rPr>
                <w:rFonts w:ascii="Arial"/>
                <w:sz w:val="21"/>
              </w:rPr>
            </w:pPr>
          </w:p>
        </w:tc>
        <w:tc>
          <w:tcPr>
            <w:tcW w:w="774" w:type="dxa"/>
            <w:vAlign w:val="top"/>
          </w:tcPr>
          <w:p>
            <w:pPr>
              <w:rPr>
                <w:rFonts w:ascii="Arial"/>
                <w:sz w:val="21"/>
              </w:rPr>
            </w:pPr>
          </w:p>
        </w:tc>
        <w:tc>
          <w:tcPr>
            <w:tcW w:w="1351" w:type="dxa"/>
            <w:vAlign w:val="top"/>
          </w:tcPr>
          <w:p>
            <w:pPr>
              <w:rPr>
                <w:rFonts w:ascii="Arial"/>
                <w:sz w:val="21"/>
              </w:rPr>
            </w:pPr>
          </w:p>
        </w:tc>
        <w:tc>
          <w:tcPr>
            <w:tcW w:w="1417" w:type="dxa"/>
            <w:vAlign w:val="top"/>
          </w:tcPr>
          <w:p>
            <w:pPr>
              <w:rPr>
                <w:rFonts w:ascii="Arial"/>
                <w:sz w:val="21"/>
              </w:rPr>
            </w:pPr>
          </w:p>
        </w:tc>
        <w:tc>
          <w:tcPr>
            <w:tcW w:w="1705"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997" w:type="dxa"/>
            <w:vAlign w:val="top"/>
          </w:tcPr>
          <w:p>
            <w:pPr>
              <w:rPr>
                <w:rFonts w:ascii="Arial"/>
                <w:sz w:val="21"/>
              </w:rPr>
            </w:pPr>
          </w:p>
        </w:tc>
        <w:tc>
          <w:tcPr>
            <w:tcW w:w="1983" w:type="dxa"/>
            <w:vAlign w:val="top"/>
          </w:tcPr>
          <w:p>
            <w:pPr>
              <w:rPr>
                <w:rFonts w:ascii="Arial"/>
                <w:sz w:val="21"/>
              </w:rPr>
            </w:pPr>
          </w:p>
        </w:tc>
        <w:tc>
          <w:tcPr>
            <w:tcW w:w="850" w:type="dxa"/>
            <w:vAlign w:val="top"/>
          </w:tcPr>
          <w:p>
            <w:pPr>
              <w:rPr>
                <w:rFonts w:ascii="Arial"/>
                <w:sz w:val="21"/>
              </w:rPr>
            </w:pPr>
          </w:p>
        </w:tc>
        <w:tc>
          <w:tcPr>
            <w:tcW w:w="774" w:type="dxa"/>
            <w:vAlign w:val="top"/>
          </w:tcPr>
          <w:p>
            <w:pPr>
              <w:rPr>
                <w:rFonts w:ascii="Arial"/>
                <w:sz w:val="21"/>
              </w:rPr>
            </w:pPr>
          </w:p>
        </w:tc>
        <w:tc>
          <w:tcPr>
            <w:tcW w:w="1351" w:type="dxa"/>
            <w:vAlign w:val="top"/>
          </w:tcPr>
          <w:p>
            <w:pPr>
              <w:rPr>
                <w:rFonts w:ascii="Arial"/>
                <w:sz w:val="21"/>
              </w:rPr>
            </w:pPr>
          </w:p>
        </w:tc>
        <w:tc>
          <w:tcPr>
            <w:tcW w:w="1417" w:type="dxa"/>
            <w:vAlign w:val="top"/>
          </w:tcPr>
          <w:p>
            <w:pPr>
              <w:rPr>
                <w:rFonts w:ascii="Arial"/>
                <w:sz w:val="21"/>
              </w:rPr>
            </w:pPr>
          </w:p>
        </w:tc>
        <w:tc>
          <w:tcPr>
            <w:tcW w:w="1705"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997" w:type="dxa"/>
            <w:vAlign w:val="top"/>
          </w:tcPr>
          <w:p>
            <w:pPr>
              <w:rPr>
                <w:rFonts w:ascii="Arial"/>
                <w:sz w:val="21"/>
              </w:rPr>
            </w:pPr>
          </w:p>
        </w:tc>
        <w:tc>
          <w:tcPr>
            <w:tcW w:w="1983" w:type="dxa"/>
            <w:vAlign w:val="top"/>
          </w:tcPr>
          <w:p>
            <w:pPr>
              <w:rPr>
                <w:rFonts w:ascii="Arial"/>
                <w:sz w:val="21"/>
              </w:rPr>
            </w:pPr>
          </w:p>
        </w:tc>
        <w:tc>
          <w:tcPr>
            <w:tcW w:w="850" w:type="dxa"/>
            <w:vAlign w:val="top"/>
          </w:tcPr>
          <w:p>
            <w:pPr>
              <w:rPr>
                <w:rFonts w:ascii="Arial"/>
                <w:sz w:val="21"/>
              </w:rPr>
            </w:pPr>
          </w:p>
        </w:tc>
        <w:tc>
          <w:tcPr>
            <w:tcW w:w="774" w:type="dxa"/>
            <w:vAlign w:val="top"/>
          </w:tcPr>
          <w:p>
            <w:pPr>
              <w:rPr>
                <w:rFonts w:ascii="Arial"/>
                <w:sz w:val="21"/>
              </w:rPr>
            </w:pPr>
          </w:p>
        </w:tc>
        <w:tc>
          <w:tcPr>
            <w:tcW w:w="1351" w:type="dxa"/>
            <w:vAlign w:val="top"/>
          </w:tcPr>
          <w:p>
            <w:pPr>
              <w:rPr>
                <w:rFonts w:ascii="Arial"/>
                <w:sz w:val="21"/>
              </w:rPr>
            </w:pPr>
          </w:p>
        </w:tc>
        <w:tc>
          <w:tcPr>
            <w:tcW w:w="1417" w:type="dxa"/>
            <w:vAlign w:val="top"/>
          </w:tcPr>
          <w:p>
            <w:pPr>
              <w:rPr>
                <w:rFonts w:ascii="Arial"/>
                <w:sz w:val="21"/>
              </w:rPr>
            </w:pPr>
          </w:p>
        </w:tc>
        <w:tc>
          <w:tcPr>
            <w:tcW w:w="1705"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997" w:type="dxa"/>
            <w:vAlign w:val="top"/>
          </w:tcPr>
          <w:p>
            <w:pPr>
              <w:rPr>
                <w:rFonts w:ascii="Arial"/>
                <w:sz w:val="21"/>
              </w:rPr>
            </w:pPr>
          </w:p>
        </w:tc>
        <w:tc>
          <w:tcPr>
            <w:tcW w:w="1983" w:type="dxa"/>
            <w:vAlign w:val="top"/>
          </w:tcPr>
          <w:p>
            <w:pPr>
              <w:rPr>
                <w:rFonts w:ascii="Arial"/>
                <w:sz w:val="21"/>
              </w:rPr>
            </w:pPr>
          </w:p>
        </w:tc>
        <w:tc>
          <w:tcPr>
            <w:tcW w:w="850" w:type="dxa"/>
            <w:vAlign w:val="top"/>
          </w:tcPr>
          <w:p>
            <w:pPr>
              <w:rPr>
                <w:rFonts w:ascii="Arial"/>
                <w:sz w:val="21"/>
              </w:rPr>
            </w:pPr>
          </w:p>
        </w:tc>
        <w:tc>
          <w:tcPr>
            <w:tcW w:w="774" w:type="dxa"/>
            <w:vAlign w:val="top"/>
          </w:tcPr>
          <w:p>
            <w:pPr>
              <w:rPr>
                <w:rFonts w:ascii="Arial"/>
                <w:sz w:val="21"/>
              </w:rPr>
            </w:pPr>
          </w:p>
        </w:tc>
        <w:tc>
          <w:tcPr>
            <w:tcW w:w="1351" w:type="dxa"/>
            <w:vAlign w:val="top"/>
          </w:tcPr>
          <w:p>
            <w:pPr>
              <w:rPr>
                <w:rFonts w:ascii="Arial"/>
                <w:sz w:val="21"/>
              </w:rPr>
            </w:pPr>
          </w:p>
        </w:tc>
        <w:tc>
          <w:tcPr>
            <w:tcW w:w="1417" w:type="dxa"/>
            <w:vAlign w:val="top"/>
          </w:tcPr>
          <w:p>
            <w:pPr>
              <w:rPr>
                <w:rFonts w:ascii="Arial"/>
                <w:sz w:val="21"/>
              </w:rPr>
            </w:pPr>
          </w:p>
        </w:tc>
        <w:tc>
          <w:tcPr>
            <w:tcW w:w="1705"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997" w:type="dxa"/>
            <w:vAlign w:val="top"/>
          </w:tcPr>
          <w:p>
            <w:pPr>
              <w:rPr>
                <w:rFonts w:ascii="Arial"/>
                <w:sz w:val="21"/>
              </w:rPr>
            </w:pPr>
          </w:p>
        </w:tc>
        <w:tc>
          <w:tcPr>
            <w:tcW w:w="1983" w:type="dxa"/>
            <w:vAlign w:val="top"/>
          </w:tcPr>
          <w:p>
            <w:pPr>
              <w:rPr>
                <w:rFonts w:ascii="Arial"/>
                <w:sz w:val="21"/>
              </w:rPr>
            </w:pPr>
          </w:p>
        </w:tc>
        <w:tc>
          <w:tcPr>
            <w:tcW w:w="850" w:type="dxa"/>
            <w:vAlign w:val="top"/>
          </w:tcPr>
          <w:p>
            <w:pPr>
              <w:rPr>
                <w:rFonts w:ascii="Arial"/>
                <w:sz w:val="21"/>
              </w:rPr>
            </w:pPr>
          </w:p>
        </w:tc>
        <w:tc>
          <w:tcPr>
            <w:tcW w:w="774" w:type="dxa"/>
            <w:vAlign w:val="top"/>
          </w:tcPr>
          <w:p>
            <w:pPr>
              <w:rPr>
                <w:rFonts w:ascii="Arial"/>
                <w:sz w:val="21"/>
              </w:rPr>
            </w:pPr>
          </w:p>
        </w:tc>
        <w:tc>
          <w:tcPr>
            <w:tcW w:w="1351" w:type="dxa"/>
            <w:vAlign w:val="top"/>
          </w:tcPr>
          <w:p>
            <w:pPr>
              <w:rPr>
                <w:rFonts w:ascii="Arial"/>
                <w:sz w:val="21"/>
              </w:rPr>
            </w:pPr>
          </w:p>
        </w:tc>
        <w:tc>
          <w:tcPr>
            <w:tcW w:w="1417" w:type="dxa"/>
            <w:vAlign w:val="top"/>
          </w:tcPr>
          <w:p>
            <w:pPr>
              <w:rPr>
                <w:rFonts w:ascii="Arial"/>
                <w:sz w:val="21"/>
              </w:rPr>
            </w:pPr>
          </w:p>
        </w:tc>
        <w:tc>
          <w:tcPr>
            <w:tcW w:w="1705"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997" w:type="dxa"/>
            <w:vAlign w:val="top"/>
          </w:tcPr>
          <w:p>
            <w:pPr>
              <w:rPr>
                <w:rFonts w:ascii="Arial"/>
                <w:sz w:val="21"/>
              </w:rPr>
            </w:pPr>
          </w:p>
        </w:tc>
        <w:tc>
          <w:tcPr>
            <w:tcW w:w="1983" w:type="dxa"/>
            <w:vAlign w:val="top"/>
          </w:tcPr>
          <w:p>
            <w:pPr>
              <w:rPr>
                <w:rFonts w:ascii="Arial"/>
                <w:sz w:val="21"/>
              </w:rPr>
            </w:pPr>
          </w:p>
        </w:tc>
        <w:tc>
          <w:tcPr>
            <w:tcW w:w="850" w:type="dxa"/>
            <w:vAlign w:val="top"/>
          </w:tcPr>
          <w:p>
            <w:pPr>
              <w:rPr>
                <w:rFonts w:ascii="Arial"/>
                <w:sz w:val="21"/>
              </w:rPr>
            </w:pPr>
          </w:p>
        </w:tc>
        <w:tc>
          <w:tcPr>
            <w:tcW w:w="774" w:type="dxa"/>
            <w:vAlign w:val="top"/>
          </w:tcPr>
          <w:p>
            <w:pPr>
              <w:rPr>
                <w:rFonts w:ascii="Arial"/>
                <w:sz w:val="21"/>
              </w:rPr>
            </w:pPr>
          </w:p>
        </w:tc>
        <w:tc>
          <w:tcPr>
            <w:tcW w:w="1351" w:type="dxa"/>
            <w:vAlign w:val="top"/>
          </w:tcPr>
          <w:p>
            <w:pPr>
              <w:rPr>
                <w:rFonts w:ascii="Arial"/>
                <w:sz w:val="21"/>
              </w:rPr>
            </w:pPr>
          </w:p>
        </w:tc>
        <w:tc>
          <w:tcPr>
            <w:tcW w:w="1417" w:type="dxa"/>
            <w:vAlign w:val="top"/>
          </w:tcPr>
          <w:p>
            <w:pPr>
              <w:rPr>
                <w:rFonts w:ascii="Arial"/>
                <w:sz w:val="21"/>
              </w:rPr>
            </w:pPr>
          </w:p>
        </w:tc>
        <w:tc>
          <w:tcPr>
            <w:tcW w:w="1705"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997" w:type="dxa"/>
            <w:vAlign w:val="top"/>
          </w:tcPr>
          <w:p>
            <w:pPr>
              <w:rPr>
                <w:rFonts w:ascii="Arial"/>
                <w:sz w:val="21"/>
              </w:rPr>
            </w:pPr>
          </w:p>
        </w:tc>
        <w:tc>
          <w:tcPr>
            <w:tcW w:w="1983" w:type="dxa"/>
            <w:vAlign w:val="top"/>
          </w:tcPr>
          <w:p>
            <w:pPr>
              <w:rPr>
                <w:rFonts w:ascii="Arial"/>
                <w:sz w:val="21"/>
              </w:rPr>
            </w:pPr>
          </w:p>
        </w:tc>
        <w:tc>
          <w:tcPr>
            <w:tcW w:w="850" w:type="dxa"/>
            <w:vAlign w:val="top"/>
          </w:tcPr>
          <w:p>
            <w:pPr>
              <w:rPr>
                <w:rFonts w:ascii="Arial"/>
                <w:sz w:val="21"/>
              </w:rPr>
            </w:pPr>
          </w:p>
        </w:tc>
        <w:tc>
          <w:tcPr>
            <w:tcW w:w="774" w:type="dxa"/>
            <w:vAlign w:val="top"/>
          </w:tcPr>
          <w:p>
            <w:pPr>
              <w:rPr>
                <w:rFonts w:ascii="Arial"/>
                <w:sz w:val="21"/>
              </w:rPr>
            </w:pPr>
          </w:p>
        </w:tc>
        <w:tc>
          <w:tcPr>
            <w:tcW w:w="1351" w:type="dxa"/>
            <w:vAlign w:val="top"/>
          </w:tcPr>
          <w:p>
            <w:pPr>
              <w:rPr>
                <w:rFonts w:ascii="Arial"/>
                <w:sz w:val="21"/>
              </w:rPr>
            </w:pPr>
          </w:p>
        </w:tc>
        <w:tc>
          <w:tcPr>
            <w:tcW w:w="1417" w:type="dxa"/>
            <w:vAlign w:val="top"/>
          </w:tcPr>
          <w:p>
            <w:pPr>
              <w:rPr>
                <w:rFonts w:ascii="Arial"/>
                <w:sz w:val="21"/>
              </w:rPr>
            </w:pPr>
          </w:p>
        </w:tc>
        <w:tc>
          <w:tcPr>
            <w:tcW w:w="1705"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997" w:type="dxa"/>
            <w:vAlign w:val="top"/>
          </w:tcPr>
          <w:p>
            <w:pPr>
              <w:rPr>
                <w:rFonts w:ascii="Arial"/>
                <w:sz w:val="21"/>
              </w:rPr>
            </w:pPr>
          </w:p>
        </w:tc>
        <w:tc>
          <w:tcPr>
            <w:tcW w:w="1983" w:type="dxa"/>
            <w:vAlign w:val="top"/>
          </w:tcPr>
          <w:p>
            <w:pPr>
              <w:rPr>
                <w:rFonts w:ascii="Arial"/>
                <w:sz w:val="21"/>
              </w:rPr>
            </w:pPr>
          </w:p>
        </w:tc>
        <w:tc>
          <w:tcPr>
            <w:tcW w:w="850" w:type="dxa"/>
            <w:vAlign w:val="top"/>
          </w:tcPr>
          <w:p>
            <w:pPr>
              <w:rPr>
                <w:rFonts w:ascii="Arial"/>
                <w:sz w:val="21"/>
              </w:rPr>
            </w:pPr>
          </w:p>
        </w:tc>
        <w:tc>
          <w:tcPr>
            <w:tcW w:w="774" w:type="dxa"/>
            <w:vAlign w:val="top"/>
          </w:tcPr>
          <w:p>
            <w:pPr>
              <w:rPr>
                <w:rFonts w:ascii="Arial"/>
                <w:sz w:val="21"/>
              </w:rPr>
            </w:pPr>
          </w:p>
        </w:tc>
        <w:tc>
          <w:tcPr>
            <w:tcW w:w="1351" w:type="dxa"/>
            <w:vAlign w:val="top"/>
          </w:tcPr>
          <w:p>
            <w:pPr>
              <w:rPr>
                <w:rFonts w:ascii="Arial"/>
                <w:sz w:val="21"/>
              </w:rPr>
            </w:pPr>
          </w:p>
        </w:tc>
        <w:tc>
          <w:tcPr>
            <w:tcW w:w="1417" w:type="dxa"/>
            <w:vAlign w:val="top"/>
          </w:tcPr>
          <w:p>
            <w:pPr>
              <w:rPr>
                <w:rFonts w:ascii="Arial"/>
                <w:sz w:val="21"/>
              </w:rPr>
            </w:pPr>
          </w:p>
        </w:tc>
        <w:tc>
          <w:tcPr>
            <w:tcW w:w="1705"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9" w:hRule="atLeast"/>
        </w:trPr>
        <w:tc>
          <w:tcPr>
            <w:tcW w:w="997" w:type="dxa"/>
            <w:vAlign w:val="top"/>
          </w:tcPr>
          <w:p>
            <w:pPr>
              <w:rPr>
                <w:rFonts w:ascii="Arial"/>
                <w:sz w:val="21"/>
              </w:rPr>
            </w:pPr>
          </w:p>
        </w:tc>
        <w:tc>
          <w:tcPr>
            <w:tcW w:w="1983" w:type="dxa"/>
            <w:vAlign w:val="top"/>
          </w:tcPr>
          <w:p>
            <w:pPr>
              <w:rPr>
                <w:rFonts w:ascii="Arial"/>
                <w:sz w:val="21"/>
              </w:rPr>
            </w:pPr>
          </w:p>
        </w:tc>
        <w:tc>
          <w:tcPr>
            <w:tcW w:w="850" w:type="dxa"/>
            <w:vAlign w:val="top"/>
          </w:tcPr>
          <w:p>
            <w:pPr>
              <w:rPr>
                <w:rFonts w:ascii="Arial"/>
                <w:sz w:val="21"/>
              </w:rPr>
            </w:pPr>
          </w:p>
        </w:tc>
        <w:tc>
          <w:tcPr>
            <w:tcW w:w="774" w:type="dxa"/>
            <w:vAlign w:val="top"/>
          </w:tcPr>
          <w:p>
            <w:pPr>
              <w:rPr>
                <w:rFonts w:ascii="Arial"/>
                <w:sz w:val="21"/>
              </w:rPr>
            </w:pPr>
          </w:p>
        </w:tc>
        <w:tc>
          <w:tcPr>
            <w:tcW w:w="1351" w:type="dxa"/>
            <w:vAlign w:val="top"/>
          </w:tcPr>
          <w:p>
            <w:pPr>
              <w:rPr>
                <w:rFonts w:ascii="Arial"/>
                <w:sz w:val="21"/>
              </w:rPr>
            </w:pPr>
          </w:p>
        </w:tc>
        <w:tc>
          <w:tcPr>
            <w:tcW w:w="1417" w:type="dxa"/>
            <w:vAlign w:val="top"/>
          </w:tcPr>
          <w:p>
            <w:pPr>
              <w:rPr>
                <w:rFonts w:ascii="Arial"/>
                <w:sz w:val="21"/>
              </w:rPr>
            </w:pPr>
          </w:p>
        </w:tc>
        <w:tc>
          <w:tcPr>
            <w:tcW w:w="1705"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9" w:hRule="atLeast"/>
        </w:trPr>
        <w:tc>
          <w:tcPr>
            <w:tcW w:w="997" w:type="dxa"/>
            <w:vAlign w:val="top"/>
          </w:tcPr>
          <w:p>
            <w:pPr>
              <w:rPr>
                <w:rFonts w:ascii="Arial"/>
                <w:sz w:val="21"/>
              </w:rPr>
            </w:pPr>
          </w:p>
        </w:tc>
        <w:tc>
          <w:tcPr>
            <w:tcW w:w="1983" w:type="dxa"/>
            <w:vAlign w:val="top"/>
          </w:tcPr>
          <w:p>
            <w:pPr>
              <w:rPr>
                <w:rFonts w:ascii="Arial"/>
                <w:sz w:val="21"/>
              </w:rPr>
            </w:pPr>
          </w:p>
        </w:tc>
        <w:tc>
          <w:tcPr>
            <w:tcW w:w="850" w:type="dxa"/>
            <w:vAlign w:val="top"/>
          </w:tcPr>
          <w:p>
            <w:pPr>
              <w:rPr>
                <w:rFonts w:ascii="Arial"/>
                <w:sz w:val="21"/>
              </w:rPr>
            </w:pPr>
          </w:p>
        </w:tc>
        <w:tc>
          <w:tcPr>
            <w:tcW w:w="774" w:type="dxa"/>
            <w:vAlign w:val="top"/>
          </w:tcPr>
          <w:p>
            <w:pPr>
              <w:rPr>
                <w:rFonts w:ascii="Arial"/>
                <w:sz w:val="21"/>
              </w:rPr>
            </w:pPr>
          </w:p>
        </w:tc>
        <w:tc>
          <w:tcPr>
            <w:tcW w:w="1351" w:type="dxa"/>
            <w:vAlign w:val="top"/>
          </w:tcPr>
          <w:p>
            <w:pPr>
              <w:rPr>
                <w:rFonts w:ascii="Arial"/>
                <w:sz w:val="21"/>
              </w:rPr>
            </w:pPr>
          </w:p>
        </w:tc>
        <w:tc>
          <w:tcPr>
            <w:tcW w:w="1417" w:type="dxa"/>
            <w:vAlign w:val="top"/>
          </w:tcPr>
          <w:p>
            <w:pPr>
              <w:rPr>
                <w:rFonts w:ascii="Arial"/>
                <w:sz w:val="21"/>
              </w:rPr>
            </w:pPr>
          </w:p>
        </w:tc>
        <w:tc>
          <w:tcPr>
            <w:tcW w:w="1705" w:type="dxa"/>
            <w:vAlign w:val="top"/>
          </w:tcPr>
          <w:p>
            <w:pPr>
              <w:rPr>
                <w:rFonts w:ascii="Arial"/>
                <w:sz w:val="21"/>
              </w:rPr>
            </w:pPr>
          </w:p>
        </w:tc>
      </w:tr>
    </w:tbl>
    <w:p>
      <w:pPr>
        <w:rPr>
          <w:rFonts w:ascii="Arial"/>
          <w:sz w:val="21"/>
        </w:rPr>
      </w:pPr>
    </w:p>
    <w:p>
      <w:pPr>
        <w:sectPr>
          <w:headerReference r:id="rId23" w:type="default"/>
          <w:footerReference r:id="rId24" w:type="default"/>
          <w:pgSz w:w="11907" w:h="16840"/>
          <w:pgMar w:top="1118" w:right="1474" w:bottom="1189" w:left="1327" w:header="878" w:footer="850" w:gutter="0"/>
          <w:pgNumType w:fmt="numberInDash"/>
          <w:cols w:space="720" w:num="1"/>
        </w:sectPr>
      </w:pPr>
    </w:p>
    <w:p>
      <w:pPr>
        <w:spacing w:line="392" w:lineRule="auto"/>
        <w:rPr>
          <w:rFonts w:ascii="Arial"/>
          <w:sz w:val="21"/>
        </w:rPr>
      </w:pPr>
    </w:p>
    <w:p>
      <w:pPr>
        <w:spacing w:before="74" w:line="309" w:lineRule="exact"/>
        <w:ind w:firstLine="2380" w:firstLineChars="700"/>
        <w:rPr>
          <w:rFonts w:ascii="宋体" w:hAnsi="宋体" w:eastAsia="宋体" w:cs="宋体"/>
          <w:sz w:val="32"/>
          <w:szCs w:val="32"/>
        </w:rPr>
      </w:pPr>
      <w:r>
        <w:rPr>
          <w:rFonts w:ascii="宋体" w:hAnsi="宋体" w:eastAsia="宋体" w:cs="宋体"/>
          <w:spacing w:val="10"/>
          <w:position w:val="1"/>
          <w:sz w:val="32"/>
          <w:szCs w:val="32"/>
        </w:rPr>
        <w:t>1</w:t>
      </w:r>
      <w:r>
        <w:rPr>
          <w:rFonts w:ascii="宋体" w:hAnsi="宋体" w:eastAsia="宋体" w:cs="宋体"/>
          <w:spacing w:val="6"/>
          <w:position w:val="1"/>
          <w:sz w:val="32"/>
          <w:szCs w:val="32"/>
        </w:rPr>
        <w:t>0-2：工程设备暂估价表</w:t>
      </w:r>
    </w:p>
    <w:p>
      <w:pPr>
        <w:spacing w:line="103" w:lineRule="exact"/>
      </w:pPr>
    </w:p>
    <w:tbl>
      <w:tblPr>
        <w:tblStyle w:val="94"/>
        <w:tblW w:w="907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97"/>
        <w:gridCol w:w="1983"/>
        <w:gridCol w:w="850"/>
        <w:gridCol w:w="774"/>
        <w:gridCol w:w="1351"/>
        <w:gridCol w:w="1417"/>
        <w:gridCol w:w="1705"/>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9" w:hRule="atLeast"/>
        </w:trPr>
        <w:tc>
          <w:tcPr>
            <w:tcW w:w="997" w:type="dxa"/>
            <w:vAlign w:val="top"/>
          </w:tcPr>
          <w:p>
            <w:pPr>
              <w:spacing w:before="151" w:line="229" w:lineRule="auto"/>
              <w:ind w:left="99"/>
              <w:rPr>
                <w:rFonts w:ascii="宋体" w:hAnsi="宋体" w:eastAsia="宋体" w:cs="宋体"/>
                <w:sz w:val="23"/>
                <w:szCs w:val="23"/>
              </w:rPr>
            </w:pPr>
            <w:r>
              <w:rPr>
                <w:rFonts w:ascii="宋体" w:hAnsi="宋体" w:eastAsia="宋体" w:cs="宋体"/>
                <w:spacing w:val="6"/>
                <w:sz w:val="23"/>
                <w:szCs w:val="23"/>
              </w:rPr>
              <w:t>序</w:t>
            </w:r>
            <w:r>
              <w:rPr>
                <w:rFonts w:ascii="宋体" w:hAnsi="宋体" w:eastAsia="宋体" w:cs="宋体"/>
                <w:spacing w:val="5"/>
                <w:sz w:val="23"/>
                <w:szCs w:val="23"/>
              </w:rPr>
              <w:t>号</w:t>
            </w:r>
          </w:p>
        </w:tc>
        <w:tc>
          <w:tcPr>
            <w:tcW w:w="1983" w:type="dxa"/>
            <w:vAlign w:val="top"/>
          </w:tcPr>
          <w:p>
            <w:pPr>
              <w:spacing w:before="150" w:line="230" w:lineRule="auto"/>
              <w:ind w:left="99"/>
              <w:rPr>
                <w:rFonts w:ascii="宋体" w:hAnsi="宋体" w:eastAsia="宋体" w:cs="宋体"/>
                <w:sz w:val="23"/>
                <w:szCs w:val="23"/>
              </w:rPr>
            </w:pPr>
            <w:r>
              <w:rPr>
                <w:rFonts w:ascii="宋体" w:hAnsi="宋体" w:eastAsia="宋体" w:cs="宋体"/>
                <w:spacing w:val="4"/>
                <w:sz w:val="23"/>
                <w:szCs w:val="23"/>
              </w:rPr>
              <w:t>名</w:t>
            </w:r>
            <w:r>
              <w:rPr>
                <w:rFonts w:ascii="宋体" w:hAnsi="宋体" w:eastAsia="宋体" w:cs="宋体"/>
                <w:spacing w:val="3"/>
                <w:sz w:val="23"/>
                <w:szCs w:val="23"/>
              </w:rPr>
              <w:t>称</w:t>
            </w:r>
          </w:p>
        </w:tc>
        <w:tc>
          <w:tcPr>
            <w:tcW w:w="850" w:type="dxa"/>
            <w:vAlign w:val="top"/>
          </w:tcPr>
          <w:p>
            <w:pPr>
              <w:spacing w:before="151" w:line="228" w:lineRule="auto"/>
              <w:ind w:left="98"/>
              <w:rPr>
                <w:rFonts w:ascii="宋体" w:hAnsi="宋体" w:eastAsia="宋体" w:cs="宋体"/>
                <w:sz w:val="23"/>
                <w:szCs w:val="23"/>
              </w:rPr>
            </w:pPr>
            <w:r>
              <w:rPr>
                <w:rFonts w:ascii="宋体" w:hAnsi="宋体" w:eastAsia="宋体" w:cs="宋体"/>
                <w:spacing w:val="4"/>
                <w:sz w:val="23"/>
                <w:szCs w:val="23"/>
              </w:rPr>
              <w:t>单位</w:t>
            </w:r>
          </w:p>
        </w:tc>
        <w:tc>
          <w:tcPr>
            <w:tcW w:w="774" w:type="dxa"/>
            <w:vAlign w:val="top"/>
          </w:tcPr>
          <w:p>
            <w:pPr>
              <w:spacing w:before="151" w:line="227" w:lineRule="auto"/>
              <w:ind w:left="100"/>
              <w:rPr>
                <w:rFonts w:ascii="宋体" w:hAnsi="宋体" w:eastAsia="宋体" w:cs="宋体"/>
                <w:sz w:val="23"/>
                <w:szCs w:val="23"/>
              </w:rPr>
            </w:pPr>
            <w:r>
              <w:rPr>
                <w:rFonts w:ascii="宋体" w:hAnsi="宋体" w:eastAsia="宋体" w:cs="宋体"/>
                <w:spacing w:val="4"/>
                <w:sz w:val="23"/>
                <w:szCs w:val="23"/>
              </w:rPr>
              <w:t>数量</w:t>
            </w:r>
          </w:p>
        </w:tc>
        <w:tc>
          <w:tcPr>
            <w:tcW w:w="1351" w:type="dxa"/>
            <w:vAlign w:val="top"/>
          </w:tcPr>
          <w:p>
            <w:pPr>
              <w:spacing w:before="151" w:line="226" w:lineRule="auto"/>
              <w:ind w:left="99"/>
              <w:rPr>
                <w:rFonts w:ascii="宋体" w:hAnsi="宋体" w:eastAsia="宋体" w:cs="宋体"/>
                <w:sz w:val="23"/>
                <w:szCs w:val="23"/>
              </w:rPr>
            </w:pPr>
            <w:r>
              <w:rPr>
                <w:rFonts w:ascii="宋体" w:hAnsi="宋体" w:eastAsia="宋体" w:cs="宋体"/>
                <w:spacing w:val="8"/>
                <w:sz w:val="23"/>
                <w:szCs w:val="23"/>
              </w:rPr>
              <w:t>单</w:t>
            </w:r>
            <w:r>
              <w:rPr>
                <w:rFonts w:ascii="宋体" w:hAnsi="宋体" w:eastAsia="宋体" w:cs="宋体"/>
                <w:spacing w:val="4"/>
                <w:sz w:val="23"/>
                <w:szCs w:val="23"/>
              </w:rPr>
              <w:t>价(元)</w:t>
            </w:r>
          </w:p>
        </w:tc>
        <w:tc>
          <w:tcPr>
            <w:tcW w:w="1417" w:type="dxa"/>
            <w:vAlign w:val="top"/>
          </w:tcPr>
          <w:p>
            <w:pPr>
              <w:spacing w:before="151" w:line="226" w:lineRule="auto"/>
              <w:ind w:left="100"/>
              <w:rPr>
                <w:rFonts w:ascii="宋体" w:hAnsi="宋体" w:eastAsia="宋体" w:cs="宋体"/>
                <w:sz w:val="23"/>
                <w:szCs w:val="23"/>
              </w:rPr>
            </w:pPr>
            <w:r>
              <w:rPr>
                <w:rFonts w:ascii="宋体" w:hAnsi="宋体" w:eastAsia="宋体" w:cs="宋体"/>
                <w:spacing w:val="5"/>
                <w:sz w:val="23"/>
                <w:szCs w:val="23"/>
              </w:rPr>
              <w:t>合价(元</w:t>
            </w:r>
            <w:r>
              <w:rPr>
                <w:rFonts w:ascii="宋体" w:hAnsi="宋体" w:eastAsia="宋体" w:cs="宋体"/>
                <w:spacing w:val="4"/>
                <w:sz w:val="23"/>
                <w:szCs w:val="23"/>
              </w:rPr>
              <w:t>)</w:t>
            </w:r>
          </w:p>
        </w:tc>
        <w:tc>
          <w:tcPr>
            <w:tcW w:w="1705" w:type="dxa"/>
            <w:vAlign w:val="top"/>
          </w:tcPr>
          <w:p>
            <w:pPr>
              <w:spacing w:before="151" w:line="229" w:lineRule="auto"/>
              <w:ind w:left="104"/>
              <w:rPr>
                <w:rFonts w:ascii="宋体" w:hAnsi="宋体" w:eastAsia="宋体" w:cs="宋体"/>
                <w:sz w:val="23"/>
                <w:szCs w:val="23"/>
              </w:rPr>
            </w:pPr>
            <w:r>
              <w:rPr>
                <w:rFonts w:ascii="宋体" w:hAnsi="宋体" w:eastAsia="宋体" w:cs="宋体"/>
                <w:spacing w:val="4"/>
                <w:sz w:val="23"/>
                <w:szCs w:val="23"/>
              </w:rPr>
              <w:t>备</w:t>
            </w:r>
            <w:r>
              <w:rPr>
                <w:rFonts w:ascii="宋体" w:hAnsi="宋体" w:eastAsia="宋体" w:cs="宋体"/>
                <w:spacing w:val="3"/>
                <w:sz w:val="23"/>
                <w:szCs w:val="23"/>
              </w:rPr>
              <w:t>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997" w:type="dxa"/>
            <w:vAlign w:val="top"/>
          </w:tcPr>
          <w:p>
            <w:pPr>
              <w:rPr>
                <w:rFonts w:ascii="Arial"/>
                <w:sz w:val="21"/>
              </w:rPr>
            </w:pPr>
          </w:p>
        </w:tc>
        <w:tc>
          <w:tcPr>
            <w:tcW w:w="1983" w:type="dxa"/>
            <w:vAlign w:val="top"/>
          </w:tcPr>
          <w:p>
            <w:pPr>
              <w:rPr>
                <w:rFonts w:ascii="Arial"/>
                <w:sz w:val="21"/>
              </w:rPr>
            </w:pPr>
          </w:p>
        </w:tc>
        <w:tc>
          <w:tcPr>
            <w:tcW w:w="850" w:type="dxa"/>
            <w:vAlign w:val="top"/>
          </w:tcPr>
          <w:p>
            <w:pPr>
              <w:rPr>
                <w:rFonts w:ascii="Arial"/>
                <w:sz w:val="21"/>
              </w:rPr>
            </w:pPr>
          </w:p>
        </w:tc>
        <w:tc>
          <w:tcPr>
            <w:tcW w:w="774" w:type="dxa"/>
            <w:vAlign w:val="top"/>
          </w:tcPr>
          <w:p>
            <w:pPr>
              <w:rPr>
                <w:rFonts w:ascii="Arial"/>
                <w:sz w:val="21"/>
              </w:rPr>
            </w:pPr>
          </w:p>
        </w:tc>
        <w:tc>
          <w:tcPr>
            <w:tcW w:w="1351" w:type="dxa"/>
            <w:vAlign w:val="top"/>
          </w:tcPr>
          <w:p>
            <w:pPr>
              <w:rPr>
                <w:rFonts w:ascii="Arial"/>
                <w:sz w:val="21"/>
              </w:rPr>
            </w:pPr>
          </w:p>
        </w:tc>
        <w:tc>
          <w:tcPr>
            <w:tcW w:w="1417" w:type="dxa"/>
            <w:vAlign w:val="top"/>
          </w:tcPr>
          <w:p>
            <w:pPr>
              <w:rPr>
                <w:rFonts w:ascii="Arial"/>
                <w:sz w:val="21"/>
              </w:rPr>
            </w:pPr>
          </w:p>
        </w:tc>
        <w:tc>
          <w:tcPr>
            <w:tcW w:w="1705"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997" w:type="dxa"/>
            <w:vAlign w:val="top"/>
          </w:tcPr>
          <w:p>
            <w:pPr>
              <w:rPr>
                <w:rFonts w:ascii="Arial"/>
                <w:sz w:val="21"/>
              </w:rPr>
            </w:pPr>
          </w:p>
        </w:tc>
        <w:tc>
          <w:tcPr>
            <w:tcW w:w="1983" w:type="dxa"/>
            <w:vAlign w:val="top"/>
          </w:tcPr>
          <w:p>
            <w:pPr>
              <w:rPr>
                <w:rFonts w:ascii="Arial"/>
                <w:sz w:val="21"/>
              </w:rPr>
            </w:pPr>
          </w:p>
        </w:tc>
        <w:tc>
          <w:tcPr>
            <w:tcW w:w="850" w:type="dxa"/>
            <w:vAlign w:val="top"/>
          </w:tcPr>
          <w:p>
            <w:pPr>
              <w:rPr>
                <w:rFonts w:ascii="Arial"/>
                <w:sz w:val="21"/>
              </w:rPr>
            </w:pPr>
          </w:p>
        </w:tc>
        <w:tc>
          <w:tcPr>
            <w:tcW w:w="774" w:type="dxa"/>
            <w:vAlign w:val="top"/>
          </w:tcPr>
          <w:p>
            <w:pPr>
              <w:rPr>
                <w:rFonts w:ascii="Arial"/>
                <w:sz w:val="21"/>
              </w:rPr>
            </w:pPr>
          </w:p>
        </w:tc>
        <w:tc>
          <w:tcPr>
            <w:tcW w:w="1351" w:type="dxa"/>
            <w:vAlign w:val="top"/>
          </w:tcPr>
          <w:p>
            <w:pPr>
              <w:rPr>
                <w:rFonts w:ascii="Arial"/>
                <w:sz w:val="21"/>
              </w:rPr>
            </w:pPr>
          </w:p>
        </w:tc>
        <w:tc>
          <w:tcPr>
            <w:tcW w:w="1417" w:type="dxa"/>
            <w:vAlign w:val="top"/>
          </w:tcPr>
          <w:p>
            <w:pPr>
              <w:rPr>
                <w:rFonts w:ascii="Arial"/>
                <w:sz w:val="21"/>
              </w:rPr>
            </w:pPr>
          </w:p>
        </w:tc>
        <w:tc>
          <w:tcPr>
            <w:tcW w:w="1705"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997" w:type="dxa"/>
            <w:vAlign w:val="top"/>
          </w:tcPr>
          <w:p>
            <w:pPr>
              <w:rPr>
                <w:rFonts w:ascii="Arial"/>
                <w:sz w:val="21"/>
              </w:rPr>
            </w:pPr>
          </w:p>
        </w:tc>
        <w:tc>
          <w:tcPr>
            <w:tcW w:w="1983" w:type="dxa"/>
            <w:vAlign w:val="top"/>
          </w:tcPr>
          <w:p>
            <w:pPr>
              <w:rPr>
                <w:rFonts w:ascii="Arial"/>
                <w:sz w:val="21"/>
              </w:rPr>
            </w:pPr>
          </w:p>
        </w:tc>
        <w:tc>
          <w:tcPr>
            <w:tcW w:w="850" w:type="dxa"/>
            <w:vAlign w:val="top"/>
          </w:tcPr>
          <w:p>
            <w:pPr>
              <w:rPr>
                <w:rFonts w:ascii="Arial"/>
                <w:sz w:val="21"/>
              </w:rPr>
            </w:pPr>
          </w:p>
        </w:tc>
        <w:tc>
          <w:tcPr>
            <w:tcW w:w="774" w:type="dxa"/>
            <w:vAlign w:val="top"/>
          </w:tcPr>
          <w:p>
            <w:pPr>
              <w:rPr>
                <w:rFonts w:ascii="Arial"/>
                <w:sz w:val="21"/>
              </w:rPr>
            </w:pPr>
          </w:p>
        </w:tc>
        <w:tc>
          <w:tcPr>
            <w:tcW w:w="1351" w:type="dxa"/>
            <w:vAlign w:val="top"/>
          </w:tcPr>
          <w:p>
            <w:pPr>
              <w:rPr>
                <w:rFonts w:ascii="Arial"/>
                <w:sz w:val="21"/>
              </w:rPr>
            </w:pPr>
          </w:p>
        </w:tc>
        <w:tc>
          <w:tcPr>
            <w:tcW w:w="1417" w:type="dxa"/>
            <w:vAlign w:val="top"/>
          </w:tcPr>
          <w:p>
            <w:pPr>
              <w:rPr>
                <w:rFonts w:ascii="Arial"/>
                <w:sz w:val="21"/>
              </w:rPr>
            </w:pPr>
          </w:p>
        </w:tc>
        <w:tc>
          <w:tcPr>
            <w:tcW w:w="1705"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997" w:type="dxa"/>
            <w:vAlign w:val="top"/>
          </w:tcPr>
          <w:p>
            <w:pPr>
              <w:rPr>
                <w:rFonts w:ascii="Arial"/>
                <w:sz w:val="21"/>
              </w:rPr>
            </w:pPr>
          </w:p>
        </w:tc>
        <w:tc>
          <w:tcPr>
            <w:tcW w:w="1983" w:type="dxa"/>
            <w:vAlign w:val="top"/>
          </w:tcPr>
          <w:p>
            <w:pPr>
              <w:rPr>
                <w:rFonts w:ascii="Arial"/>
                <w:sz w:val="21"/>
              </w:rPr>
            </w:pPr>
          </w:p>
        </w:tc>
        <w:tc>
          <w:tcPr>
            <w:tcW w:w="850" w:type="dxa"/>
            <w:vAlign w:val="top"/>
          </w:tcPr>
          <w:p>
            <w:pPr>
              <w:rPr>
                <w:rFonts w:ascii="Arial"/>
                <w:sz w:val="21"/>
              </w:rPr>
            </w:pPr>
          </w:p>
        </w:tc>
        <w:tc>
          <w:tcPr>
            <w:tcW w:w="774" w:type="dxa"/>
            <w:vAlign w:val="top"/>
          </w:tcPr>
          <w:p>
            <w:pPr>
              <w:rPr>
                <w:rFonts w:ascii="Arial"/>
                <w:sz w:val="21"/>
              </w:rPr>
            </w:pPr>
          </w:p>
        </w:tc>
        <w:tc>
          <w:tcPr>
            <w:tcW w:w="1351" w:type="dxa"/>
            <w:vAlign w:val="top"/>
          </w:tcPr>
          <w:p>
            <w:pPr>
              <w:rPr>
                <w:rFonts w:ascii="Arial"/>
                <w:sz w:val="21"/>
              </w:rPr>
            </w:pPr>
          </w:p>
        </w:tc>
        <w:tc>
          <w:tcPr>
            <w:tcW w:w="1417" w:type="dxa"/>
            <w:vAlign w:val="top"/>
          </w:tcPr>
          <w:p>
            <w:pPr>
              <w:rPr>
                <w:rFonts w:ascii="Arial"/>
                <w:sz w:val="21"/>
              </w:rPr>
            </w:pPr>
          </w:p>
        </w:tc>
        <w:tc>
          <w:tcPr>
            <w:tcW w:w="1705"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997" w:type="dxa"/>
            <w:vAlign w:val="top"/>
          </w:tcPr>
          <w:p>
            <w:pPr>
              <w:rPr>
                <w:rFonts w:ascii="Arial"/>
                <w:sz w:val="21"/>
              </w:rPr>
            </w:pPr>
          </w:p>
        </w:tc>
        <w:tc>
          <w:tcPr>
            <w:tcW w:w="1983" w:type="dxa"/>
            <w:vAlign w:val="top"/>
          </w:tcPr>
          <w:p>
            <w:pPr>
              <w:rPr>
                <w:rFonts w:ascii="Arial"/>
                <w:sz w:val="21"/>
              </w:rPr>
            </w:pPr>
          </w:p>
        </w:tc>
        <w:tc>
          <w:tcPr>
            <w:tcW w:w="850" w:type="dxa"/>
            <w:vAlign w:val="top"/>
          </w:tcPr>
          <w:p>
            <w:pPr>
              <w:rPr>
                <w:rFonts w:ascii="Arial"/>
                <w:sz w:val="21"/>
              </w:rPr>
            </w:pPr>
          </w:p>
        </w:tc>
        <w:tc>
          <w:tcPr>
            <w:tcW w:w="774" w:type="dxa"/>
            <w:vAlign w:val="top"/>
          </w:tcPr>
          <w:p>
            <w:pPr>
              <w:rPr>
                <w:rFonts w:ascii="Arial"/>
                <w:sz w:val="21"/>
              </w:rPr>
            </w:pPr>
          </w:p>
        </w:tc>
        <w:tc>
          <w:tcPr>
            <w:tcW w:w="1351" w:type="dxa"/>
            <w:vAlign w:val="top"/>
          </w:tcPr>
          <w:p>
            <w:pPr>
              <w:rPr>
                <w:rFonts w:ascii="Arial"/>
                <w:sz w:val="21"/>
              </w:rPr>
            </w:pPr>
          </w:p>
        </w:tc>
        <w:tc>
          <w:tcPr>
            <w:tcW w:w="1417" w:type="dxa"/>
            <w:vAlign w:val="top"/>
          </w:tcPr>
          <w:p>
            <w:pPr>
              <w:rPr>
                <w:rFonts w:ascii="Arial"/>
                <w:sz w:val="21"/>
              </w:rPr>
            </w:pPr>
          </w:p>
        </w:tc>
        <w:tc>
          <w:tcPr>
            <w:tcW w:w="1705"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997" w:type="dxa"/>
            <w:vAlign w:val="top"/>
          </w:tcPr>
          <w:p>
            <w:pPr>
              <w:rPr>
                <w:rFonts w:ascii="Arial"/>
                <w:sz w:val="21"/>
              </w:rPr>
            </w:pPr>
          </w:p>
        </w:tc>
        <w:tc>
          <w:tcPr>
            <w:tcW w:w="1983" w:type="dxa"/>
            <w:vAlign w:val="top"/>
          </w:tcPr>
          <w:p>
            <w:pPr>
              <w:rPr>
                <w:rFonts w:ascii="Arial"/>
                <w:sz w:val="21"/>
              </w:rPr>
            </w:pPr>
          </w:p>
        </w:tc>
        <w:tc>
          <w:tcPr>
            <w:tcW w:w="850" w:type="dxa"/>
            <w:vAlign w:val="top"/>
          </w:tcPr>
          <w:p>
            <w:pPr>
              <w:rPr>
                <w:rFonts w:ascii="Arial"/>
                <w:sz w:val="21"/>
              </w:rPr>
            </w:pPr>
          </w:p>
        </w:tc>
        <w:tc>
          <w:tcPr>
            <w:tcW w:w="774" w:type="dxa"/>
            <w:vAlign w:val="top"/>
          </w:tcPr>
          <w:p>
            <w:pPr>
              <w:rPr>
                <w:rFonts w:ascii="Arial"/>
                <w:sz w:val="21"/>
              </w:rPr>
            </w:pPr>
          </w:p>
        </w:tc>
        <w:tc>
          <w:tcPr>
            <w:tcW w:w="1351" w:type="dxa"/>
            <w:vAlign w:val="top"/>
          </w:tcPr>
          <w:p>
            <w:pPr>
              <w:rPr>
                <w:rFonts w:ascii="Arial"/>
                <w:sz w:val="21"/>
              </w:rPr>
            </w:pPr>
          </w:p>
        </w:tc>
        <w:tc>
          <w:tcPr>
            <w:tcW w:w="1417" w:type="dxa"/>
            <w:vAlign w:val="top"/>
          </w:tcPr>
          <w:p>
            <w:pPr>
              <w:rPr>
                <w:rFonts w:ascii="Arial"/>
                <w:sz w:val="21"/>
              </w:rPr>
            </w:pPr>
          </w:p>
        </w:tc>
        <w:tc>
          <w:tcPr>
            <w:tcW w:w="1705"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997" w:type="dxa"/>
            <w:vAlign w:val="top"/>
          </w:tcPr>
          <w:p>
            <w:pPr>
              <w:rPr>
                <w:rFonts w:ascii="Arial"/>
                <w:sz w:val="21"/>
              </w:rPr>
            </w:pPr>
          </w:p>
        </w:tc>
        <w:tc>
          <w:tcPr>
            <w:tcW w:w="1983" w:type="dxa"/>
            <w:vAlign w:val="top"/>
          </w:tcPr>
          <w:p>
            <w:pPr>
              <w:rPr>
                <w:rFonts w:ascii="Arial"/>
                <w:sz w:val="21"/>
              </w:rPr>
            </w:pPr>
          </w:p>
        </w:tc>
        <w:tc>
          <w:tcPr>
            <w:tcW w:w="850" w:type="dxa"/>
            <w:vAlign w:val="top"/>
          </w:tcPr>
          <w:p>
            <w:pPr>
              <w:rPr>
                <w:rFonts w:ascii="Arial"/>
                <w:sz w:val="21"/>
              </w:rPr>
            </w:pPr>
          </w:p>
        </w:tc>
        <w:tc>
          <w:tcPr>
            <w:tcW w:w="774" w:type="dxa"/>
            <w:vAlign w:val="top"/>
          </w:tcPr>
          <w:p>
            <w:pPr>
              <w:rPr>
                <w:rFonts w:ascii="Arial"/>
                <w:sz w:val="21"/>
              </w:rPr>
            </w:pPr>
          </w:p>
        </w:tc>
        <w:tc>
          <w:tcPr>
            <w:tcW w:w="1351" w:type="dxa"/>
            <w:vAlign w:val="top"/>
          </w:tcPr>
          <w:p>
            <w:pPr>
              <w:rPr>
                <w:rFonts w:ascii="Arial"/>
                <w:sz w:val="21"/>
              </w:rPr>
            </w:pPr>
          </w:p>
        </w:tc>
        <w:tc>
          <w:tcPr>
            <w:tcW w:w="1417" w:type="dxa"/>
            <w:vAlign w:val="top"/>
          </w:tcPr>
          <w:p>
            <w:pPr>
              <w:rPr>
                <w:rFonts w:ascii="Arial"/>
                <w:sz w:val="21"/>
              </w:rPr>
            </w:pPr>
          </w:p>
        </w:tc>
        <w:tc>
          <w:tcPr>
            <w:tcW w:w="1705"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997" w:type="dxa"/>
            <w:vAlign w:val="top"/>
          </w:tcPr>
          <w:p>
            <w:pPr>
              <w:rPr>
                <w:rFonts w:ascii="Arial"/>
                <w:sz w:val="21"/>
              </w:rPr>
            </w:pPr>
          </w:p>
        </w:tc>
        <w:tc>
          <w:tcPr>
            <w:tcW w:w="1983" w:type="dxa"/>
            <w:vAlign w:val="top"/>
          </w:tcPr>
          <w:p>
            <w:pPr>
              <w:rPr>
                <w:rFonts w:ascii="Arial"/>
                <w:sz w:val="21"/>
              </w:rPr>
            </w:pPr>
          </w:p>
        </w:tc>
        <w:tc>
          <w:tcPr>
            <w:tcW w:w="850" w:type="dxa"/>
            <w:vAlign w:val="top"/>
          </w:tcPr>
          <w:p>
            <w:pPr>
              <w:rPr>
                <w:rFonts w:ascii="Arial"/>
                <w:sz w:val="21"/>
              </w:rPr>
            </w:pPr>
          </w:p>
        </w:tc>
        <w:tc>
          <w:tcPr>
            <w:tcW w:w="774" w:type="dxa"/>
            <w:vAlign w:val="top"/>
          </w:tcPr>
          <w:p>
            <w:pPr>
              <w:rPr>
                <w:rFonts w:ascii="Arial"/>
                <w:sz w:val="21"/>
              </w:rPr>
            </w:pPr>
          </w:p>
        </w:tc>
        <w:tc>
          <w:tcPr>
            <w:tcW w:w="1351" w:type="dxa"/>
            <w:vAlign w:val="top"/>
          </w:tcPr>
          <w:p>
            <w:pPr>
              <w:rPr>
                <w:rFonts w:ascii="Arial"/>
                <w:sz w:val="21"/>
              </w:rPr>
            </w:pPr>
          </w:p>
        </w:tc>
        <w:tc>
          <w:tcPr>
            <w:tcW w:w="1417" w:type="dxa"/>
            <w:vAlign w:val="top"/>
          </w:tcPr>
          <w:p>
            <w:pPr>
              <w:rPr>
                <w:rFonts w:ascii="Arial"/>
                <w:sz w:val="21"/>
              </w:rPr>
            </w:pPr>
          </w:p>
        </w:tc>
        <w:tc>
          <w:tcPr>
            <w:tcW w:w="1705"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997" w:type="dxa"/>
            <w:vAlign w:val="top"/>
          </w:tcPr>
          <w:p>
            <w:pPr>
              <w:rPr>
                <w:rFonts w:ascii="Arial"/>
                <w:sz w:val="21"/>
              </w:rPr>
            </w:pPr>
          </w:p>
        </w:tc>
        <w:tc>
          <w:tcPr>
            <w:tcW w:w="1983" w:type="dxa"/>
            <w:vAlign w:val="top"/>
          </w:tcPr>
          <w:p>
            <w:pPr>
              <w:rPr>
                <w:rFonts w:ascii="Arial"/>
                <w:sz w:val="21"/>
              </w:rPr>
            </w:pPr>
          </w:p>
        </w:tc>
        <w:tc>
          <w:tcPr>
            <w:tcW w:w="850" w:type="dxa"/>
            <w:vAlign w:val="top"/>
          </w:tcPr>
          <w:p>
            <w:pPr>
              <w:rPr>
                <w:rFonts w:ascii="Arial"/>
                <w:sz w:val="21"/>
              </w:rPr>
            </w:pPr>
          </w:p>
        </w:tc>
        <w:tc>
          <w:tcPr>
            <w:tcW w:w="774" w:type="dxa"/>
            <w:vAlign w:val="top"/>
          </w:tcPr>
          <w:p>
            <w:pPr>
              <w:rPr>
                <w:rFonts w:ascii="Arial"/>
                <w:sz w:val="21"/>
              </w:rPr>
            </w:pPr>
          </w:p>
        </w:tc>
        <w:tc>
          <w:tcPr>
            <w:tcW w:w="1351" w:type="dxa"/>
            <w:vAlign w:val="top"/>
          </w:tcPr>
          <w:p>
            <w:pPr>
              <w:rPr>
                <w:rFonts w:ascii="Arial"/>
                <w:sz w:val="21"/>
              </w:rPr>
            </w:pPr>
          </w:p>
        </w:tc>
        <w:tc>
          <w:tcPr>
            <w:tcW w:w="1417" w:type="dxa"/>
            <w:vAlign w:val="top"/>
          </w:tcPr>
          <w:p>
            <w:pPr>
              <w:rPr>
                <w:rFonts w:ascii="Arial"/>
                <w:sz w:val="21"/>
              </w:rPr>
            </w:pPr>
          </w:p>
        </w:tc>
        <w:tc>
          <w:tcPr>
            <w:tcW w:w="1705"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997" w:type="dxa"/>
            <w:vAlign w:val="top"/>
          </w:tcPr>
          <w:p>
            <w:pPr>
              <w:rPr>
                <w:rFonts w:ascii="Arial"/>
                <w:sz w:val="21"/>
              </w:rPr>
            </w:pPr>
          </w:p>
        </w:tc>
        <w:tc>
          <w:tcPr>
            <w:tcW w:w="1983" w:type="dxa"/>
            <w:vAlign w:val="top"/>
          </w:tcPr>
          <w:p>
            <w:pPr>
              <w:rPr>
                <w:rFonts w:ascii="Arial"/>
                <w:sz w:val="21"/>
              </w:rPr>
            </w:pPr>
          </w:p>
        </w:tc>
        <w:tc>
          <w:tcPr>
            <w:tcW w:w="850" w:type="dxa"/>
            <w:vAlign w:val="top"/>
          </w:tcPr>
          <w:p>
            <w:pPr>
              <w:rPr>
                <w:rFonts w:ascii="Arial"/>
                <w:sz w:val="21"/>
              </w:rPr>
            </w:pPr>
          </w:p>
        </w:tc>
        <w:tc>
          <w:tcPr>
            <w:tcW w:w="774" w:type="dxa"/>
            <w:vAlign w:val="top"/>
          </w:tcPr>
          <w:p>
            <w:pPr>
              <w:rPr>
                <w:rFonts w:ascii="Arial"/>
                <w:sz w:val="21"/>
              </w:rPr>
            </w:pPr>
          </w:p>
        </w:tc>
        <w:tc>
          <w:tcPr>
            <w:tcW w:w="1351" w:type="dxa"/>
            <w:vAlign w:val="top"/>
          </w:tcPr>
          <w:p>
            <w:pPr>
              <w:rPr>
                <w:rFonts w:ascii="Arial"/>
                <w:sz w:val="21"/>
              </w:rPr>
            </w:pPr>
          </w:p>
        </w:tc>
        <w:tc>
          <w:tcPr>
            <w:tcW w:w="1417" w:type="dxa"/>
            <w:vAlign w:val="top"/>
          </w:tcPr>
          <w:p>
            <w:pPr>
              <w:rPr>
                <w:rFonts w:ascii="Arial"/>
                <w:sz w:val="21"/>
              </w:rPr>
            </w:pPr>
          </w:p>
        </w:tc>
        <w:tc>
          <w:tcPr>
            <w:tcW w:w="1705"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997" w:type="dxa"/>
            <w:vAlign w:val="top"/>
          </w:tcPr>
          <w:p>
            <w:pPr>
              <w:rPr>
                <w:rFonts w:ascii="Arial"/>
                <w:sz w:val="21"/>
              </w:rPr>
            </w:pPr>
          </w:p>
        </w:tc>
        <w:tc>
          <w:tcPr>
            <w:tcW w:w="1983" w:type="dxa"/>
            <w:vAlign w:val="top"/>
          </w:tcPr>
          <w:p>
            <w:pPr>
              <w:rPr>
                <w:rFonts w:ascii="Arial"/>
                <w:sz w:val="21"/>
              </w:rPr>
            </w:pPr>
          </w:p>
        </w:tc>
        <w:tc>
          <w:tcPr>
            <w:tcW w:w="850" w:type="dxa"/>
            <w:vAlign w:val="top"/>
          </w:tcPr>
          <w:p>
            <w:pPr>
              <w:rPr>
                <w:rFonts w:ascii="Arial"/>
                <w:sz w:val="21"/>
              </w:rPr>
            </w:pPr>
          </w:p>
        </w:tc>
        <w:tc>
          <w:tcPr>
            <w:tcW w:w="774" w:type="dxa"/>
            <w:vAlign w:val="top"/>
          </w:tcPr>
          <w:p>
            <w:pPr>
              <w:rPr>
                <w:rFonts w:ascii="Arial"/>
                <w:sz w:val="21"/>
              </w:rPr>
            </w:pPr>
          </w:p>
        </w:tc>
        <w:tc>
          <w:tcPr>
            <w:tcW w:w="1351" w:type="dxa"/>
            <w:vAlign w:val="top"/>
          </w:tcPr>
          <w:p>
            <w:pPr>
              <w:rPr>
                <w:rFonts w:ascii="Arial"/>
                <w:sz w:val="21"/>
              </w:rPr>
            </w:pPr>
          </w:p>
        </w:tc>
        <w:tc>
          <w:tcPr>
            <w:tcW w:w="1417" w:type="dxa"/>
            <w:vAlign w:val="top"/>
          </w:tcPr>
          <w:p>
            <w:pPr>
              <w:rPr>
                <w:rFonts w:ascii="Arial"/>
                <w:sz w:val="21"/>
              </w:rPr>
            </w:pPr>
          </w:p>
        </w:tc>
        <w:tc>
          <w:tcPr>
            <w:tcW w:w="1705"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997" w:type="dxa"/>
            <w:vAlign w:val="top"/>
          </w:tcPr>
          <w:p>
            <w:pPr>
              <w:rPr>
                <w:rFonts w:ascii="Arial"/>
                <w:sz w:val="21"/>
              </w:rPr>
            </w:pPr>
          </w:p>
        </w:tc>
        <w:tc>
          <w:tcPr>
            <w:tcW w:w="1983" w:type="dxa"/>
            <w:vAlign w:val="top"/>
          </w:tcPr>
          <w:p>
            <w:pPr>
              <w:rPr>
                <w:rFonts w:ascii="Arial"/>
                <w:sz w:val="21"/>
              </w:rPr>
            </w:pPr>
          </w:p>
        </w:tc>
        <w:tc>
          <w:tcPr>
            <w:tcW w:w="850" w:type="dxa"/>
            <w:vAlign w:val="top"/>
          </w:tcPr>
          <w:p>
            <w:pPr>
              <w:rPr>
                <w:rFonts w:ascii="Arial"/>
                <w:sz w:val="21"/>
              </w:rPr>
            </w:pPr>
          </w:p>
        </w:tc>
        <w:tc>
          <w:tcPr>
            <w:tcW w:w="774" w:type="dxa"/>
            <w:vAlign w:val="top"/>
          </w:tcPr>
          <w:p>
            <w:pPr>
              <w:rPr>
                <w:rFonts w:ascii="Arial"/>
                <w:sz w:val="21"/>
              </w:rPr>
            </w:pPr>
          </w:p>
        </w:tc>
        <w:tc>
          <w:tcPr>
            <w:tcW w:w="1351" w:type="dxa"/>
            <w:vAlign w:val="top"/>
          </w:tcPr>
          <w:p>
            <w:pPr>
              <w:rPr>
                <w:rFonts w:ascii="Arial"/>
                <w:sz w:val="21"/>
              </w:rPr>
            </w:pPr>
          </w:p>
        </w:tc>
        <w:tc>
          <w:tcPr>
            <w:tcW w:w="1417" w:type="dxa"/>
            <w:vAlign w:val="top"/>
          </w:tcPr>
          <w:p>
            <w:pPr>
              <w:rPr>
                <w:rFonts w:ascii="Arial"/>
                <w:sz w:val="21"/>
              </w:rPr>
            </w:pPr>
          </w:p>
        </w:tc>
        <w:tc>
          <w:tcPr>
            <w:tcW w:w="1705"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997" w:type="dxa"/>
            <w:vAlign w:val="top"/>
          </w:tcPr>
          <w:p>
            <w:pPr>
              <w:rPr>
                <w:rFonts w:ascii="Arial"/>
                <w:sz w:val="21"/>
              </w:rPr>
            </w:pPr>
          </w:p>
        </w:tc>
        <w:tc>
          <w:tcPr>
            <w:tcW w:w="1983" w:type="dxa"/>
            <w:vAlign w:val="top"/>
          </w:tcPr>
          <w:p>
            <w:pPr>
              <w:rPr>
                <w:rFonts w:ascii="Arial"/>
                <w:sz w:val="21"/>
              </w:rPr>
            </w:pPr>
          </w:p>
        </w:tc>
        <w:tc>
          <w:tcPr>
            <w:tcW w:w="850" w:type="dxa"/>
            <w:vAlign w:val="top"/>
          </w:tcPr>
          <w:p>
            <w:pPr>
              <w:rPr>
                <w:rFonts w:ascii="Arial"/>
                <w:sz w:val="21"/>
              </w:rPr>
            </w:pPr>
          </w:p>
        </w:tc>
        <w:tc>
          <w:tcPr>
            <w:tcW w:w="774" w:type="dxa"/>
            <w:vAlign w:val="top"/>
          </w:tcPr>
          <w:p>
            <w:pPr>
              <w:rPr>
                <w:rFonts w:ascii="Arial"/>
                <w:sz w:val="21"/>
              </w:rPr>
            </w:pPr>
          </w:p>
        </w:tc>
        <w:tc>
          <w:tcPr>
            <w:tcW w:w="1351" w:type="dxa"/>
            <w:vAlign w:val="top"/>
          </w:tcPr>
          <w:p>
            <w:pPr>
              <w:rPr>
                <w:rFonts w:ascii="Arial"/>
                <w:sz w:val="21"/>
              </w:rPr>
            </w:pPr>
          </w:p>
        </w:tc>
        <w:tc>
          <w:tcPr>
            <w:tcW w:w="1417" w:type="dxa"/>
            <w:vAlign w:val="top"/>
          </w:tcPr>
          <w:p>
            <w:pPr>
              <w:rPr>
                <w:rFonts w:ascii="Arial"/>
                <w:sz w:val="21"/>
              </w:rPr>
            </w:pPr>
          </w:p>
        </w:tc>
        <w:tc>
          <w:tcPr>
            <w:tcW w:w="1705"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997" w:type="dxa"/>
            <w:vAlign w:val="top"/>
          </w:tcPr>
          <w:p>
            <w:pPr>
              <w:rPr>
                <w:rFonts w:ascii="Arial"/>
                <w:sz w:val="21"/>
              </w:rPr>
            </w:pPr>
          </w:p>
        </w:tc>
        <w:tc>
          <w:tcPr>
            <w:tcW w:w="1983" w:type="dxa"/>
            <w:vAlign w:val="top"/>
          </w:tcPr>
          <w:p>
            <w:pPr>
              <w:rPr>
                <w:rFonts w:ascii="Arial"/>
                <w:sz w:val="21"/>
              </w:rPr>
            </w:pPr>
          </w:p>
        </w:tc>
        <w:tc>
          <w:tcPr>
            <w:tcW w:w="850" w:type="dxa"/>
            <w:vAlign w:val="top"/>
          </w:tcPr>
          <w:p>
            <w:pPr>
              <w:rPr>
                <w:rFonts w:ascii="Arial"/>
                <w:sz w:val="21"/>
              </w:rPr>
            </w:pPr>
          </w:p>
        </w:tc>
        <w:tc>
          <w:tcPr>
            <w:tcW w:w="774" w:type="dxa"/>
            <w:vAlign w:val="top"/>
          </w:tcPr>
          <w:p>
            <w:pPr>
              <w:rPr>
                <w:rFonts w:ascii="Arial"/>
                <w:sz w:val="21"/>
              </w:rPr>
            </w:pPr>
          </w:p>
        </w:tc>
        <w:tc>
          <w:tcPr>
            <w:tcW w:w="1351" w:type="dxa"/>
            <w:vAlign w:val="top"/>
          </w:tcPr>
          <w:p>
            <w:pPr>
              <w:rPr>
                <w:rFonts w:ascii="Arial"/>
                <w:sz w:val="21"/>
              </w:rPr>
            </w:pPr>
          </w:p>
        </w:tc>
        <w:tc>
          <w:tcPr>
            <w:tcW w:w="1417" w:type="dxa"/>
            <w:vAlign w:val="top"/>
          </w:tcPr>
          <w:p>
            <w:pPr>
              <w:rPr>
                <w:rFonts w:ascii="Arial"/>
                <w:sz w:val="21"/>
              </w:rPr>
            </w:pPr>
          </w:p>
        </w:tc>
        <w:tc>
          <w:tcPr>
            <w:tcW w:w="1705"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997" w:type="dxa"/>
            <w:vAlign w:val="top"/>
          </w:tcPr>
          <w:p>
            <w:pPr>
              <w:rPr>
                <w:rFonts w:ascii="Arial"/>
                <w:sz w:val="21"/>
              </w:rPr>
            </w:pPr>
          </w:p>
        </w:tc>
        <w:tc>
          <w:tcPr>
            <w:tcW w:w="1983" w:type="dxa"/>
            <w:vAlign w:val="top"/>
          </w:tcPr>
          <w:p>
            <w:pPr>
              <w:rPr>
                <w:rFonts w:ascii="Arial"/>
                <w:sz w:val="21"/>
              </w:rPr>
            </w:pPr>
          </w:p>
        </w:tc>
        <w:tc>
          <w:tcPr>
            <w:tcW w:w="850" w:type="dxa"/>
            <w:vAlign w:val="top"/>
          </w:tcPr>
          <w:p>
            <w:pPr>
              <w:rPr>
                <w:rFonts w:ascii="Arial"/>
                <w:sz w:val="21"/>
              </w:rPr>
            </w:pPr>
          </w:p>
        </w:tc>
        <w:tc>
          <w:tcPr>
            <w:tcW w:w="774" w:type="dxa"/>
            <w:vAlign w:val="top"/>
          </w:tcPr>
          <w:p>
            <w:pPr>
              <w:rPr>
                <w:rFonts w:ascii="Arial"/>
                <w:sz w:val="21"/>
              </w:rPr>
            </w:pPr>
          </w:p>
        </w:tc>
        <w:tc>
          <w:tcPr>
            <w:tcW w:w="1351" w:type="dxa"/>
            <w:vAlign w:val="top"/>
          </w:tcPr>
          <w:p>
            <w:pPr>
              <w:rPr>
                <w:rFonts w:ascii="Arial"/>
                <w:sz w:val="21"/>
              </w:rPr>
            </w:pPr>
          </w:p>
        </w:tc>
        <w:tc>
          <w:tcPr>
            <w:tcW w:w="1417" w:type="dxa"/>
            <w:vAlign w:val="top"/>
          </w:tcPr>
          <w:p>
            <w:pPr>
              <w:rPr>
                <w:rFonts w:ascii="Arial"/>
                <w:sz w:val="21"/>
              </w:rPr>
            </w:pPr>
          </w:p>
        </w:tc>
        <w:tc>
          <w:tcPr>
            <w:tcW w:w="1705"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997" w:type="dxa"/>
            <w:vAlign w:val="top"/>
          </w:tcPr>
          <w:p>
            <w:pPr>
              <w:rPr>
                <w:rFonts w:ascii="Arial"/>
                <w:sz w:val="21"/>
              </w:rPr>
            </w:pPr>
          </w:p>
        </w:tc>
        <w:tc>
          <w:tcPr>
            <w:tcW w:w="1983" w:type="dxa"/>
            <w:vAlign w:val="top"/>
          </w:tcPr>
          <w:p>
            <w:pPr>
              <w:rPr>
                <w:rFonts w:ascii="Arial"/>
                <w:sz w:val="21"/>
              </w:rPr>
            </w:pPr>
          </w:p>
        </w:tc>
        <w:tc>
          <w:tcPr>
            <w:tcW w:w="850" w:type="dxa"/>
            <w:vAlign w:val="top"/>
          </w:tcPr>
          <w:p>
            <w:pPr>
              <w:rPr>
                <w:rFonts w:ascii="Arial"/>
                <w:sz w:val="21"/>
              </w:rPr>
            </w:pPr>
          </w:p>
        </w:tc>
        <w:tc>
          <w:tcPr>
            <w:tcW w:w="774" w:type="dxa"/>
            <w:vAlign w:val="top"/>
          </w:tcPr>
          <w:p>
            <w:pPr>
              <w:rPr>
                <w:rFonts w:ascii="Arial"/>
                <w:sz w:val="21"/>
              </w:rPr>
            </w:pPr>
          </w:p>
        </w:tc>
        <w:tc>
          <w:tcPr>
            <w:tcW w:w="1351" w:type="dxa"/>
            <w:vAlign w:val="top"/>
          </w:tcPr>
          <w:p>
            <w:pPr>
              <w:rPr>
                <w:rFonts w:ascii="Arial"/>
                <w:sz w:val="21"/>
              </w:rPr>
            </w:pPr>
          </w:p>
        </w:tc>
        <w:tc>
          <w:tcPr>
            <w:tcW w:w="1417" w:type="dxa"/>
            <w:vAlign w:val="top"/>
          </w:tcPr>
          <w:p>
            <w:pPr>
              <w:rPr>
                <w:rFonts w:ascii="Arial"/>
                <w:sz w:val="21"/>
              </w:rPr>
            </w:pPr>
          </w:p>
        </w:tc>
        <w:tc>
          <w:tcPr>
            <w:tcW w:w="1705"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997" w:type="dxa"/>
            <w:vAlign w:val="top"/>
          </w:tcPr>
          <w:p>
            <w:pPr>
              <w:rPr>
                <w:rFonts w:ascii="Arial"/>
                <w:sz w:val="21"/>
              </w:rPr>
            </w:pPr>
          </w:p>
        </w:tc>
        <w:tc>
          <w:tcPr>
            <w:tcW w:w="1983" w:type="dxa"/>
            <w:vAlign w:val="top"/>
          </w:tcPr>
          <w:p>
            <w:pPr>
              <w:rPr>
                <w:rFonts w:ascii="Arial"/>
                <w:sz w:val="21"/>
              </w:rPr>
            </w:pPr>
          </w:p>
        </w:tc>
        <w:tc>
          <w:tcPr>
            <w:tcW w:w="850" w:type="dxa"/>
            <w:vAlign w:val="top"/>
          </w:tcPr>
          <w:p>
            <w:pPr>
              <w:rPr>
                <w:rFonts w:ascii="Arial"/>
                <w:sz w:val="21"/>
              </w:rPr>
            </w:pPr>
          </w:p>
        </w:tc>
        <w:tc>
          <w:tcPr>
            <w:tcW w:w="774" w:type="dxa"/>
            <w:vAlign w:val="top"/>
          </w:tcPr>
          <w:p>
            <w:pPr>
              <w:rPr>
                <w:rFonts w:ascii="Arial"/>
                <w:sz w:val="21"/>
              </w:rPr>
            </w:pPr>
          </w:p>
        </w:tc>
        <w:tc>
          <w:tcPr>
            <w:tcW w:w="1351" w:type="dxa"/>
            <w:vAlign w:val="top"/>
          </w:tcPr>
          <w:p>
            <w:pPr>
              <w:rPr>
                <w:rFonts w:ascii="Arial"/>
                <w:sz w:val="21"/>
              </w:rPr>
            </w:pPr>
          </w:p>
        </w:tc>
        <w:tc>
          <w:tcPr>
            <w:tcW w:w="1417" w:type="dxa"/>
            <w:vAlign w:val="top"/>
          </w:tcPr>
          <w:p>
            <w:pPr>
              <w:rPr>
                <w:rFonts w:ascii="Arial"/>
                <w:sz w:val="21"/>
              </w:rPr>
            </w:pPr>
          </w:p>
        </w:tc>
        <w:tc>
          <w:tcPr>
            <w:tcW w:w="1705"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997" w:type="dxa"/>
            <w:vAlign w:val="top"/>
          </w:tcPr>
          <w:p>
            <w:pPr>
              <w:rPr>
                <w:rFonts w:ascii="Arial"/>
                <w:sz w:val="21"/>
              </w:rPr>
            </w:pPr>
          </w:p>
        </w:tc>
        <w:tc>
          <w:tcPr>
            <w:tcW w:w="1983" w:type="dxa"/>
            <w:vAlign w:val="top"/>
          </w:tcPr>
          <w:p>
            <w:pPr>
              <w:rPr>
                <w:rFonts w:ascii="Arial"/>
                <w:sz w:val="21"/>
              </w:rPr>
            </w:pPr>
          </w:p>
        </w:tc>
        <w:tc>
          <w:tcPr>
            <w:tcW w:w="850" w:type="dxa"/>
            <w:vAlign w:val="top"/>
          </w:tcPr>
          <w:p>
            <w:pPr>
              <w:rPr>
                <w:rFonts w:ascii="Arial"/>
                <w:sz w:val="21"/>
              </w:rPr>
            </w:pPr>
          </w:p>
        </w:tc>
        <w:tc>
          <w:tcPr>
            <w:tcW w:w="774" w:type="dxa"/>
            <w:vAlign w:val="top"/>
          </w:tcPr>
          <w:p>
            <w:pPr>
              <w:rPr>
                <w:rFonts w:ascii="Arial"/>
                <w:sz w:val="21"/>
              </w:rPr>
            </w:pPr>
          </w:p>
        </w:tc>
        <w:tc>
          <w:tcPr>
            <w:tcW w:w="1351" w:type="dxa"/>
            <w:vAlign w:val="top"/>
          </w:tcPr>
          <w:p>
            <w:pPr>
              <w:rPr>
                <w:rFonts w:ascii="Arial"/>
                <w:sz w:val="21"/>
              </w:rPr>
            </w:pPr>
          </w:p>
        </w:tc>
        <w:tc>
          <w:tcPr>
            <w:tcW w:w="1417" w:type="dxa"/>
            <w:vAlign w:val="top"/>
          </w:tcPr>
          <w:p>
            <w:pPr>
              <w:rPr>
                <w:rFonts w:ascii="Arial"/>
                <w:sz w:val="21"/>
              </w:rPr>
            </w:pPr>
          </w:p>
        </w:tc>
        <w:tc>
          <w:tcPr>
            <w:tcW w:w="1705"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997" w:type="dxa"/>
            <w:vAlign w:val="top"/>
          </w:tcPr>
          <w:p>
            <w:pPr>
              <w:rPr>
                <w:rFonts w:ascii="Arial"/>
                <w:sz w:val="21"/>
              </w:rPr>
            </w:pPr>
          </w:p>
        </w:tc>
        <w:tc>
          <w:tcPr>
            <w:tcW w:w="1983" w:type="dxa"/>
            <w:vAlign w:val="top"/>
          </w:tcPr>
          <w:p>
            <w:pPr>
              <w:rPr>
                <w:rFonts w:ascii="Arial"/>
                <w:sz w:val="21"/>
              </w:rPr>
            </w:pPr>
          </w:p>
        </w:tc>
        <w:tc>
          <w:tcPr>
            <w:tcW w:w="850" w:type="dxa"/>
            <w:vAlign w:val="top"/>
          </w:tcPr>
          <w:p>
            <w:pPr>
              <w:rPr>
                <w:rFonts w:ascii="Arial"/>
                <w:sz w:val="21"/>
              </w:rPr>
            </w:pPr>
          </w:p>
        </w:tc>
        <w:tc>
          <w:tcPr>
            <w:tcW w:w="774" w:type="dxa"/>
            <w:vAlign w:val="top"/>
          </w:tcPr>
          <w:p>
            <w:pPr>
              <w:rPr>
                <w:rFonts w:ascii="Arial"/>
                <w:sz w:val="21"/>
              </w:rPr>
            </w:pPr>
          </w:p>
        </w:tc>
        <w:tc>
          <w:tcPr>
            <w:tcW w:w="1351" w:type="dxa"/>
            <w:vAlign w:val="top"/>
          </w:tcPr>
          <w:p>
            <w:pPr>
              <w:rPr>
                <w:rFonts w:ascii="Arial"/>
                <w:sz w:val="21"/>
              </w:rPr>
            </w:pPr>
          </w:p>
        </w:tc>
        <w:tc>
          <w:tcPr>
            <w:tcW w:w="1417" w:type="dxa"/>
            <w:vAlign w:val="top"/>
          </w:tcPr>
          <w:p>
            <w:pPr>
              <w:rPr>
                <w:rFonts w:ascii="Arial"/>
                <w:sz w:val="21"/>
              </w:rPr>
            </w:pPr>
          </w:p>
        </w:tc>
        <w:tc>
          <w:tcPr>
            <w:tcW w:w="1705"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997" w:type="dxa"/>
            <w:vAlign w:val="top"/>
          </w:tcPr>
          <w:p>
            <w:pPr>
              <w:rPr>
                <w:rFonts w:ascii="Arial"/>
                <w:sz w:val="21"/>
              </w:rPr>
            </w:pPr>
          </w:p>
        </w:tc>
        <w:tc>
          <w:tcPr>
            <w:tcW w:w="1983" w:type="dxa"/>
            <w:vAlign w:val="top"/>
          </w:tcPr>
          <w:p>
            <w:pPr>
              <w:rPr>
                <w:rFonts w:ascii="Arial"/>
                <w:sz w:val="21"/>
              </w:rPr>
            </w:pPr>
          </w:p>
        </w:tc>
        <w:tc>
          <w:tcPr>
            <w:tcW w:w="850" w:type="dxa"/>
            <w:vAlign w:val="top"/>
          </w:tcPr>
          <w:p>
            <w:pPr>
              <w:rPr>
                <w:rFonts w:ascii="Arial"/>
                <w:sz w:val="21"/>
              </w:rPr>
            </w:pPr>
          </w:p>
        </w:tc>
        <w:tc>
          <w:tcPr>
            <w:tcW w:w="774" w:type="dxa"/>
            <w:vAlign w:val="top"/>
          </w:tcPr>
          <w:p>
            <w:pPr>
              <w:rPr>
                <w:rFonts w:ascii="Arial"/>
                <w:sz w:val="21"/>
              </w:rPr>
            </w:pPr>
          </w:p>
        </w:tc>
        <w:tc>
          <w:tcPr>
            <w:tcW w:w="1351" w:type="dxa"/>
            <w:vAlign w:val="top"/>
          </w:tcPr>
          <w:p>
            <w:pPr>
              <w:rPr>
                <w:rFonts w:ascii="Arial"/>
                <w:sz w:val="21"/>
              </w:rPr>
            </w:pPr>
          </w:p>
        </w:tc>
        <w:tc>
          <w:tcPr>
            <w:tcW w:w="1417" w:type="dxa"/>
            <w:vAlign w:val="top"/>
          </w:tcPr>
          <w:p>
            <w:pPr>
              <w:rPr>
                <w:rFonts w:ascii="Arial"/>
                <w:sz w:val="21"/>
              </w:rPr>
            </w:pPr>
          </w:p>
        </w:tc>
        <w:tc>
          <w:tcPr>
            <w:tcW w:w="1705"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997" w:type="dxa"/>
            <w:vAlign w:val="top"/>
          </w:tcPr>
          <w:p>
            <w:pPr>
              <w:rPr>
                <w:rFonts w:ascii="Arial"/>
                <w:sz w:val="21"/>
              </w:rPr>
            </w:pPr>
          </w:p>
        </w:tc>
        <w:tc>
          <w:tcPr>
            <w:tcW w:w="1983" w:type="dxa"/>
            <w:vAlign w:val="top"/>
          </w:tcPr>
          <w:p>
            <w:pPr>
              <w:rPr>
                <w:rFonts w:ascii="Arial"/>
                <w:sz w:val="21"/>
              </w:rPr>
            </w:pPr>
          </w:p>
        </w:tc>
        <w:tc>
          <w:tcPr>
            <w:tcW w:w="850" w:type="dxa"/>
            <w:vAlign w:val="top"/>
          </w:tcPr>
          <w:p>
            <w:pPr>
              <w:rPr>
                <w:rFonts w:ascii="Arial"/>
                <w:sz w:val="21"/>
              </w:rPr>
            </w:pPr>
          </w:p>
        </w:tc>
        <w:tc>
          <w:tcPr>
            <w:tcW w:w="774" w:type="dxa"/>
            <w:vAlign w:val="top"/>
          </w:tcPr>
          <w:p>
            <w:pPr>
              <w:rPr>
                <w:rFonts w:ascii="Arial"/>
                <w:sz w:val="21"/>
              </w:rPr>
            </w:pPr>
          </w:p>
        </w:tc>
        <w:tc>
          <w:tcPr>
            <w:tcW w:w="1351" w:type="dxa"/>
            <w:vAlign w:val="top"/>
          </w:tcPr>
          <w:p>
            <w:pPr>
              <w:rPr>
                <w:rFonts w:ascii="Arial"/>
                <w:sz w:val="21"/>
              </w:rPr>
            </w:pPr>
          </w:p>
        </w:tc>
        <w:tc>
          <w:tcPr>
            <w:tcW w:w="1417" w:type="dxa"/>
            <w:vAlign w:val="top"/>
          </w:tcPr>
          <w:p>
            <w:pPr>
              <w:rPr>
                <w:rFonts w:ascii="Arial"/>
                <w:sz w:val="21"/>
              </w:rPr>
            </w:pPr>
          </w:p>
        </w:tc>
        <w:tc>
          <w:tcPr>
            <w:tcW w:w="1705"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997" w:type="dxa"/>
            <w:vAlign w:val="top"/>
          </w:tcPr>
          <w:p>
            <w:pPr>
              <w:rPr>
                <w:rFonts w:ascii="Arial"/>
                <w:sz w:val="21"/>
              </w:rPr>
            </w:pPr>
          </w:p>
        </w:tc>
        <w:tc>
          <w:tcPr>
            <w:tcW w:w="1983" w:type="dxa"/>
            <w:vAlign w:val="top"/>
          </w:tcPr>
          <w:p>
            <w:pPr>
              <w:rPr>
                <w:rFonts w:ascii="Arial"/>
                <w:sz w:val="21"/>
              </w:rPr>
            </w:pPr>
          </w:p>
        </w:tc>
        <w:tc>
          <w:tcPr>
            <w:tcW w:w="850" w:type="dxa"/>
            <w:vAlign w:val="top"/>
          </w:tcPr>
          <w:p>
            <w:pPr>
              <w:rPr>
                <w:rFonts w:ascii="Arial"/>
                <w:sz w:val="21"/>
              </w:rPr>
            </w:pPr>
          </w:p>
        </w:tc>
        <w:tc>
          <w:tcPr>
            <w:tcW w:w="774" w:type="dxa"/>
            <w:vAlign w:val="top"/>
          </w:tcPr>
          <w:p>
            <w:pPr>
              <w:rPr>
                <w:rFonts w:ascii="Arial"/>
                <w:sz w:val="21"/>
              </w:rPr>
            </w:pPr>
          </w:p>
        </w:tc>
        <w:tc>
          <w:tcPr>
            <w:tcW w:w="1351" w:type="dxa"/>
            <w:vAlign w:val="top"/>
          </w:tcPr>
          <w:p>
            <w:pPr>
              <w:rPr>
                <w:rFonts w:ascii="Arial"/>
                <w:sz w:val="21"/>
              </w:rPr>
            </w:pPr>
          </w:p>
        </w:tc>
        <w:tc>
          <w:tcPr>
            <w:tcW w:w="1417" w:type="dxa"/>
            <w:vAlign w:val="top"/>
          </w:tcPr>
          <w:p>
            <w:pPr>
              <w:rPr>
                <w:rFonts w:ascii="Arial"/>
                <w:sz w:val="21"/>
              </w:rPr>
            </w:pPr>
          </w:p>
        </w:tc>
        <w:tc>
          <w:tcPr>
            <w:tcW w:w="1705"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997" w:type="dxa"/>
            <w:vAlign w:val="top"/>
          </w:tcPr>
          <w:p>
            <w:pPr>
              <w:rPr>
                <w:rFonts w:ascii="Arial"/>
                <w:sz w:val="21"/>
              </w:rPr>
            </w:pPr>
          </w:p>
        </w:tc>
        <w:tc>
          <w:tcPr>
            <w:tcW w:w="1983" w:type="dxa"/>
            <w:vAlign w:val="top"/>
          </w:tcPr>
          <w:p>
            <w:pPr>
              <w:rPr>
                <w:rFonts w:ascii="Arial"/>
                <w:sz w:val="21"/>
              </w:rPr>
            </w:pPr>
          </w:p>
        </w:tc>
        <w:tc>
          <w:tcPr>
            <w:tcW w:w="850" w:type="dxa"/>
            <w:vAlign w:val="top"/>
          </w:tcPr>
          <w:p>
            <w:pPr>
              <w:rPr>
                <w:rFonts w:ascii="Arial"/>
                <w:sz w:val="21"/>
              </w:rPr>
            </w:pPr>
          </w:p>
        </w:tc>
        <w:tc>
          <w:tcPr>
            <w:tcW w:w="774" w:type="dxa"/>
            <w:vAlign w:val="top"/>
          </w:tcPr>
          <w:p>
            <w:pPr>
              <w:rPr>
                <w:rFonts w:ascii="Arial"/>
                <w:sz w:val="21"/>
              </w:rPr>
            </w:pPr>
          </w:p>
        </w:tc>
        <w:tc>
          <w:tcPr>
            <w:tcW w:w="1351" w:type="dxa"/>
            <w:vAlign w:val="top"/>
          </w:tcPr>
          <w:p>
            <w:pPr>
              <w:rPr>
                <w:rFonts w:ascii="Arial"/>
                <w:sz w:val="21"/>
              </w:rPr>
            </w:pPr>
          </w:p>
        </w:tc>
        <w:tc>
          <w:tcPr>
            <w:tcW w:w="1417" w:type="dxa"/>
            <w:vAlign w:val="top"/>
          </w:tcPr>
          <w:p>
            <w:pPr>
              <w:rPr>
                <w:rFonts w:ascii="Arial"/>
                <w:sz w:val="21"/>
              </w:rPr>
            </w:pPr>
          </w:p>
        </w:tc>
        <w:tc>
          <w:tcPr>
            <w:tcW w:w="1705"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997" w:type="dxa"/>
            <w:vAlign w:val="top"/>
          </w:tcPr>
          <w:p>
            <w:pPr>
              <w:rPr>
                <w:rFonts w:ascii="Arial"/>
                <w:sz w:val="21"/>
              </w:rPr>
            </w:pPr>
          </w:p>
        </w:tc>
        <w:tc>
          <w:tcPr>
            <w:tcW w:w="1983" w:type="dxa"/>
            <w:vAlign w:val="top"/>
          </w:tcPr>
          <w:p>
            <w:pPr>
              <w:rPr>
                <w:rFonts w:ascii="Arial"/>
                <w:sz w:val="21"/>
              </w:rPr>
            </w:pPr>
          </w:p>
        </w:tc>
        <w:tc>
          <w:tcPr>
            <w:tcW w:w="850" w:type="dxa"/>
            <w:vAlign w:val="top"/>
          </w:tcPr>
          <w:p>
            <w:pPr>
              <w:rPr>
                <w:rFonts w:ascii="Arial"/>
                <w:sz w:val="21"/>
              </w:rPr>
            </w:pPr>
          </w:p>
        </w:tc>
        <w:tc>
          <w:tcPr>
            <w:tcW w:w="774" w:type="dxa"/>
            <w:vAlign w:val="top"/>
          </w:tcPr>
          <w:p>
            <w:pPr>
              <w:rPr>
                <w:rFonts w:ascii="Arial"/>
                <w:sz w:val="21"/>
              </w:rPr>
            </w:pPr>
          </w:p>
        </w:tc>
        <w:tc>
          <w:tcPr>
            <w:tcW w:w="1351" w:type="dxa"/>
            <w:vAlign w:val="top"/>
          </w:tcPr>
          <w:p>
            <w:pPr>
              <w:rPr>
                <w:rFonts w:ascii="Arial"/>
                <w:sz w:val="21"/>
              </w:rPr>
            </w:pPr>
          </w:p>
        </w:tc>
        <w:tc>
          <w:tcPr>
            <w:tcW w:w="1417" w:type="dxa"/>
            <w:vAlign w:val="top"/>
          </w:tcPr>
          <w:p>
            <w:pPr>
              <w:rPr>
                <w:rFonts w:ascii="Arial"/>
                <w:sz w:val="21"/>
              </w:rPr>
            </w:pPr>
          </w:p>
        </w:tc>
        <w:tc>
          <w:tcPr>
            <w:tcW w:w="1705"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9" w:hRule="atLeast"/>
        </w:trPr>
        <w:tc>
          <w:tcPr>
            <w:tcW w:w="997" w:type="dxa"/>
            <w:vAlign w:val="top"/>
          </w:tcPr>
          <w:p>
            <w:pPr>
              <w:rPr>
                <w:rFonts w:ascii="Arial"/>
                <w:sz w:val="21"/>
              </w:rPr>
            </w:pPr>
          </w:p>
        </w:tc>
        <w:tc>
          <w:tcPr>
            <w:tcW w:w="1983" w:type="dxa"/>
            <w:vAlign w:val="top"/>
          </w:tcPr>
          <w:p>
            <w:pPr>
              <w:rPr>
                <w:rFonts w:ascii="Arial"/>
                <w:sz w:val="21"/>
              </w:rPr>
            </w:pPr>
          </w:p>
        </w:tc>
        <w:tc>
          <w:tcPr>
            <w:tcW w:w="850" w:type="dxa"/>
            <w:vAlign w:val="top"/>
          </w:tcPr>
          <w:p>
            <w:pPr>
              <w:rPr>
                <w:rFonts w:ascii="Arial"/>
                <w:sz w:val="21"/>
              </w:rPr>
            </w:pPr>
          </w:p>
        </w:tc>
        <w:tc>
          <w:tcPr>
            <w:tcW w:w="774" w:type="dxa"/>
            <w:vAlign w:val="top"/>
          </w:tcPr>
          <w:p>
            <w:pPr>
              <w:rPr>
                <w:rFonts w:ascii="Arial"/>
                <w:sz w:val="21"/>
              </w:rPr>
            </w:pPr>
          </w:p>
        </w:tc>
        <w:tc>
          <w:tcPr>
            <w:tcW w:w="1351" w:type="dxa"/>
            <w:vAlign w:val="top"/>
          </w:tcPr>
          <w:p>
            <w:pPr>
              <w:rPr>
                <w:rFonts w:ascii="Arial"/>
                <w:sz w:val="21"/>
              </w:rPr>
            </w:pPr>
          </w:p>
        </w:tc>
        <w:tc>
          <w:tcPr>
            <w:tcW w:w="1417" w:type="dxa"/>
            <w:vAlign w:val="top"/>
          </w:tcPr>
          <w:p>
            <w:pPr>
              <w:rPr>
                <w:rFonts w:ascii="Arial"/>
                <w:sz w:val="21"/>
              </w:rPr>
            </w:pPr>
          </w:p>
        </w:tc>
        <w:tc>
          <w:tcPr>
            <w:tcW w:w="1705"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9" w:hRule="atLeast"/>
        </w:trPr>
        <w:tc>
          <w:tcPr>
            <w:tcW w:w="997" w:type="dxa"/>
            <w:vAlign w:val="top"/>
          </w:tcPr>
          <w:p>
            <w:pPr>
              <w:rPr>
                <w:rFonts w:ascii="Arial"/>
                <w:sz w:val="21"/>
              </w:rPr>
            </w:pPr>
          </w:p>
        </w:tc>
        <w:tc>
          <w:tcPr>
            <w:tcW w:w="1983" w:type="dxa"/>
            <w:vAlign w:val="top"/>
          </w:tcPr>
          <w:p>
            <w:pPr>
              <w:rPr>
                <w:rFonts w:ascii="Arial"/>
                <w:sz w:val="21"/>
              </w:rPr>
            </w:pPr>
          </w:p>
        </w:tc>
        <w:tc>
          <w:tcPr>
            <w:tcW w:w="850" w:type="dxa"/>
            <w:vAlign w:val="top"/>
          </w:tcPr>
          <w:p>
            <w:pPr>
              <w:rPr>
                <w:rFonts w:ascii="Arial"/>
                <w:sz w:val="21"/>
              </w:rPr>
            </w:pPr>
          </w:p>
        </w:tc>
        <w:tc>
          <w:tcPr>
            <w:tcW w:w="774" w:type="dxa"/>
            <w:vAlign w:val="top"/>
          </w:tcPr>
          <w:p>
            <w:pPr>
              <w:rPr>
                <w:rFonts w:ascii="Arial"/>
                <w:sz w:val="21"/>
              </w:rPr>
            </w:pPr>
          </w:p>
        </w:tc>
        <w:tc>
          <w:tcPr>
            <w:tcW w:w="1351" w:type="dxa"/>
            <w:vAlign w:val="top"/>
          </w:tcPr>
          <w:p>
            <w:pPr>
              <w:rPr>
                <w:rFonts w:ascii="Arial"/>
                <w:sz w:val="21"/>
              </w:rPr>
            </w:pPr>
          </w:p>
        </w:tc>
        <w:tc>
          <w:tcPr>
            <w:tcW w:w="1417" w:type="dxa"/>
            <w:vAlign w:val="top"/>
          </w:tcPr>
          <w:p>
            <w:pPr>
              <w:rPr>
                <w:rFonts w:ascii="Arial"/>
                <w:sz w:val="21"/>
              </w:rPr>
            </w:pPr>
          </w:p>
        </w:tc>
        <w:tc>
          <w:tcPr>
            <w:tcW w:w="1705"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9" w:hRule="atLeast"/>
        </w:trPr>
        <w:tc>
          <w:tcPr>
            <w:tcW w:w="997" w:type="dxa"/>
            <w:vAlign w:val="top"/>
          </w:tcPr>
          <w:p>
            <w:pPr>
              <w:rPr>
                <w:rFonts w:ascii="Arial"/>
                <w:sz w:val="21"/>
              </w:rPr>
            </w:pPr>
          </w:p>
        </w:tc>
        <w:tc>
          <w:tcPr>
            <w:tcW w:w="1983" w:type="dxa"/>
            <w:vAlign w:val="top"/>
          </w:tcPr>
          <w:p>
            <w:pPr>
              <w:rPr>
                <w:rFonts w:ascii="Arial"/>
                <w:sz w:val="21"/>
              </w:rPr>
            </w:pPr>
          </w:p>
        </w:tc>
        <w:tc>
          <w:tcPr>
            <w:tcW w:w="850" w:type="dxa"/>
            <w:vAlign w:val="top"/>
          </w:tcPr>
          <w:p>
            <w:pPr>
              <w:rPr>
                <w:rFonts w:ascii="Arial"/>
                <w:sz w:val="21"/>
              </w:rPr>
            </w:pPr>
          </w:p>
        </w:tc>
        <w:tc>
          <w:tcPr>
            <w:tcW w:w="774" w:type="dxa"/>
            <w:vAlign w:val="top"/>
          </w:tcPr>
          <w:p>
            <w:pPr>
              <w:rPr>
                <w:rFonts w:ascii="Arial"/>
                <w:sz w:val="21"/>
              </w:rPr>
            </w:pPr>
          </w:p>
        </w:tc>
        <w:tc>
          <w:tcPr>
            <w:tcW w:w="1351" w:type="dxa"/>
            <w:vAlign w:val="top"/>
          </w:tcPr>
          <w:p>
            <w:pPr>
              <w:rPr>
                <w:rFonts w:ascii="Arial"/>
                <w:sz w:val="21"/>
              </w:rPr>
            </w:pPr>
          </w:p>
        </w:tc>
        <w:tc>
          <w:tcPr>
            <w:tcW w:w="1417" w:type="dxa"/>
            <w:vAlign w:val="top"/>
          </w:tcPr>
          <w:p>
            <w:pPr>
              <w:rPr>
                <w:rFonts w:ascii="Arial"/>
                <w:sz w:val="21"/>
              </w:rPr>
            </w:pPr>
          </w:p>
        </w:tc>
        <w:tc>
          <w:tcPr>
            <w:tcW w:w="1705" w:type="dxa"/>
            <w:vAlign w:val="top"/>
          </w:tcPr>
          <w:p>
            <w:pPr>
              <w:rPr>
                <w:rFonts w:ascii="Arial"/>
                <w:sz w:val="21"/>
              </w:rPr>
            </w:pPr>
          </w:p>
        </w:tc>
      </w:tr>
    </w:tbl>
    <w:p>
      <w:pPr>
        <w:rPr>
          <w:rFonts w:ascii="Arial"/>
          <w:sz w:val="21"/>
        </w:rPr>
      </w:pPr>
    </w:p>
    <w:p>
      <w:pPr>
        <w:sectPr>
          <w:footerReference r:id="rId25" w:type="default"/>
          <w:pgSz w:w="11907" w:h="16840"/>
          <w:pgMar w:top="1118" w:right="1474" w:bottom="1189" w:left="1327" w:header="878" w:footer="794" w:gutter="0"/>
          <w:pgNumType w:fmt="numberInDash"/>
          <w:cols w:space="720" w:num="1"/>
        </w:sectPr>
      </w:pPr>
    </w:p>
    <w:p>
      <w:pPr>
        <w:spacing w:before="75" w:line="308" w:lineRule="exact"/>
        <w:jc w:val="center"/>
        <w:rPr>
          <w:rFonts w:ascii="宋体" w:hAnsi="宋体" w:eastAsia="宋体" w:cs="宋体"/>
          <w:sz w:val="32"/>
          <w:szCs w:val="32"/>
        </w:rPr>
      </w:pPr>
      <w:r>
        <w:rPr>
          <w:rFonts w:ascii="宋体" w:hAnsi="宋体" w:eastAsia="宋体" w:cs="宋体"/>
          <w:spacing w:val="10"/>
          <w:position w:val="1"/>
          <w:sz w:val="32"/>
          <w:szCs w:val="32"/>
        </w:rPr>
        <w:t>1</w:t>
      </w:r>
      <w:r>
        <w:rPr>
          <w:rFonts w:ascii="宋体" w:hAnsi="宋体" w:eastAsia="宋体" w:cs="宋体"/>
          <w:spacing w:val="6"/>
          <w:position w:val="1"/>
          <w:sz w:val="32"/>
          <w:szCs w:val="32"/>
        </w:rPr>
        <w:t>0-3：专业工程暂估价表</w:t>
      </w:r>
    </w:p>
    <w:p>
      <w:pPr>
        <w:spacing w:line="103" w:lineRule="exact"/>
      </w:pPr>
    </w:p>
    <w:tbl>
      <w:tblPr>
        <w:tblStyle w:val="94"/>
        <w:tblW w:w="907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97"/>
        <w:gridCol w:w="1983"/>
        <w:gridCol w:w="850"/>
        <w:gridCol w:w="774"/>
        <w:gridCol w:w="1351"/>
        <w:gridCol w:w="1417"/>
        <w:gridCol w:w="1705"/>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9" w:hRule="atLeast"/>
        </w:trPr>
        <w:tc>
          <w:tcPr>
            <w:tcW w:w="997" w:type="dxa"/>
            <w:vAlign w:val="top"/>
          </w:tcPr>
          <w:p>
            <w:pPr>
              <w:spacing w:before="151" w:line="229" w:lineRule="auto"/>
              <w:ind w:left="99"/>
              <w:rPr>
                <w:rFonts w:ascii="宋体" w:hAnsi="宋体" w:eastAsia="宋体" w:cs="宋体"/>
                <w:sz w:val="23"/>
                <w:szCs w:val="23"/>
              </w:rPr>
            </w:pPr>
            <w:r>
              <w:rPr>
                <w:rFonts w:ascii="宋体" w:hAnsi="宋体" w:eastAsia="宋体" w:cs="宋体"/>
                <w:spacing w:val="6"/>
                <w:sz w:val="23"/>
                <w:szCs w:val="23"/>
              </w:rPr>
              <w:t>序</w:t>
            </w:r>
            <w:r>
              <w:rPr>
                <w:rFonts w:ascii="宋体" w:hAnsi="宋体" w:eastAsia="宋体" w:cs="宋体"/>
                <w:spacing w:val="5"/>
                <w:sz w:val="23"/>
                <w:szCs w:val="23"/>
              </w:rPr>
              <w:t>号</w:t>
            </w:r>
          </w:p>
        </w:tc>
        <w:tc>
          <w:tcPr>
            <w:tcW w:w="1983" w:type="dxa"/>
            <w:vAlign w:val="top"/>
          </w:tcPr>
          <w:p>
            <w:pPr>
              <w:spacing w:before="150" w:line="230" w:lineRule="auto"/>
              <w:ind w:left="99"/>
              <w:rPr>
                <w:rFonts w:ascii="宋体" w:hAnsi="宋体" w:eastAsia="宋体" w:cs="宋体"/>
                <w:sz w:val="23"/>
                <w:szCs w:val="23"/>
              </w:rPr>
            </w:pPr>
            <w:r>
              <w:rPr>
                <w:rFonts w:ascii="宋体" w:hAnsi="宋体" w:eastAsia="宋体" w:cs="宋体"/>
                <w:spacing w:val="4"/>
                <w:sz w:val="23"/>
                <w:szCs w:val="23"/>
              </w:rPr>
              <w:t>名</w:t>
            </w:r>
            <w:r>
              <w:rPr>
                <w:rFonts w:ascii="宋体" w:hAnsi="宋体" w:eastAsia="宋体" w:cs="宋体"/>
                <w:spacing w:val="3"/>
                <w:sz w:val="23"/>
                <w:szCs w:val="23"/>
              </w:rPr>
              <w:t>称</w:t>
            </w:r>
          </w:p>
        </w:tc>
        <w:tc>
          <w:tcPr>
            <w:tcW w:w="850" w:type="dxa"/>
            <w:vAlign w:val="top"/>
          </w:tcPr>
          <w:p>
            <w:pPr>
              <w:spacing w:before="151" w:line="228" w:lineRule="auto"/>
              <w:ind w:left="98"/>
              <w:rPr>
                <w:rFonts w:ascii="宋体" w:hAnsi="宋体" w:eastAsia="宋体" w:cs="宋体"/>
                <w:sz w:val="23"/>
                <w:szCs w:val="23"/>
              </w:rPr>
            </w:pPr>
            <w:r>
              <w:rPr>
                <w:rFonts w:ascii="宋体" w:hAnsi="宋体" w:eastAsia="宋体" w:cs="宋体"/>
                <w:spacing w:val="4"/>
                <w:sz w:val="23"/>
                <w:szCs w:val="23"/>
              </w:rPr>
              <w:t>单位</w:t>
            </w:r>
          </w:p>
        </w:tc>
        <w:tc>
          <w:tcPr>
            <w:tcW w:w="774" w:type="dxa"/>
            <w:vAlign w:val="top"/>
          </w:tcPr>
          <w:p>
            <w:pPr>
              <w:spacing w:before="151" w:line="227" w:lineRule="auto"/>
              <w:ind w:left="100"/>
              <w:rPr>
                <w:rFonts w:ascii="宋体" w:hAnsi="宋体" w:eastAsia="宋体" w:cs="宋体"/>
                <w:sz w:val="23"/>
                <w:szCs w:val="23"/>
              </w:rPr>
            </w:pPr>
            <w:r>
              <w:rPr>
                <w:rFonts w:ascii="宋体" w:hAnsi="宋体" w:eastAsia="宋体" w:cs="宋体"/>
                <w:spacing w:val="4"/>
                <w:sz w:val="23"/>
                <w:szCs w:val="23"/>
              </w:rPr>
              <w:t>数量</w:t>
            </w:r>
          </w:p>
        </w:tc>
        <w:tc>
          <w:tcPr>
            <w:tcW w:w="1351" w:type="dxa"/>
            <w:vAlign w:val="top"/>
          </w:tcPr>
          <w:p>
            <w:pPr>
              <w:spacing w:before="151" w:line="226" w:lineRule="auto"/>
              <w:ind w:left="99"/>
              <w:rPr>
                <w:rFonts w:ascii="宋体" w:hAnsi="宋体" w:eastAsia="宋体" w:cs="宋体"/>
                <w:sz w:val="23"/>
                <w:szCs w:val="23"/>
              </w:rPr>
            </w:pPr>
            <w:r>
              <w:rPr>
                <w:rFonts w:ascii="宋体" w:hAnsi="宋体" w:eastAsia="宋体" w:cs="宋体"/>
                <w:spacing w:val="8"/>
                <w:sz w:val="23"/>
                <w:szCs w:val="23"/>
              </w:rPr>
              <w:t>单</w:t>
            </w:r>
            <w:r>
              <w:rPr>
                <w:rFonts w:ascii="宋体" w:hAnsi="宋体" w:eastAsia="宋体" w:cs="宋体"/>
                <w:spacing w:val="4"/>
                <w:sz w:val="23"/>
                <w:szCs w:val="23"/>
              </w:rPr>
              <w:t>价(元)</w:t>
            </w:r>
          </w:p>
        </w:tc>
        <w:tc>
          <w:tcPr>
            <w:tcW w:w="1417" w:type="dxa"/>
            <w:vAlign w:val="top"/>
          </w:tcPr>
          <w:p>
            <w:pPr>
              <w:spacing w:before="151" w:line="226" w:lineRule="auto"/>
              <w:ind w:left="100"/>
              <w:rPr>
                <w:rFonts w:ascii="宋体" w:hAnsi="宋体" w:eastAsia="宋体" w:cs="宋体"/>
                <w:sz w:val="23"/>
                <w:szCs w:val="23"/>
              </w:rPr>
            </w:pPr>
            <w:r>
              <w:rPr>
                <w:rFonts w:ascii="宋体" w:hAnsi="宋体" w:eastAsia="宋体" w:cs="宋体"/>
                <w:spacing w:val="5"/>
                <w:sz w:val="23"/>
                <w:szCs w:val="23"/>
              </w:rPr>
              <w:t>合价(元</w:t>
            </w:r>
            <w:r>
              <w:rPr>
                <w:rFonts w:ascii="宋体" w:hAnsi="宋体" w:eastAsia="宋体" w:cs="宋体"/>
                <w:spacing w:val="4"/>
                <w:sz w:val="23"/>
                <w:szCs w:val="23"/>
              </w:rPr>
              <w:t>)</w:t>
            </w:r>
          </w:p>
        </w:tc>
        <w:tc>
          <w:tcPr>
            <w:tcW w:w="1705" w:type="dxa"/>
            <w:vAlign w:val="top"/>
          </w:tcPr>
          <w:p>
            <w:pPr>
              <w:spacing w:before="151" w:line="229" w:lineRule="auto"/>
              <w:ind w:left="104"/>
              <w:rPr>
                <w:rFonts w:ascii="宋体" w:hAnsi="宋体" w:eastAsia="宋体" w:cs="宋体"/>
                <w:sz w:val="23"/>
                <w:szCs w:val="23"/>
              </w:rPr>
            </w:pPr>
            <w:r>
              <w:rPr>
                <w:rFonts w:ascii="宋体" w:hAnsi="宋体" w:eastAsia="宋体" w:cs="宋体"/>
                <w:spacing w:val="4"/>
                <w:sz w:val="23"/>
                <w:szCs w:val="23"/>
              </w:rPr>
              <w:t>备</w:t>
            </w:r>
            <w:r>
              <w:rPr>
                <w:rFonts w:ascii="宋体" w:hAnsi="宋体" w:eastAsia="宋体" w:cs="宋体"/>
                <w:spacing w:val="3"/>
                <w:sz w:val="23"/>
                <w:szCs w:val="23"/>
              </w:rPr>
              <w:t>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997" w:type="dxa"/>
            <w:vAlign w:val="top"/>
          </w:tcPr>
          <w:p>
            <w:pPr>
              <w:rPr>
                <w:rFonts w:ascii="Arial"/>
                <w:sz w:val="21"/>
              </w:rPr>
            </w:pPr>
          </w:p>
        </w:tc>
        <w:tc>
          <w:tcPr>
            <w:tcW w:w="1983" w:type="dxa"/>
            <w:vAlign w:val="top"/>
          </w:tcPr>
          <w:p>
            <w:pPr>
              <w:rPr>
                <w:rFonts w:ascii="Arial"/>
                <w:sz w:val="21"/>
              </w:rPr>
            </w:pPr>
          </w:p>
        </w:tc>
        <w:tc>
          <w:tcPr>
            <w:tcW w:w="850" w:type="dxa"/>
            <w:vAlign w:val="top"/>
          </w:tcPr>
          <w:p>
            <w:pPr>
              <w:rPr>
                <w:rFonts w:ascii="Arial"/>
                <w:sz w:val="21"/>
              </w:rPr>
            </w:pPr>
          </w:p>
        </w:tc>
        <w:tc>
          <w:tcPr>
            <w:tcW w:w="774" w:type="dxa"/>
            <w:vAlign w:val="top"/>
          </w:tcPr>
          <w:p>
            <w:pPr>
              <w:rPr>
                <w:rFonts w:ascii="Arial"/>
                <w:sz w:val="21"/>
              </w:rPr>
            </w:pPr>
          </w:p>
        </w:tc>
        <w:tc>
          <w:tcPr>
            <w:tcW w:w="1351" w:type="dxa"/>
            <w:vAlign w:val="top"/>
          </w:tcPr>
          <w:p>
            <w:pPr>
              <w:rPr>
                <w:rFonts w:ascii="Arial"/>
                <w:sz w:val="21"/>
              </w:rPr>
            </w:pPr>
          </w:p>
        </w:tc>
        <w:tc>
          <w:tcPr>
            <w:tcW w:w="1417" w:type="dxa"/>
            <w:vAlign w:val="top"/>
          </w:tcPr>
          <w:p>
            <w:pPr>
              <w:rPr>
                <w:rFonts w:ascii="Arial"/>
                <w:sz w:val="21"/>
              </w:rPr>
            </w:pPr>
          </w:p>
        </w:tc>
        <w:tc>
          <w:tcPr>
            <w:tcW w:w="1705"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997" w:type="dxa"/>
            <w:vAlign w:val="top"/>
          </w:tcPr>
          <w:p>
            <w:pPr>
              <w:rPr>
                <w:rFonts w:ascii="Arial"/>
                <w:sz w:val="21"/>
              </w:rPr>
            </w:pPr>
          </w:p>
        </w:tc>
        <w:tc>
          <w:tcPr>
            <w:tcW w:w="1983" w:type="dxa"/>
            <w:vAlign w:val="top"/>
          </w:tcPr>
          <w:p>
            <w:pPr>
              <w:rPr>
                <w:rFonts w:ascii="Arial"/>
                <w:sz w:val="21"/>
              </w:rPr>
            </w:pPr>
          </w:p>
        </w:tc>
        <w:tc>
          <w:tcPr>
            <w:tcW w:w="850" w:type="dxa"/>
            <w:vAlign w:val="top"/>
          </w:tcPr>
          <w:p>
            <w:pPr>
              <w:rPr>
                <w:rFonts w:ascii="Arial"/>
                <w:sz w:val="21"/>
              </w:rPr>
            </w:pPr>
          </w:p>
        </w:tc>
        <w:tc>
          <w:tcPr>
            <w:tcW w:w="774" w:type="dxa"/>
            <w:vAlign w:val="top"/>
          </w:tcPr>
          <w:p>
            <w:pPr>
              <w:rPr>
                <w:rFonts w:ascii="Arial"/>
                <w:sz w:val="21"/>
              </w:rPr>
            </w:pPr>
          </w:p>
        </w:tc>
        <w:tc>
          <w:tcPr>
            <w:tcW w:w="1351" w:type="dxa"/>
            <w:vAlign w:val="top"/>
          </w:tcPr>
          <w:p>
            <w:pPr>
              <w:rPr>
                <w:rFonts w:ascii="Arial"/>
                <w:sz w:val="21"/>
              </w:rPr>
            </w:pPr>
          </w:p>
        </w:tc>
        <w:tc>
          <w:tcPr>
            <w:tcW w:w="1417" w:type="dxa"/>
            <w:vAlign w:val="top"/>
          </w:tcPr>
          <w:p>
            <w:pPr>
              <w:rPr>
                <w:rFonts w:ascii="Arial"/>
                <w:sz w:val="21"/>
              </w:rPr>
            </w:pPr>
          </w:p>
        </w:tc>
        <w:tc>
          <w:tcPr>
            <w:tcW w:w="1705"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997" w:type="dxa"/>
            <w:vAlign w:val="top"/>
          </w:tcPr>
          <w:p>
            <w:pPr>
              <w:rPr>
                <w:rFonts w:ascii="Arial"/>
                <w:sz w:val="21"/>
              </w:rPr>
            </w:pPr>
          </w:p>
        </w:tc>
        <w:tc>
          <w:tcPr>
            <w:tcW w:w="1983" w:type="dxa"/>
            <w:vAlign w:val="top"/>
          </w:tcPr>
          <w:p>
            <w:pPr>
              <w:rPr>
                <w:rFonts w:ascii="Arial"/>
                <w:sz w:val="21"/>
              </w:rPr>
            </w:pPr>
          </w:p>
        </w:tc>
        <w:tc>
          <w:tcPr>
            <w:tcW w:w="850" w:type="dxa"/>
            <w:vAlign w:val="top"/>
          </w:tcPr>
          <w:p>
            <w:pPr>
              <w:rPr>
                <w:rFonts w:ascii="Arial"/>
                <w:sz w:val="21"/>
              </w:rPr>
            </w:pPr>
          </w:p>
        </w:tc>
        <w:tc>
          <w:tcPr>
            <w:tcW w:w="774" w:type="dxa"/>
            <w:vAlign w:val="top"/>
          </w:tcPr>
          <w:p>
            <w:pPr>
              <w:rPr>
                <w:rFonts w:ascii="Arial"/>
                <w:sz w:val="21"/>
              </w:rPr>
            </w:pPr>
          </w:p>
        </w:tc>
        <w:tc>
          <w:tcPr>
            <w:tcW w:w="1351" w:type="dxa"/>
            <w:vAlign w:val="top"/>
          </w:tcPr>
          <w:p>
            <w:pPr>
              <w:rPr>
                <w:rFonts w:ascii="Arial"/>
                <w:sz w:val="21"/>
              </w:rPr>
            </w:pPr>
          </w:p>
        </w:tc>
        <w:tc>
          <w:tcPr>
            <w:tcW w:w="1417" w:type="dxa"/>
            <w:vAlign w:val="top"/>
          </w:tcPr>
          <w:p>
            <w:pPr>
              <w:rPr>
                <w:rFonts w:ascii="Arial"/>
                <w:sz w:val="21"/>
              </w:rPr>
            </w:pPr>
          </w:p>
        </w:tc>
        <w:tc>
          <w:tcPr>
            <w:tcW w:w="1705"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997" w:type="dxa"/>
            <w:vAlign w:val="top"/>
          </w:tcPr>
          <w:p>
            <w:pPr>
              <w:rPr>
                <w:rFonts w:ascii="Arial"/>
                <w:sz w:val="21"/>
              </w:rPr>
            </w:pPr>
          </w:p>
        </w:tc>
        <w:tc>
          <w:tcPr>
            <w:tcW w:w="1983" w:type="dxa"/>
            <w:vAlign w:val="top"/>
          </w:tcPr>
          <w:p>
            <w:pPr>
              <w:rPr>
                <w:rFonts w:ascii="Arial"/>
                <w:sz w:val="21"/>
              </w:rPr>
            </w:pPr>
          </w:p>
        </w:tc>
        <w:tc>
          <w:tcPr>
            <w:tcW w:w="850" w:type="dxa"/>
            <w:vAlign w:val="top"/>
          </w:tcPr>
          <w:p>
            <w:pPr>
              <w:rPr>
                <w:rFonts w:ascii="Arial"/>
                <w:sz w:val="21"/>
              </w:rPr>
            </w:pPr>
          </w:p>
        </w:tc>
        <w:tc>
          <w:tcPr>
            <w:tcW w:w="774" w:type="dxa"/>
            <w:vAlign w:val="top"/>
          </w:tcPr>
          <w:p>
            <w:pPr>
              <w:rPr>
                <w:rFonts w:ascii="Arial"/>
                <w:sz w:val="21"/>
              </w:rPr>
            </w:pPr>
          </w:p>
        </w:tc>
        <w:tc>
          <w:tcPr>
            <w:tcW w:w="1351" w:type="dxa"/>
            <w:vAlign w:val="top"/>
          </w:tcPr>
          <w:p>
            <w:pPr>
              <w:rPr>
                <w:rFonts w:ascii="Arial"/>
                <w:sz w:val="21"/>
              </w:rPr>
            </w:pPr>
          </w:p>
        </w:tc>
        <w:tc>
          <w:tcPr>
            <w:tcW w:w="1417" w:type="dxa"/>
            <w:vAlign w:val="top"/>
          </w:tcPr>
          <w:p>
            <w:pPr>
              <w:rPr>
                <w:rFonts w:ascii="Arial"/>
                <w:sz w:val="21"/>
              </w:rPr>
            </w:pPr>
          </w:p>
        </w:tc>
        <w:tc>
          <w:tcPr>
            <w:tcW w:w="1705"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997" w:type="dxa"/>
            <w:vAlign w:val="top"/>
          </w:tcPr>
          <w:p>
            <w:pPr>
              <w:rPr>
                <w:rFonts w:ascii="Arial"/>
                <w:sz w:val="21"/>
              </w:rPr>
            </w:pPr>
          </w:p>
        </w:tc>
        <w:tc>
          <w:tcPr>
            <w:tcW w:w="1983" w:type="dxa"/>
            <w:vAlign w:val="top"/>
          </w:tcPr>
          <w:p>
            <w:pPr>
              <w:rPr>
                <w:rFonts w:ascii="Arial"/>
                <w:sz w:val="21"/>
              </w:rPr>
            </w:pPr>
          </w:p>
        </w:tc>
        <w:tc>
          <w:tcPr>
            <w:tcW w:w="850" w:type="dxa"/>
            <w:vAlign w:val="top"/>
          </w:tcPr>
          <w:p>
            <w:pPr>
              <w:rPr>
                <w:rFonts w:ascii="Arial"/>
                <w:sz w:val="21"/>
              </w:rPr>
            </w:pPr>
          </w:p>
        </w:tc>
        <w:tc>
          <w:tcPr>
            <w:tcW w:w="774" w:type="dxa"/>
            <w:vAlign w:val="top"/>
          </w:tcPr>
          <w:p>
            <w:pPr>
              <w:rPr>
                <w:rFonts w:ascii="Arial"/>
                <w:sz w:val="21"/>
              </w:rPr>
            </w:pPr>
          </w:p>
        </w:tc>
        <w:tc>
          <w:tcPr>
            <w:tcW w:w="1351" w:type="dxa"/>
            <w:vAlign w:val="top"/>
          </w:tcPr>
          <w:p>
            <w:pPr>
              <w:rPr>
                <w:rFonts w:ascii="Arial"/>
                <w:sz w:val="21"/>
              </w:rPr>
            </w:pPr>
          </w:p>
        </w:tc>
        <w:tc>
          <w:tcPr>
            <w:tcW w:w="1417" w:type="dxa"/>
            <w:vAlign w:val="top"/>
          </w:tcPr>
          <w:p>
            <w:pPr>
              <w:rPr>
                <w:rFonts w:ascii="Arial"/>
                <w:sz w:val="21"/>
              </w:rPr>
            </w:pPr>
          </w:p>
        </w:tc>
        <w:tc>
          <w:tcPr>
            <w:tcW w:w="1705"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997" w:type="dxa"/>
            <w:vAlign w:val="top"/>
          </w:tcPr>
          <w:p>
            <w:pPr>
              <w:rPr>
                <w:rFonts w:ascii="Arial"/>
                <w:sz w:val="21"/>
              </w:rPr>
            </w:pPr>
          </w:p>
        </w:tc>
        <w:tc>
          <w:tcPr>
            <w:tcW w:w="1983" w:type="dxa"/>
            <w:vAlign w:val="top"/>
          </w:tcPr>
          <w:p>
            <w:pPr>
              <w:rPr>
                <w:rFonts w:ascii="Arial"/>
                <w:sz w:val="21"/>
              </w:rPr>
            </w:pPr>
          </w:p>
        </w:tc>
        <w:tc>
          <w:tcPr>
            <w:tcW w:w="850" w:type="dxa"/>
            <w:vAlign w:val="top"/>
          </w:tcPr>
          <w:p>
            <w:pPr>
              <w:rPr>
                <w:rFonts w:ascii="Arial"/>
                <w:sz w:val="21"/>
              </w:rPr>
            </w:pPr>
          </w:p>
        </w:tc>
        <w:tc>
          <w:tcPr>
            <w:tcW w:w="774" w:type="dxa"/>
            <w:vAlign w:val="top"/>
          </w:tcPr>
          <w:p>
            <w:pPr>
              <w:rPr>
                <w:rFonts w:ascii="Arial"/>
                <w:sz w:val="21"/>
              </w:rPr>
            </w:pPr>
          </w:p>
        </w:tc>
        <w:tc>
          <w:tcPr>
            <w:tcW w:w="1351" w:type="dxa"/>
            <w:vAlign w:val="top"/>
          </w:tcPr>
          <w:p>
            <w:pPr>
              <w:rPr>
                <w:rFonts w:ascii="Arial"/>
                <w:sz w:val="21"/>
              </w:rPr>
            </w:pPr>
          </w:p>
        </w:tc>
        <w:tc>
          <w:tcPr>
            <w:tcW w:w="1417" w:type="dxa"/>
            <w:vAlign w:val="top"/>
          </w:tcPr>
          <w:p>
            <w:pPr>
              <w:rPr>
                <w:rFonts w:ascii="Arial"/>
                <w:sz w:val="21"/>
              </w:rPr>
            </w:pPr>
          </w:p>
        </w:tc>
        <w:tc>
          <w:tcPr>
            <w:tcW w:w="1705"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997" w:type="dxa"/>
            <w:vAlign w:val="top"/>
          </w:tcPr>
          <w:p>
            <w:pPr>
              <w:rPr>
                <w:rFonts w:ascii="Arial"/>
                <w:sz w:val="21"/>
              </w:rPr>
            </w:pPr>
          </w:p>
        </w:tc>
        <w:tc>
          <w:tcPr>
            <w:tcW w:w="1983" w:type="dxa"/>
            <w:vAlign w:val="top"/>
          </w:tcPr>
          <w:p>
            <w:pPr>
              <w:rPr>
                <w:rFonts w:ascii="Arial"/>
                <w:sz w:val="21"/>
              </w:rPr>
            </w:pPr>
          </w:p>
        </w:tc>
        <w:tc>
          <w:tcPr>
            <w:tcW w:w="850" w:type="dxa"/>
            <w:vAlign w:val="top"/>
          </w:tcPr>
          <w:p>
            <w:pPr>
              <w:rPr>
                <w:rFonts w:ascii="Arial"/>
                <w:sz w:val="21"/>
              </w:rPr>
            </w:pPr>
          </w:p>
        </w:tc>
        <w:tc>
          <w:tcPr>
            <w:tcW w:w="774" w:type="dxa"/>
            <w:vAlign w:val="top"/>
          </w:tcPr>
          <w:p>
            <w:pPr>
              <w:rPr>
                <w:rFonts w:ascii="Arial"/>
                <w:sz w:val="21"/>
              </w:rPr>
            </w:pPr>
          </w:p>
        </w:tc>
        <w:tc>
          <w:tcPr>
            <w:tcW w:w="1351" w:type="dxa"/>
            <w:vAlign w:val="top"/>
          </w:tcPr>
          <w:p>
            <w:pPr>
              <w:rPr>
                <w:rFonts w:ascii="Arial"/>
                <w:sz w:val="21"/>
              </w:rPr>
            </w:pPr>
          </w:p>
        </w:tc>
        <w:tc>
          <w:tcPr>
            <w:tcW w:w="1417" w:type="dxa"/>
            <w:vAlign w:val="top"/>
          </w:tcPr>
          <w:p>
            <w:pPr>
              <w:rPr>
                <w:rFonts w:ascii="Arial"/>
                <w:sz w:val="21"/>
              </w:rPr>
            </w:pPr>
          </w:p>
        </w:tc>
        <w:tc>
          <w:tcPr>
            <w:tcW w:w="1705"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997" w:type="dxa"/>
            <w:vAlign w:val="top"/>
          </w:tcPr>
          <w:p>
            <w:pPr>
              <w:rPr>
                <w:rFonts w:ascii="Arial"/>
                <w:sz w:val="21"/>
              </w:rPr>
            </w:pPr>
          </w:p>
        </w:tc>
        <w:tc>
          <w:tcPr>
            <w:tcW w:w="1983" w:type="dxa"/>
            <w:vAlign w:val="top"/>
          </w:tcPr>
          <w:p>
            <w:pPr>
              <w:rPr>
                <w:rFonts w:ascii="Arial"/>
                <w:sz w:val="21"/>
              </w:rPr>
            </w:pPr>
          </w:p>
        </w:tc>
        <w:tc>
          <w:tcPr>
            <w:tcW w:w="850" w:type="dxa"/>
            <w:vAlign w:val="top"/>
          </w:tcPr>
          <w:p>
            <w:pPr>
              <w:rPr>
                <w:rFonts w:ascii="Arial"/>
                <w:sz w:val="21"/>
              </w:rPr>
            </w:pPr>
          </w:p>
        </w:tc>
        <w:tc>
          <w:tcPr>
            <w:tcW w:w="774" w:type="dxa"/>
            <w:vAlign w:val="top"/>
          </w:tcPr>
          <w:p>
            <w:pPr>
              <w:rPr>
                <w:rFonts w:ascii="Arial"/>
                <w:sz w:val="21"/>
              </w:rPr>
            </w:pPr>
          </w:p>
        </w:tc>
        <w:tc>
          <w:tcPr>
            <w:tcW w:w="1351" w:type="dxa"/>
            <w:vAlign w:val="top"/>
          </w:tcPr>
          <w:p>
            <w:pPr>
              <w:rPr>
                <w:rFonts w:ascii="Arial"/>
                <w:sz w:val="21"/>
              </w:rPr>
            </w:pPr>
          </w:p>
        </w:tc>
        <w:tc>
          <w:tcPr>
            <w:tcW w:w="1417" w:type="dxa"/>
            <w:vAlign w:val="top"/>
          </w:tcPr>
          <w:p>
            <w:pPr>
              <w:rPr>
                <w:rFonts w:ascii="Arial"/>
                <w:sz w:val="21"/>
              </w:rPr>
            </w:pPr>
          </w:p>
        </w:tc>
        <w:tc>
          <w:tcPr>
            <w:tcW w:w="1705"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997" w:type="dxa"/>
            <w:vAlign w:val="top"/>
          </w:tcPr>
          <w:p>
            <w:pPr>
              <w:rPr>
                <w:rFonts w:ascii="Arial"/>
                <w:sz w:val="21"/>
              </w:rPr>
            </w:pPr>
          </w:p>
        </w:tc>
        <w:tc>
          <w:tcPr>
            <w:tcW w:w="1983" w:type="dxa"/>
            <w:vAlign w:val="top"/>
          </w:tcPr>
          <w:p>
            <w:pPr>
              <w:rPr>
                <w:rFonts w:ascii="Arial"/>
                <w:sz w:val="21"/>
              </w:rPr>
            </w:pPr>
          </w:p>
        </w:tc>
        <w:tc>
          <w:tcPr>
            <w:tcW w:w="850" w:type="dxa"/>
            <w:vAlign w:val="top"/>
          </w:tcPr>
          <w:p>
            <w:pPr>
              <w:rPr>
                <w:rFonts w:ascii="Arial"/>
                <w:sz w:val="21"/>
              </w:rPr>
            </w:pPr>
          </w:p>
        </w:tc>
        <w:tc>
          <w:tcPr>
            <w:tcW w:w="774" w:type="dxa"/>
            <w:vAlign w:val="top"/>
          </w:tcPr>
          <w:p>
            <w:pPr>
              <w:rPr>
                <w:rFonts w:ascii="Arial"/>
                <w:sz w:val="21"/>
              </w:rPr>
            </w:pPr>
          </w:p>
        </w:tc>
        <w:tc>
          <w:tcPr>
            <w:tcW w:w="1351" w:type="dxa"/>
            <w:vAlign w:val="top"/>
          </w:tcPr>
          <w:p>
            <w:pPr>
              <w:rPr>
                <w:rFonts w:ascii="Arial"/>
                <w:sz w:val="21"/>
              </w:rPr>
            </w:pPr>
          </w:p>
        </w:tc>
        <w:tc>
          <w:tcPr>
            <w:tcW w:w="1417" w:type="dxa"/>
            <w:vAlign w:val="top"/>
          </w:tcPr>
          <w:p>
            <w:pPr>
              <w:rPr>
                <w:rFonts w:ascii="Arial"/>
                <w:sz w:val="21"/>
              </w:rPr>
            </w:pPr>
          </w:p>
        </w:tc>
        <w:tc>
          <w:tcPr>
            <w:tcW w:w="1705"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997" w:type="dxa"/>
            <w:vAlign w:val="top"/>
          </w:tcPr>
          <w:p>
            <w:pPr>
              <w:rPr>
                <w:rFonts w:ascii="Arial"/>
                <w:sz w:val="21"/>
              </w:rPr>
            </w:pPr>
          </w:p>
        </w:tc>
        <w:tc>
          <w:tcPr>
            <w:tcW w:w="1983" w:type="dxa"/>
            <w:vAlign w:val="top"/>
          </w:tcPr>
          <w:p>
            <w:pPr>
              <w:rPr>
                <w:rFonts w:ascii="Arial"/>
                <w:sz w:val="21"/>
              </w:rPr>
            </w:pPr>
          </w:p>
        </w:tc>
        <w:tc>
          <w:tcPr>
            <w:tcW w:w="850" w:type="dxa"/>
            <w:vAlign w:val="top"/>
          </w:tcPr>
          <w:p>
            <w:pPr>
              <w:rPr>
                <w:rFonts w:ascii="Arial"/>
                <w:sz w:val="21"/>
              </w:rPr>
            </w:pPr>
          </w:p>
        </w:tc>
        <w:tc>
          <w:tcPr>
            <w:tcW w:w="774" w:type="dxa"/>
            <w:vAlign w:val="top"/>
          </w:tcPr>
          <w:p>
            <w:pPr>
              <w:rPr>
                <w:rFonts w:ascii="Arial"/>
                <w:sz w:val="21"/>
              </w:rPr>
            </w:pPr>
          </w:p>
        </w:tc>
        <w:tc>
          <w:tcPr>
            <w:tcW w:w="1351" w:type="dxa"/>
            <w:vAlign w:val="top"/>
          </w:tcPr>
          <w:p>
            <w:pPr>
              <w:rPr>
                <w:rFonts w:ascii="Arial"/>
                <w:sz w:val="21"/>
              </w:rPr>
            </w:pPr>
          </w:p>
        </w:tc>
        <w:tc>
          <w:tcPr>
            <w:tcW w:w="1417" w:type="dxa"/>
            <w:vAlign w:val="top"/>
          </w:tcPr>
          <w:p>
            <w:pPr>
              <w:rPr>
                <w:rFonts w:ascii="Arial"/>
                <w:sz w:val="21"/>
              </w:rPr>
            </w:pPr>
          </w:p>
        </w:tc>
        <w:tc>
          <w:tcPr>
            <w:tcW w:w="1705"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997" w:type="dxa"/>
            <w:vAlign w:val="top"/>
          </w:tcPr>
          <w:p>
            <w:pPr>
              <w:rPr>
                <w:rFonts w:ascii="Arial"/>
                <w:sz w:val="21"/>
              </w:rPr>
            </w:pPr>
          </w:p>
        </w:tc>
        <w:tc>
          <w:tcPr>
            <w:tcW w:w="1983" w:type="dxa"/>
            <w:vAlign w:val="top"/>
          </w:tcPr>
          <w:p>
            <w:pPr>
              <w:rPr>
                <w:rFonts w:ascii="Arial"/>
                <w:sz w:val="21"/>
              </w:rPr>
            </w:pPr>
          </w:p>
        </w:tc>
        <w:tc>
          <w:tcPr>
            <w:tcW w:w="850" w:type="dxa"/>
            <w:vAlign w:val="top"/>
          </w:tcPr>
          <w:p>
            <w:pPr>
              <w:rPr>
                <w:rFonts w:ascii="Arial"/>
                <w:sz w:val="21"/>
              </w:rPr>
            </w:pPr>
          </w:p>
        </w:tc>
        <w:tc>
          <w:tcPr>
            <w:tcW w:w="774" w:type="dxa"/>
            <w:vAlign w:val="top"/>
          </w:tcPr>
          <w:p>
            <w:pPr>
              <w:rPr>
                <w:rFonts w:ascii="Arial"/>
                <w:sz w:val="21"/>
              </w:rPr>
            </w:pPr>
          </w:p>
        </w:tc>
        <w:tc>
          <w:tcPr>
            <w:tcW w:w="1351" w:type="dxa"/>
            <w:vAlign w:val="top"/>
          </w:tcPr>
          <w:p>
            <w:pPr>
              <w:rPr>
                <w:rFonts w:ascii="Arial"/>
                <w:sz w:val="21"/>
              </w:rPr>
            </w:pPr>
          </w:p>
        </w:tc>
        <w:tc>
          <w:tcPr>
            <w:tcW w:w="1417" w:type="dxa"/>
            <w:vAlign w:val="top"/>
          </w:tcPr>
          <w:p>
            <w:pPr>
              <w:rPr>
                <w:rFonts w:ascii="Arial"/>
                <w:sz w:val="21"/>
              </w:rPr>
            </w:pPr>
          </w:p>
        </w:tc>
        <w:tc>
          <w:tcPr>
            <w:tcW w:w="1705"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997" w:type="dxa"/>
            <w:vAlign w:val="top"/>
          </w:tcPr>
          <w:p>
            <w:pPr>
              <w:rPr>
                <w:rFonts w:ascii="Arial"/>
                <w:sz w:val="21"/>
              </w:rPr>
            </w:pPr>
          </w:p>
        </w:tc>
        <w:tc>
          <w:tcPr>
            <w:tcW w:w="1983" w:type="dxa"/>
            <w:vAlign w:val="top"/>
          </w:tcPr>
          <w:p>
            <w:pPr>
              <w:rPr>
                <w:rFonts w:ascii="Arial"/>
                <w:sz w:val="21"/>
              </w:rPr>
            </w:pPr>
          </w:p>
        </w:tc>
        <w:tc>
          <w:tcPr>
            <w:tcW w:w="850" w:type="dxa"/>
            <w:vAlign w:val="top"/>
          </w:tcPr>
          <w:p>
            <w:pPr>
              <w:rPr>
                <w:rFonts w:ascii="Arial"/>
                <w:sz w:val="21"/>
              </w:rPr>
            </w:pPr>
          </w:p>
        </w:tc>
        <w:tc>
          <w:tcPr>
            <w:tcW w:w="774" w:type="dxa"/>
            <w:vAlign w:val="top"/>
          </w:tcPr>
          <w:p>
            <w:pPr>
              <w:rPr>
                <w:rFonts w:ascii="Arial"/>
                <w:sz w:val="21"/>
              </w:rPr>
            </w:pPr>
          </w:p>
        </w:tc>
        <w:tc>
          <w:tcPr>
            <w:tcW w:w="1351" w:type="dxa"/>
            <w:vAlign w:val="top"/>
          </w:tcPr>
          <w:p>
            <w:pPr>
              <w:rPr>
                <w:rFonts w:ascii="Arial"/>
                <w:sz w:val="21"/>
              </w:rPr>
            </w:pPr>
          </w:p>
        </w:tc>
        <w:tc>
          <w:tcPr>
            <w:tcW w:w="1417" w:type="dxa"/>
            <w:vAlign w:val="top"/>
          </w:tcPr>
          <w:p>
            <w:pPr>
              <w:rPr>
                <w:rFonts w:ascii="Arial"/>
                <w:sz w:val="21"/>
              </w:rPr>
            </w:pPr>
          </w:p>
        </w:tc>
        <w:tc>
          <w:tcPr>
            <w:tcW w:w="1705"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997" w:type="dxa"/>
            <w:vAlign w:val="top"/>
          </w:tcPr>
          <w:p>
            <w:pPr>
              <w:rPr>
                <w:rFonts w:ascii="Arial"/>
                <w:sz w:val="21"/>
              </w:rPr>
            </w:pPr>
          </w:p>
        </w:tc>
        <w:tc>
          <w:tcPr>
            <w:tcW w:w="1983" w:type="dxa"/>
            <w:vAlign w:val="top"/>
          </w:tcPr>
          <w:p>
            <w:pPr>
              <w:rPr>
                <w:rFonts w:ascii="Arial"/>
                <w:sz w:val="21"/>
              </w:rPr>
            </w:pPr>
          </w:p>
        </w:tc>
        <w:tc>
          <w:tcPr>
            <w:tcW w:w="850" w:type="dxa"/>
            <w:vAlign w:val="top"/>
          </w:tcPr>
          <w:p>
            <w:pPr>
              <w:rPr>
                <w:rFonts w:ascii="Arial"/>
                <w:sz w:val="21"/>
              </w:rPr>
            </w:pPr>
          </w:p>
        </w:tc>
        <w:tc>
          <w:tcPr>
            <w:tcW w:w="774" w:type="dxa"/>
            <w:vAlign w:val="top"/>
          </w:tcPr>
          <w:p>
            <w:pPr>
              <w:rPr>
                <w:rFonts w:ascii="Arial"/>
                <w:sz w:val="21"/>
              </w:rPr>
            </w:pPr>
          </w:p>
        </w:tc>
        <w:tc>
          <w:tcPr>
            <w:tcW w:w="1351" w:type="dxa"/>
            <w:vAlign w:val="top"/>
          </w:tcPr>
          <w:p>
            <w:pPr>
              <w:rPr>
                <w:rFonts w:ascii="Arial"/>
                <w:sz w:val="21"/>
              </w:rPr>
            </w:pPr>
          </w:p>
        </w:tc>
        <w:tc>
          <w:tcPr>
            <w:tcW w:w="1417" w:type="dxa"/>
            <w:vAlign w:val="top"/>
          </w:tcPr>
          <w:p>
            <w:pPr>
              <w:rPr>
                <w:rFonts w:ascii="Arial"/>
                <w:sz w:val="21"/>
              </w:rPr>
            </w:pPr>
          </w:p>
        </w:tc>
        <w:tc>
          <w:tcPr>
            <w:tcW w:w="1705"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997" w:type="dxa"/>
            <w:vAlign w:val="top"/>
          </w:tcPr>
          <w:p>
            <w:pPr>
              <w:rPr>
                <w:rFonts w:ascii="Arial"/>
                <w:sz w:val="21"/>
              </w:rPr>
            </w:pPr>
          </w:p>
        </w:tc>
        <w:tc>
          <w:tcPr>
            <w:tcW w:w="1983" w:type="dxa"/>
            <w:vAlign w:val="top"/>
          </w:tcPr>
          <w:p>
            <w:pPr>
              <w:rPr>
                <w:rFonts w:ascii="Arial"/>
                <w:sz w:val="21"/>
              </w:rPr>
            </w:pPr>
          </w:p>
        </w:tc>
        <w:tc>
          <w:tcPr>
            <w:tcW w:w="850" w:type="dxa"/>
            <w:vAlign w:val="top"/>
          </w:tcPr>
          <w:p>
            <w:pPr>
              <w:rPr>
                <w:rFonts w:ascii="Arial"/>
                <w:sz w:val="21"/>
              </w:rPr>
            </w:pPr>
          </w:p>
        </w:tc>
        <w:tc>
          <w:tcPr>
            <w:tcW w:w="774" w:type="dxa"/>
            <w:vAlign w:val="top"/>
          </w:tcPr>
          <w:p>
            <w:pPr>
              <w:rPr>
                <w:rFonts w:ascii="Arial"/>
                <w:sz w:val="21"/>
              </w:rPr>
            </w:pPr>
          </w:p>
        </w:tc>
        <w:tc>
          <w:tcPr>
            <w:tcW w:w="1351" w:type="dxa"/>
            <w:vAlign w:val="top"/>
          </w:tcPr>
          <w:p>
            <w:pPr>
              <w:rPr>
                <w:rFonts w:ascii="Arial"/>
                <w:sz w:val="21"/>
              </w:rPr>
            </w:pPr>
          </w:p>
        </w:tc>
        <w:tc>
          <w:tcPr>
            <w:tcW w:w="1417" w:type="dxa"/>
            <w:vAlign w:val="top"/>
          </w:tcPr>
          <w:p>
            <w:pPr>
              <w:rPr>
                <w:rFonts w:ascii="Arial"/>
                <w:sz w:val="21"/>
              </w:rPr>
            </w:pPr>
          </w:p>
        </w:tc>
        <w:tc>
          <w:tcPr>
            <w:tcW w:w="1705"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997" w:type="dxa"/>
            <w:vAlign w:val="top"/>
          </w:tcPr>
          <w:p>
            <w:pPr>
              <w:rPr>
                <w:rFonts w:ascii="Arial"/>
                <w:sz w:val="21"/>
              </w:rPr>
            </w:pPr>
          </w:p>
        </w:tc>
        <w:tc>
          <w:tcPr>
            <w:tcW w:w="1983" w:type="dxa"/>
            <w:vAlign w:val="top"/>
          </w:tcPr>
          <w:p>
            <w:pPr>
              <w:rPr>
                <w:rFonts w:ascii="Arial"/>
                <w:sz w:val="21"/>
              </w:rPr>
            </w:pPr>
          </w:p>
        </w:tc>
        <w:tc>
          <w:tcPr>
            <w:tcW w:w="850" w:type="dxa"/>
            <w:vAlign w:val="top"/>
          </w:tcPr>
          <w:p>
            <w:pPr>
              <w:rPr>
                <w:rFonts w:ascii="Arial"/>
                <w:sz w:val="21"/>
              </w:rPr>
            </w:pPr>
          </w:p>
        </w:tc>
        <w:tc>
          <w:tcPr>
            <w:tcW w:w="774" w:type="dxa"/>
            <w:vAlign w:val="top"/>
          </w:tcPr>
          <w:p>
            <w:pPr>
              <w:rPr>
                <w:rFonts w:ascii="Arial"/>
                <w:sz w:val="21"/>
              </w:rPr>
            </w:pPr>
          </w:p>
        </w:tc>
        <w:tc>
          <w:tcPr>
            <w:tcW w:w="1351" w:type="dxa"/>
            <w:vAlign w:val="top"/>
          </w:tcPr>
          <w:p>
            <w:pPr>
              <w:rPr>
                <w:rFonts w:ascii="Arial"/>
                <w:sz w:val="21"/>
              </w:rPr>
            </w:pPr>
          </w:p>
        </w:tc>
        <w:tc>
          <w:tcPr>
            <w:tcW w:w="1417" w:type="dxa"/>
            <w:vAlign w:val="top"/>
          </w:tcPr>
          <w:p>
            <w:pPr>
              <w:rPr>
                <w:rFonts w:ascii="Arial"/>
                <w:sz w:val="21"/>
              </w:rPr>
            </w:pPr>
          </w:p>
        </w:tc>
        <w:tc>
          <w:tcPr>
            <w:tcW w:w="1705"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997" w:type="dxa"/>
            <w:vAlign w:val="top"/>
          </w:tcPr>
          <w:p>
            <w:pPr>
              <w:rPr>
                <w:rFonts w:ascii="Arial"/>
                <w:sz w:val="21"/>
              </w:rPr>
            </w:pPr>
          </w:p>
        </w:tc>
        <w:tc>
          <w:tcPr>
            <w:tcW w:w="1983" w:type="dxa"/>
            <w:vAlign w:val="top"/>
          </w:tcPr>
          <w:p>
            <w:pPr>
              <w:rPr>
                <w:rFonts w:ascii="Arial"/>
                <w:sz w:val="21"/>
              </w:rPr>
            </w:pPr>
          </w:p>
        </w:tc>
        <w:tc>
          <w:tcPr>
            <w:tcW w:w="850" w:type="dxa"/>
            <w:vAlign w:val="top"/>
          </w:tcPr>
          <w:p>
            <w:pPr>
              <w:rPr>
                <w:rFonts w:ascii="Arial"/>
                <w:sz w:val="21"/>
              </w:rPr>
            </w:pPr>
          </w:p>
        </w:tc>
        <w:tc>
          <w:tcPr>
            <w:tcW w:w="774" w:type="dxa"/>
            <w:vAlign w:val="top"/>
          </w:tcPr>
          <w:p>
            <w:pPr>
              <w:rPr>
                <w:rFonts w:ascii="Arial"/>
                <w:sz w:val="21"/>
              </w:rPr>
            </w:pPr>
          </w:p>
        </w:tc>
        <w:tc>
          <w:tcPr>
            <w:tcW w:w="1351" w:type="dxa"/>
            <w:vAlign w:val="top"/>
          </w:tcPr>
          <w:p>
            <w:pPr>
              <w:rPr>
                <w:rFonts w:ascii="Arial"/>
                <w:sz w:val="21"/>
              </w:rPr>
            </w:pPr>
          </w:p>
        </w:tc>
        <w:tc>
          <w:tcPr>
            <w:tcW w:w="1417" w:type="dxa"/>
            <w:vAlign w:val="top"/>
          </w:tcPr>
          <w:p>
            <w:pPr>
              <w:rPr>
                <w:rFonts w:ascii="Arial"/>
                <w:sz w:val="21"/>
              </w:rPr>
            </w:pPr>
          </w:p>
        </w:tc>
        <w:tc>
          <w:tcPr>
            <w:tcW w:w="1705"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997" w:type="dxa"/>
            <w:vAlign w:val="top"/>
          </w:tcPr>
          <w:p>
            <w:pPr>
              <w:rPr>
                <w:rFonts w:ascii="Arial"/>
                <w:sz w:val="21"/>
              </w:rPr>
            </w:pPr>
          </w:p>
        </w:tc>
        <w:tc>
          <w:tcPr>
            <w:tcW w:w="1983" w:type="dxa"/>
            <w:vAlign w:val="top"/>
          </w:tcPr>
          <w:p>
            <w:pPr>
              <w:rPr>
                <w:rFonts w:ascii="Arial"/>
                <w:sz w:val="21"/>
              </w:rPr>
            </w:pPr>
          </w:p>
        </w:tc>
        <w:tc>
          <w:tcPr>
            <w:tcW w:w="850" w:type="dxa"/>
            <w:vAlign w:val="top"/>
          </w:tcPr>
          <w:p>
            <w:pPr>
              <w:rPr>
                <w:rFonts w:ascii="Arial"/>
                <w:sz w:val="21"/>
              </w:rPr>
            </w:pPr>
          </w:p>
        </w:tc>
        <w:tc>
          <w:tcPr>
            <w:tcW w:w="774" w:type="dxa"/>
            <w:vAlign w:val="top"/>
          </w:tcPr>
          <w:p>
            <w:pPr>
              <w:rPr>
                <w:rFonts w:ascii="Arial"/>
                <w:sz w:val="21"/>
              </w:rPr>
            </w:pPr>
          </w:p>
        </w:tc>
        <w:tc>
          <w:tcPr>
            <w:tcW w:w="1351" w:type="dxa"/>
            <w:vAlign w:val="top"/>
          </w:tcPr>
          <w:p>
            <w:pPr>
              <w:rPr>
                <w:rFonts w:ascii="Arial"/>
                <w:sz w:val="21"/>
              </w:rPr>
            </w:pPr>
          </w:p>
        </w:tc>
        <w:tc>
          <w:tcPr>
            <w:tcW w:w="1417" w:type="dxa"/>
            <w:vAlign w:val="top"/>
          </w:tcPr>
          <w:p>
            <w:pPr>
              <w:rPr>
                <w:rFonts w:ascii="Arial"/>
                <w:sz w:val="21"/>
              </w:rPr>
            </w:pPr>
          </w:p>
        </w:tc>
        <w:tc>
          <w:tcPr>
            <w:tcW w:w="1705"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997" w:type="dxa"/>
            <w:vAlign w:val="top"/>
          </w:tcPr>
          <w:p>
            <w:pPr>
              <w:rPr>
                <w:rFonts w:ascii="Arial"/>
                <w:sz w:val="21"/>
              </w:rPr>
            </w:pPr>
          </w:p>
        </w:tc>
        <w:tc>
          <w:tcPr>
            <w:tcW w:w="1983" w:type="dxa"/>
            <w:vAlign w:val="top"/>
          </w:tcPr>
          <w:p>
            <w:pPr>
              <w:rPr>
                <w:rFonts w:ascii="Arial"/>
                <w:sz w:val="21"/>
              </w:rPr>
            </w:pPr>
          </w:p>
        </w:tc>
        <w:tc>
          <w:tcPr>
            <w:tcW w:w="850" w:type="dxa"/>
            <w:vAlign w:val="top"/>
          </w:tcPr>
          <w:p>
            <w:pPr>
              <w:rPr>
                <w:rFonts w:ascii="Arial"/>
                <w:sz w:val="21"/>
              </w:rPr>
            </w:pPr>
          </w:p>
        </w:tc>
        <w:tc>
          <w:tcPr>
            <w:tcW w:w="774" w:type="dxa"/>
            <w:vAlign w:val="top"/>
          </w:tcPr>
          <w:p>
            <w:pPr>
              <w:rPr>
                <w:rFonts w:ascii="Arial"/>
                <w:sz w:val="21"/>
              </w:rPr>
            </w:pPr>
          </w:p>
        </w:tc>
        <w:tc>
          <w:tcPr>
            <w:tcW w:w="1351" w:type="dxa"/>
            <w:vAlign w:val="top"/>
          </w:tcPr>
          <w:p>
            <w:pPr>
              <w:rPr>
                <w:rFonts w:ascii="Arial"/>
                <w:sz w:val="21"/>
              </w:rPr>
            </w:pPr>
          </w:p>
        </w:tc>
        <w:tc>
          <w:tcPr>
            <w:tcW w:w="1417" w:type="dxa"/>
            <w:vAlign w:val="top"/>
          </w:tcPr>
          <w:p>
            <w:pPr>
              <w:rPr>
                <w:rFonts w:ascii="Arial"/>
                <w:sz w:val="21"/>
              </w:rPr>
            </w:pPr>
          </w:p>
        </w:tc>
        <w:tc>
          <w:tcPr>
            <w:tcW w:w="1705"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997" w:type="dxa"/>
            <w:vAlign w:val="top"/>
          </w:tcPr>
          <w:p>
            <w:pPr>
              <w:rPr>
                <w:rFonts w:ascii="Arial"/>
                <w:sz w:val="21"/>
              </w:rPr>
            </w:pPr>
          </w:p>
        </w:tc>
        <w:tc>
          <w:tcPr>
            <w:tcW w:w="1983" w:type="dxa"/>
            <w:vAlign w:val="top"/>
          </w:tcPr>
          <w:p>
            <w:pPr>
              <w:rPr>
                <w:rFonts w:ascii="Arial"/>
                <w:sz w:val="21"/>
              </w:rPr>
            </w:pPr>
          </w:p>
        </w:tc>
        <w:tc>
          <w:tcPr>
            <w:tcW w:w="850" w:type="dxa"/>
            <w:vAlign w:val="top"/>
          </w:tcPr>
          <w:p>
            <w:pPr>
              <w:rPr>
                <w:rFonts w:ascii="Arial"/>
                <w:sz w:val="21"/>
              </w:rPr>
            </w:pPr>
          </w:p>
        </w:tc>
        <w:tc>
          <w:tcPr>
            <w:tcW w:w="774" w:type="dxa"/>
            <w:vAlign w:val="top"/>
          </w:tcPr>
          <w:p>
            <w:pPr>
              <w:rPr>
                <w:rFonts w:ascii="Arial"/>
                <w:sz w:val="21"/>
              </w:rPr>
            </w:pPr>
          </w:p>
        </w:tc>
        <w:tc>
          <w:tcPr>
            <w:tcW w:w="1351" w:type="dxa"/>
            <w:vAlign w:val="top"/>
          </w:tcPr>
          <w:p>
            <w:pPr>
              <w:rPr>
                <w:rFonts w:ascii="Arial"/>
                <w:sz w:val="21"/>
              </w:rPr>
            </w:pPr>
          </w:p>
        </w:tc>
        <w:tc>
          <w:tcPr>
            <w:tcW w:w="1417" w:type="dxa"/>
            <w:vAlign w:val="top"/>
          </w:tcPr>
          <w:p>
            <w:pPr>
              <w:rPr>
                <w:rFonts w:ascii="Arial"/>
                <w:sz w:val="21"/>
              </w:rPr>
            </w:pPr>
          </w:p>
        </w:tc>
        <w:tc>
          <w:tcPr>
            <w:tcW w:w="1705"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997" w:type="dxa"/>
            <w:vAlign w:val="top"/>
          </w:tcPr>
          <w:p>
            <w:pPr>
              <w:rPr>
                <w:rFonts w:ascii="Arial"/>
                <w:sz w:val="21"/>
              </w:rPr>
            </w:pPr>
          </w:p>
        </w:tc>
        <w:tc>
          <w:tcPr>
            <w:tcW w:w="1983" w:type="dxa"/>
            <w:vAlign w:val="top"/>
          </w:tcPr>
          <w:p>
            <w:pPr>
              <w:rPr>
                <w:rFonts w:ascii="Arial"/>
                <w:sz w:val="21"/>
              </w:rPr>
            </w:pPr>
          </w:p>
        </w:tc>
        <w:tc>
          <w:tcPr>
            <w:tcW w:w="850" w:type="dxa"/>
            <w:vAlign w:val="top"/>
          </w:tcPr>
          <w:p>
            <w:pPr>
              <w:rPr>
                <w:rFonts w:ascii="Arial"/>
                <w:sz w:val="21"/>
              </w:rPr>
            </w:pPr>
          </w:p>
        </w:tc>
        <w:tc>
          <w:tcPr>
            <w:tcW w:w="774" w:type="dxa"/>
            <w:vAlign w:val="top"/>
          </w:tcPr>
          <w:p>
            <w:pPr>
              <w:rPr>
                <w:rFonts w:ascii="Arial"/>
                <w:sz w:val="21"/>
              </w:rPr>
            </w:pPr>
          </w:p>
        </w:tc>
        <w:tc>
          <w:tcPr>
            <w:tcW w:w="1351" w:type="dxa"/>
            <w:vAlign w:val="top"/>
          </w:tcPr>
          <w:p>
            <w:pPr>
              <w:rPr>
                <w:rFonts w:ascii="Arial"/>
                <w:sz w:val="21"/>
              </w:rPr>
            </w:pPr>
          </w:p>
        </w:tc>
        <w:tc>
          <w:tcPr>
            <w:tcW w:w="1417" w:type="dxa"/>
            <w:vAlign w:val="top"/>
          </w:tcPr>
          <w:p>
            <w:pPr>
              <w:rPr>
                <w:rFonts w:ascii="Arial"/>
                <w:sz w:val="21"/>
              </w:rPr>
            </w:pPr>
          </w:p>
        </w:tc>
        <w:tc>
          <w:tcPr>
            <w:tcW w:w="1705"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997" w:type="dxa"/>
            <w:vAlign w:val="top"/>
          </w:tcPr>
          <w:p>
            <w:pPr>
              <w:rPr>
                <w:rFonts w:ascii="Arial"/>
                <w:sz w:val="21"/>
              </w:rPr>
            </w:pPr>
          </w:p>
        </w:tc>
        <w:tc>
          <w:tcPr>
            <w:tcW w:w="1983" w:type="dxa"/>
            <w:vAlign w:val="top"/>
          </w:tcPr>
          <w:p>
            <w:pPr>
              <w:rPr>
                <w:rFonts w:ascii="Arial"/>
                <w:sz w:val="21"/>
              </w:rPr>
            </w:pPr>
          </w:p>
        </w:tc>
        <w:tc>
          <w:tcPr>
            <w:tcW w:w="850" w:type="dxa"/>
            <w:vAlign w:val="top"/>
          </w:tcPr>
          <w:p>
            <w:pPr>
              <w:rPr>
                <w:rFonts w:ascii="Arial"/>
                <w:sz w:val="21"/>
              </w:rPr>
            </w:pPr>
          </w:p>
        </w:tc>
        <w:tc>
          <w:tcPr>
            <w:tcW w:w="774" w:type="dxa"/>
            <w:vAlign w:val="top"/>
          </w:tcPr>
          <w:p>
            <w:pPr>
              <w:rPr>
                <w:rFonts w:ascii="Arial"/>
                <w:sz w:val="21"/>
              </w:rPr>
            </w:pPr>
          </w:p>
        </w:tc>
        <w:tc>
          <w:tcPr>
            <w:tcW w:w="1351" w:type="dxa"/>
            <w:vAlign w:val="top"/>
          </w:tcPr>
          <w:p>
            <w:pPr>
              <w:rPr>
                <w:rFonts w:ascii="Arial"/>
                <w:sz w:val="21"/>
              </w:rPr>
            </w:pPr>
          </w:p>
        </w:tc>
        <w:tc>
          <w:tcPr>
            <w:tcW w:w="1417" w:type="dxa"/>
            <w:vAlign w:val="top"/>
          </w:tcPr>
          <w:p>
            <w:pPr>
              <w:rPr>
                <w:rFonts w:ascii="Arial"/>
                <w:sz w:val="21"/>
              </w:rPr>
            </w:pPr>
          </w:p>
        </w:tc>
        <w:tc>
          <w:tcPr>
            <w:tcW w:w="1705"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997" w:type="dxa"/>
            <w:vAlign w:val="top"/>
          </w:tcPr>
          <w:p>
            <w:pPr>
              <w:rPr>
                <w:rFonts w:ascii="Arial"/>
                <w:sz w:val="21"/>
              </w:rPr>
            </w:pPr>
          </w:p>
        </w:tc>
        <w:tc>
          <w:tcPr>
            <w:tcW w:w="1983" w:type="dxa"/>
            <w:vAlign w:val="top"/>
          </w:tcPr>
          <w:p>
            <w:pPr>
              <w:rPr>
                <w:rFonts w:ascii="Arial"/>
                <w:sz w:val="21"/>
              </w:rPr>
            </w:pPr>
          </w:p>
        </w:tc>
        <w:tc>
          <w:tcPr>
            <w:tcW w:w="850" w:type="dxa"/>
            <w:vAlign w:val="top"/>
          </w:tcPr>
          <w:p>
            <w:pPr>
              <w:rPr>
                <w:rFonts w:ascii="Arial"/>
                <w:sz w:val="21"/>
              </w:rPr>
            </w:pPr>
          </w:p>
        </w:tc>
        <w:tc>
          <w:tcPr>
            <w:tcW w:w="774" w:type="dxa"/>
            <w:vAlign w:val="top"/>
          </w:tcPr>
          <w:p>
            <w:pPr>
              <w:rPr>
                <w:rFonts w:ascii="Arial"/>
                <w:sz w:val="21"/>
              </w:rPr>
            </w:pPr>
          </w:p>
        </w:tc>
        <w:tc>
          <w:tcPr>
            <w:tcW w:w="1351" w:type="dxa"/>
            <w:vAlign w:val="top"/>
          </w:tcPr>
          <w:p>
            <w:pPr>
              <w:rPr>
                <w:rFonts w:ascii="Arial"/>
                <w:sz w:val="21"/>
              </w:rPr>
            </w:pPr>
          </w:p>
        </w:tc>
        <w:tc>
          <w:tcPr>
            <w:tcW w:w="1417" w:type="dxa"/>
            <w:vAlign w:val="top"/>
          </w:tcPr>
          <w:p>
            <w:pPr>
              <w:rPr>
                <w:rFonts w:ascii="Arial"/>
                <w:sz w:val="21"/>
              </w:rPr>
            </w:pPr>
          </w:p>
        </w:tc>
        <w:tc>
          <w:tcPr>
            <w:tcW w:w="1705"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997" w:type="dxa"/>
            <w:vAlign w:val="top"/>
          </w:tcPr>
          <w:p>
            <w:pPr>
              <w:rPr>
                <w:rFonts w:ascii="Arial"/>
                <w:sz w:val="21"/>
              </w:rPr>
            </w:pPr>
          </w:p>
        </w:tc>
        <w:tc>
          <w:tcPr>
            <w:tcW w:w="1983" w:type="dxa"/>
            <w:vAlign w:val="top"/>
          </w:tcPr>
          <w:p>
            <w:pPr>
              <w:rPr>
                <w:rFonts w:ascii="Arial"/>
                <w:sz w:val="21"/>
              </w:rPr>
            </w:pPr>
          </w:p>
        </w:tc>
        <w:tc>
          <w:tcPr>
            <w:tcW w:w="850" w:type="dxa"/>
            <w:vAlign w:val="top"/>
          </w:tcPr>
          <w:p>
            <w:pPr>
              <w:rPr>
                <w:rFonts w:ascii="Arial"/>
                <w:sz w:val="21"/>
              </w:rPr>
            </w:pPr>
          </w:p>
        </w:tc>
        <w:tc>
          <w:tcPr>
            <w:tcW w:w="774" w:type="dxa"/>
            <w:vAlign w:val="top"/>
          </w:tcPr>
          <w:p>
            <w:pPr>
              <w:rPr>
                <w:rFonts w:ascii="Arial"/>
                <w:sz w:val="21"/>
              </w:rPr>
            </w:pPr>
          </w:p>
        </w:tc>
        <w:tc>
          <w:tcPr>
            <w:tcW w:w="1351" w:type="dxa"/>
            <w:vAlign w:val="top"/>
          </w:tcPr>
          <w:p>
            <w:pPr>
              <w:rPr>
                <w:rFonts w:ascii="Arial"/>
                <w:sz w:val="21"/>
              </w:rPr>
            </w:pPr>
          </w:p>
        </w:tc>
        <w:tc>
          <w:tcPr>
            <w:tcW w:w="1417" w:type="dxa"/>
            <w:vAlign w:val="top"/>
          </w:tcPr>
          <w:p>
            <w:pPr>
              <w:rPr>
                <w:rFonts w:ascii="Arial"/>
                <w:sz w:val="21"/>
              </w:rPr>
            </w:pPr>
          </w:p>
        </w:tc>
        <w:tc>
          <w:tcPr>
            <w:tcW w:w="1705"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997" w:type="dxa"/>
            <w:vAlign w:val="top"/>
          </w:tcPr>
          <w:p>
            <w:pPr>
              <w:rPr>
                <w:rFonts w:ascii="Arial"/>
                <w:sz w:val="21"/>
              </w:rPr>
            </w:pPr>
          </w:p>
        </w:tc>
        <w:tc>
          <w:tcPr>
            <w:tcW w:w="1983" w:type="dxa"/>
            <w:vAlign w:val="top"/>
          </w:tcPr>
          <w:p>
            <w:pPr>
              <w:rPr>
                <w:rFonts w:ascii="Arial"/>
                <w:sz w:val="21"/>
              </w:rPr>
            </w:pPr>
          </w:p>
        </w:tc>
        <w:tc>
          <w:tcPr>
            <w:tcW w:w="850" w:type="dxa"/>
            <w:vAlign w:val="top"/>
          </w:tcPr>
          <w:p>
            <w:pPr>
              <w:rPr>
                <w:rFonts w:ascii="Arial"/>
                <w:sz w:val="21"/>
              </w:rPr>
            </w:pPr>
          </w:p>
        </w:tc>
        <w:tc>
          <w:tcPr>
            <w:tcW w:w="774" w:type="dxa"/>
            <w:vAlign w:val="top"/>
          </w:tcPr>
          <w:p>
            <w:pPr>
              <w:rPr>
                <w:rFonts w:ascii="Arial"/>
                <w:sz w:val="21"/>
              </w:rPr>
            </w:pPr>
          </w:p>
        </w:tc>
        <w:tc>
          <w:tcPr>
            <w:tcW w:w="1351" w:type="dxa"/>
            <w:vAlign w:val="top"/>
          </w:tcPr>
          <w:p>
            <w:pPr>
              <w:rPr>
                <w:rFonts w:ascii="Arial"/>
                <w:sz w:val="21"/>
              </w:rPr>
            </w:pPr>
          </w:p>
        </w:tc>
        <w:tc>
          <w:tcPr>
            <w:tcW w:w="1417" w:type="dxa"/>
            <w:vAlign w:val="top"/>
          </w:tcPr>
          <w:p>
            <w:pPr>
              <w:rPr>
                <w:rFonts w:ascii="Arial"/>
                <w:sz w:val="21"/>
              </w:rPr>
            </w:pPr>
          </w:p>
        </w:tc>
        <w:tc>
          <w:tcPr>
            <w:tcW w:w="1705"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9" w:hRule="atLeast"/>
        </w:trPr>
        <w:tc>
          <w:tcPr>
            <w:tcW w:w="997" w:type="dxa"/>
            <w:vAlign w:val="top"/>
          </w:tcPr>
          <w:p>
            <w:pPr>
              <w:rPr>
                <w:rFonts w:ascii="Arial"/>
                <w:sz w:val="21"/>
              </w:rPr>
            </w:pPr>
          </w:p>
        </w:tc>
        <w:tc>
          <w:tcPr>
            <w:tcW w:w="1983" w:type="dxa"/>
            <w:vAlign w:val="top"/>
          </w:tcPr>
          <w:p>
            <w:pPr>
              <w:rPr>
                <w:rFonts w:ascii="Arial"/>
                <w:sz w:val="21"/>
              </w:rPr>
            </w:pPr>
          </w:p>
        </w:tc>
        <w:tc>
          <w:tcPr>
            <w:tcW w:w="850" w:type="dxa"/>
            <w:vAlign w:val="top"/>
          </w:tcPr>
          <w:p>
            <w:pPr>
              <w:rPr>
                <w:rFonts w:ascii="Arial"/>
                <w:sz w:val="21"/>
              </w:rPr>
            </w:pPr>
          </w:p>
        </w:tc>
        <w:tc>
          <w:tcPr>
            <w:tcW w:w="774" w:type="dxa"/>
            <w:vAlign w:val="top"/>
          </w:tcPr>
          <w:p>
            <w:pPr>
              <w:rPr>
                <w:rFonts w:ascii="Arial"/>
                <w:sz w:val="21"/>
              </w:rPr>
            </w:pPr>
          </w:p>
        </w:tc>
        <w:tc>
          <w:tcPr>
            <w:tcW w:w="1351" w:type="dxa"/>
            <w:vAlign w:val="top"/>
          </w:tcPr>
          <w:p>
            <w:pPr>
              <w:rPr>
                <w:rFonts w:ascii="Arial"/>
                <w:sz w:val="21"/>
              </w:rPr>
            </w:pPr>
          </w:p>
        </w:tc>
        <w:tc>
          <w:tcPr>
            <w:tcW w:w="1417" w:type="dxa"/>
            <w:vAlign w:val="top"/>
          </w:tcPr>
          <w:p>
            <w:pPr>
              <w:rPr>
                <w:rFonts w:ascii="Arial"/>
                <w:sz w:val="21"/>
              </w:rPr>
            </w:pPr>
          </w:p>
        </w:tc>
        <w:tc>
          <w:tcPr>
            <w:tcW w:w="1705"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9" w:hRule="atLeast"/>
        </w:trPr>
        <w:tc>
          <w:tcPr>
            <w:tcW w:w="997" w:type="dxa"/>
            <w:vAlign w:val="top"/>
          </w:tcPr>
          <w:p>
            <w:pPr>
              <w:rPr>
                <w:rFonts w:ascii="Arial"/>
                <w:sz w:val="21"/>
              </w:rPr>
            </w:pPr>
          </w:p>
        </w:tc>
        <w:tc>
          <w:tcPr>
            <w:tcW w:w="1983" w:type="dxa"/>
            <w:vAlign w:val="top"/>
          </w:tcPr>
          <w:p>
            <w:pPr>
              <w:rPr>
                <w:rFonts w:ascii="Arial"/>
                <w:sz w:val="21"/>
              </w:rPr>
            </w:pPr>
          </w:p>
        </w:tc>
        <w:tc>
          <w:tcPr>
            <w:tcW w:w="850" w:type="dxa"/>
            <w:vAlign w:val="top"/>
          </w:tcPr>
          <w:p>
            <w:pPr>
              <w:rPr>
                <w:rFonts w:ascii="Arial"/>
                <w:sz w:val="21"/>
              </w:rPr>
            </w:pPr>
          </w:p>
        </w:tc>
        <w:tc>
          <w:tcPr>
            <w:tcW w:w="774" w:type="dxa"/>
            <w:vAlign w:val="top"/>
          </w:tcPr>
          <w:p>
            <w:pPr>
              <w:rPr>
                <w:rFonts w:ascii="Arial"/>
                <w:sz w:val="21"/>
              </w:rPr>
            </w:pPr>
          </w:p>
        </w:tc>
        <w:tc>
          <w:tcPr>
            <w:tcW w:w="1351" w:type="dxa"/>
            <w:vAlign w:val="top"/>
          </w:tcPr>
          <w:p>
            <w:pPr>
              <w:rPr>
                <w:rFonts w:ascii="Arial"/>
                <w:sz w:val="21"/>
              </w:rPr>
            </w:pPr>
          </w:p>
        </w:tc>
        <w:tc>
          <w:tcPr>
            <w:tcW w:w="1417" w:type="dxa"/>
            <w:vAlign w:val="top"/>
          </w:tcPr>
          <w:p>
            <w:pPr>
              <w:rPr>
                <w:rFonts w:ascii="Arial"/>
                <w:sz w:val="21"/>
              </w:rPr>
            </w:pPr>
          </w:p>
        </w:tc>
        <w:tc>
          <w:tcPr>
            <w:tcW w:w="1705"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9" w:hRule="atLeast"/>
        </w:trPr>
        <w:tc>
          <w:tcPr>
            <w:tcW w:w="997" w:type="dxa"/>
            <w:vAlign w:val="top"/>
          </w:tcPr>
          <w:p>
            <w:pPr>
              <w:rPr>
                <w:rFonts w:ascii="Arial"/>
                <w:sz w:val="21"/>
              </w:rPr>
            </w:pPr>
          </w:p>
        </w:tc>
        <w:tc>
          <w:tcPr>
            <w:tcW w:w="1983" w:type="dxa"/>
            <w:vAlign w:val="top"/>
          </w:tcPr>
          <w:p>
            <w:pPr>
              <w:rPr>
                <w:rFonts w:ascii="Arial"/>
                <w:sz w:val="21"/>
              </w:rPr>
            </w:pPr>
          </w:p>
        </w:tc>
        <w:tc>
          <w:tcPr>
            <w:tcW w:w="850" w:type="dxa"/>
            <w:vAlign w:val="top"/>
          </w:tcPr>
          <w:p>
            <w:pPr>
              <w:rPr>
                <w:rFonts w:ascii="Arial"/>
                <w:sz w:val="21"/>
              </w:rPr>
            </w:pPr>
          </w:p>
        </w:tc>
        <w:tc>
          <w:tcPr>
            <w:tcW w:w="774" w:type="dxa"/>
            <w:vAlign w:val="top"/>
          </w:tcPr>
          <w:p>
            <w:pPr>
              <w:rPr>
                <w:rFonts w:ascii="Arial"/>
                <w:sz w:val="21"/>
              </w:rPr>
            </w:pPr>
          </w:p>
        </w:tc>
        <w:tc>
          <w:tcPr>
            <w:tcW w:w="1351" w:type="dxa"/>
            <w:vAlign w:val="top"/>
          </w:tcPr>
          <w:p>
            <w:pPr>
              <w:rPr>
                <w:rFonts w:ascii="Arial"/>
                <w:sz w:val="21"/>
              </w:rPr>
            </w:pPr>
          </w:p>
        </w:tc>
        <w:tc>
          <w:tcPr>
            <w:tcW w:w="1417" w:type="dxa"/>
            <w:vAlign w:val="top"/>
          </w:tcPr>
          <w:p>
            <w:pPr>
              <w:rPr>
                <w:rFonts w:ascii="Arial"/>
                <w:sz w:val="21"/>
              </w:rPr>
            </w:pPr>
          </w:p>
        </w:tc>
        <w:tc>
          <w:tcPr>
            <w:tcW w:w="1705"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9" w:hRule="atLeast"/>
        </w:trPr>
        <w:tc>
          <w:tcPr>
            <w:tcW w:w="997" w:type="dxa"/>
            <w:vAlign w:val="top"/>
          </w:tcPr>
          <w:p>
            <w:pPr>
              <w:rPr>
                <w:rFonts w:ascii="Arial"/>
                <w:sz w:val="21"/>
              </w:rPr>
            </w:pPr>
          </w:p>
        </w:tc>
        <w:tc>
          <w:tcPr>
            <w:tcW w:w="1983" w:type="dxa"/>
            <w:vAlign w:val="top"/>
          </w:tcPr>
          <w:p>
            <w:pPr>
              <w:rPr>
                <w:rFonts w:ascii="Arial"/>
                <w:sz w:val="21"/>
              </w:rPr>
            </w:pPr>
          </w:p>
        </w:tc>
        <w:tc>
          <w:tcPr>
            <w:tcW w:w="850" w:type="dxa"/>
            <w:vAlign w:val="top"/>
          </w:tcPr>
          <w:p>
            <w:pPr>
              <w:rPr>
                <w:rFonts w:ascii="Arial"/>
                <w:sz w:val="21"/>
              </w:rPr>
            </w:pPr>
          </w:p>
        </w:tc>
        <w:tc>
          <w:tcPr>
            <w:tcW w:w="774" w:type="dxa"/>
            <w:vAlign w:val="top"/>
          </w:tcPr>
          <w:p>
            <w:pPr>
              <w:rPr>
                <w:rFonts w:ascii="Arial"/>
                <w:sz w:val="21"/>
              </w:rPr>
            </w:pPr>
          </w:p>
        </w:tc>
        <w:tc>
          <w:tcPr>
            <w:tcW w:w="1351" w:type="dxa"/>
            <w:vAlign w:val="top"/>
          </w:tcPr>
          <w:p>
            <w:pPr>
              <w:rPr>
                <w:rFonts w:ascii="Arial"/>
                <w:sz w:val="21"/>
              </w:rPr>
            </w:pPr>
          </w:p>
        </w:tc>
        <w:tc>
          <w:tcPr>
            <w:tcW w:w="1417" w:type="dxa"/>
            <w:vAlign w:val="top"/>
          </w:tcPr>
          <w:p>
            <w:pPr>
              <w:rPr>
                <w:rFonts w:ascii="Arial"/>
                <w:sz w:val="21"/>
              </w:rPr>
            </w:pPr>
          </w:p>
        </w:tc>
        <w:tc>
          <w:tcPr>
            <w:tcW w:w="1705" w:type="dxa"/>
            <w:vAlign w:val="top"/>
          </w:tcPr>
          <w:p>
            <w:pPr>
              <w:rPr>
                <w:rFonts w:ascii="Arial"/>
                <w:sz w:val="21"/>
              </w:rPr>
            </w:pPr>
          </w:p>
        </w:tc>
      </w:tr>
    </w:tbl>
    <w:p>
      <w:pPr>
        <w:pStyle w:val="4"/>
        <w:numPr>
          <w:ilvl w:val="0"/>
          <w:numId w:val="0"/>
        </w:numPr>
        <w:jc w:val="center"/>
        <w:rPr>
          <w:rFonts w:hint="eastAsia" w:ascii="宋体" w:hAnsi="宋体" w:eastAsia="宋体" w:cs="宋体"/>
          <w:b/>
          <w:color w:val="auto"/>
          <w:spacing w:val="-20"/>
          <w:sz w:val="32"/>
          <w:szCs w:val="24"/>
          <w:lang w:eastAsia="zh-CN"/>
        </w:rPr>
        <w:sectPr>
          <w:headerReference r:id="rId26" w:type="default"/>
          <w:footerReference r:id="rId27" w:type="default"/>
          <w:pgSz w:w="11906" w:h="16838"/>
          <w:pgMar w:top="1440" w:right="1242" w:bottom="1440" w:left="1502" w:header="851" w:footer="992" w:gutter="0"/>
          <w:pgNumType w:fmt="numberInDash"/>
          <w:cols w:space="720" w:num="1"/>
          <w:docGrid w:linePitch="312" w:charSpace="0"/>
        </w:sectPr>
      </w:pPr>
    </w:p>
    <w:p>
      <w:pPr>
        <w:pStyle w:val="4"/>
        <w:numPr>
          <w:ilvl w:val="0"/>
          <w:numId w:val="0"/>
        </w:numPr>
        <w:jc w:val="center"/>
        <w:rPr>
          <w:rFonts w:hint="eastAsia" w:ascii="宋体" w:hAnsi="宋体" w:eastAsia="宋体" w:cs="宋体"/>
          <w:b/>
          <w:color w:val="auto"/>
          <w:spacing w:val="-20"/>
          <w:sz w:val="32"/>
          <w:szCs w:val="24"/>
        </w:rPr>
      </w:pPr>
      <w:r>
        <w:rPr>
          <w:rFonts w:hint="eastAsia" w:ascii="宋体" w:hAnsi="宋体" w:eastAsia="宋体" w:cs="宋体"/>
          <w:b/>
          <w:color w:val="auto"/>
          <w:spacing w:val="-20"/>
          <w:sz w:val="32"/>
          <w:szCs w:val="24"/>
          <w:lang w:eastAsia="zh-CN"/>
        </w:rPr>
        <w:t>第六章</w:t>
      </w:r>
      <w:r>
        <w:rPr>
          <w:rFonts w:hint="eastAsia" w:ascii="宋体" w:hAnsi="宋体" w:eastAsia="宋体" w:cs="宋体"/>
          <w:b/>
          <w:color w:val="auto"/>
          <w:spacing w:val="-20"/>
          <w:sz w:val="32"/>
          <w:szCs w:val="24"/>
          <w:lang w:val="en-US" w:eastAsia="zh-CN"/>
        </w:rPr>
        <w:t xml:space="preserve">    </w:t>
      </w:r>
      <w:r>
        <w:rPr>
          <w:rFonts w:hint="eastAsia" w:ascii="宋体" w:hAnsi="宋体" w:eastAsia="宋体" w:cs="宋体"/>
          <w:b/>
          <w:color w:val="auto"/>
          <w:spacing w:val="-20"/>
          <w:sz w:val="32"/>
          <w:szCs w:val="24"/>
        </w:rPr>
        <w:t>响应文件格式及构成</w:t>
      </w:r>
      <w:bookmarkEnd w:id="19"/>
    </w:p>
    <w:p>
      <w:pPr>
        <w:rPr>
          <w:rFonts w:hint="eastAsia" w:ascii="宋体" w:hAnsi="宋体" w:eastAsia="宋体" w:cs="宋体"/>
          <w:color w:val="auto"/>
          <w:sz w:val="24"/>
        </w:rPr>
      </w:pPr>
    </w:p>
    <w:p>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1、响应文件格式由本章目录所列第1部分至第10部分构成。</w:t>
      </w:r>
    </w:p>
    <w:p>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2、供应商应认真审阅本章内容，并参照格式要求编制响应文件。凡未按格式要求编制响应文件而造成的不利后果，由供应商自行承担。</w:t>
      </w:r>
    </w:p>
    <w:p>
      <w:pPr>
        <w:spacing w:line="360" w:lineRule="auto"/>
        <w:ind w:firstLine="480" w:firstLineChars="200"/>
        <w:rPr>
          <w:rFonts w:hint="eastAsia" w:ascii="宋体" w:hAnsi="宋体" w:eastAsia="宋体" w:cs="宋体"/>
          <w:bCs/>
          <w:color w:val="auto"/>
          <w:sz w:val="24"/>
        </w:rPr>
      </w:pPr>
      <w:r>
        <w:rPr>
          <w:rFonts w:hint="eastAsia" w:ascii="宋体" w:hAnsi="宋体" w:eastAsia="宋体" w:cs="宋体"/>
          <w:color w:val="auto"/>
          <w:sz w:val="24"/>
        </w:rPr>
        <w:t>3、响应文件的正、副本必须按照要求编制，</w:t>
      </w:r>
      <w:r>
        <w:rPr>
          <w:rFonts w:hint="eastAsia" w:ascii="宋体" w:hAnsi="宋体" w:eastAsia="宋体" w:cs="宋体"/>
          <w:bCs/>
          <w:color w:val="auto"/>
          <w:sz w:val="24"/>
        </w:rPr>
        <w:t>凡正、副本不相符的，以正本为准。</w:t>
      </w:r>
    </w:p>
    <w:p>
      <w:pPr>
        <w:spacing w:line="360" w:lineRule="auto"/>
        <w:jc w:val="left"/>
        <w:rPr>
          <w:rFonts w:hint="eastAsia" w:ascii="宋体" w:hAnsi="宋体" w:eastAsia="宋体" w:cs="宋体"/>
          <w:color w:val="auto"/>
          <w:sz w:val="24"/>
        </w:rPr>
      </w:pPr>
    </w:p>
    <w:p>
      <w:pPr>
        <w:jc w:val="center"/>
        <w:rPr>
          <w:rFonts w:hint="eastAsia" w:ascii="宋体" w:hAnsi="宋体" w:eastAsia="宋体" w:cs="宋体"/>
          <w:b/>
          <w:bCs/>
          <w:color w:val="auto"/>
          <w:sz w:val="24"/>
          <w:lang w:val="en-US" w:eastAsia="zh-CN"/>
        </w:rPr>
      </w:pPr>
      <w:r>
        <w:rPr>
          <w:rFonts w:hint="eastAsia" w:ascii="宋体" w:hAnsi="宋体" w:eastAsia="宋体" w:cs="宋体"/>
          <w:b/>
          <w:bCs/>
          <w:color w:val="auto"/>
          <w:sz w:val="24"/>
        </w:rPr>
        <w:t>磋商响应文件封袋样式</w:t>
      </w:r>
      <w:r>
        <w:rPr>
          <w:rFonts w:hint="eastAsia" w:ascii="宋体" w:hAnsi="宋体" w:eastAsia="宋体" w:cs="宋体"/>
          <w:b/>
          <w:bCs/>
          <w:color w:val="auto"/>
          <w:sz w:val="24"/>
          <w:lang w:val="en-US" w:eastAsia="zh-CN"/>
        </w:rPr>
        <w:t>I</w:t>
      </w:r>
    </w:p>
    <w:p>
      <w:pPr>
        <w:pStyle w:val="13"/>
        <w:rPr>
          <w:rFonts w:hint="eastAsia" w:ascii="宋体" w:hAnsi="宋体" w:eastAsia="宋体" w:cs="宋体"/>
          <w:b/>
          <w:bCs/>
          <w:color w:val="auto"/>
          <w:sz w:val="24"/>
          <w:szCs w:val="32"/>
          <w:highlight w:val="none"/>
        </w:rPr>
      </w:pPr>
      <w:r>
        <w:rPr>
          <w:rFonts w:hint="eastAsia" w:ascii="宋体" w:hAnsi="宋体" w:eastAsia="宋体" w:cs="宋体"/>
          <w:b/>
          <w:bCs/>
          <w:color w:val="auto"/>
          <w:sz w:val="24"/>
          <w:szCs w:val="32"/>
          <w:highlight w:val="none"/>
        </w:rPr>
        <w:t>格式A</w:t>
      </w:r>
    </w:p>
    <w:p>
      <w:pPr>
        <w:pStyle w:val="13"/>
        <w:rPr>
          <w:rFonts w:hint="eastAsia" w:ascii="宋体" w:hAnsi="宋体" w:eastAsia="宋体" w:cs="宋体"/>
          <w:color w:val="auto"/>
          <w:sz w:val="22"/>
          <w:szCs w:val="22"/>
        </w:rPr>
      </w:pPr>
      <w:r>
        <w:rPr>
          <w:rFonts w:hint="eastAsia" w:ascii="宋体" w:hAnsi="宋体" w:eastAsia="宋体" w:cs="宋体"/>
          <w:b/>
          <w:bCs/>
          <w:color w:val="auto"/>
          <w:sz w:val="24"/>
          <w:szCs w:val="32"/>
          <w:highlight w:val="none"/>
          <w:lang w:eastAsia="zh-CN"/>
        </w:rPr>
        <w:t>磋商</w:t>
      </w:r>
      <w:r>
        <w:rPr>
          <w:rFonts w:hint="eastAsia" w:ascii="宋体" w:hAnsi="宋体" w:eastAsia="宋体" w:cs="宋体"/>
          <w:b/>
          <w:bCs/>
          <w:color w:val="auto"/>
          <w:sz w:val="24"/>
          <w:szCs w:val="32"/>
          <w:highlight w:val="none"/>
        </w:rPr>
        <w:t>响应文件正面标识式样</w:t>
      </w:r>
    </w:p>
    <w:p>
      <w:pPr>
        <w:spacing w:line="360" w:lineRule="auto"/>
        <w:jc w:val="center"/>
        <w:rPr>
          <w:rFonts w:hint="eastAsia" w:ascii="宋体" w:hAnsi="宋体" w:eastAsia="宋体" w:cs="宋体"/>
          <w:color w:val="auto"/>
          <w:sz w:val="24"/>
        </w:rPr>
      </w:pPr>
      <w:r>
        <w:rPr>
          <w:rFonts w:hint="eastAsia" w:ascii="宋体" w:hAnsi="宋体" w:eastAsia="宋体" w:cs="宋体"/>
          <w:color w:val="auto"/>
          <w:sz w:val="24"/>
        </w:rPr>
        <mc:AlternateContent>
          <mc:Choice Requires="wps">
            <w:drawing>
              <wp:anchor distT="0" distB="0" distL="114300" distR="114300" simplePos="0" relativeHeight="251659264" behindDoc="0" locked="0" layoutInCell="1" allowOverlap="1">
                <wp:simplePos x="0" y="0"/>
                <wp:positionH relativeFrom="column">
                  <wp:posOffset>74295</wp:posOffset>
                </wp:positionH>
                <wp:positionV relativeFrom="paragraph">
                  <wp:posOffset>160655</wp:posOffset>
                </wp:positionV>
                <wp:extent cx="5422900" cy="5981065"/>
                <wp:effectExtent l="6350" t="6350" r="19050" b="13335"/>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5422900" cy="5981065"/>
                        </a:xfrm>
                        <a:prstGeom prst="rect">
                          <a:avLst/>
                        </a:prstGeom>
                        <a:solidFill>
                          <a:srgbClr val="FFFFFF"/>
                        </a:solidFill>
                        <a:ln w="12700">
                          <a:solidFill>
                            <a:srgbClr val="000000"/>
                          </a:solidFill>
                          <a:round/>
                        </a:ln>
                      </wps:spPr>
                      <wps:txbx>
                        <w:txbxContent>
                          <w:p>
                            <w:pPr>
                              <w:spacing w:line="360" w:lineRule="auto"/>
                              <w:rPr>
                                <w:rFonts w:hint="eastAsia" w:ascii="宋体" w:hAnsi="宋体" w:eastAsia="宋体" w:cs="宋体"/>
                                <w:sz w:val="28"/>
                                <w:lang w:eastAsia="zh-CN"/>
                              </w:rPr>
                            </w:pPr>
                            <w:r>
                              <w:rPr>
                                <w:rFonts w:hint="eastAsia" w:ascii="宋体" w:hAnsi="宋体" w:eastAsia="宋体" w:cs="宋体"/>
                                <w:sz w:val="28"/>
                              </w:rPr>
                              <w:t>致：</w:t>
                            </w:r>
                            <w:r>
                              <w:rPr>
                                <w:rFonts w:hint="eastAsia" w:ascii="宋体" w:hAnsi="宋体" w:eastAsia="宋体" w:cs="宋体"/>
                                <w:sz w:val="28"/>
                                <w:lang w:eastAsia="zh-CN"/>
                              </w:rPr>
                              <w:t>陕西华兴工程咨询有限公司</w:t>
                            </w:r>
                          </w:p>
                          <w:p>
                            <w:pPr>
                              <w:spacing w:line="360" w:lineRule="auto"/>
                              <w:rPr>
                                <w:rFonts w:hint="eastAsia" w:ascii="宋体" w:hAnsi="宋体" w:eastAsia="宋体" w:cs="宋体"/>
                                <w:color w:val="C00000"/>
                                <w:sz w:val="28"/>
                                <w:lang w:eastAsia="zh-CN"/>
                              </w:rPr>
                            </w:pPr>
                            <w:r>
                              <w:rPr>
                                <w:rFonts w:hint="eastAsia" w:ascii="宋体" w:hAnsi="宋体" w:eastAsia="宋体" w:cs="宋体"/>
                                <w:sz w:val="28"/>
                              </w:rPr>
                              <w:t>采购项目</w:t>
                            </w:r>
                            <w:r>
                              <w:rPr>
                                <w:rFonts w:hint="eastAsia" w:ascii="宋体" w:hAnsi="宋体" w:eastAsia="宋体" w:cs="宋体"/>
                                <w:color w:val="auto"/>
                                <w:sz w:val="28"/>
                              </w:rPr>
                              <w:t>编号：</w:t>
                            </w:r>
                          </w:p>
                          <w:p>
                            <w:pPr>
                              <w:spacing w:line="360" w:lineRule="auto"/>
                              <w:rPr>
                                <w:rFonts w:hint="eastAsia" w:ascii="宋体" w:hAnsi="宋体" w:eastAsia="宋体" w:cs="宋体"/>
                                <w:sz w:val="28"/>
                              </w:rPr>
                            </w:pPr>
                          </w:p>
                          <w:p>
                            <w:pPr>
                              <w:spacing w:line="360" w:lineRule="auto"/>
                              <w:jc w:val="center"/>
                              <w:rPr>
                                <w:rFonts w:hint="eastAsia" w:ascii="宋体" w:hAnsi="宋体" w:eastAsia="宋体" w:cs="宋体"/>
                                <w:sz w:val="28"/>
                                <w:u w:val="single"/>
                                <w:lang w:val="en-US" w:eastAsia="zh-CN"/>
                              </w:rPr>
                            </w:pPr>
                            <w:r>
                              <w:rPr>
                                <w:rFonts w:hint="eastAsia" w:ascii="宋体" w:hAnsi="宋体" w:cs="宋体"/>
                                <w:sz w:val="28"/>
                                <w:u w:val="single"/>
                                <w:lang w:val="en-US" w:eastAsia="zh-CN"/>
                              </w:rPr>
                              <w:t>汉中市南郑区“四改一拆一通一落地”-汉山街道办高庄村背街小巷硬化工程</w:t>
                            </w:r>
                          </w:p>
                          <w:p>
                            <w:pPr>
                              <w:spacing w:line="360" w:lineRule="auto"/>
                              <w:jc w:val="center"/>
                              <w:rPr>
                                <w:rFonts w:hint="eastAsia" w:ascii="宋体" w:hAnsi="宋体" w:eastAsia="宋体" w:cs="宋体"/>
                                <w:sz w:val="28"/>
                              </w:rPr>
                            </w:pPr>
                            <w:r>
                              <w:rPr>
                                <w:rFonts w:hint="eastAsia" w:ascii="宋体" w:hAnsi="宋体" w:eastAsia="宋体" w:cs="宋体"/>
                                <w:sz w:val="28"/>
                              </w:rPr>
                              <w:t>（项目名称）</w:t>
                            </w:r>
                          </w:p>
                          <w:p>
                            <w:pPr>
                              <w:spacing w:line="360" w:lineRule="auto"/>
                              <w:rPr>
                                <w:rFonts w:hint="eastAsia" w:ascii="宋体" w:hAnsi="宋体" w:eastAsia="宋体" w:cs="宋体"/>
                                <w:sz w:val="28"/>
                              </w:rPr>
                            </w:pPr>
                          </w:p>
                          <w:p>
                            <w:pPr>
                              <w:spacing w:line="360" w:lineRule="auto"/>
                              <w:jc w:val="center"/>
                              <w:rPr>
                                <w:rFonts w:hint="eastAsia" w:ascii="宋体" w:hAnsi="宋体" w:eastAsia="宋体" w:cs="宋体"/>
                                <w:sz w:val="28"/>
                              </w:rPr>
                            </w:pPr>
                            <w:r>
                              <w:rPr>
                                <w:rFonts w:hint="eastAsia" w:ascii="宋体" w:hAnsi="宋体" w:eastAsia="宋体" w:cs="宋体"/>
                                <w:sz w:val="28"/>
                              </w:rPr>
                              <w:t>竞争性</w:t>
                            </w:r>
                            <w:r>
                              <w:rPr>
                                <w:rFonts w:hint="eastAsia" w:ascii="宋体" w:hAnsi="宋体" w:eastAsia="宋体" w:cs="宋体"/>
                                <w:sz w:val="28"/>
                                <w:lang w:eastAsia="zh-CN"/>
                              </w:rPr>
                              <w:t>磋商</w:t>
                            </w:r>
                            <w:r>
                              <w:rPr>
                                <w:rFonts w:hint="eastAsia" w:ascii="宋体" w:hAnsi="宋体" w:eastAsia="宋体" w:cs="宋体"/>
                                <w:sz w:val="28"/>
                              </w:rPr>
                              <w:t>响应文件（正本或副本）</w:t>
                            </w:r>
                          </w:p>
                          <w:p>
                            <w:pPr>
                              <w:spacing w:line="360" w:lineRule="auto"/>
                              <w:jc w:val="center"/>
                              <w:rPr>
                                <w:rFonts w:hint="eastAsia" w:ascii="宋体" w:hAnsi="宋体" w:eastAsia="宋体" w:cs="宋体"/>
                                <w:sz w:val="28"/>
                              </w:rPr>
                            </w:pPr>
                            <w:r>
                              <w:rPr>
                                <w:rFonts w:hint="eastAsia" w:ascii="宋体" w:hAnsi="宋体" w:eastAsia="宋体" w:cs="宋体"/>
                                <w:sz w:val="28"/>
                              </w:rPr>
                              <w:t>（非</w:t>
                            </w:r>
                            <w:r>
                              <w:rPr>
                                <w:rFonts w:hint="eastAsia" w:ascii="宋体" w:hAnsi="宋体" w:eastAsia="宋体" w:cs="宋体"/>
                                <w:sz w:val="28"/>
                                <w:lang w:eastAsia="zh-CN"/>
                              </w:rPr>
                              <w:t>磋商</w:t>
                            </w:r>
                            <w:r>
                              <w:rPr>
                                <w:rFonts w:hint="eastAsia" w:ascii="宋体" w:hAnsi="宋体" w:eastAsia="宋体" w:cs="宋体"/>
                                <w:sz w:val="28"/>
                              </w:rPr>
                              <w:t>大会不得启封）</w:t>
                            </w:r>
                          </w:p>
                          <w:p>
                            <w:pPr>
                              <w:spacing w:line="360" w:lineRule="auto"/>
                              <w:rPr>
                                <w:rFonts w:hint="eastAsia" w:ascii="宋体" w:hAnsi="宋体" w:eastAsia="宋体" w:cs="宋体"/>
                                <w:sz w:val="28"/>
                              </w:rPr>
                            </w:pPr>
                          </w:p>
                          <w:p>
                            <w:pPr>
                              <w:keepNext w:val="0"/>
                              <w:keepLines w:val="0"/>
                              <w:pageBreakBefore w:val="0"/>
                              <w:widowControl w:val="0"/>
                              <w:kinsoku/>
                              <w:wordWrap/>
                              <w:overflowPunct/>
                              <w:topLinePunct w:val="0"/>
                              <w:autoSpaceDE/>
                              <w:autoSpaceDN/>
                              <w:bidi w:val="0"/>
                              <w:adjustRightInd/>
                              <w:snapToGrid/>
                              <w:spacing w:line="288" w:lineRule="auto"/>
                              <w:textAlignment w:val="auto"/>
                              <w:rPr>
                                <w:rFonts w:hint="eastAsia" w:ascii="宋体" w:hAnsi="宋体" w:eastAsia="宋体" w:cs="宋体"/>
                                <w:sz w:val="28"/>
                              </w:rPr>
                            </w:pPr>
                            <w:r>
                              <w:rPr>
                                <w:rFonts w:hint="eastAsia" w:ascii="宋体" w:hAnsi="宋体" w:eastAsia="宋体" w:cs="宋体"/>
                                <w:sz w:val="28"/>
                              </w:rPr>
                              <w:t>供应商名称：（法人公章及法定代表人印章）</w:t>
                            </w:r>
                          </w:p>
                          <w:p>
                            <w:pPr>
                              <w:pStyle w:val="13"/>
                              <w:keepNext w:val="0"/>
                              <w:keepLines w:val="0"/>
                              <w:pageBreakBefore w:val="0"/>
                              <w:widowControl w:val="0"/>
                              <w:kinsoku/>
                              <w:wordWrap/>
                              <w:overflowPunct/>
                              <w:topLinePunct w:val="0"/>
                              <w:autoSpaceDE/>
                              <w:autoSpaceDN/>
                              <w:bidi w:val="0"/>
                              <w:adjustRightInd/>
                              <w:snapToGrid/>
                              <w:spacing w:line="288" w:lineRule="auto"/>
                              <w:textAlignment w:val="auto"/>
                              <w:rPr>
                                <w:rFonts w:hint="eastAsia" w:ascii="宋体" w:hAnsi="宋体" w:eastAsia="宋体" w:cs="宋体"/>
                              </w:rPr>
                            </w:pPr>
                          </w:p>
                          <w:p>
                            <w:pPr>
                              <w:keepNext w:val="0"/>
                              <w:keepLines w:val="0"/>
                              <w:pageBreakBefore w:val="0"/>
                              <w:widowControl w:val="0"/>
                              <w:kinsoku/>
                              <w:wordWrap/>
                              <w:overflowPunct/>
                              <w:topLinePunct w:val="0"/>
                              <w:autoSpaceDE/>
                              <w:autoSpaceDN/>
                              <w:bidi w:val="0"/>
                              <w:adjustRightInd/>
                              <w:snapToGrid/>
                              <w:spacing w:line="288" w:lineRule="auto"/>
                              <w:textAlignment w:val="auto"/>
                              <w:rPr>
                                <w:rFonts w:hint="eastAsia" w:ascii="宋体" w:hAnsi="宋体" w:eastAsia="宋体" w:cs="宋体"/>
                                <w:sz w:val="28"/>
                                <w:lang w:eastAsia="zh-CN"/>
                              </w:rPr>
                            </w:pPr>
                            <w:r>
                              <w:rPr>
                                <w:rFonts w:hint="eastAsia" w:ascii="宋体" w:hAnsi="宋体" w:eastAsia="宋体" w:cs="宋体"/>
                                <w:sz w:val="28"/>
                              </w:rPr>
                              <w:t>邮编：</w:t>
                            </w:r>
                          </w:p>
                          <w:p>
                            <w:pPr>
                              <w:pStyle w:val="13"/>
                              <w:keepNext w:val="0"/>
                              <w:keepLines w:val="0"/>
                              <w:pageBreakBefore w:val="0"/>
                              <w:widowControl w:val="0"/>
                              <w:kinsoku/>
                              <w:wordWrap/>
                              <w:overflowPunct/>
                              <w:topLinePunct w:val="0"/>
                              <w:autoSpaceDE/>
                              <w:autoSpaceDN/>
                              <w:bidi w:val="0"/>
                              <w:adjustRightInd/>
                              <w:snapToGrid/>
                              <w:spacing w:line="288" w:lineRule="auto"/>
                              <w:textAlignment w:val="auto"/>
                              <w:rPr>
                                <w:rFonts w:hint="eastAsia" w:ascii="宋体" w:hAnsi="宋体" w:eastAsia="宋体" w:cs="宋体"/>
                              </w:rPr>
                            </w:pPr>
                          </w:p>
                          <w:p>
                            <w:pPr>
                              <w:keepNext w:val="0"/>
                              <w:keepLines w:val="0"/>
                              <w:pageBreakBefore w:val="0"/>
                              <w:widowControl w:val="0"/>
                              <w:kinsoku/>
                              <w:wordWrap/>
                              <w:overflowPunct/>
                              <w:topLinePunct w:val="0"/>
                              <w:autoSpaceDE/>
                              <w:autoSpaceDN/>
                              <w:bidi w:val="0"/>
                              <w:adjustRightInd/>
                              <w:snapToGrid/>
                              <w:spacing w:line="288" w:lineRule="auto"/>
                              <w:textAlignment w:val="auto"/>
                              <w:rPr>
                                <w:rFonts w:hint="eastAsia" w:ascii="宋体" w:hAnsi="宋体" w:eastAsia="宋体" w:cs="宋体"/>
                                <w:sz w:val="28"/>
                                <w:lang w:eastAsia="zh-CN"/>
                              </w:rPr>
                            </w:pPr>
                            <w:r>
                              <w:rPr>
                                <w:rFonts w:hint="eastAsia" w:ascii="宋体" w:hAnsi="宋体" w:eastAsia="宋体" w:cs="宋体"/>
                                <w:sz w:val="28"/>
                              </w:rPr>
                              <w:t>通讯地址：</w:t>
                            </w:r>
                          </w:p>
                          <w:p>
                            <w:pPr>
                              <w:pStyle w:val="13"/>
                              <w:keepNext w:val="0"/>
                              <w:keepLines w:val="0"/>
                              <w:pageBreakBefore w:val="0"/>
                              <w:widowControl w:val="0"/>
                              <w:kinsoku/>
                              <w:wordWrap/>
                              <w:overflowPunct/>
                              <w:topLinePunct w:val="0"/>
                              <w:autoSpaceDE/>
                              <w:autoSpaceDN/>
                              <w:bidi w:val="0"/>
                              <w:adjustRightInd/>
                              <w:snapToGrid/>
                              <w:spacing w:line="288" w:lineRule="auto"/>
                              <w:textAlignment w:val="auto"/>
                              <w:rPr>
                                <w:rFonts w:hint="eastAsia" w:ascii="宋体" w:hAnsi="宋体" w:eastAsia="宋体" w:cs="宋体"/>
                              </w:rPr>
                            </w:pPr>
                          </w:p>
                          <w:p>
                            <w:pPr>
                              <w:keepNext w:val="0"/>
                              <w:keepLines w:val="0"/>
                              <w:pageBreakBefore w:val="0"/>
                              <w:widowControl w:val="0"/>
                              <w:kinsoku/>
                              <w:wordWrap/>
                              <w:overflowPunct/>
                              <w:topLinePunct w:val="0"/>
                              <w:autoSpaceDE/>
                              <w:autoSpaceDN/>
                              <w:bidi w:val="0"/>
                              <w:adjustRightInd/>
                              <w:snapToGrid/>
                              <w:spacing w:line="288" w:lineRule="auto"/>
                              <w:textAlignment w:val="auto"/>
                              <w:rPr>
                                <w:rFonts w:hint="eastAsia" w:ascii="宋体" w:hAnsi="宋体" w:eastAsia="宋体" w:cs="宋体"/>
                                <w:sz w:val="28"/>
                                <w:lang w:eastAsia="zh-CN"/>
                              </w:rPr>
                            </w:pPr>
                            <w:r>
                              <w:rPr>
                                <w:rFonts w:hint="eastAsia" w:ascii="宋体" w:hAnsi="宋体" w:eastAsia="宋体" w:cs="宋体"/>
                                <w:sz w:val="28"/>
                              </w:rPr>
                              <w:t>联系人电话：</w:t>
                            </w:r>
                          </w:p>
                          <w:p>
                            <w:pPr>
                              <w:keepNext w:val="0"/>
                              <w:keepLines w:val="0"/>
                              <w:pageBreakBefore w:val="0"/>
                              <w:widowControl w:val="0"/>
                              <w:kinsoku/>
                              <w:wordWrap/>
                              <w:overflowPunct/>
                              <w:topLinePunct w:val="0"/>
                              <w:autoSpaceDE/>
                              <w:autoSpaceDN/>
                              <w:bidi w:val="0"/>
                              <w:adjustRightInd/>
                              <w:snapToGrid/>
                              <w:spacing w:line="288" w:lineRule="auto"/>
                              <w:textAlignment w:val="auto"/>
                              <w:rPr>
                                <w:rFonts w:hint="eastAsia" w:ascii="宋体" w:hAnsi="宋体" w:eastAsia="宋体" w:cs="宋体"/>
                                <w:sz w:val="28"/>
                                <w:lang w:eastAsia="zh-CN"/>
                              </w:rPr>
                            </w:pPr>
                          </w:p>
                          <w:p>
                            <w:pPr>
                              <w:keepNext w:val="0"/>
                              <w:keepLines w:val="0"/>
                              <w:pageBreakBefore w:val="0"/>
                              <w:widowControl w:val="0"/>
                              <w:kinsoku/>
                              <w:wordWrap/>
                              <w:overflowPunct/>
                              <w:topLinePunct w:val="0"/>
                              <w:autoSpaceDE/>
                              <w:autoSpaceDN/>
                              <w:bidi w:val="0"/>
                              <w:adjustRightInd/>
                              <w:snapToGrid/>
                              <w:spacing w:line="288" w:lineRule="auto"/>
                              <w:textAlignment w:val="auto"/>
                              <w:rPr>
                                <w:rFonts w:hint="eastAsia" w:ascii="宋体" w:hAnsi="宋体" w:eastAsia="宋体" w:cs="宋体"/>
                                <w:sz w:val="28"/>
                                <w:lang w:eastAsia="zh-CN"/>
                              </w:rPr>
                            </w:pPr>
                            <w:r>
                              <w:rPr>
                                <w:rFonts w:hint="eastAsia" w:ascii="宋体" w:hAnsi="宋体" w:eastAsia="宋体" w:cs="宋体"/>
                                <w:sz w:val="28"/>
                                <w:lang w:eastAsia="zh-CN"/>
                              </w:rPr>
                              <w:t>日期</w:t>
                            </w:r>
                            <w:r>
                              <w:rPr>
                                <w:rFonts w:hint="eastAsia" w:ascii="宋体" w:hAnsi="宋体" w:cs="宋体"/>
                                <w:sz w:val="28"/>
                                <w:lang w:eastAsia="zh-CN"/>
                              </w:rPr>
                              <w:t>：</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5.85pt;margin-top:12.65pt;height:470.95pt;width:427pt;z-index:251659264;mso-width-relative:page;mso-height-relative:page;" fillcolor="#FFFFFF" filled="t" stroked="t" coordsize="21600,21600" o:gfxdata="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AAAAABkcnMvUEsBAhQAFAAAAAgAh07iQCXxB+nbAAAACQEAAA8AAAAAAAAAAQAgAAAAIgAAAGRy&#10;cy9kb3ducmV2LnhtbFBLAQIUABQAAAAIAIdO4kA9vokyOwIAAHwEAAAOAAAAAAAAAAEAIAAAACoB&#10;AABkcnMvZTJvRG9jLnhtbFBLBQYAAAAABgAGAFkBAADXBQAAAAA=&#10;">
                <v:fill on="t" focussize="0,0"/>
                <v:stroke weight="1pt" color="#000000" joinstyle="round"/>
                <v:imagedata o:title=""/>
                <o:lock v:ext="edit" aspectratio="f"/>
                <v:textbox>
                  <w:txbxContent>
                    <w:p>
                      <w:pPr>
                        <w:spacing w:line="360" w:lineRule="auto"/>
                        <w:rPr>
                          <w:rFonts w:hint="eastAsia" w:ascii="宋体" w:hAnsi="宋体" w:eastAsia="宋体" w:cs="宋体"/>
                          <w:sz w:val="28"/>
                          <w:lang w:eastAsia="zh-CN"/>
                        </w:rPr>
                      </w:pPr>
                      <w:r>
                        <w:rPr>
                          <w:rFonts w:hint="eastAsia" w:ascii="宋体" w:hAnsi="宋体" w:eastAsia="宋体" w:cs="宋体"/>
                          <w:sz w:val="28"/>
                        </w:rPr>
                        <w:t>致：</w:t>
                      </w:r>
                      <w:r>
                        <w:rPr>
                          <w:rFonts w:hint="eastAsia" w:ascii="宋体" w:hAnsi="宋体" w:eastAsia="宋体" w:cs="宋体"/>
                          <w:sz w:val="28"/>
                          <w:lang w:eastAsia="zh-CN"/>
                        </w:rPr>
                        <w:t>陕西华兴工程咨询有限公司</w:t>
                      </w:r>
                    </w:p>
                    <w:p>
                      <w:pPr>
                        <w:spacing w:line="360" w:lineRule="auto"/>
                        <w:rPr>
                          <w:rFonts w:hint="eastAsia" w:ascii="宋体" w:hAnsi="宋体" w:eastAsia="宋体" w:cs="宋体"/>
                          <w:color w:val="C00000"/>
                          <w:sz w:val="28"/>
                          <w:lang w:eastAsia="zh-CN"/>
                        </w:rPr>
                      </w:pPr>
                      <w:r>
                        <w:rPr>
                          <w:rFonts w:hint="eastAsia" w:ascii="宋体" w:hAnsi="宋体" w:eastAsia="宋体" w:cs="宋体"/>
                          <w:sz w:val="28"/>
                        </w:rPr>
                        <w:t>采购项目</w:t>
                      </w:r>
                      <w:r>
                        <w:rPr>
                          <w:rFonts w:hint="eastAsia" w:ascii="宋体" w:hAnsi="宋体" w:eastAsia="宋体" w:cs="宋体"/>
                          <w:color w:val="auto"/>
                          <w:sz w:val="28"/>
                        </w:rPr>
                        <w:t>编号：</w:t>
                      </w:r>
                    </w:p>
                    <w:p>
                      <w:pPr>
                        <w:spacing w:line="360" w:lineRule="auto"/>
                        <w:rPr>
                          <w:rFonts w:hint="eastAsia" w:ascii="宋体" w:hAnsi="宋体" w:eastAsia="宋体" w:cs="宋体"/>
                          <w:sz w:val="28"/>
                        </w:rPr>
                      </w:pPr>
                    </w:p>
                    <w:p>
                      <w:pPr>
                        <w:spacing w:line="360" w:lineRule="auto"/>
                        <w:jc w:val="center"/>
                        <w:rPr>
                          <w:rFonts w:hint="eastAsia" w:ascii="宋体" w:hAnsi="宋体" w:eastAsia="宋体" w:cs="宋体"/>
                          <w:sz w:val="28"/>
                          <w:u w:val="single"/>
                          <w:lang w:val="en-US" w:eastAsia="zh-CN"/>
                        </w:rPr>
                      </w:pPr>
                      <w:r>
                        <w:rPr>
                          <w:rFonts w:hint="eastAsia" w:ascii="宋体" w:hAnsi="宋体" w:cs="宋体"/>
                          <w:sz w:val="28"/>
                          <w:u w:val="single"/>
                          <w:lang w:val="en-US" w:eastAsia="zh-CN"/>
                        </w:rPr>
                        <w:t>汉中市南郑区“四改一拆一通一落地”-汉山街道办高庄村背街小巷硬化工程</w:t>
                      </w:r>
                    </w:p>
                    <w:p>
                      <w:pPr>
                        <w:spacing w:line="360" w:lineRule="auto"/>
                        <w:jc w:val="center"/>
                        <w:rPr>
                          <w:rFonts w:hint="eastAsia" w:ascii="宋体" w:hAnsi="宋体" w:eastAsia="宋体" w:cs="宋体"/>
                          <w:sz w:val="28"/>
                        </w:rPr>
                      </w:pPr>
                      <w:r>
                        <w:rPr>
                          <w:rFonts w:hint="eastAsia" w:ascii="宋体" w:hAnsi="宋体" w:eastAsia="宋体" w:cs="宋体"/>
                          <w:sz w:val="28"/>
                        </w:rPr>
                        <w:t>（项目名称）</w:t>
                      </w:r>
                    </w:p>
                    <w:p>
                      <w:pPr>
                        <w:spacing w:line="360" w:lineRule="auto"/>
                        <w:rPr>
                          <w:rFonts w:hint="eastAsia" w:ascii="宋体" w:hAnsi="宋体" w:eastAsia="宋体" w:cs="宋体"/>
                          <w:sz w:val="28"/>
                        </w:rPr>
                      </w:pPr>
                    </w:p>
                    <w:p>
                      <w:pPr>
                        <w:spacing w:line="360" w:lineRule="auto"/>
                        <w:jc w:val="center"/>
                        <w:rPr>
                          <w:rFonts w:hint="eastAsia" w:ascii="宋体" w:hAnsi="宋体" w:eastAsia="宋体" w:cs="宋体"/>
                          <w:sz w:val="28"/>
                        </w:rPr>
                      </w:pPr>
                      <w:r>
                        <w:rPr>
                          <w:rFonts w:hint="eastAsia" w:ascii="宋体" w:hAnsi="宋体" w:eastAsia="宋体" w:cs="宋体"/>
                          <w:sz w:val="28"/>
                        </w:rPr>
                        <w:t>竞争性</w:t>
                      </w:r>
                      <w:r>
                        <w:rPr>
                          <w:rFonts w:hint="eastAsia" w:ascii="宋体" w:hAnsi="宋体" w:eastAsia="宋体" w:cs="宋体"/>
                          <w:sz w:val="28"/>
                          <w:lang w:eastAsia="zh-CN"/>
                        </w:rPr>
                        <w:t>磋商</w:t>
                      </w:r>
                      <w:r>
                        <w:rPr>
                          <w:rFonts w:hint="eastAsia" w:ascii="宋体" w:hAnsi="宋体" w:eastAsia="宋体" w:cs="宋体"/>
                          <w:sz w:val="28"/>
                        </w:rPr>
                        <w:t>响应文件（正本或副本）</w:t>
                      </w:r>
                    </w:p>
                    <w:p>
                      <w:pPr>
                        <w:spacing w:line="360" w:lineRule="auto"/>
                        <w:jc w:val="center"/>
                        <w:rPr>
                          <w:rFonts w:hint="eastAsia" w:ascii="宋体" w:hAnsi="宋体" w:eastAsia="宋体" w:cs="宋体"/>
                          <w:sz w:val="28"/>
                        </w:rPr>
                      </w:pPr>
                      <w:r>
                        <w:rPr>
                          <w:rFonts w:hint="eastAsia" w:ascii="宋体" w:hAnsi="宋体" w:eastAsia="宋体" w:cs="宋体"/>
                          <w:sz w:val="28"/>
                        </w:rPr>
                        <w:t>（非</w:t>
                      </w:r>
                      <w:r>
                        <w:rPr>
                          <w:rFonts w:hint="eastAsia" w:ascii="宋体" w:hAnsi="宋体" w:eastAsia="宋体" w:cs="宋体"/>
                          <w:sz w:val="28"/>
                          <w:lang w:eastAsia="zh-CN"/>
                        </w:rPr>
                        <w:t>磋商</w:t>
                      </w:r>
                      <w:r>
                        <w:rPr>
                          <w:rFonts w:hint="eastAsia" w:ascii="宋体" w:hAnsi="宋体" w:eastAsia="宋体" w:cs="宋体"/>
                          <w:sz w:val="28"/>
                        </w:rPr>
                        <w:t>大会不得启封）</w:t>
                      </w:r>
                    </w:p>
                    <w:p>
                      <w:pPr>
                        <w:spacing w:line="360" w:lineRule="auto"/>
                        <w:rPr>
                          <w:rFonts w:hint="eastAsia" w:ascii="宋体" w:hAnsi="宋体" w:eastAsia="宋体" w:cs="宋体"/>
                          <w:sz w:val="28"/>
                        </w:rPr>
                      </w:pPr>
                    </w:p>
                    <w:p>
                      <w:pPr>
                        <w:keepNext w:val="0"/>
                        <w:keepLines w:val="0"/>
                        <w:pageBreakBefore w:val="0"/>
                        <w:widowControl w:val="0"/>
                        <w:kinsoku/>
                        <w:wordWrap/>
                        <w:overflowPunct/>
                        <w:topLinePunct w:val="0"/>
                        <w:autoSpaceDE/>
                        <w:autoSpaceDN/>
                        <w:bidi w:val="0"/>
                        <w:adjustRightInd/>
                        <w:snapToGrid/>
                        <w:spacing w:line="288" w:lineRule="auto"/>
                        <w:textAlignment w:val="auto"/>
                        <w:rPr>
                          <w:rFonts w:hint="eastAsia" w:ascii="宋体" w:hAnsi="宋体" w:eastAsia="宋体" w:cs="宋体"/>
                          <w:sz w:val="28"/>
                        </w:rPr>
                      </w:pPr>
                      <w:r>
                        <w:rPr>
                          <w:rFonts w:hint="eastAsia" w:ascii="宋体" w:hAnsi="宋体" w:eastAsia="宋体" w:cs="宋体"/>
                          <w:sz w:val="28"/>
                        </w:rPr>
                        <w:t>供应商名称：（法人公章及法定代表人印章）</w:t>
                      </w:r>
                    </w:p>
                    <w:p>
                      <w:pPr>
                        <w:pStyle w:val="13"/>
                        <w:keepNext w:val="0"/>
                        <w:keepLines w:val="0"/>
                        <w:pageBreakBefore w:val="0"/>
                        <w:widowControl w:val="0"/>
                        <w:kinsoku/>
                        <w:wordWrap/>
                        <w:overflowPunct/>
                        <w:topLinePunct w:val="0"/>
                        <w:autoSpaceDE/>
                        <w:autoSpaceDN/>
                        <w:bidi w:val="0"/>
                        <w:adjustRightInd/>
                        <w:snapToGrid/>
                        <w:spacing w:line="288" w:lineRule="auto"/>
                        <w:textAlignment w:val="auto"/>
                        <w:rPr>
                          <w:rFonts w:hint="eastAsia" w:ascii="宋体" w:hAnsi="宋体" w:eastAsia="宋体" w:cs="宋体"/>
                        </w:rPr>
                      </w:pPr>
                    </w:p>
                    <w:p>
                      <w:pPr>
                        <w:keepNext w:val="0"/>
                        <w:keepLines w:val="0"/>
                        <w:pageBreakBefore w:val="0"/>
                        <w:widowControl w:val="0"/>
                        <w:kinsoku/>
                        <w:wordWrap/>
                        <w:overflowPunct/>
                        <w:topLinePunct w:val="0"/>
                        <w:autoSpaceDE/>
                        <w:autoSpaceDN/>
                        <w:bidi w:val="0"/>
                        <w:adjustRightInd/>
                        <w:snapToGrid/>
                        <w:spacing w:line="288" w:lineRule="auto"/>
                        <w:textAlignment w:val="auto"/>
                        <w:rPr>
                          <w:rFonts w:hint="eastAsia" w:ascii="宋体" w:hAnsi="宋体" w:eastAsia="宋体" w:cs="宋体"/>
                          <w:sz w:val="28"/>
                          <w:lang w:eastAsia="zh-CN"/>
                        </w:rPr>
                      </w:pPr>
                      <w:r>
                        <w:rPr>
                          <w:rFonts w:hint="eastAsia" w:ascii="宋体" w:hAnsi="宋体" w:eastAsia="宋体" w:cs="宋体"/>
                          <w:sz w:val="28"/>
                        </w:rPr>
                        <w:t>邮编：</w:t>
                      </w:r>
                    </w:p>
                    <w:p>
                      <w:pPr>
                        <w:pStyle w:val="13"/>
                        <w:keepNext w:val="0"/>
                        <w:keepLines w:val="0"/>
                        <w:pageBreakBefore w:val="0"/>
                        <w:widowControl w:val="0"/>
                        <w:kinsoku/>
                        <w:wordWrap/>
                        <w:overflowPunct/>
                        <w:topLinePunct w:val="0"/>
                        <w:autoSpaceDE/>
                        <w:autoSpaceDN/>
                        <w:bidi w:val="0"/>
                        <w:adjustRightInd/>
                        <w:snapToGrid/>
                        <w:spacing w:line="288" w:lineRule="auto"/>
                        <w:textAlignment w:val="auto"/>
                        <w:rPr>
                          <w:rFonts w:hint="eastAsia" w:ascii="宋体" w:hAnsi="宋体" w:eastAsia="宋体" w:cs="宋体"/>
                        </w:rPr>
                      </w:pPr>
                    </w:p>
                    <w:p>
                      <w:pPr>
                        <w:keepNext w:val="0"/>
                        <w:keepLines w:val="0"/>
                        <w:pageBreakBefore w:val="0"/>
                        <w:widowControl w:val="0"/>
                        <w:kinsoku/>
                        <w:wordWrap/>
                        <w:overflowPunct/>
                        <w:topLinePunct w:val="0"/>
                        <w:autoSpaceDE/>
                        <w:autoSpaceDN/>
                        <w:bidi w:val="0"/>
                        <w:adjustRightInd/>
                        <w:snapToGrid/>
                        <w:spacing w:line="288" w:lineRule="auto"/>
                        <w:textAlignment w:val="auto"/>
                        <w:rPr>
                          <w:rFonts w:hint="eastAsia" w:ascii="宋体" w:hAnsi="宋体" w:eastAsia="宋体" w:cs="宋体"/>
                          <w:sz w:val="28"/>
                          <w:lang w:eastAsia="zh-CN"/>
                        </w:rPr>
                      </w:pPr>
                      <w:r>
                        <w:rPr>
                          <w:rFonts w:hint="eastAsia" w:ascii="宋体" w:hAnsi="宋体" w:eastAsia="宋体" w:cs="宋体"/>
                          <w:sz w:val="28"/>
                        </w:rPr>
                        <w:t>通讯地址：</w:t>
                      </w:r>
                    </w:p>
                    <w:p>
                      <w:pPr>
                        <w:pStyle w:val="13"/>
                        <w:keepNext w:val="0"/>
                        <w:keepLines w:val="0"/>
                        <w:pageBreakBefore w:val="0"/>
                        <w:widowControl w:val="0"/>
                        <w:kinsoku/>
                        <w:wordWrap/>
                        <w:overflowPunct/>
                        <w:topLinePunct w:val="0"/>
                        <w:autoSpaceDE/>
                        <w:autoSpaceDN/>
                        <w:bidi w:val="0"/>
                        <w:adjustRightInd/>
                        <w:snapToGrid/>
                        <w:spacing w:line="288" w:lineRule="auto"/>
                        <w:textAlignment w:val="auto"/>
                        <w:rPr>
                          <w:rFonts w:hint="eastAsia" w:ascii="宋体" w:hAnsi="宋体" w:eastAsia="宋体" w:cs="宋体"/>
                        </w:rPr>
                      </w:pPr>
                    </w:p>
                    <w:p>
                      <w:pPr>
                        <w:keepNext w:val="0"/>
                        <w:keepLines w:val="0"/>
                        <w:pageBreakBefore w:val="0"/>
                        <w:widowControl w:val="0"/>
                        <w:kinsoku/>
                        <w:wordWrap/>
                        <w:overflowPunct/>
                        <w:topLinePunct w:val="0"/>
                        <w:autoSpaceDE/>
                        <w:autoSpaceDN/>
                        <w:bidi w:val="0"/>
                        <w:adjustRightInd/>
                        <w:snapToGrid/>
                        <w:spacing w:line="288" w:lineRule="auto"/>
                        <w:textAlignment w:val="auto"/>
                        <w:rPr>
                          <w:rFonts w:hint="eastAsia" w:ascii="宋体" w:hAnsi="宋体" w:eastAsia="宋体" w:cs="宋体"/>
                          <w:sz w:val="28"/>
                          <w:lang w:eastAsia="zh-CN"/>
                        </w:rPr>
                      </w:pPr>
                      <w:r>
                        <w:rPr>
                          <w:rFonts w:hint="eastAsia" w:ascii="宋体" w:hAnsi="宋体" w:eastAsia="宋体" w:cs="宋体"/>
                          <w:sz w:val="28"/>
                        </w:rPr>
                        <w:t>联系人电话：</w:t>
                      </w:r>
                    </w:p>
                    <w:p>
                      <w:pPr>
                        <w:keepNext w:val="0"/>
                        <w:keepLines w:val="0"/>
                        <w:pageBreakBefore w:val="0"/>
                        <w:widowControl w:val="0"/>
                        <w:kinsoku/>
                        <w:wordWrap/>
                        <w:overflowPunct/>
                        <w:topLinePunct w:val="0"/>
                        <w:autoSpaceDE/>
                        <w:autoSpaceDN/>
                        <w:bidi w:val="0"/>
                        <w:adjustRightInd/>
                        <w:snapToGrid/>
                        <w:spacing w:line="288" w:lineRule="auto"/>
                        <w:textAlignment w:val="auto"/>
                        <w:rPr>
                          <w:rFonts w:hint="eastAsia" w:ascii="宋体" w:hAnsi="宋体" w:eastAsia="宋体" w:cs="宋体"/>
                          <w:sz w:val="28"/>
                          <w:lang w:eastAsia="zh-CN"/>
                        </w:rPr>
                      </w:pPr>
                    </w:p>
                    <w:p>
                      <w:pPr>
                        <w:keepNext w:val="0"/>
                        <w:keepLines w:val="0"/>
                        <w:pageBreakBefore w:val="0"/>
                        <w:widowControl w:val="0"/>
                        <w:kinsoku/>
                        <w:wordWrap/>
                        <w:overflowPunct/>
                        <w:topLinePunct w:val="0"/>
                        <w:autoSpaceDE/>
                        <w:autoSpaceDN/>
                        <w:bidi w:val="0"/>
                        <w:adjustRightInd/>
                        <w:snapToGrid/>
                        <w:spacing w:line="288" w:lineRule="auto"/>
                        <w:textAlignment w:val="auto"/>
                        <w:rPr>
                          <w:rFonts w:hint="eastAsia" w:ascii="宋体" w:hAnsi="宋体" w:eastAsia="宋体" w:cs="宋体"/>
                          <w:sz w:val="28"/>
                          <w:lang w:eastAsia="zh-CN"/>
                        </w:rPr>
                      </w:pPr>
                      <w:r>
                        <w:rPr>
                          <w:rFonts w:hint="eastAsia" w:ascii="宋体" w:hAnsi="宋体" w:eastAsia="宋体" w:cs="宋体"/>
                          <w:sz w:val="28"/>
                          <w:lang w:eastAsia="zh-CN"/>
                        </w:rPr>
                        <w:t>日期</w:t>
                      </w:r>
                      <w:r>
                        <w:rPr>
                          <w:rFonts w:hint="eastAsia" w:ascii="宋体" w:hAnsi="宋体" w:cs="宋体"/>
                          <w:sz w:val="28"/>
                          <w:lang w:eastAsia="zh-CN"/>
                        </w:rPr>
                        <w:t>：</w:t>
                      </w:r>
                    </w:p>
                  </w:txbxContent>
                </v:textbox>
              </v:shape>
            </w:pict>
          </mc:Fallback>
        </mc:AlternateContent>
      </w:r>
    </w:p>
    <w:p>
      <w:pPr>
        <w:spacing w:line="360" w:lineRule="auto"/>
        <w:jc w:val="center"/>
        <w:rPr>
          <w:rFonts w:hint="eastAsia" w:ascii="宋体" w:hAnsi="宋体" w:eastAsia="宋体" w:cs="宋体"/>
          <w:color w:val="auto"/>
          <w:sz w:val="24"/>
        </w:rPr>
      </w:pPr>
    </w:p>
    <w:p>
      <w:pPr>
        <w:spacing w:line="360" w:lineRule="auto"/>
        <w:jc w:val="center"/>
        <w:rPr>
          <w:rFonts w:hint="eastAsia" w:ascii="宋体" w:hAnsi="宋体" w:eastAsia="宋体" w:cs="宋体"/>
          <w:color w:val="auto"/>
          <w:sz w:val="24"/>
        </w:rPr>
      </w:pPr>
    </w:p>
    <w:p>
      <w:pPr>
        <w:spacing w:line="360" w:lineRule="auto"/>
        <w:jc w:val="center"/>
        <w:rPr>
          <w:rFonts w:hint="eastAsia" w:ascii="宋体" w:hAnsi="宋体" w:eastAsia="宋体" w:cs="宋体"/>
          <w:color w:val="auto"/>
          <w:sz w:val="24"/>
        </w:rPr>
      </w:pPr>
    </w:p>
    <w:p>
      <w:pPr>
        <w:spacing w:line="360" w:lineRule="auto"/>
        <w:rPr>
          <w:rFonts w:hint="eastAsia" w:ascii="宋体" w:hAnsi="宋体" w:eastAsia="宋体" w:cs="宋体"/>
          <w:color w:val="auto"/>
          <w:sz w:val="24"/>
        </w:rPr>
      </w:pPr>
    </w:p>
    <w:p>
      <w:pPr>
        <w:spacing w:line="360" w:lineRule="auto"/>
        <w:jc w:val="left"/>
        <w:rPr>
          <w:rFonts w:hint="eastAsia" w:ascii="宋体" w:hAnsi="宋体" w:eastAsia="宋体" w:cs="宋体"/>
          <w:color w:val="auto"/>
          <w:sz w:val="24"/>
        </w:rPr>
      </w:pPr>
    </w:p>
    <w:p>
      <w:pPr>
        <w:pStyle w:val="4"/>
        <w:rPr>
          <w:rFonts w:hint="eastAsia" w:ascii="宋体" w:hAnsi="宋体" w:eastAsia="宋体" w:cs="宋体"/>
          <w:color w:val="auto"/>
          <w:sz w:val="24"/>
          <w:szCs w:val="24"/>
          <w:lang w:val="zh-CN"/>
        </w:rPr>
        <w:sectPr>
          <w:footerReference r:id="rId28" w:type="default"/>
          <w:pgSz w:w="11906" w:h="16838"/>
          <w:pgMar w:top="1440" w:right="1242" w:bottom="1440" w:left="1502" w:header="851" w:footer="992" w:gutter="0"/>
          <w:pgNumType w:fmt="numberInDash"/>
          <w:cols w:space="720" w:num="1"/>
          <w:docGrid w:linePitch="312" w:charSpace="0"/>
        </w:sectPr>
      </w:pPr>
      <w:bookmarkStart w:id="20" w:name="_Toc21134_WPSOffice_Level1"/>
      <w:bookmarkStart w:id="21" w:name="_Toc7507165"/>
      <w:bookmarkStart w:id="22" w:name="_Toc476917588"/>
      <w:bookmarkStart w:id="23" w:name="_Toc20761_WPSOffice_Level1"/>
      <w:r>
        <w:rPr>
          <w:rFonts w:hint="eastAsia" w:ascii="宋体" w:hAnsi="宋体" w:eastAsia="宋体" w:cs="宋体"/>
          <w:color w:val="auto"/>
          <w:sz w:val="24"/>
          <w:szCs w:val="24"/>
          <w:lang w:val="zh-CN"/>
        </w:rPr>
        <w:br w:type="page"/>
      </w:r>
    </w:p>
    <w:p>
      <w:pPr>
        <w:jc w:val="center"/>
        <w:rPr>
          <w:rFonts w:hint="eastAsia" w:ascii="宋体" w:hAnsi="宋体" w:eastAsia="宋体" w:cs="宋体"/>
          <w:b/>
          <w:bCs/>
          <w:color w:val="auto"/>
          <w:sz w:val="24"/>
          <w:lang w:val="en-US" w:eastAsia="zh-CN"/>
        </w:rPr>
      </w:pPr>
      <w:r>
        <w:rPr>
          <w:rFonts w:hint="eastAsia" w:ascii="宋体" w:hAnsi="宋体" w:eastAsia="宋体" w:cs="宋体"/>
          <w:b/>
          <w:bCs/>
          <w:color w:val="auto"/>
          <w:sz w:val="24"/>
        </w:rPr>
        <w:t>磋商响应文件封袋样式</w:t>
      </w:r>
      <w:r>
        <w:rPr>
          <w:rFonts w:hint="eastAsia" w:ascii="宋体" w:hAnsi="宋体" w:eastAsia="宋体" w:cs="宋体"/>
          <w:b/>
          <w:bCs/>
          <w:color w:val="auto"/>
          <w:sz w:val="24"/>
          <w:lang w:val="en-US" w:eastAsia="zh-CN"/>
        </w:rPr>
        <w:t>II</w:t>
      </w:r>
    </w:p>
    <w:p>
      <w:pPr>
        <w:pStyle w:val="13"/>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宋体" w:hAnsi="宋体" w:eastAsia="宋体" w:cs="宋体"/>
          <w:b/>
          <w:bCs/>
          <w:color w:val="auto"/>
          <w:sz w:val="24"/>
          <w:szCs w:val="32"/>
          <w:highlight w:val="none"/>
        </w:rPr>
      </w:pPr>
      <w:r>
        <w:rPr>
          <w:rFonts w:hint="eastAsia" w:ascii="宋体" w:hAnsi="宋体" w:eastAsia="宋体" w:cs="宋体"/>
          <w:b/>
          <w:bCs/>
          <w:color w:val="auto"/>
          <w:sz w:val="24"/>
          <w:szCs w:val="32"/>
          <w:highlight w:val="none"/>
        </w:rPr>
        <w:t>格式B</w:t>
      </w:r>
    </w:p>
    <w:p>
      <w:pPr>
        <w:pStyle w:val="13"/>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宋体" w:hAnsi="宋体" w:eastAsia="宋体" w:cs="宋体"/>
          <w:color w:val="auto"/>
          <w:sz w:val="22"/>
          <w:szCs w:val="22"/>
        </w:rPr>
      </w:pPr>
      <w:r>
        <w:rPr>
          <w:rFonts w:hint="eastAsia" w:ascii="宋体" w:hAnsi="宋体" w:eastAsia="宋体" w:cs="宋体"/>
          <w:b/>
          <w:bCs/>
          <w:color w:val="auto"/>
          <w:sz w:val="24"/>
          <w:szCs w:val="32"/>
          <w:highlight w:val="none"/>
          <w:lang w:eastAsia="zh-CN"/>
        </w:rPr>
        <w:t>磋商报价一览表</w:t>
      </w:r>
      <w:r>
        <w:rPr>
          <w:rFonts w:hint="eastAsia" w:ascii="宋体" w:hAnsi="宋体" w:eastAsia="宋体" w:cs="宋体"/>
          <w:b/>
          <w:bCs/>
          <w:color w:val="auto"/>
          <w:sz w:val="24"/>
          <w:szCs w:val="32"/>
          <w:highlight w:val="none"/>
        </w:rPr>
        <w:t>标识式样</w:t>
      </w:r>
    </w:p>
    <w:p>
      <w:pPr>
        <w:spacing w:line="360" w:lineRule="auto"/>
        <w:jc w:val="center"/>
        <w:rPr>
          <w:rFonts w:hint="eastAsia" w:ascii="宋体" w:hAnsi="宋体" w:eastAsia="宋体" w:cs="宋体"/>
          <w:color w:val="auto"/>
          <w:sz w:val="24"/>
        </w:rPr>
      </w:pPr>
      <w:r>
        <w:rPr>
          <w:rFonts w:hint="eastAsia" w:ascii="宋体" w:hAnsi="宋体" w:eastAsia="宋体" w:cs="宋体"/>
          <w:color w:val="auto"/>
          <w:sz w:val="24"/>
        </w:rPr>
        <mc:AlternateContent>
          <mc:Choice Requires="wps">
            <w:drawing>
              <wp:anchor distT="0" distB="0" distL="114300" distR="114300" simplePos="0" relativeHeight="251666432" behindDoc="0" locked="0" layoutInCell="1" allowOverlap="1">
                <wp:simplePos x="0" y="0"/>
                <wp:positionH relativeFrom="column">
                  <wp:posOffset>74295</wp:posOffset>
                </wp:positionH>
                <wp:positionV relativeFrom="paragraph">
                  <wp:posOffset>160655</wp:posOffset>
                </wp:positionV>
                <wp:extent cx="5422900" cy="7496175"/>
                <wp:effectExtent l="6350" t="6350" r="19050" b="22225"/>
                <wp:wrapNone/>
                <wp:docPr id="13" name="文本框 13"/>
                <wp:cNvGraphicFramePr/>
                <a:graphic xmlns:a="http://schemas.openxmlformats.org/drawingml/2006/main">
                  <a:graphicData uri="http://schemas.microsoft.com/office/word/2010/wordprocessingShape">
                    <wps:wsp>
                      <wps:cNvSpPr txBox="1">
                        <a:spLocks noChangeArrowheads="1"/>
                      </wps:cNvSpPr>
                      <wps:spPr bwMode="auto">
                        <a:xfrm>
                          <a:off x="0" y="0"/>
                          <a:ext cx="5422900" cy="7496175"/>
                        </a:xfrm>
                        <a:prstGeom prst="rect">
                          <a:avLst/>
                        </a:prstGeom>
                        <a:solidFill>
                          <a:srgbClr val="FFFFFF"/>
                        </a:solidFill>
                        <a:ln w="12700">
                          <a:solidFill>
                            <a:srgbClr val="000000"/>
                          </a:solidFill>
                          <a:round/>
                        </a:ln>
                      </wps:spPr>
                      <wps:txbx>
                        <w:txbxContent>
                          <w:p>
                            <w:pPr>
                              <w:spacing w:line="360" w:lineRule="auto"/>
                              <w:rPr>
                                <w:rFonts w:hint="eastAsia" w:ascii="宋体" w:hAnsi="宋体" w:eastAsia="宋体" w:cs="宋体"/>
                                <w:sz w:val="28"/>
                                <w:lang w:eastAsia="zh-CN"/>
                              </w:rPr>
                            </w:pPr>
                            <w:r>
                              <w:rPr>
                                <w:rFonts w:hint="eastAsia" w:ascii="宋体" w:hAnsi="宋体" w:eastAsia="宋体" w:cs="宋体"/>
                                <w:sz w:val="28"/>
                              </w:rPr>
                              <w:t>致：</w:t>
                            </w:r>
                            <w:r>
                              <w:rPr>
                                <w:rFonts w:hint="eastAsia" w:ascii="宋体" w:hAnsi="宋体" w:eastAsia="宋体" w:cs="宋体"/>
                                <w:sz w:val="28"/>
                                <w:lang w:eastAsia="zh-CN"/>
                              </w:rPr>
                              <w:t>陕西华兴工程咨询有限公司</w:t>
                            </w:r>
                          </w:p>
                          <w:p>
                            <w:pPr>
                              <w:spacing w:line="360" w:lineRule="auto"/>
                              <w:rPr>
                                <w:rFonts w:hint="eastAsia" w:ascii="宋体" w:hAnsi="宋体" w:eastAsia="宋体" w:cs="宋体"/>
                                <w:color w:val="C00000"/>
                                <w:sz w:val="28"/>
                                <w:lang w:eastAsia="zh-CN"/>
                              </w:rPr>
                            </w:pPr>
                            <w:r>
                              <w:rPr>
                                <w:rFonts w:hint="eastAsia" w:ascii="宋体" w:hAnsi="宋体" w:eastAsia="宋体" w:cs="宋体"/>
                                <w:sz w:val="28"/>
                              </w:rPr>
                              <w:t>采购项目</w:t>
                            </w:r>
                            <w:r>
                              <w:rPr>
                                <w:rFonts w:hint="eastAsia" w:ascii="宋体" w:hAnsi="宋体" w:eastAsia="宋体" w:cs="宋体"/>
                                <w:color w:val="auto"/>
                                <w:sz w:val="28"/>
                              </w:rPr>
                              <w:t>编号：</w:t>
                            </w:r>
                          </w:p>
                          <w:p>
                            <w:pPr>
                              <w:spacing w:line="360" w:lineRule="auto"/>
                              <w:rPr>
                                <w:rFonts w:hint="eastAsia" w:ascii="宋体" w:hAnsi="宋体" w:eastAsia="宋体" w:cs="宋体"/>
                                <w:sz w:val="28"/>
                              </w:rPr>
                            </w:pPr>
                          </w:p>
                          <w:p>
                            <w:pPr>
                              <w:spacing w:line="360" w:lineRule="auto"/>
                              <w:jc w:val="center"/>
                              <w:rPr>
                                <w:rFonts w:hint="eastAsia" w:ascii="宋体" w:hAnsi="宋体" w:eastAsia="宋体" w:cs="宋体"/>
                                <w:sz w:val="28"/>
                                <w:u w:val="single"/>
                                <w:lang w:val="en-US" w:eastAsia="zh-CN"/>
                              </w:rPr>
                            </w:pPr>
                            <w:r>
                              <w:rPr>
                                <w:rFonts w:hint="eastAsia" w:ascii="宋体" w:hAnsi="宋体" w:cs="宋体"/>
                                <w:sz w:val="28"/>
                                <w:u w:val="single"/>
                                <w:lang w:val="en-US" w:eastAsia="zh-CN"/>
                              </w:rPr>
                              <w:t>汉中市南郑区“四改一拆一通一落地”-汉山街道办高庄村背街小巷硬化工程</w:t>
                            </w:r>
                          </w:p>
                          <w:p>
                            <w:pPr>
                              <w:spacing w:line="360" w:lineRule="auto"/>
                              <w:jc w:val="center"/>
                              <w:rPr>
                                <w:rFonts w:hint="eastAsia" w:ascii="宋体" w:hAnsi="宋体" w:eastAsia="宋体" w:cs="宋体"/>
                                <w:sz w:val="28"/>
                              </w:rPr>
                            </w:pPr>
                            <w:r>
                              <w:rPr>
                                <w:rFonts w:hint="eastAsia" w:ascii="宋体" w:hAnsi="宋体" w:eastAsia="宋体" w:cs="宋体"/>
                                <w:sz w:val="28"/>
                              </w:rPr>
                              <w:t>（项目名称）</w:t>
                            </w:r>
                          </w:p>
                          <w:p>
                            <w:pPr>
                              <w:spacing w:line="360" w:lineRule="auto"/>
                              <w:rPr>
                                <w:rFonts w:hint="eastAsia" w:ascii="宋体" w:hAnsi="宋体" w:eastAsia="宋体" w:cs="宋体"/>
                                <w:sz w:val="28"/>
                              </w:rPr>
                            </w:pPr>
                          </w:p>
                          <w:p>
                            <w:pPr>
                              <w:spacing w:line="360" w:lineRule="auto"/>
                              <w:jc w:val="center"/>
                              <w:rPr>
                                <w:rFonts w:hint="eastAsia" w:ascii="宋体" w:hAnsi="宋体" w:eastAsia="宋体" w:cs="宋体"/>
                                <w:sz w:val="28"/>
                              </w:rPr>
                            </w:pPr>
                            <w:r>
                              <w:rPr>
                                <w:rFonts w:hint="eastAsia" w:ascii="宋体" w:hAnsi="宋体" w:eastAsia="宋体" w:cs="宋体"/>
                                <w:sz w:val="28"/>
                              </w:rPr>
                              <w:t>竞争性</w:t>
                            </w:r>
                            <w:r>
                              <w:rPr>
                                <w:rFonts w:hint="eastAsia" w:ascii="宋体" w:hAnsi="宋体" w:eastAsia="宋体" w:cs="宋体"/>
                                <w:sz w:val="28"/>
                                <w:lang w:eastAsia="zh-CN"/>
                              </w:rPr>
                              <w:t>磋商</w:t>
                            </w:r>
                            <w:r>
                              <w:rPr>
                                <w:rFonts w:hint="eastAsia" w:ascii="宋体" w:hAnsi="宋体" w:eastAsia="宋体" w:cs="宋体"/>
                                <w:sz w:val="28"/>
                              </w:rPr>
                              <w:t>响应文件（</w:t>
                            </w:r>
                            <w:r>
                              <w:rPr>
                                <w:rFonts w:hint="eastAsia" w:ascii="宋体" w:hAnsi="宋体" w:eastAsia="宋体" w:cs="宋体"/>
                                <w:sz w:val="28"/>
                                <w:lang w:eastAsia="zh-CN"/>
                              </w:rPr>
                              <w:t>磋商报价一览表</w:t>
                            </w:r>
                            <w:r>
                              <w:rPr>
                                <w:rFonts w:hint="eastAsia" w:ascii="宋体" w:hAnsi="宋体" w:eastAsia="宋体" w:cs="宋体"/>
                                <w:sz w:val="28"/>
                              </w:rPr>
                              <w:t>）</w:t>
                            </w:r>
                          </w:p>
                          <w:p>
                            <w:pPr>
                              <w:spacing w:line="360" w:lineRule="auto"/>
                              <w:jc w:val="center"/>
                              <w:rPr>
                                <w:rFonts w:hint="eastAsia" w:ascii="宋体" w:hAnsi="宋体" w:eastAsia="宋体" w:cs="宋体"/>
                                <w:sz w:val="28"/>
                              </w:rPr>
                            </w:pPr>
                            <w:r>
                              <w:rPr>
                                <w:rFonts w:hint="eastAsia" w:ascii="宋体" w:hAnsi="宋体" w:eastAsia="宋体" w:cs="宋体"/>
                                <w:sz w:val="28"/>
                              </w:rPr>
                              <w:t>（非</w:t>
                            </w:r>
                            <w:r>
                              <w:rPr>
                                <w:rFonts w:hint="eastAsia" w:ascii="宋体" w:hAnsi="宋体" w:eastAsia="宋体" w:cs="宋体"/>
                                <w:sz w:val="28"/>
                                <w:lang w:eastAsia="zh-CN"/>
                              </w:rPr>
                              <w:t>磋商</w:t>
                            </w:r>
                            <w:r>
                              <w:rPr>
                                <w:rFonts w:hint="eastAsia" w:ascii="宋体" w:hAnsi="宋体" w:eastAsia="宋体" w:cs="宋体"/>
                                <w:sz w:val="28"/>
                              </w:rPr>
                              <w:t>大会不得启封）</w:t>
                            </w:r>
                          </w:p>
                          <w:p>
                            <w:pPr>
                              <w:spacing w:line="360" w:lineRule="auto"/>
                              <w:rPr>
                                <w:rFonts w:hint="eastAsia" w:ascii="宋体" w:hAnsi="宋体" w:eastAsia="宋体" w:cs="宋体"/>
                                <w:sz w:val="28"/>
                              </w:rPr>
                            </w:pPr>
                          </w:p>
                          <w:p>
                            <w:pPr>
                              <w:spacing w:line="360" w:lineRule="auto"/>
                              <w:rPr>
                                <w:rFonts w:hint="eastAsia" w:ascii="宋体" w:hAnsi="宋体" w:eastAsia="宋体" w:cs="宋体"/>
                                <w:sz w:val="28"/>
                              </w:rPr>
                            </w:pPr>
                            <w:r>
                              <w:rPr>
                                <w:rFonts w:hint="eastAsia" w:ascii="宋体" w:hAnsi="宋体" w:eastAsia="宋体" w:cs="宋体"/>
                                <w:sz w:val="28"/>
                              </w:rPr>
                              <w:t>供应商名称：（法人公章及法定代表人印章）</w:t>
                            </w:r>
                          </w:p>
                          <w:p>
                            <w:pPr>
                              <w:pStyle w:val="13"/>
                              <w:spacing w:line="360" w:lineRule="auto"/>
                              <w:rPr>
                                <w:rFonts w:hint="eastAsia" w:ascii="宋体" w:hAnsi="宋体" w:eastAsia="宋体" w:cs="宋体"/>
                              </w:rPr>
                            </w:pPr>
                          </w:p>
                          <w:p>
                            <w:pPr>
                              <w:spacing w:line="360" w:lineRule="auto"/>
                              <w:rPr>
                                <w:rFonts w:hint="eastAsia" w:ascii="宋体" w:hAnsi="宋体" w:eastAsia="宋体" w:cs="宋体"/>
                                <w:sz w:val="28"/>
                                <w:lang w:eastAsia="zh-CN"/>
                              </w:rPr>
                            </w:pPr>
                            <w:r>
                              <w:rPr>
                                <w:rFonts w:hint="eastAsia" w:ascii="宋体" w:hAnsi="宋体" w:eastAsia="宋体" w:cs="宋体"/>
                                <w:sz w:val="28"/>
                              </w:rPr>
                              <w:t>邮编：</w:t>
                            </w:r>
                          </w:p>
                          <w:p>
                            <w:pPr>
                              <w:pStyle w:val="13"/>
                              <w:spacing w:line="360" w:lineRule="auto"/>
                              <w:rPr>
                                <w:rFonts w:hint="eastAsia" w:ascii="宋体" w:hAnsi="宋体" w:eastAsia="宋体" w:cs="宋体"/>
                              </w:rPr>
                            </w:pPr>
                          </w:p>
                          <w:p>
                            <w:pPr>
                              <w:spacing w:line="360" w:lineRule="auto"/>
                              <w:rPr>
                                <w:rFonts w:hint="eastAsia" w:ascii="宋体" w:hAnsi="宋体" w:eastAsia="宋体" w:cs="宋体"/>
                                <w:sz w:val="28"/>
                                <w:lang w:eastAsia="zh-CN"/>
                              </w:rPr>
                            </w:pPr>
                            <w:r>
                              <w:rPr>
                                <w:rFonts w:hint="eastAsia" w:ascii="宋体" w:hAnsi="宋体" w:eastAsia="宋体" w:cs="宋体"/>
                                <w:sz w:val="28"/>
                              </w:rPr>
                              <w:t>通讯地址：</w:t>
                            </w:r>
                          </w:p>
                          <w:p>
                            <w:pPr>
                              <w:pStyle w:val="13"/>
                              <w:spacing w:line="360" w:lineRule="auto"/>
                              <w:rPr>
                                <w:rFonts w:hint="eastAsia" w:ascii="宋体" w:hAnsi="宋体" w:eastAsia="宋体" w:cs="宋体"/>
                              </w:rPr>
                            </w:pPr>
                          </w:p>
                          <w:p>
                            <w:pPr>
                              <w:spacing w:line="360" w:lineRule="auto"/>
                              <w:rPr>
                                <w:rFonts w:hint="eastAsia" w:ascii="宋体" w:hAnsi="宋体" w:eastAsia="宋体" w:cs="宋体"/>
                                <w:sz w:val="28"/>
                              </w:rPr>
                            </w:pPr>
                            <w:r>
                              <w:rPr>
                                <w:rFonts w:hint="eastAsia" w:ascii="宋体" w:hAnsi="宋体" w:eastAsia="宋体" w:cs="宋体"/>
                                <w:sz w:val="28"/>
                              </w:rPr>
                              <w:t>联系人电话：</w:t>
                            </w:r>
                          </w:p>
                          <w:p>
                            <w:pPr>
                              <w:spacing w:line="360" w:lineRule="auto"/>
                              <w:rPr>
                                <w:rFonts w:hint="eastAsia" w:ascii="宋体" w:hAnsi="宋体" w:eastAsia="宋体" w:cs="宋体"/>
                                <w:sz w:val="28"/>
                              </w:rPr>
                            </w:pPr>
                          </w:p>
                          <w:p>
                            <w:pPr>
                              <w:spacing w:line="360" w:lineRule="auto"/>
                              <w:rPr>
                                <w:rFonts w:hint="eastAsia" w:ascii="宋体" w:hAnsi="宋体" w:eastAsia="宋体" w:cs="宋体"/>
                                <w:sz w:val="28"/>
                                <w:lang w:eastAsia="zh-CN"/>
                              </w:rPr>
                            </w:pPr>
                            <w:r>
                              <w:rPr>
                                <w:rFonts w:hint="eastAsia" w:ascii="宋体" w:hAnsi="宋体" w:cs="宋体"/>
                                <w:sz w:val="28"/>
                                <w:lang w:eastAsia="zh-CN"/>
                              </w:rPr>
                              <w:t>日期：</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5.85pt;margin-top:12.65pt;height:590.25pt;width:427pt;z-index:251666432;mso-width-relative:page;mso-height-relative:page;" fillcolor="#FFFFFF" filled="t" stroked="t" coordsize="21600,21600" o:gfxdata="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&#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">
                <v:fill on="t" focussize="0,0"/>
                <v:stroke weight="1pt" color="#000000" joinstyle="round"/>
                <v:imagedata o:title=""/>
                <o:lock v:ext="edit" aspectratio="f"/>
                <v:textbox>
                  <w:txbxContent>
                    <w:p>
                      <w:pPr>
                        <w:spacing w:line="360" w:lineRule="auto"/>
                        <w:rPr>
                          <w:rFonts w:hint="eastAsia" w:ascii="宋体" w:hAnsi="宋体" w:eastAsia="宋体" w:cs="宋体"/>
                          <w:sz w:val="28"/>
                          <w:lang w:eastAsia="zh-CN"/>
                        </w:rPr>
                      </w:pPr>
                      <w:r>
                        <w:rPr>
                          <w:rFonts w:hint="eastAsia" w:ascii="宋体" w:hAnsi="宋体" w:eastAsia="宋体" w:cs="宋体"/>
                          <w:sz w:val="28"/>
                        </w:rPr>
                        <w:t>致：</w:t>
                      </w:r>
                      <w:r>
                        <w:rPr>
                          <w:rFonts w:hint="eastAsia" w:ascii="宋体" w:hAnsi="宋体" w:eastAsia="宋体" w:cs="宋体"/>
                          <w:sz w:val="28"/>
                          <w:lang w:eastAsia="zh-CN"/>
                        </w:rPr>
                        <w:t>陕西华兴工程咨询有限公司</w:t>
                      </w:r>
                    </w:p>
                    <w:p>
                      <w:pPr>
                        <w:spacing w:line="360" w:lineRule="auto"/>
                        <w:rPr>
                          <w:rFonts w:hint="eastAsia" w:ascii="宋体" w:hAnsi="宋体" w:eastAsia="宋体" w:cs="宋体"/>
                          <w:color w:val="C00000"/>
                          <w:sz w:val="28"/>
                          <w:lang w:eastAsia="zh-CN"/>
                        </w:rPr>
                      </w:pPr>
                      <w:r>
                        <w:rPr>
                          <w:rFonts w:hint="eastAsia" w:ascii="宋体" w:hAnsi="宋体" w:eastAsia="宋体" w:cs="宋体"/>
                          <w:sz w:val="28"/>
                        </w:rPr>
                        <w:t>采购项目</w:t>
                      </w:r>
                      <w:r>
                        <w:rPr>
                          <w:rFonts w:hint="eastAsia" w:ascii="宋体" w:hAnsi="宋体" w:eastAsia="宋体" w:cs="宋体"/>
                          <w:color w:val="auto"/>
                          <w:sz w:val="28"/>
                        </w:rPr>
                        <w:t>编号：</w:t>
                      </w:r>
                    </w:p>
                    <w:p>
                      <w:pPr>
                        <w:spacing w:line="360" w:lineRule="auto"/>
                        <w:rPr>
                          <w:rFonts w:hint="eastAsia" w:ascii="宋体" w:hAnsi="宋体" w:eastAsia="宋体" w:cs="宋体"/>
                          <w:sz w:val="28"/>
                        </w:rPr>
                      </w:pPr>
                    </w:p>
                    <w:p>
                      <w:pPr>
                        <w:spacing w:line="360" w:lineRule="auto"/>
                        <w:jc w:val="center"/>
                        <w:rPr>
                          <w:rFonts w:hint="eastAsia" w:ascii="宋体" w:hAnsi="宋体" w:eastAsia="宋体" w:cs="宋体"/>
                          <w:sz w:val="28"/>
                          <w:u w:val="single"/>
                          <w:lang w:val="en-US" w:eastAsia="zh-CN"/>
                        </w:rPr>
                      </w:pPr>
                      <w:r>
                        <w:rPr>
                          <w:rFonts w:hint="eastAsia" w:ascii="宋体" w:hAnsi="宋体" w:cs="宋体"/>
                          <w:sz w:val="28"/>
                          <w:u w:val="single"/>
                          <w:lang w:val="en-US" w:eastAsia="zh-CN"/>
                        </w:rPr>
                        <w:t>汉中市南郑区“四改一拆一通一落地”-汉山街道办高庄村背街小巷硬化工程</w:t>
                      </w:r>
                    </w:p>
                    <w:p>
                      <w:pPr>
                        <w:spacing w:line="360" w:lineRule="auto"/>
                        <w:jc w:val="center"/>
                        <w:rPr>
                          <w:rFonts w:hint="eastAsia" w:ascii="宋体" w:hAnsi="宋体" w:eastAsia="宋体" w:cs="宋体"/>
                          <w:sz w:val="28"/>
                        </w:rPr>
                      </w:pPr>
                      <w:r>
                        <w:rPr>
                          <w:rFonts w:hint="eastAsia" w:ascii="宋体" w:hAnsi="宋体" w:eastAsia="宋体" w:cs="宋体"/>
                          <w:sz w:val="28"/>
                        </w:rPr>
                        <w:t>（项目名称）</w:t>
                      </w:r>
                    </w:p>
                    <w:p>
                      <w:pPr>
                        <w:spacing w:line="360" w:lineRule="auto"/>
                        <w:rPr>
                          <w:rFonts w:hint="eastAsia" w:ascii="宋体" w:hAnsi="宋体" w:eastAsia="宋体" w:cs="宋体"/>
                          <w:sz w:val="28"/>
                        </w:rPr>
                      </w:pPr>
                    </w:p>
                    <w:p>
                      <w:pPr>
                        <w:spacing w:line="360" w:lineRule="auto"/>
                        <w:jc w:val="center"/>
                        <w:rPr>
                          <w:rFonts w:hint="eastAsia" w:ascii="宋体" w:hAnsi="宋体" w:eastAsia="宋体" w:cs="宋体"/>
                          <w:sz w:val="28"/>
                        </w:rPr>
                      </w:pPr>
                      <w:r>
                        <w:rPr>
                          <w:rFonts w:hint="eastAsia" w:ascii="宋体" w:hAnsi="宋体" w:eastAsia="宋体" w:cs="宋体"/>
                          <w:sz w:val="28"/>
                        </w:rPr>
                        <w:t>竞争性</w:t>
                      </w:r>
                      <w:r>
                        <w:rPr>
                          <w:rFonts w:hint="eastAsia" w:ascii="宋体" w:hAnsi="宋体" w:eastAsia="宋体" w:cs="宋体"/>
                          <w:sz w:val="28"/>
                          <w:lang w:eastAsia="zh-CN"/>
                        </w:rPr>
                        <w:t>磋商</w:t>
                      </w:r>
                      <w:r>
                        <w:rPr>
                          <w:rFonts w:hint="eastAsia" w:ascii="宋体" w:hAnsi="宋体" w:eastAsia="宋体" w:cs="宋体"/>
                          <w:sz w:val="28"/>
                        </w:rPr>
                        <w:t>响应文件（</w:t>
                      </w:r>
                      <w:r>
                        <w:rPr>
                          <w:rFonts w:hint="eastAsia" w:ascii="宋体" w:hAnsi="宋体" w:eastAsia="宋体" w:cs="宋体"/>
                          <w:sz w:val="28"/>
                          <w:lang w:eastAsia="zh-CN"/>
                        </w:rPr>
                        <w:t>磋商报价一览表</w:t>
                      </w:r>
                      <w:r>
                        <w:rPr>
                          <w:rFonts w:hint="eastAsia" w:ascii="宋体" w:hAnsi="宋体" w:eastAsia="宋体" w:cs="宋体"/>
                          <w:sz w:val="28"/>
                        </w:rPr>
                        <w:t>）</w:t>
                      </w:r>
                    </w:p>
                    <w:p>
                      <w:pPr>
                        <w:spacing w:line="360" w:lineRule="auto"/>
                        <w:jc w:val="center"/>
                        <w:rPr>
                          <w:rFonts w:hint="eastAsia" w:ascii="宋体" w:hAnsi="宋体" w:eastAsia="宋体" w:cs="宋体"/>
                          <w:sz w:val="28"/>
                        </w:rPr>
                      </w:pPr>
                      <w:r>
                        <w:rPr>
                          <w:rFonts w:hint="eastAsia" w:ascii="宋体" w:hAnsi="宋体" w:eastAsia="宋体" w:cs="宋体"/>
                          <w:sz w:val="28"/>
                        </w:rPr>
                        <w:t>（非</w:t>
                      </w:r>
                      <w:r>
                        <w:rPr>
                          <w:rFonts w:hint="eastAsia" w:ascii="宋体" w:hAnsi="宋体" w:eastAsia="宋体" w:cs="宋体"/>
                          <w:sz w:val="28"/>
                          <w:lang w:eastAsia="zh-CN"/>
                        </w:rPr>
                        <w:t>磋商</w:t>
                      </w:r>
                      <w:r>
                        <w:rPr>
                          <w:rFonts w:hint="eastAsia" w:ascii="宋体" w:hAnsi="宋体" w:eastAsia="宋体" w:cs="宋体"/>
                          <w:sz w:val="28"/>
                        </w:rPr>
                        <w:t>大会不得启封）</w:t>
                      </w:r>
                    </w:p>
                    <w:p>
                      <w:pPr>
                        <w:spacing w:line="360" w:lineRule="auto"/>
                        <w:rPr>
                          <w:rFonts w:hint="eastAsia" w:ascii="宋体" w:hAnsi="宋体" w:eastAsia="宋体" w:cs="宋体"/>
                          <w:sz w:val="28"/>
                        </w:rPr>
                      </w:pPr>
                    </w:p>
                    <w:p>
                      <w:pPr>
                        <w:spacing w:line="360" w:lineRule="auto"/>
                        <w:rPr>
                          <w:rFonts w:hint="eastAsia" w:ascii="宋体" w:hAnsi="宋体" w:eastAsia="宋体" w:cs="宋体"/>
                          <w:sz w:val="28"/>
                        </w:rPr>
                      </w:pPr>
                      <w:r>
                        <w:rPr>
                          <w:rFonts w:hint="eastAsia" w:ascii="宋体" w:hAnsi="宋体" w:eastAsia="宋体" w:cs="宋体"/>
                          <w:sz w:val="28"/>
                        </w:rPr>
                        <w:t>供应商名称：（法人公章及法定代表人印章）</w:t>
                      </w:r>
                    </w:p>
                    <w:p>
                      <w:pPr>
                        <w:pStyle w:val="13"/>
                        <w:spacing w:line="360" w:lineRule="auto"/>
                        <w:rPr>
                          <w:rFonts w:hint="eastAsia" w:ascii="宋体" w:hAnsi="宋体" w:eastAsia="宋体" w:cs="宋体"/>
                        </w:rPr>
                      </w:pPr>
                    </w:p>
                    <w:p>
                      <w:pPr>
                        <w:spacing w:line="360" w:lineRule="auto"/>
                        <w:rPr>
                          <w:rFonts w:hint="eastAsia" w:ascii="宋体" w:hAnsi="宋体" w:eastAsia="宋体" w:cs="宋体"/>
                          <w:sz w:val="28"/>
                          <w:lang w:eastAsia="zh-CN"/>
                        </w:rPr>
                      </w:pPr>
                      <w:r>
                        <w:rPr>
                          <w:rFonts w:hint="eastAsia" w:ascii="宋体" w:hAnsi="宋体" w:eastAsia="宋体" w:cs="宋体"/>
                          <w:sz w:val="28"/>
                        </w:rPr>
                        <w:t>邮编：</w:t>
                      </w:r>
                    </w:p>
                    <w:p>
                      <w:pPr>
                        <w:pStyle w:val="13"/>
                        <w:spacing w:line="360" w:lineRule="auto"/>
                        <w:rPr>
                          <w:rFonts w:hint="eastAsia" w:ascii="宋体" w:hAnsi="宋体" w:eastAsia="宋体" w:cs="宋体"/>
                        </w:rPr>
                      </w:pPr>
                    </w:p>
                    <w:p>
                      <w:pPr>
                        <w:spacing w:line="360" w:lineRule="auto"/>
                        <w:rPr>
                          <w:rFonts w:hint="eastAsia" w:ascii="宋体" w:hAnsi="宋体" w:eastAsia="宋体" w:cs="宋体"/>
                          <w:sz w:val="28"/>
                          <w:lang w:eastAsia="zh-CN"/>
                        </w:rPr>
                      </w:pPr>
                      <w:r>
                        <w:rPr>
                          <w:rFonts w:hint="eastAsia" w:ascii="宋体" w:hAnsi="宋体" w:eastAsia="宋体" w:cs="宋体"/>
                          <w:sz w:val="28"/>
                        </w:rPr>
                        <w:t>通讯地址：</w:t>
                      </w:r>
                    </w:p>
                    <w:p>
                      <w:pPr>
                        <w:pStyle w:val="13"/>
                        <w:spacing w:line="360" w:lineRule="auto"/>
                        <w:rPr>
                          <w:rFonts w:hint="eastAsia" w:ascii="宋体" w:hAnsi="宋体" w:eastAsia="宋体" w:cs="宋体"/>
                        </w:rPr>
                      </w:pPr>
                    </w:p>
                    <w:p>
                      <w:pPr>
                        <w:spacing w:line="360" w:lineRule="auto"/>
                        <w:rPr>
                          <w:rFonts w:hint="eastAsia" w:ascii="宋体" w:hAnsi="宋体" w:eastAsia="宋体" w:cs="宋体"/>
                          <w:sz w:val="28"/>
                        </w:rPr>
                      </w:pPr>
                      <w:r>
                        <w:rPr>
                          <w:rFonts w:hint="eastAsia" w:ascii="宋体" w:hAnsi="宋体" w:eastAsia="宋体" w:cs="宋体"/>
                          <w:sz w:val="28"/>
                        </w:rPr>
                        <w:t>联系人电话：</w:t>
                      </w:r>
                    </w:p>
                    <w:p>
                      <w:pPr>
                        <w:spacing w:line="360" w:lineRule="auto"/>
                        <w:rPr>
                          <w:rFonts w:hint="eastAsia" w:ascii="宋体" w:hAnsi="宋体" w:eastAsia="宋体" w:cs="宋体"/>
                          <w:sz w:val="28"/>
                        </w:rPr>
                      </w:pPr>
                    </w:p>
                    <w:p>
                      <w:pPr>
                        <w:spacing w:line="360" w:lineRule="auto"/>
                        <w:rPr>
                          <w:rFonts w:hint="eastAsia" w:ascii="宋体" w:hAnsi="宋体" w:eastAsia="宋体" w:cs="宋体"/>
                          <w:sz w:val="28"/>
                          <w:lang w:eastAsia="zh-CN"/>
                        </w:rPr>
                      </w:pPr>
                      <w:r>
                        <w:rPr>
                          <w:rFonts w:hint="eastAsia" w:ascii="宋体" w:hAnsi="宋体" w:cs="宋体"/>
                          <w:sz w:val="28"/>
                          <w:lang w:eastAsia="zh-CN"/>
                        </w:rPr>
                        <w:t>日期：</w:t>
                      </w:r>
                    </w:p>
                  </w:txbxContent>
                </v:textbox>
              </v:shape>
            </w:pict>
          </mc:Fallback>
        </mc:AlternateContent>
      </w:r>
    </w:p>
    <w:p>
      <w:pPr>
        <w:spacing w:line="360" w:lineRule="auto"/>
        <w:jc w:val="center"/>
        <w:rPr>
          <w:rFonts w:hint="eastAsia" w:ascii="宋体" w:hAnsi="宋体" w:eastAsia="宋体" w:cs="宋体"/>
          <w:color w:val="auto"/>
          <w:sz w:val="24"/>
        </w:rPr>
      </w:pPr>
    </w:p>
    <w:p>
      <w:pPr>
        <w:spacing w:line="360" w:lineRule="auto"/>
        <w:jc w:val="center"/>
        <w:rPr>
          <w:rFonts w:hint="eastAsia" w:ascii="宋体" w:hAnsi="宋体" w:eastAsia="宋体" w:cs="宋体"/>
          <w:color w:val="auto"/>
          <w:sz w:val="24"/>
        </w:rPr>
      </w:pPr>
    </w:p>
    <w:p>
      <w:pPr>
        <w:spacing w:line="360" w:lineRule="auto"/>
        <w:jc w:val="center"/>
        <w:rPr>
          <w:rFonts w:hint="eastAsia" w:ascii="宋体" w:hAnsi="宋体" w:eastAsia="宋体" w:cs="宋体"/>
          <w:color w:val="auto"/>
          <w:sz w:val="24"/>
        </w:rPr>
      </w:pPr>
    </w:p>
    <w:p>
      <w:pPr>
        <w:spacing w:line="360" w:lineRule="auto"/>
        <w:rPr>
          <w:rFonts w:hint="eastAsia" w:ascii="宋体" w:hAnsi="宋体" w:eastAsia="宋体" w:cs="宋体"/>
          <w:color w:val="auto"/>
          <w:sz w:val="24"/>
        </w:rPr>
      </w:pPr>
    </w:p>
    <w:p>
      <w:pPr>
        <w:spacing w:line="360" w:lineRule="auto"/>
        <w:jc w:val="left"/>
        <w:rPr>
          <w:rFonts w:hint="eastAsia" w:ascii="宋体" w:hAnsi="宋体" w:eastAsia="宋体" w:cs="宋体"/>
          <w:color w:val="auto"/>
          <w:sz w:val="24"/>
        </w:rPr>
      </w:pPr>
    </w:p>
    <w:p>
      <w:pPr>
        <w:pStyle w:val="4"/>
        <w:rPr>
          <w:rFonts w:hint="eastAsia" w:ascii="宋体" w:hAnsi="宋体" w:eastAsia="宋体" w:cs="宋体"/>
          <w:color w:val="auto"/>
          <w:sz w:val="24"/>
          <w:szCs w:val="24"/>
          <w:lang w:val="zh-CN"/>
        </w:rPr>
        <w:sectPr>
          <w:headerReference r:id="rId29" w:type="default"/>
          <w:footerReference r:id="rId30" w:type="default"/>
          <w:pgSz w:w="11906" w:h="16838"/>
          <w:pgMar w:top="1440" w:right="1242" w:bottom="1440" w:left="1502" w:header="851" w:footer="992" w:gutter="0"/>
          <w:pgNumType w:fmt="numberInDash"/>
          <w:cols w:space="720" w:num="1"/>
          <w:docGrid w:linePitch="312" w:charSpace="0"/>
        </w:sectPr>
      </w:pPr>
      <w:r>
        <w:rPr>
          <w:rFonts w:hint="eastAsia" w:ascii="宋体" w:hAnsi="宋体" w:eastAsia="宋体" w:cs="宋体"/>
          <w:color w:val="auto"/>
          <w:sz w:val="24"/>
          <w:szCs w:val="24"/>
          <w:lang w:val="zh-CN"/>
        </w:rPr>
        <w:br w:type="page"/>
      </w:r>
    </w:p>
    <w:p>
      <w:pPr>
        <w:jc w:val="center"/>
        <w:rPr>
          <w:rFonts w:hint="eastAsia" w:ascii="宋体" w:hAnsi="宋体" w:eastAsia="宋体" w:cs="宋体"/>
          <w:b/>
          <w:bCs/>
          <w:color w:val="auto"/>
          <w:sz w:val="24"/>
          <w:lang w:val="en-US" w:eastAsia="zh-CN"/>
        </w:rPr>
      </w:pPr>
      <w:r>
        <w:rPr>
          <w:rFonts w:hint="eastAsia" w:ascii="宋体" w:hAnsi="宋体" w:eastAsia="宋体" w:cs="宋体"/>
          <w:b/>
          <w:bCs/>
          <w:color w:val="auto"/>
          <w:sz w:val="24"/>
        </w:rPr>
        <w:t>磋商响应文件封袋样式</w:t>
      </w:r>
      <w:r>
        <w:rPr>
          <w:rFonts w:hint="eastAsia" w:ascii="宋体" w:hAnsi="宋体" w:eastAsia="宋体" w:cs="宋体"/>
          <w:b/>
          <w:bCs/>
          <w:color w:val="auto"/>
          <w:sz w:val="24"/>
          <w:lang w:val="en-US" w:eastAsia="zh-CN"/>
        </w:rPr>
        <w:t>III</w:t>
      </w:r>
    </w:p>
    <w:p>
      <w:pPr>
        <w:pStyle w:val="13"/>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宋体" w:hAnsi="宋体" w:eastAsia="宋体" w:cs="宋体"/>
          <w:b/>
          <w:bCs/>
          <w:color w:val="auto"/>
          <w:sz w:val="24"/>
          <w:szCs w:val="32"/>
          <w:highlight w:val="none"/>
          <w:lang w:eastAsia="zh-CN"/>
        </w:rPr>
      </w:pPr>
      <w:r>
        <w:rPr>
          <w:rFonts w:hint="eastAsia" w:ascii="宋体" w:hAnsi="宋体" w:eastAsia="宋体" w:cs="宋体"/>
          <w:b/>
          <w:bCs/>
          <w:color w:val="auto"/>
          <w:sz w:val="24"/>
          <w:szCs w:val="32"/>
          <w:highlight w:val="none"/>
        </w:rPr>
        <w:t>格式</w:t>
      </w:r>
      <w:r>
        <w:rPr>
          <w:rFonts w:hint="eastAsia" w:ascii="宋体" w:hAnsi="宋体" w:eastAsia="宋体" w:cs="宋体"/>
          <w:b/>
          <w:bCs/>
          <w:color w:val="auto"/>
          <w:sz w:val="24"/>
          <w:szCs w:val="32"/>
          <w:highlight w:val="none"/>
          <w:lang w:val="en-US" w:eastAsia="zh-CN"/>
        </w:rPr>
        <w:t>C</w:t>
      </w:r>
    </w:p>
    <w:p>
      <w:pPr>
        <w:pStyle w:val="13"/>
        <w:rPr>
          <w:rFonts w:hint="eastAsia" w:ascii="宋体" w:hAnsi="宋体" w:eastAsia="宋体" w:cs="宋体"/>
          <w:b/>
          <w:bCs/>
          <w:color w:val="auto"/>
          <w:sz w:val="24"/>
          <w:szCs w:val="32"/>
          <w:highlight w:val="none"/>
        </w:rPr>
      </w:pPr>
      <w:r>
        <w:rPr>
          <w:rFonts w:hint="eastAsia" w:ascii="宋体" w:hAnsi="宋体" w:eastAsia="宋体" w:cs="宋体"/>
          <w:b/>
          <w:bCs/>
          <w:color w:val="auto"/>
          <w:sz w:val="24"/>
          <w:szCs w:val="32"/>
          <w:highlight w:val="none"/>
          <w:lang w:eastAsia="zh-CN"/>
        </w:rPr>
        <w:t>资格审查资料</w:t>
      </w:r>
      <w:r>
        <w:rPr>
          <w:rFonts w:hint="eastAsia" w:ascii="宋体" w:hAnsi="宋体" w:eastAsia="宋体" w:cs="宋体"/>
          <w:b/>
          <w:bCs/>
          <w:color w:val="auto"/>
          <w:sz w:val="24"/>
          <w:szCs w:val="32"/>
          <w:highlight w:val="none"/>
        </w:rPr>
        <w:t>标识式样</w:t>
      </w:r>
    </w:p>
    <w:p>
      <w:pPr>
        <w:rPr>
          <w:rFonts w:hint="eastAsia" w:ascii="宋体" w:hAnsi="宋体" w:eastAsia="宋体" w:cs="宋体"/>
          <w:b/>
          <w:bCs/>
          <w:color w:val="auto"/>
          <w:sz w:val="24"/>
          <w:szCs w:val="32"/>
          <w:highlight w:val="none"/>
        </w:rPr>
      </w:pPr>
    </w:p>
    <w:p>
      <w:pPr>
        <w:pStyle w:val="2"/>
        <w:rPr>
          <w:rFonts w:hint="eastAsia" w:ascii="宋体" w:hAnsi="宋体" w:eastAsia="宋体" w:cs="宋体"/>
          <w:lang w:val="zh-CN"/>
        </w:rPr>
        <w:sectPr>
          <w:pgSz w:w="11906" w:h="16838"/>
          <w:pgMar w:top="1440" w:right="1242" w:bottom="1440" w:left="1559" w:header="851" w:footer="992" w:gutter="0"/>
          <w:pgNumType w:fmt="numberInDash"/>
          <w:cols w:space="720" w:num="1"/>
          <w:docGrid w:linePitch="312" w:charSpace="0"/>
        </w:sectPr>
      </w:pPr>
      <w:r>
        <w:rPr>
          <w:rFonts w:hint="eastAsia" w:ascii="宋体" w:hAnsi="宋体" w:eastAsia="宋体" w:cs="宋体"/>
          <w:color w:val="auto"/>
          <w:sz w:val="24"/>
        </w:rPr>
        <mc:AlternateContent>
          <mc:Choice Requires="wps">
            <w:drawing>
              <wp:anchor distT="0" distB="0" distL="114300" distR="114300" simplePos="0" relativeHeight="251671552" behindDoc="0" locked="0" layoutInCell="1" allowOverlap="1">
                <wp:simplePos x="0" y="0"/>
                <wp:positionH relativeFrom="column">
                  <wp:posOffset>38100</wp:posOffset>
                </wp:positionH>
                <wp:positionV relativeFrom="paragraph">
                  <wp:posOffset>32385</wp:posOffset>
                </wp:positionV>
                <wp:extent cx="5422900" cy="6781800"/>
                <wp:effectExtent l="6350" t="6350" r="19050" b="12700"/>
                <wp:wrapNone/>
                <wp:docPr id="16" name="文本框 16"/>
                <wp:cNvGraphicFramePr/>
                <a:graphic xmlns:a="http://schemas.openxmlformats.org/drawingml/2006/main">
                  <a:graphicData uri="http://schemas.microsoft.com/office/word/2010/wordprocessingShape">
                    <wps:wsp>
                      <wps:cNvSpPr txBox="1">
                        <a:spLocks noChangeArrowheads="1"/>
                      </wps:cNvSpPr>
                      <wps:spPr bwMode="auto">
                        <a:xfrm>
                          <a:off x="0" y="0"/>
                          <a:ext cx="5422900" cy="6781800"/>
                        </a:xfrm>
                        <a:prstGeom prst="rect">
                          <a:avLst/>
                        </a:prstGeom>
                        <a:solidFill>
                          <a:srgbClr val="FFFFFF"/>
                        </a:solidFill>
                        <a:ln w="12700">
                          <a:solidFill>
                            <a:srgbClr val="000000"/>
                          </a:solidFill>
                          <a:round/>
                        </a:ln>
                      </wps:spPr>
                      <wps:txbx>
                        <w:txbxContent>
                          <w:p>
                            <w:pPr>
                              <w:spacing w:line="360" w:lineRule="auto"/>
                              <w:rPr>
                                <w:rFonts w:hint="eastAsia" w:asciiTheme="majorEastAsia" w:hAnsiTheme="majorEastAsia" w:eastAsiaTheme="majorEastAsia" w:cstheme="majorEastAsia"/>
                                <w:sz w:val="28"/>
                                <w:lang w:eastAsia="zh-CN"/>
                              </w:rPr>
                            </w:pPr>
                            <w:r>
                              <w:rPr>
                                <w:rFonts w:hint="eastAsia" w:asciiTheme="majorEastAsia" w:hAnsiTheme="majorEastAsia" w:eastAsiaTheme="majorEastAsia" w:cstheme="majorEastAsia"/>
                                <w:sz w:val="28"/>
                              </w:rPr>
                              <w:t>致：</w:t>
                            </w:r>
                            <w:r>
                              <w:rPr>
                                <w:rFonts w:hint="eastAsia" w:asciiTheme="majorEastAsia" w:hAnsiTheme="majorEastAsia" w:eastAsiaTheme="majorEastAsia" w:cstheme="majorEastAsia"/>
                                <w:sz w:val="28"/>
                                <w:lang w:eastAsia="zh-CN"/>
                              </w:rPr>
                              <w:t>陕西华兴工程咨询有限公司</w:t>
                            </w:r>
                          </w:p>
                          <w:p>
                            <w:pPr>
                              <w:spacing w:line="360" w:lineRule="auto"/>
                              <w:rPr>
                                <w:rFonts w:hint="eastAsia" w:asciiTheme="majorEastAsia" w:hAnsiTheme="majorEastAsia" w:eastAsiaTheme="majorEastAsia" w:cstheme="majorEastAsia"/>
                                <w:color w:val="C00000"/>
                                <w:sz w:val="28"/>
                                <w:lang w:eastAsia="zh-CN"/>
                              </w:rPr>
                            </w:pPr>
                            <w:r>
                              <w:rPr>
                                <w:rFonts w:hint="eastAsia" w:asciiTheme="majorEastAsia" w:hAnsiTheme="majorEastAsia" w:eastAsiaTheme="majorEastAsia" w:cstheme="majorEastAsia"/>
                                <w:sz w:val="28"/>
                              </w:rPr>
                              <w:t>采购项目</w:t>
                            </w:r>
                            <w:r>
                              <w:rPr>
                                <w:rFonts w:hint="eastAsia" w:asciiTheme="majorEastAsia" w:hAnsiTheme="majorEastAsia" w:eastAsiaTheme="majorEastAsia" w:cstheme="majorEastAsia"/>
                                <w:color w:val="auto"/>
                                <w:sz w:val="28"/>
                              </w:rPr>
                              <w:t>编号：</w:t>
                            </w:r>
                          </w:p>
                          <w:p>
                            <w:pPr>
                              <w:spacing w:line="360" w:lineRule="auto"/>
                              <w:rPr>
                                <w:rFonts w:hint="eastAsia" w:asciiTheme="majorEastAsia" w:hAnsiTheme="majorEastAsia" w:eastAsiaTheme="majorEastAsia" w:cstheme="majorEastAsia"/>
                                <w:sz w:val="28"/>
                              </w:rPr>
                            </w:pPr>
                          </w:p>
                          <w:p>
                            <w:pPr>
                              <w:spacing w:line="360" w:lineRule="auto"/>
                              <w:jc w:val="center"/>
                              <w:rPr>
                                <w:rFonts w:hint="eastAsia" w:asciiTheme="majorEastAsia" w:hAnsiTheme="majorEastAsia" w:eastAsiaTheme="majorEastAsia" w:cstheme="majorEastAsia"/>
                                <w:sz w:val="28"/>
                                <w:u w:val="single"/>
                                <w:lang w:val="en-US" w:eastAsia="zh-CN"/>
                              </w:rPr>
                            </w:pPr>
                            <w:r>
                              <w:rPr>
                                <w:rFonts w:hint="eastAsia" w:asciiTheme="majorEastAsia" w:hAnsiTheme="majorEastAsia" w:eastAsiaTheme="majorEastAsia" w:cstheme="majorEastAsia"/>
                                <w:sz w:val="28"/>
                                <w:u w:val="single"/>
                                <w:lang w:val="en-US" w:eastAsia="zh-CN"/>
                              </w:rPr>
                              <w:t>汉中市南郑区“四改一拆一通一落地”-汉山街道办高庄村背街小巷硬化工程</w:t>
                            </w:r>
                          </w:p>
                          <w:p>
                            <w:pPr>
                              <w:spacing w:line="360" w:lineRule="auto"/>
                              <w:jc w:val="center"/>
                              <w:rPr>
                                <w:rFonts w:hint="eastAsia" w:asciiTheme="majorEastAsia" w:hAnsiTheme="majorEastAsia" w:eastAsiaTheme="majorEastAsia" w:cstheme="majorEastAsia"/>
                                <w:sz w:val="28"/>
                              </w:rPr>
                            </w:pPr>
                            <w:r>
                              <w:rPr>
                                <w:rFonts w:hint="eastAsia" w:asciiTheme="majorEastAsia" w:hAnsiTheme="majorEastAsia" w:eastAsiaTheme="majorEastAsia" w:cstheme="majorEastAsia"/>
                                <w:sz w:val="28"/>
                              </w:rPr>
                              <w:t>（项目名称）</w:t>
                            </w:r>
                          </w:p>
                          <w:p>
                            <w:pPr>
                              <w:spacing w:line="360" w:lineRule="auto"/>
                              <w:rPr>
                                <w:rFonts w:hint="eastAsia" w:asciiTheme="majorEastAsia" w:hAnsiTheme="majorEastAsia" w:eastAsiaTheme="majorEastAsia" w:cstheme="majorEastAsia"/>
                                <w:sz w:val="28"/>
                              </w:rPr>
                            </w:pPr>
                          </w:p>
                          <w:p>
                            <w:pPr>
                              <w:spacing w:line="360" w:lineRule="auto"/>
                              <w:jc w:val="center"/>
                              <w:rPr>
                                <w:rFonts w:hint="eastAsia" w:asciiTheme="majorEastAsia" w:hAnsiTheme="majorEastAsia" w:eastAsiaTheme="majorEastAsia" w:cstheme="majorEastAsia"/>
                                <w:sz w:val="28"/>
                              </w:rPr>
                            </w:pPr>
                            <w:r>
                              <w:rPr>
                                <w:rFonts w:hint="eastAsia" w:asciiTheme="majorEastAsia" w:hAnsiTheme="majorEastAsia" w:eastAsiaTheme="majorEastAsia" w:cstheme="majorEastAsia"/>
                                <w:sz w:val="28"/>
                              </w:rPr>
                              <w:t>竞争性</w:t>
                            </w:r>
                            <w:r>
                              <w:rPr>
                                <w:rFonts w:hint="eastAsia" w:asciiTheme="majorEastAsia" w:hAnsiTheme="majorEastAsia" w:eastAsiaTheme="majorEastAsia" w:cstheme="majorEastAsia"/>
                                <w:sz w:val="28"/>
                                <w:lang w:eastAsia="zh-CN"/>
                              </w:rPr>
                              <w:t>磋商</w:t>
                            </w:r>
                            <w:r>
                              <w:rPr>
                                <w:rFonts w:hint="eastAsia" w:asciiTheme="majorEastAsia" w:hAnsiTheme="majorEastAsia" w:eastAsiaTheme="majorEastAsia" w:cstheme="majorEastAsia"/>
                                <w:sz w:val="28"/>
                              </w:rPr>
                              <w:t>响应文件（</w:t>
                            </w:r>
                            <w:r>
                              <w:rPr>
                                <w:rFonts w:hint="eastAsia" w:asciiTheme="majorEastAsia" w:hAnsiTheme="majorEastAsia" w:eastAsiaTheme="majorEastAsia" w:cstheme="majorEastAsia"/>
                                <w:sz w:val="28"/>
                                <w:lang w:eastAsia="zh-CN"/>
                              </w:rPr>
                              <w:t>资格审查资料</w:t>
                            </w:r>
                            <w:r>
                              <w:rPr>
                                <w:rFonts w:hint="eastAsia" w:asciiTheme="majorEastAsia" w:hAnsiTheme="majorEastAsia" w:eastAsiaTheme="majorEastAsia" w:cstheme="majorEastAsia"/>
                                <w:sz w:val="28"/>
                              </w:rPr>
                              <w:t>）</w:t>
                            </w:r>
                          </w:p>
                          <w:p>
                            <w:pPr>
                              <w:spacing w:line="360" w:lineRule="auto"/>
                              <w:jc w:val="center"/>
                              <w:rPr>
                                <w:rFonts w:hint="eastAsia" w:asciiTheme="majorEastAsia" w:hAnsiTheme="majorEastAsia" w:eastAsiaTheme="majorEastAsia" w:cstheme="majorEastAsia"/>
                                <w:sz w:val="28"/>
                              </w:rPr>
                            </w:pPr>
                            <w:r>
                              <w:rPr>
                                <w:rFonts w:hint="eastAsia" w:asciiTheme="majorEastAsia" w:hAnsiTheme="majorEastAsia" w:eastAsiaTheme="majorEastAsia" w:cstheme="majorEastAsia"/>
                                <w:sz w:val="28"/>
                              </w:rPr>
                              <w:t>（非</w:t>
                            </w:r>
                            <w:r>
                              <w:rPr>
                                <w:rFonts w:hint="eastAsia" w:asciiTheme="majorEastAsia" w:hAnsiTheme="majorEastAsia" w:eastAsiaTheme="majorEastAsia" w:cstheme="majorEastAsia"/>
                                <w:sz w:val="28"/>
                                <w:lang w:eastAsia="zh-CN"/>
                              </w:rPr>
                              <w:t>磋商</w:t>
                            </w:r>
                            <w:r>
                              <w:rPr>
                                <w:rFonts w:hint="eastAsia" w:asciiTheme="majorEastAsia" w:hAnsiTheme="majorEastAsia" w:eastAsiaTheme="majorEastAsia" w:cstheme="majorEastAsia"/>
                                <w:sz w:val="28"/>
                              </w:rPr>
                              <w:t>大会不得启封）</w:t>
                            </w:r>
                          </w:p>
                          <w:p>
                            <w:pPr>
                              <w:spacing w:line="360" w:lineRule="auto"/>
                              <w:rPr>
                                <w:rFonts w:hint="eastAsia" w:asciiTheme="majorEastAsia" w:hAnsiTheme="majorEastAsia" w:eastAsiaTheme="majorEastAsia" w:cstheme="majorEastAsia"/>
                                <w:sz w:val="28"/>
                              </w:rPr>
                            </w:pPr>
                          </w:p>
                          <w:p>
                            <w:pPr>
                              <w:spacing w:line="360" w:lineRule="auto"/>
                              <w:rPr>
                                <w:rFonts w:hint="eastAsia" w:asciiTheme="majorEastAsia" w:hAnsiTheme="majorEastAsia" w:eastAsiaTheme="majorEastAsia" w:cstheme="majorEastAsia"/>
                                <w:sz w:val="28"/>
                              </w:rPr>
                            </w:pPr>
                            <w:r>
                              <w:rPr>
                                <w:rFonts w:hint="eastAsia" w:asciiTheme="majorEastAsia" w:hAnsiTheme="majorEastAsia" w:eastAsiaTheme="majorEastAsia" w:cstheme="majorEastAsia"/>
                                <w:sz w:val="28"/>
                              </w:rPr>
                              <w:t>供应商名称：（法人公章及法定代表人印章）</w:t>
                            </w:r>
                          </w:p>
                          <w:p>
                            <w:pPr>
                              <w:pStyle w:val="13"/>
                              <w:spacing w:line="360" w:lineRule="auto"/>
                              <w:rPr>
                                <w:rFonts w:hint="eastAsia" w:asciiTheme="majorEastAsia" w:hAnsiTheme="majorEastAsia" w:eastAsiaTheme="majorEastAsia" w:cstheme="majorEastAsia"/>
                              </w:rPr>
                            </w:pPr>
                          </w:p>
                          <w:p>
                            <w:pPr>
                              <w:spacing w:line="360" w:lineRule="auto"/>
                              <w:rPr>
                                <w:rFonts w:hint="eastAsia" w:asciiTheme="majorEastAsia" w:hAnsiTheme="majorEastAsia" w:eastAsiaTheme="majorEastAsia" w:cstheme="majorEastAsia"/>
                                <w:sz w:val="28"/>
                                <w:lang w:eastAsia="zh-CN"/>
                              </w:rPr>
                            </w:pPr>
                            <w:r>
                              <w:rPr>
                                <w:rFonts w:hint="eastAsia" w:asciiTheme="majorEastAsia" w:hAnsiTheme="majorEastAsia" w:eastAsiaTheme="majorEastAsia" w:cstheme="majorEastAsia"/>
                                <w:sz w:val="28"/>
                              </w:rPr>
                              <w:t>邮编：</w:t>
                            </w:r>
                          </w:p>
                          <w:p>
                            <w:pPr>
                              <w:pStyle w:val="13"/>
                              <w:spacing w:line="360" w:lineRule="auto"/>
                              <w:rPr>
                                <w:rFonts w:hint="eastAsia" w:asciiTheme="majorEastAsia" w:hAnsiTheme="majorEastAsia" w:eastAsiaTheme="majorEastAsia" w:cstheme="majorEastAsia"/>
                              </w:rPr>
                            </w:pPr>
                          </w:p>
                          <w:p>
                            <w:pPr>
                              <w:spacing w:line="360" w:lineRule="auto"/>
                              <w:rPr>
                                <w:rFonts w:hint="eastAsia" w:asciiTheme="majorEastAsia" w:hAnsiTheme="majorEastAsia" w:eastAsiaTheme="majorEastAsia" w:cstheme="majorEastAsia"/>
                                <w:sz w:val="28"/>
                                <w:lang w:eastAsia="zh-CN"/>
                              </w:rPr>
                            </w:pPr>
                            <w:r>
                              <w:rPr>
                                <w:rFonts w:hint="eastAsia" w:asciiTheme="majorEastAsia" w:hAnsiTheme="majorEastAsia" w:eastAsiaTheme="majorEastAsia" w:cstheme="majorEastAsia"/>
                                <w:sz w:val="28"/>
                              </w:rPr>
                              <w:t>通讯地址：</w:t>
                            </w:r>
                          </w:p>
                          <w:p>
                            <w:pPr>
                              <w:pStyle w:val="13"/>
                              <w:spacing w:line="360" w:lineRule="auto"/>
                              <w:rPr>
                                <w:rFonts w:hint="eastAsia" w:asciiTheme="majorEastAsia" w:hAnsiTheme="majorEastAsia" w:eastAsiaTheme="majorEastAsia" w:cstheme="majorEastAsia"/>
                              </w:rPr>
                            </w:pPr>
                          </w:p>
                          <w:p>
                            <w:pPr>
                              <w:spacing w:line="360" w:lineRule="auto"/>
                              <w:rPr>
                                <w:rFonts w:hint="eastAsia" w:asciiTheme="majorEastAsia" w:hAnsiTheme="majorEastAsia" w:eastAsiaTheme="majorEastAsia" w:cstheme="majorEastAsia"/>
                                <w:sz w:val="28"/>
                              </w:rPr>
                            </w:pPr>
                            <w:r>
                              <w:rPr>
                                <w:rFonts w:hint="eastAsia" w:asciiTheme="majorEastAsia" w:hAnsiTheme="majorEastAsia" w:eastAsiaTheme="majorEastAsia" w:cstheme="majorEastAsia"/>
                                <w:sz w:val="28"/>
                              </w:rPr>
                              <w:t>联系人电话：</w:t>
                            </w:r>
                          </w:p>
                          <w:p>
                            <w:pPr>
                              <w:spacing w:line="360" w:lineRule="auto"/>
                              <w:rPr>
                                <w:rFonts w:hint="eastAsia" w:asciiTheme="majorEastAsia" w:hAnsiTheme="majorEastAsia" w:eastAsiaTheme="majorEastAsia" w:cstheme="majorEastAsia"/>
                                <w:sz w:val="28"/>
                              </w:rPr>
                            </w:pPr>
                          </w:p>
                          <w:p>
                            <w:pPr>
                              <w:spacing w:line="360" w:lineRule="auto"/>
                              <w:rPr>
                                <w:rFonts w:hint="eastAsia" w:asciiTheme="majorEastAsia" w:hAnsiTheme="majorEastAsia" w:eastAsiaTheme="majorEastAsia" w:cstheme="majorEastAsia"/>
                                <w:sz w:val="28"/>
                                <w:lang w:eastAsia="zh-CN"/>
                              </w:rPr>
                            </w:pPr>
                            <w:r>
                              <w:rPr>
                                <w:rFonts w:hint="eastAsia" w:asciiTheme="majorEastAsia" w:hAnsiTheme="majorEastAsia" w:eastAsiaTheme="majorEastAsia" w:cstheme="majorEastAsia"/>
                                <w:sz w:val="28"/>
                                <w:lang w:eastAsia="zh-CN"/>
                              </w:rPr>
                              <w:t>日期：</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3pt;margin-top:2.55pt;height:534pt;width:427pt;z-index:251671552;mso-width-relative:page;mso-height-relative:page;" fillcolor="#FFFFFF" filled="t" stroked="t" coordsize="21600,21600" o:gfxdata="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AAAA&#10;AGRycy9QSwECFAAUAAAACACHTuJA76Ay+9kAAAAIAQAADwAAAAAAAAABACAAAAAiAAAAZHJzL2Rv&#10;d25yZXYueG1sUEsBAhQAFAAAAAgAh07iQMPTGto5AgAAfgQAAA4AAAAAAAAAAQAgAAAAKAEAAGRy&#10;cy9lMm9Eb2MueG1sUEsFBgAAAAAGAAYAWQEAANMFAAAAAA==&#10;">
                <v:fill on="t" focussize="0,0"/>
                <v:stroke weight="1pt" color="#000000" joinstyle="round"/>
                <v:imagedata o:title=""/>
                <o:lock v:ext="edit" aspectratio="f"/>
                <v:textbox>
                  <w:txbxContent>
                    <w:p>
                      <w:pPr>
                        <w:spacing w:line="360" w:lineRule="auto"/>
                        <w:rPr>
                          <w:rFonts w:hint="eastAsia" w:asciiTheme="majorEastAsia" w:hAnsiTheme="majorEastAsia" w:eastAsiaTheme="majorEastAsia" w:cstheme="majorEastAsia"/>
                          <w:sz w:val="28"/>
                          <w:lang w:eastAsia="zh-CN"/>
                        </w:rPr>
                      </w:pPr>
                      <w:r>
                        <w:rPr>
                          <w:rFonts w:hint="eastAsia" w:asciiTheme="majorEastAsia" w:hAnsiTheme="majorEastAsia" w:eastAsiaTheme="majorEastAsia" w:cstheme="majorEastAsia"/>
                          <w:sz w:val="28"/>
                        </w:rPr>
                        <w:t>致：</w:t>
                      </w:r>
                      <w:r>
                        <w:rPr>
                          <w:rFonts w:hint="eastAsia" w:asciiTheme="majorEastAsia" w:hAnsiTheme="majorEastAsia" w:eastAsiaTheme="majorEastAsia" w:cstheme="majorEastAsia"/>
                          <w:sz w:val="28"/>
                          <w:lang w:eastAsia="zh-CN"/>
                        </w:rPr>
                        <w:t>陕西华兴工程咨询有限公司</w:t>
                      </w:r>
                    </w:p>
                    <w:p>
                      <w:pPr>
                        <w:spacing w:line="360" w:lineRule="auto"/>
                        <w:rPr>
                          <w:rFonts w:hint="eastAsia" w:asciiTheme="majorEastAsia" w:hAnsiTheme="majorEastAsia" w:eastAsiaTheme="majorEastAsia" w:cstheme="majorEastAsia"/>
                          <w:color w:val="C00000"/>
                          <w:sz w:val="28"/>
                          <w:lang w:eastAsia="zh-CN"/>
                        </w:rPr>
                      </w:pPr>
                      <w:r>
                        <w:rPr>
                          <w:rFonts w:hint="eastAsia" w:asciiTheme="majorEastAsia" w:hAnsiTheme="majorEastAsia" w:eastAsiaTheme="majorEastAsia" w:cstheme="majorEastAsia"/>
                          <w:sz w:val="28"/>
                        </w:rPr>
                        <w:t>采购项目</w:t>
                      </w:r>
                      <w:r>
                        <w:rPr>
                          <w:rFonts w:hint="eastAsia" w:asciiTheme="majorEastAsia" w:hAnsiTheme="majorEastAsia" w:eastAsiaTheme="majorEastAsia" w:cstheme="majorEastAsia"/>
                          <w:color w:val="auto"/>
                          <w:sz w:val="28"/>
                        </w:rPr>
                        <w:t>编号：</w:t>
                      </w:r>
                    </w:p>
                    <w:p>
                      <w:pPr>
                        <w:spacing w:line="360" w:lineRule="auto"/>
                        <w:rPr>
                          <w:rFonts w:hint="eastAsia" w:asciiTheme="majorEastAsia" w:hAnsiTheme="majorEastAsia" w:eastAsiaTheme="majorEastAsia" w:cstheme="majorEastAsia"/>
                          <w:sz w:val="28"/>
                        </w:rPr>
                      </w:pPr>
                    </w:p>
                    <w:p>
                      <w:pPr>
                        <w:spacing w:line="360" w:lineRule="auto"/>
                        <w:jc w:val="center"/>
                        <w:rPr>
                          <w:rFonts w:hint="eastAsia" w:asciiTheme="majorEastAsia" w:hAnsiTheme="majorEastAsia" w:eastAsiaTheme="majorEastAsia" w:cstheme="majorEastAsia"/>
                          <w:sz w:val="28"/>
                          <w:u w:val="single"/>
                          <w:lang w:val="en-US" w:eastAsia="zh-CN"/>
                        </w:rPr>
                      </w:pPr>
                      <w:r>
                        <w:rPr>
                          <w:rFonts w:hint="eastAsia" w:asciiTheme="majorEastAsia" w:hAnsiTheme="majorEastAsia" w:eastAsiaTheme="majorEastAsia" w:cstheme="majorEastAsia"/>
                          <w:sz w:val="28"/>
                          <w:u w:val="single"/>
                          <w:lang w:val="en-US" w:eastAsia="zh-CN"/>
                        </w:rPr>
                        <w:t>汉中市南郑区“四改一拆一通一落地”-汉山街道办高庄村背街小巷硬化工程</w:t>
                      </w:r>
                    </w:p>
                    <w:p>
                      <w:pPr>
                        <w:spacing w:line="360" w:lineRule="auto"/>
                        <w:jc w:val="center"/>
                        <w:rPr>
                          <w:rFonts w:hint="eastAsia" w:asciiTheme="majorEastAsia" w:hAnsiTheme="majorEastAsia" w:eastAsiaTheme="majorEastAsia" w:cstheme="majorEastAsia"/>
                          <w:sz w:val="28"/>
                        </w:rPr>
                      </w:pPr>
                      <w:r>
                        <w:rPr>
                          <w:rFonts w:hint="eastAsia" w:asciiTheme="majorEastAsia" w:hAnsiTheme="majorEastAsia" w:eastAsiaTheme="majorEastAsia" w:cstheme="majorEastAsia"/>
                          <w:sz w:val="28"/>
                        </w:rPr>
                        <w:t>（项目名称）</w:t>
                      </w:r>
                    </w:p>
                    <w:p>
                      <w:pPr>
                        <w:spacing w:line="360" w:lineRule="auto"/>
                        <w:rPr>
                          <w:rFonts w:hint="eastAsia" w:asciiTheme="majorEastAsia" w:hAnsiTheme="majorEastAsia" w:eastAsiaTheme="majorEastAsia" w:cstheme="majorEastAsia"/>
                          <w:sz w:val="28"/>
                        </w:rPr>
                      </w:pPr>
                    </w:p>
                    <w:p>
                      <w:pPr>
                        <w:spacing w:line="360" w:lineRule="auto"/>
                        <w:jc w:val="center"/>
                        <w:rPr>
                          <w:rFonts w:hint="eastAsia" w:asciiTheme="majorEastAsia" w:hAnsiTheme="majorEastAsia" w:eastAsiaTheme="majorEastAsia" w:cstheme="majorEastAsia"/>
                          <w:sz w:val="28"/>
                        </w:rPr>
                      </w:pPr>
                      <w:r>
                        <w:rPr>
                          <w:rFonts w:hint="eastAsia" w:asciiTheme="majorEastAsia" w:hAnsiTheme="majorEastAsia" w:eastAsiaTheme="majorEastAsia" w:cstheme="majorEastAsia"/>
                          <w:sz w:val="28"/>
                        </w:rPr>
                        <w:t>竞争性</w:t>
                      </w:r>
                      <w:r>
                        <w:rPr>
                          <w:rFonts w:hint="eastAsia" w:asciiTheme="majorEastAsia" w:hAnsiTheme="majorEastAsia" w:eastAsiaTheme="majorEastAsia" w:cstheme="majorEastAsia"/>
                          <w:sz w:val="28"/>
                          <w:lang w:eastAsia="zh-CN"/>
                        </w:rPr>
                        <w:t>磋商</w:t>
                      </w:r>
                      <w:r>
                        <w:rPr>
                          <w:rFonts w:hint="eastAsia" w:asciiTheme="majorEastAsia" w:hAnsiTheme="majorEastAsia" w:eastAsiaTheme="majorEastAsia" w:cstheme="majorEastAsia"/>
                          <w:sz w:val="28"/>
                        </w:rPr>
                        <w:t>响应文件（</w:t>
                      </w:r>
                      <w:r>
                        <w:rPr>
                          <w:rFonts w:hint="eastAsia" w:asciiTheme="majorEastAsia" w:hAnsiTheme="majorEastAsia" w:eastAsiaTheme="majorEastAsia" w:cstheme="majorEastAsia"/>
                          <w:sz w:val="28"/>
                          <w:lang w:eastAsia="zh-CN"/>
                        </w:rPr>
                        <w:t>资格审查资料</w:t>
                      </w:r>
                      <w:r>
                        <w:rPr>
                          <w:rFonts w:hint="eastAsia" w:asciiTheme="majorEastAsia" w:hAnsiTheme="majorEastAsia" w:eastAsiaTheme="majorEastAsia" w:cstheme="majorEastAsia"/>
                          <w:sz w:val="28"/>
                        </w:rPr>
                        <w:t>）</w:t>
                      </w:r>
                    </w:p>
                    <w:p>
                      <w:pPr>
                        <w:spacing w:line="360" w:lineRule="auto"/>
                        <w:jc w:val="center"/>
                        <w:rPr>
                          <w:rFonts w:hint="eastAsia" w:asciiTheme="majorEastAsia" w:hAnsiTheme="majorEastAsia" w:eastAsiaTheme="majorEastAsia" w:cstheme="majorEastAsia"/>
                          <w:sz w:val="28"/>
                        </w:rPr>
                      </w:pPr>
                      <w:r>
                        <w:rPr>
                          <w:rFonts w:hint="eastAsia" w:asciiTheme="majorEastAsia" w:hAnsiTheme="majorEastAsia" w:eastAsiaTheme="majorEastAsia" w:cstheme="majorEastAsia"/>
                          <w:sz w:val="28"/>
                        </w:rPr>
                        <w:t>（非</w:t>
                      </w:r>
                      <w:r>
                        <w:rPr>
                          <w:rFonts w:hint="eastAsia" w:asciiTheme="majorEastAsia" w:hAnsiTheme="majorEastAsia" w:eastAsiaTheme="majorEastAsia" w:cstheme="majorEastAsia"/>
                          <w:sz w:val="28"/>
                          <w:lang w:eastAsia="zh-CN"/>
                        </w:rPr>
                        <w:t>磋商</w:t>
                      </w:r>
                      <w:r>
                        <w:rPr>
                          <w:rFonts w:hint="eastAsia" w:asciiTheme="majorEastAsia" w:hAnsiTheme="majorEastAsia" w:eastAsiaTheme="majorEastAsia" w:cstheme="majorEastAsia"/>
                          <w:sz w:val="28"/>
                        </w:rPr>
                        <w:t>大会不得启封）</w:t>
                      </w:r>
                    </w:p>
                    <w:p>
                      <w:pPr>
                        <w:spacing w:line="360" w:lineRule="auto"/>
                        <w:rPr>
                          <w:rFonts w:hint="eastAsia" w:asciiTheme="majorEastAsia" w:hAnsiTheme="majorEastAsia" w:eastAsiaTheme="majorEastAsia" w:cstheme="majorEastAsia"/>
                          <w:sz w:val="28"/>
                        </w:rPr>
                      </w:pPr>
                    </w:p>
                    <w:p>
                      <w:pPr>
                        <w:spacing w:line="360" w:lineRule="auto"/>
                        <w:rPr>
                          <w:rFonts w:hint="eastAsia" w:asciiTheme="majorEastAsia" w:hAnsiTheme="majorEastAsia" w:eastAsiaTheme="majorEastAsia" w:cstheme="majorEastAsia"/>
                          <w:sz w:val="28"/>
                        </w:rPr>
                      </w:pPr>
                      <w:r>
                        <w:rPr>
                          <w:rFonts w:hint="eastAsia" w:asciiTheme="majorEastAsia" w:hAnsiTheme="majorEastAsia" w:eastAsiaTheme="majorEastAsia" w:cstheme="majorEastAsia"/>
                          <w:sz w:val="28"/>
                        </w:rPr>
                        <w:t>供应商名称：（法人公章及法定代表人印章）</w:t>
                      </w:r>
                    </w:p>
                    <w:p>
                      <w:pPr>
                        <w:pStyle w:val="13"/>
                        <w:spacing w:line="360" w:lineRule="auto"/>
                        <w:rPr>
                          <w:rFonts w:hint="eastAsia" w:asciiTheme="majorEastAsia" w:hAnsiTheme="majorEastAsia" w:eastAsiaTheme="majorEastAsia" w:cstheme="majorEastAsia"/>
                        </w:rPr>
                      </w:pPr>
                    </w:p>
                    <w:p>
                      <w:pPr>
                        <w:spacing w:line="360" w:lineRule="auto"/>
                        <w:rPr>
                          <w:rFonts w:hint="eastAsia" w:asciiTheme="majorEastAsia" w:hAnsiTheme="majorEastAsia" w:eastAsiaTheme="majorEastAsia" w:cstheme="majorEastAsia"/>
                          <w:sz w:val="28"/>
                          <w:lang w:eastAsia="zh-CN"/>
                        </w:rPr>
                      </w:pPr>
                      <w:r>
                        <w:rPr>
                          <w:rFonts w:hint="eastAsia" w:asciiTheme="majorEastAsia" w:hAnsiTheme="majorEastAsia" w:eastAsiaTheme="majorEastAsia" w:cstheme="majorEastAsia"/>
                          <w:sz w:val="28"/>
                        </w:rPr>
                        <w:t>邮编：</w:t>
                      </w:r>
                    </w:p>
                    <w:p>
                      <w:pPr>
                        <w:pStyle w:val="13"/>
                        <w:spacing w:line="360" w:lineRule="auto"/>
                        <w:rPr>
                          <w:rFonts w:hint="eastAsia" w:asciiTheme="majorEastAsia" w:hAnsiTheme="majorEastAsia" w:eastAsiaTheme="majorEastAsia" w:cstheme="majorEastAsia"/>
                        </w:rPr>
                      </w:pPr>
                    </w:p>
                    <w:p>
                      <w:pPr>
                        <w:spacing w:line="360" w:lineRule="auto"/>
                        <w:rPr>
                          <w:rFonts w:hint="eastAsia" w:asciiTheme="majorEastAsia" w:hAnsiTheme="majorEastAsia" w:eastAsiaTheme="majorEastAsia" w:cstheme="majorEastAsia"/>
                          <w:sz w:val="28"/>
                          <w:lang w:eastAsia="zh-CN"/>
                        </w:rPr>
                      </w:pPr>
                      <w:r>
                        <w:rPr>
                          <w:rFonts w:hint="eastAsia" w:asciiTheme="majorEastAsia" w:hAnsiTheme="majorEastAsia" w:eastAsiaTheme="majorEastAsia" w:cstheme="majorEastAsia"/>
                          <w:sz w:val="28"/>
                        </w:rPr>
                        <w:t>通讯地址：</w:t>
                      </w:r>
                    </w:p>
                    <w:p>
                      <w:pPr>
                        <w:pStyle w:val="13"/>
                        <w:spacing w:line="360" w:lineRule="auto"/>
                        <w:rPr>
                          <w:rFonts w:hint="eastAsia" w:asciiTheme="majorEastAsia" w:hAnsiTheme="majorEastAsia" w:eastAsiaTheme="majorEastAsia" w:cstheme="majorEastAsia"/>
                        </w:rPr>
                      </w:pPr>
                    </w:p>
                    <w:p>
                      <w:pPr>
                        <w:spacing w:line="360" w:lineRule="auto"/>
                        <w:rPr>
                          <w:rFonts w:hint="eastAsia" w:asciiTheme="majorEastAsia" w:hAnsiTheme="majorEastAsia" w:eastAsiaTheme="majorEastAsia" w:cstheme="majorEastAsia"/>
                          <w:sz w:val="28"/>
                        </w:rPr>
                      </w:pPr>
                      <w:r>
                        <w:rPr>
                          <w:rFonts w:hint="eastAsia" w:asciiTheme="majorEastAsia" w:hAnsiTheme="majorEastAsia" w:eastAsiaTheme="majorEastAsia" w:cstheme="majorEastAsia"/>
                          <w:sz w:val="28"/>
                        </w:rPr>
                        <w:t>联系人电话：</w:t>
                      </w:r>
                    </w:p>
                    <w:p>
                      <w:pPr>
                        <w:spacing w:line="360" w:lineRule="auto"/>
                        <w:rPr>
                          <w:rFonts w:hint="eastAsia" w:asciiTheme="majorEastAsia" w:hAnsiTheme="majorEastAsia" w:eastAsiaTheme="majorEastAsia" w:cstheme="majorEastAsia"/>
                          <w:sz w:val="28"/>
                        </w:rPr>
                      </w:pPr>
                    </w:p>
                    <w:p>
                      <w:pPr>
                        <w:spacing w:line="360" w:lineRule="auto"/>
                        <w:rPr>
                          <w:rFonts w:hint="eastAsia" w:asciiTheme="majorEastAsia" w:hAnsiTheme="majorEastAsia" w:eastAsiaTheme="majorEastAsia" w:cstheme="majorEastAsia"/>
                          <w:sz w:val="28"/>
                          <w:lang w:eastAsia="zh-CN"/>
                        </w:rPr>
                      </w:pPr>
                      <w:r>
                        <w:rPr>
                          <w:rFonts w:hint="eastAsia" w:asciiTheme="majorEastAsia" w:hAnsiTheme="majorEastAsia" w:eastAsiaTheme="majorEastAsia" w:cstheme="majorEastAsia"/>
                          <w:sz w:val="28"/>
                          <w:lang w:eastAsia="zh-CN"/>
                        </w:rPr>
                        <w:t>日期：</w:t>
                      </w:r>
                    </w:p>
                  </w:txbxContent>
                </v:textbox>
              </v:shape>
            </w:pict>
          </mc:Fallback>
        </mc:AlternateContent>
      </w:r>
    </w:p>
    <w:p>
      <w:pPr>
        <w:rPr>
          <w:rFonts w:hint="eastAsia" w:ascii="宋体" w:hAnsi="宋体" w:eastAsia="宋体" w:cs="宋体"/>
          <w:lang w:val="zh-CN"/>
        </w:rPr>
      </w:pPr>
    </w:p>
    <w:bookmarkEnd w:id="20"/>
    <w:bookmarkEnd w:id="21"/>
    <w:bookmarkEnd w:id="22"/>
    <w:bookmarkEnd w:id="23"/>
    <w:p>
      <w:pPr>
        <w:pStyle w:val="13"/>
        <w:jc w:val="right"/>
        <w:rPr>
          <w:rFonts w:hint="eastAsia" w:ascii="宋体" w:hAnsi="宋体" w:eastAsia="宋体" w:cs="宋体"/>
          <w:b/>
          <w:color w:val="auto"/>
          <w:sz w:val="36"/>
          <w:szCs w:val="28"/>
        </w:rPr>
      </w:pPr>
      <w:r>
        <w:rPr>
          <w:rFonts w:hint="eastAsia" w:ascii="宋体" w:hAnsi="宋体" w:eastAsia="宋体" w:cs="宋体"/>
          <w:b/>
          <w:color w:val="auto"/>
          <w:sz w:val="36"/>
          <w:szCs w:val="28"/>
          <w:lang w:eastAsia="zh-CN"/>
        </w:rPr>
        <w:t>【</w:t>
      </w:r>
      <w:r>
        <w:rPr>
          <w:rFonts w:hint="eastAsia" w:ascii="宋体" w:hAnsi="宋体" w:eastAsia="宋体" w:cs="宋体"/>
          <w:b/>
          <w:color w:val="auto"/>
          <w:sz w:val="36"/>
          <w:szCs w:val="28"/>
        </w:rPr>
        <w:t>正本</w:t>
      </w:r>
      <w:r>
        <w:rPr>
          <w:rFonts w:hint="eastAsia" w:ascii="宋体" w:hAnsi="宋体" w:eastAsia="宋体" w:cs="宋体"/>
          <w:b/>
          <w:color w:val="auto"/>
          <w:sz w:val="36"/>
          <w:szCs w:val="28"/>
          <w:lang w:val="en-US" w:eastAsia="zh-CN"/>
        </w:rPr>
        <w:t>/</w:t>
      </w:r>
      <w:r>
        <w:rPr>
          <w:rFonts w:hint="eastAsia" w:ascii="宋体" w:hAnsi="宋体" w:eastAsia="宋体" w:cs="宋体"/>
          <w:b/>
          <w:color w:val="auto"/>
          <w:sz w:val="36"/>
          <w:szCs w:val="28"/>
        </w:rPr>
        <w:t>副本</w:t>
      </w:r>
      <w:r>
        <w:rPr>
          <w:rFonts w:hint="eastAsia" w:ascii="宋体" w:hAnsi="宋体" w:eastAsia="宋体" w:cs="宋体"/>
          <w:b/>
          <w:color w:val="auto"/>
          <w:sz w:val="36"/>
          <w:szCs w:val="28"/>
          <w:lang w:eastAsia="zh-CN"/>
        </w:rPr>
        <w:t>】</w:t>
      </w:r>
    </w:p>
    <w:p>
      <w:pPr>
        <w:pStyle w:val="13"/>
        <w:rPr>
          <w:rFonts w:hint="eastAsia" w:ascii="宋体" w:hAnsi="宋体" w:eastAsia="宋体" w:cs="宋体"/>
          <w:color w:val="auto"/>
          <w:sz w:val="24"/>
        </w:rPr>
      </w:pPr>
    </w:p>
    <w:p>
      <w:pPr>
        <w:rPr>
          <w:rFonts w:hint="eastAsia" w:ascii="宋体" w:hAnsi="宋体" w:eastAsia="宋体" w:cs="宋体"/>
          <w:snapToGrid w:val="0"/>
          <w:color w:val="auto"/>
          <w:sz w:val="24"/>
        </w:rPr>
      </w:pPr>
    </w:p>
    <w:p>
      <w:pPr>
        <w:pStyle w:val="13"/>
        <w:spacing w:line="360" w:lineRule="auto"/>
        <w:jc w:val="center"/>
        <w:rPr>
          <w:rFonts w:hint="eastAsia" w:ascii="宋体" w:hAnsi="宋体" w:eastAsia="宋体" w:cs="宋体"/>
          <w:b/>
          <w:color w:val="auto"/>
          <w:kern w:val="2"/>
          <w:sz w:val="52"/>
          <w:szCs w:val="28"/>
          <w:lang w:eastAsia="zh-CN"/>
        </w:rPr>
      </w:pPr>
      <w:r>
        <w:rPr>
          <w:rFonts w:hint="eastAsia" w:ascii="宋体" w:hAnsi="宋体" w:cs="宋体"/>
          <w:b/>
          <w:color w:val="auto"/>
          <w:kern w:val="2"/>
          <w:sz w:val="52"/>
          <w:szCs w:val="28"/>
          <w:lang w:eastAsia="zh-CN"/>
        </w:rPr>
        <w:t>汉中市南郑区“四改一拆一通一落地”-汉山街道办高庄村背街小巷硬化工程</w:t>
      </w:r>
    </w:p>
    <w:p>
      <w:pPr>
        <w:pStyle w:val="13"/>
        <w:rPr>
          <w:rFonts w:hint="eastAsia" w:ascii="宋体" w:hAnsi="宋体" w:eastAsia="宋体" w:cs="宋体"/>
          <w:b/>
          <w:color w:val="auto"/>
          <w:sz w:val="24"/>
        </w:rPr>
      </w:pPr>
    </w:p>
    <w:p>
      <w:pPr>
        <w:rPr>
          <w:rFonts w:hint="eastAsia" w:ascii="宋体" w:hAnsi="宋体" w:eastAsia="宋体" w:cs="宋体"/>
        </w:rPr>
      </w:pPr>
    </w:p>
    <w:p>
      <w:pPr>
        <w:rPr>
          <w:rFonts w:hint="eastAsia" w:ascii="宋体" w:hAnsi="宋体" w:eastAsia="宋体" w:cs="宋体"/>
          <w:color w:val="auto"/>
        </w:rPr>
      </w:pPr>
    </w:p>
    <w:p>
      <w:pPr>
        <w:pStyle w:val="13"/>
        <w:rPr>
          <w:rFonts w:hint="eastAsia" w:ascii="宋体" w:hAnsi="宋体" w:eastAsia="宋体" w:cs="宋体"/>
          <w:color w:val="auto"/>
        </w:rPr>
      </w:pPr>
    </w:p>
    <w:p>
      <w:pPr>
        <w:rPr>
          <w:rFonts w:hint="eastAsia" w:ascii="宋体" w:hAnsi="宋体" w:eastAsia="宋体" w:cs="宋体"/>
          <w:color w:val="auto"/>
        </w:rPr>
      </w:pPr>
    </w:p>
    <w:p>
      <w:pPr>
        <w:rPr>
          <w:rFonts w:hint="eastAsia" w:ascii="宋体" w:hAnsi="宋体" w:eastAsia="宋体" w:cs="宋体"/>
          <w:color w:val="auto"/>
        </w:rPr>
      </w:pPr>
    </w:p>
    <w:p>
      <w:pPr>
        <w:rPr>
          <w:rFonts w:hint="eastAsia" w:ascii="宋体" w:hAnsi="宋体" w:eastAsia="宋体" w:cs="宋体"/>
          <w:color w:val="auto"/>
        </w:rPr>
      </w:pPr>
    </w:p>
    <w:p>
      <w:pPr>
        <w:jc w:val="center"/>
        <w:rPr>
          <w:rFonts w:hint="eastAsia" w:ascii="宋体" w:hAnsi="宋体" w:eastAsia="宋体" w:cs="宋体"/>
          <w:b/>
          <w:bCs/>
          <w:color w:val="auto"/>
          <w:sz w:val="24"/>
        </w:rPr>
      </w:pPr>
      <w:r>
        <w:rPr>
          <w:rFonts w:hint="eastAsia" w:ascii="宋体" w:hAnsi="宋体" w:eastAsia="宋体" w:cs="宋体"/>
          <w:b/>
          <w:color w:val="auto"/>
          <w:sz w:val="56"/>
          <w:szCs w:val="56"/>
          <w:lang w:eastAsia="zh-CN"/>
        </w:rPr>
        <w:t>竞争性磋商响应</w:t>
      </w:r>
      <w:r>
        <w:rPr>
          <w:rFonts w:hint="eastAsia" w:ascii="宋体" w:hAnsi="宋体" w:eastAsia="宋体" w:cs="宋体"/>
          <w:b/>
          <w:color w:val="auto"/>
          <w:sz w:val="56"/>
          <w:szCs w:val="56"/>
        </w:rPr>
        <w:t>文件</w:t>
      </w:r>
    </w:p>
    <w:p>
      <w:pPr>
        <w:rPr>
          <w:rFonts w:hint="eastAsia" w:ascii="宋体" w:hAnsi="宋体" w:eastAsia="宋体" w:cs="宋体"/>
          <w:b/>
          <w:bCs/>
          <w:color w:val="auto"/>
          <w:sz w:val="24"/>
        </w:rPr>
      </w:pPr>
    </w:p>
    <w:p>
      <w:pPr>
        <w:rPr>
          <w:rFonts w:hint="eastAsia" w:ascii="宋体" w:hAnsi="宋体" w:eastAsia="宋体" w:cs="宋体"/>
          <w:b/>
          <w:bCs/>
          <w:color w:val="auto"/>
          <w:sz w:val="24"/>
        </w:rPr>
      </w:pPr>
    </w:p>
    <w:p>
      <w:pPr>
        <w:spacing w:line="560" w:lineRule="exact"/>
        <w:rPr>
          <w:rFonts w:hint="eastAsia" w:ascii="宋体" w:hAnsi="宋体" w:eastAsia="宋体" w:cs="宋体"/>
          <w:b/>
          <w:color w:val="auto"/>
          <w:sz w:val="24"/>
        </w:rPr>
      </w:pPr>
    </w:p>
    <w:p>
      <w:pPr>
        <w:spacing w:line="560" w:lineRule="exact"/>
        <w:rPr>
          <w:rFonts w:hint="eastAsia" w:ascii="宋体" w:hAnsi="宋体" w:eastAsia="宋体" w:cs="宋体"/>
          <w:b/>
          <w:color w:val="auto"/>
          <w:sz w:val="24"/>
        </w:rPr>
      </w:pPr>
    </w:p>
    <w:p>
      <w:pPr>
        <w:pStyle w:val="13"/>
        <w:rPr>
          <w:rFonts w:hint="eastAsia" w:ascii="宋体" w:hAnsi="宋体" w:eastAsia="宋体" w:cs="宋体"/>
          <w:color w:val="auto"/>
          <w:sz w:val="24"/>
        </w:rPr>
      </w:pPr>
    </w:p>
    <w:p>
      <w:pPr>
        <w:rPr>
          <w:rFonts w:hint="eastAsia" w:ascii="宋体" w:hAnsi="宋体" w:eastAsia="宋体" w:cs="宋体"/>
          <w:color w:val="auto"/>
        </w:rPr>
      </w:pPr>
    </w:p>
    <w:p>
      <w:pPr>
        <w:pStyle w:val="13"/>
        <w:rPr>
          <w:rFonts w:hint="eastAsia" w:ascii="宋体" w:hAnsi="宋体" w:eastAsia="宋体" w:cs="宋体"/>
          <w:color w:val="auto"/>
        </w:rPr>
      </w:pPr>
    </w:p>
    <w:p>
      <w:pPr>
        <w:rPr>
          <w:rFonts w:hint="eastAsia" w:ascii="宋体" w:hAnsi="宋体" w:eastAsia="宋体" w:cs="宋体"/>
          <w:color w:val="auto"/>
        </w:rPr>
      </w:pPr>
    </w:p>
    <w:p>
      <w:pPr>
        <w:spacing w:line="480" w:lineRule="auto"/>
        <w:rPr>
          <w:rFonts w:hint="eastAsia" w:ascii="宋体" w:hAnsi="宋体" w:eastAsia="宋体" w:cs="宋体"/>
          <w:color w:val="auto"/>
          <w:sz w:val="28"/>
          <w:u w:val="single"/>
          <w:lang w:eastAsia="zh-CN"/>
        </w:rPr>
      </w:pPr>
      <w:bookmarkStart w:id="24" w:name="_Toc1574_WPSOffice_Level1"/>
      <w:bookmarkStart w:id="25" w:name="_Toc11672_WPSOffice_Level1"/>
      <w:r>
        <w:rPr>
          <w:rFonts w:hint="eastAsia" w:ascii="宋体" w:hAnsi="宋体" w:eastAsia="宋体" w:cs="宋体"/>
          <w:color w:val="auto"/>
          <w:sz w:val="28"/>
        </w:rPr>
        <w:t>采购项目编号：</w:t>
      </w:r>
      <w:r>
        <w:rPr>
          <w:rFonts w:hint="eastAsia" w:ascii="宋体" w:hAnsi="宋体" w:eastAsia="宋体" w:cs="宋体"/>
          <w:color w:val="auto"/>
          <w:sz w:val="28"/>
          <w:u w:val="single"/>
        </w:rPr>
        <w:t>              </w:t>
      </w:r>
    </w:p>
    <w:p>
      <w:pPr>
        <w:spacing w:line="480" w:lineRule="auto"/>
        <w:rPr>
          <w:rFonts w:hint="eastAsia" w:ascii="宋体" w:hAnsi="宋体" w:eastAsia="宋体" w:cs="宋体"/>
          <w:color w:val="auto"/>
          <w:sz w:val="28"/>
          <w:lang w:eastAsia="zh-CN"/>
        </w:rPr>
      </w:pPr>
      <w:r>
        <w:rPr>
          <w:rFonts w:hint="eastAsia" w:ascii="宋体" w:hAnsi="宋体" w:eastAsia="宋体" w:cs="宋体"/>
          <w:color w:val="auto"/>
          <w:sz w:val="28"/>
        </w:rPr>
        <w:t>供应商：</w:t>
      </w:r>
      <w:r>
        <w:rPr>
          <w:rFonts w:hint="eastAsia" w:ascii="宋体" w:hAnsi="宋体" w:eastAsia="宋体" w:cs="宋体"/>
          <w:color w:val="auto"/>
          <w:sz w:val="28"/>
          <w:u w:val="single"/>
        </w:rPr>
        <w:t>              </w:t>
      </w:r>
    </w:p>
    <w:p>
      <w:pPr>
        <w:spacing w:line="480" w:lineRule="auto"/>
        <w:rPr>
          <w:rFonts w:hint="eastAsia" w:ascii="宋体" w:hAnsi="宋体" w:eastAsia="宋体" w:cs="宋体"/>
          <w:color w:val="auto"/>
          <w:sz w:val="28"/>
        </w:rPr>
      </w:pPr>
      <w:r>
        <w:rPr>
          <w:rFonts w:hint="eastAsia" w:ascii="宋体" w:hAnsi="宋体" w:eastAsia="宋体" w:cs="宋体"/>
          <w:color w:val="auto"/>
          <w:sz w:val="28"/>
        </w:rPr>
        <w:t>法定代表人或其被授权委托代理人：</w:t>
      </w:r>
      <w:r>
        <w:rPr>
          <w:rFonts w:hint="eastAsia" w:ascii="宋体" w:hAnsi="宋体" w:cs="宋体"/>
          <w:color w:val="auto"/>
          <w:sz w:val="28"/>
          <w:u w:val="single"/>
          <w:lang w:val="en-US" w:eastAsia="zh-CN"/>
        </w:rPr>
        <w:t xml:space="preserve">            </w:t>
      </w:r>
      <w:r>
        <w:rPr>
          <w:rFonts w:hint="eastAsia" w:ascii="宋体" w:hAnsi="宋体" w:eastAsia="宋体" w:cs="宋体"/>
          <w:b w:val="0"/>
          <w:bCs w:val="0"/>
          <w:color w:val="auto"/>
          <w:sz w:val="28"/>
        </w:rPr>
        <w:t>（签字或盖章）</w:t>
      </w:r>
    </w:p>
    <w:p>
      <w:pPr>
        <w:autoSpaceDE w:val="0"/>
        <w:autoSpaceDN w:val="0"/>
        <w:adjustRightInd w:val="0"/>
        <w:snapToGrid w:val="0"/>
        <w:spacing w:line="480" w:lineRule="auto"/>
        <w:rPr>
          <w:rFonts w:hint="eastAsia" w:ascii="宋体" w:hAnsi="宋体" w:eastAsia="宋体" w:cs="宋体"/>
          <w:b/>
          <w:bCs/>
          <w:color w:val="auto"/>
          <w:sz w:val="24"/>
          <w:u w:val="single"/>
          <w:lang w:val="zh-CN"/>
        </w:rPr>
      </w:pPr>
      <w:r>
        <w:rPr>
          <w:rFonts w:hint="eastAsia" w:ascii="宋体" w:hAnsi="宋体" w:eastAsia="宋体" w:cs="宋体"/>
          <w:color w:val="auto"/>
          <w:sz w:val="28"/>
        </w:rPr>
        <w:t>日期：</w:t>
      </w:r>
      <w:r>
        <w:rPr>
          <w:rFonts w:hint="eastAsia" w:ascii="宋体" w:hAnsi="宋体" w:eastAsia="宋体" w:cs="宋体"/>
          <w:color w:val="auto"/>
          <w:sz w:val="28"/>
          <w:u w:val="single"/>
        </w:rPr>
        <w:t>              </w:t>
      </w:r>
    </w:p>
    <w:p>
      <w:pPr>
        <w:autoSpaceDE w:val="0"/>
        <w:autoSpaceDN w:val="0"/>
        <w:adjustRightInd w:val="0"/>
        <w:snapToGrid w:val="0"/>
        <w:spacing w:line="360" w:lineRule="auto"/>
        <w:jc w:val="center"/>
        <w:rPr>
          <w:rFonts w:hint="eastAsia" w:ascii="宋体" w:hAnsi="宋体" w:eastAsia="宋体" w:cs="宋体"/>
          <w:b/>
          <w:bCs/>
          <w:color w:val="auto"/>
          <w:sz w:val="24"/>
          <w:lang w:val="zh-CN"/>
        </w:rPr>
      </w:pPr>
    </w:p>
    <w:p>
      <w:pPr>
        <w:pStyle w:val="13"/>
        <w:rPr>
          <w:rFonts w:hint="eastAsia" w:ascii="宋体" w:hAnsi="宋体" w:eastAsia="宋体" w:cs="宋体"/>
          <w:color w:val="auto"/>
          <w:lang w:val="zh-CN"/>
        </w:rPr>
      </w:pPr>
    </w:p>
    <w:p>
      <w:pPr>
        <w:pStyle w:val="13"/>
        <w:rPr>
          <w:rFonts w:hint="eastAsia" w:ascii="宋体" w:hAnsi="宋体" w:eastAsia="宋体" w:cs="宋体"/>
          <w:color w:val="auto"/>
          <w:lang w:val="zh-CN"/>
        </w:rPr>
      </w:pPr>
    </w:p>
    <w:p>
      <w:pPr>
        <w:autoSpaceDE w:val="0"/>
        <w:autoSpaceDN w:val="0"/>
        <w:adjustRightInd w:val="0"/>
        <w:snapToGrid w:val="0"/>
        <w:spacing w:line="360" w:lineRule="auto"/>
        <w:jc w:val="center"/>
        <w:rPr>
          <w:rFonts w:hint="eastAsia" w:ascii="宋体" w:hAnsi="宋体" w:eastAsia="宋体" w:cs="宋体"/>
          <w:b/>
          <w:bCs/>
          <w:color w:val="auto"/>
          <w:sz w:val="32"/>
          <w:lang w:val="zh-CN"/>
        </w:rPr>
      </w:pPr>
      <w:r>
        <w:rPr>
          <w:rFonts w:hint="eastAsia" w:ascii="宋体" w:hAnsi="宋体" w:eastAsia="宋体" w:cs="宋体"/>
          <w:b/>
          <w:bCs/>
          <w:color w:val="auto"/>
          <w:sz w:val="32"/>
          <w:lang w:val="zh-CN"/>
        </w:rPr>
        <w:t>目录</w:t>
      </w:r>
      <w:bookmarkEnd w:id="24"/>
      <w:bookmarkEnd w:id="25"/>
    </w:p>
    <w:p>
      <w:pPr>
        <w:pStyle w:val="13"/>
        <w:rPr>
          <w:rFonts w:hint="eastAsia" w:ascii="宋体" w:hAnsi="宋体" w:eastAsia="宋体" w:cs="宋体"/>
          <w:color w:val="auto"/>
          <w:sz w:val="24"/>
          <w:lang w:val="zh-CN"/>
        </w:rPr>
      </w:pPr>
    </w:p>
    <w:p>
      <w:pPr>
        <w:spacing w:line="720" w:lineRule="auto"/>
        <w:rPr>
          <w:rFonts w:hint="eastAsia" w:ascii="宋体" w:hAnsi="宋体" w:eastAsia="宋体" w:cs="宋体"/>
          <w:b/>
          <w:color w:val="auto"/>
          <w:sz w:val="24"/>
        </w:rPr>
      </w:pPr>
      <w:bookmarkStart w:id="26" w:name="_Toc25608_WPSOffice_Level1"/>
      <w:bookmarkStart w:id="27" w:name="_Toc53231786"/>
      <w:bookmarkStart w:id="28" w:name="_Toc29805_WPSOffice_Level1"/>
      <w:bookmarkStart w:id="29" w:name="_Toc7507166"/>
      <w:bookmarkStart w:id="30" w:name="_Toc53231742"/>
      <w:bookmarkStart w:id="31" w:name="_Toc53231530"/>
      <w:r>
        <w:rPr>
          <w:rFonts w:hint="eastAsia" w:ascii="宋体" w:hAnsi="宋体" w:eastAsia="宋体" w:cs="宋体"/>
          <w:b/>
          <w:color w:val="auto"/>
          <w:sz w:val="24"/>
        </w:rPr>
        <w:t>一、法定代表人身份证明书</w:t>
      </w:r>
      <w:bookmarkEnd w:id="26"/>
      <w:bookmarkEnd w:id="27"/>
      <w:bookmarkEnd w:id="28"/>
      <w:bookmarkEnd w:id="29"/>
      <w:bookmarkEnd w:id="30"/>
      <w:bookmarkEnd w:id="31"/>
    </w:p>
    <w:p>
      <w:pPr>
        <w:spacing w:line="720" w:lineRule="auto"/>
        <w:rPr>
          <w:rFonts w:hint="eastAsia" w:ascii="宋体" w:hAnsi="宋体" w:eastAsia="宋体" w:cs="宋体"/>
          <w:b/>
          <w:color w:val="auto"/>
          <w:sz w:val="24"/>
        </w:rPr>
      </w:pPr>
      <w:bookmarkStart w:id="32" w:name="_Toc53231743"/>
      <w:bookmarkStart w:id="33" w:name="_Toc53231531"/>
      <w:bookmarkStart w:id="34" w:name="_Toc7507167"/>
      <w:bookmarkStart w:id="35" w:name="_Toc17108_WPSOffice_Level1"/>
      <w:bookmarkStart w:id="36" w:name="_Toc21344_WPSOffice_Level1"/>
      <w:bookmarkStart w:id="37" w:name="_Toc53231787"/>
      <w:r>
        <w:rPr>
          <w:rFonts w:hint="eastAsia" w:ascii="宋体" w:hAnsi="宋体" w:eastAsia="宋体" w:cs="宋体"/>
          <w:b/>
          <w:color w:val="auto"/>
          <w:sz w:val="24"/>
        </w:rPr>
        <w:t>二、磋商响应文件授权委托书</w:t>
      </w:r>
      <w:bookmarkEnd w:id="32"/>
      <w:bookmarkEnd w:id="33"/>
      <w:bookmarkEnd w:id="34"/>
      <w:bookmarkEnd w:id="35"/>
      <w:bookmarkEnd w:id="36"/>
      <w:bookmarkEnd w:id="37"/>
    </w:p>
    <w:p>
      <w:pPr>
        <w:spacing w:line="720" w:lineRule="auto"/>
        <w:rPr>
          <w:rFonts w:hint="eastAsia" w:ascii="宋体" w:hAnsi="宋体" w:eastAsia="宋体" w:cs="宋体"/>
          <w:b/>
          <w:color w:val="auto"/>
          <w:sz w:val="24"/>
        </w:rPr>
      </w:pPr>
      <w:bookmarkStart w:id="38" w:name="_Toc6664_WPSOffice_Level1"/>
      <w:bookmarkStart w:id="39" w:name="_Toc53231532"/>
      <w:bookmarkStart w:id="40" w:name="_Toc53231744"/>
      <w:bookmarkStart w:id="41" w:name="_Toc7507168"/>
      <w:bookmarkStart w:id="42" w:name="_Toc53231788"/>
      <w:bookmarkStart w:id="43" w:name="_Toc24936_WPSOffice_Level1"/>
      <w:r>
        <w:rPr>
          <w:rFonts w:hint="eastAsia" w:ascii="宋体" w:hAnsi="宋体" w:eastAsia="宋体" w:cs="宋体"/>
          <w:b/>
          <w:color w:val="auto"/>
          <w:sz w:val="24"/>
        </w:rPr>
        <w:t>三、磋商响应函</w:t>
      </w:r>
      <w:bookmarkEnd w:id="38"/>
      <w:bookmarkEnd w:id="39"/>
      <w:bookmarkEnd w:id="40"/>
      <w:bookmarkEnd w:id="41"/>
      <w:bookmarkEnd w:id="42"/>
      <w:bookmarkEnd w:id="43"/>
    </w:p>
    <w:p>
      <w:pPr>
        <w:spacing w:line="720" w:lineRule="auto"/>
        <w:rPr>
          <w:rFonts w:hint="eastAsia" w:ascii="宋体" w:hAnsi="宋体" w:eastAsia="宋体" w:cs="宋体"/>
          <w:b/>
          <w:color w:val="auto"/>
          <w:sz w:val="24"/>
          <w:lang w:eastAsia="zh-CN"/>
        </w:rPr>
      </w:pPr>
      <w:bookmarkStart w:id="44" w:name="_Toc7507169"/>
      <w:bookmarkStart w:id="45" w:name="_Toc25298_WPSOffice_Level1"/>
      <w:bookmarkStart w:id="46" w:name="_Toc53231533"/>
      <w:bookmarkStart w:id="47" w:name="_Toc53231789"/>
      <w:bookmarkStart w:id="48" w:name="_Toc10012_WPSOffice_Level1"/>
      <w:bookmarkStart w:id="49" w:name="_Toc53231745"/>
      <w:r>
        <w:rPr>
          <w:rFonts w:hint="eastAsia" w:ascii="宋体" w:hAnsi="宋体" w:eastAsia="宋体" w:cs="宋体"/>
          <w:b/>
          <w:color w:val="auto"/>
          <w:sz w:val="24"/>
        </w:rPr>
        <w:t>四、首次磋商报价表</w:t>
      </w:r>
      <w:bookmarkEnd w:id="44"/>
      <w:bookmarkEnd w:id="45"/>
      <w:bookmarkEnd w:id="46"/>
      <w:bookmarkEnd w:id="47"/>
      <w:bookmarkEnd w:id="48"/>
      <w:bookmarkEnd w:id="49"/>
    </w:p>
    <w:p>
      <w:pPr>
        <w:spacing w:line="720" w:lineRule="auto"/>
        <w:rPr>
          <w:rFonts w:hint="eastAsia" w:ascii="宋体" w:hAnsi="宋体" w:eastAsia="宋体" w:cs="宋体"/>
          <w:b/>
          <w:color w:val="auto"/>
          <w:sz w:val="24"/>
        </w:rPr>
      </w:pPr>
      <w:r>
        <w:rPr>
          <w:rFonts w:hint="eastAsia" w:ascii="宋体" w:hAnsi="宋体" w:eastAsia="宋体" w:cs="宋体"/>
          <w:b/>
          <w:color w:val="auto"/>
          <w:sz w:val="24"/>
        </w:rPr>
        <w:t>五、已标价工程量清单</w:t>
      </w:r>
    </w:p>
    <w:p>
      <w:pPr>
        <w:spacing w:line="720" w:lineRule="auto"/>
        <w:rPr>
          <w:rFonts w:hint="eastAsia" w:ascii="宋体" w:hAnsi="宋体" w:eastAsia="宋体" w:cs="宋体"/>
          <w:b/>
          <w:color w:val="auto"/>
          <w:sz w:val="24"/>
        </w:rPr>
      </w:pPr>
      <w:bookmarkStart w:id="50" w:name="_Toc53231790"/>
      <w:bookmarkStart w:id="51" w:name="_Toc25010_WPSOffice_Level1"/>
      <w:bookmarkStart w:id="52" w:name="_Toc53231534"/>
      <w:bookmarkStart w:id="53" w:name="_Toc53231746"/>
      <w:bookmarkStart w:id="54" w:name="_Toc30027_WPSOffice_Level1"/>
      <w:bookmarkStart w:id="55" w:name="_Toc7507170"/>
      <w:r>
        <w:rPr>
          <w:rFonts w:hint="eastAsia" w:ascii="宋体" w:hAnsi="宋体" w:eastAsia="宋体" w:cs="宋体"/>
          <w:b/>
          <w:color w:val="auto"/>
          <w:sz w:val="24"/>
        </w:rPr>
        <w:t>六、磋商保证金</w:t>
      </w:r>
      <w:bookmarkEnd w:id="50"/>
      <w:bookmarkEnd w:id="51"/>
      <w:bookmarkEnd w:id="52"/>
      <w:bookmarkEnd w:id="53"/>
      <w:bookmarkEnd w:id="54"/>
      <w:bookmarkEnd w:id="55"/>
    </w:p>
    <w:p>
      <w:pPr>
        <w:spacing w:line="720" w:lineRule="auto"/>
        <w:rPr>
          <w:rFonts w:hint="eastAsia" w:ascii="宋体" w:hAnsi="宋体" w:eastAsia="宋体" w:cs="宋体"/>
          <w:b/>
          <w:color w:val="auto"/>
          <w:sz w:val="24"/>
        </w:rPr>
      </w:pPr>
      <w:bookmarkStart w:id="56" w:name="_Toc53231791"/>
      <w:bookmarkStart w:id="57" w:name="_Toc53231535"/>
      <w:bookmarkStart w:id="58" w:name="_Toc53231747"/>
      <w:bookmarkStart w:id="59" w:name="_Toc16474_WPSOffice_Level1"/>
      <w:bookmarkStart w:id="60" w:name="_Toc16392_WPSOffice_Level1"/>
      <w:bookmarkStart w:id="61" w:name="_Toc7507173"/>
      <w:r>
        <w:rPr>
          <w:rFonts w:hint="eastAsia" w:ascii="宋体" w:hAnsi="宋体" w:eastAsia="宋体" w:cs="宋体"/>
          <w:b/>
          <w:color w:val="auto"/>
          <w:sz w:val="24"/>
        </w:rPr>
        <w:t>七、供应商资质审查资料</w:t>
      </w:r>
      <w:bookmarkEnd w:id="56"/>
      <w:bookmarkEnd w:id="57"/>
      <w:bookmarkEnd w:id="58"/>
    </w:p>
    <w:bookmarkEnd w:id="59"/>
    <w:bookmarkEnd w:id="60"/>
    <w:bookmarkEnd w:id="61"/>
    <w:p>
      <w:pPr>
        <w:spacing w:line="720" w:lineRule="auto"/>
        <w:rPr>
          <w:rFonts w:hint="eastAsia" w:ascii="宋体" w:hAnsi="宋体" w:eastAsia="宋体" w:cs="宋体"/>
          <w:b/>
          <w:color w:val="auto"/>
          <w:sz w:val="24"/>
        </w:rPr>
      </w:pPr>
      <w:bookmarkStart w:id="62" w:name="_Toc53231748"/>
      <w:bookmarkStart w:id="63" w:name="_Toc53231792"/>
      <w:bookmarkStart w:id="64" w:name="_Toc3825_WPSOffice_Level1"/>
      <w:bookmarkStart w:id="65" w:name="_Toc21297_WPSOffice_Level1"/>
      <w:bookmarkStart w:id="66" w:name="_Toc53231536"/>
      <w:r>
        <w:rPr>
          <w:rFonts w:hint="eastAsia" w:ascii="宋体" w:hAnsi="宋体" w:eastAsia="宋体" w:cs="宋体"/>
          <w:b/>
          <w:color w:val="auto"/>
          <w:sz w:val="24"/>
        </w:rPr>
        <w:t>八、技术投标方案</w:t>
      </w:r>
      <w:bookmarkEnd w:id="62"/>
      <w:bookmarkEnd w:id="63"/>
      <w:bookmarkEnd w:id="64"/>
      <w:bookmarkEnd w:id="65"/>
      <w:bookmarkEnd w:id="66"/>
    </w:p>
    <w:p>
      <w:pPr>
        <w:spacing w:line="720" w:lineRule="auto"/>
        <w:rPr>
          <w:rFonts w:hint="eastAsia" w:ascii="宋体" w:hAnsi="宋体" w:eastAsia="宋体" w:cs="宋体"/>
          <w:b/>
          <w:color w:val="auto"/>
          <w:sz w:val="24"/>
        </w:rPr>
      </w:pPr>
      <w:r>
        <w:rPr>
          <w:rFonts w:hint="eastAsia" w:ascii="宋体" w:hAnsi="宋体" w:eastAsia="宋体" w:cs="宋体"/>
          <w:b/>
          <w:color w:val="auto"/>
          <w:sz w:val="24"/>
        </w:rPr>
        <w:t>九、商务标投标方案</w:t>
      </w:r>
    </w:p>
    <w:p>
      <w:pPr>
        <w:spacing w:line="720" w:lineRule="auto"/>
        <w:rPr>
          <w:rFonts w:hint="eastAsia" w:ascii="宋体" w:hAnsi="宋体" w:eastAsia="宋体" w:cs="宋体"/>
          <w:b/>
          <w:color w:val="auto"/>
          <w:sz w:val="24"/>
        </w:rPr>
      </w:pPr>
      <w:r>
        <w:rPr>
          <w:rFonts w:hint="eastAsia" w:ascii="宋体" w:hAnsi="宋体" w:eastAsia="宋体" w:cs="宋体"/>
          <w:b/>
          <w:color w:val="auto"/>
          <w:sz w:val="24"/>
        </w:rPr>
        <w:t>十、供应商认为有必要说明的其他问题</w:t>
      </w:r>
    </w:p>
    <w:p>
      <w:pPr>
        <w:pStyle w:val="13"/>
        <w:rPr>
          <w:rFonts w:hint="eastAsia" w:ascii="宋体" w:hAnsi="宋体" w:eastAsia="宋体" w:cs="宋体"/>
          <w:color w:val="auto"/>
          <w:sz w:val="24"/>
        </w:rPr>
      </w:pPr>
    </w:p>
    <w:p>
      <w:pPr>
        <w:pStyle w:val="5"/>
        <w:jc w:val="center"/>
        <w:rPr>
          <w:rFonts w:hint="eastAsia" w:ascii="宋体" w:hAnsi="宋体" w:eastAsia="宋体" w:cs="宋体"/>
          <w:bCs w:val="0"/>
          <w:color w:val="auto"/>
          <w:sz w:val="24"/>
          <w:szCs w:val="24"/>
        </w:rPr>
      </w:pPr>
      <w:r>
        <w:rPr>
          <w:rFonts w:hint="eastAsia" w:ascii="宋体" w:hAnsi="宋体" w:eastAsia="宋体" w:cs="宋体"/>
          <w:color w:val="auto"/>
          <w:sz w:val="24"/>
          <w:szCs w:val="24"/>
          <w:lang w:val="zh-CN"/>
        </w:rPr>
        <w:br w:type="page"/>
      </w:r>
      <w:bookmarkStart w:id="67" w:name="_Toc78884383"/>
      <w:bookmarkStart w:id="68" w:name="_Toc8457_WPSOffice_Level1"/>
      <w:bookmarkStart w:id="69" w:name="_Toc7507174"/>
      <w:bookmarkStart w:id="70" w:name="_Toc53231749"/>
      <w:bookmarkStart w:id="71" w:name="_Toc53231793"/>
      <w:bookmarkStart w:id="72" w:name="_Toc53231537"/>
      <w:bookmarkStart w:id="73" w:name="_Toc29627_WPSOffice_Level1"/>
      <w:r>
        <w:rPr>
          <w:rFonts w:hint="eastAsia" w:ascii="宋体" w:hAnsi="宋体" w:eastAsia="宋体" w:cs="宋体"/>
          <w:color w:val="auto"/>
          <w:sz w:val="24"/>
          <w:szCs w:val="24"/>
          <w:lang w:val="zh-CN"/>
        </w:rPr>
        <w:t>一、</w:t>
      </w:r>
      <w:r>
        <w:rPr>
          <w:rFonts w:hint="eastAsia" w:ascii="宋体" w:hAnsi="宋体" w:eastAsia="宋体" w:cs="宋体"/>
          <w:bCs w:val="0"/>
          <w:color w:val="auto"/>
          <w:sz w:val="24"/>
          <w:szCs w:val="24"/>
        </w:rPr>
        <w:t>法定代表人身份证明书</w:t>
      </w:r>
      <w:bookmarkEnd w:id="67"/>
      <w:bookmarkEnd w:id="68"/>
      <w:bookmarkEnd w:id="69"/>
      <w:bookmarkEnd w:id="70"/>
      <w:bookmarkEnd w:id="71"/>
      <w:bookmarkEnd w:id="72"/>
      <w:bookmarkEnd w:id="73"/>
    </w:p>
    <w:tbl>
      <w:tblPr>
        <w:tblStyle w:val="28"/>
        <w:tblW w:w="926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6"/>
        <w:gridCol w:w="2344"/>
        <w:gridCol w:w="1186"/>
        <w:gridCol w:w="2022"/>
        <w:gridCol w:w="20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jc w:val="center"/>
        </w:trPr>
        <w:tc>
          <w:tcPr>
            <w:tcW w:w="9265" w:type="dxa"/>
            <w:gridSpan w:val="5"/>
          </w:tcPr>
          <w:p>
            <w:pPr>
              <w:tabs>
                <w:tab w:val="left" w:pos="1260"/>
              </w:tabs>
              <w:spacing w:line="440" w:lineRule="exact"/>
              <w:rPr>
                <w:rFonts w:hint="eastAsia" w:ascii="宋体" w:hAnsi="宋体" w:eastAsia="宋体" w:cs="宋体"/>
                <w:b/>
                <w:bCs/>
                <w:color w:val="auto"/>
                <w:sz w:val="24"/>
                <w:lang w:eastAsia="zh-CN"/>
              </w:rPr>
            </w:pPr>
            <w:bookmarkStart w:id="74" w:name="_Toc13868_WPSOffice_Level1"/>
            <w:bookmarkStart w:id="75" w:name="_Toc7507176"/>
            <w:bookmarkStart w:id="76" w:name="_Toc501033964"/>
            <w:bookmarkStart w:id="77" w:name="_Toc28634_WPSOffice_Level1"/>
            <w:r>
              <w:rPr>
                <w:rFonts w:hint="eastAsia" w:ascii="宋体" w:hAnsi="宋体" w:eastAsia="宋体" w:cs="宋体"/>
                <w:color w:val="auto"/>
                <w:sz w:val="24"/>
              </w:rPr>
              <w:t>致：</w:t>
            </w:r>
            <w:r>
              <w:rPr>
                <w:rFonts w:hint="eastAsia" w:ascii="宋体" w:hAnsi="宋体" w:eastAsia="宋体" w:cs="宋体"/>
                <w:color w:val="auto"/>
                <w:sz w:val="24"/>
                <w:lang w:eastAsia="zh-CN"/>
              </w:rPr>
              <w:t>（采购人）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706" w:type="dxa"/>
            <w:vMerge w:val="restart"/>
            <w:vAlign w:val="center"/>
          </w:tcPr>
          <w:p>
            <w:pPr>
              <w:tabs>
                <w:tab w:val="left" w:pos="1260"/>
              </w:tabs>
              <w:spacing w:line="440" w:lineRule="exact"/>
              <w:jc w:val="center"/>
              <w:rPr>
                <w:rFonts w:hint="eastAsia" w:ascii="宋体" w:hAnsi="宋体" w:eastAsia="宋体" w:cs="宋体"/>
                <w:color w:val="auto"/>
                <w:sz w:val="24"/>
              </w:rPr>
            </w:pPr>
            <w:r>
              <w:rPr>
                <w:rFonts w:hint="eastAsia" w:ascii="宋体" w:hAnsi="宋体" w:eastAsia="宋体" w:cs="宋体"/>
                <w:color w:val="auto"/>
                <w:sz w:val="24"/>
              </w:rPr>
              <w:t>企业基本信息</w:t>
            </w:r>
          </w:p>
        </w:tc>
        <w:tc>
          <w:tcPr>
            <w:tcW w:w="2344" w:type="dxa"/>
            <w:vAlign w:val="center"/>
          </w:tcPr>
          <w:p>
            <w:pPr>
              <w:tabs>
                <w:tab w:val="left" w:pos="1260"/>
              </w:tabs>
              <w:spacing w:line="440" w:lineRule="exact"/>
              <w:jc w:val="center"/>
              <w:rPr>
                <w:rFonts w:hint="eastAsia" w:ascii="宋体" w:hAnsi="宋体" w:eastAsia="宋体" w:cs="宋体"/>
                <w:color w:val="auto"/>
                <w:sz w:val="24"/>
              </w:rPr>
            </w:pPr>
            <w:r>
              <w:rPr>
                <w:rFonts w:hint="eastAsia" w:ascii="宋体" w:hAnsi="宋体" w:eastAsia="宋体" w:cs="宋体"/>
                <w:color w:val="auto"/>
                <w:sz w:val="24"/>
              </w:rPr>
              <w:t>企业名称</w:t>
            </w:r>
          </w:p>
        </w:tc>
        <w:tc>
          <w:tcPr>
            <w:tcW w:w="5215" w:type="dxa"/>
            <w:gridSpan w:val="3"/>
          </w:tcPr>
          <w:p>
            <w:pPr>
              <w:tabs>
                <w:tab w:val="left" w:pos="1260"/>
              </w:tabs>
              <w:spacing w:line="440" w:lineRule="exact"/>
              <w:rPr>
                <w:rFonts w:hint="eastAsia" w:ascii="宋体" w:hAnsi="宋体" w:eastAsia="宋体" w:cs="宋体"/>
                <w:b/>
                <w:bCs/>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706" w:type="dxa"/>
            <w:vMerge w:val="continue"/>
            <w:vAlign w:val="center"/>
          </w:tcPr>
          <w:p>
            <w:pPr>
              <w:tabs>
                <w:tab w:val="left" w:pos="1260"/>
              </w:tabs>
              <w:spacing w:line="440" w:lineRule="exact"/>
              <w:jc w:val="center"/>
              <w:rPr>
                <w:rFonts w:hint="eastAsia" w:ascii="宋体" w:hAnsi="宋体" w:eastAsia="宋体" w:cs="宋体"/>
                <w:b/>
                <w:bCs/>
                <w:color w:val="auto"/>
                <w:sz w:val="24"/>
              </w:rPr>
            </w:pPr>
          </w:p>
        </w:tc>
        <w:tc>
          <w:tcPr>
            <w:tcW w:w="2344" w:type="dxa"/>
            <w:vAlign w:val="center"/>
          </w:tcPr>
          <w:p>
            <w:pPr>
              <w:tabs>
                <w:tab w:val="left" w:pos="1260"/>
              </w:tabs>
              <w:spacing w:line="440" w:lineRule="exact"/>
              <w:jc w:val="center"/>
              <w:rPr>
                <w:rFonts w:hint="eastAsia" w:ascii="宋体" w:hAnsi="宋体" w:eastAsia="宋体" w:cs="宋体"/>
                <w:color w:val="auto"/>
                <w:sz w:val="24"/>
              </w:rPr>
            </w:pPr>
            <w:r>
              <w:rPr>
                <w:rFonts w:hint="eastAsia" w:ascii="宋体" w:hAnsi="宋体" w:eastAsia="宋体" w:cs="宋体"/>
                <w:color w:val="auto"/>
                <w:sz w:val="24"/>
              </w:rPr>
              <w:t>法定地址</w:t>
            </w:r>
          </w:p>
        </w:tc>
        <w:tc>
          <w:tcPr>
            <w:tcW w:w="5215" w:type="dxa"/>
            <w:gridSpan w:val="3"/>
          </w:tcPr>
          <w:p>
            <w:pPr>
              <w:tabs>
                <w:tab w:val="left" w:pos="1260"/>
              </w:tabs>
              <w:spacing w:line="440" w:lineRule="exact"/>
              <w:rPr>
                <w:rFonts w:hint="eastAsia" w:ascii="宋体" w:hAnsi="宋体" w:eastAsia="宋体" w:cs="宋体"/>
                <w:b/>
                <w:bCs/>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706" w:type="dxa"/>
            <w:vMerge w:val="continue"/>
            <w:vAlign w:val="center"/>
          </w:tcPr>
          <w:p>
            <w:pPr>
              <w:tabs>
                <w:tab w:val="left" w:pos="1260"/>
              </w:tabs>
              <w:spacing w:line="440" w:lineRule="exact"/>
              <w:jc w:val="center"/>
              <w:rPr>
                <w:rFonts w:hint="eastAsia" w:ascii="宋体" w:hAnsi="宋体" w:eastAsia="宋体" w:cs="宋体"/>
                <w:b/>
                <w:bCs/>
                <w:color w:val="auto"/>
                <w:sz w:val="24"/>
              </w:rPr>
            </w:pPr>
          </w:p>
        </w:tc>
        <w:tc>
          <w:tcPr>
            <w:tcW w:w="2344" w:type="dxa"/>
            <w:vAlign w:val="center"/>
          </w:tcPr>
          <w:p>
            <w:pPr>
              <w:tabs>
                <w:tab w:val="left" w:pos="1260"/>
              </w:tabs>
              <w:spacing w:line="440" w:lineRule="exact"/>
              <w:jc w:val="center"/>
              <w:rPr>
                <w:rFonts w:hint="eastAsia" w:ascii="宋体" w:hAnsi="宋体" w:eastAsia="宋体" w:cs="宋体"/>
                <w:color w:val="auto"/>
                <w:sz w:val="24"/>
              </w:rPr>
            </w:pPr>
            <w:r>
              <w:rPr>
                <w:rFonts w:hint="eastAsia" w:ascii="宋体" w:hAnsi="宋体" w:eastAsia="宋体" w:cs="宋体"/>
                <w:color w:val="auto"/>
                <w:sz w:val="24"/>
              </w:rPr>
              <w:t>邮政编码</w:t>
            </w:r>
          </w:p>
        </w:tc>
        <w:tc>
          <w:tcPr>
            <w:tcW w:w="5215" w:type="dxa"/>
            <w:gridSpan w:val="3"/>
          </w:tcPr>
          <w:p>
            <w:pPr>
              <w:tabs>
                <w:tab w:val="left" w:pos="1260"/>
              </w:tabs>
              <w:spacing w:line="440" w:lineRule="exact"/>
              <w:rPr>
                <w:rFonts w:hint="eastAsia" w:ascii="宋体" w:hAnsi="宋体" w:eastAsia="宋体" w:cs="宋体"/>
                <w:b/>
                <w:bCs/>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706" w:type="dxa"/>
            <w:vMerge w:val="continue"/>
            <w:vAlign w:val="center"/>
          </w:tcPr>
          <w:p>
            <w:pPr>
              <w:tabs>
                <w:tab w:val="left" w:pos="1260"/>
              </w:tabs>
              <w:spacing w:line="440" w:lineRule="exact"/>
              <w:jc w:val="center"/>
              <w:rPr>
                <w:rFonts w:hint="eastAsia" w:ascii="宋体" w:hAnsi="宋体" w:eastAsia="宋体" w:cs="宋体"/>
                <w:b/>
                <w:bCs/>
                <w:color w:val="auto"/>
                <w:sz w:val="24"/>
              </w:rPr>
            </w:pPr>
          </w:p>
        </w:tc>
        <w:tc>
          <w:tcPr>
            <w:tcW w:w="2344" w:type="dxa"/>
            <w:vAlign w:val="center"/>
          </w:tcPr>
          <w:p>
            <w:pPr>
              <w:tabs>
                <w:tab w:val="left" w:pos="1260"/>
              </w:tabs>
              <w:spacing w:line="440" w:lineRule="exact"/>
              <w:jc w:val="center"/>
              <w:rPr>
                <w:rFonts w:hint="eastAsia" w:ascii="宋体" w:hAnsi="宋体" w:eastAsia="宋体" w:cs="宋体"/>
                <w:color w:val="auto"/>
                <w:sz w:val="24"/>
              </w:rPr>
            </w:pPr>
            <w:r>
              <w:rPr>
                <w:rFonts w:hint="eastAsia" w:ascii="宋体" w:hAnsi="宋体" w:eastAsia="宋体" w:cs="宋体"/>
                <w:color w:val="auto"/>
                <w:sz w:val="24"/>
              </w:rPr>
              <w:t>网址</w:t>
            </w:r>
          </w:p>
        </w:tc>
        <w:tc>
          <w:tcPr>
            <w:tcW w:w="5215" w:type="dxa"/>
            <w:gridSpan w:val="3"/>
          </w:tcPr>
          <w:p>
            <w:pPr>
              <w:tabs>
                <w:tab w:val="left" w:pos="1260"/>
              </w:tabs>
              <w:spacing w:line="440" w:lineRule="exact"/>
              <w:rPr>
                <w:rFonts w:hint="eastAsia" w:ascii="宋体" w:hAnsi="宋体" w:eastAsia="宋体" w:cs="宋体"/>
                <w:b/>
                <w:bCs/>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706" w:type="dxa"/>
            <w:vMerge w:val="continue"/>
            <w:vAlign w:val="center"/>
          </w:tcPr>
          <w:p>
            <w:pPr>
              <w:tabs>
                <w:tab w:val="left" w:pos="1260"/>
              </w:tabs>
              <w:spacing w:line="440" w:lineRule="exact"/>
              <w:jc w:val="center"/>
              <w:rPr>
                <w:rFonts w:hint="eastAsia" w:ascii="宋体" w:hAnsi="宋体" w:eastAsia="宋体" w:cs="宋体"/>
                <w:b/>
                <w:bCs/>
                <w:color w:val="auto"/>
                <w:sz w:val="24"/>
              </w:rPr>
            </w:pPr>
          </w:p>
        </w:tc>
        <w:tc>
          <w:tcPr>
            <w:tcW w:w="2344" w:type="dxa"/>
          </w:tcPr>
          <w:p>
            <w:pPr>
              <w:tabs>
                <w:tab w:val="left" w:pos="1260"/>
              </w:tabs>
              <w:spacing w:line="440" w:lineRule="exact"/>
              <w:jc w:val="center"/>
              <w:rPr>
                <w:rFonts w:hint="eastAsia" w:ascii="宋体" w:hAnsi="宋体" w:eastAsia="宋体" w:cs="宋体"/>
                <w:b/>
                <w:bCs/>
                <w:color w:val="auto"/>
                <w:sz w:val="24"/>
              </w:rPr>
            </w:pPr>
            <w:r>
              <w:rPr>
                <w:rFonts w:hint="eastAsia" w:ascii="宋体" w:hAnsi="宋体" w:eastAsia="宋体" w:cs="宋体"/>
                <w:color w:val="auto"/>
                <w:sz w:val="24"/>
              </w:rPr>
              <w:t>工商登记机关</w:t>
            </w:r>
          </w:p>
        </w:tc>
        <w:tc>
          <w:tcPr>
            <w:tcW w:w="5215" w:type="dxa"/>
            <w:gridSpan w:val="3"/>
          </w:tcPr>
          <w:p>
            <w:pPr>
              <w:tabs>
                <w:tab w:val="left" w:pos="1260"/>
              </w:tabs>
              <w:spacing w:line="440" w:lineRule="exact"/>
              <w:rPr>
                <w:rFonts w:hint="eastAsia" w:ascii="宋体" w:hAnsi="宋体" w:eastAsia="宋体" w:cs="宋体"/>
                <w:b/>
                <w:bCs/>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0" w:hRule="atLeast"/>
          <w:jc w:val="center"/>
        </w:trPr>
        <w:tc>
          <w:tcPr>
            <w:tcW w:w="1706" w:type="dxa"/>
            <w:vMerge w:val="continue"/>
            <w:vAlign w:val="center"/>
          </w:tcPr>
          <w:p>
            <w:pPr>
              <w:tabs>
                <w:tab w:val="left" w:pos="1260"/>
              </w:tabs>
              <w:spacing w:line="440" w:lineRule="exact"/>
              <w:jc w:val="center"/>
              <w:rPr>
                <w:rFonts w:hint="eastAsia" w:ascii="宋体" w:hAnsi="宋体" w:eastAsia="宋体" w:cs="宋体"/>
                <w:b/>
                <w:bCs/>
                <w:color w:val="auto"/>
                <w:sz w:val="24"/>
              </w:rPr>
            </w:pPr>
          </w:p>
        </w:tc>
        <w:tc>
          <w:tcPr>
            <w:tcW w:w="2344" w:type="dxa"/>
            <w:vAlign w:val="center"/>
          </w:tcPr>
          <w:p>
            <w:pPr>
              <w:tabs>
                <w:tab w:val="left" w:pos="1260"/>
              </w:tabs>
              <w:spacing w:line="440" w:lineRule="exact"/>
              <w:jc w:val="center"/>
              <w:rPr>
                <w:rFonts w:hint="eastAsia" w:ascii="宋体" w:hAnsi="宋体" w:eastAsia="宋体" w:cs="宋体"/>
                <w:color w:val="auto"/>
                <w:sz w:val="24"/>
              </w:rPr>
            </w:pPr>
            <w:r>
              <w:rPr>
                <w:rFonts w:hint="eastAsia" w:ascii="宋体" w:hAnsi="宋体" w:eastAsia="宋体" w:cs="宋体"/>
                <w:color w:val="auto"/>
                <w:sz w:val="24"/>
              </w:rPr>
              <w:t>税务登记机关</w:t>
            </w:r>
          </w:p>
        </w:tc>
        <w:tc>
          <w:tcPr>
            <w:tcW w:w="5215" w:type="dxa"/>
            <w:gridSpan w:val="3"/>
          </w:tcPr>
          <w:p>
            <w:pPr>
              <w:tabs>
                <w:tab w:val="left" w:pos="1260"/>
              </w:tabs>
              <w:spacing w:line="440" w:lineRule="exact"/>
              <w:rPr>
                <w:rFonts w:hint="eastAsia" w:ascii="宋体" w:hAnsi="宋体" w:eastAsia="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706" w:type="dxa"/>
            <w:vMerge w:val="continue"/>
            <w:vAlign w:val="center"/>
          </w:tcPr>
          <w:p>
            <w:pPr>
              <w:tabs>
                <w:tab w:val="left" w:pos="1260"/>
              </w:tabs>
              <w:spacing w:line="440" w:lineRule="exact"/>
              <w:jc w:val="center"/>
              <w:rPr>
                <w:rFonts w:hint="eastAsia" w:ascii="宋体" w:hAnsi="宋体" w:eastAsia="宋体" w:cs="宋体"/>
                <w:b/>
                <w:bCs/>
                <w:color w:val="auto"/>
                <w:sz w:val="24"/>
              </w:rPr>
            </w:pPr>
          </w:p>
        </w:tc>
        <w:tc>
          <w:tcPr>
            <w:tcW w:w="2344" w:type="dxa"/>
          </w:tcPr>
          <w:p>
            <w:pPr>
              <w:tabs>
                <w:tab w:val="left" w:pos="1260"/>
              </w:tabs>
              <w:spacing w:line="440" w:lineRule="exact"/>
              <w:jc w:val="center"/>
              <w:rPr>
                <w:rFonts w:hint="eastAsia" w:ascii="宋体" w:hAnsi="宋体" w:eastAsia="宋体" w:cs="宋体"/>
                <w:b/>
                <w:bCs/>
                <w:color w:val="auto"/>
                <w:sz w:val="24"/>
              </w:rPr>
            </w:pPr>
            <w:r>
              <w:rPr>
                <w:rFonts w:hint="eastAsia" w:ascii="宋体" w:hAnsi="宋体" w:eastAsia="宋体" w:cs="宋体"/>
                <w:color w:val="auto"/>
                <w:sz w:val="24"/>
              </w:rPr>
              <w:t>组织机构代码证号</w:t>
            </w:r>
          </w:p>
        </w:tc>
        <w:tc>
          <w:tcPr>
            <w:tcW w:w="5215" w:type="dxa"/>
            <w:gridSpan w:val="3"/>
          </w:tcPr>
          <w:p>
            <w:pPr>
              <w:tabs>
                <w:tab w:val="left" w:pos="1260"/>
              </w:tabs>
              <w:spacing w:line="440" w:lineRule="exact"/>
              <w:rPr>
                <w:rFonts w:hint="eastAsia" w:ascii="宋体" w:hAnsi="宋体" w:eastAsia="宋体" w:cs="宋体"/>
                <w:b/>
                <w:bCs/>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706" w:type="dxa"/>
            <w:vMerge w:val="restart"/>
            <w:vAlign w:val="center"/>
          </w:tcPr>
          <w:p>
            <w:pPr>
              <w:tabs>
                <w:tab w:val="left" w:pos="1260"/>
              </w:tabs>
              <w:spacing w:line="440" w:lineRule="exact"/>
              <w:jc w:val="center"/>
              <w:rPr>
                <w:rFonts w:hint="eastAsia" w:ascii="宋体" w:hAnsi="宋体" w:eastAsia="宋体" w:cs="宋体"/>
                <w:b/>
                <w:bCs/>
                <w:color w:val="auto"/>
                <w:sz w:val="24"/>
              </w:rPr>
            </w:pPr>
            <w:r>
              <w:rPr>
                <w:rFonts w:hint="eastAsia" w:ascii="宋体" w:hAnsi="宋体" w:eastAsia="宋体" w:cs="宋体"/>
                <w:color w:val="auto"/>
                <w:sz w:val="24"/>
              </w:rPr>
              <w:t>法定代表人</w:t>
            </w:r>
          </w:p>
        </w:tc>
        <w:tc>
          <w:tcPr>
            <w:tcW w:w="2344" w:type="dxa"/>
            <w:vAlign w:val="center"/>
          </w:tcPr>
          <w:p>
            <w:pPr>
              <w:tabs>
                <w:tab w:val="left" w:pos="1260"/>
              </w:tabs>
              <w:spacing w:line="440" w:lineRule="exact"/>
              <w:jc w:val="center"/>
              <w:rPr>
                <w:rFonts w:hint="eastAsia" w:ascii="宋体" w:hAnsi="宋体" w:eastAsia="宋体" w:cs="宋体"/>
                <w:color w:val="auto"/>
                <w:sz w:val="24"/>
              </w:rPr>
            </w:pPr>
            <w:r>
              <w:rPr>
                <w:rFonts w:hint="eastAsia" w:ascii="宋体" w:hAnsi="宋体" w:eastAsia="宋体" w:cs="宋体"/>
                <w:color w:val="auto"/>
                <w:sz w:val="24"/>
              </w:rPr>
              <w:t>姓名</w:t>
            </w:r>
          </w:p>
        </w:tc>
        <w:tc>
          <w:tcPr>
            <w:tcW w:w="1186" w:type="dxa"/>
          </w:tcPr>
          <w:p>
            <w:pPr>
              <w:tabs>
                <w:tab w:val="left" w:pos="1260"/>
              </w:tabs>
              <w:spacing w:line="440" w:lineRule="exact"/>
              <w:rPr>
                <w:rFonts w:hint="eastAsia" w:ascii="宋体" w:hAnsi="宋体" w:eastAsia="宋体" w:cs="宋体"/>
                <w:color w:val="auto"/>
                <w:sz w:val="24"/>
              </w:rPr>
            </w:pPr>
            <w:r>
              <w:rPr>
                <w:rFonts w:hint="eastAsia" w:ascii="宋体" w:hAnsi="宋体" w:eastAsia="宋体" w:cs="宋体"/>
                <w:color w:val="auto"/>
                <w:sz w:val="24"/>
              </w:rPr>
              <w:t>（签名）</w:t>
            </w:r>
          </w:p>
        </w:tc>
        <w:tc>
          <w:tcPr>
            <w:tcW w:w="2022" w:type="dxa"/>
            <w:vAlign w:val="center"/>
          </w:tcPr>
          <w:p>
            <w:pPr>
              <w:tabs>
                <w:tab w:val="left" w:pos="1260"/>
              </w:tabs>
              <w:spacing w:line="440" w:lineRule="exact"/>
              <w:jc w:val="center"/>
              <w:rPr>
                <w:rFonts w:hint="eastAsia" w:ascii="宋体" w:hAnsi="宋体" w:eastAsia="宋体" w:cs="宋体"/>
                <w:color w:val="auto"/>
                <w:sz w:val="24"/>
              </w:rPr>
            </w:pPr>
            <w:r>
              <w:rPr>
                <w:rFonts w:hint="eastAsia" w:ascii="宋体" w:hAnsi="宋体" w:eastAsia="宋体" w:cs="宋体"/>
                <w:color w:val="auto"/>
                <w:sz w:val="24"/>
              </w:rPr>
              <w:t>性别</w:t>
            </w:r>
          </w:p>
        </w:tc>
        <w:tc>
          <w:tcPr>
            <w:tcW w:w="2007" w:type="dxa"/>
          </w:tcPr>
          <w:p>
            <w:pPr>
              <w:tabs>
                <w:tab w:val="left" w:pos="1260"/>
              </w:tabs>
              <w:spacing w:line="440" w:lineRule="exact"/>
              <w:rPr>
                <w:rFonts w:hint="eastAsia" w:ascii="宋体" w:hAnsi="宋体" w:eastAsia="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706" w:type="dxa"/>
            <w:vMerge w:val="continue"/>
            <w:vAlign w:val="center"/>
          </w:tcPr>
          <w:p>
            <w:pPr>
              <w:tabs>
                <w:tab w:val="left" w:pos="1260"/>
              </w:tabs>
              <w:spacing w:line="440" w:lineRule="exact"/>
              <w:jc w:val="center"/>
              <w:rPr>
                <w:rFonts w:hint="eastAsia" w:ascii="宋体" w:hAnsi="宋体" w:eastAsia="宋体" w:cs="宋体"/>
                <w:b/>
                <w:bCs/>
                <w:color w:val="auto"/>
                <w:sz w:val="24"/>
              </w:rPr>
            </w:pPr>
          </w:p>
        </w:tc>
        <w:tc>
          <w:tcPr>
            <w:tcW w:w="2344" w:type="dxa"/>
            <w:vAlign w:val="center"/>
          </w:tcPr>
          <w:p>
            <w:pPr>
              <w:tabs>
                <w:tab w:val="left" w:pos="1260"/>
              </w:tabs>
              <w:spacing w:line="440" w:lineRule="exact"/>
              <w:jc w:val="center"/>
              <w:rPr>
                <w:rFonts w:hint="eastAsia" w:ascii="宋体" w:hAnsi="宋体" w:eastAsia="宋体" w:cs="宋体"/>
                <w:color w:val="auto"/>
                <w:sz w:val="24"/>
              </w:rPr>
            </w:pPr>
            <w:r>
              <w:rPr>
                <w:rFonts w:hint="eastAsia" w:ascii="宋体" w:hAnsi="宋体" w:eastAsia="宋体" w:cs="宋体"/>
                <w:color w:val="auto"/>
                <w:sz w:val="24"/>
              </w:rPr>
              <w:t>职务</w:t>
            </w:r>
          </w:p>
        </w:tc>
        <w:tc>
          <w:tcPr>
            <w:tcW w:w="1186" w:type="dxa"/>
          </w:tcPr>
          <w:p>
            <w:pPr>
              <w:tabs>
                <w:tab w:val="left" w:pos="1260"/>
              </w:tabs>
              <w:spacing w:line="440" w:lineRule="exact"/>
              <w:rPr>
                <w:rFonts w:hint="eastAsia" w:ascii="宋体" w:hAnsi="宋体" w:eastAsia="宋体" w:cs="宋体"/>
                <w:color w:val="auto"/>
                <w:sz w:val="24"/>
              </w:rPr>
            </w:pPr>
          </w:p>
        </w:tc>
        <w:tc>
          <w:tcPr>
            <w:tcW w:w="2022" w:type="dxa"/>
            <w:vAlign w:val="center"/>
          </w:tcPr>
          <w:p>
            <w:pPr>
              <w:tabs>
                <w:tab w:val="left" w:pos="1260"/>
              </w:tabs>
              <w:spacing w:line="440" w:lineRule="exact"/>
              <w:jc w:val="center"/>
              <w:rPr>
                <w:rFonts w:hint="eastAsia" w:ascii="宋体" w:hAnsi="宋体" w:eastAsia="宋体" w:cs="宋体"/>
                <w:color w:val="auto"/>
                <w:sz w:val="24"/>
              </w:rPr>
            </w:pPr>
            <w:r>
              <w:rPr>
                <w:rFonts w:hint="eastAsia" w:ascii="宋体" w:hAnsi="宋体" w:eastAsia="宋体" w:cs="宋体"/>
                <w:color w:val="auto"/>
                <w:sz w:val="24"/>
              </w:rPr>
              <w:t>联系电话</w:t>
            </w:r>
          </w:p>
        </w:tc>
        <w:tc>
          <w:tcPr>
            <w:tcW w:w="2007" w:type="dxa"/>
          </w:tcPr>
          <w:p>
            <w:pPr>
              <w:tabs>
                <w:tab w:val="left" w:pos="1260"/>
              </w:tabs>
              <w:spacing w:line="440" w:lineRule="exact"/>
              <w:rPr>
                <w:rFonts w:hint="eastAsia" w:ascii="宋体" w:hAnsi="宋体" w:eastAsia="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706" w:type="dxa"/>
            <w:vMerge w:val="continue"/>
            <w:vAlign w:val="center"/>
          </w:tcPr>
          <w:p>
            <w:pPr>
              <w:tabs>
                <w:tab w:val="left" w:pos="1260"/>
              </w:tabs>
              <w:spacing w:line="440" w:lineRule="exact"/>
              <w:jc w:val="center"/>
              <w:rPr>
                <w:rFonts w:hint="eastAsia" w:ascii="宋体" w:hAnsi="宋体" w:eastAsia="宋体" w:cs="宋体"/>
                <w:b/>
                <w:bCs/>
                <w:color w:val="auto"/>
                <w:sz w:val="24"/>
              </w:rPr>
            </w:pPr>
          </w:p>
        </w:tc>
        <w:tc>
          <w:tcPr>
            <w:tcW w:w="2344" w:type="dxa"/>
            <w:vAlign w:val="center"/>
          </w:tcPr>
          <w:p>
            <w:pPr>
              <w:tabs>
                <w:tab w:val="left" w:pos="1260"/>
              </w:tabs>
              <w:spacing w:line="440" w:lineRule="exact"/>
              <w:jc w:val="center"/>
              <w:rPr>
                <w:rFonts w:hint="eastAsia" w:ascii="宋体" w:hAnsi="宋体" w:eastAsia="宋体" w:cs="宋体"/>
                <w:color w:val="auto"/>
                <w:sz w:val="24"/>
              </w:rPr>
            </w:pPr>
            <w:r>
              <w:rPr>
                <w:rFonts w:hint="eastAsia" w:ascii="宋体" w:hAnsi="宋体" w:eastAsia="宋体" w:cs="宋体"/>
                <w:color w:val="auto"/>
                <w:sz w:val="24"/>
              </w:rPr>
              <w:t>传真</w:t>
            </w:r>
          </w:p>
        </w:tc>
        <w:tc>
          <w:tcPr>
            <w:tcW w:w="5215" w:type="dxa"/>
            <w:gridSpan w:val="3"/>
          </w:tcPr>
          <w:p>
            <w:pPr>
              <w:tabs>
                <w:tab w:val="left" w:pos="1260"/>
              </w:tabs>
              <w:spacing w:line="440" w:lineRule="exact"/>
              <w:rPr>
                <w:rFonts w:hint="eastAsia" w:ascii="宋体" w:hAnsi="宋体" w:eastAsia="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9" w:hRule="atLeast"/>
          <w:jc w:val="center"/>
        </w:trPr>
        <w:tc>
          <w:tcPr>
            <w:tcW w:w="1706" w:type="dxa"/>
            <w:vMerge w:val="restart"/>
            <w:vAlign w:val="center"/>
          </w:tcPr>
          <w:p>
            <w:pPr>
              <w:tabs>
                <w:tab w:val="left" w:pos="1260"/>
              </w:tabs>
              <w:spacing w:line="440" w:lineRule="exact"/>
              <w:jc w:val="center"/>
              <w:rPr>
                <w:rFonts w:hint="eastAsia" w:ascii="宋体" w:hAnsi="宋体" w:eastAsia="宋体" w:cs="宋体"/>
                <w:color w:val="auto"/>
                <w:sz w:val="24"/>
              </w:rPr>
            </w:pPr>
            <w:r>
              <w:rPr>
                <w:rFonts w:hint="eastAsia" w:ascii="宋体" w:hAnsi="宋体" w:eastAsia="宋体" w:cs="宋体"/>
                <w:color w:val="auto"/>
                <w:sz w:val="24"/>
              </w:rPr>
              <w:t>法定代表人</w:t>
            </w:r>
          </w:p>
          <w:p>
            <w:pPr>
              <w:tabs>
                <w:tab w:val="left" w:pos="1260"/>
              </w:tabs>
              <w:spacing w:line="440" w:lineRule="exact"/>
              <w:jc w:val="center"/>
              <w:rPr>
                <w:rFonts w:hint="eastAsia" w:ascii="宋体" w:hAnsi="宋体" w:eastAsia="宋体" w:cs="宋体"/>
                <w:color w:val="auto"/>
                <w:sz w:val="24"/>
              </w:rPr>
            </w:pPr>
            <w:r>
              <w:rPr>
                <w:rFonts w:hint="eastAsia" w:ascii="宋体" w:hAnsi="宋体" w:eastAsia="宋体" w:cs="宋体"/>
                <w:color w:val="auto"/>
                <w:sz w:val="24"/>
              </w:rPr>
              <w:t>身份证复印件</w:t>
            </w:r>
          </w:p>
        </w:tc>
        <w:tc>
          <w:tcPr>
            <w:tcW w:w="3530" w:type="dxa"/>
            <w:gridSpan w:val="2"/>
            <w:vMerge w:val="restart"/>
            <w:vAlign w:val="center"/>
          </w:tcPr>
          <w:p>
            <w:pPr>
              <w:tabs>
                <w:tab w:val="left" w:pos="1260"/>
              </w:tabs>
              <w:jc w:val="center"/>
              <w:rPr>
                <w:rFonts w:hint="eastAsia" w:ascii="宋体" w:hAnsi="宋体" w:eastAsia="宋体" w:cs="宋体"/>
                <w:b/>
                <w:bCs/>
                <w:color w:val="auto"/>
                <w:sz w:val="24"/>
              </w:rPr>
            </w:pPr>
            <w:r>
              <w:rPr>
                <w:rFonts w:hint="eastAsia" w:ascii="宋体" w:hAnsi="宋体" w:eastAsia="宋体" w:cs="宋体"/>
                <w:color w:val="auto"/>
                <w:sz w:val="24"/>
              </w:rPr>
              <w:t>（粘贴处）</w:t>
            </w:r>
          </w:p>
        </w:tc>
        <w:tc>
          <w:tcPr>
            <w:tcW w:w="4029" w:type="dxa"/>
            <w:gridSpan w:val="2"/>
            <w:vAlign w:val="center"/>
          </w:tcPr>
          <w:p>
            <w:pPr>
              <w:tabs>
                <w:tab w:val="left" w:pos="1260"/>
              </w:tabs>
              <w:spacing w:line="440" w:lineRule="exact"/>
              <w:jc w:val="center"/>
              <w:rPr>
                <w:rFonts w:hint="eastAsia" w:ascii="宋体" w:hAnsi="宋体" w:eastAsia="宋体" w:cs="宋体"/>
                <w:color w:val="auto"/>
                <w:sz w:val="24"/>
              </w:rPr>
            </w:pPr>
            <w:r>
              <w:rPr>
                <w:rFonts w:hint="eastAsia" w:ascii="宋体" w:hAnsi="宋体" w:eastAsia="宋体" w:cs="宋体"/>
                <w:color w:val="auto"/>
                <w:sz w:val="24"/>
              </w:rPr>
              <w:t>法定代表人签字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9" w:hRule="atLeast"/>
          <w:jc w:val="center"/>
        </w:trPr>
        <w:tc>
          <w:tcPr>
            <w:tcW w:w="1706" w:type="dxa"/>
            <w:vMerge w:val="continue"/>
          </w:tcPr>
          <w:p>
            <w:pPr>
              <w:tabs>
                <w:tab w:val="left" w:pos="1260"/>
              </w:tabs>
              <w:spacing w:line="440" w:lineRule="exact"/>
              <w:rPr>
                <w:rFonts w:hint="eastAsia" w:ascii="宋体" w:hAnsi="宋体" w:eastAsia="宋体" w:cs="宋体"/>
                <w:b/>
                <w:bCs/>
                <w:color w:val="auto"/>
                <w:sz w:val="24"/>
              </w:rPr>
            </w:pPr>
          </w:p>
        </w:tc>
        <w:tc>
          <w:tcPr>
            <w:tcW w:w="3530" w:type="dxa"/>
            <w:gridSpan w:val="2"/>
            <w:vMerge w:val="continue"/>
          </w:tcPr>
          <w:p>
            <w:pPr>
              <w:tabs>
                <w:tab w:val="left" w:pos="1260"/>
              </w:tabs>
              <w:spacing w:line="440" w:lineRule="exact"/>
              <w:rPr>
                <w:rFonts w:hint="eastAsia" w:ascii="宋体" w:hAnsi="宋体" w:eastAsia="宋体" w:cs="宋体"/>
                <w:b/>
                <w:bCs/>
                <w:color w:val="auto"/>
                <w:sz w:val="24"/>
              </w:rPr>
            </w:pPr>
          </w:p>
        </w:tc>
        <w:tc>
          <w:tcPr>
            <w:tcW w:w="4029" w:type="dxa"/>
            <w:gridSpan w:val="2"/>
            <w:vAlign w:val="center"/>
          </w:tcPr>
          <w:p>
            <w:pPr>
              <w:tabs>
                <w:tab w:val="left" w:pos="1260"/>
              </w:tabs>
              <w:spacing w:line="440" w:lineRule="exact"/>
              <w:ind w:firstLine="459"/>
              <w:jc w:val="center"/>
              <w:rPr>
                <w:rFonts w:hint="eastAsia" w:ascii="宋体" w:hAnsi="宋体" w:eastAsia="宋体" w:cs="宋体"/>
                <w:color w:val="auto"/>
                <w:sz w:val="24"/>
              </w:rPr>
            </w:pPr>
          </w:p>
          <w:p>
            <w:pPr>
              <w:tabs>
                <w:tab w:val="left" w:pos="1260"/>
              </w:tabs>
              <w:spacing w:line="440" w:lineRule="exact"/>
              <w:ind w:firstLine="459"/>
              <w:jc w:val="center"/>
              <w:rPr>
                <w:rFonts w:hint="eastAsia" w:ascii="宋体" w:hAnsi="宋体" w:eastAsia="宋体" w:cs="宋体"/>
                <w:color w:val="auto"/>
                <w:sz w:val="24"/>
              </w:rPr>
            </w:pPr>
          </w:p>
          <w:p>
            <w:pPr>
              <w:tabs>
                <w:tab w:val="left" w:pos="1260"/>
              </w:tabs>
              <w:spacing w:line="440" w:lineRule="exact"/>
              <w:ind w:firstLine="459"/>
              <w:jc w:val="center"/>
              <w:rPr>
                <w:rFonts w:hint="eastAsia" w:ascii="宋体" w:hAnsi="宋体" w:eastAsia="宋体" w:cs="宋体"/>
                <w:color w:val="auto"/>
                <w:sz w:val="24"/>
              </w:rPr>
            </w:pPr>
          </w:p>
          <w:p>
            <w:pPr>
              <w:tabs>
                <w:tab w:val="left" w:pos="1260"/>
              </w:tabs>
              <w:spacing w:line="440" w:lineRule="exact"/>
              <w:jc w:val="center"/>
              <w:rPr>
                <w:rFonts w:hint="eastAsia" w:ascii="宋体" w:hAnsi="宋体" w:eastAsia="宋体" w:cs="宋体"/>
                <w:color w:val="auto"/>
                <w:sz w:val="24"/>
              </w:rPr>
            </w:pPr>
            <w:r>
              <w:rPr>
                <w:rFonts w:hint="eastAsia" w:ascii="宋体" w:hAnsi="宋体" w:eastAsia="宋体" w:cs="宋体"/>
                <w:color w:val="auto"/>
                <w:sz w:val="24"/>
              </w:rPr>
              <w:t>（法人公章）</w:t>
            </w:r>
          </w:p>
          <w:p>
            <w:pPr>
              <w:tabs>
                <w:tab w:val="left" w:pos="1260"/>
              </w:tabs>
              <w:spacing w:line="440" w:lineRule="exact"/>
              <w:ind w:firstLine="459"/>
              <w:jc w:val="center"/>
              <w:rPr>
                <w:rFonts w:hint="eastAsia" w:ascii="宋体" w:hAnsi="宋体" w:eastAsia="宋体" w:cs="宋体"/>
                <w:color w:val="auto"/>
                <w:sz w:val="24"/>
              </w:rPr>
            </w:pPr>
          </w:p>
          <w:p>
            <w:pPr>
              <w:tabs>
                <w:tab w:val="left" w:pos="1260"/>
              </w:tabs>
              <w:spacing w:line="440" w:lineRule="exact"/>
              <w:ind w:right="280" w:firstLine="459"/>
              <w:jc w:val="right"/>
              <w:rPr>
                <w:rFonts w:hint="eastAsia" w:ascii="宋体" w:hAnsi="宋体" w:eastAsia="宋体" w:cs="宋体"/>
                <w:color w:val="auto"/>
                <w:sz w:val="24"/>
              </w:rPr>
            </w:pPr>
            <w:r>
              <w:rPr>
                <w:rFonts w:hint="eastAsia" w:ascii="宋体" w:hAnsi="宋体" w:eastAsia="宋体" w:cs="宋体"/>
                <w:color w:val="auto"/>
                <w:sz w:val="24"/>
              </w:rPr>
              <w:t>年月日</w:t>
            </w:r>
          </w:p>
        </w:tc>
      </w:tr>
    </w:tbl>
    <w:p>
      <w:pPr>
        <w:tabs>
          <w:tab w:val="left" w:pos="1260"/>
        </w:tabs>
        <w:spacing w:line="440" w:lineRule="exact"/>
        <w:jc w:val="center"/>
        <w:rPr>
          <w:rFonts w:hint="eastAsia" w:ascii="宋体" w:hAnsi="宋体" w:eastAsia="宋体" w:cs="宋体"/>
          <w:b/>
          <w:bCs/>
          <w:color w:val="auto"/>
          <w:sz w:val="24"/>
          <w:u w:val="single"/>
        </w:rPr>
      </w:pPr>
    </w:p>
    <w:p>
      <w:pPr>
        <w:tabs>
          <w:tab w:val="left" w:pos="1260"/>
        </w:tabs>
        <w:spacing w:line="440" w:lineRule="exact"/>
        <w:jc w:val="center"/>
        <w:rPr>
          <w:rFonts w:hint="eastAsia" w:ascii="宋体" w:hAnsi="宋体" w:eastAsia="宋体" w:cs="宋体"/>
          <w:b/>
          <w:bCs/>
          <w:color w:val="auto"/>
          <w:sz w:val="24"/>
          <w:u w:val="single"/>
        </w:rPr>
      </w:pPr>
    </w:p>
    <w:p>
      <w:pPr>
        <w:pStyle w:val="13"/>
        <w:rPr>
          <w:rFonts w:hint="eastAsia" w:ascii="宋体" w:hAnsi="宋体" w:eastAsia="宋体" w:cs="宋体"/>
          <w:color w:val="auto"/>
          <w:sz w:val="24"/>
        </w:rPr>
      </w:pPr>
    </w:p>
    <w:p>
      <w:pPr>
        <w:rPr>
          <w:rFonts w:hint="eastAsia" w:ascii="宋体" w:hAnsi="宋体" w:eastAsia="宋体" w:cs="宋体"/>
          <w:color w:val="auto"/>
          <w:sz w:val="24"/>
        </w:rPr>
      </w:pPr>
    </w:p>
    <w:p>
      <w:pPr>
        <w:pStyle w:val="5"/>
        <w:jc w:val="center"/>
        <w:rPr>
          <w:rFonts w:hint="eastAsia" w:ascii="宋体" w:hAnsi="宋体" w:eastAsia="宋体" w:cs="宋体"/>
          <w:bCs w:val="0"/>
          <w:color w:val="auto"/>
          <w:sz w:val="24"/>
          <w:szCs w:val="24"/>
        </w:rPr>
      </w:pPr>
      <w:bookmarkStart w:id="78" w:name="_Toc78884384"/>
      <w:bookmarkStart w:id="79" w:name="_Toc53231750"/>
      <w:bookmarkStart w:id="80" w:name="_Toc53231794"/>
      <w:r>
        <w:rPr>
          <w:rFonts w:hint="eastAsia" w:ascii="宋体" w:hAnsi="宋体" w:eastAsia="宋体" w:cs="宋体"/>
          <w:bCs w:val="0"/>
          <w:color w:val="auto"/>
          <w:sz w:val="24"/>
          <w:szCs w:val="24"/>
        </w:rPr>
        <w:t>二、</w:t>
      </w:r>
      <w:bookmarkStart w:id="81" w:name="_Toc53231538"/>
      <w:r>
        <w:rPr>
          <w:rFonts w:hint="eastAsia" w:ascii="宋体" w:hAnsi="宋体" w:eastAsia="宋体" w:cs="宋体"/>
          <w:bCs w:val="0"/>
          <w:color w:val="auto"/>
          <w:sz w:val="24"/>
          <w:szCs w:val="24"/>
        </w:rPr>
        <w:t>磋商响应文件授权委托书</w:t>
      </w:r>
      <w:bookmarkEnd w:id="78"/>
      <w:bookmarkEnd w:id="79"/>
      <w:bookmarkEnd w:id="80"/>
      <w:bookmarkEnd w:id="81"/>
    </w:p>
    <w:tbl>
      <w:tblPr>
        <w:tblStyle w:val="2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4"/>
        <w:gridCol w:w="2028"/>
        <w:gridCol w:w="1569"/>
        <w:gridCol w:w="294"/>
        <w:gridCol w:w="2038"/>
        <w:gridCol w:w="22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jc w:val="center"/>
        </w:trPr>
        <w:tc>
          <w:tcPr>
            <w:tcW w:w="8944" w:type="dxa"/>
            <w:gridSpan w:val="6"/>
            <w:vAlign w:val="center"/>
          </w:tcPr>
          <w:p>
            <w:pPr>
              <w:tabs>
                <w:tab w:val="left" w:pos="1260"/>
              </w:tabs>
              <w:spacing w:line="440" w:lineRule="exact"/>
              <w:ind w:firstLine="134" w:firstLineChars="56"/>
              <w:rPr>
                <w:rFonts w:hint="eastAsia" w:ascii="宋体" w:hAnsi="宋体" w:eastAsia="宋体" w:cs="宋体"/>
                <w:color w:val="auto"/>
                <w:sz w:val="24"/>
                <w:lang w:eastAsia="zh-CN"/>
              </w:rPr>
            </w:pPr>
            <w:r>
              <w:rPr>
                <w:rFonts w:hint="eastAsia" w:ascii="宋体" w:hAnsi="宋体" w:eastAsia="宋体" w:cs="宋体"/>
                <w:color w:val="auto"/>
                <w:sz w:val="24"/>
              </w:rPr>
              <w:t>致：</w:t>
            </w:r>
            <w:r>
              <w:rPr>
                <w:rFonts w:hint="eastAsia" w:ascii="宋体" w:hAnsi="宋体" w:eastAsia="宋体" w:cs="宋体"/>
                <w:color w:val="auto"/>
                <w:sz w:val="24"/>
                <w:lang w:eastAsia="zh-CN"/>
              </w:rPr>
              <w:t>（采购人）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1" w:hRule="atLeast"/>
          <w:jc w:val="center"/>
        </w:trPr>
        <w:tc>
          <w:tcPr>
            <w:tcW w:w="774" w:type="dxa"/>
            <w:vMerge w:val="restart"/>
            <w:vAlign w:val="center"/>
          </w:tcPr>
          <w:p>
            <w:pPr>
              <w:tabs>
                <w:tab w:val="left" w:pos="1260"/>
              </w:tabs>
              <w:spacing w:line="360" w:lineRule="exact"/>
              <w:jc w:val="center"/>
              <w:rPr>
                <w:rFonts w:hint="eastAsia" w:ascii="宋体" w:hAnsi="宋体" w:eastAsia="宋体" w:cs="宋体"/>
                <w:color w:val="auto"/>
                <w:sz w:val="24"/>
              </w:rPr>
            </w:pPr>
            <w:r>
              <w:rPr>
                <w:rFonts w:hint="eastAsia" w:ascii="宋体" w:hAnsi="宋体" w:eastAsia="宋体" w:cs="宋体"/>
                <w:color w:val="auto"/>
                <w:sz w:val="24"/>
              </w:rPr>
              <w:t>被授权人</w:t>
            </w:r>
          </w:p>
        </w:tc>
        <w:tc>
          <w:tcPr>
            <w:tcW w:w="2028" w:type="dxa"/>
            <w:vAlign w:val="center"/>
          </w:tcPr>
          <w:p>
            <w:pPr>
              <w:tabs>
                <w:tab w:val="left" w:pos="1260"/>
              </w:tabs>
              <w:spacing w:line="440" w:lineRule="exact"/>
              <w:jc w:val="center"/>
              <w:rPr>
                <w:rFonts w:hint="eastAsia" w:ascii="宋体" w:hAnsi="宋体" w:eastAsia="宋体" w:cs="宋体"/>
                <w:color w:val="auto"/>
                <w:sz w:val="24"/>
              </w:rPr>
            </w:pPr>
            <w:r>
              <w:rPr>
                <w:rFonts w:hint="eastAsia" w:ascii="宋体" w:hAnsi="宋体" w:eastAsia="宋体" w:cs="宋体"/>
                <w:color w:val="auto"/>
                <w:sz w:val="24"/>
              </w:rPr>
              <w:t>姓名</w:t>
            </w:r>
          </w:p>
        </w:tc>
        <w:tc>
          <w:tcPr>
            <w:tcW w:w="1863" w:type="dxa"/>
            <w:gridSpan w:val="2"/>
          </w:tcPr>
          <w:p>
            <w:pPr>
              <w:tabs>
                <w:tab w:val="left" w:pos="1260"/>
              </w:tabs>
              <w:spacing w:line="440" w:lineRule="exact"/>
              <w:rPr>
                <w:rFonts w:hint="eastAsia" w:ascii="宋体" w:hAnsi="宋体" w:eastAsia="宋体" w:cs="宋体"/>
                <w:color w:val="auto"/>
                <w:sz w:val="24"/>
              </w:rPr>
            </w:pPr>
          </w:p>
        </w:tc>
        <w:tc>
          <w:tcPr>
            <w:tcW w:w="2038" w:type="dxa"/>
          </w:tcPr>
          <w:p>
            <w:pPr>
              <w:tabs>
                <w:tab w:val="left" w:pos="1260"/>
              </w:tabs>
              <w:spacing w:line="440" w:lineRule="exact"/>
              <w:jc w:val="center"/>
              <w:rPr>
                <w:rFonts w:hint="eastAsia" w:ascii="宋体" w:hAnsi="宋体" w:eastAsia="宋体" w:cs="宋体"/>
                <w:color w:val="auto"/>
                <w:sz w:val="24"/>
              </w:rPr>
            </w:pPr>
            <w:r>
              <w:rPr>
                <w:rFonts w:hint="eastAsia" w:ascii="宋体" w:hAnsi="宋体" w:eastAsia="宋体" w:cs="宋体"/>
                <w:color w:val="auto"/>
                <w:sz w:val="24"/>
              </w:rPr>
              <w:t>性别</w:t>
            </w:r>
          </w:p>
        </w:tc>
        <w:tc>
          <w:tcPr>
            <w:tcW w:w="2241" w:type="dxa"/>
          </w:tcPr>
          <w:p>
            <w:pPr>
              <w:tabs>
                <w:tab w:val="left" w:pos="1260"/>
              </w:tabs>
              <w:spacing w:line="440" w:lineRule="exact"/>
              <w:rPr>
                <w:rFonts w:hint="eastAsia" w:ascii="宋体" w:hAnsi="宋体" w:eastAsia="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1" w:hRule="atLeast"/>
          <w:jc w:val="center"/>
        </w:trPr>
        <w:tc>
          <w:tcPr>
            <w:tcW w:w="774" w:type="dxa"/>
            <w:vMerge w:val="continue"/>
            <w:vAlign w:val="center"/>
          </w:tcPr>
          <w:p>
            <w:pPr>
              <w:tabs>
                <w:tab w:val="left" w:pos="1260"/>
              </w:tabs>
              <w:spacing w:line="360" w:lineRule="exact"/>
              <w:jc w:val="center"/>
              <w:rPr>
                <w:rFonts w:hint="eastAsia" w:ascii="宋体" w:hAnsi="宋体" w:eastAsia="宋体" w:cs="宋体"/>
                <w:color w:val="auto"/>
                <w:sz w:val="24"/>
              </w:rPr>
            </w:pPr>
          </w:p>
        </w:tc>
        <w:tc>
          <w:tcPr>
            <w:tcW w:w="2028" w:type="dxa"/>
            <w:vAlign w:val="center"/>
          </w:tcPr>
          <w:p>
            <w:pPr>
              <w:tabs>
                <w:tab w:val="left" w:pos="1260"/>
              </w:tabs>
              <w:spacing w:line="440" w:lineRule="exact"/>
              <w:jc w:val="center"/>
              <w:rPr>
                <w:rFonts w:hint="eastAsia" w:ascii="宋体" w:hAnsi="宋体" w:eastAsia="宋体" w:cs="宋体"/>
                <w:color w:val="auto"/>
                <w:sz w:val="24"/>
              </w:rPr>
            </w:pPr>
            <w:r>
              <w:rPr>
                <w:rFonts w:hint="eastAsia" w:ascii="宋体" w:hAnsi="宋体" w:eastAsia="宋体" w:cs="宋体"/>
                <w:color w:val="auto"/>
                <w:sz w:val="24"/>
              </w:rPr>
              <w:t>职务</w:t>
            </w:r>
          </w:p>
        </w:tc>
        <w:tc>
          <w:tcPr>
            <w:tcW w:w="1863" w:type="dxa"/>
            <w:gridSpan w:val="2"/>
          </w:tcPr>
          <w:p>
            <w:pPr>
              <w:tabs>
                <w:tab w:val="left" w:pos="1260"/>
              </w:tabs>
              <w:spacing w:line="440" w:lineRule="exact"/>
              <w:rPr>
                <w:rFonts w:hint="eastAsia" w:ascii="宋体" w:hAnsi="宋体" w:eastAsia="宋体" w:cs="宋体"/>
                <w:color w:val="auto"/>
                <w:sz w:val="24"/>
              </w:rPr>
            </w:pPr>
          </w:p>
        </w:tc>
        <w:tc>
          <w:tcPr>
            <w:tcW w:w="2038" w:type="dxa"/>
          </w:tcPr>
          <w:p>
            <w:pPr>
              <w:tabs>
                <w:tab w:val="left" w:pos="1260"/>
              </w:tabs>
              <w:spacing w:line="440" w:lineRule="exact"/>
              <w:jc w:val="center"/>
              <w:rPr>
                <w:rFonts w:hint="eastAsia" w:ascii="宋体" w:hAnsi="宋体" w:eastAsia="宋体" w:cs="宋体"/>
                <w:color w:val="auto"/>
                <w:sz w:val="24"/>
              </w:rPr>
            </w:pPr>
            <w:r>
              <w:rPr>
                <w:rFonts w:hint="eastAsia" w:ascii="宋体" w:hAnsi="宋体" w:eastAsia="宋体" w:cs="宋体"/>
                <w:color w:val="auto"/>
                <w:sz w:val="24"/>
              </w:rPr>
              <w:t>手机号码</w:t>
            </w:r>
          </w:p>
        </w:tc>
        <w:tc>
          <w:tcPr>
            <w:tcW w:w="2241" w:type="dxa"/>
          </w:tcPr>
          <w:p>
            <w:pPr>
              <w:tabs>
                <w:tab w:val="left" w:pos="1260"/>
              </w:tabs>
              <w:spacing w:line="440" w:lineRule="exact"/>
              <w:rPr>
                <w:rFonts w:hint="eastAsia" w:ascii="宋体" w:hAnsi="宋体" w:eastAsia="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1" w:hRule="atLeast"/>
          <w:jc w:val="center"/>
        </w:trPr>
        <w:tc>
          <w:tcPr>
            <w:tcW w:w="774" w:type="dxa"/>
            <w:vMerge w:val="continue"/>
            <w:vAlign w:val="center"/>
          </w:tcPr>
          <w:p>
            <w:pPr>
              <w:tabs>
                <w:tab w:val="left" w:pos="1260"/>
              </w:tabs>
              <w:spacing w:line="360" w:lineRule="exact"/>
              <w:jc w:val="center"/>
              <w:rPr>
                <w:rFonts w:hint="eastAsia" w:ascii="宋体" w:hAnsi="宋体" w:eastAsia="宋体" w:cs="宋体"/>
                <w:color w:val="auto"/>
                <w:sz w:val="24"/>
              </w:rPr>
            </w:pPr>
          </w:p>
        </w:tc>
        <w:tc>
          <w:tcPr>
            <w:tcW w:w="2028" w:type="dxa"/>
            <w:vAlign w:val="center"/>
          </w:tcPr>
          <w:p>
            <w:pPr>
              <w:tabs>
                <w:tab w:val="left" w:pos="1260"/>
              </w:tabs>
              <w:spacing w:line="440" w:lineRule="exact"/>
              <w:jc w:val="center"/>
              <w:rPr>
                <w:rFonts w:hint="eastAsia" w:ascii="宋体" w:hAnsi="宋体" w:eastAsia="宋体" w:cs="宋体"/>
                <w:color w:val="auto"/>
                <w:sz w:val="24"/>
              </w:rPr>
            </w:pPr>
            <w:r>
              <w:rPr>
                <w:rFonts w:hint="eastAsia" w:ascii="宋体" w:hAnsi="宋体" w:eastAsia="宋体" w:cs="宋体"/>
                <w:color w:val="auto"/>
                <w:sz w:val="24"/>
              </w:rPr>
              <w:t>联系电话</w:t>
            </w:r>
          </w:p>
        </w:tc>
        <w:tc>
          <w:tcPr>
            <w:tcW w:w="1863" w:type="dxa"/>
            <w:gridSpan w:val="2"/>
          </w:tcPr>
          <w:p>
            <w:pPr>
              <w:tabs>
                <w:tab w:val="left" w:pos="1260"/>
              </w:tabs>
              <w:spacing w:line="440" w:lineRule="exact"/>
              <w:rPr>
                <w:rFonts w:hint="eastAsia" w:ascii="宋体" w:hAnsi="宋体" w:eastAsia="宋体" w:cs="宋体"/>
                <w:color w:val="auto"/>
                <w:sz w:val="24"/>
              </w:rPr>
            </w:pPr>
          </w:p>
        </w:tc>
        <w:tc>
          <w:tcPr>
            <w:tcW w:w="2038" w:type="dxa"/>
          </w:tcPr>
          <w:p>
            <w:pPr>
              <w:tabs>
                <w:tab w:val="left" w:pos="1260"/>
              </w:tabs>
              <w:spacing w:line="440" w:lineRule="exact"/>
              <w:jc w:val="center"/>
              <w:rPr>
                <w:rFonts w:hint="eastAsia" w:ascii="宋体" w:hAnsi="宋体" w:eastAsia="宋体" w:cs="宋体"/>
                <w:color w:val="auto"/>
                <w:sz w:val="24"/>
              </w:rPr>
            </w:pPr>
            <w:r>
              <w:rPr>
                <w:rFonts w:hint="eastAsia" w:ascii="宋体" w:hAnsi="宋体" w:eastAsia="宋体" w:cs="宋体"/>
                <w:color w:val="auto"/>
                <w:sz w:val="24"/>
              </w:rPr>
              <w:t>图文传真</w:t>
            </w:r>
          </w:p>
        </w:tc>
        <w:tc>
          <w:tcPr>
            <w:tcW w:w="2241" w:type="dxa"/>
          </w:tcPr>
          <w:p>
            <w:pPr>
              <w:tabs>
                <w:tab w:val="left" w:pos="1260"/>
              </w:tabs>
              <w:spacing w:line="440" w:lineRule="exact"/>
              <w:rPr>
                <w:rFonts w:hint="eastAsia" w:ascii="宋体" w:hAnsi="宋体" w:eastAsia="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1" w:hRule="atLeast"/>
          <w:jc w:val="center"/>
        </w:trPr>
        <w:tc>
          <w:tcPr>
            <w:tcW w:w="774" w:type="dxa"/>
            <w:vMerge w:val="continue"/>
            <w:vAlign w:val="center"/>
          </w:tcPr>
          <w:p>
            <w:pPr>
              <w:tabs>
                <w:tab w:val="left" w:pos="1260"/>
              </w:tabs>
              <w:spacing w:line="360" w:lineRule="exact"/>
              <w:jc w:val="center"/>
              <w:rPr>
                <w:rFonts w:hint="eastAsia" w:ascii="宋体" w:hAnsi="宋体" w:eastAsia="宋体" w:cs="宋体"/>
                <w:color w:val="auto"/>
                <w:sz w:val="24"/>
              </w:rPr>
            </w:pPr>
          </w:p>
        </w:tc>
        <w:tc>
          <w:tcPr>
            <w:tcW w:w="2028" w:type="dxa"/>
            <w:vAlign w:val="center"/>
          </w:tcPr>
          <w:p>
            <w:pPr>
              <w:tabs>
                <w:tab w:val="left" w:pos="1260"/>
              </w:tabs>
              <w:spacing w:line="440" w:lineRule="exact"/>
              <w:jc w:val="center"/>
              <w:rPr>
                <w:rFonts w:hint="eastAsia" w:ascii="宋体" w:hAnsi="宋体" w:eastAsia="宋体" w:cs="宋体"/>
                <w:color w:val="auto"/>
                <w:sz w:val="24"/>
              </w:rPr>
            </w:pPr>
            <w:r>
              <w:rPr>
                <w:rFonts w:hint="eastAsia" w:ascii="宋体" w:hAnsi="宋体" w:eastAsia="宋体" w:cs="宋体"/>
                <w:color w:val="auto"/>
                <w:sz w:val="24"/>
              </w:rPr>
              <w:t>通讯地址</w:t>
            </w:r>
          </w:p>
        </w:tc>
        <w:tc>
          <w:tcPr>
            <w:tcW w:w="6142" w:type="dxa"/>
            <w:gridSpan w:val="4"/>
          </w:tcPr>
          <w:p>
            <w:pPr>
              <w:tabs>
                <w:tab w:val="left" w:pos="1260"/>
              </w:tabs>
              <w:spacing w:line="440" w:lineRule="exact"/>
              <w:rPr>
                <w:rFonts w:hint="eastAsia" w:ascii="宋体" w:hAnsi="宋体" w:eastAsia="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1" w:hRule="atLeast"/>
          <w:jc w:val="center"/>
        </w:trPr>
        <w:tc>
          <w:tcPr>
            <w:tcW w:w="774" w:type="dxa"/>
            <w:vMerge w:val="continue"/>
            <w:vAlign w:val="center"/>
          </w:tcPr>
          <w:p>
            <w:pPr>
              <w:tabs>
                <w:tab w:val="left" w:pos="1260"/>
              </w:tabs>
              <w:spacing w:line="360" w:lineRule="exact"/>
              <w:jc w:val="center"/>
              <w:rPr>
                <w:rFonts w:hint="eastAsia" w:ascii="宋体" w:hAnsi="宋体" w:eastAsia="宋体" w:cs="宋体"/>
                <w:color w:val="auto"/>
                <w:sz w:val="24"/>
              </w:rPr>
            </w:pPr>
          </w:p>
        </w:tc>
        <w:tc>
          <w:tcPr>
            <w:tcW w:w="2028" w:type="dxa"/>
            <w:vAlign w:val="center"/>
          </w:tcPr>
          <w:p>
            <w:pPr>
              <w:tabs>
                <w:tab w:val="left" w:pos="1260"/>
              </w:tabs>
              <w:spacing w:line="440" w:lineRule="exact"/>
              <w:jc w:val="center"/>
              <w:rPr>
                <w:rFonts w:hint="eastAsia" w:ascii="宋体" w:hAnsi="宋体" w:eastAsia="宋体" w:cs="宋体"/>
                <w:color w:val="auto"/>
                <w:sz w:val="24"/>
              </w:rPr>
            </w:pPr>
            <w:r>
              <w:rPr>
                <w:rFonts w:hint="eastAsia" w:ascii="宋体" w:hAnsi="宋体" w:eastAsia="宋体" w:cs="宋体"/>
                <w:color w:val="auto"/>
                <w:sz w:val="24"/>
              </w:rPr>
              <w:t>网址</w:t>
            </w:r>
          </w:p>
        </w:tc>
        <w:tc>
          <w:tcPr>
            <w:tcW w:w="6142" w:type="dxa"/>
            <w:gridSpan w:val="4"/>
          </w:tcPr>
          <w:p>
            <w:pPr>
              <w:tabs>
                <w:tab w:val="left" w:pos="1260"/>
              </w:tabs>
              <w:spacing w:line="440" w:lineRule="exact"/>
              <w:rPr>
                <w:rFonts w:hint="eastAsia" w:ascii="宋体" w:hAnsi="宋体" w:eastAsia="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74" w:type="dxa"/>
            <w:vMerge w:val="restart"/>
            <w:vAlign w:val="center"/>
          </w:tcPr>
          <w:p>
            <w:pPr>
              <w:tabs>
                <w:tab w:val="left" w:pos="1260"/>
              </w:tabs>
              <w:spacing w:line="320" w:lineRule="exact"/>
              <w:jc w:val="center"/>
              <w:rPr>
                <w:rFonts w:hint="eastAsia" w:ascii="宋体" w:hAnsi="宋体" w:eastAsia="宋体" w:cs="宋体"/>
                <w:color w:val="auto"/>
                <w:sz w:val="24"/>
              </w:rPr>
            </w:pPr>
            <w:r>
              <w:rPr>
                <w:rFonts w:hint="eastAsia" w:ascii="宋体" w:hAnsi="宋体" w:eastAsia="宋体" w:cs="宋体"/>
                <w:color w:val="auto"/>
                <w:sz w:val="24"/>
              </w:rPr>
              <w:t>被授权项目与内容</w:t>
            </w:r>
          </w:p>
        </w:tc>
        <w:tc>
          <w:tcPr>
            <w:tcW w:w="2028" w:type="dxa"/>
            <w:vAlign w:val="center"/>
          </w:tcPr>
          <w:p>
            <w:pPr>
              <w:tabs>
                <w:tab w:val="left" w:pos="1260"/>
              </w:tabs>
              <w:spacing w:line="440" w:lineRule="exact"/>
              <w:jc w:val="center"/>
              <w:rPr>
                <w:rFonts w:hint="eastAsia" w:ascii="宋体" w:hAnsi="宋体" w:eastAsia="宋体" w:cs="宋体"/>
                <w:color w:val="auto"/>
                <w:sz w:val="24"/>
              </w:rPr>
            </w:pPr>
            <w:r>
              <w:rPr>
                <w:rFonts w:hint="eastAsia" w:ascii="宋体" w:hAnsi="宋体" w:eastAsia="宋体" w:cs="宋体"/>
                <w:color w:val="auto"/>
                <w:sz w:val="24"/>
              </w:rPr>
              <w:t>项目名称</w:t>
            </w:r>
          </w:p>
        </w:tc>
        <w:tc>
          <w:tcPr>
            <w:tcW w:w="6142" w:type="dxa"/>
            <w:gridSpan w:val="4"/>
          </w:tcPr>
          <w:p>
            <w:pPr>
              <w:tabs>
                <w:tab w:val="left" w:pos="1260"/>
              </w:tabs>
              <w:spacing w:line="440" w:lineRule="exact"/>
              <w:rPr>
                <w:rFonts w:hint="eastAsia" w:ascii="宋体" w:hAnsi="宋体" w:eastAsia="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3" w:hRule="atLeast"/>
          <w:jc w:val="center"/>
        </w:trPr>
        <w:tc>
          <w:tcPr>
            <w:tcW w:w="774" w:type="dxa"/>
            <w:vMerge w:val="continue"/>
            <w:vAlign w:val="center"/>
          </w:tcPr>
          <w:p>
            <w:pPr>
              <w:tabs>
                <w:tab w:val="left" w:pos="1260"/>
              </w:tabs>
              <w:spacing w:line="440" w:lineRule="exact"/>
              <w:jc w:val="center"/>
              <w:rPr>
                <w:rFonts w:hint="eastAsia" w:ascii="宋体" w:hAnsi="宋体" w:eastAsia="宋体" w:cs="宋体"/>
                <w:color w:val="auto"/>
                <w:sz w:val="24"/>
              </w:rPr>
            </w:pPr>
          </w:p>
        </w:tc>
        <w:tc>
          <w:tcPr>
            <w:tcW w:w="2028" w:type="dxa"/>
            <w:vAlign w:val="center"/>
          </w:tcPr>
          <w:p>
            <w:pPr>
              <w:tabs>
                <w:tab w:val="left" w:pos="1260"/>
              </w:tabs>
              <w:spacing w:line="440" w:lineRule="exact"/>
              <w:jc w:val="center"/>
              <w:rPr>
                <w:rFonts w:hint="eastAsia" w:ascii="宋体" w:hAnsi="宋体" w:eastAsia="宋体" w:cs="宋体"/>
                <w:color w:val="auto"/>
                <w:sz w:val="24"/>
              </w:rPr>
            </w:pPr>
            <w:r>
              <w:rPr>
                <w:rFonts w:hint="eastAsia" w:ascii="宋体" w:hAnsi="宋体" w:eastAsia="宋体" w:cs="宋体"/>
                <w:color w:val="auto"/>
                <w:sz w:val="24"/>
              </w:rPr>
              <w:t>项目编号</w:t>
            </w:r>
          </w:p>
        </w:tc>
        <w:tc>
          <w:tcPr>
            <w:tcW w:w="6142" w:type="dxa"/>
            <w:gridSpan w:val="4"/>
          </w:tcPr>
          <w:p>
            <w:pPr>
              <w:tabs>
                <w:tab w:val="left" w:pos="1260"/>
              </w:tabs>
              <w:spacing w:line="440" w:lineRule="exact"/>
              <w:rPr>
                <w:rFonts w:hint="eastAsia" w:ascii="宋体" w:hAnsi="宋体" w:eastAsia="宋体" w:cs="宋体"/>
                <w:b/>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8" w:hRule="atLeast"/>
          <w:jc w:val="center"/>
        </w:trPr>
        <w:tc>
          <w:tcPr>
            <w:tcW w:w="774" w:type="dxa"/>
            <w:vMerge w:val="continue"/>
            <w:vAlign w:val="center"/>
          </w:tcPr>
          <w:p>
            <w:pPr>
              <w:tabs>
                <w:tab w:val="left" w:pos="1260"/>
              </w:tabs>
              <w:spacing w:line="440" w:lineRule="exact"/>
              <w:jc w:val="center"/>
              <w:rPr>
                <w:rFonts w:hint="eastAsia" w:ascii="宋体" w:hAnsi="宋体" w:eastAsia="宋体" w:cs="宋体"/>
                <w:color w:val="auto"/>
                <w:sz w:val="24"/>
              </w:rPr>
            </w:pPr>
          </w:p>
        </w:tc>
        <w:tc>
          <w:tcPr>
            <w:tcW w:w="2028" w:type="dxa"/>
            <w:vAlign w:val="center"/>
          </w:tcPr>
          <w:p>
            <w:pPr>
              <w:tabs>
                <w:tab w:val="left" w:pos="1260"/>
              </w:tabs>
              <w:spacing w:line="440" w:lineRule="exact"/>
              <w:jc w:val="center"/>
              <w:rPr>
                <w:rFonts w:hint="eastAsia" w:ascii="宋体" w:hAnsi="宋体" w:eastAsia="宋体" w:cs="宋体"/>
                <w:color w:val="auto"/>
                <w:sz w:val="24"/>
              </w:rPr>
            </w:pPr>
            <w:r>
              <w:rPr>
                <w:rFonts w:hint="eastAsia" w:ascii="宋体" w:hAnsi="宋体" w:eastAsia="宋体" w:cs="宋体"/>
                <w:color w:val="auto"/>
                <w:sz w:val="24"/>
              </w:rPr>
              <w:t>授权范围</w:t>
            </w:r>
          </w:p>
        </w:tc>
        <w:tc>
          <w:tcPr>
            <w:tcW w:w="6142" w:type="dxa"/>
            <w:gridSpan w:val="4"/>
            <w:vAlign w:val="center"/>
          </w:tcPr>
          <w:p>
            <w:pPr>
              <w:tabs>
                <w:tab w:val="left" w:pos="1260"/>
              </w:tabs>
              <w:spacing w:line="360" w:lineRule="exact"/>
              <w:rPr>
                <w:rFonts w:hint="eastAsia" w:ascii="宋体" w:hAnsi="宋体" w:eastAsia="宋体" w:cs="宋体"/>
                <w:color w:val="auto"/>
                <w:sz w:val="24"/>
              </w:rPr>
            </w:pPr>
            <w:r>
              <w:rPr>
                <w:rFonts w:hint="eastAsia" w:ascii="宋体" w:hAnsi="宋体" w:eastAsia="宋体" w:cs="宋体"/>
                <w:color w:val="auto"/>
                <w:sz w:val="24"/>
              </w:rPr>
              <w:t>全权办理本招标采购项目的</w:t>
            </w:r>
            <w:r>
              <w:rPr>
                <w:rFonts w:hint="eastAsia" w:ascii="宋体" w:hAnsi="宋体" w:eastAsia="宋体" w:cs="宋体"/>
                <w:color w:val="auto"/>
                <w:sz w:val="24"/>
                <w:lang w:eastAsia="zh-CN"/>
              </w:rPr>
              <w:t>磋商</w:t>
            </w:r>
            <w:r>
              <w:rPr>
                <w:rFonts w:hint="eastAsia" w:ascii="宋体" w:hAnsi="宋体" w:eastAsia="宋体" w:cs="宋体"/>
                <w:color w:val="auto"/>
                <w:sz w:val="24"/>
              </w:rPr>
              <w:t>、联系、洽谈、签约、执行等具体事务，签署全部有关的文件、文书、协议及合同。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5" w:hRule="atLeast"/>
          <w:jc w:val="center"/>
        </w:trPr>
        <w:tc>
          <w:tcPr>
            <w:tcW w:w="774" w:type="dxa"/>
            <w:vMerge w:val="continue"/>
            <w:vAlign w:val="center"/>
          </w:tcPr>
          <w:p>
            <w:pPr>
              <w:tabs>
                <w:tab w:val="left" w:pos="1260"/>
              </w:tabs>
              <w:spacing w:line="440" w:lineRule="exact"/>
              <w:jc w:val="center"/>
              <w:rPr>
                <w:rFonts w:hint="eastAsia" w:ascii="宋体" w:hAnsi="宋体" w:eastAsia="宋体" w:cs="宋体"/>
                <w:color w:val="auto"/>
                <w:sz w:val="24"/>
              </w:rPr>
            </w:pPr>
          </w:p>
        </w:tc>
        <w:tc>
          <w:tcPr>
            <w:tcW w:w="2028" w:type="dxa"/>
            <w:vAlign w:val="center"/>
          </w:tcPr>
          <w:p>
            <w:pPr>
              <w:tabs>
                <w:tab w:val="left" w:pos="1260"/>
              </w:tabs>
              <w:spacing w:line="440" w:lineRule="exact"/>
              <w:jc w:val="center"/>
              <w:rPr>
                <w:rFonts w:hint="eastAsia" w:ascii="宋体" w:hAnsi="宋体" w:eastAsia="宋体" w:cs="宋体"/>
                <w:color w:val="auto"/>
                <w:sz w:val="24"/>
              </w:rPr>
            </w:pPr>
            <w:r>
              <w:rPr>
                <w:rFonts w:hint="eastAsia" w:ascii="宋体" w:hAnsi="宋体" w:eastAsia="宋体" w:cs="宋体"/>
                <w:color w:val="auto"/>
                <w:sz w:val="24"/>
              </w:rPr>
              <w:t>法律责任</w:t>
            </w:r>
          </w:p>
        </w:tc>
        <w:tc>
          <w:tcPr>
            <w:tcW w:w="6142" w:type="dxa"/>
            <w:gridSpan w:val="4"/>
            <w:vAlign w:val="center"/>
          </w:tcPr>
          <w:p>
            <w:pPr>
              <w:tabs>
                <w:tab w:val="left" w:pos="1260"/>
              </w:tabs>
              <w:spacing w:line="360" w:lineRule="exact"/>
              <w:rPr>
                <w:rFonts w:hint="eastAsia" w:ascii="宋体" w:hAnsi="宋体" w:eastAsia="宋体" w:cs="宋体"/>
                <w:color w:val="auto"/>
                <w:sz w:val="24"/>
              </w:rPr>
            </w:pPr>
            <w:r>
              <w:rPr>
                <w:rFonts w:hint="eastAsia" w:ascii="宋体" w:hAnsi="宋体" w:eastAsia="宋体" w:cs="宋体"/>
                <w:color w:val="auto"/>
                <w:sz w:val="24"/>
              </w:rPr>
              <w:t>本公司对被授权人在本项目中的签名承担全部法律责任。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74" w:type="dxa"/>
            <w:vMerge w:val="continue"/>
            <w:vAlign w:val="center"/>
          </w:tcPr>
          <w:p>
            <w:pPr>
              <w:tabs>
                <w:tab w:val="left" w:pos="1260"/>
              </w:tabs>
              <w:spacing w:line="440" w:lineRule="exact"/>
              <w:jc w:val="center"/>
              <w:rPr>
                <w:rFonts w:hint="eastAsia" w:ascii="宋体" w:hAnsi="宋体" w:eastAsia="宋体" w:cs="宋体"/>
                <w:color w:val="auto"/>
                <w:sz w:val="24"/>
              </w:rPr>
            </w:pPr>
          </w:p>
        </w:tc>
        <w:tc>
          <w:tcPr>
            <w:tcW w:w="2028" w:type="dxa"/>
            <w:vAlign w:val="center"/>
          </w:tcPr>
          <w:p>
            <w:pPr>
              <w:tabs>
                <w:tab w:val="left" w:pos="1260"/>
              </w:tabs>
              <w:spacing w:line="440" w:lineRule="exact"/>
              <w:jc w:val="center"/>
              <w:rPr>
                <w:rFonts w:hint="eastAsia" w:ascii="宋体" w:hAnsi="宋体" w:eastAsia="宋体" w:cs="宋体"/>
                <w:color w:val="auto"/>
                <w:sz w:val="24"/>
              </w:rPr>
            </w:pPr>
            <w:r>
              <w:rPr>
                <w:rFonts w:hint="eastAsia" w:ascii="宋体" w:hAnsi="宋体" w:eastAsia="宋体" w:cs="宋体"/>
                <w:color w:val="auto"/>
                <w:sz w:val="24"/>
              </w:rPr>
              <w:t>授权期限</w:t>
            </w:r>
          </w:p>
        </w:tc>
        <w:tc>
          <w:tcPr>
            <w:tcW w:w="6142" w:type="dxa"/>
            <w:gridSpan w:val="4"/>
            <w:vAlign w:val="center"/>
          </w:tcPr>
          <w:p>
            <w:pPr>
              <w:tabs>
                <w:tab w:val="left" w:pos="1260"/>
              </w:tabs>
              <w:spacing w:line="360" w:lineRule="exact"/>
              <w:ind w:firstLine="236" w:firstLineChars="98"/>
              <w:rPr>
                <w:rFonts w:hint="eastAsia" w:ascii="宋体" w:hAnsi="宋体" w:eastAsia="宋体" w:cs="宋体"/>
                <w:b/>
                <w:color w:val="auto"/>
                <w:sz w:val="24"/>
              </w:rPr>
            </w:pPr>
            <w:r>
              <w:rPr>
                <w:rFonts w:hint="eastAsia" w:ascii="宋体" w:hAnsi="宋体" w:eastAsia="宋体" w:cs="宋体"/>
                <w:b/>
                <w:color w:val="auto"/>
                <w:sz w:val="24"/>
              </w:rPr>
              <w:t>本授权书自开标大会之日计算有效期为天。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jc w:val="center"/>
        </w:trPr>
        <w:tc>
          <w:tcPr>
            <w:tcW w:w="4371" w:type="dxa"/>
            <w:gridSpan w:val="3"/>
            <w:vAlign w:val="center"/>
          </w:tcPr>
          <w:p>
            <w:pPr>
              <w:tabs>
                <w:tab w:val="left" w:pos="1260"/>
              </w:tabs>
              <w:spacing w:line="440" w:lineRule="exact"/>
              <w:jc w:val="center"/>
              <w:rPr>
                <w:rFonts w:hint="eastAsia" w:ascii="宋体" w:hAnsi="宋体" w:eastAsia="宋体" w:cs="宋体"/>
                <w:color w:val="auto"/>
                <w:sz w:val="24"/>
              </w:rPr>
            </w:pPr>
            <w:r>
              <w:rPr>
                <w:rFonts w:hint="eastAsia" w:ascii="宋体" w:hAnsi="宋体" w:eastAsia="宋体" w:cs="宋体"/>
                <w:color w:val="auto"/>
                <w:sz w:val="24"/>
              </w:rPr>
              <w:t>被授权人身份证复印件</w:t>
            </w:r>
          </w:p>
        </w:tc>
        <w:tc>
          <w:tcPr>
            <w:tcW w:w="4573" w:type="dxa"/>
            <w:gridSpan w:val="3"/>
            <w:vAlign w:val="center"/>
          </w:tcPr>
          <w:p>
            <w:pPr>
              <w:tabs>
                <w:tab w:val="left" w:pos="1260"/>
              </w:tabs>
              <w:spacing w:line="440" w:lineRule="exact"/>
              <w:jc w:val="center"/>
              <w:rPr>
                <w:rFonts w:hint="eastAsia" w:ascii="宋体" w:hAnsi="宋体" w:eastAsia="宋体" w:cs="宋体"/>
                <w:color w:val="auto"/>
                <w:sz w:val="24"/>
              </w:rPr>
            </w:pPr>
            <w:r>
              <w:rPr>
                <w:rFonts w:hint="eastAsia" w:ascii="宋体" w:hAnsi="宋体" w:eastAsia="宋体" w:cs="宋体"/>
                <w:color w:val="auto"/>
                <w:sz w:val="24"/>
              </w:rPr>
              <w:t>法定代表人签署栏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65" w:hRule="atLeast"/>
          <w:jc w:val="center"/>
        </w:trPr>
        <w:tc>
          <w:tcPr>
            <w:tcW w:w="4371" w:type="dxa"/>
            <w:gridSpan w:val="3"/>
            <w:vMerge w:val="restart"/>
            <w:vAlign w:val="center"/>
          </w:tcPr>
          <w:p>
            <w:pPr>
              <w:tabs>
                <w:tab w:val="left" w:pos="1260"/>
              </w:tabs>
              <w:spacing w:line="440" w:lineRule="exact"/>
              <w:jc w:val="center"/>
              <w:rPr>
                <w:rFonts w:hint="eastAsia" w:ascii="宋体" w:hAnsi="宋体" w:eastAsia="宋体" w:cs="宋体"/>
                <w:color w:val="auto"/>
                <w:sz w:val="24"/>
              </w:rPr>
            </w:pPr>
            <w:r>
              <w:rPr>
                <w:rFonts w:hint="eastAsia" w:ascii="宋体" w:hAnsi="宋体" w:eastAsia="宋体" w:cs="宋体"/>
                <w:color w:val="auto"/>
                <w:sz w:val="24"/>
              </w:rPr>
              <w:t>（粘贴处）</w:t>
            </w:r>
          </w:p>
        </w:tc>
        <w:tc>
          <w:tcPr>
            <w:tcW w:w="4573" w:type="dxa"/>
            <w:gridSpan w:val="3"/>
            <w:vAlign w:val="center"/>
          </w:tcPr>
          <w:p>
            <w:pPr>
              <w:tabs>
                <w:tab w:val="left" w:pos="1260"/>
              </w:tabs>
              <w:spacing w:line="440" w:lineRule="exact"/>
              <w:jc w:val="center"/>
              <w:rPr>
                <w:rFonts w:hint="eastAsia" w:ascii="宋体" w:hAnsi="宋体" w:eastAsia="宋体" w:cs="宋体"/>
                <w:color w:val="auto"/>
                <w:sz w:val="24"/>
              </w:rPr>
            </w:pPr>
            <w:r>
              <w:rPr>
                <w:rFonts w:hint="eastAsia" w:ascii="宋体" w:hAnsi="宋体" w:eastAsia="宋体" w:cs="宋体"/>
                <w:color w:val="auto"/>
                <w:sz w:val="24"/>
              </w:rPr>
              <w:t>（法人公章）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22" w:hRule="atLeast"/>
          <w:jc w:val="center"/>
        </w:trPr>
        <w:tc>
          <w:tcPr>
            <w:tcW w:w="4371" w:type="dxa"/>
            <w:gridSpan w:val="3"/>
            <w:vMerge w:val="continue"/>
            <w:vAlign w:val="center"/>
          </w:tcPr>
          <w:p>
            <w:pPr>
              <w:tabs>
                <w:tab w:val="left" w:pos="1260"/>
              </w:tabs>
              <w:spacing w:line="440" w:lineRule="exact"/>
              <w:rPr>
                <w:rFonts w:hint="eastAsia" w:ascii="宋体" w:hAnsi="宋体" w:eastAsia="宋体" w:cs="宋体"/>
                <w:color w:val="auto"/>
                <w:sz w:val="24"/>
              </w:rPr>
            </w:pPr>
          </w:p>
        </w:tc>
        <w:tc>
          <w:tcPr>
            <w:tcW w:w="4573" w:type="dxa"/>
            <w:gridSpan w:val="3"/>
            <w:vAlign w:val="center"/>
          </w:tcPr>
          <w:p>
            <w:pPr>
              <w:tabs>
                <w:tab w:val="left" w:pos="1260"/>
              </w:tabs>
              <w:spacing w:line="440" w:lineRule="exact"/>
              <w:jc w:val="center"/>
              <w:rPr>
                <w:rFonts w:hint="eastAsia" w:ascii="宋体" w:hAnsi="宋体" w:eastAsia="宋体" w:cs="宋体"/>
                <w:color w:val="auto"/>
                <w:sz w:val="24"/>
              </w:rPr>
            </w:pPr>
            <w:r>
              <w:rPr>
                <w:rFonts w:hint="eastAsia" w:ascii="宋体" w:hAnsi="宋体" w:eastAsia="宋体" w:cs="宋体"/>
                <w:color w:val="auto"/>
                <w:sz w:val="24"/>
              </w:rPr>
              <w:t>（法定代表人签字或盖章）</w:t>
            </w:r>
          </w:p>
          <w:p>
            <w:pPr>
              <w:tabs>
                <w:tab w:val="left" w:pos="1260"/>
              </w:tabs>
              <w:spacing w:line="220" w:lineRule="exact"/>
              <w:jc w:val="center"/>
              <w:rPr>
                <w:rFonts w:hint="eastAsia" w:ascii="宋体" w:hAnsi="宋体" w:eastAsia="宋体" w:cs="宋体"/>
                <w:color w:val="auto"/>
                <w:sz w:val="24"/>
              </w:rPr>
            </w:pPr>
          </w:p>
          <w:p>
            <w:pPr>
              <w:tabs>
                <w:tab w:val="left" w:pos="1260"/>
              </w:tabs>
              <w:spacing w:line="440" w:lineRule="exact"/>
              <w:jc w:val="right"/>
              <w:rPr>
                <w:rFonts w:hint="eastAsia" w:ascii="宋体" w:hAnsi="宋体" w:eastAsia="宋体" w:cs="宋体"/>
                <w:color w:val="auto"/>
                <w:sz w:val="24"/>
              </w:rPr>
            </w:pPr>
            <w:r>
              <w:rPr>
                <w:rFonts w:hint="eastAsia" w:ascii="宋体" w:hAnsi="宋体" w:eastAsia="宋体" w:cs="宋体"/>
                <w:color w:val="auto"/>
                <w:sz w:val="24"/>
              </w:rPr>
              <w:t>年月日</w:t>
            </w:r>
          </w:p>
        </w:tc>
      </w:tr>
    </w:tbl>
    <w:p>
      <w:pPr>
        <w:spacing w:line="480" w:lineRule="exact"/>
        <w:rPr>
          <w:rFonts w:hint="eastAsia" w:ascii="宋体" w:hAnsi="宋体" w:eastAsia="宋体" w:cs="宋体"/>
          <w:b/>
          <w:color w:val="auto"/>
          <w:sz w:val="24"/>
        </w:rPr>
      </w:pPr>
      <w:r>
        <w:rPr>
          <w:rFonts w:hint="eastAsia" w:ascii="宋体" w:hAnsi="宋体" w:eastAsia="宋体" w:cs="宋体"/>
          <w:b/>
          <w:color w:val="auto"/>
          <w:sz w:val="24"/>
        </w:rPr>
        <w:t>重要提示：</w:t>
      </w:r>
    </w:p>
    <w:p>
      <w:pPr>
        <w:numPr>
          <w:ilvl w:val="0"/>
          <w:numId w:val="5"/>
        </w:numPr>
        <w:tabs>
          <w:tab w:val="left" w:pos="360"/>
        </w:tabs>
        <w:autoSpaceDE w:val="0"/>
        <w:autoSpaceDN w:val="0"/>
        <w:adjustRightInd w:val="0"/>
        <w:spacing w:line="400" w:lineRule="exact"/>
        <w:ind w:left="0" w:firstLine="307" w:firstLineChars="128"/>
        <w:rPr>
          <w:rFonts w:hint="eastAsia" w:ascii="宋体" w:hAnsi="宋体" w:eastAsia="宋体" w:cs="宋体"/>
          <w:color w:val="auto"/>
          <w:sz w:val="24"/>
        </w:rPr>
      </w:pPr>
      <w:r>
        <w:rPr>
          <w:rFonts w:hint="eastAsia" w:ascii="宋体" w:hAnsi="宋体" w:eastAsia="宋体" w:cs="宋体"/>
          <w:color w:val="auto"/>
          <w:sz w:val="24"/>
        </w:rPr>
        <w:t>非法定代表人</w:t>
      </w:r>
      <w:r>
        <w:rPr>
          <w:rFonts w:hint="eastAsia" w:ascii="宋体" w:hAnsi="宋体" w:eastAsia="宋体" w:cs="宋体"/>
          <w:color w:val="auto"/>
          <w:sz w:val="24"/>
          <w:lang w:eastAsia="zh-CN"/>
        </w:rPr>
        <w:t>磋商</w:t>
      </w:r>
      <w:r>
        <w:rPr>
          <w:rFonts w:hint="eastAsia" w:ascii="宋体" w:hAnsi="宋体" w:eastAsia="宋体" w:cs="宋体"/>
          <w:color w:val="auto"/>
          <w:sz w:val="24"/>
        </w:rPr>
        <w:t>的须有法定代表人授权，并要求</w:t>
      </w:r>
      <w:r>
        <w:rPr>
          <w:rFonts w:hint="eastAsia" w:ascii="宋体" w:hAnsi="宋体" w:eastAsia="宋体" w:cs="宋体"/>
          <w:color w:val="auto"/>
          <w:sz w:val="24"/>
          <w:lang w:eastAsia="zh-CN"/>
        </w:rPr>
        <w:t>磋商响应</w:t>
      </w:r>
      <w:r>
        <w:rPr>
          <w:rFonts w:hint="eastAsia" w:ascii="宋体" w:hAnsi="宋体" w:eastAsia="宋体" w:cs="宋体"/>
          <w:bCs/>
          <w:color w:val="auto"/>
          <w:sz w:val="24"/>
        </w:rPr>
        <w:t>文件正本内装订授权书原件</w:t>
      </w:r>
      <w:r>
        <w:rPr>
          <w:rFonts w:hint="eastAsia" w:ascii="宋体" w:hAnsi="宋体" w:eastAsia="宋体" w:cs="宋体"/>
          <w:color w:val="auto"/>
          <w:sz w:val="24"/>
        </w:rPr>
        <w:t>，</w:t>
      </w:r>
      <w:r>
        <w:rPr>
          <w:rFonts w:hint="eastAsia" w:ascii="宋体" w:hAnsi="宋体" w:eastAsia="宋体" w:cs="宋体"/>
          <w:bCs/>
          <w:color w:val="auto"/>
          <w:sz w:val="24"/>
        </w:rPr>
        <w:t>否则作为符合性审查不合格处理，</w:t>
      </w:r>
      <w:r>
        <w:rPr>
          <w:rFonts w:hint="eastAsia" w:ascii="宋体" w:hAnsi="宋体" w:eastAsia="宋体" w:cs="宋体"/>
          <w:bCs/>
          <w:color w:val="auto"/>
          <w:sz w:val="24"/>
          <w:lang w:eastAsia="zh-CN"/>
        </w:rPr>
        <w:t>磋商响应</w:t>
      </w:r>
      <w:r>
        <w:rPr>
          <w:rFonts w:hint="eastAsia" w:ascii="宋体" w:hAnsi="宋体" w:eastAsia="宋体" w:cs="宋体"/>
          <w:bCs/>
          <w:color w:val="auto"/>
          <w:sz w:val="24"/>
        </w:rPr>
        <w:t>文件自动失效。</w:t>
      </w:r>
    </w:p>
    <w:p>
      <w:pPr>
        <w:numPr>
          <w:ilvl w:val="0"/>
          <w:numId w:val="5"/>
        </w:numPr>
        <w:tabs>
          <w:tab w:val="left" w:pos="360"/>
        </w:tabs>
        <w:autoSpaceDE w:val="0"/>
        <w:autoSpaceDN w:val="0"/>
        <w:adjustRightInd w:val="0"/>
        <w:spacing w:line="400" w:lineRule="exact"/>
        <w:ind w:left="0" w:firstLine="307" w:firstLineChars="128"/>
        <w:rPr>
          <w:rFonts w:hint="eastAsia" w:ascii="宋体" w:hAnsi="宋体" w:eastAsia="宋体" w:cs="宋体"/>
          <w:color w:val="auto"/>
          <w:sz w:val="24"/>
        </w:rPr>
      </w:pPr>
      <w:r>
        <w:rPr>
          <w:rFonts w:hint="eastAsia" w:ascii="宋体" w:hAnsi="宋体" w:eastAsia="宋体" w:cs="宋体"/>
          <w:color w:val="auto"/>
          <w:sz w:val="24"/>
        </w:rPr>
        <w:t>本授权书有效期应自开标大会之日计算不得少于九十天。</w:t>
      </w:r>
    </w:p>
    <w:p>
      <w:pPr>
        <w:tabs>
          <w:tab w:val="left" w:pos="1260"/>
        </w:tabs>
        <w:spacing w:line="440" w:lineRule="exact"/>
        <w:rPr>
          <w:rFonts w:hint="eastAsia" w:ascii="宋体" w:hAnsi="宋体" w:eastAsia="宋体" w:cs="宋体"/>
          <w:b/>
          <w:bCs/>
          <w:color w:val="auto"/>
          <w:sz w:val="24"/>
        </w:rPr>
      </w:pPr>
    </w:p>
    <w:p>
      <w:pPr>
        <w:pStyle w:val="5"/>
        <w:jc w:val="center"/>
        <w:rPr>
          <w:rFonts w:hint="eastAsia" w:ascii="宋体" w:hAnsi="宋体" w:eastAsia="宋体" w:cs="宋体"/>
          <w:color w:val="auto"/>
          <w:sz w:val="24"/>
          <w:szCs w:val="24"/>
        </w:rPr>
      </w:pPr>
      <w:bookmarkStart w:id="82" w:name="_Toc53231751"/>
      <w:bookmarkStart w:id="83" w:name="_Toc53231795"/>
      <w:bookmarkStart w:id="84" w:name="_Toc78884385"/>
      <w:bookmarkStart w:id="85" w:name="_Toc53231539"/>
      <w:r>
        <w:rPr>
          <w:rFonts w:hint="eastAsia" w:ascii="宋体" w:hAnsi="宋体" w:eastAsia="宋体" w:cs="宋体"/>
          <w:bCs w:val="0"/>
          <w:color w:val="auto"/>
          <w:sz w:val="24"/>
          <w:szCs w:val="24"/>
        </w:rPr>
        <w:t>三、磋商响应函</w:t>
      </w:r>
      <w:bookmarkEnd w:id="74"/>
      <w:bookmarkEnd w:id="75"/>
      <w:bookmarkEnd w:id="76"/>
      <w:bookmarkEnd w:id="77"/>
      <w:bookmarkEnd w:id="82"/>
      <w:bookmarkEnd w:id="83"/>
      <w:bookmarkEnd w:id="84"/>
      <w:bookmarkEnd w:id="85"/>
    </w:p>
    <w:p>
      <w:pPr>
        <w:autoSpaceDE w:val="0"/>
        <w:autoSpaceDN w:val="0"/>
        <w:spacing w:line="360" w:lineRule="auto"/>
        <w:jc w:val="left"/>
        <w:rPr>
          <w:rFonts w:hint="default" w:ascii="宋体" w:hAnsi="宋体" w:eastAsia="宋体" w:cs="宋体"/>
          <w:snapToGrid w:val="0"/>
          <w:color w:val="auto"/>
          <w:spacing w:val="8"/>
          <w:kern w:val="0"/>
          <w:sz w:val="24"/>
          <w:u w:val="single"/>
          <w:lang w:val="en-US" w:eastAsia="zh-CN"/>
        </w:rPr>
      </w:pPr>
      <w:r>
        <w:rPr>
          <w:rFonts w:hint="eastAsia" w:ascii="宋体" w:hAnsi="宋体" w:eastAsia="宋体" w:cs="宋体"/>
          <w:color w:val="auto"/>
          <w:kern w:val="0"/>
          <w:sz w:val="24"/>
        </w:rPr>
        <w:t>致（采购人）：</w:t>
      </w:r>
      <w:r>
        <w:rPr>
          <w:rFonts w:hint="eastAsia" w:ascii="宋体" w:hAnsi="宋体" w:cs="宋体"/>
          <w:color w:val="auto"/>
          <w:kern w:val="0"/>
          <w:sz w:val="24"/>
          <w:u w:val="single"/>
          <w:lang w:val="en-US" w:eastAsia="zh-CN"/>
        </w:rPr>
        <w:t xml:space="preserve">                       </w:t>
      </w:r>
      <w:r>
        <w:rPr>
          <w:rFonts w:hint="eastAsia" w:ascii="宋体" w:hAnsi="宋体" w:cs="宋体"/>
          <w:color w:val="auto"/>
          <w:kern w:val="0"/>
          <w:sz w:val="24"/>
          <w:u w:val="none"/>
          <w:lang w:val="en-US" w:eastAsia="zh-CN"/>
        </w:rPr>
        <w:t>.</w:t>
      </w:r>
      <w:r>
        <w:rPr>
          <w:rFonts w:hint="eastAsia" w:ascii="宋体" w:hAnsi="宋体" w:cs="宋体"/>
          <w:color w:val="auto"/>
          <w:kern w:val="0"/>
          <w:sz w:val="24"/>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80" w:lineRule="auto"/>
        <w:ind w:firstLine="512" w:firstLineChars="200"/>
        <w:textAlignment w:val="auto"/>
        <w:rPr>
          <w:rFonts w:hint="eastAsia" w:ascii="宋体" w:hAnsi="宋体" w:eastAsia="宋体" w:cs="宋体"/>
          <w:snapToGrid w:val="0"/>
          <w:color w:val="auto"/>
          <w:spacing w:val="8"/>
          <w:kern w:val="0"/>
          <w:sz w:val="24"/>
        </w:rPr>
      </w:pPr>
      <w:r>
        <w:rPr>
          <w:rFonts w:hint="eastAsia" w:ascii="宋体" w:hAnsi="宋体" w:eastAsia="宋体" w:cs="宋体"/>
          <w:snapToGrid w:val="0"/>
          <w:color w:val="auto"/>
          <w:spacing w:val="8"/>
          <w:kern w:val="0"/>
          <w:sz w:val="24"/>
        </w:rPr>
        <w:t>我们收到贵方</w:t>
      </w:r>
      <w:r>
        <w:rPr>
          <w:rFonts w:hint="eastAsia" w:ascii="宋体" w:hAnsi="宋体" w:eastAsia="宋体" w:cs="宋体"/>
          <w:snapToGrid w:val="0"/>
          <w:color w:val="auto"/>
          <w:spacing w:val="8"/>
          <w:kern w:val="0"/>
          <w:sz w:val="24"/>
          <w:u w:val="single"/>
          <w:lang w:val="en-US" w:eastAsia="zh-CN"/>
        </w:rPr>
        <w:t>（项目名称）</w:t>
      </w:r>
      <w:r>
        <w:rPr>
          <w:rFonts w:hint="eastAsia" w:ascii="宋体" w:hAnsi="宋体" w:cs="宋体"/>
          <w:snapToGrid w:val="0"/>
          <w:color w:val="auto"/>
          <w:spacing w:val="8"/>
          <w:kern w:val="0"/>
          <w:sz w:val="24"/>
          <w:u w:val="single"/>
          <w:lang w:val="en-US" w:eastAsia="zh-CN"/>
        </w:rPr>
        <w:t xml:space="preserve">              </w:t>
      </w:r>
      <w:r>
        <w:rPr>
          <w:rFonts w:hint="eastAsia" w:ascii="宋体" w:hAnsi="宋体" w:eastAsia="宋体" w:cs="宋体"/>
          <w:snapToGrid w:val="0"/>
          <w:color w:val="auto"/>
          <w:spacing w:val="8"/>
          <w:kern w:val="0"/>
          <w:sz w:val="24"/>
        </w:rPr>
        <w:t>磋商文件（采购项目编号</w:t>
      </w:r>
      <w:r>
        <w:rPr>
          <w:rFonts w:hint="eastAsia" w:ascii="宋体" w:hAnsi="宋体" w:cs="宋体"/>
          <w:snapToGrid w:val="0"/>
          <w:color w:val="auto"/>
          <w:spacing w:val="8"/>
          <w:kern w:val="0"/>
          <w:sz w:val="24"/>
          <w:u w:val="single"/>
          <w:lang w:val="en-US" w:eastAsia="zh-CN"/>
        </w:rPr>
        <w:t xml:space="preserve">            </w:t>
      </w:r>
      <w:r>
        <w:rPr>
          <w:rFonts w:hint="eastAsia" w:ascii="宋体" w:hAnsi="宋体" w:eastAsia="宋体" w:cs="宋体"/>
          <w:snapToGrid w:val="0"/>
          <w:color w:val="auto"/>
          <w:spacing w:val="8"/>
          <w:kern w:val="0"/>
          <w:sz w:val="24"/>
        </w:rPr>
        <w:t>），经详细研究，我们决定参加本项目的磋商。并授权</w:t>
      </w:r>
      <w:r>
        <w:rPr>
          <w:rFonts w:hint="eastAsia" w:ascii="宋体" w:hAnsi="宋体" w:cs="宋体"/>
          <w:snapToGrid w:val="0"/>
          <w:color w:val="auto"/>
          <w:spacing w:val="8"/>
          <w:kern w:val="0"/>
          <w:sz w:val="24"/>
          <w:u w:val="single"/>
          <w:lang w:val="en-US" w:eastAsia="zh-CN"/>
        </w:rPr>
        <w:t xml:space="preserve">           （</w:t>
      </w:r>
      <w:r>
        <w:rPr>
          <w:rFonts w:hint="eastAsia" w:ascii="宋体" w:hAnsi="宋体" w:eastAsia="宋体" w:cs="宋体"/>
          <w:snapToGrid w:val="0"/>
          <w:color w:val="auto"/>
          <w:spacing w:val="8"/>
          <w:kern w:val="0"/>
          <w:sz w:val="24"/>
          <w:u w:val="single"/>
        </w:rPr>
        <w:t>姓名、职务）</w:t>
      </w:r>
      <w:r>
        <w:rPr>
          <w:rFonts w:hint="eastAsia" w:ascii="宋体" w:hAnsi="宋体" w:eastAsia="宋体" w:cs="宋体"/>
          <w:snapToGrid w:val="0"/>
          <w:color w:val="auto"/>
          <w:spacing w:val="8"/>
          <w:kern w:val="0"/>
          <w:sz w:val="24"/>
        </w:rPr>
        <w:t>，全权代表我供应商提交下述文件正本</w:t>
      </w:r>
      <w:r>
        <w:rPr>
          <w:rFonts w:hint="eastAsia" w:ascii="宋体" w:hAnsi="宋体" w:eastAsia="宋体" w:cs="宋体"/>
          <w:snapToGrid w:val="0"/>
          <w:color w:val="auto"/>
          <w:spacing w:val="8"/>
          <w:kern w:val="0"/>
          <w:sz w:val="24"/>
          <w:u w:val="single"/>
        </w:rPr>
        <w:t>壹</w:t>
      </w:r>
      <w:r>
        <w:rPr>
          <w:rFonts w:hint="eastAsia" w:ascii="宋体" w:hAnsi="宋体" w:eastAsia="宋体" w:cs="宋体"/>
          <w:snapToGrid w:val="0"/>
          <w:color w:val="auto"/>
          <w:spacing w:val="8"/>
          <w:kern w:val="0"/>
          <w:sz w:val="24"/>
        </w:rPr>
        <w:t>份，副本</w:t>
      </w:r>
      <w:r>
        <w:rPr>
          <w:rFonts w:hint="eastAsia" w:ascii="宋体" w:hAnsi="宋体" w:eastAsia="宋体" w:cs="宋体"/>
          <w:snapToGrid w:val="0"/>
          <w:color w:val="auto"/>
          <w:spacing w:val="8"/>
          <w:kern w:val="0"/>
          <w:sz w:val="24"/>
          <w:u w:val="single"/>
        </w:rPr>
        <w:t>贰</w:t>
      </w:r>
      <w:r>
        <w:rPr>
          <w:rFonts w:hint="eastAsia" w:ascii="宋体" w:hAnsi="宋体" w:eastAsia="宋体" w:cs="宋体"/>
          <w:snapToGrid w:val="0"/>
          <w:color w:val="auto"/>
          <w:spacing w:val="8"/>
          <w:kern w:val="0"/>
          <w:sz w:val="24"/>
        </w:rPr>
        <w:t>份、</w:t>
      </w:r>
      <w:r>
        <w:rPr>
          <w:rFonts w:hint="eastAsia" w:ascii="宋体" w:hAnsi="宋体" w:eastAsia="宋体" w:cs="宋体"/>
          <w:snapToGrid w:val="0"/>
          <w:color w:val="auto"/>
          <w:spacing w:val="8"/>
          <w:kern w:val="0"/>
          <w:sz w:val="24"/>
          <w:lang w:eastAsia="zh-CN"/>
        </w:rPr>
        <w:t>磋商报价一览表</w:t>
      </w:r>
      <w:r>
        <w:rPr>
          <w:rFonts w:hint="eastAsia" w:ascii="宋体" w:hAnsi="宋体" w:eastAsia="宋体" w:cs="宋体"/>
          <w:snapToGrid w:val="0"/>
          <w:color w:val="auto"/>
          <w:spacing w:val="8"/>
          <w:kern w:val="0"/>
          <w:sz w:val="24"/>
          <w:u w:val="single"/>
          <w:lang w:eastAsia="zh-CN"/>
        </w:rPr>
        <w:t>壹</w:t>
      </w:r>
      <w:r>
        <w:rPr>
          <w:rFonts w:hint="eastAsia" w:ascii="宋体" w:hAnsi="宋体" w:eastAsia="宋体" w:cs="宋体"/>
          <w:snapToGrid w:val="0"/>
          <w:color w:val="auto"/>
          <w:spacing w:val="8"/>
          <w:kern w:val="0"/>
          <w:sz w:val="24"/>
          <w:lang w:eastAsia="zh-CN"/>
        </w:rPr>
        <w:t>份、</w:t>
      </w:r>
      <w:r>
        <w:rPr>
          <w:rFonts w:hint="eastAsia" w:ascii="宋体" w:hAnsi="宋体" w:eastAsia="宋体" w:cs="宋体"/>
          <w:snapToGrid w:val="0"/>
          <w:color w:val="auto"/>
          <w:spacing w:val="8"/>
          <w:kern w:val="0"/>
          <w:sz w:val="24"/>
        </w:rPr>
        <w:t>电子版文件</w:t>
      </w:r>
      <w:r>
        <w:rPr>
          <w:rFonts w:hint="eastAsia" w:ascii="宋体" w:hAnsi="宋体" w:eastAsia="宋体" w:cs="宋体"/>
          <w:snapToGrid w:val="0"/>
          <w:color w:val="auto"/>
          <w:spacing w:val="8"/>
          <w:kern w:val="0"/>
          <w:sz w:val="24"/>
          <w:u w:val="single"/>
          <w:lang w:eastAsia="zh-CN"/>
        </w:rPr>
        <w:t>壹</w:t>
      </w:r>
      <w:r>
        <w:rPr>
          <w:rFonts w:hint="eastAsia" w:ascii="宋体" w:hAnsi="宋体" w:eastAsia="宋体" w:cs="宋体"/>
          <w:snapToGrid w:val="0"/>
          <w:color w:val="auto"/>
          <w:spacing w:val="8"/>
          <w:kern w:val="0"/>
          <w:sz w:val="24"/>
        </w:rPr>
        <w:t>份</w:t>
      </w:r>
      <w:r>
        <w:rPr>
          <w:rFonts w:hint="eastAsia" w:ascii="宋体" w:hAnsi="宋体" w:eastAsia="宋体" w:cs="宋体"/>
          <w:snapToGrid w:val="0"/>
          <w:color w:val="auto"/>
          <w:spacing w:val="8"/>
          <w:kern w:val="0"/>
          <w:sz w:val="24"/>
          <w:lang w:eastAsia="zh-CN"/>
        </w:rPr>
        <w:t>及资格审查资料</w:t>
      </w:r>
      <w:r>
        <w:rPr>
          <w:rFonts w:hint="eastAsia" w:ascii="宋体" w:hAnsi="宋体" w:eastAsia="宋体" w:cs="宋体"/>
          <w:snapToGrid w:val="0"/>
          <w:color w:val="auto"/>
          <w:spacing w:val="8"/>
          <w:kern w:val="0"/>
          <w:sz w:val="24"/>
          <w:u w:val="single"/>
          <w:lang w:eastAsia="zh-CN"/>
        </w:rPr>
        <w:t>壹</w:t>
      </w:r>
      <w:r>
        <w:rPr>
          <w:rFonts w:hint="eastAsia" w:ascii="宋体" w:hAnsi="宋体" w:eastAsia="宋体" w:cs="宋体"/>
          <w:snapToGrid w:val="0"/>
          <w:color w:val="auto"/>
          <w:spacing w:val="8"/>
          <w:kern w:val="0"/>
          <w:sz w:val="24"/>
          <w:lang w:eastAsia="zh-CN"/>
        </w:rPr>
        <w:t>份</w:t>
      </w:r>
      <w:r>
        <w:rPr>
          <w:rFonts w:hint="eastAsia" w:ascii="宋体" w:hAnsi="宋体" w:eastAsia="宋体" w:cs="宋体"/>
          <w:snapToGrid w:val="0"/>
          <w:color w:val="auto"/>
          <w:spacing w:val="8"/>
          <w:kern w:val="0"/>
          <w:sz w:val="24"/>
        </w:rPr>
        <w:t>。并同时宣布愿意遵守下列条款：</w:t>
      </w:r>
    </w:p>
    <w:p>
      <w:pPr>
        <w:keepNext w:val="0"/>
        <w:keepLines w:val="0"/>
        <w:pageBreakBefore w:val="0"/>
        <w:widowControl w:val="0"/>
        <w:kinsoku/>
        <w:wordWrap/>
        <w:overflowPunct/>
        <w:topLinePunct w:val="0"/>
        <w:autoSpaceDE/>
        <w:autoSpaceDN/>
        <w:bidi w:val="0"/>
        <w:adjustRightInd/>
        <w:snapToGrid/>
        <w:spacing w:line="480" w:lineRule="auto"/>
        <w:ind w:firstLine="512" w:firstLineChars="200"/>
        <w:textAlignment w:val="auto"/>
        <w:rPr>
          <w:rFonts w:hint="eastAsia" w:ascii="宋体" w:hAnsi="宋体" w:eastAsia="宋体" w:cs="宋体"/>
          <w:snapToGrid w:val="0"/>
          <w:color w:val="auto"/>
          <w:spacing w:val="8"/>
          <w:kern w:val="0"/>
          <w:sz w:val="24"/>
        </w:rPr>
      </w:pPr>
      <w:r>
        <w:rPr>
          <w:rFonts w:hint="eastAsia" w:ascii="宋体" w:hAnsi="宋体" w:eastAsia="宋体" w:cs="宋体"/>
          <w:snapToGrid w:val="0"/>
          <w:color w:val="auto"/>
          <w:spacing w:val="8"/>
          <w:kern w:val="0"/>
          <w:sz w:val="24"/>
        </w:rPr>
        <w:t>一、愿意按照磋商文件中的要求，包工包料，完成合同的责任和义务。</w:t>
      </w:r>
    </w:p>
    <w:p>
      <w:pPr>
        <w:keepNext w:val="0"/>
        <w:keepLines w:val="0"/>
        <w:pageBreakBefore w:val="0"/>
        <w:widowControl w:val="0"/>
        <w:kinsoku/>
        <w:wordWrap/>
        <w:overflowPunct/>
        <w:topLinePunct w:val="0"/>
        <w:autoSpaceDE/>
        <w:autoSpaceDN/>
        <w:bidi w:val="0"/>
        <w:adjustRightInd/>
        <w:snapToGrid/>
        <w:spacing w:line="480" w:lineRule="auto"/>
        <w:ind w:firstLine="512" w:firstLineChars="200"/>
        <w:textAlignment w:val="auto"/>
        <w:rPr>
          <w:rFonts w:hint="eastAsia" w:ascii="宋体" w:hAnsi="宋体" w:eastAsia="宋体" w:cs="宋体"/>
          <w:snapToGrid w:val="0"/>
          <w:color w:val="auto"/>
          <w:spacing w:val="8"/>
          <w:kern w:val="0"/>
          <w:sz w:val="24"/>
        </w:rPr>
      </w:pPr>
      <w:r>
        <w:rPr>
          <w:rFonts w:hint="eastAsia" w:ascii="宋体" w:hAnsi="宋体" w:eastAsia="宋体" w:cs="宋体"/>
          <w:snapToGrid w:val="0"/>
          <w:color w:val="auto"/>
          <w:spacing w:val="8"/>
          <w:kern w:val="0"/>
          <w:sz w:val="24"/>
        </w:rPr>
        <w:t>二、我公司首次磋商总报价：</w:t>
      </w:r>
      <w:r>
        <w:rPr>
          <w:rFonts w:hint="eastAsia" w:ascii="宋体" w:hAnsi="宋体" w:eastAsia="宋体" w:cs="宋体"/>
          <w:snapToGrid w:val="0"/>
          <w:color w:val="auto"/>
          <w:spacing w:val="8"/>
          <w:kern w:val="0"/>
          <w:sz w:val="24"/>
          <w:u w:val="single"/>
        </w:rPr>
        <w:t>人民币（大写）：</w:t>
      </w:r>
      <w:r>
        <w:rPr>
          <w:rFonts w:hint="eastAsia" w:ascii="宋体" w:hAnsi="宋体" w:cs="宋体"/>
          <w:snapToGrid w:val="0"/>
          <w:color w:val="auto"/>
          <w:spacing w:val="8"/>
          <w:kern w:val="0"/>
          <w:sz w:val="24"/>
          <w:u w:val="single"/>
          <w:lang w:val="en-US" w:eastAsia="zh-CN"/>
        </w:rPr>
        <w:t xml:space="preserve">     </w:t>
      </w:r>
      <w:r>
        <w:rPr>
          <w:rFonts w:hint="eastAsia" w:ascii="宋体" w:hAnsi="宋体" w:eastAsia="宋体" w:cs="宋体"/>
          <w:snapToGrid w:val="0"/>
          <w:color w:val="auto"/>
          <w:spacing w:val="8"/>
          <w:kern w:val="0"/>
          <w:sz w:val="24"/>
        </w:rPr>
        <w:t>（小写）</w:t>
      </w:r>
      <w:r>
        <w:rPr>
          <w:rFonts w:hint="eastAsia" w:ascii="宋体" w:hAnsi="宋体" w:eastAsia="宋体" w:cs="宋体"/>
          <w:snapToGrid w:val="0"/>
          <w:color w:val="auto"/>
          <w:spacing w:val="8"/>
          <w:kern w:val="0"/>
          <w:sz w:val="24"/>
          <w:u w:val="single"/>
        </w:rPr>
        <w:t>￥</w:t>
      </w:r>
      <w:r>
        <w:rPr>
          <w:rFonts w:hint="eastAsia" w:ascii="宋体" w:hAnsi="宋体" w:cs="宋体"/>
          <w:snapToGrid w:val="0"/>
          <w:color w:val="auto"/>
          <w:spacing w:val="8"/>
          <w:kern w:val="0"/>
          <w:sz w:val="24"/>
          <w:u w:val="single"/>
          <w:lang w:eastAsia="zh-CN"/>
        </w:rPr>
        <w:t>：</w:t>
      </w:r>
      <w:r>
        <w:rPr>
          <w:rFonts w:hint="eastAsia" w:ascii="宋体" w:hAnsi="宋体" w:cs="宋体"/>
          <w:snapToGrid w:val="0"/>
          <w:color w:val="auto"/>
          <w:spacing w:val="8"/>
          <w:kern w:val="0"/>
          <w:sz w:val="24"/>
          <w:u w:val="single"/>
          <w:lang w:val="en-US" w:eastAsia="zh-CN"/>
        </w:rPr>
        <w:t xml:space="preserve">      </w:t>
      </w:r>
      <w:r>
        <w:rPr>
          <w:rFonts w:hint="eastAsia" w:ascii="宋体" w:hAnsi="宋体" w:eastAsia="宋体" w:cs="宋体"/>
          <w:snapToGrid w:val="0"/>
          <w:color w:val="auto"/>
          <w:spacing w:val="8"/>
          <w:kern w:val="0"/>
          <w:sz w:val="24"/>
          <w:u w:val="single"/>
        </w:rPr>
        <w:t>元</w:t>
      </w:r>
      <w:r>
        <w:rPr>
          <w:rFonts w:hint="eastAsia" w:ascii="宋体" w:hAnsi="宋体" w:eastAsia="宋体" w:cs="宋体"/>
          <w:snapToGrid w:val="0"/>
          <w:color w:val="auto"/>
          <w:spacing w:val="8"/>
          <w:kern w:val="0"/>
          <w:sz w:val="24"/>
        </w:rPr>
        <w:t>。工期</w:t>
      </w:r>
      <w:r>
        <w:rPr>
          <w:rFonts w:hint="eastAsia" w:ascii="宋体" w:hAnsi="宋体" w:cs="宋体"/>
          <w:snapToGrid w:val="0"/>
          <w:color w:val="auto"/>
          <w:spacing w:val="8"/>
          <w:kern w:val="0"/>
          <w:sz w:val="24"/>
          <w:u w:val="single"/>
          <w:lang w:val="en-US" w:eastAsia="zh-CN"/>
        </w:rPr>
        <w:t xml:space="preserve">      </w:t>
      </w:r>
      <w:r>
        <w:rPr>
          <w:rFonts w:hint="eastAsia" w:ascii="宋体" w:hAnsi="宋体" w:eastAsia="宋体" w:cs="宋体"/>
          <w:snapToGrid w:val="0"/>
          <w:color w:val="auto"/>
          <w:spacing w:val="8"/>
          <w:kern w:val="0"/>
          <w:sz w:val="24"/>
        </w:rPr>
        <w:t>日历天，</w:t>
      </w:r>
      <w:r>
        <w:rPr>
          <w:rFonts w:hint="eastAsia" w:ascii="宋体" w:hAnsi="宋体" w:eastAsia="宋体" w:cs="宋体"/>
          <w:snapToGrid w:val="0"/>
          <w:color w:val="auto"/>
          <w:spacing w:val="8"/>
          <w:kern w:val="0"/>
          <w:sz w:val="24"/>
          <w:lang w:eastAsia="zh-CN"/>
        </w:rPr>
        <w:t>安全目标</w:t>
      </w:r>
      <w:r>
        <w:rPr>
          <w:rFonts w:hint="eastAsia" w:ascii="宋体" w:hAnsi="宋体" w:cs="宋体"/>
          <w:snapToGrid w:val="0"/>
          <w:color w:val="auto"/>
          <w:spacing w:val="8"/>
          <w:kern w:val="0"/>
          <w:sz w:val="24"/>
          <w:u w:val="single"/>
          <w:lang w:val="en-US" w:eastAsia="zh-CN"/>
        </w:rPr>
        <w:t xml:space="preserve">     </w:t>
      </w:r>
      <w:r>
        <w:rPr>
          <w:rFonts w:hint="eastAsia" w:ascii="宋体" w:hAnsi="宋体" w:cs="宋体"/>
          <w:snapToGrid w:val="0"/>
          <w:color w:val="auto"/>
          <w:spacing w:val="8"/>
          <w:kern w:val="0"/>
          <w:sz w:val="24"/>
          <w:lang w:val="en-US" w:eastAsia="zh-CN"/>
        </w:rPr>
        <w:t xml:space="preserve"> </w:t>
      </w:r>
      <w:r>
        <w:rPr>
          <w:rFonts w:hint="eastAsia" w:ascii="宋体" w:hAnsi="宋体" w:eastAsia="宋体" w:cs="宋体"/>
          <w:snapToGrid w:val="0"/>
          <w:color w:val="auto"/>
          <w:spacing w:val="8"/>
          <w:kern w:val="0"/>
          <w:sz w:val="24"/>
          <w:u w:val="none"/>
          <w:lang w:val="en-US" w:eastAsia="zh-CN"/>
        </w:rPr>
        <w:t>，</w:t>
      </w:r>
      <w:r>
        <w:rPr>
          <w:rFonts w:hint="eastAsia" w:ascii="宋体" w:hAnsi="宋体" w:eastAsia="宋体" w:cs="宋体"/>
          <w:snapToGrid w:val="0"/>
          <w:color w:val="auto"/>
          <w:spacing w:val="8"/>
          <w:kern w:val="0"/>
          <w:sz w:val="24"/>
        </w:rPr>
        <w:t>质量达到</w:t>
      </w:r>
      <w:r>
        <w:rPr>
          <w:rFonts w:hint="eastAsia" w:ascii="宋体" w:hAnsi="宋体" w:cs="宋体"/>
          <w:snapToGrid w:val="0"/>
          <w:color w:val="auto"/>
          <w:spacing w:val="8"/>
          <w:kern w:val="0"/>
          <w:sz w:val="24"/>
          <w:u w:val="single"/>
          <w:lang w:val="en-US" w:eastAsia="zh-CN"/>
        </w:rPr>
        <w:t xml:space="preserve">      </w:t>
      </w:r>
      <w:r>
        <w:rPr>
          <w:rFonts w:hint="eastAsia" w:ascii="宋体" w:hAnsi="宋体" w:eastAsia="宋体" w:cs="宋体"/>
          <w:snapToGrid w:val="0"/>
          <w:color w:val="auto"/>
          <w:spacing w:val="8"/>
          <w:kern w:val="0"/>
          <w:sz w:val="24"/>
        </w:rPr>
        <w:t>，并对其后的磋商报价负法律责任。</w:t>
      </w:r>
    </w:p>
    <w:p>
      <w:pPr>
        <w:keepNext w:val="0"/>
        <w:keepLines w:val="0"/>
        <w:pageBreakBefore w:val="0"/>
        <w:widowControl w:val="0"/>
        <w:kinsoku/>
        <w:wordWrap/>
        <w:overflowPunct/>
        <w:topLinePunct w:val="0"/>
        <w:autoSpaceDE/>
        <w:autoSpaceDN/>
        <w:bidi w:val="0"/>
        <w:adjustRightInd/>
        <w:snapToGrid/>
        <w:spacing w:line="480" w:lineRule="auto"/>
        <w:ind w:firstLine="512" w:firstLineChars="200"/>
        <w:textAlignment w:val="auto"/>
        <w:rPr>
          <w:rFonts w:hint="eastAsia" w:ascii="宋体" w:hAnsi="宋体" w:eastAsia="宋体" w:cs="宋体"/>
          <w:snapToGrid w:val="0"/>
          <w:color w:val="auto"/>
          <w:spacing w:val="8"/>
          <w:kern w:val="0"/>
          <w:sz w:val="24"/>
        </w:rPr>
      </w:pPr>
      <w:r>
        <w:rPr>
          <w:rFonts w:hint="eastAsia" w:ascii="宋体" w:hAnsi="宋体" w:eastAsia="宋体" w:cs="宋体"/>
          <w:snapToGrid w:val="0"/>
          <w:color w:val="auto"/>
          <w:spacing w:val="8"/>
          <w:kern w:val="0"/>
          <w:sz w:val="24"/>
        </w:rPr>
        <w:t>三、我们已详细阅读了磋商文件，完全理解并放弃提出含糊不清或易形成歧义的表述和资料。</w:t>
      </w:r>
    </w:p>
    <w:p>
      <w:pPr>
        <w:keepNext w:val="0"/>
        <w:keepLines w:val="0"/>
        <w:pageBreakBefore w:val="0"/>
        <w:widowControl w:val="0"/>
        <w:kinsoku/>
        <w:wordWrap/>
        <w:overflowPunct/>
        <w:topLinePunct w:val="0"/>
        <w:autoSpaceDE/>
        <w:autoSpaceDN/>
        <w:bidi w:val="0"/>
        <w:adjustRightInd/>
        <w:snapToGrid/>
        <w:spacing w:line="480" w:lineRule="auto"/>
        <w:ind w:firstLine="512" w:firstLineChars="200"/>
        <w:textAlignment w:val="auto"/>
        <w:rPr>
          <w:rFonts w:hint="eastAsia" w:ascii="宋体" w:hAnsi="宋体" w:eastAsia="宋体" w:cs="宋体"/>
          <w:snapToGrid w:val="0"/>
          <w:color w:val="auto"/>
          <w:spacing w:val="8"/>
          <w:kern w:val="0"/>
          <w:sz w:val="24"/>
        </w:rPr>
      </w:pPr>
      <w:r>
        <w:rPr>
          <w:rFonts w:hint="eastAsia" w:ascii="宋体" w:hAnsi="宋体" w:eastAsia="宋体" w:cs="宋体"/>
          <w:snapToGrid w:val="0"/>
          <w:color w:val="auto"/>
          <w:spacing w:val="8"/>
          <w:kern w:val="0"/>
          <w:sz w:val="24"/>
        </w:rPr>
        <w:t>四、我们同意在磋商有效期内（自磋商之日起</w:t>
      </w:r>
      <w:r>
        <w:rPr>
          <w:rFonts w:hint="eastAsia" w:ascii="宋体" w:hAnsi="宋体" w:cs="宋体"/>
          <w:snapToGrid w:val="0"/>
          <w:color w:val="auto"/>
          <w:spacing w:val="8"/>
          <w:kern w:val="0"/>
          <w:sz w:val="24"/>
          <w:u w:val="single"/>
          <w:lang w:val="en-US" w:eastAsia="zh-CN"/>
        </w:rPr>
        <w:t xml:space="preserve">          </w:t>
      </w:r>
      <w:r>
        <w:rPr>
          <w:rFonts w:hint="eastAsia" w:ascii="宋体" w:hAnsi="宋体" w:eastAsia="宋体" w:cs="宋体"/>
          <w:snapToGrid w:val="0"/>
          <w:color w:val="auto"/>
          <w:spacing w:val="8"/>
          <w:kern w:val="0"/>
          <w:sz w:val="24"/>
        </w:rPr>
        <w:t>天），本磋商响应函对我方具有约束力。</w:t>
      </w:r>
    </w:p>
    <w:p>
      <w:pPr>
        <w:keepNext w:val="0"/>
        <w:keepLines w:val="0"/>
        <w:pageBreakBefore w:val="0"/>
        <w:widowControl w:val="0"/>
        <w:kinsoku/>
        <w:wordWrap/>
        <w:overflowPunct/>
        <w:topLinePunct w:val="0"/>
        <w:autoSpaceDE/>
        <w:autoSpaceDN/>
        <w:bidi w:val="0"/>
        <w:adjustRightInd/>
        <w:snapToGrid/>
        <w:spacing w:line="480" w:lineRule="auto"/>
        <w:ind w:firstLine="512" w:firstLineChars="200"/>
        <w:textAlignment w:val="auto"/>
        <w:rPr>
          <w:rFonts w:hint="eastAsia" w:ascii="宋体" w:hAnsi="宋体" w:eastAsia="宋体" w:cs="宋体"/>
          <w:snapToGrid w:val="0"/>
          <w:color w:val="auto"/>
          <w:spacing w:val="8"/>
          <w:kern w:val="0"/>
          <w:sz w:val="24"/>
        </w:rPr>
      </w:pPr>
      <w:r>
        <w:rPr>
          <w:rFonts w:hint="eastAsia" w:ascii="宋体" w:hAnsi="宋体" w:eastAsia="宋体" w:cs="宋体"/>
          <w:snapToGrid w:val="0"/>
          <w:color w:val="auto"/>
          <w:spacing w:val="8"/>
          <w:kern w:val="0"/>
          <w:sz w:val="24"/>
        </w:rPr>
        <w:t>五、我方完全理解并同意</w:t>
      </w:r>
      <w:r>
        <w:rPr>
          <w:rFonts w:hint="eastAsia" w:ascii="宋体" w:hAnsi="宋体" w:eastAsia="宋体" w:cs="宋体"/>
          <w:snapToGrid w:val="0"/>
          <w:color w:val="auto"/>
          <w:spacing w:val="8"/>
          <w:kern w:val="0"/>
          <w:sz w:val="24"/>
          <w:lang w:eastAsia="zh-CN"/>
        </w:rPr>
        <w:t>竞争性磋商</w:t>
      </w:r>
      <w:r>
        <w:rPr>
          <w:rFonts w:hint="eastAsia" w:ascii="宋体" w:hAnsi="宋体" w:eastAsia="宋体" w:cs="宋体"/>
          <w:snapToGrid w:val="0"/>
          <w:color w:val="auto"/>
          <w:spacing w:val="8"/>
          <w:kern w:val="0"/>
          <w:sz w:val="24"/>
        </w:rPr>
        <w:t>文件中有关不退还</w:t>
      </w:r>
      <w:r>
        <w:rPr>
          <w:rFonts w:hint="eastAsia" w:ascii="宋体" w:hAnsi="宋体" w:eastAsia="宋体" w:cs="宋体"/>
          <w:snapToGrid w:val="0"/>
          <w:color w:val="auto"/>
          <w:spacing w:val="8"/>
          <w:kern w:val="0"/>
          <w:sz w:val="24"/>
          <w:lang w:eastAsia="zh-CN"/>
        </w:rPr>
        <w:t>磋商</w:t>
      </w:r>
      <w:r>
        <w:rPr>
          <w:rFonts w:hint="eastAsia" w:ascii="宋体" w:hAnsi="宋体" w:eastAsia="宋体" w:cs="宋体"/>
          <w:snapToGrid w:val="0"/>
          <w:color w:val="auto"/>
          <w:spacing w:val="8"/>
          <w:kern w:val="0"/>
          <w:sz w:val="24"/>
        </w:rPr>
        <w:t>保证金条款所规定的情形。</w:t>
      </w:r>
    </w:p>
    <w:p>
      <w:pPr>
        <w:keepNext w:val="0"/>
        <w:keepLines w:val="0"/>
        <w:pageBreakBefore w:val="0"/>
        <w:widowControl w:val="0"/>
        <w:kinsoku/>
        <w:wordWrap/>
        <w:overflowPunct/>
        <w:topLinePunct w:val="0"/>
        <w:autoSpaceDE/>
        <w:autoSpaceDN/>
        <w:bidi w:val="0"/>
        <w:adjustRightInd/>
        <w:snapToGrid/>
        <w:spacing w:line="480" w:lineRule="auto"/>
        <w:ind w:firstLine="512" w:firstLineChars="200"/>
        <w:textAlignment w:val="auto"/>
        <w:rPr>
          <w:rFonts w:hint="eastAsia" w:ascii="宋体" w:hAnsi="宋体" w:eastAsia="宋体" w:cs="宋体"/>
          <w:snapToGrid w:val="0"/>
          <w:color w:val="auto"/>
          <w:spacing w:val="8"/>
          <w:kern w:val="0"/>
          <w:sz w:val="24"/>
          <w:lang w:eastAsia="zh-CN"/>
        </w:rPr>
      </w:pPr>
      <w:r>
        <w:rPr>
          <w:rFonts w:hint="eastAsia" w:ascii="宋体" w:hAnsi="宋体" w:eastAsia="宋体" w:cs="宋体"/>
          <w:snapToGrid w:val="0"/>
          <w:color w:val="auto"/>
          <w:spacing w:val="8"/>
          <w:kern w:val="0"/>
          <w:sz w:val="24"/>
          <w:lang w:eastAsia="zh-CN"/>
        </w:rPr>
        <w:t>六、我方愿意提供采购人可能另外要求的，与磋商有关的任何文件资料，并保证我方已提供和将要提供的文件资料是真实、准确的。</w:t>
      </w:r>
    </w:p>
    <w:p>
      <w:pPr>
        <w:keepNext w:val="0"/>
        <w:keepLines w:val="0"/>
        <w:pageBreakBefore w:val="0"/>
        <w:widowControl w:val="0"/>
        <w:kinsoku/>
        <w:wordWrap/>
        <w:overflowPunct/>
        <w:topLinePunct w:val="0"/>
        <w:autoSpaceDE/>
        <w:autoSpaceDN/>
        <w:bidi w:val="0"/>
        <w:adjustRightInd/>
        <w:snapToGrid/>
        <w:spacing w:line="480" w:lineRule="auto"/>
        <w:ind w:firstLine="512" w:firstLineChars="200"/>
        <w:textAlignment w:val="auto"/>
        <w:rPr>
          <w:rFonts w:hint="eastAsia" w:ascii="宋体" w:hAnsi="宋体" w:eastAsia="宋体" w:cs="宋体"/>
          <w:snapToGrid w:val="0"/>
          <w:color w:val="auto"/>
          <w:spacing w:val="8"/>
          <w:kern w:val="0"/>
          <w:sz w:val="24"/>
          <w:lang w:eastAsia="zh-CN"/>
        </w:rPr>
      </w:pPr>
      <w:r>
        <w:rPr>
          <w:rFonts w:hint="eastAsia" w:ascii="宋体" w:hAnsi="宋体" w:eastAsia="宋体" w:cs="宋体"/>
          <w:snapToGrid w:val="0"/>
          <w:color w:val="auto"/>
          <w:spacing w:val="8"/>
          <w:kern w:val="0"/>
          <w:sz w:val="24"/>
          <w:lang w:eastAsia="zh-CN"/>
        </w:rPr>
        <w:t>七、我方完全理解最低报价不是中标的唯一条件，且尊重磋商小组的评标结论和定标结果。</w:t>
      </w:r>
    </w:p>
    <w:p>
      <w:pPr>
        <w:keepNext w:val="0"/>
        <w:keepLines w:val="0"/>
        <w:pageBreakBefore w:val="0"/>
        <w:widowControl w:val="0"/>
        <w:kinsoku/>
        <w:wordWrap/>
        <w:overflowPunct/>
        <w:topLinePunct w:val="0"/>
        <w:autoSpaceDE/>
        <w:autoSpaceDN/>
        <w:bidi w:val="0"/>
        <w:adjustRightInd/>
        <w:snapToGrid/>
        <w:spacing w:line="480" w:lineRule="auto"/>
        <w:ind w:firstLine="512" w:firstLineChars="200"/>
        <w:textAlignment w:val="auto"/>
        <w:rPr>
          <w:rFonts w:hint="eastAsia" w:ascii="宋体" w:hAnsi="宋体" w:eastAsia="宋体" w:cs="宋体"/>
          <w:snapToGrid w:val="0"/>
          <w:color w:val="auto"/>
          <w:spacing w:val="8"/>
          <w:kern w:val="0"/>
          <w:sz w:val="24"/>
        </w:rPr>
      </w:pPr>
      <w:r>
        <w:rPr>
          <w:rFonts w:hint="eastAsia" w:ascii="宋体" w:hAnsi="宋体" w:eastAsia="宋体" w:cs="宋体"/>
          <w:snapToGrid w:val="0"/>
          <w:color w:val="auto"/>
          <w:spacing w:val="8"/>
          <w:kern w:val="0"/>
          <w:sz w:val="24"/>
          <w:lang w:eastAsia="zh-CN"/>
        </w:rPr>
        <w:t>八</w:t>
      </w:r>
      <w:r>
        <w:rPr>
          <w:rFonts w:hint="eastAsia" w:ascii="宋体" w:hAnsi="宋体" w:eastAsia="宋体" w:cs="宋体"/>
          <w:snapToGrid w:val="0"/>
          <w:color w:val="auto"/>
          <w:spacing w:val="8"/>
          <w:kern w:val="0"/>
          <w:sz w:val="24"/>
        </w:rPr>
        <w:t>、我方在此声明，所递交的磋商响应文件及有关资料内容完整、真实和准确。</w:t>
      </w:r>
    </w:p>
    <w:p>
      <w:pPr>
        <w:keepNext w:val="0"/>
        <w:keepLines w:val="0"/>
        <w:pageBreakBefore w:val="0"/>
        <w:widowControl w:val="0"/>
        <w:kinsoku/>
        <w:wordWrap/>
        <w:overflowPunct/>
        <w:topLinePunct w:val="0"/>
        <w:autoSpaceDE/>
        <w:autoSpaceDN/>
        <w:bidi w:val="0"/>
        <w:adjustRightInd/>
        <w:snapToGrid/>
        <w:spacing w:line="480" w:lineRule="auto"/>
        <w:ind w:firstLine="512" w:firstLineChars="200"/>
        <w:textAlignment w:val="auto"/>
        <w:rPr>
          <w:rFonts w:hint="eastAsia" w:ascii="宋体" w:hAnsi="宋体" w:eastAsia="宋体" w:cs="宋体"/>
          <w:snapToGrid w:val="0"/>
          <w:color w:val="auto"/>
          <w:spacing w:val="8"/>
          <w:kern w:val="0"/>
          <w:sz w:val="24"/>
        </w:rPr>
      </w:pPr>
      <w:r>
        <w:rPr>
          <w:rFonts w:hint="eastAsia" w:ascii="宋体" w:hAnsi="宋体" w:eastAsia="宋体" w:cs="宋体"/>
          <w:snapToGrid w:val="0"/>
          <w:color w:val="auto"/>
          <w:spacing w:val="8"/>
          <w:kern w:val="0"/>
          <w:sz w:val="24"/>
          <w:lang w:eastAsia="zh-CN"/>
        </w:rPr>
        <w:t>九</w:t>
      </w:r>
      <w:r>
        <w:rPr>
          <w:rFonts w:hint="eastAsia" w:ascii="宋体" w:hAnsi="宋体" w:eastAsia="宋体" w:cs="宋体"/>
          <w:snapToGrid w:val="0"/>
          <w:color w:val="auto"/>
          <w:spacing w:val="8"/>
          <w:kern w:val="0"/>
          <w:sz w:val="24"/>
        </w:rPr>
        <w:t>、如我方成交：</w:t>
      </w:r>
    </w:p>
    <w:p>
      <w:pPr>
        <w:keepNext w:val="0"/>
        <w:keepLines w:val="0"/>
        <w:pageBreakBefore w:val="0"/>
        <w:widowControl w:val="0"/>
        <w:kinsoku/>
        <w:wordWrap/>
        <w:overflowPunct/>
        <w:topLinePunct w:val="0"/>
        <w:autoSpaceDE/>
        <w:autoSpaceDN/>
        <w:bidi w:val="0"/>
        <w:adjustRightInd/>
        <w:snapToGrid/>
        <w:spacing w:line="480" w:lineRule="auto"/>
        <w:ind w:firstLine="512" w:firstLineChars="200"/>
        <w:textAlignment w:val="auto"/>
        <w:rPr>
          <w:rFonts w:hint="eastAsia" w:ascii="宋体" w:hAnsi="宋体" w:eastAsia="宋体" w:cs="宋体"/>
          <w:snapToGrid w:val="0"/>
          <w:color w:val="auto"/>
          <w:spacing w:val="8"/>
          <w:kern w:val="0"/>
          <w:sz w:val="24"/>
        </w:rPr>
      </w:pPr>
      <w:r>
        <w:rPr>
          <w:rFonts w:hint="eastAsia" w:ascii="宋体" w:hAnsi="宋体" w:eastAsia="宋体" w:cs="宋体"/>
          <w:snapToGrid w:val="0"/>
          <w:color w:val="auto"/>
          <w:spacing w:val="8"/>
          <w:kern w:val="0"/>
          <w:sz w:val="24"/>
        </w:rPr>
        <w:t>1.我方承诺在收到成交通知书后，在成交通知书规定的期限内与采购人签订合同。</w:t>
      </w:r>
    </w:p>
    <w:p>
      <w:pPr>
        <w:keepNext w:val="0"/>
        <w:keepLines w:val="0"/>
        <w:pageBreakBefore w:val="0"/>
        <w:widowControl w:val="0"/>
        <w:kinsoku/>
        <w:wordWrap/>
        <w:overflowPunct/>
        <w:topLinePunct w:val="0"/>
        <w:autoSpaceDE/>
        <w:autoSpaceDN/>
        <w:bidi w:val="0"/>
        <w:adjustRightInd/>
        <w:snapToGrid/>
        <w:spacing w:line="480" w:lineRule="auto"/>
        <w:ind w:firstLine="512" w:firstLineChars="200"/>
        <w:textAlignment w:val="auto"/>
        <w:rPr>
          <w:rFonts w:hint="eastAsia" w:ascii="宋体" w:hAnsi="宋体" w:eastAsia="宋体" w:cs="宋体"/>
          <w:snapToGrid w:val="0"/>
          <w:color w:val="auto"/>
          <w:spacing w:val="8"/>
          <w:kern w:val="0"/>
          <w:sz w:val="24"/>
        </w:rPr>
      </w:pPr>
      <w:r>
        <w:rPr>
          <w:rFonts w:hint="eastAsia" w:ascii="宋体" w:hAnsi="宋体" w:eastAsia="宋体" w:cs="宋体"/>
          <w:snapToGrid w:val="0"/>
          <w:color w:val="auto"/>
          <w:spacing w:val="8"/>
          <w:kern w:val="0"/>
          <w:sz w:val="24"/>
        </w:rPr>
        <w:t>2.我方承诺在合同约定的期限内完成并移交全部合同工程。</w:t>
      </w:r>
    </w:p>
    <w:p>
      <w:pPr>
        <w:pStyle w:val="13"/>
        <w:rPr>
          <w:rFonts w:hint="eastAsia" w:ascii="宋体" w:hAnsi="宋体" w:eastAsia="宋体" w:cs="宋体"/>
          <w:color w:val="auto"/>
          <w:sz w:val="24"/>
        </w:rPr>
      </w:pPr>
    </w:p>
    <w:p>
      <w:pPr>
        <w:spacing w:line="480" w:lineRule="auto"/>
        <w:jc w:val="center"/>
        <w:rPr>
          <w:rFonts w:hint="eastAsia" w:ascii="宋体" w:hAnsi="宋体" w:eastAsia="宋体" w:cs="宋体"/>
          <w:snapToGrid w:val="0"/>
          <w:color w:val="auto"/>
          <w:spacing w:val="8"/>
          <w:kern w:val="0"/>
          <w:sz w:val="24"/>
          <w:lang w:eastAsia="zh-CN"/>
        </w:rPr>
      </w:pPr>
    </w:p>
    <w:p>
      <w:pPr>
        <w:spacing w:line="480" w:lineRule="auto"/>
        <w:jc w:val="center"/>
        <w:rPr>
          <w:rFonts w:hint="eastAsia" w:ascii="宋体" w:hAnsi="宋体" w:eastAsia="宋体" w:cs="宋体"/>
          <w:snapToGrid w:val="0"/>
          <w:color w:val="auto"/>
          <w:spacing w:val="8"/>
          <w:kern w:val="0"/>
          <w:sz w:val="24"/>
        </w:rPr>
      </w:pPr>
    </w:p>
    <w:p>
      <w:pPr>
        <w:spacing w:line="480" w:lineRule="auto"/>
        <w:jc w:val="center"/>
        <w:rPr>
          <w:rFonts w:hint="eastAsia" w:ascii="宋体" w:hAnsi="宋体" w:eastAsia="宋体" w:cs="宋体"/>
          <w:snapToGrid w:val="0"/>
          <w:color w:val="auto"/>
          <w:spacing w:val="8"/>
          <w:kern w:val="0"/>
          <w:sz w:val="24"/>
        </w:rPr>
      </w:pPr>
    </w:p>
    <w:p>
      <w:pPr>
        <w:spacing w:line="480" w:lineRule="auto"/>
        <w:jc w:val="center"/>
        <w:rPr>
          <w:rFonts w:hint="eastAsia" w:ascii="宋体" w:hAnsi="宋体" w:eastAsia="宋体" w:cs="宋体"/>
          <w:snapToGrid w:val="0"/>
          <w:color w:val="auto"/>
          <w:spacing w:val="8"/>
          <w:kern w:val="0"/>
          <w:sz w:val="24"/>
        </w:rPr>
      </w:pPr>
    </w:p>
    <w:p>
      <w:pPr>
        <w:spacing w:line="480" w:lineRule="auto"/>
        <w:jc w:val="center"/>
        <w:rPr>
          <w:rFonts w:hint="eastAsia" w:ascii="宋体" w:hAnsi="宋体" w:eastAsia="宋体" w:cs="宋体"/>
          <w:snapToGrid w:val="0"/>
          <w:color w:val="auto"/>
          <w:spacing w:val="8"/>
          <w:kern w:val="0"/>
          <w:sz w:val="24"/>
        </w:rPr>
      </w:pPr>
      <w:r>
        <w:rPr>
          <w:rFonts w:hint="eastAsia" w:ascii="宋体" w:hAnsi="宋体" w:eastAsia="宋体" w:cs="宋体"/>
          <w:snapToGrid w:val="0"/>
          <w:color w:val="auto"/>
          <w:spacing w:val="8"/>
          <w:kern w:val="0"/>
          <w:sz w:val="24"/>
        </w:rPr>
        <w:t>供应商：</w:t>
      </w:r>
      <w:r>
        <w:rPr>
          <w:rFonts w:hint="eastAsia" w:ascii="宋体" w:hAnsi="宋体" w:cs="宋体"/>
          <w:snapToGrid w:val="0"/>
          <w:color w:val="auto"/>
          <w:spacing w:val="8"/>
          <w:kern w:val="0"/>
          <w:sz w:val="24"/>
          <w:u w:val="single"/>
          <w:lang w:val="en-US" w:eastAsia="zh-CN"/>
        </w:rPr>
        <w:t xml:space="preserve">                 </w:t>
      </w:r>
      <w:r>
        <w:rPr>
          <w:rFonts w:hint="eastAsia" w:ascii="宋体" w:hAnsi="宋体" w:eastAsia="宋体" w:cs="宋体"/>
          <w:snapToGrid w:val="0"/>
          <w:color w:val="auto"/>
          <w:spacing w:val="8"/>
          <w:kern w:val="0"/>
          <w:sz w:val="24"/>
        </w:rPr>
        <w:t>（单位公章）</w:t>
      </w:r>
    </w:p>
    <w:p>
      <w:pPr>
        <w:spacing w:line="480" w:lineRule="auto"/>
        <w:jc w:val="center"/>
        <w:rPr>
          <w:rFonts w:hint="eastAsia" w:ascii="宋体" w:hAnsi="宋体" w:eastAsia="宋体" w:cs="宋体"/>
          <w:snapToGrid w:val="0"/>
          <w:color w:val="auto"/>
          <w:spacing w:val="8"/>
          <w:kern w:val="0"/>
          <w:sz w:val="24"/>
        </w:rPr>
      </w:pPr>
      <w:r>
        <w:rPr>
          <w:rFonts w:hint="eastAsia" w:ascii="宋体" w:hAnsi="宋体" w:eastAsia="宋体" w:cs="宋体"/>
          <w:snapToGrid w:val="0"/>
          <w:color w:val="auto"/>
          <w:spacing w:val="8"/>
          <w:kern w:val="0"/>
          <w:sz w:val="24"/>
        </w:rPr>
        <w:t>法定代表人或授权代表：</w:t>
      </w:r>
      <w:r>
        <w:rPr>
          <w:rFonts w:hint="eastAsia" w:ascii="宋体" w:hAnsi="宋体" w:cs="宋体"/>
          <w:snapToGrid w:val="0"/>
          <w:color w:val="auto"/>
          <w:spacing w:val="8"/>
          <w:kern w:val="0"/>
          <w:sz w:val="24"/>
          <w:u w:val="single"/>
          <w:lang w:val="en-US" w:eastAsia="zh-CN"/>
        </w:rPr>
        <w:t xml:space="preserve">              </w:t>
      </w:r>
      <w:r>
        <w:rPr>
          <w:rFonts w:hint="eastAsia" w:ascii="宋体" w:hAnsi="宋体" w:eastAsia="宋体" w:cs="宋体"/>
          <w:snapToGrid w:val="0"/>
          <w:color w:val="auto"/>
          <w:spacing w:val="8"/>
          <w:kern w:val="0"/>
          <w:sz w:val="24"/>
        </w:rPr>
        <w:t>（</w:t>
      </w:r>
      <w:r>
        <w:rPr>
          <w:rFonts w:hint="eastAsia" w:ascii="宋体" w:hAnsi="宋体" w:eastAsia="宋体" w:cs="宋体"/>
          <w:color w:val="auto"/>
          <w:kern w:val="0"/>
          <w:sz w:val="24"/>
        </w:rPr>
        <w:t>签字或盖章</w:t>
      </w:r>
      <w:r>
        <w:rPr>
          <w:rFonts w:hint="eastAsia" w:ascii="宋体" w:hAnsi="宋体" w:eastAsia="宋体" w:cs="宋体"/>
          <w:snapToGrid w:val="0"/>
          <w:color w:val="auto"/>
          <w:spacing w:val="8"/>
          <w:kern w:val="0"/>
          <w:sz w:val="24"/>
        </w:rPr>
        <w:t>）</w:t>
      </w:r>
    </w:p>
    <w:p>
      <w:pPr>
        <w:autoSpaceDE w:val="0"/>
        <w:autoSpaceDN w:val="0"/>
        <w:adjustRightInd w:val="0"/>
        <w:snapToGrid w:val="0"/>
        <w:spacing w:line="480" w:lineRule="auto"/>
        <w:jc w:val="center"/>
        <w:rPr>
          <w:rFonts w:hint="eastAsia" w:ascii="宋体" w:hAnsi="宋体" w:eastAsia="宋体" w:cs="宋体"/>
          <w:color w:val="auto"/>
        </w:rPr>
      </w:pPr>
      <w:r>
        <w:rPr>
          <w:rFonts w:hint="eastAsia" w:ascii="宋体" w:hAnsi="宋体" w:cs="宋体"/>
          <w:snapToGrid w:val="0"/>
          <w:color w:val="auto"/>
          <w:spacing w:val="8"/>
          <w:kern w:val="0"/>
          <w:sz w:val="24"/>
          <w:u w:val="none"/>
          <w:lang w:val="en-US" w:eastAsia="zh-CN"/>
        </w:rPr>
        <w:t xml:space="preserve">        </w:t>
      </w:r>
      <w:r>
        <w:rPr>
          <w:rFonts w:hint="eastAsia" w:ascii="宋体" w:hAnsi="宋体" w:cs="宋体"/>
          <w:snapToGrid w:val="0"/>
          <w:color w:val="auto"/>
          <w:spacing w:val="8"/>
          <w:kern w:val="0"/>
          <w:sz w:val="24"/>
          <w:u w:val="single"/>
          <w:lang w:val="en-US" w:eastAsia="zh-CN"/>
        </w:rPr>
        <w:t xml:space="preserve">     </w:t>
      </w:r>
      <w:r>
        <w:rPr>
          <w:rFonts w:hint="eastAsia" w:ascii="宋体" w:hAnsi="宋体" w:eastAsia="宋体" w:cs="宋体"/>
          <w:snapToGrid w:val="0"/>
          <w:color w:val="auto"/>
          <w:spacing w:val="8"/>
          <w:kern w:val="0"/>
          <w:sz w:val="24"/>
        </w:rPr>
        <w:t>年</w:t>
      </w:r>
      <w:r>
        <w:rPr>
          <w:rFonts w:hint="eastAsia" w:ascii="宋体" w:hAnsi="宋体" w:cs="宋体"/>
          <w:snapToGrid w:val="0"/>
          <w:color w:val="auto"/>
          <w:spacing w:val="8"/>
          <w:kern w:val="0"/>
          <w:sz w:val="24"/>
          <w:u w:val="single"/>
          <w:lang w:val="en-US" w:eastAsia="zh-CN"/>
        </w:rPr>
        <w:t xml:space="preserve">   </w:t>
      </w:r>
      <w:r>
        <w:rPr>
          <w:rFonts w:hint="eastAsia" w:ascii="宋体" w:hAnsi="宋体" w:eastAsia="宋体" w:cs="宋体"/>
          <w:snapToGrid w:val="0"/>
          <w:color w:val="auto"/>
          <w:spacing w:val="8"/>
          <w:kern w:val="0"/>
          <w:sz w:val="24"/>
        </w:rPr>
        <w:t>月</w:t>
      </w:r>
      <w:r>
        <w:rPr>
          <w:rFonts w:hint="eastAsia" w:ascii="宋体" w:hAnsi="宋体" w:cs="宋体"/>
          <w:snapToGrid w:val="0"/>
          <w:color w:val="auto"/>
          <w:spacing w:val="8"/>
          <w:kern w:val="0"/>
          <w:sz w:val="24"/>
          <w:u w:val="single"/>
          <w:lang w:val="en-US" w:eastAsia="zh-CN"/>
        </w:rPr>
        <w:t xml:space="preserve">    </w:t>
      </w:r>
      <w:r>
        <w:rPr>
          <w:rFonts w:hint="eastAsia" w:ascii="宋体" w:hAnsi="宋体" w:eastAsia="宋体" w:cs="宋体"/>
          <w:snapToGrid w:val="0"/>
          <w:color w:val="auto"/>
          <w:spacing w:val="8"/>
          <w:kern w:val="0"/>
          <w:sz w:val="24"/>
        </w:rPr>
        <w:t>日</w:t>
      </w:r>
    </w:p>
    <w:p>
      <w:pPr>
        <w:pStyle w:val="5"/>
        <w:jc w:val="center"/>
        <w:rPr>
          <w:rFonts w:hint="eastAsia" w:ascii="宋体" w:hAnsi="宋体" w:eastAsia="宋体" w:cs="宋体"/>
          <w:bCs w:val="0"/>
          <w:color w:val="auto"/>
          <w:sz w:val="24"/>
          <w:szCs w:val="24"/>
        </w:rPr>
      </w:pPr>
      <w:bookmarkStart w:id="86" w:name="_Toc53231752"/>
      <w:bookmarkStart w:id="87" w:name="_Toc53231796"/>
      <w:bookmarkStart w:id="88" w:name="_Toc24751_WPSOffice_Level1"/>
      <w:bookmarkStart w:id="89" w:name="_Toc78884386"/>
      <w:bookmarkStart w:id="90" w:name="_Toc4179_WPSOffice_Level1"/>
      <w:bookmarkStart w:id="91" w:name="_Toc53231540"/>
    </w:p>
    <w:p>
      <w:pPr>
        <w:pStyle w:val="5"/>
        <w:jc w:val="center"/>
        <w:rPr>
          <w:rFonts w:hint="eastAsia" w:ascii="宋体" w:hAnsi="宋体" w:eastAsia="宋体" w:cs="宋体"/>
          <w:bCs w:val="0"/>
          <w:color w:val="auto"/>
          <w:sz w:val="24"/>
          <w:szCs w:val="24"/>
        </w:rPr>
      </w:pPr>
    </w:p>
    <w:p>
      <w:pPr>
        <w:pStyle w:val="5"/>
        <w:jc w:val="center"/>
        <w:rPr>
          <w:rFonts w:hint="eastAsia" w:ascii="宋体" w:hAnsi="宋体" w:eastAsia="宋体" w:cs="宋体"/>
          <w:bCs w:val="0"/>
          <w:color w:val="auto"/>
          <w:sz w:val="24"/>
          <w:szCs w:val="24"/>
        </w:rPr>
      </w:pPr>
    </w:p>
    <w:p>
      <w:pPr>
        <w:pStyle w:val="5"/>
        <w:jc w:val="both"/>
        <w:rPr>
          <w:rFonts w:hint="eastAsia" w:ascii="宋体" w:hAnsi="宋体" w:eastAsia="宋体" w:cs="宋体"/>
          <w:bCs w:val="0"/>
          <w:color w:val="auto"/>
          <w:sz w:val="24"/>
          <w:szCs w:val="24"/>
        </w:rPr>
      </w:pPr>
    </w:p>
    <w:p>
      <w:pPr>
        <w:pStyle w:val="5"/>
        <w:jc w:val="center"/>
        <w:rPr>
          <w:rFonts w:hint="eastAsia" w:ascii="宋体" w:hAnsi="宋体" w:eastAsia="宋体" w:cs="宋体"/>
          <w:bCs w:val="0"/>
          <w:color w:val="auto"/>
          <w:sz w:val="24"/>
          <w:szCs w:val="24"/>
        </w:rPr>
      </w:pPr>
    </w:p>
    <w:p>
      <w:pPr>
        <w:pStyle w:val="5"/>
        <w:jc w:val="center"/>
        <w:rPr>
          <w:rFonts w:hint="eastAsia" w:ascii="宋体" w:hAnsi="宋体" w:eastAsia="宋体" w:cs="宋体"/>
          <w:bCs w:val="0"/>
          <w:color w:val="auto"/>
          <w:sz w:val="24"/>
          <w:szCs w:val="24"/>
        </w:rPr>
      </w:pPr>
    </w:p>
    <w:p>
      <w:pPr>
        <w:pStyle w:val="5"/>
        <w:jc w:val="center"/>
        <w:rPr>
          <w:rFonts w:hint="eastAsia" w:ascii="宋体" w:hAnsi="宋体" w:eastAsia="宋体" w:cs="宋体"/>
          <w:bCs w:val="0"/>
          <w:color w:val="auto"/>
          <w:sz w:val="24"/>
          <w:szCs w:val="24"/>
        </w:rPr>
      </w:pPr>
    </w:p>
    <w:p>
      <w:pPr>
        <w:rPr>
          <w:rFonts w:hint="eastAsia" w:ascii="宋体" w:hAnsi="宋体" w:eastAsia="宋体" w:cs="宋体"/>
          <w:bCs w:val="0"/>
          <w:color w:val="auto"/>
          <w:sz w:val="24"/>
          <w:szCs w:val="24"/>
        </w:rPr>
      </w:pPr>
    </w:p>
    <w:p>
      <w:pPr>
        <w:pStyle w:val="13"/>
        <w:rPr>
          <w:rFonts w:hint="eastAsia" w:ascii="宋体" w:hAnsi="宋体" w:eastAsia="宋体" w:cs="宋体"/>
          <w:color w:val="auto"/>
        </w:rPr>
      </w:pPr>
    </w:p>
    <w:p>
      <w:pPr>
        <w:pStyle w:val="5"/>
        <w:jc w:val="center"/>
        <w:rPr>
          <w:rFonts w:hint="eastAsia" w:ascii="宋体" w:hAnsi="宋体" w:eastAsia="宋体" w:cs="宋体"/>
          <w:color w:val="auto"/>
          <w:sz w:val="24"/>
          <w:lang w:eastAsia="zh-CN"/>
        </w:rPr>
      </w:pPr>
      <w:r>
        <w:rPr>
          <w:rFonts w:hint="eastAsia" w:ascii="宋体" w:hAnsi="宋体" w:eastAsia="宋体" w:cs="宋体"/>
          <w:bCs w:val="0"/>
          <w:color w:val="auto"/>
          <w:sz w:val="24"/>
          <w:szCs w:val="24"/>
        </w:rPr>
        <w:t>四、首次磋商报价</w:t>
      </w:r>
      <w:r>
        <w:rPr>
          <w:rFonts w:hint="eastAsia" w:ascii="宋体" w:hAnsi="宋体" w:eastAsia="宋体" w:cs="宋体"/>
          <w:bCs w:val="0"/>
          <w:color w:val="auto"/>
          <w:sz w:val="24"/>
          <w:szCs w:val="24"/>
          <w:lang w:eastAsia="zh-CN"/>
        </w:rPr>
        <w:t>一览</w:t>
      </w:r>
      <w:r>
        <w:rPr>
          <w:rFonts w:hint="eastAsia" w:ascii="宋体" w:hAnsi="宋体" w:eastAsia="宋体" w:cs="宋体"/>
          <w:bCs w:val="0"/>
          <w:color w:val="auto"/>
          <w:sz w:val="24"/>
          <w:szCs w:val="24"/>
        </w:rPr>
        <w:t>表</w:t>
      </w:r>
      <w:bookmarkEnd w:id="86"/>
      <w:bookmarkEnd w:id="87"/>
      <w:bookmarkEnd w:id="88"/>
      <w:bookmarkEnd w:id="89"/>
      <w:bookmarkEnd w:id="90"/>
      <w:bookmarkEnd w:id="91"/>
    </w:p>
    <w:p>
      <w:pPr>
        <w:kinsoku w:val="0"/>
        <w:spacing w:line="500" w:lineRule="exact"/>
        <w:rPr>
          <w:rFonts w:hint="eastAsia" w:ascii="宋体" w:hAnsi="宋体" w:eastAsia="宋体" w:cs="宋体"/>
          <w:b/>
          <w:bCs/>
          <w:color w:val="auto"/>
          <w:sz w:val="24"/>
          <w:lang w:eastAsia="zh-CN"/>
        </w:rPr>
      </w:pPr>
      <w:r>
        <w:rPr>
          <w:rFonts w:hint="eastAsia" w:ascii="宋体" w:hAnsi="宋体" w:eastAsia="宋体" w:cs="宋体"/>
          <w:color w:val="auto"/>
          <w:sz w:val="24"/>
        </w:rPr>
        <w:t>项目编号：</w:t>
      </w:r>
    </w:p>
    <w:tbl>
      <w:tblPr>
        <w:tblStyle w:val="28"/>
        <w:tblW w:w="91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33"/>
        <w:gridCol w:w="71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4" w:hRule="atLeast"/>
        </w:trPr>
        <w:tc>
          <w:tcPr>
            <w:tcW w:w="2033" w:type="dxa"/>
            <w:vAlign w:val="center"/>
          </w:tcPr>
          <w:p>
            <w:pPr>
              <w:autoSpaceDE w:val="0"/>
              <w:autoSpaceDN w:val="0"/>
              <w:adjustRightInd w:val="0"/>
              <w:snapToGrid w:val="0"/>
              <w:spacing w:line="360" w:lineRule="auto"/>
              <w:jc w:val="center"/>
              <w:rPr>
                <w:rFonts w:hint="eastAsia" w:ascii="宋体" w:hAnsi="宋体" w:eastAsia="宋体" w:cs="宋体"/>
                <w:color w:val="auto"/>
                <w:sz w:val="24"/>
              </w:rPr>
            </w:pPr>
            <w:r>
              <w:rPr>
                <w:rFonts w:hint="eastAsia" w:ascii="宋体" w:hAnsi="宋体" w:eastAsia="宋体" w:cs="宋体"/>
                <w:color w:val="auto"/>
                <w:sz w:val="24"/>
              </w:rPr>
              <w:t>项目名称</w:t>
            </w:r>
          </w:p>
        </w:tc>
        <w:tc>
          <w:tcPr>
            <w:tcW w:w="7127" w:type="dxa"/>
            <w:vAlign w:val="center"/>
          </w:tcPr>
          <w:p>
            <w:pPr>
              <w:autoSpaceDE w:val="0"/>
              <w:autoSpaceDN w:val="0"/>
              <w:adjustRightInd w:val="0"/>
              <w:snapToGrid w:val="0"/>
              <w:spacing w:line="360" w:lineRule="auto"/>
              <w:jc w:val="center"/>
              <w:rPr>
                <w:rFonts w:hint="eastAsia" w:ascii="宋体" w:hAnsi="宋体" w:eastAsia="宋体" w:cs="宋体"/>
                <w:color w:val="auto"/>
                <w:sz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4" w:hRule="atLeast"/>
        </w:trPr>
        <w:tc>
          <w:tcPr>
            <w:tcW w:w="2033" w:type="dxa"/>
            <w:vMerge w:val="restart"/>
            <w:vAlign w:val="center"/>
          </w:tcPr>
          <w:p>
            <w:pPr>
              <w:autoSpaceDE w:val="0"/>
              <w:autoSpaceDN w:val="0"/>
              <w:adjustRightInd w:val="0"/>
              <w:snapToGrid w:val="0"/>
              <w:spacing w:line="360" w:lineRule="auto"/>
              <w:jc w:val="center"/>
              <w:rPr>
                <w:rFonts w:hint="eastAsia" w:ascii="宋体" w:hAnsi="宋体" w:eastAsia="宋体" w:cs="宋体"/>
                <w:color w:val="auto"/>
                <w:sz w:val="24"/>
              </w:rPr>
            </w:pPr>
            <w:r>
              <w:rPr>
                <w:rFonts w:hint="eastAsia" w:ascii="宋体" w:hAnsi="宋体" w:eastAsia="宋体" w:cs="宋体"/>
                <w:color w:val="auto"/>
                <w:sz w:val="24"/>
              </w:rPr>
              <w:t>磋商总报价</w:t>
            </w:r>
          </w:p>
          <w:p>
            <w:pPr>
              <w:pStyle w:val="13"/>
              <w:jc w:val="center"/>
              <w:rPr>
                <w:rFonts w:hint="eastAsia" w:ascii="宋体" w:hAnsi="宋体" w:eastAsia="宋体" w:cs="宋体"/>
                <w:color w:val="auto"/>
                <w:lang w:eastAsia="zh-CN"/>
              </w:rPr>
            </w:pPr>
            <w:r>
              <w:rPr>
                <w:rFonts w:hint="eastAsia" w:ascii="宋体" w:hAnsi="宋体" w:eastAsia="宋体" w:cs="宋体"/>
                <w:color w:val="auto"/>
                <w:sz w:val="24"/>
              </w:rPr>
              <w:t>人民币</w:t>
            </w:r>
            <w:r>
              <w:rPr>
                <w:rFonts w:hint="eastAsia" w:ascii="宋体" w:hAnsi="宋体" w:eastAsia="宋体" w:cs="宋体"/>
                <w:color w:val="auto"/>
                <w:sz w:val="24"/>
                <w:lang w:eastAsia="zh-CN"/>
              </w:rPr>
              <w:t>（单位：元）</w:t>
            </w:r>
          </w:p>
        </w:tc>
        <w:tc>
          <w:tcPr>
            <w:tcW w:w="7127" w:type="dxa"/>
            <w:vAlign w:val="center"/>
          </w:tcPr>
          <w:p>
            <w:pPr>
              <w:autoSpaceDE w:val="0"/>
              <w:autoSpaceDN w:val="0"/>
              <w:adjustRightInd w:val="0"/>
              <w:snapToGrid w:val="0"/>
              <w:spacing w:line="360" w:lineRule="auto"/>
              <w:rPr>
                <w:rFonts w:hint="eastAsia" w:ascii="宋体" w:hAnsi="宋体" w:eastAsia="宋体" w:cs="宋体"/>
                <w:color w:val="auto"/>
                <w:sz w:val="24"/>
                <w:lang w:eastAsia="zh-CN"/>
              </w:rPr>
            </w:pPr>
            <w:r>
              <w:rPr>
                <w:rFonts w:hint="eastAsia" w:ascii="宋体" w:hAnsi="宋体" w:eastAsia="宋体" w:cs="宋体"/>
                <w:color w:val="auto"/>
                <w:sz w:val="24"/>
              </w:rPr>
              <w:t>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atLeast"/>
        </w:trPr>
        <w:tc>
          <w:tcPr>
            <w:tcW w:w="2033" w:type="dxa"/>
            <w:vMerge w:val="continue"/>
            <w:vAlign w:val="center"/>
          </w:tcPr>
          <w:p>
            <w:pPr>
              <w:autoSpaceDE w:val="0"/>
              <w:autoSpaceDN w:val="0"/>
              <w:adjustRightInd w:val="0"/>
              <w:snapToGrid w:val="0"/>
              <w:spacing w:line="360" w:lineRule="auto"/>
              <w:jc w:val="center"/>
              <w:rPr>
                <w:rFonts w:hint="eastAsia" w:ascii="宋体" w:hAnsi="宋体" w:eastAsia="宋体" w:cs="宋体"/>
                <w:color w:val="auto"/>
                <w:sz w:val="24"/>
              </w:rPr>
            </w:pPr>
          </w:p>
        </w:tc>
        <w:tc>
          <w:tcPr>
            <w:tcW w:w="7127" w:type="dxa"/>
            <w:vAlign w:val="center"/>
          </w:tcPr>
          <w:p>
            <w:pPr>
              <w:autoSpaceDE w:val="0"/>
              <w:autoSpaceDN w:val="0"/>
              <w:adjustRightInd w:val="0"/>
              <w:snapToGrid w:val="0"/>
              <w:spacing w:line="360" w:lineRule="auto"/>
              <w:rPr>
                <w:rFonts w:hint="eastAsia" w:ascii="宋体" w:hAnsi="宋体" w:eastAsia="宋体" w:cs="宋体"/>
                <w:color w:val="auto"/>
                <w:sz w:val="24"/>
                <w:lang w:val="en-US" w:eastAsia="zh-CN"/>
              </w:rPr>
            </w:pPr>
            <w:r>
              <w:rPr>
                <w:rFonts w:hint="eastAsia" w:ascii="宋体" w:hAnsi="宋体" w:eastAsia="宋体" w:cs="宋体"/>
                <w:color w:val="auto"/>
                <w:sz w:val="24"/>
              </w:rPr>
              <w:t>小写：</w:t>
            </w:r>
            <w:r>
              <w:rPr>
                <w:rFonts w:hint="eastAsia" w:ascii="宋体" w:hAnsi="宋体" w:eastAsia="宋体" w:cs="宋体"/>
                <w:color w:val="auto"/>
                <w:sz w:val="24"/>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2" w:hRule="atLeast"/>
        </w:trPr>
        <w:tc>
          <w:tcPr>
            <w:tcW w:w="2033" w:type="dxa"/>
            <w:vAlign w:val="center"/>
          </w:tcPr>
          <w:p>
            <w:pPr>
              <w:autoSpaceDE w:val="0"/>
              <w:autoSpaceDN w:val="0"/>
              <w:adjustRightInd w:val="0"/>
              <w:snapToGrid w:val="0"/>
              <w:spacing w:line="360" w:lineRule="auto"/>
              <w:jc w:val="center"/>
              <w:rPr>
                <w:rFonts w:hint="eastAsia" w:ascii="宋体" w:hAnsi="宋体" w:eastAsia="宋体" w:cs="宋体"/>
                <w:color w:val="auto"/>
                <w:sz w:val="24"/>
              </w:rPr>
            </w:pPr>
            <w:r>
              <w:rPr>
                <w:rFonts w:hint="eastAsia" w:ascii="宋体" w:hAnsi="宋体" w:eastAsia="宋体" w:cs="宋体"/>
                <w:color w:val="auto"/>
                <w:sz w:val="24"/>
              </w:rPr>
              <w:t>工期（日历天）</w:t>
            </w:r>
          </w:p>
        </w:tc>
        <w:tc>
          <w:tcPr>
            <w:tcW w:w="7127" w:type="dxa"/>
            <w:vAlign w:val="center"/>
          </w:tcPr>
          <w:p>
            <w:pPr>
              <w:autoSpaceDE w:val="0"/>
              <w:autoSpaceDN w:val="0"/>
              <w:adjustRightInd w:val="0"/>
              <w:snapToGrid w:val="0"/>
              <w:spacing w:line="360" w:lineRule="auto"/>
              <w:rPr>
                <w:rFonts w:hint="eastAsia" w:ascii="宋体" w:hAnsi="宋体" w:eastAsia="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9" w:hRule="atLeast"/>
        </w:trPr>
        <w:tc>
          <w:tcPr>
            <w:tcW w:w="2033" w:type="dxa"/>
            <w:vAlign w:val="center"/>
          </w:tcPr>
          <w:p>
            <w:pPr>
              <w:autoSpaceDE w:val="0"/>
              <w:autoSpaceDN w:val="0"/>
              <w:adjustRightInd w:val="0"/>
              <w:snapToGrid w:val="0"/>
              <w:spacing w:line="360" w:lineRule="auto"/>
              <w:jc w:val="center"/>
              <w:rPr>
                <w:rFonts w:hint="eastAsia" w:ascii="宋体" w:hAnsi="宋体" w:eastAsia="宋体" w:cs="宋体"/>
                <w:color w:val="auto"/>
                <w:sz w:val="24"/>
              </w:rPr>
            </w:pPr>
            <w:r>
              <w:rPr>
                <w:rFonts w:hint="eastAsia" w:ascii="宋体" w:hAnsi="宋体" w:eastAsia="宋体" w:cs="宋体"/>
                <w:color w:val="auto"/>
                <w:sz w:val="24"/>
              </w:rPr>
              <w:t>质量标准</w:t>
            </w:r>
          </w:p>
        </w:tc>
        <w:tc>
          <w:tcPr>
            <w:tcW w:w="7127" w:type="dxa"/>
            <w:vAlign w:val="center"/>
          </w:tcPr>
          <w:p>
            <w:pPr>
              <w:autoSpaceDE w:val="0"/>
              <w:autoSpaceDN w:val="0"/>
              <w:adjustRightInd w:val="0"/>
              <w:snapToGrid w:val="0"/>
              <w:spacing w:line="360" w:lineRule="auto"/>
              <w:rPr>
                <w:rFonts w:hint="eastAsia" w:ascii="宋体" w:hAnsi="宋体" w:eastAsia="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9" w:hRule="atLeast"/>
        </w:trPr>
        <w:tc>
          <w:tcPr>
            <w:tcW w:w="2033" w:type="dxa"/>
            <w:vAlign w:val="center"/>
          </w:tcPr>
          <w:p>
            <w:pPr>
              <w:autoSpaceDE w:val="0"/>
              <w:autoSpaceDN w:val="0"/>
              <w:adjustRightInd w:val="0"/>
              <w:snapToGrid w:val="0"/>
              <w:spacing w:line="360" w:lineRule="auto"/>
              <w:jc w:val="center"/>
              <w:rPr>
                <w:rFonts w:hint="eastAsia" w:ascii="宋体" w:hAnsi="宋体" w:eastAsia="宋体" w:cs="宋体"/>
                <w:color w:val="auto"/>
                <w:sz w:val="24"/>
                <w:lang w:eastAsia="zh-CN"/>
              </w:rPr>
            </w:pPr>
            <w:r>
              <w:rPr>
                <w:rFonts w:hint="eastAsia" w:ascii="宋体" w:hAnsi="宋体" w:eastAsia="宋体" w:cs="宋体"/>
                <w:color w:val="auto"/>
                <w:sz w:val="24"/>
                <w:lang w:eastAsia="zh-CN"/>
              </w:rPr>
              <w:t>安全目标</w:t>
            </w:r>
          </w:p>
        </w:tc>
        <w:tc>
          <w:tcPr>
            <w:tcW w:w="7127" w:type="dxa"/>
            <w:vAlign w:val="center"/>
          </w:tcPr>
          <w:p>
            <w:pPr>
              <w:autoSpaceDE w:val="0"/>
              <w:autoSpaceDN w:val="0"/>
              <w:adjustRightInd w:val="0"/>
              <w:snapToGrid w:val="0"/>
              <w:spacing w:line="360" w:lineRule="auto"/>
              <w:rPr>
                <w:rFonts w:hint="eastAsia" w:ascii="宋体" w:hAnsi="宋体" w:eastAsia="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9" w:hRule="atLeast"/>
        </w:trPr>
        <w:tc>
          <w:tcPr>
            <w:tcW w:w="2033" w:type="dxa"/>
            <w:vAlign w:val="center"/>
          </w:tcPr>
          <w:p>
            <w:pPr>
              <w:autoSpaceDE w:val="0"/>
              <w:autoSpaceDN w:val="0"/>
              <w:adjustRightInd w:val="0"/>
              <w:snapToGrid w:val="0"/>
              <w:spacing w:line="360" w:lineRule="auto"/>
              <w:jc w:val="center"/>
              <w:rPr>
                <w:rFonts w:hint="eastAsia" w:ascii="宋体" w:hAnsi="宋体" w:eastAsia="宋体" w:cs="宋体"/>
                <w:color w:val="auto"/>
                <w:sz w:val="24"/>
              </w:rPr>
            </w:pPr>
            <w:r>
              <w:rPr>
                <w:rFonts w:hint="eastAsia" w:ascii="宋体" w:hAnsi="宋体" w:eastAsia="宋体" w:cs="宋体"/>
                <w:color w:val="auto"/>
                <w:sz w:val="24"/>
              </w:rPr>
              <w:t>备注</w:t>
            </w:r>
          </w:p>
        </w:tc>
        <w:tc>
          <w:tcPr>
            <w:tcW w:w="7127" w:type="dxa"/>
            <w:vAlign w:val="center"/>
          </w:tcPr>
          <w:p>
            <w:pPr>
              <w:autoSpaceDE w:val="0"/>
              <w:autoSpaceDN w:val="0"/>
              <w:adjustRightInd w:val="0"/>
              <w:snapToGrid w:val="0"/>
              <w:spacing w:line="360" w:lineRule="auto"/>
              <w:rPr>
                <w:rFonts w:hint="eastAsia" w:ascii="宋体" w:hAnsi="宋体" w:eastAsia="宋体" w:cs="宋体"/>
                <w:color w:val="auto"/>
                <w:sz w:val="24"/>
              </w:rPr>
            </w:pPr>
          </w:p>
        </w:tc>
      </w:tr>
    </w:tbl>
    <w:p>
      <w:pPr>
        <w:autoSpaceDE w:val="0"/>
        <w:autoSpaceDN w:val="0"/>
        <w:adjustRightInd w:val="0"/>
        <w:snapToGrid w:val="0"/>
        <w:spacing w:line="360" w:lineRule="auto"/>
        <w:rPr>
          <w:rFonts w:hint="eastAsia" w:ascii="宋体" w:hAnsi="宋体" w:eastAsia="宋体" w:cs="宋体"/>
          <w:color w:val="auto"/>
          <w:sz w:val="24"/>
          <w:lang w:eastAsia="zh-CN"/>
        </w:rPr>
      </w:pPr>
    </w:p>
    <w:p>
      <w:pPr>
        <w:tabs>
          <w:tab w:val="left" w:pos="7920"/>
        </w:tabs>
        <w:rPr>
          <w:rFonts w:hint="eastAsia" w:ascii="宋体" w:hAnsi="宋体" w:eastAsia="宋体" w:cs="宋体"/>
          <w:bCs/>
          <w:color w:val="auto"/>
          <w:sz w:val="24"/>
        </w:rPr>
      </w:pPr>
      <w:r>
        <w:rPr>
          <w:rFonts w:hint="eastAsia" w:ascii="宋体" w:hAnsi="宋体" w:eastAsia="宋体" w:cs="宋体"/>
          <w:bCs/>
          <w:color w:val="auto"/>
          <w:sz w:val="24"/>
        </w:rPr>
        <w:t>磋商供应商：</w:t>
      </w:r>
      <w:r>
        <w:rPr>
          <w:rFonts w:hint="eastAsia" w:ascii="宋体" w:hAnsi="宋体" w:cs="宋体"/>
          <w:bCs/>
          <w:color w:val="auto"/>
          <w:sz w:val="24"/>
          <w:u w:val="single"/>
          <w:lang w:val="en-US" w:eastAsia="zh-CN"/>
        </w:rPr>
        <w:t xml:space="preserve">                      </w:t>
      </w:r>
      <w:r>
        <w:rPr>
          <w:rFonts w:hint="eastAsia" w:ascii="宋体" w:hAnsi="宋体" w:eastAsia="宋体" w:cs="宋体"/>
          <w:bCs/>
          <w:color w:val="auto"/>
          <w:sz w:val="24"/>
        </w:rPr>
        <w:t>（盖章）</w:t>
      </w:r>
    </w:p>
    <w:p>
      <w:pPr>
        <w:pStyle w:val="13"/>
        <w:rPr>
          <w:rFonts w:hint="eastAsia" w:ascii="宋体" w:hAnsi="宋体" w:eastAsia="宋体" w:cs="宋体"/>
          <w:color w:val="auto"/>
          <w:sz w:val="24"/>
        </w:rPr>
      </w:pPr>
    </w:p>
    <w:p>
      <w:pPr>
        <w:tabs>
          <w:tab w:val="left" w:pos="7920"/>
        </w:tabs>
        <w:rPr>
          <w:rFonts w:hint="eastAsia" w:ascii="宋体" w:hAnsi="宋体" w:eastAsia="宋体" w:cs="宋体"/>
          <w:bCs/>
          <w:color w:val="auto"/>
          <w:sz w:val="24"/>
        </w:rPr>
      </w:pPr>
    </w:p>
    <w:p>
      <w:pPr>
        <w:tabs>
          <w:tab w:val="left" w:pos="7920"/>
        </w:tabs>
        <w:rPr>
          <w:rFonts w:hint="eastAsia" w:ascii="宋体" w:hAnsi="宋体" w:eastAsia="宋体" w:cs="宋体"/>
          <w:bCs/>
          <w:color w:val="auto"/>
          <w:sz w:val="24"/>
          <w:lang w:eastAsia="zh-CN"/>
        </w:rPr>
      </w:pPr>
      <w:r>
        <w:rPr>
          <w:rFonts w:hint="eastAsia" w:ascii="宋体" w:hAnsi="宋体" w:eastAsia="宋体" w:cs="宋体"/>
          <w:bCs/>
          <w:color w:val="auto"/>
          <w:sz w:val="24"/>
        </w:rPr>
        <w:t>法定代表人或其被授权委托代理人：</w:t>
      </w:r>
      <w:r>
        <w:rPr>
          <w:rFonts w:hint="eastAsia" w:ascii="宋体" w:hAnsi="宋体" w:cs="宋体"/>
          <w:bCs/>
          <w:color w:val="auto"/>
          <w:sz w:val="24"/>
          <w:u w:val="single"/>
          <w:lang w:val="en-US" w:eastAsia="zh-CN"/>
        </w:rPr>
        <w:t xml:space="preserve">                   </w:t>
      </w:r>
      <w:r>
        <w:rPr>
          <w:rFonts w:hint="eastAsia" w:ascii="宋体" w:hAnsi="宋体" w:eastAsia="宋体" w:cs="宋体"/>
          <w:bCs/>
          <w:color w:val="auto"/>
          <w:sz w:val="24"/>
        </w:rPr>
        <w:t>（签字或盖章）</w:t>
      </w:r>
    </w:p>
    <w:p>
      <w:pPr>
        <w:autoSpaceDE w:val="0"/>
        <w:autoSpaceDN w:val="0"/>
        <w:adjustRightInd w:val="0"/>
        <w:snapToGrid w:val="0"/>
        <w:spacing w:line="360" w:lineRule="auto"/>
        <w:rPr>
          <w:rFonts w:hint="eastAsia" w:ascii="宋体" w:hAnsi="宋体" w:eastAsia="宋体" w:cs="宋体"/>
          <w:bCs/>
          <w:color w:val="auto"/>
          <w:sz w:val="24"/>
          <w:lang w:val="zh-CN"/>
        </w:rPr>
      </w:pPr>
    </w:p>
    <w:p>
      <w:pPr>
        <w:autoSpaceDE w:val="0"/>
        <w:autoSpaceDN w:val="0"/>
        <w:adjustRightInd w:val="0"/>
        <w:snapToGrid w:val="0"/>
        <w:spacing w:line="360" w:lineRule="auto"/>
        <w:ind w:firstLine="2400" w:firstLineChars="1000"/>
        <w:rPr>
          <w:rFonts w:hint="eastAsia" w:ascii="宋体" w:hAnsi="宋体" w:eastAsia="宋体" w:cs="宋体"/>
          <w:color w:val="auto"/>
          <w:sz w:val="24"/>
          <w:lang w:val="zh-CN"/>
        </w:rPr>
      </w:pPr>
      <w:r>
        <w:rPr>
          <w:rFonts w:hint="eastAsia" w:ascii="宋体" w:hAnsi="宋体" w:eastAsia="宋体" w:cs="宋体"/>
          <w:color w:val="auto"/>
          <w:sz w:val="24"/>
          <w:lang w:val="zh-CN"/>
        </w:rPr>
        <w:t>年</w:t>
      </w:r>
      <w:r>
        <w:rPr>
          <w:rFonts w:hint="eastAsia" w:ascii="宋体" w:hAnsi="宋体" w:cs="宋体"/>
          <w:color w:val="auto"/>
          <w:sz w:val="24"/>
          <w:lang w:val="en-US" w:eastAsia="zh-CN"/>
        </w:rPr>
        <w:t xml:space="preserve">    </w:t>
      </w:r>
      <w:r>
        <w:rPr>
          <w:rFonts w:hint="eastAsia" w:ascii="宋体" w:hAnsi="宋体" w:eastAsia="宋体" w:cs="宋体"/>
          <w:color w:val="auto"/>
          <w:sz w:val="24"/>
          <w:lang w:val="zh-CN"/>
        </w:rPr>
        <w:t>月</w:t>
      </w:r>
      <w:r>
        <w:rPr>
          <w:rFonts w:hint="eastAsia" w:ascii="宋体" w:hAnsi="宋体" w:cs="宋体"/>
          <w:color w:val="auto"/>
          <w:sz w:val="24"/>
          <w:lang w:val="en-US" w:eastAsia="zh-CN"/>
        </w:rPr>
        <w:t xml:space="preserve">      </w:t>
      </w:r>
      <w:r>
        <w:rPr>
          <w:rFonts w:hint="eastAsia" w:ascii="宋体" w:hAnsi="宋体" w:eastAsia="宋体" w:cs="宋体"/>
          <w:color w:val="auto"/>
          <w:sz w:val="24"/>
          <w:lang w:val="zh-CN"/>
        </w:rPr>
        <w:t>日</w:t>
      </w:r>
    </w:p>
    <w:p>
      <w:pPr>
        <w:pStyle w:val="13"/>
        <w:rPr>
          <w:rFonts w:hint="eastAsia" w:ascii="宋体" w:hAnsi="宋体" w:eastAsia="宋体" w:cs="宋体"/>
          <w:color w:val="auto"/>
          <w:sz w:val="24"/>
          <w:lang w:val="zh-CN"/>
        </w:rPr>
      </w:pPr>
    </w:p>
    <w:p>
      <w:pPr>
        <w:keepNext w:val="0"/>
        <w:keepLines w:val="0"/>
        <w:pageBreakBefore w:val="0"/>
        <w:widowControl w:val="0"/>
        <w:kinsoku/>
        <w:wordWrap/>
        <w:overflowPunct/>
        <w:topLinePunct w:val="0"/>
        <w:autoSpaceDE w:val="0"/>
        <w:autoSpaceDN w:val="0"/>
        <w:bidi w:val="0"/>
        <w:adjustRightInd w:val="0"/>
        <w:snapToGrid w:val="0"/>
        <w:spacing w:line="400" w:lineRule="exact"/>
        <w:ind w:firstLine="221" w:firstLineChars="100"/>
        <w:textAlignment w:val="auto"/>
        <w:rPr>
          <w:rFonts w:hint="eastAsia" w:ascii="宋体" w:hAnsi="宋体" w:eastAsia="宋体" w:cs="宋体"/>
          <w:b/>
          <w:color w:val="auto"/>
          <w:sz w:val="22"/>
          <w:szCs w:val="22"/>
        </w:rPr>
      </w:pPr>
      <w:r>
        <w:rPr>
          <w:rFonts w:hint="eastAsia" w:ascii="宋体" w:hAnsi="宋体" w:eastAsia="宋体" w:cs="宋体"/>
          <w:b/>
          <w:color w:val="auto"/>
          <w:sz w:val="22"/>
          <w:szCs w:val="22"/>
        </w:rPr>
        <w:t>注：1、报价应按</w:t>
      </w:r>
      <w:r>
        <w:rPr>
          <w:rFonts w:hint="eastAsia" w:ascii="宋体" w:hAnsi="宋体" w:eastAsia="宋体" w:cs="宋体"/>
          <w:b/>
          <w:color w:val="auto"/>
          <w:sz w:val="22"/>
          <w:szCs w:val="22"/>
          <w:lang w:eastAsia="zh-CN"/>
        </w:rPr>
        <w:t>磋商报价</w:t>
      </w:r>
      <w:r>
        <w:rPr>
          <w:rFonts w:hint="eastAsia" w:ascii="宋体" w:hAnsi="宋体" w:eastAsia="宋体" w:cs="宋体"/>
          <w:b/>
          <w:color w:val="auto"/>
          <w:sz w:val="22"/>
          <w:szCs w:val="22"/>
        </w:rPr>
        <w:t>总价填写，</w:t>
      </w:r>
      <w:r>
        <w:rPr>
          <w:rFonts w:hint="eastAsia" w:ascii="宋体" w:hAnsi="宋体" w:eastAsia="宋体" w:cs="宋体"/>
          <w:b/>
          <w:color w:val="auto"/>
          <w:sz w:val="22"/>
          <w:szCs w:val="22"/>
          <w:lang w:eastAsia="zh-CN"/>
        </w:rPr>
        <w:t>单位精确到“元”</w:t>
      </w:r>
      <w:r>
        <w:rPr>
          <w:rFonts w:hint="eastAsia" w:ascii="宋体" w:hAnsi="宋体" w:eastAsia="宋体" w:cs="宋体"/>
          <w:b/>
          <w:color w:val="auto"/>
          <w:sz w:val="22"/>
          <w:szCs w:val="22"/>
        </w:rPr>
        <w:t>。</w:t>
      </w:r>
    </w:p>
    <w:p>
      <w:pPr>
        <w:keepNext w:val="0"/>
        <w:keepLines w:val="0"/>
        <w:pageBreakBefore w:val="0"/>
        <w:widowControl w:val="0"/>
        <w:kinsoku/>
        <w:wordWrap/>
        <w:overflowPunct/>
        <w:topLinePunct w:val="0"/>
        <w:autoSpaceDE w:val="0"/>
        <w:autoSpaceDN w:val="0"/>
        <w:bidi w:val="0"/>
        <w:adjustRightInd w:val="0"/>
        <w:snapToGrid w:val="0"/>
        <w:spacing w:line="400" w:lineRule="exact"/>
        <w:ind w:firstLine="663" w:firstLineChars="300"/>
        <w:textAlignment w:val="auto"/>
        <w:rPr>
          <w:rFonts w:hint="eastAsia" w:ascii="宋体" w:hAnsi="宋体" w:eastAsia="宋体" w:cs="宋体"/>
          <w:b/>
          <w:color w:val="auto"/>
          <w:sz w:val="22"/>
          <w:szCs w:val="22"/>
        </w:rPr>
      </w:pPr>
      <w:r>
        <w:rPr>
          <w:rFonts w:hint="eastAsia" w:ascii="宋体" w:hAnsi="宋体" w:eastAsia="宋体" w:cs="宋体"/>
          <w:b/>
          <w:color w:val="auto"/>
          <w:sz w:val="22"/>
          <w:szCs w:val="22"/>
          <w:lang w:val="en-US" w:eastAsia="zh-CN"/>
        </w:rPr>
        <w:t>2、</w:t>
      </w:r>
      <w:r>
        <w:rPr>
          <w:rFonts w:hint="eastAsia" w:ascii="宋体" w:hAnsi="宋体" w:eastAsia="宋体" w:cs="宋体"/>
          <w:b/>
          <w:color w:val="auto"/>
          <w:sz w:val="22"/>
          <w:szCs w:val="22"/>
        </w:rPr>
        <w:t>此</w:t>
      </w:r>
      <w:r>
        <w:rPr>
          <w:rFonts w:hint="eastAsia" w:ascii="宋体" w:hAnsi="宋体" w:eastAsia="宋体" w:cs="宋体"/>
          <w:b/>
          <w:color w:val="auto"/>
          <w:sz w:val="22"/>
          <w:szCs w:val="22"/>
          <w:lang w:eastAsia="zh-CN"/>
        </w:rPr>
        <w:t>磋商报价</w:t>
      </w:r>
      <w:r>
        <w:rPr>
          <w:rFonts w:hint="eastAsia" w:ascii="宋体" w:hAnsi="宋体" w:eastAsia="宋体" w:cs="宋体"/>
          <w:b/>
          <w:color w:val="auto"/>
          <w:sz w:val="22"/>
          <w:szCs w:val="22"/>
        </w:rPr>
        <w:t>一览表总报价与</w:t>
      </w:r>
      <w:r>
        <w:rPr>
          <w:rFonts w:hint="eastAsia" w:ascii="宋体" w:hAnsi="宋体" w:eastAsia="宋体" w:cs="宋体"/>
          <w:b/>
          <w:color w:val="auto"/>
          <w:sz w:val="22"/>
          <w:szCs w:val="22"/>
          <w:lang w:eastAsia="zh-CN"/>
        </w:rPr>
        <w:t>磋商响应函</w:t>
      </w:r>
      <w:r>
        <w:rPr>
          <w:rFonts w:hint="eastAsia" w:ascii="宋体" w:hAnsi="宋体" w:eastAsia="宋体" w:cs="宋体"/>
          <w:b/>
          <w:color w:val="auto"/>
          <w:sz w:val="22"/>
          <w:szCs w:val="22"/>
        </w:rPr>
        <w:t>总报价一致。</w:t>
      </w:r>
    </w:p>
    <w:p>
      <w:pPr>
        <w:keepNext w:val="0"/>
        <w:keepLines w:val="0"/>
        <w:pageBreakBefore w:val="0"/>
        <w:widowControl w:val="0"/>
        <w:kinsoku/>
        <w:wordWrap/>
        <w:overflowPunct/>
        <w:topLinePunct w:val="0"/>
        <w:autoSpaceDE w:val="0"/>
        <w:autoSpaceDN w:val="0"/>
        <w:bidi w:val="0"/>
        <w:adjustRightInd w:val="0"/>
        <w:snapToGrid w:val="0"/>
        <w:spacing w:line="400" w:lineRule="exact"/>
        <w:ind w:left="239" w:leftChars="114" w:firstLine="442" w:firstLineChars="200"/>
        <w:textAlignment w:val="auto"/>
        <w:rPr>
          <w:rFonts w:hint="eastAsia" w:ascii="宋体" w:hAnsi="宋体" w:eastAsia="宋体" w:cs="宋体"/>
          <w:b/>
          <w:color w:val="auto"/>
          <w:sz w:val="22"/>
          <w:szCs w:val="22"/>
          <w:lang w:val="en-US" w:eastAsia="zh-CN"/>
        </w:rPr>
      </w:pPr>
      <w:r>
        <w:rPr>
          <w:rFonts w:hint="eastAsia" w:ascii="宋体" w:hAnsi="宋体" w:eastAsia="宋体" w:cs="宋体"/>
          <w:b/>
          <w:color w:val="auto"/>
          <w:sz w:val="22"/>
          <w:szCs w:val="22"/>
          <w:lang w:val="en-US" w:eastAsia="zh-CN"/>
        </w:rPr>
        <w:t>3、若供应商属于磋商文件规定的中小企业、监狱企业、残疾人福利性单位，请在备注一览填写注明，若无如实填写，后果自负。</w:t>
      </w:r>
    </w:p>
    <w:p>
      <w:pPr>
        <w:keepNext w:val="0"/>
        <w:keepLines w:val="0"/>
        <w:pageBreakBefore w:val="0"/>
        <w:widowControl w:val="0"/>
        <w:kinsoku/>
        <w:wordWrap/>
        <w:overflowPunct/>
        <w:topLinePunct w:val="0"/>
        <w:autoSpaceDE w:val="0"/>
        <w:autoSpaceDN w:val="0"/>
        <w:bidi w:val="0"/>
        <w:adjustRightInd w:val="0"/>
        <w:snapToGrid w:val="0"/>
        <w:spacing w:line="400" w:lineRule="exact"/>
        <w:ind w:left="239" w:leftChars="114" w:firstLine="442" w:firstLineChars="200"/>
        <w:textAlignment w:val="auto"/>
        <w:rPr>
          <w:rFonts w:hint="eastAsia" w:ascii="宋体" w:hAnsi="宋体" w:eastAsia="宋体" w:cs="宋体"/>
          <w:color w:val="auto"/>
        </w:rPr>
      </w:pPr>
      <w:r>
        <w:rPr>
          <w:rFonts w:hint="eastAsia" w:ascii="宋体" w:hAnsi="宋体" w:eastAsia="宋体" w:cs="宋体"/>
          <w:b/>
          <w:color w:val="auto"/>
          <w:sz w:val="22"/>
          <w:szCs w:val="22"/>
          <w:lang w:val="en-US" w:eastAsia="zh-CN"/>
        </w:rPr>
        <w:t>4、特别提示：磋商供应商除按要求编制、装订磋商响应文件正、副本外，为便于登记，还须提供本项目磋商报价一览表（原件）一份，资格审查资料一份，并进行单独封装密封（参见格式），磋商会议大会签到时，与磋商响应文件正副本一并递交。本表报价大小写不符的以大写为准</w:t>
      </w:r>
      <w:r>
        <w:rPr>
          <w:rFonts w:hint="eastAsia" w:ascii="宋体" w:hAnsi="宋体" w:eastAsia="宋体" w:cs="宋体"/>
          <w:b/>
          <w:color w:val="auto"/>
          <w:sz w:val="22"/>
          <w:szCs w:val="22"/>
        </w:rPr>
        <w:t>。</w:t>
      </w:r>
    </w:p>
    <w:p>
      <w:pPr>
        <w:autoSpaceDE w:val="0"/>
        <w:autoSpaceDN w:val="0"/>
        <w:adjustRightInd w:val="0"/>
        <w:snapToGrid w:val="0"/>
        <w:spacing w:line="360" w:lineRule="auto"/>
        <w:jc w:val="center"/>
        <w:rPr>
          <w:rFonts w:hint="eastAsia" w:ascii="宋体" w:hAnsi="宋体" w:eastAsia="宋体" w:cs="宋体"/>
          <w:color w:val="auto"/>
          <w:sz w:val="28"/>
          <w:szCs w:val="28"/>
        </w:rPr>
      </w:pPr>
      <w:bookmarkStart w:id="92" w:name="_Toc26483_WPSOffice_Level1"/>
      <w:bookmarkStart w:id="93" w:name="_Toc5317_WPSOffice_Level1"/>
      <w:r>
        <w:rPr>
          <w:rFonts w:hint="eastAsia" w:ascii="宋体" w:hAnsi="宋体" w:eastAsia="宋体" w:cs="宋体"/>
          <w:b/>
          <w:bCs/>
          <w:color w:val="auto"/>
          <w:sz w:val="28"/>
          <w:szCs w:val="28"/>
          <w:lang w:val="zh-CN"/>
        </w:rPr>
        <w:t>二次</w:t>
      </w:r>
      <w:r>
        <w:rPr>
          <w:rFonts w:hint="eastAsia" w:ascii="宋体" w:hAnsi="宋体" w:eastAsia="宋体" w:cs="宋体"/>
          <w:b/>
          <w:bCs/>
          <w:color w:val="auto"/>
          <w:sz w:val="28"/>
          <w:szCs w:val="28"/>
        </w:rPr>
        <w:t>磋商</w:t>
      </w:r>
      <w:r>
        <w:rPr>
          <w:rFonts w:hint="eastAsia" w:ascii="宋体" w:hAnsi="宋体" w:eastAsia="宋体" w:cs="宋体"/>
          <w:b/>
          <w:bCs/>
          <w:color w:val="auto"/>
          <w:sz w:val="28"/>
          <w:szCs w:val="28"/>
          <w:lang w:val="zh-CN"/>
        </w:rPr>
        <w:t>报价表</w:t>
      </w:r>
      <w:bookmarkEnd w:id="92"/>
      <w:bookmarkEnd w:id="93"/>
    </w:p>
    <w:p>
      <w:pPr>
        <w:kinsoku w:val="0"/>
        <w:spacing w:line="500" w:lineRule="exact"/>
        <w:rPr>
          <w:rFonts w:hint="eastAsia" w:ascii="宋体" w:hAnsi="宋体" w:eastAsia="宋体" w:cs="宋体"/>
          <w:b/>
          <w:bCs/>
          <w:color w:val="auto"/>
          <w:sz w:val="24"/>
          <w:lang w:eastAsia="zh-CN"/>
        </w:rPr>
      </w:pPr>
      <w:r>
        <w:rPr>
          <w:rFonts w:hint="eastAsia" w:ascii="宋体" w:hAnsi="宋体" w:eastAsia="宋体" w:cs="宋体"/>
          <w:color w:val="auto"/>
          <w:sz w:val="24"/>
        </w:rPr>
        <w:t>项目编号：</w:t>
      </w:r>
    </w:p>
    <w:tbl>
      <w:tblPr>
        <w:tblStyle w:val="28"/>
        <w:tblW w:w="91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33"/>
        <w:gridCol w:w="71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1" w:hRule="atLeast"/>
        </w:trPr>
        <w:tc>
          <w:tcPr>
            <w:tcW w:w="2033" w:type="dxa"/>
            <w:vAlign w:val="center"/>
          </w:tcPr>
          <w:p>
            <w:pPr>
              <w:autoSpaceDE w:val="0"/>
              <w:autoSpaceDN w:val="0"/>
              <w:adjustRightInd w:val="0"/>
              <w:snapToGrid w:val="0"/>
              <w:spacing w:line="360" w:lineRule="auto"/>
              <w:jc w:val="center"/>
              <w:rPr>
                <w:rFonts w:hint="eastAsia" w:ascii="宋体" w:hAnsi="宋体" w:eastAsia="宋体" w:cs="宋体"/>
                <w:color w:val="auto"/>
                <w:sz w:val="24"/>
              </w:rPr>
            </w:pPr>
            <w:r>
              <w:rPr>
                <w:rFonts w:hint="eastAsia" w:ascii="宋体" w:hAnsi="宋体" w:eastAsia="宋体" w:cs="宋体"/>
                <w:color w:val="auto"/>
                <w:sz w:val="24"/>
              </w:rPr>
              <w:t>项目名称</w:t>
            </w:r>
          </w:p>
        </w:tc>
        <w:tc>
          <w:tcPr>
            <w:tcW w:w="7127" w:type="dxa"/>
            <w:vAlign w:val="center"/>
          </w:tcPr>
          <w:p>
            <w:pPr>
              <w:autoSpaceDE w:val="0"/>
              <w:autoSpaceDN w:val="0"/>
              <w:adjustRightInd w:val="0"/>
              <w:snapToGrid w:val="0"/>
              <w:spacing w:line="360" w:lineRule="auto"/>
              <w:rPr>
                <w:rFonts w:hint="eastAsia" w:ascii="宋体" w:hAnsi="宋体" w:eastAsia="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rPr>
        <w:tc>
          <w:tcPr>
            <w:tcW w:w="2033" w:type="dxa"/>
            <w:vMerge w:val="restart"/>
            <w:vAlign w:val="center"/>
          </w:tcPr>
          <w:p>
            <w:pPr>
              <w:autoSpaceDE w:val="0"/>
              <w:autoSpaceDN w:val="0"/>
              <w:adjustRightInd w:val="0"/>
              <w:snapToGrid w:val="0"/>
              <w:spacing w:line="360" w:lineRule="auto"/>
              <w:jc w:val="center"/>
              <w:rPr>
                <w:rFonts w:hint="eastAsia" w:ascii="宋体" w:hAnsi="宋体" w:eastAsia="宋体" w:cs="宋体"/>
                <w:color w:val="auto"/>
                <w:sz w:val="24"/>
              </w:rPr>
            </w:pPr>
            <w:r>
              <w:rPr>
                <w:rFonts w:hint="eastAsia" w:ascii="宋体" w:hAnsi="宋体" w:eastAsia="宋体" w:cs="宋体"/>
                <w:color w:val="auto"/>
                <w:sz w:val="24"/>
              </w:rPr>
              <w:t>磋商总报价</w:t>
            </w:r>
          </w:p>
          <w:p>
            <w:pPr>
              <w:pStyle w:val="13"/>
              <w:jc w:val="center"/>
              <w:rPr>
                <w:rFonts w:hint="eastAsia" w:ascii="宋体" w:hAnsi="宋体" w:eastAsia="宋体" w:cs="宋体"/>
                <w:color w:val="auto"/>
              </w:rPr>
            </w:pPr>
            <w:r>
              <w:rPr>
                <w:rFonts w:hint="eastAsia" w:ascii="宋体" w:hAnsi="宋体" w:eastAsia="宋体" w:cs="宋体"/>
                <w:color w:val="auto"/>
                <w:sz w:val="24"/>
              </w:rPr>
              <w:t>人民币</w:t>
            </w:r>
            <w:r>
              <w:rPr>
                <w:rFonts w:hint="eastAsia" w:ascii="宋体" w:hAnsi="宋体" w:eastAsia="宋体" w:cs="宋体"/>
                <w:color w:val="auto"/>
                <w:sz w:val="24"/>
                <w:lang w:eastAsia="zh-CN"/>
              </w:rPr>
              <w:t>（单位：元）</w:t>
            </w:r>
          </w:p>
        </w:tc>
        <w:tc>
          <w:tcPr>
            <w:tcW w:w="7127" w:type="dxa"/>
            <w:vAlign w:val="center"/>
          </w:tcPr>
          <w:p>
            <w:pPr>
              <w:autoSpaceDE w:val="0"/>
              <w:autoSpaceDN w:val="0"/>
              <w:adjustRightInd w:val="0"/>
              <w:snapToGrid w:val="0"/>
              <w:spacing w:line="360" w:lineRule="auto"/>
              <w:rPr>
                <w:rFonts w:hint="eastAsia" w:ascii="宋体" w:hAnsi="宋体" w:eastAsia="宋体" w:cs="宋体"/>
                <w:color w:val="auto"/>
                <w:sz w:val="24"/>
                <w:lang w:eastAsia="zh-CN"/>
              </w:rPr>
            </w:pPr>
            <w:r>
              <w:rPr>
                <w:rFonts w:hint="eastAsia" w:ascii="宋体" w:hAnsi="宋体" w:eastAsia="宋体" w:cs="宋体"/>
                <w:color w:val="auto"/>
                <w:sz w:val="24"/>
              </w:rPr>
              <w:t>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trPr>
        <w:tc>
          <w:tcPr>
            <w:tcW w:w="2033" w:type="dxa"/>
            <w:vMerge w:val="continue"/>
            <w:vAlign w:val="center"/>
          </w:tcPr>
          <w:p>
            <w:pPr>
              <w:autoSpaceDE w:val="0"/>
              <w:autoSpaceDN w:val="0"/>
              <w:adjustRightInd w:val="0"/>
              <w:snapToGrid w:val="0"/>
              <w:spacing w:line="360" w:lineRule="auto"/>
              <w:jc w:val="center"/>
              <w:rPr>
                <w:rFonts w:hint="eastAsia" w:ascii="宋体" w:hAnsi="宋体" w:eastAsia="宋体" w:cs="宋体"/>
                <w:color w:val="auto"/>
                <w:sz w:val="24"/>
              </w:rPr>
            </w:pPr>
          </w:p>
        </w:tc>
        <w:tc>
          <w:tcPr>
            <w:tcW w:w="7127" w:type="dxa"/>
            <w:vAlign w:val="center"/>
          </w:tcPr>
          <w:p>
            <w:pPr>
              <w:autoSpaceDE w:val="0"/>
              <w:autoSpaceDN w:val="0"/>
              <w:adjustRightInd w:val="0"/>
              <w:snapToGrid w:val="0"/>
              <w:spacing w:line="360" w:lineRule="auto"/>
              <w:rPr>
                <w:rFonts w:hint="eastAsia" w:ascii="宋体" w:hAnsi="宋体" w:eastAsia="宋体" w:cs="宋体"/>
                <w:color w:val="auto"/>
                <w:sz w:val="24"/>
                <w:lang w:val="en-US" w:eastAsia="zh-CN"/>
              </w:rPr>
            </w:pPr>
            <w:r>
              <w:rPr>
                <w:rFonts w:hint="eastAsia" w:ascii="宋体" w:hAnsi="宋体" w:eastAsia="宋体" w:cs="宋体"/>
                <w:color w:val="auto"/>
                <w:sz w:val="24"/>
              </w:rPr>
              <w:t>小写：</w:t>
            </w:r>
            <w:r>
              <w:rPr>
                <w:rFonts w:hint="eastAsia" w:ascii="宋体" w:hAnsi="宋体" w:eastAsia="宋体" w:cs="宋体"/>
                <w:color w:val="auto"/>
                <w:sz w:val="24"/>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trPr>
        <w:tc>
          <w:tcPr>
            <w:tcW w:w="2033" w:type="dxa"/>
            <w:vAlign w:val="center"/>
          </w:tcPr>
          <w:p>
            <w:pPr>
              <w:autoSpaceDE w:val="0"/>
              <w:autoSpaceDN w:val="0"/>
              <w:adjustRightInd w:val="0"/>
              <w:snapToGrid w:val="0"/>
              <w:spacing w:line="360" w:lineRule="auto"/>
              <w:jc w:val="center"/>
              <w:rPr>
                <w:rFonts w:hint="eastAsia" w:ascii="宋体" w:hAnsi="宋体" w:eastAsia="宋体" w:cs="宋体"/>
                <w:color w:val="auto"/>
                <w:sz w:val="24"/>
              </w:rPr>
            </w:pPr>
            <w:r>
              <w:rPr>
                <w:rFonts w:hint="eastAsia" w:ascii="宋体" w:hAnsi="宋体" w:eastAsia="宋体" w:cs="宋体"/>
                <w:color w:val="auto"/>
                <w:sz w:val="24"/>
              </w:rPr>
              <w:t>工期（日历天）</w:t>
            </w:r>
          </w:p>
        </w:tc>
        <w:tc>
          <w:tcPr>
            <w:tcW w:w="7127" w:type="dxa"/>
            <w:vAlign w:val="center"/>
          </w:tcPr>
          <w:p>
            <w:pPr>
              <w:autoSpaceDE w:val="0"/>
              <w:autoSpaceDN w:val="0"/>
              <w:adjustRightInd w:val="0"/>
              <w:snapToGrid w:val="0"/>
              <w:spacing w:line="360" w:lineRule="auto"/>
              <w:rPr>
                <w:rFonts w:hint="eastAsia" w:ascii="宋体" w:hAnsi="宋体" w:eastAsia="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3" w:hRule="atLeast"/>
        </w:trPr>
        <w:tc>
          <w:tcPr>
            <w:tcW w:w="2033" w:type="dxa"/>
            <w:vAlign w:val="center"/>
          </w:tcPr>
          <w:p>
            <w:pPr>
              <w:autoSpaceDE w:val="0"/>
              <w:autoSpaceDN w:val="0"/>
              <w:adjustRightInd w:val="0"/>
              <w:snapToGrid w:val="0"/>
              <w:spacing w:line="360" w:lineRule="auto"/>
              <w:jc w:val="center"/>
              <w:rPr>
                <w:rFonts w:hint="eastAsia" w:ascii="宋体" w:hAnsi="宋体" w:eastAsia="宋体" w:cs="宋体"/>
                <w:color w:val="auto"/>
                <w:sz w:val="24"/>
              </w:rPr>
            </w:pPr>
            <w:r>
              <w:rPr>
                <w:rFonts w:hint="eastAsia" w:ascii="宋体" w:hAnsi="宋体" w:eastAsia="宋体" w:cs="宋体"/>
                <w:color w:val="auto"/>
                <w:sz w:val="24"/>
              </w:rPr>
              <w:t>质量标准</w:t>
            </w:r>
          </w:p>
        </w:tc>
        <w:tc>
          <w:tcPr>
            <w:tcW w:w="7127" w:type="dxa"/>
            <w:vAlign w:val="center"/>
          </w:tcPr>
          <w:p>
            <w:pPr>
              <w:autoSpaceDE w:val="0"/>
              <w:autoSpaceDN w:val="0"/>
              <w:adjustRightInd w:val="0"/>
              <w:snapToGrid w:val="0"/>
              <w:spacing w:line="360" w:lineRule="auto"/>
              <w:rPr>
                <w:rFonts w:hint="eastAsia" w:ascii="宋体" w:hAnsi="宋体" w:eastAsia="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trPr>
        <w:tc>
          <w:tcPr>
            <w:tcW w:w="2033" w:type="dxa"/>
            <w:vAlign w:val="center"/>
          </w:tcPr>
          <w:p>
            <w:pPr>
              <w:autoSpaceDE w:val="0"/>
              <w:autoSpaceDN w:val="0"/>
              <w:adjustRightInd w:val="0"/>
              <w:snapToGrid w:val="0"/>
              <w:spacing w:line="360" w:lineRule="auto"/>
              <w:jc w:val="center"/>
              <w:rPr>
                <w:rFonts w:hint="eastAsia" w:ascii="宋体" w:hAnsi="宋体" w:eastAsia="宋体" w:cs="宋体"/>
                <w:color w:val="auto"/>
                <w:sz w:val="24"/>
                <w:lang w:eastAsia="zh-CN"/>
              </w:rPr>
            </w:pPr>
            <w:r>
              <w:rPr>
                <w:rFonts w:hint="eastAsia" w:ascii="宋体" w:hAnsi="宋体" w:eastAsia="宋体" w:cs="宋体"/>
                <w:color w:val="auto"/>
                <w:sz w:val="24"/>
                <w:lang w:eastAsia="zh-CN"/>
              </w:rPr>
              <w:t>安全目标</w:t>
            </w:r>
          </w:p>
        </w:tc>
        <w:tc>
          <w:tcPr>
            <w:tcW w:w="7127" w:type="dxa"/>
            <w:vAlign w:val="center"/>
          </w:tcPr>
          <w:p>
            <w:pPr>
              <w:autoSpaceDE w:val="0"/>
              <w:autoSpaceDN w:val="0"/>
              <w:adjustRightInd w:val="0"/>
              <w:snapToGrid w:val="0"/>
              <w:spacing w:line="360" w:lineRule="auto"/>
              <w:rPr>
                <w:rFonts w:hint="eastAsia" w:ascii="宋体" w:hAnsi="宋体" w:eastAsia="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3" w:hRule="atLeast"/>
        </w:trPr>
        <w:tc>
          <w:tcPr>
            <w:tcW w:w="2033" w:type="dxa"/>
            <w:vAlign w:val="center"/>
          </w:tcPr>
          <w:p>
            <w:pPr>
              <w:autoSpaceDE w:val="0"/>
              <w:autoSpaceDN w:val="0"/>
              <w:adjustRightInd w:val="0"/>
              <w:snapToGrid w:val="0"/>
              <w:spacing w:line="360" w:lineRule="auto"/>
              <w:jc w:val="center"/>
              <w:rPr>
                <w:rFonts w:hint="eastAsia" w:ascii="宋体" w:hAnsi="宋体" w:eastAsia="宋体" w:cs="宋体"/>
                <w:color w:val="auto"/>
                <w:sz w:val="24"/>
              </w:rPr>
            </w:pPr>
            <w:r>
              <w:rPr>
                <w:rFonts w:hint="eastAsia" w:ascii="宋体" w:hAnsi="宋体" w:eastAsia="宋体" w:cs="宋体"/>
                <w:color w:val="auto"/>
                <w:sz w:val="24"/>
              </w:rPr>
              <w:t>备注</w:t>
            </w:r>
          </w:p>
        </w:tc>
        <w:tc>
          <w:tcPr>
            <w:tcW w:w="7127" w:type="dxa"/>
            <w:vAlign w:val="center"/>
          </w:tcPr>
          <w:p>
            <w:pPr>
              <w:autoSpaceDE w:val="0"/>
              <w:autoSpaceDN w:val="0"/>
              <w:adjustRightInd w:val="0"/>
              <w:snapToGrid w:val="0"/>
              <w:spacing w:line="360" w:lineRule="auto"/>
              <w:rPr>
                <w:rFonts w:hint="eastAsia" w:ascii="宋体" w:hAnsi="宋体" w:eastAsia="宋体" w:cs="宋体"/>
                <w:color w:val="auto"/>
                <w:sz w:val="24"/>
              </w:rPr>
            </w:pPr>
          </w:p>
        </w:tc>
      </w:tr>
    </w:tbl>
    <w:p>
      <w:pPr>
        <w:autoSpaceDE w:val="0"/>
        <w:autoSpaceDN w:val="0"/>
        <w:adjustRightInd w:val="0"/>
        <w:snapToGrid w:val="0"/>
        <w:spacing w:line="360" w:lineRule="auto"/>
        <w:rPr>
          <w:rFonts w:hint="eastAsia" w:ascii="宋体" w:hAnsi="宋体" w:eastAsia="宋体" w:cs="宋体"/>
          <w:b/>
          <w:bCs/>
          <w:color w:val="auto"/>
          <w:sz w:val="24"/>
          <w:lang w:eastAsia="zh-CN"/>
        </w:rPr>
      </w:pPr>
    </w:p>
    <w:p>
      <w:pPr>
        <w:autoSpaceDE w:val="0"/>
        <w:autoSpaceDN w:val="0"/>
        <w:adjustRightInd w:val="0"/>
        <w:snapToGrid w:val="0"/>
        <w:spacing w:line="360" w:lineRule="auto"/>
        <w:rPr>
          <w:rFonts w:hint="eastAsia" w:ascii="宋体" w:hAnsi="宋体" w:eastAsia="宋体" w:cs="宋体"/>
          <w:color w:val="auto"/>
          <w:sz w:val="24"/>
          <w:lang w:eastAsia="zh-CN"/>
        </w:rPr>
      </w:pPr>
    </w:p>
    <w:p>
      <w:pPr>
        <w:tabs>
          <w:tab w:val="left" w:pos="7920"/>
        </w:tabs>
        <w:rPr>
          <w:rFonts w:hint="eastAsia" w:ascii="宋体" w:hAnsi="宋体" w:eastAsia="宋体" w:cs="宋体"/>
          <w:bCs/>
          <w:color w:val="auto"/>
          <w:sz w:val="24"/>
        </w:rPr>
      </w:pPr>
      <w:r>
        <w:rPr>
          <w:rFonts w:hint="eastAsia" w:ascii="宋体" w:hAnsi="宋体" w:eastAsia="宋体" w:cs="宋体"/>
          <w:bCs/>
          <w:color w:val="auto"/>
          <w:sz w:val="24"/>
        </w:rPr>
        <w:t>磋商供应商：</w:t>
      </w:r>
      <w:r>
        <w:rPr>
          <w:rFonts w:hint="eastAsia" w:ascii="宋体" w:hAnsi="宋体" w:cs="宋体"/>
          <w:bCs/>
          <w:color w:val="auto"/>
          <w:sz w:val="24"/>
          <w:u w:val="single"/>
          <w:lang w:val="en-US" w:eastAsia="zh-CN"/>
        </w:rPr>
        <w:t xml:space="preserve">                   </w:t>
      </w:r>
      <w:r>
        <w:rPr>
          <w:rFonts w:hint="eastAsia" w:ascii="宋体" w:hAnsi="宋体" w:eastAsia="宋体" w:cs="宋体"/>
          <w:bCs/>
          <w:color w:val="auto"/>
          <w:sz w:val="24"/>
        </w:rPr>
        <w:t>（盖章）</w:t>
      </w:r>
    </w:p>
    <w:p>
      <w:pPr>
        <w:pStyle w:val="13"/>
        <w:rPr>
          <w:rFonts w:hint="eastAsia" w:ascii="宋体" w:hAnsi="宋体" w:eastAsia="宋体" w:cs="宋体"/>
          <w:color w:val="auto"/>
          <w:sz w:val="24"/>
        </w:rPr>
      </w:pPr>
    </w:p>
    <w:p>
      <w:pPr>
        <w:tabs>
          <w:tab w:val="left" w:pos="7920"/>
        </w:tabs>
        <w:rPr>
          <w:rFonts w:hint="eastAsia" w:ascii="宋体" w:hAnsi="宋体" w:eastAsia="宋体" w:cs="宋体"/>
          <w:bCs/>
          <w:color w:val="auto"/>
          <w:sz w:val="24"/>
        </w:rPr>
      </w:pPr>
    </w:p>
    <w:p>
      <w:pPr>
        <w:tabs>
          <w:tab w:val="left" w:pos="7920"/>
        </w:tabs>
        <w:rPr>
          <w:rFonts w:hint="eastAsia" w:ascii="宋体" w:hAnsi="宋体" w:eastAsia="宋体" w:cs="宋体"/>
          <w:bCs/>
          <w:color w:val="auto"/>
          <w:sz w:val="24"/>
          <w:lang w:eastAsia="zh-CN"/>
        </w:rPr>
      </w:pPr>
      <w:r>
        <w:rPr>
          <w:rFonts w:hint="eastAsia" w:ascii="宋体" w:hAnsi="宋体" w:eastAsia="宋体" w:cs="宋体"/>
          <w:bCs/>
          <w:color w:val="auto"/>
          <w:sz w:val="24"/>
        </w:rPr>
        <w:t>法定代表人或其被授权委托代理人：</w:t>
      </w:r>
      <w:r>
        <w:rPr>
          <w:rFonts w:hint="eastAsia" w:ascii="宋体" w:hAnsi="宋体" w:cs="宋体"/>
          <w:bCs/>
          <w:color w:val="auto"/>
          <w:sz w:val="24"/>
          <w:u w:val="single"/>
          <w:lang w:val="en-US" w:eastAsia="zh-CN"/>
        </w:rPr>
        <w:t xml:space="preserve">                 </w:t>
      </w:r>
      <w:r>
        <w:rPr>
          <w:rFonts w:hint="eastAsia" w:ascii="宋体" w:hAnsi="宋体" w:eastAsia="宋体" w:cs="宋体"/>
          <w:bCs/>
          <w:color w:val="auto"/>
          <w:sz w:val="24"/>
        </w:rPr>
        <w:t>（签字或盖章）</w:t>
      </w:r>
    </w:p>
    <w:p>
      <w:pPr>
        <w:autoSpaceDE w:val="0"/>
        <w:autoSpaceDN w:val="0"/>
        <w:adjustRightInd w:val="0"/>
        <w:snapToGrid w:val="0"/>
        <w:spacing w:line="360" w:lineRule="auto"/>
        <w:rPr>
          <w:rFonts w:hint="eastAsia" w:ascii="宋体" w:hAnsi="宋体" w:eastAsia="宋体" w:cs="宋体"/>
          <w:bCs/>
          <w:color w:val="auto"/>
          <w:sz w:val="24"/>
          <w:lang w:val="zh-CN"/>
        </w:rPr>
      </w:pPr>
    </w:p>
    <w:p>
      <w:pPr>
        <w:autoSpaceDE w:val="0"/>
        <w:autoSpaceDN w:val="0"/>
        <w:adjustRightInd w:val="0"/>
        <w:snapToGrid w:val="0"/>
        <w:spacing w:line="360" w:lineRule="auto"/>
        <w:rPr>
          <w:rFonts w:hint="eastAsia" w:ascii="宋体" w:hAnsi="宋体" w:eastAsia="宋体" w:cs="宋体"/>
          <w:color w:val="auto"/>
          <w:sz w:val="24"/>
          <w:lang w:val="zh-CN"/>
        </w:rPr>
      </w:pPr>
    </w:p>
    <w:p>
      <w:pPr>
        <w:autoSpaceDE w:val="0"/>
        <w:autoSpaceDN w:val="0"/>
        <w:adjustRightInd w:val="0"/>
        <w:snapToGrid w:val="0"/>
        <w:spacing w:line="360" w:lineRule="auto"/>
        <w:ind w:firstLine="4320" w:firstLineChars="1800"/>
        <w:rPr>
          <w:rFonts w:hint="eastAsia" w:ascii="宋体" w:hAnsi="宋体" w:eastAsia="宋体" w:cs="宋体"/>
        </w:rPr>
      </w:pPr>
      <w:r>
        <w:rPr>
          <w:rFonts w:hint="eastAsia" w:ascii="宋体" w:hAnsi="宋体" w:eastAsia="宋体" w:cs="宋体"/>
          <w:color w:val="auto"/>
          <w:sz w:val="24"/>
          <w:lang w:val="zh-CN"/>
        </w:rPr>
        <w:t>年</w:t>
      </w:r>
      <w:r>
        <w:rPr>
          <w:rFonts w:hint="eastAsia" w:ascii="宋体" w:hAnsi="宋体" w:cs="宋体"/>
          <w:color w:val="auto"/>
          <w:sz w:val="24"/>
          <w:lang w:val="en-US" w:eastAsia="zh-CN"/>
        </w:rPr>
        <w:t xml:space="preserve">   </w:t>
      </w:r>
      <w:r>
        <w:rPr>
          <w:rFonts w:hint="eastAsia" w:ascii="宋体" w:hAnsi="宋体" w:eastAsia="宋体" w:cs="宋体"/>
          <w:color w:val="auto"/>
          <w:sz w:val="24"/>
          <w:lang w:val="zh-CN"/>
        </w:rPr>
        <w:t>月</w:t>
      </w:r>
      <w:r>
        <w:rPr>
          <w:rFonts w:hint="eastAsia" w:ascii="宋体" w:hAnsi="宋体" w:cs="宋体"/>
          <w:color w:val="auto"/>
          <w:sz w:val="24"/>
          <w:lang w:val="en-US" w:eastAsia="zh-CN"/>
        </w:rPr>
        <w:t xml:space="preserve">    </w:t>
      </w:r>
      <w:r>
        <w:rPr>
          <w:rFonts w:hint="eastAsia" w:ascii="宋体" w:hAnsi="宋体" w:eastAsia="宋体" w:cs="宋体"/>
          <w:color w:val="auto"/>
          <w:sz w:val="24"/>
          <w:lang w:val="zh-CN"/>
        </w:rPr>
        <w:t>日</w:t>
      </w:r>
    </w:p>
    <w:p>
      <w:pPr>
        <w:autoSpaceDE w:val="0"/>
        <w:autoSpaceDN w:val="0"/>
        <w:adjustRightInd w:val="0"/>
        <w:snapToGrid w:val="0"/>
        <w:spacing w:line="360" w:lineRule="auto"/>
        <w:ind w:left="0" w:leftChars="0" w:firstLine="420" w:firstLineChars="190"/>
        <w:rPr>
          <w:rFonts w:hint="eastAsia" w:ascii="宋体" w:hAnsi="宋体" w:eastAsia="宋体" w:cs="宋体"/>
          <w:b/>
          <w:color w:val="auto"/>
          <w:sz w:val="22"/>
          <w:szCs w:val="22"/>
        </w:rPr>
      </w:pPr>
    </w:p>
    <w:p>
      <w:pPr>
        <w:autoSpaceDE w:val="0"/>
        <w:autoSpaceDN w:val="0"/>
        <w:adjustRightInd w:val="0"/>
        <w:snapToGrid w:val="0"/>
        <w:spacing w:line="360" w:lineRule="auto"/>
        <w:ind w:left="0" w:leftChars="0" w:firstLine="420" w:firstLineChars="190"/>
        <w:rPr>
          <w:rFonts w:hint="eastAsia" w:ascii="宋体" w:hAnsi="宋体" w:eastAsia="宋体" w:cs="宋体"/>
          <w:b/>
          <w:color w:val="auto"/>
          <w:sz w:val="22"/>
          <w:szCs w:val="22"/>
        </w:rPr>
      </w:pPr>
    </w:p>
    <w:p>
      <w:pPr>
        <w:autoSpaceDE w:val="0"/>
        <w:autoSpaceDN w:val="0"/>
        <w:adjustRightInd w:val="0"/>
        <w:snapToGrid w:val="0"/>
        <w:spacing w:line="360" w:lineRule="auto"/>
        <w:ind w:left="0" w:leftChars="0" w:firstLine="420" w:firstLineChars="190"/>
        <w:rPr>
          <w:rFonts w:hint="eastAsia" w:ascii="宋体" w:hAnsi="宋体" w:eastAsia="宋体" w:cs="宋体"/>
          <w:b/>
          <w:color w:val="auto"/>
          <w:sz w:val="22"/>
          <w:szCs w:val="22"/>
        </w:rPr>
      </w:pPr>
      <w:r>
        <w:rPr>
          <w:rFonts w:hint="eastAsia" w:ascii="宋体" w:hAnsi="宋体" w:eastAsia="宋体" w:cs="宋体"/>
          <w:b/>
          <w:color w:val="auto"/>
          <w:sz w:val="22"/>
          <w:szCs w:val="22"/>
        </w:rPr>
        <w:t>特别提示：</w:t>
      </w:r>
    </w:p>
    <w:p>
      <w:pPr>
        <w:autoSpaceDE w:val="0"/>
        <w:autoSpaceDN w:val="0"/>
        <w:adjustRightInd w:val="0"/>
        <w:snapToGrid w:val="0"/>
        <w:spacing w:line="360" w:lineRule="auto"/>
        <w:rPr>
          <w:rFonts w:hint="eastAsia" w:ascii="宋体" w:hAnsi="宋体" w:eastAsia="宋体" w:cs="宋体"/>
          <w:b/>
          <w:color w:val="auto"/>
          <w:sz w:val="22"/>
          <w:szCs w:val="22"/>
          <w:lang w:eastAsia="zh-CN"/>
        </w:rPr>
      </w:pPr>
      <w:r>
        <w:rPr>
          <w:rFonts w:hint="eastAsia" w:ascii="宋体" w:hAnsi="宋体" w:eastAsia="宋体" w:cs="宋体"/>
          <w:b/>
          <w:color w:val="auto"/>
          <w:sz w:val="22"/>
          <w:szCs w:val="22"/>
          <w:lang w:eastAsia="zh-CN"/>
        </w:rPr>
        <w:t>注：1、二次磋商报价应按总价填写，单位精确到“元”；</w:t>
      </w:r>
    </w:p>
    <w:p>
      <w:pPr>
        <w:autoSpaceDE w:val="0"/>
        <w:autoSpaceDN w:val="0"/>
        <w:adjustRightInd w:val="0"/>
        <w:snapToGrid w:val="0"/>
        <w:spacing w:line="360" w:lineRule="auto"/>
        <w:ind w:left="15" w:leftChars="7" w:firstLine="406" w:firstLineChars="184"/>
        <w:rPr>
          <w:rFonts w:hint="eastAsia" w:ascii="宋体" w:hAnsi="宋体" w:eastAsia="宋体" w:cs="宋体"/>
          <w:b/>
          <w:color w:val="auto"/>
          <w:sz w:val="22"/>
          <w:szCs w:val="22"/>
          <w:lang w:val="en-US" w:eastAsia="zh-CN"/>
        </w:rPr>
      </w:pPr>
      <w:r>
        <w:rPr>
          <w:rFonts w:hint="eastAsia" w:ascii="宋体" w:hAnsi="宋体" w:eastAsia="宋体" w:cs="宋体"/>
          <w:b/>
          <w:color w:val="auto"/>
          <w:sz w:val="22"/>
          <w:szCs w:val="22"/>
          <w:lang w:val="en-US" w:eastAsia="zh-CN"/>
        </w:rPr>
        <w:t>2、供应商须自备该表格，加盖单位公章，无需装订在册，在最终磋商报价环节时填写提交此表，若最终磋商报价环节未单独提供此表，视为二次磋商报价无效；</w:t>
      </w:r>
    </w:p>
    <w:p>
      <w:pPr>
        <w:autoSpaceDE w:val="0"/>
        <w:autoSpaceDN w:val="0"/>
        <w:adjustRightInd w:val="0"/>
        <w:snapToGrid w:val="0"/>
        <w:spacing w:line="360" w:lineRule="auto"/>
        <w:ind w:left="15" w:leftChars="7" w:firstLine="406" w:firstLineChars="184"/>
        <w:rPr>
          <w:rFonts w:hint="eastAsia" w:ascii="宋体" w:hAnsi="宋体" w:eastAsia="宋体" w:cs="宋体"/>
          <w:color w:val="auto"/>
          <w:sz w:val="24"/>
        </w:rPr>
      </w:pPr>
      <w:r>
        <w:rPr>
          <w:rFonts w:hint="eastAsia" w:ascii="宋体" w:hAnsi="宋体" w:eastAsia="宋体" w:cs="宋体"/>
          <w:b/>
          <w:color w:val="auto"/>
          <w:sz w:val="22"/>
          <w:szCs w:val="22"/>
          <w:lang w:val="en-US" w:eastAsia="zh-CN"/>
        </w:rPr>
        <w:t>3、若供应商属于磋商文件规定的中小企业、监狱企业、残疾人福利性单位，请在备注一览填写注明，若无如实填写，后果自负</w:t>
      </w:r>
      <w:r>
        <w:rPr>
          <w:rFonts w:hint="eastAsia" w:ascii="宋体" w:hAnsi="宋体" w:eastAsia="宋体" w:cs="宋体"/>
          <w:b/>
          <w:color w:val="auto"/>
          <w:sz w:val="22"/>
          <w:szCs w:val="22"/>
        </w:rPr>
        <w:t>。</w:t>
      </w:r>
    </w:p>
    <w:p>
      <w:pPr>
        <w:pStyle w:val="5"/>
        <w:numPr>
          <w:ilvl w:val="0"/>
          <w:numId w:val="6"/>
        </w:numPr>
        <w:jc w:val="center"/>
        <w:rPr>
          <w:rFonts w:hint="eastAsia" w:ascii="宋体" w:hAnsi="宋体" w:eastAsia="宋体" w:cs="宋体"/>
          <w:bCs w:val="0"/>
          <w:color w:val="auto"/>
          <w:sz w:val="24"/>
          <w:szCs w:val="24"/>
        </w:rPr>
      </w:pPr>
      <w:bookmarkStart w:id="94" w:name="_Toc78884387"/>
      <w:r>
        <w:rPr>
          <w:rFonts w:hint="eastAsia" w:ascii="宋体" w:hAnsi="宋体" w:eastAsia="宋体" w:cs="宋体"/>
          <w:bCs w:val="0"/>
          <w:color w:val="auto"/>
          <w:sz w:val="24"/>
          <w:szCs w:val="24"/>
        </w:rPr>
        <w:t>已标价工程量清单</w:t>
      </w:r>
      <w:bookmarkEnd w:id="94"/>
      <w:r>
        <w:rPr>
          <w:rFonts w:hint="eastAsia" w:ascii="宋体" w:hAnsi="宋体" w:cs="宋体"/>
          <w:bCs w:val="0"/>
          <w:color w:val="auto"/>
          <w:sz w:val="24"/>
          <w:szCs w:val="24"/>
          <w:lang w:eastAsia="zh-CN"/>
        </w:rPr>
        <w:t>（格式）</w:t>
      </w:r>
    </w:p>
    <w:p>
      <w:pPr>
        <w:pStyle w:val="5"/>
        <w:numPr>
          <w:ilvl w:val="0"/>
          <w:numId w:val="0"/>
        </w:numPr>
        <w:ind w:firstLine="482" w:firstLineChars="200"/>
        <w:jc w:val="both"/>
        <w:rPr>
          <w:rFonts w:hint="eastAsia" w:ascii="宋体" w:hAnsi="宋体" w:eastAsia="宋体" w:cs="宋体"/>
          <w:bCs w:val="0"/>
          <w:color w:val="auto"/>
          <w:sz w:val="24"/>
          <w:szCs w:val="24"/>
          <w:lang w:eastAsia="zh-CN"/>
        </w:rPr>
      </w:pPr>
      <w:r>
        <w:rPr>
          <w:rFonts w:hint="eastAsia" w:ascii="宋体" w:hAnsi="宋体" w:eastAsia="宋体" w:cs="宋体"/>
          <w:bCs w:val="0"/>
          <w:color w:val="auto"/>
          <w:sz w:val="24"/>
          <w:szCs w:val="24"/>
        </w:rPr>
        <w:t>一、编制依据</w:t>
      </w:r>
      <w:r>
        <w:rPr>
          <w:rFonts w:hint="eastAsia" w:ascii="宋体" w:hAnsi="宋体" w:cs="宋体"/>
          <w:bCs w:val="0"/>
          <w:color w:val="auto"/>
          <w:sz w:val="24"/>
          <w:szCs w:val="24"/>
          <w:lang w:eastAsia="zh-CN"/>
        </w:rPr>
        <w:t>：</w:t>
      </w:r>
    </w:p>
    <w:p>
      <w:pPr>
        <w:autoSpaceDE w:val="0"/>
        <w:autoSpaceDN w:val="0"/>
        <w:adjustRightInd w:val="0"/>
        <w:snapToGrid w:val="0"/>
        <w:spacing w:line="360" w:lineRule="auto"/>
        <w:ind w:firstLine="440" w:firstLineChars="200"/>
        <w:rPr>
          <w:rFonts w:hint="eastAsia" w:ascii="宋体" w:hAnsi="宋体" w:eastAsia="宋体" w:cs="宋体"/>
          <w:b w:val="0"/>
          <w:bCs/>
          <w:color w:val="auto"/>
          <w:sz w:val="22"/>
          <w:szCs w:val="22"/>
          <w:lang w:eastAsia="zh-CN"/>
        </w:rPr>
      </w:pPr>
      <w:r>
        <w:rPr>
          <w:rFonts w:hint="eastAsia" w:ascii="宋体" w:hAnsi="宋体" w:eastAsia="宋体" w:cs="宋体"/>
          <w:b w:val="0"/>
          <w:bCs/>
          <w:color w:val="auto"/>
          <w:sz w:val="22"/>
          <w:szCs w:val="22"/>
          <w:lang w:eastAsia="zh-CN"/>
        </w:rPr>
        <w:t>1、陕西省建设厅《陕西省建设工程工程量清单计价规则(2009)》；</w:t>
      </w:r>
    </w:p>
    <w:p>
      <w:pPr>
        <w:autoSpaceDE w:val="0"/>
        <w:autoSpaceDN w:val="0"/>
        <w:adjustRightInd w:val="0"/>
        <w:snapToGrid w:val="0"/>
        <w:spacing w:line="360" w:lineRule="auto"/>
        <w:ind w:firstLine="440" w:firstLineChars="200"/>
        <w:rPr>
          <w:rFonts w:hint="eastAsia" w:ascii="宋体" w:hAnsi="宋体" w:eastAsia="宋体" w:cs="宋体"/>
          <w:b w:val="0"/>
          <w:bCs/>
          <w:color w:val="auto"/>
          <w:sz w:val="22"/>
          <w:szCs w:val="22"/>
          <w:lang w:eastAsia="zh-CN"/>
        </w:rPr>
      </w:pPr>
      <w:r>
        <w:rPr>
          <w:rFonts w:hint="eastAsia" w:ascii="宋体" w:hAnsi="宋体" w:eastAsia="宋体" w:cs="宋体"/>
          <w:b w:val="0"/>
          <w:bCs/>
          <w:color w:val="auto"/>
          <w:sz w:val="22"/>
          <w:szCs w:val="22"/>
          <w:lang w:eastAsia="zh-CN"/>
        </w:rPr>
        <w:t>2、依据本工程设计图纸及相关标准图集</w:t>
      </w:r>
      <w:r>
        <w:rPr>
          <w:rFonts w:hint="eastAsia" w:ascii="宋体" w:hAnsi="宋体" w:cs="宋体"/>
          <w:b w:val="0"/>
          <w:bCs/>
          <w:color w:val="auto"/>
          <w:sz w:val="22"/>
          <w:szCs w:val="22"/>
          <w:lang w:eastAsia="zh-CN"/>
        </w:rPr>
        <w:t>；</w:t>
      </w:r>
    </w:p>
    <w:p>
      <w:pPr>
        <w:autoSpaceDE w:val="0"/>
        <w:autoSpaceDN w:val="0"/>
        <w:adjustRightInd w:val="0"/>
        <w:snapToGrid w:val="0"/>
        <w:spacing w:line="360" w:lineRule="auto"/>
        <w:ind w:firstLine="440" w:firstLineChars="200"/>
        <w:rPr>
          <w:rFonts w:hint="eastAsia" w:ascii="宋体" w:hAnsi="宋体" w:eastAsia="宋体" w:cs="宋体"/>
          <w:b w:val="0"/>
          <w:bCs/>
          <w:color w:val="auto"/>
          <w:sz w:val="22"/>
          <w:szCs w:val="22"/>
          <w:lang w:eastAsia="zh-CN"/>
        </w:rPr>
      </w:pPr>
      <w:r>
        <w:rPr>
          <w:rFonts w:hint="eastAsia" w:ascii="宋体" w:hAnsi="宋体" w:eastAsia="宋体" w:cs="宋体"/>
          <w:b w:val="0"/>
          <w:bCs/>
          <w:color w:val="auto"/>
          <w:sz w:val="22"/>
          <w:szCs w:val="22"/>
          <w:lang w:eastAsia="zh-CN"/>
        </w:rPr>
        <w:t>3、本工程采用广联达计价软件报价</w:t>
      </w:r>
      <w:r>
        <w:rPr>
          <w:rFonts w:hint="eastAsia" w:ascii="宋体" w:hAnsi="宋体" w:cs="宋体"/>
          <w:b w:val="0"/>
          <w:bCs/>
          <w:color w:val="auto"/>
          <w:sz w:val="22"/>
          <w:szCs w:val="22"/>
          <w:lang w:eastAsia="zh-CN"/>
        </w:rPr>
        <w:t>。</w:t>
      </w:r>
    </w:p>
    <w:p>
      <w:pPr>
        <w:spacing w:before="155" w:line="326" w:lineRule="auto"/>
        <w:ind w:left="10" w:firstLine="482" w:firstLineChars="200"/>
        <w:rPr>
          <w:rFonts w:hint="eastAsia" w:ascii="宋体" w:hAnsi="宋体" w:eastAsia="宋体" w:cs="宋体"/>
          <w:b/>
          <w:bCs w:val="0"/>
          <w:color w:val="auto"/>
          <w:kern w:val="2"/>
          <w:sz w:val="24"/>
          <w:szCs w:val="24"/>
          <w:lang w:val="en-US" w:eastAsia="zh-CN" w:bidi="ar-SA"/>
        </w:rPr>
      </w:pPr>
      <w:r>
        <w:rPr>
          <w:rFonts w:hint="eastAsia" w:ascii="宋体" w:hAnsi="宋体" w:eastAsia="宋体" w:cs="宋体"/>
          <w:b/>
          <w:bCs w:val="0"/>
          <w:color w:val="auto"/>
          <w:kern w:val="2"/>
          <w:sz w:val="24"/>
          <w:szCs w:val="24"/>
          <w:lang w:val="en-US" w:eastAsia="zh-CN" w:bidi="ar-SA"/>
        </w:rPr>
        <w:t>二、后附的各已标价工程量清单表格具体样式以造价软件打印的表格格式为准，供应商应根据采购人及采购代理机构提供的工程量清单进行组价工作，不可更改工程量清单的具体内容。</w:t>
      </w:r>
    </w:p>
    <w:p>
      <w:pPr>
        <w:pStyle w:val="13"/>
        <w:rPr>
          <w:rFonts w:hint="eastAsia" w:ascii="宋体" w:hAnsi="宋体" w:eastAsia="宋体" w:cs="宋体"/>
          <w:color w:val="auto"/>
          <w:sz w:val="24"/>
        </w:rPr>
      </w:pPr>
    </w:p>
    <w:p>
      <w:pPr>
        <w:rPr>
          <w:rFonts w:hint="eastAsia" w:ascii="宋体" w:hAnsi="宋体" w:eastAsia="宋体" w:cs="宋体"/>
          <w:color w:val="auto"/>
        </w:rPr>
      </w:pPr>
    </w:p>
    <w:p>
      <w:pPr>
        <w:pStyle w:val="13"/>
        <w:rPr>
          <w:rFonts w:hint="eastAsia" w:ascii="宋体" w:hAnsi="宋体" w:eastAsia="宋体" w:cs="宋体"/>
          <w:color w:val="auto"/>
        </w:rPr>
      </w:pPr>
    </w:p>
    <w:p>
      <w:pPr>
        <w:rPr>
          <w:rFonts w:hint="eastAsia" w:ascii="宋体" w:hAnsi="宋体" w:eastAsia="宋体" w:cs="宋体"/>
          <w:color w:val="auto"/>
        </w:rPr>
      </w:pPr>
    </w:p>
    <w:p>
      <w:pPr>
        <w:pStyle w:val="13"/>
        <w:rPr>
          <w:rFonts w:hint="eastAsia" w:ascii="宋体" w:hAnsi="宋体" w:eastAsia="宋体" w:cs="宋体"/>
          <w:color w:val="auto"/>
        </w:rPr>
      </w:pPr>
    </w:p>
    <w:p>
      <w:pPr>
        <w:rPr>
          <w:rFonts w:hint="eastAsia" w:ascii="宋体" w:hAnsi="宋体" w:eastAsia="宋体" w:cs="宋体"/>
          <w:color w:val="auto"/>
        </w:rPr>
      </w:pPr>
    </w:p>
    <w:p>
      <w:pPr>
        <w:pStyle w:val="13"/>
        <w:rPr>
          <w:rFonts w:hint="eastAsia" w:ascii="宋体" w:hAnsi="宋体" w:eastAsia="宋体" w:cs="宋体"/>
          <w:color w:val="auto"/>
        </w:rPr>
      </w:pPr>
    </w:p>
    <w:p>
      <w:pPr>
        <w:rPr>
          <w:rFonts w:hint="eastAsia" w:ascii="宋体" w:hAnsi="宋体" w:eastAsia="宋体" w:cs="宋体"/>
          <w:color w:val="auto"/>
        </w:rPr>
      </w:pPr>
    </w:p>
    <w:p>
      <w:pPr>
        <w:pStyle w:val="13"/>
        <w:rPr>
          <w:rFonts w:hint="eastAsia" w:ascii="宋体" w:hAnsi="宋体" w:eastAsia="宋体" w:cs="宋体"/>
          <w:color w:val="auto"/>
        </w:rPr>
      </w:pPr>
    </w:p>
    <w:p>
      <w:pPr>
        <w:rPr>
          <w:rFonts w:hint="eastAsia" w:ascii="宋体" w:hAnsi="宋体" w:eastAsia="宋体" w:cs="宋体"/>
          <w:color w:val="auto"/>
        </w:rPr>
      </w:pPr>
    </w:p>
    <w:p>
      <w:pPr>
        <w:pStyle w:val="13"/>
        <w:rPr>
          <w:rFonts w:hint="eastAsia" w:ascii="宋体" w:hAnsi="宋体" w:eastAsia="宋体" w:cs="宋体"/>
          <w:color w:val="auto"/>
        </w:rPr>
      </w:pPr>
    </w:p>
    <w:p>
      <w:pPr>
        <w:rPr>
          <w:rFonts w:hint="eastAsia" w:ascii="宋体" w:hAnsi="宋体" w:eastAsia="宋体" w:cs="宋体"/>
          <w:color w:val="auto"/>
        </w:rPr>
      </w:pPr>
    </w:p>
    <w:p>
      <w:pPr>
        <w:pStyle w:val="13"/>
        <w:rPr>
          <w:rFonts w:hint="eastAsia" w:ascii="宋体" w:hAnsi="宋体" w:eastAsia="宋体" w:cs="宋体"/>
          <w:color w:val="auto"/>
        </w:rPr>
      </w:pPr>
    </w:p>
    <w:p>
      <w:pPr>
        <w:rPr>
          <w:rFonts w:hint="eastAsia" w:ascii="宋体" w:hAnsi="宋体" w:eastAsia="宋体" w:cs="宋体"/>
          <w:color w:val="auto"/>
        </w:rPr>
      </w:pPr>
    </w:p>
    <w:p>
      <w:pPr>
        <w:pStyle w:val="13"/>
        <w:rPr>
          <w:rFonts w:hint="eastAsia" w:ascii="宋体" w:hAnsi="宋体" w:eastAsia="宋体" w:cs="宋体"/>
          <w:color w:val="auto"/>
        </w:rPr>
      </w:pPr>
    </w:p>
    <w:p>
      <w:pPr>
        <w:rPr>
          <w:rFonts w:hint="eastAsia" w:ascii="宋体" w:hAnsi="宋体" w:eastAsia="宋体" w:cs="宋体"/>
          <w:color w:val="auto"/>
        </w:rPr>
      </w:pPr>
    </w:p>
    <w:p>
      <w:pPr>
        <w:pStyle w:val="13"/>
        <w:rPr>
          <w:rFonts w:hint="eastAsia" w:ascii="宋体" w:hAnsi="宋体" w:eastAsia="宋体" w:cs="宋体"/>
          <w:color w:val="auto"/>
        </w:rPr>
      </w:pPr>
    </w:p>
    <w:p>
      <w:pPr>
        <w:rPr>
          <w:rFonts w:hint="eastAsia" w:ascii="宋体" w:hAnsi="宋体" w:eastAsia="宋体" w:cs="宋体"/>
          <w:color w:val="auto"/>
        </w:rPr>
      </w:pPr>
    </w:p>
    <w:p>
      <w:pPr>
        <w:pStyle w:val="13"/>
        <w:rPr>
          <w:rFonts w:hint="eastAsia" w:ascii="宋体" w:hAnsi="宋体" w:eastAsia="宋体" w:cs="宋体"/>
          <w:color w:val="auto"/>
        </w:rPr>
      </w:pPr>
    </w:p>
    <w:p>
      <w:pPr>
        <w:rPr>
          <w:rFonts w:hint="eastAsia" w:ascii="宋体" w:hAnsi="宋体" w:eastAsia="宋体" w:cs="宋体"/>
          <w:color w:val="auto"/>
        </w:rPr>
      </w:pPr>
    </w:p>
    <w:p>
      <w:pPr>
        <w:pStyle w:val="13"/>
        <w:rPr>
          <w:rFonts w:hint="eastAsia" w:ascii="宋体" w:hAnsi="宋体" w:eastAsia="宋体" w:cs="宋体"/>
          <w:color w:val="auto"/>
        </w:rPr>
      </w:pPr>
    </w:p>
    <w:p>
      <w:pPr>
        <w:rPr>
          <w:rFonts w:hint="eastAsia" w:ascii="宋体" w:hAnsi="宋体" w:eastAsia="宋体" w:cs="宋体"/>
          <w:color w:val="auto"/>
        </w:rPr>
      </w:pPr>
    </w:p>
    <w:p>
      <w:pPr>
        <w:pStyle w:val="13"/>
        <w:rPr>
          <w:rFonts w:hint="eastAsia" w:ascii="宋体" w:hAnsi="宋体" w:eastAsia="宋体" w:cs="宋体"/>
          <w:color w:val="auto"/>
        </w:rPr>
      </w:pPr>
    </w:p>
    <w:p>
      <w:pPr>
        <w:rPr>
          <w:rFonts w:hint="eastAsia" w:ascii="宋体" w:hAnsi="宋体" w:eastAsia="宋体" w:cs="宋体"/>
          <w:color w:val="auto"/>
        </w:rPr>
      </w:pPr>
    </w:p>
    <w:p>
      <w:pPr>
        <w:pStyle w:val="13"/>
        <w:rPr>
          <w:rFonts w:hint="eastAsia" w:ascii="宋体" w:hAnsi="宋体" w:eastAsia="宋体" w:cs="宋体"/>
          <w:color w:val="auto"/>
        </w:rPr>
      </w:pPr>
    </w:p>
    <w:p>
      <w:pPr>
        <w:rPr>
          <w:rFonts w:hint="eastAsia" w:ascii="宋体" w:hAnsi="宋体" w:eastAsia="宋体" w:cs="宋体"/>
          <w:color w:val="auto"/>
        </w:rPr>
      </w:pPr>
    </w:p>
    <w:p>
      <w:pPr>
        <w:pStyle w:val="13"/>
        <w:rPr>
          <w:rFonts w:hint="eastAsia" w:ascii="宋体" w:hAnsi="宋体" w:eastAsia="宋体" w:cs="宋体"/>
          <w:color w:val="auto"/>
        </w:rPr>
      </w:pPr>
    </w:p>
    <w:p>
      <w:pPr>
        <w:rPr>
          <w:rFonts w:hint="eastAsia" w:ascii="宋体" w:hAnsi="宋体" w:eastAsia="宋体" w:cs="宋体"/>
          <w:color w:val="auto"/>
        </w:rPr>
      </w:pPr>
    </w:p>
    <w:p>
      <w:pPr>
        <w:pStyle w:val="13"/>
        <w:rPr>
          <w:rFonts w:hint="eastAsia" w:ascii="宋体" w:hAnsi="宋体" w:eastAsia="宋体" w:cs="宋体"/>
          <w:color w:val="auto"/>
        </w:rPr>
      </w:pPr>
    </w:p>
    <w:p>
      <w:pPr>
        <w:pStyle w:val="5"/>
        <w:jc w:val="center"/>
        <w:rPr>
          <w:rFonts w:hint="eastAsia" w:ascii="宋体" w:hAnsi="宋体" w:eastAsia="宋体" w:cs="宋体"/>
          <w:bCs w:val="0"/>
          <w:color w:val="auto"/>
          <w:sz w:val="24"/>
          <w:szCs w:val="24"/>
        </w:rPr>
      </w:pPr>
      <w:bookmarkStart w:id="95" w:name="_Toc6703_WPSOffice_Level1"/>
      <w:bookmarkStart w:id="96" w:name="_Toc53231541"/>
      <w:bookmarkStart w:id="97" w:name="_Toc53231753"/>
      <w:bookmarkStart w:id="98" w:name="_Toc7507177"/>
      <w:bookmarkStart w:id="99" w:name="_Toc9868_WPSOffice_Level1"/>
      <w:bookmarkStart w:id="100" w:name="_Toc53231797"/>
      <w:bookmarkStart w:id="101" w:name="_Toc78884388"/>
      <w:r>
        <w:rPr>
          <w:rFonts w:hint="eastAsia" w:ascii="宋体" w:hAnsi="宋体" w:eastAsia="宋体" w:cs="宋体"/>
          <w:bCs w:val="0"/>
          <w:color w:val="auto"/>
          <w:sz w:val="24"/>
          <w:szCs w:val="24"/>
        </w:rPr>
        <w:t>六、磋商保证金</w:t>
      </w:r>
      <w:bookmarkEnd w:id="95"/>
      <w:bookmarkEnd w:id="96"/>
      <w:bookmarkEnd w:id="97"/>
      <w:bookmarkEnd w:id="98"/>
      <w:bookmarkEnd w:id="99"/>
      <w:bookmarkEnd w:id="100"/>
      <w:bookmarkEnd w:id="101"/>
    </w:p>
    <w:p>
      <w:pPr>
        <w:jc w:val="center"/>
        <w:rPr>
          <w:rFonts w:hint="eastAsia" w:ascii="宋体" w:hAnsi="宋体" w:eastAsia="宋体" w:cs="宋体"/>
          <w:color w:val="auto"/>
          <w:sz w:val="24"/>
        </w:rPr>
      </w:pPr>
    </w:p>
    <w:p>
      <w:pPr>
        <w:jc w:val="center"/>
        <w:rPr>
          <w:rFonts w:hint="eastAsia" w:ascii="宋体" w:hAnsi="宋体" w:eastAsia="宋体" w:cs="宋体"/>
          <w:b/>
          <w:bCs/>
          <w:color w:val="auto"/>
          <w:sz w:val="24"/>
        </w:rPr>
      </w:pPr>
      <w:r>
        <w:rPr>
          <w:rFonts w:hint="eastAsia" w:ascii="宋体" w:hAnsi="宋体" w:eastAsia="宋体" w:cs="宋体"/>
          <w:b/>
          <w:bCs/>
          <w:color w:val="auto"/>
          <w:sz w:val="24"/>
        </w:rPr>
        <w:t>（一）以转账形式提交磋商担保的附以下证明材料</w:t>
      </w:r>
    </w:p>
    <w:p>
      <w:pPr>
        <w:jc w:val="center"/>
        <w:rPr>
          <w:rFonts w:hint="eastAsia" w:ascii="宋体" w:hAnsi="宋体" w:eastAsia="宋体" w:cs="宋体"/>
          <w:b/>
          <w:bCs/>
          <w:color w:val="auto"/>
          <w:sz w:val="24"/>
        </w:rPr>
      </w:pPr>
    </w:p>
    <w:p>
      <w:pPr>
        <w:spacing w:line="600" w:lineRule="auto"/>
        <w:ind w:firstLine="1680" w:firstLineChars="700"/>
        <w:jc w:val="both"/>
        <w:rPr>
          <w:rFonts w:hint="eastAsia" w:ascii="宋体" w:hAnsi="宋体" w:eastAsia="宋体" w:cs="宋体"/>
          <w:b w:val="0"/>
          <w:bCs w:val="0"/>
          <w:color w:val="auto"/>
          <w:sz w:val="24"/>
          <w:lang w:val="en-US" w:eastAsia="zh-CN"/>
        </w:rPr>
      </w:pPr>
      <w:r>
        <w:rPr>
          <w:rFonts w:hint="eastAsia" w:ascii="宋体" w:hAnsi="宋体" w:eastAsia="宋体" w:cs="宋体"/>
          <w:b w:val="0"/>
          <w:bCs w:val="0"/>
          <w:color w:val="auto"/>
          <w:sz w:val="24"/>
          <w:lang w:val="en-US" w:eastAsia="zh-CN"/>
        </w:rPr>
        <w:t>6</w:t>
      </w:r>
      <w:r>
        <w:rPr>
          <w:rFonts w:hint="eastAsia" w:ascii="宋体" w:hAnsi="宋体" w:eastAsia="宋体" w:cs="宋体"/>
          <w:b w:val="0"/>
          <w:bCs w:val="0"/>
          <w:color w:val="auto"/>
          <w:sz w:val="24"/>
        </w:rPr>
        <w:t>.1银行转账凭复印件</w:t>
      </w:r>
    </w:p>
    <w:p>
      <w:pPr>
        <w:spacing w:line="600" w:lineRule="auto"/>
        <w:ind w:firstLine="1680" w:firstLineChars="700"/>
        <w:jc w:val="both"/>
        <w:rPr>
          <w:rFonts w:hint="eastAsia" w:ascii="宋体" w:hAnsi="宋体" w:eastAsia="宋体" w:cs="宋体"/>
          <w:b w:val="0"/>
          <w:bCs w:val="0"/>
          <w:color w:val="auto"/>
          <w:sz w:val="24"/>
        </w:rPr>
      </w:pPr>
      <w:r>
        <w:rPr>
          <w:rFonts w:hint="eastAsia" w:ascii="宋体" w:hAnsi="宋体" w:eastAsia="宋体" w:cs="宋体"/>
          <w:b w:val="0"/>
          <w:bCs w:val="0"/>
          <w:color w:val="auto"/>
          <w:sz w:val="24"/>
          <w:lang w:val="en-US" w:eastAsia="zh-CN"/>
        </w:rPr>
        <w:t>6</w:t>
      </w:r>
      <w:r>
        <w:rPr>
          <w:rFonts w:hint="eastAsia" w:ascii="宋体" w:hAnsi="宋体" w:eastAsia="宋体" w:cs="宋体"/>
          <w:b w:val="0"/>
          <w:bCs w:val="0"/>
          <w:color w:val="auto"/>
          <w:sz w:val="24"/>
        </w:rPr>
        <w:t>.2采购代理机构出具的</w:t>
      </w:r>
      <w:r>
        <w:rPr>
          <w:rFonts w:hint="eastAsia" w:ascii="宋体" w:hAnsi="宋体" w:eastAsia="宋体" w:cs="宋体"/>
          <w:b w:val="0"/>
          <w:bCs w:val="0"/>
          <w:color w:val="auto"/>
          <w:sz w:val="24"/>
          <w:lang w:eastAsia="zh-CN"/>
        </w:rPr>
        <w:t>磋商</w:t>
      </w:r>
      <w:r>
        <w:rPr>
          <w:rFonts w:hint="eastAsia" w:ascii="宋体" w:hAnsi="宋体" w:eastAsia="宋体" w:cs="宋体"/>
          <w:b w:val="0"/>
          <w:bCs w:val="0"/>
          <w:color w:val="auto"/>
          <w:sz w:val="24"/>
        </w:rPr>
        <w:t>保证金收据复印件</w:t>
      </w:r>
    </w:p>
    <w:p>
      <w:pPr>
        <w:spacing w:line="600" w:lineRule="auto"/>
        <w:ind w:firstLine="1680" w:firstLineChars="700"/>
        <w:jc w:val="both"/>
        <w:rPr>
          <w:rFonts w:hint="eastAsia" w:ascii="宋体" w:hAnsi="宋体" w:eastAsia="宋体" w:cs="宋体"/>
          <w:b w:val="0"/>
          <w:bCs w:val="0"/>
          <w:color w:val="auto"/>
          <w:sz w:val="24"/>
        </w:rPr>
      </w:pPr>
      <w:r>
        <w:rPr>
          <w:rFonts w:hint="eastAsia" w:ascii="宋体" w:hAnsi="宋体" w:eastAsia="宋体" w:cs="宋体"/>
          <w:b w:val="0"/>
          <w:bCs w:val="0"/>
          <w:color w:val="auto"/>
          <w:sz w:val="24"/>
          <w:lang w:val="en-US" w:eastAsia="zh-CN"/>
        </w:rPr>
        <w:t>6.3</w:t>
      </w:r>
      <w:r>
        <w:rPr>
          <w:rFonts w:hint="eastAsia" w:ascii="宋体" w:hAnsi="宋体" w:eastAsia="宋体" w:cs="宋体"/>
          <w:b w:val="0"/>
          <w:bCs w:val="0"/>
          <w:color w:val="auto"/>
          <w:sz w:val="24"/>
        </w:rPr>
        <w:t>基本账户开户许可证</w:t>
      </w:r>
      <w:r>
        <w:rPr>
          <w:rFonts w:hint="eastAsia" w:ascii="宋体" w:hAnsi="宋体" w:eastAsia="宋体" w:cs="宋体"/>
          <w:b w:val="0"/>
          <w:bCs w:val="0"/>
          <w:color w:val="auto"/>
          <w:sz w:val="24"/>
          <w:lang w:eastAsia="zh-CN"/>
        </w:rPr>
        <w:t>或基本账户开户证明</w:t>
      </w:r>
      <w:r>
        <w:rPr>
          <w:rFonts w:hint="eastAsia" w:ascii="宋体" w:hAnsi="宋体" w:eastAsia="宋体" w:cs="宋体"/>
          <w:b w:val="0"/>
          <w:bCs w:val="0"/>
          <w:color w:val="auto"/>
          <w:sz w:val="24"/>
        </w:rPr>
        <w:t>复印件</w:t>
      </w:r>
    </w:p>
    <w:p>
      <w:pPr>
        <w:pStyle w:val="13"/>
        <w:jc w:val="center"/>
        <w:rPr>
          <w:rFonts w:hint="eastAsia" w:ascii="宋体" w:hAnsi="宋体" w:eastAsia="宋体" w:cs="宋体"/>
          <w:color w:val="auto"/>
          <w:sz w:val="24"/>
        </w:rPr>
      </w:pPr>
    </w:p>
    <w:p>
      <w:pPr>
        <w:jc w:val="center"/>
        <w:rPr>
          <w:rFonts w:hint="eastAsia" w:ascii="宋体" w:hAnsi="宋体" w:eastAsia="宋体" w:cs="宋体"/>
          <w:b/>
          <w:bCs/>
          <w:color w:val="auto"/>
          <w:sz w:val="24"/>
        </w:rPr>
      </w:pPr>
    </w:p>
    <w:p>
      <w:pPr>
        <w:jc w:val="center"/>
        <w:rPr>
          <w:rFonts w:hint="eastAsia" w:ascii="宋体" w:hAnsi="宋体" w:eastAsia="宋体" w:cs="宋体"/>
          <w:b/>
          <w:bCs/>
          <w:color w:val="auto"/>
          <w:sz w:val="24"/>
        </w:rPr>
      </w:pPr>
    </w:p>
    <w:p>
      <w:pPr>
        <w:jc w:val="center"/>
        <w:rPr>
          <w:rFonts w:hint="eastAsia" w:ascii="宋体" w:hAnsi="宋体" w:eastAsia="宋体" w:cs="宋体"/>
          <w:b/>
          <w:bCs/>
          <w:color w:val="auto"/>
          <w:sz w:val="24"/>
        </w:rPr>
      </w:pPr>
    </w:p>
    <w:p>
      <w:pPr>
        <w:numPr>
          <w:ilvl w:val="0"/>
          <w:numId w:val="7"/>
        </w:numPr>
        <w:jc w:val="center"/>
        <w:rPr>
          <w:rFonts w:hint="eastAsia" w:ascii="宋体" w:hAnsi="宋体" w:eastAsia="宋体" w:cs="宋体"/>
          <w:b/>
          <w:bCs/>
          <w:color w:val="auto"/>
          <w:sz w:val="24"/>
          <w:lang w:eastAsia="zh-CN"/>
        </w:rPr>
      </w:pPr>
      <w:r>
        <w:rPr>
          <w:rFonts w:hint="eastAsia" w:ascii="宋体" w:hAnsi="宋体" w:eastAsia="宋体" w:cs="宋体"/>
          <w:b/>
          <w:bCs/>
          <w:color w:val="auto"/>
          <w:sz w:val="24"/>
        </w:rPr>
        <w:t>以保函形式提交磋商担保的提供担保机构出具的保函复印件</w:t>
      </w:r>
      <w:r>
        <w:rPr>
          <w:rFonts w:hint="eastAsia" w:ascii="宋体" w:hAnsi="宋体" w:eastAsia="宋体" w:cs="宋体"/>
          <w:b/>
          <w:bCs/>
          <w:color w:val="auto"/>
          <w:sz w:val="24"/>
          <w:lang w:eastAsia="zh-CN"/>
        </w:rPr>
        <w:t>（原件备查）</w:t>
      </w:r>
    </w:p>
    <w:p>
      <w:pPr>
        <w:pStyle w:val="2"/>
        <w:numPr>
          <w:ilvl w:val="0"/>
          <w:numId w:val="0"/>
        </w:numPr>
        <w:ind w:firstLine="1200" w:firstLineChars="500"/>
        <w:rPr>
          <w:rFonts w:hint="eastAsia" w:ascii="宋体" w:hAnsi="宋体" w:eastAsia="宋体" w:cs="宋体"/>
          <w:color w:val="auto"/>
          <w:sz w:val="24"/>
          <w:szCs w:val="24"/>
          <w:lang w:eastAsia="zh-CN"/>
        </w:rPr>
      </w:pPr>
    </w:p>
    <w:p>
      <w:pPr>
        <w:pStyle w:val="2"/>
        <w:numPr>
          <w:ilvl w:val="0"/>
          <w:numId w:val="0"/>
        </w:numPr>
        <w:ind w:firstLine="1200" w:firstLineChars="500"/>
        <w:rPr>
          <w:rFonts w:hint="eastAsia" w:ascii="宋体" w:hAnsi="宋体" w:eastAsia="宋体" w:cs="宋体"/>
          <w:lang w:eastAsia="zh-CN"/>
        </w:rPr>
      </w:pPr>
      <w:r>
        <w:rPr>
          <w:rFonts w:hint="eastAsia" w:ascii="宋体" w:hAnsi="宋体" w:eastAsia="宋体" w:cs="宋体"/>
          <w:color w:val="auto"/>
          <w:sz w:val="24"/>
          <w:szCs w:val="24"/>
          <w:lang w:eastAsia="zh-CN"/>
        </w:rPr>
        <w:t>注：</w:t>
      </w:r>
      <w:r>
        <w:rPr>
          <w:rFonts w:hint="eastAsia" w:ascii="宋体" w:hAnsi="宋体" w:eastAsia="宋体" w:cs="宋体"/>
          <w:color w:val="auto"/>
          <w:sz w:val="24"/>
          <w:szCs w:val="24"/>
        </w:rPr>
        <w:t>以银行转账或者金融机构、担保机构出具的保函等非现金形式。</w:t>
      </w:r>
    </w:p>
    <w:p>
      <w:pPr>
        <w:pStyle w:val="13"/>
        <w:rPr>
          <w:rFonts w:hint="eastAsia" w:ascii="宋体" w:hAnsi="宋体" w:eastAsia="宋体" w:cs="宋体"/>
          <w:color w:val="auto"/>
          <w:sz w:val="24"/>
        </w:rPr>
      </w:pPr>
    </w:p>
    <w:p>
      <w:pPr>
        <w:spacing w:before="240" w:beforeLines="100" w:after="120" w:afterLines="50"/>
        <w:jc w:val="center"/>
        <w:rPr>
          <w:rFonts w:hint="eastAsia" w:ascii="宋体" w:hAnsi="宋体" w:eastAsia="宋体" w:cs="宋体"/>
          <w:b/>
          <w:color w:val="auto"/>
          <w:sz w:val="24"/>
        </w:rPr>
      </w:pPr>
    </w:p>
    <w:p>
      <w:pPr>
        <w:autoSpaceDE w:val="0"/>
        <w:autoSpaceDN w:val="0"/>
        <w:adjustRightInd w:val="0"/>
        <w:spacing w:line="360" w:lineRule="auto"/>
        <w:jc w:val="center"/>
        <w:rPr>
          <w:rFonts w:hint="eastAsia" w:ascii="宋体" w:hAnsi="宋体" w:eastAsia="宋体" w:cs="宋体"/>
          <w:b/>
          <w:bCs/>
          <w:color w:val="auto"/>
          <w:sz w:val="24"/>
          <w:lang w:val="zh-CN"/>
        </w:rPr>
      </w:pPr>
    </w:p>
    <w:p>
      <w:pPr>
        <w:pStyle w:val="13"/>
        <w:rPr>
          <w:rFonts w:hint="eastAsia" w:ascii="宋体" w:hAnsi="宋体" w:eastAsia="宋体" w:cs="宋体"/>
          <w:color w:val="auto"/>
          <w:lang w:val="zh-CN"/>
        </w:rPr>
      </w:pPr>
    </w:p>
    <w:p>
      <w:pPr>
        <w:rPr>
          <w:rFonts w:hint="eastAsia" w:ascii="宋体" w:hAnsi="宋体" w:eastAsia="宋体" w:cs="宋体"/>
          <w:color w:val="auto"/>
          <w:lang w:val="zh-CN"/>
        </w:rPr>
      </w:pPr>
    </w:p>
    <w:p>
      <w:pPr>
        <w:pStyle w:val="13"/>
        <w:rPr>
          <w:rFonts w:hint="eastAsia" w:ascii="宋体" w:hAnsi="宋体" w:eastAsia="宋体" w:cs="宋体"/>
          <w:color w:val="auto"/>
          <w:lang w:val="zh-CN"/>
        </w:rPr>
      </w:pPr>
    </w:p>
    <w:p>
      <w:pPr>
        <w:rPr>
          <w:rFonts w:hint="eastAsia" w:ascii="宋体" w:hAnsi="宋体" w:eastAsia="宋体" w:cs="宋体"/>
          <w:color w:val="auto"/>
          <w:lang w:val="zh-CN"/>
        </w:rPr>
      </w:pPr>
    </w:p>
    <w:p>
      <w:pPr>
        <w:pStyle w:val="13"/>
        <w:rPr>
          <w:rFonts w:hint="eastAsia" w:ascii="宋体" w:hAnsi="宋体" w:eastAsia="宋体" w:cs="宋体"/>
          <w:color w:val="auto"/>
          <w:lang w:val="zh-CN"/>
        </w:rPr>
      </w:pPr>
    </w:p>
    <w:p>
      <w:pPr>
        <w:rPr>
          <w:rFonts w:hint="eastAsia" w:ascii="宋体" w:hAnsi="宋体" w:eastAsia="宋体" w:cs="宋体"/>
          <w:color w:val="auto"/>
          <w:lang w:val="zh-CN"/>
        </w:rPr>
      </w:pPr>
    </w:p>
    <w:p>
      <w:pPr>
        <w:pStyle w:val="13"/>
        <w:rPr>
          <w:rFonts w:hint="eastAsia" w:ascii="宋体" w:hAnsi="宋体" w:eastAsia="宋体" w:cs="宋体"/>
          <w:color w:val="auto"/>
          <w:lang w:val="zh-CN"/>
        </w:rPr>
      </w:pPr>
    </w:p>
    <w:p>
      <w:pPr>
        <w:rPr>
          <w:rFonts w:hint="eastAsia" w:ascii="宋体" w:hAnsi="宋体" w:eastAsia="宋体" w:cs="宋体"/>
          <w:color w:val="auto"/>
          <w:lang w:val="zh-CN"/>
        </w:rPr>
      </w:pPr>
    </w:p>
    <w:p>
      <w:pPr>
        <w:pStyle w:val="13"/>
        <w:rPr>
          <w:rFonts w:hint="eastAsia" w:ascii="宋体" w:hAnsi="宋体" w:eastAsia="宋体" w:cs="宋体"/>
          <w:color w:val="auto"/>
          <w:lang w:val="zh-CN"/>
        </w:rPr>
      </w:pPr>
    </w:p>
    <w:p>
      <w:pPr>
        <w:rPr>
          <w:rFonts w:hint="eastAsia" w:ascii="宋体" w:hAnsi="宋体" w:eastAsia="宋体" w:cs="宋体"/>
          <w:color w:val="auto"/>
          <w:lang w:val="zh-CN"/>
        </w:rPr>
      </w:pPr>
    </w:p>
    <w:p>
      <w:pPr>
        <w:pStyle w:val="13"/>
        <w:rPr>
          <w:rFonts w:hint="eastAsia" w:ascii="宋体" w:hAnsi="宋体" w:eastAsia="宋体" w:cs="宋体"/>
          <w:color w:val="auto"/>
          <w:lang w:val="zh-CN"/>
        </w:rPr>
      </w:pPr>
    </w:p>
    <w:p>
      <w:pPr>
        <w:rPr>
          <w:rFonts w:hint="eastAsia" w:ascii="宋体" w:hAnsi="宋体" w:eastAsia="宋体" w:cs="宋体"/>
          <w:color w:val="auto"/>
          <w:lang w:val="zh-CN"/>
        </w:rPr>
      </w:pPr>
    </w:p>
    <w:p>
      <w:pPr>
        <w:pStyle w:val="13"/>
        <w:rPr>
          <w:rFonts w:hint="eastAsia" w:ascii="宋体" w:hAnsi="宋体" w:eastAsia="宋体" w:cs="宋体"/>
          <w:color w:val="auto"/>
          <w:lang w:val="zh-CN"/>
        </w:rPr>
      </w:pPr>
    </w:p>
    <w:p>
      <w:pPr>
        <w:rPr>
          <w:rFonts w:hint="eastAsia" w:ascii="宋体" w:hAnsi="宋体" w:eastAsia="宋体" w:cs="宋体"/>
          <w:color w:val="auto"/>
          <w:lang w:val="zh-CN"/>
        </w:rPr>
      </w:pPr>
    </w:p>
    <w:p>
      <w:pPr>
        <w:pStyle w:val="13"/>
        <w:rPr>
          <w:rFonts w:hint="eastAsia" w:ascii="宋体" w:hAnsi="宋体" w:eastAsia="宋体" w:cs="宋体"/>
          <w:color w:val="auto"/>
          <w:lang w:val="zh-CN"/>
        </w:rPr>
      </w:pPr>
    </w:p>
    <w:p>
      <w:pPr>
        <w:rPr>
          <w:rFonts w:hint="eastAsia" w:ascii="宋体" w:hAnsi="宋体" w:eastAsia="宋体" w:cs="宋体"/>
          <w:color w:val="auto"/>
          <w:lang w:val="zh-CN"/>
        </w:rPr>
      </w:pPr>
    </w:p>
    <w:p>
      <w:pPr>
        <w:rPr>
          <w:rFonts w:hint="eastAsia" w:ascii="宋体" w:hAnsi="宋体" w:eastAsia="宋体" w:cs="宋体"/>
          <w:color w:val="auto"/>
          <w:lang w:val="zh-CN"/>
        </w:rPr>
      </w:pPr>
    </w:p>
    <w:p>
      <w:pPr>
        <w:pStyle w:val="5"/>
        <w:jc w:val="center"/>
        <w:rPr>
          <w:rFonts w:hint="eastAsia" w:ascii="宋体" w:hAnsi="宋体" w:eastAsia="宋体" w:cs="宋体"/>
          <w:bCs w:val="0"/>
          <w:color w:val="auto"/>
          <w:sz w:val="24"/>
          <w:szCs w:val="24"/>
        </w:rPr>
      </w:pPr>
      <w:bookmarkStart w:id="102" w:name="_Toc13384_WPSOffice_Level1"/>
      <w:bookmarkStart w:id="103" w:name="_Toc8829_WPSOffice_Level1"/>
      <w:bookmarkStart w:id="104" w:name="_Toc7507179"/>
      <w:bookmarkStart w:id="105" w:name="_Toc501033968"/>
      <w:bookmarkStart w:id="106" w:name="_Toc53231798"/>
      <w:bookmarkStart w:id="107" w:name="_Toc53231542"/>
      <w:bookmarkStart w:id="108" w:name="_Toc78884389"/>
      <w:bookmarkStart w:id="109" w:name="_Toc53231754"/>
      <w:r>
        <w:rPr>
          <w:rFonts w:hint="eastAsia" w:ascii="宋体" w:hAnsi="宋体" w:eastAsia="宋体" w:cs="宋体"/>
          <w:bCs w:val="0"/>
          <w:color w:val="auto"/>
          <w:sz w:val="24"/>
          <w:szCs w:val="24"/>
        </w:rPr>
        <w:t>七、供应商资质</w:t>
      </w:r>
      <w:bookmarkEnd w:id="102"/>
      <w:bookmarkEnd w:id="103"/>
      <w:bookmarkEnd w:id="104"/>
      <w:bookmarkEnd w:id="105"/>
      <w:r>
        <w:rPr>
          <w:rFonts w:hint="eastAsia" w:ascii="宋体" w:hAnsi="宋体" w:eastAsia="宋体" w:cs="宋体"/>
          <w:bCs w:val="0"/>
          <w:color w:val="auto"/>
          <w:sz w:val="24"/>
          <w:szCs w:val="24"/>
        </w:rPr>
        <w:t>审查资料</w:t>
      </w:r>
      <w:bookmarkEnd w:id="106"/>
      <w:bookmarkEnd w:id="107"/>
      <w:bookmarkEnd w:id="108"/>
      <w:bookmarkEnd w:id="109"/>
      <w:bookmarkStart w:id="110" w:name="_Toc53231799"/>
      <w:bookmarkStart w:id="111" w:name="_Toc53231543"/>
      <w:bookmarkStart w:id="112" w:name="_Toc53231755"/>
      <w:bookmarkStart w:id="113" w:name="_Toc15359"/>
    </w:p>
    <w:p>
      <w:pPr>
        <w:spacing w:line="440" w:lineRule="exact"/>
        <w:jc w:val="center"/>
        <w:rPr>
          <w:rFonts w:hint="eastAsia" w:ascii="宋体" w:hAnsi="宋体" w:eastAsia="宋体" w:cs="宋体"/>
          <w:b/>
          <w:color w:val="auto"/>
          <w:sz w:val="24"/>
        </w:rPr>
      </w:pPr>
      <w:r>
        <w:rPr>
          <w:rFonts w:hint="eastAsia" w:ascii="宋体" w:hAnsi="宋体" w:eastAsia="宋体" w:cs="宋体"/>
          <w:b/>
          <w:color w:val="auto"/>
          <w:sz w:val="24"/>
        </w:rPr>
        <w:t>（一）</w:t>
      </w:r>
      <w:r>
        <w:rPr>
          <w:rFonts w:hint="eastAsia" w:ascii="宋体" w:hAnsi="宋体" w:eastAsia="宋体" w:cs="宋体"/>
          <w:b/>
          <w:color w:val="auto"/>
          <w:sz w:val="24"/>
          <w:lang w:eastAsia="zh-CN"/>
        </w:rPr>
        <w:t>磋商供应商</w:t>
      </w:r>
      <w:r>
        <w:rPr>
          <w:rFonts w:hint="eastAsia" w:ascii="宋体" w:hAnsi="宋体" w:eastAsia="宋体" w:cs="宋体"/>
          <w:b/>
          <w:color w:val="auto"/>
          <w:sz w:val="24"/>
        </w:rPr>
        <w:t>基本情况表</w:t>
      </w:r>
      <w:bookmarkEnd w:id="110"/>
      <w:bookmarkEnd w:id="111"/>
      <w:bookmarkEnd w:id="112"/>
      <w:bookmarkEnd w:id="113"/>
    </w:p>
    <w:tbl>
      <w:tblPr>
        <w:tblStyle w:val="2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13"/>
        <w:gridCol w:w="937"/>
        <w:gridCol w:w="1419"/>
        <w:gridCol w:w="1068"/>
        <w:gridCol w:w="200"/>
        <w:gridCol w:w="1399"/>
        <w:gridCol w:w="18"/>
        <w:gridCol w:w="161"/>
        <w:gridCol w:w="536"/>
        <w:gridCol w:w="11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trPr>
        <w:tc>
          <w:tcPr>
            <w:tcW w:w="2013" w:type="dxa"/>
            <w:vAlign w:val="center"/>
          </w:tcPr>
          <w:p>
            <w:pPr>
              <w:spacing w:line="440" w:lineRule="exact"/>
              <w:jc w:val="center"/>
              <w:rPr>
                <w:rFonts w:hint="eastAsia" w:ascii="宋体" w:hAnsi="宋体" w:eastAsia="宋体" w:cs="宋体"/>
                <w:color w:val="auto"/>
                <w:sz w:val="24"/>
              </w:rPr>
            </w:pPr>
            <w:r>
              <w:rPr>
                <w:rFonts w:hint="eastAsia" w:ascii="宋体" w:hAnsi="宋体" w:eastAsia="宋体" w:cs="宋体"/>
                <w:color w:val="auto"/>
                <w:sz w:val="24"/>
                <w:lang w:eastAsia="zh-CN"/>
              </w:rPr>
              <w:t>磋商供应商</w:t>
            </w:r>
            <w:r>
              <w:rPr>
                <w:rFonts w:hint="eastAsia" w:ascii="宋体" w:hAnsi="宋体" w:eastAsia="宋体" w:cs="宋体"/>
                <w:color w:val="auto"/>
                <w:sz w:val="24"/>
              </w:rPr>
              <w:t>名称</w:t>
            </w:r>
          </w:p>
        </w:tc>
        <w:tc>
          <w:tcPr>
            <w:tcW w:w="6877" w:type="dxa"/>
            <w:gridSpan w:val="9"/>
          </w:tcPr>
          <w:p>
            <w:pPr>
              <w:spacing w:line="440" w:lineRule="exact"/>
              <w:jc w:val="center"/>
              <w:rPr>
                <w:rFonts w:hint="eastAsia" w:ascii="宋体" w:hAnsi="宋体" w:eastAsia="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trPr>
        <w:tc>
          <w:tcPr>
            <w:tcW w:w="2013" w:type="dxa"/>
            <w:vAlign w:val="center"/>
          </w:tcPr>
          <w:p>
            <w:pPr>
              <w:spacing w:line="440" w:lineRule="exact"/>
              <w:jc w:val="center"/>
              <w:rPr>
                <w:rFonts w:hint="eastAsia" w:ascii="宋体" w:hAnsi="宋体" w:eastAsia="宋体" w:cs="宋体"/>
                <w:color w:val="auto"/>
                <w:sz w:val="24"/>
              </w:rPr>
            </w:pPr>
            <w:r>
              <w:rPr>
                <w:rFonts w:hint="eastAsia" w:ascii="宋体" w:hAnsi="宋体" w:eastAsia="宋体" w:cs="宋体"/>
                <w:color w:val="auto"/>
                <w:sz w:val="24"/>
              </w:rPr>
              <w:t>注册地址</w:t>
            </w:r>
          </w:p>
        </w:tc>
        <w:tc>
          <w:tcPr>
            <w:tcW w:w="3624" w:type="dxa"/>
            <w:gridSpan w:val="4"/>
            <w:vAlign w:val="center"/>
          </w:tcPr>
          <w:p>
            <w:pPr>
              <w:spacing w:line="440" w:lineRule="exact"/>
              <w:jc w:val="center"/>
              <w:rPr>
                <w:rFonts w:hint="eastAsia" w:ascii="宋体" w:hAnsi="宋体" w:eastAsia="宋体" w:cs="宋体"/>
                <w:color w:val="auto"/>
                <w:sz w:val="24"/>
              </w:rPr>
            </w:pPr>
          </w:p>
        </w:tc>
        <w:tc>
          <w:tcPr>
            <w:tcW w:w="1417" w:type="dxa"/>
            <w:gridSpan w:val="2"/>
            <w:vAlign w:val="center"/>
          </w:tcPr>
          <w:p>
            <w:pPr>
              <w:spacing w:line="440" w:lineRule="exact"/>
              <w:jc w:val="center"/>
              <w:rPr>
                <w:rFonts w:hint="eastAsia" w:ascii="宋体" w:hAnsi="宋体" w:eastAsia="宋体" w:cs="宋体"/>
                <w:color w:val="auto"/>
                <w:sz w:val="24"/>
              </w:rPr>
            </w:pPr>
            <w:r>
              <w:rPr>
                <w:rFonts w:hint="eastAsia" w:ascii="宋体" w:hAnsi="宋体" w:eastAsia="宋体" w:cs="宋体"/>
                <w:color w:val="auto"/>
                <w:sz w:val="24"/>
              </w:rPr>
              <w:t>邮政编码</w:t>
            </w:r>
          </w:p>
        </w:tc>
        <w:tc>
          <w:tcPr>
            <w:tcW w:w="1836" w:type="dxa"/>
            <w:gridSpan w:val="3"/>
            <w:vAlign w:val="center"/>
          </w:tcPr>
          <w:p>
            <w:pPr>
              <w:spacing w:line="440" w:lineRule="exact"/>
              <w:jc w:val="center"/>
              <w:rPr>
                <w:rFonts w:hint="eastAsia" w:ascii="宋体" w:hAnsi="宋体" w:eastAsia="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013" w:type="dxa"/>
            <w:vMerge w:val="restart"/>
            <w:vAlign w:val="center"/>
          </w:tcPr>
          <w:p>
            <w:pPr>
              <w:spacing w:line="440" w:lineRule="exact"/>
              <w:jc w:val="center"/>
              <w:rPr>
                <w:rFonts w:hint="eastAsia" w:ascii="宋体" w:hAnsi="宋体" w:eastAsia="宋体" w:cs="宋体"/>
                <w:color w:val="auto"/>
                <w:sz w:val="24"/>
              </w:rPr>
            </w:pPr>
            <w:r>
              <w:rPr>
                <w:rFonts w:hint="eastAsia" w:ascii="宋体" w:hAnsi="宋体" w:eastAsia="宋体" w:cs="宋体"/>
                <w:color w:val="auto"/>
                <w:sz w:val="24"/>
              </w:rPr>
              <w:t>联系方式</w:t>
            </w:r>
          </w:p>
        </w:tc>
        <w:tc>
          <w:tcPr>
            <w:tcW w:w="937" w:type="dxa"/>
            <w:vAlign w:val="center"/>
          </w:tcPr>
          <w:p>
            <w:pPr>
              <w:spacing w:line="440" w:lineRule="exact"/>
              <w:jc w:val="center"/>
              <w:rPr>
                <w:rFonts w:hint="eastAsia" w:ascii="宋体" w:hAnsi="宋体" w:eastAsia="宋体" w:cs="宋体"/>
                <w:color w:val="auto"/>
                <w:sz w:val="24"/>
              </w:rPr>
            </w:pPr>
            <w:r>
              <w:rPr>
                <w:rFonts w:hint="eastAsia" w:ascii="宋体" w:hAnsi="宋体" w:eastAsia="宋体" w:cs="宋体"/>
                <w:color w:val="auto"/>
                <w:sz w:val="24"/>
              </w:rPr>
              <w:t>联系人</w:t>
            </w:r>
          </w:p>
        </w:tc>
        <w:tc>
          <w:tcPr>
            <w:tcW w:w="2687" w:type="dxa"/>
            <w:gridSpan w:val="3"/>
            <w:vAlign w:val="center"/>
          </w:tcPr>
          <w:p>
            <w:pPr>
              <w:spacing w:line="440" w:lineRule="exact"/>
              <w:jc w:val="center"/>
              <w:rPr>
                <w:rFonts w:hint="eastAsia" w:ascii="宋体" w:hAnsi="宋体" w:eastAsia="宋体" w:cs="宋体"/>
                <w:color w:val="auto"/>
                <w:sz w:val="24"/>
              </w:rPr>
            </w:pPr>
          </w:p>
        </w:tc>
        <w:tc>
          <w:tcPr>
            <w:tcW w:w="1417" w:type="dxa"/>
            <w:gridSpan w:val="2"/>
            <w:vAlign w:val="center"/>
          </w:tcPr>
          <w:p>
            <w:pPr>
              <w:spacing w:line="440" w:lineRule="exact"/>
              <w:jc w:val="center"/>
              <w:rPr>
                <w:rFonts w:hint="eastAsia" w:ascii="宋体" w:hAnsi="宋体" w:eastAsia="宋体" w:cs="宋体"/>
                <w:color w:val="auto"/>
                <w:sz w:val="24"/>
              </w:rPr>
            </w:pPr>
            <w:r>
              <w:rPr>
                <w:rFonts w:hint="eastAsia" w:ascii="宋体" w:hAnsi="宋体" w:eastAsia="宋体" w:cs="宋体"/>
                <w:color w:val="auto"/>
                <w:sz w:val="24"/>
              </w:rPr>
              <w:t>电　　话</w:t>
            </w:r>
          </w:p>
        </w:tc>
        <w:tc>
          <w:tcPr>
            <w:tcW w:w="1836" w:type="dxa"/>
            <w:gridSpan w:val="3"/>
            <w:vAlign w:val="center"/>
          </w:tcPr>
          <w:p>
            <w:pPr>
              <w:spacing w:line="440" w:lineRule="exact"/>
              <w:jc w:val="center"/>
              <w:rPr>
                <w:rFonts w:hint="eastAsia" w:ascii="宋体" w:hAnsi="宋体" w:eastAsia="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trPr>
        <w:tc>
          <w:tcPr>
            <w:tcW w:w="2013" w:type="dxa"/>
            <w:vMerge w:val="continue"/>
            <w:vAlign w:val="center"/>
          </w:tcPr>
          <w:p>
            <w:pPr>
              <w:spacing w:line="440" w:lineRule="exact"/>
              <w:jc w:val="center"/>
              <w:rPr>
                <w:rFonts w:hint="eastAsia" w:ascii="宋体" w:hAnsi="宋体" w:eastAsia="宋体" w:cs="宋体"/>
                <w:color w:val="auto"/>
                <w:sz w:val="24"/>
              </w:rPr>
            </w:pPr>
          </w:p>
        </w:tc>
        <w:tc>
          <w:tcPr>
            <w:tcW w:w="937" w:type="dxa"/>
            <w:vAlign w:val="center"/>
          </w:tcPr>
          <w:p>
            <w:pPr>
              <w:spacing w:line="440" w:lineRule="exact"/>
              <w:jc w:val="center"/>
              <w:rPr>
                <w:rFonts w:hint="eastAsia" w:ascii="宋体" w:hAnsi="宋体" w:eastAsia="宋体" w:cs="宋体"/>
                <w:color w:val="auto"/>
                <w:sz w:val="24"/>
              </w:rPr>
            </w:pPr>
            <w:r>
              <w:rPr>
                <w:rFonts w:hint="eastAsia" w:ascii="宋体" w:hAnsi="宋体" w:eastAsia="宋体" w:cs="宋体"/>
                <w:color w:val="auto"/>
                <w:sz w:val="24"/>
              </w:rPr>
              <w:t>传　真</w:t>
            </w:r>
          </w:p>
        </w:tc>
        <w:tc>
          <w:tcPr>
            <w:tcW w:w="2687" w:type="dxa"/>
            <w:gridSpan w:val="3"/>
            <w:vAlign w:val="center"/>
          </w:tcPr>
          <w:p>
            <w:pPr>
              <w:spacing w:line="440" w:lineRule="exact"/>
              <w:jc w:val="center"/>
              <w:rPr>
                <w:rFonts w:hint="eastAsia" w:ascii="宋体" w:hAnsi="宋体" w:eastAsia="宋体" w:cs="宋体"/>
                <w:color w:val="auto"/>
                <w:sz w:val="24"/>
              </w:rPr>
            </w:pPr>
          </w:p>
        </w:tc>
        <w:tc>
          <w:tcPr>
            <w:tcW w:w="1417" w:type="dxa"/>
            <w:gridSpan w:val="2"/>
            <w:vAlign w:val="center"/>
          </w:tcPr>
          <w:p>
            <w:pPr>
              <w:spacing w:line="440" w:lineRule="exact"/>
              <w:jc w:val="center"/>
              <w:rPr>
                <w:rFonts w:hint="eastAsia" w:ascii="宋体" w:hAnsi="宋体" w:eastAsia="宋体" w:cs="宋体"/>
                <w:color w:val="auto"/>
                <w:sz w:val="24"/>
              </w:rPr>
            </w:pPr>
            <w:r>
              <w:rPr>
                <w:rFonts w:hint="eastAsia" w:ascii="宋体" w:hAnsi="宋体" w:eastAsia="宋体" w:cs="宋体"/>
                <w:color w:val="auto"/>
                <w:sz w:val="24"/>
              </w:rPr>
              <w:t>电子邮件</w:t>
            </w:r>
          </w:p>
        </w:tc>
        <w:tc>
          <w:tcPr>
            <w:tcW w:w="1836" w:type="dxa"/>
            <w:gridSpan w:val="3"/>
            <w:vAlign w:val="center"/>
          </w:tcPr>
          <w:p>
            <w:pPr>
              <w:spacing w:line="440" w:lineRule="exact"/>
              <w:jc w:val="center"/>
              <w:rPr>
                <w:rFonts w:hint="eastAsia" w:ascii="宋体" w:hAnsi="宋体" w:eastAsia="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013" w:type="dxa"/>
            <w:vAlign w:val="center"/>
          </w:tcPr>
          <w:p>
            <w:pPr>
              <w:spacing w:line="440" w:lineRule="exact"/>
              <w:jc w:val="center"/>
              <w:rPr>
                <w:rFonts w:hint="eastAsia" w:ascii="宋体" w:hAnsi="宋体" w:eastAsia="宋体" w:cs="宋体"/>
                <w:color w:val="auto"/>
                <w:sz w:val="24"/>
              </w:rPr>
            </w:pPr>
            <w:r>
              <w:rPr>
                <w:rFonts w:hint="eastAsia" w:ascii="宋体" w:hAnsi="宋体" w:eastAsia="宋体" w:cs="宋体"/>
                <w:color w:val="auto"/>
                <w:sz w:val="24"/>
              </w:rPr>
              <w:t>法定代表人</w:t>
            </w:r>
          </w:p>
        </w:tc>
        <w:tc>
          <w:tcPr>
            <w:tcW w:w="937" w:type="dxa"/>
            <w:vAlign w:val="center"/>
          </w:tcPr>
          <w:p>
            <w:pPr>
              <w:spacing w:line="440" w:lineRule="exact"/>
              <w:jc w:val="center"/>
              <w:rPr>
                <w:rFonts w:hint="eastAsia" w:ascii="宋体" w:hAnsi="宋体" w:eastAsia="宋体" w:cs="宋体"/>
                <w:color w:val="auto"/>
                <w:sz w:val="24"/>
              </w:rPr>
            </w:pPr>
            <w:r>
              <w:rPr>
                <w:rFonts w:hint="eastAsia" w:ascii="宋体" w:hAnsi="宋体" w:eastAsia="宋体" w:cs="宋体"/>
                <w:color w:val="auto"/>
                <w:sz w:val="24"/>
              </w:rPr>
              <w:t>姓　名</w:t>
            </w:r>
          </w:p>
        </w:tc>
        <w:tc>
          <w:tcPr>
            <w:tcW w:w="1419" w:type="dxa"/>
            <w:vAlign w:val="center"/>
          </w:tcPr>
          <w:p>
            <w:pPr>
              <w:spacing w:line="440" w:lineRule="exact"/>
              <w:jc w:val="center"/>
              <w:rPr>
                <w:rFonts w:hint="eastAsia" w:ascii="宋体" w:hAnsi="宋体" w:eastAsia="宋体" w:cs="宋体"/>
                <w:color w:val="auto"/>
                <w:sz w:val="24"/>
              </w:rPr>
            </w:pPr>
          </w:p>
        </w:tc>
        <w:tc>
          <w:tcPr>
            <w:tcW w:w="1268" w:type="dxa"/>
            <w:gridSpan w:val="2"/>
            <w:vAlign w:val="center"/>
          </w:tcPr>
          <w:p>
            <w:pPr>
              <w:spacing w:line="440" w:lineRule="exact"/>
              <w:jc w:val="center"/>
              <w:rPr>
                <w:rFonts w:hint="eastAsia" w:ascii="宋体" w:hAnsi="宋体" w:eastAsia="宋体" w:cs="宋体"/>
                <w:color w:val="auto"/>
                <w:sz w:val="24"/>
              </w:rPr>
            </w:pPr>
            <w:r>
              <w:rPr>
                <w:rFonts w:hint="eastAsia" w:ascii="宋体" w:hAnsi="宋体" w:eastAsia="宋体" w:cs="宋体"/>
                <w:color w:val="auto"/>
                <w:sz w:val="24"/>
              </w:rPr>
              <w:t>技术职称</w:t>
            </w:r>
          </w:p>
        </w:tc>
        <w:tc>
          <w:tcPr>
            <w:tcW w:w="1399" w:type="dxa"/>
            <w:vAlign w:val="center"/>
          </w:tcPr>
          <w:p>
            <w:pPr>
              <w:spacing w:line="440" w:lineRule="exact"/>
              <w:jc w:val="center"/>
              <w:rPr>
                <w:rFonts w:hint="eastAsia" w:ascii="宋体" w:hAnsi="宋体" w:eastAsia="宋体" w:cs="宋体"/>
                <w:color w:val="auto"/>
                <w:sz w:val="24"/>
              </w:rPr>
            </w:pPr>
          </w:p>
        </w:tc>
        <w:tc>
          <w:tcPr>
            <w:tcW w:w="715" w:type="dxa"/>
            <w:gridSpan w:val="3"/>
            <w:vAlign w:val="center"/>
          </w:tcPr>
          <w:p>
            <w:pPr>
              <w:spacing w:line="440" w:lineRule="exact"/>
              <w:jc w:val="center"/>
              <w:rPr>
                <w:rFonts w:hint="eastAsia" w:ascii="宋体" w:hAnsi="宋体" w:eastAsia="宋体" w:cs="宋体"/>
                <w:color w:val="auto"/>
                <w:sz w:val="24"/>
              </w:rPr>
            </w:pPr>
            <w:r>
              <w:rPr>
                <w:rFonts w:hint="eastAsia" w:ascii="宋体" w:hAnsi="宋体" w:eastAsia="宋体" w:cs="宋体"/>
                <w:color w:val="auto"/>
                <w:sz w:val="24"/>
              </w:rPr>
              <w:t>电话</w:t>
            </w:r>
          </w:p>
        </w:tc>
        <w:tc>
          <w:tcPr>
            <w:tcW w:w="1139" w:type="dxa"/>
            <w:vAlign w:val="center"/>
          </w:tcPr>
          <w:p>
            <w:pPr>
              <w:spacing w:line="440" w:lineRule="exact"/>
              <w:jc w:val="center"/>
              <w:rPr>
                <w:rFonts w:hint="eastAsia" w:ascii="宋体" w:hAnsi="宋体" w:eastAsia="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013" w:type="dxa"/>
            <w:vAlign w:val="center"/>
          </w:tcPr>
          <w:p>
            <w:pPr>
              <w:spacing w:line="440" w:lineRule="exact"/>
              <w:jc w:val="center"/>
              <w:rPr>
                <w:rFonts w:hint="eastAsia" w:ascii="宋体" w:hAnsi="宋体" w:eastAsia="宋体" w:cs="宋体"/>
                <w:color w:val="auto"/>
                <w:sz w:val="24"/>
              </w:rPr>
            </w:pPr>
            <w:r>
              <w:rPr>
                <w:rFonts w:hint="eastAsia" w:ascii="宋体" w:hAnsi="宋体" w:eastAsia="宋体" w:cs="宋体"/>
                <w:color w:val="auto"/>
                <w:sz w:val="24"/>
              </w:rPr>
              <w:t>技术负责人</w:t>
            </w:r>
          </w:p>
        </w:tc>
        <w:tc>
          <w:tcPr>
            <w:tcW w:w="937" w:type="dxa"/>
            <w:vAlign w:val="center"/>
          </w:tcPr>
          <w:p>
            <w:pPr>
              <w:spacing w:line="440" w:lineRule="exact"/>
              <w:jc w:val="center"/>
              <w:rPr>
                <w:rFonts w:hint="eastAsia" w:ascii="宋体" w:hAnsi="宋体" w:eastAsia="宋体" w:cs="宋体"/>
                <w:color w:val="auto"/>
                <w:sz w:val="24"/>
              </w:rPr>
            </w:pPr>
            <w:r>
              <w:rPr>
                <w:rFonts w:hint="eastAsia" w:ascii="宋体" w:hAnsi="宋体" w:eastAsia="宋体" w:cs="宋体"/>
                <w:color w:val="auto"/>
                <w:sz w:val="24"/>
              </w:rPr>
              <w:t>姓　名</w:t>
            </w:r>
          </w:p>
        </w:tc>
        <w:tc>
          <w:tcPr>
            <w:tcW w:w="1419" w:type="dxa"/>
            <w:vAlign w:val="center"/>
          </w:tcPr>
          <w:p>
            <w:pPr>
              <w:spacing w:line="440" w:lineRule="exact"/>
              <w:jc w:val="center"/>
              <w:rPr>
                <w:rFonts w:hint="eastAsia" w:ascii="宋体" w:hAnsi="宋体" w:eastAsia="宋体" w:cs="宋体"/>
                <w:color w:val="auto"/>
                <w:sz w:val="24"/>
              </w:rPr>
            </w:pPr>
          </w:p>
        </w:tc>
        <w:tc>
          <w:tcPr>
            <w:tcW w:w="1268" w:type="dxa"/>
            <w:gridSpan w:val="2"/>
            <w:vAlign w:val="center"/>
          </w:tcPr>
          <w:p>
            <w:pPr>
              <w:spacing w:line="440" w:lineRule="exact"/>
              <w:jc w:val="center"/>
              <w:rPr>
                <w:rFonts w:hint="eastAsia" w:ascii="宋体" w:hAnsi="宋体" w:eastAsia="宋体" w:cs="宋体"/>
                <w:color w:val="auto"/>
                <w:sz w:val="24"/>
              </w:rPr>
            </w:pPr>
            <w:r>
              <w:rPr>
                <w:rFonts w:hint="eastAsia" w:ascii="宋体" w:hAnsi="宋体" w:eastAsia="宋体" w:cs="宋体"/>
                <w:color w:val="auto"/>
                <w:sz w:val="24"/>
              </w:rPr>
              <w:t>技术职称</w:t>
            </w:r>
          </w:p>
        </w:tc>
        <w:tc>
          <w:tcPr>
            <w:tcW w:w="1399" w:type="dxa"/>
            <w:vAlign w:val="center"/>
          </w:tcPr>
          <w:p>
            <w:pPr>
              <w:spacing w:line="440" w:lineRule="exact"/>
              <w:jc w:val="center"/>
              <w:rPr>
                <w:rFonts w:hint="eastAsia" w:ascii="宋体" w:hAnsi="宋体" w:eastAsia="宋体" w:cs="宋体"/>
                <w:color w:val="auto"/>
                <w:sz w:val="24"/>
              </w:rPr>
            </w:pPr>
          </w:p>
        </w:tc>
        <w:tc>
          <w:tcPr>
            <w:tcW w:w="715" w:type="dxa"/>
            <w:gridSpan w:val="3"/>
            <w:vAlign w:val="center"/>
          </w:tcPr>
          <w:p>
            <w:pPr>
              <w:spacing w:line="440" w:lineRule="exact"/>
              <w:jc w:val="center"/>
              <w:rPr>
                <w:rFonts w:hint="eastAsia" w:ascii="宋体" w:hAnsi="宋体" w:eastAsia="宋体" w:cs="宋体"/>
                <w:color w:val="auto"/>
                <w:sz w:val="24"/>
              </w:rPr>
            </w:pPr>
            <w:r>
              <w:rPr>
                <w:rFonts w:hint="eastAsia" w:ascii="宋体" w:hAnsi="宋体" w:eastAsia="宋体" w:cs="宋体"/>
                <w:color w:val="auto"/>
                <w:sz w:val="24"/>
              </w:rPr>
              <w:t>电话</w:t>
            </w:r>
          </w:p>
        </w:tc>
        <w:tc>
          <w:tcPr>
            <w:tcW w:w="1139" w:type="dxa"/>
            <w:vAlign w:val="center"/>
          </w:tcPr>
          <w:p>
            <w:pPr>
              <w:spacing w:line="440" w:lineRule="exact"/>
              <w:jc w:val="center"/>
              <w:rPr>
                <w:rFonts w:hint="eastAsia" w:ascii="宋体" w:hAnsi="宋体" w:eastAsia="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013" w:type="dxa"/>
            <w:vAlign w:val="center"/>
          </w:tcPr>
          <w:p>
            <w:pPr>
              <w:spacing w:line="440" w:lineRule="exact"/>
              <w:jc w:val="center"/>
              <w:rPr>
                <w:rFonts w:hint="eastAsia" w:ascii="宋体" w:hAnsi="宋体" w:eastAsia="宋体" w:cs="宋体"/>
                <w:color w:val="auto"/>
                <w:sz w:val="24"/>
              </w:rPr>
            </w:pPr>
            <w:r>
              <w:rPr>
                <w:rFonts w:hint="eastAsia" w:ascii="宋体" w:hAnsi="宋体" w:eastAsia="宋体" w:cs="宋体"/>
                <w:color w:val="auto"/>
                <w:sz w:val="24"/>
              </w:rPr>
              <w:t>成立时间</w:t>
            </w:r>
          </w:p>
        </w:tc>
        <w:tc>
          <w:tcPr>
            <w:tcW w:w="2356" w:type="dxa"/>
            <w:gridSpan w:val="2"/>
            <w:vAlign w:val="center"/>
          </w:tcPr>
          <w:p>
            <w:pPr>
              <w:spacing w:line="440" w:lineRule="exact"/>
              <w:jc w:val="center"/>
              <w:rPr>
                <w:rFonts w:hint="eastAsia" w:ascii="宋体" w:hAnsi="宋体" w:eastAsia="宋体" w:cs="宋体"/>
                <w:color w:val="auto"/>
                <w:sz w:val="24"/>
              </w:rPr>
            </w:pPr>
          </w:p>
        </w:tc>
        <w:tc>
          <w:tcPr>
            <w:tcW w:w="4521" w:type="dxa"/>
            <w:gridSpan w:val="7"/>
            <w:vAlign w:val="center"/>
          </w:tcPr>
          <w:p>
            <w:pPr>
              <w:spacing w:line="440" w:lineRule="exact"/>
              <w:jc w:val="center"/>
              <w:rPr>
                <w:rFonts w:hint="eastAsia" w:ascii="宋体" w:hAnsi="宋体" w:eastAsia="宋体" w:cs="宋体"/>
                <w:color w:val="auto"/>
                <w:sz w:val="24"/>
              </w:rPr>
            </w:pPr>
            <w:r>
              <w:rPr>
                <w:rFonts w:hint="eastAsia" w:ascii="宋体" w:hAnsi="宋体" w:eastAsia="宋体" w:cs="宋体"/>
                <w:color w:val="auto"/>
                <w:sz w:val="24"/>
              </w:rPr>
              <w:t>员工总人数：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013" w:type="dxa"/>
            <w:vAlign w:val="center"/>
          </w:tcPr>
          <w:p>
            <w:pPr>
              <w:spacing w:line="440" w:lineRule="exact"/>
              <w:jc w:val="center"/>
              <w:rPr>
                <w:rFonts w:hint="eastAsia" w:ascii="宋体" w:hAnsi="宋体" w:eastAsia="宋体" w:cs="宋体"/>
                <w:color w:val="auto"/>
                <w:sz w:val="24"/>
              </w:rPr>
            </w:pPr>
            <w:r>
              <w:rPr>
                <w:rFonts w:hint="eastAsia" w:ascii="宋体" w:hAnsi="宋体" w:eastAsia="宋体" w:cs="宋体"/>
                <w:color w:val="auto"/>
                <w:sz w:val="24"/>
              </w:rPr>
              <w:t>企业资质等级</w:t>
            </w:r>
          </w:p>
        </w:tc>
        <w:tc>
          <w:tcPr>
            <w:tcW w:w="2356" w:type="dxa"/>
            <w:gridSpan w:val="2"/>
            <w:vAlign w:val="center"/>
          </w:tcPr>
          <w:p>
            <w:pPr>
              <w:spacing w:line="440" w:lineRule="exact"/>
              <w:jc w:val="center"/>
              <w:rPr>
                <w:rFonts w:hint="eastAsia" w:ascii="宋体" w:hAnsi="宋体" w:eastAsia="宋体" w:cs="宋体"/>
                <w:color w:val="auto"/>
                <w:sz w:val="24"/>
              </w:rPr>
            </w:pPr>
          </w:p>
        </w:tc>
        <w:tc>
          <w:tcPr>
            <w:tcW w:w="1068" w:type="dxa"/>
            <w:vMerge w:val="restart"/>
            <w:vAlign w:val="center"/>
          </w:tcPr>
          <w:p>
            <w:pPr>
              <w:spacing w:line="440" w:lineRule="exact"/>
              <w:jc w:val="center"/>
              <w:rPr>
                <w:rFonts w:hint="eastAsia" w:ascii="宋体" w:hAnsi="宋体" w:eastAsia="宋体" w:cs="宋体"/>
                <w:color w:val="auto"/>
                <w:sz w:val="24"/>
              </w:rPr>
            </w:pPr>
            <w:r>
              <w:rPr>
                <w:rFonts w:hint="eastAsia" w:ascii="宋体" w:hAnsi="宋体" w:eastAsia="宋体" w:cs="宋体"/>
                <w:color w:val="auto"/>
                <w:sz w:val="24"/>
              </w:rPr>
              <w:t>其中</w:t>
            </w:r>
          </w:p>
        </w:tc>
        <w:tc>
          <w:tcPr>
            <w:tcW w:w="1778" w:type="dxa"/>
            <w:gridSpan w:val="4"/>
            <w:vAlign w:val="center"/>
          </w:tcPr>
          <w:p>
            <w:pPr>
              <w:spacing w:line="440" w:lineRule="exact"/>
              <w:jc w:val="center"/>
              <w:rPr>
                <w:rFonts w:hint="eastAsia" w:ascii="宋体" w:hAnsi="宋体" w:eastAsia="宋体" w:cs="宋体"/>
                <w:color w:val="auto"/>
                <w:sz w:val="24"/>
              </w:rPr>
            </w:pPr>
            <w:r>
              <w:rPr>
                <w:rFonts w:hint="eastAsia" w:ascii="宋体" w:hAnsi="宋体" w:eastAsia="宋体" w:cs="宋体"/>
                <w:color w:val="auto"/>
                <w:sz w:val="24"/>
              </w:rPr>
              <w:t>项目经理</w:t>
            </w:r>
          </w:p>
        </w:tc>
        <w:tc>
          <w:tcPr>
            <w:tcW w:w="1675" w:type="dxa"/>
            <w:gridSpan w:val="2"/>
            <w:vAlign w:val="center"/>
          </w:tcPr>
          <w:p>
            <w:pPr>
              <w:spacing w:line="440" w:lineRule="exact"/>
              <w:jc w:val="center"/>
              <w:rPr>
                <w:rFonts w:hint="eastAsia" w:ascii="宋体" w:hAnsi="宋体" w:eastAsia="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013" w:type="dxa"/>
            <w:vAlign w:val="center"/>
          </w:tcPr>
          <w:p>
            <w:pPr>
              <w:spacing w:line="440" w:lineRule="exact"/>
              <w:jc w:val="center"/>
              <w:rPr>
                <w:rFonts w:hint="eastAsia" w:ascii="宋体" w:hAnsi="宋体" w:eastAsia="宋体" w:cs="宋体"/>
                <w:color w:val="auto"/>
                <w:sz w:val="24"/>
              </w:rPr>
            </w:pPr>
            <w:r>
              <w:rPr>
                <w:rFonts w:hint="eastAsia" w:ascii="宋体" w:hAnsi="宋体" w:eastAsia="宋体" w:cs="宋体"/>
                <w:color w:val="auto"/>
                <w:sz w:val="24"/>
              </w:rPr>
              <w:t>营业执照号</w:t>
            </w:r>
          </w:p>
        </w:tc>
        <w:tc>
          <w:tcPr>
            <w:tcW w:w="2356" w:type="dxa"/>
            <w:gridSpan w:val="2"/>
            <w:vAlign w:val="center"/>
          </w:tcPr>
          <w:p>
            <w:pPr>
              <w:spacing w:line="440" w:lineRule="exact"/>
              <w:jc w:val="center"/>
              <w:rPr>
                <w:rFonts w:hint="eastAsia" w:ascii="宋体" w:hAnsi="宋体" w:eastAsia="宋体" w:cs="宋体"/>
                <w:color w:val="auto"/>
                <w:sz w:val="24"/>
              </w:rPr>
            </w:pPr>
          </w:p>
        </w:tc>
        <w:tc>
          <w:tcPr>
            <w:tcW w:w="1068" w:type="dxa"/>
            <w:vMerge w:val="continue"/>
            <w:vAlign w:val="center"/>
          </w:tcPr>
          <w:p>
            <w:pPr>
              <w:spacing w:line="440" w:lineRule="exact"/>
              <w:jc w:val="center"/>
              <w:rPr>
                <w:rFonts w:hint="eastAsia" w:ascii="宋体" w:hAnsi="宋体" w:eastAsia="宋体" w:cs="宋体"/>
                <w:color w:val="auto"/>
                <w:sz w:val="24"/>
              </w:rPr>
            </w:pPr>
          </w:p>
        </w:tc>
        <w:tc>
          <w:tcPr>
            <w:tcW w:w="1778" w:type="dxa"/>
            <w:gridSpan w:val="4"/>
            <w:vAlign w:val="center"/>
          </w:tcPr>
          <w:p>
            <w:pPr>
              <w:spacing w:line="440" w:lineRule="exact"/>
              <w:jc w:val="center"/>
              <w:rPr>
                <w:rFonts w:hint="eastAsia" w:ascii="宋体" w:hAnsi="宋体" w:eastAsia="宋体" w:cs="宋体"/>
                <w:color w:val="auto"/>
                <w:sz w:val="24"/>
              </w:rPr>
            </w:pPr>
            <w:r>
              <w:rPr>
                <w:rFonts w:hint="eastAsia" w:ascii="宋体" w:hAnsi="宋体" w:eastAsia="宋体" w:cs="宋体"/>
                <w:color w:val="auto"/>
                <w:sz w:val="24"/>
              </w:rPr>
              <w:t>高级职称人员</w:t>
            </w:r>
          </w:p>
        </w:tc>
        <w:tc>
          <w:tcPr>
            <w:tcW w:w="1675" w:type="dxa"/>
            <w:gridSpan w:val="2"/>
            <w:vAlign w:val="center"/>
          </w:tcPr>
          <w:p>
            <w:pPr>
              <w:spacing w:line="440" w:lineRule="exact"/>
              <w:jc w:val="center"/>
              <w:rPr>
                <w:rFonts w:hint="eastAsia" w:ascii="宋体" w:hAnsi="宋体" w:eastAsia="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013" w:type="dxa"/>
            <w:vAlign w:val="center"/>
          </w:tcPr>
          <w:p>
            <w:pPr>
              <w:spacing w:line="440" w:lineRule="exact"/>
              <w:jc w:val="center"/>
              <w:rPr>
                <w:rFonts w:hint="eastAsia" w:ascii="宋体" w:hAnsi="宋体" w:eastAsia="宋体" w:cs="宋体"/>
                <w:color w:val="auto"/>
                <w:sz w:val="24"/>
              </w:rPr>
            </w:pPr>
            <w:r>
              <w:rPr>
                <w:rFonts w:hint="eastAsia" w:ascii="宋体" w:hAnsi="宋体" w:eastAsia="宋体" w:cs="宋体"/>
                <w:color w:val="auto"/>
                <w:sz w:val="24"/>
              </w:rPr>
              <w:t>注册资金</w:t>
            </w:r>
          </w:p>
        </w:tc>
        <w:tc>
          <w:tcPr>
            <w:tcW w:w="2356" w:type="dxa"/>
            <w:gridSpan w:val="2"/>
            <w:vAlign w:val="center"/>
          </w:tcPr>
          <w:p>
            <w:pPr>
              <w:spacing w:line="440" w:lineRule="exact"/>
              <w:jc w:val="center"/>
              <w:rPr>
                <w:rFonts w:hint="eastAsia" w:ascii="宋体" w:hAnsi="宋体" w:eastAsia="宋体" w:cs="宋体"/>
                <w:color w:val="auto"/>
                <w:sz w:val="24"/>
              </w:rPr>
            </w:pPr>
          </w:p>
        </w:tc>
        <w:tc>
          <w:tcPr>
            <w:tcW w:w="1068" w:type="dxa"/>
            <w:vMerge w:val="continue"/>
            <w:vAlign w:val="center"/>
          </w:tcPr>
          <w:p>
            <w:pPr>
              <w:spacing w:line="440" w:lineRule="exact"/>
              <w:jc w:val="center"/>
              <w:rPr>
                <w:rFonts w:hint="eastAsia" w:ascii="宋体" w:hAnsi="宋体" w:eastAsia="宋体" w:cs="宋体"/>
                <w:color w:val="auto"/>
                <w:sz w:val="24"/>
              </w:rPr>
            </w:pPr>
          </w:p>
        </w:tc>
        <w:tc>
          <w:tcPr>
            <w:tcW w:w="1778" w:type="dxa"/>
            <w:gridSpan w:val="4"/>
            <w:vAlign w:val="center"/>
          </w:tcPr>
          <w:p>
            <w:pPr>
              <w:spacing w:line="440" w:lineRule="exact"/>
              <w:jc w:val="center"/>
              <w:rPr>
                <w:rFonts w:hint="eastAsia" w:ascii="宋体" w:hAnsi="宋体" w:eastAsia="宋体" w:cs="宋体"/>
                <w:color w:val="auto"/>
                <w:sz w:val="24"/>
              </w:rPr>
            </w:pPr>
            <w:r>
              <w:rPr>
                <w:rFonts w:hint="eastAsia" w:ascii="宋体" w:hAnsi="宋体" w:eastAsia="宋体" w:cs="宋体"/>
                <w:color w:val="auto"/>
                <w:sz w:val="24"/>
              </w:rPr>
              <w:t>中级职称人员</w:t>
            </w:r>
          </w:p>
        </w:tc>
        <w:tc>
          <w:tcPr>
            <w:tcW w:w="1675" w:type="dxa"/>
            <w:gridSpan w:val="2"/>
            <w:vAlign w:val="center"/>
          </w:tcPr>
          <w:p>
            <w:pPr>
              <w:spacing w:line="440" w:lineRule="exact"/>
              <w:jc w:val="center"/>
              <w:rPr>
                <w:rFonts w:hint="eastAsia" w:ascii="宋体" w:hAnsi="宋体" w:eastAsia="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013" w:type="dxa"/>
            <w:vAlign w:val="center"/>
          </w:tcPr>
          <w:p>
            <w:pPr>
              <w:spacing w:line="440" w:lineRule="exact"/>
              <w:jc w:val="center"/>
              <w:rPr>
                <w:rFonts w:hint="eastAsia" w:ascii="宋体" w:hAnsi="宋体" w:eastAsia="宋体" w:cs="宋体"/>
                <w:color w:val="auto"/>
                <w:sz w:val="24"/>
              </w:rPr>
            </w:pPr>
            <w:r>
              <w:rPr>
                <w:rFonts w:hint="eastAsia" w:ascii="宋体" w:hAnsi="宋体" w:eastAsia="宋体" w:cs="宋体"/>
                <w:color w:val="auto"/>
                <w:sz w:val="24"/>
              </w:rPr>
              <w:t>基本账户开户银行</w:t>
            </w:r>
          </w:p>
        </w:tc>
        <w:tc>
          <w:tcPr>
            <w:tcW w:w="2356" w:type="dxa"/>
            <w:gridSpan w:val="2"/>
            <w:vAlign w:val="center"/>
          </w:tcPr>
          <w:p>
            <w:pPr>
              <w:spacing w:line="440" w:lineRule="exact"/>
              <w:jc w:val="center"/>
              <w:rPr>
                <w:rFonts w:hint="eastAsia" w:ascii="宋体" w:hAnsi="宋体" w:eastAsia="宋体" w:cs="宋体"/>
                <w:color w:val="auto"/>
                <w:sz w:val="24"/>
              </w:rPr>
            </w:pPr>
          </w:p>
        </w:tc>
        <w:tc>
          <w:tcPr>
            <w:tcW w:w="1068" w:type="dxa"/>
            <w:vMerge w:val="continue"/>
            <w:vAlign w:val="center"/>
          </w:tcPr>
          <w:p>
            <w:pPr>
              <w:spacing w:line="440" w:lineRule="exact"/>
              <w:jc w:val="center"/>
              <w:rPr>
                <w:rFonts w:hint="eastAsia" w:ascii="宋体" w:hAnsi="宋体" w:eastAsia="宋体" w:cs="宋体"/>
                <w:color w:val="auto"/>
                <w:sz w:val="24"/>
              </w:rPr>
            </w:pPr>
          </w:p>
        </w:tc>
        <w:tc>
          <w:tcPr>
            <w:tcW w:w="1778" w:type="dxa"/>
            <w:gridSpan w:val="4"/>
            <w:vAlign w:val="center"/>
          </w:tcPr>
          <w:p>
            <w:pPr>
              <w:spacing w:line="440" w:lineRule="exact"/>
              <w:jc w:val="center"/>
              <w:rPr>
                <w:rFonts w:hint="eastAsia" w:ascii="宋体" w:hAnsi="宋体" w:eastAsia="宋体" w:cs="宋体"/>
                <w:color w:val="auto"/>
                <w:sz w:val="24"/>
              </w:rPr>
            </w:pPr>
            <w:r>
              <w:rPr>
                <w:rFonts w:hint="eastAsia" w:ascii="宋体" w:hAnsi="宋体" w:eastAsia="宋体" w:cs="宋体"/>
                <w:color w:val="auto"/>
                <w:sz w:val="24"/>
              </w:rPr>
              <w:t>初级职称人员</w:t>
            </w:r>
          </w:p>
        </w:tc>
        <w:tc>
          <w:tcPr>
            <w:tcW w:w="1675" w:type="dxa"/>
            <w:gridSpan w:val="2"/>
            <w:vAlign w:val="center"/>
          </w:tcPr>
          <w:p>
            <w:pPr>
              <w:spacing w:line="440" w:lineRule="exact"/>
              <w:jc w:val="center"/>
              <w:rPr>
                <w:rFonts w:hint="eastAsia" w:ascii="宋体" w:hAnsi="宋体" w:eastAsia="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013" w:type="dxa"/>
            <w:vAlign w:val="center"/>
          </w:tcPr>
          <w:p>
            <w:pPr>
              <w:spacing w:line="440" w:lineRule="exact"/>
              <w:jc w:val="center"/>
              <w:rPr>
                <w:rFonts w:hint="eastAsia" w:ascii="宋体" w:hAnsi="宋体" w:eastAsia="宋体" w:cs="宋体"/>
                <w:color w:val="auto"/>
                <w:sz w:val="24"/>
              </w:rPr>
            </w:pPr>
            <w:r>
              <w:rPr>
                <w:rFonts w:hint="eastAsia" w:ascii="宋体" w:hAnsi="宋体" w:eastAsia="宋体" w:cs="宋体"/>
                <w:color w:val="auto"/>
                <w:sz w:val="24"/>
              </w:rPr>
              <w:t>基本账户账号</w:t>
            </w:r>
          </w:p>
        </w:tc>
        <w:tc>
          <w:tcPr>
            <w:tcW w:w="2356" w:type="dxa"/>
            <w:gridSpan w:val="2"/>
            <w:vAlign w:val="center"/>
          </w:tcPr>
          <w:p>
            <w:pPr>
              <w:spacing w:line="440" w:lineRule="exact"/>
              <w:jc w:val="center"/>
              <w:rPr>
                <w:rFonts w:hint="eastAsia" w:ascii="宋体" w:hAnsi="宋体" w:eastAsia="宋体" w:cs="宋体"/>
                <w:color w:val="auto"/>
                <w:sz w:val="24"/>
              </w:rPr>
            </w:pPr>
          </w:p>
        </w:tc>
        <w:tc>
          <w:tcPr>
            <w:tcW w:w="1068" w:type="dxa"/>
            <w:vMerge w:val="continue"/>
            <w:vAlign w:val="center"/>
          </w:tcPr>
          <w:p>
            <w:pPr>
              <w:spacing w:line="440" w:lineRule="exact"/>
              <w:jc w:val="center"/>
              <w:rPr>
                <w:rFonts w:hint="eastAsia" w:ascii="宋体" w:hAnsi="宋体" w:eastAsia="宋体" w:cs="宋体"/>
                <w:color w:val="auto"/>
                <w:sz w:val="24"/>
              </w:rPr>
            </w:pPr>
          </w:p>
        </w:tc>
        <w:tc>
          <w:tcPr>
            <w:tcW w:w="1778" w:type="dxa"/>
            <w:gridSpan w:val="4"/>
            <w:vAlign w:val="center"/>
          </w:tcPr>
          <w:p>
            <w:pPr>
              <w:spacing w:line="440" w:lineRule="exact"/>
              <w:jc w:val="center"/>
              <w:rPr>
                <w:rFonts w:hint="eastAsia" w:ascii="宋体" w:hAnsi="宋体" w:eastAsia="宋体" w:cs="宋体"/>
                <w:color w:val="auto"/>
                <w:sz w:val="24"/>
              </w:rPr>
            </w:pPr>
            <w:r>
              <w:rPr>
                <w:rFonts w:hint="eastAsia" w:ascii="宋体" w:hAnsi="宋体" w:eastAsia="宋体" w:cs="宋体"/>
                <w:color w:val="auto"/>
                <w:sz w:val="24"/>
              </w:rPr>
              <w:t>技　　工</w:t>
            </w:r>
          </w:p>
        </w:tc>
        <w:tc>
          <w:tcPr>
            <w:tcW w:w="1675" w:type="dxa"/>
            <w:gridSpan w:val="2"/>
            <w:vAlign w:val="center"/>
          </w:tcPr>
          <w:p>
            <w:pPr>
              <w:spacing w:line="440" w:lineRule="exact"/>
              <w:jc w:val="center"/>
              <w:rPr>
                <w:rFonts w:hint="eastAsia" w:ascii="宋体" w:hAnsi="宋体" w:eastAsia="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013" w:type="dxa"/>
            <w:vAlign w:val="center"/>
          </w:tcPr>
          <w:p>
            <w:pPr>
              <w:spacing w:line="440" w:lineRule="exact"/>
              <w:jc w:val="center"/>
              <w:rPr>
                <w:rFonts w:hint="eastAsia" w:ascii="宋体" w:hAnsi="宋体" w:eastAsia="宋体" w:cs="宋体"/>
                <w:color w:val="auto"/>
                <w:sz w:val="24"/>
              </w:rPr>
            </w:pPr>
            <w:r>
              <w:rPr>
                <w:rFonts w:hint="eastAsia" w:ascii="宋体" w:hAnsi="宋体" w:eastAsia="宋体" w:cs="宋体"/>
                <w:color w:val="auto"/>
                <w:sz w:val="24"/>
              </w:rPr>
              <w:t>经营范围</w:t>
            </w:r>
          </w:p>
        </w:tc>
        <w:tc>
          <w:tcPr>
            <w:tcW w:w="6877" w:type="dxa"/>
            <w:gridSpan w:val="9"/>
          </w:tcPr>
          <w:p>
            <w:pPr>
              <w:spacing w:line="440" w:lineRule="exact"/>
              <w:jc w:val="center"/>
              <w:rPr>
                <w:rFonts w:hint="eastAsia" w:ascii="宋体" w:hAnsi="宋体" w:eastAsia="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6" w:hRule="atLeast"/>
        </w:trPr>
        <w:tc>
          <w:tcPr>
            <w:tcW w:w="2013" w:type="dxa"/>
            <w:vAlign w:val="center"/>
          </w:tcPr>
          <w:p>
            <w:pPr>
              <w:spacing w:line="440" w:lineRule="exact"/>
              <w:jc w:val="center"/>
              <w:rPr>
                <w:rFonts w:hint="eastAsia" w:ascii="宋体" w:hAnsi="宋体" w:eastAsia="宋体" w:cs="宋体"/>
                <w:color w:val="auto"/>
                <w:sz w:val="24"/>
              </w:rPr>
            </w:pPr>
            <w:r>
              <w:rPr>
                <w:rFonts w:hint="eastAsia" w:ascii="宋体" w:hAnsi="宋体" w:eastAsia="宋体" w:cs="宋体"/>
                <w:color w:val="auto"/>
                <w:sz w:val="24"/>
                <w:lang w:eastAsia="zh-CN"/>
              </w:rPr>
              <w:t>供应商</w:t>
            </w:r>
            <w:r>
              <w:rPr>
                <w:rFonts w:hint="eastAsia" w:ascii="宋体" w:hAnsi="宋体" w:eastAsia="宋体" w:cs="宋体"/>
                <w:color w:val="auto"/>
                <w:sz w:val="24"/>
              </w:rPr>
              <w:t>关联企业情况</w:t>
            </w:r>
          </w:p>
        </w:tc>
        <w:tc>
          <w:tcPr>
            <w:tcW w:w="6877" w:type="dxa"/>
            <w:gridSpan w:val="9"/>
          </w:tcPr>
          <w:p>
            <w:pPr>
              <w:spacing w:line="440" w:lineRule="exact"/>
              <w:jc w:val="center"/>
              <w:rPr>
                <w:rFonts w:hint="eastAsia" w:ascii="宋体" w:hAnsi="宋体" w:eastAsia="宋体" w:cs="宋体"/>
                <w:color w:val="auto"/>
                <w:sz w:val="24"/>
              </w:rPr>
            </w:pPr>
          </w:p>
          <w:p>
            <w:pPr>
              <w:spacing w:line="440" w:lineRule="exact"/>
              <w:jc w:val="center"/>
              <w:rPr>
                <w:rFonts w:hint="eastAsia" w:ascii="宋体" w:hAnsi="宋体" w:eastAsia="宋体" w:cs="宋体"/>
                <w:color w:val="auto"/>
                <w:sz w:val="24"/>
              </w:rPr>
            </w:pPr>
          </w:p>
          <w:p>
            <w:pPr>
              <w:spacing w:line="440" w:lineRule="exact"/>
              <w:rPr>
                <w:rFonts w:hint="eastAsia" w:ascii="宋体" w:hAnsi="宋体" w:eastAsia="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13" w:type="dxa"/>
            <w:vAlign w:val="center"/>
          </w:tcPr>
          <w:p>
            <w:pPr>
              <w:spacing w:line="440" w:lineRule="exact"/>
              <w:jc w:val="center"/>
              <w:rPr>
                <w:rFonts w:hint="eastAsia" w:ascii="宋体" w:hAnsi="宋体" w:eastAsia="宋体" w:cs="宋体"/>
                <w:color w:val="auto"/>
                <w:sz w:val="24"/>
              </w:rPr>
            </w:pPr>
            <w:r>
              <w:rPr>
                <w:rFonts w:hint="eastAsia" w:ascii="宋体" w:hAnsi="宋体" w:eastAsia="宋体" w:cs="宋体"/>
                <w:color w:val="auto"/>
                <w:sz w:val="24"/>
              </w:rPr>
              <w:t>备　注</w:t>
            </w:r>
          </w:p>
        </w:tc>
        <w:tc>
          <w:tcPr>
            <w:tcW w:w="6877" w:type="dxa"/>
            <w:gridSpan w:val="9"/>
          </w:tcPr>
          <w:p>
            <w:pPr>
              <w:spacing w:line="440" w:lineRule="exact"/>
              <w:jc w:val="center"/>
              <w:rPr>
                <w:rFonts w:hint="eastAsia" w:ascii="宋体" w:hAnsi="宋体" w:eastAsia="宋体" w:cs="宋体"/>
                <w:color w:val="auto"/>
                <w:sz w:val="24"/>
              </w:rPr>
            </w:pPr>
          </w:p>
          <w:p>
            <w:pPr>
              <w:spacing w:line="440" w:lineRule="exact"/>
              <w:jc w:val="center"/>
              <w:rPr>
                <w:rFonts w:hint="eastAsia" w:ascii="宋体" w:hAnsi="宋体" w:eastAsia="宋体" w:cs="宋体"/>
                <w:color w:val="auto"/>
                <w:sz w:val="24"/>
              </w:rPr>
            </w:pPr>
          </w:p>
        </w:tc>
      </w:tr>
    </w:tbl>
    <w:p>
      <w:pPr>
        <w:jc w:val="center"/>
        <w:rPr>
          <w:rFonts w:hint="eastAsia" w:ascii="宋体" w:hAnsi="宋体" w:eastAsia="宋体" w:cs="宋体"/>
          <w:b/>
          <w:color w:val="auto"/>
          <w:sz w:val="24"/>
        </w:rPr>
      </w:pPr>
    </w:p>
    <w:p>
      <w:pPr>
        <w:pStyle w:val="13"/>
        <w:rPr>
          <w:rFonts w:hint="eastAsia" w:ascii="宋体" w:hAnsi="宋体" w:eastAsia="宋体" w:cs="宋体"/>
          <w:color w:val="auto"/>
          <w:sz w:val="24"/>
        </w:rPr>
      </w:pPr>
    </w:p>
    <w:p>
      <w:pPr>
        <w:rPr>
          <w:rFonts w:hint="eastAsia" w:ascii="宋体" w:hAnsi="宋体" w:eastAsia="宋体" w:cs="宋体"/>
          <w:color w:val="auto"/>
          <w:sz w:val="24"/>
        </w:rPr>
      </w:pPr>
    </w:p>
    <w:p>
      <w:pPr>
        <w:pStyle w:val="13"/>
        <w:rPr>
          <w:rFonts w:hint="eastAsia" w:ascii="宋体" w:hAnsi="宋体" w:eastAsia="宋体" w:cs="宋体"/>
          <w:color w:val="auto"/>
          <w:sz w:val="24"/>
        </w:rPr>
      </w:pPr>
    </w:p>
    <w:p>
      <w:pPr>
        <w:rPr>
          <w:rFonts w:hint="eastAsia" w:ascii="宋体" w:hAnsi="宋体" w:eastAsia="宋体" w:cs="宋体"/>
          <w:color w:val="auto"/>
        </w:rPr>
      </w:pPr>
    </w:p>
    <w:p>
      <w:pPr>
        <w:rPr>
          <w:rFonts w:hint="eastAsia" w:ascii="宋体" w:hAnsi="宋体" w:eastAsia="宋体" w:cs="宋体"/>
          <w:color w:val="auto"/>
          <w:sz w:val="24"/>
        </w:rPr>
      </w:pPr>
    </w:p>
    <w:p>
      <w:pPr>
        <w:pStyle w:val="13"/>
        <w:rPr>
          <w:rFonts w:hint="eastAsia" w:ascii="宋体" w:hAnsi="宋体" w:eastAsia="宋体" w:cs="宋体"/>
          <w:color w:val="auto"/>
        </w:rPr>
      </w:pPr>
    </w:p>
    <w:p>
      <w:pPr>
        <w:widowControl/>
        <w:numPr>
          <w:ilvl w:val="0"/>
          <w:numId w:val="8"/>
        </w:numPr>
        <w:tabs>
          <w:tab w:val="left" w:pos="1620"/>
        </w:tabs>
        <w:spacing w:line="360" w:lineRule="auto"/>
        <w:ind w:firstLine="482" w:firstLineChars="200"/>
        <w:jc w:val="center"/>
        <w:rPr>
          <w:rFonts w:hint="eastAsia" w:ascii="宋体" w:hAnsi="宋体" w:eastAsia="宋体" w:cs="宋体"/>
          <w:b/>
          <w:bCs/>
          <w:color w:val="auto"/>
          <w:sz w:val="24"/>
        </w:rPr>
      </w:pPr>
      <w:r>
        <w:rPr>
          <w:rFonts w:hint="eastAsia" w:ascii="宋体" w:hAnsi="宋体" w:eastAsia="宋体" w:cs="宋体"/>
          <w:b/>
          <w:bCs/>
          <w:color w:val="auto"/>
          <w:sz w:val="24"/>
          <w:lang w:eastAsia="zh-CN"/>
        </w:rPr>
        <w:t>磋商供应商</w:t>
      </w:r>
      <w:r>
        <w:rPr>
          <w:rFonts w:hint="eastAsia" w:ascii="宋体" w:hAnsi="宋体" w:eastAsia="宋体" w:cs="宋体"/>
          <w:b/>
          <w:bCs/>
          <w:color w:val="auto"/>
          <w:sz w:val="24"/>
        </w:rPr>
        <w:t>应附的资格证明文件</w:t>
      </w:r>
    </w:p>
    <w:p>
      <w:pPr>
        <w:pStyle w:val="13"/>
        <w:spacing w:line="480" w:lineRule="auto"/>
        <w:ind w:firstLine="482" w:firstLineChars="200"/>
        <w:rPr>
          <w:rFonts w:hint="eastAsia" w:ascii="宋体" w:hAnsi="宋体" w:eastAsia="宋体" w:cs="宋体"/>
          <w:b/>
          <w:bCs/>
          <w:color w:val="auto"/>
          <w:sz w:val="24"/>
          <w:lang w:eastAsia="zh-CN"/>
        </w:rPr>
      </w:pPr>
    </w:p>
    <w:p>
      <w:pPr>
        <w:pStyle w:val="13"/>
        <w:spacing w:line="480" w:lineRule="auto"/>
        <w:ind w:firstLine="482" w:firstLineChars="200"/>
        <w:rPr>
          <w:rFonts w:hint="eastAsia" w:ascii="宋体" w:hAnsi="宋体" w:eastAsia="宋体" w:cs="宋体"/>
          <w:lang w:eastAsia="zh-CN"/>
        </w:rPr>
      </w:pPr>
      <w:r>
        <w:rPr>
          <w:rFonts w:hint="eastAsia" w:ascii="宋体" w:hAnsi="宋体" w:eastAsia="宋体" w:cs="宋体"/>
          <w:b/>
          <w:bCs/>
          <w:color w:val="auto"/>
          <w:sz w:val="24"/>
          <w:lang w:eastAsia="zh-CN"/>
        </w:rPr>
        <w:t>详见竞争性磋商文件第二章“供应商须知前附表”及竞争性磋商文件第三章“评审内容”中“资格审查”评审表。</w:t>
      </w:r>
    </w:p>
    <w:p>
      <w:pPr>
        <w:pStyle w:val="13"/>
        <w:numPr>
          <w:ilvl w:val="0"/>
          <w:numId w:val="0"/>
        </w:numPr>
        <w:jc w:val="left"/>
        <w:rPr>
          <w:rFonts w:hint="eastAsia" w:ascii="宋体" w:hAnsi="宋体" w:eastAsia="宋体" w:cs="宋体"/>
          <w:b/>
          <w:color w:val="auto"/>
          <w:sz w:val="28"/>
          <w:szCs w:val="28"/>
          <w:lang w:val="en-US" w:eastAsia="zh-CN"/>
        </w:rPr>
      </w:pPr>
    </w:p>
    <w:p>
      <w:pPr>
        <w:pStyle w:val="13"/>
        <w:numPr>
          <w:ilvl w:val="0"/>
          <w:numId w:val="0"/>
        </w:numPr>
        <w:jc w:val="center"/>
        <w:rPr>
          <w:rFonts w:hint="eastAsia" w:ascii="宋体" w:hAnsi="宋体" w:eastAsia="宋体" w:cs="宋体"/>
          <w:color w:val="auto"/>
          <w:sz w:val="21"/>
          <w:szCs w:val="28"/>
        </w:rPr>
      </w:pPr>
      <w:r>
        <w:rPr>
          <w:rFonts w:hint="eastAsia" w:ascii="宋体" w:hAnsi="宋体" w:eastAsia="宋体" w:cs="宋体"/>
          <w:b/>
          <w:color w:val="auto"/>
          <w:sz w:val="28"/>
          <w:szCs w:val="28"/>
        </w:rPr>
        <w:t>（注：磋商</w:t>
      </w:r>
      <w:r>
        <w:rPr>
          <w:rFonts w:hint="eastAsia" w:ascii="宋体" w:hAnsi="宋体" w:eastAsia="宋体" w:cs="宋体"/>
          <w:b/>
          <w:color w:val="auto"/>
          <w:sz w:val="28"/>
          <w:szCs w:val="28"/>
          <w:lang w:eastAsia="zh-CN"/>
        </w:rPr>
        <w:t>响应</w:t>
      </w:r>
      <w:r>
        <w:rPr>
          <w:rFonts w:hint="eastAsia" w:ascii="宋体" w:hAnsi="宋体" w:eastAsia="宋体" w:cs="宋体"/>
          <w:b/>
          <w:color w:val="auto"/>
          <w:sz w:val="28"/>
          <w:szCs w:val="28"/>
        </w:rPr>
        <w:t>文件中附以上证明文件的复印件并加盖公章）</w:t>
      </w:r>
    </w:p>
    <w:p>
      <w:pPr>
        <w:pStyle w:val="13"/>
        <w:ind w:firstLine="482" w:firstLineChars="200"/>
        <w:rPr>
          <w:rFonts w:hint="eastAsia" w:ascii="宋体" w:hAnsi="宋体" w:eastAsia="宋体" w:cs="宋体"/>
          <w:b/>
          <w:color w:val="auto"/>
          <w:sz w:val="24"/>
        </w:rPr>
      </w:pPr>
    </w:p>
    <w:p>
      <w:pPr>
        <w:rPr>
          <w:rFonts w:hint="eastAsia" w:ascii="宋体" w:hAnsi="宋体" w:eastAsia="宋体" w:cs="宋体"/>
          <w:b/>
          <w:color w:val="auto"/>
          <w:sz w:val="24"/>
        </w:rPr>
      </w:pPr>
    </w:p>
    <w:p>
      <w:pPr>
        <w:pStyle w:val="13"/>
        <w:rPr>
          <w:rFonts w:hint="eastAsia" w:ascii="宋体" w:hAnsi="宋体" w:eastAsia="宋体" w:cs="宋体"/>
          <w:b/>
          <w:color w:val="auto"/>
          <w:sz w:val="24"/>
        </w:rPr>
      </w:pPr>
    </w:p>
    <w:p>
      <w:pPr>
        <w:rPr>
          <w:rFonts w:hint="eastAsia" w:ascii="宋体" w:hAnsi="宋体" w:eastAsia="宋体" w:cs="宋体"/>
          <w:b/>
          <w:color w:val="auto"/>
          <w:sz w:val="24"/>
        </w:rPr>
      </w:pPr>
    </w:p>
    <w:p>
      <w:pPr>
        <w:pStyle w:val="13"/>
        <w:rPr>
          <w:rFonts w:hint="eastAsia" w:ascii="宋体" w:hAnsi="宋体" w:eastAsia="宋体" w:cs="宋体"/>
          <w:b/>
          <w:color w:val="auto"/>
          <w:sz w:val="24"/>
        </w:rPr>
      </w:pPr>
    </w:p>
    <w:p>
      <w:pPr>
        <w:rPr>
          <w:rFonts w:hint="eastAsia" w:ascii="宋体" w:hAnsi="宋体" w:eastAsia="宋体" w:cs="宋体"/>
          <w:b/>
          <w:color w:val="auto"/>
          <w:sz w:val="24"/>
        </w:rPr>
      </w:pPr>
    </w:p>
    <w:p>
      <w:pPr>
        <w:pStyle w:val="13"/>
        <w:rPr>
          <w:rFonts w:hint="eastAsia" w:ascii="宋体" w:hAnsi="宋体" w:eastAsia="宋体" w:cs="宋体"/>
          <w:color w:val="auto"/>
        </w:rPr>
      </w:pPr>
    </w:p>
    <w:p>
      <w:pPr>
        <w:rPr>
          <w:rFonts w:hint="eastAsia" w:ascii="宋体" w:hAnsi="宋体" w:eastAsia="宋体" w:cs="宋体"/>
          <w:color w:val="auto"/>
        </w:rPr>
      </w:pPr>
    </w:p>
    <w:p>
      <w:pPr>
        <w:pStyle w:val="13"/>
        <w:rPr>
          <w:rFonts w:hint="eastAsia" w:ascii="宋体" w:hAnsi="宋体" w:eastAsia="宋体" w:cs="宋体"/>
          <w:color w:val="auto"/>
        </w:rPr>
      </w:pPr>
    </w:p>
    <w:p>
      <w:pPr>
        <w:rPr>
          <w:rFonts w:hint="eastAsia" w:ascii="宋体" w:hAnsi="宋体" w:eastAsia="宋体" w:cs="宋体"/>
          <w:color w:val="auto"/>
        </w:rPr>
      </w:pPr>
    </w:p>
    <w:p>
      <w:pPr>
        <w:pStyle w:val="13"/>
        <w:rPr>
          <w:rFonts w:hint="eastAsia" w:ascii="宋体" w:hAnsi="宋体" w:eastAsia="宋体" w:cs="宋体"/>
          <w:color w:val="auto"/>
        </w:rPr>
      </w:pPr>
    </w:p>
    <w:p>
      <w:pPr>
        <w:rPr>
          <w:rFonts w:hint="eastAsia" w:ascii="宋体" w:hAnsi="宋体" w:eastAsia="宋体" w:cs="宋体"/>
          <w:color w:val="auto"/>
        </w:rPr>
      </w:pPr>
    </w:p>
    <w:p>
      <w:pPr>
        <w:pStyle w:val="13"/>
        <w:rPr>
          <w:rFonts w:hint="eastAsia" w:ascii="宋体" w:hAnsi="宋体" w:eastAsia="宋体" w:cs="宋体"/>
          <w:color w:val="auto"/>
        </w:rPr>
      </w:pPr>
    </w:p>
    <w:p>
      <w:pPr>
        <w:rPr>
          <w:rFonts w:hint="eastAsia" w:ascii="宋体" w:hAnsi="宋体" w:eastAsia="宋体" w:cs="宋体"/>
          <w:color w:val="auto"/>
        </w:rPr>
      </w:pPr>
    </w:p>
    <w:p>
      <w:pPr>
        <w:pStyle w:val="13"/>
        <w:rPr>
          <w:rFonts w:hint="eastAsia" w:ascii="宋体" w:hAnsi="宋体" w:eastAsia="宋体" w:cs="宋体"/>
          <w:color w:val="auto"/>
        </w:rPr>
      </w:pPr>
    </w:p>
    <w:p>
      <w:pPr>
        <w:rPr>
          <w:rFonts w:hint="eastAsia" w:ascii="宋体" w:hAnsi="宋体" w:eastAsia="宋体" w:cs="宋体"/>
          <w:color w:val="auto"/>
        </w:rPr>
      </w:pPr>
    </w:p>
    <w:p>
      <w:pPr>
        <w:pStyle w:val="13"/>
        <w:rPr>
          <w:rFonts w:hint="eastAsia" w:ascii="宋体" w:hAnsi="宋体" w:eastAsia="宋体" w:cs="宋体"/>
          <w:color w:val="auto"/>
        </w:rPr>
      </w:pPr>
    </w:p>
    <w:p>
      <w:pPr>
        <w:rPr>
          <w:rFonts w:hint="eastAsia" w:ascii="宋体" w:hAnsi="宋体" w:eastAsia="宋体" w:cs="宋体"/>
          <w:color w:val="auto"/>
        </w:rPr>
      </w:pPr>
    </w:p>
    <w:p>
      <w:pPr>
        <w:pStyle w:val="13"/>
        <w:rPr>
          <w:rFonts w:hint="eastAsia" w:ascii="宋体" w:hAnsi="宋体" w:eastAsia="宋体" w:cs="宋体"/>
          <w:color w:val="auto"/>
        </w:rPr>
      </w:pPr>
    </w:p>
    <w:p>
      <w:pPr>
        <w:rPr>
          <w:rFonts w:hint="eastAsia" w:ascii="宋体" w:hAnsi="宋体" w:eastAsia="宋体" w:cs="宋体"/>
          <w:color w:val="auto"/>
        </w:rPr>
      </w:pPr>
    </w:p>
    <w:p>
      <w:pPr>
        <w:pStyle w:val="13"/>
        <w:rPr>
          <w:rFonts w:hint="eastAsia" w:ascii="宋体" w:hAnsi="宋体" w:eastAsia="宋体" w:cs="宋体"/>
          <w:color w:val="auto"/>
        </w:rPr>
      </w:pPr>
    </w:p>
    <w:p>
      <w:pPr>
        <w:rPr>
          <w:rFonts w:hint="eastAsia" w:ascii="宋体" w:hAnsi="宋体" w:eastAsia="宋体" w:cs="宋体"/>
          <w:color w:val="auto"/>
        </w:rPr>
      </w:pPr>
    </w:p>
    <w:p>
      <w:pPr>
        <w:pStyle w:val="13"/>
        <w:rPr>
          <w:rFonts w:hint="eastAsia" w:ascii="宋体" w:hAnsi="宋体" w:eastAsia="宋体" w:cs="宋体"/>
          <w:color w:val="auto"/>
        </w:rPr>
      </w:pPr>
    </w:p>
    <w:p>
      <w:pPr>
        <w:rPr>
          <w:rFonts w:hint="eastAsia" w:ascii="宋体" w:hAnsi="宋体" w:eastAsia="宋体" w:cs="宋体"/>
          <w:color w:val="auto"/>
        </w:rPr>
      </w:pPr>
    </w:p>
    <w:p>
      <w:pPr>
        <w:pStyle w:val="13"/>
        <w:rPr>
          <w:rFonts w:hint="eastAsia" w:ascii="宋体" w:hAnsi="宋体" w:eastAsia="宋体" w:cs="宋体"/>
          <w:color w:val="auto"/>
        </w:rPr>
      </w:pPr>
    </w:p>
    <w:p>
      <w:pPr>
        <w:rPr>
          <w:rFonts w:hint="eastAsia" w:ascii="宋体" w:hAnsi="宋体" w:eastAsia="宋体" w:cs="宋体"/>
          <w:color w:val="auto"/>
        </w:rPr>
      </w:pPr>
    </w:p>
    <w:p>
      <w:pPr>
        <w:rPr>
          <w:rFonts w:hint="eastAsia" w:ascii="宋体" w:hAnsi="宋体" w:eastAsia="宋体" w:cs="宋体"/>
          <w:color w:val="auto"/>
        </w:rPr>
      </w:pPr>
    </w:p>
    <w:p>
      <w:pPr>
        <w:pStyle w:val="13"/>
        <w:rPr>
          <w:rFonts w:hint="eastAsia" w:ascii="宋体" w:hAnsi="宋体" w:eastAsia="宋体" w:cs="宋体"/>
          <w:color w:val="auto"/>
        </w:rPr>
      </w:pPr>
    </w:p>
    <w:p>
      <w:pPr>
        <w:rPr>
          <w:rFonts w:hint="eastAsia" w:ascii="宋体" w:hAnsi="宋体" w:eastAsia="宋体" w:cs="宋体"/>
          <w:color w:val="auto"/>
        </w:rPr>
      </w:pPr>
    </w:p>
    <w:p>
      <w:pPr>
        <w:pStyle w:val="13"/>
        <w:rPr>
          <w:rFonts w:hint="eastAsia" w:ascii="宋体" w:hAnsi="宋体" w:eastAsia="宋体" w:cs="宋体"/>
        </w:rPr>
      </w:pPr>
    </w:p>
    <w:p>
      <w:pPr>
        <w:pStyle w:val="5"/>
        <w:jc w:val="center"/>
        <w:rPr>
          <w:rFonts w:hint="eastAsia" w:ascii="宋体" w:hAnsi="宋体" w:eastAsia="宋体" w:cs="宋体"/>
          <w:bCs w:val="0"/>
          <w:color w:val="auto"/>
          <w:sz w:val="24"/>
          <w:szCs w:val="24"/>
        </w:rPr>
      </w:pPr>
      <w:bookmarkStart w:id="114" w:name="_Toc53231544"/>
      <w:bookmarkStart w:id="115" w:name="_Toc53231756"/>
      <w:bookmarkStart w:id="116" w:name="_Toc78884390"/>
      <w:bookmarkStart w:id="117" w:name="_Toc53231800"/>
      <w:r>
        <w:rPr>
          <w:rFonts w:hint="eastAsia" w:ascii="宋体" w:hAnsi="宋体" w:eastAsia="宋体" w:cs="宋体"/>
          <w:bCs w:val="0"/>
          <w:color w:val="auto"/>
          <w:sz w:val="24"/>
          <w:szCs w:val="24"/>
        </w:rPr>
        <w:t>八、技术投标方案</w:t>
      </w:r>
      <w:bookmarkEnd w:id="114"/>
      <w:bookmarkEnd w:id="115"/>
      <w:bookmarkEnd w:id="116"/>
      <w:bookmarkEnd w:id="117"/>
    </w:p>
    <w:p>
      <w:pPr>
        <w:jc w:val="center"/>
        <w:rPr>
          <w:rFonts w:hint="eastAsia" w:ascii="宋体" w:hAnsi="宋体" w:eastAsia="宋体" w:cs="宋体"/>
          <w:b/>
          <w:color w:val="auto"/>
          <w:sz w:val="24"/>
        </w:rPr>
      </w:pPr>
      <w:r>
        <w:rPr>
          <w:rFonts w:hint="eastAsia" w:ascii="宋体" w:hAnsi="宋体" w:eastAsia="宋体" w:cs="宋体"/>
          <w:b/>
          <w:color w:val="auto"/>
          <w:sz w:val="24"/>
        </w:rPr>
        <w:t>（供应商自行编制，格式自拟）</w:t>
      </w:r>
    </w:p>
    <w:p>
      <w:pPr>
        <w:pStyle w:val="13"/>
        <w:rPr>
          <w:rFonts w:hint="eastAsia" w:ascii="宋体" w:hAnsi="宋体" w:eastAsia="宋体" w:cs="宋体"/>
          <w:color w:val="auto"/>
          <w:sz w:val="24"/>
        </w:rPr>
      </w:pPr>
    </w:p>
    <w:p>
      <w:pPr>
        <w:rPr>
          <w:rFonts w:hint="eastAsia" w:ascii="宋体" w:hAnsi="宋体" w:eastAsia="宋体" w:cs="宋体"/>
          <w:color w:val="auto"/>
          <w:sz w:val="24"/>
        </w:rPr>
      </w:pPr>
    </w:p>
    <w:p>
      <w:pPr>
        <w:pStyle w:val="13"/>
        <w:rPr>
          <w:rFonts w:hint="eastAsia" w:ascii="宋体" w:hAnsi="宋体" w:eastAsia="宋体" w:cs="宋体"/>
          <w:color w:val="auto"/>
          <w:sz w:val="24"/>
        </w:rPr>
      </w:pPr>
    </w:p>
    <w:p>
      <w:pPr>
        <w:rPr>
          <w:rFonts w:hint="eastAsia" w:ascii="宋体" w:hAnsi="宋体" w:eastAsia="宋体" w:cs="宋体"/>
          <w:color w:val="auto"/>
          <w:sz w:val="24"/>
        </w:rPr>
      </w:pPr>
    </w:p>
    <w:p>
      <w:pPr>
        <w:pStyle w:val="13"/>
        <w:rPr>
          <w:rFonts w:hint="eastAsia" w:ascii="宋体" w:hAnsi="宋体" w:eastAsia="宋体" w:cs="宋体"/>
          <w:color w:val="auto"/>
          <w:sz w:val="24"/>
        </w:rPr>
      </w:pPr>
    </w:p>
    <w:p>
      <w:pPr>
        <w:rPr>
          <w:rFonts w:hint="eastAsia" w:ascii="宋体" w:hAnsi="宋体" w:eastAsia="宋体" w:cs="宋体"/>
          <w:color w:val="auto"/>
          <w:sz w:val="24"/>
        </w:rPr>
      </w:pPr>
    </w:p>
    <w:p>
      <w:pPr>
        <w:pStyle w:val="13"/>
        <w:rPr>
          <w:rFonts w:hint="eastAsia" w:ascii="宋体" w:hAnsi="宋体" w:eastAsia="宋体" w:cs="宋体"/>
          <w:color w:val="auto"/>
          <w:sz w:val="24"/>
        </w:rPr>
      </w:pPr>
    </w:p>
    <w:p>
      <w:pPr>
        <w:rPr>
          <w:rFonts w:hint="eastAsia" w:ascii="宋体" w:hAnsi="宋体" w:eastAsia="宋体" w:cs="宋体"/>
          <w:color w:val="auto"/>
          <w:sz w:val="24"/>
        </w:rPr>
      </w:pPr>
    </w:p>
    <w:p>
      <w:pPr>
        <w:pStyle w:val="13"/>
        <w:rPr>
          <w:rFonts w:hint="eastAsia" w:ascii="宋体" w:hAnsi="宋体" w:eastAsia="宋体" w:cs="宋体"/>
          <w:color w:val="auto"/>
          <w:sz w:val="24"/>
        </w:rPr>
      </w:pPr>
    </w:p>
    <w:p>
      <w:pPr>
        <w:rPr>
          <w:rFonts w:hint="eastAsia" w:ascii="宋体" w:hAnsi="宋体" w:eastAsia="宋体" w:cs="宋体"/>
          <w:color w:val="auto"/>
          <w:sz w:val="24"/>
        </w:rPr>
      </w:pPr>
    </w:p>
    <w:p>
      <w:pPr>
        <w:rPr>
          <w:rFonts w:hint="eastAsia" w:ascii="宋体" w:hAnsi="宋体" w:eastAsia="宋体" w:cs="宋体"/>
          <w:color w:val="auto"/>
          <w:sz w:val="24"/>
        </w:rPr>
      </w:pPr>
    </w:p>
    <w:p>
      <w:pPr>
        <w:pStyle w:val="13"/>
        <w:rPr>
          <w:rFonts w:hint="eastAsia" w:ascii="宋体" w:hAnsi="宋体" w:eastAsia="宋体" w:cs="宋体"/>
          <w:color w:val="auto"/>
          <w:sz w:val="24"/>
        </w:rPr>
      </w:pPr>
    </w:p>
    <w:p>
      <w:pPr>
        <w:rPr>
          <w:rFonts w:hint="eastAsia" w:ascii="宋体" w:hAnsi="宋体" w:eastAsia="宋体" w:cs="宋体"/>
          <w:color w:val="auto"/>
          <w:sz w:val="24"/>
        </w:rPr>
      </w:pPr>
    </w:p>
    <w:p>
      <w:pPr>
        <w:pStyle w:val="13"/>
        <w:rPr>
          <w:rFonts w:hint="eastAsia" w:ascii="宋体" w:hAnsi="宋体" w:eastAsia="宋体" w:cs="宋体"/>
          <w:color w:val="auto"/>
          <w:sz w:val="24"/>
        </w:rPr>
      </w:pPr>
    </w:p>
    <w:p>
      <w:pPr>
        <w:rPr>
          <w:rFonts w:hint="eastAsia" w:ascii="宋体" w:hAnsi="宋体" w:eastAsia="宋体" w:cs="宋体"/>
          <w:color w:val="auto"/>
          <w:sz w:val="24"/>
        </w:rPr>
      </w:pPr>
    </w:p>
    <w:p>
      <w:pPr>
        <w:pStyle w:val="13"/>
        <w:rPr>
          <w:rFonts w:hint="eastAsia" w:ascii="宋体" w:hAnsi="宋体" w:eastAsia="宋体" w:cs="宋体"/>
          <w:color w:val="auto"/>
          <w:sz w:val="24"/>
        </w:rPr>
      </w:pPr>
    </w:p>
    <w:p>
      <w:pPr>
        <w:rPr>
          <w:rFonts w:hint="eastAsia" w:ascii="宋体" w:hAnsi="宋体" w:eastAsia="宋体" w:cs="宋体"/>
          <w:color w:val="auto"/>
          <w:sz w:val="24"/>
        </w:rPr>
      </w:pPr>
    </w:p>
    <w:p>
      <w:pPr>
        <w:pStyle w:val="13"/>
        <w:rPr>
          <w:rFonts w:hint="eastAsia" w:ascii="宋体" w:hAnsi="宋体" w:eastAsia="宋体" w:cs="宋体"/>
          <w:color w:val="auto"/>
          <w:sz w:val="24"/>
        </w:rPr>
      </w:pPr>
    </w:p>
    <w:p>
      <w:pPr>
        <w:rPr>
          <w:rFonts w:hint="eastAsia" w:ascii="宋体" w:hAnsi="宋体" w:eastAsia="宋体" w:cs="宋体"/>
          <w:color w:val="auto"/>
          <w:sz w:val="24"/>
        </w:rPr>
      </w:pPr>
    </w:p>
    <w:p>
      <w:pPr>
        <w:pStyle w:val="13"/>
        <w:rPr>
          <w:rFonts w:hint="eastAsia" w:ascii="宋体" w:hAnsi="宋体" w:eastAsia="宋体" w:cs="宋体"/>
          <w:color w:val="auto"/>
          <w:sz w:val="24"/>
        </w:rPr>
      </w:pPr>
    </w:p>
    <w:p>
      <w:pPr>
        <w:rPr>
          <w:rFonts w:hint="eastAsia" w:ascii="宋体" w:hAnsi="宋体" w:eastAsia="宋体" w:cs="宋体"/>
          <w:color w:val="auto"/>
          <w:sz w:val="24"/>
        </w:rPr>
      </w:pPr>
    </w:p>
    <w:p>
      <w:pPr>
        <w:pStyle w:val="13"/>
        <w:rPr>
          <w:rFonts w:hint="eastAsia" w:ascii="宋体" w:hAnsi="宋体" w:eastAsia="宋体" w:cs="宋体"/>
          <w:color w:val="auto"/>
          <w:sz w:val="24"/>
        </w:rPr>
      </w:pPr>
    </w:p>
    <w:p>
      <w:pPr>
        <w:rPr>
          <w:rFonts w:hint="eastAsia" w:ascii="宋体" w:hAnsi="宋体" w:eastAsia="宋体" w:cs="宋体"/>
          <w:color w:val="auto"/>
          <w:sz w:val="24"/>
        </w:rPr>
      </w:pPr>
    </w:p>
    <w:p>
      <w:pPr>
        <w:pStyle w:val="13"/>
        <w:rPr>
          <w:rFonts w:hint="eastAsia" w:ascii="宋体" w:hAnsi="宋体" w:eastAsia="宋体" w:cs="宋体"/>
          <w:color w:val="auto"/>
          <w:sz w:val="24"/>
        </w:rPr>
      </w:pPr>
    </w:p>
    <w:p>
      <w:pPr>
        <w:rPr>
          <w:rFonts w:hint="eastAsia" w:ascii="宋体" w:hAnsi="宋体" w:eastAsia="宋体" w:cs="宋体"/>
          <w:color w:val="auto"/>
          <w:sz w:val="24"/>
        </w:rPr>
      </w:pPr>
    </w:p>
    <w:p>
      <w:pPr>
        <w:pStyle w:val="13"/>
        <w:rPr>
          <w:rFonts w:hint="eastAsia" w:ascii="宋体" w:hAnsi="宋体" w:eastAsia="宋体" w:cs="宋体"/>
          <w:color w:val="auto"/>
        </w:rPr>
      </w:pPr>
    </w:p>
    <w:p>
      <w:pPr>
        <w:rPr>
          <w:rFonts w:hint="eastAsia" w:ascii="宋体" w:hAnsi="宋体" w:eastAsia="宋体" w:cs="宋体"/>
          <w:color w:val="auto"/>
        </w:rPr>
      </w:pPr>
    </w:p>
    <w:p>
      <w:pPr>
        <w:pStyle w:val="13"/>
        <w:rPr>
          <w:rFonts w:hint="eastAsia" w:ascii="宋体" w:hAnsi="宋体" w:eastAsia="宋体" w:cs="宋体"/>
          <w:color w:val="auto"/>
        </w:rPr>
      </w:pPr>
    </w:p>
    <w:p>
      <w:pPr>
        <w:rPr>
          <w:rFonts w:hint="eastAsia" w:ascii="宋体" w:hAnsi="宋体" w:eastAsia="宋体" w:cs="宋体"/>
          <w:color w:val="auto"/>
        </w:rPr>
      </w:pPr>
    </w:p>
    <w:p>
      <w:pPr>
        <w:pStyle w:val="13"/>
        <w:rPr>
          <w:rFonts w:hint="eastAsia" w:ascii="宋体" w:hAnsi="宋体" w:eastAsia="宋体" w:cs="宋体"/>
          <w:color w:val="auto"/>
        </w:rPr>
      </w:pPr>
    </w:p>
    <w:p>
      <w:pPr>
        <w:rPr>
          <w:rFonts w:hint="eastAsia" w:ascii="宋体" w:hAnsi="宋体" w:eastAsia="宋体" w:cs="宋体"/>
          <w:color w:val="auto"/>
        </w:rPr>
      </w:pPr>
    </w:p>
    <w:p>
      <w:pPr>
        <w:pStyle w:val="13"/>
        <w:rPr>
          <w:rFonts w:hint="eastAsia" w:ascii="宋体" w:hAnsi="宋体" w:eastAsia="宋体" w:cs="宋体"/>
          <w:color w:val="auto"/>
        </w:rPr>
      </w:pPr>
    </w:p>
    <w:p>
      <w:pPr>
        <w:pStyle w:val="13"/>
        <w:rPr>
          <w:rFonts w:hint="eastAsia" w:ascii="宋体" w:hAnsi="宋体" w:eastAsia="宋体" w:cs="宋体"/>
          <w:color w:val="auto"/>
          <w:sz w:val="24"/>
        </w:rPr>
      </w:pPr>
    </w:p>
    <w:p>
      <w:pPr>
        <w:pStyle w:val="5"/>
        <w:jc w:val="center"/>
        <w:rPr>
          <w:rFonts w:hint="eastAsia" w:ascii="宋体" w:hAnsi="宋体" w:eastAsia="宋体" w:cs="宋体"/>
          <w:bCs w:val="0"/>
          <w:color w:val="auto"/>
          <w:sz w:val="24"/>
          <w:szCs w:val="24"/>
        </w:rPr>
      </w:pPr>
      <w:bookmarkStart w:id="118" w:name="_Toc78884391"/>
      <w:r>
        <w:rPr>
          <w:rFonts w:hint="eastAsia" w:ascii="宋体" w:hAnsi="宋体" w:eastAsia="宋体" w:cs="宋体"/>
          <w:bCs w:val="0"/>
          <w:color w:val="auto"/>
          <w:sz w:val="24"/>
          <w:szCs w:val="24"/>
        </w:rPr>
        <w:t>九、商务投标方案</w:t>
      </w:r>
      <w:bookmarkEnd w:id="118"/>
    </w:p>
    <w:p>
      <w:pPr>
        <w:pStyle w:val="82"/>
        <w:jc w:val="center"/>
        <w:rPr>
          <w:rFonts w:hint="eastAsia" w:ascii="宋体" w:hAnsi="宋体" w:eastAsia="宋体" w:cs="宋体"/>
          <w:b/>
          <w:bCs/>
          <w:color w:val="auto"/>
          <w:szCs w:val="24"/>
        </w:rPr>
      </w:pPr>
      <w:r>
        <w:rPr>
          <w:rFonts w:hint="eastAsia" w:ascii="宋体" w:hAnsi="宋体" w:eastAsia="宋体" w:cs="宋体"/>
          <w:b/>
          <w:bCs/>
          <w:color w:val="auto"/>
          <w:szCs w:val="24"/>
        </w:rPr>
        <w:t>（一）供应商2018年至今完成类似业绩情况</w:t>
      </w:r>
    </w:p>
    <w:p>
      <w:pPr>
        <w:rPr>
          <w:rFonts w:hint="eastAsia" w:ascii="宋体" w:hAnsi="宋体" w:eastAsia="宋体" w:cs="宋体"/>
          <w:color w:val="auto"/>
          <w:sz w:val="24"/>
        </w:rPr>
      </w:pPr>
    </w:p>
    <w:tbl>
      <w:tblPr>
        <w:tblStyle w:val="28"/>
        <w:tblW w:w="90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5"/>
        <w:gridCol w:w="1504"/>
        <w:gridCol w:w="2931"/>
        <w:gridCol w:w="1846"/>
        <w:gridCol w:w="18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915" w:type="dxa"/>
            <w:vAlign w:val="center"/>
          </w:tcPr>
          <w:p>
            <w:pPr>
              <w:jc w:val="center"/>
              <w:rPr>
                <w:rFonts w:hint="eastAsia" w:ascii="宋体" w:hAnsi="宋体" w:eastAsia="宋体" w:cs="宋体"/>
                <w:bCs/>
                <w:color w:val="auto"/>
                <w:sz w:val="24"/>
              </w:rPr>
            </w:pPr>
            <w:r>
              <w:rPr>
                <w:rFonts w:hint="eastAsia" w:ascii="宋体" w:hAnsi="宋体" w:eastAsia="宋体" w:cs="宋体"/>
                <w:bCs/>
                <w:color w:val="auto"/>
                <w:sz w:val="24"/>
              </w:rPr>
              <w:t>序号</w:t>
            </w:r>
          </w:p>
        </w:tc>
        <w:tc>
          <w:tcPr>
            <w:tcW w:w="1504" w:type="dxa"/>
            <w:vAlign w:val="center"/>
          </w:tcPr>
          <w:p>
            <w:pPr>
              <w:jc w:val="center"/>
              <w:rPr>
                <w:rFonts w:hint="eastAsia" w:ascii="宋体" w:hAnsi="宋体" w:eastAsia="宋体" w:cs="宋体"/>
                <w:bCs/>
                <w:color w:val="auto"/>
                <w:sz w:val="24"/>
              </w:rPr>
            </w:pPr>
            <w:r>
              <w:rPr>
                <w:rFonts w:hint="eastAsia" w:ascii="宋体" w:hAnsi="宋体" w:eastAsia="宋体" w:cs="宋体"/>
                <w:bCs/>
                <w:color w:val="auto"/>
                <w:sz w:val="24"/>
              </w:rPr>
              <w:t>建设单位</w:t>
            </w:r>
          </w:p>
        </w:tc>
        <w:tc>
          <w:tcPr>
            <w:tcW w:w="2931" w:type="dxa"/>
            <w:vAlign w:val="center"/>
          </w:tcPr>
          <w:p>
            <w:pPr>
              <w:jc w:val="center"/>
              <w:rPr>
                <w:rFonts w:hint="eastAsia" w:ascii="宋体" w:hAnsi="宋体" w:eastAsia="宋体" w:cs="宋体"/>
                <w:bCs/>
                <w:color w:val="auto"/>
                <w:sz w:val="24"/>
              </w:rPr>
            </w:pPr>
            <w:r>
              <w:rPr>
                <w:rFonts w:hint="eastAsia" w:ascii="宋体" w:hAnsi="宋体" w:eastAsia="宋体" w:cs="宋体"/>
                <w:bCs/>
                <w:color w:val="auto"/>
                <w:sz w:val="24"/>
              </w:rPr>
              <w:t>项目名称及合同金额</w:t>
            </w:r>
          </w:p>
          <w:p>
            <w:pPr>
              <w:jc w:val="center"/>
              <w:rPr>
                <w:rFonts w:hint="eastAsia" w:ascii="宋体" w:hAnsi="宋体" w:eastAsia="宋体" w:cs="宋体"/>
                <w:bCs/>
                <w:color w:val="auto"/>
                <w:sz w:val="24"/>
              </w:rPr>
            </w:pPr>
            <w:r>
              <w:rPr>
                <w:rFonts w:hint="eastAsia" w:ascii="宋体" w:hAnsi="宋体" w:eastAsia="宋体" w:cs="宋体"/>
                <w:bCs/>
                <w:color w:val="auto"/>
                <w:sz w:val="24"/>
              </w:rPr>
              <w:t>（万元）</w:t>
            </w:r>
          </w:p>
        </w:tc>
        <w:tc>
          <w:tcPr>
            <w:tcW w:w="1846" w:type="dxa"/>
            <w:vAlign w:val="center"/>
          </w:tcPr>
          <w:p>
            <w:pPr>
              <w:jc w:val="center"/>
              <w:rPr>
                <w:rFonts w:hint="eastAsia" w:ascii="宋体" w:hAnsi="宋体" w:eastAsia="宋体" w:cs="宋体"/>
                <w:bCs/>
                <w:color w:val="auto"/>
                <w:sz w:val="24"/>
              </w:rPr>
            </w:pPr>
            <w:r>
              <w:rPr>
                <w:rFonts w:hint="eastAsia" w:ascii="宋体" w:hAnsi="宋体" w:eastAsia="宋体" w:cs="宋体"/>
                <w:bCs/>
                <w:color w:val="auto"/>
                <w:sz w:val="24"/>
              </w:rPr>
              <w:t>竣工时间</w:t>
            </w:r>
          </w:p>
        </w:tc>
        <w:tc>
          <w:tcPr>
            <w:tcW w:w="1843" w:type="dxa"/>
            <w:vAlign w:val="center"/>
          </w:tcPr>
          <w:p>
            <w:pPr>
              <w:jc w:val="center"/>
              <w:rPr>
                <w:rFonts w:hint="eastAsia" w:ascii="宋体" w:hAnsi="宋体" w:eastAsia="宋体" w:cs="宋体"/>
                <w:bCs/>
                <w:color w:val="auto"/>
                <w:sz w:val="24"/>
              </w:rPr>
            </w:pPr>
            <w:r>
              <w:rPr>
                <w:rFonts w:hint="eastAsia" w:ascii="宋体" w:hAnsi="宋体" w:eastAsia="宋体" w:cs="宋体"/>
                <w:bCs/>
                <w:color w:val="auto"/>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8" w:hRule="atLeast"/>
        </w:trPr>
        <w:tc>
          <w:tcPr>
            <w:tcW w:w="915" w:type="dxa"/>
            <w:vAlign w:val="center"/>
          </w:tcPr>
          <w:p>
            <w:pPr>
              <w:jc w:val="center"/>
              <w:rPr>
                <w:rFonts w:hint="eastAsia" w:ascii="宋体" w:hAnsi="宋体" w:eastAsia="宋体" w:cs="宋体"/>
                <w:bCs/>
                <w:color w:val="auto"/>
                <w:sz w:val="24"/>
              </w:rPr>
            </w:pPr>
          </w:p>
        </w:tc>
        <w:tc>
          <w:tcPr>
            <w:tcW w:w="1504" w:type="dxa"/>
            <w:vAlign w:val="center"/>
          </w:tcPr>
          <w:p>
            <w:pPr>
              <w:jc w:val="center"/>
              <w:rPr>
                <w:rFonts w:hint="eastAsia" w:ascii="宋体" w:hAnsi="宋体" w:eastAsia="宋体" w:cs="宋体"/>
                <w:bCs/>
                <w:color w:val="auto"/>
                <w:sz w:val="24"/>
              </w:rPr>
            </w:pPr>
          </w:p>
        </w:tc>
        <w:tc>
          <w:tcPr>
            <w:tcW w:w="2931" w:type="dxa"/>
            <w:vAlign w:val="center"/>
          </w:tcPr>
          <w:p>
            <w:pPr>
              <w:jc w:val="center"/>
              <w:rPr>
                <w:rFonts w:hint="eastAsia" w:ascii="宋体" w:hAnsi="宋体" w:eastAsia="宋体" w:cs="宋体"/>
                <w:bCs/>
                <w:color w:val="auto"/>
                <w:sz w:val="24"/>
              </w:rPr>
            </w:pPr>
          </w:p>
        </w:tc>
        <w:tc>
          <w:tcPr>
            <w:tcW w:w="1846" w:type="dxa"/>
            <w:vAlign w:val="center"/>
          </w:tcPr>
          <w:p>
            <w:pPr>
              <w:jc w:val="center"/>
              <w:rPr>
                <w:rFonts w:hint="eastAsia" w:ascii="宋体" w:hAnsi="宋体" w:eastAsia="宋体" w:cs="宋体"/>
                <w:bCs/>
                <w:color w:val="auto"/>
                <w:sz w:val="24"/>
              </w:rPr>
            </w:pPr>
          </w:p>
        </w:tc>
        <w:tc>
          <w:tcPr>
            <w:tcW w:w="1843" w:type="dxa"/>
            <w:vAlign w:val="center"/>
          </w:tcPr>
          <w:p>
            <w:pPr>
              <w:jc w:val="center"/>
              <w:rPr>
                <w:rFonts w:hint="eastAsia" w:ascii="宋体" w:hAnsi="宋体" w:eastAsia="宋体" w:cs="宋体"/>
                <w:bCs/>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8" w:hRule="atLeast"/>
        </w:trPr>
        <w:tc>
          <w:tcPr>
            <w:tcW w:w="915" w:type="dxa"/>
            <w:vAlign w:val="center"/>
          </w:tcPr>
          <w:p>
            <w:pPr>
              <w:jc w:val="center"/>
              <w:rPr>
                <w:rFonts w:hint="eastAsia" w:ascii="宋体" w:hAnsi="宋体" w:eastAsia="宋体" w:cs="宋体"/>
                <w:bCs/>
                <w:color w:val="auto"/>
                <w:sz w:val="24"/>
              </w:rPr>
            </w:pPr>
          </w:p>
        </w:tc>
        <w:tc>
          <w:tcPr>
            <w:tcW w:w="1504" w:type="dxa"/>
            <w:vAlign w:val="center"/>
          </w:tcPr>
          <w:p>
            <w:pPr>
              <w:jc w:val="center"/>
              <w:rPr>
                <w:rFonts w:hint="eastAsia" w:ascii="宋体" w:hAnsi="宋体" w:eastAsia="宋体" w:cs="宋体"/>
                <w:bCs/>
                <w:color w:val="auto"/>
                <w:sz w:val="24"/>
              </w:rPr>
            </w:pPr>
          </w:p>
        </w:tc>
        <w:tc>
          <w:tcPr>
            <w:tcW w:w="2931" w:type="dxa"/>
            <w:vAlign w:val="center"/>
          </w:tcPr>
          <w:p>
            <w:pPr>
              <w:jc w:val="center"/>
              <w:rPr>
                <w:rFonts w:hint="eastAsia" w:ascii="宋体" w:hAnsi="宋体" w:eastAsia="宋体" w:cs="宋体"/>
                <w:bCs/>
                <w:color w:val="auto"/>
                <w:sz w:val="24"/>
              </w:rPr>
            </w:pPr>
          </w:p>
        </w:tc>
        <w:tc>
          <w:tcPr>
            <w:tcW w:w="1846" w:type="dxa"/>
            <w:vAlign w:val="center"/>
          </w:tcPr>
          <w:p>
            <w:pPr>
              <w:jc w:val="center"/>
              <w:rPr>
                <w:rFonts w:hint="eastAsia" w:ascii="宋体" w:hAnsi="宋体" w:eastAsia="宋体" w:cs="宋体"/>
                <w:bCs/>
                <w:color w:val="auto"/>
                <w:sz w:val="24"/>
              </w:rPr>
            </w:pPr>
          </w:p>
        </w:tc>
        <w:tc>
          <w:tcPr>
            <w:tcW w:w="1843" w:type="dxa"/>
            <w:vAlign w:val="center"/>
          </w:tcPr>
          <w:p>
            <w:pPr>
              <w:jc w:val="center"/>
              <w:rPr>
                <w:rFonts w:hint="eastAsia" w:ascii="宋体" w:hAnsi="宋体" w:eastAsia="宋体" w:cs="宋体"/>
                <w:bCs/>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8" w:hRule="atLeast"/>
        </w:trPr>
        <w:tc>
          <w:tcPr>
            <w:tcW w:w="915" w:type="dxa"/>
            <w:vAlign w:val="center"/>
          </w:tcPr>
          <w:p>
            <w:pPr>
              <w:jc w:val="center"/>
              <w:rPr>
                <w:rFonts w:hint="eastAsia" w:ascii="宋体" w:hAnsi="宋体" w:eastAsia="宋体" w:cs="宋体"/>
                <w:bCs/>
                <w:color w:val="auto"/>
                <w:sz w:val="24"/>
              </w:rPr>
            </w:pPr>
          </w:p>
        </w:tc>
        <w:tc>
          <w:tcPr>
            <w:tcW w:w="1504" w:type="dxa"/>
            <w:vAlign w:val="center"/>
          </w:tcPr>
          <w:p>
            <w:pPr>
              <w:jc w:val="center"/>
              <w:rPr>
                <w:rFonts w:hint="eastAsia" w:ascii="宋体" w:hAnsi="宋体" w:eastAsia="宋体" w:cs="宋体"/>
                <w:bCs/>
                <w:color w:val="auto"/>
                <w:sz w:val="24"/>
              </w:rPr>
            </w:pPr>
          </w:p>
        </w:tc>
        <w:tc>
          <w:tcPr>
            <w:tcW w:w="2931" w:type="dxa"/>
            <w:vAlign w:val="center"/>
          </w:tcPr>
          <w:p>
            <w:pPr>
              <w:jc w:val="center"/>
              <w:rPr>
                <w:rFonts w:hint="eastAsia" w:ascii="宋体" w:hAnsi="宋体" w:eastAsia="宋体" w:cs="宋体"/>
                <w:bCs/>
                <w:color w:val="auto"/>
                <w:sz w:val="24"/>
              </w:rPr>
            </w:pPr>
          </w:p>
        </w:tc>
        <w:tc>
          <w:tcPr>
            <w:tcW w:w="1846" w:type="dxa"/>
            <w:vAlign w:val="center"/>
          </w:tcPr>
          <w:p>
            <w:pPr>
              <w:jc w:val="center"/>
              <w:rPr>
                <w:rFonts w:hint="eastAsia" w:ascii="宋体" w:hAnsi="宋体" w:eastAsia="宋体" w:cs="宋体"/>
                <w:bCs/>
                <w:color w:val="auto"/>
                <w:sz w:val="24"/>
              </w:rPr>
            </w:pPr>
          </w:p>
        </w:tc>
        <w:tc>
          <w:tcPr>
            <w:tcW w:w="1843" w:type="dxa"/>
            <w:vAlign w:val="center"/>
          </w:tcPr>
          <w:p>
            <w:pPr>
              <w:jc w:val="center"/>
              <w:rPr>
                <w:rFonts w:hint="eastAsia" w:ascii="宋体" w:hAnsi="宋体" w:eastAsia="宋体" w:cs="宋体"/>
                <w:bCs/>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8" w:hRule="atLeast"/>
        </w:trPr>
        <w:tc>
          <w:tcPr>
            <w:tcW w:w="915" w:type="dxa"/>
            <w:vAlign w:val="center"/>
          </w:tcPr>
          <w:p>
            <w:pPr>
              <w:jc w:val="center"/>
              <w:rPr>
                <w:rFonts w:hint="eastAsia" w:ascii="宋体" w:hAnsi="宋体" w:eastAsia="宋体" w:cs="宋体"/>
                <w:bCs/>
                <w:color w:val="auto"/>
                <w:sz w:val="24"/>
              </w:rPr>
            </w:pPr>
          </w:p>
        </w:tc>
        <w:tc>
          <w:tcPr>
            <w:tcW w:w="1504" w:type="dxa"/>
            <w:vAlign w:val="center"/>
          </w:tcPr>
          <w:p>
            <w:pPr>
              <w:jc w:val="center"/>
              <w:rPr>
                <w:rFonts w:hint="eastAsia" w:ascii="宋体" w:hAnsi="宋体" w:eastAsia="宋体" w:cs="宋体"/>
                <w:bCs/>
                <w:color w:val="auto"/>
                <w:sz w:val="24"/>
              </w:rPr>
            </w:pPr>
          </w:p>
        </w:tc>
        <w:tc>
          <w:tcPr>
            <w:tcW w:w="2931" w:type="dxa"/>
            <w:vAlign w:val="center"/>
          </w:tcPr>
          <w:p>
            <w:pPr>
              <w:jc w:val="center"/>
              <w:rPr>
                <w:rFonts w:hint="eastAsia" w:ascii="宋体" w:hAnsi="宋体" w:eastAsia="宋体" w:cs="宋体"/>
                <w:bCs/>
                <w:color w:val="auto"/>
                <w:sz w:val="24"/>
              </w:rPr>
            </w:pPr>
          </w:p>
        </w:tc>
        <w:tc>
          <w:tcPr>
            <w:tcW w:w="1846" w:type="dxa"/>
            <w:vAlign w:val="center"/>
          </w:tcPr>
          <w:p>
            <w:pPr>
              <w:jc w:val="center"/>
              <w:rPr>
                <w:rFonts w:hint="eastAsia" w:ascii="宋体" w:hAnsi="宋体" w:eastAsia="宋体" w:cs="宋体"/>
                <w:bCs/>
                <w:color w:val="auto"/>
                <w:sz w:val="24"/>
              </w:rPr>
            </w:pPr>
          </w:p>
        </w:tc>
        <w:tc>
          <w:tcPr>
            <w:tcW w:w="1843" w:type="dxa"/>
            <w:vAlign w:val="center"/>
          </w:tcPr>
          <w:p>
            <w:pPr>
              <w:jc w:val="center"/>
              <w:rPr>
                <w:rFonts w:hint="eastAsia" w:ascii="宋体" w:hAnsi="宋体" w:eastAsia="宋体" w:cs="宋体"/>
                <w:bCs/>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8" w:hRule="atLeast"/>
        </w:trPr>
        <w:tc>
          <w:tcPr>
            <w:tcW w:w="915" w:type="dxa"/>
            <w:vAlign w:val="center"/>
          </w:tcPr>
          <w:p>
            <w:pPr>
              <w:jc w:val="center"/>
              <w:rPr>
                <w:rFonts w:hint="eastAsia" w:ascii="宋体" w:hAnsi="宋体" w:eastAsia="宋体" w:cs="宋体"/>
                <w:bCs/>
                <w:color w:val="auto"/>
                <w:sz w:val="24"/>
              </w:rPr>
            </w:pPr>
          </w:p>
        </w:tc>
        <w:tc>
          <w:tcPr>
            <w:tcW w:w="1504" w:type="dxa"/>
            <w:vAlign w:val="center"/>
          </w:tcPr>
          <w:p>
            <w:pPr>
              <w:jc w:val="center"/>
              <w:rPr>
                <w:rFonts w:hint="eastAsia" w:ascii="宋体" w:hAnsi="宋体" w:eastAsia="宋体" w:cs="宋体"/>
                <w:bCs/>
                <w:color w:val="auto"/>
                <w:sz w:val="24"/>
              </w:rPr>
            </w:pPr>
          </w:p>
        </w:tc>
        <w:tc>
          <w:tcPr>
            <w:tcW w:w="2931" w:type="dxa"/>
            <w:vAlign w:val="center"/>
          </w:tcPr>
          <w:p>
            <w:pPr>
              <w:jc w:val="center"/>
              <w:rPr>
                <w:rFonts w:hint="eastAsia" w:ascii="宋体" w:hAnsi="宋体" w:eastAsia="宋体" w:cs="宋体"/>
                <w:bCs/>
                <w:color w:val="auto"/>
                <w:sz w:val="24"/>
              </w:rPr>
            </w:pPr>
          </w:p>
        </w:tc>
        <w:tc>
          <w:tcPr>
            <w:tcW w:w="1846" w:type="dxa"/>
            <w:vAlign w:val="center"/>
          </w:tcPr>
          <w:p>
            <w:pPr>
              <w:jc w:val="center"/>
              <w:rPr>
                <w:rFonts w:hint="eastAsia" w:ascii="宋体" w:hAnsi="宋体" w:eastAsia="宋体" w:cs="宋体"/>
                <w:bCs/>
                <w:color w:val="auto"/>
                <w:sz w:val="24"/>
              </w:rPr>
            </w:pPr>
          </w:p>
        </w:tc>
        <w:tc>
          <w:tcPr>
            <w:tcW w:w="1843" w:type="dxa"/>
            <w:vAlign w:val="center"/>
          </w:tcPr>
          <w:p>
            <w:pPr>
              <w:jc w:val="center"/>
              <w:rPr>
                <w:rFonts w:hint="eastAsia" w:ascii="宋体" w:hAnsi="宋体" w:eastAsia="宋体" w:cs="宋体"/>
                <w:bCs/>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8" w:hRule="atLeast"/>
        </w:trPr>
        <w:tc>
          <w:tcPr>
            <w:tcW w:w="915" w:type="dxa"/>
            <w:vAlign w:val="center"/>
          </w:tcPr>
          <w:p>
            <w:pPr>
              <w:jc w:val="center"/>
              <w:rPr>
                <w:rFonts w:hint="eastAsia" w:ascii="宋体" w:hAnsi="宋体" w:eastAsia="宋体" w:cs="宋体"/>
                <w:bCs/>
                <w:color w:val="auto"/>
                <w:sz w:val="24"/>
              </w:rPr>
            </w:pPr>
          </w:p>
        </w:tc>
        <w:tc>
          <w:tcPr>
            <w:tcW w:w="1504" w:type="dxa"/>
            <w:vAlign w:val="center"/>
          </w:tcPr>
          <w:p>
            <w:pPr>
              <w:jc w:val="center"/>
              <w:rPr>
                <w:rFonts w:hint="eastAsia" w:ascii="宋体" w:hAnsi="宋体" w:eastAsia="宋体" w:cs="宋体"/>
                <w:bCs/>
                <w:color w:val="auto"/>
                <w:sz w:val="24"/>
              </w:rPr>
            </w:pPr>
          </w:p>
        </w:tc>
        <w:tc>
          <w:tcPr>
            <w:tcW w:w="2931" w:type="dxa"/>
            <w:vAlign w:val="center"/>
          </w:tcPr>
          <w:p>
            <w:pPr>
              <w:jc w:val="center"/>
              <w:rPr>
                <w:rFonts w:hint="eastAsia" w:ascii="宋体" w:hAnsi="宋体" w:eastAsia="宋体" w:cs="宋体"/>
                <w:bCs/>
                <w:color w:val="auto"/>
                <w:sz w:val="24"/>
              </w:rPr>
            </w:pPr>
          </w:p>
        </w:tc>
        <w:tc>
          <w:tcPr>
            <w:tcW w:w="1846" w:type="dxa"/>
            <w:vAlign w:val="center"/>
          </w:tcPr>
          <w:p>
            <w:pPr>
              <w:jc w:val="center"/>
              <w:rPr>
                <w:rFonts w:hint="eastAsia" w:ascii="宋体" w:hAnsi="宋体" w:eastAsia="宋体" w:cs="宋体"/>
                <w:bCs/>
                <w:color w:val="auto"/>
                <w:sz w:val="24"/>
              </w:rPr>
            </w:pPr>
          </w:p>
        </w:tc>
        <w:tc>
          <w:tcPr>
            <w:tcW w:w="1843" w:type="dxa"/>
            <w:vAlign w:val="center"/>
          </w:tcPr>
          <w:p>
            <w:pPr>
              <w:jc w:val="center"/>
              <w:rPr>
                <w:rFonts w:hint="eastAsia" w:ascii="宋体" w:hAnsi="宋体" w:eastAsia="宋体" w:cs="宋体"/>
                <w:bCs/>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8" w:hRule="atLeast"/>
        </w:trPr>
        <w:tc>
          <w:tcPr>
            <w:tcW w:w="915" w:type="dxa"/>
            <w:vAlign w:val="center"/>
          </w:tcPr>
          <w:p>
            <w:pPr>
              <w:jc w:val="center"/>
              <w:rPr>
                <w:rFonts w:hint="eastAsia" w:ascii="宋体" w:hAnsi="宋体" w:eastAsia="宋体" w:cs="宋体"/>
                <w:bCs/>
                <w:color w:val="auto"/>
                <w:sz w:val="24"/>
              </w:rPr>
            </w:pPr>
          </w:p>
        </w:tc>
        <w:tc>
          <w:tcPr>
            <w:tcW w:w="1504" w:type="dxa"/>
            <w:vAlign w:val="center"/>
          </w:tcPr>
          <w:p>
            <w:pPr>
              <w:jc w:val="center"/>
              <w:rPr>
                <w:rFonts w:hint="eastAsia" w:ascii="宋体" w:hAnsi="宋体" w:eastAsia="宋体" w:cs="宋体"/>
                <w:bCs/>
                <w:color w:val="auto"/>
                <w:sz w:val="24"/>
              </w:rPr>
            </w:pPr>
          </w:p>
        </w:tc>
        <w:tc>
          <w:tcPr>
            <w:tcW w:w="2931" w:type="dxa"/>
            <w:vAlign w:val="center"/>
          </w:tcPr>
          <w:p>
            <w:pPr>
              <w:jc w:val="center"/>
              <w:rPr>
                <w:rFonts w:hint="eastAsia" w:ascii="宋体" w:hAnsi="宋体" w:eastAsia="宋体" w:cs="宋体"/>
                <w:bCs/>
                <w:color w:val="auto"/>
                <w:sz w:val="24"/>
              </w:rPr>
            </w:pPr>
          </w:p>
        </w:tc>
        <w:tc>
          <w:tcPr>
            <w:tcW w:w="1846" w:type="dxa"/>
            <w:vAlign w:val="center"/>
          </w:tcPr>
          <w:p>
            <w:pPr>
              <w:jc w:val="center"/>
              <w:rPr>
                <w:rFonts w:hint="eastAsia" w:ascii="宋体" w:hAnsi="宋体" w:eastAsia="宋体" w:cs="宋体"/>
                <w:bCs/>
                <w:color w:val="auto"/>
                <w:sz w:val="24"/>
              </w:rPr>
            </w:pPr>
          </w:p>
        </w:tc>
        <w:tc>
          <w:tcPr>
            <w:tcW w:w="1843" w:type="dxa"/>
            <w:vAlign w:val="center"/>
          </w:tcPr>
          <w:p>
            <w:pPr>
              <w:jc w:val="center"/>
              <w:rPr>
                <w:rFonts w:hint="eastAsia" w:ascii="宋体" w:hAnsi="宋体" w:eastAsia="宋体" w:cs="宋体"/>
                <w:bCs/>
                <w:color w:val="auto"/>
                <w:sz w:val="24"/>
              </w:rPr>
            </w:pPr>
          </w:p>
        </w:tc>
      </w:tr>
    </w:tbl>
    <w:p>
      <w:pPr>
        <w:jc w:val="left"/>
        <w:rPr>
          <w:rFonts w:hint="eastAsia" w:ascii="宋体" w:hAnsi="宋体" w:eastAsia="宋体" w:cs="宋体"/>
          <w:color w:val="auto"/>
          <w:sz w:val="24"/>
        </w:rPr>
      </w:pPr>
    </w:p>
    <w:p>
      <w:pPr>
        <w:ind w:left="482" w:hanging="482" w:hangingChars="200"/>
        <w:jc w:val="left"/>
        <w:rPr>
          <w:rFonts w:hint="eastAsia" w:ascii="宋体" w:hAnsi="宋体" w:eastAsia="宋体" w:cs="宋体"/>
          <w:b/>
          <w:bCs/>
          <w:color w:val="auto"/>
          <w:sz w:val="24"/>
        </w:rPr>
      </w:pPr>
      <w:r>
        <w:rPr>
          <w:rFonts w:hint="eastAsia" w:ascii="宋体" w:hAnsi="宋体" w:eastAsia="宋体" w:cs="宋体"/>
          <w:b/>
          <w:bCs/>
          <w:color w:val="auto"/>
          <w:sz w:val="24"/>
        </w:rPr>
        <w:t>注：</w:t>
      </w:r>
      <w:r>
        <w:rPr>
          <w:rFonts w:hint="eastAsia" w:ascii="宋体" w:hAnsi="宋体" w:eastAsia="宋体" w:cs="宋体"/>
          <w:b/>
          <w:bCs/>
          <w:color w:val="auto"/>
          <w:sz w:val="24"/>
          <w:lang w:eastAsia="zh-CN"/>
        </w:rPr>
        <w:t>业绩评审需提供本项目中标通知书及施工合同复印件，缺一无效，</w:t>
      </w:r>
      <w:r>
        <w:rPr>
          <w:rFonts w:hint="eastAsia" w:ascii="宋体" w:hAnsi="宋体" w:eastAsia="宋体" w:cs="宋体"/>
          <w:b/>
          <w:bCs/>
          <w:color w:val="auto"/>
          <w:sz w:val="24"/>
        </w:rPr>
        <w:t>证明材料在响应文件中附复印件。</w:t>
      </w:r>
    </w:p>
    <w:p>
      <w:pPr>
        <w:rPr>
          <w:rFonts w:hint="eastAsia" w:ascii="宋体" w:hAnsi="宋体" w:eastAsia="宋体" w:cs="宋体"/>
          <w:color w:val="auto"/>
          <w:sz w:val="24"/>
        </w:rPr>
      </w:pPr>
    </w:p>
    <w:p>
      <w:pPr>
        <w:pStyle w:val="13"/>
        <w:rPr>
          <w:rFonts w:hint="eastAsia" w:ascii="宋体" w:hAnsi="宋体" w:eastAsia="宋体" w:cs="宋体"/>
          <w:color w:val="auto"/>
          <w:sz w:val="24"/>
        </w:rPr>
      </w:pPr>
    </w:p>
    <w:p>
      <w:pPr>
        <w:rPr>
          <w:rFonts w:hint="eastAsia" w:ascii="宋体" w:hAnsi="宋体" w:eastAsia="宋体" w:cs="宋体"/>
          <w:color w:val="auto"/>
          <w:sz w:val="24"/>
        </w:rPr>
      </w:pPr>
    </w:p>
    <w:p>
      <w:pPr>
        <w:pStyle w:val="13"/>
        <w:rPr>
          <w:rFonts w:hint="eastAsia" w:ascii="宋体" w:hAnsi="宋体" w:eastAsia="宋体" w:cs="宋体"/>
          <w:color w:val="auto"/>
          <w:sz w:val="24"/>
        </w:rPr>
      </w:pPr>
    </w:p>
    <w:p>
      <w:pPr>
        <w:rPr>
          <w:rFonts w:hint="eastAsia" w:ascii="宋体" w:hAnsi="宋体" w:eastAsia="宋体" w:cs="宋体"/>
          <w:color w:val="auto"/>
          <w:sz w:val="24"/>
        </w:rPr>
      </w:pPr>
    </w:p>
    <w:p>
      <w:pPr>
        <w:rPr>
          <w:rFonts w:hint="eastAsia" w:ascii="宋体" w:hAnsi="宋体" w:eastAsia="宋体" w:cs="宋体"/>
          <w:color w:val="auto"/>
          <w:sz w:val="24"/>
        </w:rPr>
      </w:pPr>
    </w:p>
    <w:p>
      <w:pPr>
        <w:pStyle w:val="82"/>
        <w:jc w:val="center"/>
        <w:rPr>
          <w:rFonts w:hint="eastAsia" w:ascii="宋体" w:hAnsi="宋体" w:eastAsia="宋体" w:cs="宋体"/>
          <w:b/>
          <w:bCs/>
          <w:color w:val="auto"/>
          <w:szCs w:val="24"/>
        </w:rPr>
      </w:pPr>
      <w:bookmarkStart w:id="119" w:name="_Toc8554"/>
      <w:r>
        <w:rPr>
          <w:rFonts w:hint="eastAsia" w:ascii="宋体" w:hAnsi="宋体" w:eastAsia="宋体" w:cs="宋体"/>
          <w:b/>
          <w:bCs/>
          <w:color w:val="auto"/>
          <w:szCs w:val="24"/>
        </w:rPr>
        <w:t>（二）项目管理机构组成表</w:t>
      </w:r>
      <w:bookmarkEnd w:id="119"/>
    </w:p>
    <w:p>
      <w:pPr>
        <w:rPr>
          <w:rFonts w:hint="eastAsia" w:ascii="宋体" w:hAnsi="宋体" w:eastAsia="宋体" w:cs="宋体"/>
          <w:color w:val="auto"/>
          <w:sz w:val="24"/>
        </w:rPr>
      </w:pPr>
    </w:p>
    <w:tbl>
      <w:tblPr>
        <w:tblStyle w:val="28"/>
        <w:tblW w:w="9275"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3"/>
        <w:gridCol w:w="1173"/>
        <w:gridCol w:w="732"/>
        <w:gridCol w:w="1497"/>
        <w:gridCol w:w="851"/>
        <w:gridCol w:w="1417"/>
        <w:gridCol w:w="1671"/>
        <w:gridCol w:w="9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6" w:hRule="atLeast"/>
        </w:trPr>
        <w:tc>
          <w:tcPr>
            <w:tcW w:w="993" w:type="dxa"/>
            <w:vMerge w:val="restar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auto"/>
                <w:sz w:val="24"/>
              </w:rPr>
            </w:pPr>
            <w:r>
              <w:rPr>
                <w:rFonts w:hint="eastAsia" w:ascii="宋体" w:hAnsi="宋体" w:eastAsia="宋体" w:cs="宋体"/>
                <w:color w:val="auto"/>
                <w:sz w:val="24"/>
              </w:rPr>
              <w:t>职务</w:t>
            </w:r>
          </w:p>
        </w:tc>
        <w:tc>
          <w:tcPr>
            <w:tcW w:w="1173" w:type="dxa"/>
            <w:vMerge w:val="restar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auto"/>
                <w:sz w:val="24"/>
              </w:rPr>
            </w:pPr>
            <w:r>
              <w:rPr>
                <w:rFonts w:hint="eastAsia" w:ascii="宋体" w:hAnsi="宋体" w:eastAsia="宋体" w:cs="宋体"/>
                <w:color w:val="auto"/>
                <w:sz w:val="24"/>
              </w:rPr>
              <w:t>姓名</w:t>
            </w:r>
          </w:p>
        </w:tc>
        <w:tc>
          <w:tcPr>
            <w:tcW w:w="732" w:type="dxa"/>
            <w:vMerge w:val="restar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auto"/>
                <w:sz w:val="24"/>
              </w:rPr>
            </w:pPr>
            <w:r>
              <w:rPr>
                <w:rFonts w:hint="eastAsia" w:ascii="宋体" w:hAnsi="宋体" w:eastAsia="宋体" w:cs="宋体"/>
                <w:color w:val="auto"/>
                <w:sz w:val="24"/>
              </w:rPr>
              <w:t>职称</w:t>
            </w:r>
          </w:p>
        </w:tc>
        <w:tc>
          <w:tcPr>
            <w:tcW w:w="5436" w:type="dxa"/>
            <w:gridSpan w:val="4"/>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auto"/>
                <w:sz w:val="24"/>
              </w:rPr>
            </w:pPr>
            <w:r>
              <w:rPr>
                <w:rFonts w:hint="eastAsia" w:ascii="宋体" w:hAnsi="宋体" w:eastAsia="宋体" w:cs="宋体"/>
                <w:color w:val="auto"/>
                <w:sz w:val="24"/>
              </w:rPr>
              <w:t>执业或职业资格证明</w:t>
            </w:r>
          </w:p>
        </w:tc>
        <w:tc>
          <w:tcPr>
            <w:tcW w:w="941" w:type="dxa"/>
            <w:vMerge w:val="restar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auto"/>
                <w:sz w:val="24"/>
              </w:rPr>
            </w:pPr>
            <w:r>
              <w:rPr>
                <w:rFonts w:hint="eastAsia" w:ascii="宋体" w:hAnsi="宋体" w:eastAsia="宋体" w:cs="宋体"/>
                <w:color w:val="auto"/>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7" w:hRule="atLeast"/>
        </w:trPr>
        <w:tc>
          <w:tcPr>
            <w:tcW w:w="99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eastAsia="宋体" w:cs="宋体"/>
                <w:color w:val="auto"/>
                <w:sz w:val="24"/>
              </w:rPr>
            </w:pPr>
          </w:p>
        </w:tc>
        <w:tc>
          <w:tcPr>
            <w:tcW w:w="117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eastAsia="宋体" w:cs="宋体"/>
                <w:color w:val="auto"/>
                <w:sz w:val="24"/>
              </w:rPr>
            </w:pPr>
          </w:p>
        </w:tc>
        <w:tc>
          <w:tcPr>
            <w:tcW w:w="73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eastAsia="宋体" w:cs="宋体"/>
                <w:color w:val="auto"/>
                <w:sz w:val="24"/>
              </w:rPr>
            </w:pPr>
          </w:p>
        </w:tc>
        <w:tc>
          <w:tcPr>
            <w:tcW w:w="149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auto"/>
                <w:sz w:val="24"/>
              </w:rPr>
            </w:pPr>
            <w:r>
              <w:rPr>
                <w:rFonts w:hint="eastAsia" w:ascii="宋体" w:hAnsi="宋体" w:eastAsia="宋体" w:cs="宋体"/>
                <w:color w:val="auto"/>
                <w:sz w:val="24"/>
              </w:rPr>
              <w:t>证书名称</w:t>
            </w:r>
          </w:p>
        </w:tc>
        <w:tc>
          <w:tcPr>
            <w:tcW w:w="85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auto"/>
                <w:sz w:val="24"/>
              </w:rPr>
            </w:pPr>
            <w:r>
              <w:rPr>
                <w:rFonts w:hint="eastAsia" w:ascii="宋体" w:hAnsi="宋体" w:eastAsia="宋体" w:cs="宋体"/>
                <w:color w:val="auto"/>
                <w:sz w:val="24"/>
              </w:rPr>
              <w:t>级别</w:t>
            </w:r>
          </w:p>
        </w:tc>
        <w:tc>
          <w:tcPr>
            <w:tcW w:w="141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auto"/>
                <w:sz w:val="24"/>
              </w:rPr>
            </w:pPr>
            <w:r>
              <w:rPr>
                <w:rFonts w:hint="eastAsia" w:ascii="宋体" w:hAnsi="宋体" w:eastAsia="宋体" w:cs="宋体"/>
                <w:color w:val="auto"/>
                <w:sz w:val="24"/>
              </w:rPr>
              <w:t>证号</w:t>
            </w:r>
          </w:p>
        </w:tc>
        <w:tc>
          <w:tcPr>
            <w:tcW w:w="167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auto"/>
                <w:sz w:val="24"/>
              </w:rPr>
            </w:pPr>
            <w:r>
              <w:rPr>
                <w:rFonts w:hint="eastAsia" w:ascii="宋体" w:hAnsi="宋体" w:eastAsia="宋体" w:cs="宋体"/>
                <w:color w:val="auto"/>
                <w:sz w:val="24"/>
              </w:rPr>
              <w:t>专业</w:t>
            </w:r>
          </w:p>
        </w:tc>
        <w:tc>
          <w:tcPr>
            <w:tcW w:w="94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eastAsia="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9" w:hRule="atLeast"/>
        </w:trPr>
        <w:tc>
          <w:tcPr>
            <w:tcW w:w="993" w:type="dxa"/>
            <w:tcBorders>
              <w:top w:val="single" w:color="auto" w:sz="4" w:space="0"/>
              <w:left w:val="single" w:color="auto" w:sz="4" w:space="0"/>
              <w:bottom w:val="single" w:color="auto" w:sz="4" w:space="0"/>
              <w:right w:val="single" w:color="auto" w:sz="4" w:space="0"/>
            </w:tcBorders>
          </w:tcPr>
          <w:p>
            <w:pPr>
              <w:spacing w:line="360" w:lineRule="auto"/>
              <w:rPr>
                <w:rFonts w:hint="eastAsia" w:ascii="宋体" w:hAnsi="宋体" w:eastAsia="宋体" w:cs="宋体"/>
                <w:color w:val="auto"/>
                <w:sz w:val="24"/>
              </w:rPr>
            </w:pPr>
          </w:p>
        </w:tc>
        <w:tc>
          <w:tcPr>
            <w:tcW w:w="1173" w:type="dxa"/>
            <w:tcBorders>
              <w:top w:val="single" w:color="auto" w:sz="4" w:space="0"/>
              <w:left w:val="single" w:color="auto" w:sz="4" w:space="0"/>
              <w:bottom w:val="single" w:color="auto" w:sz="4" w:space="0"/>
              <w:right w:val="single" w:color="auto" w:sz="4" w:space="0"/>
            </w:tcBorders>
          </w:tcPr>
          <w:p>
            <w:pPr>
              <w:spacing w:line="360" w:lineRule="auto"/>
              <w:rPr>
                <w:rFonts w:hint="eastAsia" w:ascii="宋体" w:hAnsi="宋体" w:eastAsia="宋体" w:cs="宋体"/>
                <w:color w:val="auto"/>
                <w:sz w:val="24"/>
              </w:rPr>
            </w:pPr>
          </w:p>
        </w:tc>
        <w:tc>
          <w:tcPr>
            <w:tcW w:w="732" w:type="dxa"/>
            <w:tcBorders>
              <w:top w:val="single" w:color="auto" w:sz="4" w:space="0"/>
              <w:left w:val="single" w:color="auto" w:sz="4" w:space="0"/>
              <w:bottom w:val="single" w:color="auto" w:sz="4" w:space="0"/>
              <w:right w:val="single" w:color="auto" w:sz="4" w:space="0"/>
            </w:tcBorders>
          </w:tcPr>
          <w:p>
            <w:pPr>
              <w:spacing w:line="360" w:lineRule="auto"/>
              <w:rPr>
                <w:rFonts w:hint="eastAsia" w:ascii="宋体" w:hAnsi="宋体" w:eastAsia="宋体" w:cs="宋体"/>
                <w:color w:val="auto"/>
                <w:sz w:val="24"/>
              </w:rPr>
            </w:pPr>
          </w:p>
        </w:tc>
        <w:tc>
          <w:tcPr>
            <w:tcW w:w="1497" w:type="dxa"/>
            <w:tcBorders>
              <w:top w:val="single" w:color="auto" w:sz="4" w:space="0"/>
              <w:left w:val="single" w:color="auto" w:sz="4" w:space="0"/>
              <w:bottom w:val="single" w:color="auto" w:sz="4" w:space="0"/>
              <w:right w:val="single" w:color="auto" w:sz="4" w:space="0"/>
            </w:tcBorders>
          </w:tcPr>
          <w:p>
            <w:pPr>
              <w:spacing w:line="360" w:lineRule="auto"/>
              <w:rPr>
                <w:rFonts w:hint="eastAsia" w:ascii="宋体" w:hAnsi="宋体" w:eastAsia="宋体" w:cs="宋体"/>
                <w:color w:val="auto"/>
                <w:sz w:val="24"/>
              </w:rPr>
            </w:pPr>
          </w:p>
        </w:tc>
        <w:tc>
          <w:tcPr>
            <w:tcW w:w="851" w:type="dxa"/>
            <w:tcBorders>
              <w:top w:val="single" w:color="auto" w:sz="4" w:space="0"/>
              <w:left w:val="single" w:color="auto" w:sz="4" w:space="0"/>
              <w:bottom w:val="single" w:color="auto" w:sz="4" w:space="0"/>
              <w:right w:val="single" w:color="auto" w:sz="4" w:space="0"/>
            </w:tcBorders>
          </w:tcPr>
          <w:p>
            <w:pPr>
              <w:spacing w:line="360" w:lineRule="auto"/>
              <w:rPr>
                <w:rFonts w:hint="eastAsia" w:ascii="宋体" w:hAnsi="宋体" w:eastAsia="宋体" w:cs="宋体"/>
                <w:color w:val="auto"/>
                <w:sz w:val="24"/>
              </w:rPr>
            </w:pPr>
          </w:p>
        </w:tc>
        <w:tc>
          <w:tcPr>
            <w:tcW w:w="1417" w:type="dxa"/>
            <w:tcBorders>
              <w:top w:val="single" w:color="auto" w:sz="4" w:space="0"/>
              <w:left w:val="single" w:color="auto" w:sz="4" w:space="0"/>
              <w:bottom w:val="single" w:color="auto" w:sz="4" w:space="0"/>
              <w:right w:val="single" w:color="auto" w:sz="4" w:space="0"/>
            </w:tcBorders>
          </w:tcPr>
          <w:p>
            <w:pPr>
              <w:spacing w:line="360" w:lineRule="auto"/>
              <w:rPr>
                <w:rFonts w:hint="eastAsia" w:ascii="宋体" w:hAnsi="宋体" w:eastAsia="宋体" w:cs="宋体"/>
                <w:color w:val="auto"/>
                <w:sz w:val="24"/>
              </w:rPr>
            </w:pPr>
          </w:p>
        </w:tc>
        <w:tc>
          <w:tcPr>
            <w:tcW w:w="1671" w:type="dxa"/>
            <w:tcBorders>
              <w:top w:val="single" w:color="auto" w:sz="4" w:space="0"/>
              <w:left w:val="single" w:color="auto" w:sz="4" w:space="0"/>
              <w:bottom w:val="single" w:color="auto" w:sz="4" w:space="0"/>
              <w:right w:val="single" w:color="auto" w:sz="4" w:space="0"/>
            </w:tcBorders>
          </w:tcPr>
          <w:p>
            <w:pPr>
              <w:spacing w:line="360" w:lineRule="auto"/>
              <w:ind w:firstLine="480" w:firstLineChars="200"/>
              <w:rPr>
                <w:rFonts w:hint="eastAsia" w:ascii="宋体" w:hAnsi="宋体" w:eastAsia="宋体" w:cs="宋体"/>
                <w:color w:val="auto"/>
                <w:sz w:val="24"/>
              </w:rPr>
            </w:pPr>
          </w:p>
        </w:tc>
        <w:tc>
          <w:tcPr>
            <w:tcW w:w="941" w:type="dxa"/>
            <w:tcBorders>
              <w:top w:val="single" w:color="auto" w:sz="4" w:space="0"/>
              <w:left w:val="single" w:color="auto" w:sz="4" w:space="0"/>
              <w:bottom w:val="single" w:color="auto" w:sz="4" w:space="0"/>
              <w:right w:val="single" w:color="auto" w:sz="4" w:space="0"/>
            </w:tcBorders>
          </w:tcPr>
          <w:p>
            <w:pPr>
              <w:spacing w:line="360" w:lineRule="auto"/>
              <w:rPr>
                <w:rFonts w:hint="eastAsia" w:ascii="宋体" w:hAnsi="宋体" w:eastAsia="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1" w:hRule="atLeast"/>
        </w:trPr>
        <w:tc>
          <w:tcPr>
            <w:tcW w:w="993" w:type="dxa"/>
            <w:tcBorders>
              <w:top w:val="single" w:color="auto" w:sz="4" w:space="0"/>
              <w:left w:val="single" w:color="auto" w:sz="4" w:space="0"/>
              <w:bottom w:val="single" w:color="auto" w:sz="4" w:space="0"/>
              <w:right w:val="single" w:color="auto" w:sz="4" w:space="0"/>
            </w:tcBorders>
          </w:tcPr>
          <w:p>
            <w:pPr>
              <w:spacing w:line="360" w:lineRule="auto"/>
              <w:rPr>
                <w:rFonts w:hint="eastAsia" w:ascii="宋体" w:hAnsi="宋体" w:eastAsia="宋体" w:cs="宋体"/>
                <w:color w:val="auto"/>
                <w:sz w:val="24"/>
              </w:rPr>
            </w:pPr>
          </w:p>
        </w:tc>
        <w:tc>
          <w:tcPr>
            <w:tcW w:w="1173" w:type="dxa"/>
            <w:tcBorders>
              <w:top w:val="single" w:color="auto" w:sz="4" w:space="0"/>
              <w:left w:val="single" w:color="auto" w:sz="4" w:space="0"/>
              <w:bottom w:val="single" w:color="auto" w:sz="4" w:space="0"/>
              <w:right w:val="single" w:color="auto" w:sz="4" w:space="0"/>
            </w:tcBorders>
          </w:tcPr>
          <w:p>
            <w:pPr>
              <w:spacing w:line="360" w:lineRule="auto"/>
              <w:rPr>
                <w:rFonts w:hint="eastAsia" w:ascii="宋体" w:hAnsi="宋体" w:eastAsia="宋体" w:cs="宋体"/>
                <w:color w:val="auto"/>
                <w:sz w:val="24"/>
              </w:rPr>
            </w:pPr>
          </w:p>
        </w:tc>
        <w:tc>
          <w:tcPr>
            <w:tcW w:w="732" w:type="dxa"/>
            <w:tcBorders>
              <w:top w:val="single" w:color="auto" w:sz="4" w:space="0"/>
              <w:left w:val="single" w:color="auto" w:sz="4" w:space="0"/>
              <w:bottom w:val="single" w:color="auto" w:sz="4" w:space="0"/>
              <w:right w:val="single" w:color="auto" w:sz="4" w:space="0"/>
            </w:tcBorders>
          </w:tcPr>
          <w:p>
            <w:pPr>
              <w:spacing w:line="360" w:lineRule="auto"/>
              <w:rPr>
                <w:rFonts w:hint="eastAsia" w:ascii="宋体" w:hAnsi="宋体" w:eastAsia="宋体" w:cs="宋体"/>
                <w:color w:val="auto"/>
                <w:sz w:val="24"/>
              </w:rPr>
            </w:pPr>
          </w:p>
        </w:tc>
        <w:tc>
          <w:tcPr>
            <w:tcW w:w="1497" w:type="dxa"/>
            <w:tcBorders>
              <w:top w:val="single" w:color="auto" w:sz="4" w:space="0"/>
              <w:left w:val="single" w:color="auto" w:sz="4" w:space="0"/>
              <w:bottom w:val="single" w:color="auto" w:sz="4" w:space="0"/>
              <w:right w:val="single" w:color="auto" w:sz="4" w:space="0"/>
            </w:tcBorders>
          </w:tcPr>
          <w:p>
            <w:pPr>
              <w:spacing w:line="360" w:lineRule="auto"/>
              <w:rPr>
                <w:rFonts w:hint="eastAsia" w:ascii="宋体" w:hAnsi="宋体" w:eastAsia="宋体" w:cs="宋体"/>
                <w:color w:val="auto"/>
                <w:sz w:val="24"/>
              </w:rPr>
            </w:pPr>
          </w:p>
        </w:tc>
        <w:tc>
          <w:tcPr>
            <w:tcW w:w="851" w:type="dxa"/>
            <w:tcBorders>
              <w:top w:val="single" w:color="auto" w:sz="4" w:space="0"/>
              <w:left w:val="single" w:color="auto" w:sz="4" w:space="0"/>
              <w:bottom w:val="single" w:color="auto" w:sz="4" w:space="0"/>
              <w:right w:val="single" w:color="auto" w:sz="4" w:space="0"/>
            </w:tcBorders>
          </w:tcPr>
          <w:p>
            <w:pPr>
              <w:spacing w:line="360" w:lineRule="auto"/>
              <w:rPr>
                <w:rFonts w:hint="eastAsia" w:ascii="宋体" w:hAnsi="宋体" w:eastAsia="宋体" w:cs="宋体"/>
                <w:color w:val="auto"/>
                <w:sz w:val="24"/>
              </w:rPr>
            </w:pPr>
          </w:p>
        </w:tc>
        <w:tc>
          <w:tcPr>
            <w:tcW w:w="1417" w:type="dxa"/>
            <w:tcBorders>
              <w:top w:val="single" w:color="auto" w:sz="4" w:space="0"/>
              <w:left w:val="single" w:color="auto" w:sz="4" w:space="0"/>
              <w:bottom w:val="single" w:color="auto" w:sz="4" w:space="0"/>
              <w:right w:val="single" w:color="auto" w:sz="4" w:space="0"/>
            </w:tcBorders>
          </w:tcPr>
          <w:p>
            <w:pPr>
              <w:spacing w:line="360" w:lineRule="auto"/>
              <w:rPr>
                <w:rFonts w:hint="eastAsia" w:ascii="宋体" w:hAnsi="宋体" w:eastAsia="宋体" w:cs="宋体"/>
                <w:color w:val="auto"/>
                <w:sz w:val="24"/>
              </w:rPr>
            </w:pPr>
          </w:p>
        </w:tc>
        <w:tc>
          <w:tcPr>
            <w:tcW w:w="1671" w:type="dxa"/>
            <w:tcBorders>
              <w:top w:val="single" w:color="auto" w:sz="4" w:space="0"/>
              <w:left w:val="single" w:color="auto" w:sz="4" w:space="0"/>
              <w:bottom w:val="single" w:color="auto" w:sz="4" w:space="0"/>
              <w:right w:val="single" w:color="auto" w:sz="4" w:space="0"/>
            </w:tcBorders>
          </w:tcPr>
          <w:p>
            <w:pPr>
              <w:spacing w:line="360" w:lineRule="auto"/>
              <w:rPr>
                <w:rFonts w:hint="eastAsia" w:ascii="宋体" w:hAnsi="宋体" w:eastAsia="宋体" w:cs="宋体"/>
                <w:color w:val="auto"/>
                <w:sz w:val="24"/>
              </w:rPr>
            </w:pPr>
          </w:p>
        </w:tc>
        <w:tc>
          <w:tcPr>
            <w:tcW w:w="941" w:type="dxa"/>
            <w:tcBorders>
              <w:top w:val="single" w:color="auto" w:sz="4" w:space="0"/>
              <w:left w:val="single" w:color="auto" w:sz="4" w:space="0"/>
              <w:bottom w:val="single" w:color="auto" w:sz="4" w:space="0"/>
              <w:right w:val="single" w:color="auto" w:sz="4" w:space="0"/>
            </w:tcBorders>
          </w:tcPr>
          <w:p>
            <w:pPr>
              <w:spacing w:line="360" w:lineRule="auto"/>
              <w:rPr>
                <w:rFonts w:hint="eastAsia" w:ascii="宋体" w:hAnsi="宋体" w:eastAsia="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9" w:hRule="atLeast"/>
        </w:trPr>
        <w:tc>
          <w:tcPr>
            <w:tcW w:w="993" w:type="dxa"/>
            <w:tcBorders>
              <w:top w:val="single" w:color="auto" w:sz="4" w:space="0"/>
              <w:left w:val="single" w:color="auto" w:sz="4" w:space="0"/>
              <w:bottom w:val="single" w:color="auto" w:sz="4" w:space="0"/>
              <w:right w:val="single" w:color="auto" w:sz="4" w:space="0"/>
            </w:tcBorders>
          </w:tcPr>
          <w:p>
            <w:pPr>
              <w:spacing w:line="360" w:lineRule="auto"/>
              <w:rPr>
                <w:rFonts w:hint="eastAsia" w:ascii="宋体" w:hAnsi="宋体" w:eastAsia="宋体" w:cs="宋体"/>
                <w:color w:val="auto"/>
                <w:sz w:val="24"/>
              </w:rPr>
            </w:pPr>
          </w:p>
        </w:tc>
        <w:tc>
          <w:tcPr>
            <w:tcW w:w="1173" w:type="dxa"/>
            <w:tcBorders>
              <w:top w:val="single" w:color="auto" w:sz="4" w:space="0"/>
              <w:left w:val="single" w:color="auto" w:sz="4" w:space="0"/>
              <w:bottom w:val="single" w:color="auto" w:sz="4" w:space="0"/>
              <w:right w:val="single" w:color="auto" w:sz="4" w:space="0"/>
            </w:tcBorders>
          </w:tcPr>
          <w:p>
            <w:pPr>
              <w:spacing w:line="360" w:lineRule="auto"/>
              <w:rPr>
                <w:rFonts w:hint="eastAsia" w:ascii="宋体" w:hAnsi="宋体" w:eastAsia="宋体" w:cs="宋体"/>
                <w:color w:val="auto"/>
                <w:sz w:val="24"/>
              </w:rPr>
            </w:pPr>
          </w:p>
        </w:tc>
        <w:tc>
          <w:tcPr>
            <w:tcW w:w="732" w:type="dxa"/>
            <w:tcBorders>
              <w:top w:val="single" w:color="auto" w:sz="4" w:space="0"/>
              <w:left w:val="single" w:color="auto" w:sz="4" w:space="0"/>
              <w:bottom w:val="single" w:color="auto" w:sz="4" w:space="0"/>
              <w:right w:val="single" w:color="auto" w:sz="4" w:space="0"/>
            </w:tcBorders>
          </w:tcPr>
          <w:p>
            <w:pPr>
              <w:spacing w:line="360" w:lineRule="auto"/>
              <w:rPr>
                <w:rFonts w:hint="eastAsia" w:ascii="宋体" w:hAnsi="宋体" w:eastAsia="宋体" w:cs="宋体"/>
                <w:color w:val="auto"/>
                <w:sz w:val="24"/>
              </w:rPr>
            </w:pPr>
          </w:p>
        </w:tc>
        <w:tc>
          <w:tcPr>
            <w:tcW w:w="1497" w:type="dxa"/>
            <w:tcBorders>
              <w:top w:val="single" w:color="auto" w:sz="4" w:space="0"/>
              <w:left w:val="single" w:color="auto" w:sz="4" w:space="0"/>
              <w:bottom w:val="single" w:color="auto" w:sz="4" w:space="0"/>
              <w:right w:val="single" w:color="auto" w:sz="4" w:space="0"/>
            </w:tcBorders>
          </w:tcPr>
          <w:p>
            <w:pPr>
              <w:spacing w:line="360" w:lineRule="auto"/>
              <w:rPr>
                <w:rFonts w:hint="eastAsia" w:ascii="宋体" w:hAnsi="宋体" w:eastAsia="宋体" w:cs="宋体"/>
                <w:color w:val="auto"/>
                <w:sz w:val="24"/>
              </w:rPr>
            </w:pPr>
          </w:p>
        </w:tc>
        <w:tc>
          <w:tcPr>
            <w:tcW w:w="851" w:type="dxa"/>
            <w:tcBorders>
              <w:top w:val="single" w:color="auto" w:sz="4" w:space="0"/>
              <w:left w:val="single" w:color="auto" w:sz="4" w:space="0"/>
              <w:bottom w:val="single" w:color="auto" w:sz="4" w:space="0"/>
              <w:right w:val="single" w:color="auto" w:sz="4" w:space="0"/>
            </w:tcBorders>
          </w:tcPr>
          <w:p>
            <w:pPr>
              <w:spacing w:line="360" w:lineRule="auto"/>
              <w:rPr>
                <w:rFonts w:hint="eastAsia" w:ascii="宋体" w:hAnsi="宋体" w:eastAsia="宋体" w:cs="宋体"/>
                <w:color w:val="auto"/>
                <w:sz w:val="24"/>
              </w:rPr>
            </w:pPr>
          </w:p>
        </w:tc>
        <w:tc>
          <w:tcPr>
            <w:tcW w:w="1417" w:type="dxa"/>
            <w:tcBorders>
              <w:top w:val="single" w:color="auto" w:sz="4" w:space="0"/>
              <w:left w:val="single" w:color="auto" w:sz="4" w:space="0"/>
              <w:bottom w:val="single" w:color="auto" w:sz="4" w:space="0"/>
              <w:right w:val="single" w:color="auto" w:sz="4" w:space="0"/>
            </w:tcBorders>
          </w:tcPr>
          <w:p>
            <w:pPr>
              <w:spacing w:line="360" w:lineRule="auto"/>
              <w:rPr>
                <w:rFonts w:hint="eastAsia" w:ascii="宋体" w:hAnsi="宋体" w:eastAsia="宋体" w:cs="宋体"/>
                <w:color w:val="auto"/>
                <w:sz w:val="24"/>
              </w:rPr>
            </w:pPr>
          </w:p>
        </w:tc>
        <w:tc>
          <w:tcPr>
            <w:tcW w:w="1671" w:type="dxa"/>
            <w:tcBorders>
              <w:top w:val="single" w:color="auto" w:sz="4" w:space="0"/>
              <w:left w:val="single" w:color="auto" w:sz="4" w:space="0"/>
              <w:bottom w:val="single" w:color="auto" w:sz="4" w:space="0"/>
              <w:right w:val="single" w:color="auto" w:sz="4" w:space="0"/>
            </w:tcBorders>
          </w:tcPr>
          <w:p>
            <w:pPr>
              <w:spacing w:line="360" w:lineRule="auto"/>
              <w:rPr>
                <w:rFonts w:hint="eastAsia" w:ascii="宋体" w:hAnsi="宋体" w:eastAsia="宋体" w:cs="宋体"/>
                <w:color w:val="auto"/>
                <w:sz w:val="24"/>
              </w:rPr>
            </w:pPr>
          </w:p>
        </w:tc>
        <w:tc>
          <w:tcPr>
            <w:tcW w:w="941" w:type="dxa"/>
            <w:tcBorders>
              <w:top w:val="single" w:color="auto" w:sz="4" w:space="0"/>
              <w:left w:val="single" w:color="auto" w:sz="4" w:space="0"/>
              <w:bottom w:val="single" w:color="auto" w:sz="4" w:space="0"/>
              <w:right w:val="single" w:color="auto" w:sz="4" w:space="0"/>
            </w:tcBorders>
          </w:tcPr>
          <w:p>
            <w:pPr>
              <w:spacing w:line="360" w:lineRule="auto"/>
              <w:rPr>
                <w:rFonts w:hint="eastAsia" w:ascii="宋体" w:hAnsi="宋体" w:eastAsia="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1" w:hRule="atLeast"/>
        </w:trPr>
        <w:tc>
          <w:tcPr>
            <w:tcW w:w="993" w:type="dxa"/>
            <w:tcBorders>
              <w:top w:val="single" w:color="auto" w:sz="4" w:space="0"/>
              <w:left w:val="single" w:color="auto" w:sz="4" w:space="0"/>
              <w:bottom w:val="single" w:color="auto" w:sz="4" w:space="0"/>
              <w:right w:val="single" w:color="auto" w:sz="4" w:space="0"/>
            </w:tcBorders>
          </w:tcPr>
          <w:p>
            <w:pPr>
              <w:spacing w:line="360" w:lineRule="auto"/>
              <w:rPr>
                <w:rFonts w:hint="eastAsia" w:ascii="宋体" w:hAnsi="宋体" w:eastAsia="宋体" w:cs="宋体"/>
                <w:color w:val="auto"/>
                <w:sz w:val="24"/>
              </w:rPr>
            </w:pPr>
          </w:p>
        </w:tc>
        <w:tc>
          <w:tcPr>
            <w:tcW w:w="1173" w:type="dxa"/>
            <w:tcBorders>
              <w:top w:val="single" w:color="auto" w:sz="4" w:space="0"/>
              <w:left w:val="single" w:color="auto" w:sz="4" w:space="0"/>
              <w:bottom w:val="single" w:color="auto" w:sz="4" w:space="0"/>
              <w:right w:val="single" w:color="auto" w:sz="4" w:space="0"/>
            </w:tcBorders>
          </w:tcPr>
          <w:p>
            <w:pPr>
              <w:spacing w:line="360" w:lineRule="auto"/>
              <w:rPr>
                <w:rFonts w:hint="eastAsia" w:ascii="宋体" w:hAnsi="宋体" w:eastAsia="宋体" w:cs="宋体"/>
                <w:color w:val="auto"/>
                <w:sz w:val="24"/>
              </w:rPr>
            </w:pPr>
          </w:p>
        </w:tc>
        <w:tc>
          <w:tcPr>
            <w:tcW w:w="732" w:type="dxa"/>
            <w:tcBorders>
              <w:top w:val="single" w:color="auto" w:sz="4" w:space="0"/>
              <w:left w:val="single" w:color="auto" w:sz="4" w:space="0"/>
              <w:bottom w:val="single" w:color="auto" w:sz="4" w:space="0"/>
              <w:right w:val="single" w:color="auto" w:sz="4" w:space="0"/>
            </w:tcBorders>
          </w:tcPr>
          <w:p>
            <w:pPr>
              <w:spacing w:line="360" w:lineRule="auto"/>
              <w:rPr>
                <w:rFonts w:hint="eastAsia" w:ascii="宋体" w:hAnsi="宋体" w:eastAsia="宋体" w:cs="宋体"/>
                <w:color w:val="auto"/>
                <w:sz w:val="24"/>
              </w:rPr>
            </w:pPr>
          </w:p>
        </w:tc>
        <w:tc>
          <w:tcPr>
            <w:tcW w:w="1497" w:type="dxa"/>
            <w:tcBorders>
              <w:top w:val="single" w:color="auto" w:sz="4" w:space="0"/>
              <w:left w:val="single" w:color="auto" w:sz="4" w:space="0"/>
              <w:bottom w:val="single" w:color="auto" w:sz="4" w:space="0"/>
              <w:right w:val="single" w:color="auto" w:sz="4" w:space="0"/>
            </w:tcBorders>
          </w:tcPr>
          <w:p>
            <w:pPr>
              <w:spacing w:line="360" w:lineRule="auto"/>
              <w:rPr>
                <w:rFonts w:hint="eastAsia" w:ascii="宋体" w:hAnsi="宋体" w:eastAsia="宋体" w:cs="宋体"/>
                <w:color w:val="auto"/>
                <w:sz w:val="24"/>
              </w:rPr>
            </w:pPr>
          </w:p>
        </w:tc>
        <w:tc>
          <w:tcPr>
            <w:tcW w:w="851" w:type="dxa"/>
            <w:tcBorders>
              <w:top w:val="single" w:color="auto" w:sz="4" w:space="0"/>
              <w:left w:val="single" w:color="auto" w:sz="4" w:space="0"/>
              <w:bottom w:val="single" w:color="auto" w:sz="4" w:space="0"/>
              <w:right w:val="single" w:color="auto" w:sz="4" w:space="0"/>
            </w:tcBorders>
          </w:tcPr>
          <w:p>
            <w:pPr>
              <w:spacing w:line="360" w:lineRule="auto"/>
              <w:rPr>
                <w:rFonts w:hint="eastAsia" w:ascii="宋体" w:hAnsi="宋体" w:eastAsia="宋体" w:cs="宋体"/>
                <w:color w:val="auto"/>
                <w:sz w:val="24"/>
              </w:rPr>
            </w:pPr>
          </w:p>
        </w:tc>
        <w:tc>
          <w:tcPr>
            <w:tcW w:w="1417" w:type="dxa"/>
            <w:tcBorders>
              <w:top w:val="single" w:color="auto" w:sz="4" w:space="0"/>
              <w:left w:val="single" w:color="auto" w:sz="4" w:space="0"/>
              <w:bottom w:val="single" w:color="auto" w:sz="4" w:space="0"/>
              <w:right w:val="single" w:color="auto" w:sz="4" w:space="0"/>
            </w:tcBorders>
          </w:tcPr>
          <w:p>
            <w:pPr>
              <w:spacing w:line="360" w:lineRule="auto"/>
              <w:rPr>
                <w:rFonts w:hint="eastAsia" w:ascii="宋体" w:hAnsi="宋体" w:eastAsia="宋体" w:cs="宋体"/>
                <w:color w:val="auto"/>
                <w:sz w:val="24"/>
              </w:rPr>
            </w:pPr>
          </w:p>
        </w:tc>
        <w:tc>
          <w:tcPr>
            <w:tcW w:w="1671" w:type="dxa"/>
            <w:tcBorders>
              <w:top w:val="single" w:color="auto" w:sz="4" w:space="0"/>
              <w:left w:val="single" w:color="auto" w:sz="4" w:space="0"/>
              <w:bottom w:val="single" w:color="auto" w:sz="4" w:space="0"/>
              <w:right w:val="single" w:color="auto" w:sz="4" w:space="0"/>
            </w:tcBorders>
          </w:tcPr>
          <w:p>
            <w:pPr>
              <w:spacing w:line="360" w:lineRule="auto"/>
              <w:rPr>
                <w:rFonts w:hint="eastAsia" w:ascii="宋体" w:hAnsi="宋体" w:eastAsia="宋体" w:cs="宋体"/>
                <w:color w:val="auto"/>
                <w:sz w:val="24"/>
              </w:rPr>
            </w:pPr>
          </w:p>
        </w:tc>
        <w:tc>
          <w:tcPr>
            <w:tcW w:w="941" w:type="dxa"/>
            <w:tcBorders>
              <w:top w:val="single" w:color="auto" w:sz="4" w:space="0"/>
              <w:left w:val="single" w:color="auto" w:sz="4" w:space="0"/>
              <w:bottom w:val="single" w:color="auto" w:sz="4" w:space="0"/>
              <w:right w:val="single" w:color="auto" w:sz="4" w:space="0"/>
            </w:tcBorders>
          </w:tcPr>
          <w:p>
            <w:pPr>
              <w:spacing w:line="360" w:lineRule="auto"/>
              <w:rPr>
                <w:rFonts w:hint="eastAsia" w:ascii="宋体" w:hAnsi="宋体" w:eastAsia="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1" w:hRule="atLeast"/>
        </w:trPr>
        <w:tc>
          <w:tcPr>
            <w:tcW w:w="993" w:type="dxa"/>
            <w:tcBorders>
              <w:top w:val="single" w:color="auto" w:sz="4" w:space="0"/>
              <w:left w:val="single" w:color="auto" w:sz="4" w:space="0"/>
              <w:bottom w:val="single" w:color="auto" w:sz="4" w:space="0"/>
              <w:right w:val="single" w:color="auto" w:sz="4" w:space="0"/>
            </w:tcBorders>
          </w:tcPr>
          <w:p>
            <w:pPr>
              <w:spacing w:line="360" w:lineRule="auto"/>
              <w:rPr>
                <w:rFonts w:hint="eastAsia" w:ascii="宋体" w:hAnsi="宋体" w:eastAsia="宋体" w:cs="宋体"/>
                <w:color w:val="auto"/>
                <w:sz w:val="24"/>
              </w:rPr>
            </w:pPr>
          </w:p>
        </w:tc>
        <w:tc>
          <w:tcPr>
            <w:tcW w:w="1173" w:type="dxa"/>
            <w:tcBorders>
              <w:top w:val="single" w:color="auto" w:sz="4" w:space="0"/>
              <w:left w:val="single" w:color="auto" w:sz="4" w:space="0"/>
              <w:bottom w:val="single" w:color="auto" w:sz="4" w:space="0"/>
              <w:right w:val="single" w:color="auto" w:sz="4" w:space="0"/>
            </w:tcBorders>
          </w:tcPr>
          <w:p>
            <w:pPr>
              <w:spacing w:line="360" w:lineRule="auto"/>
              <w:rPr>
                <w:rFonts w:hint="eastAsia" w:ascii="宋体" w:hAnsi="宋体" w:eastAsia="宋体" w:cs="宋体"/>
                <w:color w:val="auto"/>
                <w:sz w:val="24"/>
              </w:rPr>
            </w:pPr>
          </w:p>
        </w:tc>
        <w:tc>
          <w:tcPr>
            <w:tcW w:w="732" w:type="dxa"/>
            <w:tcBorders>
              <w:top w:val="single" w:color="auto" w:sz="4" w:space="0"/>
              <w:left w:val="single" w:color="auto" w:sz="4" w:space="0"/>
              <w:bottom w:val="single" w:color="auto" w:sz="4" w:space="0"/>
              <w:right w:val="single" w:color="auto" w:sz="4" w:space="0"/>
            </w:tcBorders>
          </w:tcPr>
          <w:p>
            <w:pPr>
              <w:spacing w:line="360" w:lineRule="auto"/>
              <w:rPr>
                <w:rFonts w:hint="eastAsia" w:ascii="宋体" w:hAnsi="宋体" w:eastAsia="宋体" w:cs="宋体"/>
                <w:color w:val="auto"/>
                <w:sz w:val="24"/>
              </w:rPr>
            </w:pPr>
          </w:p>
        </w:tc>
        <w:tc>
          <w:tcPr>
            <w:tcW w:w="1497" w:type="dxa"/>
            <w:tcBorders>
              <w:top w:val="single" w:color="auto" w:sz="4" w:space="0"/>
              <w:left w:val="single" w:color="auto" w:sz="4" w:space="0"/>
              <w:bottom w:val="single" w:color="auto" w:sz="4" w:space="0"/>
              <w:right w:val="single" w:color="auto" w:sz="4" w:space="0"/>
            </w:tcBorders>
          </w:tcPr>
          <w:p>
            <w:pPr>
              <w:spacing w:line="360" w:lineRule="auto"/>
              <w:rPr>
                <w:rFonts w:hint="eastAsia" w:ascii="宋体" w:hAnsi="宋体" w:eastAsia="宋体" w:cs="宋体"/>
                <w:color w:val="auto"/>
                <w:sz w:val="24"/>
              </w:rPr>
            </w:pPr>
          </w:p>
        </w:tc>
        <w:tc>
          <w:tcPr>
            <w:tcW w:w="851" w:type="dxa"/>
            <w:tcBorders>
              <w:top w:val="single" w:color="auto" w:sz="4" w:space="0"/>
              <w:left w:val="single" w:color="auto" w:sz="4" w:space="0"/>
              <w:bottom w:val="single" w:color="auto" w:sz="4" w:space="0"/>
              <w:right w:val="single" w:color="auto" w:sz="4" w:space="0"/>
            </w:tcBorders>
          </w:tcPr>
          <w:p>
            <w:pPr>
              <w:spacing w:line="360" w:lineRule="auto"/>
              <w:rPr>
                <w:rFonts w:hint="eastAsia" w:ascii="宋体" w:hAnsi="宋体" w:eastAsia="宋体" w:cs="宋体"/>
                <w:color w:val="auto"/>
                <w:sz w:val="24"/>
              </w:rPr>
            </w:pPr>
          </w:p>
        </w:tc>
        <w:tc>
          <w:tcPr>
            <w:tcW w:w="1417" w:type="dxa"/>
            <w:tcBorders>
              <w:top w:val="single" w:color="auto" w:sz="4" w:space="0"/>
              <w:left w:val="single" w:color="auto" w:sz="4" w:space="0"/>
              <w:bottom w:val="single" w:color="auto" w:sz="4" w:space="0"/>
              <w:right w:val="single" w:color="auto" w:sz="4" w:space="0"/>
            </w:tcBorders>
          </w:tcPr>
          <w:p>
            <w:pPr>
              <w:spacing w:line="360" w:lineRule="auto"/>
              <w:rPr>
                <w:rFonts w:hint="eastAsia" w:ascii="宋体" w:hAnsi="宋体" w:eastAsia="宋体" w:cs="宋体"/>
                <w:color w:val="auto"/>
                <w:sz w:val="24"/>
              </w:rPr>
            </w:pPr>
          </w:p>
        </w:tc>
        <w:tc>
          <w:tcPr>
            <w:tcW w:w="1671" w:type="dxa"/>
            <w:tcBorders>
              <w:top w:val="single" w:color="auto" w:sz="4" w:space="0"/>
              <w:left w:val="single" w:color="auto" w:sz="4" w:space="0"/>
              <w:bottom w:val="single" w:color="auto" w:sz="4" w:space="0"/>
              <w:right w:val="single" w:color="auto" w:sz="4" w:space="0"/>
            </w:tcBorders>
          </w:tcPr>
          <w:p>
            <w:pPr>
              <w:spacing w:line="360" w:lineRule="auto"/>
              <w:rPr>
                <w:rFonts w:hint="eastAsia" w:ascii="宋体" w:hAnsi="宋体" w:eastAsia="宋体" w:cs="宋体"/>
                <w:color w:val="auto"/>
                <w:sz w:val="24"/>
              </w:rPr>
            </w:pPr>
          </w:p>
        </w:tc>
        <w:tc>
          <w:tcPr>
            <w:tcW w:w="941" w:type="dxa"/>
            <w:tcBorders>
              <w:top w:val="single" w:color="auto" w:sz="4" w:space="0"/>
              <w:left w:val="single" w:color="auto" w:sz="4" w:space="0"/>
              <w:bottom w:val="single" w:color="auto" w:sz="4" w:space="0"/>
              <w:right w:val="single" w:color="auto" w:sz="4" w:space="0"/>
            </w:tcBorders>
          </w:tcPr>
          <w:p>
            <w:pPr>
              <w:spacing w:line="360" w:lineRule="auto"/>
              <w:rPr>
                <w:rFonts w:hint="eastAsia" w:ascii="宋体" w:hAnsi="宋体" w:eastAsia="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9" w:hRule="atLeast"/>
        </w:trPr>
        <w:tc>
          <w:tcPr>
            <w:tcW w:w="993" w:type="dxa"/>
            <w:tcBorders>
              <w:top w:val="single" w:color="auto" w:sz="4" w:space="0"/>
              <w:left w:val="single" w:color="auto" w:sz="4" w:space="0"/>
              <w:bottom w:val="single" w:color="auto" w:sz="4" w:space="0"/>
              <w:right w:val="single" w:color="auto" w:sz="4" w:space="0"/>
            </w:tcBorders>
          </w:tcPr>
          <w:p>
            <w:pPr>
              <w:spacing w:line="360" w:lineRule="auto"/>
              <w:rPr>
                <w:rFonts w:hint="eastAsia" w:ascii="宋体" w:hAnsi="宋体" w:eastAsia="宋体" w:cs="宋体"/>
                <w:color w:val="auto"/>
                <w:sz w:val="24"/>
              </w:rPr>
            </w:pPr>
          </w:p>
        </w:tc>
        <w:tc>
          <w:tcPr>
            <w:tcW w:w="1173" w:type="dxa"/>
            <w:tcBorders>
              <w:top w:val="single" w:color="auto" w:sz="4" w:space="0"/>
              <w:left w:val="single" w:color="auto" w:sz="4" w:space="0"/>
              <w:bottom w:val="single" w:color="auto" w:sz="4" w:space="0"/>
              <w:right w:val="single" w:color="auto" w:sz="4" w:space="0"/>
            </w:tcBorders>
          </w:tcPr>
          <w:p>
            <w:pPr>
              <w:spacing w:line="360" w:lineRule="auto"/>
              <w:rPr>
                <w:rFonts w:hint="eastAsia" w:ascii="宋体" w:hAnsi="宋体" w:eastAsia="宋体" w:cs="宋体"/>
                <w:color w:val="auto"/>
                <w:sz w:val="24"/>
              </w:rPr>
            </w:pPr>
          </w:p>
        </w:tc>
        <w:tc>
          <w:tcPr>
            <w:tcW w:w="732" w:type="dxa"/>
            <w:tcBorders>
              <w:top w:val="single" w:color="auto" w:sz="4" w:space="0"/>
              <w:left w:val="single" w:color="auto" w:sz="4" w:space="0"/>
              <w:bottom w:val="single" w:color="auto" w:sz="4" w:space="0"/>
              <w:right w:val="single" w:color="auto" w:sz="4" w:space="0"/>
            </w:tcBorders>
          </w:tcPr>
          <w:p>
            <w:pPr>
              <w:spacing w:line="360" w:lineRule="auto"/>
              <w:rPr>
                <w:rFonts w:hint="eastAsia" w:ascii="宋体" w:hAnsi="宋体" w:eastAsia="宋体" w:cs="宋体"/>
                <w:color w:val="auto"/>
                <w:sz w:val="24"/>
              </w:rPr>
            </w:pPr>
          </w:p>
        </w:tc>
        <w:tc>
          <w:tcPr>
            <w:tcW w:w="1497" w:type="dxa"/>
            <w:tcBorders>
              <w:top w:val="single" w:color="auto" w:sz="4" w:space="0"/>
              <w:left w:val="single" w:color="auto" w:sz="4" w:space="0"/>
              <w:bottom w:val="single" w:color="auto" w:sz="4" w:space="0"/>
              <w:right w:val="single" w:color="auto" w:sz="4" w:space="0"/>
            </w:tcBorders>
          </w:tcPr>
          <w:p>
            <w:pPr>
              <w:spacing w:line="360" w:lineRule="auto"/>
              <w:rPr>
                <w:rFonts w:hint="eastAsia" w:ascii="宋体" w:hAnsi="宋体" w:eastAsia="宋体" w:cs="宋体"/>
                <w:color w:val="auto"/>
                <w:sz w:val="24"/>
              </w:rPr>
            </w:pPr>
          </w:p>
        </w:tc>
        <w:tc>
          <w:tcPr>
            <w:tcW w:w="851" w:type="dxa"/>
            <w:tcBorders>
              <w:top w:val="single" w:color="auto" w:sz="4" w:space="0"/>
              <w:left w:val="single" w:color="auto" w:sz="4" w:space="0"/>
              <w:bottom w:val="single" w:color="auto" w:sz="4" w:space="0"/>
              <w:right w:val="single" w:color="auto" w:sz="4" w:space="0"/>
            </w:tcBorders>
          </w:tcPr>
          <w:p>
            <w:pPr>
              <w:spacing w:line="360" w:lineRule="auto"/>
              <w:rPr>
                <w:rFonts w:hint="eastAsia" w:ascii="宋体" w:hAnsi="宋体" w:eastAsia="宋体" w:cs="宋体"/>
                <w:color w:val="auto"/>
                <w:sz w:val="24"/>
              </w:rPr>
            </w:pPr>
          </w:p>
        </w:tc>
        <w:tc>
          <w:tcPr>
            <w:tcW w:w="1417" w:type="dxa"/>
            <w:tcBorders>
              <w:top w:val="single" w:color="auto" w:sz="4" w:space="0"/>
              <w:left w:val="single" w:color="auto" w:sz="4" w:space="0"/>
              <w:bottom w:val="single" w:color="auto" w:sz="4" w:space="0"/>
              <w:right w:val="single" w:color="auto" w:sz="4" w:space="0"/>
            </w:tcBorders>
          </w:tcPr>
          <w:p>
            <w:pPr>
              <w:spacing w:line="360" w:lineRule="auto"/>
              <w:rPr>
                <w:rFonts w:hint="eastAsia" w:ascii="宋体" w:hAnsi="宋体" w:eastAsia="宋体" w:cs="宋体"/>
                <w:color w:val="auto"/>
                <w:sz w:val="24"/>
              </w:rPr>
            </w:pPr>
          </w:p>
        </w:tc>
        <w:tc>
          <w:tcPr>
            <w:tcW w:w="1671" w:type="dxa"/>
            <w:tcBorders>
              <w:top w:val="single" w:color="auto" w:sz="4" w:space="0"/>
              <w:left w:val="single" w:color="auto" w:sz="4" w:space="0"/>
              <w:bottom w:val="single" w:color="auto" w:sz="4" w:space="0"/>
              <w:right w:val="single" w:color="auto" w:sz="4" w:space="0"/>
            </w:tcBorders>
          </w:tcPr>
          <w:p>
            <w:pPr>
              <w:spacing w:line="360" w:lineRule="auto"/>
              <w:rPr>
                <w:rFonts w:hint="eastAsia" w:ascii="宋体" w:hAnsi="宋体" w:eastAsia="宋体" w:cs="宋体"/>
                <w:color w:val="auto"/>
                <w:sz w:val="24"/>
              </w:rPr>
            </w:pPr>
          </w:p>
        </w:tc>
        <w:tc>
          <w:tcPr>
            <w:tcW w:w="941" w:type="dxa"/>
            <w:tcBorders>
              <w:top w:val="single" w:color="auto" w:sz="4" w:space="0"/>
              <w:left w:val="single" w:color="auto" w:sz="4" w:space="0"/>
              <w:bottom w:val="single" w:color="auto" w:sz="4" w:space="0"/>
              <w:right w:val="single" w:color="auto" w:sz="4" w:space="0"/>
            </w:tcBorders>
          </w:tcPr>
          <w:p>
            <w:pPr>
              <w:spacing w:line="360" w:lineRule="auto"/>
              <w:rPr>
                <w:rFonts w:hint="eastAsia" w:ascii="宋体" w:hAnsi="宋体" w:eastAsia="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1" w:hRule="atLeast"/>
        </w:trPr>
        <w:tc>
          <w:tcPr>
            <w:tcW w:w="993" w:type="dxa"/>
            <w:tcBorders>
              <w:top w:val="single" w:color="auto" w:sz="4" w:space="0"/>
              <w:left w:val="single" w:color="auto" w:sz="4" w:space="0"/>
              <w:bottom w:val="single" w:color="auto" w:sz="4" w:space="0"/>
              <w:right w:val="single" w:color="auto" w:sz="4" w:space="0"/>
            </w:tcBorders>
          </w:tcPr>
          <w:p>
            <w:pPr>
              <w:spacing w:line="360" w:lineRule="auto"/>
              <w:rPr>
                <w:rFonts w:hint="eastAsia" w:ascii="宋体" w:hAnsi="宋体" w:eastAsia="宋体" w:cs="宋体"/>
                <w:color w:val="auto"/>
                <w:sz w:val="24"/>
              </w:rPr>
            </w:pPr>
          </w:p>
        </w:tc>
        <w:tc>
          <w:tcPr>
            <w:tcW w:w="1173" w:type="dxa"/>
            <w:tcBorders>
              <w:top w:val="single" w:color="auto" w:sz="4" w:space="0"/>
              <w:left w:val="single" w:color="auto" w:sz="4" w:space="0"/>
              <w:bottom w:val="single" w:color="auto" w:sz="4" w:space="0"/>
              <w:right w:val="single" w:color="auto" w:sz="4" w:space="0"/>
            </w:tcBorders>
          </w:tcPr>
          <w:p>
            <w:pPr>
              <w:spacing w:line="360" w:lineRule="auto"/>
              <w:rPr>
                <w:rFonts w:hint="eastAsia" w:ascii="宋体" w:hAnsi="宋体" w:eastAsia="宋体" w:cs="宋体"/>
                <w:color w:val="auto"/>
                <w:sz w:val="24"/>
              </w:rPr>
            </w:pPr>
          </w:p>
        </w:tc>
        <w:tc>
          <w:tcPr>
            <w:tcW w:w="732" w:type="dxa"/>
            <w:tcBorders>
              <w:top w:val="single" w:color="auto" w:sz="4" w:space="0"/>
              <w:left w:val="single" w:color="auto" w:sz="4" w:space="0"/>
              <w:bottom w:val="single" w:color="auto" w:sz="4" w:space="0"/>
              <w:right w:val="single" w:color="auto" w:sz="4" w:space="0"/>
            </w:tcBorders>
          </w:tcPr>
          <w:p>
            <w:pPr>
              <w:spacing w:line="360" w:lineRule="auto"/>
              <w:rPr>
                <w:rFonts w:hint="eastAsia" w:ascii="宋体" w:hAnsi="宋体" w:eastAsia="宋体" w:cs="宋体"/>
                <w:color w:val="auto"/>
                <w:sz w:val="24"/>
              </w:rPr>
            </w:pPr>
          </w:p>
        </w:tc>
        <w:tc>
          <w:tcPr>
            <w:tcW w:w="1497" w:type="dxa"/>
            <w:tcBorders>
              <w:top w:val="single" w:color="auto" w:sz="4" w:space="0"/>
              <w:left w:val="single" w:color="auto" w:sz="4" w:space="0"/>
              <w:bottom w:val="single" w:color="auto" w:sz="4" w:space="0"/>
              <w:right w:val="single" w:color="auto" w:sz="4" w:space="0"/>
            </w:tcBorders>
          </w:tcPr>
          <w:p>
            <w:pPr>
              <w:spacing w:line="360" w:lineRule="auto"/>
              <w:rPr>
                <w:rFonts w:hint="eastAsia" w:ascii="宋体" w:hAnsi="宋体" w:eastAsia="宋体" w:cs="宋体"/>
                <w:color w:val="auto"/>
                <w:sz w:val="24"/>
              </w:rPr>
            </w:pPr>
          </w:p>
        </w:tc>
        <w:tc>
          <w:tcPr>
            <w:tcW w:w="851" w:type="dxa"/>
            <w:tcBorders>
              <w:top w:val="single" w:color="auto" w:sz="4" w:space="0"/>
              <w:left w:val="single" w:color="auto" w:sz="4" w:space="0"/>
              <w:bottom w:val="single" w:color="auto" w:sz="4" w:space="0"/>
              <w:right w:val="single" w:color="auto" w:sz="4" w:space="0"/>
            </w:tcBorders>
          </w:tcPr>
          <w:p>
            <w:pPr>
              <w:spacing w:line="360" w:lineRule="auto"/>
              <w:rPr>
                <w:rFonts w:hint="eastAsia" w:ascii="宋体" w:hAnsi="宋体" w:eastAsia="宋体" w:cs="宋体"/>
                <w:color w:val="auto"/>
                <w:sz w:val="24"/>
              </w:rPr>
            </w:pPr>
          </w:p>
        </w:tc>
        <w:tc>
          <w:tcPr>
            <w:tcW w:w="1417" w:type="dxa"/>
            <w:tcBorders>
              <w:top w:val="single" w:color="auto" w:sz="4" w:space="0"/>
              <w:left w:val="single" w:color="auto" w:sz="4" w:space="0"/>
              <w:bottom w:val="single" w:color="auto" w:sz="4" w:space="0"/>
              <w:right w:val="single" w:color="auto" w:sz="4" w:space="0"/>
            </w:tcBorders>
          </w:tcPr>
          <w:p>
            <w:pPr>
              <w:spacing w:line="360" w:lineRule="auto"/>
              <w:rPr>
                <w:rFonts w:hint="eastAsia" w:ascii="宋体" w:hAnsi="宋体" w:eastAsia="宋体" w:cs="宋体"/>
                <w:color w:val="auto"/>
                <w:sz w:val="24"/>
              </w:rPr>
            </w:pPr>
          </w:p>
        </w:tc>
        <w:tc>
          <w:tcPr>
            <w:tcW w:w="1671" w:type="dxa"/>
            <w:tcBorders>
              <w:top w:val="single" w:color="auto" w:sz="4" w:space="0"/>
              <w:left w:val="single" w:color="auto" w:sz="4" w:space="0"/>
              <w:bottom w:val="single" w:color="auto" w:sz="4" w:space="0"/>
              <w:right w:val="single" w:color="auto" w:sz="4" w:space="0"/>
            </w:tcBorders>
          </w:tcPr>
          <w:p>
            <w:pPr>
              <w:spacing w:line="360" w:lineRule="auto"/>
              <w:rPr>
                <w:rFonts w:hint="eastAsia" w:ascii="宋体" w:hAnsi="宋体" w:eastAsia="宋体" w:cs="宋体"/>
                <w:color w:val="auto"/>
                <w:sz w:val="24"/>
              </w:rPr>
            </w:pPr>
          </w:p>
        </w:tc>
        <w:tc>
          <w:tcPr>
            <w:tcW w:w="941" w:type="dxa"/>
            <w:tcBorders>
              <w:top w:val="single" w:color="auto" w:sz="4" w:space="0"/>
              <w:left w:val="single" w:color="auto" w:sz="4" w:space="0"/>
              <w:bottom w:val="single" w:color="auto" w:sz="4" w:space="0"/>
              <w:right w:val="single" w:color="auto" w:sz="4" w:space="0"/>
            </w:tcBorders>
          </w:tcPr>
          <w:p>
            <w:pPr>
              <w:spacing w:line="360" w:lineRule="auto"/>
              <w:rPr>
                <w:rFonts w:hint="eastAsia" w:ascii="宋体" w:hAnsi="宋体" w:eastAsia="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1" w:hRule="atLeast"/>
        </w:trPr>
        <w:tc>
          <w:tcPr>
            <w:tcW w:w="993" w:type="dxa"/>
            <w:tcBorders>
              <w:top w:val="single" w:color="auto" w:sz="4" w:space="0"/>
              <w:left w:val="single" w:color="auto" w:sz="4" w:space="0"/>
              <w:bottom w:val="single" w:color="auto" w:sz="4" w:space="0"/>
              <w:right w:val="single" w:color="auto" w:sz="4" w:space="0"/>
            </w:tcBorders>
          </w:tcPr>
          <w:p>
            <w:pPr>
              <w:spacing w:line="360" w:lineRule="auto"/>
              <w:rPr>
                <w:rFonts w:hint="eastAsia" w:ascii="宋体" w:hAnsi="宋体" w:eastAsia="宋体" w:cs="宋体"/>
                <w:color w:val="auto"/>
                <w:sz w:val="24"/>
              </w:rPr>
            </w:pPr>
          </w:p>
        </w:tc>
        <w:tc>
          <w:tcPr>
            <w:tcW w:w="1173" w:type="dxa"/>
            <w:tcBorders>
              <w:top w:val="single" w:color="auto" w:sz="4" w:space="0"/>
              <w:left w:val="single" w:color="auto" w:sz="4" w:space="0"/>
              <w:bottom w:val="single" w:color="auto" w:sz="4" w:space="0"/>
              <w:right w:val="single" w:color="auto" w:sz="4" w:space="0"/>
            </w:tcBorders>
          </w:tcPr>
          <w:p>
            <w:pPr>
              <w:spacing w:line="360" w:lineRule="auto"/>
              <w:rPr>
                <w:rFonts w:hint="eastAsia" w:ascii="宋体" w:hAnsi="宋体" w:eastAsia="宋体" w:cs="宋体"/>
                <w:color w:val="auto"/>
                <w:sz w:val="24"/>
              </w:rPr>
            </w:pPr>
          </w:p>
        </w:tc>
        <w:tc>
          <w:tcPr>
            <w:tcW w:w="732" w:type="dxa"/>
            <w:tcBorders>
              <w:top w:val="single" w:color="auto" w:sz="4" w:space="0"/>
              <w:left w:val="single" w:color="auto" w:sz="4" w:space="0"/>
              <w:bottom w:val="single" w:color="auto" w:sz="4" w:space="0"/>
              <w:right w:val="single" w:color="auto" w:sz="4" w:space="0"/>
            </w:tcBorders>
          </w:tcPr>
          <w:p>
            <w:pPr>
              <w:spacing w:line="360" w:lineRule="auto"/>
              <w:rPr>
                <w:rFonts w:hint="eastAsia" w:ascii="宋体" w:hAnsi="宋体" w:eastAsia="宋体" w:cs="宋体"/>
                <w:color w:val="auto"/>
                <w:sz w:val="24"/>
              </w:rPr>
            </w:pPr>
          </w:p>
        </w:tc>
        <w:tc>
          <w:tcPr>
            <w:tcW w:w="1497" w:type="dxa"/>
            <w:tcBorders>
              <w:top w:val="single" w:color="auto" w:sz="4" w:space="0"/>
              <w:left w:val="single" w:color="auto" w:sz="4" w:space="0"/>
              <w:bottom w:val="single" w:color="auto" w:sz="4" w:space="0"/>
              <w:right w:val="single" w:color="auto" w:sz="4" w:space="0"/>
            </w:tcBorders>
          </w:tcPr>
          <w:p>
            <w:pPr>
              <w:spacing w:line="360" w:lineRule="auto"/>
              <w:rPr>
                <w:rFonts w:hint="eastAsia" w:ascii="宋体" w:hAnsi="宋体" w:eastAsia="宋体" w:cs="宋体"/>
                <w:color w:val="auto"/>
                <w:sz w:val="24"/>
              </w:rPr>
            </w:pPr>
          </w:p>
        </w:tc>
        <w:tc>
          <w:tcPr>
            <w:tcW w:w="851" w:type="dxa"/>
            <w:tcBorders>
              <w:top w:val="single" w:color="auto" w:sz="4" w:space="0"/>
              <w:left w:val="single" w:color="auto" w:sz="4" w:space="0"/>
              <w:bottom w:val="single" w:color="auto" w:sz="4" w:space="0"/>
              <w:right w:val="single" w:color="auto" w:sz="4" w:space="0"/>
            </w:tcBorders>
          </w:tcPr>
          <w:p>
            <w:pPr>
              <w:spacing w:line="360" w:lineRule="auto"/>
              <w:rPr>
                <w:rFonts w:hint="eastAsia" w:ascii="宋体" w:hAnsi="宋体" w:eastAsia="宋体" w:cs="宋体"/>
                <w:color w:val="auto"/>
                <w:sz w:val="24"/>
              </w:rPr>
            </w:pPr>
          </w:p>
        </w:tc>
        <w:tc>
          <w:tcPr>
            <w:tcW w:w="1417" w:type="dxa"/>
            <w:tcBorders>
              <w:top w:val="single" w:color="auto" w:sz="4" w:space="0"/>
              <w:left w:val="single" w:color="auto" w:sz="4" w:space="0"/>
              <w:bottom w:val="single" w:color="auto" w:sz="4" w:space="0"/>
              <w:right w:val="single" w:color="auto" w:sz="4" w:space="0"/>
            </w:tcBorders>
          </w:tcPr>
          <w:p>
            <w:pPr>
              <w:spacing w:line="360" w:lineRule="auto"/>
              <w:rPr>
                <w:rFonts w:hint="eastAsia" w:ascii="宋体" w:hAnsi="宋体" w:eastAsia="宋体" w:cs="宋体"/>
                <w:color w:val="auto"/>
                <w:sz w:val="24"/>
              </w:rPr>
            </w:pPr>
          </w:p>
        </w:tc>
        <w:tc>
          <w:tcPr>
            <w:tcW w:w="1671" w:type="dxa"/>
            <w:tcBorders>
              <w:top w:val="single" w:color="auto" w:sz="4" w:space="0"/>
              <w:left w:val="single" w:color="auto" w:sz="4" w:space="0"/>
              <w:bottom w:val="single" w:color="auto" w:sz="4" w:space="0"/>
              <w:right w:val="single" w:color="auto" w:sz="4" w:space="0"/>
            </w:tcBorders>
          </w:tcPr>
          <w:p>
            <w:pPr>
              <w:spacing w:line="360" w:lineRule="auto"/>
              <w:rPr>
                <w:rFonts w:hint="eastAsia" w:ascii="宋体" w:hAnsi="宋体" w:eastAsia="宋体" w:cs="宋体"/>
                <w:color w:val="auto"/>
                <w:sz w:val="24"/>
              </w:rPr>
            </w:pPr>
          </w:p>
        </w:tc>
        <w:tc>
          <w:tcPr>
            <w:tcW w:w="941" w:type="dxa"/>
            <w:tcBorders>
              <w:top w:val="single" w:color="auto" w:sz="4" w:space="0"/>
              <w:left w:val="single" w:color="auto" w:sz="4" w:space="0"/>
              <w:bottom w:val="single" w:color="auto" w:sz="4" w:space="0"/>
              <w:right w:val="single" w:color="auto" w:sz="4" w:space="0"/>
            </w:tcBorders>
          </w:tcPr>
          <w:p>
            <w:pPr>
              <w:spacing w:line="360" w:lineRule="auto"/>
              <w:rPr>
                <w:rFonts w:hint="eastAsia" w:ascii="宋体" w:hAnsi="宋体" w:eastAsia="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1" w:hRule="atLeast"/>
        </w:trPr>
        <w:tc>
          <w:tcPr>
            <w:tcW w:w="993" w:type="dxa"/>
            <w:tcBorders>
              <w:top w:val="single" w:color="auto" w:sz="4" w:space="0"/>
              <w:left w:val="single" w:color="auto" w:sz="4" w:space="0"/>
              <w:bottom w:val="single" w:color="auto" w:sz="4" w:space="0"/>
              <w:right w:val="single" w:color="auto" w:sz="4" w:space="0"/>
            </w:tcBorders>
          </w:tcPr>
          <w:p>
            <w:pPr>
              <w:spacing w:line="360" w:lineRule="auto"/>
              <w:rPr>
                <w:rFonts w:hint="eastAsia" w:ascii="宋体" w:hAnsi="宋体" w:eastAsia="宋体" w:cs="宋体"/>
                <w:color w:val="auto"/>
                <w:sz w:val="24"/>
              </w:rPr>
            </w:pPr>
          </w:p>
        </w:tc>
        <w:tc>
          <w:tcPr>
            <w:tcW w:w="1173" w:type="dxa"/>
            <w:tcBorders>
              <w:top w:val="single" w:color="auto" w:sz="4" w:space="0"/>
              <w:left w:val="single" w:color="auto" w:sz="4" w:space="0"/>
              <w:bottom w:val="single" w:color="auto" w:sz="4" w:space="0"/>
              <w:right w:val="single" w:color="auto" w:sz="4" w:space="0"/>
            </w:tcBorders>
          </w:tcPr>
          <w:p>
            <w:pPr>
              <w:spacing w:line="360" w:lineRule="auto"/>
              <w:rPr>
                <w:rFonts w:hint="eastAsia" w:ascii="宋体" w:hAnsi="宋体" w:eastAsia="宋体" w:cs="宋体"/>
                <w:color w:val="auto"/>
                <w:sz w:val="24"/>
              </w:rPr>
            </w:pPr>
          </w:p>
        </w:tc>
        <w:tc>
          <w:tcPr>
            <w:tcW w:w="732" w:type="dxa"/>
            <w:tcBorders>
              <w:top w:val="single" w:color="auto" w:sz="4" w:space="0"/>
              <w:left w:val="single" w:color="auto" w:sz="4" w:space="0"/>
              <w:bottom w:val="single" w:color="auto" w:sz="4" w:space="0"/>
              <w:right w:val="single" w:color="auto" w:sz="4" w:space="0"/>
            </w:tcBorders>
          </w:tcPr>
          <w:p>
            <w:pPr>
              <w:spacing w:line="360" w:lineRule="auto"/>
              <w:rPr>
                <w:rFonts w:hint="eastAsia" w:ascii="宋体" w:hAnsi="宋体" w:eastAsia="宋体" w:cs="宋体"/>
                <w:color w:val="auto"/>
                <w:sz w:val="24"/>
              </w:rPr>
            </w:pPr>
          </w:p>
        </w:tc>
        <w:tc>
          <w:tcPr>
            <w:tcW w:w="1497" w:type="dxa"/>
            <w:tcBorders>
              <w:top w:val="single" w:color="auto" w:sz="4" w:space="0"/>
              <w:left w:val="single" w:color="auto" w:sz="4" w:space="0"/>
              <w:bottom w:val="single" w:color="auto" w:sz="4" w:space="0"/>
              <w:right w:val="single" w:color="auto" w:sz="4" w:space="0"/>
            </w:tcBorders>
          </w:tcPr>
          <w:p>
            <w:pPr>
              <w:spacing w:line="360" w:lineRule="auto"/>
              <w:rPr>
                <w:rFonts w:hint="eastAsia" w:ascii="宋体" w:hAnsi="宋体" w:eastAsia="宋体" w:cs="宋体"/>
                <w:color w:val="auto"/>
                <w:sz w:val="24"/>
              </w:rPr>
            </w:pPr>
          </w:p>
        </w:tc>
        <w:tc>
          <w:tcPr>
            <w:tcW w:w="851" w:type="dxa"/>
            <w:tcBorders>
              <w:top w:val="single" w:color="auto" w:sz="4" w:space="0"/>
              <w:left w:val="single" w:color="auto" w:sz="4" w:space="0"/>
              <w:bottom w:val="single" w:color="auto" w:sz="4" w:space="0"/>
              <w:right w:val="single" w:color="auto" w:sz="4" w:space="0"/>
            </w:tcBorders>
          </w:tcPr>
          <w:p>
            <w:pPr>
              <w:spacing w:line="360" w:lineRule="auto"/>
              <w:rPr>
                <w:rFonts w:hint="eastAsia" w:ascii="宋体" w:hAnsi="宋体" w:eastAsia="宋体" w:cs="宋体"/>
                <w:color w:val="auto"/>
                <w:sz w:val="24"/>
              </w:rPr>
            </w:pPr>
          </w:p>
        </w:tc>
        <w:tc>
          <w:tcPr>
            <w:tcW w:w="1417" w:type="dxa"/>
            <w:tcBorders>
              <w:top w:val="single" w:color="auto" w:sz="4" w:space="0"/>
              <w:left w:val="single" w:color="auto" w:sz="4" w:space="0"/>
              <w:bottom w:val="single" w:color="auto" w:sz="4" w:space="0"/>
              <w:right w:val="single" w:color="auto" w:sz="4" w:space="0"/>
            </w:tcBorders>
          </w:tcPr>
          <w:p>
            <w:pPr>
              <w:spacing w:line="360" w:lineRule="auto"/>
              <w:rPr>
                <w:rFonts w:hint="eastAsia" w:ascii="宋体" w:hAnsi="宋体" w:eastAsia="宋体" w:cs="宋体"/>
                <w:color w:val="auto"/>
                <w:sz w:val="24"/>
              </w:rPr>
            </w:pPr>
          </w:p>
        </w:tc>
        <w:tc>
          <w:tcPr>
            <w:tcW w:w="1671" w:type="dxa"/>
            <w:tcBorders>
              <w:top w:val="single" w:color="auto" w:sz="4" w:space="0"/>
              <w:left w:val="single" w:color="auto" w:sz="4" w:space="0"/>
              <w:bottom w:val="single" w:color="auto" w:sz="4" w:space="0"/>
              <w:right w:val="single" w:color="auto" w:sz="4" w:space="0"/>
            </w:tcBorders>
          </w:tcPr>
          <w:p>
            <w:pPr>
              <w:spacing w:line="360" w:lineRule="auto"/>
              <w:rPr>
                <w:rFonts w:hint="eastAsia" w:ascii="宋体" w:hAnsi="宋体" w:eastAsia="宋体" w:cs="宋体"/>
                <w:color w:val="auto"/>
                <w:sz w:val="24"/>
              </w:rPr>
            </w:pPr>
          </w:p>
        </w:tc>
        <w:tc>
          <w:tcPr>
            <w:tcW w:w="941" w:type="dxa"/>
            <w:tcBorders>
              <w:top w:val="single" w:color="auto" w:sz="4" w:space="0"/>
              <w:left w:val="single" w:color="auto" w:sz="4" w:space="0"/>
              <w:bottom w:val="single" w:color="auto" w:sz="4" w:space="0"/>
              <w:right w:val="single" w:color="auto" w:sz="4" w:space="0"/>
            </w:tcBorders>
          </w:tcPr>
          <w:p>
            <w:pPr>
              <w:spacing w:line="360" w:lineRule="auto"/>
              <w:rPr>
                <w:rFonts w:hint="eastAsia" w:ascii="宋体" w:hAnsi="宋体" w:eastAsia="宋体" w:cs="宋体"/>
                <w:color w:val="auto"/>
                <w:sz w:val="24"/>
              </w:rPr>
            </w:pPr>
          </w:p>
        </w:tc>
      </w:tr>
    </w:tbl>
    <w:p>
      <w:pPr>
        <w:rPr>
          <w:rFonts w:hint="eastAsia" w:ascii="宋体" w:hAnsi="宋体" w:eastAsia="宋体" w:cs="宋体"/>
          <w:color w:val="auto"/>
          <w:sz w:val="24"/>
        </w:rPr>
      </w:pPr>
    </w:p>
    <w:p>
      <w:pPr>
        <w:pStyle w:val="13"/>
        <w:rPr>
          <w:rFonts w:hint="eastAsia" w:ascii="宋体" w:hAnsi="宋体" w:eastAsia="宋体" w:cs="宋体"/>
          <w:color w:val="auto"/>
          <w:sz w:val="24"/>
        </w:rPr>
      </w:pPr>
    </w:p>
    <w:p>
      <w:pPr>
        <w:rPr>
          <w:rFonts w:hint="eastAsia" w:ascii="宋体" w:hAnsi="宋体" w:eastAsia="宋体" w:cs="宋体"/>
          <w:color w:val="auto"/>
          <w:sz w:val="24"/>
        </w:rPr>
      </w:pPr>
    </w:p>
    <w:p>
      <w:pPr>
        <w:pStyle w:val="82"/>
        <w:ind w:firstLine="0"/>
        <w:jc w:val="center"/>
        <w:rPr>
          <w:rFonts w:hint="eastAsia" w:ascii="宋体" w:hAnsi="宋体" w:eastAsia="宋体" w:cs="宋体"/>
          <w:b/>
          <w:bCs/>
          <w:color w:val="auto"/>
          <w:szCs w:val="24"/>
        </w:rPr>
      </w:pPr>
      <w:r>
        <w:rPr>
          <w:rFonts w:hint="eastAsia" w:ascii="宋体" w:hAnsi="宋体" w:eastAsia="宋体" w:cs="宋体"/>
          <w:b/>
          <w:bCs/>
          <w:color w:val="auto"/>
          <w:szCs w:val="24"/>
        </w:rPr>
        <w:t>（三）主要人员资历表</w:t>
      </w:r>
    </w:p>
    <w:p>
      <w:pPr>
        <w:pStyle w:val="82"/>
        <w:jc w:val="center"/>
        <w:rPr>
          <w:rFonts w:hint="eastAsia" w:ascii="宋体" w:hAnsi="宋体" w:eastAsia="宋体" w:cs="宋体"/>
          <w:b/>
          <w:bCs/>
          <w:color w:val="auto"/>
          <w:szCs w:val="24"/>
        </w:rPr>
      </w:pPr>
    </w:p>
    <w:tbl>
      <w:tblPr>
        <w:tblStyle w:val="28"/>
        <w:tblW w:w="914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16"/>
        <w:gridCol w:w="15"/>
        <w:gridCol w:w="1315"/>
        <w:gridCol w:w="720"/>
        <w:gridCol w:w="803"/>
        <w:gridCol w:w="1526"/>
        <w:gridCol w:w="1524"/>
        <w:gridCol w:w="15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trPr>
        <w:tc>
          <w:tcPr>
            <w:tcW w:w="1716" w:type="dxa"/>
            <w:vAlign w:val="center"/>
          </w:tcPr>
          <w:p>
            <w:pPr>
              <w:spacing w:line="440" w:lineRule="exact"/>
              <w:jc w:val="center"/>
              <w:rPr>
                <w:rFonts w:hint="eastAsia" w:ascii="宋体" w:hAnsi="宋体" w:eastAsia="宋体" w:cs="宋体"/>
                <w:color w:val="auto"/>
                <w:sz w:val="24"/>
              </w:rPr>
            </w:pPr>
            <w:r>
              <w:rPr>
                <w:rFonts w:hint="eastAsia" w:ascii="宋体" w:hAnsi="宋体" w:eastAsia="宋体" w:cs="宋体"/>
                <w:color w:val="auto"/>
                <w:sz w:val="24"/>
              </w:rPr>
              <w:t>姓　名</w:t>
            </w:r>
          </w:p>
        </w:tc>
        <w:tc>
          <w:tcPr>
            <w:tcW w:w="1330" w:type="dxa"/>
            <w:gridSpan w:val="2"/>
            <w:vAlign w:val="center"/>
          </w:tcPr>
          <w:p>
            <w:pPr>
              <w:spacing w:line="440" w:lineRule="exact"/>
              <w:jc w:val="center"/>
              <w:rPr>
                <w:rFonts w:hint="eastAsia" w:ascii="宋体" w:hAnsi="宋体" w:eastAsia="宋体" w:cs="宋体"/>
                <w:color w:val="auto"/>
                <w:sz w:val="24"/>
              </w:rPr>
            </w:pPr>
          </w:p>
        </w:tc>
        <w:tc>
          <w:tcPr>
            <w:tcW w:w="1523" w:type="dxa"/>
            <w:gridSpan w:val="2"/>
            <w:vAlign w:val="center"/>
          </w:tcPr>
          <w:p>
            <w:pPr>
              <w:spacing w:line="440" w:lineRule="exact"/>
              <w:jc w:val="center"/>
              <w:rPr>
                <w:rFonts w:hint="eastAsia" w:ascii="宋体" w:hAnsi="宋体" w:eastAsia="宋体" w:cs="宋体"/>
                <w:color w:val="auto"/>
                <w:sz w:val="24"/>
              </w:rPr>
            </w:pPr>
            <w:r>
              <w:rPr>
                <w:rFonts w:hint="eastAsia" w:ascii="宋体" w:hAnsi="宋体" w:eastAsia="宋体" w:cs="宋体"/>
                <w:color w:val="auto"/>
                <w:sz w:val="24"/>
              </w:rPr>
              <w:t>年　龄</w:t>
            </w:r>
          </w:p>
        </w:tc>
        <w:tc>
          <w:tcPr>
            <w:tcW w:w="1526" w:type="dxa"/>
            <w:vAlign w:val="center"/>
          </w:tcPr>
          <w:p>
            <w:pPr>
              <w:spacing w:line="440" w:lineRule="exact"/>
              <w:jc w:val="center"/>
              <w:rPr>
                <w:rFonts w:hint="eastAsia" w:ascii="宋体" w:hAnsi="宋体" w:eastAsia="宋体" w:cs="宋体"/>
                <w:color w:val="auto"/>
                <w:sz w:val="24"/>
              </w:rPr>
            </w:pPr>
          </w:p>
        </w:tc>
        <w:tc>
          <w:tcPr>
            <w:tcW w:w="1524" w:type="dxa"/>
            <w:vAlign w:val="center"/>
          </w:tcPr>
          <w:p>
            <w:pPr>
              <w:spacing w:line="440" w:lineRule="exact"/>
              <w:jc w:val="center"/>
              <w:rPr>
                <w:rFonts w:hint="eastAsia" w:ascii="宋体" w:hAnsi="宋体" w:eastAsia="宋体" w:cs="宋体"/>
                <w:color w:val="auto"/>
                <w:sz w:val="24"/>
              </w:rPr>
            </w:pPr>
            <w:r>
              <w:rPr>
                <w:rFonts w:hint="eastAsia" w:ascii="宋体" w:hAnsi="宋体" w:eastAsia="宋体" w:cs="宋体"/>
                <w:color w:val="auto"/>
                <w:sz w:val="24"/>
              </w:rPr>
              <w:t>专　业</w:t>
            </w:r>
          </w:p>
        </w:tc>
        <w:tc>
          <w:tcPr>
            <w:tcW w:w="1525" w:type="dxa"/>
            <w:vAlign w:val="center"/>
          </w:tcPr>
          <w:p>
            <w:pPr>
              <w:spacing w:line="440" w:lineRule="exact"/>
              <w:jc w:val="center"/>
              <w:rPr>
                <w:rFonts w:hint="eastAsia" w:ascii="宋体" w:hAnsi="宋体" w:eastAsia="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0" w:hRule="atLeast"/>
        </w:trPr>
        <w:tc>
          <w:tcPr>
            <w:tcW w:w="1716" w:type="dxa"/>
            <w:vAlign w:val="center"/>
          </w:tcPr>
          <w:p>
            <w:pPr>
              <w:spacing w:line="440" w:lineRule="exact"/>
              <w:jc w:val="center"/>
              <w:rPr>
                <w:rFonts w:hint="eastAsia" w:ascii="宋体" w:hAnsi="宋体" w:eastAsia="宋体" w:cs="宋体"/>
                <w:color w:val="auto"/>
                <w:sz w:val="24"/>
              </w:rPr>
            </w:pPr>
            <w:r>
              <w:rPr>
                <w:rFonts w:hint="eastAsia" w:ascii="宋体" w:hAnsi="宋体" w:eastAsia="宋体" w:cs="宋体"/>
                <w:color w:val="auto"/>
                <w:sz w:val="24"/>
              </w:rPr>
              <w:t>职　称</w:t>
            </w:r>
          </w:p>
        </w:tc>
        <w:tc>
          <w:tcPr>
            <w:tcW w:w="1330" w:type="dxa"/>
            <w:gridSpan w:val="2"/>
            <w:vAlign w:val="center"/>
          </w:tcPr>
          <w:p>
            <w:pPr>
              <w:spacing w:line="440" w:lineRule="exact"/>
              <w:jc w:val="center"/>
              <w:rPr>
                <w:rFonts w:hint="eastAsia" w:ascii="宋体" w:hAnsi="宋体" w:eastAsia="宋体" w:cs="宋体"/>
                <w:color w:val="auto"/>
                <w:sz w:val="24"/>
              </w:rPr>
            </w:pPr>
          </w:p>
        </w:tc>
        <w:tc>
          <w:tcPr>
            <w:tcW w:w="1523" w:type="dxa"/>
            <w:gridSpan w:val="2"/>
            <w:vAlign w:val="center"/>
          </w:tcPr>
          <w:p>
            <w:pPr>
              <w:spacing w:line="440" w:lineRule="exact"/>
              <w:jc w:val="center"/>
              <w:rPr>
                <w:rFonts w:hint="eastAsia" w:ascii="宋体" w:hAnsi="宋体" w:eastAsia="宋体" w:cs="宋体"/>
                <w:color w:val="auto"/>
                <w:sz w:val="24"/>
              </w:rPr>
            </w:pPr>
            <w:r>
              <w:rPr>
                <w:rFonts w:hint="eastAsia" w:ascii="宋体" w:hAnsi="宋体" w:eastAsia="宋体" w:cs="宋体"/>
                <w:color w:val="auto"/>
                <w:sz w:val="24"/>
              </w:rPr>
              <w:t>公司单位</w:t>
            </w:r>
          </w:p>
          <w:p>
            <w:pPr>
              <w:spacing w:line="440" w:lineRule="exact"/>
              <w:jc w:val="center"/>
              <w:rPr>
                <w:rFonts w:hint="eastAsia" w:ascii="宋体" w:hAnsi="宋体" w:eastAsia="宋体" w:cs="宋体"/>
                <w:color w:val="auto"/>
                <w:sz w:val="24"/>
              </w:rPr>
            </w:pPr>
            <w:r>
              <w:rPr>
                <w:rFonts w:hint="eastAsia" w:ascii="宋体" w:hAnsi="宋体" w:eastAsia="宋体" w:cs="宋体"/>
                <w:color w:val="auto"/>
                <w:sz w:val="24"/>
              </w:rPr>
              <w:t>职　　务</w:t>
            </w:r>
          </w:p>
        </w:tc>
        <w:tc>
          <w:tcPr>
            <w:tcW w:w="1526" w:type="dxa"/>
            <w:vAlign w:val="center"/>
          </w:tcPr>
          <w:p>
            <w:pPr>
              <w:spacing w:line="440" w:lineRule="exact"/>
              <w:jc w:val="center"/>
              <w:rPr>
                <w:rFonts w:hint="eastAsia" w:ascii="宋体" w:hAnsi="宋体" w:eastAsia="宋体" w:cs="宋体"/>
                <w:color w:val="auto"/>
                <w:sz w:val="24"/>
              </w:rPr>
            </w:pPr>
          </w:p>
        </w:tc>
        <w:tc>
          <w:tcPr>
            <w:tcW w:w="1524" w:type="dxa"/>
            <w:vAlign w:val="center"/>
          </w:tcPr>
          <w:p>
            <w:pPr>
              <w:spacing w:line="440" w:lineRule="exact"/>
              <w:jc w:val="center"/>
              <w:rPr>
                <w:rFonts w:hint="eastAsia" w:ascii="宋体" w:hAnsi="宋体" w:eastAsia="宋体" w:cs="宋体"/>
                <w:color w:val="auto"/>
                <w:sz w:val="24"/>
              </w:rPr>
            </w:pPr>
            <w:r>
              <w:rPr>
                <w:rFonts w:hint="eastAsia" w:ascii="宋体" w:hAnsi="宋体" w:eastAsia="宋体" w:cs="宋体"/>
                <w:color w:val="auto"/>
                <w:sz w:val="24"/>
              </w:rPr>
              <w:t>拟在本工程担任职务</w:t>
            </w:r>
          </w:p>
        </w:tc>
        <w:tc>
          <w:tcPr>
            <w:tcW w:w="1525" w:type="dxa"/>
            <w:vAlign w:val="center"/>
          </w:tcPr>
          <w:p>
            <w:pPr>
              <w:spacing w:line="440" w:lineRule="exact"/>
              <w:jc w:val="center"/>
              <w:rPr>
                <w:rFonts w:hint="eastAsia" w:ascii="宋体" w:hAnsi="宋体" w:eastAsia="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trPr>
        <w:tc>
          <w:tcPr>
            <w:tcW w:w="1716" w:type="dxa"/>
            <w:vAlign w:val="center"/>
          </w:tcPr>
          <w:p>
            <w:pPr>
              <w:spacing w:line="440" w:lineRule="exact"/>
              <w:jc w:val="center"/>
              <w:rPr>
                <w:rFonts w:hint="eastAsia" w:ascii="宋体" w:hAnsi="宋体" w:eastAsia="宋体" w:cs="宋体"/>
                <w:color w:val="auto"/>
                <w:sz w:val="24"/>
              </w:rPr>
            </w:pPr>
            <w:r>
              <w:rPr>
                <w:rFonts w:hint="eastAsia" w:ascii="宋体" w:hAnsi="宋体" w:eastAsia="宋体" w:cs="宋体"/>
                <w:color w:val="auto"/>
                <w:sz w:val="24"/>
              </w:rPr>
              <w:t>毕业学校</w:t>
            </w:r>
          </w:p>
        </w:tc>
        <w:tc>
          <w:tcPr>
            <w:tcW w:w="7428" w:type="dxa"/>
            <w:gridSpan w:val="7"/>
            <w:vAlign w:val="center"/>
          </w:tcPr>
          <w:p>
            <w:pPr>
              <w:spacing w:line="440" w:lineRule="exact"/>
              <w:jc w:val="center"/>
              <w:rPr>
                <w:rFonts w:hint="eastAsia" w:ascii="宋体" w:hAnsi="宋体" w:eastAsia="宋体" w:cs="宋体"/>
                <w:color w:val="auto"/>
                <w:sz w:val="24"/>
              </w:rPr>
            </w:pPr>
            <w:r>
              <w:rPr>
                <w:rFonts w:hint="eastAsia" w:ascii="宋体" w:hAnsi="宋体" w:eastAsia="宋体" w:cs="宋体"/>
                <w:color w:val="auto"/>
                <w:sz w:val="24"/>
              </w:rPr>
              <w:t>年</w:t>
            </w:r>
            <w:r>
              <w:rPr>
                <w:rFonts w:hint="eastAsia" w:ascii="宋体" w:hAnsi="宋体" w:eastAsia="宋体" w:cs="宋体"/>
                <w:color w:val="auto"/>
                <w:sz w:val="24"/>
                <w:u w:val="single"/>
              </w:rPr>
              <w:t>　　</w:t>
            </w:r>
            <w:r>
              <w:rPr>
                <w:rFonts w:hint="eastAsia" w:ascii="宋体" w:hAnsi="宋体" w:eastAsia="宋体" w:cs="宋体"/>
                <w:color w:val="auto"/>
                <w:sz w:val="24"/>
              </w:rPr>
              <w:t>月毕业于</w:t>
            </w:r>
            <w:r>
              <w:rPr>
                <w:rFonts w:hint="eastAsia" w:ascii="宋体" w:hAnsi="宋体" w:eastAsia="宋体" w:cs="宋体"/>
                <w:color w:val="auto"/>
                <w:sz w:val="24"/>
                <w:u w:val="single"/>
              </w:rPr>
              <w:t>　　</w:t>
            </w:r>
            <w:r>
              <w:rPr>
                <w:rFonts w:hint="eastAsia" w:ascii="宋体" w:hAnsi="宋体" w:eastAsia="宋体" w:cs="宋体"/>
                <w:color w:val="auto"/>
                <w:sz w:val="24"/>
              </w:rPr>
              <w:t>专业，学制</w:t>
            </w:r>
            <w:r>
              <w:rPr>
                <w:rFonts w:hint="eastAsia" w:ascii="宋体" w:hAnsi="宋体" w:eastAsia="宋体" w:cs="宋体"/>
                <w:color w:val="auto"/>
                <w:sz w:val="24"/>
                <w:u w:val="single"/>
              </w:rPr>
              <w:t>　　</w:t>
            </w:r>
            <w:r>
              <w:rPr>
                <w:rFonts w:hint="eastAsia" w:ascii="宋体" w:hAnsi="宋体" w:eastAsia="宋体" w:cs="宋体"/>
                <w:color w:val="auto"/>
                <w:sz w:val="24"/>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trPr>
        <w:tc>
          <w:tcPr>
            <w:tcW w:w="9144" w:type="dxa"/>
            <w:gridSpan w:val="8"/>
            <w:vAlign w:val="center"/>
          </w:tcPr>
          <w:p>
            <w:pPr>
              <w:spacing w:line="440" w:lineRule="exact"/>
              <w:jc w:val="center"/>
              <w:rPr>
                <w:rFonts w:hint="eastAsia" w:ascii="宋体" w:hAnsi="宋体" w:eastAsia="宋体" w:cs="宋体"/>
                <w:color w:val="auto"/>
                <w:sz w:val="24"/>
              </w:rPr>
            </w:pPr>
            <w:r>
              <w:rPr>
                <w:rFonts w:hint="eastAsia" w:ascii="宋体" w:hAnsi="宋体" w:eastAsia="宋体" w:cs="宋体"/>
                <w:color w:val="auto"/>
                <w:sz w:val="24"/>
              </w:rPr>
              <w:t>经　　　　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6" w:hRule="atLeast"/>
        </w:trPr>
        <w:tc>
          <w:tcPr>
            <w:tcW w:w="1731" w:type="dxa"/>
            <w:gridSpan w:val="2"/>
            <w:vAlign w:val="center"/>
          </w:tcPr>
          <w:p>
            <w:pPr>
              <w:spacing w:line="440" w:lineRule="exact"/>
              <w:jc w:val="center"/>
              <w:rPr>
                <w:rFonts w:hint="eastAsia" w:ascii="宋体" w:hAnsi="宋体" w:eastAsia="宋体" w:cs="宋体"/>
                <w:color w:val="auto"/>
                <w:sz w:val="24"/>
              </w:rPr>
            </w:pPr>
            <w:r>
              <w:rPr>
                <w:rFonts w:hint="eastAsia" w:ascii="宋体" w:hAnsi="宋体" w:eastAsia="宋体" w:cs="宋体"/>
                <w:color w:val="auto"/>
                <w:sz w:val="24"/>
              </w:rPr>
              <w:t>年－年</w:t>
            </w:r>
          </w:p>
        </w:tc>
        <w:tc>
          <w:tcPr>
            <w:tcW w:w="4364" w:type="dxa"/>
            <w:gridSpan w:val="4"/>
            <w:vAlign w:val="center"/>
          </w:tcPr>
          <w:p>
            <w:pPr>
              <w:spacing w:line="440" w:lineRule="exact"/>
              <w:jc w:val="center"/>
              <w:rPr>
                <w:rFonts w:hint="eastAsia" w:ascii="宋体" w:hAnsi="宋体" w:eastAsia="宋体" w:cs="宋体"/>
                <w:color w:val="auto"/>
                <w:sz w:val="24"/>
              </w:rPr>
            </w:pPr>
            <w:r>
              <w:rPr>
                <w:rFonts w:hint="eastAsia" w:ascii="宋体" w:hAnsi="宋体" w:eastAsia="宋体" w:cs="宋体"/>
                <w:color w:val="auto"/>
                <w:sz w:val="24"/>
              </w:rPr>
              <w:t>参加过的工程项目名称</w:t>
            </w:r>
          </w:p>
        </w:tc>
        <w:tc>
          <w:tcPr>
            <w:tcW w:w="1524" w:type="dxa"/>
            <w:vAlign w:val="center"/>
          </w:tcPr>
          <w:p>
            <w:pPr>
              <w:spacing w:line="440" w:lineRule="exact"/>
              <w:jc w:val="center"/>
              <w:rPr>
                <w:rFonts w:hint="eastAsia" w:ascii="宋体" w:hAnsi="宋体" w:eastAsia="宋体" w:cs="宋体"/>
                <w:color w:val="auto"/>
                <w:sz w:val="24"/>
              </w:rPr>
            </w:pPr>
            <w:r>
              <w:rPr>
                <w:rFonts w:hint="eastAsia" w:ascii="宋体" w:hAnsi="宋体" w:eastAsia="宋体" w:cs="宋体"/>
                <w:color w:val="auto"/>
                <w:sz w:val="24"/>
              </w:rPr>
              <w:t>担任何职</w:t>
            </w:r>
          </w:p>
        </w:tc>
        <w:tc>
          <w:tcPr>
            <w:tcW w:w="1525" w:type="dxa"/>
            <w:vAlign w:val="center"/>
          </w:tcPr>
          <w:p>
            <w:pPr>
              <w:spacing w:line="440" w:lineRule="exact"/>
              <w:jc w:val="center"/>
              <w:rPr>
                <w:rFonts w:hint="eastAsia" w:ascii="宋体" w:hAnsi="宋体" w:eastAsia="宋体" w:cs="宋体"/>
                <w:color w:val="auto"/>
                <w:sz w:val="24"/>
              </w:rPr>
            </w:pPr>
            <w:r>
              <w:rPr>
                <w:rFonts w:hint="eastAsia" w:ascii="宋体" w:hAnsi="宋体" w:eastAsia="宋体" w:cs="宋体"/>
                <w:color w:val="auto"/>
                <w:sz w:val="24"/>
              </w:rPr>
              <w:t>发包人及</w:t>
            </w:r>
          </w:p>
          <w:p>
            <w:pPr>
              <w:spacing w:line="440" w:lineRule="exact"/>
              <w:jc w:val="center"/>
              <w:rPr>
                <w:rFonts w:hint="eastAsia" w:ascii="宋体" w:hAnsi="宋体" w:eastAsia="宋体" w:cs="宋体"/>
                <w:color w:val="auto"/>
                <w:sz w:val="24"/>
              </w:rPr>
            </w:pPr>
            <w:r>
              <w:rPr>
                <w:rFonts w:hint="eastAsia" w:ascii="宋体" w:hAnsi="宋体" w:eastAsia="宋体" w:cs="宋体"/>
                <w:color w:val="auto"/>
                <w:sz w:val="24"/>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trPr>
        <w:tc>
          <w:tcPr>
            <w:tcW w:w="1731" w:type="dxa"/>
            <w:gridSpan w:val="2"/>
            <w:vAlign w:val="center"/>
          </w:tcPr>
          <w:p>
            <w:pPr>
              <w:spacing w:line="440" w:lineRule="exact"/>
              <w:jc w:val="center"/>
              <w:rPr>
                <w:rFonts w:hint="eastAsia" w:ascii="宋体" w:hAnsi="宋体" w:eastAsia="宋体" w:cs="宋体"/>
                <w:color w:val="auto"/>
                <w:sz w:val="24"/>
              </w:rPr>
            </w:pPr>
          </w:p>
        </w:tc>
        <w:tc>
          <w:tcPr>
            <w:tcW w:w="4364" w:type="dxa"/>
            <w:gridSpan w:val="4"/>
            <w:vAlign w:val="center"/>
          </w:tcPr>
          <w:p>
            <w:pPr>
              <w:ind w:left="3360" w:hanging="3360" w:hangingChars="1400"/>
              <w:jc w:val="center"/>
              <w:rPr>
                <w:rFonts w:hint="eastAsia" w:ascii="宋体" w:hAnsi="宋体" w:eastAsia="宋体" w:cs="宋体"/>
                <w:color w:val="auto"/>
                <w:sz w:val="24"/>
              </w:rPr>
            </w:pPr>
          </w:p>
        </w:tc>
        <w:tc>
          <w:tcPr>
            <w:tcW w:w="1524" w:type="dxa"/>
            <w:vAlign w:val="center"/>
          </w:tcPr>
          <w:p>
            <w:pPr>
              <w:spacing w:line="440" w:lineRule="exact"/>
              <w:jc w:val="center"/>
              <w:rPr>
                <w:rFonts w:hint="eastAsia" w:ascii="宋体" w:hAnsi="宋体" w:eastAsia="宋体" w:cs="宋体"/>
                <w:color w:val="auto"/>
                <w:sz w:val="24"/>
              </w:rPr>
            </w:pPr>
          </w:p>
        </w:tc>
        <w:tc>
          <w:tcPr>
            <w:tcW w:w="1525" w:type="dxa"/>
            <w:vAlign w:val="center"/>
          </w:tcPr>
          <w:p>
            <w:pPr>
              <w:spacing w:line="440" w:lineRule="exact"/>
              <w:jc w:val="center"/>
              <w:rPr>
                <w:rFonts w:hint="eastAsia" w:ascii="宋体" w:hAnsi="宋体" w:eastAsia="宋体" w:cs="宋体"/>
                <w:bCs/>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trPr>
        <w:tc>
          <w:tcPr>
            <w:tcW w:w="1731" w:type="dxa"/>
            <w:gridSpan w:val="2"/>
            <w:vAlign w:val="center"/>
          </w:tcPr>
          <w:p>
            <w:pPr>
              <w:spacing w:line="440" w:lineRule="exact"/>
              <w:jc w:val="center"/>
              <w:rPr>
                <w:rFonts w:hint="eastAsia" w:ascii="宋体" w:hAnsi="宋体" w:eastAsia="宋体" w:cs="宋体"/>
                <w:color w:val="auto"/>
                <w:sz w:val="24"/>
              </w:rPr>
            </w:pPr>
          </w:p>
        </w:tc>
        <w:tc>
          <w:tcPr>
            <w:tcW w:w="4364" w:type="dxa"/>
            <w:gridSpan w:val="4"/>
            <w:vAlign w:val="center"/>
          </w:tcPr>
          <w:p>
            <w:pPr>
              <w:spacing w:line="440" w:lineRule="exact"/>
              <w:jc w:val="center"/>
              <w:rPr>
                <w:rFonts w:hint="eastAsia" w:ascii="宋体" w:hAnsi="宋体" w:eastAsia="宋体" w:cs="宋体"/>
                <w:color w:val="auto"/>
                <w:sz w:val="24"/>
              </w:rPr>
            </w:pPr>
          </w:p>
        </w:tc>
        <w:tc>
          <w:tcPr>
            <w:tcW w:w="1524" w:type="dxa"/>
            <w:vAlign w:val="center"/>
          </w:tcPr>
          <w:p>
            <w:pPr>
              <w:spacing w:line="440" w:lineRule="exact"/>
              <w:jc w:val="center"/>
              <w:rPr>
                <w:rFonts w:hint="eastAsia" w:ascii="宋体" w:hAnsi="宋体" w:eastAsia="宋体" w:cs="宋体"/>
                <w:color w:val="auto"/>
                <w:sz w:val="24"/>
              </w:rPr>
            </w:pPr>
          </w:p>
        </w:tc>
        <w:tc>
          <w:tcPr>
            <w:tcW w:w="1525" w:type="dxa"/>
            <w:vAlign w:val="center"/>
          </w:tcPr>
          <w:p>
            <w:pPr>
              <w:spacing w:line="440" w:lineRule="exact"/>
              <w:jc w:val="center"/>
              <w:rPr>
                <w:rFonts w:hint="eastAsia" w:ascii="宋体" w:hAnsi="宋体" w:eastAsia="宋体" w:cs="宋体"/>
                <w:bCs/>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trPr>
        <w:tc>
          <w:tcPr>
            <w:tcW w:w="1731" w:type="dxa"/>
            <w:gridSpan w:val="2"/>
            <w:vAlign w:val="center"/>
          </w:tcPr>
          <w:p>
            <w:pPr>
              <w:spacing w:line="440" w:lineRule="exact"/>
              <w:jc w:val="center"/>
              <w:rPr>
                <w:rFonts w:hint="eastAsia" w:ascii="宋体" w:hAnsi="宋体" w:eastAsia="宋体" w:cs="宋体"/>
                <w:color w:val="auto"/>
                <w:sz w:val="24"/>
              </w:rPr>
            </w:pPr>
          </w:p>
        </w:tc>
        <w:tc>
          <w:tcPr>
            <w:tcW w:w="4364" w:type="dxa"/>
            <w:gridSpan w:val="4"/>
            <w:vAlign w:val="center"/>
          </w:tcPr>
          <w:p>
            <w:pPr>
              <w:spacing w:line="440" w:lineRule="exact"/>
              <w:jc w:val="center"/>
              <w:rPr>
                <w:rFonts w:hint="eastAsia" w:ascii="宋体" w:hAnsi="宋体" w:eastAsia="宋体" w:cs="宋体"/>
                <w:color w:val="auto"/>
                <w:sz w:val="24"/>
              </w:rPr>
            </w:pPr>
          </w:p>
        </w:tc>
        <w:tc>
          <w:tcPr>
            <w:tcW w:w="1524" w:type="dxa"/>
            <w:vAlign w:val="center"/>
          </w:tcPr>
          <w:p>
            <w:pPr>
              <w:spacing w:line="440" w:lineRule="exact"/>
              <w:jc w:val="center"/>
              <w:rPr>
                <w:rFonts w:hint="eastAsia" w:ascii="宋体" w:hAnsi="宋体" w:eastAsia="宋体" w:cs="宋体"/>
                <w:color w:val="auto"/>
                <w:sz w:val="24"/>
              </w:rPr>
            </w:pPr>
          </w:p>
        </w:tc>
        <w:tc>
          <w:tcPr>
            <w:tcW w:w="1525" w:type="dxa"/>
            <w:vAlign w:val="center"/>
          </w:tcPr>
          <w:p>
            <w:pPr>
              <w:spacing w:line="440" w:lineRule="exact"/>
              <w:jc w:val="center"/>
              <w:rPr>
                <w:rFonts w:hint="eastAsia" w:ascii="宋体" w:hAnsi="宋体" w:eastAsia="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trPr>
        <w:tc>
          <w:tcPr>
            <w:tcW w:w="1731" w:type="dxa"/>
            <w:gridSpan w:val="2"/>
          </w:tcPr>
          <w:p>
            <w:pPr>
              <w:spacing w:line="440" w:lineRule="exact"/>
              <w:jc w:val="center"/>
              <w:rPr>
                <w:rFonts w:hint="eastAsia" w:ascii="宋体" w:hAnsi="宋体" w:eastAsia="宋体" w:cs="宋体"/>
                <w:color w:val="auto"/>
                <w:sz w:val="24"/>
              </w:rPr>
            </w:pPr>
          </w:p>
        </w:tc>
        <w:tc>
          <w:tcPr>
            <w:tcW w:w="4364" w:type="dxa"/>
            <w:gridSpan w:val="4"/>
          </w:tcPr>
          <w:p>
            <w:pPr>
              <w:spacing w:line="440" w:lineRule="exact"/>
              <w:jc w:val="center"/>
              <w:rPr>
                <w:rFonts w:hint="eastAsia" w:ascii="宋体" w:hAnsi="宋体" w:eastAsia="宋体" w:cs="宋体"/>
                <w:color w:val="auto"/>
                <w:sz w:val="24"/>
              </w:rPr>
            </w:pPr>
          </w:p>
        </w:tc>
        <w:tc>
          <w:tcPr>
            <w:tcW w:w="1524" w:type="dxa"/>
          </w:tcPr>
          <w:p>
            <w:pPr>
              <w:spacing w:line="440" w:lineRule="exact"/>
              <w:jc w:val="center"/>
              <w:rPr>
                <w:rFonts w:hint="eastAsia" w:ascii="宋体" w:hAnsi="宋体" w:eastAsia="宋体" w:cs="宋体"/>
                <w:color w:val="auto"/>
                <w:sz w:val="24"/>
              </w:rPr>
            </w:pPr>
          </w:p>
        </w:tc>
        <w:tc>
          <w:tcPr>
            <w:tcW w:w="1525" w:type="dxa"/>
          </w:tcPr>
          <w:p>
            <w:pPr>
              <w:spacing w:line="440" w:lineRule="exact"/>
              <w:jc w:val="center"/>
              <w:rPr>
                <w:rFonts w:hint="eastAsia" w:ascii="宋体" w:hAnsi="宋体" w:eastAsia="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0" w:hRule="atLeast"/>
        </w:trPr>
        <w:tc>
          <w:tcPr>
            <w:tcW w:w="3766" w:type="dxa"/>
            <w:gridSpan w:val="4"/>
            <w:vAlign w:val="center"/>
          </w:tcPr>
          <w:p>
            <w:pPr>
              <w:spacing w:line="440" w:lineRule="exact"/>
              <w:jc w:val="center"/>
              <w:rPr>
                <w:rFonts w:hint="eastAsia" w:ascii="宋体" w:hAnsi="宋体" w:eastAsia="宋体" w:cs="宋体"/>
                <w:color w:val="auto"/>
                <w:sz w:val="24"/>
              </w:rPr>
            </w:pPr>
            <w:r>
              <w:rPr>
                <w:rFonts w:hint="eastAsia" w:ascii="宋体" w:hAnsi="宋体" w:eastAsia="宋体" w:cs="宋体"/>
                <w:color w:val="auto"/>
                <w:sz w:val="24"/>
              </w:rPr>
              <w:t>备　　注</w:t>
            </w:r>
          </w:p>
        </w:tc>
        <w:tc>
          <w:tcPr>
            <w:tcW w:w="5378" w:type="dxa"/>
            <w:gridSpan w:val="4"/>
            <w:vAlign w:val="center"/>
          </w:tcPr>
          <w:p>
            <w:pPr>
              <w:spacing w:line="440" w:lineRule="exact"/>
              <w:jc w:val="center"/>
              <w:rPr>
                <w:rFonts w:hint="eastAsia" w:ascii="宋体" w:hAnsi="宋体" w:eastAsia="宋体" w:cs="宋体"/>
                <w:color w:val="auto"/>
                <w:sz w:val="24"/>
              </w:rPr>
            </w:pPr>
          </w:p>
          <w:p>
            <w:pPr>
              <w:spacing w:line="440" w:lineRule="exact"/>
              <w:jc w:val="center"/>
              <w:rPr>
                <w:rFonts w:hint="eastAsia" w:ascii="宋体" w:hAnsi="宋体" w:eastAsia="宋体" w:cs="宋体"/>
                <w:color w:val="auto"/>
                <w:sz w:val="24"/>
              </w:rPr>
            </w:pPr>
          </w:p>
          <w:p>
            <w:pPr>
              <w:spacing w:line="440" w:lineRule="exact"/>
              <w:jc w:val="center"/>
              <w:rPr>
                <w:rFonts w:hint="eastAsia" w:ascii="宋体" w:hAnsi="宋体" w:eastAsia="宋体" w:cs="宋体"/>
                <w:color w:val="auto"/>
                <w:sz w:val="24"/>
              </w:rPr>
            </w:pPr>
          </w:p>
          <w:p>
            <w:pPr>
              <w:spacing w:line="440" w:lineRule="exact"/>
              <w:jc w:val="center"/>
              <w:rPr>
                <w:rFonts w:hint="eastAsia" w:ascii="宋体" w:hAnsi="宋体" w:eastAsia="宋体" w:cs="宋体"/>
                <w:color w:val="auto"/>
                <w:sz w:val="24"/>
              </w:rPr>
            </w:pPr>
          </w:p>
          <w:p>
            <w:pPr>
              <w:spacing w:line="440" w:lineRule="exact"/>
              <w:jc w:val="center"/>
              <w:rPr>
                <w:rFonts w:hint="eastAsia" w:ascii="宋体" w:hAnsi="宋体" w:eastAsia="宋体" w:cs="宋体"/>
                <w:color w:val="auto"/>
                <w:sz w:val="24"/>
              </w:rPr>
            </w:pPr>
          </w:p>
          <w:p>
            <w:pPr>
              <w:spacing w:line="440" w:lineRule="exact"/>
              <w:jc w:val="center"/>
              <w:rPr>
                <w:rFonts w:hint="eastAsia" w:ascii="宋体" w:hAnsi="宋体" w:eastAsia="宋体" w:cs="宋体"/>
                <w:color w:val="auto"/>
                <w:sz w:val="24"/>
              </w:rPr>
            </w:pPr>
          </w:p>
        </w:tc>
      </w:tr>
    </w:tbl>
    <w:p>
      <w:pPr>
        <w:pStyle w:val="13"/>
        <w:rPr>
          <w:rFonts w:hint="eastAsia" w:ascii="宋体" w:hAnsi="宋体" w:eastAsia="宋体" w:cs="宋体"/>
          <w:b/>
          <w:bCs/>
          <w:color w:val="auto"/>
          <w:sz w:val="16"/>
          <w:szCs w:val="16"/>
        </w:rPr>
      </w:pPr>
    </w:p>
    <w:p>
      <w:pPr>
        <w:pStyle w:val="13"/>
        <w:rPr>
          <w:rFonts w:hint="eastAsia" w:ascii="宋体" w:hAnsi="宋体" w:eastAsia="宋体" w:cs="宋体"/>
          <w:b/>
          <w:bCs/>
          <w:color w:val="auto"/>
          <w:sz w:val="24"/>
        </w:rPr>
      </w:pPr>
      <w:r>
        <w:rPr>
          <w:rFonts w:hint="eastAsia" w:ascii="宋体" w:hAnsi="宋体" w:eastAsia="宋体" w:cs="宋体"/>
          <w:b/>
          <w:bCs/>
          <w:color w:val="auto"/>
          <w:sz w:val="24"/>
        </w:rPr>
        <w:t>注：项目经理应附建造师执业注册证书、安全生产考核合格证书、身份证、职称证等证明材料的复印件；其他主要人员应附相关证明材料复印件。</w:t>
      </w:r>
    </w:p>
    <w:p>
      <w:pPr>
        <w:pStyle w:val="82"/>
        <w:jc w:val="center"/>
        <w:rPr>
          <w:rFonts w:hint="eastAsia" w:ascii="宋体" w:hAnsi="宋体" w:eastAsia="宋体" w:cs="宋体"/>
          <w:b/>
          <w:bCs/>
          <w:color w:val="auto"/>
          <w:szCs w:val="24"/>
        </w:rPr>
      </w:pPr>
    </w:p>
    <w:p>
      <w:pPr>
        <w:pStyle w:val="82"/>
        <w:jc w:val="center"/>
        <w:rPr>
          <w:rFonts w:hint="eastAsia" w:ascii="宋体" w:hAnsi="宋体" w:eastAsia="宋体" w:cs="宋体"/>
          <w:b/>
          <w:bCs/>
          <w:color w:val="auto"/>
          <w:szCs w:val="24"/>
        </w:rPr>
      </w:pPr>
    </w:p>
    <w:p>
      <w:pPr>
        <w:pStyle w:val="82"/>
        <w:jc w:val="center"/>
        <w:rPr>
          <w:rFonts w:hint="eastAsia" w:ascii="宋体" w:hAnsi="宋体" w:eastAsia="宋体" w:cs="宋体"/>
          <w:b/>
          <w:bCs/>
          <w:color w:val="auto"/>
          <w:szCs w:val="24"/>
        </w:rPr>
      </w:pPr>
    </w:p>
    <w:p>
      <w:pPr>
        <w:pStyle w:val="82"/>
        <w:jc w:val="center"/>
        <w:rPr>
          <w:rFonts w:hint="eastAsia" w:ascii="宋体" w:hAnsi="宋体" w:eastAsia="宋体" w:cs="宋体"/>
          <w:b/>
          <w:bCs/>
          <w:color w:val="auto"/>
          <w:szCs w:val="24"/>
        </w:rPr>
      </w:pPr>
    </w:p>
    <w:p>
      <w:pPr>
        <w:spacing w:before="240" w:beforeLines="100" w:after="240" w:afterLines="100"/>
        <w:jc w:val="center"/>
        <w:rPr>
          <w:rFonts w:hint="eastAsia" w:ascii="宋体" w:hAnsi="宋体" w:eastAsia="宋体" w:cs="宋体"/>
          <w:b/>
          <w:bCs/>
          <w:color w:val="auto"/>
          <w:sz w:val="24"/>
        </w:rPr>
      </w:pPr>
      <w:bookmarkStart w:id="120" w:name="_Toc23710_WPSOffice_Level1"/>
      <w:bookmarkStart w:id="121" w:name="_Toc9605_WPSOffice_Level1"/>
      <w:r>
        <w:rPr>
          <w:rFonts w:hint="eastAsia" w:ascii="宋体" w:hAnsi="宋体" w:eastAsia="宋体" w:cs="宋体"/>
          <w:b/>
          <w:bCs/>
          <w:color w:val="auto"/>
          <w:sz w:val="24"/>
        </w:rPr>
        <w:t>承诺书</w:t>
      </w:r>
      <w:bookmarkEnd w:id="120"/>
      <w:bookmarkEnd w:id="121"/>
    </w:p>
    <w:p>
      <w:pPr>
        <w:spacing w:after="240" w:afterLines="100" w:line="440" w:lineRule="exact"/>
        <w:rPr>
          <w:rFonts w:hint="eastAsia" w:ascii="宋体" w:hAnsi="宋体" w:eastAsia="宋体" w:cs="宋体"/>
          <w:color w:val="auto"/>
          <w:sz w:val="24"/>
          <w:u w:val="single"/>
        </w:rPr>
      </w:pPr>
      <w:r>
        <w:rPr>
          <w:rFonts w:hint="eastAsia" w:ascii="宋体" w:hAnsi="宋体" w:eastAsia="宋体" w:cs="宋体"/>
          <w:color w:val="auto"/>
          <w:sz w:val="24"/>
          <w:u w:val="none"/>
          <w:lang w:eastAsia="zh-CN"/>
        </w:rPr>
        <w:t>致：</w:t>
      </w:r>
      <w:r>
        <w:rPr>
          <w:rFonts w:hint="eastAsia" w:ascii="宋体" w:hAnsi="宋体" w:eastAsia="宋体" w:cs="宋体"/>
          <w:color w:val="auto"/>
          <w:sz w:val="24"/>
          <w:u w:val="single"/>
        </w:rPr>
        <w:t>（采购人）</w:t>
      </w:r>
      <w:r>
        <w:rPr>
          <w:rFonts w:hint="eastAsia" w:ascii="宋体" w:hAnsi="宋体" w:eastAsia="宋体" w:cs="宋体"/>
          <w:color w:val="auto"/>
          <w:sz w:val="24"/>
        </w:rPr>
        <w:t>：</w:t>
      </w:r>
    </w:p>
    <w:p>
      <w:pPr>
        <w:spacing w:line="360" w:lineRule="auto"/>
        <w:ind w:firstLine="504" w:firstLineChars="200"/>
        <w:rPr>
          <w:rFonts w:hint="eastAsia" w:ascii="宋体" w:hAnsi="宋体" w:eastAsia="宋体" w:cs="宋体"/>
          <w:color w:val="auto"/>
          <w:spacing w:val="6"/>
          <w:sz w:val="24"/>
        </w:rPr>
      </w:pPr>
      <w:r>
        <w:rPr>
          <w:rFonts w:hint="eastAsia" w:ascii="宋体" w:hAnsi="宋体" w:eastAsia="宋体" w:cs="宋体"/>
          <w:color w:val="auto"/>
          <w:spacing w:val="6"/>
          <w:sz w:val="24"/>
        </w:rPr>
        <w:t>我方在此声明，我方拟派往</w:t>
      </w:r>
      <w:r>
        <w:rPr>
          <w:rFonts w:hint="eastAsia" w:ascii="宋体" w:hAnsi="宋体" w:eastAsia="宋体" w:cs="宋体"/>
          <w:color w:val="auto"/>
          <w:spacing w:val="6"/>
          <w:sz w:val="24"/>
          <w:u w:val="single"/>
        </w:rPr>
        <w:t>（项目名称）</w:t>
      </w:r>
      <w:r>
        <w:rPr>
          <w:rFonts w:hint="eastAsia" w:ascii="宋体" w:hAnsi="宋体" w:eastAsia="宋体" w:cs="宋体"/>
          <w:color w:val="auto"/>
          <w:spacing w:val="6"/>
          <w:sz w:val="24"/>
        </w:rPr>
        <w:t>（以下简称“本工程”）的</w:t>
      </w:r>
      <w:r>
        <w:rPr>
          <w:rFonts w:hint="eastAsia" w:ascii="宋体" w:hAnsi="宋体" w:eastAsia="宋体" w:cs="宋体"/>
          <w:color w:val="auto"/>
          <w:spacing w:val="6"/>
          <w:sz w:val="24"/>
          <w:u w:val="single"/>
        </w:rPr>
        <w:t>项目经理（项目经理姓名）</w:t>
      </w:r>
      <w:r>
        <w:rPr>
          <w:rFonts w:hint="eastAsia" w:ascii="宋体" w:hAnsi="宋体" w:eastAsia="宋体" w:cs="宋体"/>
          <w:color w:val="auto"/>
          <w:spacing w:val="6"/>
          <w:sz w:val="24"/>
        </w:rPr>
        <w:t>为我公司注册员工，现阶段没有担任任何在施建设工程项目的项目经理。</w:t>
      </w:r>
    </w:p>
    <w:p>
      <w:pPr>
        <w:spacing w:line="360" w:lineRule="auto"/>
        <w:ind w:firstLine="504" w:firstLineChars="200"/>
        <w:rPr>
          <w:rFonts w:hint="eastAsia" w:ascii="宋体" w:hAnsi="宋体" w:eastAsia="宋体" w:cs="宋体"/>
          <w:color w:val="auto"/>
          <w:spacing w:val="6"/>
          <w:sz w:val="24"/>
        </w:rPr>
      </w:pPr>
      <w:r>
        <w:rPr>
          <w:rFonts w:hint="eastAsia" w:ascii="宋体" w:hAnsi="宋体" w:eastAsia="宋体" w:cs="宋体"/>
          <w:color w:val="auto"/>
          <w:spacing w:val="6"/>
          <w:sz w:val="24"/>
        </w:rPr>
        <w:t>我方保证上述信息的真实和准确，并愿意承担因我方就此弄虚作假所引起的一切法律后果。</w:t>
      </w:r>
    </w:p>
    <w:p>
      <w:pPr>
        <w:spacing w:line="360" w:lineRule="auto"/>
        <w:ind w:firstLine="504" w:firstLineChars="200"/>
        <w:rPr>
          <w:rFonts w:hint="eastAsia" w:ascii="宋体" w:hAnsi="宋体" w:eastAsia="宋体" w:cs="宋体"/>
          <w:color w:val="auto"/>
          <w:spacing w:val="6"/>
          <w:sz w:val="24"/>
        </w:rPr>
      </w:pPr>
    </w:p>
    <w:p>
      <w:pPr>
        <w:spacing w:line="440" w:lineRule="exact"/>
        <w:ind w:firstLine="480" w:firstLineChars="200"/>
        <w:rPr>
          <w:rFonts w:hint="eastAsia" w:ascii="宋体" w:hAnsi="宋体" w:eastAsia="宋体" w:cs="宋体"/>
          <w:color w:val="auto"/>
          <w:sz w:val="24"/>
        </w:rPr>
      </w:pPr>
    </w:p>
    <w:p>
      <w:pPr>
        <w:spacing w:line="440" w:lineRule="exact"/>
        <w:ind w:firstLine="480" w:firstLineChars="200"/>
        <w:rPr>
          <w:rFonts w:hint="eastAsia" w:ascii="宋体" w:hAnsi="宋体" w:eastAsia="宋体" w:cs="宋体"/>
          <w:color w:val="auto"/>
          <w:sz w:val="24"/>
          <w:lang w:eastAsia="zh-CN"/>
        </w:rPr>
      </w:pPr>
      <w:r>
        <w:rPr>
          <w:rFonts w:hint="eastAsia" w:ascii="宋体" w:hAnsi="宋体" w:eastAsia="宋体" w:cs="宋体"/>
          <w:color w:val="auto"/>
          <w:sz w:val="24"/>
        </w:rPr>
        <w:t>特此承诺</w:t>
      </w:r>
      <w:r>
        <w:rPr>
          <w:rFonts w:hint="eastAsia" w:ascii="宋体" w:hAnsi="宋体" w:eastAsia="宋体" w:cs="宋体"/>
          <w:color w:val="auto"/>
          <w:sz w:val="24"/>
          <w:lang w:eastAsia="zh-CN"/>
        </w:rPr>
        <w:t>。</w:t>
      </w:r>
    </w:p>
    <w:p>
      <w:pPr>
        <w:spacing w:line="440" w:lineRule="exact"/>
        <w:ind w:firstLine="480" w:firstLineChars="200"/>
        <w:rPr>
          <w:rFonts w:hint="eastAsia" w:ascii="宋体" w:hAnsi="宋体" w:eastAsia="宋体" w:cs="宋体"/>
          <w:color w:val="auto"/>
          <w:sz w:val="24"/>
        </w:rPr>
      </w:pPr>
    </w:p>
    <w:p>
      <w:pPr>
        <w:spacing w:line="440" w:lineRule="exact"/>
        <w:ind w:firstLine="480" w:firstLineChars="200"/>
        <w:rPr>
          <w:rFonts w:hint="eastAsia" w:ascii="宋体" w:hAnsi="宋体" w:eastAsia="宋体" w:cs="宋体"/>
          <w:color w:val="auto"/>
          <w:sz w:val="24"/>
        </w:rPr>
      </w:pPr>
    </w:p>
    <w:p>
      <w:pPr>
        <w:spacing w:line="440" w:lineRule="exact"/>
        <w:ind w:firstLine="480" w:firstLineChars="200"/>
        <w:rPr>
          <w:rFonts w:hint="eastAsia" w:ascii="宋体" w:hAnsi="宋体" w:eastAsia="宋体" w:cs="宋体"/>
          <w:color w:val="auto"/>
          <w:sz w:val="24"/>
        </w:rPr>
      </w:pPr>
    </w:p>
    <w:p>
      <w:pPr>
        <w:spacing w:line="440" w:lineRule="exact"/>
        <w:ind w:firstLine="480" w:firstLineChars="200"/>
        <w:rPr>
          <w:rFonts w:hint="eastAsia" w:ascii="宋体" w:hAnsi="宋体" w:eastAsia="宋体" w:cs="宋体"/>
          <w:color w:val="auto"/>
          <w:sz w:val="24"/>
        </w:rPr>
      </w:pPr>
    </w:p>
    <w:p>
      <w:pPr>
        <w:spacing w:line="440" w:lineRule="exact"/>
        <w:ind w:firstLine="480" w:firstLineChars="200"/>
        <w:rPr>
          <w:rFonts w:hint="eastAsia" w:ascii="宋体" w:hAnsi="宋体" w:eastAsia="宋体" w:cs="宋体"/>
          <w:color w:val="auto"/>
          <w:sz w:val="24"/>
        </w:rPr>
      </w:pPr>
    </w:p>
    <w:p>
      <w:pPr>
        <w:spacing w:line="440" w:lineRule="exact"/>
        <w:ind w:firstLine="480" w:firstLineChars="200"/>
        <w:rPr>
          <w:rFonts w:hint="eastAsia" w:ascii="宋体" w:hAnsi="宋体" w:eastAsia="宋体" w:cs="宋体"/>
          <w:color w:val="auto"/>
          <w:sz w:val="24"/>
        </w:rPr>
      </w:pPr>
    </w:p>
    <w:p>
      <w:pPr>
        <w:spacing w:line="600" w:lineRule="auto"/>
        <w:rPr>
          <w:rFonts w:hint="eastAsia" w:ascii="宋体" w:hAnsi="宋体" w:eastAsia="宋体" w:cs="宋体"/>
          <w:snapToGrid w:val="0"/>
          <w:color w:val="auto"/>
          <w:kern w:val="0"/>
          <w:sz w:val="24"/>
        </w:rPr>
      </w:pPr>
      <w:r>
        <w:rPr>
          <w:rFonts w:hint="eastAsia" w:ascii="宋体" w:hAnsi="宋体" w:eastAsia="宋体" w:cs="宋体"/>
          <w:snapToGrid w:val="0"/>
          <w:color w:val="auto"/>
          <w:kern w:val="0"/>
          <w:sz w:val="24"/>
        </w:rPr>
        <w:t>供应商：</w:t>
      </w:r>
      <w:r>
        <w:rPr>
          <w:rFonts w:hint="eastAsia" w:ascii="宋体" w:hAnsi="宋体" w:cs="宋体"/>
          <w:snapToGrid w:val="0"/>
          <w:color w:val="auto"/>
          <w:kern w:val="0"/>
          <w:sz w:val="24"/>
          <w:u w:val="single"/>
          <w:lang w:val="en-US" w:eastAsia="zh-CN"/>
        </w:rPr>
        <w:t xml:space="preserve">                   </w:t>
      </w:r>
      <w:r>
        <w:rPr>
          <w:rFonts w:hint="eastAsia" w:ascii="宋体" w:hAnsi="宋体" w:eastAsia="宋体" w:cs="宋体"/>
          <w:snapToGrid w:val="0"/>
          <w:color w:val="auto"/>
          <w:kern w:val="0"/>
          <w:sz w:val="24"/>
        </w:rPr>
        <w:t>（盖单位章）</w:t>
      </w:r>
    </w:p>
    <w:p>
      <w:pPr>
        <w:spacing w:line="600" w:lineRule="auto"/>
        <w:rPr>
          <w:rFonts w:hint="eastAsia" w:ascii="宋体" w:hAnsi="宋体" w:eastAsia="宋体" w:cs="宋体"/>
          <w:color w:val="auto"/>
          <w:sz w:val="24"/>
        </w:rPr>
      </w:pPr>
      <w:r>
        <w:rPr>
          <w:rFonts w:hint="eastAsia" w:ascii="宋体" w:hAnsi="宋体" w:eastAsia="宋体" w:cs="宋体"/>
          <w:snapToGrid w:val="0"/>
          <w:color w:val="auto"/>
          <w:kern w:val="0"/>
          <w:sz w:val="24"/>
        </w:rPr>
        <w:t>法定代表人</w:t>
      </w:r>
      <w:r>
        <w:rPr>
          <w:rFonts w:hint="eastAsia" w:ascii="宋体" w:hAnsi="宋体" w:eastAsia="宋体" w:cs="宋体"/>
          <w:color w:val="auto"/>
          <w:spacing w:val="8"/>
          <w:sz w:val="24"/>
        </w:rPr>
        <w:t>或授权代表</w:t>
      </w:r>
      <w:r>
        <w:rPr>
          <w:rFonts w:hint="eastAsia" w:ascii="宋体" w:hAnsi="宋体" w:eastAsia="宋体" w:cs="宋体"/>
          <w:snapToGrid w:val="0"/>
          <w:color w:val="auto"/>
          <w:kern w:val="0"/>
          <w:sz w:val="24"/>
        </w:rPr>
        <w:t>：</w:t>
      </w:r>
      <w:r>
        <w:rPr>
          <w:rFonts w:hint="eastAsia" w:ascii="宋体" w:hAnsi="宋体" w:cs="宋体"/>
          <w:snapToGrid w:val="0"/>
          <w:color w:val="auto"/>
          <w:kern w:val="0"/>
          <w:sz w:val="24"/>
          <w:u w:val="single"/>
          <w:lang w:val="en-US" w:eastAsia="zh-CN"/>
        </w:rPr>
        <w:t xml:space="preserve">                   </w:t>
      </w:r>
      <w:r>
        <w:rPr>
          <w:rFonts w:hint="eastAsia" w:ascii="宋体" w:hAnsi="宋体" w:eastAsia="宋体" w:cs="宋体"/>
          <w:snapToGrid w:val="0"/>
          <w:color w:val="auto"/>
          <w:kern w:val="0"/>
          <w:sz w:val="24"/>
        </w:rPr>
        <w:t>（</w:t>
      </w:r>
      <w:r>
        <w:rPr>
          <w:rFonts w:hint="eastAsia" w:ascii="宋体" w:hAnsi="宋体" w:eastAsia="宋体" w:cs="宋体"/>
          <w:color w:val="auto"/>
          <w:spacing w:val="8"/>
          <w:sz w:val="24"/>
        </w:rPr>
        <w:t>签字或签章</w:t>
      </w:r>
      <w:r>
        <w:rPr>
          <w:rFonts w:hint="eastAsia" w:ascii="宋体" w:hAnsi="宋体" w:eastAsia="宋体" w:cs="宋体"/>
          <w:snapToGrid w:val="0"/>
          <w:color w:val="auto"/>
          <w:kern w:val="0"/>
          <w:sz w:val="24"/>
        </w:rPr>
        <w:t>）</w:t>
      </w:r>
    </w:p>
    <w:p>
      <w:pPr>
        <w:spacing w:line="600" w:lineRule="auto"/>
        <w:ind w:right="420" w:firstLine="4560" w:firstLineChars="1900"/>
        <w:rPr>
          <w:rFonts w:hint="eastAsia" w:ascii="宋体" w:hAnsi="宋体" w:eastAsia="宋体" w:cs="宋体"/>
          <w:color w:val="auto"/>
          <w:sz w:val="24"/>
        </w:rPr>
      </w:pPr>
      <w:r>
        <w:rPr>
          <w:rFonts w:hint="eastAsia" w:ascii="宋体" w:hAnsi="宋体" w:eastAsia="宋体" w:cs="宋体"/>
          <w:color w:val="auto"/>
          <w:sz w:val="24"/>
        </w:rPr>
        <w:t>年</w:t>
      </w:r>
      <w:r>
        <w:rPr>
          <w:rFonts w:hint="eastAsia" w:ascii="宋体" w:hAnsi="宋体" w:cs="宋体"/>
          <w:color w:val="auto"/>
          <w:sz w:val="24"/>
          <w:lang w:val="en-US" w:eastAsia="zh-CN"/>
        </w:rPr>
        <w:t xml:space="preserve">   </w:t>
      </w:r>
      <w:r>
        <w:rPr>
          <w:rFonts w:hint="eastAsia" w:ascii="宋体" w:hAnsi="宋体" w:eastAsia="宋体" w:cs="宋体"/>
          <w:color w:val="auto"/>
          <w:sz w:val="24"/>
        </w:rPr>
        <w:t>月</w:t>
      </w:r>
      <w:r>
        <w:rPr>
          <w:rFonts w:hint="eastAsia" w:ascii="宋体" w:hAnsi="宋体" w:cs="宋体"/>
          <w:color w:val="auto"/>
          <w:sz w:val="24"/>
          <w:lang w:val="en-US" w:eastAsia="zh-CN"/>
        </w:rPr>
        <w:t xml:space="preserve">    </w:t>
      </w:r>
      <w:r>
        <w:rPr>
          <w:rFonts w:hint="eastAsia" w:ascii="宋体" w:hAnsi="宋体" w:eastAsia="宋体" w:cs="宋体"/>
          <w:color w:val="auto"/>
          <w:sz w:val="24"/>
        </w:rPr>
        <w:t>日</w:t>
      </w:r>
    </w:p>
    <w:p>
      <w:pPr>
        <w:autoSpaceDE w:val="0"/>
        <w:autoSpaceDN w:val="0"/>
        <w:adjustRightInd w:val="0"/>
        <w:spacing w:line="360" w:lineRule="auto"/>
        <w:jc w:val="center"/>
        <w:rPr>
          <w:rFonts w:hint="eastAsia" w:ascii="宋体" w:hAnsi="宋体" w:eastAsia="宋体" w:cs="宋体"/>
          <w:b/>
          <w:bCs/>
          <w:color w:val="auto"/>
          <w:sz w:val="24"/>
          <w:lang w:val="zh-CN"/>
        </w:rPr>
      </w:pPr>
    </w:p>
    <w:p>
      <w:pPr>
        <w:autoSpaceDE w:val="0"/>
        <w:autoSpaceDN w:val="0"/>
        <w:adjustRightInd w:val="0"/>
        <w:spacing w:line="360" w:lineRule="auto"/>
        <w:jc w:val="center"/>
        <w:rPr>
          <w:rFonts w:hint="eastAsia" w:ascii="宋体" w:hAnsi="宋体" w:eastAsia="宋体" w:cs="宋体"/>
          <w:b/>
          <w:bCs/>
          <w:color w:val="auto"/>
          <w:sz w:val="24"/>
          <w:lang w:val="zh-CN"/>
        </w:rPr>
      </w:pPr>
    </w:p>
    <w:p>
      <w:pPr>
        <w:autoSpaceDE w:val="0"/>
        <w:autoSpaceDN w:val="0"/>
        <w:adjustRightInd w:val="0"/>
        <w:spacing w:line="360" w:lineRule="auto"/>
        <w:jc w:val="center"/>
        <w:rPr>
          <w:rFonts w:hint="eastAsia" w:ascii="宋体" w:hAnsi="宋体" w:eastAsia="宋体" w:cs="宋体"/>
          <w:b/>
          <w:bCs/>
          <w:color w:val="auto"/>
          <w:sz w:val="24"/>
          <w:lang w:val="zh-CN"/>
        </w:rPr>
      </w:pPr>
    </w:p>
    <w:p>
      <w:pPr>
        <w:pStyle w:val="82"/>
        <w:jc w:val="center"/>
        <w:rPr>
          <w:rFonts w:hint="eastAsia" w:ascii="宋体" w:hAnsi="宋体" w:eastAsia="宋体" w:cs="宋体"/>
          <w:b/>
          <w:bCs/>
          <w:color w:val="auto"/>
          <w:szCs w:val="24"/>
        </w:rPr>
      </w:pPr>
    </w:p>
    <w:p>
      <w:pPr>
        <w:pStyle w:val="82"/>
        <w:jc w:val="center"/>
        <w:rPr>
          <w:rFonts w:hint="eastAsia" w:ascii="宋体" w:hAnsi="宋体" w:eastAsia="宋体" w:cs="宋体"/>
          <w:b/>
          <w:bCs/>
          <w:color w:val="auto"/>
          <w:szCs w:val="24"/>
        </w:rPr>
      </w:pPr>
    </w:p>
    <w:p>
      <w:pPr>
        <w:pStyle w:val="82"/>
        <w:jc w:val="center"/>
        <w:rPr>
          <w:rFonts w:hint="eastAsia" w:ascii="宋体" w:hAnsi="宋体" w:eastAsia="宋体" w:cs="宋体"/>
          <w:b/>
          <w:bCs/>
          <w:color w:val="auto"/>
          <w:szCs w:val="24"/>
        </w:rPr>
      </w:pPr>
    </w:p>
    <w:p>
      <w:pPr>
        <w:pStyle w:val="82"/>
        <w:jc w:val="center"/>
        <w:rPr>
          <w:rFonts w:hint="eastAsia" w:ascii="宋体" w:hAnsi="宋体" w:eastAsia="宋体" w:cs="宋体"/>
          <w:b/>
          <w:bCs/>
          <w:color w:val="auto"/>
          <w:szCs w:val="24"/>
        </w:rPr>
      </w:pPr>
    </w:p>
    <w:p>
      <w:pPr>
        <w:pStyle w:val="82"/>
        <w:ind w:left="0" w:leftChars="0" w:firstLine="0" w:firstLineChars="0"/>
        <w:jc w:val="both"/>
        <w:rPr>
          <w:rFonts w:hint="eastAsia" w:ascii="宋体" w:hAnsi="宋体" w:eastAsia="宋体" w:cs="宋体"/>
          <w:b/>
          <w:bCs/>
          <w:color w:val="auto"/>
          <w:szCs w:val="24"/>
        </w:rPr>
      </w:pPr>
    </w:p>
    <w:p>
      <w:pPr>
        <w:jc w:val="center"/>
        <w:rPr>
          <w:rFonts w:hint="eastAsia" w:ascii="宋体" w:hAnsi="宋体" w:eastAsia="宋体" w:cs="宋体"/>
          <w:b/>
          <w:bCs/>
          <w:color w:val="auto"/>
          <w:sz w:val="24"/>
        </w:rPr>
      </w:pPr>
      <w:r>
        <w:rPr>
          <w:rFonts w:hint="eastAsia" w:ascii="宋体" w:hAnsi="宋体" w:eastAsia="宋体" w:cs="宋体"/>
          <w:b/>
          <w:bCs/>
          <w:color w:val="auto"/>
          <w:sz w:val="24"/>
        </w:rPr>
        <w:t>（四）供应商签署的承诺书</w:t>
      </w:r>
    </w:p>
    <w:p>
      <w:pPr>
        <w:jc w:val="center"/>
        <w:rPr>
          <w:rFonts w:hint="eastAsia" w:ascii="宋体" w:hAnsi="宋体" w:eastAsia="宋体" w:cs="宋体"/>
          <w:b/>
          <w:color w:val="auto"/>
          <w:sz w:val="24"/>
        </w:rPr>
      </w:pPr>
      <w:bookmarkStart w:id="122" w:name="_Toc26019_WPSOffice_Level1"/>
      <w:bookmarkStart w:id="123" w:name="_Toc28017_WPSOffice_Level1"/>
    </w:p>
    <w:p>
      <w:pPr>
        <w:jc w:val="center"/>
        <w:rPr>
          <w:rFonts w:hint="eastAsia" w:ascii="宋体" w:hAnsi="宋体" w:eastAsia="宋体" w:cs="宋体"/>
          <w:b/>
          <w:color w:val="auto"/>
          <w:sz w:val="24"/>
        </w:rPr>
      </w:pPr>
      <w:r>
        <w:rPr>
          <w:rFonts w:hint="eastAsia" w:ascii="宋体" w:hAnsi="宋体" w:eastAsia="宋体" w:cs="宋体"/>
          <w:b/>
          <w:color w:val="auto"/>
          <w:sz w:val="24"/>
        </w:rPr>
        <w:t>承诺书1</w:t>
      </w:r>
      <w:bookmarkEnd w:id="122"/>
      <w:bookmarkEnd w:id="123"/>
    </w:p>
    <w:p>
      <w:pPr>
        <w:rPr>
          <w:rFonts w:hint="eastAsia" w:ascii="宋体" w:hAnsi="宋体" w:eastAsia="宋体" w:cs="宋体"/>
          <w:color w:val="auto"/>
          <w:sz w:val="24"/>
        </w:rPr>
      </w:pPr>
    </w:p>
    <w:p>
      <w:pPr>
        <w:jc w:val="center"/>
        <w:rPr>
          <w:rFonts w:hint="eastAsia" w:ascii="宋体" w:hAnsi="宋体" w:eastAsia="宋体" w:cs="宋体"/>
          <w:b/>
          <w:color w:val="auto"/>
          <w:sz w:val="24"/>
        </w:rPr>
      </w:pPr>
      <w:bookmarkStart w:id="124" w:name="_Toc26903_WPSOffice_Level1"/>
      <w:bookmarkStart w:id="125" w:name="_Toc14380_WPSOffice_Level1"/>
      <w:r>
        <w:rPr>
          <w:rFonts w:hint="eastAsia" w:ascii="宋体" w:hAnsi="宋体" w:eastAsia="宋体" w:cs="宋体"/>
          <w:b/>
          <w:color w:val="auto"/>
          <w:sz w:val="24"/>
        </w:rPr>
        <w:t>供应商符合《政府采购法》第二十二条规定条件的承诺函</w:t>
      </w:r>
      <w:bookmarkEnd w:id="124"/>
      <w:bookmarkEnd w:id="125"/>
    </w:p>
    <w:p>
      <w:pPr>
        <w:rPr>
          <w:rFonts w:hint="eastAsia" w:ascii="宋体" w:hAnsi="宋体" w:eastAsia="宋体" w:cs="宋体"/>
          <w:color w:val="auto"/>
          <w:sz w:val="24"/>
        </w:rPr>
      </w:pPr>
    </w:p>
    <w:p>
      <w:pPr>
        <w:pStyle w:val="13"/>
        <w:rPr>
          <w:rFonts w:hint="eastAsia" w:ascii="宋体" w:hAnsi="宋体" w:eastAsia="宋体" w:cs="宋体"/>
          <w:color w:val="auto"/>
          <w:sz w:val="24"/>
        </w:rPr>
      </w:pPr>
    </w:p>
    <w:p>
      <w:pPr>
        <w:pStyle w:val="3"/>
        <w:spacing w:line="360" w:lineRule="auto"/>
        <w:rPr>
          <w:rFonts w:hint="eastAsia" w:ascii="宋体" w:hAnsi="宋体" w:eastAsia="宋体" w:cs="宋体"/>
          <w:color w:val="auto"/>
          <w:spacing w:val="8"/>
          <w:sz w:val="24"/>
          <w:szCs w:val="24"/>
          <w:u w:val="single"/>
          <w:lang w:val="en-US" w:eastAsia="zh-CN"/>
        </w:rPr>
      </w:pPr>
      <w:r>
        <w:rPr>
          <w:rFonts w:hint="eastAsia" w:ascii="宋体" w:hAnsi="宋体" w:eastAsia="宋体" w:cs="宋体"/>
          <w:color w:val="auto"/>
          <w:spacing w:val="8"/>
          <w:sz w:val="24"/>
          <w:szCs w:val="24"/>
        </w:rPr>
        <w:t>致：</w:t>
      </w:r>
      <w:r>
        <w:rPr>
          <w:rFonts w:hint="eastAsia" w:ascii="宋体" w:hAnsi="宋体" w:eastAsia="宋体" w:cs="宋体"/>
          <w:color w:val="auto"/>
          <w:spacing w:val="8"/>
          <w:sz w:val="24"/>
          <w:szCs w:val="24"/>
          <w:u w:val="single"/>
          <w:lang w:val="en-US" w:eastAsia="zh-CN"/>
        </w:rPr>
        <w:t xml:space="preserve">             （采购人）</w:t>
      </w:r>
    </w:p>
    <w:p>
      <w:pPr>
        <w:pStyle w:val="3"/>
        <w:spacing w:line="360" w:lineRule="auto"/>
        <w:ind w:firstLine="576" w:firstLineChars="225"/>
        <w:rPr>
          <w:rFonts w:hint="eastAsia" w:ascii="宋体" w:hAnsi="宋体" w:eastAsia="宋体" w:cs="宋体"/>
          <w:color w:val="auto"/>
          <w:spacing w:val="8"/>
          <w:sz w:val="24"/>
          <w:szCs w:val="24"/>
        </w:rPr>
      </w:pPr>
      <w:r>
        <w:rPr>
          <w:rFonts w:hint="eastAsia" w:ascii="宋体" w:hAnsi="宋体" w:eastAsia="宋体" w:cs="宋体"/>
          <w:color w:val="auto"/>
          <w:spacing w:val="8"/>
          <w:sz w:val="24"/>
          <w:szCs w:val="24"/>
        </w:rPr>
        <w:t>本公司（公司名称）参加（项目名称）的磋商活动，现承诺：</w:t>
      </w:r>
    </w:p>
    <w:p>
      <w:pPr>
        <w:pStyle w:val="3"/>
        <w:spacing w:line="360" w:lineRule="auto"/>
        <w:ind w:firstLine="576" w:firstLineChars="225"/>
        <w:rPr>
          <w:rFonts w:hint="eastAsia" w:ascii="宋体" w:hAnsi="宋体" w:eastAsia="宋体" w:cs="宋体"/>
          <w:color w:val="auto"/>
          <w:spacing w:val="8"/>
          <w:sz w:val="24"/>
          <w:szCs w:val="24"/>
        </w:rPr>
      </w:pPr>
      <w:r>
        <w:rPr>
          <w:rFonts w:hint="eastAsia" w:ascii="宋体" w:hAnsi="宋体" w:eastAsia="宋体" w:cs="宋体"/>
          <w:color w:val="auto"/>
          <w:spacing w:val="8"/>
          <w:sz w:val="24"/>
          <w:szCs w:val="24"/>
        </w:rPr>
        <w:t>我公司满足政府采购法第二十二条关于供应商的资格要求：</w:t>
      </w:r>
    </w:p>
    <w:p>
      <w:pPr>
        <w:pStyle w:val="3"/>
        <w:spacing w:line="360" w:lineRule="auto"/>
        <w:ind w:firstLine="576" w:firstLineChars="225"/>
        <w:rPr>
          <w:rFonts w:hint="eastAsia" w:ascii="宋体" w:hAnsi="宋体" w:eastAsia="宋体" w:cs="宋体"/>
          <w:color w:val="auto"/>
          <w:spacing w:val="8"/>
          <w:sz w:val="24"/>
          <w:szCs w:val="24"/>
        </w:rPr>
      </w:pPr>
      <w:r>
        <w:rPr>
          <w:rFonts w:hint="eastAsia" w:ascii="宋体" w:hAnsi="宋体" w:eastAsia="宋体" w:cs="宋体"/>
          <w:color w:val="auto"/>
          <w:spacing w:val="8"/>
          <w:sz w:val="24"/>
          <w:szCs w:val="24"/>
        </w:rPr>
        <w:t>（一）具有独立承担民事责任的能力；</w:t>
      </w:r>
    </w:p>
    <w:p>
      <w:pPr>
        <w:pStyle w:val="3"/>
        <w:spacing w:line="360" w:lineRule="auto"/>
        <w:ind w:firstLine="576" w:firstLineChars="225"/>
        <w:rPr>
          <w:rFonts w:hint="eastAsia" w:ascii="宋体" w:hAnsi="宋体" w:eastAsia="宋体" w:cs="宋体"/>
          <w:color w:val="auto"/>
          <w:spacing w:val="8"/>
          <w:sz w:val="24"/>
          <w:szCs w:val="24"/>
        </w:rPr>
      </w:pPr>
      <w:r>
        <w:rPr>
          <w:rFonts w:hint="eastAsia" w:ascii="宋体" w:hAnsi="宋体" w:eastAsia="宋体" w:cs="宋体"/>
          <w:color w:val="auto"/>
          <w:spacing w:val="8"/>
          <w:sz w:val="24"/>
          <w:szCs w:val="24"/>
        </w:rPr>
        <w:t>（二）具有良好的商业信誉和健全的财务会计制度；</w:t>
      </w:r>
    </w:p>
    <w:p>
      <w:pPr>
        <w:pStyle w:val="3"/>
        <w:spacing w:line="360" w:lineRule="auto"/>
        <w:ind w:firstLine="576" w:firstLineChars="225"/>
        <w:rPr>
          <w:rFonts w:hint="eastAsia" w:ascii="宋体" w:hAnsi="宋体" w:eastAsia="宋体" w:cs="宋体"/>
          <w:color w:val="auto"/>
          <w:spacing w:val="8"/>
          <w:sz w:val="24"/>
          <w:szCs w:val="24"/>
        </w:rPr>
      </w:pPr>
      <w:r>
        <w:rPr>
          <w:rFonts w:hint="eastAsia" w:ascii="宋体" w:hAnsi="宋体" w:eastAsia="宋体" w:cs="宋体"/>
          <w:color w:val="auto"/>
          <w:spacing w:val="8"/>
          <w:sz w:val="24"/>
          <w:szCs w:val="24"/>
        </w:rPr>
        <w:t>（三）具有履行合同所必需的设备和专业技术能力；</w:t>
      </w:r>
    </w:p>
    <w:p>
      <w:pPr>
        <w:pStyle w:val="3"/>
        <w:spacing w:line="360" w:lineRule="auto"/>
        <w:ind w:firstLine="576" w:firstLineChars="225"/>
        <w:rPr>
          <w:rFonts w:hint="eastAsia" w:ascii="宋体" w:hAnsi="宋体" w:eastAsia="宋体" w:cs="宋体"/>
          <w:color w:val="auto"/>
          <w:spacing w:val="8"/>
          <w:sz w:val="24"/>
          <w:szCs w:val="24"/>
        </w:rPr>
      </w:pPr>
      <w:r>
        <w:rPr>
          <w:rFonts w:hint="eastAsia" w:ascii="宋体" w:hAnsi="宋体" w:eastAsia="宋体" w:cs="宋体"/>
          <w:color w:val="auto"/>
          <w:spacing w:val="8"/>
          <w:sz w:val="24"/>
          <w:szCs w:val="24"/>
        </w:rPr>
        <w:t>（四）有依法缴纳税收和社会保障资金的良好记录；</w:t>
      </w:r>
    </w:p>
    <w:p>
      <w:pPr>
        <w:pStyle w:val="3"/>
        <w:spacing w:line="360" w:lineRule="auto"/>
        <w:ind w:firstLine="576" w:firstLineChars="225"/>
        <w:rPr>
          <w:rFonts w:hint="eastAsia" w:ascii="宋体" w:hAnsi="宋体" w:eastAsia="宋体" w:cs="宋体"/>
          <w:color w:val="auto"/>
          <w:spacing w:val="8"/>
          <w:sz w:val="24"/>
          <w:szCs w:val="24"/>
          <w:lang w:eastAsia="zh-CN"/>
        </w:rPr>
      </w:pPr>
      <w:r>
        <w:rPr>
          <w:rFonts w:hint="eastAsia" w:ascii="宋体" w:hAnsi="宋体" w:eastAsia="宋体" w:cs="宋体"/>
          <w:color w:val="auto"/>
          <w:spacing w:val="8"/>
          <w:sz w:val="24"/>
          <w:szCs w:val="24"/>
        </w:rPr>
        <w:t>（五）参加政府采购活动前三年内，在经营活动中没有重大违法记录；</w:t>
      </w:r>
    </w:p>
    <w:p>
      <w:pPr>
        <w:pStyle w:val="3"/>
        <w:spacing w:line="360" w:lineRule="auto"/>
        <w:ind w:firstLine="576" w:firstLineChars="225"/>
        <w:rPr>
          <w:rFonts w:hint="eastAsia" w:ascii="宋体" w:hAnsi="宋体" w:eastAsia="宋体" w:cs="宋体"/>
          <w:color w:val="auto"/>
          <w:spacing w:val="8"/>
          <w:sz w:val="24"/>
          <w:szCs w:val="24"/>
        </w:rPr>
      </w:pPr>
      <w:r>
        <w:rPr>
          <w:rFonts w:hint="eastAsia" w:ascii="宋体" w:hAnsi="宋体" w:eastAsia="宋体" w:cs="宋体"/>
          <w:color w:val="auto"/>
          <w:spacing w:val="8"/>
          <w:sz w:val="24"/>
          <w:szCs w:val="24"/>
        </w:rPr>
        <w:t>（六）法律、行政法规规定的其他条件。</w:t>
      </w:r>
    </w:p>
    <w:p>
      <w:pPr>
        <w:pStyle w:val="3"/>
        <w:spacing w:line="360" w:lineRule="auto"/>
        <w:ind w:firstLine="576" w:firstLineChars="225"/>
        <w:rPr>
          <w:rFonts w:hint="eastAsia" w:ascii="宋体" w:hAnsi="宋体" w:eastAsia="宋体" w:cs="宋体"/>
          <w:color w:val="auto"/>
          <w:spacing w:val="8"/>
          <w:sz w:val="24"/>
          <w:szCs w:val="24"/>
        </w:rPr>
      </w:pPr>
      <w:r>
        <w:rPr>
          <w:rFonts w:hint="eastAsia" w:ascii="宋体" w:hAnsi="宋体" w:eastAsia="宋体" w:cs="宋体"/>
          <w:color w:val="auto"/>
          <w:spacing w:val="8"/>
          <w:sz w:val="24"/>
          <w:szCs w:val="24"/>
        </w:rPr>
        <w:t>同时也满足本项目法律法规规章规定关于供应商的其他资格性条件，未参与本采购项目前期咨询论证，不属于禁止参加磋商的供应商。</w:t>
      </w:r>
    </w:p>
    <w:p>
      <w:pPr>
        <w:pStyle w:val="3"/>
        <w:spacing w:line="360" w:lineRule="auto"/>
        <w:ind w:firstLine="576" w:firstLineChars="225"/>
        <w:rPr>
          <w:rFonts w:hint="eastAsia" w:ascii="宋体" w:hAnsi="宋体" w:eastAsia="宋体" w:cs="宋体"/>
          <w:color w:val="auto"/>
          <w:spacing w:val="8"/>
          <w:sz w:val="24"/>
          <w:szCs w:val="24"/>
        </w:rPr>
      </w:pPr>
      <w:r>
        <w:rPr>
          <w:rFonts w:hint="eastAsia" w:ascii="宋体" w:hAnsi="宋体" w:eastAsia="宋体" w:cs="宋体"/>
          <w:color w:val="auto"/>
          <w:spacing w:val="8"/>
          <w:sz w:val="24"/>
          <w:szCs w:val="24"/>
        </w:rPr>
        <w:t>如违反以上承诺，本公司愿承担一切法律责任。</w:t>
      </w:r>
    </w:p>
    <w:p>
      <w:pPr>
        <w:pStyle w:val="3"/>
        <w:rPr>
          <w:rFonts w:hint="eastAsia" w:ascii="宋体" w:hAnsi="宋体" w:eastAsia="宋体" w:cs="宋体"/>
          <w:color w:val="auto"/>
          <w:sz w:val="24"/>
          <w:szCs w:val="24"/>
        </w:rPr>
      </w:pPr>
    </w:p>
    <w:p>
      <w:pPr>
        <w:spacing w:line="48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供应商名称：_______________________________</w:t>
      </w:r>
      <w:r>
        <w:rPr>
          <w:rFonts w:hint="eastAsia" w:ascii="宋体" w:hAnsi="宋体" w:eastAsia="宋体" w:cs="宋体"/>
          <w:bCs/>
          <w:color w:val="auto"/>
          <w:sz w:val="24"/>
        </w:rPr>
        <w:t>（盖公章）</w:t>
      </w:r>
    </w:p>
    <w:p>
      <w:pPr>
        <w:spacing w:line="480" w:lineRule="auto"/>
        <w:ind w:firstLine="480" w:firstLineChars="200"/>
        <w:rPr>
          <w:rFonts w:hint="eastAsia" w:ascii="宋体" w:hAnsi="宋体" w:eastAsia="宋体" w:cs="宋体"/>
          <w:color w:val="auto"/>
          <w:sz w:val="24"/>
        </w:rPr>
      </w:pPr>
      <w:r>
        <w:rPr>
          <w:rFonts w:hint="eastAsia" w:ascii="宋体" w:hAnsi="宋体" w:eastAsia="宋体" w:cs="宋体"/>
          <w:snapToGrid w:val="0"/>
          <w:color w:val="auto"/>
          <w:kern w:val="0"/>
          <w:sz w:val="24"/>
        </w:rPr>
        <w:t>法定代表人</w:t>
      </w:r>
      <w:r>
        <w:rPr>
          <w:rFonts w:hint="eastAsia" w:ascii="宋体" w:hAnsi="宋体" w:eastAsia="宋体" w:cs="宋体"/>
          <w:color w:val="auto"/>
          <w:spacing w:val="8"/>
          <w:sz w:val="24"/>
        </w:rPr>
        <w:t>或授权代表</w:t>
      </w:r>
      <w:r>
        <w:rPr>
          <w:rFonts w:hint="eastAsia" w:ascii="宋体" w:hAnsi="宋体" w:eastAsia="宋体" w:cs="宋体"/>
          <w:snapToGrid w:val="0"/>
          <w:color w:val="auto"/>
          <w:kern w:val="0"/>
          <w:sz w:val="24"/>
        </w:rPr>
        <w:t>：</w:t>
      </w:r>
      <w:r>
        <w:rPr>
          <w:rFonts w:hint="eastAsia" w:ascii="宋体" w:hAnsi="宋体" w:cs="宋体"/>
          <w:snapToGrid w:val="0"/>
          <w:color w:val="auto"/>
          <w:kern w:val="0"/>
          <w:sz w:val="24"/>
          <w:u w:val="single"/>
          <w:lang w:val="en-US" w:eastAsia="zh-CN"/>
        </w:rPr>
        <w:t xml:space="preserve">                </w:t>
      </w:r>
      <w:r>
        <w:rPr>
          <w:rFonts w:hint="eastAsia" w:ascii="宋体" w:hAnsi="宋体" w:eastAsia="宋体" w:cs="宋体"/>
          <w:snapToGrid w:val="0"/>
          <w:color w:val="auto"/>
          <w:kern w:val="0"/>
          <w:sz w:val="24"/>
        </w:rPr>
        <w:t>（</w:t>
      </w:r>
      <w:r>
        <w:rPr>
          <w:rFonts w:hint="eastAsia" w:ascii="宋体" w:hAnsi="宋体" w:eastAsia="宋体" w:cs="宋体"/>
          <w:color w:val="auto"/>
          <w:spacing w:val="8"/>
          <w:sz w:val="24"/>
        </w:rPr>
        <w:t>签字或签章</w:t>
      </w:r>
      <w:r>
        <w:rPr>
          <w:rFonts w:hint="eastAsia" w:ascii="宋体" w:hAnsi="宋体" w:eastAsia="宋体" w:cs="宋体"/>
          <w:snapToGrid w:val="0"/>
          <w:color w:val="auto"/>
          <w:kern w:val="0"/>
          <w:sz w:val="24"/>
        </w:rPr>
        <w:t>）</w:t>
      </w:r>
    </w:p>
    <w:p>
      <w:pPr>
        <w:spacing w:line="48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日期：____________________________________________</w:t>
      </w:r>
    </w:p>
    <w:p>
      <w:pPr>
        <w:pStyle w:val="13"/>
        <w:rPr>
          <w:rFonts w:hint="eastAsia" w:ascii="宋体" w:hAnsi="宋体" w:eastAsia="宋体" w:cs="宋体"/>
          <w:color w:val="auto"/>
          <w:sz w:val="24"/>
        </w:rPr>
      </w:pPr>
    </w:p>
    <w:p>
      <w:pPr>
        <w:rPr>
          <w:rFonts w:hint="eastAsia" w:ascii="宋体" w:hAnsi="宋体" w:eastAsia="宋体" w:cs="宋体"/>
          <w:color w:val="auto"/>
          <w:sz w:val="24"/>
        </w:rPr>
      </w:pPr>
    </w:p>
    <w:p>
      <w:pPr>
        <w:pStyle w:val="13"/>
        <w:rPr>
          <w:rFonts w:hint="eastAsia" w:ascii="宋体" w:hAnsi="宋体" w:eastAsia="宋体" w:cs="宋体"/>
          <w:color w:val="auto"/>
          <w:sz w:val="24"/>
        </w:rPr>
      </w:pPr>
    </w:p>
    <w:p>
      <w:pPr>
        <w:rPr>
          <w:rFonts w:hint="eastAsia" w:ascii="宋体" w:hAnsi="宋体" w:eastAsia="宋体" w:cs="宋体"/>
          <w:color w:val="auto"/>
          <w:sz w:val="24"/>
        </w:rPr>
      </w:pPr>
    </w:p>
    <w:p>
      <w:pPr>
        <w:pStyle w:val="13"/>
        <w:rPr>
          <w:rFonts w:hint="eastAsia" w:ascii="宋体" w:hAnsi="宋体" w:eastAsia="宋体" w:cs="宋体"/>
          <w:color w:val="auto"/>
          <w:sz w:val="24"/>
        </w:rPr>
      </w:pPr>
    </w:p>
    <w:p>
      <w:pPr>
        <w:rPr>
          <w:rFonts w:hint="eastAsia" w:ascii="宋体" w:hAnsi="宋体" w:eastAsia="宋体" w:cs="宋体"/>
          <w:color w:val="auto"/>
          <w:sz w:val="24"/>
        </w:rPr>
      </w:pPr>
    </w:p>
    <w:p>
      <w:pPr>
        <w:pStyle w:val="13"/>
        <w:rPr>
          <w:rFonts w:hint="eastAsia" w:ascii="宋体" w:hAnsi="宋体" w:eastAsia="宋体" w:cs="宋体"/>
          <w:color w:val="auto"/>
        </w:rPr>
      </w:pPr>
    </w:p>
    <w:p>
      <w:pPr>
        <w:pStyle w:val="13"/>
        <w:rPr>
          <w:rFonts w:hint="eastAsia" w:ascii="宋体" w:hAnsi="宋体" w:eastAsia="宋体" w:cs="宋体"/>
          <w:color w:val="auto"/>
        </w:rPr>
      </w:pPr>
    </w:p>
    <w:p>
      <w:pPr>
        <w:jc w:val="center"/>
        <w:rPr>
          <w:rFonts w:hint="eastAsia" w:ascii="宋体" w:hAnsi="宋体" w:eastAsia="宋体" w:cs="宋体"/>
          <w:b/>
          <w:color w:val="auto"/>
          <w:sz w:val="24"/>
        </w:rPr>
      </w:pPr>
    </w:p>
    <w:p>
      <w:pPr>
        <w:jc w:val="center"/>
        <w:rPr>
          <w:rFonts w:hint="eastAsia" w:ascii="宋体" w:hAnsi="宋体" w:eastAsia="宋体" w:cs="宋体"/>
          <w:b/>
          <w:color w:val="auto"/>
          <w:sz w:val="24"/>
        </w:rPr>
      </w:pPr>
      <w:r>
        <w:rPr>
          <w:rFonts w:hint="eastAsia" w:ascii="宋体" w:hAnsi="宋体" w:eastAsia="宋体" w:cs="宋体"/>
          <w:b/>
          <w:color w:val="auto"/>
          <w:sz w:val="24"/>
        </w:rPr>
        <w:t>承诺书2</w:t>
      </w:r>
    </w:p>
    <w:p>
      <w:pPr>
        <w:pStyle w:val="13"/>
        <w:rPr>
          <w:rFonts w:hint="eastAsia" w:ascii="宋体" w:hAnsi="宋体" w:eastAsia="宋体" w:cs="宋体"/>
          <w:color w:val="auto"/>
          <w:sz w:val="24"/>
        </w:rPr>
      </w:pPr>
    </w:p>
    <w:p>
      <w:pPr>
        <w:spacing w:line="480" w:lineRule="auto"/>
        <w:jc w:val="center"/>
        <w:rPr>
          <w:rFonts w:hint="eastAsia" w:ascii="宋体" w:hAnsi="宋体" w:eastAsia="宋体" w:cs="宋体"/>
          <w:b/>
          <w:color w:val="auto"/>
          <w:sz w:val="24"/>
        </w:rPr>
      </w:pPr>
      <w:bookmarkStart w:id="126" w:name="_Toc22838_WPSOffice_Level1"/>
      <w:bookmarkStart w:id="127" w:name="_Toc7754_WPSOffice_Level1"/>
      <w:r>
        <w:rPr>
          <w:rFonts w:hint="eastAsia" w:ascii="宋体" w:hAnsi="宋体" w:eastAsia="宋体" w:cs="宋体"/>
          <w:b/>
          <w:color w:val="auto"/>
          <w:sz w:val="24"/>
        </w:rPr>
        <w:t>参加政府采购活动前3年内在经营活动中没有重大违法记录的</w:t>
      </w:r>
      <w:bookmarkEnd w:id="126"/>
      <w:bookmarkEnd w:id="127"/>
    </w:p>
    <w:p>
      <w:pPr>
        <w:spacing w:line="480" w:lineRule="auto"/>
        <w:jc w:val="center"/>
        <w:rPr>
          <w:rFonts w:hint="eastAsia" w:ascii="宋体" w:hAnsi="宋体" w:eastAsia="宋体" w:cs="宋体"/>
          <w:b/>
          <w:color w:val="auto"/>
          <w:sz w:val="24"/>
        </w:rPr>
      </w:pPr>
      <w:bookmarkStart w:id="128" w:name="_Toc24114_WPSOffice_Level1"/>
      <w:bookmarkStart w:id="129" w:name="_Toc13779_WPSOffice_Level1"/>
      <w:r>
        <w:rPr>
          <w:rFonts w:hint="eastAsia" w:ascii="宋体" w:hAnsi="宋体" w:eastAsia="宋体" w:cs="宋体"/>
          <w:b/>
          <w:color w:val="auto"/>
          <w:sz w:val="24"/>
        </w:rPr>
        <w:t>书面声明</w:t>
      </w:r>
      <w:bookmarkEnd w:id="128"/>
      <w:bookmarkEnd w:id="129"/>
    </w:p>
    <w:p>
      <w:pPr>
        <w:spacing w:before="120" w:beforeLines="50" w:after="120" w:afterLines="50" w:line="480" w:lineRule="auto"/>
        <w:rPr>
          <w:rFonts w:hint="eastAsia" w:ascii="宋体" w:hAnsi="宋体" w:eastAsia="宋体" w:cs="宋体"/>
          <w:color w:val="auto"/>
          <w:spacing w:val="8"/>
          <w:sz w:val="24"/>
        </w:rPr>
      </w:pPr>
    </w:p>
    <w:p>
      <w:pPr>
        <w:pStyle w:val="3"/>
        <w:spacing w:line="360" w:lineRule="auto"/>
        <w:rPr>
          <w:rFonts w:hint="eastAsia" w:ascii="宋体" w:hAnsi="宋体" w:eastAsia="宋体" w:cs="宋体"/>
          <w:color w:val="auto"/>
          <w:spacing w:val="8"/>
          <w:kern w:val="2"/>
          <w:sz w:val="24"/>
          <w:szCs w:val="24"/>
          <w:u w:val="single"/>
          <w:lang w:val="en-US" w:eastAsia="zh-CN"/>
        </w:rPr>
      </w:pPr>
      <w:r>
        <w:rPr>
          <w:rFonts w:hint="eastAsia" w:ascii="宋体" w:hAnsi="宋体" w:eastAsia="宋体" w:cs="宋体"/>
          <w:color w:val="auto"/>
          <w:spacing w:val="8"/>
          <w:kern w:val="2"/>
          <w:sz w:val="24"/>
          <w:szCs w:val="24"/>
        </w:rPr>
        <w:t>致</w:t>
      </w:r>
      <w:r>
        <w:rPr>
          <w:rFonts w:hint="eastAsia" w:ascii="宋体" w:hAnsi="宋体" w:eastAsia="宋体" w:cs="宋体"/>
          <w:color w:val="auto"/>
          <w:spacing w:val="8"/>
          <w:kern w:val="2"/>
          <w:sz w:val="24"/>
          <w:szCs w:val="24"/>
          <w:lang w:eastAsia="zh-CN"/>
        </w:rPr>
        <w:t>：</w:t>
      </w:r>
      <w:r>
        <w:rPr>
          <w:rFonts w:hint="eastAsia" w:ascii="宋体" w:hAnsi="宋体" w:eastAsia="宋体" w:cs="宋体"/>
          <w:color w:val="auto"/>
          <w:spacing w:val="8"/>
          <w:kern w:val="2"/>
          <w:sz w:val="24"/>
          <w:szCs w:val="24"/>
          <w:u w:val="single"/>
          <w:lang w:val="en-US" w:eastAsia="zh-CN"/>
        </w:rPr>
        <w:t xml:space="preserve">              （采购人）</w:t>
      </w:r>
    </w:p>
    <w:p>
      <w:pPr>
        <w:spacing w:before="120" w:beforeLines="50" w:after="120" w:afterLines="50" w:line="360" w:lineRule="auto"/>
        <w:ind w:firstLine="512" w:firstLineChars="200"/>
        <w:rPr>
          <w:rFonts w:hint="eastAsia" w:ascii="宋体" w:hAnsi="宋体" w:eastAsia="宋体" w:cs="宋体"/>
          <w:color w:val="auto"/>
          <w:spacing w:val="8"/>
          <w:sz w:val="24"/>
        </w:rPr>
      </w:pPr>
      <w:r>
        <w:rPr>
          <w:rFonts w:hint="eastAsia" w:ascii="宋体" w:hAnsi="宋体" w:eastAsia="宋体" w:cs="宋体"/>
          <w:color w:val="auto"/>
          <w:spacing w:val="8"/>
          <w:sz w:val="24"/>
        </w:rPr>
        <w:t>我公司参加（</w:t>
      </w:r>
      <w:r>
        <w:rPr>
          <w:rFonts w:hint="eastAsia" w:ascii="宋体" w:hAnsi="宋体" w:eastAsia="宋体" w:cs="宋体"/>
          <w:color w:val="auto"/>
          <w:spacing w:val="8"/>
          <w:sz w:val="24"/>
          <w:u w:val="single"/>
        </w:rPr>
        <w:t>填写项目编号</w:t>
      </w:r>
      <w:r>
        <w:rPr>
          <w:rFonts w:hint="eastAsia" w:ascii="宋体" w:hAnsi="宋体" w:eastAsia="宋体" w:cs="宋体"/>
          <w:color w:val="auto"/>
          <w:spacing w:val="8"/>
          <w:sz w:val="24"/>
        </w:rPr>
        <w:t>）（</w:t>
      </w:r>
      <w:r>
        <w:rPr>
          <w:rFonts w:hint="eastAsia" w:ascii="宋体" w:hAnsi="宋体" w:eastAsia="宋体" w:cs="宋体"/>
          <w:color w:val="auto"/>
          <w:spacing w:val="8"/>
          <w:sz w:val="24"/>
          <w:u w:val="single"/>
        </w:rPr>
        <w:t>填写项目名称</w:t>
      </w:r>
      <w:r>
        <w:rPr>
          <w:rFonts w:hint="eastAsia" w:ascii="宋体" w:hAnsi="宋体" w:eastAsia="宋体" w:cs="宋体"/>
          <w:color w:val="auto"/>
          <w:spacing w:val="8"/>
          <w:sz w:val="24"/>
        </w:rPr>
        <w:t>）项目的磋商，本公司郑重声明，我司参加本项目政府采购活动前年内（有或无）重大违纪，以及未被列入失信被执行人、重大税收违法案件当事人名单、政府采购严重违法失信行为记录名单，符合政府采购法等法律法规的规定，我司对此声明负全部法律责任。</w:t>
      </w:r>
    </w:p>
    <w:p>
      <w:pPr>
        <w:spacing w:before="120" w:beforeLines="50" w:after="120" w:afterLines="50" w:line="360" w:lineRule="auto"/>
        <w:ind w:firstLine="501" w:firstLineChars="196"/>
        <w:rPr>
          <w:rFonts w:hint="eastAsia" w:ascii="宋体" w:hAnsi="宋体" w:eastAsia="宋体" w:cs="宋体"/>
          <w:color w:val="auto"/>
          <w:spacing w:val="8"/>
          <w:sz w:val="24"/>
        </w:rPr>
      </w:pPr>
      <w:r>
        <w:rPr>
          <w:rFonts w:hint="eastAsia" w:ascii="宋体" w:hAnsi="宋体" w:eastAsia="宋体" w:cs="宋体"/>
          <w:color w:val="auto"/>
          <w:spacing w:val="8"/>
          <w:sz w:val="24"/>
        </w:rPr>
        <w:t>特此声明！</w:t>
      </w:r>
    </w:p>
    <w:p>
      <w:pPr>
        <w:pStyle w:val="13"/>
        <w:spacing w:line="360" w:lineRule="auto"/>
        <w:rPr>
          <w:rFonts w:hint="eastAsia" w:ascii="宋体" w:hAnsi="宋体" w:eastAsia="宋体" w:cs="宋体"/>
          <w:b/>
          <w:bCs/>
          <w:color w:val="auto"/>
          <w:sz w:val="24"/>
          <w:lang w:val="zh-CN"/>
        </w:rPr>
      </w:pPr>
    </w:p>
    <w:p>
      <w:pPr>
        <w:pStyle w:val="3"/>
        <w:spacing w:line="360" w:lineRule="auto"/>
        <w:rPr>
          <w:rFonts w:hint="eastAsia" w:ascii="宋体" w:hAnsi="宋体" w:eastAsia="宋体" w:cs="宋体"/>
          <w:color w:val="auto"/>
          <w:sz w:val="24"/>
          <w:szCs w:val="24"/>
          <w:lang w:val="zh-CN"/>
        </w:rPr>
      </w:pPr>
    </w:p>
    <w:p>
      <w:pPr>
        <w:pStyle w:val="13"/>
        <w:spacing w:line="360" w:lineRule="auto"/>
        <w:rPr>
          <w:rFonts w:hint="eastAsia" w:ascii="宋体" w:hAnsi="宋体" w:eastAsia="宋体" w:cs="宋体"/>
          <w:b/>
          <w:bCs/>
          <w:color w:val="auto"/>
          <w:sz w:val="24"/>
          <w:lang w:val="zh-CN"/>
        </w:rPr>
      </w:pPr>
    </w:p>
    <w:p>
      <w:pPr>
        <w:adjustRightInd w:val="0"/>
        <w:snapToGrid w:val="0"/>
        <w:spacing w:line="480" w:lineRule="auto"/>
        <w:ind w:firstLine="512" w:firstLineChars="200"/>
        <w:jc w:val="left"/>
        <w:rPr>
          <w:rFonts w:hint="eastAsia" w:ascii="宋体" w:hAnsi="宋体" w:eastAsia="宋体" w:cs="宋体"/>
          <w:color w:val="auto"/>
          <w:spacing w:val="8"/>
          <w:sz w:val="24"/>
          <w:u w:val="single"/>
        </w:rPr>
      </w:pPr>
      <w:r>
        <w:rPr>
          <w:rFonts w:hint="eastAsia" w:ascii="宋体" w:hAnsi="宋体" w:eastAsia="宋体" w:cs="宋体"/>
          <w:color w:val="auto"/>
          <w:spacing w:val="8"/>
          <w:sz w:val="24"/>
        </w:rPr>
        <w:t>声明人名称：</w:t>
      </w:r>
      <w:r>
        <w:rPr>
          <w:rFonts w:hint="eastAsia" w:ascii="宋体" w:hAnsi="宋体" w:eastAsia="宋体" w:cs="宋体"/>
          <w:color w:val="auto"/>
          <w:spacing w:val="8"/>
          <w:sz w:val="24"/>
          <w:u w:val="single"/>
        </w:rPr>
        <w:t>（盖公章）</w:t>
      </w:r>
    </w:p>
    <w:p>
      <w:pPr>
        <w:adjustRightInd w:val="0"/>
        <w:snapToGrid w:val="0"/>
        <w:spacing w:line="480" w:lineRule="auto"/>
        <w:ind w:firstLine="512" w:firstLineChars="200"/>
        <w:jc w:val="left"/>
        <w:rPr>
          <w:rFonts w:hint="eastAsia" w:ascii="宋体" w:hAnsi="宋体" w:eastAsia="宋体" w:cs="宋体"/>
          <w:color w:val="auto"/>
          <w:spacing w:val="8"/>
          <w:sz w:val="24"/>
          <w:u w:val="single"/>
        </w:rPr>
      </w:pPr>
      <w:r>
        <w:rPr>
          <w:rFonts w:hint="eastAsia" w:ascii="宋体" w:hAnsi="宋体" w:eastAsia="宋体" w:cs="宋体"/>
          <w:color w:val="auto"/>
          <w:spacing w:val="8"/>
          <w:sz w:val="24"/>
        </w:rPr>
        <w:t>法定代表人或授权代表：</w:t>
      </w:r>
      <w:r>
        <w:rPr>
          <w:rFonts w:hint="eastAsia" w:ascii="宋体" w:hAnsi="宋体" w:eastAsia="宋体" w:cs="宋体"/>
          <w:color w:val="auto"/>
          <w:spacing w:val="8"/>
          <w:sz w:val="24"/>
          <w:u w:val="single"/>
        </w:rPr>
        <w:t>（签字或盖章）</w:t>
      </w:r>
    </w:p>
    <w:p>
      <w:pPr>
        <w:adjustRightInd w:val="0"/>
        <w:snapToGrid w:val="0"/>
        <w:spacing w:line="480" w:lineRule="auto"/>
        <w:ind w:firstLine="480" w:firstLineChars="200"/>
        <w:jc w:val="left"/>
        <w:rPr>
          <w:rFonts w:hint="eastAsia" w:ascii="宋体" w:hAnsi="宋体" w:eastAsia="宋体" w:cs="宋体"/>
          <w:color w:val="auto"/>
          <w:sz w:val="24"/>
        </w:rPr>
      </w:pPr>
      <w:r>
        <w:rPr>
          <w:rFonts w:hint="eastAsia" w:ascii="宋体" w:hAnsi="宋体" w:eastAsia="宋体" w:cs="宋体"/>
          <w:color w:val="auto"/>
          <w:sz w:val="24"/>
        </w:rPr>
        <w:t>日期：</w:t>
      </w:r>
      <w:r>
        <w:rPr>
          <w:rFonts w:hint="eastAsia" w:ascii="宋体" w:hAnsi="宋体" w:cs="宋体"/>
          <w:color w:val="auto"/>
          <w:sz w:val="24"/>
          <w:lang w:val="en-US" w:eastAsia="zh-CN"/>
        </w:rPr>
        <w:t xml:space="preserve">  </w:t>
      </w:r>
      <w:r>
        <w:rPr>
          <w:rFonts w:hint="eastAsia" w:ascii="宋体" w:hAnsi="宋体" w:eastAsia="宋体" w:cs="宋体"/>
          <w:color w:val="auto"/>
          <w:sz w:val="24"/>
        </w:rPr>
        <w:t>年</w:t>
      </w:r>
      <w:r>
        <w:rPr>
          <w:rFonts w:hint="eastAsia" w:ascii="宋体" w:hAnsi="宋体" w:cs="宋体"/>
          <w:color w:val="auto"/>
          <w:sz w:val="24"/>
          <w:lang w:val="en-US" w:eastAsia="zh-CN"/>
        </w:rPr>
        <w:t xml:space="preserve">  </w:t>
      </w:r>
      <w:r>
        <w:rPr>
          <w:rFonts w:hint="eastAsia" w:ascii="宋体" w:hAnsi="宋体" w:eastAsia="宋体" w:cs="宋体"/>
          <w:color w:val="auto"/>
          <w:sz w:val="24"/>
        </w:rPr>
        <w:t>月</w:t>
      </w:r>
      <w:r>
        <w:rPr>
          <w:rFonts w:hint="eastAsia" w:ascii="宋体" w:hAnsi="宋体" w:cs="宋体"/>
          <w:color w:val="auto"/>
          <w:sz w:val="24"/>
          <w:lang w:val="en-US" w:eastAsia="zh-CN"/>
        </w:rPr>
        <w:t xml:space="preserve">    </w:t>
      </w:r>
      <w:r>
        <w:rPr>
          <w:rFonts w:hint="eastAsia" w:ascii="宋体" w:hAnsi="宋体" w:eastAsia="宋体" w:cs="宋体"/>
          <w:color w:val="auto"/>
          <w:sz w:val="24"/>
        </w:rPr>
        <w:t>日</w:t>
      </w:r>
    </w:p>
    <w:p>
      <w:pPr>
        <w:pStyle w:val="13"/>
        <w:rPr>
          <w:rFonts w:hint="eastAsia" w:ascii="宋体" w:hAnsi="宋体" w:eastAsia="宋体" w:cs="宋体"/>
          <w:b/>
          <w:bCs/>
          <w:color w:val="auto"/>
          <w:sz w:val="24"/>
          <w:lang w:val="zh-CN"/>
        </w:rPr>
      </w:pPr>
    </w:p>
    <w:p>
      <w:pPr>
        <w:pStyle w:val="13"/>
        <w:rPr>
          <w:rFonts w:hint="eastAsia" w:ascii="宋体" w:hAnsi="宋体" w:eastAsia="宋体" w:cs="宋体"/>
          <w:b/>
          <w:bCs/>
          <w:color w:val="auto"/>
          <w:sz w:val="24"/>
          <w:lang w:val="zh-CN"/>
        </w:rPr>
      </w:pPr>
    </w:p>
    <w:p>
      <w:pPr>
        <w:pStyle w:val="13"/>
        <w:rPr>
          <w:rFonts w:hint="eastAsia" w:ascii="宋体" w:hAnsi="宋体" w:eastAsia="宋体" w:cs="宋体"/>
          <w:b/>
          <w:bCs/>
          <w:color w:val="auto"/>
          <w:sz w:val="24"/>
          <w:lang w:val="zh-CN"/>
        </w:rPr>
      </w:pPr>
    </w:p>
    <w:p>
      <w:pPr>
        <w:pStyle w:val="13"/>
        <w:rPr>
          <w:rFonts w:hint="eastAsia" w:ascii="宋体" w:hAnsi="宋体" w:eastAsia="宋体" w:cs="宋体"/>
          <w:b/>
          <w:bCs/>
          <w:color w:val="auto"/>
          <w:sz w:val="24"/>
          <w:lang w:val="zh-CN"/>
        </w:rPr>
      </w:pPr>
    </w:p>
    <w:p>
      <w:pPr>
        <w:pStyle w:val="13"/>
        <w:rPr>
          <w:rFonts w:hint="eastAsia" w:ascii="宋体" w:hAnsi="宋体" w:eastAsia="宋体" w:cs="宋体"/>
          <w:b/>
          <w:bCs/>
          <w:color w:val="auto"/>
          <w:sz w:val="24"/>
          <w:lang w:val="zh-CN"/>
        </w:rPr>
      </w:pPr>
    </w:p>
    <w:p>
      <w:pPr>
        <w:pStyle w:val="13"/>
        <w:rPr>
          <w:rFonts w:hint="eastAsia" w:ascii="宋体" w:hAnsi="宋体" w:eastAsia="宋体" w:cs="宋体"/>
          <w:b/>
          <w:bCs/>
          <w:color w:val="auto"/>
          <w:sz w:val="24"/>
          <w:lang w:val="zh-CN"/>
        </w:rPr>
      </w:pPr>
    </w:p>
    <w:p>
      <w:pPr>
        <w:rPr>
          <w:rFonts w:hint="eastAsia" w:ascii="宋体" w:hAnsi="宋体" w:eastAsia="宋体" w:cs="宋体"/>
          <w:color w:val="auto"/>
          <w:lang w:val="zh-CN"/>
        </w:rPr>
      </w:pPr>
    </w:p>
    <w:p>
      <w:pPr>
        <w:pStyle w:val="13"/>
        <w:rPr>
          <w:rFonts w:hint="eastAsia" w:ascii="宋体" w:hAnsi="宋体" w:eastAsia="宋体" w:cs="宋体"/>
          <w:color w:val="auto"/>
          <w:lang w:val="zh-CN"/>
        </w:rPr>
      </w:pPr>
    </w:p>
    <w:p>
      <w:pPr>
        <w:rPr>
          <w:rFonts w:hint="eastAsia" w:ascii="宋体" w:hAnsi="宋体" w:eastAsia="宋体" w:cs="宋体"/>
          <w:color w:val="auto"/>
          <w:lang w:val="zh-CN"/>
        </w:rPr>
      </w:pPr>
    </w:p>
    <w:p>
      <w:pPr>
        <w:spacing w:before="360" w:beforeLines="150"/>
        <w:jc w:val="both"/>
        <w:rPr>
          <w:rFonts w:hint="eastAsia" w:ascii="宋体" w:hAnsi="宋体" w:eastAsia="宋体" w:cs="宋体"/>
          <w:b/>
          <w:color w:val="auto"/>
          <w:sz w:val="24"/>
        </w:rPr>
      </w:pPr>
      <w:bookmarkStart w:id="130" w:name="_Toc76138099"/>
    </w:p>
    <w:p>
      <w:pPr>
        <w:spacing w:before="360" w:beforeLines="150"/>
        <w:jc w:val="center"/>
        <w:rPr>
          <w:rFonts w:hint="eastAsia" w:ascii="宋体" w:hAnsi="宋体" w:eastAsia="宋体" w:cs="宋体"/>
          <w:b/>
          <w:color w:val="auto"/>
          <w:sz w:val="24"/>
        </w:rPr>
      </w:pPr>
      <w:r>
        <w:rPr>
          <w:rFonts w:hint="eastAsia" w:ascii="宋体" w:hAnsi="宋体" w:eastAsia="宋体" w:cs="宋体"/>
          <w:b/>
          <w:color w:val="auto"/>
          <w:sz w:val="24"/>
        </w:rPr>
        <w:t>承诺书3</w:t>
      </w:r>
    </w:p>
    <w:p>
      <w:pPr>
        <w:jc w:val="center"/>
        <w:rPr>
          <w:rFonts w:hint="eastAsia" w:ascii="宋体" w:hAnsi="宋体" w:eastAsia="宋体" w:cs="宋体"/>
          <w:b/>
          <w:color w:val="auto"/>
          <w:sz w:val="24"/>
        </w:rPr>
      </w:pPr>
    </w:p>
    <w:p>
      <w:pPr>
        <w:jc w:val="center"/>
        <w:rPr>
          <w:rFonts w:hint="eastAsia" w:ascii="宋体" w:hAnsi="宋体" w:eastAsia="宋体" w:cs="宋体"/>
          <w:b/>
          <w:color w:val="auto"/>
          <w:sz w:val="24"/>
        </w:rPr>
      </w:pPr>
      <w:r>
        <w:rPr>
          <w:rFonts w:hint="eastAsia" w:ascii="宋体" w:hAnsi="宋体" w:eastAsia="宋体" w:cs="宋体"/>
          <w:b/>
          <w:color w:val="auto"/>
          <w:sz w:val="24"/>
        </w:rPr>
        <w:t>陕西省政府采购供应商拒绝政府采购领域商业贿赂承诺书</w:t>
      </w:r>
      <w:bookmarkEnd w:id="130"/>
    </w:p>
    <w:p>
      <w:pPr>
        <w:pStyle w:val="92"/>
        <w:ind w:firstLine="482"/>
        <w:rPr>
          <w:rFonts w:hint="eastAsia" w:ascii="宋体" w:hAnsi="宋体" w:eastAsia="宋体" w:cs="宋体"/>
          <w:b/>
          <w:color w:val="auto"/>
          <w:sz w:val="24"/>
        </w:rPr>
      </w:pPr>
    </w:p>
    <w:p>
      <w:pPr>
        <w:widowControl/>
        <w:spacing w:line="408" w:lineRule="auto"/>
        <w:ind w:left="239" w:leftChars="114" w:firstLine="470" w:firstLineChars="196"/>
        <w:jc w:val="left"/>
        <w:rPr>
          <w:rFonts w:hint="eastAsia" w:ascii="宋体" w:hAnsi="宋体" w:eastAsia="宋体" w:cs="宋体"/>
          <w:color w:val="auto"/>
          <w:kern w:val="0"/>
          <w:sz w:val="24"/>
        </w:rPr>
      </w:pPr>
      <w:r>
        <w:rPr>
          <w:rFonts w:hint="eastAsia" w:ascii="宋体" w:hAnsi="宋体" w:eastAsia="宋体" w:cs="宋体"/>
          <w:color w:val="auto"/>
          <w:kern w:val="0"/>
          <w:sz w:val="24"/>
        </w:rPr>
        <w:t>为响应党中央、国务院关于治理政府采购领域商业贿赂行为的号召，我公司在此庄严承诺：</w:t>
      </w:r>
      <w:r>
        <w:rPr>
          <w:rFonts w:hint="eastAsia" w:ascii="宋体" w:hAnsi="宋体" w:eastAsia="宋体" w:cs="宋体"/>
          <w:color w:val="auto"/>
          <w:kern w:val="0"/>
          <w:sz w:val="24"/>
        </w:rPr>
        <w:br w:type="textWrapping"/>
      </w:r>
      <w:r>
        <w:rPr>
          <w:rFonts w:hint="eastAsia" w:ascii="宋体" w:hAnsi="宋体" w:eastAsia="宋体" w:cs="宋体"/>
          <w:color w:val="auto"/>
          <w:kern w:val="0"/>
          <w:sz w:val="24"/>
        </w:rPr>
        <w:t>1、在参与政府采购活动中遵纪守法、诚信经营、公平竞标。</w:t>
      </w:r>
      <w:r>
        <w:rPr>
          <w:rFonts w:hint="eastAsia" w:ascii="宋体" w:hAnsi="宋体" w:eastAsia="宋体" w:cs="宋体"/>
          <w:color w:val="auto"/>
          <w:kern w:val="0"/>
          <w:sz w:val="24"/>
        </w:rPr>
        <w:br w:type="textWrapping"/>
      </w:r>
      <w:r>
        <w:rPr>
          <w:rFonts w:hint="eastAsia" w:ascii="宋体" w:hAnsi="宋体" w:eastAsia="宋体" w:cs="宋体"/>
          <w:color w:val="auto"/>
          <w:kern w:val="0"/>
          <w:sz w:val="24"/>
        </w:rPr>
        <w:t>2、不向政府采购人、采购代理机构和政府采购评审专家进行任何形式的商业贿赂以谋取交易机会。</w:t>
      </w:r>
      <w:r>
        <w:rPr>
          <w:rFonts w:hint="eastAsia" w:ascii="宋体" w:hAnsi="宋体" w:eastAsia="宋体" w:cs="宋体"/>
          <w:color w:val="auto"/>
          <w:kern w:val="0"/>
          <w:sz w:val="24"/>
        </w:rPr>
        <w:br w:type="textWrapping"/>
      </w:r>
      <w:r>
        <w:rPr>
          <w:rFonts w:hint="eastAsia" w:ascii="宋体" w:hAnsi="宋体" w:eastAsia="宋体" w:cs="宋体"/>
          <w:color w:val="auto"/>
          <w:kern w:val="0"/>
          <w:sz w:val="24"/>
        </w:rPr>
        <w:t>3、不向政府采购代理机构和采购人提供虚假资质文件或采用虚假应标方式参与政府采购市场竞争并谋取中标、成交。</w:t>
      </w:r>
      <w:r>
        <w:rPr>
          <w:rFonts w:hint="eastAsia" w:ascii="宋体" w:hAnsi="宋体" w:eastAsia="宋体" w:cs="宋体"/>
          <w:color w:val="auto"/>
          <w:kern w:val="0"/>
          <w:sz w:val="24"/>
        </w:rPr>
        <w:br w:type="textWrapping"/>
      </w:r>
      <w:r>
        <w:rPr>
          <w:rFonts w:hint="eastAsia" w:ascii="宋体" w:hAnsi="宋体" w:eastAsia="宋体" w:cs="宋体"/>
          <w:color w:val="auto"/>
          <w:kern w:val="0"/>
          <w:sz w:val="24"/>
        </w:rPr>
        <w:t>4、不采取“围标、陪标”等商业欺诈手段获得政府采购定单。</w:t>
      </w:r>
      <w:r>
        <w:rPr>
          <w:rFonts w:hint="eastAsia" w:ascii="宋体" w:hAnsi="宋体" w:eastAsia="宋体" w:cs="宋体"/>
          <w:color w:val="auto"/>
          <w:kern w:val="0"/>
          <w:sz w:val="24"/>
        </w:rPr>
        <w:br w:type="textWrapping"/>
      </w:r>
      <w:r>
        <w:rPr>
          <w:rFonts w:hint="eastAsia" w:ascii="宋体" w:hAnsi="宋体" w:eastAsia="宋体" w:cs="宋体"/>
          <w:color w:val="auto"/>
          <w:kern w:val="0"/>
          <w:sz w:val="24"/>
        </w:rPr>
        <w:t>5、不采取不正当手段诋毁、排挤其他供应商。</w:t>
      </w:r>
      <w:r>
        <w:rPr>
          <w:rFonts w:hint="eastAsia" w:ascii="宋体" w:hAnsi="宋体" w:eastAsia="宋体" w:cs="宋体"/>
          <w:color w:val="auto"/>
          <w:kern w:val="0"/>
          <w:sz w:val="24"/>
        </w:rPr>
        <w:br w:type="textWrapping"/>
      </w:r>
      <w:r>
        <w:rPr>
          <w:rFonts w:hint="eastAsia" w:ascii="宋体" w:hAnsi="宋体" w:eastAsia="宋体" w:cs="宋体"/>
          <w:color w:val="auto"/>
          <w:kern w:val="0"/>
          <w:sz w:val="24"/>
        </w:rPr>
        <w:t>6、不在提供商品和服务时“偷梁换柱、以次充好”损害采购人的合法权益。</w:t>
      </w:r>
      <w:r>
        <w:rPr>
          <w:rFonts w:hint="eastAsia" w:ascii="宋体" w:hAnsi="宋体" w:eastAsia="宋体" w:cs="宋体"/>
          <w:color w:val="auto"/>
          <w:kern w:val="0"/>
          <w:sz w:val="24"/>
        </w:rPr>
        <w:br w:type="textWrapping"/>
      </w:r>
      <w:r>
        <w:rPr>
          <w:rFonts w:hint="eastAsia" w:ascii="宋体" w:hAnsi="宋体" w:eastAsia="宋体" w:cs="宋体"/>
          <w:color w:val="auto"/>
          <w:kern w:val="0"/>
          <w:sz w:val="24"/>
        </w:rPr>
        <w:t>7、不与采购人、采购代理机构政府采购评审专家或其它供应商恶意串通，进行质疑和投诉，维护政府采购市场秩序。</w:t>
      </w:r>
      <w:r>
        <w:rPr>
          <w:rFonts w:hint="eastAsia" w:ascii="宋体" w:hAnsi="宋体" w:eastAsia="宋体" w:cs="宋体"/>
          <w:color w:val="auto"/>
          <w:kern w:val="0"/>
          <w:sz w:val="24"/>
        </w:rPr>
        <w:br w:type="textWrapping"/>
      </w:r>
      <w:r>
        <w:rPr>
          <w:rFonts w:hint="eastAsia" w:ascii="宋体" w:hAnsi="宋体" w:eastAsia="宋体" w:cs="宋体"/>
          <w:color w:val="auto"/>
          <w:kern w:val="0"/>
          <w:sz w:val="24"/>
        </w:rPr>
        <w:t>8、尊重和接受政府采购监督管理部门的监督和政府采购代理机构招标采购要求，承担因违约行为给采购人造成的损失。</w:t>
      </w:r>
      <w:r>
        <w:rPr>
          <w:rFonts w:hint="eastAsia" w:ascii="宋体" w:hAnsi="宋体" w:eastAsia="宋体" w:cs="宋体"/>
          <w:color w:val="auto"/>
          <w:kern w:val="0"/>
          <w:sz w:val="24"/>
        </w:rPr>
        <w:br w:type="textWrapping"/>
      </w:r>
      <w:r>
        <w:rPr>
          <w:rFonts w:hint="eastAsia" w:ascii="宋体" w:hAnsi="宋体" w:eastAsia="宋体" w:cs="宋体"/>
          <w:color w:val="auto"/>
          <w:kern w:val="0"/>
          <w:sz w:val="24"/>
        </w:rPr>
        <w:t>9、不发生其他有悖于政府采购公开、公平、公正和诚信原则的行为。</w:t>
      </w:r>
      <w:r>
        <w:rPr>
          <w:rFonts w:hint="eastAsia" w:ascii="宋体" w:hAnsi="宋体" w:eastAsia="宋体" w:cs="宋体"/>
          <w:color w:val="auto"/>
          <w:kern w:val="0"/>
          <w:sz w:val="24"/>
        </w:rPr>
        <w:br w:type="textWrapping"/>
      </w:r>
    </w:p>
    <w:p>
      <w:pPr>
        <w:widowControl/>
        <w:spacing w:line="408" w:lineRule="auto"/>
        <w:ind w:left="239" w:leftChars="114"/>
        <w:jc w:val="left"/>
        <w:rPr>
          <w:rFonts w:hint="eastAsia" w:ascii="宋体" w:hAnsi="宋体" w:eastAsia="宋体" w:cs="宋体"/>
          <w:color w:val="auto"/>
          <w:kern w:val="0"/>
          <w:sz w:val="24"/>
        </w:rPr>
      </w:pPr>
      <w:r>
        <w:rPr>
          <w:rFonts w:hint="eastAsia" w:ascii="宋体" w:hAnsi="宋体" w:eastAsia="宋体" w:cs="宋体"/>
          <w:color w:val="auto"/>
          <w:kern w:val="0"/>
          <w:sz w:val="24"/>
        </w:rPr>
        <w:t>承诺单位：</w:t>
      </w:r>
      <w:r>
        <w:rPr>
          <w:rFonts w:hint="eastAsia" w:ascii="宋体" w:hAnsi="宋体" w:cs="宋体"/>
          <w:color w:val="auto"/>
          <w:kern w:val="0"/>
          <w:sz w:val="24"/>
          <w:u w:val="single"/>
          <w:lang w:val="en-US" w:eastAsia="zh-CN"/>
        </w:rPr>
        <w:t xml:space="preserve">                     </w:t>
      </w:r>
      <w:r>
        <w:rPr>
          <w:rFonts w:hint="eastAsia" w:ascii="宋体" w:hAnsi="宋体" w:eastAsia="宋体" w:cs="宋体"/>
          <w:color w:val="auto"/>
          <w:kern w:val="0"/>
          <w:sz w:val="24"/>
        </w:rPr>
        <w:t>（盖章）</w:t>
      </w:r>
      <w:r>
        <w:rPr>
          <w:rFonts w:hint="eastAsia" w:ascii="宋体" w:hAnsi="宋体" w:eastAsia="宋体" w:cs="宋体"/>
          <w:color w:val="auto"/>
          <w:kern w:val="0"/>
          <w:sz w:val="24"/>
        </w:rPr>
        <w:br w:type="textWrapping"/>
      </w:r>
      <w:r>
        <w:rPr>
          <w:rFonts w:hint="eastAsia" w:ascii="宋体" w:hAnsi="宋体" w:eastAsia="宋体" w:cs="宋体"/>
          <w:color w:val="auto"/>
          <w:sz w:val="24"/>
        </w:rPr>
        <w:t>法定代表人或授权代表</w:t>
      </w:r>
      <w:r>
        <w:rPr>
          <w:rFonts w:hint="eastAsia" w:ascii="宋体" w:hAnsi="宋体" w:eastAsia="宋体" w:cs="宋体"/>
          <w:color w:val="auto"/>
          <w:kern w:val="0"/>
          <w:sz w:val="24"/>
        </w:rPr>
        <w:t>：</w:t>
      </w:r>
      <w:r>
        <w:rPr>
          <w:rFonts w:hint="eastAsia" w:ascii="宋体" w:hAnsi="宋体" w:cs="宋体"/>
          <w:color w:val="auto"/>
          <w:kern w:val="0"/>
          <w:sz w:val="24"/>
          <w:u w:val="single"/>
          <w:lang w:val="en-US" w:eastAsia="zh-CN"/>
        </w:rPr>
        <w:t xml:space="preserve">            </w:t>
      </w:r>
      <w:r>
        <w:rPr>
          <w:rFonts w:hint="eastAsia" w:ascii="宋体" w:hAnsi="宋体" w:cs="宋体"/>
          <w:color w:val="auto"/>
          <w:kern w:val="0"/>
          <w:sz w:val="24"/>
          <w:lang w:val="en-US" w:eastAsia="zh-CN"/>
        </w:rPr>
        <w:t xml:space="preserve"> </w:t>
      </w:r>
      <w:r>
        <w:rPr>
          <w:rFonts w:hint="eastAsia" w:ascii="宋体" w:hAnsi="宋体" w:eastAsia="宋体" w:cs="宋体"/>
          <w:color w:val="auto"/>
          <w:kern w:val="0"/>
          <w:sz w:val="24"/>
        </w:rPr>
        <w:t>（签字或盖章）</w:t>
      </w:r>
      <w:r>
        <w:rPr>
          <w:rFonts w:hint="eastAsia" w:ascii="宋体" w:hAnsi="宋体" w:eastAsia="宋体" w:cs="宋体"/>
          <w:color w:val="auto"/>
          <w:kern w:val="0"/>
          <w:sz w:val="24"/>
        </w:rPr>
        <w:br w:type="textWrapping"/>
      </w:r>
      <w:r>
        <w:rPr>
          <w:rFonts w:hint="eastAsia" w:ascii="宋体" w:hAnsi="宋体" w:eastAsia="宋体" w:cs="宋体"/>
          <w:color w:val="auto"/>
          <w:kern w:val="0"/>
          <w:sz w:val="24"/>
        </w:rPr>
        <w:t>地  址：                        </w:t>
      </w:r>
    </w:p>
    <w:p>
      <w:pPr>
        <w:widowControl/>
        <w:spacing w:line="408" w:lineRule="auto"/>
        <w:ind w:left="239" w:leftChars="114"/>
        <w:jc w:val="left"/>
        <w:rPr>
          <w:rFonts w:hint="eastAsia" w:ascii="宋体" w:hAnsi="宋体" w:eastAsia="宋体" w:cs="宋体"/>
          <w:color w:val="auto"/>
          <w:kern w:val="0"/>
          <w:sz w:val="24"/>
        </w:rPr>
        <w:sectPr>
          <w:footerReference r:id="rId31" w:type="default"/>
          <w:pgSz w:w="11906" w:h="16838"/>
          <w:pgMar w:top="1440" w:right="1242" w:bottom="1440" w:left="1559" w:header="851" w:footer="992" w:gutter="0"/>
          <w:pgNumType w:fmt="numberInDash"/>
          <w:cols w:space="720" w:num="1"/>
          <w:docGrid w:linePitch="312" w:charSpace="0"/>
        </w:sectPr>
      </w:pPr>
      <w:r>
        <w:rPr>
          <w:rFonts w:hint="eastAsia" w:ascii="宋体" w:hAnsi="宋体" w:eastAsia="宋体" w:cs="宋体"/>
          <w:color w:val="auto"/>
          <w:kern w:val="0"/>
          <w:sz w:val="24"/>
        </w:rPr>
        <w:t>邮  编：</w:t>
      </w:r>
      <w:r>
        <w:rPr>
          <w:rFonts w:hint="eastAsia" w:ascii="宋体" w:hAnsi="宋体" w:eastAsia="宋体" w:cs="宋体"/>
          <w:color w:val="auto"/>
          <w:kern w:val="0"/>
          <w:sz w:val="24"/>
        </w:rPr>
        <w:br w:type="textWrapping"/>
      </w:r>
      <w:r>
        <w:rPr>
          <w:rFonts w:hint="eastAsia" w:ascii="宋体" w:hAnsi="宋体" w:eastAsia="宋体" w:cs="宋体"/>
          <w:color w:val="auto"/>
          <w:kern w:val="0"/>
          <w:sz w:val="24"/>
        </w:rPr>
        <w:t>电  话：                                                 年  月  日</w:t>
      </w:r>
    </w:p>
    <w:p>
      <w:pPr>
        <w:spacing w:line="360" w:lineRule="auto"/>
        <w:rPr>
          <w:rFonts w:hint="eastAsia" w:ascii="宋体" w:hAnsi="宋体" w:eastAsia="宋体" w:cs="宋体"/>
          <w:color w:val="auto"/>
          <w:sz w:val="24"/>
        </w:rPr>
      </w:pPr>
      <w:r>
        <w:rPr>
          <w:rFonts w:hint="eastAsia" w:ascii="宋体" w:hAnsi="宋体" w:eastAsia="宋体" w:cs="宋体"/>
          <w:b/>
          <w:color w:val="auto"/>
          <w:sz w:val="24"/>
        </w:rPr>
        <w:t>附件：</w:t>
      </w:r>
    </w:p>
    <w:p>
      <w:pPr>
        <w:spacing w:line="360" w:lineRule="auto"/>
        <w:jc w:val="center"/>
        <w:rPr>
          <w:rFonts w:hint="eastAsia" w:ascii="宋体" w:hAnsi="宋体" w:eastAsia="宋体" w:cs="宋体"/>
          <w:b/>
          <w:color w:val="auto"/>
          <w:spacing w:val="6"/>
          <w:sz w:val="32"/>
        </w:rPr>
      </w:pPr>
      <w:r>
        <w:rPr>
          <w:rFonts w:hint="eastAsia" w:ascii="宋体" w:hAnsi="宋体" w:eastAsia="宋体" w:cs="宋体"/>
          <w:b/>
          <w:color w:val="auto"/>
          <w:spacing w:val="6"/>
          <w:sz w:val="32"/>
        </w:rPr>
        <w:t>供应商性质承诺说明</w:t>
      </w:r>
    </w:p>
    <w:p>
      <w:pPr>
        <w:spacing w:line="360" w:lineRule="auto"/>
        <w:ind w:firstLine="504" w:firstLineChars="200"/>
        <w:rPr>
          <w:rFonts w:hint="eastAsia" w:ascii="宋体" w:hAnsi="宋体" w:eastAsia="宋体" w:cs="宋体"/>
          <w:color w:val="auto"/>
          <w:spacing w:val="6"/>
          <w:sz w:val="24"/>
        </w:rPr>
      </w:pPr>
      <w:r>
        <w:rPr>
          <w:rFonts w:hint="eastAsia" w:ascii="宋体" w:hAnsi="宋体" w:eastAsia="宋体" w:cs="宋体"/>
          <w:color w:val="auto"/>
          <w:spacing w:val="6"/>
          <w:sz w:val="24"/>
        </w:rPr>
        <w:t>中小企业、残疾人福利性单位磋商时，应提供声明函（按下文给定格式）。未提供或未按给定格式提供声明函的，其投标产品中的小型、微型企业产品、残疾人福利性单位生产的产品将不能享受磋商文件规定的价格扣除，但不影响磋商响应文件的有效性。</w:t>
      </w:r>
    </w:p>
    <w:p>
      <w:pPr>
        <w:spacing w:line="360" w:lineRule="auto"/>
        <w:ind w:firstLine="504" w:firstLineChars="200"/>
        <w:rPr>
          <w:rFonts w:hint="eastAsia" w:ascii="宋体" w:hAnsi="宋体" w:eastAsia="宋体" w:cs="宋体"/>
          <w:color w:val="auto"/>
          <w:spacing w:val="6"/>
          <w:sz w:val="24"/>
        </w:rPr>
      </w:pPr>
      <w:r>
        <w:rPr>
          <w:rFonts w:hint="eastAsia" w:ascii="宋体" w:hAnsi="宋体" w:eastAsia="宋体" w:cs="宋体"/>
          <w:color w:val="auto"/>
          <w:spacing w:val="6"/>
          <w:sz w:val="24"/>
        </w:rPr>
        <w:t>监狱企业磋商时，应当提供由省级以上监狱管理局、戒毒管理局（含新疆生产建设兵团）出具的属于监狱企业的证明文件（格式不做要求）。未提供证明文件的不能享受磋商文件规定的价格扣除，但不影响磋商响应文件的有效性。</w:t>
      </w:r>
    </w:p>
    <w:p>
      <w:pPr>
        <w:spacing w:line="360" w:lineRule="auto"/>
        <w:ind w:firstLine="504" w:firstLineChars="200"/>
        <w:rPr>
          <w:rFonts w:hint="eastAsia" w:ascii="宋体" w:hAnsi="宋体" w:eastAsia="宋体" w:cs="宋体"/>
          <w:color w:val="auto"/>
          <w:spacing w:val="6"/>
          <w:sz w:val="24"/>
        </w:rPr>
      </w:pPr>
      <w:r>
        <w:rPr>
          <w:rFonts w:hint="eastAsia" w:ascii="宋体" w:hAnsi="宋体" w:eastAsia="宋体" w:cs="宋体"/>
          <w:color w:val="auto"/>
          <w:spacing w:val="6"/>
          <w:sz w:val="24"/>
        </w:rPr>
        <w:t>磋商文件允许联合体</w:t>
      </w:r>
      <w:r>
        <w:rPr>
          <w:rFonts w:hint="eastAsia" w:ascii="宋体" w:hAnsi="宋体" w:eastAsia="宋体" w:cs="宋体"/>
          <w:color w:val="auto"/>
          <w:spacing w:val="6"/>
          <w:sz w:val="24"/>
          <w:lang w:eastAsia="zh-CN"/>
        </w:rPr>
        <w:t>磋商</w:t>
      </w:r>
      <w:r>
        <w:rPr>
          <w:rFonts w:hint="eastAsia" w:ascii="宋体" w:hAnsi="宋体" w:eastAsia="宋体" w:cs="宋体"/>
          <w:color w:val="auto"/>
          <w:spacing w:val="6"/>
          <w:sz w:val="24"/>
        </w:rPr>
        <w:t>的，联合体成员应分别提供上述声明函或证明文件。此外，联合体未提供联合体协议书的，其磋商响应文件无效。</w:t>
      </w:r>
    </w:p>
    <w:p>
      <w:pPr>
        <w:spacing w:line="360" w:lineRule="auto"/>
        <w:ind w:firstLine="506" w:firstLineChars="200"/>
        <w:rPr>
          <w:rFonts w:hint="eastAsia" w:ascii="宋体" w:hAnsi="宋体" w:eastAsia="宋体" w:cs="宋体"/>
          <w:b/>
          <w:color w:val="auto"/>
          <w:spacing w:val="6"/>
          <w:sz w:val="24"/>
        </w:rPr>
        <w:sectPr>
          <w:pgSz w:w="11906" w:h="16838"/>
          <w:pgMar w:top="1440" w:right="1242" w:bottom="1440" w:left="1559" w:header="851" w:footer="992" w:gutter="0"/>
          <w:pgNumType w:fmt="numberInDash"/>
          <w:cols w:space="720" w:num="1"/>
          <w:docGrid w:linePitch="312" w:charSpace="0"/>
        </w:sectPr>
      </w:pPr>
      <w:r>
        <w:rPr>
          <w:rFonts w:hint="eastAsia" w:ascii="宋体" w:hAnsi="宋体" w:eastAsia="宋体" w:cs="宋体"/>
          <w:b/>
          <w:color w:val="auto"/>
          <w:spacing w:val="6"/>
          <w:sz w:val="24"/>
        </w:rPr>
        <w:t>非中小企业、残疾人福利性单位、监狱企业，也无联合体情况的，可不提供此项内容。</w:t>
      </w:r>
    </w:p>
    <w:p>
      <w:pPr>
        <w:jc w:val="center"/>
        <w:rPr>
          <w:rFonts w:hint="eastAsia" w:ascii="宋体" w:hAnsi="宋体" w:eastAsia="宋体" w:cs="宋体"/>
          <w:b/>
          <w:color w:val="auto"/>
          <w:sz w:val="24"/>
        </w:rPr>
      </w:pPr>
      <w:r>
        <w:rPr>
          <w:rFonts w:hint="eastAsia" w:ascii="宋体" w:hAnsi="宋体" w:eastAsia="宋体" w:cs="宋体"/>
          <w:b/>
          <w:color w:val="auto"/>
          <w:sz w:val="24"/>
          <w:lang w:eastAsia="zh-CN"/>
        </w:rPr>
        <w:t>磋商</w:t>
      </w:r>
      <w:r>
        <w:rPr>
          <w:rFonts w:hint="eastAsia" w:ascii="宋体" w:hAnsi="宋体" w:eastAsia="宋体" w:cs="宋体"/>
          <w:b/>
          <w:color w:val="auto"/>
          <w:sz w:val="24"/>
        </w:rPr>
        <w:t>声明（格式）</w:t>
      </w:r>
    </w:p>
    <w:p>
      <w:pPr>
        <w:pStyle w:val="13"/>
        <w:rPr>
          <w:rFonts w:hint="eastAsia" w:ascii="宋体" w:hAnsi="宋体" w:eastAsia="宋体" w:cs="宋体"/>
          <w:color w:val="auto"/>
        </w:rPr>
      </w:pPr>
    </w:p>
    <w:p>
      <w:pPr>
        <w:rPr>
          <w:rFonts w:hint="eastAsia" w:ascii="宋体" w:hAnsi="宋体" w:eastAsia="宋体" w:cs="宋体"/>
          <w:color w:val="auto"/>
        </w:rPr>
      </w:pPr>
    </w:p>
    <w:p>
      <w:pPr>
        <w:spacing w:line="360" w:lineRule="auto"/>
        <w:rPr>
          <w:rFonts w:hint="eastAsia" w:ascii="宋体" w:hAnsi="宋体" w:eastAsia="宋体" w:cs="宋体"/>
          <w:color w:val="auto"/>
          <w:spacing w:val="4"/>
          <w:sz w:val="24"/>
          <w:u w:val="single"/>
        </w:rPr>
      </w:pPr>
      <w:r>
        <w:rPr>
          <w:rFonts w:hint="eastAsia" w:ascii="宋体" w:hAnsi="宋体" w:eastAsia="宋体" w:cs="宋体"/>
          <w:color w:val="auto"/>
          <w:spacing w:val="4"/>
          <w:sz w:val="24"/>
        </w:rPr>
        <w:t>致：</w:t>
      </w:r>
      <w:r>
        <w:rPr>
          <w:rFonts w:hint="eastAsia" w:ascii="宋体" w:hAnsi="宋体" w:eastAsia="宋体" w:cs="宋体"/>
          <w:color w:val="auto"/>
          <w:spacing w:val="4"/>
          <w:sz w:val="24"/>
          <w:u w:val="single"/>
        </w:rPr>
        <w:t>（采购人）</w:t>
      </w:r>
      <w:r>
        <w:rPr>
          <w:rFonts w:hint="eastAsia" w:ascii="宋体" w:hAnsi="宋体" w:eastAsia="宋体" w:cs="宋体"/>
          <w:color w:val="auto"/>
          <w:spacing w:val="4"/>
          <w:sz w:val="24"/>
        </w:rPr>
        <w:t>：</w:t>
      </w:r>
    </w:p>
    <w:p>
      <w:pPr>
        <w:spacing w:before="240" w:beforeLines="100" w:after="120" w:afterLines="50" w:line="360" w:lineRule="auto"/>
        <w:ind w:firstLine="496" w:firstLineChars="200"/>
        <w:rPr>
          <w:rFonts w:hint="eastAsia" w:ascii="宋体" w:hAnsi="宋体" w:eastAsia="宋体" w:cs="宋体"/>
          <w:color w:val="auto"/>
          <w:spacing w:val="4"/>
          <w:sz w:val="24"/>
        </w:rPr>
      </w:pPr>
      <w:r>
        <w:rPr>
          <w:rFonts w:hint="eastAsia" w:ascii="宋体" w:hAnsi="宋体" w:eastAsia="宋体" w:cs="宋体"/>
          <w:color w:val="auto"/>
          <w:spacing w:val="4"/>
          <w:sz w:val="24"/>
        </w:rPr>
        <w:t>我公司参与本项目以单个主体进行参与，没有与其他供应商组成联合体。我公司的</w:t>
      </w:r>
      <w:r>
        <w:rPr>
          <w:rFonts w:hint="eastAsia" w:ascii="宋体" w:hAnsi="宋体" w:eastAsia="宋体" w:cs="宋体"/>
          <w:color w:val="auto"/>
          <w:sz w:val="24"/>
          <w:lang w:val="zh-CN"/>
        </w:rPr>
        <w:t>单位负责人</w:t>
      </w:r>
      <w:r>
        <w:rPr>
          <w:rFonts w:hint="eastAsia" w:ascii="宋体" w:hAnsi="宋体" w:eastAsia="宋体" w:cs="宋体"/>
          <w:color w:val="auto"/>
          <w:sz w:val="24"/>
        </w:rPr>
        <w:t>不与其他</w:t>
      </w:r>
      <w:r>
        <w:rPr>
          <w:rFonts w:hint="eastAsia" w:ascii="宋体" w:hAnsi="宋体" w:eastAsia="宋体" w:cs="宋体"/>
          <w:color w:val="auto"/>
          <w:sz w:val="24"/>
          <w:lang w:eastAsia="zh-CN"/>
        </w:rPr>
        <w:t>磋商供应商</w:t>
      </w:r>
      <w:r>
        <w:rPr>
          <w:rFonts w:hint="eastAsia" w:ascii="宋体" w:hAnsi="宋体" w:eastAsia="宋体" w:cs="宋体"/>
          <w:color w:val="auto"/>
          <w:sz w:val="24"/>
        </w:rPr>
        <w:t>的单位负责人</w:t>
      </w:r>
      <w:r>
        <w:rPr>
          <w:rFonts w:hint="eastAsia" w:ascii="宋体" w:hAnsi="宋体" w:eastAsia="宋体" w:cs="宋体"/>
          <w:color w:val="auto"/>
          <w:sz w:val="24"/>
          <w:lang w:val="zh-CN"/>
        </w:rPr>
        <w:t>为同一人，</w:t>
      </w:r>
      <w:r>
        <w:rPr>
          <w:rFonts w:hint="eastAsia" w:ascii="宋体" w:hAnsi="宋体" w:eastAsia="宋体" w:cs="宋体"/>
          <w:color w:val="auto"/>
          <w:sz w:val="24"/>
        </w:rPr>
        <w:t>不存在与其他供应商有</w:t>
      </w:r>
      <w:r>
        <w:rPr>
          <w:rFonts w:hint="eastAsia" w:ascii="宋体" w:hAnsi="宋体" w:eastAsia="宋体" w:cs="宋体"/>
          <w:color w:val="auto"/>
          <w:sz w:val="24"/>
          <w:lang w:val="zh-CN"/>
        </w:rPr>
        <w:t>直接控股、管理关系。</w:t>
      </w:r>
    </w:p>
    <w:p>
      <w:pPr>
        <w:spacing w:before="240" w:beforeLines="100" w:after="120" w:afterLines="50" w:line="360" w:lineRule="auto"/>
        <w:ind w:firstLine="170"/>
        <w:rPr>
          <w:rFonts w:hint="eastAsia" w:ascii="宋体" w:hAnsi="宋体" w:eastAsia="宋体" w:cs="宋体"/>
          <w:color w:val="auto"/>
          <w:spacing w:val="4"/>
          <w:sz w:val="24"/>
        </w:rPr>
      </w:pPr>
    </w:p>
    <w:p>
      <w:pPr>
        <w:spacing w:before="240" w:beforeLines="100" w:after="120" w:afterLines="50" w:line="360" w:lineRule="auto"/>
        <w:ind w:firstLine="170"/>
        <w:rPr>
          <w:rFonts w:hint="eastAsia" w:ascii="宋体" w:hAnsi="宋体" w:eastAsia="宋体" w:cs="宋体"/>
          <w:color w:val="auto"/>
          <w:spacing w:val="4"/>
          <w:sz w:val="24"/>
        </w:rPr>
      </w:pPr>
    </w:p>
    <w:p>
      <w:pPr>
        <w:kinsoku w:val="0"/>
        <w:spacing w:line="500" w:lineRule="exact"/>
        <w:rPr>
          <w:rFonts w:hint="default" w:ascii="宋体" w:hAnsi="宋体" w:eastAsia="宋体" w:cs="宋体"/>
          <w:color w:val="auto"/>
          <w:sz w:val="24"/>
          <w:u w:val="single"/>
          <w:lang w:val="en-US" w:eastAsia="zh-CN"/>
        </w:rPr>
      </w:pPr>
      <w:r>
        <w:rPr>
          <w:rFonts w:hint="eastAsia" w:ascii="宋体" w:hAnsi="宋体" w:eastAsia="宋体" w:cs="宋体"/>
          <w:color w:val="auto"/>
          <w:sz w:val="24"/>
        </w:rPr>
        <w:t>供应商（公章）：</w:t>
      </w:r>
      <w:r>
        <w:rPr>
          <w:rFonts w:hint="eastAsia" w:ascii="宋体" w:hAnsi="宋体" w:cs="宋体"/>
          <w:color w:val="auto"/>
          <w:sz w:val="24"/>
          <w:u w:val="single"/>
          <w:lang w:val="en-US" w:eastAsia="zh-CN"/>
        </w:rPr>
        <w:t xml:space="preserve">    </w:t>
      </w:r>
    </w:p>
    <w:p>
      <w:pPr>
        <w:kinsoku w:val="0"/>
        <w:spacing w:line="500" w:lineRule="exact"/>
        <w:rPr>
          <w:rFonts w:hint="eastAsia" w:ascii="宋体" w:hAnsi="宋体" w:eastAsia="宋体" w:cs="宋体"/>
          <w:color w:val="auto"/>
          <w:sz w:val="24"/>
        </w:rPr>
      </w:pPr>
    </w:p>
    <w:p>
      <w:pPr>
        <w:kinsoku w:val="0"/>
        <w:spacing w:line="500" w:lineRule="exact"/>
        <w:rPr>
          <w:rFonts w:hint="eastAsia" w:ascii="宋体" w:hAnsi="宋体" w:eastAsia="宋体" w:cs="宋体"/>
          <w:color w:val="auto"/>
          <w:sz w:val="24"/>
        </w:rPr>
      </w:pPr>
      <w:r>
        <w:rPr>
          <w:rFonts w:hint="eastAsia" w:ascii="宋体" w:hAnsi="宋体" w:eastAsia="宋体" w:cs="宋体"/>
          <w:color w:val="auto"/>
          <w:sz w:val="24"/>
        </w:rPr>
        <w:t>法定代表人/被授权人（签字或盖章）：</w:t>
      </w:r>
    </w:p>
    <w:p>
      <w:pPr>
        <w:spacing w:line="360" w:lineRule="auto"/>
        <w:ind w:firstLine="643" w:firstLineChars="200"/>
        <w:jc w:val="center"/>
        <w:rPr>
          <w:rFonts w:hint="eastAsia" w:ascii="宋体" w:hAnsi="宋体" w:eastAsia="宋体" w:cs="宋体"/>
          <w:b/>
          <w:bCs/>
          <w:color w:val="auto"/>
          <w:kern w:val="44"/>
          <w:sz w:val="32"/>
          <w:szCs w:val="44"/>
        </w:rPr>
      </w:pPr>
    </w:p>
    <w:p>
      <w:pPr>
        <w:pStyle w:val="13"/>
        <w:ind w:firstLine="720" w:firstLineChars="300"/>
        <w:rPr>
          <w:rFonts w:hint="eastAsia" w:ascii="宋体" w:hAnsi="宋体" w:eastAsia="宋体" w:cs="宋体"/>
        </w:rPr>
        <w:sectPr>
          <w:pgSz w:w="11906" w:h="16838"/>
          <w:pgMar w:top="1440" w:right="1242" w:bottom="1440" w:left="1559" w:header="851" w:footer="992" w:gutter="0"/>
          <w:pgNumType w:fmt="numberInDash"/>
          <w:cols w:space="720" w:num="1"/>
          <w:docGrid w:linePitch="312" w:charSpace="0"/>
        </w:sectPr>
      </w:pPr>
      <w:r>
        <w:rPr>
          <w:rFonts w:hint="eastAsia" w:ascii="宋体" w:hAnsi="宋体" w:eastAsia="宋体" w:cs="宋体"/>
          <w:color w:val="auto"/>
          <w:sz w:val="24"/>
        </w:rPr>
        <w:t>年</w:t>
      </w:r>
      <w:r>
        <w:rPr>
          <w:rFonts w:hint="eastAsia" w:ascii="宋体" w:hAnsi="宋体" w:cs="宋体"/>
          <w:color w:val="auto"/>
          <w:sz w:val="24"/>
          <w:lang w:val="en-US" w:eastAsia="zh-CN"/>
        </w:rPr>
        <w:t xml:space="preserve">   </w:t>
      </w:r>
      <w:r>
        <w:rPr>
          <w:rFonts w:hint="eastAsia" w:ascii="宋体" w:hAnsi="宋体" w:eastAsia="宋体" w:cs="宋体"/>
          <w:color w:val="auto"/>
          <w:sz w:val="24"/>
        </w:rPr>
        <w:t>月</w:t>
      </w:r>
      <w:r>
        <w:rPr>
          <w:rFonts w:hint="eastAsia" w:ascii="宋体" w:hAnsi="宋体" w:cs="宋体"/>
          <w:color w:val="auto"/>
          <w:sz w:val="24"/>
          <w:lang w:val="en-US" w:eastAsia="zh-CN"/>
        </w:rPr>
        <w:t xml:space="preserve">   </w:t>
      </w:r>
      <w:r>
        <w:rPr>
          <w:rFonts w:hint="eastAsia" w:ascii="宋体" w:hAnsi="宋体" w:eastAsia="宋体" w:cs="宋体"/>
          <w:color w:val="auto"/>
          <w:sz w:val="24"/>
        </w:rPr>
        <w:t>日</w:t>
      </w:r>
    </w:p>
    <w:p>
      <w:pPr>
        <w:rPr>
          <w:rFonts w:hint="eastAsia" w:ascii="宋体" w:hAnsi="宋体" w:eastAsia="宋体" w:cs="宋体"/>
        </w:rPr>
      </w:pPr>
    </w:p>
    <w:p>
      <w:pPr>
        <w:spacing w:line="588" w:lineRule="exact"/>
        <w:ind w:firstLine="667"/>
        <w:jc w:val="center"/>
        <w:rPr>
          <w:rFonts w:hint="eastAsia" w:ascii="宋体" w:hAnsi="宋体" w:eastAsia="宋体" w:cs="宋体"/>
          <w:b/>
          <w:color w:val="auto"/>
          <w:spacing w:val="6"/>
          <w:sz w:val="32"/>
          <w:szCs w:val="32"/>
        </w:rPr>
      </w:pPr>
      <w:bookmarkStart w:id="131" w:name="_Toc28341_WPSOffice_Level1"/>
      <w:bookmarkStart w:id="132" w:name="_Toc19451_WPSOffice_Level1"/>
      <w:r>
        <w:rPr>
          <w:rFonts w:hint="eastAsia" w:ascii="宋体" w:hAnsi="宋体" w:eastAsia="宋体" w:cs="宋体"/>
          <w:b/>
          <w:color w:val="auto"/>
          <w:spacing w:val="6"/>
          <w:sz w:val="32"/>
          <w:szCs w:val="32"/>
        </w:rPr>
        <w:t>中小企业声明函（工程）</w:t>
      </w:r>
    </w:p>
    <w:p>
      <w:pPr>
        <w:pStyle w:val="9"/>
        <w:rPr>
          <w:rFonts w:hint="eastAsia" w:ascii="宋体" w:hAnsi="宋体" w:eastAsia="宋体" w:cs="宋体"/>
          <w:color w:val="auto"/>
          <w:sz w:val="24"/>
        </w:rPr>
      </w:pPr>
    </w:p>
    <w:p>
      <w:pPr>
        <w:spacing w:line="360" w:lineRule="auto"/>
        <w:ind w:right="-60" w:firstLine="480"/>
        <w:jc w:val="left"/>
        <w:rPr>
          <w:rFonts w:hint="eastAsia" w:ascii="宋体" w:hAnsi="宋体" w:eastAsia="宋体" w:cs="宋体"/>
          <w:bCs/>
          <w:color w:val="auto"/>
          <w:sz w:val="24"/>
        </w:rPr>
      </w:pPr>
      <w:r>
        <w:rPr>
          <w:rFonts w:hint="eastAsia" w:ascii="宋体" w:hAnsi="宋体" w:eastAsia="宋体" w:cs="宋体"/>
          <w:bCs/>
          <w:color w:val="auto"/>
          <w:sz w:val="24"/>
        </w:rPr>
        <w:t>本公司（联合体）郑重声明，根据《政府采购促进中小企业发展暂行办法》（财库[2020]46号）的规定，本公司（联合体）参加</w:t>
      </w:r>
      <w:r>
        <w:rPr>
          <w:rFonts w:hint="eastAsia" w:ascii="宋体" w:hAnsi="宋体" w:eastAsia="宋体" w:cs="宋体"/>
          <w:bCs/>
          <w:color w:val="auto"/>
          <w:sz w:val="24"/>
          <w:u w:val="single"/>
        </w:rPr>
        <w:t>（单位名称）</w:t>
      </w:r>
      <w:r>
        <w:rPr>
          <w:rFonts w:hint="eastAsia" w:ascii="宋体" w:hAnsi="宋体" w:eastAsia="宋体" w:cs="宋体"/>
          <w:bCs/>
          <w:color w:val="auto"/>
          <w:sz w:val="24"/>
        </w:rPr>
        <w:t>的（项目名称）采购活动，工程的施工单位全部为符合政策要求的中小企业承接。相关企业（含联合体中的中小企业、签订分包意向协议的中小企业）的具体情况如下：</w:t>
      </w:r>
    </w:p>
    <w:p>
      <w:pPr>
        <w:spacing w:line="360" w:lineRule="auto"/>
        <w:ind w:right="-60" w:firstLine="480"/>
        <w:jc w:val="left"/>
        <w:rPr>
          <w:rFonts w:hint="eastAsia" w:ascii="宋体" w:hAnsi="宋体" w:eastAsia="宋体" w:cs="宋体"/>
          <w:bCs/>
          <w:color w:val="auto"/>
          <w:sz w:val="24"/>
        </w:rPr>
      </w:pPr>
      <w:r>
        <w:rPr>
          <w:rFonts w:hint="eastAsia" w:ascii="宋体" w:hAnsi="宋体" w:eastAsia="宋体" w:cs="宋体"/>
          <w:bCs/>
          <w:color w:val="auto"/>
          <w:sz w:val="24"/>
        </w:rPr>
        <w:t>1、</w:t>
      </w:r>
      <w:r>
        <w:rPr>
          <w:rFonts w:hint="eastAsia" w:ascii="宋体" w:hAnsi="宋体" w:eastAsia="宋体" w:cs="宋体"/>
          <w:bCs/>
          <w:color w:val="auto"/>
          <w:sz w:val="24"/>
          <w:u w:val="single"/>
        </w:rPr>
        <w:t>（标的名称）</w:t>
      </w:r>
      <w:r>
        <w:rPr>
          <w:rFonts w:hint="eastAsia" w:ascii="宋体" w:hAnsi="宋体" w:eastAsia="宋体" w:cs="宋体"/>
          <w:bCs/>
          <w:color w:val="auto"/>
          <w:sz w:val="24"/>
        </w:rPr>
        <w:t>，属于</w:t>
      </w:r>
      <w:r>
        <w:rPr>
          <w:rFonts w:hint="eastAsia" w:ascii="宋体" w:hAnsi="宋体" w:eastAsia="宋体" w:cs="宋体"/>
          <w:bCs/>
          <w:color w:val="auto"/>
          <w:sz w:val="24"/>
          <w:u w:val="single"/>
        </w:rPr>
        <w:t>（采购文件中明确的所属行业）</w:t>
      </w:r>
      <w:r>
        <w:rPr>
          <w:rFonts w:hint="eastAsia" w:ascii="宋体" w:hAnsi="宋体" w:eastAsia="宋体" w:cs="宋体"/>
          <w:bCs/>
          <w:color w:val="auto"/>
          <w:sz w:val="24"/>
        </w:rPr>
        <w:t>；承建（承接）企业为</w:t>
      </w:r>
      <w:r>
        <w:rPr>
          <w:rFonts w:hint="eastAsia" w:ascii="宋体" w:hAnsi="宋体" w:eastAsia="宋体" w:cs="宋体"/>
          <w:bCs/>
          <w:color w:val="auto"/>
          <w:sz w:val="24"/>
          <w:u w:val="single"/>
        </w:rPr>
        <w:t>（企业名称）</w:t>
      </w:r>
      <w:r>
        <w:rPr>
          <w:rFonts w:hint="eastAsia" w:ascii="宋体" w:hAnsi="宋体" w:eastAsia="宋体" w:cs="宋体"/>
          <w:bCs/>
          <w:color w:val="auto"/>
          <w:sz w:val="24"/>
        </w:rPr>
        <w:t>，从业人员人，营业收入为万元，资产总额为万元，属于</w:t>
      </w:r>
      <w:r>
        <w:rPr>
          <w:rFonts w:hint="eastAsia" w:ascii="宋体" w:hAnsi="宋体" w:eastAsia="宋体" w:cs="宋体"/>
          <w:bCs/>
          <w:color w:val="auto"/>
          <w:sz w:val="24"/>
          <w:u w:val="single"/>
        </w:rPr>
        <w:t>（中小企业、小型企业、微型企业）</w:t>
      </w:r>
      <w:r>
        <w:rPr>
          <w:rFonts w:hint="eastAsia" w:ascii="宋体" w:hAnsi="宋体" w:eastAsia="宋体" w:cs="宋体"/>
          <w:bCs/>
          <w:color w:val="auto"/>
          <w:sz w:val="24"/>
        </w:rPr>
        <w:t>；</w:t>
      </w:r>
    </w:p>
    <w:p>
      <w:pPr>
        <w:spacing w:line="360" w:lineRule="auto"/>
        <w:ind w:right="-60" w:firstLine="480"/>
        <w:jc w:val="left"/>
        <w:rPr>
          <w:rFonts w:hint="eastAsia" w:ascii="宋体" w:hAnsi="宋体" w:eastAsia="宋体" w:cs="宋体"/>
          <w:bCs/>
          <w:color w:val="auto"/>
          <w:sz w:val="24"/>
        </w:rPr>
      </w:pPr>
      <w:r>
        <w:rPr>
          <w:rFonts w:hint="eastAsia" w:ascii="宋体" w:hAnsi="宋体" w:eastAsia="宋体" w:cs="宋体"/>
          <w:bCs/>
          <w:color w:val="auto"/>
          <w:sz w:val="24"/>
        </w:rPr>
        <w:t>2、</w:t>
      </w:r>
      <w:r>
        <w:rPr>
          <w:rFonts w:hint="eastAsia" w:ascii="宋体" w:hAnsi="宋体" w:eastAsia="宋体" w:cs="宋体"/>
          <w:bCs/>
          <w:color w:val="auto"/>
          <w:sz w:val="24"/>
          <w:u w:val="single"/>
        </w:rPr>
        <w:t>（标的名称）</w:t>
      </w:r>
      <w:r>
        <w:rPr>
          <w:rFonts w:hint="eastAsia" w:ascii="宋体" w:hAnsi="宋体" w:eastAsia="宋体" w:cs="宋体"/>
          <w:bCs/>
          <w:color w:val="auto"/>
          <w:sz w:val="24"/>
        </w:rPr>
        <w:t>，属于</w:t>
      </w:r>
      <w:r>
        <w:rPr>
          <w:rFonts w:hint="eastAsia" w:ascii="宋体" w:hAnsi="宋体" w:eastAsia="宋体" w:cs="宋体"/>
          <w:bCs/>
          <w:color w:val="auto"/>
          <w:sz w:val="24"/>
          <w:u w:val="single"/>
        </w:rPr>
        <w:t>（采购文件中明确的所属行业）</w:t>
      </w:r>
      <w:r>
        <w:rPr>
          <w:rFonts w:hint="eastAsia" w:ascii="宋体" w:hAnsi="宋体" w:eastAsia="宋体" w:cs="宋体"/>
          <w:bCs/>
          <w:color w:val="auto"/>
          <w:sz w:val="24"/>
        </w:rPr>
        <w:t>；承建（承接）企业为</w:t>
      </w:r>
      <w:r>
        <w:rPr>
          <w:rFonts w:hint="eastAsia" w:ascii="宋体" w:hAnsi="宋体" w:eastAsia="宋体" w:cs="宋体"/>
          <w:bCs/>
          <w:color w:val="auto"/>
          <w:sz w:val="24"/>
          <w:u w:val="single"/>
        </w:rPr>
        <w:t>（企业名称）</w:t>
      </w:r>
      <w:r>
        <w:rPr>
          <w:rFonts w:hint="eastAsia" w:ascii="宋体" w:hAnsi="宋体" w:eastAsia="宋体" w:cs="宋体"/>
          <w:bCs/>
          <w:color w:val="auto"/>
          <w:sz w:val="24"/>
        </w:rPr>
        <w:t>，从业人员人，营业收入为万元，资产总额为万元，属于</w:t>
      </w:r>
      <w:r>
        <w:rPr>
          <w:rFonts w:hint="eastAsia" w:ascii="宋体" w:hAnsi="宋体" w:eastAsia="宋体" w:cs="宋体"/>
          <w:bCs/>
          <w:color w:val="auto"/>
          <w:sz w:val="24"/>
          <w:u w:val="single"/>
        </w:rPr>
        <w:t>（中小企业、小型企业、微型企业）</w:t>
      </w:r>
      <w:r>
        <w:rPr>
          <w:rFonts w:hint="eastAsia" w:ascii="宋体" w:hAnsi="宋体" w:eastAsia="宋体" w:cs="宋体"/>
          <w:bCs/>
          <w:color w:val="auto"/>
          <w:sz w:val="24"/>
        </w:rPr>
        <w:t>；</w:t>
      </w:r>
    </w:p>
    <w:p>
      <w:pPr>
        <w:pStyle w:val="90"/>
        <w:spacing w:line="360" w:lineRule="auto"/>
        <w:ind w:firstLine="480"/>
        <w:rPr>
          <w:rFonts w:hint="eastAsia" w:ascii="宋体" w:hAnsi="宋体" w:eastAsia="宋体" w:cs="宋体"/>
          <w:color w:val="auto"/>
          <w:sz w:val="24"/>
        </w:rPr>
      </w:pPr>
    </w:p>
    <w:p>
      <w:pPr>
        <w:spacing w:line="360" w:lineRule="auto"/>
        <w:ind w:right="-60" w:firstLine="480"/>
        <w:jc w:val="left"/>
        <w:rPr>
          <w:rFonts w:hint="eastAsia" w:ascii="宋体" w:hAnsi="宋体" w:eastAsia="宋体" w:cs="宋体"/>
          <w:bCs/>
          <w:color w:val="auto"/>
          <w:sz w:val="24"/>
        </w:rPr>
      </w:pPr>
      <w:r>
        <w:rPr>
          <w:rFonts w:hint="eastAsia" w:ascii="宋体" w:hAnsi="宋体" w:eastAsia="宋体" w:cs="宋体"/>
          <w:bCs/>
          <w:color w:val="auto"/>
          <w:sz w:val="24"/>
        </w:rPr>
        <w:t>………</w:t>
      </w:r>
    </w:p>
    <w:p>
      <w:pPr>
        <w:spacing w:line="360" w:lineRule="auto"/>
        <w:ind w:right="-60" w:firstLine="480"/>
        <w:jc w:val="left"/>
        <w:rPr>
          <w:rFonts w:hint="eastAsia" w:ascii="宋体" w:hAnsi="宋体" w:eastAsia="宋体" w:cs="宋体"/>
          <w:bCs/>
          <w:color w:val="auto"/>
          <w:sz w:val="24"/>
        </w:rPr>
      </w:pPr>
      <w:r>
        <w:rPr>
          <w:rFonts w:hint="eastAsia" w:ascii="宋体" w:hAnsi="宋体" w:eastAsia="宋体" w:cs="宋体"/>
          <w:bCs/>
          <w:color w:val="auto"/>
          <w:sz w:val="24"/>
        </w:rPr>
        <w:t>以上企业，不属于大企业的分支机构，不存在控股股东为大企业的情形，也不存在与大企业的负责人为同一人的情形。</w:t>
      </w:r>
    </w:p>
    <w:p>
      <w:pPr>
        <w:pStyle w:val="90"/>
        <w:spacing w:line="360" w:lineRule="auto"/>
        <w:ind w:firstLine="480"/>
        <w:rPr>
          <w:rFonts w:hint="eastAsia" w:ascii="宋体" w:hAnsi="宋体" w:eastAsia="宋体" w:cs="宋体"/>
          <w:color w:val="auto"/>
          <w:sz w:val="24"/>
        </w:rPr>
      </w:pPr>
    </w:p>
    <w:p>
      <w:pPr>
        <w:spacing w:line="360" w:lineRule="auto"/>
        <w:ind w:right="-60" w:firstLine="480"/>
        <w:jc w:val="left"/>
        <w:rPr>
          <w:rFonts w:hint="eastAsia" w:ascii="宋体" w:hAnsi="宋体" w:eastAsia="宋体" w:cs="宋体"/>
          <w:bCs/>
          <w:color w:val="auto"/>
          <w:sz w:val="24"/>
        </w:rPr>
      </w:pPr>
      <w:r>
        <w:rPr>
          <w:rFonts w:hint="eastAsia" w:ascii="宋体" w:hAnsi="宋体" w:eastAsia="宋体" w:cs="宋体"/>
          <w:bCs/>
          <w:color w:val="auto"/>
          <w:sz w:val="24"/>
        </w:rPr>
        <w:t>本企业对上述声明内容的真实性负责。如有虚假，将依法承担相应责任。</w:t>
      </w:r>
    </w:p>
    <w:p>
      <w:pPr>
        <w:spacing w:line="360" w:lineRule="auto"/>
        <w:ind w:right="-60" w:firstLine="480"/>
        <w:jc w:val="left"/>
        <w:rPr>
          <w:rFonts w:hint="eastAsia" w:ascii="宋体" w:hAnsi="宋体" w:eastAsia="宋体" w:cs="宋体"/>
          <w:bCs/>
          <w:color w:val="auto"/>
          <w:sz w:val="24"/>
        </w:rPr>
      </w:pPr>
      <w:r>
        <w:rPr>
          <w:rFonts w:hint="eastAsia" w:ascii="宋体" w:hAnsi="宋体" w:eastAsia="宋体" w:cs="宋体"/>
          <w:bCs/>
          <w:color w:val="auto"/>
          <w:sz w:val="24"/>
        </w:rPr>
        <w:t>特此声明！</w:t>
      </w:r>
    </w:p>
    <w:p>
      <w:pPr>
        <w:spacing w:line="360" w:lineRule="auto"/>
        <w:ind w:right="-60" w:firstLine="480"/>
        <w:jc w:val="left"/>
        <w:rPr>
          <w:rFonts w:hint="eastAsia" w:ascii="宋体" w:hAnsi="宋体" w:eastAsia="宋体" w:cs="宋体"/>
          <w:bCs/>
          <w:color w:val="auto"/>
          <w:sz w:val="24"/>
        </w:rPr>
      </w:pPr>
    </w:p>
    <w:p>
      <w:pPr>
        <w:pStyle w:val="13"/>
        <w:spacing w:before="120" w:line="360" w:lineRule="auto"/>
        <w:ind w:firstLine="480"/>
        <w:rPr>
          <w:rFonts w:hint="eastAsia" w:ascii="宋体" w:hAnsi="宋体" w:eastAsia="宋体" w:cs="宋体"/>
          <w:bCs/>
          <w:color w:val="auto"/>
          <w:sz w:val="24"/>
        </w:rPr>
      </w:pPr>
      <w:r>
        <w:rPr>
          <w:rFonts w:hint="eastAsia" w:ascii="宋体" w:hAnsi="宋体" w:eastAsia="宋体" w:cs="宋体"/>
          <w:bCs/>
          <w:color w:val="auto"/>
          <w:sz w:val="24"/>
        </w:rPr>
        <w:t>企业名称（盖章）：</w:t>
      </w:r>
    </w:p>
    <w:p>
      <w:pPr>
        <w:pStyle w:val="13"/>
        <w:spacing w:before="120" w:line="360" w:lineRule="auto"/>
        <w:ind w:firstLine="480"/>
        <w:rPr>
          <w:rFonts w:hint="eastAsia" w:ascii="宋体" w:hAnsi="宋体" w:eastAsia="宋体" w:cs="宋体"/>
          <w:color w:val="auto"/>
          <w:sz w:val="24"/>
        </w:rPr>
      </w:pPr>
      <w:r>
        <w:rPr>
          <w:rFonts w:hint="eastAsia" w:ascii="宋体" w:hAnsi="宋体" w:eastAsia="宋体" w:cs="宋体"/>
          <w:bCs/>
          <w:color w:val="auto"/>
          <w:sz w:val="24"/>
        </w:rPr>
        <w:t>日期：</w:t>
      </w:r>
    </w:p>
    <w:p>
      <w:pPr>
        <w:pStyle w:val="13"/>
        <w:spacing w:line="360" w:lineRule="auto"/>
        <w:ind w:firstLine="480" w:firstLineChars="200"/>
        <w:rPr>
          <w:rFonts w:hint="eastAsia" w:ascii="宋体" w:hAnsi="宋体" w:eastAsia="宋体" w:cs="宋体"/>
          <w:b/>
          <w:color w:val="auto"/>
          <w:spacing w:val="6"/>
          <w:sz w:val="24"/>
        </w:rPr>
      </w:pPr>
      <w:r>
        <w:rPr>
          <w:rFonts w:hint="eastAsia" w:ascii="宋体" w:hAnsi="宋体" w:eastAsia="宋体" w:cs="宋体"/>
          <w:color w:val="auto"/>
          <w:sz w:val="24"/>
        </w:rPr>
        <w:br w:type="page"/>
      </w:r>
      <w:bookmarkEnd w:id="131"/>
      <w:bookmarkEnd w:id="132"/>
      <w:bookmarkStart w:id="133" w:name="OLE_LINK13"/>
      <w:bookmarkStart w:id="134" w:name="OLE_LINK14"/>
    </w:p>
    <w:p>
      <w:pPr>
        <w:spacing w:line="588" w:lineRule="exact"/>
        <w:ind w:firstLine="667"/>
        <w:jc w:val="center"/>
        <w:rPr>
          <w:rFonts w:hint="eastAsia" w:ascii="宋体" w:hAnsi="宋体" w:eastAsia="宋体" w:cs="宋体"/>
          <w:b/>
          <w:color w:val="auto"/>
          <w:spacing w:val="6"/>
          <w:sz w:val="32"/>
          <w:szCs w:val="32"/>
        </w:rPr>
      </w:pPr>
      <w:bookmarkStart w:id="135" w:name="_Toc28640_WPSOffice_Level1"/>
      <w:bookmarkStart w:id="136" w:name="_Toc8033_WPSOffice_Level1"/>
      <w:r>
        <w:rPr>
          <w:rFonts w:hint="eastAsia" w:ascii="宋体" w:hAnsi="宋体" w:eastAsia="宋体" w:cs="宋体"/>
          <w:b/>
          <w:color w:val="auto"/>
          <w:spacing w:val="6"/>
          <w:sz w:val="32"/>
          <w:szCs w:val="32"/>
        </w:rPr>
        <w:t>残疾人福利性单位声明函</w:t>
      </w:r>
      <w:bookmarkEnd w:id="135"/>
      <w:bookmarkEnd w:id="136"/>
    </w:p>
    <w:bookmarkEnd w:id="133"/>
    <w:bookmarkEnd w:id="134"/>
    <w:p>
      <w:pPr>
        <w:spacing w:line="588" w:lineRule="exact"/>
        <w:rPr>
          <w:rFonts w:hint="eastAsia" w:ascii="宋体" w:hAnsi="宋体" w:eastAsia="宋体" w:cs="宋体"/>
          <w:b/>
          <w:color w:val="auto"/>
          <w:spacing w:val="6"/>
          <w:sz w:val="24"/>
        </w:rPr>
      </w:pPr>
    </w:p>
    <w:p>
      <w:pPr>
        <w:spacing w:line="360" w:lineRule="auto"/>
        <w:ind w:firstLine="504" w:firstLineChars="200"/>
        <w:rPr>
          <w:rFonts w:hint="eastAsia" w:ascii="宋体" w:hAnsi="宋体" w:eastAsia="宋体" w:cs="宋体"/>
          <w:color w:val="auto"/>
          <w:spacing w:val="6"/>
          <w:sz w:val="24"/>
        </w:rPr>
      </w:pPr>
      <w:r>
        <w:rPr>
          <w:rFonts w:hint="eastAsia" w:ascii="宋体" w:hAnsi="宋体" w:eastAsia="宋体" w:cs="宋体"/>
          <w:color w:val="auto"/>
          <w:spacing w:val="6"/>
          <w:sz w:val="24"/>
        </w:rPr>
        <w:t>本单位郑重声明，根据《财政部民政部中国残疾人联合会关于促进残疾人就业政府采购政策的通知》（财库</w:t>
      </w:r>
      <w:r>
        <w:rPr>
          <w:rFonts w:hint="eastAsia" w:ascii="宋体" w:hAnsi="宋体" w:eastAsia="宋体" w:cs="宋体"/>
          <w:color w:val="auto"/>
          <w:sz w:val="24"/>
        </w:rPr>
        <w:t>〔2017〕141</w:t>
      </w:r>
      <w:r>
        <w:rPr>
          <w:rFonts w:hint="eastAsia" w:ascii="宋体" w:hAnsi="宋体" w:eastAsia="宋体" w:cs="宋体"/>
          <w:color w:val="auto"/>
          <w:spacing w:val="6"/>
          <w:sz w:val="24"/>
        </w:rPr>
        <w:t>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spacing w:line="360" w:lineRule="auto"/>
        <w:ind w:firstLine="504" w:firstLineChars="200"/>
        <w:rPr>
          <w:rFonts w:hint="eastAsia" w:ascii="宋体" w:hAnsi="宋体" w:eastAsia="宋体" w:cs="宋体"/>
          <w:color w:val="auto"/>
          <w:spacing w:val="6"/>
          <w:sz w:val="24"/>
        </w:rPr>
      </w:pPr>
      <w:r>
        <w:rPr>
          <w:rFonts w:hint="eastAsia" w:ascii="宋体" w:hAnsi="宋体" w:eastAsia="宋体" w:cs="宋体"/>
          <w:color w:val="auto"/>
          <w:spacing w:val="6"/>
          <w:sz w:val="24"/>
        </w:rPr>
        <w:t>本单位对上述声明的真实性负责。如有虚假，将依法承担相应责任。</w:t>
      </w:r>
    </w:p>
    <w:p>
      <w:pPr>
        <w:spacing w:line="360" w:lineRule="auto"/>
        <w:ind w:firstLine="504" w:firstLineChars="200"/>
        <w:rPr>
          <w:rFonts w:hint="eastAsia" w:ascii="宋体" w:hAnsi="宋体" w:eastAsia="宋体" w:cs="宋体"/>
          <w:color w:val="auto"/>
          <w:spacing w:val="6"/>
          <w:sz w:val="24"/>
        </w:rPr>
      </w:pPr>
    </w:p>
    <w:p>
      <w:pPr>
        <w:spacing w:line="360" w:lineRule="auto"/>
        <w:ind w:firstLine="504" w:firstLineChars="200"/>
        <w:rPr>
          <w:rFonts w:hint="eastAsia" w:ascii="宋体" w:hAnsi="宋体" w:eastAsia="宋体" w:cs="宋体"/>
          <w:color w:val="auto"/>
          <w:spacing w:val="6"/>
          <w:sz w:val="24"/>
        </w:rPr>
      </w:pPr>
    </w:p>
    <w:p>
      <w:pPr>
        <w:spacing w:line="480" w:lineRule="auto"/>
        <w:ind w:right="-60" w:firstLine="480" w:firstLineChars="200"/>
        <w:jc w:val="left"/>
        <w:rPr>
          <w:rFonts w:hint="eastAsia" w:ascii="宋体" w:hAnsi="宋体" w:eastAsia="宋体" w:cs="宋体"/>
          <w:bCs/>
          <w:color w:val="auto"/>
          <w:sz w:val="24"/>
        </w:rPr>
      </w:pPr>
      <w:r>
        <w:rPr>
          <w:rFonts w:hint="eastAsia" w:ascii="宋体" w:hAnsi="宋体" w:eastAsia="宋体" w:cs="宋体"/>
          <w:bCs/>
          <w:color w:val="auto"/>
          <w:sz w:val="24"/>
        </w:rPr>
        <w:t>声明人：</w:t>
      </w:r>
      <w:r>
        <w:rPr>
          <w:rFonts w:hint="eastAsia" w:ascii="宋体" w:hAnsi="宋体" w:cs="宋体"/>
          <w:bCs/>
          <w:color w:val="auto"/>
          <w:sz w:val="24"/>
          <w:u w:val="single"/>
          <w:lang w:val="en-US" w:eastAsia="zh-CN"/>
        </w:rPr>
        <w:t xml:space="preserve">         </w:t>
      </w:r>
      <w:r>
        <w:rPr>
          <w:rFonts w:hint="eastAsia" w:ascii="宋体" w:hAnsi="宋体" w:eastAsia="宋体" w:cs="宋体"/>
          <w:bCs/>
          <w:color w:val="auto"/>
          <w:sz w:val="24"/>
        </w:rPr>
        <w:t>(磋商供应商名称、公章)</w:t>
      </w:r>
    </w:p>
    <w:p>
      <w:pPr>
        <w:spacing w:line="480" w:lineRule="auto"/>
        <w:ind w:right="-60" w:firstLine="480" w:firstLineChars="200"/>
        <w:jc w:val="left"/>
        <w:rPr>
          <w:rFonts w:hint="eastAsia" w:ascii="宋体" w:hAnsi="宋体" w:eastAsia="宋体" w:cs="宋体"/>
          <w:bCs/>
          <w:color w:val="auto"/>
          <w:sz w:val="24"/>
          <w:u w:val="single"/>
        </w:rPr>
      </w:pPr>
      <w:r>
        <w:rPr>
          <w:rFonts w:hint="eastAsia" w:ascii="宋体" w:hAnsi="宋体" w:eastAsia="宋体" w:cs="宋体"/>
          <w:bCs/>
          <w:color w:val="auto"/>
          <w:sz w:val="24"/>
        </w:rPr>
        <w:t>法定代表人：</w:t>
      </w:r>
      <w:r>
        <w:rPr>
          <w:rFonts w:hint="eastAsia" w:ascii="宋体" w:hAnsi="宋体" w:cs="宋体"/>
          <w:bCs/>
          <w:color w:val="auto"/>
          <w:sz w:val="24"/>
          <w:u w:val="single"/>
          <w:lang w:val="en-US" w:eastAsia="zh-CN"/>
        </w:rPr>
        <w:t xml:space="preserve">    </w:t>
      </w:r>
      <w:r>
        <w:rPr>
          <w:rFonts w:hint="eastAsia" w:ascii="宋体" w:hAnsi="宋体" w:eastAsia="宋体" w:cs="宋体"/>
          <w:bCs/>
          <w:color w:val="auto"/>
          <w:sz w:val="24"/>
          <w:u w:val="single"/>
        </w:rPr>
        <w:t>（签名或盖章）</w:t>
      </w:r>
    </w:p>
    <w:p>
      <w:pPr>
        <w:tabs>
          <w:tab w:val="left" w:pos="4860"/>
        </w:tabs>
        <w:spacing w:line="480" w:lineRule="auto"/>
        <w:ind w:right="1560" w:firstLine="480" w:firstLineChars="200"/>
        <w:rPr>
          <w:rFonts w:hint="eastAsia" w:ascii="宋体" w:hAnsi="宋体" w:eastAsia="宋体" w:cs="宋体"/>
          <w:bCs/>
          <w:color w:val="auto"/>
          <w:sz w:val="24"/>
          <w:u w:val="single"/>
          <w:lang w:eastAsia="zh-CN"/>
        </w:rPr>
      </w:pPr>
      <w:r>
        <w:rPr>
          <w:rFonts w:hint="eastAsia" w:ascii="宋体" w:hAnsi="宋体" w:eastAsia="宋体" w:cs="宋体"/>
          <w:bCs/>
          <w:color w:val="auto"/>
          <w:sz w:val="24"/>
        </w:rPr>
        <w:t>日期：</w:t>
      </w:r>
      <w:r>
        <w:rPr>
          <w:rFonts w:hint="eastAsia" w:ascii="宋体" w:hAnsi="宋体" w:eastAsia="宋体" w:cs="宋体"/>
          <w:bCs/>
          <w:color w:val="auto"/>
          <w:sz w:val="24"/>
          <w:u w:val="single"/>
        </w:rPr>
        <w:t>          </w:t>
      </w:r>
    </w:p>
    <w:p>
      <w:pPr>
        <w:pStyle w:val="13"/>
        <w:rPr>
          <w:rFonts w:hint="eastAsia" w:ascii="宋体" w:hAnsi="宋体" w:eastAsia="宋体" w:cs="宋体"/>
          <w:bCs/>
          <w:color w:val="auto"/>
          <w:sz w:val="24"/>
          <w:u w:val="single"/>
        </w:rPr>
      </w:pPr>
    </w:p>
    <w:p>
      <w:pPr>
        <w:pStyle w:val="13"/>
        <w:rPr>
          <w:rFonts w:hint="eastAsia" w:ascii="宋体" w:hAnsi="宋体" w:eastAsia="宋体" w:cs="宋体"/>
          <w:b/>
          <w:bCs/>
          <w:color w:val="auto"/>
          <w:sz w:val="24"/>
          <w:lang w:val="zh-CN"/>
        </w:rPr>
      </w:pPr>
    </w:p>
    <w:p>
      <w:pPr>
        <w:pStyle w:val="13"/>
        <w:rPr>
          <w:rFonts w:hint="eastAsia" w:ascii="宋体" w:hAnsi="宋体" w:eastAsia="宋体" w:cs="宋体"/>
          <w:b/>
          <w:bCs/>
          <w:color w:val="auto"/>
          <w:sz w:val="24"/>
          <w:lang w:val="zh-CN"/>
        </w:rPr>
      </w:pPr>
    </w:p>
    <w:p>
      <w:pPr>
        <w:pStyle w:val="13"/>
        <w:rPr>
          <w:rFonts w:hint="eastAsia" w:ascii="宋体" w:hAnsi="宋体" w:eastAsia="宋体" w:cs="宋体"/>
          <w:b/>
          <w:bCs/>
          <w:color w:val="auto"/>
          <w:sz w:val="24"/>
          <w:lang w:val="zh-CN"/>
        </w:rPr>
      </w:pPr>
    </w:p>
    <w:p>
      <w:pPr>
        <w:pStyle w:val="13"/>
        <w:rPr>
          <w:rFonts w:hint="eastAsia" w:ascii="宋体" w:hAnsi="宋体" w:eastAsia="宋体" w:cs="宋体"/>
          <w:b/>
          <w:bCs/>
          <w:color w:val="auto"/>
          <w:sz w:val="24"/>
          <w:lang w:val="zh-CN"/>
        </w:rPr>
      </w:pPr>
    </w:p>
    <w:p>
      <w:pPr>
        <w:pStyle w:val="13"/>
        <w:rPr>
          <w:rFonts w:hint="eastAsia" w:ascii="宋体" w:hAnsi="宋体" w:eastAsia="宋体" w:cs="宋体"/>
          <w:b/>
          <w:bCs/>
          <w:color w:val="auto"/>
          <w:sz w:val="24"/>
          <w:lang w:val="zh-CN"/>
        </w:rPr>
      </w:pPr>
    </w:p>
    <w:p>
      <w:pPr>
        <w:pStyle w:val="13"/>
        <w:rPr>
          <w:rFonts w:hint="eastAsia" w:ascii="宋体" w:hAnsi="宋体" w:eastAsia="宋体" w:cs="宋体"/>
          <w:b/>
          <w:bCs/>
          <w:color w:val="auto"/>
          <w:sz w:val="24"/>
          <w:lang w:val="zh-CN"/>
        </w:rPr>
      </w:pPr>
    </w:p>
    <w:p>
      <w:pPr>
        <w:pStyle w:val="13"/>
        <w:rPr>
          <w:rFonts w:hint="eastAsia" w:ascii="宋体" w:hAnsi="宋体" w:eastAsia="宋体" w:cs="宋体"/>
          <w:b/>
          <w:bCs/>
          <w:color w:val="auto"/>
          <w:sz w:val="24"/>
          <w:lang w:val="zh-CN"/>
        </w:rPr>
      </w:pPr>
    </w:p>
    <w:p>
      <w:pPr>
        <w:pStyle w:val="13"/>
        <w:rPr>
          <w:rFonts w:hint="eastAsia" w:ascii="宋体" w:hAnsi="宋体" w:eastAsia="宋体" w:cs="宋体"/>
          <w:b/>
          <w:bCs/>
          <w:color w:val="auto"/>
          <w:sz w:val="24"/>
          <w:lang w:val="zh-CN"/>
        </w:rPr>
      </w:pPr>
    </w:p>
    <w:p>
      <w:pPr>
        <w:rPr>
          <w:rFonts w:hint="eastAsia" w:ascii="宋体" w:hAnsi="宋体" w:eastAsia="宋体" w:cs="宋体"/>
          <w:color w:val="auto"/>
          <w:sz w:val="24"/>
          <w:lang w:val="zh-CN"/>
        </w:rPr>
      </w:pPr>
    </w:p>
    <w:p>
      <w:pPr>
        <w:pStyle w:val="13"/>
        <w:rPr>
          <w:rFonts w:hint="eastAsia" w:ascii="宋体" w:hAnsi="宋体" w:eastAsia="宋体" w:cs="宋体"/>
          <w:color w:val="auto"/>
          <w:sz w:val="24"/>
          <w:lang w:val="zh-CN"/>
        </w:rPr>
      </w:pPr>
    </w:p>
    <w:p>
      <w:pPr>
        <w:rPr>
          <w:rFonts w:hint="eastAsia" w:ascii="宋体" w:hAnsi="宋体" w:eastAsia="宋体" w:cs="宋体"/>
          <w:color w:val="auto"/>
          <w:sz w:val="24"/>
          <w:lang w:val="zh-CN"/>
        </w:rPr>
      </w:pPr>
    </w:p>
    <w:p>
      <w:pPr>
        <w:pStyle w:val="13"/>
        <w:rPr>
          <w:rFonts w:hint="eastAsia" w:ascii="宋体" w:hAnsi="宋体" w:eastAsia="宋体" w:cs="宋体"/>
          <w:color w:val="auto"/>
          <w:sz w:val="24"/>
          <w:lang w:val="zh-CN"/>
        </w:rPr>
      </w:pPr>
    </w:p>
    <w:p>
      <w:pPr>
        <w:rPr>
          <w:rFonts w:hint="eastAsia" w:ascii="宋体" w:hAnsi="宋体" w:eastAsia="宋体" w:cs="宋体"/>
          <w:color w:val="auto"/>
          <w:lang w:val="zh-CN"/>
        </w:rPr>
      </w:pPr>
    </w:p>
    <w:p>
      <w:pPr>
        <w:pStyle w:val="13"/>
        <w:rPr>
          <w:rFonts w:hint="eastAsia" w:ascii="宋体" w:hAnsi="宋体" w:eastAsia="宋体" w:cs="宋体"/>
          <w:color w:val="auto"/>
          <w:lang w:val="zh-CN"/>
        </w:rPr>
      </w:pPr>
    </w:p>
    <w:p>
      <w:pPr>
        <w:rPr>
          <w:rFonts w:hint="eastAsia" w:ascii="宋体" w:hAnsi="宋体" w:eastAsia="宋体" w:cs="宋体"/>
          <w:color w:val="auto"/>
          <w:sz w:val="24"/>
          <w:lang w:val="zh-CN"/>
        </w:rPr>
      </w:pPr>
    </w:p>
    <w:p>
      <w:pPr>
        <w:pStyle w:val="13"/>
        <w:rPr>
          <w:rFonts w:hint="eastAsia" w:ascii="宋体" w:hAnsi="宋体" w:eastAsia="宋体" w:cs="宋体"/>
          <w:color w:val="auto"/>
          <w:sz w:val="24"/>
          <w:lang w:val="zh-CN"/>
        </w:rPr>
      </w:pPr>
    </w:p>
    <w:p>
      <w:pPr>
        <w:pStyle w:val="5"/>
        <w:jc w:val="center"/>
        <w:rPr>
          <w:rFonts w:hint="eastAsia" w:ascii="宋体" w:hAnsi="宋体" w:eastAsia="宋体" w:cs="宋体"/>
          <w:bCs w:val="0"/>
          <w:color w:val="auto"/>
          <w:sz w:val="24"/>
          <w:szCs w:val="24"/>
        </w:rPr>
        <w:sectPr>
          <w:pgSz w:w="11906" w:h="16838"/>
          <w:pgMar w:top="1440" w:right="1242" w:bottom="1440" w:left="1559" w:header="851" w:footer="992" w:gutter="0"/>
          <w:pgNumType w:fmt="numberInDash"/>
          <w:cols w:space="720" w:num="1"/>
          <w:docGrid w:linePitch="312" w:charSpace="0"/>
        </w:sectPr>
      </w:pPr>
      <w:bookmarkStart w:id="137" w:name="_Toc78884392"/>
      <w:r>
        <w:rPr>
          <w:rFonts w:hint="eastAsia" w:ascii="宋体" w:hAnsi="宋体" w:eastAsia="宋体" w:cs="宋体"/>
          <w:bCs w:val="0"/>
          <w:color w:val="auto"/>
          <w:sz w:val="24"/>
          <w:szCs w:val="24"/>
        </w:rPr>
        <w:t>十、供应商认为有必要说明的其他问题</w:t>
      </w:r>
      <w:bookmarkEnd w:id="137"/>
    </w:p>
    <w:p>
      <w:pPr>
        <w:rPr>
          <w:rFonts w:hint="eastAsia" w:ascii="宋体" w:hAnsi="宋体" w:eastAsia="宋体" w:cs="宋体"/>
        </w:rPr>
      </w:pPr>
    </w:p>
    <w:p>
      <w:pPr>
        <w:spacing w:before="58"/>
        <w:ind w:right="0"/>
        <w:jc w:val="left"/>
        <w:rPr>
          <w:rFonts w:hint="eastAsia" w:ascii="宋体" w:hAnsi="宋体" w:eastAsia="宋体" w:cs="宋体"/>
          <w:b/>
          <w:bCs/>
          <w:spacing w:val="0"/>
          <w:w w:val="100"/>
          <w:sz w:val="40"/>
          <w:szCs w:val="36"/>
        </w:rPr>
      </w:pPr>
    </w:p>
    <w:p>
      <w:pPr>
        <w:spacing w:before="58"/>
        <w:ind w:right="0"/>
        <w:jc w:val="left"/>
        <w:rPr>
          <w:rFonts w:hint="eastAsia" w:ascii="宋体" w:hAnsi="宋体" w:eastAsia="宋体" w:cs="宋体"/>
          <w:b/>
          <w:bCs/>
          <w:spacing w:val="0"/>
          <w:w w:val="100"/>
          <w:sz w:val="40"/>
          <w:szCs w:val="36"/>
        </w:rPr>
      </w:pPr>
    </w:p>
    <w:p>
      <w:pPr>
        <w:spacing w:before="58"/>
        <w:ind w:right="0"/>
        <w:jc w:val="left"/>
        <w:rPr>
          <w:rFonts w:hint="eastAsia" w:ascii="宋体" w:hAnsi="宋体" w:eastAsia="宋体" w:cs="宋体"/>
          <w:b/>
          <w:bCs/>
          <w:spacing w:val="0"/>
          <w:w w:val="100"/>
          <w:sz w:val="40"/>
          <w:szCs w:val="36"/>
        </w:rPr>
      </w:pPr>
      <w:r>
        <w:rPr>
          <w:rFonts w:hint="eastAsia" w:ascii="宋体" w:hAnsi="宋体" w:eastAsia="宋体" w:cs="宋体"/>
        </w:rPr>
        <w:drawing>
          <wp:anchor distT="0" distB="0" distL="114300" distR="114300" simplePos="0" relativeHeight="251670528" behindDoc="0" locked="0" layoutInCell="1" allowOverlap="1">
            <wp:simplePos x="0" y="0"/>
            <wp:positionH relativeFrom="column">
              <wp:posOffset>732155</wp:posOffset>
            </wp:positionH>
            <wp:positionV relativeFrom="paragraph">
              <wp:posOffset>235585</wp:posOffset>
            </wp:positionV>
            <wp:extent cx="4010660" cy="2678430"/>
            <wp:effectExtent l="0" t="0" r="8890" b="7620"/>
            <wp:wrapSquare wrapText="bothSides"/>
            <wp:docPr id="17"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
                    <pic:cNvPicPr>
                      <a:picLocks noChangeAspect="1"/>
                    </pic:cNvPicPr>
                  </pic:nvPicPr>
                  <pic:blipFill>
                    <a:blip r:embed="rId42"/>
                    <a:stretch>
                      <a:fillRect/>
                    </a:stretch>
                  </pic:blipFill>
                  <pic:spPr>
                    <a:xfrm>
                      <a:off x="0" y="0"/>
                      <a:ext cx="4010660" cy="2678430"/>
                    </a:xfrm>
                    <a:prstGeom prst="rect">
                      <a:avLst/>
                    </a:prstGeom>
                    <a:noFill/>
                    <a:ln>
                      <a:noFill/>
                    </a:ln>
                  </pic:spPr>
                </pic:pic>
              </a:graphicData>
            </a:graphic>
          </wp:anchor>
        </w:drawing>
      </w:r>
    </w:p>
    <w:p>
      <w:pPr>
        <w:spacing w:before="58"/>
        <w:ind w:right="0"/>
        <w:jc w:val="left"/>
        <w:rPr>
          <w:rFonts w:hint="eastAsia" w:ascii="宋体" w:hAnsi="宋体" w:eastAsia="宋体" w:cs="宋体"/>
          <w:b/>
          <w:bCs/>
          <w:spacing w:val="0"/>
          <w:w w:val="100"/>
          <w:sz w:val="40"/>
          <w:szCs w:val="36"/>
        </w:rPr>
      </w:pPr>
    </w:p>
    <w:p>
      <w:pPr>
        <w:spacing w:before="58"/>
        <w:ind w:right="0"/>
        <w:jc w:val="left"/>
        <w:rPr>
          <w:rFonts w:hint="eastAsia" w:ascii="宋体" w:hAnsi="宋体" w:eastAsia="宋体" w:cs="宋体"/>
          <w:b/>
          <w:bCs/>
          <w:spacing w:val="0"/>
          <w:w w:val="100"/>
          <w:sz w:val="40"/>
          <w:szCs w:val="36"/>
        </w:rPr>
      </w:pPr>
    </w:p>
    <w:p>
      <w:pPr>
        <w:spacing w:before="58"/>
        <w:ind w:right="0"/>
        <w:jc w:val="left"/>
        <w:rPr>
          <w:rFonts w:hint="eastAsia" w:ascii="宋体" w:hAnsi="宋体" w:eastAsia="宋体" w:cs="宋体"/>
          <w:b/>
          <w:bCs/>
          <w:spacing w:val="0"/>
          <w:w w:val="100"/>
          <w:sz w:val="40"/>
          <w:szCs w:val="36"/>
        </w:rPr>
      </w:pPr>
    </w:p>
    <w:p>
      <w:pPr>
        <w:spacing w:before="58"/>
        <w:ind w:right="0"/>
        <w:jc w:val="left"/>
        <w:rPr>
          <w:rFonts w:hint="eastAsia" w:ascii="宋体" w:hAnsi="宋体" w:eastAsia="宋体" w:cs="宋体"/>
          <w:b/>
          <w:bCs/>
          <w:spacing w:val="0"/>
          <w:w w:val="100"/>
          <w:sz w:val="40"/>
          <w:szCs w:val="36"/>
        </w:rPr>
      </w:pPr>
    </w:p>
    <w:p>
      <w:pPr>
        <w:spacing w:before="58"/>
        <w:ind w:right="0"/>
        <w:jc w:val="left"/>
        <w:rPr>
          <w:rFonts w:hint="eastAsia" w:ascii="宋体" w:hAnsi="宋体" w:eastAsia="宋体" w:cs="宋体"/>
          <w:b/>
          <w:bCs/>
          <w:spacing w:val="0"/>
          <w:w w:val="100"/>
          <w:sz w:val="40"/>
          <w:szCs w:val="36"/>
        </w:rPr>
      </w:pPr>
    </w:p>
    <w:p>
      <w:pPr>
        <w:spacing w:before="58"/>
        <w:ind w:right="0"/>
        <w:jc w:val="left"/>
        <w:rPr>
          <w:rFonts w:hint="eastAsia" w:ascii="宋体" w:hAnsi="宋体" w:eastAsia="宋体" w:cs="宋体"/>
          <w:b/>
          <w:bCs/>
          <w:spacing w:val="0"/>
          <w:w w:val="100"/>
          <w:sz w:val="40"/>
          <w:szCs w:val="36"/>
        </w:rPr>
      </w:pPr>
    </w:p>
    <w:p>
      <w:pPr>
        <w:spacing w:before="58"/>
        <w:ind w:right="0"/>
        <w:jc w:val="left"/>
        <w:rPr>
          <w:rFonts w:hint="eastAsia" w:ascii="宋体" w:hAnsi="宋体" w:eastAsia="宋体" w:cs="宋体"/>
          <w:b/>
          <w:bCs/>
          <w:spacing w:val="0"/>
          <w:w w:val="100"/>
          <w:sz w:val="40"/>
          <w:szCs w:val="36"/>
        </w:rPr>
      </w:pPr>
    </w:p>
    <w:p>
      <w:pPr>
        <w:rPr>
          <w:rFonts w:hint="eastAsia" w:ascii="宋体" w:hAnsi="宋体" w:eastAsia="宋体" w:cs="宋体"/>
        </w:rPr>
      </w:pPr>
      <w:bookmarkStart w:id="138" w:name="_GoBack"/>
      <w:bookmarkEnd w:id="138"/>
    </w:p>
    <w:p>
      <w:pPr>
        <w:pStyle w:val="13"/>
        <w:rPr>
          <w:rFonts w:hint="eastAsia" w:ascii="宋体" w:hAnsi="宋体" w:eastAsia="宋体" w:cs="宋体"/>
        </w:rPr>
      </w:pPr>
    </w:p>
    <w:p>
      <w:pPr>
        <w:rPr>
          <w:rFonts w:hint="eastAsia" w:ascii="宋体" w:hAnsi="宋体" w:eastAsia="宋体" w:cs="宋体"/>
        </w:rPr>
      </w:pPr>
    </w:p>
    <w:p>
      <w:pPr>
        <w:pStyle w:val="13"/>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rPr>
      </w:pPr>
    </w:p>
    <w:p>
      <w:pPr>
        <w:pStyle w:val="13"/>
        <w:rPr>
          <w:rFonts w:hint="eastAsia" w:ascii="宋体" w:hAnsi="宋体" w:eastAsia="宋体" w:cs="宋体"/>
        </w:rPr>
      </w:pPr>
    </w:p>
    <w:p>
      <w:pPr>
        <w:rPr>
          <w:rFonts w:hint="eastAsia" w:ascii="宋体" w:hAnsi="宋体" w:eastAsia="宋体" w:cs="宋体"/>
          <w:sz w:val="21"/>
        </w:rPr>
      </w:pPr>
    </w:p>
    <w:p>
      <w:pPr>
        <w:pStyle w:val="13"/>
        <w:rPr>
          <w:rFonts w:hint="eastAsia" w:ascii="宋体" w:hAnsi="宋体" w:eastAsia="宋体" w:cs="宋体"/>
        </w:rPr>
      </w:pPr>
      <w:r>
        <w:rPr>
          <w:rFonts w:hint="eastAsia" w:ascii="宋体" w:hAnsi="宋体" w:eastAsia="宋体" w:cs="宋体"/>
          <w:sz w:val="21"/>
        </w:rPr>
        <mc:AlternateContent>
          <mc:Choice Requires="wps">
            <w:drawing>
              <wp:anchor distT="0" distB="0" distL="114300" distR="114300" simplePos="0" relativeHeight="251669504" behindDoc="0" locked="0" layoutInCell="1" allowOverlap="1">
                <wp:simplePos x="0" y="0"/>
                <wp:positionH relativeFrom="column">
                  <wp:posOffset>-167005</wp:posOffset>
                </wp:positionH>
                <wp:positionV relativeFrom="paragraph">
                  <wp:posOffset>563880</wp:posOffset>
                </wp:positionV>
                <wp:extent cx="6057900" cy="2324100"/>
                <wp:effectExtent l="12700" t="12700" r="25400" b="25400"/>
                <wp:wrapNone/>
                <wp:docPr id="15" name="圆角矩形 15"/>
                <wp:cNvGraphicFramePr/>
                <a:graphic xmlns:a="http://schemas.openxmlformats.org/drawingml/2006/main">
                  <a:graphicData uri="http://schemas.microsoft.com/office/word/2010/wordprocessingShape">
                    <wps:wsp>
                      <wps:cNvSpPr/>
                      <wps:spPr>
                        <a:xfrm>
                          <a:off x="822960" y="7122160"/>
                          <a:ext cx="6057900" cy="2324100"/>
                        </a:xfrm>
                        <a:prstGeom prst="roundRect">
                          <a:avLst/>
                        </a:prstGeom>
                      </wps:spPr>
                      <wps:style>
                        <a:lnRef idx="2">
                          <a:schemeClr val="accent6"/>
                        </a:lnRef>
                        <a:fillRef idx="1">
                          <a:schemeClr val="lt1"/>
                        </a:fillRef>
                        <a:effectRef idx="0">
                          <a:schemeClr val="accent6"/>
                        </a:effectRef>
                        <a:fontRef idx="minor">
                          <a:schemeClr val="dk1"/>
                        </a:fontRef>
                      </wps:style>
                      <wps:txbx>
                        <w:txbxContent>
                          <w:p>
                            <w:pPr>
                              <w:spacing w:before="58"/>
                              <w:ind w:right="0"/>
                              <w:jc w:val="left"/>
                              <w:rPr>
                                <w:rFonts w:hint="eastAsia" w:ascii="标准行书简繁" w:hAnsi="标准行书简繁" w:eastAsia="标准行书简繁" w:cs="标准行书简繁"/>
                                <w:b/>
                                <w:bCs/>
                                <w:spacing w:val="0"/>
                                <w:w w:val="100"/>
                                <w:sz w:val="40"/>
                                <w:szCs w:val="36"/>
                              </w:rPr>
                            </w:pPr>
                            <w:r>
                              <w:rPr>
                                <w:rFonts w:hint="eastAsia" w:ascii="标准行书简繁" w:hAnsi="标准行书简繁" w:eastAsia="标准行书简繁" w:cs="标准行书简繁"/>
                                <w:b/>
                                <w:bCs/>
                                <w:spacing w:val="0"/>
                                <w:w w:val="100"/>
                                <w:sz w:val="40"/>
                                <w:szCs w:val="36"/>
                              </w:rPr>
                              <w:t>陕西华兴工程咨询有限公司</w:t>
                            </w:r>
                          </w:p>
                          <w:p>
                            <w:pPr>
                              <w:pStyle w:val="13"/>
                              <w:spacing w:before="4"/>
                              <w:rPr>
                                <w:rFonts w:hint="eastAsia"/>
                                <w:spacing w:val="0"/>
                                <w:w w:val="100"/>
                                <w:sz w:val="28"/>
                                <w:szCs w:val="32"/>
                                <w:lang w:eastAsia="zh-CN"/>
                              </w:rPr>
                            </w:pPr>
                          </w:p>
                          <w:p>
                            <w:pPr>
                              <w:pStyle w:val="13"/>
                              <w:spacing w:before="4" w:line="360" w:lineRule="auto"/>
                              <w:rPr>
                                <w:rFonts w:hint="eastAsia" w:ascii="标准行书简繁" w:hAnsi="标准行书简繁" w:eastAsia="标准行书简繁" w:cs="标准行书简繁"/>
                                <w:spacing w:val="0"/>
                                <w:w w:val="100"/>
                                <w:sz w:val="28"/>
                                <w:szCs w:val="32"/>
                                <w:lang w:eastAsia="zh-CN"/>
                              </w:rPr>
                            </w:pPr>
                            <w:r>
                              <w:rPr>
                                <w:rFonts w:hint="eastAsia" w:ascii="标准行书简繁" w:hAnsi="标准行书简繁" w:eastAsia="标准行书简繁" w:cs="标准行书简繁"/>
                                <w:spacing w:val="0"/>
                                <w:w w:val="100"/>
                                <w:sz w:val="28"/>
                                <w:szCs w:val="32"/>
                                <w:lang w:eastAsia="zh-CN"/>
                              </w:rPr>
                              <w:t>地址：陕西省西安市雁塔区科技路西段绿地.博海大厦1603室</w:t>
                            </w:r>
                          </w:p>
                          <w:p>
                            <w:pPr>
                              <w:spacing w:line="360" w:lineRule="auto"/>
                              <w:rPr>
                                <w:rFonts w:hint="eastAsia" w:ascii="标准行书简繁" w:hAnsi="标准行书简繁" w:eastAsia="标准行书简繁" w:cs="标准行书简繁"/>
                                <w:spacing w:val="0"/>
                                <w:w w:val="100"/>
                                <w:sz w:val="28"/>
                                <w:szCs w:val="32"/>
                                <w:lang w:val="en-US" w:eastAsia="zh-CN"/>
                              </w:rPr>
                            </w:pPr>
                            <w:r>
                              <w:rPr>
                                <w:rFonts w:hint="eastAsia" w:ascii="标准行书简繁" w:hAnsi="标准行书简繁" w:eastAsia="标准行书简繁" w:cs="标准行书简繁"/>
                                <w:spacing w:val="0"/>
                                <w:w w:val="100"/>
                                <w:sz w:val="28"/>
                                <w:szCs w:val="32"/>
                                <w:lang w:eastAsia="zh-CN"/>
                              </w:rPr>
                              <w:t>联系电话：</w:t>
                            </w:r>
                            <w:r>
                              <w:rPr>
                                <w:rFonts w:hint="eastAsia" w:ascii="标准行书简繁" w:hAnsi="标准行书简繁" w:eastAsia="标准行书简繁" w:cs="标准行书简繁"/>
                                <w:spacing w:val="0"/>
                                <w:w w:val="100"/>
                                <w:sz w:val="28"/>
                                <w:szCs w:val="32"/>
                                <w:lang w:val="en-US" w:eastAsia="zh-CN"/>
                              </w:rPr>
                              <w:t>0916-2524867</w:t>
                            </w:r>
                          </w:p>
                          <w:p>
                            <w:pPr>
                              <w:spacing w:line="240" w:lineRule="auto"/>
                              <w:rPr>
                                <w:rFonts w:hint="eastAsia" w:ascii="标准行书简繁" w:hAnsi="标准行书简繁" w:eastAsia="标准行书简繁" w:cs="标准行书简繁"/>
                                <w:spacing w:val="0"/>
                                <w:w w:val="100"/>
                                <w:sz w:val="28"/>
                                <w:szCs w:val="32"/>
                                <w:lang w:val="en-US" w:eastAsia="zh-CN"/>
                              </w:rPr>
                            </w:pPr>
                            <w:r>
                              <w:rPr>
                                <w:rFonts w:hint="eastAsia" w:ascii="标准行书简繁" w:hAnsi="标准行书简繁" w:eastAsia="标准行书简繁" w:cs="标准行书简繁"/>
                                <w:spacing w:val="0"/>
                                <w:w w:val="100"/>
                                <w:sz w:val="28"/>
                                <w:szCs w:val="32"/>
                                <w:lang w:val="en-US" w:eastAsia="zh-CN"/>
                              </w:rPr>
                              <w:t>传真：0916-2524867</w:t>
                            </w:r>
                          </w:p>
                          <w:p>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_x0000_s1026" o:spid="_x0000_s1026" o:spt="2" style="position:absolute;left:0pt;margin-left:-13.15pt;margin-top:44.4pt;height:183pt;width:477pt;z-index:251669504;v-text-anchor:middle;mso-width-relative:page;mso-height-relative:page;" fillcolor="#FFFFFF [3201]" filled="t" stroked="t" coordsize="21600,21600" arcsize="0.166666666666667" o:gfxdata="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">
                <v:fill on="t" focussize="0,0"/>
                <v:stroke weight="2pt" color="#F79646 [3209]" joinstyle="round"/>
                <v:imagedata o:title=""/>
                <o:lock v:ext="edit" aspectratio="f"/>
                <v:textbox>
                  <w:txbxContent>
                    <w:p>
                      <w:pPr>
                        <w:spacing w:before="58"/>
                        <w:ind w:right="0"/>
                        <w:jc w:val="left"/>
                        <w:rPr>
                          <w:rFonts w:hint="eastAsia" w:ascii="标准行书简繁" w:hAnsi="标准行书简繁" w:eastAsia="标准行书简繁" w:cs="标准行书简繁"/>
                          <w:b/>
                          <w:bCs/>
                          <w:spacing w:val="0"/>
                          <w:w w:val="100"/>
                          <w:sz w:val="40"/>
                          <w:szCs w:val="36"/>
                        </w:rPr>
                      </w:pPr>
                      <w:r>
                        <w:rPr>
                          <w:rFonts w:hint="eastAsia" w:ascii="标准行书简繁" w:hAnsi="标准行书简繁" w:eastAsia="标准行书简繁" w:cs="标准行书简繁"/>
                          <w:b/>
                          <w:bCs/>
                          <w:spacing w:val="0"/>
                          <w:w w:val="100"/>
                          <w:sz w:val="40"/>
                          <w:szCs w:val="36"/>
                        </w:rPr>
                        <w:t>陕西华兴工程咨询有限公司</w:t>
                      </w:r>
                    </w:p>
                    <w:p>
                      <w:pPr>
                        <w:pStyle w:val="13"/>
                        <w:spacing w:before="4"/>
                        <w:rPr>
                          <w:rFonts w:hint="eastAsia"/>
                          <w:spacing w:val="0"/>
                          <w:w w:val="100"/>
                          <w:sz w:val="28"/>
                          <w:szCs w:val="32"/>
                          <w:lang w:eastAsia="zh-CN"/>
                        </w:rPr>
                      </w:pPr>
                    </w:p>
                    <w:p>
                      <w:pPr>
                        <w:pStyle w:val="13"/>
                        <w:spacing w:before="4" w:line="360" w:lineRule="auto"/>
                        <w:rPr>
                          <w:rFonts w:hint="eastAsia" w:ascii="标准行书简繁" w:hAnsi="标准行书简繁" w:eastAsia="标准行书简繁" w:cs="标准行书简繁"/>
                          <w:spacing w:val="0"/>
                          <w:w w:val="100"/>
                          <w:sz w:val="28"/>
                          <w:szCs w:val="32"/>
                          <w:lang w:eastAsia="zh-CN"/>
                        </w:rPr>
                      </w:pPr>
                      <w:r>
                        <w:rPr>
                          <w:rFonts w:hint="eastAsia" w:ascii="标准行书简繁" w:hAnsi="标准行书简繁" w:eastAsia="标准行书简繁" w:cs="标准行书简繁"/>
                          <w:spacing w:val="0"/>
                          <w:w w:val="100"/>
                          <w:sz w:val="28"/>
                          <w:szCs w:val="32"/>
                          <w:lang w:eastAsia="zh-CN"/>
                        </w:rPr>
                        <w:t>地址：陕西省西安市雁塔区科技路西段绿地.博海大厦1603室</w:t>
                      </w:r>
                    </w:p>
                    <w:p>
                      <w:pPr>
                        <w:spacing w:line="360" w:lineRule="auto"/>
                        <w:rPr>
                          <w:rFonts w:hint="eastAsia" w:ascii="标准行书简繁" w:hAnsi="标准行书简繁" w:eastAsia="标准行书简繁" w:cs="标准行书简繁"/>
                          <w:spacing w:val="0"/>
                          <w:w w:val="100"/>
                          <w:sz w:val="28"/>
                          <w:szCs w:val="32"/>
                          <w:lang w:val="en-US" w:eastAsia="zh-CN"/>
                        </w:rPr>
                      </w:pPr>
                      <w:r>
                        <w:rPr>
                          <w:rFonts w:hint="eastAsia" w:ascii="标准行书简繁" w:hAnsi="标准行书简繁" w:eastAsia="标准行书简繁" w:cs="标准行书简繁"/>
                          <w:spacing w:val="0"/>
                          <w:w w:val="100"/>
                          <w:sz w:val="28"/>
                          <w:szCs w:val="32"/>
                          <w:lang w:eastAsia="zh-CN"/>
                        </w:rPr>
                        <w:t>联系电话：</w:t>
                      </w:r>
                      <w:r>
                        <w:rPr>
                          <w:rFonts w:hint="eastAsia" w:ascii="标准行书简繁" w:hAnsi="标准行书简繁" w:eastAsia="标准行书简繁" w:cs="标准行书简繁"/>
                          <w:spacing w:val="0"/>
                          <w:w w:val="100"/>
                          <w:sz w:val="28"/>
                          <w:szCs w:val="32"/>
                          <w:lang w:val="en-US" w:eastAsia="zh-CN"/>
                        </w:rPr>
                        <w:t>0916-2524867</w:t>
                      </w:r>
                    </w:p>
                    <w:p>
                      <w:pPr>
                        <w:spacing w:line="240" w:lineRule="auto"/>
                        <w:rPr>
                          <w:rFonts w:hint="eastAsia" w:ascii="标准行书简繁" w:hAnsi="标准行书简繁" w:eastAsia="标准行书简繁" w:cs="标准行书简繁"/>
                          <w:spacing w:val="0"/>
                          <w:w w:val="100"/>
                          <w:sz w:val="28"/>
                          <w:szCs w:val="32"/>
                          <w:lang w:val="en-US" w:eastAsia="zh-CN"/>
                        </w:rPr>
                      </w:pPr>
                      <w:r>
                        <w:rPr>
                          <w:rFonts w:hint="eastAsia" w:ascii="标准行书简繁" w:hAnsi="标准行书简繁" w:eastAsia="标准行书简繁" w:cs="标准行书简繁"/>
                          <w:spacing w:val="0"/>
                          <w:w w:val="100"/>
                          <w:sz w:val="28"/>
                          <w:szCs w:val="32"/>
                          <w:lang w:val="en-US" w:eastAsia="zh-CN"/>
                        </w:rPr>
                        <w:t>传真：0916-2524867</w:t>
                      </w:r>
                    </w:p>
                    <w:p>
                      <w:pPr>
                        <w:jc w:val="center"/>
                      </w:pPr>
                    </w:p>
                  </w:txbxContent>
                </v:textbox>
              </v:roundrect>
            </w:pict>
          </mc:Fallback>
        </mc:AlternateContent>
      </w:r>
    </w:p>
    <w:sectPr>
      <w:footerReference r:id="rId32" w:type="default"/>
      <w:pgSz w:w="11906" w:h="16838"/>
      <w:pgMar w:top="1440" w:right="1242" w:bottom="1440" w:left="1559" w:header="851" w:footer="992" w:gutter="0"/>
      <w:pgNumType w:fmt="numberInDash"/>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embedRegular r:id="rId1" w:fontKey="{EB796CE1-1B61-4E81-8A3B-19AF570103B2}"/>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E00002FF" w:usb1="400004FF" w:usb2="00000000" w:usb3="00000000" w:csb0="2000019F" w:csb1="00000000"/>
  </w:font>
  <w:font w:name="Calibri Light">
    <w:altName w:val="Calibri"/>
    <w:panose1 w:val="020F0302020204030204"/>
    <w:charset w:val="00"/>
    <w:family w:val="swiss"/>
    <w:pitch w:val="default"/>
    <w:sig w:usb0="00000000" w:usb1="00000000" w:usb2="00000000" w:usb3="00000000" w:csb0="2000019F" w:csb1="00000000"/>
  </w:font>
  <w:font w:name="方正书宋简体">
    <w:altName w:val="宋体"/>
    <w:panose1 w:val="00000000000000000000"/>
    <w:charset w:val="86"/>
    <w:family w:val="script"/>
    <w:pitch w:val="default"/>
    <w:sig w:usb0="00000000" w:usb1="00000000" w:usb2="00000010" w:usb3="00000000" w:csb0="00040000" w:csb1="00000000"/>
  </w:font>
  <w:font w:name="Copperplate Gothic Bold">
    <w:altName w:val="Segoe Print"/>
    <w:panose1 w:val="00000000000000000000"/>
    <w:charset w:val="00"/>
    <w:family w:val="swiss"/>
    <w:pitch w:val="default"/>
    <w:sig w:usb0="00000000" w:usb1="00000000" w:usb2="00000000" w:usb3="00000000" w:csb0="20000001" w:csb1="00000000"/>
  </w:font>
  <w:font w:name="Segoe Print">
    <w:panose1 w:val="02000600000000000000"/>
    <w:charset w:val="00"/>
    <w:family w:val="auto"/>
    <w:pitch w:val="default"/>
    <w:sig w:usb0="0000028F" w:usb1="00000000" w:usb2="00000000" w:usb3="00000000" w:csb0="2000009F" w:csb1="47010000"/>
  </w:font>
  <w:font w:name="Arial Unicode MS">
    <w:altName w:val="Arial"/>
    <w:panose1 w:val="020B0604020202020204"/>
    <w:charset w:val="00"/>
    <w:family w:val="roman"/>
    <w:pitch w:val="default"/>
    <w:sig w:usb0="00000000" w:usb1="00000000" w:usb2="00000000" w:usb3="00000000" w:csb0="00000001" w:csb1="00000000"/>
  </w:font>
  <w:font w:name="Arial Narrow">
    <w:altName w:val="Arial"/>
    <w:panose1 w:val="020B0606020202030204"/>
    <w:charset w:val="00"/>
    <w:family w:val="swiss"/>
    <w:pitch w:val="default"/>
    <w:sig w:usb0="00000000" w:usb1="00000000" w:usb2="00000000" w:usb3="00000000" w:csb0="2000009F" w:csb1="DFD70000"/>
  </w:font>
  <w:font w:name="Tahoma">
    <w:panose1 w:val="020B0604030504040204"/>
    <w:charset w:val="00"/>
    <w:family w:val="swiss"/>
    <w:pitch w:val="default"/>
    <w:sig w:usb0="E1002EFF" w:usb1="C000605B" w:usb2="00000029" w:usb3="00000000" w:csb0="200101FF" w:csb1="20280000"/>
  </w:font>
  <w:font w:name="Arial (W1)">
    <w:altName w:val="Arial"/>
    <w:panose1 w:val="00000000000000000000"/>
    <w:charset w:val="00"/>
    <w:family w:val="swiss"/>
    <w:pitch w:val="default"/>
    <w:sig w:usb0="00000000" w:usb1="00000000" w:usb2="00000008" w:usb3="00000000" w:csb0="000001FF" w:csb1="00000000"/>
  </w:font>
  <w:font w:name="MingLiU">
    <w:panose1 w:val="02020509000000000000"/>
    <w:charset w:val="88"/>
    <w:family w:val="modern"/>
    <w:pitch w:val="default"/>
    <w:sig w:usb0="A00002FF" w:usb1="28CFFCFA" w:usb2="00000016" w:usb3="00000000" w:csb0="00100001" w:csb1="00000000"/>
  </w:font>
  <w:font w:name="仿宋">
    <w:panose1 w:val="02010609060101010101"/>
    <w:charset w:val="86"/>
    <w:family w:val="modern"/>
    <w:pitch w:val="default"/>
    <w:sig w:usb0="800002BF" w:usb1="38CF7CFA" w:usb2="00000016" w:usb3="00000000" w:csb0="00040001" w:csb1="00000000"/>
    <w:embedRegular r:id="rId2" w:fontKey="{C498A118-9074-45A8-BCDF-6BF84E88E9AB}"/>
  </w:font>
  <w:font w:name="Wingdings 2">
    <w:panose1 w:val="05020102010507070707"/>
    <w:charset w:val="00"/>
    <w:family w:val="auto"/>
    <w:pitch w:val="default"/>
    <w:sig w:usb0="00000000" w:usb1="00000000" w:usb2="00000000" w:usb3="00000000" w:csb0="80000000" w:csb1="00000000"/>
    <w:embedRegular r:id="rId3" w:fontKey="{A3BFB4A3-CFA2-4801-8889-2520DD7E129E}"/>
  </w:font>
  <w:font w:name="标准行书简繁">
    <w:panose1 w:val="03000600000000000000"/>
    <w:charset w:val="86"/>
    <w:family w:val="auto"/>
    <w:pitch w:val="default"/>
    <w:sig w:usb0="00000283" w:usb1="180F1C10" w:usb2="00000016" w:usb3="00000000" w:csb0="40040001" w:csb1="C0D60000"/>
    <w:embedRegular r:id="rId4" w:fontKey="{442FF532-8BF3-4166-8693-23D15F1AED59}"/>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jc w:val="both"/>
      <w:rPr>
        <w:rFonts w:hint="eastAsia" w:ascii="仿宋" w:hAnsi="仿宋" w:eastAsia="宋体"/>
        <w:lang w:eastAsia="zh-CN"/>
      </w:rPr>
    </w:pPr>
    <w:r>
      <w:rPr>
        <w:sz w:val="18"/>
      </w:rPr>
      <mc:AlternateContent>
        <mc:Choice Requires="wps">
          <w:drawing>
            <wp:anchor distT="0" distB="0" distL="114300" distR="114300" simplePos="0" relativeHeight="251677696" behindDoc="0" locked="0" layoutInCell="1" allowOverlap="1">
              <wp:simplePos x="0" y="0"/>
              <wp:positionH relativeFrom="margin">
                <wp:align>center</wp:align>
              </wp:positionH>
              <wp:positionV relativeFrom="paragraph">
                <wp:posOffset>0</wp:posOffset>
              </wp:positionV>
              <wp:extent cx="1828800" cy="1828800"/>
              <wp:effectExtent l="0" t="0" r="0" b="0"/>
              <wp:wrapNone/>
              <wp:docPr id="162" name="文本框 16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9"/>
                          </w:pPr>
                          <w:r>
                            <w:fldChar w:fldCharType="begin"/>
                          </w:r>
                          <w:r>
                            <w:instrText xml:space="preserve"> PAGE  \* MERGEFORMAT </w:instrText>
                          </w:r>
                          <w:r>
                            <w:fldChar w:fldCharType="separate"/>
                          </w:r>
                          <w:r>
                            <w:t>- 2 -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769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hG3d4zAgAAZ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BhG3d4zAgAAZQQAAA4AAAAAAAAAAQAgAAAAHwEAAGRycy9lMm9Eb2MueG1sUEsF&#10;BgAAAAAGAAYAWQEAAMQFAAAAAA==&#10;">
              <v:fill on="f" focussize="0,0"/>
              <v:stroke on="f" weight="0.5pt"/>
              <v:imagedata o:title=""/>
              <o:lock v:ext="edit" aspectratio="f"/>
              <v:textbox inset="0mm,0mm,0mm,0mm" style="mso-fit-shape-to-text:t;">
                <w:txbxContent>
                  <w:p>
                    <w:pPr>
                      <w:pStyle w:val="19"/>
                    </w:pPr>
                    <w:r>
                      <w:fldChar w:fldCharType="begin"/>
                    </w:r>
                    <w:r>
                      <w:instrText xml:space="preserve"> PAGE  \* MERGEFORMAT </w:instrText>
                    </w:r>
                    <w:r>
                      <w:fldChar w:fldCharType="separate"/>
                    </w:r>
                    <w:r>
                      <w:t>- 2 -</w:t>
                    </w:r>
                    <w:r>
                      <w:fldChar w:fldCharType="end"/>
                    </w:r>
                  </w:p>
                </w:txbxContent>
              </v:textbox>
            </v:shape>
          </w:pict>
        </mc:Fallback>
      </mc:AlternateContent>
    </w:r>
    <w:r>
      <w:rPr>
        <w:rFonts w:hint="eastAsia" w:ascii="宋体" w:hAnsi="宋体" w:eastAsia="宋体" w:cs="宋体"/>
        <w:lang w:eastAsia="zh-CN"/>
      </w:rPr>
      <w:t>陕西华兴工程咨询有限公司</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82816" behindDoc="0" locked="0" layoutInCell="1" allowOverlap="1">
              <wp:simplePos x="0" y="0"/>
              <wp:positionH relativeFrom="margin">
                <wp:align>center</wp:align>
              </wp:positionH>
              <wp:positionV relativeFrom="paragraph">
                <wp:posOffset>0</wp:posOffset>
              </wp:positionV>
              <wp:extent cx="1828800" cy="1828800"/>
              <wp:effectExtent l="0" t="0" r="0" b="0"/>
              <wp:wrapNone/>
              <wp:docPr id="167" name="文本框 16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9"/>
                          </w:pPr>
                          <w:r>
                            <w:fldChar w:fldCharType="begin"/>
                          </w:r>
                          <w:r>
                            <w:instrText xml:space="preserve"> PAGE  \* MERGEFORMAT </w:instrText>
                          </w:r>
                          <w:r>
                            <w:fldChar w:fldCharType="separate"/>
                          </w:r>
                          <w:r>
                            <w:t>- 47 -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281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BwBql0zAgAAZQQAAA4AAAAAAAAAAQAgAAAAHwEAAGRycy9lMm9Eb2MueG1sUEsF&#10;BgAAAAAGAAYAWQEAAMQFAAAAAA==&#10;">
              <v:fill on="f" focussize="0,0"/>
              <v:stroke on="f" weight="0.5pt"/>
              <v:imagedata o:title=""/>
              <o:lock v:ext="edit" aspectratio="f"/>
              <v:textbox inset="0mm,0mm,0mm,0mm" style="mso-fit-shape-to-text:t;">
                <w:txbxContent>
                  <w:p>
                    <w:pPr>
                      <w:pStyle w:val="19"/>
                    </w:pPr>
                    <w:r>
                      <w:fldChar w:fldCharType="begin"/>
                    </w:r>
                    <w:r>
                      <w:instrText xml:space="preserve"> PAGE  \* MERGEFORMAT </w:instrText>
                    </w:r>
                    <w:r>
                      <w:fldChar w:fldCharType="separate"/>
                    </w:r>
                    <w:r>
                      <w:t>- 47 -</w:t>
                    </w:r>
                    <w:r>
                      <w:fldChar w:fldCharType="end"/>
                    </w:r>
                  </w:p>
                </w:txbxContent>
              </v:textbox>
            </v:shape>
          </w:pict>
        </mc:Fallback>
      </mc:AlternateContent>
    </w:r>
    <w:r>
      <w:rPr>
        <w:rFonts w:hint="eastAsia" w:ascii="Times New Roman" w:hAnsi="Times New Roman" w:eastAsia="宋体" w:cs="Times New Roman"/>
        <w:sz w:val="17"/>
        <w:szCs w:val="17"/>
        <w:lang w:eastAsia="zh-CN"/>
      </w:rPr>
      <w:t>陕西华兴工程咨询有限公司</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rPr>
        <w:rFonts w:hint="eastAsia" w:ascii="Times New Roman" w:hAnsi="Times New Roman" w:eastAsia="宋体" w:cs="Times New Roman"/>
        <w:sz w:val="17"/>
        <w:szCs w:val="17"/>
        <w:lang w:eastAsia="zh-CN"/>
      </w:rPr>
    </w:pPr>
    <w:r>
      <w:rPr>
        <w:sz w:val="17"/>
      </w:rPr>
      <mc:AlternateContent>
        <mc:Choice Requires="wps">
          <w:drawing>
            <wp:anchor distT="0" distB="0" distL="114300" distR="114300" simplePos="0" relativeHeight="2516920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81" name="文本框 18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9"/>
                          </w:pPr>
                          <w:r>
                            <w:fldChar w:fldCharType="begin"/>
                          </w:r>
                          <w:r>
                            <w:instrText xml:space="preserve"> PAGE  \* MERGEFORMAT </w:instrText>
                          </w:r>
                          <w:r>
                            <w:fldChar w:fldCharType="separate"/>
                          </w:r>
                          <w:r>
                            <w:t>- 137 -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20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p3wHIyAgAAZQ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nfAcjICAABlBAAADgAAAAAAAAABACAAAAAfAQAAZHJzL2Uyb0RvYy54bWxQSwUG&#10;AAAAAAYABgBZAQAAwwUAAAAA&#10;">
              <v:fill on="f" focussize="0,0"/>
              <v:stroke on="f" weight="0.5pt"/>
              <v:imagedata o:title=""/>
              <o:lock v:ext="edit" aspectratio="f"/>
              <v:textbox inset="0mm,0mm,0mm,0mm" style="mso-fit-shape-to-text:t;">
                <w:txbxContent>
                  <w:p>
                    <w:pPr>
                      <w:pStyle w:val="19"/>
                    </w:pPr>
                    <w:r>
                      <w:fldChar w:fldCharType="begin"/>
                    </w:r>
                    <w:r>
                      <w:instrText xml:space="preserve"> PAGE  \* MERGEFORMAT </w:instrText>
                    </w:r>
                    <w:r>
                      <w:fldChar w:fldCharType="separate"/>
                    </w:r>
                    <w:r>
                      <w:t>- 137 -</w:t>
                    </w:r>
                    <w:r>
                      <w:fldChar w:fldCharType="end"/>
                    </w:r>
                  </w:p>
                </w:txbxContent>
              </v:textbox>
            </v:shape>
          </w:pict>
        </mc:Fallback>
      </mc:AlternateContent>
    </w:r>
    <w:r>
      <w:rPr>
        <w:rFonts w:hint="eastAsia" w:ascii="Times New Roman" w:hAnsi="Times New Roman" w:eastAsia="宋体" w:cs="Times New Roman"/>
        <w:sz w:val="17"/>
        <w:szCs w:val="17"/>
        <w:lang w:eastAsia="zh-CN"/>
      </w:rPr>
      <w:t>陕西华兴工程咨询有限公司</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196" w:leftChars="0" w:firstLine="195" w:firstLineChars="115"/>
      <w:jc w:val="left"/>
      <w:rPr>
        <w:rFonts w:hint="eastAsia" w:ascii="Times New Roman" w:hAnsi="Times New Roman" w:eastAsia="宋体" w:cs="Times New Roman"/>
        <w:sz w:val="17"/>
        <w:szCs w:val="17"/>
        <w:lang w:eastAsia="zh-CN"/>
      </w:rPr>
    </w:pPr>
    <w:r>
      <w:rPr>
        <w:sz w:val="17"/>
      </w:rPr>
      <mc:AlternateContent>
        <mc:Choice Requires="wps">
          <w:drawing>
            <wp:anchor distT="0" distB="0" distL="114300" distR="114300" simplePos="0" relativeHeight="251695104" behindDoc="0" locked="0" layoutInCell="1" allowOverlap="1">
              <wp:simplePos x="0" y="0"/>
              <wp:positionH relativeFrom="margin">
                <wp:align>center</wp:align>
              </wp:positionH>
              <wp:positionV relativeFrom="paragraph">
                <wp:posOffset>0</wp:posOffset>
              </wp:positionV>
              <wp:extent cx="1828800" cy="1828800"/>
              <wp:effectExtent l="0" t="0" r="0" b="0"/>
              <wp:wrapNone/>
              <wp:docPr id="185" name="文本框 18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9"/>
                          </w:pPr>
                          <w:r>
                            <w:fldChar w:fldCharType="begin"/>
                          </w:r>
                          <w:r>
                            <w:instrText xml:space="preserve"> PAGE  \* MERGEFORMAT </w:instrText>
                          </w:r>
                          <w:r>
                            <w:fldChar w:fldCharType="separate"/>
                          </w:r>
                          <w:r>
                            <w:t>- 138 -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51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WMKW0zAgAAZQQAAA4AAABkcnMvZTJvRG9jLnhtbK1US44TMRDdI3EH&#10;y3vSSdC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WMKW0zAgAAZQQAAA4AAAAAAAAAAQAgAAAAHwEAAGRycy9lMm9Eb2MueG1sUEsF&#10;BgAAAAAGAAYAWQEAAMQFAAAAAA==&#10;">
              <v:fill on="f" focussize="0,0"/>
              <v:stroke on="f" weight="0.5pt"/>
              <v:imagedata o:title=""/>
              <o:lock v:ext="edit" aspectratio="f"/>
              <v:textbox inset="0mm,0mm,0mm,0mm" style="mso-fit-shape-to-text:t;">
                <w:txbxContent>
                  <w:p>
                    <w:pPr>
                      <w:pStyle w:val="19"/>
                    </w:pPr>
                    <w:r>
                      <w:fldChar w:fldCharType="begin"/>
                    </w:r>
                    <w:r>
                      <w:instrText xml:space="preserve"> PAGE  \* MERGEFORMAT </w:instrText>
                    </w:r>
                    <w:r>
                      <w:fldChar w:fldCharType="separate"/>
                    </w:r>
                    <w:r>
                      <w:t>- 138 -</w:t>
                    </w:r>
                    <w:r>
                      <w:fldChar w:fldCharType="end"/>
                    </w:r>
                  </w:p>
                </w:txbxContent>
              </v:textbox>
            </v:shape>
          </w:pict>
        </mc:Fallback>
      </mc:AlternateContent>
    </w:r>
    <w:r>
      <w:rPr>
        <w:rFonts w:hint="eastAsia" w:ascii="Times New Roman" w:hAnsi="Times New Roman" w:eastAsia="宋体" w:cs="Times New Roman"/>
        <w:sz w:val="17"/>
        <w:szCs w:val="17"/>
        <w:lang w:eastAsia="zh-CN"/>
      </w:rPr>
      <w:t>陕西华兴工程咨询有限公司</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4" w:leftChars="0" w:hanging="4" w:firstLineChars="0"/>
      <w:jc w:val="both"/>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940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84" name="文本框 18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9"/>
                          </w:pPr>
                          <w:r>
                            <w:fldChar w:fldCharType="begin"/>
                          </w:r>
                          <w:r>
                            <w:instrText xml:space="preserve"> PAGE  \* MERGEFORMAT </w:instrText>
                          </w:r>
                          <w:r>
                            <w:fldChar w:fldCharType="separate"/>
                          </w:r>
                          <w:r>
                            <w:t>- 49 -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40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4wt/E0AgAAZQ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BuMLfxNAIAAGUEAAAOAAAAAAAAAAEAIAAAAB8BAABkcnMvZTJvRG9jLnhtbFBL&#10;BQYAAAAABgAGAFkBAADFBQAAAAA=&#10;">
              <v:fill on="f" focussize="0,0"/>
              <v:stroke on="f" weight="0.5pt"/>
              <v:imagedata o:title=""/>
              <o:lock v:ext="edit" aspectratio="f"/>
              <v:textbox inset="0mm,0mm,0mm,0mm" style="mso-fit-shape-to-text:t;">
                <w:txbxContent>
                  <w:p>
                    <w:pPr>
                      <w:pStyle w:val="19"/>
                    </w:pPr>
                    <w:r>
                      <w:fldChar w:fldCharType="begin"/>
                    </w:r>
                    <w:r>
                      <w:instrText xml:space="preserve"> PAGE  \* MERGEFORMAT </w:instrText>
                    </w:r>
                    <w:r>
                      <w:fldChar w:fldCharType="separate"/>
                    </w:r>
                    <w:r>
                      <w:t>- 49 -</w:t>
                    </w:r>
                    <w:r>
                      <w:fldChar w:fldCharType="end"/>
                    </w:r>
                  </w:p>
                </w:txbxContent>
              </v:textbox>
            </v:shape>
          </w:pict>
        </mc:Fallback>
      </mc:AlternateContent>
    </w:r>
    <w:r>
      <w:rPr>
        <w:rFonts w:hint="eastAsia" w:eastAsia="宋体" w:cs="Times New Roman"/>
        <w:sz w:val="17"/>
        <w:szCs w:val="17"/>
        <w:lang w:eastAsia="zh-CN"/>
      </w:rPr>
      <w:t>陕西华兴工程咨询有限公司</w: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10" w:leftChars="0" w:hanging="10" w:hangingChars="6"/>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838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70" name="文本框 17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9"/>
                          </w:pPr>
                          <w:r>
                            <w:fldChar w:fldCharType="begin"/>
                          </w:r>
                          <w:r>
                            <w:instrText xml:space="preserve"> PAGE  \* MERGEFORMAT </w:instrText>
                          </w:r>
                          <w:r>
                            <w:fldChar w:fldCharType="separate"/>
                          </w:r>
                          <w:r>
                            <w:t>- 57 -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38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MebeYzAgAAZQ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OMebeYzAgAAZQQAAA4AAAAAAAAAAQAgAAAAHwEAAGRycy9lMm9Eb2MueG1sUEsF&#10;BgAAAAAGAAYAWQEAAMQFAAAAAA==&#10;">
              <v:fill on="f" focussize="0,0"/>
              <v:stroke on="f" weight="0.5pt"/>
              <v:imagedata o:title=""/>
              <o:lock v:ext="edit" aspectratio="f"/>
              <v:textbox inset="0mm,0mm,0mm,0mm" style="mso-fit-shape-to-text:t;">
                <w:txbxContent>
                  <w:p>
                    <w:pPr>
                      <w:pStyle w:val="19"/>
                    </w:pPr>
                    <w:r>
                      <w:fldChar w:fldCharType="begin"/>
                    </w:r>
                    <w:r>
                      <w:instrText xml:space="preserve"> PAGE  \* MERGEFORMAT </w:instrText>
                    </w:r>
                    <w:r>
                      <w:fldChar w:fldCharType="separate"/>
                    </w:r>
                    <w:r>
                      <w:t>- 57 -</w:t>
                    </w:r>
                    <w:r>
                      <w:fldChar w:fldCharType="end"/>
                    </w:r>
                  </w:p>
                </w:txbxContent>
              </v:textbox>
            </v:shape>
          </w:pict>
        </mc:Fallback>
      </mc:AlternateContent>
    </w:r>
    <w:r>
      <w:rPr>
        <w:rFonts w:hint="eastAsia" w:ascii="Times New Roman" w:hAnsi="Times New Roman" w:eastAsia="宋体" w:cs="Times New Roman"/>
        <w:sz w:val="17"/>
        <w:szCs w:val="17"/>
        <w:lang w:eastAsia="zh-CN"/>
      </w:rPr>
      <w:t>陕西华兴工程咨询有限公司</w: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98" w:leftChars="0" w:hanging="98" w:hangingChars="58"/>
      <w:rPr>
        <w:rFonts w:hint="eastAsia" w:ascii="Times New Roman" w:hAnsi="Times New Roman" w:eastAsia="宋体" w:cs="Times New Roman"/>
        <w:sz w:val="17"/>
        <w:szCs w:val="17"/>
        <w:lang w:eastAsia="zh-CN"/>
      </w:rPr>
    </w:pPr>
    <w:r>
      <w:rPr>
        <w:sz w:val="17"/>
      </w:rPr>
      <mc:AlternateContent>
        <mc:Choice Requires="wps">
          <w:drawing>
            <wp:anchor distT="0" distB="0" distL="114300" distR="114300" simplePos="0" relativeHeight="2516930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82" name="文本框 18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9"/>
                          </w:pPr>
                          <w:r>
                            <w:fldChar w:fldCharType="begin"/>
                          </w:r>
                          <w:r>
                            <w:instrText xml:space="preserve"> PAGE  \* MERGEFORMAT </w:instrText>
                          </w:r>
                          <w:r>
                            <w:fldChar w:fldCharType="separate"/>
                          </w:r>
                          <w:r>
                            <w:t>- 11 -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30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a1EgwzAgAAZ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Ja1EgwzAgAAZQQAAA4AAAAAAAAAAQAgAAAAHwEAAGRycy9lMm9Eb2MueG1sUEsF&#10;BgAAAAAGAAYAWQEAAMQFAAAAAA==&#10;">
              <v:fill on="f" focussize="0,0"/>
              <v:stroke on="f" weight="0.5pt"/>
              <v:imagedata o:title=""/>
              <o:lock v:ext="edit" aspectratio="f"/>
              <v:textbox inset="0mm,0mm,0mm,0mm" style="mso-fit-shape-to-text:t;">
                <w:txbxContent>
                  <w:p>
                    <w:pPr>
                      <w:pStyle w:val="19"/>
                    </w:pPr>
                    <w:r>
                      <w:fldChar w:fldCharType="begin"/>
                    </w:r>
                    <w:r>
                      <w:instrText xml:space="preserve"> PAGE  \* MERGEFORMAT </w:instrText>
                    </w:r>
                    <w:r>
                      <w:fldChar w:fldCharType="separate"/>
                    </w:r>
                    <w:r>
                      <w:t>- 11 -</w:t>
                    </w:r>
                    <w:r>
                      <w:fldChar w:fldCharType="end"/>
                    </w:r>
                  </w:p>
                </w:txbxContent>
              </v:textbox>
            </v:shape>
          </w:pict>
        </mc:Fallback>
      </mc:AlternateContent>
    </w:r>
    <w:r>
      <w:rPr>
        <w:rFonts w:hint="eastAsia"/>
        <w:sz w:val="17"/>
        <w:lang w:eastAsia="zh-CN"/>
      </w:rPr>
      <w:t>陕西华兴工程咨询有限公司</w: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4533" w:leftChars="0" w:hanging="4533" w:hangingChars="2667"/>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910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80" name="文本框 18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9"/>
                          </w:pPr>
                          <w:r>
                            <w:fldChar w:fldCharType="begin"/>
                          </w:r>
                          <w:r>
                            <w:instrText xml:space="preserve"> PAGE  \* MERGEFORMAT </w:instrText>
                          </w:r>
                          <w:r>
                            <w:fldChar w:fldCharType="separate"/>
                          </w:r>
                          <w:r>
                            <w:t>- 148 -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10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HLXu4yAgAAZ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cte7jICAABlBAAADgAAAAAAAAABACAAAAAfAQAAZHJzL2Uyb0RvYy54bWxQSwUG&#10;AAAAAAYABgBZAQAAwwUAAAAA&#10;">
              <v:fill on="f" focussize="0,0"/>
              <v:stroke on="f" weight="0.5pt"/>
              <v:imagedata o:title=""/>
              <o:lock v:ext="edit" aspectratio="f"/>
              <v:textbox inset="0mm,0mm,0mm,0mm" style="mso-fit-shape-to-text:t;">
                <w:txbxContent>
                  <w:p>
                    <w:pPr>
                      <w:pStyle w:val="19"/>
                    </w:pPr>
                    <w:r>
                      <w:fldChar w:fldCharType="begin"/>
                    </w:r>
                    <w:r>
                      <w:instrText xml:space="preserve"> PAGE  \* MERGEFORMAT </w:instrText>
                    </w:r>
                    <w:r>
                      <w:fldChar w:fldCharType="separate"/>
                    </w:r>
                    <w:r>
                      <w:t>- 148 -</w:t>
                    </w:r>
                    <w:r>
                      <w:fldChar w:fldCharType="end"/>
                    </w:r>
                  </w:p>
                </w:txbxContent>
              </v:textbox>
            </v:shape>
          </w:pict>
        </mc:Fallback>
      </mc:AlternateContent>
    </w:r>
    <w:r>
      <w:rPr>
        <w:rFonts w:hint="eastAsia" w:ascii="Times New Roman" w:hAnsi="Times New Roman" w:eastAsia="宋体" w:cs="Times New Roman"/>
        <w:sz w:val="17"/>
        <w:szCs w:val="17"/>
        <w:lang w:eastAsia="zh-CN"/>
      </w:rPr>
      <w:t>陕西华兴工程咨询有限公司</w: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4533" w:leftChars="0" w:hanging="4533" w:hangingChars="2667"/>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899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79" name="文本框 17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9"/>
                          </w:pPr>
                          <w:r>
                            <w:fldChar w:fldCharType="begin"/>
                          </w:r>
                          <w:r>
                            <w:instrText xml:space="preserve"> PAGE  \* MERGEFORMAT </w:instrText>
                          </w:r>
                          <w:r>
                            <w:fldChar w:fldCharType="separate"/>
                          </w:r>
                          <w:r>
                            <w:t>- 46 -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99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BWVCBFNAIAAGUEAAAOAAAAAAAAAAEAIAAAAB8BAABkcnMvZTJvRG9jLnhtbFBL&#10;BQYAAAAABgAGAFkBAADFBQAAAAA=&#10;">
              <v:fill on="f" focussize="0,0"/>
              <v:stroke on="f" weight="0.5pt"/>
              <v:imagedata o:title=""/>
              <o:lock v:ext="edit" aspectratio="f"/>
              <v:textbox inset="0mm,0mm,0mm,0mm" style="mso-fit-shape-to-text:t;">
                <w:txbxContent>
                  <w:p>
                    <w:pPr>
                      <w:pStyle w:val="19"/>
                    </w:pPr>
                    <w:r>
                      <w:fldChar w:fldCharType="begin"/>
                    </w:r>
                    <w:r>
                      <w:instrText xml:space="preserve"> PAGE  \* MERGEFORMAT </w:instrText>
                    </w:r>
                    <w:r>
                      <w:fldChar w:fldCharType="separate"/>
                    </w:r>
                    <w:r>
                      <w:t>- 46 -</w:t>
                    </w:r>
                    <w:r>
                      <w:fldChar w:fldCharType="end"/>
                    </w:r>
                  </w:p>
                </w:txbxContent>
              </v:textbox>
            </v:shape>
          </w:pict>
        </mc:Fallback>
      </mc:AlternateContent>
    </w:r>
    <w:r>
      <w:rPr>
        <w:rFonts w:hint="eastAsia" w:eastAsia="宋体" w:cs="Times New Roman"/>
        <w:sz w:val="17"/>
        <w:szCs w:val="17"/>
        <w:lang w:eastAsia="zh-CN"/>
      </w:rPr>
      <w:t>陕西华兴工程咨询有限公司</w: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jc w:val="both"/>
      <w:rPr>
        <w:rFonts w:hint="eastAsia" w:eastAsia="宋体"/>
        <w:u w:val="single"/>
        <w:lang w:eastAsia="zh-CN"/>
      </w:rPr>
    </w:pPr>
    <w:r>
      <w:rPr>
        <w:sz w:val="18"/>
      </w:rPr>
      <mc:AlternateContent>
        <mc:Choice Requires="wps">
          <w:drawing>
            <wp:anchor distT="0" distB="0" distL="114300" distR="114300" simplePos="0" relativeHeight="2516848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73" name="文本框 17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9"/>
                          </w:pPr>
                          <w:r>
                            <w:fldChar w:fldCharType="begin"/>
                          </w:r>
                          <w:r>
                            <w:instrText xml:space="preserve"> PAGE  \* MERGEFORMAT </w:instrText>
                          </w:r>
                          <w:r>
                            <w:fldChar w:fldCharType="separate"/>
                          </w:r>
                          <w:r>
                            <w:t>- 48 -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48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cv5g0AgAAZQQAAA4AAABkcnMvZTJvRG9jLnhtbK1UzY7TMBC+I/EO&#10;lu80aVcs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Af3L+YNAIAAGUEAAAOAAAAAAAAAAEAIAAAAB8BAABkcnMvZTJvRG9jLnhtbFBL&#10;BQYAAAAABgAGAFkBAADFBQAAAAA=&#10;">
              <v:fill on="f" focussize="0,0"/>
              <v:stroke on="f" weight="0.5pt"/>
              <v:imagedata o:title=""/>
              <o:lock v:ext="edit" aspectratio="f"/>
              <v:textbox inset="0mm,0mm,0mm,0mm" style="mso-fit-shape-to-text:t;">
                <w:txbxContent>
                  <w:p>
                    <w:pPr>
                      <w:pStyle w:val="19"/>
                    </w:pPr>
                    <w:r>
                      <w:fldChar w:fldCharType="begin"/>
                    </w:r>
                    <w:r>
                      <w:instrText xml:space="preserve"> PAGE  \* MERGEFORMAT </w:instrText>
                    </w:r>
                    <w:r>
                      <w:fldChar w:fldCharType="separate"/>
                    </w:r>
                    <w:r>
                      <w:t>- 48 -</w:t>
                    </w:r>
                    <w:r>
                      <w:fldChar w:fldCharType="end"/>
                    </w:r>
                  </w:p>
                </w:txbxContent>
              </v:textbox>
            </v:shape>
          </w:pict>
        </mc:Fallback>
      </mc:AlternateContent>
    </w:r>
    <w:r>
      <w:rPr>
        <w:rFonts w:hint="eastAsia"/>
        <w:sz w:val="18"/>
        <w:lang w:eastAsia="zh-CN"/>
      </w:rPr>
      <w:t>陕西华兴工程咨询有限公司</w: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jc w:val="both"/>
      <w:rPr>
        <w:rFonts w:hint="eastAsia" w:eastAsia="宋体"/>
        <w:u w:val="single"/>
        <w:lang w:eastAsia="zh-CN"/>
      </w:rPr>
    </w:pPr>
    <w:r>
      <w:rPr>
        <w:sz w:val="18"/>
      </w:rPr>
      <mc:AlternateContent>
        <mc:Choice Requires="wps">
          <w:drawing>
            <wp:anchor distT="0" distB="0" distL="114300" distR="114300" simplePos="0" relativeHeight="2516858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74" name="文本框 17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9"/>
                          </w:pPr>
                          <w:r>
                            <w:fldChar w:fldCharType="begin"/>
                          </w:r>
                          <w:r>
                            <w:instrText xml:space="preserve"> PAGE  \* MERGEFORMAT </w:instrText>
                          </w:r>
                          <w:r>
                            <w:fldChar w:fldCharType="separate"/>
                          </w:r>
                          <w:r>
                            <w:t>- 74 -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58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CM5YT5NAIAAGUEAAAOAAAAAAAAAAEAIAAAAB8BAABkcnMvZTJvRG9jLnhtbFBL&#10;BQYAAAAABgAGAFkBAADFBQAAAAA=&#10;">
              <v:fill on="f" focussize="0,0"/>
              <v:stroke on="f" weight="0.5pt"/>
              <v:imagedata o:title=""/>
              <o:lock v:ext="edit" aspectratio="f"/>
              <v:textbox inset="0mm,0mm,0mm,0mm" style="mso-fit-shape-to-text:t;">
                <w:txbxContent>
                  <w:p>
                    <w:pPr>
                      <w:pStyle w:val="19"/>
                    </w:pPr>
                    <w:r>
                      <w:fldChar w:fldCharType="begin"/>
                    </w:r>
                    <w:r>
                      <w:instrText xml:space="preserve"> PAGE  \* MERGEFORMAT </w:instrText>
                    </w:r>
                    <w:r>
                      <w:fldChar w:fldCharType="separate"/>
                    </w:r>
                    <w:r>
                      <w:t>- 74 -</w:t>
                    </w:r>
                    <w:r>
                      <w:fldChar w:fldCharType="end"/>
                    </w:r>
                  </w:p>
                </w:txbxContent>
              </v:textbox>
            </v:shape>
          </w:pict>
        </mc:Fallback>
      </mc:AlternateContent>
    </w:r>
    <w:r>
      <w:rPr>
        <w:rFonts w:hint="eastAsia"/>
        <w:sz w:val="18"/>
        <w:lang w:eastAsia="zh-CN"/>
      </w:rPr>
      <w:t>陕西华兴工程咨询有限公司</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framePr w:wrap="around" w:vAnchor="text" w:hAnchor="margin" w:xAlign="center" w:y="1"/>
      <w:rPr>
        <w:rStyle w:val="32"/>
      </w:rPr>
    </w:pPr>
    <w:r>
      <w:fldChar w:fldCharType="begin"/>
    </w:r>
    <w:r>
      <w:rPr>
        <w:rStyle w:val="32"/>
      </w:rPr>
      <w:instrText xml:space="preserve">PAGE  </w:instrText>
    </w:r>
    <w:r>
      <w:fldChar w:fldCharType="end"/>
    </w:r>
  </w:p>
  <w:p>
    <w:pPr>
      <w:pStyle w:val="19"/>
    </w:pP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jc w:val="both"/>
      <w:rPr>
        <w:rFonts w:hint="eastAsia" w:eastAsia="宋体"/>
        <w:u w:val="single"/>
        <w:lang w:eastAsia="zh-CN"/>
      </w:rPr>
    </w:pPr>
    <w:r>
      <w:rPr>
        <w:rFonts w:hint="eastAsia"/>
        <w:sz w:val="18"/>
        <w:lang w:eastAsia="zh-CN"/>
      </w:rPr>
      <w:t>陕西华兴工程咨询有限公司</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Pr>
    <w:r>
      <w:rPr>
        <w:sz w:val="18"/>
      </w:rPr>
      <mc:AlternateContent>
        <mc:Choice Requires="wps">
          <w:drawing>
            <wp:anchor distT="0" distB="0" distL="114300" distR="114300" simplePos="0" relativeHeight="251678720" behindDoc="0" locked="0" layoutInCell="1" allowOverlap="1">
              <wp:simplePos x="0" y="0"/>
              <wp:positionH relativeFrom="margin">
                <wp:align>center</wp:align>
              </wp:positionH>
              <wp:positionV relativeFrom="paragraph">
                <wp:posOffset>0</wp:posOffset>
              </wp:positionV>
              <wp:extent cx="1828800" cy="1828800"/>
              <wp:effectExtent l="0" t="0" r="0" b="0"/>
              <wp:wrapNone/>
              <wp:docPr id="163" name="文本框 16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9"/>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872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HP6Q0IzAgAAZQQAAA4AAAAAAAAAAQAgAAAAHwEAAGRycy9lMm9Eb2MueG1sUEsF&#10;BgAAAAAGAAYAWQEAAMQFAAAAAA==&#10;">
              <v:fill on="f" focussize="0,0"/>
              <v:stroke on="f" weight="0.5pt"/>
              <v:imagedata o:title=""/>
              <o:lock v:ext="edit" aspectratio="f"/>
              <v:textbox inset="0mm,0mm,0mm,0mm" style="mso-fit-shape-to-text:t;">
                <w:txbxContent>
                  <w:p>
                    <w:pPr>
                      <w:pStyle w:val="19"/>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jc w:val="both"/>
      <w:rPr>
        <w:rFonts w:hint="eastAsia" w:eastAsia="宋体"/>
        <w:u w:val="single"/>
        <w:lang w:eastAsia="zh-CN"/>
      </w:rPr>
    </w:pPr>
    <w:r>
      <w:rPr>
        <w:sz w:val="18"/>
      </w:rPr>
      <mc:AlternateContent>
        <mc:Choice Requires="wps">
          <w:drawing>
            <wp:anchor distT="0" distB="0" distL="114300" distR="114300" simplePos="0" relativeHeight="251679744" behindDoc="0" locked="0" layoutInCell="1" allowOverlap="1">
              <wp:simplePos x="0" y="0"/>
              <wp:positionH relativeFrom="margin">
                <wp:align>center</wp:align>
              </wp:positionH>
              <wp:positionV relativeFrom="paragraph">
                <wp:posOffset>0</wp:posOffset>
              </wp:positionV>
              <wp:extent cx="1828800" cy="1828800"/>
              <wp:effectExtent l="0" t="0" r="0" b="0"/>
              <wp:wrapNone/>
              <wp:docPr id="164" name="文本框 16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9"/>
                          </w:pPr>
                          <w:r>
                            <w:fldChar w:fldCharType="begin"/>
                          </w:r>
                          <w:r>
                            <w:instrText xml:space="preserve"> PAGE  \* MERGEFORMAT </w:instrText>
                          </w:r>
                          <w:r>
                            <w:fldChar w:fldCharType="separate"/>
                          </w:r>
                          <w:r>
                            <w:t>- 35 -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974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ODDeCMzAgAAZQQAAA4AAAAAAAAAAQAgAAAAHwEAAGRycy9lMm9Eb2MueG1sUEsF&#10;BgAAAAAGAAYAWQEAAMQFAAAAAA==&#10;">
              <v:fill on="f" focussize="0,0"/>
              <v:stroke on="f" weight="0.5pt"/>
              <v:imagedata o:title=""/>
              <o:lock v:ext="edit" aspectratio="f"/>
              <v:textbox inset="0mm,0mm,0mm,0mm" style="mso-fit-shape-to-text:t;">
                <w:txbxContent>
                  <w:p>
                    <w:pPr>
                      <w:pStyle w:val="19"/>
                    </w:pPr>
                    <w:r>
                      <w:fldChar w:fldCharType="begin"/>
                    </w:r>
                    <w:r>
                      <w:instrText xml:space="preserve"> PAGE  \* MERGEFORMAT </w:instrText>
                    </w:r>
                    <w:r>
                      <w:fldChar w:fldCharType="separate"/>
                    </w:r>
                    <w:r>
                      <w:t>- 35 -</w:t>
                    </w:r>
                    <w:r>
                      <w:fldChar w:fldCharType="end"/>
                    </w:r>
                  </w:p>
                </w:txbxContent>
              </v:textbox>
            </v:shape>
          </w:pict>
        </mc:Fallback>
      </mc:AlternateContent>
    </w:r>
    <w:r>
      <w:rPr>
        <w:rFonts w:hint="eastAsia" w:ascii="宋体" w:hAnsi="宋体" w:eastAsia="宋体" w:cs="宋体"/>
        <w:lang w:eastAsia="zh-CN"/>
      </w:rPr>
      <w:t>陕西华兴工程咨询有限公司</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jc w:val="both"/>
      <w:rPr>
        <w:rFonts w:hint="eastAsia" w:eastAsia="宋体"/>
        <w:u w:val="single"/>
        <w:lang w:eastAsia="zh-CN"/>
      </w:rPr>
    </w:pPr>
    <w:r>
      <w:rPr>
        <w:sz w:val="18"/>
      </w:rPr>
      <mc:AlternateContent>
        <mc:Choice Requires="wps">
          <w:drawing>
            <wp:anchor distT="0" distB="0" distL="114300" distR="114300" simplePos="0" relativeHeight="251680768" behindDoc="0" locked="0" layoutInCell="1" allowOverlap="1">
              <wp:simplePos x="0" y="0"/>
              <wp:positionH relativeFrom="margin">
                <wp:align>center</wp:align>
              </wp:positionH>
              <wp:positionV relativeFrom="paragraph">
                <wp:posOffset>0</wp:posOffset>
              </wp:positionV>
              <wp:extent cx="1828800" cy="1828800"/>
              <wp:effectExtent l="0" t="0" r="0" b="0"/>
              <wp:wrapNone/>
              <wp:docPr id="165" name="文本框 16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9"/>
                          </w:pPr>
                          <w:r>
                            <w:fldChar w:fldCharType="begin"/>
                          </w:r>
                          <w:r>
                            <w:instrText xml:space="preserve"> PAGE  \* MERGEFORMAT </w:instrText>
                          </w:r>
                          <w:r>
                            <w:fldChar w:fldCharType="separate"/>
                          </w:r>
                          <w:r>
                            <w:t>- 46 -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076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t/5r8zAgAAZQQAAA4AAAAAAAAAAQAgAAAAHwEAAGRycy9lMm9Eb2MueG1sUEsF&#10;BgAAAAAGAAYAWQEAAMQFAAAAAA==&#10;">
              <v:fill on="f" focussize="0,0"/>
              <v:stroke on="f" weight="0.5pt"/>
              <v:imagedata o:title=""/>
              <o:lock v:ext="edit" aspectratio="f"/>
              <v:textbox inset="0mm,0mm,0mm,0mm" style="mso-fit-shape-to-text:t;">
                <w:txbxContent>
                  <w:p>
                    <w:pPr>
                      <w:pStyle w:val="19"/>
                    </w:pPr>
                    <w:r>
                      <w:fldChar w:fldCharType="begin"/>
                    </w:r>
                    <w:r>
                      <w:instrText xml:space="preserve"> PAGE  \* MERGEFORMAT </w:instrText>
                    </w:r>
                    <w:r>
                      <w:fldChar w:fldCharType="separate"/>
                    </w:r>
                    <w:r>
                      <w:t>- 46 -</w:t>
                    </w:r>
                    <w:r>
                      <w:fldChar w:fldCharType="end"/>
                    </w:r>
                  </w:p>
                </w:txbxContent>
              </v:textbox>
            </v:shape>
          </w:pict>
        </mc:Fallback>
      </mc:AlternateContent>
    </w:r>
    <w:r>
      <w:rPr>
        <w:rFonts w:hint="eastAsia" w:ascii="宋体" w:hAnsi="宋体" w:eastAsia="宋体" w:cs="宋体"/>
        <w:lang w:eastAsia="zh-CN"/>
      </w:rPr>
      <w:t>陕西华兴工程咨询有限公司</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jc w:val="both"/>
      <w:rPr>
        <w:rFonts w:hint="eastAsia" w:eastAsia="宋体"/>
        <w:u w:val="single"/>
        <w:lang w:eastAsia="zh-CN"/>
      </w:rPr>
    </w:pPr>
    <w:r>
      <w:rPr>
        <w:sz w:val="18"/>
      </w:rPr>
      <mc:AlternateContent>
        <mc:Choice Requires="wps">
          <w:drawing>
            <wp:anchor distT="0" distB="0" distL="114300" distR="114300" simplePos="0" relativeHeight="2516869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76" name="文本框 17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9"/>
                          </w:pPr>
                          <w:r>
                            <w:fldChar w:fldCharType="begin"/>
                          </w:r>
                          <w:r>
                            <w:instrText xml:space="preserve"> PAGE  \* MERGEFORMAT </w:instrText>
                          </w:r>
                          <w:r>
                            <w:fldChar w:fldCharType="separate"/>
                          </w:r>
                          <w:r>
                            <w:t>- 46 -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69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BubyBszAgAAZQQAAA4AAAAAAAAAAQAgAAAAHwEAAGRycy9lMm9Eb2MueG1sUEsF&#10;BgAAAAAGAAYAWQEAAMQFAAAAAA==&#10;">
              <v:fill on="f" focussize="0,0"/>
              <v:stroke on="f" weight="0.5pt"/>
              <v:imagedata o:title=""/>
              <o:lock v:ext="edit" aspectratio="f"/>
              <v:textbox inset="0mm,0mm,0mm,0mm" style="mso-fit-shape-to-text:t;">
                <w:txbxContent>
                  <w:p>
                    <w:pPr>
                      <w:pStyle w:val="19"/>
                    </w:pPr>
                    <w:r>
                      <w:fldChar w:fldCharType="begin"/>
                    </w:r>
                    <w:r>
                      <w:instrText xml:space="preserve"> PAGE  \* MERGEFORMAT </w:instrText>
                    </w:r>
                    <w:r>
                      <w:fldChar w:fldCharType="separate"/>
                    </w:r>
                    <w:r>
                      <w:t>- 46 -</w:t>
                    </w:r>
                    <w:r>
                      <w:fldChar w:fldCharType="end"/>
                    </w:r>
                  </w:p>
                </w:txbxContent>
              </v:textbox>
            </v:shape>
          </w:pict>
        </mc:Fallback>
      </mc:AlternateContent>
    </w:r>
    <w:r>
      <w:rPr>
        <w:rFonts w:hint="eastAsia" w:ascii="宋体" w:hAnsi="宋体" w:eastAsia="宋体" w:cs="宋体"/>
        <w:lang w:eastAsia="zh-CN"/>
      </w:rPr>
      <w:t>陕西华兴工程咨询有限公司</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jc w:val="left"/>
      <w:rPr>
        <w:rFonts w:hint="eastAsia" w:ascii="Times New Roman" w:hAnsi="Times New Roman" w:eastAsia="宋体" w:cs="Times New Roman"/>
        <w:sz w:val="17"/>
        <w:szCs w:val="17"/>
        <w:lang w:eastAsia="zh-CN"/>
      </w:rPr>
    </w:pPr>
    <w:r>
      <w:rPr>
        <w:sz w:val="17"/>
      </w:rPr>
      <mc:AlternateContent>
        <mc:Choice Requires="wps">
          <w:drawing>
            <wp:anchor distT="0" distB="0" distL="114300" distR="114300" simplePos="0" relativeHeight="251681792" behindDoc="0" locked="0" layoutInCell="1" allowOverlap="1">
              <wp:simplePos x="0" y="0"/>
              <wp:positionH relativeFrom="margin">
                <wp:align>center</wp:align>
              </wp:positionH>
              <wp:positionV relativeFrom="paragraph">
                <wp:posOffset>0</wp:posOffset>
              </wp:positionV>
              <wp:extent cx="1828800" cy="1828800"/>
              <wp:effectExtent l="0" t="0" r="0" b="0"/>
              <wp:wrapNone/>
              <wp:docPr id="166" name="文本框 16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9"/>
                          </w:pPr>
                          <w:r>
                            <w:fldChar w:fldCharType="begin"/>
                          </w:r>
                          <w:r>
                            <w:instrText xml:space="preserve"> PAGE  \* MERGEFORMAT </w:instrText>
                          </w:r>
                          <w:r>
                            <w:fldChar w:fldCharType="separate"/>
                          </w:r>
                          <w:r>
                            <w:t>- 46 -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179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e9NMEzAgAAZ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He9NMEzAgAAZQQAAA4AAAAAAAAAAQAgAAAAHwEAAGRycy9lMm9Eb2MueG1sUEsF&#10;BgAAAAAGAAYAWQEAAMQFAAAAAA==&#10;">
              <v:fill on="f" focussize="0,0"/>
              <v:stroke on="f" weight="0.5pt"/>
              <v:imagedata o:title=""/>
              <o:lock v:ext="edit" aspectratio="f"/>
              <v:textbox inset="0mm,0mm,0mm,0mm" style="mso-fit-shape-to-text:t;">
                <w:txbxContent>
                  <w:p>
                    <w:pPr>
                      <w:pStyle w:val="19"/>
                    </w:pPr>
                    <w:r>
                      <w:fldChar w:fldCharType="begin"/>
                    </w:r>
                    <w:r>
                      <w:instrText xml:space="preserve"> PAGE  \* MERGEFORMAT </w:instrText>
                    </w:r>
                    <w:r>
                      <w:fldChar w:fldCharType="separate"/>
                    </w:r>
                    <w:r>
                      <w:t>- 46 -</w:t>
                    </w:r>
                    <w:r>
                      <w:fldChar w:fldCharType="end"/>
                    </w:r>
                  </w:p>
                </w:txbxContent>
              </v:textbox>
            </v:shape>
          </w:pict>
        </mc:Fallback>
      </mc:AlternateContent>
    </w:r>
    <w:r>
      <w:rPr>
        <w:rFonts w:hint="eastAsia" w:ascii="Times New Roman" w:hAnsi="Times New Roman" w:eastAsia="宋体" w:cs="Times New Roman"/>
        <w:sz w:val="17"/>
        <w:szCs w:val="17"/>
        <w:lang w:eastAsia="zh-CN"/>
      </w:rPr>
      <w:t>陕西华兴工程咨询有限公司</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jc w:val="left"/>
      <w:rPr>
        <w:rFonts w:hint="eastAsia" w:ascii="Times New Roman" w:hAnsi="Times New Roman" w:eastAsia="宋体" w:cs="Times New Roman"/>
        <w:sz w:val="17"/>
        <w:szCs w:val="17"/>
        <w:lang w:eastAsia="zh-CN"/>
      </w:rPr>
    </w:pPr>
    <w:r>
      <w:rPr>
        <w:sz w:val="17"/>
      </w:rPr>
      <mc:AlternateContent>
        <mc:Choice Requires="wps">
          <w:drawing>
            <wp:anchor distT="0" distB="0" distL="114300" distR="114300" simplePos="0" relativeHeight="2516879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77" name="文本框 17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9"/>
                          </w:pPr>
                          <w:r>
                            <w:fldChar w:fldCharType="begin"/>
                          </w:r>
                          <w:r>
                            <w:instrText xml:space="preserve"> PAGE  \* MERGEFORMAT </w:instrText>
                          </w:r>
                          <w:r>
                            <w:fldChar w:fldCharType="separate"/>
                          </w:r>
                          <w:r>
                            <w:t>- 46 -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79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AnVoc0AgAAZ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BwJ1aHNAIAAGUEAAAOAAAAAAAAAAEAIAAAAB8BAABkcnMvZTJvRG9jLnhtbFBL&#10;BQYAAAAABgAGAFkBAADFBQAAAAA=&#10;">
              <v:fill on="f" focussize="0,0"/>
              <v:stroke on="f" weight="0.5pt"/>
              <v:imagedata o:title=""/>
              <o:lock v:ext="edit" aspectratio="f"/>
              <v:textbox inset="0mm,0mm,0mm,0mm" style="mso-fit-shape-to-text:t;">
                <w:txbxContent>
                  <w:p>
                    <w:pPr>
                      <w:pStyle w:val="19"/>
                    </w:pPr>
                    <w:r>
                      <w:fldChar w:fldCharType="begin"/>
                    </w:r>
                    <w:r>
                      <w:instrText xml:space="preserve"> PAGE  \* MERGEFORMAT </w:instrText>
                    </w:r>
                    <w:r>
                      <w:fldChar w:fldCharType="separate"/>
                    </w:r>
                    <w:r>
                      <w:t>- 46 -</w:t>
                    </w:r>
                    <w:r>
                      <w:fldChar w:fldCharType="end"/>
                    </w:r>
                  </w:p>
                </w:txbxContent>
              </v:textbox>
            </v:shape>
          </w:pict>
        </mc:Fallback>
      </mc:AlternateContent>
    </w:r>
    <w:r>
      <w:rPr>
        <w:rFonts w:hint="eastAsia" w:ascii="Times New Roman" w:hAnsi="Times New Roman" w:eastAsia="宋体" w:cs="Times New Roman"/>
        <w:sz w:val="17"/>
        <w:szCs w:val="17"/>
        <w:lang w:eastAsia="zh-CN"/>
      </w:rPr>
      <w:t>陕西华兴工程咨询有限公司</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jc w:val="left"/>
      <w:rPr>
        <w:rFonts w:hint="eastAsia" w:ascii="Times New Roman" w:hAnsi="Times New Roman" w:eastAsia="宋体" w:cs="Times New Roman"/>
        <w:sz w:val="17"/>
        <w:szCs w:val="17"/>
        <w:lang w:eastAsia="zh-CN"/>
      </w:rPr>
    </w:pPr>
    <w:r>
      <w:rPr>
        <w:sz w:val="17"/>
      </w:rPr>
      <mc:AlternateContent>
        <mc:Choice Requires="wps">
          <w:drawing>
            <wp:anchor distT="0" distB="0" distL="114300" distR="114300" simplePos="0" relativeHeight="2516889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78" name="文本框 17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9"/>
                          </w:pPr>
                          <w:r>
                            <w:fldChar w:fldCharType="begin"/>
                          </w:r>
                          <w:r>
                            <w:instrText xml:space="preserve"> PAGE  \* MERGEFORMAT </w:instrText>
                          </w:r>
                          <w:r>
                            <w:fldChar w:fldCharType="separate"/>
                          </w:r>
                          <w:r>
                            <w:t>- 46 -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89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3ovtkzAgAAZQ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D3ovtkzAgAAZQQAAA4AAAAAAAAAAQAgAAAAHwEAAGRycy9lMm9Eb2MueG1sUEsF&#10;BgAAAAAGAAYAWQEAAMQFAAAAAA==&#10;">
              <v:fill on="f" focussize="0,0"/>
              <v:stroke on="f" weight="0.5pt"/>
              <v:imagedata o:title=""/>
              <o:lock v:ext="edit" aspectratio="f"/>
              <v:textbox inset="0mm,0mm,0mm,0mm" style="mso-fit-shape-to-text:t;">
                <w:txbxContent>
                  <w:p>
                    <w:pPr>
                      <w:pStyle w:val="19"/>
                    </w:pPr>
                    <w:r>
                      <w:fldChar w:fldCharType="begin"/>
                    </w:r>
                    <w:r>
                      <w:instrText xml:space="preserve"> PAGE  \* MERGEFORMAT </w:instrText>
                    </w:r>
                    <w:r>
                      <w:fldChar w:fldCharType="separate"/>
                    </w:r>
                    <w:r>
                      <w:t>- 46 -</w:t>
                    </w:r>
                    <w:r>
                      <w:fldChar w:fldCharType="end"/>
                    </w:r>
                  </w:p>
                </w:txbxContent>
              </v:textbox>
            </v:shape>
          </w:pict>
        </mc:Fallback>
      </mc:AlternateContent>
    </w:r>
    <w:r>
      <w:rPr>
        <w:rFonts w:hint="eastAsia" w:ascii="Times New Roman" w:hAnsi="Times New Roman" w:eastAsia="宋体" w:cs="Times New Roman"/>
        <w:sz w:val="17"/>
        <w:szCs w:val="17"/>
        <w:lang w:eastAsia="zh-CN"/>
      </w:rPr>
      <w:t>陕西华兴工程咨询有限公司</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Bdr>
        <w:top w:val="none" w:color="auto" w:sz="0" w:space="0"/>
        <w:left w:val="none" w:color="auto" w:sz="0" w:space="0"/>
        <w:right w:val="none" w:color="auto" w:sz="0" w:space="0"/>
      </w:pBdr>
    </w:pPr>
    <w:r>
      <w:rPr>
        <w:rFonts w:hint="eastAsia"/>
        <w:sz w:val="18"/>
        <w:szCs w:val="22"/>
        <w:u w:val="single"/>
        <w:lang w:val="en-US" w:eastAsia="zh-CN"/>
      </w:rPr>
      <w:t>汉中市南郑区“四改一拆一通一落地”-汉山街道办高庄村背街小巷硬化工程                                   .</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Bdr>
        <w:top w:val="none" w:color="auto" w:sz="0" w:space="0"/>
        <w:left w:val="none" w:color="auto" w:sz="0" w:space="0"/>
        <w:right w:val="none" w:color="auto" w:sz="0" w:space="0"/>
      </w:pBdr>
      <w:rPr>
        <w:rFonts w:hint="eastAsia" w:eastAsia="宋体"/>
        <w:lang w:eastAsia="zh-CN"/>
      </w:rPr>
    </w:pPr>
    <w:r>
      <w:rPr>
        <w:rFonts w:hint="eastAsia"/>
        <w:sz w:val="18"/>
        <w:szCs w:val="22"/>
        <w:u w:val="single"/>
        <w:lang w:val="en-US" w:eastAsia="zh-CN"/>
      </w:rPr>
      <w:t>汉中市南郑区“四改一拆一通一落地”-汉山街道办高庄村背街小巷硬化工程                                    .</w:t>
    </w:r>
    <w:r>
      <w:rPr>
        <w:sz w:val="18"/>
      </w:rPr>
      <w:pict>
        <v:shape id="_x0000_s2052" o:spid="_x0000_s2052" o:spt="136" type="#_x0000_t136" style="position:absolute;left:0pt;height:105.85pt;width:481.4pt;mso-position-horizontal:center;mso-position-horizontal-relative:margin;mso-position-vertical:center;mso-position-vertical-relative:margin;rotation:-2949120f;z-index:-251648000;mso-width-relative:page;mso-height-relative:page;" fillcolor="#C0C0C0" filled="t" stroked="f" coordsize="21600,21600" adj="10800">
          <v:path/>
          <v:fill on="t" opacity="17039f" focussize="0,0"/>
          <v:stroke on="f"/>
          <v:imagedata o:title=""/>
          <o:lock v:ext="edit" aspectratio="t"/>
          <v:textpath on="t" fitshape="t" fitpath="t" trim="t" xscale="f" string="陕西华兴咨询" style="font-family:微软雅黑;font-size:36pt;v-same-letter-heights:f;v-text-align:center;"/>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Pr>
    <w:r>
      <w:rPr>
        <w:sz w:val="18"/>
      </w:rPr>
      <w:pict>
        <v:shape id="_x0000_s2050" o:spid="_x0000_s2050" o:spt="136" type="#_x0000_t136" style="position:absolute;left:0pt;height:105.85pt;width:481.4pt;mso-position-horizontal:center;mso-position-horizontal-relative:margin;mso-position-vertical:center;mso-position-vertical-relative:margin;rotation:-2949120f;z-index:-251651072;mso-width-relative:page;mso-height-relative:page;" fillcolor="#C0C0C0" filled="t" stroked="f" coordsize="21600,21600" adj="10800">
          <v:path/>
          <v:fill on="t" opacity="17039f" focussize="0,0"/>
          <v:stroke on="f"/>
          <v:imagedata o:title=""/>
          <o:lock v:ext="edit" aspectratio="t"/>
          <v:textpath on="t" fitshape="t" fitpath="t" trim="t" xscale="f" string="陕西华兴咨询" style="font-family:微软雅黑;font-size:36pt;v-same-letter-heights:f;v-text-align:center;"/>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Bdr>
        <w:top w:val="none" w:color="auto" w:sz="0" w:space="0"/>
        <w:left w:val="none" w:color="auto" w:sz="0" w:space="0"/>
        <w:right w:val="none" w:color="auto" w:sz="0" w:space="0"/>
      </w:pBdr>
      <w:rPr>
        <w:rFonts w:hint="eastAsia" w:eastAsia="宋体"/>
        <w:lang w:eastAsia="zh-CN"/>
      </w:rPr>
    </w:pPr>
    <w:r>
      <w:rPr>
        <w:rFonts w:hint="eastAsia"/>
        <w:sz w:val="18"/>
        <w:szCs w:val="22"/>
        <w:u w:val="single"/>
        <w:lang w:val="en-US" w:eastAsia="zh-CN"/>
      </w:rPr>
      <w:t>汉中市南郑区“四改一拆一通一落地”-汉山街道办高庄村背街小巷硬化工程                                   .</w:t>
    </w:r>
    <w:r>
      <w:rPr>
        <w:sz w:val="18"/>
      </w:rPr>
      <w:pict>
        <v:shape id="_x0000_s2051" o:spid="_x0000_s2051" o:spt="136" type="#_x0000_t136" style="position:absolute;left:0pt;height:105.85pt;width:481.4pt;mso-position-horizontal:center;mso-position-horizontal-relative:margin;mso-position-vertical:center;mso-position-vertical-relative:margin;rotation:-2949120f;z-index:-251650048;mso-width-relative:page;mso-height-relative:page;" fillcolor="#C0C0C0" filled="t" stroked="f" coordsize="21600,21600" adj="10800">
          <v:path/>
          <v:fill on="t" opacity="17039f" focussize="0,0"/>
          <v:stroke on="f"/>
          <v:imagedata o:title=""/>
          <o:lock v:ext="edit" aspectratio="t"/>
          <v:textpath on="t" fitshape="t" fitpath="t" trim="t" xscale="f" string="陕西华兴咨询" style="font-family:微软雅黑;font-size:36pt;v-same-letter-heights:f;v-text-align:center;"/>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30" w:lineRule="auto"/>
      <w:ind w:right="154"/>
      <w:jc w:val="left"/>
      <w:rPr>
        <w:rFonts w:hint="default" w:ascii="宋体" w:hAnsi="宋体" w:eastAsia="宋体" w:cs="宋体"/>
        <w:sz w:val="17"/>
        <w:szCs w:val="17"/>
        <w:u w:val="none"/>
        <w:lang w:val="en-US"/>
      </w:rPr>
    </w:pPr>
    <w:r>
      <w:rPr>
        <w:u w:val="none"/>
      </w:rPr>
      <mc:AlternateContent>
        <mc:Choice Requires="wps">
          <w:drawing>
            <wp:anchor distT="0" distB="0" distL="114300" distR="114300" simplePos="0" relativeHeight="251673600" behindDoc="0" locked="0" layoutInCell="0" allowOverlap="1">
              <wp:simplePos x="0" y="0"/>
              <wp:positionH relativeFrom="page">
                <wp:posOffset>972185</wp:posOffset>
              </wp:positionH>
              <wp:positionV relativeFrom="page">
                <wp:posOffset>701040</wp:posOffset>
              </wp:positionV>
              <wp:extent cx="5600700" cy="9525"/>
              <wp:effectExtent l="0" t="0" r="0" b="0"/>
              <wp:wrapNone/>
              <wp:docPr id="6" name="任意多边形 6"/>
              <wp:cNvGraphicFramePr/>
              <a:graphic xmlns:a="http://schemas.openxmlformats.org/drawingml/2006/main">
                <a:graphicData uri="http://schemas.microsoft.com/office/word/2010/wordprocessingShape">
                  <wps:wsp>
                    <wps:cNvSpPr/>
                    <wps:spPr>
                      <a:xfrm>
                        <a:off x="0" y="0"/>
                        <a:ext cx="5600700" cy="9525"/>
                      </a:xfrm>
                      <a:custGeom>
                        <a:avLst/>
                        <a:gdLst/>
                        <a:ahLst/>
                        <a:cxnLst/>
                        <a:pathLst>
                          <a:path w="8820" h="15">
                            <a:moveTo>
                              <a:pt x="0" y="0"/>
                            </a:moveTo>
                            <a:lnTo>
                              <a:pt x="8820" y="0"/>
                            </a:lnTo>
                            <a:lnTo>
                              <a:pt x="8820" y="14"/>
                            </a:lnTo>
                            <a:lnTo>
                              <a:pt x="0" y="14"/>
                            </a:lnTo>
                            <a:lnTo>
                              <a:pt x="0" y="0"/>
                            </a:lnTo>
                            <a:close/>
                          </a:path>
                        </a:pathLst>
                      </a:custGeom>
                      <a:solidFill>
                        <a:srgbClr val="000000"/>
                      </a:solidFill>
                      <a:ln>
                        <a:noFill/>
                      </a:ln>
                    </wps:spPr>
                    <wps:bodyPr upright="1"/>
                  </wps:wsp>
                </a:graphicData>
              </a:graphic>
            </wp:anchor>
          </w:drawing>
        </mc:Choice>
        <mc:Fallback>
          <w:pict>
            <v:shape id="_x0000_s1026" o:spid="_x0000_s1026" o:spt="100" style="position:absolute;left:0pt;margin-left:76.55pt;margin-top:55.2pt;height:0.75pt;width:441pt;mso-position-horizontal-relative:page;mso-position-vertical-relative:page;z-index:251673600;mso-width-relative:page;mso-height-relative:page;" fillcolor="#000000" filled="t" stroked="f" coordsize="8820,15" o:allowincell="f" o:gfxdata="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LTbgqTYAAAADAEAAA8AAAAAAAAA&#10;AQAgAAAAIgAAAGRycy9kb3ducmV2LnhtbFBLAQIUABQAAAAIAIdO4kDiZRLnEQIAAHsEAAAOAAAA&#10;AAAAAAEAIAAAACcBAABkcnMvZTJvRG9jLnhtbFBLBQYAAAAABgAGAFkBAACqBQAAAAA=&#10;" path="m0,0l8820,0,8820,14,0,14,0,0xe">
              <v:fill on="t" focussize="0,0"/>
              <v:stroke on="f"/>
              <v:imagedata o:title=""/>
              <o:lock v:ext="edit" aspectratio="f"/>
            </v:shape>
          </w:pict>
        </mc:Fallback>
      </mc:AlternateContent>
    </w:r>
    <w:r>
      <w:rPr>
        <w:rFonts w:hint="eastAsia"/>
        <w:sz w:val="18"/>
        <w:szCs w:val="22"/>
        <w:u w:val="none"/>
        <w:lang w:val="en-US" w:eastAsia="zh-CN"/>
      </w:rPr>
      <w:t xml:space="preserve">汉中市南郑区“四改一拆一通一落地”-汉山街道办高庄村背街小巷硬化工程  </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30" w:lineRule="auto"/>
      <w:ind w:right="154" w:firstLine="1050" w:firstLineChars="500"/>
      <w:jc w:val="left"/>
      <w:rPr>
        <w:rFonts w:hint="default"/>
        <w:lang w:val="en-US"/>
      </w:rPr>
    </w:pPr>
    <w:r>
      <w:rPr>
        <w:u w:val="none"/>
      </w:rPr>
      <mc:AlternateContent>
        <mc:Choice Requires="wps">
          <w:drawing>
            <wp:anchor distT="0" distB="0" distL="114300" distR="114300" simplePos="0" relativeHeight="251676672" behindDoc="0" locked="0" layoutInCell="0" allowOverlap="1">
              <wp:simplePos x="0" y="0"/>
              <wp:positionH relativeFrom="page">
                <wp:posOffset>972185</wp:posOffset>
              </wp:positionH>
              <wp:positionV relativeFrom="page">
                <wp:posOffset>701040</wp:posOffset>
              </wp:positionV>
              <wp:extent cx="5600700" cy="9525"/>
              <wp:effectExtent l="0" t="0" r="0" b="0"/>
              <wp:wrapNone/>
              <wp:docPr id="161" name="任意多边形 161"/>
              <wp:cNvGraphicFramePr/>
              <a:graphic xmlns:a="http://schemas.openxmlformats.org/drawingml/2006/main">
                <a:graphicData uri="http://schemas.microsoft.com/office/word/2010/wordprocessingShape">
                  <wps:wsp>
                    <wps:cNvSpPr/>
                    <wps:spPr>
                      <a:xfrm>
                        <a:off x="0" y="0"/>
                        <a:ext cx="5600700" cy="9525"/>
                      </a:xfrm>
                      <a:custGeom>
                        <a:avLst/>
                        <a:gdLst/>
                        <a:ahLst/>
                        <a:cxnLst/>
                        <a:pathLst>
                          <a:path w="8820" h="15">
                            <a:moveTo>
                              <a:pt x="0" y="0"/>
                            </a:moveTo>
                            <a:lnTo>
                              <a:pt x="8820" y="0"/>
                            </a:lnTo>
                            <a:lnTo>
                              <a:pt x="8820" y="14"/>
                            </a:lnTo>
                            <a:lnTo>
                              <a:pt x="0" y="14"/>
                            </a:lnTo>
                            <a:lnTo>
                              <a:pt x="0" y="0"/>
                            </a:lnTo>
                            <a:close/>
                          </a:path>
                        </a:pathLst>
                      </a:custGeom>
                      <a:solidFill>
                        <a:srgbClr val="000000"/>
                      </a:solidFill>
                      <a:ln>
                        <a:noFill/>
                      </a:ln>
                    </wps:spPr>
                    <wps:bodyPr upright="1"/>
                  </wps:wsp>
                </a:graphicData>
              </a:graphic>
            </wp:anchor>
          </w:drawing>
        </mc:Choice>
        <mc:Fallback>
          <w:pict>
            <v:shape id="_x0000_s1026" o:spid="_x0000_s1026" o:spt="100" style="position:absolute;left:0pt;margin-left:76.55pt;margin-top:55.2pt;height:0.75pt;width:441pt;mso-position-horizontal-relative:page;mso-position-vertical-relative:page;z-index:251676672;mso-width-relative:page;mso-height-relative:page;" fillcolor="#000000" filled="t" stroked="f" coordsize="8820,15" o:allowincell="f" o:gfxdata="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tNuCpNgAAAAMAQAADwAAAAAA&#10;AAABACAAAAAiAAAAZHJzL2Rvd25yZXYueG1sUEsBAhQAFAAAAAgAh07iQHDPJhITAgAAfwQAAA4A&#10;AAAAAAAAAQAgAAAAJwEAAGRycy9lMm9Eb2MueG1sUEsFBgAAAAAGAAYAWQEAAKwFAAAAAA==&#10;" path="m0,0l8820,0,8820,14,0,14,0,0xe">
              <v:fill on="t" focussize="0,0"/>
              <v:stroke on="f"/>
              <v:imagedata o:title=""/>
              <o:lock v:ext="edit" aspectratio="f"/>
            </v:shape>
          </w:pict>
        </mc:Fallback>
      </mc:AlternateContent>
    </w:r>
    <w:r>
      <w:rPr>
        <w:rFonts w:hint="eastAsia"/>
        <w:sz w:val="18"/>
        <w:szCs w:val="22"/>
        <w:u w:val="none"/>
        <w:lang w:val="en-US" w:eastAsia="zh-CN"/>
      </w:rPr>
      <w:t xml:space="preserve">汉中市南郑区“四改一拆一通一落地”-汉山街道办高庄村背街小巷硬化工程    </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Bdr>
        <w:bottom w:val="single" w:color="auto" w:sz="4" w:space="1"/>
      </w:pBdr>
    </w:pPr>
    <w:r>
      <w:rPr>
        <w:rFonts w:hint="eastAsia"/>
        <w:sz w:val="18"/>
        <w:szCs w:val="22"/>
        <w:u w:val="none"/>
        <w:lang w:val="en-US" w:eastAsia="zh-CN"/>
      </w:rPr>
      <w:t>汉中市南郑区“四改一拆一通一落地”-汉山街道办高庄村背街小巷硬化工程</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rPr>
        <w:rFonts w:hint="default"/>
        <w:u w:val="single"/>
        <w:lang w:val="en-US"/>
      </w:rPr>
    </w:pPr>
    <w:r>
      <w:rPr>
        <w:rFonts w:hint="eastAsia"/>
        <w:sz w:val="18"/>
        <w:szCs w:val="22"/>
        <w:u w:val="single"/>
        <w:lang w:val="en-US" w:eastAsia="zh-CN"/>
      </w:rPr>
      <w:t>汉中市南郑区“四改一拆一通一落地”-汉山街道办高庄村背街小巷硬化工程                                  .</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30" w:lineRule="auto"/>
      <w:ind w:right="204"/>
      <w:jc w:val="left"/>
      <w:rPr>
        <w:rFonts w:ascii="宋体" w:hAnsi="宋体" w:eastAsia="宋体" w:cs="宋体"/>
        <w:sz w:val="17"/>
        <w:szCs w:val="17"/>
      </w:rPr>
    </w:pPr>
    <w:r>
      <mc:AlternateContent>
        <mc:Choice Requires="wps">
          <w:drawing>
            <wp:anchor distT="0" distB="0" distL="114300" distR="114300" simplePos="0" relativeHeight="251675648" behindDoc="0" locked="0" layoutInCell="0" allowOverlap="1">
              <wp:simplePos x="0" y="0"/>
              <wp:positionH relativeFrom="page">
                <wp:posOffset>935990</wp:posOffset>
              </wp:positionH>
              <wp:positionV relativeFrom="page">
                <wp:posOffset>701040</wp:posOffset>
              </wp:positionV>
              <wp:extent cx="5688965" cy="9525"/>
              <wp:effectExtent l="0" t="0" r="0" b="0"/>
              <wp:wrapNone/>
              <wp:docPr id="160" name="任意多边形 160"/>
              <wp:cNvGraphicFramePr/>
              <a:graphic xmlns:a="http://schemas.openxmlformats.org/drawingml/2006/main">
                <a:graphicData uri="http://schemas.microsoft.com/office/word/2010/wordprocessingShape">
                  <wps:wsp>
                    <wps:cNvSpPr/>
                    <wps:spPr>
                      <a:xfrm>
                        <a:off x="0" y="0"/>
                        <a:ext cx="5688965" cy="9525"/>
                      </a:xfrm>
                      <a:custGeom>
                        <a:avLst/>
                        <a:gdLst/>
                        <a:ahLst/>
                        <a:cxnLst/>
                        <a:pathLst>
                          <a:path w="8959" h="15">
                            <a:moveTo>
                              <a:pt x="0" y="0"/>
                            </a:moveTo>
                            <a:lnTo>
                              <a:pt x="8958" y="0"/>
                            </a:lnTo>
                            <a:lnTo>
                              <a:pt x="8958" y="14"/>
                            </a:lnTo>
                            <a:lnTo>
                              <a:pt x="0" y="14"/>
                            </a:lnTo>
                            <a:lnTo>
                              <a:pt x="0" y="0"/>
                            </a:lnTo>
                            <a:close/>
                          </a:path>
                        </a:pathLst>
                      </a:custGeom>
                      <a:solidFill>
                        <a:srgbClr val="000000"/>
                      </a:solidFill>
                      <a:ln>
                        <a:noFill/>
                      </a:ln>
                    </wps:spPr>
                    <wps:bodyPr upright="1"/>
                  </wps:wsp>
                </a:graphicData>
              </a:graphic>
            </wp:anchor>
          </w:drawing>
        </mc:Choice>
        <mc:Fallback>
          <w:pict>
            <v:shape id="_x0000_s1026" o:spid="_x0000_s1026" o:spt="100" style="position:absolute;left:0pt;margin-left:73.7pt;margin-top:55.2pt;height:0.75pt;width:447.95pt;mso-position-horizontal-relative:page;mso-position-vertical-relative:page;z-index:251675648;mso-width-relative:page;mso-height-relative:page;" fillcolor="#000000" filled="t" stroked="f" coordsize="8959,15" o:allowincell="f" o:gfxdata="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fcmLftkAAAAMAQAADwAA&#10;AAAAAAABACAAAAAiAAAAZHJzL2Rvd25yZXYueG1sUEsBAhQAFAAAAAgAh07iQNUnLNUVAgAAfwQA&#10;AA4AAAAAAAAAAQAgAAAAKAEAAGRycy9lMm9Eb2MueG1sUEsFBgAAAAAGAAYAWQEAAK8FAAAAAA==&#10;" path="m0,0l8958,0,8958,14,0,14,0,0xe">
              <v:fill on="t" focussize="0,0"/>
              <v:stroke on="f"/>
              <v:imagedata o:title=""/>
              <o:lock v:ext="edit" aspectratio="f"/>
            </v:shape>
          </w:pict>
        </mc:Fallback>
      </mc:AlternateContent>
    </w:r>
    <w:r>
      <w:rPr>
        <w:rFonts w:hint="eastAsia"/>
        <w:sz w:val="18"/>
        <w:szCs w:val="22"/>
        <w:u w:val="none"/>
        <w:lang w:val="en-US" w:eastAsia="zh-CN"/>
      </w:rPr>
      <w:t>汉中市南郑区“四改一拆一通一落地”-汉山街道办高庄村背街小巷硬化工程</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30" w:lineRule="auto"/>
      <w:ind w:right="452"/>
      <w:jc w:val="left"/>
      <w:rPr>
        <w:rFonts w:ascii="宋体" w:hAnsi="宋体" w:eastAsia="宋体" w:cs="宋体"/>
        <w:sz w:val="17"/>
        <w:szCs w:val="17"/>
      </w:rPr>
    </w:pPr>
    <w:r>
      <mc:AlternateContent>
        <mc:Choice Requires="wps">
          <w:drawing>
            <wp:anchor distT="0" distB="0" distL="114300" distR="114300" simplePos="0" relativeHeight="251674624" behindDoc="0" locked="0" layoutInCell="0" allowOverlap="1">
              <wp:simplePos x="0" y="0"/>
              <wp:positionH relativeFrom="page">
                <wp:posOffset>828040</wp:posOffset>
              </wp:positionH>
              <wp:positionV relativeFrom="page">
                <wp:posOffset>701040</wp:posOffset>
              </wp:positionV>
              <wp:extent cx="5904230" cy="9525"/>
              <wp:effectExtent l="0" t="0" r="0" b="0"/>
              <wp:wrapNone/>
              <wp:docPr id="157" name="任意多边形 157"/>
              <wp:cNvGraphicFramePr/>
              <a:graphic xmlns:a="http://schemas.openxmlformats.org/drawingml/2006/main">
                <a:graphicData uri="http://schemas.microsoft.com/office/word/2010/wordprocessingShape">
                  <wps:wsp>
                    <wps:cNvSpPr/>
                    <wps:spPr>
                      <a:xfrm>
                        <a:off x="0" y="0"/>
                        <a:ext cx="5904230" cy="9525"/>
                      </a:xfrm>
                      <a:custGeom>
                        <a:avLst/>
                        <a:gdLst/>
                        <a:ahLst/>
                        <a:cxnLst/>
                        <a:pathLst>
                          <a:path w="9297" h="15">
                            <a:moveTo>
                              <a:pt x="0" y="0"/>
                            </a:moveTo>
                            <a:lnTo>
                              <a:pt x="9297" y="0"/>
                            </a:lnTo>
                            <a:lnTo>
                              <a:pt x="9297" y="14"/>
                            </a:lnTo>
                            <a:lnTo>
                              <a:pt x="0" y="14"/>
                            </a:lnTo>
                            <a:lnTo>
                              <a:pt x="0" y="0"/>
                            </a:lnTo>
                            <a:close/>
                          </a:path>
                        </a:pathLst>
                      </a:custGeom>
                      <a:solidFill>
                        <a:srgbClr val="000000"/>
                      </a:solidFill>
                      <a:ln>
                        <a:noFill/>
                      </a:ln>
                    </wps:spPr>
                    <wps:bodyPr upright="1"/>
                  </wps:wsp>
                </a:graphicData>
              </a:graphic>
            </wp:anchor>
          </w:drawing>
        </mc:Choice>
        <mc:Fallback>
          <w:pict>
            <v:shape id="_x0000_s1026" o:spid="_x0000_s1026" o:spt="100" style="position:absolute;left:0pt;margin-left:65.2pt;margin-top:55.2pt;height:0.75pt;width:464.9pt;mso-position-horizontal-relative:page;mso-position-vertical-relative:page;z-index:251674624;mso-width-relative:page;mso-height-relative:page;" fillcolor="#000000" filled="t" stroked="f" coordsize="9297,15" o:allowincell="f" o:gfxdata="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CUKAOg1gAAAAwBAAAPAAAAAAAAAAEA&#10;IAAAACIAAABkcnMvZG93bnJldi54bWxQSwECFAAUAAAACACHTuJAV0KTwhECAAB/BAAADgAAAAAA&#10;AAABACAAAAAlAQAAZHJzL2Uyb0RvYy54bWxQSwUGAAAAAAYABgBZAQAAqAUAAAAA&#10;" path="m0,0l9297,0,9297,14,0,14,0,0xe">
              <v:fill on="t" focussize="0,0"/>
              <v:stroke on="f"/>
              <v:imagedata o:title=""/>
              <o:lock v:ext="edit" aspectratio="f"/>
            </v:shape>
          </w:pict>
        </mc:Fallback>
      </mc:AlternateContent>
    </w:r>
    <w:r>
      <w:rPr>
        <w:rFonts w:hint="eastAsia"/>
        <w:sz w:val="18"/>
        <w:szCs w:val="22"/>
        <w:u w:val="none"/>
        <w:lang w:val="en-US" w:eastAsia="zh-CN"/>
      </w:rPr>
      <w:t>汉中市南郑区“四改一拆一通一落地”-汉山街道办高庄村背街小巷硬化工程</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EE82B7F"/>
    <w:multiLevelType w:val="singleLevel"/>
    <w:tmpl w:val="9EE82B7F"/>
    <w:lvl w:ilvl="0" w:tentative="0">
      <w:start w:val="3"/>
      <w:numFmt w:val="chineseCounting"/>
      <w:suff w:val="space"/>
      <w:lvlText w:val="第%1部分"/>
      <w:lvlJc w:val="left"/>
      <w:rPr>
        <w:rFonts w:hint="eastAsia"/>
      </w:rPr>
    </w:lvl>
  </w:abstractNum>
  <w:abstractNum w:abstractNumId="1">
    <w:nsid w:val="D8FC713E"/>
    <w:multiLevelType w:val="singleLevel"/>
    <w:tmpl w:val="D8FC713E"/>
    <w:lvl w:ilvl="0" w:tentative="0">
      <w:start w:val="5"/>
      <w:numFmt w:val="chineseCounting"/>
      <w:suff w:val="nothing"/>
      <w:lvlText w:val="%1、"/>
      <w:lvlJc w:val="left"/>
      <w:rPr>
        <w:rFonts w:hint="eastAsia"/>
      </w:rPr>
    </w:lvl>
  </w:abstractNum>
  <w:abstractNum w:abstractNumId="2">
    <w:nsid w:val="E68AFF0F"/>
    <w:multiLevelType w:val="singleLevel"/>
    <w:tmpl w:val="E68AFF0F"/>
    <w:lvl w:ilvl="0" w:tentative="0">
      <w:start w:val="1"/>
      <w:numFmt w:val="decimal"/>
      <w:suff w:val="nothing"/>
      <w:lvlText w:val="%1、"/>
      <w:lvlJc w:val="left"/>
    </w:lvl>
  </w:abstractNum>
  <w:abstractNum w:abstractNumId="3">
    <w:nsid w:val="FB9217B4"/>
    <w:multiLevelType w:val="singleLevel"/>
    <w:tmpl w:val="FB9217B4"/>
    <w:lvl w:ilvl="0" w:tentative="0">
      <w:start w:val="2"/>
      <w:numFmt w:val="chineseCounting"/>
      <w:suff w:val="nothing"/>
      <w:lvlText w:val="（%1）"/>
      <w:lvlJc w:val="left"/>
      <w:rPr>
        <w:rFonts w:hint="eastAsia"/>
      </w:rPr>
    </w:lvl>
  </w:abstractNum>
  <w:abstractNum w:abstractNumId="4">
    <w:nsid w:val="0B7EB440"/>
    <w:multiLevelType w:val="singleLevel"/>
    <w:tmpl w:val="0B7EB440"/>
    <w:lvl w:ilvl="0" w:tentative="0">
      <w:start w:val="2"/>
      <w:numFmt w:val="chineseCounting"/>
      <w:suff w:val="nothing"/>
      <w:lvlText w:val="（%1）"/>
      <w:lvlJc w:val="left"/>
      <w:rPr>
        <w:rFonts w:hint="eastAsia"/>
      </w:rPr>
    </w:lvl>
  </w:abstractNum>
  <w:abstractNum w:abstractNumId="5">
    <w:nsid w:val="3CEE3DD9"/>
    <w:multiLevelType w:val="multilevel"/>
    <w:tmpl w:val="3CEE3DD9"/>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6">
    <w:nsid w:val="46EC0FE9"/>
    <w:multiLevelType w:val="multilevel"/>
    <w:tmpl w:val="46EC0FE9"/>
    <w:lvl w:ilvl="0" w:tentative="0">
      <w:start w:val="1"/>
      <w:numFmt w:val="japaneseCounting"/>
      <w:lvlText w:val="第%1章"/>
      <w:lvlJc w:val="left"/>
      <w:pPr>
        <w:ind w:left="4176" w:hanging="1236"/>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6B562168"/>
    <w:multiLevelType w:val="singleLevel"/>
    <w:tmpl w:val="6B562168"/>
    <w:lvl w:ilvl="0" w:tentative="0">
      <w:start w:val="1"/>
      <w:numFmt w:val="decimal"/>
      <w:suff w:val="nothing"/>
      <w:lvlText w:val="（%1）"/>
      <w:lvlJc w:val="left"/>
    </w:lvl>
  </w:abstractNum>
  <w:num w:numId="1">
    <w:abstractNumId w:val="6"/>
  </w:num>
  <w:num w:numId="2">
    <w:abstractNumId w:val="2"/>
  </w:num>
  <w:num w:numId="3">
    <w:abstractNumId w:val="7"/>
  </w:num>
  <w:num w:numId="4">
    <w:abstractNumId w:val="0"/>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 w:numId="7">
    <w:abstractNumId w:val="4"/>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cwNzVmMmJkZWQyYmE1ZDBmNjJkZDQyM2QzODU2ZjUifQ=="/>
  </w:docVars>
  <w:rsids>
    <w:rsidRoot w:val="000168A4"/>
    <w:rsid w:val="0000224A"/>
    <w:rsid w:val="0000418A"/>
    <w:rsid w:val="000045FD"/>
    <w:rsid w:val="00012B5F"/>
    <w:rsid w:val="000168A4"/>
    <w:rsid w:val="000172A3"/>
    <w:rsid w:val="000229AC"/>
    <w:rsid w:val="00025A97"/>
    <w:rsid w:val="00026016"/>
    <w:rsid w:val="0002694C"/>
    <w:rsid w:val="00027592"/>
    <w:rsid w:val="000304B6"/>
    <w:rsid w:val="00032142"/>
    <w:rsid w:val="00036C63"/>
    <w:rsid w:val="000402E1"/>
    <w:rsid w:val="00043286"/>
    <w:rsid w:val="0004402D"/>
    <w:rsid w:val="0005098D"/>
    <w:rsid w:val="00051424"/>
    <w:rsid w:val="00053177"/>
    <w:rsid w:val="0005443A"/>
    <w:rsid w:val="0005560E"/>
    <w:rsid w:val="000563B6"/>
    <w:rsid w:val="00057CE3"/>
    <w:rsid w:val="00060E36"/>
    <w:rsid w:val="000632B4"/>
    <w:rsid w:val="00066350"/>
    <w:rsid w:val="00067E14"/>
    <w:rsid w:val="00067EE8"/>
    <w:rsid w:val="00071D18"/>
    <w:rsid w:val="000727F4"/>
    <w:rsid w:val="000763AF"/>
    <w:rsid w:val="00086AD2"/>
    <w:rsid w:val="000922E9"/>
    <w:rsid w:val="00097065"/>
    <w:rsid w:val="000A159D"/>
    <w:rsid w:val="000A560A"/>
    <w:rsid w:val="000B0FA6"/>
    <w:rsid w:val="000B1471"/>
    <w:rsid w:val="000B1EDC"/>
    <w:rsid w:val="000B701C"/>
    <w:rsid w:val="000C041D"/>
    <w:rsid w:val="000C19FC"/>
    <w:rsid w:val="000C1D67"/>
    <w:rsid w:val="000C58B6"/>
    <w:rsid w:val="000C5B8A"/>
    <w:rsid w:val="000C64AC"/>
    <w:rsid w:val="000C6B5A"/>
    <w:rsid w:val="000C6ECF"/>
    <w:rsid w:val="000D10EB"/>
    <w:rsid w:val="000D12B7"/>
    <w:rsid w:val="000D1991"/>
    <w:rsid w:val="000D1B5C"/>
    <w:rsid w:val="000E1268"/>
    <w:rsid w:val="000E3723"/>
    <w:rsid w:val="000E4CCA"/>
    <w:rsid w:val="000E6DFC"/>
    <w:rsid w:val="000E7E38"/>
    <w:rsid w:val="000F0501"/>
    <w:rsid w:val="000F1E30"/>
    <w:rsid w:val="000F4C0C"/>
    <w:rsid w:val="000F5E87"/>
    <w:rsid w:val="000F6EA3"/>
    <w:rsid w:val="000F734B"/>
    <w:rsid w:val="00100C92"/>
    <w:rsid w:val="00101B39"/>
    <w:rsid w:val="001060A5"/>
    <w:rsid w:val="0011110E"/>
    <w:rsid w:val="00111918"/>
    <w:rsid w:val="001144E8"/>
    <w:rsid w:val="00114C1D"/>
    <w:rsid w:val="00115299"/>
    <w:rsid w:val="00116F9F"/>
    <w:rsid w:val="00122139"/>
    <w:rsid w:val="00125965"/>
    <w:rsid w:val="00126821"/>
    <w:rsid w:val="00134B8E"/>
    <w:rsid w:val="00143BF4"/>
    <w:rsid w:val="00144FBD"/>
    <w:rsid w:val="00146233"/>
    <w:rsid w:val="00147F11"/>
    <w:rsid w:val="00150DF3"/>
    <w:rsid w:val="0015221D"/>
    <w:rsid w:val="00152CAF"/>
    <w:rsid w:val="00155E3C"/>
    <w:rsid w:val="00157042"/>
    <w:rsid w:val="00157406"/>
    <w:rsid w:val="001578BF"/>
    <w:rsid w:val="00160D8B"/>
    <w:rsid w:val="001624FF"/>
    <w:rsid w:val="001720B8"/>
    <w:rsid w:val="001741DC"/>
    <w:rsid w:val="00176EFF"/>
    <w:rsid w:val="00180FA3"/>
    <w:rsid w:val="00181180"/>
    <w:rsid w:val="001825E4"/>
    <w:rsid w:val="00183CBD"/>
    <w:rsid w:val="00193095"/>
    <w:rsid w:val="00194071"/>
    <w:rsid w:val="0019638D"/>
    <w:rsid w:val="00196603"/>
    <w:rsid w:val="001A048E"/>
    <w:rsid w:val="001A1A70"/>
    <w:rsid w:val="001A1B3D"/>
    <w:rsid w:val="001A28A8"/>
    <w:rsid w:val="001A34AE"/>
    <w:rsid w:val="001A5684"/>
    <w:rsid w:val="001A5B0E"/>
    <w:rsid w:val="001A71C7"/>
    <w:rsid w:val="001A734F"/>
    <w:rsid w:val="001A7E7D"/>
    <w:rsid w:val="001B06B7"/>
    <w:rsid w:val="001B2C6B"/>
    <w:rsid w:val="001B42F2"/>
    <w:rsid w:val="001B4890"/>
    <w:rsid w:val="001B614F"/>
    <w:rsid w:val="001B6733"/>
    <w:rsid w:val="001C538E"/>
    <w:rsid w:val="001C7666"/>
    <w:rsid w:val="001D2CCB"/>
    <w:rsid w:val="001D6C7A"/>
    <w:rsid w:val="001D6CCB"/>
    <w:rsid w:val="001E0319"/>
    <w:rsid w:val="001E2C7D"/>
    <w:rsid w:val="001E5E74"/>
    <w:rsid w:val="001E64AB"/>
    <w:rsid w:val="001F293C"/>
    <w:rsid w:val="001F32D3"/>
    <w:rsid w:val="001F5B1A"/>
    <w:rsid w:val="002000E0"/>
    <w:rsid w:val="00200F48"/>
    <w:rsid w:val="00201139"/>
    <w:rsid w:val="00205E2A"/>
    <w:rsid w:val="00210580"/>
    <w:rsid w:val="00210669"/>
    <w:rsid w:val="00211BF0"/>
    <w:rsid w:val="0021225B"/>
    <w:rsid w:val="00217CAC"/>
    <w:rsid w:val="00217D4F"/>
    <w:rsid w:val="00225D88"/>
    <w:rsid w:val="00225DC7"/>
    <w:rsid w:val="00225E1B"/>
    <w:rsid w:val="002269C9"/>
    <w:rsid w:val="002302BA"/>
    <w:rsid w:val="0023769A"/>
    <w:rsid w:val="00237DDD"/>
    <w:rsid w:val="0024053D"/>
    <w:rsid w:val="0024059C"/>
    <w:rsid w:val="0024368B"/>
    <w:rsid w:val="002441C1"/>
    <w:rsid w:val="00247140"/>
    <w:rsid w:val="00247FF1"/>
    <w:rsid w:val="00255CF6"/>
    <w:rsid w:val="00256268"/>
    <w:rsid w:val="002608CF"/>
    <w:rsid w:val="002614A0"/>
    <w:rsid w:val="00263AC7"/>
    <w:rsid w:val="002719F9"/>
    <w:rsid w:val="002738E5"/>
    <w:rsid w:val="0027747C"/>
    <w:rsid w:val="002776ED"/>
    <w:rsid w:val="00282941"/>
    <w:rsid w:val="0028477F"/>
    <w:rsid w:val="002864F8"/>
    <w:rsid w:val="002A1099"/>
    <w:rsid w:val="002A19CE"/>
    <w:rsid w:val="002A47B6"/>
    <w:rsid w:val="002A5D24"/>
    <w:rsid w:val="002A67D7"/>
    <w:rsid w:val="002B2BA6"/>
    <w:rsid w:val="002B344C"/>
    <w:rsid w:val="002B3B89"/>
    <w:rsid w:val="002C208A"/>
    <w:rsid w:val="002C4309"/>
    <w:rsid w:val="002C688C"/>
    <w:rsid w:val="002D00AE"/>
    <w:rsid w:val="002D200F"/>
    <w:rsid w:val="002D35B9"/>
    <w:rsid w:val="002D533C"/>
    <w:rsid w:val="002E262C"/>
    <w:rsid w:val="002E3937"/>
    <w:rsid w:val="002F4527"/>
    <w:rsid w:val="002F7FC2"/>
    <w:rsid w:val="003001DD"/>
    <w:rsid w:val="00304196"/>
    <w:rsid w:val="0030444A"/>
    <w:rsid w:val="00306ADF"/>
    <w:rsid w:val="003142B1"/>
    <w:rsid w:val="0031459D"/>
    <w:rsid w:val="00314C0A"/>
    <w:rsid w:val="00314E70"/>
    <w:rsid w:val="00315BA1"/>
    <w:rsid w:val="00316269"/>
    <w:rsid w:val="00316412"/>
    <w:rsid w:val="003213FF"/>
    <w:rsid w:val="003233F1"/>
    <w:rsid w:val="0032433A"/>
    <w:rsid w:val="00324C63"/>
    <w:rsid w:val="00325602"/>
    <w:rsid w:val="003402ED"/>
    <w:rsid w:val="003406C8"/>
    <w:rsid w:val="00344220"/>
    <w:rsid w:val="003443A5"/>
    <w:rsid w:val="00352957"/>
    <w:rsid w:val="00354487"/>
    <w:rsid w:val="0035735F"/>
    <w:rsid w:val="003573B4"/>
    <w:rsid w:val="00357C60"/>
    <w:rsid w:val="00363073"/>
    <w:rsid w:val="003636B6"/>
    <w:rsid w:val="00363A27"/>
    <w:rsid w:val="003654B6"/>
    <w:rsid w:val="00365DF6"/>
    <w:rsid w:val="00367B80"/>
    <w:rsid w:val="003731D5"/>
    <w:rsid w:val="0037377F"/>
    <w:rsid w:val="00375C9D"/>
    <w:rsid w:val="003763E4"/>
    <w:rsid w:val="0037696A"/>
    <w:rsid w:val="00376A58"/>
    <w:rsid w:val="00376FCE"/>
    <w:rsid w:val="003771A0"/>
    <w:rsid w:val="00380590"/>
    <w:rsid w:val="0038363C"/>
    <w:rsid w:val="00391D0C"/>
    <w:rsid w:val="003921D3"/>
    <w:rsid w:val="003924AA"/>
    <w:rsid w:val="00393260"/>
    <w:rsid w:val="003969F9"/>
    <w:rsid w:val="00397355"/>
    <w:rsid w:val="003A0916"/>
    <w:rsid w:val="003A70D2"/>
    <w:rsid w:val="003B19AC"/>
    <w:rsid w:val="003B4097"/>
    <w:rsid w:val="003B609C"/>
    <w:rsid w:val="003B6730"/>
    <w:rsid w:val="003B7E34"/>
    <w:rsid w:val="003C1458"/>
    <w:rsid w:val="003C4181"/>
    <w:rsid w:val="003C47BA"/>
    <w:rsid w:val="003C4A04"/>
    <w:rsid w:val="003C7350"/>
    <w:rsid w:val="003D04C1"/>
    <w:rsid w:val="003D225D"/>
    <w:rsid w:val="003D3E2D"/>
    <w:rsid w:val="003D59BB"/>
    <w:rsid w:val="003D5E1E"/>
    <w:rsid w:val="003D608E"/>
    <w:rsid w:val="003E0277"/>
    <w:rsid w:val="003E03F1"/>
    <w:rsid w:val="003E1D7B"/>
    <w:rsid w:val="003E2DC2"/>
    <w:rsid w:val="003E57DC"/>
    <w:rsid w:val="003E7B74"/>
    <w:rsid w:val="00402E97"/>
    <w:rsid w:val="0041540B"/>
    <w:rsid w:val="00420CD3"/>
    <w:rsid w:val="00422481"/>
    <w:rsid w:val="00425011"/>
    <w:rsid w:val="00430706"/>
    <w:rsid w:val="004309FC"/>
    <w:rsid w:val="004320C7"/>
    <w:rsid w:val="004338FB"/>
    <w:rsid w:val="0043620E"/>
    <w:rsid w:val="00436D37"/>
    <w:rsid w:val="00441624"/>
    <w:rsid w:val="00443396"/>
    <w:rsid w:val="0044411D"/>
    <w:rsid w:val="00444563"/>
    <w:rsid w:val="00450608"/>
    <w:rsid w:val="00454586"/>
    <w:rsid w:val="00455496"/>
    <w:rsid w:val="004559F0"/>
    <w:rsid w:val="0045654D"/>
    <w:rsid w:val="004624D2"/>
    <w:rsid w:val="00463493"/>
    <w:rsid w:val="00464933"/>
    <w:rsid w:val="004659D9"/>
    <w:rsid w:val="00466DF5"/>
    <w:rsid w:val="00470C14"/>
    <w:rsid w:val="004717EE"/>
    <w:rsid w:val="00471EDF"/>
    <w:rsid w:val="00475A08"/>
    <w:rsid w:val="00475E13"/>
    <w:rsid w:val="0047646F"/>
    <w:rsid w:val="004774BE"/>
    <w:rsid w:val="0047773A"/>
    <w:rsid w:val="00480A69"/>
    <w:rsid w:val="00482483"/>
    <w:rsid w:val="004830B3"/>
    <w:rsid w:val="004852ED"/>
    <w:rsid w:val="00486A5F"/>
    <w:rsid w:val="004906F0"/>
    <w:rsid w:val="004958A0"/>
    <w:rsid w:val="004A3FE4"/>
    <w:rsid w:val="004A66EB"/>
    <w:rsid w:val="004A67D7"/>
    <w:rsid w:val="004B0091"/>
    <w:rsid w:val="004B0A50"/>
    <w:rsid w:val="004B3A27"/>
    <w:rsid w:val="004B5012"/>
    <w:rsid w:val="004C1269"/>
    <w:rsid w:val="004C5074"/>
    <w:rsid w:val="004C7361"/>
    <w:rsid w:val="004D75DC"/>
    <w:rsid w:val="004D7ADE"/>
    <w:rsid w:val="004E2820"/>
    <w:rsid w:val="004E2933"/>
    <w:rsid w:val="004E2AB4"/>
    <w:rsid w:val="004E33FD"/>
    <w:rsid w:val="004E584B"/>
    <w:rsid w:val="004F1298"/>
    <w:rsid w:val="004F17FE"/>
    <w:rsid w:val="004F1C80"/>
    <w:rsid w:val="004F2A60"/>
    <w:rsid w:val="004F51FE"/>
    <w:rsid w:val="004F6F1F"/>
    <w:rsid w:val="004F7FC7"/>
    <w:rsid w:val="005017F6"/>
    <w:rsid w:val="00501ECD"/>
    <w:rsid w:val="0050302E"/>
    <w:rsid w:val="00505ED3"/>
    <w:rsid w:val="0050635D"/>
    <w:rsid w:val="00511391"/>
    <w:rsid w:val="00512D88"/>
    <w:rsid w:val="00512F9F"/>
    <w:rsid w:val="005146B0"/>
    <w:rsid w:val="00517745"/>
    <w:rsid w:val="00520381"/>
    <w:rsid w:val="00521A88"/>
    <w:rsid w:val="00525643"/>
    <w:rsid w:val="00533645"/>
    <w:rsid w:val="00533D2C"/>
    <w:rsid w:val="00536C92"/>
    <w:rsid w:val="00537126"/>
    <w:rsid w:val="00537D9C"/>
    <w:rsid w:val="005477A1"/>
    <w:rsid w:val="00551D9D"/>
    <w:rsid w:val="00553FCC"/>
    <w:rsid w:val="00556B90"/>
    <w:rsid w:val="005577B6"/>
    <w:rsid w:val="00560AE5"/>
    <w:rsid w:val="0056296A"/>
    <w:rsid w:val="0056344C"/>
    <w:rsid w:val="00565431"/>
    <w:rsid w:val="00565958"/>
    <w:rsid w:val="005711B8"/>
    <w:rsid w:val="005719A6"/>
    <w:rsid w:val="00573222"/>
    <w:rsid w:val="0057334E"/>
    <w:rsid w:val="00573E7B"/>
    <w:rsid w:val="00573F57"/>
    <w:rsid w:val="00574DB7"/>
    <w:rsid w:val="0057576C"/>
    <w:rsid w:val="00576D8E"/>
    <w:rsid w:val="00581C6D"/>
    <w:rsid w:val="00582B62"/>
    <w:rsid w:val="005836CA"/>
    <w:rsid w:val="00584B0C"/>
    <w:rsid w:val="00584B8D"/>
    <w:rsid w:val="00586287"/>
    <w:rsid w:val="00590578"/>
    <w:rsid w:val="005921B0"/>
    <w:rsid w:val="0059234A"/>
    <w:rsid w:val="005A1265"/>
    <w:rsid w:val="005A1FDD"/>
    <w:rsid w:val="005A3147"/>
    <w:rsid w:val="005A5415"/>
    <w:rsid w:val="005A7512"/>
    <w:rsid w:val="005B150A"/>
    <w:rsid w:val="005B287F"/>
    <w:rsid w:val="005B3227"/>
    <w:rsid w:val="005B352E"/>
    <w:rsid w:val="005B3CC8"/>
    <w:rsid w:val="005B5121"/>
    <w:rsid w:val="005B6674"/>
    <w:rsid w:val="005B7036"/>
    <w:rsid w:val="005B7137"/>
    <w:rsid w:val="005C29BD"/>
    <w:rsid w:val="005C2BCD"/>
    <w:rsid w:val="005C2C01"/>
    <w:rsid w:val="005C483D"/>
    <w:rsid w:val="005C588B"/>
    <w:rsid w:val="005C6A96"/>
    <w:rsid w:val="005C7803"/>
    <w:rsid w:val="005C788F"/>
    <w:rsid w:val="005D0400"/>
    <w:rsid w:val="005D0D4F"/>
    <w:rsid w:val="005D7955"/>
    <w:rsid w:val="005D7A62"/>
    <w:rsid w:val="005E05C1"/>
    <w:rsid w:val="005E1472"/>
    <w:rsid w:val="005F06BD"/>
    <w:rsid w:val="005F2933"/>
    <w:rsid w:val="005F3125"/>
    <w:rsid w:val="005F5F56"/>
    <w:rsid w:val="005F6ADF"/>
    <w:rsid w:val="006051C4"/>
    <w:rsid w:val="0060535D"/>
    <w:rsid w:val="00606A64"/>
    <w:rsid w:val="00606BCF"/>
    <w:rsid w:val="0061115F"/>
    <w:rsid w:val="00615C39"/>
    <w:rsid w:val="00617624"/>
    <w:rsid w:val="00617A17"/>
    <w:rsid w:val="0062219A"/>
    <w:rsid w:val="00627FF6"/>
    <w:rsid w:val="00632C54"/>
    <w:rsid w:val="0063588C"/>
    <w:rsid w:val="00642DFE"/>
    <w:rsid w:val="00643908"/>
    <w:rsid w:val="006439C6"/>
    <w:rsid w:val="00646466"/>
    <w:rsid w:val="006470A8"/>
    <w:rsid w:val="00647928"/>
    <w:rsid w:val="00654AAF"/>
    <w:rsid w:val="0065716E"/>
    <w:rsid w:val="00660C02"/>
    <w:rsid w:val="006702F4"/>
    <w:rsid w:val="0067053D"/>
    <w:rsid w:val="006719CD"/>
    <w:rsid w:val="00672442"/>
    <w:rsid w:val="006740EA"/>
    <w:rsid w:val="0067506A"/>
    <w:rsid w:val="00676161"/>
    <w:rsid w:val="006801CC"/>
    <w:rsid w:val="006805F7"/>
    <w:rsid w:val="00680CC5"/>
    <w:rsid w:val="0068472E"/>
    <w:rsid w:val="00685F6C"/>
    <w:rsid w:val="006867F7"/>
    <w:rsid w:val="0069116C"/>
    <w:rsid w:val="0069188D"/>
    <w:rsid w:val="006927B5"/>
    <w:rsid w:val="00694B79"/>
    <w:rsid w:val="006950A0"/>
    <w:rsid w:val="006968B1"/>
    <w:rsid w:val="00696BE2"/>
    <w:rsid w:val="006A19A9"/>
    <w:rsid w:val="006A1AAA"/>
    <w:rsid w:val="006B3691"/>
    <w:rsid w:val="006B3F7E"/>
    <w:rsid w:val="006B4C26"/>
    <w:rsid w:val="006B679B"/>
    <w:rsid w:val="006C346B"/>
    <w:rsid w:val="006C3B64"/>
    <w:rsid w:val="006C570A"/>
    <w:rsid w:val="006C5AC4"/>
    <w:rsid w:val="006C6451"/>
    <w:rsid w:val="006C662C"/>
    <w:rsid w:val="006D48A7"/>
    <w:rsid w:val="006D5456"/>
    <w:rsid w:val="006D69FF"/>
    <w:rsid w:val="006D6F3C"/>
    <w:rsid w:val="006F14E7"/>
    <w:rsid w:val="006F4A85"/>
    <w:rsid w:val="006F576B"/>
    <w:rsid w:val="006F729F"/>
    <w:rsid w:val="007028AC"/>
    <w:rsid w:val="00703210"/>
    <w:rsid w:val="0070535D"/>
    <w:rsid w:val="007071FF"/>
    <w:rsid w:val="00707455"/>
    <w:rsid w:val="007115D2"/>
    <w:rsid w:val="007117C5"/>
    <w:rsid w:val="007169B9"/>
    <w:rsid w:val="0072400A"/>
    <w:rsid w:val="007241A3"/>
    <w:rsid w:val="007242E1"/>
    <w:rsid w:val="00724C78"/>
    <w:rsid w:val="007266BF"/>
    <w:rsid w:val="00726C83"/>
    <w:rsid w:val="00730F63"/>
    <w:rsid w:val="00734E08"/>
    <w:rsid w:val="00737063"/>
    <w:rsid w:val="0074095C"/>
    <w:rsid w:val="00740BDB"/>
    <w:rsid w:val="00742490"/>
    <w:rsid w:val="007425EA"/>
    <w:rsid w:val="00743E31"/>
    <w:rsid w:val="007440CE"/>
    <w:rsid w:val="00755EBE"/>
    <w:rsid w:val="00756114"/>
    <w:rsid w:val="007640F8"/>
    <w:rsid w:val="0076571E"/>
    <w:rsid w:val="00767295"/>
    <w:rsid w:val="00767DC4"/>
    <w:rsid w:val="00770B78"/>
    <w:rsid w:val="007718D1"/>
    <w:rsid w:val="007723A9"/>
    <w:rsid w:val="00772FA9"/>
    <w:rsid w:val="00773D1B"/>
    <w:rsid w:val="00775A8C"/>
    <w:rsid w:val="007820D7"/>
    <w:rsid w:val="0078514C"/>
    <w:rsid w:val="00785EF7"/>
    <w:rsid w:val="007933DB"/>
    <w:rsid w:val="00794B5C"/>
    <w:rsid w:val="00796429"/>
    <w:rsid w:val="007964FC"/>
    <w:rsid w:val="007A1B25"/>
    <w:rsid w:val="007A3F19"/>
    <w:rsid w:val="007B086D"/>
    <w:rsid w:val="007B13E9"/>
    <w:rsid w:val="007B16E1"/>
    <w:rsid w:val="007B310F"/>
    <w:rsid w:val="007B3AE9"/>
    <w:rsid w:val="007B5514"/>
    <w:rsid w:val="007B6EB2"/>
    <w:rsid w:val="007B7135"/>
    <w:rsid w:val="007C1116"/>
    <w:rsid w:val="007C31B3"/>
    <w:rsid w:val="007C3395"/>
    <w:rsid w:val="007C3408"/>
    <w:rsid w:val="007C63D2"/>
    <w:rsid w:val="007D10E9"/>
    <w:rsid w:val="007D1C31"/>
    <w:rsid w:val="007D2EE7"/>
    <w:rsid w:val="007D3B65"/>
    <w:rsid w:val="007E1630"/>
    <w:rsid w:val="007E6AFD"/>
    <w:rsid w:val="007F28C3"/>
    <w:rsid w:val="007F44EC"/>
    <w:rsid w:val="007F4816"/>
    <w:rsid w:val="007F79B5"/>
    <w:rsid w:val="0080138F"/>
    <w:rsid w:val="008021D6"/>
    <w:rsid w:val="00806805"/>
    <w:rsid w:val="00806C4A"/>
    <w:rsid w:val="00810B10"/>
    <w:rsid w:val="008111AA"/>
    <w:rsid w:val="0081277E"/>
    <w:rsid w:val="008127CC"/>
    <w:rsid w:val="00813B3B"/>
    <w:rsid w:val="00814431"/>
    <w:rsid w:val="00814E43"/>
    <w:rsid w:val="00815065"/>
    <w:rsid w:val="008150AB"/>
    <w:rsid w:val="008171FE"/>
    <w:rsid w:val="0081730E"/>
    <w:rsid w:val="00820AB0"/>
    <w:rsid w:val="00823409"/>
    <w:rsid w:val="00823A72"/>
    <w:rsid w:val="00825001"/>
    <w:rsid w:val="008277E6"/>
    <w:rsid w:val="00827D3E"/>
    <w:rsid w:val="00830770"/>
    <w:rsid w:val="00834FAB"/>
    <w:rsid w:val="00835501"/>
    <w:rsid w:val="00842422"/>
    <w:rsid w:val="00844DEA"/>
    <w:rsid w:val="00847124"/>
    <w:rsid w:val="008479C3"/>
    <w:rsid w:val="00847DBE"/>
    <w:rsid w:val="00855ED4"/>
    <w:rsid w:val="00860540"/>
    <w:rsid w:val="00861393"/>
    <w:rsid w:val="0086143F"/>
    <w:rsid w:val="00861B16"/>
    <w:rsid w:val="00861E59"/>
    <w:rsid w:val="00862043"/>
    <w:rsid w:val="00864A83"/>
    <w:rsid w:val="008655C7"/>
    <w:rsid w:val="00867970"/>
    <w:rsid w:val="008762A9"/>
    <w:rsid w:val="00876386"/>
    <w:rsid w:val="00877302"/>
    <w:rsid w:val="008776FB"/>
    <w:rsid w:val="00880D70"/>
    <w:rsid w:val="00881A69"/>
    <w:rsid w:val="0089694D"/>
    <w:rsid w:val="0089781E"/>
    <w:rsid w:val="008A3F23"/>
    <w:rsid w:val="008A4182"/>
    <w:rsid w:val="008A6C34"/>
    <w:rsid w:val="008A75C0"/>
    <w:rsid w:val="008B13C5"/>
    <w:rsid w:val="008B3405"/>
    <w:rsid w:val="008B352C"/>
    <w:rsid w:val="008B4BC1"/>
    <w:rsid w:val="008B6FDD"/>
    <w:rsid w:val="008C10F4"/>
    <w:rsid w:val="008C1670"/>
    <w:rsid w:val="008C372B"/>
    <w:rsid w:val="008D0A48"/>
    <w:rsid w:val="008D11D6"/>
    <w:rsid w:val="008D127A"/>
    <w:rsid w:val="008D14CA"/>
    <w:rsid w:val="008D19D8"/>
    <w:rsid w:val="008D2D4F"/>
    <w:rsid w:val="008D5F5D"/>
    <w:rsid w:val="008E0C33"/>
    <w:rsid w:val="008E25B5"/>
    <w:rsid w:val="008E6E9C"/>
    <w:rsid w:val="008F5011"/>
    <w:rsid w:val="008F60D4"/>
    <w:rsid w:val="00901497"/>
    <w:rsid w:val="0090325B"/>
    <w:rsid w:val="009046CA"/>
    <w:rsid w:val="00905B53"/>
    <w:rsid w:val="00907EEB"/>
    <w:rsid w:val="009102F5"/>
    <w:rsid w:val="0091270C"/>
    <w:rsid w:val="00912830"/>
    <w:rsid w:val="00912D3D"/>
    <w:rsid w:val="00920333"/>
    <w:rsid w:val="00921B27"/>
    <w:rsid w:val="009272E6"/>
    <w:rsid w:val="00930192"/>
    <w:rsid w:val="00930C9C"/>
    <w:rsid w:val="0093510E"/>
    <w:rsid w:val="00937068"/>
    <w:rsid w:val="00944A00"/>
    <w:rsid w:val="0094585A"/>
    <w:rsid w:val="00945E55"/>
    <w:rsid w:val="00947E17"/>
    <w:rsid w:val="009508DD"/>
    <w:rsid w:val="00951306"/>
    <w:rsid w:val="00952F24"/>
    <w:rsid w:val="00953086"/>
    <w:rsid w:val="00954FA9"/>
    <w:rsid w:val="00956224"/>
    <w:rsid w:val="00961065"/>
    <w:rsid w:val="0096153A"/>
    <w:rsid w:val="009635CB"/>
    <w:rsid w:val="00963B25"/>
    <w:rsid w:val="009650C0"/>
    <w:rsid w:val="009704EE"/>
    <w:rsid w:val="009714EE"/>
    <w:rsid w:val="009752C6"/>
    <w:rsid w:val="00976BDF"/>
    <w:rsid w:val="009774B0"/>
    <w:rsid w:val="00983CDC"/>
    <w:rsid w:val="00984665"/>
    <w:rsid w:val="009874D1"/>
    <w:rsid w:val="00987B41"/>
    <w:rsid w:val="00987F60"/>
    <w:rsid w:val="00994717"/>
    <w:rsid w:val="009950FF"/>
    <w:rsid w:val="009A0476"/>
    <w:rsid w:val="009A3C47"/>
    <w:rsid w:val="009A57FB"/>
    <w:rsid w:val="009B2C6D"/>
    <w:rsid w:val="009B3477"/>
    <w:rsid w:val="009B7B40"/>
    <w:rsid w:val="009C22F8"/>
    <w:rsid w:val="009C2355"/>
    <w:rsid w:val="009C2AA7"/>
    <w:rsid w:val="009C580A"/>
    <w:rsid w:val="009D03DC"/>
    <w:rsid w:val="009D2BB5"/>
    <w:rsid w:val="009D2F24"/>
    <w:rsid w:val="009D4EDC"/>
    <w:rsid w:val="009F4ED2"/>
    <w:rsid w:val="00A014E0"/>
    <w:rsid w:val="00A02AFB"/>
    <w:rsid w:val="00A0389D"/>
    <w:rsid w:val="00A03D55"/>
    <w:rsid w:val="00A04CC6"/>
    <w:rsid w:val="00A060F8"/>
    <w:rsid w:val="00A0612C"/>
    <w:rsid w:val="00A1270E"/>
    <w:rsid w:val="00A13A87"/>
    <w:rsid w:val="00A26D2A"/>
    <w:rsid w:val="00A26D64"/>
    <w:rsid w:val="00A275ED"/>
    <w:rsid w:val="00A27EB7"/>
    <w:rsid w:val="00A27F5D"/>
    <w:rsid w:val="00A31235"/>
    <w:rsid w:val="00A345A2"/>
    <w:rsid w:val="00A36B29"/>
    <w:rsid w:val="00A37D78"/>
    <w:rsid w:val="00A42B69"/>
    <w:rsid w:val="00A43456"/>
    <w:rsid w:val="00A43519"/>
    <w:rsid w:val="00A453DD"/>
    <w:rsid w:val="00A51431"/>
    <w:rsid w:val="00A51B9B"/>
    <w:rsid w:val="00A52621"/>
    <w:rsid w:val="00A53B1A"/>
    <w:rsid w:val="00A54C7A"/>
    <w:rsid w:val="00A565E1"/>
    <w:rsid w:val="00A62597"/>
    <w:rsid w:val="00A63F3E"/>
    <w:rsid w:val="00A65452"/>
    <w:rsid w:val="00A704D2"/>
    <w:rsid w:val="00A711CF"/>
    <w:rsid w:val="00A7125D"/>
    <w:rsid w:val="00A71BE5"/>
    <w:rsid w:val="00A76635"/>
    <w:rsid w:val="00A76D89"/>
    <w:rsid w:val="00A80504"/>
    <w:rsid w:val="00A81722"/>
    <w:rsid w:val="00A81E53"/>
    <w:rsid w:val="00A823EF"/>
    <w:rsid w:val="00A838C7"/>
    <w:rsid w:val="00A8481E"/>
    <w:rsid w:val="00A84E33"/>
    <w:rsid w:val="00A860BD"/>
    <w:rsid w:val="00A8644E"/>
    <w:rsid w:val="00A874DB"/>
    <w:rsid w:val="00A91F2A"/>
    <w:rsid w:val="00A925BC"/>
    <w:rsid w:val="00A93288"/>
    <w:rsid w:val="00A935E7"/>
    <w:rsid w:val="00A966EB"/>
    <w:rsid w:val="00A972CD"/>
    <w:rsid w:val="00AA77BF"/>
    <w:rsid w:val="00AB1564"/>
    <w:rsid w:val="00AB1D47"/>
    <w:rsid w:val="00AB4908"/>
    <w:rsid w:val="00AB604F"/>
    <w:rsid w:val="00AB61C8"/>
    <w:rsid w:val="00AC1D93"/>
    <w:rsid w:val="00AC7097"/>
    <w:rsid w:val="00AC73C2"/>
    <w:rsid w:val="00AC7F89"/>
    <w:rsid w:val="00AD1D0A"/>
    <w:rsid w:val="00AD3F86"/>
    <w:rsid w:val="00AD4483"/>
    <w:rsid w:val="00AD4CA1"/>
    <w:rsid w:val="00AD5A1F"/>
    <w:rsid w:val="00AD5E32"/>
    <w:rsid w:val="00AD696A"/>
    <w:rsid w:val="00AD78D4"/>
    <w:rsid w:val="00AD7959"/>
    <w:rsid w:val="00AE2B91"/>
    <w:rsid w:val="00AE3E37"/>
    <w:rsid w:val="00AF2E61"/>
    <w:rsid w:val="00AF4ABC"/>
    <w:rsid w:val="00AF67AE"/>
    <w:rsid w:val="00AF7159"/>
    <w:rsid w:val="00B01E49"/>
    <w:rsid w:val="00B04315"/>
    <w:rsid w:val="00B10DD5"/>
    <w:rsid w:val="00B12144"/>
    <w:rsid w:val="00B16D56"/>
    <w:rsid w:val="00B171C9"/>
    <w:rsid w:val="00B1766B"/>
    <w:rsid w:val="00B26B35"/>
    <w:rsid w:val="00B3036C"/>
    <w:rsid w:val="00B42954"/>
    <w:rsid w:val="00B43879"/>
    <w:rsid w:val="00B46679"/>
    <w:rsid w:val="00B51BC5"/>
    <w:rsid w:val="00B5270A"/>
    <w:rsid w:val="00B534D1"/>
    <w:rsid w:val="00B561D9"/>
    <w:rsid w:val="00B610E3"/>
    <w:rsid w:val="00B61D2D"/>
    <w:rsid w:val="00B63E51"/>
    <w:rsid w:val="00B65501"/>
    <w:rsid w:val="00B740CE"/>
    <w:rsid w:val="00B759F7"/>
    <w:rsid w:val="00B75B63"/>
    <w:rsid w:val="00B807A4"/>
    <w:rsid w:val="00B8136D"/>
    <w:rsid w:val="00B82181"/>
    <w:rsid w:val="00B84F44"/>
    <w:rsid w:val="00B85ED4"/>
    <w:rsid w:val="00B924F1"/>
    <w:rsid w:val="00B95C30"/>
    <w:rsid w:val="00B968A5"/>
    <w:rsid w:val="00BA062F"/>
    <w:rsid w:val="00BA348E"/>
    <w:rsid w:val="00BA60B8"/>
    <w:rsid w:val="00BA7B73"/>
    <w:rsid w:val="00BB3063"/>
    <w:rsid w:val="00BB3BF1"/>
    <w:rsid w:val="00BB3F96"/>
    <w:rsid w:val="00BB5934"/>
    <w:rsid w:val="00BB627B"/>
    <w:rsid w:val="00BB712D"/>
    <w:rsid w:val="00BC2CAA"/>
    <w:rsid w:val="00BC2E99"/>
    <w:rsid w:val="00BC4BAC"/>
    <w:rsid w:val="00BC5060"/>
    <w:rsid w:val="00BC728D"/>
    <w:rsid w:val="00BD058B"/>
    <w:rsid w:val="00BD0855"/>
    <w:rsid w:val="00BD1D35"/>
    <w:rsid w:val="00BD34E4"/>
    <w:rsid w:val="00BD6DB6"/>
    <w:rsid w:val="00BE04C7"/>
    <w:rsid w:val="00BE100A"/>
    <w:rsid w:val="00BE1CA5"/>
    <w:rsid w:val="00BE30AD"/>
    <w:rsid w:val="00BE5635"/>
    <w:rsid w:val="00BE59E5"/>
    <w:rsid w:val="00BE7775"/>
    <w:rsid w:val="00BE7C2B"/>
    <w:rsid w:val="00BF173D"/>
    <w:rsid w:val="00BF42AD"/>
    <w:rsid w:val="00BF608D"/>
    <w:rsid w:val="00BF70A2"/>
    <w:rsid w:val="00C031C1"/>
    <w:rsid w:val="00C10290"/>
    <w:rsid w:val="00C1161B"/>
    <w:rsid w:val="00C13C42"/>
    <w:rsid w:val="00C13E8C"/>
    <w:rsid w:val="00C149B4"/>
    <w:rsid w:val="00C20E6E"/>
    <w:rsid w:val="00C215BF"/>
    <w:rsid w:val="00C2192D"/>
    <w:rsid w:val="00C24516"/>
    <w:rsid w:val="00C26CF9"/>
    <w:rsid w:val="00C32F0C"/>
    <w:rsid w:val="00C333C4"/>
    <w:rsid w:val="00C3765B"/>
    <w:rsid w:val="00C427CD"/>
    <w:rsid w:val="00C471AE"/>
    <w:rsid w:val="00C471BC"/>
    <w:rsid w:val="00C5158E"/>
    <w:rsid w:val="00C51B17"/>
    <w:rsid w:val="00C532FA"/>
    <w:rsid w:val="00C5748B"/>
    <w:rsid w:val="00C61FD0"/>
    <w:rsid w:val="00C62EFE"/>
    <w:rsid w:val="00C65475"/>
    <w:rsid w:val="00C662A4"/>
    <w:rsid w:val="00C6653E"/>
    <w:rsid w:val="00C66F24"/>
    <w:rsid w:val="00C702EB"/>
    <w:rsid w:val="00C74CCC"/>
    <w:rsid w:val="00C74EBE"/>
    <w:rsid w:val="00C75D6B"/>
    <w:rsid w:val="00C76FB2"/>
    <w:rsid w:val="00C77E70"/>
    <w:rsid w:val="00C81E5F"/>
    <w:rsid w:val="00C829D7"/>
    <w:rsid w:val="00C82F15"/>
    <w:rsid w:val="00C8458B"/>
    <w:rsid w:val="00C85192"/>
    <w:rsid w:val="00C86A2A"/>
    <w:rsid w:val="00C86BBA"/>
    <w:rsid w:val="00C879D3"/>
    <w:rsid w:val="00C90D79"/>
    <w:rsid w:val="00C94387"/>
    <w:rsid w:val="00C96178"/>
    <w:rsid w:val="00C966A0"/>
    <w:rsid w:val="00CA2058"/>
    <w:rsid w:val="00CA47DA"/>
    <w:rsid w:val="00CA6915"/>
    <w:rsid w:val="00CB2DBB"/>
    <w:rsid w:val="00CB4373"/>
    <w:rsid w:val="00CB4D9C"/>
    <w:rsid w:val="00CC154F"/>
    <w:rsid w:val="00CC5F0F"/>
    <w:rsid w:val="00CC723D"/>
    <w:rsid w:val="00CD1114"/>
    <w:rsid w:val="00CD2A82"/>
    <w:rsid w:val="00CD3AB8"/>
    <w:rsid w:val="00CD4AC2"/>
    <w:rsid w:val="00CD5BE4"/>
    <w:rsid w:val="00CD61F1"/>
    <w:rsid w:val="00CE2E22"/>
    <w:rsid w:val="00CE4F5C"/>
    <w:rsid w:val="00CE78FE"/>
    <w:rsid w:val="00CE7D3C"/>
    <w:rsid w:val="00CF10CE"/>
    <w:rsid w:val="00CF1A39"/>
    <w:rsid w:val="00CF3E11"/>
    <w:rsid w:val="00CF4A00"/>
    <w:rsid w:val="00CF6979"/>
    <w:rsid w:val="00D000D9"/>
    <w:rsid w:val="00D0121D"/>
    <w:rsid w:val="00D02638"/>
    <w:rsid w:val="00D02EAE"/>
    <w:rsid w:val="00D0751E"/>
    <w:rsid w:val="00D1103A"/>
    <w:rsid w:val="00D133BE"/>
    <w:rsid w:val="00D14AF7"/>
    <w:rsid w:val="00D161BD"/>
    <w:rsid w:val="00D16AB1"/>
    <w:rsid w:val="00D16B4E"/>
    <w:rsid w:val="00D22C05"/>
    <w:rsid w:val="00D24379"/>
    <w:rsid w:val="00D24503"/>
    <w:rsid w:val="00D25518"/>
    <w:rsid w:val="00D264EA"/>
    <w:rsid w:val="00D3106A"/>
    <w:rsid w:val="00D334D2"/>
    <w:rsid w:val="00D36B2B"/>
    <w:rsid w:val="00D37956"/>
    <w:rsid w:val="00D402DE"/>
    <w:rsid w:val="00D40C12"/>
    <w:rsid w:val="00D40CBB"/>
    <w:rsid w:val="00D41201"/>
    <w:rsid w:val="00D41552"/>
    <w:rsid w:val="00D41B5A"/>
    <w:rsid w:val="00D43649"/>
    <w:rsid w:val="00D44148"/>
    <w:rsid w:val="00D441B1"/>
    <w:rsid w:val="00D50773"/>
    <w:rsid w:val="00D5223E"/>
    <w:rsid w:val="00D526C5"/>
    <w:rsid w:val="00D530B1"/>
    <w:rsid w:val="00D530F5"/>
    <w:rsid w:val="00D554B6"/>
    <w:rsid w:val="00D60D0E"/>
    <w:rsid w:val="00D61657"/>
    <w:rsid w:val="00D61EF6"/>
    <w:rsid w:val="00D62A02"/>
    <w:rsid w:val="00D652EB"/>
    <w:rsid w:val="00D65324"/>
    <w:rsid w:val="00D65E2F"/>
    <w:rsid w:val="00D65ECC"/>
    <w:rsid w:val="00D67893"/>
    <w:rsid w:val="00D67E45"/>
    <w:rsid w:val="00D70AD8"/>
    <w:rsid w:val="00D735D4"/>
    <w:rsid w:val="00D761E2"/>
    <w:rsid w:val="00D773E9"/>
    <w:rsid w:val="00D81C41"/>
    <w:rsid w:val="00D83C6D"/>
    <w:rsid w:val="00D86840"/>
    <w:rsid w:val="00D86B62"/>
    <w:rsid w:val="00D90EDE"/>
    <w:rsid w:val="00D92791"/>
    <w:rsid w:val="00D92924"/>
    <w:rsid w:val="00D94E0C"/>
    <w:rsid w:val="00D962E9"/>
    <w:rsid w:val="00D963FB"/>
    <w:rsid w:val="00DA2A11"/>
    <w:rsid w:val="00DA4807"/>
    <w:rsid w:val="00DA4C65"/>
    <w:rsid w:val="00DA7022"/>
    <w:rsid w:val="00DA709B"/>
    <w:rsid w:val="00DB141E"/>
    <w:rsid w:val="00DB1671"/>
    <w:rsid w:val="00DB3A15"/>
    <w:rsid w:val="00DC31C4"/>
    <w:rsid w:val="00DD2916"/>
    <w:rsid w:val="00DD5E21"/>
    <w:rsid w:val="00DD7106"/>
    <w:rsid w:val="00DE1AAA"/>
    <w:rsid w:val="00DF0FA4"/>
    <w:rsid w:val="00DF4558"/>
    <w:rsid w:val="00DF48D5"/>
    <w:rsid w:val="00DF6246"/>
    <w:rsid w:val="00DF7FDB"/>
    <w:rsid w:val="00E126FB"/>
    <w:rsid w:val="00E13F7B"/>
    <w:rsid w:val="00E164DD"/>
    <w:rsid w:val="00E16EE1"/>
    <w:rsid w:val="00E206C0"/>
    <w:rsid w:val="00E22105"/>
    <w:rsid w:val="00E22452"/>
    <w:rsid w:val="00E22D43"/>
    <w:rsid w:val="00E24B99"/>
    <w:rsid w:val="00E32698"/>
    <w:rsid w:val="00E327FB"/>
    <w:rsid w:val="00E37151"/>
    <w:rsid w:val="00E4039D"/>
    <w:rsid w:val="00E412E2"/>
    <w:rsid w:val="00E43504"/>
    <w:rsid w:val="00E441F4"/>
    <w:rsid w:val="00E45308"/>
    <w:rsid w:val="00E472D6"/>
    <w:rsid w:val="00E47C7C"/>
    <w:rsid w:val="00E56D84"/>
    <w:rsid w:val="00E57D40"/>
    <w:rsid w:val="00E60F29"/>
    <w:rsid w:val="00E63425"/>
    <w:rsid w:val="00E664A6"/>
    <w:rsid w:val="00E6799D"/>
    <w:rsid w:val="00E7121E"/>
    <w:rsid w:val="00E72046"/>
    <w:rsid w:val="00E7378B"/>
    <w:rsid w:val="00E73E60"/>
    <w:rsid w:val="00E761D2"/>
    <w:rsid w:val="00E77562"/>
    <w:rsid w:val="00E8388F"/>
    <w:rsid w:val="00E86150"/>
    <w:rsid w:val="00E86819"/>
    <w:rsid w:val="00E86AAA"/>
    <w:rsid w:val="00E901D3"/>
    <w:rsid w:val="00E90D50"/>
    <w:rsid w:val="00E92883"/>
    <w:rsid w:val="00E94A7F"/>
    <w:rsid w:val="00E94EB4"/>
    <w:rsid w:val="00EA1455"/>
    <w:rsid w:val="00EA3075"/>
    <w:rsid w:val="00EA4101"/>
    <w:rsid w:val="00EA48AA"/>
    <w:rsid w:val="00EA59CF"/>
    <w:rsid w:val="00EB00B8"/>
    <w:rsid w:val="00EB07F6"/>
    <w:rsid w:val="00EB2E40"/>
    <w:rsid w:val="00EB3BB5"/>
    <w:rsid w:val="00EB68DB"/>
    <w:rsid w:val="00EB713B"/>
    <w:rsid w:val="00EB7A56"/>
    <w:rsid w:val="00EC08B6"/>
    <w:rsid w:val="00EC3155"/>
    <w:rsid w:val="00EC63D1"/>
    <w:rsid w:val="00ED1C20"/>
    <w:rsid w:val="00ED3A78"/>
    <w:rsid w:val="00ED524B"/>
    <w:rsid w:val="00ED6D76"/>
    <w:rsid w:val="00ED73A5"/>
    <w:rsid w:val="00EE2370"/>
    <w:rsid w:val="00EE4CDA"/>
    <w:rsid w:val="00EF387C"/>
    <w:rsid w:val="00EF44BF"/>
    <w:rsid w:val="00EF6639"/>
    <w:rsid w:val="00EF6FFB"/>
    <w:rsid w:val="00F01A8B"/>
    <w:rsid w:val="00F02110"/>
    <w:rsid w:val="00F030C9"/>
    <w:rsid w:val="00F0319C"/>
    <w:rsid w:val="00F050EC"/>
    <w:rsid w:val="00F108CB"/>
    <w:rsid w:val="00F12A23"/>
    <w:rsid w:val="00F166B8"/>
    <w:rsid w:val="00F16DFF"/>
    <w:rsid w:val="00F205CE"/>
    <w:rsid w:val="00F21390"/>
    <w:rsid w:val="00F234ED"/>
    <w:rsid w:val="00F23775"/>
    <w:rsid w:val="00F24235"/>
    <w:rsid w:val="00F25473"/>
    <w:rsid w:val="00F25DEF"/>
    <w:rsid w:val="00F32FC4"/>
    <w:rsid w:val="00F33281"/>
    <w:rsid w:val="00F34A5A"/>
    <w:rsid w:val="00F42C38"/>
    <w:rsid w:val="00F43669"/>
    <w:rsid w:val="00F47125"/>
    <w:rsid w:val="00F4761B"/>
    <w:rsid w:val="00F508F1"/>
    <w:rsid w:val="00F521E5"/>
    <w:rsid w:val="00F52A7B"/>
    <w:rsid w:val="00F53968"/>
    <w:rsid w:val="00F53E2B"/>
    <w:rsid w:val="00F71514"/>
    <w:rsid w:val="00F75089"/>
    <w:rsid w:val="00F8129F"/>
    <w:rsid w:val="00F871FB"/>
    <w:rsid w:val="00F87A9B"/>
    <w:rsid w:val="00F90A89"/>
    <w:rsid w:val="00F9482B"/>
    <w:rsid w:val="00F9712F"/>
    <w:rsid w:val="00F97C08"/>
    <w:rsid w:val="00FA1078"/>
    <w:rsid w:val="00FA16FD"/>
    <w:rsid w:val="00FA1E74"/>
    <w:rsid w:val="00FA3A7E"/>
    <w:rsid w:val="00FA5445"/>
    <w:rsid w:val="00FA54C6"/>
    <w:rsid w:val="00FB02A1"/>
    <w:rsid w:val="00FB0992"/>
    <w:rsid w:val="00FB2254"/>
    <w:rsid w:val="00FB3DF8"/>
    <w:rsid w:val="00FB573E"/>
    <w:rsid w:val="00FC06B8"/>
    <w:rsid w:val="00FC11C9"/>
    <w:rsid w:val="00FC1E44"/>
    <w:rsid w:val="00FC51DD"/>
    <w:rsid w:val="00FC5B26"/>
    <w:rsid w:val="00FD0A3E"/>
    <w:rsid w:val="00FD2720"/>
    <w:rsid w:val="00FD375F"/>
    <w:rsid w:val="00FD3F09"/>
    <w:rsid w:val="00FE27B4"/>
    <w:rsid w:val="00FE69F7"/>
    <w:rsid w:val="00FF1F2D"/>
    <w:rsid w:val="00FF29F4"/>
    <w:rsid w:val="00FF2F45"/>
    <w:rsid w:val="00FF398E"/>
    <w:rsid w:val="00FF49B4"/>
    <w:rsid w:val="0116721B"/>
    <w:rsid w:val="015D6500"/>
    <w:rsid w:val="018966E2"/>
    <w:rsid w:val="018E6BBB"/>
    <w:rsid w:val="01906663"/>
    <w:rsid w:val="019A2CEB"/>
    <w:rsid w:val="01B763DE"/>
    <w:rsid w:val="01BE1520"/>
    <w:rsid w:val="01D53B29"/>
    <w:rsid w:val="01DC7122"/>
    <w:rsid w:val="01E24C01"/>
    <w:rsid w:val="01EF3D2D"/>
    <w:rsid w:val="0215549A"/>
    <w:rsid w:val="021B3C1A"/>
    <w:rsid w:val="02681CB5"/>
    <w:rsid w:val="029B3D65"/>
    <w:rsid w:val="02B706CA"/>
    <w:rsid w:val="02C02B0B"/>
    <w:rsid w:val="02CA0A21"/>
    <w:rsid w:val="02CA34CE"/>
    <w:rsid w:val="02D7007D"/>
    <w:rsid w:val="02ED62A7"/>
    <w:rsid w:val="02FC5B90"/>
    <w:rsid w:val="032115CC"/>
    <w:rsid w:val="035018DA"/>
    <w:rsid w:val="035F3F4D"/>
    <w:rsid w:val="03813363"/>
    <w:rsid w:val="03D340F7"/>
    <w:rsid w:val="040573AB"/>
    <w:rsid w:val="04204F45"/>
    <w:rsid w:val="0439535F"/>
    <w:rsid w:val="043D68BD"/>
    <w:rsid w:val="044E5BB7"/>
    <w:rsid w:val="045C02B7"/>
    <w:rsid w:val="04607108"/>
    <w:rsid w:val="0469216F"/>
    <w:rsid w:val="046B28E7"/>
    <w:rsid w:val="0473478D"/>
    <w:rsid w:val="04854128"/>
    <w:rsid w:val="04A10131"/>
    <w:rsid w:val="04A35768"/>
    <w:rsid w:val="04C12B8B"/>
    <w:rsid w:val="05055064"/>
    <w:rsid w:val="05423EC4"/>
    <w:rsid w:val="054C1098"/>
    <w:rsid w:val="05A56C7D"/>
    <w:rsid w:val="05AE31EB"/>
    <w:rsid w:val="05B17F9E"/>
    <w:rsid w:val="05D800A1"/>
    <w:rsid w:val="05DC63D6"/>
    <w:rsid w:val="062A7DD5"/>
    <w:rsid w:val="06432556"/>
    <w:rsid w:val="06542F5B"/>
    <w:rsid w:val="06620D04"/>
    <w:rsid w:val="066822E5"/>
    <w:rsid w:val="067F5C58"/>
    <w:rsid w:val="06AB5156"/>
    <w:rsid w:val="06B34EB3"/>
    <w:rsid w:val="06BC2283"/>
    <w:rsid w:val="06C072C7"/>
    <w:rsid w:val="06C34A71"/>
    <w:rsid w:val="06E457DA"/>
    <w:rsid w:val="06E53983"/>
    <w:rsid w:val="07002A4F"/>
    <w:rsid w:val="07100DD0"/>
    <w:rsid w:val="0718448D"/>
    <w:rsid w:val="071E694B"/>
    <w:rsid w:val="072726E4"/>
    <w:rsid w:val="072D667F"/>
    <w:rsid w:val="07422DA7"/>
    <w:rsid w:val="0759781D"/>
    <w:rsid w:val="075A5741"/>
    <w:rsid w:val="075E36F1"/>
    <w:rsid w:val="075F3EF3"/>
    <w:rsid w:val="0766337B"/>
    <w:rsid w:val="077212FD"/>
    <w:rsid w:val="077B17F0"/>
    <w:rsid w:val="078516BA"/>
    <w:rsid w:val="079C3C62"/>
    <w:rsid w:val="07E11087"/>
    <w:rsid w:val="07E22EBD"/>
    <w:rsid w:val="07E572CB"/>
    <w:rsid w:val="07EA76D4"/>
    <w:rsid w:val="07FA2D56"/>
    <w:rsid w:val="08024DB3"/>
    <w:rsid w:val="08167BF1"/>
    <w:rsid w:val="08341C14"/>
    <w:rsid w:val="08346CCF"/>
    <w:rsid w:val="08515EAF"/>
    <w:rsid w:val="0854453D"/>
    <w:rsid w:val="085519A3"/>
    <w:rsid w:val="0893031F"/>
    <w:rsid w:val="08931EE1"/>
    <w:rsid w:val="08947DD1"/>
    <w:rsid w:val="08C72F61"/>
    <w:rsid w:val="08E43AB8"/>
    <w:rsid w:val="08E80E2C"/>
    <w:rsid w:val="09071FE5"/>
    <w:rsid w:val="09073629"/>
    <w:rsid w:val="091361A6"/>
    <w:rsid w:val="091737D9"/>
    <w:rsid w:val="093640FB"/>
    <w:rsid w:val="093C56FD"/>
    <w:rsid w:val="097F19A3"/>
    <w:rsid w:val="09CB2583"/>
    <w:rsid w:val="09CD1175"/>
    <w:rsid w:val="09DB1897"/>
    <w:rsid w:val="0A204877"/>
    <w:rsid w:val="0A255E9C"/>
    <w:rsid w:val="0A2F38BD"/>
    <w:rsid w:val="0A372EF9"/>
    <w:rsid w:val="0A377BF5"/>
    <w:rsid w:val="0A3B188C"/>
    <w:rsid w:val="0A4505E1"/>
    <w:rsid w:val="0A4535DA"/>
    <w:rsid w:val="0A590549"/>
    <w:rsid w:val="0A710A8F"/>
    <w:rsid w:val="0A9E6909"/>
    <w:rsid w:val="0AA20B30"/>
    <w:rsid w:val="0AAA4F94"/>
    <w:rsid w:val="0AAD5C9E"/>
    <w:rsid w:val="0AC4409C"/>
    <w:rsid w:val="0AEA395C"/>
    <w:rsid w:val="0AF724A5"/>
    <w:rsid w:val="0AF85654"/>
    <w:rsid w:val="0AF95039"/>
    <w:rsid w:val="0AFF6639"/>
    <w:rsid w:val="0B084399"/>
    <w:rsid w:val="0B122E98"/>
    <w:rsid w:val="0B1A74EF"/>
    <w:rsid w:val="0B5943E0"/>
    <w:rsid w:val="0B5B1E3B"/>
    <w:rsid w:val="0B8B28A0"/>
    <w:rsid w:val="0BB934F3"/>
    <w:rsid w:val="0BBE689D"/>
    <w:rsid w:val="0BD15663"/>
    <w:rsid w:val="0BDF05C2"/>
    <w:rsid w:val="0BE65FBB"/>
    <w:rsid w:val="0C000FF1"/>
    <w:rsid w:val="0C181D73"/>
    <w:rsid w:val="0C295BE0"/>
    <w:rsid w:val="0C2F5910"/>
    <w:rsid w:val="0C3636A8"/>
    <w:rsid w:val="0C666D65"/>
    <w:rsid w:val="0C725E04"/>
    <w:rsid w:val="0C8A2C23"/>
    <w:rsid w:val="0C9B7698"/>
    <w:rsid w:val="0C9C64B3"/>
    <w:rsid w:val="0CB37644"/>
    <w:rsid w:val="0CDA0458"/>
    <w:rsid w:val="0CE117D7"/>
    <w:rsid w:val="0CE560AB"/>
    <w:rsid w:val="0CF072B0"/>
    <w:rsid w:val="0D083FD1"/>
    <w:rsid w:val="0D4C30B2"/>
    <w:rsid w:val="0D4E5D05"/>
    <w:rsid w:val="0D5005DB"/>
    <w:rsid w:val="0D5D77B6"/>
    <w:rsid w:val="0D7F7790"/>
    <w:rsid w:val="0D8B0AA3"/>
    <w:rsid w:val="0DAF12D7"/>
    <w:rsid w:val="0DE82AD4"/>
    <w:rsid w:val="0DF447F8"/>
    <w:rsid w:val="0DFE6D5B"/>
    <w:rsid w:val="0E071122"/>
    <w:rsid w:val="0E0A7650"/>
    <w:rsid w:val="0E24774A"/>
    <w:rsid w:val="0E3A35A8"/>
    <w:rsid w:val="0E4B0794"/>
    <w:rsid w:val="0E517894"/>
    <w:rsid w:val="0E5F645B"/>
    <w:rsid w:val="0E68167C"/>
    <w:rsid w:val="0E93746D"/>
    <w:rsid w:val="0EAA055A"/>
    <w:rsid w:val="0EAA1764"/>
    <w:rsid w:val="0EC1535F"/>
    <w:rsid w:val="0ECE56C7"/>
    <w:rsid w:val="0EEB7B93"/>
    <w:rsid w:val="0EFD07C8"/>
    <w:rsid w:val="0F190BDE"/>
    <w:rsid w:val="0F1A36D2"/>
    <w:rsid w:val="0F1E3ED5"/>
    <w:rsid w:val="0F225469"/>
    <w:rsid w:val="0F242670"/>
    <w:rsid w:val="0F3A1391"/>
    <w:rsid w:val="0F583303"/>
    <w:rsid w:val="0F936C10"/>
    <w:rsid w:val="0F9763F7"/>
    <w:rsid w:val="0FA745E7"/>
    <w:rsid w:val="0FB249F2"/>
    <w:rsid w:val="0FCA105F"/>
    <w:rsid w:val="10086DFA"/>
    <w:rsid w:val="100A6BC8"/>
    <w:rsid w:val="10182AF8"/>
    <w:rsid w:val="10373737"/>
    <w:rsid w:val="1048610F"/>
    <w:rsid w:val="1074572F"/>
    <w:rsid w:val="108654B0"/>
    <w:rsid w:val="10A557CF"/>
    <w:rsid w:val="10AA21DC"/>
    <w:rsid w:val="10C23908"/>
    <w:rsid w:val="111573C2"/>
    <w:rsid w:val="11182FC4"/>
    <w:rsid w:val="11481889"/>
    <w:rsid w:val="115F467E"/>
    <w:rsid w:val="11830C21"/>
    <w:rsid w:val="119476C5"/>
    <w:rsid w:val="119D6F55"/>
    <w:rsid w:val="11A566CD"/>
    <w:rsid w:val="11AF00D3"/>
    <w:rsid w:val="11F1627E"/>
    <w:rsid w:val="11F92208"/>
    <w:rsid w:val="1202350F"/>
    <w:rsid w:val="124D51F0"/>
    <w:rsid w:val="12747EAA"/>
    <w:rsid w:val="127E68C4"/>
    <w:rsid w:val="128E6E57"/>
    <w:rsid w:val="12B501C2"/>
    <w:rsid w:val="12B80A24"/>
    <w:rsid w:val="12BC08D8"/>
    <w:rsid w:val="12CA2983"/>
    <w:rsid w:val="12E21729"/>
    <w:rsid w:val="12E32965"/>
    <w:rsid w:val="12E7388D"/>
    <w:rsid w:val="12EA61CA"/>
    <w:rsid w:val="13004D07"/>
    <w:rsid w:val="13037E7F"/>
    <w:rsid w:val="130A7705"/>
    <w:rsid w:val="1343207E"/>
    <w:rsid w:val="134A5D52"/>
    <w:rsid w:val="135A7FD2"/>
    <w:rsid w:val="135B364C"/>
    <w:rsid w:val="137C2C39"/>
    <w:rsid w:val="13861EF7"/>
    <w:rsid w:val="138D2BB9"/>
    <w:rsid w:val="139139E7"/>
    <w:rsid w:val="13931988"/>
    <w:rsid w:val="13950682"/>
    <w:rsid w:val="13985E83"/>
    <w:rsid w:val="13A7463A"/>
    <w:rsid w:val="13BF36CF"/>
    <w:rsid w:val="13D86BC1"/>
    <w:rsid w:val="13EB0E89"/>
    <w:rsid w:val="141316F0"/>
    <w:rsid w:val="141D3D7B"/>
    <w:rsid w:val="14262E25"/>
    <w:rsid w:val="142E658A"/>
    <w:rsid w:val="142F45DC"/>
    <w:rsid w:val="14360868"/>
    <w:rsid w:val="144960A8"/>
    <w:rsid w:val="145B00E2"/>
    <w:rsid w:val="14682B04"/>
    <w:rsid w:val="14704590"/>
    <w:rsid w:val="14723E76"/>
    <w:rsid w:val="148054E2"/>
    <w:rsid w:val="149779AD"/>
    <w:rsid w:val="14AD235F"/>
    <w:rsid w:val="14D60687"/>
    <w:rsid w:val="14DE3563"/>
    <w:rsid w:val="14E11116"/>
    <w:rsid w:val="14E158E7"/>
    <w:rsid w:val="14E769CB"/>
    <w:rsid w:val="14EA3909"/>
    <w:rsid w:val="14F872A7"/>
    <w:rsid w:val="150B7589"/>
    <w:rsid w:val="151D26E3"/>
    <w:rsid w:val="151E2FAF"/>
    <w:rsid w:val="15285BCB"/>
    <w:rsid w:val="153623B0"/>
    <w:rsid w:val="15420ACA"/>
    <w:rsid w:val="15576C5E"/>
    <w:rsid w:val="15632701"/>
    <w:rsid w:val="156C2EC6"/>
    <w:rsid w:val="157C12BD"/>
    <w:rsid w:val="157E2DEF"/>
    <w:rsid w:val="158665C4"/>
    <w:rsid w:val="158B2FB9"/>
    <w:rsid w:val="15995DC4"/>
    <w:rsid w:val="15D92DDD"/>
    <w:rsid w:val="15DB004C"/>
    <w:rsid w:val="15EF3AA5"/>
    <w:rsid w:val="15F031B5"/>
    <w:rsid w:val="15FE0FDC"/>
    <w:rsid w:val="16343790"/>
    <w:rsid w:val="164C1178"/>
    <w:rsid w:val="165E6240"/>
    <w:rsid w:val="1672710E"/>
    <w:rsid w:val="1689179C"/>
    <w:rsid w:val="1693787E"/>
    <w:rsid w:val="16B556EF"/>
    <w:rsid w:val="16B62878"/>
    <w:rsid w:val="16C13555"/>
    <w:rsid w:val="16D61656"/>
    <w:rsid w:val="17141B46"/>
    <w:rsid w:val="172F6689"/>
    <w:rsid w:val="175413E1"/>
    <w:rsid w:val="17680005"/>
    <w:rsid w:val="17757F04"/>
    <w:rsid w:val="177A138D"/>
    <w:rsid w:val="17852965"/>
    <w:rsid w:val="17882F3C"/>
    <w:rsid w:val="178F2FEA"/>
    <w:rsid w:val="17B00FAE"/>
    <w:rsid w:val="17B772AD"/>
    <w:rsid w:val="17CA7E64"/>
    <w:rsid w:val="17D36936"/>
    <w:rsid w:val="17E036B6"/>
    <w:rsid w:val="18203C4A"/>
    <w:rsid w:val="1831151E"/>
    <w:rsid w:val="184A4E79"/>
    <w:rsid w:val="185540E5"/>
    <w:rsid w:val="18556FC4"/>
    <w:rsid w:val="18812683"/>
    <w:rsid w:val="18866763"/>
    <w:rsid w:val="18941A8B"/>
    <w:rsid w:val="18971C31"/>
    <w:rsid w:val="18BE0471"/>
    <w:rsid w:val="18E27A9F"/>
    <w:rsid w:val="18ED58EB"/>
    <w:rsid w:val="191023FF"/>
    <w:rsid w:val="19275F06"/>
    <w:rsid w:val="192B12EA"/>
    <w:rsid w:val="194A5943"/>
    <w:rsid w:val="196F567B"/>
    <w:rsid w:val="19832ED4"/>
    <w:rsid w:val="198D67AA"/>
    <w:rsid w:val="19A1688A"/>
    <w:rsid w:val="19AC4508"/>
    <w:rsid w:val="19B36B33"/>
    <w:rsid w:val="19D4420B"/>
    <w:rsid w:val="19D463FB"/>
    <w:rsid w:val="19D7691C"/>
    <w:rsid w:val="19E063CD"/>
    <w:rsid w:val="19E41A3F"/>
    <w:rsid w:val="19EB1E2A"/>
    <w:rsid w:val="1A005C8A"/>
    <w:rsid w:val="1A011838"/>
    <w:rsid w:val="1A063673"/>
    <w:rsid w:val="1A352268"/>
    <w:rsid w:val="1A390A36"/>
    <w:rsid w:val="1A4B5895"/>
    <w:rsid w:val="1A507B8B"/>
    <w:rsid w:val="1A575AC8"/>
    <w:rsid w:val="1A6A4F0E"/>
    <w:rsid w:val="1A6C501B"/>
    <w:rsid w:val="1A7D55F7"/>
    <w:rsid w:val="1A914029"/>
    <w:rsid w:val="1A9D74A6"/>
    <w:rsid w:val="1AD31C39"/>
    <w:rsid w:val="1AE612FF"/>
    <w:rsid w:val="1AF21901"/>
    <w:rsid w:val="1AFF3716"/>
    <w:rsid w:val="1B085AC6"/>
    <w:rsid w:val="1B150D45"/>
    <w:rsid w:val="1B1740B3"/>
    <w:rsid w:val="1B1E635B"/>
    <w:rsid w:val="1B3B1CB8"/>
    <w:rsid w:val="1B3B3924"/>
    <w:rsid w:val="1B4E215B"/>
    <w:rsid w:val="1B552AFE"/>
    <w:rsid w:val="1B6923B6"/>
    <w:rsid w:val="1B8317C8"/>
    <w:rsid w:val="1B9E5DA3"/>
    <w:rsid w:val="1BEA176C"/>
    <w:rsid w:val="1BF20A30"/>
    <w:rsid w:val="1C2672F0"/>
    <w:rsid w:val="1C33197B"/>
    <w:rsid w:val="1C5F22F1"/>
    <w:rsid w:val="1C694506"/>
    <w:rsid w:val="1C7C335E"/>
    <w:rsid w:val="1C8054A9"/>
    <w:rsid w:val="1CC959DE"/>
    <w:rsid w:val="1CCD67BE"/>
    <w:rsid w:val="1CEB1101"/>
    <w:rsid w:val="1CF319D1"/>
    <w:rsid w:val="1D08683B"/>
    <w:rsid w:val="1D193D78"/>
    <w:rsid w:val="1D3508F5"/>
    <w:rsid w:val="1D394B35"/>
    <w:rsid w:val="1D3D5BF4"/>
    <w:rsid w:val="1D3F3064"/>
    <w:rsid w:val="1D43117C"/>
    <w:rsid w:val="1D4B2BC1"/>
    <w:rsid w:val="1D6911A3"/>
    <w:rsid w:val="1D695127"/>
    <w:rsid w:val="1D7D680A"/>
    <w:rsid w:val="1D8A479B"/>
    <w:rsid w:val="1D8C03C2"/>
    <w:rsid w:val="1D9E1C57"/>
    <w:rsid w:val="1DAD7104"/>
    <w:rsid w:val="1DAF3536"/>
    <w:rsid w:val="1DB018CF"/>
    <w:rsid w:val="1DB156F3"/>
    <w:rsid w:val="1DBF5B11"/>
    <w:rsid w:val="1DC05368"/>
    <w:rsid w:val="1DC1150C"/>
    <w:rsid w:val="1DD457BD"/>
    <w:rsid w:val="1DF55E56"/>
    <w:rsid w:val="1E096999"/>
    <w:rsid w:val="1E1B02D9"/>
    <w:rsid w:val="1E394AA5"/>
    <w:rsid w:val="1E503439"/>
    <w:rsid w:val="1E71582A"/>
    <w:rsid w:val="1F1C048A"/>
    <w:rsid w:val="1F20009E"/>
    <w:rsid w:val="1F40423A"/>
    <w:rsid w:val="1F575D56"/>
    <w:rsid w:val="1F6B3D9D"/>
    <w:rsid w:val="1F82049B"/>
    <w:rsid w:val="1F831014"/>
    <w:rsid w:val="1F8654CC"/>
    <w:rsid w:val="1FCD6C57"/>
    <w:rsid w:val="200B777F"/>
    <w:rsid w:val="200C041C"/>
    <w:rsid w:val="20124FB2"/>
    <w:rsid w:val="20231199"/>
    <w:rsid w:val="20232D1B"/>
    <w:rsid w:val="205C7FDB"/>
    <w:rsid w:val="2060354F"/>
    <w:rsid w:val="2062647F"/>
    <w:rsid w:val="20711CD8"/>
    <w:rsid w:val="207F7DA5"/>
    <w:rsid w:val="20925C47"/>
    <w:rsid w:val="20995593"/>
    <w:rsid w:val="20B4309F"/>
    <w:rsid w:val="20C0450F"/>
    <w:rsid w:val="20C50302"/>
    <w:rsid w:val="20D27F57"/>
    <w:rsid w:val="20D7056E"/>
    <w:rsid w:val="20E174CD"/>
    <w:rsid w:val="20EE062D"/>
    <w:rsid w:val="20FA3829"/>
    <w:rsid w:val="20FB6C28"/>
    <w:rsid w:val="20FC3C98"/>
    <w:rsid w:val="2106758C"/>
    <w:rsid w:val="21082523"/>
    <w:rsid w:val="211F0265"/>
    <w:rsid w:val="211F530E"/>
    <w:rsid w:val="212111FC"/>
    <w:rsid w:val="214B581D"/>
    <w:rsid w:val="21501739"/>
    <w:rsid w:val="21591452"/>
    <w:rsid w:val="21690939"/>
    <w:rsid w:val="216D5B78"/>
    <w:rsid w:val="2177335A"/>
    <w:rsid w:val="2178141F"/>
    <w:rsid w:val="21A456FD"/>
    <w:rsid w:val="21B62DD0"/>
    <w:rsid w:val="21BB00F0"/>
    <w:rsid w:val="21C24669"/>
    <w:rsid w:val="2232062C"/>
    <w:rsid w:val="223C67F4"/>
    <w:rsid w:val="224669FA"/>
    <w:rsid w:val="22533075"/>
    <w:rsid w:val="225D3BF3"/>
    <w:rsid w:val="2260284D"/>
    <w:rsid w:val="22684F70"/>
    <w:rsid w:val="22A615C6"/>
    <w:rsid w:val="22A710BA"/>
    <w:rsid w:val="22B43642"/>
    <w:rsid w:val="22BD7176"/>
    <w:rsid w:val="22E05D1F"/>
    <w:rsid w:val="22ED0A04"/>
    <w:rsid w:val="22EF3423"/>
    <w:rsid w:val="23002A9A"/>
    <w:rsid w:val="23023B35"/>
    <w:rsid w:val="230F0D84"/>
    <w:rsid w:val="233C0B94"/>
    <w:rsid w:val="233D4101"/>
    <w:rsid w:val="23562EF0"/>
    <w:rsid w:val="23594017"/>
    <w:rsid w:val="23655114"/>
    <w:rsid w:val="23696C97"/>
    <w:rsid w:val="236F5190"/>
    <w:rsid w:val="23832A0A"/>
    <w:rsid w:val="239006C7"/>
    <w:rsid w:val="23B21A9D"/>
    <w:rsid w:val="23B32837"/>
    <w:rsid w:val="23CE2152"/>
    <w:rsid w:val="2416550E"/>
    <w:rsid w:val="241D5C15"/>
    <w:rsid w:val="243C434E"/>
    <w:rsid w:val="246B6A3F"/>
    <w:rsid w:val="246C1AE4"/>
    <w:rsid w:val="24813198"/>
    <w:rsid w:val="249C1E11"/>
    <w:rsid w:val="24A54395"/>
    <w:rsid w:val="24A667D2"/>
    <w:rsid w:val="24AF2B3A"/>
    <w:rsid w:val="24BA6A12"/>
    <w:rsid w:val="24C47881"/>
    <w:rsid w:val="24C745BD"/>
    <w:rsid w:val="24CD5B13"/>
    <w:rsid w:val="24E37464"/>
    <w:rsid w:val="24E758CB"/>
    <w:rsid w:val="24EE7D9B"/>
    <w:rsid w:val="24F13DEA"/>
    <w:rsid w:val="24F430E0"/>
    <w:rsid w:val="250232CD"/>
    <w:rsid w:val="250A7405"/>
    <w:rsid w:val="25320ED8"/>
    <w:rsid w:val="25355902"/>
    <w:rsid w:val="25453475"/>
    <w:rsid w:val="2562533C"/>
    <w:rsid w:val="25694473"/>
    <w:rsid w:val="256C728C"/>
    <w:rsid w:val="257A796F"/>
    <w:rsid w:val="258D7A1F"/>
    <w:rsid w:val="25975FEE"/>
    <w:rsid w:val="259B306F"/>
    <w:rsid w:val="25A8619C"/>
    <w:rsid w:val="25C03191"/>
    <w:rsid w:val="25E22D30"/>
    <w:rsid w:val="25E66CC5"/>
    <w:rsid w:val="25F15CDE"/>
    <w:rsid w:val="26144281"/>
    <w:rsid w:val="262C69FC"/>
    <w:rsid w:val="263F3057"/>
    <w:rsid w:val="26437292"/>
    <w:rsid w:val="26524220"/>
    <w:rsid w:val="26583846"/>
    <w:rsid w:val="266F5AD5"/>
    <w:rsid w:val="267312CC"/>
    <w:rsid w:val="26BC17D3"/>
    <w:rsid w:val="26C534A7"/>
    <w:rsid w:val="26D1146C"/>
    <w:rsid w:val="26D63BF7"/>
    <w:rsid w:val="271D2989"/>
    <w:rsid w:val="2727453A"/>
    <w:rsid w:val="27387112"/>
    <w:rsid w:val="27705F34"/>
    <w:rsid w:val="27870033"/>
    <w:rsid w:val="27A531B2"/>
    <w:rsid w:val="27BB07C7"/>
    <w:rsid w:val="27C1081B"/>
    <w:rsid w:val="27EB2F09"/>
    <w:rsid w:val="27F27DA4"/>
    <w:rsid w:val="28017DE6"/>
    <w:rsid w:val="28381790"/>
    <w:rsid w:val="28460951"/>
    <w:rsid w:val="284F6542"/>
    <w:rsid w:val="28524094"/>
    <w:rsid w:val="28581A20"/>
    <w:rsid w:val="28626160"/>
    <w:rsid w:val="286959CE"/>
    <w:rsid w:val="286B41F2"/>
    <w:rsid w:val="288024B4"/>
    <w:rsid w:val="288556CC"/>
    <w:rsid w:val="288822B5"/>
    <w:rsid w:val="28AE0322"/>
    <w:rsid w:val="28E45402"/>
    <w:rsid w:val="290D2E15"/>
    <w:rsid w:val="29206387"/>
    <w:rsid w:val="292F62E8"/>
    <w:rsid w:val="29507157"/>
    <w:rsid w:val="295201CD"/>
    <w:rsid w:val="29652B4F"/>
    <w:rsid w:val="296B3AE6"/>
    <w:rsid w:val="29724EB0"/>
    <w:rsid w:val="297C1750"/>
    <w:rsid w:val="299C5322"/>
    <w:rsid w:val="29AD357F"/>
    <w:rsid w:val="29B913E0"/>
    <w:rsid w:val="29C3073C"/>
    <w:rsid w:val="29CE7CDA"/>
    <w:rsid w:val="29D66833"/>
    <w:rsid w:val="2A1C25CC"/>
    <w:rsid w:val="2A3F4BF5"/>
    <w:rsid w:val="2A4E194B"/>
    <w:rsid w:val="2A8730C1"/>
    <w:rsid w:val="2A900FAD"/>
    <w:rsid w:val="2AD76BDC"/>
    <w:rsid w:val="2AE476D8"/>
    <w:rsid w:val="2AF71071"/>
    <w:rsid w:val="2AF72697"/>
    <w:rsid w:val="2AFC349E"/>
    <w:rsid w:val="2B111E63"/>
    <w:rsid w:val="2B412A8F"/>
    <w:rsid w:val="2B4F554B"/>
    <w:rsid w:val="2B7D7783"/>
    <w:rsid w:val="2B7E343E"/>
    <w:rsid w:val="2B8A50D2"/>
    <w:rsid w:val="2BA9008F"/>
    <w:rsid w:val="2BAD4B0D"/>
    <w:rsid w:val="2BB30DC0"/>
    <w:rsid w:val="2BC67F75"/>
    <w:rsid w:val="2BE54B1D"/>
    <w:rsid w:val="2BEE242F"/>
    <w:rsid w:val="2BF17BDD"/>
    <w:rsid w:val="2C05059D"/>
    <w:rsid w:val="2C1A1120"/>
    <w:rsid w:val="2C502C83"/>
    <w:rsid w:val="2C602936"/>
    <w:rsid w:val="2C610E53"/>
    <w:rsid w:val="2C7414E9"/>
    <w:rsid w:val="2C7A7AE7"/>
    <w:rsid w:val="2C8763E0"/>
    <w:rsid w:val="2C8A3ED2"/>
    <w:rsid w:val="2C943D30"/>
    <w:rsid w:val="2CA74FD3"/>
    <w:rsid w:val="2CB13136"/>
    <w:rsid w:val="2CB76563"/>
    <w:rsid w:val="2CD036DD"/>
    <w:rsid w:val="2CE97C95"/>
    <w:rsid w:val="2CEE5FA7"/>
    <w:rsid w:val="2CF45A68"/>
    <w:rsid w:val="2CF560B4"/>
    <w:rsid w:val="2D1050E9"/>
    <w:rsid w:val="2D202ABC"/>
    <w:rsid w:val="2D253992"/>
    <w:rsid w:val="2D322C0E"/>
    <w:rsid w:val="2D510EC7"/>
    <w:rsid w:val="2D663463"/>
    <w:rsid w:val="2D6849E6"/>
    <w:rsid w:val="2D760252"/>
    <w:rsid w:val="2D870D8D"/>
    <w:rsid w:val="2DC241B3"/>
    <w:rsid w:val="2DCD5BD1"/>
    <w:rsid w:val="2DD50762"/>
    <w:rsid w:val="2DD65871"/>
    <w:rsid w:val="2DDD5F57"/>
    <w:rsid w:val="2DE36CDD"/>
    <w:rsid w:val="2DEC7221"/>
    <w:rsid w:val="2DFC6A2D"/>
    <w:rsid w:val="2DFF2861"/>
    <w:rsid w:val="2E15680E"/>
    <w:rsid w:val="2E191ACB"/>
    <w:rsid w:val="2E256E5F"/>
    <w:rsid w:val="2E536792"/>
    <w:rsid w:val="2E5F7614"/>
    <w:rsid w:val="2E8D54C0"/>
    <w:rsid w:val="2EA16A1B"/>
    <w:rsid w:val="2EA35CB5"/>
    <w:rsid w:val="2EAB6F96"/>
    <w:rsid w:val="2EE527DD"/>
    <w:rsid w:val="2EFB0A2C"/>
    <w:rsid w:val="2F0C2CED"/>
    <w:rsid w:val="2F210DFA"/>
    <w:rsid w:val="2F25682C"/>
    <w:rsid w:val="2F3807F3"/>
    <w:rsid w:val="2F5838BC"/>
    <w:rsid w:val="2F5C1DA5"/>
    <w:rsid w:val="2F7F62E2"/>
    <w:rsid w:val="2F8049A5"/>
    <w:rsid w:val="2F8D1332"/>
    <w:rsid w:val="2F9C1D8B"/>
    <w:rsid w:val="2FA10281"/>
    <w:rsid w:val="2FB533DF"/>
    <w:rsid w:val="2FB852EB"/>
    <w:rsid w:val="2FF42F8E"/>
    <w:rsid w:val="2FF92356"/>
    <w:rsid w:val="302D5453"/>
    <w:rsid w:val="303D6CDA"/>
    <w:rsid w:val="3062264C"/>
    <w:rsid w:val="30786340"/>
    <w:rsid w:val="30814C0B"/>
    <w:rsid w:val="3088716F"/>
    <w:rsid w:val="308A76EE"/>
    <w:rsid w:val="308B54DC"/>
    <w:rsid w:val="30A00A33"/>
    <w:rsid w:val="30CE4D69"/>
    <w:rsid w:val="30D81900"/>
    <w:rsid w:val="30FC28C9"/>
    <w:rsid w:val="310A1A91"/>
    <w:rsid w:val="31317742"/>
    <w:rsid w:val="31494143"/>
    <w:rsid w:val="3178160E"/>
    <w:rsid w:val="31977428"/>
    <w:rsid w:val="31994BEB"/>
    <w:rsid w:val="31B4024B"/>
    <w:rsid w:val="31B42060"/>
    <w:rsid w:val="31C478AD"/>
    <w:rsid w:val="31CB0685"/>
    <w:rsid w:val="31CE7424"/>
    <w:rsid w:val="31D56771"/>
    <w:rsid w:val="31D603B5"/>
    <w:rsid w:val="31DB0833"/>
    <w:rsid w:val="31DF29E0"/>
    <w:rsid w:val="322F11A3"/>
    <w:rsid w:val="32466147"/>
    <w:rsid w:val="32BD6343"/>
    <w:rsid w:val="32CE0CF1"/>
    <w:rsid w:val="32F11663"/>
    <w:rsid w:val="33224951"/>
    <w:rsid w:val="332545C6"/>
    <w:rsid w:val="33314445"/>
    <w:rsid w:val="335214F5"/>
    <w:rsid w:val="335502AA"/>
    <w:rsid w:val="33671257"/>
    <w:rsid w:val="339F3BB0"/>
    <w:rsid w:val="33A43263"/>
    <w:rsid w:val="33AF1934"/>
    <w:rsid w:val="33BA5E84"/>
    <w:rsid w:val="33C723AA"/>
    <w:rsid w:val="33E252B3"/>
    <w:rsid w:val="33F20F2A"/>
    <w:rsid w:val="3429114A"/>
    <w:rsid w:val="342E1D0B"/>
    <w:rsid w:val="34421272"/>
    <w:rsid w:val="346F1ACC"/>
    <w:rsid w:val="34A21A54"/>
    <w:rsid w:val="34B75015"/>
    <w:rsid w:val="34C21A8B"/>
    <w:rsid w:val="34C467DC"/>
    <w:rsid w:val="34E20F17"/>
    <w:rsid w:val="34FD36F4"/>
    <w:rsid w:val="350047DC"/>
    <w:rsid w:val="35302CF9"/>
    <w:rsid w:val="35331B32"/>
    <w:rsid w:val="353F6600"/>
    <w:rsid w:val="35577297"/>
    <w:rsid w:val="3564193B"/>
    <w:rsid w:val="35832B5E"/>
    <w:rsid w:val="35837D96"/>
    <w:rsid w:val="35AA0CDE"/>
    <w:rsid w:val="35AA1635"/>
    <w:rsid w:val="35B00E5E"/>
    <w:rsid w:val="35BA007A"/>
    <w:rsid w:val="35E62A4F"/>
    <w:rsid w:val="35E7428C"/>
    <w:rsid w:val="35FB7349"/>
    <w:rsid w:val="36013477"/>
    <w:rsid w:val="36486BE0"/>
    <w:rsid w:val="366478CA"/>
    <w:rsid w:val="366D19F9"/>
    <w:rsid w:val="36881890"/>
    <w:rsid w:val="36937F53"/>
    <w:rsid w:val="36C25ECB"/>
    <w:rsid w:val="36CE09EA"/>
    <w:rsid w:val="36E86E54"/>
    <w:rsid w:val="37012159"/>
    <w:rsid w:val="37056857"/>
    <w:rsid w:val="37353EB6"/>
    <w:rsid w:val="374F723C"/>
    <w:rsid w:val="375E55B3"/>
    <w:rsid w:val="3764739F"/>
    <w:rsid w:val="377D2200"/>
    <w:rsid w:val="37852347"/>
    <w:rsid w:val="37865863"/>
    <w:rsid w:val="37932094"/>
    <w:rsid w:val="37976071"/>
    <w:rsid w:val="379A7005"/>
    <w:rsid w:val="37CC77C2"/>
    <w:rsid w:val="37DE5E7F"/>
    <w:rsid w:val="37E40AEA"/>
    <w:rsid w:val="37EC1FAA"/>
    <w:rsid w:val="37EF7C5B"/>
    <w:rsid w:val="38064CE0"/>
    <w:rsid w:val="381A5444"/>
    <w:rsid w:val="38215A50"/>
    <w:rsid w:val="383A3843"/>
    <w:rsid w:val="38573298"/>
    <w:rsid w:val="3895224D"/>
    <w:rsid w:val="38A64207"/>
    <w:rsid w:val="38AD0122"/>
    <w:rsid w:val="38AE23CB"/>
    <w:rsid w:val="38B85C90"/>
    <w:rsid w:val="38B8729C"/>
    <w:rsid w:val="38FF7BD7"/>
    <w:rsid w:val="39144C73"/>
    <w:rsid w:val="39206E07"/>
    <w:rsid w:val="394815F3"/>
    <w:rsid w:val="395567FB"/>
    <w:rsid w:val="395D2E88"/>
    <w:rsid w:val="39981084"/>
    <w:rsid w:val="39CF0E58"/>
    <w:rsid w:val="39F16B31"/>
    <w:rsid w:val="39FF7C1B"/>
    <w:rsid w:val="3A1E1082"/>
    <w:rsid w:val="3A2236F0"/>
    <w:rsid w:val="3A3A2C30"/>
    <w:rsid w:val="3A6063B0"/>
    <w:rsid w:val="3A7D79DC"/>
    <w:rsid w:val="3A824DB6"/>
    <w:rsid w:val="3A8C4DD1"/>
    <w:rsid w:val="3AC151B3"/>
    <w:rsid w:val="3AC7708E"/>
    <w:rsid w:val="3ACF7908"/>
    <w:rsid w:val="3ADA5ABB"/>
    <w:rsid w:val="3AE26C1E"/>
    <w:rsid w:val="3B0F5EB0"/>
    <w:rsid w:val="3B27451C"/>
    <w:rsid w:val="3B3B11C1"/>
    <w:rsid w:val="3B5800AA"/>
    <w:rsid w:val="3B602185"/>
    <w:rsid w:val="3B6837E2"/>
    <w:rsid w:val="3B6A0881"/>
    <w:rsid w:val="3BBA34E3"/>
    <w:rsid w:val="3BD36F08"/>
    <w:rsid w:val="3BDD578D"/>
    <w:rsid w:val="3BDE3F44"/>
    <w:rsid w:val="3BDF40F8"/>
    <w:rsid w:val="3BE13D5E"/>
    <w:rsid w:val="3BE850ED"/>
    <w:rsid w:val="3BFE4A41"/>
    <w:rsid w:val="3C1D6A67"/>
    <w:rsid w:val="3C304BF7"/>
    <w:rsid w:val="3C403F2F"/>
    <w:rsid w:val="3C661219"/>
    <w:rsid w:val="3C6B5A44"/>
    <w:rsid w:val="3CA67BC8"/>
    <w:rsid w:val="3CBD718B"/>
    <w:rsid w:val="3CC229BF"/>
    <w:rsid w:val="3CD875DD"/>
    <w:rsid w:val="3CFC0234"/>
    <w:rsid w:val="3CFC050D"/>
    <w:rsid w:val="3D1039F4"/>
    <w:rsid w:val="3D1F34F9"/>
    <w:rsid w:val="3D243093"/>
    <w:rsid w:val="3D25238F"/>
    <w:rsid w:val="3D2B072B"/>
    <w:rsid w:val="3D4D0785"/>
    <w:rsid w:val="3D502363"/>
    <w:rsid w:val="3D513400"/>
    <w:rsid w:val="3D5C1FDF"/>
    <w:rsid w:val="3D9F0C48"/>
    <w:rsid w:val="3DB47E3E"/>
    <w:rsid w:val="3DB82B5C"/>
    <w:rsid w:val="3DDA6AD1"/>
    <w:rsid w:val="3DDE542B"/>
    <w:rsid w:val="3E067AAC"/>
    <w:rsid w:val="3E203C09"/>
    <w:rsid w:val="3E42584D"/>
    <w:rsid w:val="3E461661"/>
    <w:rsid w:val="3E4C2A5E"/>
    <w:rsid w:val="3E592E6E"/>
    <w:rsid w:val="3E806F30"/>
    <w:rsid w:val="3E9F78F7"/>
    <w:rsid w:val="3EA730A3"/>
    <w:rsid w:val="3EFF1385"/>
    <w:rsid w:val="3F435E87"/>
    <w:rsid w:val="3F4D69AD"/>
    <w:rsid w:val="3F566811"/>
    <w:rsid w:val="3F6308C4"/>
    <w:rsid w:val="3FC508BF"/>
    <w:rsid w:val="3FE47551"/>
    <w:rsid w:val="4010695E"/>
    <w:rsid w:val="403109EF"/>
    <w:rsid w:val="403355AB"/>
    <w:rsid w:val="403F1053"/>
    <w:rsid w:val="404E3DB4"/>
    <w:rsid w:val="405B156C"/>
    <w:rsid w:val="405D308E"/>
    <w:rsid w:val="4065664E"/>
    <w:rsid w:val="40A16563"/>
    <w:rsid w:val="40D33DB9"/>
    <w:rsid w:val="40D43E92"/>
    <w:rsid w:val="40D5265B"/>
    <w:rsid w:val="40F1732B"/>
    <w:rsid w:val="40F45A6F"/>
    <w:rsid w:val="410246DB"/>
    <w:rsid w:val="412C3817"/>
    <w:rsid w:val="4155573E"/>
    <w:rsid w:val="415A0A7F"/>
    <w:rsid w:val="41656248"/>
    <w:rsid w:val="41684CBB"/>
    <w:rsid w:val="416E6FA1"/>
    <w:rsid w:val="41763222"/>
    <w:rsid w:val="41825B76"/>
    <w:rsid w:val="41950D12"/>
    <w:rsid w:val="41B13DAB"/>
    <w:rsid w:val="41B55807"/>
    <w:rsid w:val="41CF7AB2"/>
    <w:rsid w:val="41E424C0"/>
    <w:rsid w:val="41F848C7"/>
    <w:rsid w:val="421A369E"/>
    <w:rsid w:val="4223641B"/>
    <w:rsid w:val="423555C0"/>
    <w:rsid w:val="423C13A1"/>
    <w:rsid w:val="42456971"/>
    <w:rsid w:val="426E269A"/>
    <w:rsid w:val="42877E24"/>
    <w:rsid w:val="428C644F"/>
    <w:rsid w:val="42921694"/>
    <w:rsid w:val="42AC4C0A"/>
    <w:rsid w:val="42AD2E20"/>
    <w:rsid w:val="42CC5100"/>
    <w:rsid w:val="42D27F5D"/>
    <w:rsid w:val="42DB0868"/>
    <w:rsid w:val="42E0222C"/>
    <w:rsid w:val="42F078ED"/>
    <w:rsid w:val="431821B1"/>
    <w:rsid w:val="431915BC"/>
    <w:rsid w:val="43434567"/>
    <w:rsid w:val="4371301B"/>
    <w:rsid w:val="43730AB0"/>
    <w:rsid w:val="437D49AC"/>
    <w:rsid w:val="438433F4"/>
    <w:rsid w:val="438D54E0"/>
    <w:rsid w:val="439E60B3"/>
    <w:rsid w:val="43A669E4"/>
    <w:rsid w:val="43AC3F83"/>
    <w:rsid w:val="43BC4006"/>
    <w:rsid w:val="43CB1C85"/>
    <w:rsid w:val="43CE1B59"/>
    <w:rsid w:val="43E1649B"/>
    <w:rsid w:val="43E221D3"/>
    <w:rsid w:val="43F07B37"/>
    <w:rsid w:val="43FC0155"/>
    <w:rsid w:val="43FF7077"/>
    <w:rsid w:val="44092324"/>
    <w:rsid w:val="441141A6"/>
    <w:rsid w:val="44130C85"/>
    <w:rsid w:val="44224B19"/>
    <w:rsid w:val="444D53D6"/>
    <w:rsid w:val="44753B35"/>
    <w:rsid w:val="44755D16"/>
    <w:rsid w:val="447F61D9"/>
    <w:rsid w:val="448219D9"/>
    <w:rsid w:val="44825757"/>
    <w:rsid w:val="4487623A"/>
    <w:rsid w:val="449505FC"/>
    <w:rsid w:val="44A06460"/>
    <w:rsid w:val="44C80C38"/>
    <w:rsid w:val="45226B22"/>
    <w:rsid w:val="457C7736"/>
    <w:rsid w:val="45870C2F"/>
    <w:rsid w:val="45A0091B"/>
    <w:rsid w:val="45B1220E"/>
    <w:rsid w:val="45B13BD6"/>
    <w:rsid w:val="45B2395D"/>
    <w:rsid w:val="45B3793D"/>
    <w:rsid w:val="45D26432"/>
    <w:rsid w:val="45D37D55"/>
    <w:rsid w:val="460847F1"/>
    <w:rsid w:val="46485687"/>
    <w:rsid w:val="46664411"/>
    <w:rsid w:val="46694F98"/>
    <w:rsid w:val="46826F9A"/>
    <w:rsid w:val="468414E0"/>
    <w:rsid w:val="468851FF"/>
    <w:rsid w:val="46AF1C0B"/>
    <w:rsid w:val="46CA3AD2"/>
    <w:rsid w:val="46D84902"/>
    <w:rsid w:val="46DB13AA"/>
    <w:rsid w:val="46E34B8D"/>
    <w:rsid w:val="471223E4"/>
    <w:rsid w:val="47480D31"/>
    <w:rsid w:val="47536391"/>
    <w:rsid w:val="475520D1"/>
    <w:rsid w:val="475D4E9F"/>
    <w:rsid w:val="477D2CCA"/>
    <w:rsid w:val="4783411C"/>
    <w:rsid w:val="47992349"/>
    <w:rsid w:val="479B5EF5"/>
    <w:rsid w:val="47A520E4"/>
    <w:rsid w:val="47A60E8E"/>
    <w:rsid w:val="47AB7FEA"/>
    <w:rsid w:val="47C955FC"/>
    <w:rsid w:val="47DD32EA"/>
    <w:rsid w:val="47F84F95"/>
    <w:rsid w:val="48330485"/>
    <w:rsid w:val="48370718"/>
    <w:rsid w:val="48523EE0"/>
    <w:rsid w:val="485D29BF"/>
    <w:rsid w:val="489B7043"/>
    <w:rsid w:val="48AC74A2"/>
    <w:rsid w:val="48BF71D5"/>
    <w:rsid w:val="48D06360"/>
    <w:rsid w:val="48F32E6D"/>
    <w:rsid w:val="490309CB"/>
    <w:rsid w:val="49176DDD"/>
    <w:rsid w:val="492C3F9A"/>
    <w:rsid w:val="493C492D"/>
    <w:rsid w:val="496E58E1"/>
    <w:rsid w:val="498139D2"/>
    <w:rsid w:val="498C1835"/>
    <w:rsid w:val="49A10689"/>
    <w:rsid w:val="49AA0996"/>
    <w:rsid w:val="49CC6861"/>
    <w:rsid w:val="49CD399C"/>
    <w:rsid w:val="49E14D3E"/>
    <w:rsid w:val="49E335D2"/>
    <w:rsid w:val="4A0A0924"/>
    <w:rsid w:val="4A1376F9"/>
    <w:rsid w:val="4A1A0E9F"/>
    <w:rsid w:val="4A6C4586"/>
    <w:rsid w:val="4A8159BA"/>
    <w:rsid w:val="4A8B659A"/>
    <w:rsid w:val="4A9C5AA4"/>
    <w:rsid w:val="4AA27C74"/>
    <w:rsid w:val="4AA64708"/>
    <w:rsid w:val="4AB36943"/>
    <w:rsid w:val="4ABA2887"/>
    <w:rsid w:val="4AD81C77"/>
    <w:rsid w:val="4ADC2AE1"/>
    <w:rsid w:val="4AF30EC8"/>
    <w:rsid w:val="4B116791"/>
    <w:rsid w:val="4B130EAE"/>
    <w:rsid w:val="4B3612FD"/>
    <w:rsid w:val="4B457B89"/>
    <w:rsid w:val="4B50680B"/>
    <w:rsid w:val="4B5E0F27"/>
    <w:rsid w:val="4B6A073A"/>
    <w:rsid w:val="4B773D82"/>
    <w:rsid w:val="4B877645"/>
    <w:rsid w:val="4BA67AF4"/>
    <w:rsid w:val="4BB51C3A"/>
    <w:rsid w:val="4BCF5167"/>
    <w:rsid w:val="4BD66C55"/>
    <w:rsid w:val="4BF22562"/>
    <w:rsid w:val="4C1475C8"/>
    <w:rsid w:val="4C664F49"/>
    <w:rsid w:val="4C6F204A"/>
    <w:rsid w:val="4C913D37"/>
    <w:rsid w:val="4CA31E8C"/>
    <w:rsid w:val="4CB515A8"/>
    <w:rsid w:val="4CB66B41"/>
    <w:rsid w:val="4CDD7C2A"/>
    <w:rsid w:val="4CE13C99"/>
    <w:rsid w:val="4CEB5EDE"/>
    <w:rsid w:val="4D150A90"/>
    <w:rsid w:val="4D7175E9"/>
    <w:rsid w:val="4D732A4C"/>
    <w:rsid w:val="4D7E739B"/>
    <w:rsid w:val="4DA10C51"/>
    <w:rsid w:val="4DA91FD9"/>
    <w:rsid w:val="4DA93185"/>
    <w:rsid w:val="4DB40C45"/>
    <w:rsid w:val="4DB50BA7"/>
    <w:rsid w:val="4DC27B64"/>
    <w:rsid w:val="4DD04557"/>
    <w:rsid w:val="4DFB7717"/>
    <w:rsid w:val="4DFE2E01"/>
    <w:rsid w:val="4E122EAB"/>
    <w:rsid w:val="4E1B4105"/>
    <w:rsid w:val="4E2C749A"/>
    <w:rsid w:val="4E810A89"/>
    <w:rsid w:val="4E941B6A"/>
    <w:rsid w:val="4EA0667D"/>
    <w:rsid w:val="4EC56BC8"/>
    <w:rsid w:val="4ED56F53"/>
    <w:rsid w:val="4EEB015D"/>
    <w:rsid w:val="4EEC416D"/>
    <w:rsid w:val="4EF1538A"/>
    <w:rsid w:val="4EFC66E8"/>
    <w:rsid w:val="4F063F00"/>
    <w:rsid w:val="4F0D18BA"/>
    <w:rsid w:val="4F112281"/>
    <w:rsid w:val="4F176CDE"/>
    <w:rsid w:val="4F31425D"/>
    <w:rsid w:val="4F35328E"/>
    <w:rsid w:val="4F4622BD"/>
    <w:rsid w:val="4F705413"/>
    <w:rsid w:val="4F7D15D5"/>
    <w:rsid w:val="4F826496"/>
    <w:rsid w:val="4F9B208F"/>
    <w:rsid w:val="4FAC24F8"/>
    <w:rsid w:val="4FCC7793"/>
    <w:rsid w:val="4FE40EFF"/>
    <w:rsid w:val="4FEE3BC7"/>
    <w:rsid w:val="4FF56A65"/>
    <w:rsid w:val="50083210"/>
    <w:rsid w:val="500D6A78"/>
    <w:rsid w:val="50156B9F"/>
    <w:rsid w:val="501F1F64"/>
    <w:rsid w:val="50292200"/>
    <w:rsid w:val="502D4446"/>
    <w:rsid w:val="50365133"/>
    <w:rsid w:val="504845D2"/>
    <w:rsid w:val="504A3037"/>
    <w:rsid w:val="505A77E4"/>
    <w:rsid w:val="505F00E3"/>
    <w:rsid w:val="50821C75"/>
    <w:rsid w:val="50835F76"/>
    <w:rsid w:val="50B1333A"/>
    <w:rsid w:val="50BF014C"/>
    <w:rsid w:val="50FB1E1C"/>
    <w:rsid w:val="50FB2BC5"/>
    <w:rsid w:val="511D58A5"/>
    <w:rsid w:val="51306E50"/>
    <w:rsid w:val="51351BA0"/>
    <w:rsid w:val="513D513B"/>
    <w:rsid w:val="515661FD"/>
    <w:rsid w:val="517477D5"/>
    <w:rsid w:val="51763875"/>
    <w:rsid w:val="51805CF3"/>
    <w:rsid w:val="51821571"/>
    <w:rsid w:val="518731EF"/>
    <w:rsid w:val="51A258E6"/>
    <w:rsid w:val="51A67184"/>
    <w:rsid w:val="51D5017E"/>
    <w:rsid w:val="51ED7CDA"/>
    <w:rsid w:val="5201085F"/>
    <w:rsid w:val="52284D9F"/>
    <w:rsid w:val="52333AA7"/>
    <w:rsid w:val="523A5B1F"/>
    <w:rsid w:val="52635075"/>
    <w:rsid w:val="526B627D"/>
    <w:rsid w:val="52797437"/>
    <w:rsid w:val="527A5F1B"/>
    <w:rsid w:val="52D26F3E"/>
    <w:rsid w:val="52D63A99"/>
    <w:rsid w:val="5302499B"/>
    <w:rsid w:val="531C0756"/>
    <w:rsid w:val="532B7B64"/>
    <w:rsid w:val="532F73BA"/>
    <w:rsid w:val="53302440"/>
    <w:rsid w:val="53305333"/>
    <w:rsid w:val="53595699"/>
    <w:rsid w:val="535B67CB"/>
    <w:rsid w:val="535E3EE2"/>
    <w:rsid w:val="536D36EB"/>
    <w:rsid w:val="537D1EC1"/>
    <w:rsid w:val="53807924"/>
    <w:rsid w:val="538A7261"/>
    <w:rsid w:val="53937DD9"/>
    <w:rsid w:val="53A1230F"/>
    <w:rsid w:val="53A81C8D"/>
    <w:rsid w:val="53AB52AC"/>
    <w:rsid w:val="53DA436D"/>
    <w:rsid w:val="53E47AF0"/>
    <w:rsid w:val="540B600F"/>
    <w:rsid w:val="543418D9"/>
    <w:rsid w:val="54534670"/>
    <w:rsid w:val="547A48F8"/>
    <w:rsid w:val="548C4545"/>
    <w:rsid w:val="54B074DB"/>
    <w:rsid w:val="54C8124B"/>
    <w:rsid w:val="54EC7BFD"/>
    <w:rsid w:val="54F621D1"/>
    <w:rsid w:val="54FD052E"/>
    <w:rsid w:val="553700F3"/>
    <w:rsid w:val="55391209"/>
    <w:rsid w:val="557B1255"/>
    <w:rsid w:val="55A504E4"/>
    <w:rsid w:val="55B11C17"/>
    <w:rsid w:val="55DA1A70"/>
    <w:rsid w:val="55FD54EB"/>
    <w:rsid w:val="56151B3A"/>
    <w:rsid w:val="561F3043"/>
    <w:rsid w:val="5669191D"/>
    <w:rsid w:val="567D5D10"/>
    <w:rsid w:val="568F0738"/>
    <w:rsid w:val="56996840"/>
    <w:rsid w:val="56A62D7F"/>
    <w:rsid w:val="56AA23A1"/>
    <w:rsid w:val="56AB7432"/>
    <w:rsid w:val="56B066E9"/>
    <w:rsid w:val="56BC169B"/>
    <w:rsid w:val="56BE7193"/>
    <w:rsid w:val="56D047EA"/>
    <w:rsid w:val="56EA7B13"/>
    <w:rsid w:val="56F34B82"/>
    <w:rsid w:val="570338C5"/>
    <w:rsid w:val="57047ADF"/>
    <w:rsid w:val="57203535"/>
    <w:rsid w:val="572B3FFE"/>
    <w:rsid w:val="57426B12"/>
    <w:rsid w:val="57526450"/>
    <w:rsid w:val="577146FE"/>
    <w:rsid w:val="577218B7"/>
    <w:rsid w:val="577E6E34"/>
    <w:rsid w:val="58151F5F"/>
    <w:rsid w:val="58211D7D"/>
    <w:rsid w:val="58554248"/>
    <w:rsid w:val="58811498"/>
    <w:rsid w:val="58994482"/>
    <w:rsid w:val="58A35462"/>
    <w:rsid w:val="58AB1526"/>
    <w:rsid w:val="58AC0A25"/>
    <w:rsid w:val="58CB08E9"/>
    <w:rsid w:val="58D425E1"/>
    <w:rsid w:val="58FF5129"/>
    <w:rsid w:val="591F0ED8"/>
    <w:rsid w:val="59385602"/>
    <w:rsid w:val="593A1F01"/>
    <w:rsid w:val="595A2F5E"/>
    <w:rsid w:val="59634F40"/>
    <w:rsid w:val="5983693A"/>
    <w:rsid w:val="599307A6"/>
    <w:rsid w:val="599B3391"/>
    <w:rsid w:val="59C53F20"/>
    <w:rsid w:val="59CB3A4B"/>
    <w:rsid w:val="5A082425"/>
    <w:rsid w:val="5A0E5D14"/>
    <w:rsid w:val="5A2141B4"/>
    <w:rsid w:val="5A3A3265"/>
    <w:rsid w:val="5A4E6713"/>
    <w:rsid w:val="5A5E3F69"/>
    <w:rsid w:val="5A653116"/>
    <w:rsid w:val="5A962550"/>
    <w:rsid w:val="5ACC2C66"/>
    <w:rsid w:val="5ACC3218"/>
    <w:rsid w:val="5ADE29C9"/>
    <w:rsid w:val="5AEA2B30"/>
    <w:rsid w:val="5B062A6E"/>
    <w:rsid w:val="5B146983"/>
    <w:rsid w:val="5B3579AB"/>
    <w:rsid w:val="5B37580C"/>
    <w:rsid w:val="5B404480"/>
    <w:rsid w:val="5B467749"/>
    <w:rsid w:val="5B530B25"/>
    <w:rsid w:val="5B546FFF"/>
    <w:rsid w:val="5B5A6E36"/>
    <w:rsid w:val="5B5F4441"/>
    <w:rsid w:val="5B7C2AC7"/>
    <w:rsid w:val="5B8027F1"/>
    <w:rsid w:val="5B8508DD"/>
    <w:rsid w:val="5B893604"/>
    <w:rsid w:val="5B9163B2"/>
    <w:rsid w:val="5B977F9B"/>
    <w:rsid w:val="5BAE7ECE"/>
    <w:rsid w:val="5BB35010"/>
    <w:rsid w:val="5BDB2D52"/>
    <w:rsid w:val="5BDC5956"/>
    <w:rsid w:val="5C091B83"/>
    <w:rsid w:val="5C122108"/>
    <w:rsid w:val="5C1967A5"/>
    <w:rsid w:val="5C4A0EFD"/>
    <w:rsid w:val="5C86590B"/>
    <w:rsid w:val="5C893005"/>
    <w:rsid w:val="5CA53E61"/>
    <w:rsid w:val="5CB47235"/>
    <w:rsid w:val="5CB56BE4"/>
    <w:rsid w:val="5CBC2007"/>
    <w:rsid w:val="5CC8102D"/>
    <w:rsid w:val="5D100CB8"/>
    <w:rsid w:val="5D3A68C1"/>
    <w:rsid w:val="5D4378B0"/>
    <w:rsid w:val="5D44644E"/>
    <w:rsid w:val="5D681B13"/>
    <w:rsid w:val="5D6A61AF"/>
    <w:rsid w:val="5D6D6DB8"/>
    <w:rsid w:val="5D9823E5"/>
    <w:rsid w:val="5D9E663F"/>
    <w:rsid w:val="5DA904EA"/>
    <w:rsid w:val="5DA97651"/>
    <w:rsid w:val="5DAC4026"/>
    <w:rsid w:val="5DB20C8E"/>
    <w:rsid w:val="5DD35DFF"/>
    <w:rsid w:val="5DE82328"/>
    <w:rsid w:val="5DFA02D5"/>
    <w:rsid w:val="5E4F5007"/>
    <w:rsid w:val="5E5031D7"/>
    <w:rsid w:val="5E5C21E6"/>
    <w:rsid w:val="5E6866B2"/>
    <w:rsid w:val="5E794F22"/>
    <w:rsid w:val="5E8D3B86"/>
    <w:rsid w:val="5EDA5EC1"/>
    <w:rsid w:val="5EEF663A"/>
    <w:rsid w:val="5EEF723A"/>
    <w:rsid w:val="5EF10B78"/>
    <w:rsid w:val="5F315E8D"/>
    <w:rsid w:val="5F441D8B"/>
    <w:rsid w:val="5F5426FC"/>
    <w:rsid w:val="5F554316"/>
    <w:rsid w:val="5F7509AC"/>
    <w:rsid w:val="5F9C0508"/>
    <w:rsid w:val="5FA12D76"/>
    <w:rsid w:val="5FBC71AF"/>
    <w:rsid w:val="5FF26453"/>
    <w:rsid w:val="5FF43F5B"/>
    <w:rsid w:val="60104FD8"/>
    <w:rsid w:val="60184B5B"/>
    <w:rsid w:val="604069F6"/>
    <w:rsid w:val="60434AD3"/>
    <w:rsid w:val="607D5362"/>
    <w:rsid w:val="609F671A"/>
    <w:rsid w:val="60B35CA5"/>
    <w:rsid w:val="60B372E2"/>
    <w:rsid w:val="60E16A07"/>
    <w:rsid w:val="60EB56D0"/>
    <w:rsid w:val="61001CE1"/>
    <w:rsid w:val="610303EC"/>
    <w:rsid w:val="61034C31"/>
    <w:rsid w:val="611112CA"/>
    <w:rsid w:val="611352CB"/>
    <w:rsid w:val="614D50A8"/>
    <w:rsid w:val="616379EA"/>
    <w:rsid w:val="618A75D0"/>
    <w:rsid w:val="61B94C10"/>
    <w:rsid w:val="61BD37EE"/>
    <w:rsid w:val="61C24DE8"/>
    <w:rsid w:val="61C631FC"/>
    <w:rsid w:val="61EB2991"/>
    <w:rsid w:val="622C5484"/>
    <w:rsid w:val="622E6486"/>
    <w:rsid w:val="622E7D47"/>
    <w:rsid w:val="62393BAD"/>
    <w:rsid w:val="6250370F"/>
    <w:rsid w:val="62572C74"/>
    <w:rsid w:val="627A69B3"/>
    <w:rsid w:val="62893AEB"/>
    <w:rsid w:val="62970423"/>
    <w:rsid w:val="62991749"/>
    <w:rsid w:val="62B6628B"/>
    <w:rsid w:val="62BB3FF3"/>
    <w:rsid w:val="62CA457F"/>
    <w:rsid w:val="62E46FE1"/>
    <w:rsid w:val="62E95383"/>
    <w:rsid w:val="633C098C"/>
    <w:rsid w:val="634F41A1"/>
    <w:rsid w:val="63533DDE"/>
    <w:rsid w:val="637C3472"/>
    <w:rsid w:val="63A56595"/>
    <w:rsid w:val="63AE41E2"/>
    <w:rsid w:val="63ED3DCC"/>
    <w:rsid w:val="63F45B19"/>
    <w:rsid w:val="63F76ED4"/>
    <w:rsid w:val="64181695"/>
    <w:rsid w:val="64197A66"/>
    <w:rsid w:val="6425732E"/>
    <w:rsid w:val="642D27BF"/>
    <w:rsid w:val="642D3D62"/>
    <w:rsid w:val="64326656"/>
    <w:rsid w:val="643961E4"/>
    <w:rsid w:val="649E639D"/>
    <w:rsid w:val="64A665F8"/>
    <w:rsid w:val="64BA766C"/>
    <w:rsid w:val="64BD69C6"/>
    <w:rsid w:val="64C33F5D"/>
    <w:rsid w:val="64D20AEB"/>
    <w:rsid w:val="64E77440"/>
    <w:rsid w:val="64ED2EA4"/>
    <w:rsid w:val="64F36945"/>
    <w:rsid w:val="65257DF4"/>
    <w:rsid w:val="65354787"/>
    <w:rsid w:val="655F6DFD"/>
    <w:rsid w:val="65B75967"/>
    <w:rsid w:val="65E01E05"/>
    <w:rsid w:val="65ED311F"/>
    <w:rsid w:val="661C43A8"/>
    <w:rsid w:val="66310C29"/>
    <w:rsid w:val="666D3065"/>
    <w:rsid w:val="66A05B76"/>
    <w:rsid w:val="66AC1F27"/>
    <w:rsid w:val="66CD3A13"/>
    <w:rsid w:val="6708713C"/>
    <w:rsid w:val="67140CA9"/>
    <w:rsid w:val="671E1113"/>
    <w:rsid w:val="671F5DEC"/>
    <w:rsid w:val="67377FE4"/>
    <w:rsid w:val="677049C5"/>
    <w:rsid w:val="67780823"/>
    <w:rsid w:val="679328FC"/>
    <w:rsid w:val="679D6C87"/>
    <w:rsid w:val="679D796D"/>
    <w:rsid w:val="67B47EB3"/>
    <w:rsid w:val="67CC0165"/>
    <w:rsid w:val="67CD3F83"/>
    <w:rsid w:val="67DC7C6E"/>
    <w:rsid w:val="68054390"/>
    <w:rsid w:val="68057108"/>
    <w:rsid w:val="68155746"/>
    <w:rsid w:val="68216AE6"/>
    <w:rsid w:val="68225692"/>
    <w:rsid w:val="683A22E0"/>
    <w:rsid w:val="686917EA"/>
    <w:rsid w:val="687954F5"/>
    <w:rsid w:val="68C219CA"/>
    <w:rsid w:val="69391026"/>
    <w:rsid w:val="693C76BB"/>
    <w:rsid w:val="69463E67"/>
    <w:rsid w:val="695C157D"/>
    <w:rsid w:val="695E079C"/>
    <w:rsid w:val="69702D7D"/>
    <w:rsid w:val="699666BD"/>
    <w:rsid w:val="69987623"/>
    <w:rsid w:val="699C50B2"/>
    <w:rsid w:val="69AE28C4"/>
    <w:rsid w:val="69CC61E8"/>
    <w:rsid w:val="69F254F6"/>
    <w:rsid w:val="69F4707A"/>
    <w:rsid w:val="6A1C2EE1"/>
    <w:rsid w:val="6A226C98"/>
    <w:rsid w:val="6A2C7534"/>
    <w:rsid w:val="6A3424F2"/>
    <w:rsid w:val="6A3F41E8"/>
    <w:rsid w:val="6A5407CD"/>
    <w:rsid w:val="6A57551E"/>
    <w:rsid w:val="6A6041BF"/>
    <w:rsid w:val="6A722744"/>
    <w:rsid w:val="6A73532E"/>
    <w:rsid w:val="6A8A21CF"/>
    <w:rsid w:val="6A90057A"/>
    <w:rsid w:val="6AC645F4"/>
    <w:rsid w:val="6AD42AF2"/>
    <w:rsid w:val="6ADC1157"/>
    <w:rsid w:val="6AEC1C54"/>
    <w:rsid w:val="6AFE4A54"/>
    <w:rsid w:val="6B033829"/>
    <w:rsid w:val="6B2979BE"/>
    <w:rsid w:val="6B4707D1"/>
    <w:rsid w:val="6B914AB8"/>
    <w:rsid w:val="6B9F2072"/>
    <w:rsid w:val="6BB6207E"/>
    <w:rsid w:val="6BBB27E5"/>
    <w:rsid w:val="6BC30347"/>
    <w:rsid w:val="6BE52346"/>
    <w:rsid w:val="6BEB3505"/>
    <w:rsid w:val="6BF2440B"/>
    <w:rsid w:val="6C0E2AD7"/>
    <w:rsid w:val="6C1A459F"/>
    <w:rsid w:val="6C2373D7"/>
    <w:rsid w:val="6C3E3692"/>
    <w:rsid w:val="6C44786E"/>
    <w:rsid w:val="6C552D59"/>
    <w:rsid w:val="6C5B1E09"/>
    <w:rsid w:val="6C8574C7"/>
    <w:rsid w:val="6C885EF1"/>
    <w:rsid w:val="6C8D08AC"/>
    <w:rsid w:val="6C9520FB"/>
    <w:rsid w:val="6C962B61"/>
    <w:rsid w:val="6CB54E00"/>
    <w:rsid w:val="6CC52E48"/>
    <w:rsid w:val="6CE86B76"/>
    <w:rsid w:val="6D0B3EE8"/>
    <w:rsid w:val="6D176800"/>
    <w:rsid w:val="6D180CED"/>
    <w:rsid w:val="6D2F1292"/>
    <w:rsid w:val="6D31698C"/>
    <w:rsid w:val="6D36262F"/>
    <w:rsid w:val="6D5B2405"/>
    <w:rsid w:val="6D696330"/>
    <w:rsid w:val="6D755768"/>
    <w:rsid w:val="6D870249"/>
    <w:rsid w:val="6DBB76BC"/>
    <w:rsid w:val="6DED37B9"/>
    <w:rsid w:val="6E1109AE"/>
    <w:rsid w:val="6E1514F6"/>
    <w:rsid w:val="6E1D39B2"/>
    <w:rsid w:val="6E2179B1"/>
    <w:rsid w:val="6E6715B8"/>
    <w:rsid w:val="6E6B54D0"/>
    <w:rsid w:val="6EA20AE5"/>
    <w:rsid w:val="6EF72C76"/>
    <w:rsid w:val="6F0C2E3D"/>
    <w:rsid w:val="6F1F0BF9"/>
    <w:rsid w:val="6F235A16"/>
    <w:rsid w:val="6F3809B5"/>
    <w:rsid w:val="6F616041"/>
    <w:rsid w:val="6F68485D"/>
    <w:rsid w:val="6F84307F"/>
    <w:rsid w:val="6FA41824"/>
    <w:rsid w:val="6FB54C87"/>
    <w:rsid w:val="6FCE6C7D"/>
    <w:rsid w:val="6FD56396"/>
    <w:rsid w:val="6FEC2DC1"/>
    <w:rsid w:val="70007D58"/>
    <w:rsid w:val="70051219"/>
    <w:rsid w:val="700E5E4B"/>
    <w:rsid w:val="700F090C"/>
    <w:rsid w:val="70453BB5"/>
    <w:rsid w:val="70461D0A"/>
    <w:rsid w:val="704B11CB"/>
    <w:rsid w:val="70502198"/>
    <w:rsid w:val="70577355"/>
    <w:rsid w:val="7085580E"/>
    <w:rsid w:val="708C5E3D"/>
    <w:rsid w:val="70940133"/>
    <w:rsid w:val="709D579F"/>
    <w:rsid w:val="70A703CB"/>
    <w:rsid w:val="70DC4C61"/>
    <w:rsid w:val="70F93192"/>
    <w:rsid w:val="70FA499F"/>
    <w:rsid w:val="71122DD2"/>
    <w:rsid w:val="71167B19"/>
    <w:rsid w:val="711E79AE"/>
    <w:rsid w:val="711F45F3"/>
    <w:rsid w:val="71416ED3"/>
    <w:rsid w:val="714F5DA7"/>
    <w:rsid w:val="717209D9"/>
    <w:rsid w:val="718324A8"/>
    <w:rsid w:val="71BA69D5"/>
    <w:rsid w:val="71C57AA9"/>
    <w:rsid w:val="71CD20B4"/>
    <w:rsid w:val="71E75C0D"/>
    <w:rsid w:val="71F23361"/>
    <w:rsid w:val="71FF3D4E"/>
    <w:rsid w:val="721D0211"/>
    <w:rsid w:val="725A7D17"/>
    <w:rsid w:val="725E11A0"/>
    <w:rsid w:val="726A345E"/>
    <w:rsid w:val="727644F9"/>
    <w:rsid w:val="72BA48F9"/>
    <w:rsid w:val="72CE526E"/>
    <w:rsid w:val="72D861AB"/>
    <w:rsid w:val="72FA6627"/>
    <w:rsid w:val="730E1160"/>
    <w:rsid w:val="73396C3B"/>
    <w:rsid w:val="734A75F3"/>
    <w:rsid w:val="736C0655"/>
    <w:rsid w:val="73A250C9"/>
    <w:rsid w:val="73C03C7E"/>
    <w:rsid w:val="73E270B8"/>
    <w:rsid w:val="74092BF3"/>
    <w:rsid w:val="7461449F"/>
    <w:rsid w:val="74B4559E"/>
    <w:rsid w:val="74DD616A"/>
    <w:rsid w:val="74E05105"/>
    <w:rsid w:val="74ED346D"/>
    <w:rsid w:val="75090CD6"/>
    <w:rsid w:val="750A7675"/>
    <w:rsid w:val="75351ABD"/>
    <w:rsid w:val="755B0994"/>
    <w:rsid w:val="758252D2"/>
    <w:rsid w:val="759439EC"/>
    <w:rsid w:val="75AE7B06"/>
    <w:rsid w:val="75BA1298"/>
    <w:rsid w:val="75ED3256"/>
    <w:rsid w:val="75F84426"/>
    <w:rsid w:val="76250054"/>
    <w:rsid w:val="76270800"/>
    <w:rsid w:val="76332CB1"/>
    <w:rsid w:val="76657885"/>
    <w:rsid w:val="766F2E21"/>
    <w:rsid w:val="76714E6D"/>
    <w:rsid w:val="768F5B89"/>
    <w:rsid w:val="76923824"/>
    <w:rsid w:val="76A35191"/>
    <w:rsid w:val="76D43997"/>
    <w:rsid w:val="76E94A05"/>
    <w:rsid w:val="76EC6DA8"/>
    <w:rsid w:val="77124003"/>
    <w:rsid w:val="77186BBB"/>
    <w:rsid w:val="772F5167"/>
    <w:rsid w:val="7737205F"/>
    <w:rsid w:val="773A10D4"/>
    <w:rsid w:val="773D596A"/>
    <w:rsid w:val="77446875"/>
    <w:rsid w:val="77534141"/>
    <w:rsid w:val="77581360"/>
    <w:rsid w:val="775F7BD2"/>
    <w:rsid w:val="7781070A"/>
    <w:rsid w:val="77980300"/>
    <w:rsid w:val="77AC1B86"/>
    <w:rsid w:val="77BA3175"/>
    <w:rsid w:val="77C0539D"/>
    <w:rsid w:val="77D34D48"/>
    <w:rsid w:val="77F260C0"/>
    <w:rsid w:val="77F57C6E"/>
    <w:rsid w:val="78285EA8"/>
    <w:rsid w:val="7832484D"/>
    <w:rsid w:val="78545364"/>
    <w:rsid w:val="786B1CDE"/>
    <w:rsid w:val="78935930"/>
    <w:rsid w:val="789A3FB9"/>
    <w:rsid w:val="78B402EF"/>
    <w:rsid w:val="78CC4E73"/>
    <w:rsid w:val="790D7AC0"/>
    <w:rsid w:val="79234497"/>
    <w:rsid w:val="792845D5"/>
    <w:rsid w:val="79286AA6"/>
    <w:rsid w:val="793107C4"/>
    <w:rsid w:val="7932575E"/>
    <w:rsid w:val="7939106E"/>
    <w:rsid w:val="793E2571"/>
    <w:rsid w:val="79457F51"/>
    <w:rsid w:val="7980398E"/>
    <w:rsid w:val="798968C0"/>
    <w:rsid w:val="79A1291D"/>
    <w:rsid w:val="79A834A9"/>
    <w:rsid w:val="79AE1324"/>
    <w:rsid w:val="79BC4A11"/>
    <w:rsid w:val="79F71A7C"/>
    <w:rsid w:val="79F97139"/>
    <w:rsid w:val="7A19325D"/>
    <w:rsid w:val="7A397B94"/>
    <w:rsid w:val="7A441E07"/>
    <w:rsid w:val="7A511AB2"/>
    <w:rsid w:val="7A710134"/>
    <w:rsid w:val="7A7A47FC"/>
    <w:rsid w:val="7A854B36"/>
    <w:rsid w:val="7A8614A7"/>
    <w:rsid w:val="7A88301C"/>
    <w:rsid w:val="7AA1532A"/>
    <w:rsid w:val="7AA215AC"/>
    <w:rsid w:val="7AAA7D7B"/>
    <w:rsid w:val="7AB155DA"/>
    <w:rsid w:val="7AB70B52"/>
    <w:rsid w:val="7ACC480F"/>
    <w:rsid w:val="7ADB3D4F"/>
    <w:rsid w:val="7B0D51AF"/>
    <w:rsid w:val="7B124898"/>
    <w:rsid w:val="7B132710"/>
    <w:rsid w:val="7B1367F0"/>
    <w:rsid w:val="7B146680"/>
    <w:rsid w:val="7B204CD8"/>
    <w:rsid w:val="7B356CFD"/>
    <w:rsid w:val="7B4C229B"/>
    <w:rsid w:val="7BA662CC"/>
    <w:rsid w:val="7BBE0B2E"/>
    <w:rsid w:val="7BC73CF9"/>
    <w:rsid w:val="7BE12086"/>
    <w:rsid w:val="7BE66F1E"/>
    <w:rsid w:val="7BF46B66"/>
    <w:rsid w:val="7C115438"/>
    <w:rsid w:val="7C157BDD"/>
    <w:rsid w:val="7C17525F"/>
    <w:rsid w:val="7C4D483E"/>
    <w:rsid w:val="7C5F0165"/>
    <w:rsid w:val="7C624CEC"/>
    <w:rsid w:val="7C7A173F"/>
    <w:rsid w:val="7C7D7C0D"/>
    <w:rsid w:val="7C901580"/>
    <w:rsid w:val="7C991510"/>
    <w:rsid w:val="7CAC106D"/>
    <w:rsid w:val="7CAD0315"/>
    <w:rsid w:val="7CD10E03"/>
    <w:rsid w:val="7CD158CD"/>
    <w:rsid w:val="7CD210C9"/>
    <w:rsid w:val="7CDA7DE7"/>
    <w:rsid w:val="7CDC1BFE"/>
    <w:rsid w:val="7CE66904"/>
    <w:rsid w:val="7CEF2D32"/>
    <w:rsid w:val="7CFF52E5"/>
    <w:rsid w:val="7D293783"/>
    <w:rsid w:val="7D540C24"/>
    <w:rsid w:val="7D630A3A"/>
    <w:rsid w:val="7D715FE9"/>
    <w:rsid w:val="7D9F66B2"/>
    <w:rsid w:val="7DA97595"/>
    <w:rsid w:val="7DAE508D"/>
    <w:rsid w:val="7DBB6420"/>
    <w:rsid w:val="7DBE5B02"/>
    <w:rsid w:val="7DC71B6D"/>
    <w:rsid w:val="7DCB53EE"/>
    <w:rsid w:val="7DD00F61"/>
    <w:rsid w:val="7E066C25"/>
    <w:rsid w:val="7E104A7E"/>
    <w:rsid w:val="7E1C13B0"/>
    <w:rsid w:val="7E1D130E"/>
    <w:rsid w:val="7E341784"/>
    <w:rsid w:val="7E420585"/>
    <w:rsid w:val="7E5B64E4"/>
    <w:rsid w:val="7E760CBF"/>
    <w:rsid w:val="7E8514C2"/>
    <w:rsid w:val="7EC16630"/>
    <w:rsid w:val="7ECD313C"/>
    <w:rsid w:val="7ED854F3"/>
    <w:rsid w:val="7EE12974"/>
    <w:rsid w:val="7EEB1471"/>
    <w:rsid w:val="7EFB3AA2"/>
    <w:rsid w:val="7F083939"/>
    <w:rsid w:val="7F1255AA"/>
    <w:rsid w:val="7F1A24DD"/>
    <w:rsid w:val="7F1E221E"/>
    <w:rsid w:val="7F361298"/>
    <w:rsid w:val="7F4F7EDB"/>
    <w:rsid w:val="7F5161DC"/>
    <w:rsid w:val="7FA21D87"/>
    <w:rsid w:val="7FAA66A3"/>
    <w:rsid w:val="7FBB6096"/>
    <w:rsid w:val="7FCA0976"/>
    <w:rsid w:val="7FCF27D8"/>
    <w:rsid w:val="7FEC2773"/>
    <w:rsid w:val="7FFA06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9" w:semiHidden="0" w:name="heading 3"/>
    <w:lsdException w:qFormat="1" w:unhideWhenUsed="0" w:uiPriority="9" w:semiHidden="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qFormat="1"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qFormat/>
    <w:uiPriority w:val="0"/>
    <w:pPr>
      <w:keepNext/>
      <w:autoSpaceDE w:val="0"/>
      <w:autoSpaceDN w:val="0"/>
      <w:adjustRightInd w:val="0"/>
      <w:jc w:val="center"/>
      <w:outlineLvl w:val="0"/>
    </w:pPr>
    <w:rPr>
      <w:rFonts w:ascii="黑体" w:eastAsia="黑体"/>
      <w:kern w:val="0"/>
      <w:sz w:val="28"/>
      <w:szCs w:val="28"/>
    </w:rPr>
  </w:style>
  <w:style w:type="paragraph" w:styleId="5">
    <w:name w:val="heading 2"/>
    <w:basedOn w:val="1"/>
    <w:next w:val="1"/>
    <w:link w:val="45"/>
    <w:qFormat/>
    <w:uiPriority w:val="0"/>
    <w:pPr>
      <w:keepNext/>
      <w:keepLines/>
      <w:spacing w:before="260" w:after="260" w:line="416" w:lineRule="auto"/>
      <w:outlineLvl w:val="1"/>
    </w:pPr>
    <w:rPr>
      <w:rFonts w:ascii="Cambria" w:hAnsi="Cambria"/>
      <w:b/>
      <w:bCs/>
      <w:sz w:val="32"/>
      <w:szCs w:val="32"/>
    </w:rPr>
  </w:style>
  <w:style w:type="paragraph" w:styleId="6">
    <w:name w:val="heading 3"/>
    <w:basedOn w:val="1"/>
    <w:next w:val="1"/>
    <w:qFormat/>
    <w:uiPriority w:val="9"/>
    <w:pPr>
      <w:keepNext/>
      <w:keepLines/>
      <w:spacing w:before="260" w:after="260" w:line="416" w:lineRule="auto"/>
      <w:outlineLvl w:val="2"/>
    </w:pPr>
    <w:rPr>
      <w:b/>
      <w:bCs/>
      <w:sz w:val="32"/>
      <w:szCs w:val="32"/>
    </w:rPr>
  </w:style>
  <w:style w:type="paragraph" w:styleId="7">
    <w:name w:val="heading 4"/>
    <w:basedOn w:val="1"/>
    <w:next w:val="1"/>
    <w:qFormat/>
    <w:uiPriority w:val="9"/>
    <w:pPr>
      <w:keepNext/>
      <w:keepLines/>
      <w:spacing w:before="280" w:after="290" w:line="376" w:lineRule="auto"/>
      <w:outlineLvl w:val="3"/>
    </w:pPr>
    <w:rPr>
      <w:rFonts w:ascii="Calibri Light" w:hAnsi="Calibri Light"/>
      <w:b/>
      <w:bCs/>
      <w:sz w:val="28"/>
      <w:szCs w:val="28"/>
    </w:rPr>
  </w:style>
  <w:style w:type="paragraph" w:styleId="8">
    <w:name w:val="heading 5"/>
    <w:basedOn w:val="1"/>
    <w:next w:val="1"/>
    <w:qFormat/>
    <w:uiPriority w:val="0"/>
    <w:pPr>
      <w:keepNext/>
      <w:keepLines/>
      <w:spacing w:before="280" w:after="290" w:line="376" w:lineRule="auto"/>
      <w:outlineLvl w:val="4"/>
    </w:pPr>
    <w:rPr>
      <w:b/>
      <w:bCs/>
      <w:sz w:val="28"/>
      <w:szCs w:val="28"/>
    </w:rPr>
  </w:style>
  <w:style w:type="character" w:default="1" w:styleId="30">
    <w:name w:val="Default Paragraph Font"/>
    <w:semiHidden/>
    <w:unhideWhenUsed/>
    <w:qFormat/>
    <w:uiPriority w:val="1"/>
  </w:style>
  <w:style w:type="table" w:default="1" w:styleId="28">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0"/>
    <w:pPr>
      <w:ind w:firstLine="420" w:firstLineChars="200"/>
    </w:pPr>
  </w:style>
  <w:style w:type="paragraph" w:styleId="3">
    <w:name w:val="Body Text Indent"/>
    <w:basedOn w:val="1"/>
    <w:qFormat/>
    <w:uiPriority w:val="0"/>
    <w:pPr>
      <w:autoSpaceDE w:val="0"/>
      <w:autoSpaceDN w:val="0"/>
      <w:adjustRightInd w:val="0"/>
      <w:spacing w:line="600" w:lineRule="exact"/>
      <w:ind w:firstLine="560"/>
    </w:pPr>
    <w:rPr>
      <w:rFonts w:ascii="方正书宋简体" w:eastAsia="方正书宋简体"/>
      <w:kern w:val="0"/>
      <w:sz w:val="28"/>
      <w:szCs w:val="28"/>
    </w:rPr>
  </w:style>
  <w:style w:type="paragraph" w:styleId="9">
    <w:name w:val="toc 7"/>
    <w:basedOn w:val="1"/>
    <w:next w:val="1"/>
    <w:qFormat/>
    <w:uiPriority w:val="0"/>
    <w:pPr>
      <w:ind w:left="2520" w:leftChars="1200"/>
    </w:pPr>
  </w:style>
  <w:style w:type="paragraph" w:styleId="10">
    <w:name w:val="table of authorities"/>
    <w:basedOn w:val="1"/>
    <w:next w:val="1"/>
    <w:qFormat/>
    <w:uiPriority w:val="0"/>
    <w:pPr>
      <w:ind w:left="420" w:leftChars="200"/>
    </w:pPr>
  </w:style>
  <w:style w:type="paragraph" w:styleId="11">
    <w:name w:val="Normal Indent"/>
    <w:basedOn w:val="1"/>
    <w:link w:val="44"/>
    <w:qFormat/>
    <w:uiPriority w:val="0"/>
    <w:pPr>
      <w:ind w:firstLine="420"/>
    </w:pPr>
    <w:rPr>
      <w:szCs w:val="20"/>
    </w:rPr>
  </w:style>
  <w:style w:type="paragraph" w:styleId="12">
    <w:name w:val="Salutation"/>
    <w:basedOn w:val="1"/>
    <w:next w:val="1"/>
    <w:qFormat/>
    <w:uiPriority w:val="0"/>
    <w:rPr>
      <w:sz w:val="24"/>
      <w:szCs w:val="20"/>
    </w:rPr>
  </w:style>
  <w:style w:type="paragraph" w:styleId="13">
    <w:name w:val="Body Text"/>
    <w:basedOn w:val="1"/>
    <w:next w:val="1"/>
    <w:qFormat/>
    <w:uiPriority w:val="0"/>
    <w:pPr>
      <w:spacing w:after="120"/>
    </w:pPr>
    <w:rPr>
      <w:kern w:val="0"/>
      <w:sz w:val="20"/>
    </w:rPr>
  </w:style>
  <w:style w:type="paragraph" w:styleId="14">
    <w:name w:val="toc 3"/>
    <w:basedOn w:val="1"/>
    <w:next w:val="1"/>
    <w:qFormat/>
    <w:uiPriority w:val="39"/>
    <w:pPr>
      <w:ind w:left="840" w:leftChars="400"/>
    </w:pPr>
  </w:style>
  <w:style w:type="paragraph" w:styleId="15">
    <w:name w:val="Plain Text"/>
    <w:basedOn w:val="1"/>
    <w:link w:val="40"/>
    <w:qFormat/>
    <w:uiPriority w:val="0"/>
    <w:rPr>
      <w:rFonts w:ascii="宋体" w:hAnsi="宋体"/>
      <w:szCs w:val="21"/>
    </w:rPr>
  </w:style>
  <w:style w:type="paragraph" w:styleId="16">
    <w:name w:val="Date"/>
    <w:basedOn w:val="1"/>
    <w:next w:val="1"/>
    <w:qFormat/>
    <w:uiPriority w:val="0"/>
    <w:pPr>
      <w:autoSpaceDE w:val="0"/>
      <w:autoSpaceDN w:val="0"/>
      <w:adjustRightInd w:val="0"/>
    </w:pPr>
    <w:rPr>
      <w:rFonts w:ascii="Copperplate Gothic Bold" w:hAnsi="Copperplate Gothic Bold"/>
      <w:kern w:val="0"/>
      <w:sz w:val="32"/>
      <w:szCs w:val="32"/>
    </w:rPr>
  </w:style>
  <w:style w:type="paragraph" w:styleId="17">
    <w:name w:val="Body Text Indent 2"/>
    <w:basedOn w:val="1"/>
    <w:link w:val="57"/>
    <w:qFormat/>
    <w:uiPriority w:val="0"/>
    <w:pPr>
      <w:spacing w:after="120" w:line="480" w:lineRule="auto"/>
      <w:ind w:left="420" w:leftChars="200"/>
    </w:pPr>
  </w:style>
  <w:style w:type="paragraph" w:styleId="18">
    <w:name w:val="Balloon Text"/>
    <w:basedOn w:val="1"/>
    <w:link w:val="85"/>
    <w:qFormat/>
    <w:uiPriority w:val="0"/>
    <w:rPr>
      <w:sz w:val="18"/>
      <w:szCs w:val="18"/>
    </w:rPr>
  </w:style>
  <w:style w:type="paragraph" w:styleId="19">
    <w:name w:val="footer"/>
    <w:basedOn w:val="1"/>
    <w:link w:val="42"/>
    <w:qFormat/>
    <w:uiPriority w:val="0"/>
    <w:pPr>
      <w:tabs>
        <w:tab w:val="center" w:pos="4153"/>
        <w:tab w:val="right" w:pos="8306"/>
      </w:tabs>
      <w:snapToGrid w:val="0"/>
      <w:jc w:val="left"/>
    </w:pPr>
    <w:rPr>
      <w:sz w:val="18"/>
    </w:rPr>
  </w:style>
  <w:style w:type="paragraph" w:styleId="2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21">
    <w:name w:val="toc 1"/>
    <w:basedOn w:val="1"/>
    <w:next w:val="10"/>
    <w:qFormat/>
    <w:uiPriority w:val="39"/>
  </w:style>
  <w:style w:type="paragraph" w:styleId="22">
    <w:name w:val="Body Text Indent 3"/>
    <w:basedOn w:val="1"/>
    <w:qFormat/>
    <w:uiPriority w:val="0"/>
    <w:pPr>
      <w:autoSpaceDE w:val="0"/>
      <w:autoSpaceDN w:val="0"/>
      <w:adjustRightInd w:val="0"/>
      <w:ind w:firstLine="570"/>
    </w:pPr>
    <w:rPr>
      <w:kern w:val="0"/>
      <w:sz w:val="32"/>
      <w:szCs w:val="32"/>
    </w:rPr>
  </w:style>
  <w:style w:type="paragraph" w:styleId="23">
    <w:name w:val="toc 2"/>
    <w:basedOn w:val="1"/>
    <w:next w:val="1"/>
    <w:qFormat/>
    <w:uiPriority w:val="39"/>
    <w:pPr>
      <w:ind w:left="420" w:leftChars="200"/>
    </w:pPr>
  </w:style>
  <w:style w:type="paragraph" w:styleId="24">
    <w:name w:val="Body Text 2"/>
    <w:basedOn w:val="1"/>
    <w:qFormat/>
    <w:uiPriority w:val="0"/>
    <w:rPr>
      <w:sz w:val="24"/>
      <w:szCs w:val="20"/>
    </w:rPr>
  </w:style>
  <w:style w:type="paragraph" w:styleId="25">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kern w:val="0"/>
      <w:sz w:val="20"/>
      <w:szCs w:val="20"/>
    </w:rPr>
  </w:style>
  <w:style w:type="paragraph" w:styleId="26">
    <w:name w:val="Normal (Web)"/>
    <w:basedOn w:val="1"/>
    <w:qFormat/>
    <w:uiPriority w:val="0"/>
    <w:pPr>
      <w:widowControl/>
      <w:spacing w:before="100" w:beforeAutospacing="1" w:after="100" w:afterAutospacing="1"/>
      <w:jc w:val="left"/>
    </w:pPr>
    <w:rPr>
      <w:rFonts w:ascii="宋体" w:hAnsi="宋体" w:cs="宋体"/>
      <w:sz w:val="24"/>
    </w:rPr>
  </w:style>
  <w:style w:type="paragraph" w:styleId="27">
    <w:name w:val="Body Text First Indent"/>
    <w:basedOn w:val="13"/>
    <w:qFormat/>
    <w:uiPriority w:val="0"/>
    <w:pPr>
      <w:ind w:firstLine="420" w:firstLineChars="100"/>
    </w:pPr>
    <w:rPr>
      <w:rFonts w:ascii="Calibri" w:hAnsi="Calibri"/>
      <w:sz w:val="21"/>
    </w:rPr>
  </w:style>
  <w:style w:type="table" w:styleId="29">
    <w:name w:val="Table Grid"/>
    <w:basedOn w:val="2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1">
    <w:name w:val="Strong"/>
    <w:qFormat/>
    <w:uiPriority w:val="0"/>
    <w:rPr>
      <w:b/>
    </w:rPr>
  </w:style>
  <w:style w:type="character" w:styleId="32">
    <w:name w:val="page number"/>
    <w:basedOn w:val="30"/>
    <w:qFormat/>
    <w:uiPriority w:val="0"/>
  </w:style>
  <w:style w:type="character" w:styleId="33">
    <w:name w:val="FollowedHyperlink"/>
    <w:qFormat/>
    <w:uiPriority w:val="0"/>
    <w:rPr>
      <w:color w:val="3D3D3D"/>
      <w:u w:val="none"/>
    </w:rPr>
  </w:style>
  <w:style w:type="character" w:styleId="34">
    <w:name w:val="Emphasis"/>
    <w:qFormat/>
    <w:uiPriority w:val="0"/>
    <w:rPr>
      <w:i/>
      <w:iCs/>
    </w:rPr>
  </w:style>
  <w:style w:type="character" w:styleId="35">
    <w:name w:val="Hyperlink"/>
    <w:qFormat/>
    <w:uiPriority w:val="99"/>
    <w:rPr>
      <w:color w:val="3D3D3D"/>
      <w:u w:val="none"/>
    </w:rPr>
  </w:style>
  <w:style w:type="character" w:customStyle="1" w:styleId="36">
    <w:name w:val="font21"/>
    <w:qFormat/>
    <w:uiPriority w:val="0"/>
    <w:rPr>
      <w:rFonts w:hint="eastAsia" w:ascii="宋体" w:hAnsi="宋体" w:eastAsia="宋体" w:cs="宋体"/>
      <w:color w:val="000000"/>
      <w:sz w:val="28"/>
      <w:szCs w:val="28"/>
      <w:u w:val="none"/>
    </w:rPr>
  </w:style>
  <w:style w:type="character" w:customStyle="1" w:styleId="37">
    <w:name w:val="r-text"/>
    <w:qFormat/>
    <w:uiPriority w:val="0"/>
    <w:rPr>
      <w:color w:val="00349B"/>
    </w:rPr>
  </w:style>
  <w:style w:type="character" w:customStyle="1" w:styleId="38">
    <w:name w:val="列出段落 Char"/>
    <w:link w:val="39"/>
    <w:qFormat/>
    <w:uiPriority w:val="0"/>
    <w:rPr>
      <w:rFonts w:eastAsia="宋体"/>
      <w:kern w:val="2"/>
      <w:sz w:val="21"/>
      <w:szCs w:val="24"/>
      <w:lang w:bidi="ar-SA"/>
    </w:rPr>
  </w:style>
  <w:style w:type="paragraph" w:customStyle="1" w:styleId="39">
    <w:name w:val="列出段落1"/>
    <w:basedOn w:val="1"/>
    <w:link w:val="38"/>
    <w:qFormat/>
    <w:uiPriority w:val="0"/>
    <w:pPr>
      <w:ind w:firstLine="420" w:firstLineChars="200"/>
    </w:pPr>
  </w:style>
  <w:style w:type="character" w:customStyle="1" w:styleId="40">
    <w:name w:val="纯文本 Char"/>
    <w:link w:val="15"/>
    <w:qFormat/>
    <w:locked/>
    <w:uiPriority w:val="0"/>
    <w:rPr>
      <w:rFonts w:ascii="宋体" w:hAnsi="宋体"/>
      <w:kern w:val="2"/>
      <w:sz w:val="21"/>
      <w:szCs w:val="21"/>
    </w:rPr>
  </w:style>
  <w:style w:type="character" w:customStyle="1" w:styleId="41">
    <w:name w:val="stclosebtn"/>
    <w:basedOn w:val="30"/>
    <w:qFormat/>
    <w:uiPriority w:val="0"/>
  </w:style>
  <w:style w:type="character" w:customStyle="1" w:styleId="42">
    <w:name w:val="页脚 Char"/>
    <w:link w:val="19"/>
    <w:unhideWhenUsed/>
    <w:qFormat/>
    <w:locked/>
    <w:uiPriority w:val="0"/>
    <w:rPr>
      <w:rFonts w:eastAsia="宋体"/>
      <w:kern w:val="2"/>
      <w:sz w:val="18"/>
      <w:szCs w:val="24"/>
      <w:lang w:val="en-US" w:eastAsia="zh-CN" w:bidi="ar-SA"/>
    </w:rPr>
  </w:style>
  <w:style w:type="character" w:customStyle="1" w:styleId="43">
    <w:name w:val="beforeinfotext"/>
    <w:qFormat/>
    <w:uiPriority w:val="0"/>
    <w:rPr>
      <w:color w:val="666666"/>
    </w:rPr>
  </w:style>
  <w:style w:type="character" w:customStyle="1" w:styleId="44">
    <w:name w:val="正文缩进 Char"/>
    <w:link w:val="11"/>
    <w:qFormat/>
    <w:uiPriority w:val="0"/>
    <w:rPr>
      <w:kern w:val="2"/>
      <w:sz w:val="21"/>
    </w:rPr>
  </w:style>
  <w:style w:type="character" w:customStyle="1" w:styleId="45">
    <w:name w:val="标题 2 Char"/>
    <w:link w:val="5"/>
    <w:semiHidden/>
    <w:qFormat/>
    <w:uiPriority w:val="0"/>
    <w:rPr>
      <w:rFonts w:ascii="Cambria" w:hAnsi="Cambria" w:eastAsia="宋体" w:cs="Times New Roman"/>
      <w:b/>
      <w:bCs/>
      <w:kern w:val="2"/>
      <w:sz w:val="32"/>
      <w:szCs w:val="32"/>
    </w:rPr>
  </w:style>
  <w:style w:type="character" w:customStyle="1" w:styleId="46">
    <w:name w:val="number"/>
    <w:qFormat/>
    <w:uiPriority w:val="0"/>
    <w:rPr>
      <w:color w:val="FF8833"/>
      <w:sz w:val="18"/>
      <w:szCs w:val="18"/>
    </w:rPr>
  </w:style>
  <w:style w:type="character" w:customStyle="1" w:styleId="47">
    <w:name w:val="phone"/>
    <w:qFormat/>
    <w:uiPriority w:val="0"/>
    <w:rPr>
      <w:color w:val="FF8833"/>
      <w:sz w:val="18"/>
      <w:szCs w:val="18"/>
    </w:rPr>
  </w:style>
  <w:style w:type="character" w:customStyle="1" w:styleId="48">
    <w:name w:val="content1"/>
    <w:qFormat/>
    <w:uiPriority w:val="0"/>
    <w:rPr>
      <w:sz w:val="21"/>
      <w:szCs w:val="21"/>
    </w:rPr>
  </w:style>
  <w:style w:type="character" w:customStyle="1" w:styleId="49">
    <w:name w:val="font11"/>
    <w:qFormat/>
    <w:uiPriority w:val="0"/>
    <w:rPr>
      <w:rFonts w:hint="eastAsia" w:ascii="宋体" w:hAnsi="宋体" w:eastAsia="宋体" w:cs="宋体"/>
      <w:color w:val="000000"/>
      <w:sz w:val="28"/>
      <w:szCs w:val="28"/>
      <w:u w:val="none"/>
    </w:rPr>
  </w:style>
  <w:style w:type="character" w:customStyle="1" w:styleId="50">
    <w:name w:val="Char Char9"/>
    <w:qFormat/>
    <w:uiPriority w:val="0"/>
    <w:rPr>
      <w:rFonts w:eastAsia="宋体"/>
      <w:kern w:val="2"/>
      <w:sz w:val="18"/>
      <w:lang w:val="en-US" w:eastAsia="zh-CN"/>
    </w:rPr>
  </w:style>
  <w:style w:type="character" w:customStyle="1" w:styleId="51">
    <w:name w:val="r-time"/>
    <w:qFormat/>
    <w:uiPriority w:val="0"/>
    <w:rPr>
      <w:color w:val="B30000"/>
    </w:rPr>
  </w:style>
  <w:style w:type="character" w:customStyle="1" w:styleId="52">
    <w:name w:val="p0 Char"/>
    <w:link w:val="53"/>
    <w:qFormat/>
    <w:uiPriority w:val="0"/>
    <w:rPr>
      <w:sz w:val="21"/>
      <w:szCs w:val="21"/>
    </w:rPr>
  </w:style>
  <w:style w:type="paragraph" w:customStyle="1" w:styleId="53">
    <w:name w:val="p0"/>
    <w:basedOn w:val="1"/>
    <w:link w:val="52"/>
    <w:qFormat/>
    <w:uiPriority w:val="0"/>
    <w:pPr>
      <w:widowControl/>
    </w:pPr>
    <w:rPr>
      <w:kern w:val="0"/>
      <w:szCs w:val="21"/>
    </w:rPr>
  </w:style>
  <w:style w:type="character" w:customStyle="1" w:styleId="54">
    <w:name w:val="font31"/>
    <w:qFormat/>
    <w:uiPriority w:val="0"/>
    <w:rPr>
      <w:rFonts w:hint="eastAsia" w:ascii="宋体" w:hAnsi="宋体" w:eastAsia="宋体" w:cs="宋体"/>
      <w:color w:val="000000"/>
      <w:sz w:val="24"/>
      <w:szCs w:val="24"/>
      <w:u w:val="none"/>
    </w:rPr>
  </w:style>
  <w:style w:type="character" w:customStyle="1" w:styleId="55">
    <w:name w:val="Char Char3"/>
    <w:qFormat/>
    <w:uiPriority w:val="0"/>
    <w:rPr>
      <w:kern w:val="2"/>
      <w:sz w:val="21"/>
      <w:lang w:bidi="ar-SA"/>
    </w:rPr>
  </w:style>
  <w:style w:type="character" w:customStyle="1" w:styleId="56">
    <w:name w:val="proollist"/>
    <w:basedOn w:val="30"/>
    <w:qFormat/>
    <w:uiPriority w:val="0"/>
  </w:style>
  <w:style w:type="character" w:customStyle="1" w:styleId="57">
    <w:name w:val="正文文本缩进 2 Char"/>
    <w:link w:val="17"/>
    <w:qFormat/>
    <w:uiPriority w:val="0"/>
    <w:rPr>
      <w:kern w:val="2"/>
      <w:sz w:val="21"/>
      <w:szCs w:val="24"/>
    </w:rPr>
  </w:style>
  <w:style w:type="paragraph" w:customStyle="1" w:styleId="58">
    <w:name w:val="Char1"/>
    <w:basedOn w:val="1"/>
    <w:qFormat/>
    <w:uiPriority w:val="0"/>
    <w:rPr>
      <w:szCs w:val="21"/>
    </w:rPr>
  </w:style>
  <w:style w:type="paragraph" w:customStyle="1" w:styleId="59">
    <w:name w:val="title12"/>
    <w:basedOn w:val="1"/>
    <w:semiHidden/>
    <w:qFormat/>
    <w:uiPriority w:val="0"/>
    <w:pPr>
      <w:widowControl/>
      <w:spacing w:before="150" w:line="510" w:lineRule="atLeast"/>
      <w:jc w:val="left"/>
    </w:pPr>
    <w:rPr>
      <w:rFonts w:ascii="宋体" w:hAnsi="宋体" w:cs="宋体"/>
      <w:b/>
      <w:bCs/>
      <w:kern w:val="0"/>
      <w:sz w:val="23"/>
      <w:szCs w:val="23"/>
    </w:rPr>
  </w:style>
  <w:style w:type="paragraph" w:customStyle="1" w:styleId="60">
    <w:name w:val="样式 标题 3 + (中文) 黑体 小四 非加粗 段前: 7.8 磅 段后: 0 磅 行距: 固定值 20 磅"/>
    <w:basedOn w:val="6"/>
    <w:qFormat/>
    <w:uiPriority w:val="0"/>
    <w:pPr>
      <w:spacing w:before="0" w:after="0" w:line="400" w:lineRule="exact"/>
    </w:pPr>
    <w:rPr>
      <w:rFonts w:eastAsia="黑体" w:cs="宋体"/>
      <w:b w:val="0"/>
      <w:bCs w:val="0"/>
      <w:sz w:val="24"/>
      <w:szCs w:val="20"/>
    </w:rPr>
  </w:style>
  <w:style w:type="paragraph" w:customStyle="1" w:styleId="61">
    <w:name w:val="一级条标题"/>
    <w:next w:val="62"/>
    <w:qFormat/>
    <w:uiPriority w:val="99"/>
    <w:pPr>
      <w:spacing w:beforeLines="50" w:afterLines="50"/>
      <w:outlineLvl w:val="2"/>
    </w:pPr>
    <w:rPr>
      <w:rFonts w:ascii="黑体" w:hAnsi="Times New Roman" w:eastAsia="黑体" w:cs="Times New Roman"/>
      <w:sz w:val="21"/>
      <w:szCs w:val="21"/>
      <w:lang w:val="en-US" w:eastAsia="zh-CN" w:bidi="ar-SA"/>
    </w:rPr>
  </w:style>
  <w:style w:type="paragraph" w:customStyle="1" w:styleId="62">
    <w:name w:val="段"/>
    <w:qFormat/>
    <w:uiPriority w:val="0"/>
    <w:pPr>
      <w:autoSpaceDE w:val="0"/>
      <w:autoSpaceDN w:val="0"/>
      <w:ind w:firstLine="200" w:firstLineChars="200"/>
      <w:jc w:val="both"/>
    </w:pPr>
    <w:rPr>
      <w:rFonts w:ascii="宋体" w:hAnsi="宋体" w:eastAsia="宋体" w:cs="Calibri"/>
      <w:kern w:val="2"/>
      <w:sz w:val="21"/>
      <w:szCs w:val="22"/>
      <w:lang w:val="en-US" w:eastAsia="zh-CN" w:bidi="ar-SA"/>
    </w:rPr>
  </w:style>
  <w:style w:type="paragraph" w:customStyle="1" w:styleId="63">
    <w:name w:val="cr6"/>
    <w:basedOn w:val="64"/>
    <w:qFormat/>
    <w:uiPriority w:val="0"/>
    <w:pPr>
      <w:tabs>
        <w:tab w:val="left" w:pos="360"/>
        <w:tab w:val="left" w:pos="2268"/>
      </w:tabs>
      <w:ind w:left="284"/>
      <w:outlineLvl w:val="4"/>
    </w:pPr>
  </w:style>
  <w:style w:type="paragraph" w:customStyle="1" w:styleId="64">
    <w:name w:val="cr5"/>
    <w:basedOn w:val="8"/>
    <w:next w:val="63"/>
    <w:qFormat/>
    <w:uiPriority w:val="0"/>
    <w:pPr>
      <w:tabs>
        <w:tab w:val="left" w:pos="360"/>
        <w:tab w:val="left" w:pos="2268"/>
      </w:tabs>
      <w:spacing w:before="0" w:after="0" w:line="360" w:lineRule="auto"/>
      <w:outlineLvl w:val="3"/>
    </w:pPr>
    <w:rPr>
      <w:rFonts w:ascii="黑体" w:eastAsia="黑体"/>
      <w:sz w:val="24"/>
      <w:szCs w:val="24"/>
    </w:rPr>
  </w:style>
  <w:style w:type="paragraph" w:customStyle="1" w:styleId="65">
    <w:name w:val="Char11"/>
    <w:basedOn w:val="1"/>
    <w:qFormat/>
    <w:uiPriority w:val="0"/>
  </w:style>
  <w:style w:type="paragraph" w:customStyle="1" w:styleId="66">
    <w:name w:val="xl48"/>
    <w:basedOn w:val="1"/>
    <w:qFormat/>
    <w:uiPriority w:val="0"/>
    <w:pPr>
      <w:widowControl/>
      <w:pBdr>
        <w:bottom w:val="single" w:color="auto" w:sz="4" w:space="0"/>
      </w:pBdr>
      <w:spacing w:before="100" w:beforeAutospacing="1" w:after="100" w:afterAutospacing="1"/>
      <w:jc w:val="center"/>
    </w:pPr>
    <w:rPr>
      <w:rFonts w:eastAsia="Arial Unicode MS"/>
      <w:kern w:val="0"/>
      <w:sz w:val="24"/>
    </w:rPr>
  </w:style>
  <w:style w:type="paragraph" w:customStyle="1" w:styleId="67">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68">
    <w:name w:val="文档正文"/>
    <w:basedOn w:val="1"/>
    <w:qFormat/>
    <w:uiPriority w:val="0"/>
    <w:pPr>
      <w:adjustRightInd w:val="0"/>
      <w:snapToGrid w:val="0"/>
      <w:spacing w:line="440" w:lineRule="exact"/>
      <w:ind w:firstLine="567"/>
      <w:textAlignment w:val="baseline"/>
    </w:pPr>
    <w:rPr>
      <w:rFonts w:ascii="Arial Narrow" w:hAnsi="Arial Narrow"/>
      <w:kern w:val="0"/>
      <w:sz w:val="24"/>
      <w:szCs w:val="20"/>
    </w:rPr>
  </w:style>
  <w:style w:type="paragraph" w:customStyle="1" w:styleId="69">
    <w:name w:val="reader-word-layer"/>
    <w:basedOn w:val="1"/>
    <w:qFormat/>
    <w:uiPriority w:val="0"/>
    <w:pPr>
      <w:widowControl/>
      <w:spacing w:before="100" w:beforeAutospacing="1" w:after="100" w:afterAutospacing="1"/>
      <w:jc w:val="left"/>
    </w:pPr>
    <w:rPr>
      <w:rFonts w:ascii="宋体" w:hAnsi="宋体" w:cs="宋体"/>
      <w:kern w:val="0"/>
      <w:sz w:val="24"/>
    </w:rPr>
  </w:style>
  <w:style w:type="paragraph" w:customStyle="1" w:styleId="70">
    <w:name w:val="cr3"/>
    <w:basedOn w:val="6"/>
    <w:next w:val="71"/>
    <w:qFormat/>
    <w:uiPriority w:val="0"/>
    <w:pPr>
      <w:spacing w:beforeLines="25" w:afterLines="25" w:line="360" w:lineRule="auto"/>
      <w:ind w:left="720"/>
      <w:outlineLvl w:val="1"/>
    </w:pPr>
    <w:rPr>
      <w:rFonts w:ascii="宋体" w:hAnsi="宋体"/>
    </w:rPr>
  </w:style>
  <w:style w:type="paragraph" w:customStyle="1" w:styleId="71">
    <w:name w:val="cr4"/>
    <w:basedOn w:val="7"/>
    <w:next w:val="64"/>
    <w:qFormat/>
    <w:uiPriority w:val="0"/>
    <w:pPr>
      <w:spacing w:beforeLines="25" w:afterLines="25" w:line="360" w:lineRule="auto"/>
      <w:ind w:left="568"/>
      <w:outlineLvl w:val="2"/>
    </w:pPr>
    <w:rPr>
      <w:rFonts w:ascii="黑体" w:hAnsi="宋体" w:eastAsia="黑体"/>
      <w:bCs w:val="0"/>
      <w:color w:val="000000"/>
      <w:kern w:val="0"/>
    </w:rPr>
  </w:style>
  <w:style w:type="paragraph" w:customStyle="1" w:styleId="72">
    <w:name w:val="样式 首行缩进:  2 字符"/>
    <w:basedOn w:val="1"/>
    <w:qFormat/>
    <w:uiPriority w:val="0"/>
    <w:pPr>
      <w:spacing w:line="400" w:lineRule="exact"/>
      <w:ind w:firstLine="200" w:firstLineChars="200"/>
    </w:pPr>
    <w:rPr>
      <w:rFonts w:cs="宋体"/>
      <w:sz w:val="24"/>
    </w:rPr>
  </w:style>
  <w:style w:type="paragraph" w:customStyle="1" w:styleId="73">
    <w:name w:val="正文1"/>
    <w:qFormat/>
    <w:uiPriority w:val="0"/>
    <w:pPr>
      <w:widowControl w:val="0"/>
      <w:adjustRightInd w:val="0"/>
      <w:spacing w:line="312" w:lineRule="atLeast"/>
      <w:jc w:val="both"/>
    </w:pPr>
    <w:rPr>
      <w:rFonts w:ascii="宋体" w:hAnsi="Times New Roman" w:eastAsia="宋体" w:cs="Times New Roman"/>
      <w:sz w:val="34"/>
      <w:lang w:val="en-US" w:eastAsia="zh-CN" w:bidi="ar-SA"/>
    </w:rPr>
  </w:style>
  <w:style w:type="paragraph" w:customStyle="1" w:styleId="74">
    <w:name w:val="_Style 2"/>
    <w:basedOn w:val="1"/>
    <w:qFormat/>
    <w:uiPriority w:val="34"/>
    <w:pPr>
      <w:ind w:firstLine="420" w:firstLineChars="200"/>
    </w:pPr>
  </w:style>
  <w:style w:type="paragraph" w:customStyle="1" w:styleId="75">
    <w:name w:val="title11"/>
    <w:basedOn w:val="1"/>
    <w:qFormat/>
    <w:uiPriority w:val="0"/>
    <w:pPr>
      <w:spacing w:before="150"/>
      <w:jc w:val="left"/>
    </w:pPr>
    <w:rPr>
      <w:b/>
      <w:kern w:val="0"/>
      <w:sz w:val="22"/>
      <w:szCs w:val="22"/>
    </w:rPr>
  </w:style>
  <w:style w:type="paragraph" w:customStyle="1" w:styleId="76">
    <w:name w:val="二级条标题"/>
    <w:basedOn w:val="61"/>
    <w:next w:val="62"/>
    <w:qFormat/>
    <w:uiPriority w:val="99"/>
    <w:pPr>
      <w:spacing w:before="50" w:after="50"/>
      <w:outlineLvl w:val="3"/>
    </w:pPr>
  </w:style>
  <w:style w:type="paragraph" w:styleId="77">
    <w:name w:val="List Paragraph"/>
    <w:basedOn w:val="1"/>
    <w:qFormat/>
    <w:uiPriority w:val="34"/>
    <w:pPr>
      <w:ind w:firstLine="420" w:firstLineChars="200"/>
    </w:pPr>
  </w:style>
  <w:style w:type="paragraph" w:customStyle="1" w:styleId="78">
    <w:name w:val="Table Paragraph"/>
    <w:basedOn w:val="1"/>
    <w:qFormat/>
    <w:uiPriority w:val="0"/>
    <w:pPr>
      <w:autoSpaceDE w:val="0"/>
      <w:autoSpaceDN w:val="0"/>
      <w:adjustRightInd w:val="0"/>
      <w:jc w:val="left"/>
    </w:pPr>
    <w:rPr>
      <w:rFonts w:ascii="宋体" w:cs="宋体"/>
      <w:kern w:val="0"/>
      <w:sz w:val="24"/>
    </w:rPr>
  </w:style>
  <w:style w:type="paragraph" w:customStyle="1" w:styleId="79">
    <w:name w:val="Char Char Char"/>
    <w:basedOn w:val="1"/>
    <w:qFormat/>
    <w:uiPriority w:val="0"/>
    <w:rPr>
      <w:rFonts w:ascii="Tahoma" w:hAnsi="Tahoma"/>
      <w:sz w:val="24"/>
      <w:szCs w:val="20"/>
    </w:rPr>
  </w:style>
  <w:style w:type="paragraph" w:customStyle="1" w:styleId="80">
    <w:name w:val="RFI Heading 3rd Level"/>
    <w:basedOn w:val="1"/>
    <w:qFormat/>
    <w:uiPriority w:val="0"/>
    <w:pPr>
      <w:widowControl/>
      <w:tabs>
        <w:tab w:val="left" w:pos="720"/>
      </w:tabs>
      <w:ind w:left="720" w:hanging="720"/>
      <w:jc w:val="left"/>
    </w:pPr>
    <w:rPr>
      <w:rFonts w:ascii="Arial (W1)" w:hAnsi="Arial (W1)"/>
      <w:color w:val="000000"/>
      <w:kern w:val="0"/>
      <w:sz w:val="24"/>
      <w:lang w:val="en-GB" w:eastAsia="en-US"/>
    </w:rPr>
  </w:style>
  <w:style w:type="paragraph" w:customStyle="1" w:styleId="81">
    <w:name w:val="_Style 3"/>
    <w:basedOn w:val="1"/>
    <w:qFormat/>
    <w:uiPriority w:val="34"/>
    <w:pPr>
      <w:ind w:firstLine="420" w:firstLineChars="200"/>
    </w:pPr>
  </w:style>
  <w:style w:type="paragraph" w:customStyle="1" w:styleId="82">
    <w:name w:val="正文11"/>
    <w:basedOn w:val="1"/>
    <w:qFormat/>
    <w:uiPriority w:val="0"/>
    <w:pPr>
      <w:snapToGrid w:val="0"/>
      <w:spacing w:line="500" w:lineRule="atLeast"/>
      <w:ind w:firstLine="539"/>
    </w:pPr>
    <w:rPr>
      <w:rFonts w:ascii="宋体"/>
      <w:spacing w:val="14"/>
      <w:sz w:val="24"/>
      <w:szCs w:val="20"/>
    </w:rPr>
  </w:style>
  <w:style w:type="paragraph" w:customStyle="1" w:styleId="83">
    <w:name w:val="正文文本1"/>
    <w:basedOn w:val="1"/>
    <w:qFormat/>
    <w:uiPriority w:val="0"/>
    <w:pPr>
      <w:shd w:val="clear" w:color="auto" w:fill="FFFFFF"/>
      <w:spacing w:line="418" w:lineRule="auto"/>
      <w:ind w:firstLine="40"/>
    </w:pPr>
    <w:rPr>
      <w:rFonts w:ascii="MingLiU" w:hAnsi="MingLiU" w:eastAsia="MingLiU" w:cs="MingLiU"/>
    </w:rPr>
  </w:style>
  <w:style w:type="paragraph" w:customStyle="1" w:styleId="84">
    <w:name w:val="TOC Heading"/>
    <w:basedOn w:val="4"/>
    <w:next w:val="1"/>
    <w:semiHidden/>
    <w:unhideWhenUsed/>
    <w:qFormat/>
    <w:uiPriority w:val="39"/>
    <w:pPr>
      <w:keepLines/>
      <w:widowControl/>
      <w:autoSpaceDE/>
      <w:autoSpaceDN/>
      <w:adjustRightInd/>
      <w:spacing w:before="480" w:line="276" w:lineRule="auto"/>
      <w:jc w:val="left"/>
      <w:outlineLvl w:val="9"/>
    </w:pPr>
    <w:rPr>
      <w:rFonts w:ascii="Cambria" w:hAnsi="Cambria" w:eastAsia="宋体"/>
      <w:b/>
      <w:bCs/>
      <w:color w:val="365F91"/>
    </w:rPr>
  </w:style>
  <w:style w:type="character" w:customStyle="1" w:styleId="85">
    <w:name w:val="批注框文本 Char"/>
    <w:link w:val="18"/>
    <w:qFormat/>
    <w:uiPriority w:val="0"/>
    <w:rPr>
      <w:kern w:val="2"/>
      <w:sz w:val="18"/>
      <w:szCs w:val="18"/>
    </w:rPr>
  </w:style>
  <w:style w:type="character" w:customStyle="1" w:styleId="86">
    <w:name w:val="NormalCharacter"/>
    <w:semiHidden/>
    <w:qFormat/>
    <w:uiPriority w:val="0"/>
  </w:style>
  <w:style w:type="paragraph" w:customStyle="1" w:styleId="87">
    <w:name w:val="UserStyle_58"/>
    <w:basedOn w:val="1"/>
    <w:qFormat/>
    <w:uiPriority w:val="0"/>
    <w:pPr>
      <w:widowControl/>
    </w:pPr>
    <w:rPr>
      <w:sz w:val="24"/>
      <w:szCs w:val="21"/>
    </w:rPr>
  </w:style>
  <w:style w:type="character" w:customStyle="1" w:styleId="88">
    <w:name w:val="UserStyle_33"/>
    <w:link w:val="89"/>
    <w:qFormat/>
    <w:locked/>
    <w:uiPriority w:val="0"/>
    <w:rPr>
      <w:sz w:val="21"/>
      <w:szCs w:val="21"/>
    </w:rPr>
  </w:style>
  <w:style w:type="paragraph" w:customStyle="1" w:styleId="89">
    <w:name w:val="BodyText"/>
    <w:basedOn w:val="1"/>
    <w:link w:val="88"/>
    <w:qFormat/>
    <w:uiPriority w:val="0"/>
    <w:pPr>
      <w:widowControl/>
      <w:jc w:val="left"/>
    </w:pPr>
    <w:rPr>
      <w:kern w:val="0"/>
      <w:szCs w:val="21"/>
    </w:rPr>
  </w:style>
  <w:style w:type="paragraph" w:customStyle="1" w:styleId="90">
    <w:name w:val="TOC1"/>
    <w:basedOn w:val="1"/>
    <w:next w:val="1"/>
    <w:qFormat/>
    <w:uiPriority w:val="0"/>
    <w:pPr>
      <w:textAlignment w:val="baseline"/>
    </w:pPr>
  </w:style>
  <w:style w:type="paragraph" w:customStyle="1" w:styleId="91">
    <w:name w:val="Char12"/>
    <w:basedOn w:val="1"/>
    <w:qFormat/>
    <w:uiPriority w:val="0"/>
  </w:style>
  <w:style w:type="paragraph" w:customStyle="1" w:styleId="92">
    <w:name w:val="09正文_wh"/>
    <w:qFormat/>
    <w:uiPriority w:val="0"/>
    <w:pPr>
      <w:spacing w:line="300" w:lineRule="auto"/>
      <w:ind w:firstLine="200" w:firstLineChars="200"/>
      <w:jc w:val="both"/>
    </w:pPr>
    <w:rPr>
      <w:rFonts w:ascii="Times New Roman" w:hAnsi="Times New Roman" w:eastAsia="宋体" w:cs="Times New Roman"/>
      <w:sz w:val="28"/>
      <w:szCs w:val="22"/>
      <w:lang w:val="en-US" w:eastAsia="zh-CN" w:bidi="ar-SA"/>
    </w:rPr>
  </w:style>
  <w:style w:type="paragraph" w:customStyle="1" w:styleId="93">
    <w:name w:val="1正文"/>
    <w:basedOn w:val="26"/>
    <w:qFormat/>
    <w:uiPriority w:val="99"/>
    <w:pPr>
      <w:spacing w:beforeAutospacing="0" w:afterAutospacing="0" w:line="360" w:lineRule="auto"/>
      <w:ind w:firstLine="960" w:firstLineChars="200"/>
      <w:jc w:val="both"/>
    </w:pPr>
    <w:rPr>
      <w:rFonts w:ascii="Times New Roman" w:hAnsi="Times New Roman" w:cs="Times New Roman"/>
      <w:kern w:val="0"/>
    </w:rPr>
  </w:style>
  <w:style w:type="table" w:customStyle="1" w:styleId="94">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6" Type="http://schemas.openxmlformats.org/officeDocument/2006/relationships/fontTable" Target="fontTable.xml"/><Relationship Id="rId45" Type="http://schemas.openxmlformats.org/officeDocument/2006/relationships/customXml" Target="../customXml/item2.xml"/><Relationship Id="rId44" Type="http://schemas.openxmlformats.org/officeDocument/2006/relationships/numbering" Target="numbering.xml"/><Relationship Id="rId43" Type="http://schemas.openxmlformats.org/officeDocument/2006/relationships/customXml" Target="../customXml/item1.xml"/><Relationship Id="rId42" Type="http://schemas.openxmlformats.org/officeDocument/2006/relationships/image" Target="media/image9.png"/><Relationship Id="rId41" Type="http://schemas.openxmlformats.org/officeDocument/2006/relationships/image" Target="media/image8.png"/><Relationship Id="rId40" Type="http://schemas.openxmlformats.org/officeDocument/2006/relationships/image" Target="media/image7.png"/><Relationship Id="rId4" Type="http://schemas.openxmlformats.org/officeDocument/2006/relationships/header" Target="header2.xml"/><Relationship Id="rId39" Type="http://schemas.openxmlformats.org/officeDocument/2006/relationships/image" Target="media/image6.png"/><Relationship Id="rId38" Type="http://schemas.openxmlformats.org/officeDocument/2006/relationships/image" Target="media/image5.png"/><Relationship Id="rId37" Type="http://schemas.openxmlformats.org/officeDocument/2006/relationships/image" Target="media/image4.png"/><Relationship Id="rId36" Type="http://schemas.openxmlformats.org/officeDocument/2006/relationships/image" Target="media/image3.png"/><Relationship Id="rId35" Type="http://schemas.openxmlformats.org/officeDocument/2006/relationships/image" Target="media/image2.png"/><Relationship Id="rId34" Type="http://schemas.openxmlformats.org/officeDocument/2006/relationships/image" Target="media/image1.png"/><Relationship Id="rId33" Type="http://schemas.openxmlformats.org/officeDocument/2006/relationships/theme" Target="theme/theme1.xml"/><Relationship Id="rId32" Type="http://schemas.openxmlformats.org/officeDocument/2006/relationships/footer" Target="footer20.xml"/><Relationship Id="rId31" Type="http://schemas.openxmlformats.org/officeDocument/2006/relationships/footer" Target="footer19.xml"/><Relationship Id="rId30" Type="http://schemas.openxmlformats.org/officeDocument/2006/relationships/footer" Target="footer18.xml"/><Relationship Id="rId3" Type="http://schemas.openxmlformats.org/officeDocument/2006/relationships/header" Target="header1.xml"/><Relationship Id="rId29" Type="http://schemas.openxmlformats.org/officeDocument/2006/relationships/header" Target="header10.xml"/><Relationship Id="rId28" Type="http://schemas.openxmlformats.org/officeDocument/2006/relationships/footer" Target="footer17.xml"/><Relationship Id="rId27" Type="http://schemas.openxmlformats.org/officeDocument/2006/relationships/footer" Target="footer16.xml"/><Relationship Id="rId26" Type="http://schemas.openxmlformats.org/officeDocument/2006/relationships/header" Target="header9.xml"/><Relationship Id="rId25" Type="http://schemas.openxmlformats.org/officeDocument/2006/relationships/footer" Target="footer15.xml"/><Relationship Id="rId24" Type="http://schemas.openxmlformats.org/officeDocument/2006/relationships/footer" Target="footer14.xml"/><Relationship Id="rId23" Type="http://schemas.openxmlformats.org/officeDocument/2006/relationships/header" Target="header8.xml"/><Relationship Id="rId22" Type="http://schemas.openxmlformats.org/officeDocument/2006/relationships/footer" Target="footer13.xml"/><Relationship Id="rId21" Type="http://schemas.openxmlformats.org/officeDocument/2006/relationships/footer" Target="footer12.xml"/><Relationship Id="rId20" Type="http://schemas.openxmlformats.org/officeDocument/2006/relationships/header" Target="header7.xml"/><Relationship Id="rId2" Type="http://schemas.openxmlformats.org/officeDocument/2006/relationships/settings" Target="settings.xml"/><Relationship Id="rId19" Type="http://schemas.openxmlformats.org/officeDocument/2006/relationships/footer" Target="footer11.xml"/><Relationship Id="rId18" Type="http://schemas.openxmlformats.org/officeDocument/2006/relationships/header" Target="header6.xml"/><Relationship Id="rId17" Type="http://schemas.openxmlformats.org/officeDocument/2006/relationships/footer" Target="footer10.xml"/><Relationship Id="rId16" Type="http://schemas.openxmlformats.org/officeDocument/2006/relationships/header" Target="header5.xml"/><Relationship Id="rId15" Type="http://schemas.openxmlformats.org/officeDocument/2006/relationships/footer" Target="footer9.xml"/><Relationship Id="rId14" Type="http://schemas.openxmlformats.org/officeDocument/2006/relationships/footer" Target="footer8.xml"/><Relationship Id="rId13" Type="http://schemas.openxmlformats.org/officeDocument/2006/relationships/footer" Target="footer7.xml"/><Relationship Id="rId12" Type="http://schemas.openxmlformats.org/officeDocument/2006/relationships/header" Target="header4.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2050"/>
    <customShpInfo spid="_x0000_s1026" textRotate="1"/>
    <customShpInfo spid="_x0000_s2051"/>
    <customShpInfo spid="_x0000_s2052"/>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CD120F3-88EB-453B-9217-C8E35DA5A553}">
  <ds:schemaRefs/>
</ds:datastoreItem>
</file>

<file path=docProps/app.xml><?xml version="1.0" encoding="utf-8"?>
<Properties xmlns="http://schemas.openxmlformats.org/officeDocument/2006/extended-properties" xmlns:vt="http://schemas.openxmlformats.org/officeDocument/2006/docPropsVTypes">
  <Template>Normal</Template>
  <Pages>162</Pages>
  <Words>87967</Words>
  <Characters>92744</Characters>
  <Lines>285</Lines>
  <Paragraphs>80</Paragraphs>
  <TotalTime>11</TotalTime>
  <ScaleCrop>false</ScaleCrop>
  <LinksUpToDate>false</LinksUpToDate>
  <CharactersWithSpaces>94096</CharactersWithSpaces>
  <Application>WPS Office_11.1.0.12302_F1E327BC-269C-435d-A152-05C5408002CA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2021-02-24T04:13:00Z</dcterms:created>
  <dc:creator>Administrator</dc:creator>
  <cp:lastModifiedBy>鲁清</cp:lastModifiedBy>
  <cp:lastPrinted>2022-08-11T09:30:00Z</cp:lastPrinted>
  <dcterms:modified xsi:type="dcterms:W3CDTF">2022-08-11T10:16:38Z</dcterms:modified>
  <cp:revision>142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2052-11.1.0.12302</vt:lpwstr>
  </property>
  <property fmtid="{D5CDD505-2E9C-101B-9397-08002B2CF9AE}" pid="3" name="ICV">
    <vt:lpwstr>E28ACE3FD4A9458E9D80A2F3991B55F9</vt:lpwstr>
  </property>
</Properties>
</file>