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w:t>
      </w: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bCs/>
          <w:sz w:val="28"/>
          <w:szCs w:val="28"/>
        </w:rPr>
        <w:t>项目编号:SHM-HZZ-(202</w:t>
      </w: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t>号</w:t>
      </w:r>
    </w:p>
    <w:p>
      <w:pPr>
        <w:ind w:right="720"/>
        <w:rPr>
          <w:rFonts w:asciiTheme="minorEastAsia" w:hAnsiTheme="minorEastAsia" w:eastAsiaTheme="minorEastAsia" w:cstheme="minorEastAsia"/>
        </w:rPr>
      </w:pPr>
    </w:p>
    <w:p>
      <w:pPr>
        <w:ind w:right="7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ind w:right="720"/>
        <w:rPr>
          <w:rFonts w:asciiTheme="minorEastAsia" w:hAnsiTheme="minorEastAsia" w:eastAsiaTheme="minorEastAsia" w:cstheme="minorEastAsia"/>
        </w:rPr>
      </w:pPr>
    </w:p>
    <w:p>
      <w:pPr>
        <w:spacing w:line="240" w:lineRule="atLeast"/>
        <w:jc w:val="center"/>
        <w:rPr>
          <w:rFonts w:hint="eastAsia" w:asciiTheme="minorEastAsia" w:hAnsiTheme="minorEastAsia" w:eastAsiaTheme="minorEastAsia" w:cstheme="minorEastAsia"/>
          <w:b/>
          <w:bCs/>
          <w:spacing w:val="20"/>
          <w:kern w:val="0"/>
          <w:sz w:val="44"/>
          <w:szCs w:val="44"/>
          <w:lang w:eastAsia="zh-CN"/>
        </w:rPr>
      </w:pPr>
      <w:bookmarkStart w:id="0" w:name="OLE_LINK19"/>
      <w:r>
        <w:rPr>
          <w:rFonts w:hint="eastAsia" w:asciiTheme="minorEastAsia" w:hAnsiTheme="minorEastAsia" w:eastAsiaTheme="minorEastAsia" w:cstheme="minorEastAsia"/>
          <w:b/>
          <w:bCs/>
          <w:spacing w:val="20"/>
          <w:kern w:val="0"/>
          <w:sz w:val="44"/>
          <w:szCs w:val="44"/>
          <w:lang w:eastAsia="zh-CN"/>
        </w:rPr>
        <w:t>西乡县城市体检工作</w:t>
      </w:r>
    </w:p>
    <w:p>
      <w:pPr>
        <w:pStyle w:val="50"/>
        <w:ind w:firstLine="963"/>
        <w:rPr>
          <w:rFonts w:asciiTheme="minorEastAsia" w:hAnsiTheme="minorEastAsia" w:eastAsiaTheme="minorEastAsia" w:cstheme="minorEastAsia"/>
          <w:b/>
          <w:bCs/>
          <w:spacing w:val="20"/>
          <w:kern w:val="0"/>
          <w:sz w:val="44"/>
          <w:szCs w:val="44"/>
        </w:rPr>
      </w:pPr>
    </w:p>
    <w:p>
      <w:pPr>
        <w:pStyle w:val="50"/>
        <w:ind w:firstLine="963"/>
        <w:rPr>
          <w:rFonts w:asciiTheme="minorEastAsia" w:hAnsiTheme="minorEastAsia" w:eastAsiaTheme="minorEastAsia" w:cstheme="minorEastAsia"/>
          <w:b/>
          <w:bCs/>
          <w:spacing w:val="20"/>
          <w:kern w:val="0"/>
          <w:sz w:val="44"/>
          <w:szCs w:val="44"/>
        </w:rPr>
      </w:pPr>
    </w:p>
    <w:p>
      <w:pPr>
        <w:spacing w:line="240" w:lineRule="atLeast"/>
        <w:jc w:val="center"/>
        <w:rPr>
          <w:rFonts w:asciiTheme="minorEastAsia" w:hAnsiTheme="minorEastAsia" w:eastAsiaTheme="minorEastAsia" w:cstheme="minorEastAsia"/>
          <w:b/>
          <w:bCs/>
          <w:spacing w:val="20"/>
          <w:kern w:val="0"/>
          <w:sz w:val="48"/>
          <w:szCs w:val="48"/>
        </w:rPr>
      </w:pPr>
      <w:r>
        <w:rPr>
          <w:rFonts w:hint="eastAsia" w:asciiTheme="minorEastAsia" w:hAnsiTheme="minorEastAsia" w:eastAsiaTheme="minorEastAsia" w:cstheme="minorEastAsia"/>
          <w:b/>
          <w:bCs/>
          <w:spacing w:val="20"/>
          <w:kern w:val="0"/>
          <w:sz w:val="48"/>
          <w:szCs w:val="48"/>
        </w:rPr>
        <w:t>竞争性磋商文件</w:t>
      </w:r>
      <w:bookmarkEnd w:id="0"/>
    </w:p>
    <w:p>
      <w:pPr>
        <w:spacing w:line="900" w:lineRule="exact"/>
        <w:jc w:val="center"/>
        <w:rPr>
          <w:rFonts w:asciiTheme="minorEastAsia" w:hAnsiTheme="minorEastAsia" w:eastAsiaTheme="minorEastAsia" w:cstheme="minorEastAsia"/>
          <w:b/>
          <w:bCs/>
          <w:kern w:val="0"/>
          <w:sz w:val="84"/>
          <w:szCs w:val="84"/>
        </w:rPr>
      </w:pPr>
    </w:p>
    <w:p>
      <w:pPr>
        <w:spacing w:line="520" w:lineRule="exact"/>
        <w:ind w:firstLine="1687" w:firstLineChars="200"/>
        <w:jc w:val="center"/>
        <w:rPr>
          <w:rFonts w:asciiTheme="minorEastAsia" w:hAnsiTheme="minorEastAsia" w:eastAsiaTheme="minorEastAsia" w:cstheme="minorEastAsia"/>
          <w:b/>
          <w:bCs/>
          <w:kern w:val="0"/>
          <w:sz w:val="84"/>
          <w:szCs w:val="84"/>
        </w:rPr>
      </w:pPr>
    </w:p>
    <w:p>
      <w:pPr>
        <w:tabs>
          <w:tab w:val="left" w:pos="6045"/>
        </w:tabs>
        <w:rPr>
          <w:rFonts w:asciiTheme="minorEastAsia" w:hAnsiTheme="minorEastAsia" w:eastAsiaTheme="minorEastAsia" w:cstheme="minorEastAsia"/>
          <w:sz w:val="32"/>
        </w:rPr>
      </w:pPr>
      <w:r>
        <w:rPr>
          <w:rFonts w:hint="eastAsia" w:asciiTheme="minorEastAsia" w:hAnsiTheme="minorEastAsia" w:eastAsiaTheme="minorEastAsia" w:cstheme="minorEastAsia"/>
          <w:sz w:val="32"/>
        </w:rPr>
        <w:t xml:space="preserve">                    </w:t>
      </w:r>
      <w:r>
        <w:rPr>
          <w:rFonts w:hint="eastAsia" w:asciiTheme="minorEastAsia" w:hAnsiTheme="minorEastAsia" w:eastAsiaTheme="minorEastAsia" w:cstheme="minorEastAsia"/>
          <w:sz w:val="32"/>
        </w:rPr>
        <w:drawing>
          <wp:inline distT="0" distB="0" distL="114300" distR="114300">
            <wp:extent cx="1722755" cy="1696085"/>
            <wp:effectExtent l="0" t="0" r="10795" b="18415"/>
            <wp:docPr id="3" name="图片 3" descr="华茂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华茂图标"/>
                    <pic:cNvPicPr>
                      <a:picLocks noChangeAspect="1"/>
                    </pic:cNvPicPr>
                  </pic:nvPicPr>
                  <pic:blipFill>
                    <a:blip r:embed="rId17"/>
                    <a:stretch>
                      <a:fillRect/>
                    </a:stretch>
                  </pic:blipFill>
                  <pic:spPr>
                    <a:xfrm>
                      <a:off x="0" y="0"/>
                      <a:ext cx="1722755" cy="1696085"/>
                    </a:xfrm>
                    <a:prstGeom prst="rect">
                      <a:avLst/>
                    </a:prstGeom>
                  </pic:spPr>
                </pic:pic>
              </a:graphicData>
            </a:graphic>
          </wp:inline>
        </w:drawing>
      </w:r>
    </w:p>
    <w:p>
      <w:pPr>
        <w:tabs>
          <w:tab w:val="left" w:pos="6045"/>
        </w:tabs>
        <w:spacing w:line="520" w:lineRule="exact"/>
        <w:rPr>
          <w:rFonts w:asciiTheme="minorEastAsia" w:hAnsiTheme="minorEastAsia" w:eastAsiaTheme="minorEastAsia" w:cstheme="minorEastAsia"/>
          <w:sz w:val="32"/>
        </w:rPr>
      </w:pPr>
    </w:p>
    <w:p>
      <w:pPr>
        <w:tabs>
          <w:tab w:val="left" w:pos="6045"/>
        </w:tabs>
        <w:spacing w:line="500" w:lineRule="exact"/>
        <w:rPr>
          <w:rFonts w:asciiTheme="minorEastAsia" w:hAnsiTheme="minorEastAsia" w:eastAsiaTheme="minorEastAsia" w:cstheme="minorEastAsia"/>
          <w:sz w:val="32"/>
          <w:szCs w:val="32"/>
        </w:rPr>
      </w:pPr>
    </w:p>
    <w:p>
      <w:pPr>
        <w:tabs>
          <w:tab w:val="left" w:pos="6045"/>
        </w:tabs>
        <w:spacing w:line="500" w:lineRule="exact"/>
        <w:rPr>
          <w:rFonts w:asciiTheme="minorEastAsia" w:hAnsiTheme="minorEastAsia" w:eastAsiaTheme="minorEastAsia" w:cstheme="minorEastAsia"/>
          <w:sz w:val="32"/>
          <w:szCs w:val="32"/>
        </w:rPr>
      </w:pPr>
    </w:p>
    <w:p>
      <w:pPr>
        <w:tabs>
          <w:tab w:val="left" w:pos="6045"/>
        </w:tabs>
        <w:spacing w:line="500" w:lineRule="exact"/>
        <w:rPr>
          <w:rFonts w:asciiTheme="minorEastAsia" w:hAnsiTheme="minorEastAsia" w:eastAsiaTheme="minorEastAsia" w:cstheme="minorEastAsia"/>
          <w:sz w:val="32"/>
          <w:szCs w:val="32"/>
        </w:rPr>
      </w:pPr>
    </w:p>
    <w:p>
      <w:pPr>
        <w:spacing w:line="72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采购人：西乡县住房和城乡建设管理局</w:t>
      </w:r>
    </w:p>
    <w:p>
      <w:pPr>
        <w:spacing w:line="72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采购代理机构：陕西华茂建设监理咨询有限公司</w:t>
      </w:r>
    </w:p>
    <w:p>
      <w:pPr>
        <w:ind w:right="-99" w:rightChars="-47"/>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202</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年</w:t>
      </w:r>
      <w:r>
        <w:rPr>
          <w:rFonts w:hint="eastAsia" w:asciiTheme="minorEastAsia" w:hAnsiTheme="minorEastAsia" w:eastAsiaTheme="minorEastAsia" w:cstheme="minorEastAsia"/>
          <w:b/>
          <w:sz w:val="28"/>
          <w:szCs w:val="28"/>
          <w:lang w:val="en-US" w:eastAsia="zh-CN"/>
        </w:rPr>
        <w:t>2</w:t>
      </w:r>
      <w:r>
        <w:rPr>
          <w:rFonts w:hint="eastAsia" w:asciiTheme="minorEastAsia" w:hAnsiTheme="minorEastAsia" w:eastAsiaTheme="minorEastAsia" w:cstheme="minorEastAsia"/>
          <w:b/>
          <w:sz w:val="28"/>
          <w:szCs w:val="28"/>
        </w:rPr>
        <w:t>月</w:t>
      </w: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日</w:t>
      </w:r>
    </w:p>
    <w:p>
      <w:pPr>
        <w:ind w:right="-99" w:rightChars="-47"/>
        <w:jc w:val="center"/>
        <w:rPr>
          <w:rFonts w:asciiTheme="minorEastAsia" w:hAnsiTheme="minorEastAsia" w:eastAsiaTheme="minorEastAsia" w:cstheme="minorEastAsia"/>
          <w:b/>
          <w:sz w:val="28"/>
          <w:szCs w:val="28"/>
        </w:rPr>
      </w:pPr>
    </w:p>
    <w:p>
      <w:pPr>
        <w:ind w:right="-99" w:rightChars="-47"/>
        <w:jc w:val="center"/>
        <w:rPr>
          <w:rFonts w:asciiTheme="minorEastAsia" w:hAnsiTheme="minorEastAsia" w:eastAsiaTheme="minorEastAsia" w:cstheme="minorEastAsia"/>
          <w:b/>
          <w:sz w:val="52"/>
          <w:szCs w:val="52"/>
        </w:rPr>
      </w:pPr>
    </w:p>
    <w:p>
      <w:pPr>
        <w:ind w:right="-99" w:rightChars="-47"/>
        <w:jc w:val="center"/>
        <w:rPr>
          <w:rFonts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目     录</w:t>
      </w:r>
    </w:p>
    <w:p>
      <w:pPr>
        <w:spacing w:line="800" w:lineRule="exact"/>
        <w:ind w:right="-99" w:rightChars="-47" w:firstLine="3200" w:firstLineChars="200"/>
        <w:jc w:val="center"/>
        <w:rPr>
          <w:rFonts w:asciiTheme="minorEastAsia" w:hAnsiTheme="minorEastAsia" w:eastAsiaTheme="minorEastAsia" w:cstheme="minorEastAsia"/>
          <w:sz w:val="160"/>
          <w:szCs w:val="160"/>
        </w:rPr>
      </w:pPr>
    </w:p>
    <w:p>
      <w:pPr>
        <w:pStyle w:val="24"/>
        <w:tabs>
          <w:tab w:val="right" w:leader="dot" w:pos="9240"/>
        </w:tabs>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44"/>
          <w:szCs w:val="44"/>
        </w:rPr>
        <w:fldChar w:fldCharType="begin"/>
      </w:r>
      <w:r>
        <w:rPr>
          <w:rFonts w:hint="eastAsia" w:asciiTheme="minorEastAsia" w:hAnsiTheme="minorEastAsia" w:eastAsiaTheme="minorEastAsia" w:cstheme="minorEastAsia"/>
          <w:sz w:val="44"/>
          <w:szCs w:val="44"/>
        </w:rPr>
        <w:instrText xml:space="preserve">TOC \o "1-1" \h \u </w:instrText>
      </w:r>
      <w:r>
        <w:rPr>
          <w:rFonts w:hint="eastAsia" w:asciiTheme="minorEastAsia" w:hAnsiTheme="minorEastAsia" w:eastAsiaTheme="minorEastAsia" w:cstheme="minorEastAsia"/>
          <w:sz w:val="44"/>
          <w:szCs w:val="44"/>
        </w:rPr>
        <w:fldChar w:fldCharType="separate"/>
      </w:r>
      <w:r>
        <w:fldChar w:fldCharType="begin"/>
      </w:r>
      <w:r>
        <w:instrText xml:space="preserve"> HYPERLINK \l "_Toc28342" </w:instrText>
      </w:r>
      <w:r>
        <w:fldChar w:fldCharType="separate"/>
      </w:r>
      <w:r>
        <w:rPr>
          <w:rFonts w:hint="eastAsia" w:asciiTheme="minorEastAsia" w:hAnsiTheme="minorEastAsia" w:eastAsiaTheme="minorEastAsia" w:cstheme="minorEastAsia"/>
          <w:sz w:val="28"/>
          <w:szCs w:val="48"/>
        </w:rPr>
        <w:t>第一章    竞争性磋商公告</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_Toc28342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3</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24"/>
        <w:tabs>
          <w:tab w:val="right" w:leader="dot" w:pos="9240"/>
        </w:tabs>
        <w:rPr>
          <w:rFonts w:asciiTheme="minorEastAsia" w:hAnsiTheme="minorEastAsia" w:eastAsiaTheme="minorEastAsia" w:cstheme="minorEastAsia"/>
          <w:sz w:val="28"/>
          <w:szCs w:val="36"/>
        </w:rPr>
      </w:pPr>
      <w:r>
        <w:fldChar w:fldCharType="begin"/>
      </w:r>
      <w:r>
        <w:instrText xml:space="preserve"> HYPERLINK \l "_Toc17179" </w:instrText>
      </w:r>
      <w:r>
        <w:fldChar w:fldCharType="separate"/>
      </w:r>
      <w:r>
        <w:rPr>
          <w:rFonts w:hint="eastAsia" w:asciiTheme="minorEastAsia" w:hAnsiTheme="minorEastAsia" w:eastAsiaTheme="minorEastAsia" w:cstheme="minorEastAsia"/>
          <w:sz w:val="28"/>
          <w:szCs w:val="48"/>
        </w:rPr>
        <w:t>第二章    供应商须知</w:t>
      </w:r>
      <w:r>
        <w:rPr>
          <w:rFonts w:hint="eastAsia" w:asciiTheme="minorEastAsia" w:hAnsiTheme="minorEastAsia" w:eastAsiaTheme="minorEastAsia" w:cstheme="minorEastAsia"/>
          <w:sz w:val="28"/>
          <w:szCs w:val="48"/>
          <w:lang w:eastAsia="zh-CN"/>
        </w:rPr>
        <w:t>及须知</w:t>
      </w:r>
      <w:r>
        <w:rPr>
          <w:rFonts w:hint="eastAsia" w:asciiTheme="minorEastAsia" w:hAnsiTheme="minorEastAsia" w:eastAsiaTheme="minorEastAsia" w:cstheme="minorEastAsia"/>
          <w:sz w:val="28"/>
          <w:szCs w:val="48"/>
        </w:rPr>
        <w:t>前附表</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lang w:val="en-US" w:eastAsia="zh-CN"/>
        </w:rPr>
        <w:t>6</w:t>
      </w:r>
      <w:r>
        <w:rPr>
          <w:rFonts w:hint="eastAsia" w:asciiTheme="minorEastAsia" w:hAnsiTheme="minorEastAsia" w:eastAsiaTheme="minorEastAsia" w:cstheme="minorEastAsia"/>
          <w:sz w:val="28"/>
          <w:szCs w:val="36"/>
        </w:rPr>
        <w:fldChar w:fldCharType="end"/>
      </w:r>
    </w:p>
    <w:p>
      <w:pPr>
        <w:pStyle w:val="24"/>
        <w:tabs>
          <w:tab w:val="right" w:leader="dot" w:pos="9240"/>
        </w:tabs>
        <w:rPr>
          <w:rFonts w:hint="eastAsia" w:asciiTheme="minorEastAsia" w:hAnsiTheme="minorEastAsia" w:eastAsiaTheme="minorEastAsia" w:cstheme="minorEastAsia"/>
          <w:sz w:val="28"/>
          <w:szCs w:val="36"/>
          <w:lang w:val="en-US" w:eastAsia="zh-CN"/>
        </w:rPr>
      </w:pPr>
      <w:r>
        <w:fldChar w:fldCharType="begin"/>
      </w:r>
      <w:r>
        <w:instrText xml:space="preserve"> HYPERLINK \l "_Toc29458" </w:instrText>
      </w:r>
      <w:r>
        <w:fldChar w:fldCharType="separate"/>
      </w:r>
      <w:r>
        <w:rPr>
          <w:rFonts w:hint="eastAsia" w:asciiTheme="minorEastAsia" w:hAnsiTheme="minorEastAsia" w:eastAsiaTheme="minorEastAsia" w:cstheme="minorEastAsia"/>
          <w:sz w:val="28"/>
          <w:szCs w:val="48"/>
        </w:rPr>
        <w:t xml:space="preserve">第三章    </w:t>
      </w:r>
      <w:r>
        <w:rPr>
          <w:rFonts w:hint="eastAsia" w:asciiTheme="minorEastAsia" w:hAnsiTheme="minorEastAsia" w:eastAsiaTheme="minorEastAsia" w:cstheme="minorEastAsia"/>
          <w:sz w:val="28"/>
          <w:szCs w:val="48"/>
          <w:lang w:eastAsia="zh-CN"/>
        </w:rPr>
        <w:t>采购内容</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lang w:val="en-US" w:eastAsia="zh-CN"/>
        </w:rPr>
        <w:t>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7</w:t>
      </w:r>
    </w:p>
    <w:p>
      <w:pPr>
        <w:pStyle w:val="24"/>
        <w:tabs>
          <w:tab w:val="right" w:leader="dot" w:pos="9240"/>
        </w:tabs>
        <w:rPr>
          <w:rFonts w:hint="eastAsia" w:asciiTheme="minorEastAsia" w:hAnsiTheme="minorEastAsia" w:eastAsiaTheme="minorEastAsia" w:cstheme="minorEastAsia"/>
          <w:sz w:val="28"/>
          <w:szCs w:val="36"/>
          <w:lang w:val="en-US" w:eastAsia="zh-CN"/>
        </w:rPr>
      </w:pPr>
      <w:r>
        <w:fldChar w:fldCharType="begin"/>
      </w:r>
      <w:r>
        <w:instrText xml:space="preserve"> HYPERLINK \l "_Toc22953" </w:instrText>
      </w:r>
      <w:r>
        <w:fldChar w:fldCharType="separate"/>
      </w:r>
      <w:r>
        <w:rPr>
          <w:rFonts w:hint="eastAsia" w:asciiTheme="minorEastAsia" w:hAnsiTheme="minorEastAsia" w:eastAsiaTheme="minorEastAsia" w:cstheme="minorEastAsia"/>
          <w:sz w:val="28"/>
          <w:szCs w:val="48"/>
        </w:rPr>
        <w:t xml:space="preserve">第四章    </w:t>
      </w:r>
      <w:r>
        <w:rPr>
          <w:rFonts w:hint="eastAsia" w:asciiTheme="minorEastAsia" w:hAnsiTheme="minorEastAsia" w:eastAsiaTheme="minorEastAsia" w:cstheme="minorEastAsia"/>
          <w:sz w:val="28"/>
          <w:szCs w:val="48"/>
          <w:lang w:eastAsia="zh-CN"/>
        </w:rPr>
        <w:t>评标办法</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lang w:val="en-US" w:eastAsia="zh-CN"/>
        </w:rPr>
        <w:t>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9</w:t>
      </w:r>
    </w:p>
    <w:p>
      <w:pPr>
        <w:pStyle w:val="24"/>
        <w:tabs>
          <w:tab w:val="right" w:leader="dot" w:pos="9240"/>
        </w:tabs>
        <w:rPr>
          <w:rFonts w:asciiTheme="minorEastAsia" w:hAnsiTheme="minorEastAsia" w:eastAsiaTheme="minorEastAsia" w:cstheme="minorEastAsia"/>
          <w:sz w:val="28"/>
          <w:szCs w:val="36"/>
        </w:rPr>
      </w:pPr>
      <w:r>
        <w:fldChar w:fldCharType="begin"/>
      </w:r>
      <w:r>
        <w:instrText xml:space="preserve"> HYPERLINK \l "_Toc2209" </w:instrText>
      </w:r>
      <w:r>
        <w:fldChar w:fldCharType="separate"/>
      </w:r>
      <w:r>
        <w:rPr>
          <w:rFonts w:hint="eastAsia" w:asciiTheme="minorEastAsia" w:hAnsiTheme="minorEastAsia" w:eastAsiaTheme="minorEastAsia" w:cstheme="minorEastAsia"/>
          <w:sz w:val="28"/>
          <w:szCs w:val="48"/>
        </w:rPr>
        <w:t>第五章    合同条款</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_Toc2209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35</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24"/>
        <w:tabs>
          <w:tab w:val="right" w:leader="dot" w:pos="9240"/>
        </w:tabs>
        <w:rPr>
          <w:rFonts w:hint="default" w:asciiTheme="minorEastAsia" w:hAnsiTheme="minorEastAsia" w:eastAsiaTheme="minorEastAsia" w:cstheme="minorEastAsia"/>
          <w:sz w:val="28"/>
          <w:szCs w:val="36"/>
          <w:lang w:val="en-US" w:eastAsia="zh-CN"/>
        </w:rPr>
      </w:pPr>
      <w:r>
        <w:fldChar w:fldCharType="begin"/>
      </w:r>
      <w:r>
        <w:instrText xml:space="preserve"> HYPERLINK \l "_Toc16627" </w:instrText>
      </w:r>
      <w:r>
        <w:fldChar w:fldCharType="separate"/>
      </w:r>
      <w:r>
        <w:rPr>
          <w:rFonts w:hint="eastAsia" w:asciiTheme="minorEastAsia" w:hAnsiTheme="minorEastAsia" w:eastAsiaTheme="minorEastAsia" w:cstheme="minorEastAsia"/>
          <w:sz w:val="28"/>
          <w:szCs w:val="48"/>
        </w:rPr>
        <w:t>第六章    竞争性磋商响应文件格式</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41</w:t>
      </w:r>
    </w:p>
    <w:p>
      <w:pPr>
        <w:spacing w:line="720" w:lineRule="auto"/>
        <w:ind w:right="-99" w:rightChars="-47" w:firstLine="560" w:firstLineChars="200"/>
        <w:jc w:val="center"/>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end"/>
      </w:r>
      <w:bookmarkStart w:id="1" w:name="_Toc2612"/>
      <w:bookmarkStart w:id="2" w:name="_Toc32697"/>
      <w:bookmarkStart w:id="3" w:name="_Toc28342"/>
      <w:bookmarkStart w:id="4" w:name="_Toc26640"/>
      <w:bookmarkStart w:id="5" w:name="_Toc25707"/>
    </w:p>
    <w:p>
      <w:pPr>
        <w:spacing w:line="720" w:lineRule="auto"/>
        <w:ind w:right="-99" w:rightChars="-47" w:firstLine="720" w:firstLineChars="200"/>
        <w:jc w:val="center"/>
        <w:rPr>
          <w:rFonts w:asciiTheme="minorEastAsia" w:hAnsiTheme="minorEastAsia" w:eastAsiaTheme="minorEastAsia" w:cstheme="minorEastAsia"/>
          <w:sz w:val="36"/>
          <w:szCs w:val="36"/>
        </w:rPr>
      </w:pPr>
    </w:p>
    <w:p>
      <w:pPr>
        <w:spacing w:line="720" w:lineRule="auto"/>
        <w:ind w:right="-99" w:rightChars="-47" w:firstLine="720" w:firstLineChars="200"/>
        <w:jc w:val="center"/>
        <w:rPr>
          <w:rFonts w:asciiTheme="minorEastAsia" w:hAnsiTheme="minorEastAsia" w:eastAsiaTheme="minorEastAsia" w:cstheme="minorEastAsia"/>
          <w:sz w:val="36"/>
          <w:szCs w:val="36"/>
        </w:rPr>
      </w:pPr>
    </w:p>
    <w:p>
      <w:pPr>
        <w:spacing w:line="720" w:lineRule="auto"/>
        <w:ind w:right="-99" w:rightChars="-47" w:firstLine="720" w:firstLineChars="200"/>
        <w:jc w:val="center"/>
        <w:rPr>
          <w:rFonts w:asciiTheme="minorEastAsia" w:hAnsiTheme="minorEastAsia" w:eastAsiaTheme="minorEastAsia" w:cstheme="minorEastAsia"/>
          <w:sz w:val="36"/>
          <w:szCs w:val="36"/>
        </w:rPr>
      </w:pPr>
    </w:p>
    <w:p>
      <w:pPr>
        <w:spacing w:line="720" w:lineRule="auto"/>
        <w:ind w:right="-99" w:rightChars="-47" w:firstLine="720" w:firstLineChars="200"/>
        <w:jc w:val="center"/>
        <w:rPr>
          <w:rFonts w:asciiTheme="minorEastAsia" w:hAnsiTheme="minorEastAsia" w:eastAsiaTheme="minorEastAsia" w:cstheme="minorEastAsia"/>
          <w:sz w:val="36"/>
          <w:szCs w:val="36"/>
        </w:rPr>
      </w:pPr>
    </w:p>
    <w:p>
      <w:pPr>
        <w:spacing w:line="720" w:lineRule="auto"/>
        <w:ind w:right="-99" w:rightChars="-47" w:firstLine="720" w:firstLineChars="200"/>
        <w:jc w:val="center"/>
        <w:rPr>
          <w:rFonts w:asciiTheme="minorEastAsia" w:hAnsiTheme="minorEastAsia" w:eastAsiaTheme="minorEastAsia" w:cstheme="minorEastAsia"/>
          <w:sz w:val="36"/>
          <w:szCs w:val="36"/>
        </w:rPr>
      </w:pPr>
    </w:p>
    <w:p>
      <w:pPr>
        <w:spacing w:line="720" w:lineRule="auto"/>
        <w:ind w:right="-99" w:rightChars="-47" w:firstLine="720" w:firstLineChars="200"/>
        <w:jc w:val="center"/>
        <w:rPr>
          <w:rFonts w:asciiTheme="minorEastAsia" w:hAnsiTheme="minorEastAsia" w:eastAsiaTheme="minorEastAsia" w:cstheme="minorEastAsia"/>
          <w:sz w:val="36"/>
          <w:szCs w:val="36"/>
        </w:rPr>
      </w:pPr>
    </w:p>
    <w:p>
      <w:pPr>
        <w:pStyle w:val="32"/>
        <w:adjustRightInd w:val="0"/>
        <w:snapToGrid w:val="0"/>
        <w:ind w:firstLine="420"/>
        <w:jc w:val="center"/>
        <w:rPr>
          <w:rFonts w:hint="eastAsia" w:asciiTheme="minorEastAsia" w:hAnsiTheme="minorEastAsia" w:eastAsiaTheme="minorEastAsia" w:cstheme="minorEastAsia"/>
          <w:kern w:val="2"/>
          <w:sz w:val="30"/>
          <w:szCs w:val="30"/>
        </w:rPr>
      </w:pPr>
    </w:p>
    <w:p>
      <w:pPr>
        <w:pStyle w:val="32"/>
        <w:adjustRightInd w:val="0"/>
        <w:snapToGrid w:val="0"/>
        <w:ind w:firstLine="420"/>
        <w:jc w:val="center"/>
        <w:rPr>
          <w:rFonts w:hint="eastAsia" w:asciiTheme="minorEastAsia" w:hAnsiTheme="minorEastAsia" w:eastAsiaTheme="minorEastAsia" w:cstheme="minorEastAsia"/>
          <w:kern w:val="2"/>
          <w:sz w:val="30"/>
          <w:szCs w:val="30"/>
        </w:rPr>
      </w:pPr>
      <w:r>
        <w:rPr>
          <w:rFonts w:hint="eastAsia" w:asciiTheme="minorEastAsia" w:hAnsiTheme="minorEastAsia" w:eastAsiaTheme="minorEastAsia" w:cstheme="minorEastAsia"/>
          <w:kern w:val="2"/>
          <w:sz w:val="30"/>
          <w:szCs w:val="30"/>
        </w:rPr>
        <w:t xml:space="preserve">第一章  </w:t>
      </w:r>
      <w:bookmarkEnd w:id="1"/>
      <w:bookmarkEnd w:id="2"/>
      <w:bookmarkEnd w:id="3"/>
      <w:bookmarkEnd w:id="4"/>
      <w:bookmarkEnd w:id="5"/>
      <w:r>
        <w:rPr>
          <w:rFonts w:hint="eastAsia" w:asciiTheme="minorEastAsia" w:hAnsiTheme="minorEastAsia" w:eastAsiaTheme="minorEastAsia" w:cstheme="minorEastAsia"/>
          <w:kern w:val="2"/>
          <w:sz w:val="30"/>
          <w:szCs w:val="30"/>
        </w:rPr>
        <w:t>竞争性磋商公告</w:t>
      </w:r>
    </w:p>
    <w:p>
      <w:pPr>
        <w:jc w:val="center"/>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西乡县城市体检工作竞争性磋商公告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38"/>
          <w:rFonts w:hint="eastAsia" w:ascii="宋体" w:hAnsi="宋体" w:eastAsia="宋体" w:cs="宋体"/>
          <w:b/>
          <w:bCs/>
          <w:i w:val="0"/>
          <w:iCs w:val="0"/>
          <w:caps w:val="0"/>
          <w:color w:val="333333"/>
          <w:spacing w:val="0"/>
          <w:sz w:val="24"/>
          <w:szCs w:val="24"/>
          <w:shd w:val="clear" w:fill="FFFFFF"/>
        </w:rPr>
        <w:t>项目概况</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西乡县城市体检工作采购项目的潜在供应商应在汉中市汉台区北团结街锦绣华庭商住楼三楼获取采购文件，并于2023年02月</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21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 09时30分</w:t>
      </w:r>
      <w:r>
        <w:rPr>
          <w:rFonts w:hint="eastAsia" w:ascii="宋体" w:hAnsi="宋体" w:eastAsia="宋体" w:cs="宋体"/>
          <w:i w:val="0"/>
          <w:iCs w:val="0"/>
          <w:caps w:val="0"/>
          <w:color w:val="333333"/>
          <w:spacing w:val="0"/>
          <w:sz w:val="24"/>
          <w:szCs w:val="24"/>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一、项目基本情况</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项目编号：SHM-HZZ-(2023)第3号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项目名称：西乡县城市体检工作</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预算金额：750,000.00元</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合同包1(西乡县城市体检工作):</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合同包预算金额：750,000.00元</w:t>
      </w:r>
    </w:p>
    <w:tbl>
      <w:tblPr>
        <w:tblStyle w:val="35"/>
        <w:tblW w:w="96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4"/>
        <w:gridCol w:w="1475"/>
        <w:gridCol w:w="968"/>
        <w:gridCol w:w="1229"/>
        <w:gridCol w:w="1662"/>
        <w:gridCol w:w="1799"/>
        <w:gridCol w:w="17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00" w:hRule="atLeast"/>
          <w:tblHeader/>
        </w:trPr>
        <w:tc>
          <w:tcPr>
            <w:tcW w:w="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9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7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5" w:hRule="atLeast"/>
        </w:trPr>
        <w:tc>
          <w:tcPr>
            <w:tcW w:w="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4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9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体检服务</w:t>
            </w:r>
          </w:p>
        </w:tc>
        <w:tc>
          <w:tcPr>
            <w:tcW w:w="12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1(个)</w:t>
            </w:r>
          </w:p>
        </w:tc>
        <w:tc>
          <w:tcPr>
            <w:tcW w:w="1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7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750,000.00</w:t>
            </w:r>
          </w:p>
        </w:tc>
        <w:tc>
          <w:tcPr>
            <w:tcW w:w="17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r>
    </w:tbl>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合同履行期限：自合同签订之日起90日历天内完成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二、申请人的资格要求：</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2.落实政府采购政策需满足的资格要求： </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①《财政部国家发展改革委关于印发〈节能产品政府采购实施意见〉的通知》（财库〔2004〕185号）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6"/>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②</w:t>
      </w:r>
      <w:r>
        <w:rPr>
          <w:rFonts w:hint="eastAsia" w:ascii="宋体" w:hAnsi="宋体" w:eastAsia="宋体" w:cs="宋体"/>
          <w:i w:val="0"/>
          <w:iCs w:val="0"/>
          <w:caps w:val="0"/>
          <w:color w:val="333333"/>
          <w:spacing w:val="-6"/>
          <w:sz w:val="24"/>
          <w:szCs w:val="24"/>
          <w:shd w:val="clear" w:fill="FFFFFF"/>
          <w:vertAlign w:val="baseline"/>
        </w:rPr>
        <w:t>《国务院办公厅关于建立政府强制采购节能产品制度的通知》（国办发〔2007〕51号）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③</w:t>
      </w:r>
      <w:r>
        <w:rPr>
          <w:rFonts w:hint="eastAsia" w:ascii="宋体" w:hAnsi="宋体" w:eastAsia="宋体" w:cs="宋体"/>
          <w:i w:val="0"/>
          <w:iCs w:val="0"/>
          <w:caps w:val="0"/>
          <w:color w:val="333333"/>
          <w:spacing w:val="0"/>
          <w:sz w:val="24"/>
          <w:szCs w:val="24"/>
          <w:shd w:val="clear" w:fill="FFFFFF"/>
          <w:vertAlign w:val="baseline"/>
        </w:rPr>
        <w:t>《财政部环保总局关于环境标志产品政府采购实施的意见》（财库〔2006〕90号）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cs="宋体"/>
          <w:color w:val="333333"/>
          <w:shd w:val="clear" w:color="auto" w:fill="FFFFFF"/>
        </w:rPr>
      </w:pPr>
      <w:r>
        <w:rPr>
          <w:rFonts w:hint="eastAsia" w:ascii="宋体" w:hAnsi="宋体" w:eastAsia="宋体" w:cs="宋体"/>
          <w:i w:val="0"/>
          <w:iCs w:val="0"/>
          <w:caps w:val="0"/>
          <w:color w:val="333333"/>
          <w:spacing w:val="0"/>
          <w:sz w:val="24"/>
          <w:szCs w:val="24"/>
          <w:shd w:val="clear" w:fill="FFFFFF"/>
        </w:rPr>
        <w:t>④</w:t>
      </w:r>
      <w:r>
        <w:rPr>
          <w:rFonts w:hint="eastAsia" w:cs="宋体"/>
          <w:color w:val="333333"/>
          <w:shd w:val="clear" w:color="auto" w:fill="FFFFFF"/>
        </w:rPr>
        <w:t>《政府采购促进中小企业发展管理办法》（财库〔2020〕46号）；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6"/>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⑤</w:t>
      </w:r>
      <w:r>
        <w:rPr>
          <w:rFonts w:hint="eastAsia" w:ascii="宋体" w:hAnsi="宋体" w:eastAsia="宋体" w:cs="宋体"/>
          <w:i w:val="0"/>
          <w:iCs w:val="0"/>
          <w:caps w:val="0"/>
          <w:color w:val="333333"/>
          <w:spacing w:val="-6"/>
          <w:sz w:val="24"/>
          <w:szCs w:val="24"/>
          <w:shd w:val="clear" w:fill="FFFFFF"/>
          <w:vertAlign w:val="baseline"/>
        </w:rPr>
        <w:t>《财政部司法部关于政府采购支持监狱企业发展有关问题的通知》（财库〔2014〕68号）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6"/>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⑥</w:t>
      </w:r>
      <w:r>
        <w:rPr>
          <w:rFonts w:hint="eastAsia" w:ascii="宋体" w:hAnsi="宋体" w:eastAsia="宋体" w:cs="宋体"/>
          <w:i w:val="0"/>
          <w:iCs w:val="0"/>
          <w:caps w:val="0"/>
          <w:color w:val="333333"/>
          <w:spacing w:val="-6"/>
          <w:sz w:val="24"/>
          <w:szCs w:val="24"/>
          <w:shd w:val="clear" w:fill="FFFFFF"/>
          <w:vertAlign w:val="baseline"/>
        </w:rPr>
        <w:t>《三部门联合发布关于促进残疾人就业政府采购政策的通知》（财库〔2017〕141号）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⑦</w:t>
      </w:r>
      <w:r>
        <w:rPr>
          <w:rFonts w:hint="eastAsia" w:ascii="宋体" w:hAnsi="宋体" w:eastAsia="宋体" w:cs="宋体"/>
          <w:i w:val="0"/>
          <w:iCs w:val="0"/>
          <w:caps w:val="0"/>
          <w:color w:val="333333"/>
          <w:spacing w:val="0"/>
          <w:sz w:val="24"/>
          <w:szCs w:val="24"/>
          <w:shd w:val="clear" w:fill="FFFFFF"/>
          <w:vertAlign w:val="baseline"/>
        </w:rPr>
        <w:t>《财政部发展改革委生态环境市场监管总局关于调整优化节能产品、环境标志产品政府采购执行机制的通知》（财库〔2019〕9号）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⑧</w:t>
      </w:r>
      <w:r>
        <w:rPr>
          <w:rFonts w:hint="eastAsia" w:ascii="宋体" w:hAnsi="宋体" w:eastAsia="宋体" w:cs="宋体"/>
          <w:i w:val="0"/>
          <w:iCs w:val="0"/>
          <w:caps w:val="0"/>
          <w:color w:val="333333"/>
          <w:spacing w:val="0"/>
          <w:sz w:val="24"/>
          <w:szCs w:val="24"/>
          <w:shd w:val="clear" w:fill="FFFFFF"/>
          <w:vertAlign w:val="baseline"/>
        </w:rPr>
        <w:t>《财政部国务院扶贫办关于运用政府采购政策支持脱贫攻坚的通知》（财库〔2019〕27号）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⑨</w:t>
      </w:r>
      <w:r>
        <w:rPr>
          <w:rFonts w:hint="eastAsia" w:ascii="宋体" w:hAnsi="宋体" w:eastAsia="宋体" w:cs="宋体"/>
          <w:i w:val="0"/>
          <w:iCs w:val="0"/>
          <w:caps w:val="0"/>
          <w:color w:val="333333"/>
          <w:spacing w:val="0"/>
          <w:sz w:val="24"/>
          <w:szCs w:val="24"/>
          <w:shd w:val="clear" w:fill="FFFFFF"/>
          <w:vertAlign w:val="baseline"/>
        </w:rPr>
        <w:t>《陕西省中小企业政府采购信用融资办法》（陕财办采〔2018〕23号）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rPr>
        <w:t>⑩</w:t>
      </w:r>
      <w:r>
        <w:rPr>
          <w:rFonts w:hint="eastAsia" w:ascii="宋体" w:hAnsi="宋体" w:eastAsia="宋体" w:cs="宋体"/>
          <w:i w:val="0"/>
          <w:iCs w:val="0"/>
          <w:caps w:val="0"/>
          <w:color w:val="333333"/>
          <w:spacing w:val="0"/>
          <w:sz w:val="24"/>
          <w:szCs w:val="24"/>
          <w:shd w:val="clear" w:fill="FFFFFF"/>
          <w:vertAlign w:val="baseline"/>
        </w:rPr>
        <w:t>如有最新颁布的政府采购政策，按最新的文件执行。</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①具有独立承担民事责任能力的法人、其他组织或自然人，并出具合法有效的营业执照或事业单位法人证书等国家规定的相关证明，自然人参与的提供其身份证明；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②财务状况报告：财务状况良好，提供</w:t>
      </w:r>
      <w:r>
        <w:rPr>
          <w:rFonts w:hint="eastAsia" w:ascii="宋体" w:hAnsi="宋体" w:eastAsia="宋体" w:cs="宋体"/>
          <w:i w:val="0"/>
          <w:iCs w:val="0"/>
          <w:caps w:val="0"/>
          <w:color w:val="333333"/>
          <w:spacing w:val="0"/>
          <w:sz w:val="24"/>
          <w:szCs w:val="24"/>
          <w:shd w:val="clear" w:fill="FFFFFF"/>
          <w:lang w:val="en-US" w:eastAsia="zh-CN"/>
        </w:rPr>
        <w:t>2019-</w:t>
      </w:r>
      <w:r>
        <w:rPr>
          <w:rFonts w:hint="eastAsia" w:ascii="宋体" w:hAnsi="宋体" w:eastAsia="宋体" w:cs="宋体"/>
          <w:i w:val="0"/>
          <w:iCs w:val="0"/>
          <w:caps w:val="0"/>
          <w:color w:val="333333"/>
          <w:spacing w:val="0"/>
          <w:sz w:val="24"/>
          <w:szCs w:val="24"/>
          <w:shd w:val="clear" w:fill="FFFFFF"/>
        </w:rPr>
        <w:t>2021年度</w:t>
      </w:r>
      <w:r>
        <w:rPr>
          <w:rFonts w:hint="eastAsia" w:ascii="宋体" w:hAnsi="宋体" w:eastAsia="宋体" w:cs="宋体"/>
          <w:i w:val="0"/>
          <w:iCs w:val="0"/>
          <w:caps w:val="0"/>
          <w:color w:val="333333"/>
          <w:spacing w:val="0"/>
          <w:sz w:val="24"/>
          <w:szCs w:val="24"/>
          <w:shd w:val="clear" w:fill="FFFFFF"/>
          <w:lang w:eastAsia="zh-CN"/>
        </w:rPr>
        <w:t>任意一年的</w:t>
      </w:r>
      <w:r>
        <w:rPr>
          <w:rFonts w:hint="eastAsia" w:ascii="宋体" w:hAnsi="宋体" w:eastAsia="宋体" w:cs="宋体"/>
          <w:i w:val="0"/>
          <w:iCs w:val="0"/>
          <w:caps w:val="0"/>
          <w:color w:val="333333"/>
          <w:spacing w:val="0"/>
          <w:sz w:val="24"/>
          <w:szCs w:val="24"/>
          <w:shd w:val="clear" w:fill="FFFFFF"/>
        </w:rPr>
        <w:t>财务审计报告（公司成立不足一年的需提供银行出具的资信证明原件及基本账号开户许可证或开户银行出具的基本存款账户信息表）</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③税收缴纳证明：具有依法缴纳税收的良好记录（提供</w:t>
      </w:r>
      <w:r>
        <w:rPr>
          <w:rFonts w:hint="eastAsia" w:ascii="宋体" w:hAnsi="宋体" w:eastAsia="宋体" w:cs="宋体"/>
          <w:i w:val="0"/>
          <w:iCs w:val="0"/>
          <w:caps w:val="0"/>
          <w:color w:val="333333"/>
          <w:spacing w:val="0"/>
          <w:sz w:val="24"/>
          <w:szCs w:val="24"/>
          <w:shd w:val="clear" w:fill="FFFFFF"/>
          <w:lang w:eastAsia="zh-CN"/>
        </w:rPr>
        <w:t>磋商</w:t>
      </w:r>
      <w:r>
        <w:rPr>
          <w:rFonts w:hint="eastAsia" w:ascii="宋体" w:hAnsi="宋体" w:eastAsia="宋体" w:cs="宋体"/>
          <w:i w:val="0"/>
          <w:iCs w:val="0"/>
          <w:caps w:val="0"/>
          <w:color w:val="333333"/>
          <w:spacing w:val="0"/>
          <w:sz w:val="24"/>
          <w:szCs w:val="24"/>
          <w:shd w:val="clear" w:fill="FFFFFF"/>
        </w:rPr>
        <w:t>截止前六个月内任意一个月的缴纳证明）；依法免税的应提供相关文件证明；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④提供</w:t>
      </w:r>
      <w:r>
        <w:rPr>
          <w:rFonts w:hint="eastAsia" w:ascii="宋体" w:hAnsi="宋体" w:eastAsia="宋体" w:cs="宋体"/>
          <w:i w:val="0"/>
          <w:iCs w:val="0"/>
          <w:caps w:val="0"/>
          <w:color w:val="333333"/>
          <w:spacing w:val="0"/>
          <w:sz w:val="24"/>
          <w:szCs w:val="24"/>
          <w:shd w:val="clear" w:fill="FFFFFF"/>
          <w:lang w:eastAsia="zh-CN"/>
        </w:rPr>
        <w:t>磋商</w:t>
      </w:r>
      <w:r>
        <w:rPr>
          <w:rFonts w:hint="eastAsia" w:ascii="宋体" w:hAnsi="宋体" w:eastAsia="宋体" w:cs="宋体"/>
          <w:i w:val="0"/>
          <w:iCs w:val="0"/>
          <w:caps w:val="0"/>
          <w:color w:val="333333"/>
          <w:spacing w:val="0"/>
          <w:sz w:val="24"/>
          <w:szCs w:val="24"/>
          <w:shd w:val="clear" w:fill="FFFFFF"/>
        </w:rPr>
        <w:t>截止前六个月内任意一个月的社保缴费凭据或社保机构开具的社会保险参保缴费情况证明；（依法不需要缴纳社会保障资金的</w:t>
      </w:r>
      <w:r>
        <w:rPr>
          <w:rFonts w:hint="eastAsia" w:ascii="宋体" w:hAnsi="宋体" w:eastAsia="宋体" w:cs="宋体"/>
          <w:i w:val="0"/>
          <w:iCs w:val="0"/>
          <w:caps w:val="0"/>
          <w:color w:val="333333"/>
          <w:spacing w:val="0"/>
          <w:sz w:val="24"/>
          <w:szCs w:val="24"/>
          <w:shd w:val="clear" w:fill="FFFFFF"/>
          <w:lang w:eastAsia="zh-CN"/>
        </w:rPr>
        <w:t>响应</w:t>
      </w:r>
      <w:r>
        <w:rPr>
          <w:rFonts w:hint="eastAsia" w:ascii="宋体" w:hAnsi="宋体" w:eastAsia="宋体" w:cs="宋体"/>
          <w:i w:val="0"/>
          <w:iCs w:val="0"/>
          <w:caps w:val="0"/>
          <w:color w:val="333333"/>
          <w:spacing w:val="0"/>
          <w:sz w:val="24"/>
          <w:szCs w:val="24"/>
          <w:shd w:val="clear" w:fill="FFFFFF"/>
        </w:rPr>
        <w:t>人应提供相关证明）；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⑤供应商须具有行业主管部门颁发的城乡规划乙级（含乙级）以上资质</w:t>
      </w:r>
      <w:r>
        <w:rPr>
          <w:rFonts w:hint="eastAsia" w:ascii="宋体" w:hAnsi="宋体" w:eastAsia="宋体" w:cs="宋体"/>
          <w:i w:val="0"/>
          <w:iCs w:val="0"/>
          <w:caps w:val="0"/>
          <w:color w:val="333333"/>
          <w:spacing w:val="0"/>
          <w:sz w:val="24"/>
          <w:szCs w:val="24"/>
          <w:shd w:val="clear" w:fill="FFFFFF"/>
          <w:lang w:eastAsia="zh-CN"/>
        </w:rPr>
        <w:t>；</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⑥拟派往本项目负责人具备注册城乡规划师资格证书并具备相关专业工程师（含）以上专业技术职称（提供</w:t>
      </w:r>
      <w:r>
        <w:rPr>
          <w:rFonts w:hint="eastAsia" w:ascii="宋体" w:hAnsi="宋体" w:eastAsia="宋体" w:cs="宋体"/>
          <w:i w:val="0"/>
          <w:iCs w:val="0"/>
          <w:caps w:val="0"/>
          <w:color w:val="333333"/>
          <w:spacing w:val="0"/>
          <w:sz w:val="24"/>
          <w:szCs w:val="24"/>
          <w:shd w:val="clear" w:fill="FFFFFF"/>
          <w:lang w:eastAsia="zh-CN"/>
        </w:rPr>
        <w:t>本单位为其缴纳</w:t>
      </w:r>
      <w:r>
        <w:rPr>
          <w:rFonts w:hint="eastAsia" w:ascii="宋体" w:hAnsi="宋体" w:eastAsia="宋体" w:cs="宋体"/>
          <w:i w:val="0"/>
          <w:iCs w:val="0"/>
          <w:caps w:val="0"/>
          <w:color w:val="333333"/>
          <w:spacing w:val="0"/>
          <w:sz w:val="24"/>
          <w:szCs w:val="24"/>
          <w:shd w:val="clear" w:fill="FFFFFF"/>
        </w:rPr>
        <w:t>近3个月的养老保险）</w:t>
      </w:r>
      <w:r>
        <w:rPr>
          <w:rFonts w:hint="eastAsia" w:ascii="宋体" w:hAnsi="宋体" w:eastAsia="宋体" w:cs="宋体"/>
          <w:i w:val="0"/>
          <w:iCs w:val="0"/>
          <w:caps w:val="0"/>
          <w:color w:val="333333"/>
          <w:spacing w:val="0"/>
          <w:sz w:val="24"/>
          <w:szCs w:val="24"/>
          <w:shd w:val="clear" w:fill="FFFFFF"/>
          <w:lang w:eastAsia="zh-CN"/>
        </w:rPr>
        <w:t>；</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⑦书面声明：参加本次政府采购活动前三年内在经营活动中没有重大违法记录的声明函原件；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⑧本项目不接受联合体投标，单位负责人为同一人或者存在直接控股、管理关系的不同供应商，不得同时参加本项目投标活动，提供《供应商企业关系关联承诺书原件》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⑨</w:t>
      </w:r>
      <w:r>
        <w:rPr>
          <w:rFonts w:hint="eastAsia" w:cs="宋体"/>
          <w:color w:val="333333"/>
          <w:shd w:val="clear" w:color="auto" w:fill="FFFFFF"/>
          <w:lang w:eastAsia="zh-CN"/>
        </w:rPr>
        <w:t>响应</w:t>
      </w:r>
      <w:r>
        <w:rPr>
          <w:rFonts w:hint="eastAsia" w:cs="宋体"/>
          <w:color w:val="333333"/>
          <w:shd w:val="clear" w:color="auto" w:fill="FFFFFF"/>
        </w:rPr>
        <w:t>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⑩本项目专门面向中小企业招标，非中小企业单位（监狱企业、残疾人福利单位除外）不得参与投标，需提供《中小企业声明函原件》；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三、获取招标文件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间：</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2023年02月06日至2023年02月10日，每天上午08:00:00至12:00:00，下午1</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:00:00至18:00:00（北京时间）</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途径：汉中市汉台区北团结街锦绣华庭商住楼三楼</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截止时间：2023年02月</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21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 09时30分00秒 （北京时间）</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地点：汉中市汉台区北团结街锦绣华庭商住楼三楼会议室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五、开启</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时间：2023年02月</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21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 09时30分00秒（北京时间）</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地点：汉中市汉台区北团结街锦绣华庭商住楼三楼会议室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六、公告期限</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w:t>
      </w:r>
      <w:r>
        <w:rPr>
          <w:rFonts w:hint="eastAsia" w:ascii="宋体" w:hAnsi="宋体" w:eastAsia="宋体" w:cs="宋体"/>
          <w:i w:val="0"/>
          <w:iCs w:val="0"/>
          <w:caps w:val="0"/>
          <w:color w:val="333333"/>
          <w:spacing w:val="0"/>
          <w:sz w:val="24"/>
          <w:szCs w:val="24"/>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七、其他补充事宜</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注：1、购买磋商文件时需出示经办人身份证原件，并提交单位介绍信原件及经办人身份证原件及盖公章的复印件一份。 2、请响应人按照陕西省财政厅关于政府采购供应商注册登记有关事项的通知中的要求，通过陕西省政府采购网（http://www.ccgp-shaanxi.gov.cn/）注册登记加入陕西省政府采购供应商库。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八、对本次招标提出询问，请按以下方式联系。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名称：西乡县住房和城乡建设管理局</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地址：陕西省西乡县金牛路31号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联系方式：18142453576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名称：陕西华茂建设监理咨询有限公司</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地址：汉中市汉台区北团结街锦绣华庭商住楼三楼</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联系方式：0916-2258373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项目联系人：王女士</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电话：0916-2258373</w:t>
      </w:r>
    </w:p>
    <w:p>
      <w:pPr>
        <w:pStyle w:val="32"/>
        <w:adjustRightInd w:val="0"/>
        <w:snapToGrid w:val="0"/>
        <w:ind w:firstLine="420"/>
        <w:jc w:val="center"/>
        <w:rPr>
          <w:rFonts w:asciiTheme="minorEastAsia" w:hAnsiTheme="minorEastAsia" w:eastAsiaTheme="minorEastAsia" w:cstheme="minorEastAsia"/>
          <w:kern w:val="2"/>
          <w:sz w:val="30"/>
          <w:szCs w:val="30"/>
        </w:rPr>
      </w:pPr>
      <w:r>
        <w:rPr>
          <w:rFonts w:hint="eastAsia" w:asciiTheme="minorEastAsia" w:hAnsiTheme="minorEastAsia" w:eastAsiaTheme="minorEastAsia" w:cstheme="minorEastAsia"/>
          <w:kern w:val="2"/>
          <w:sz w:val="30"/>
          <w:szCs w:val="30"/>
        </w:rPr>
        <w:t>第</w:t>
      </w:r>
      <w:r>
        <w:rPr>
          <w:rFonts w:hint="eastAsia" w:asciiTheme="minorEastAsia" w:hAnsiTheme="minorEastAsia" w:eastAsiaTheme="minorEastAsia" w:cstheme="minorEastAsia"/>
          <w:kern w:val="2"/>
          <w:sz w:val="30"/>
          <w:szCs w:val="30"/>
          <w:lang w:eastAsia="zh-CN"/>
        </w:rPr>
        <w:t>二</w:t>
      </w:r>
      <w:r>
        <w:rPr>
          <w:rFonts w:hint="eastAsia" w:asciiTheme="minorEastAsia" w:hAnsiTheme="minorEastAsia" w:eastAsiaTheme="minorEastAsia" w:cstheme="minorEastAsia"/>
          <w:kern w:val="2"/>
          <w:sz w:val="30"/>
          <w:szCs w:val="30"/>
        </w:rPr>
        <w:t xml:space="preserve">章 </w:t>
      </w:r>
      <w:bookmarkStart w:id="6" w:name="_Toc16408"/>
      <w:bookmarkStart w:id="7" w:name="_Toc31674"/>
      <w:bookmarkStart w:id="8" w:name="_Toc21004"/>
      <w:bookmarkStart w:id="9" w:name="_Toc18883"/>
      <w:bookmarkStart w:id="10" w:name="_Toc17179"/>
      <w:r>
        <w:rPr>
          <w:rFonts w:hint="eastAsia" w:asciiTheme="minorEastAsia" w:hAnsiTheme="minorEastAsia" w:eastAsiaTheme="minorEastAsia" w:cstheme="minorEastAsia"/>
          <w:kern w:val="2"/>
          <w:sz w:val="30"/>
          <w:szCs w:val="30"/>
        </w:rPr>
        <w:t xml:space="preserve"> </w:t>
      </w:r>
      <w:bookmarkEnd w:id="6"/>
      <w:bookmarkEnd w:id="7"/>
      <w:bookmarkEnd w:id="8"/>
      <w:bookmarkEnd w:id="9"/>
      <w:bookmarkEnd w:id="10"/>
      <w:r>
        <w:rPr>
          <w:rFonts w:hint="eastAsia" w:asciiTheme="minorEastAsia" w:hAnsiTheme="minorEastAsia" w:eastAsiaTheme="minorEastAsia" w:cstheme="minorEastAsia"/>
          <w:kern w:val="2"/>
          <w:sz w:val="30"/>
          <w:szCs w:val="30"/>
        </w:rPr>
        <w:t>供应商须知及须知前附表</w:t>
      </w:r>
    </w:p>
    <w:p>
      <w:pPr>
        <w:adjustRightInd w:val="0"/>
        <w:snapToGrid w:val="0"/>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供应商须知前附表</w:t>
      </w:r>
    </w:p>
    <w:tbl>
      <w:tblPr>
        <w:tblStyle w:val="35"/>
        <w:tblpPr w:leftFromText="180" w:rightFromText="180" w:vertAnchor="text" w:horzAnchor="page" w:tblpX="1485" w:tblpY="473"/>
        <w:tblOverlap w:val="never"/>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236"/>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236" w:type="dxa"/>
            <w:vAlign w:val="center"/>
          </w:tcPr>
          <w:p>
            <w:pPr>
              <w:jc w:val="center"/>
              <w:rPr>
                <w:rFonts w:asciiTheme="minorEastAsia" w:hAnsiTheme="minorEastAsia" w:eastAsiaTheme="minorEastAsia" w:cstheme="minorEastAsia"/>
                <w:sz w:val="24"/>
              </w:rPr>
            </w:pPr>
          </w:p>
        </w:tc>
        <w:tc>
          <w:tcPr>
            <w:tcW w:w="7750"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采购项目名称</w:t>
            </w:r>
          </w:p>
        </w:tc>
        <w:tc>
          <w:tcPr>
            <w:tcW w:w="7750" w:type="dxa"/>
            <w:vAlign w:val="center"/>
          </w:tcPr>
          <w:p>
            <w:pPr>
              <w:rPr>
                <w:rFonts w:asciiTheme="minorEastAsia" w:hAnsiTheme="minorEastAsia" w:eastAsiaTheme="minorEastAsia" w:cstheme="minorEastAsia"/>
                <w:sz w:val="24"/>
              </w:rPr>
            </w:pPr>
            <w:r>
              <w:rPr>
                <w:rFonts w:hint="eastAsia" w:ascii="宋体" w:hAnsi="宋体" w:eastAsia="宋体" w:cs="宋体"/>
                <w:i w:val="0"/>
                <w:iCs w:val="0"/>
                <w:caps w:val="0"/>
                <w:color w:val="333333"/>
                <w:spacing w:val="0"/>
                <w:sz w:val="24"/>
                <w:szCs w:val="24"/>
                <w:shd w:val="clear" w:fill="FFFFFF"/>
              </w:rPr>
              <w:t>西乡县城市体检工作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采购项目编号</w:t>
            </w:r>
          </w:p>
        </w:tc>
        <w:tc>
          <w:tcPr>
            <w:tcW w:w="7750" w:type="dxa"/>
            <w:vAlign w:val="center"/>
          </w:tcPr>
          <w:p>
            <w:pPr>
              <w:rPr>
                <w:rFonts w:asciiTheme="minorEastAsia" w:hAnsiTheme="minorEastAsia" w:eastAsiaTheme="minorEastAsia" w:cstheme="minorEastAsia"/>
                <w:sz w:val="24"/>
              </w:rPr>
            </w:pPr>
            <w:r>
              <w:rPr>
                <w:rFonts w:hint="eastAsia" w:ascii="宋体" w:hAnsi="宋体" w:eastAsia="宋体" w:cs="宋体"/>
                <w:i w:val="0"/>
                <w:iCs w:val="0"/>
                <w:caps w:val="0"/>
                <w:color w:val="333333"/>
                <w:spacing w:val="0"/>
                <w:sz w:val="24"/>
                <w:szCs w:val="24"/>
                <w:shd w:val="clear" w:fill="FFFFFF"/>
              </w:rPr>
              <w:t>SHM-HZZ-(2023)第3号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w:t>
            </w:r>
          </w:p>
        </w:tc>
        <w:tc>
          <w:tcPr>
            <w:tcW w:w="7750"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采购人名称：西乡县住房和城乡建设管理局</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地址：西乡县金牛路31号</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18142453576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w:t>
            </w:r>
          </w:p>
        </w:tc>
        <w:tc>
          <w:tcPr>
            <w:tcW w:w="7750"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采购代理机构名称：陕西华茂建设监理咨询有限公司</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地址：汉中市汉台区北团结街锦绣华庭商住楼三楼</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联系人方式：0916-2258373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采购内容及要求</w:t>
            </w:r>
          </w:p>
        </w:tc>
        <w:tc>
          <w:tcPr>
            <w:tcW w:w="7750" w:type="dxa"/>
            <w:vAlign w:val="center"/>
          </w:tcPr>
          <w:p>
            <w:pPr>
              <w:rPr>
                <w:rFonts w:asciiTheme="minorEastAsia" w:hAnsiTheme="minorEastAsia" w:eastAsiaTheme="minorEastAsia" w:cstheme="minorEastAsia"/>
                <w:sz w:val="24"/>
              </w:rPr>
            </w:pPr>
            <w:r>
              <w:rPr>
                <w:rFonts w:hint="eastAsia" w:ascii="宋体" w:hAnsi="宋体"/>
                <w:sz w:val="24"/>
              </w:rPr>
              <w:t>主要工作内容为开展西乡县城市体检评估工作。共涉及生态宜居、健康舒适、安全韧性、交通便捷、风貌特色、整洁有序、多元包容、创新活力等8个方面79项指标内容，对县城建设现状和存在问题进行全面评估，提出开发建设策略，形成体检报告，促进县城高质量发展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采购预算</w:t>
            </w:r>
          </w:p>
        </w:tc>
        <w:tc>
          <w:tcPr>
            <w:tcW w:w="7750"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75</w:t>
            </w:r>
            <w:r>
              <w:rPr>
                <w:rFonts w:hint="eastAsia" w:asciiTheme="minorEastAsia" w:hAnsiTheme="minorEastAsia" w:eastAsiaTheme="minorEastAsia" w:cstheme="minorEastAsia"/>
                <w:sz w:val="24"/>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服务期</w:t>
            </w:r>
          </w:p>
        </w:tc>
        <w:tc>
          <w:tcPr>
            <w:tcW w:w="7750" w:type="dxa"/>
            <w:vAlign w:val="center"/>
          </w:tcPr>
          <w:p>
            <w:pPr>
              <w:rPr>
                <w:rFonts w:asciiTheme="minorEastAsia" w:hAnsiTheme="minorEastAsia" w:eastAsiaTheme="minorEastAsia" w:cstheme="minorEastAsia"/>
                <w:sz w:val="24"/>
              </w:rPr>
            </w:pPr>
            <w:r>
              <w:rPr>
                <w:rFonts w:hint="eastAsia" w:ascii="宋体" w:hAnsi="宋体" w:eastAsia="宋体" w:cs="宋体"/>
                <w:i w:val="0"/>
                <w:iCs w:val="0"/>
                <w:caps w:val="0"/>
                <w:color w:val="333333"/>
                <w:spacing w:val="0"/>
                <w:sz w:val="24"/>
                <w:szCs w:val="24"/>
                <w:shd w:val="clear" w:fill="FFFFFF"/>
              </w:rPr>
              <w:t>自合同签订之日起90日历天内完成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是否接受联合体</w:t>
            </w:r>
          </w:p>
        </w:tc>
        <w:tc>
          <w:tcPr>
            <w:tcW w:w="7750"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1236" w:type="dxa"/>
            <w:vAlign w:val="center"/>
          </w:tcPr>
          <w:p>
            <w:pPr>
              <w:pStyle w:val="5"/>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磋商资格审查资料</w:t>
            </w:r>
          </w:p>
        </w:tc>
        <w:tc>
          <w:tcPr>
            <w:tcW w:w="7750" w:type="dxa"/>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①具有独立承担民事责任能力的法人、其他组织或自然人，并出具合法有效的营业执照或事业单位法人证书等国家规定的相关证明，自然人参与的提供其身份证明；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②财务状况报告：财务状况良好，提供</w:t>
            </w:r>
            <w:r>
              <w:rPr>
                <w:rFonts w:hint="eastAsia" w:ascii="宋体" w:hAnsi="宋体" w:eastAsia="宋体" w:cs="宋体"/>
                <w:i w:val="0"/>
                <w:iCs w:val="0"/>
                <w:caps w:val="0"/>
                <w:color w:val="333333"/>
                <w:spacing w:val="0"/>
                <w:sz w:val="24"/>
                <w:szCs w:val="24"/>
                <w:shd w:val="clear" w:fill="FFFFFF"/>
                <w:lang w:val="en-US" w:eastAsia="zh-CN"/>
              </w:rPr>
              <w:t>2019-</w:t>
            </w:r>
            <w:r>
              <w:rPr>
                <w:rFonts w:hint="eastAsia" w:ascii="宋体" w:hAnsi="宋体" w:eastAsia="宋体" w:cs="宋体"/>
                <w:i w:val="0"/>
                <w:iCs w:val="0"/>
                <w:caps w:val="0"/>
                <w:color w:val="333333"/>
                <w:spacing w:val="0"/>
                <w:sz w:val="24"/>
                <w:szCs w:val="24"/>
                <w:shd w:val="clear" w:fill="FFFFFF"/>
              </w:rPr>
              <w:t>2021年度</w:t>
            </w:r>
            <w:r>
              <w:rPr>
                <w:rFonts w:hint="eastAsia" w:ascii="宋体" w:hAnsi="宋体" w:eastAsia="宋体" w:cs="宋体"/>
                <w:i w:val="0"/>
                <w:iCs w:val="0"/>
                <w:caps w:val="0"/>
                <w:color w:val="333333"/>
                <w:spacing w:val="0"/>
                <w:sz w:val="24"/>
                <w:szCs w:val="24"/>
                <w:shd w:val="clear" w:fill="FFFFFF"/>
                <w:lang w:eastAsia="zh-CN"/>
              </w:rPr>
              <w:t>任意一年的</w:t>
            </w:r>
            <w:r>
              <w:rPr>
                <w:rFonts w:hint="eastAsia" w:ascii="宋体" w:hAnsi="宋体" w:eastAsia="宋体" w:cs="宋体"/>
                <w:i w:val="0"/>
                <w:iCs w:val="0"/>
                <w:caps w:val="0"/>
                <w:color w:val="333333"/>
                <w:spacing w:val="0"/>
                <w:sz w:val="24"/>
                <w:szCs w:val="24"/>
                <w:shd w:val="clear" w:fill="FFFFFF"/>
              </w:rPr>
              <w:t>财务审计报告（公司成立不足一年的需提供银行出具的资信证明原件及基本账号开户许可证或开户银行出具的基本存款账户信息表）</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③税收缴纳证明：具有依法缴纳税收的良好记录（提供</w:t>
            </w:r>
            <w:r>
              <w:rPr>
                <w:rFonts w:hint="eastAsia" w:ascii="宋体" w:hAnsi="宋体" w:eastAsia="宋体" w:cs="宋体"/>
                <w:i w:val="0"/>
                <w:iCs w:val="0"/>
                <w:caps w:val="0"/>
                <w:color w:val="333333"/>
                <w:spacing w:val="0"/>
                <w:sz w:val="24"/>
                <w:szCs w:val="24"/>
                <w:shd w:val="clear" w:fill="FFFFFF"/>
                <w:lang w:eastAsia="zh-CN"/>
              </w:rPr>
              <w:t>磋商</w:t>
            </w:r>
            <w:r>
              <w:rPr>
                <w:rFonts w:hint="eastAsia" w:ascii="宋体" w:hAnsi="宋体" w:eastAsia="宋体" w:cs="宋体"/>
                <w:i w:val="0"/>
                <w:iCs w:val="0"/>
                <w:caps w:val="0"/>
                <w:color w:val="333333"/>
                <w:spacing w:val="0"/>
                <w:sz w:val="24"/>
                <w:szCs w:val="24"/>
                <w:shd w:val="clear" w:fill="FFFFFF"/>
              </w:rPr>
              <w:t>截止前六个月内任意一个月的缴纳证明）；依法免税的应提供相关文件证明；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④提供</w:t>
            </w:r>
            <w:r>
              <w:rPr>
                <w:rFonts w:hint="eastAsia" w:ascii="宋体" w:hAnsi="宋体" w:eastAsia="宋体" w:cs="宋体"/>
                <w:i w:val="0"/>
                <w:iCs w:val="0"/>
                <w:caps w:val="0"/>
                <w:color w:val="333333"/>
                <w:spacing w:val="0"/>
                <w:sz w:val="24"/>
                <w:szCs w:val="24"/>
                <w:shd w:val="clear" w:fill="FFFFFF"/>
                <w:lang w:eastAsia="zh-CN"/>
              </w:rPr>
              <w:t>磋商</w:t>
            </w:r>
            <w:r>
              <w:rPr>
                <w:rFonts w:hint="eastAsia" w:ascii="宋体" w:hAnsi="宋体" w:eastAsia="宋体" w:cs="宋体"/>
                <w:i w:val="0"/>
                <w:iCs w:val="0"/>
                <w:caps w:val="0"/>
                <w:color w:val="333333"/>
                <w:spacing w:val="0"/>
                <w:sz w:val="24"/>
                <w:szCs w:val="24"/>
                <w:shd w:val="clear" w:fill="FFFFFF"/>
              </w:rPr>
              <w:t>截止前六个月内任意一个月的社保缴费凭据或社保机构开具的社会保险参保缴费情况证明；（依法不需要缴纳社会保障资金的</w:t>
            </w:r>
            <w:r>
              <w:rPr>
                <w:rFonts w:hint="eastAsia" w:ascii="宋体" w:hAnsi="宋体" w:eastAsia="宋体" w:cs="宋体"/>
                <w:i w:val="0"/>
                <w:iCs w:val="0"/>
                <w:caps w:val="0"/>
                <w:color w:val="333333"/>
                <w:spacing w:val="0"/>
                <w:sz w:val="24"/>
                <w:szCs w:val="24"/>
                <w:shd w:val="clear" w:fill="FFFFFF"/>
                <w:lang w:eastAsia="zh-CN"/>
              </w:rPr>
              <w:t>响应</w:t>
            </w:r>
            <w:r>
              <w:rPr>
                <w:rFonts w:hint="eastAsia" w:ascii="宋体" w:hAnsi="宋体" w:eastAsia="宋体" w:cs="宋体"/>
                <w:i w:val="0"/>
                <w:iCs w:val="0"/>
                <w:caps w:val="0"/>
                <w:color w:val="333333"/>
                <w:spacing w:val="0"/>
                <w:sz w:val="24"/>
                <w:szCs w:val="24"/>
                <w:shd w:val="clear" w:fill="FFFFFF"/>
              </w:rPr>
              <w:t>人应提供相关证明）；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⑤供应商须具有行业主管部门颁发的城乡规划乙级（含乙级）以上资质</w:t>
            </w:r>
            <w:r>
              <w:rPr>
                <w:rFonts w:hint="eastAsia" w:ascii="宋体" w:hAnsi="宋体" w:eastAsia="宋体" w:cs="宋体"/>
                <w:i w:val="0"/>
                <w:iCs w:val="0"/>
                <w:caps w:val="0"/>
                <w:color w:val="333333"/>
                <w:spacing w:val="0"/>
                <w:sz w:val="24"/>
                <w:szCs w:val="24"/>
                <w:shd w:val="clear" w:fill="FFFFFF"/>
                <w:lang w:eastAsia="zh-CN"/>
              </w:rPr>
              <w:t>；</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⑥拟派往本项目负责人具备注册城乡规划师资格证书并具备相关专业工程师（含）以上专业技术职称（提供</w:t>
            </w:r>
            <w:r>
              <w:rPr>
                <w:rFonts w:hint="eastAsia" w:ascii="宋体" w:hAnsi="宋体" w:eastAsia="宋体" w:cs="宋体"/>
                <w:i w:val="0"/>
                <w:iCs w:val="0"/>
                <w:caps w:val="0"/>
                <w:color w:val="333333"/>
                <w:spacing w:val="0"/>
                <w:sz w:val="24"/>
                <w:szCs w:val="24"/>
                <w:shd w:val="clear" w:fill="FFFFFF"/>
                <w:lang w:eastAsia="zh-CN"/>
              </w:rPr>
              <w:t>本单位为其缴纳</w:t>
            </w:r>
            <w:r>
              <w:rPr>
                <w:rFonts w:hint="eastAsia" w:ascii="宋体" w:hAnsi="宋体" w:eastAsia="宋体" w:cs="宋体"/>
                <w:i w:val="0"/>
                <w:iCs w:val="0"/>
                <w:caps w:val="0"/>
                <w:color w:val="333333"/>
                <w:spacing w:val="0"/>
                <w:sz w:val="24"/>
                <w:szCs w:val="24"/>
                <w:shd w:val="clear" w:fill="FFFFFF"/>
              </w:rPr>
              <w:t>近3个月的养老保险）</w:t>
            </w:r>
            <w:r>
              <w:rPr>
                <w:rFonts w:hint="eastAsia" w:ascii="宋体" w:hAnsi="宋体" w:eastAsia="宋体" w:cs="宋体"/>
                <w:i w:val="0"/>
                <w:iCs w:val="0"/>
                <w:caps w:val="0"/>
                <w:color w:val="333333"/>
                <w:spacing w:val="0"/>
                <w:sz w:val="24"/>
                <w:szCs w:val="24"/>
                <w:shd w:val="clear" w:fill="FFFFFF"/>
                <w:lang w:eastAsia="zh-CN"/>
              </w:rPr>
              <w:t>；</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⑦书面声明：参加本次政府采购活动前三年内在经营活动中没有重大违法记录的声明函原件；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⑧本项目不接受联合体投标，单位负责人为同一人或者存在直接控股、管理关系的不同供应商，不得同时参加本项目投标活动，提供《供应商企业关系关联承诺书原件》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⑨</w:t>
            </w:r>
            <w:r>
              <w:rPr>
                <w:rFonts w:hint="eastAsia" w:cs="宋体"/>
                <w:color w:val="333333"/>
                <w:shd w:val="clear" w:color="auto" w:fill="FFFFFF"/>
                <w:lang w:eastAsia="zh-CN"/>
              </w:rPr>
              <w:t>响应</w:t>
            </w:r>
            <w:r>
              <w:rPr>
                <w:rFonts w:hint="eastAsia" w:cs="宋体"/>
                <w:color w:val="333333"/>
                <w:shd w:val="clear" w:color="auto" w:fill="FFFFFF"/>
              </w:rPr>
              <w:t>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⑩本项目专门面向中小企业招标，非中小企业单位（监狱企业、残疾人福利单位除外）不得参与投标，需提供《中小企业声明函原件》；</w:t>
            </w:r>
          </w:p>
          <w:p>
            <w:pP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磋商供应商应单独封装一套以上要求的所有资格证明文件原件</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或加盖公章的复印件</w:t>
            </w:r>
            <w:r>
              <w:rPr>
                <w:rFonts w:hint="eastAsia" w:asciiTheme="minorEastAsia" w:hAnsiTheme="minorEastAsia" w:eastAsiaTheme="minorEastAsia" w:cstheme="minorEastAsia"/>
                <w:b/>
                <w:bCs/>
                <w:color w:val="000000" w:themeColor="text1"/>
                <w:sz w:val="24"/>
                <w14:textFill>
                  <w14:solidFill>
                    <w14:schemeClr w14:val="tx1"/>
                  </w14:solidFill>
                </w14:textFill>
              </w:rPr>
              <w:t>，同磋商响应文件一起递交，上列资格证明文件为必备资格条件，在评审前，由</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
                <w:bCs/>
                <w:color w:val="000000" w:themeColor="text1"/>
                <w:sz w:val="24"/>
                <w14:textFill>
                  <w14:solidFill>
                    <w14:schemeClr w14:val="tx1"/>
                  </w14:solidFill>
                </w14:textFill>
              </w:rPr>
              <w:t>对磋商供应商的磋商资格证明文件进行符合性审查。缺项或者符合性、有效性、合法性审核不合格的，均视为资格审查不合格，自动丧失磋商资格，不得进入后续评审。如供应商的各类证书原件正在变更、年检的，须有相应的行业管理部门出具书面证明，并注明证书主要相关内容。</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themeColor="text1"/>
                <w:sz w:val="24"/>
                <w14:textFill>
                  <w14:solidFill>
                    <w14:schemeClr w14:val="tx1"/>
                  </w14:solidFill>
                </w14:textFill>
              </w:rPr>
              <w:t>磋商响应文件正、副本内均需提供上列资格证明文件复印件（法定代表人身份证明或法定代表人授权书须将1份原件装订于正本内），并加盖磋商供应商红色公章。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1236" w:type="dxa"/>
            <w:vAlign w:val="center"/>
          </w:tcPr>
          <w:p>
            <w:pPr>
              <w:pStyle w:val="5"/>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磋商保证金</w:t>
            </w:r>
          </w:p>
        </w:tc>
        <w:tc>
          <w:tcPr>
            <w:tcW w:w="7750" w:type="dxa"/>
            <w:vAlign w:val="center"/>
          </w:tcPr>
          <w:p>
            <w:pPr>
              <w:pStyle w:val="1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保证金的金额：</w:t>
            </w:r>
            <w:r>
              <w:rPr>
                <w:rFonts w:hint="eastAsia" w:asciiTheme="minorEastAsia" w:hAnsiTheme="minorEastAsia" w:eastAsiaTheme="minorEastAsia" w:cstheme="minorEastAsia"/>
                <w:sz w:val="24"/>
                <w:szCs w:val="24"/>
                <w:lang w:val="en-US" w:eastAsia="zh-CN"/>
              </w:rPr>
              <w:t>10000 元</w:t>
            </w:r>
          </w:p>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保证金的形式：支票、汇票、本票或者金融机构、担保机构出具的保函。</w:t>
            </w:r>
          </w:p>
          <w:p>
            <w:pPr>
              <w:pStyle w:val="16"/>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保证金的递交截止时间为：</w:t>
            </w:r>
            <w:r>
              <w:rPr>
                <w:rFonts w:hint="eastAsia" w:asciiTheme="minorEastAsia" w:hAnsiTheme="minorEastAsia" w:eastAsiaTheme="minorEastAsia" w:cstheme="minorEastAsia"/>
                <w:sz w:val="24"/>
                <w:szCs w:val="24"/>
                <w:lang w:eastAsia="zh-CN"/>
              </w:rPr>
              <w:t>同</w:t>
            </w:r>
            <w:r>
              <w:rPr>
                <w:rFonts w:hint="eastAsia" w:asciiTheme="minorEastAsia" w:hAnsiTheme="minorEastAsia" w:eastAsiaTheme="minorEastAsia" w:cstheme="minorEastAsia"/>
                <w:sz w:val="24"/>
                <w:szCs w:val="24"/>
                <w:lang w:val="en-US" w:eastAsia="zh-CN"/>
              </w:rPr>
              <w:t>磋商响应文件递交截止时间</w:t>
            </w:r>
          </w:p>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账户名称：陕西华茂建设监理咨询有限公司汉中分公司</w:t>
            </w:r>
          </w:p>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开户银行：中国农业银行股份有限公司汉中天台路支行</w:t>
            </w:r>
          </w:p>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账号：26653001040011122</w:t>
            </w:r>
          </w:p>
          <w:p>
            <w:pPr>
              <w:pStyle w:val="5"/>
              <w:ind w:firstLine="0" w:firstLineChars="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以电汇方式递交投标保证金须在用途或附加栏信息注明：</w:t>
            </w:r>
            <w:r>
              <w:rPr>
                <w:rFonts w:hint="eastAsia" w:asciiTheme="minorEastAsia" w:hAnsiTheme="minorEastAsia" w:eastAsiaTheme="minorEastAsia" w:cstheme="minor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236" w:type="dxa"/>
            <w:vAlign w:val="center"/>
          </w:tcPr>
          <w:p>
            <w:pPr>
              <w:jc w:val="center"/>
              <w:rPr>
                <w:rFonts w:asciiTheme="minorEastAsia" w:hAnsiTheme="minorEastAsia" w:eastAsiaTheme="minorEastAsia" w:cstheme="minorEastAsia"/>
                <w:sz w:val="24"/>
              </w:rPr>
            </w:pPr>
            <w:bookmarkStart w:id="11" w:name="OLE_LINK9"/>
            <w:bookmarkStart w:id="12" w:name="OLE_LINK10"/>
            <w:r>
              <w:rPr>
                <w:rFonts w:hint="eastAsia" w:asciiTheme="minorEastAsia" w:hAnsiTheme="minorEastAsia" w:eastAsiaTheme="minorEastAsia" w:cstheme="minorEastAsia"/>
                <w:sz w:val="24"/>
              </w:rPr>
              <w:t>磋商有效期</w:t>
            </w:r>
          </w:p>
        </w:tc>
        <w:tc>
          <w:tcPr>
            <w:tcW w:w="7750"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磋商截止之日起90日历天</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响应文件份数</w:t>
            </w:r>
          </w:p>
        </w:tc>
        <w:tc>
          <w:tcPr>
            <w:tcW w:w="7750"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正本：一份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副本：两份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报价一览表：1份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资格证明文件：1份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电子版：1份（U盘）， </w:t>
            </w:r>
            <w:r>
              <w:rPr>
                <w:rFonts w:hint="eastAsia" w:asciiTheme="minorEastAsia" w:hAnsiTheme="minorEastAsia" w:eastAsiaTheme="minorEastAsia" w:cstheme="minorEastAsia"/>
                <w:color w:val="000000"/>
                <w:sz w:val="24"/>
              </w:rPr>
              <w:t>电子版包括磋商响应文件正本的所有内容</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sz w:val="24"/>
              </w:rPr>
              <w:t>PDF或Word版</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color w:val="000000"/>
                <w:sz w:val="24"/>
              </w:rPr>
              <w:t>，与正本具有同等法律效力。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1236" w:type="dxa"/>
            <w:vAlign w:val="center"/>
          </w:tcPr>
          <w:p>
            <w:pPr>
              <w:pStyle w:val="32"/>
              <w:widowControl w:val="0"/>
              <w:spacing w:before="0" w:beforeAutospacing="0" w:after="0" w:afterAutospacing="0" w:line="400" w:lineRule="atLeast"/>
              <w:jc w:val="center"/>
              <w:rPr>
                <w:rFonts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rPr>
              <w:t>响应文件的装订、密封和标记</w:t>
            </w:r>
          </w:p>
        </w:tc>
        <w:tc>
          <w:tcPr>
            <w:tcW w:w="7750"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1）响应文件正、副本应分别装订成册（胶装），装订应牢固、不易拆散和换页，不得采用活页装订。</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2）密封包装方式：</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响应文件正本、所有的副本、电子版、报价一览表、资格证明文件分开密封装在单独的封袋中（封袋不得有破损），且在封袋正面标明“正本”“副本”“电子版本”“报价一览表”“资格证明文件”字样。同时在封口处加贴封条并在骑缝处加盖磋商供应商公章及法定代表人印章，封袋正面要粘贴供应商全称、项目名称、项目编号等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1236" w:type="dxa"/>
            <w:vAlign w:val="center"/>
          </w:tcPr>
          <w:p>
            <w:pPr>
              <w:pStyle w:val="32"/>
              <w:widowControl w:val="0"/>
              <w:spacing w:before="0" w:beforeAutospacing="0" w:after="0" w:afterAutospacing="0" w:line="400" w:lineRule="atLeast"/>
              <w:jc w:val="center"/>
              <w:rPr>
                <w:rFonts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磋商报价</w:t>
            </w:r>
          </w:p>
        </w:tc>
        <w:tc>
          <w:tcPr>
            <w:tcW w:w="7750" w:type="dxa"/>
            <w:vAlign w:val="center"/>
          </w:tcPr>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磋商报价是完成采购服务内容所需的全部费用，采用全费用总价包干形式。</w:t>
            </w:r>
          </w:p>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各供应商根据磋商文件的规定，结合企业自身管理水平及市场行情自主报价，磋商总报价不得超过采购预算。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磋商报价轮次</w:t>
            </w:r>
          </w:p>
        </w:tc>
        <w:tc>
          <w:tcPr>
            <w:tcW w:w="7750"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2轮（磋商响应文件中报价为第一轮，磋商现场为第二轮）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供应商提出询问和质疑的时间</w:t>
            </w:r>
          </w:p>
        </w:tc>
        <w:tc>
          <w:tcPr>
            <w:tcW w:w="7750" w:type="dxa"/>
            <w:vAlign w:val="center"/>
          </w:tcPr>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经购买竞争性磋商文件的供应商对竞争性磋商活动有质疑，依据《中华人民共和国政府采购法》第五十二条，应当在知道或者应知其权益受到损害之日起七个工作日内，以书面形式向采购人提出质疑。在此之后提出的质疑均为无效，不予受理。</w:t>
            </w:r>
          </w:p>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质疑联系人：王女士        联系电话：0916-2258373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w:t>
            </w:r>
          </w:p>
        </w:tc>
        <w:tc>
          <w:tcPr>
            <w:tcW w:w="12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构成竞争性磋商响应文件的其他材料</w:t>
            </w:r>
          </w:p>
        </w:tc>
        <w:tc>
          <w:tcPr>
            <w:tcW w:w="7750" w:type="dxa"/>
            <w:vAlign w:val="center"/>
          </w:tcPr>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根据竞争性磋商文件相应条款对竞争性磋商文件所作的答疑、修改，构成竞争性磋商文件的其他组成部分，各投标人必须及时从竞争性磋商代理人处获取。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w:t>
            </w:r>
          </w:p>
        </w:tc>
        <w:tc>
          <w:tcPr>
            <w:tcW w:w="1236" w:type="dxa"/>
            <w:vAlign w:val="center"/>
          </w:tcPr>
          <w:p>
            <w:pPr>
              <w:pStyle w:val="5"/>
              <w:spacing w:before="120" w:beforeLines="50"/>
              <w:ind w:right="115" w:rightChars="55"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磋商文件澄清或修改时间</w:t>
            </w:r>
          </w:p>
        </w:tc>
        <w:tc>
          <w:tcPr>
            <w:tcW w:w="7750" w:type="dxa"/>
            <w:vAlign w:val="center"/>
          </w:tcPr>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澄清（修改）时间：磋商响应文件递交截至时间5日前</w:t>
            </w:r>
          </w:p>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获取方式：采购代理机构书面通知所有报名磋商供应商领取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w:t>
            </w:r>
          </w:p>
        </w:tc>
        <w:tc>
          <w:tcPr>
            <w:tcW w:w="1236" w:type="dxa"/>
            <w:vAlign w:val="center"/>
          </w:tcPr>
          <w:p>
            <w:pPr>
              <w:pStyle w:val="5"/>
              <w:spacing w:before="120" w:beforeLines="50"/>
              <w:ind w:right="115" w:rightChars="55" w:firstLine="0" w:firstLineChars="0"/>
              <w:jc w:val="center"/>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磋商响应文件递交截止时间</w:t>
            </w:r>
          </w:p>
        </w:tc>
        <w:tc>
          <w:tcPr>
            <w:tcW w:w="7750" w:type="dxa"/>
            <w:vAlign w:val="center"/>
          </w:tcPr>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磋商响应文件递交截止时间：</w:t>
            </w: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年0</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21</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lang w:val="en-US" w:eastAsia="zh-CN"/>
              </w:rPr>
              <w:t>09</w:t>
            </w:r>
            <w:r>
              <w:rPr>
                <w:rFonts w:hint="eastAsia" w:asciiTheme="minorEastAsia" w:hAnsiTheme="minorEastAsia" w:eastAsiaTheme="minorEastAsia" w:cstheme="minorEastAsia"/>
                <w:color w:val="000000"/>
                <w:sz w:val="24"/>
                <w:szCs w:val="24"/>
              </w:rPr>
              <w:t>时30分（</w:t>
            </w:r>
            <w:r>
              <w:rPr>
                <w:rFonts w:hint="eastAsia" w:asciiTheme="minorEastAsia" w:hAnsiTheme="minorEastAsia" w:eastAsiaTheme="minorEastAsia" w:cstheme="minorEastAsia"/>
                <w:sz w:val="24"/>
                <w:szCs w:val="24"/>
              </w:rPr>
              <w:t>北京时间），</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截止时间后送达的磋商响应文件及其相关证明材料都将被拒收。</w:t>
            </w:r>
          </w:p>
          <w:p>
            <w:pPr>
              <w:pStyle w:val="16"/>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磋商响应文件递交地点：汉中市汉台区北团结街锦绣华庭商住楼三楼</w:t>
            </w:r>
            <w:r>
              <w:rPr>
                <w:rFonts w:hint="eastAsia" w:asciiTheme="minorEastAsia" w:hAnsiTheme="minorEastAsia" w:eastAsiaTheme="minorEastAsia" w:cstheme="minorEastAsia"/>
                <w:sz w:val="24"/>
                <w:szCs w:val="24"/>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1236" w:type="dxa"/>
            <w:vAlign w:val="center"/>
          </w:tcPr>
          <w:p>
            <w:pPr>
              <w:pStyle w:val="16"/>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信用信息查询</w:t>
            </w:r>
          </w:p>
        </w:tc>
        <w:tc>
          <w:tcPr>
            <w:tcW w:w="7750" w:type="dxa"/>
            <w:vAlign w:val="center"/>
          </w:tcPr>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信用记录相关政策：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p>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2、信用记录查询渠道：供应商应当通过“信用中国”网站(www.creditchina.gov.cn)、“中国政府采购网” (</w:t>
            </w:r>
            <w:r>
              <w:fldChar w:fldCharType="begin"/>
            </w:r>
            <w:r>
              <w:instrText xml:space="preserve"> HYPERLINK "http://www.ccgp.gov.cn/" </w:instrText>
            </w:r>
            <w:r>
              <w:fldChar w:fldCharType="separate"/>
            </w:r>
            <w:r>
              <w:rPr>
                <w:rFonts w:hint="eastAsia" w:asciiTheme="minorEastAsia" w:hAnsiTheme="minorEastAsia" w:eastAsiaTheme="minorEastAsia" w:cstheme="minorEastAsia"/>
                <w:sz w:val="24"/>
                <w:szCs w:val="24"/>
              </w:rPr>
              <w:t>www.ccgp.gov.cn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等渠道查询相关主体信用记录（投标时间节点的前三年内）。</w:t>
            </w:r>
          </w:p>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信用记录的使用：A、对列入失信被执行人、重大税收违法案件当事人名单、政府采购严重违法失信行为记录名单以及未提供信用信息查询截图的供应商，拒绝其参与政府采购活动。B、两个以上的自然人、法人或者其他组织组成一个联合体，以一个投标单位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1236"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w:t>
            </w:r>
          </w:p>
        </w:tc>
        <w:tc>
          <w:tcPr>
            <w:tcW w:w="7750" w:type="dxa"/>
            <w:vAlign w:val="center"/>
          </w:tcPr>
          <w:p>
            <w:pPr>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磋商小组的构成：3人；</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磋商小组</w:t>
            </w:r>
            <w:r>
              <w:rPr>
                <w:rFonts w:hint="eastAsia" w:asciiTheme="minorEastAsia" w:hAnsiTheme="minorEastAsia" w:eastAsiaTheme="minorEastAsia" w:cstheme="minorEastAsia"/>
                <w:sz w:val="24"/>
              </w:rPr>
              <w:t>确定方式：专家库系统中随机抽取产生。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1236"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验收标准</w:t>
            </w:r>
          </w:p>
        </w:tc>
        <w:tc>
          <w:tcPr>
            <w:tcW w:w="7750"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符合采购人采购需求及相关验收标准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w:t>
            </w:r>
          </w:p>
        </w:tc>
        <w:tc>
          <w:tcPr>
            <w:tcW w:w="1236" w:type="dxa"/>
            <w:vAlign w:val="center"/>
          </w:tcPr>
          <w:p>
            <w:pPr>
              <w:rPr>
                <w:rFonts w:asciiTheme="minorEastAsia" w:hAnsiTheme="minorEastAsia" w:eastAsiaTheme="minorEastAsia" w:cstheme="minorEastAsia"/>
                <w:spacing w:val="4"/>
                <w:sz w:val="24"/>
              </w:rPr>
            </w:pPr>
            <w:r>
              <w:rPr>
                <w:rFonts w:hint="eastAsia" w:asciiTheme="minorEastAsia" w:hAnsiTheme="minorEastAsia" w:eastAsiaTheme="minorEastAsia" w:cstheme="minorEastAsia"/>
                <w:spacing w:val="4"/>
                <w:sz w:val="24"/>
              </w:rPr>
              <w:t>成交公告</w:t>
            </w:r>
          </w:p>
        </w:tc>
        <w:tc>
          <w:tcPr>
            <w:tcW w:w="7750"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成交公告发布时间：在确定成交供应商后2个工作日内</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公示媒介：陕西省政府采购网</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公示期限：1个工作日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w:t>
            </w:r>
          </w:p>
        </w:tc>
        <w:tc>
          <w:tcPr>
            <w:tcW w:w="1236" w:type="dxa"/>
            <w:vAlign w:val="center"/>
          </w:tcPr>
          <w:p>
            <w:pPr>
              <w:jc w:val="center"/>
              <w:rPr>
                <w:rFonts w:asciiTheme="minorEastAsia" w:hAnsiTheme="minorEastAsia" w:eastAsiaTheme="minorEastAsia" w:cstheme="minorEastAsia"/>
                <w:spacing w:val="4"/>
                <w:sz w:val="24"/>
              </w:rPr>
            </w:pPr>
            <w:r>
              <w:rPr>
                <w:rFonts w:hint="eastAsia" w:asciiTheme="minorEastAsia" w:hAnsiTheme="minorEastAsia" w:eastAsiaTheme="minorEastAsia" w:cstheme="minorEastAsia"/>
                <w:spacing w:val="4"/>
                <w:sz w:val="24"/>
                <w:lang w:val="zh-CN"/>
              </w:rPr>
              <w:t>采购代理服务费</w:t>
            </w:r>
          </w:p>
        </w:tc>
        <w:tc>
          <w:tcPr>
            <w:tcW w:w="7750"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采购代理服务费参照国家计委颁布的《招标代理服务收费管理暂行办法》（计价格【2002】1980号）、发改办价格【2003】857号及发改价格【2011】534号中规定的收取，按差额定律累进法计算</w:t>
            </w:r>
            <w:r>
              <w:rPr>
                <w:rFonts w:hint="eastAsia" w:asciiTheme="minorEastAsia" w:hAnsiTheme="minorEastAsia" w:eastAsiaTheme="minorEastAsia" w:cstheme="minorEastAsia"/>
                <w:sz w:val="24"/>
                <w:lang w:eastAsia="zh-CN"/>
              </w:rPr>
              <w:t>；费用由成交人在领取成交结果通知书时一次性付清。</w:t>
            </w:r>
            <w:r>
              <w:rPr>
                <w:rFonts w:hint="eastAsia" w:asciiTheme="minorEastAsia" w:hAnsiTheme="minorEastAsia" w:eastAsiaTheme="minorEastAsia" w:cstheme="minorEastAsia"/>
                <w:sz w:val="24"/>
              </w:rPr>
              <w:commentReference w:id="0"/>
            </w:r>
          </w:p>
        </w:tc>
      </w:tr>
    </w:tbl>
    <w:p>
      <w:pPr>
        <w:pStyle w:val="12"/>
        <w:rPr>
          <w:rFonts w:hint="eastAsia"/>
        </w:rPr>
      </w:pPr>
      <w:bookmarkStart w:id="13" w:name="_Toc26067"/>
      <w:bookmarkStart w:id="14" w:name="_Toc31565"/>
    </w:p>
    <w:p>
      <w:pPr>
        <w:keepNext/>
        <w:keepLines/>
        <w:spacing w:after="100" w:afterAutospacing="1" w:line="480" w:lineRule="exact"/>
        <w:jc w:val="center"/>
        <w:outlineLvl w:val="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供应商须知</w:t>
      </w:r>
      <w:bookmarkEnd w:id="13"/>
      <w:bookmarkEnd w:id="14"/>
    </w:p>
    <w:p>
      <w:pPr>
        <w:snapToGrid w:val="0"/>
        <w:spacing w:line="400" w:lineRule="exact"/>
        <w:ind w:right="21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一、适用范围</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1、本竞争性磋商文件仅适用于本项目竞争性磋商公告中所叙述项目的服务采购。</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次采购属于服务类政府采购，采购人、采购代理机构、供应商、评审小组的相关行为均受《中华人民共和国政府采购法》以及财政部规章及政府采购项目所在地有关法规、规章的约束，其权利受到上述法律法规的保护。</w:t>
      </w:r>
    </w:p>
    <w:p>
      <w:pPr>
        <w:snapToGrid w:val="0"/>
        <w:spacing w:line="400" w:lineRule="exact"/>
        <w:ind w:right="21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二、定  义</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1、采购人:西乡县住房和城乡建设管理局</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2、采购代理机构：陕西华茂建设监理咨询有限公司</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3、监督管理机构：西乡县财政局</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4、供应商：是指无条件接受磋商文件的各项要求，具备相应履约能力、具有《中华人民共和国政府采购法》第22规定的相关条件并向磋商小组提交响应文件的供应商。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5、服  务：</w:t>
      </w:r>
      <w:r>
        <w:rPr>
          <w:rFonts w:hint="eastAsia" w:ascii="宋体" w:hAnsi="宋体"/>
          <w:sz w:val="24"/>
        </w:rPr>
        <w:t>西乡县城市体检评估工作</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6、费  用：供应商应承担磋商文件中规定及其编制竞争性磋商响应文件与递交竞争性磋商响应文件所涉及的一切费用，不管磋商结果如何，采购人对上述费用不负任何责任。</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7、现场踏勘</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自行组织勘察。供应商报价中如有漏项、漏算、少算等内容均视为供应商报价的技术策略并视为默认，成交后，在签订合同时和项目实施过程中，供应商不得以不完全了解现场情况为由，提出任何形式的增加业务经费或索赔的要求。</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8、响应供应商资格要求</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1）基本资格条件：符合《中华人民共和国政府采购法》第二十二条的规定；</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2）特定资格条件： </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①具有独立承担民事责任能力的法人、其他组织或自然人，并出具合法有效的营业执照或事业单位法人证书等国家规定的相关证明，自然人参与的提供其身份证明；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②财务状况报告：财务状况良好，提供</w:t>
      </w:r>
      <w:r>
        <w:rPr>
          <w:rFonts w:hint="eastAsia" w:ascii="宋体" w:hAnsi="宋体" w:eastAsia="宋体" w:cs="宋体"/>
          <w:i w:val="0"/>
          <w:iCs w:val="0"/>
          <w:caps w:val="0"/>
          <w:color w:val="333333"/>
          <w:spacing w:val="0"/>
          <w:sz w:val="24"/>
          <w:szCs w:val="24"/>
          <w:shd w:val="clear" w:fill="FFFFFF"/>
          <w:lang w:val="en-US" w:eastAsia="zh-CN"/>
        </w:rPr>
        <w:t>2019-</w:t>
      </w:r>
      <w:r>
        <w:rPr>
          <w:rFonts w:hint="eastAsia" w:ascii="宋体" w:hAnsi="宋体" w:eastAsia="宋体" w:cs="宋体"/>
          <w:i w:val="0"/>
          <w:iCs w:val="0"/>
          <w:caps w:val="0"/>
          <w:color w:val="333333"/>
          <w:spacing w:val="0"/>
          <w:sz w:val="24"/>
          <w:szCs w:val="24"/>
          <w:shd w:val="clear" w:fill="FFFFFF"/>
        </w:rPr>
        <w:t>2021年度</w:t>
      </w:r>
      <w:r>
        <w:rPr>
          <w:rFonts w:hint="eastAsia" w:ascii="宋体" w:hAnsi="宋体" w:eastAsia="宋体" w:cs="宋体"/>
          <w:i w:val="0"/>
          <w:iCs w:val="0"/>
          <w:caps w:val="0"/>
          <w:color w:val="333333"/>
          <w:spacing w:val="0"/>
          <w:sz w:val="24"/>
          <w:szCs w:val="24"/>
          <w:shd w:val="clear" w:fill="FFFFFF"/>
          <w:lang w:eastAsia="zh-CN"/>
        </w:rPr>
        <w:t>任意一年的</w:t>
      </w:r>
      <w:r>
        <w:rPr>
          <w:rFonts w:hint="eastAsia" w:ascii="宋体" w:hAnsi="宋体" w:eastAsia="宋体" w:cs="宋体"/>
          <w:i w:val="0"/>
          <w:iCs w:val="0"/>
          <w:caps w:val="0"/>
          <w:color w:val="333333"/>
          <w:spacing w:val="0"/>
          <w:sz w:val="24"/>
          <w:szCs w:val="24"/>
          <w:shd w:val="clear" w:fill="FFFFFF"/>
        </w:rPr>
        <w:t>财务审计报告（公司成立不足一年的需提供银行出具的资信证明原件及基本账号开户许可证或开户银行出具的基本存款账户信息表）</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③税收缴纳证明：具有依法缴纳税收的良好记录（提供</w:t>
      </w:r>
      <w:r>
        <w:rPr>
          <w:rFonts w:hint="eastAsia" w:ascii="宋体" w:hAnsi="宋体" w:eastAsia="宋体" w:cs="宋体"/>
          <w:i w:val="0"/>
          <w:iCs w:val="0"/>
          <w:caps w:val="0"/>
          <w:color w:val="333333"/>
          <w:spacing w:val="0"/>
          <w:sz w:val="24"/>
          <w:szCs w:val="24"/>
          <w:shd w:val="clear" w:fill="FFFFFF"/>
          <w:lang w:eastAsia="zh-CN"/>
        </w:rPr>
        <w:t>磋商</w:t>
      </w:r>
      <w:r>
        <w:rPr>
          <w:rFonts w:hint="eastAsia" w:ascii="宋体" w:hAnsi="宋体" w:eastAsia="宋体" w:cs="宋体"/>
          <w:i w:val="0"/>
          <w:iCs w:val="0"/>
          <w:caps w:val="0"/>
          <w:color w:val="333333"/>
          <w:spacing w:val="0"/>
          <w:sz w:val="24"/>
          <w:szCs w:val="24"/>
          <w:shd w:val="clear" w:fill="FFFFFF"/>
        </w:rPr>
        <w:t>截止前六个月内任意一个月的缴纳证明）；依法免税的应提供相关文件证明；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④提供</w:t>
      </w:r>
      <w:r>
        <w:rPr>
          <w:rFonts w:hint="eastAsia" w:ascii="宋体" w:hAnsi="宋体" w:eastAsia="宋体" w:cs="宋体"/>
          <w:i w:val="0"/>
          <w:iCs w:val="0"/>
          <w:caps w:val="0"/>
          <w:color w:val="333333"/>
          <w:spacing w:val="0"/>
          <w:sz w:val="24"/>
          <w:szCs w:val="24"/>
          <w:shd w:val="clear" w:fill="FFFFFF"/>
          <w:lang w:eastAsia="zh-CN"/>
        </w:rPr>
        <w:t>磋商</w:t>
      </w:r>
      <w:r>
        <w:rPr>
          <w:rFonts w:hint="eastAsia" w:ascii="宋体" w:hAnsi="宋体" w:eastAsia="宋体" w:cs="宋体"/>
          <w:i w:val="0"/>
          <w:iCs w:val="0"/>
          <w:caps w:val="0"/>
          <w:color w:val="333333"/>
          <w:spacing w:val="0"/>
          <w:sz w:val="24"/>
          <w:szCs w:val="24"/>
          <w:shd w:val="clear" w:fill="FFFFFF"/>
        </w:rPr>
        <w:t>截止前六个月内任意一个月的社保缴费凭据或社保机构开具的社会保险参保缴费情况证明；（依法不需要缴纳社会保障资金的</w:t>
      </w:r>
      <w:r>
        <w:rPr>
          <w:rFonts w:hint="eastAsia" w:ascii="宋体" w:hAnsi="宋体" w:eastAsia="宋体" w:cs="宋体"/>
          <w:i w:val="0"/>
          <w:iCs w:val="0"/>
          <w:caps w:val="0"/>
          <w:color w:val="333333"/>
          <w:spacing w:val="0"/>
          <w:sz w:val="24"/>
          <w:szCs w:val="24"/>
          <w:shd w:val="clear" w:fill="FFFFFF"/>
          <w:lang w:eastAsia="zh-CN"/>
        </w:rPr>
        <w:t>响应</w:t>
      </w:r>
      <w:r>
        <w:rPr>
          <w:rFonts w:hint="eastAsia" w:ascii="宋体" w:hAnsi="宋体" w:eastAsia="宋体" w:cs="宋体"/>
          <w:i w:val="0"/>
          <w:iCs w:val="0"/>
          <w:caps w:val="0"/>
          <w:color w:val="333333"/>
          <w:spacing w:val="0"/>
          <w:sz w:val="24"/>
          <w:szCs w:val="24"/>
          <w:shd w:val="clear" w:fill="FFFFFF"/>
        </w:rPr>
        <w:t>人应提供相关证明）；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⑤供应商须具有行业主管部门颁发的城乡规划乙级（含乙级）以上资质</w:t>
      </w:r>
      <w:r>
        <w:rPr>
          <w:rFonts w:hint="eastAsia" w:ascii="宋体" w:hAnsi="宋体" w:eastAsia="宋体" w:cs="宋体"/>
          <w:i w:val="0"/>
          <w:iCs w:val="0"/>
          <w:caps w:val="0"/>
          <w:color w:val="333333"/>
          <w:spacing w:val="0"/>
          <w:sz w:val="24"/>
          <w:szCs w:val="24"/>
          <w:shd w:val="clear" w:fill="FFFFFF"/>
          <w:lang w:eastAsia="zh-CN"/>
        </w:rPr>
        <w:t>；</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⑥拟派往本项目负责人具备注册城乡规划师资格证书并具备相关专业工程师（含）以上专业技术职称（提供</w:t>
      </w:r>
      <w:r>
        <w:rPr>
          <w:rFonts w:hint="eastAsia" w:ascii="宋体" w:hAnsi="宋体" w:eastAsia="宋体" w:cs="宋体"/>
          <w:i w:val="0"/>
          <w:iCs w:val="0"/>
          <w:caps w:val="0"/>
          <w:color w:val="333333"/>
          <w:spacing w:val="0"/>
          <w:sz w:val="24"/>
          <w:szCs w:val="24"/>
          <w:shd w:val="clear" w:fill="FFFFFF"/>
          <w:lang w:eastAsia="zh-CN"/>
        </w:rPr>
        <w:t>本单位为其缴纳</w:t>
      </w:r>
      <w:r>
        <w:rPr>
          <w:rFonts w:hint="eastAsia" w:ascii="宋体" w:hAnsi="宋体" w:eastAsia="宋体" w:cs="宋体"/>
          <w:i w:val="0"/>
          <w:iCs w:val="0"/>
          <w:caps w:val="0"/>
          <w:color w:val="333333"/>
          <w:spacing w:val="0"/>
          <w:sz w:val="24"/>
          <w:szCs w:val="24"/>
          <w:shd w:val="clear" w:fill="FFFFFF"/>
        </w:rPr>
        <w:t>近3个月的养老保险）</w:t>
      </w:r>
      <w:r>
        <w:rPr>
          <w:rFonts w:hint="eastAsia" w:ascii="宋体" w:hAnsi="宋体" w:eastAsia="宋体" w:cs="宋体"/>
          <w:i w:val="0"/>
          <w:iCs w:val="0"/>
          <w:caps w:val="0"/>
          <w:color w:val="333333"/>
          <w:spacing w:val="0"/>
          <w:sz w:val="24"/>
          <w:szCs w:val="24"/>
          <w:shd w:val="clear" w:fill="FFFFFF"/>
          <w:lang w:eastAsia="zh-CN"/>
        </w:rPr>
        <w:t>；</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⑦书面声明：参加本次政府采购活动前三年内在经营活动中没有重大违法记录的声明函原件；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⑧本项目不接受联合体投标，单位负责人为同一人或者存在直接控股、管理关系的不同供应商，不得同时参加本项目投标活动，提供《供应商企业关系关联承诺书原件》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⑨</w:t>
      </w:r>
      <w:r>
        <w:rPr>
          <w:rFonts w:hint="eastAsia" w:cs="宋体"/>
          <w:color w:val="333333"/>
          <w:shd w:val="clear" w:color="auto" w:fill="FFFFFF"/>
          <w:lang w:eastAsia="zh-CN"/>
        </w:rPr>
        <w:t>响应</w:t>
      </w:r>
      <w:r>
        <w:rPr>
          <w:rFonts w:hint="eastAsia" w:cs="宋体"/>
          <w:color w:val="333333"/>
          <w:shd w:val="clear" w:color="auto" w:fill="FFFFFF"/>
        </w:rPr>
        <w:t>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⑩本项目专门面向中小企业招标，非中小企业单位（监狱企业、残疾人福利单位除外）不得参与投标，需提供《中小企业声明函原件》；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3）本项目需要落实的政府采购政策有：</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依据《中华人民共和国政府采购法》和《中华人民共和国政府采购实施条例》的有关规定，落实政府采购“优先购买节能环保产品、扶持小微企业、监狱企业、福利企业”等相关政策。 </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①《财政部国家发展改革委关于印发〈节能产品政府采购实施意见〉的通知》（财库〔2004〕185号）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②</w:t>
      </w:r>
      <w:r>
        <w:rPr>
          <w:rFonts w:hint="eastAsia" w:ascii="宋体" w:hAnsi="宋体" w:eastAsia="宋体" w:cs="宋体"/>
          <w:i w:val="0"/>
          <w:iCs w:val="0"/>
          <w:caps w:val="0"/>
          <w:color w:val="333333"/>
          <w:spacing w:val="0"/>
          <w:sz w:val="24"/>
          <w:szCs w:val="24"/>
          <w:shd w:val="clear" w:fill="FFFFFF"/>
          <w:vertAlign w:val="baseline"/>
        </w:rPr>
        <w:t>《国务院办公厅关于建立政府强制采购节能产品制度的通知》（国办发〔2007〕51号）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③</w:t>
      </w:r>
      <w:r>
        <w:rPr>
          <w:rFonts w:hint="eastAsia" w:ascii="宋体" w:hAnsi="宋体" w:eastAsia="宋体" w:cs="宋体"/>
          <w:i w:val="0"/>
          <w:iCs w:val="0"/>
          <w:caps w:val="0"/>
          <w:color w:val="333333"/>
          <w:spacing w:val="0"/>
          <w:sz w:val="24"/>
          <w:szCs w:val="24"/>
          <w:shd w:val="clear" w:fill="FFFFFF"/>
          <w:vertAlign w:val="baseline"/>
        </w:rPr>
        <w:t>《财政部环保总局关于环境标志产品政府采购实施的意见》（财库〔2006〕90号）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cs="宋体"/>
          <w:color w:val="333333"/>
          <w:shd w:val="clear" w:color="auto" w:fill="FFFFFF"/>
        </w:rPr>
      </w:pPr>
      <w:r>
        <w:rPr>
          <w:rFonts w:hint="eastAsia" w:ascii="宋体" w:hAnsi="宋体" w:eastAsia="宋体" w:cs="宋体"/>
          <w:i w:val="0"/>
          <w:iCs w:val="0"/>
          <w:caps w:val="0"/>
          <w:color w:val="333333"/>
          <w:spacing w:val="0"/>
          <w:sz w:val="24"/>
          <w:szCs w:val="24"/>
          <w:shd w:val="clear" w:fill="FFFFFF"/>
        </w:rPr>
        <w:t>④</w:t>
      </w:r>
      <w:r>
        <w:rPr>
          <w:rFonts w:hint="eastAsia" w:cs="宋体"/>
          <w:color w:val="333333"/>
          <w:shd w:val="clear" w:color="auto" w:fill="FFFFFF"/>
        </w:rPr>
        <w:t>《政府采购促进中小企业发展管理办法》（财库〔2020〕46号）；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⑤</w:t>
      </w:r>
      <w:r>
        <w:rPr>
          <w:rFonts w:hint="eastAsia" w:ascii="宋体" w:hAnsi="宋体" w:eastAsia="宋体" w:cs="宋体"/>
          <w:i w:val="0"/>
          <w:iCs w:val="0"/>
          <w:caps w:val="0"/>
          <w:color w:val="333333"/>
          <w:spacing w:val="0"/>
          <w:sz w:val="24"/>
          <w:szCs w:val="24"/>
          <w:shd w:val="clear" w:fill="FFFFFF"/>
          <w:vertAlign w:val="baseline"/>
        </w:rPr>
        <w:t>《财政部司法部关于政府采购支持监狱企业发展有关问题的通知》（财库〔2014〕68号）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⑥</w:t>
      </w:r>
      <w:r>
        <w:rPr>
          <w:rFonts w:hint="eastAsia" w:ascii="宋体" w:hAnsi="宋体" w:eastAsia="宋体" w:cs="宋体"/>
          <w:i w:val="0"/>
          <w:iCs w:val="0"/>
          <w:caps w:val="0"/>
          <w:color w:val="333333"/>
          <w:spacing w:val="0"/>
          <w:sz w:val="24"/>
          <w:szCs w:val="24"/>
          <w:shd w:val="clear" w:fill="FFFFFF"/>
          <w:vertAlign w:val="baseline"/>
        </w:rPr>
        <w:t>《三部门联合发布关于促进残疾人就业政府采购政策的通知》（财库〔2017〕141号）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⑦</w:t>
      </w:r>
      <w:r>
        <w:rPr>
          <w:rFonts w:hint="eastAsia" w:ascii="宋体" w:hAnsi="宋体" w:eastAsia="宋体" w:cs="宋体"/>
          <w:i w:val="0"/>
          <w:iCs w:val="0"/>
          <w:caps w:val="0"/>
          <w:color w:val="333333"/>
          <w:spacing w:val="0"/>
          <w:sz w:val="24"/>
          <w:szCs w:val="24"/>
          <w:shd w:val="clear" w:fill="FFFFFF"/>
          <w:vertAlign w:val="baseline"/>
        </w:rPr>
        <w:t>《财政部发展改革委生态环境市场监管总局关于调整优化节能产品、环境标志产品政府采购执行机制的通知》（财库〔2019〕9号）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⑧</w:t>
      </w:r>
      <w:r>
        <w:rPr>
          <w:rFonts w:hint="eastAsia" w:ascii="宋体" w:hAnsi="宋体" w:eastAsia="宋体" w:cs="宋体"/>
          <w:i w:val="0"/>
          <w:iCs w:val="0"/>
          <w:caps w:val="0"/>
          <w:color w:val="333333"/>
          <w:spacing w:val="0"/>
          <w:sz w:val="24"/>
          <w:szCs w:val="24"/>
          <w:shd w:val="clear" w:fill="FFFFFF"/>
          <w:vertAlign w:val="baseline"/>
        </w:rPr>
        <w:t>《财政部国务院扶贫办关于运用政府采购政策支持脱贫攻坚的通知》（财库〔2019〕27号）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rPr>
        <w:t>⑨</w:t>
      </w:r>
      <w:r>
        <w:rPr>
          <w:rFonts w:hint="eastAsia" w:ascii="宋体" w:hAnsi="宋体" w:eastAsia="宋体" w:cs="宋体"/>
          <w:i w:val="0"/>
          <w:iCs w:val="0"/>
          <w:caps w:val="0"/>
          <w:color w:val="333333"/>
          <w:spacing w:val="0"/>
          <w:sz w:val="24"/>
          <w:szCs w:val="24"/>
          <w:shd w:val="clear" w:fill="FFFFFF"/>
          <w:vertAlign w:val="baseline"/>
        </w:rPr>
        <w:t>《陕西省中小企业政府采购信用融资办法》（陕财办采〔2018〕23号）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rPr>
        <w:t>⑩</w:t>
      </w:r>
      <w:r>
        <w:rPr>
          <w:rFonts w:hint="eastAsia" w:ascii="宋体" w:hAnsi="宋体" w:eastAsia="宋体" w:cs="宋体"/>
          <w:i w:val="0"/>
          <w:iCs w:val="0"/>
          <w:caps w:val="0"/>
          <w:color w:val="333333"/>
          <w:spacing w:val="0"/>
          <w:sz w:val="24"/>
          <w:szCs w:val="24"/>
          <w:shd w:val="clear" w:fill="FFFFFF"/>
          <w:vertAlign w:val="baseline"/>
        </w:rPr>
        <w:t>如有最新颁布的政府采购政策，按最新的文件执行。</w:t>
      </w:r>
    </w:p>
    <w:p>
      <w:pPr>
        <w:snapToGrid w:val="0"/>
        <w:spacing w:line="400" w:lineRule="exact"/>
        <w:ind w:right="21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三、竞争性磋商文件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竞争性磋商文件的构成：</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1.1、竞争性磋商文件规定了要求提供的产品和服务，磋商程序和合同条件在竞争性磋商文件中均有说明。竞争性磋商文件共六章，内容如下：</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第一章 竞争性磋商公告</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第二章 供应商须知及须知前附表</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第三章 采购内容和要求</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第四章  评标办法</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第五章  合同主要条款</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第六章  竞争性磋商响应文件构成及格式</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供应商应认真阅读和充分理解磋商文件中所有的事项、格式条款和规范要求。供应商没有对磋商文件做出全面的实质性响应是供应商的风险。没有按照磋商文件要求作出实质性响应的响应文件将按无效磋商处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竞争性磋商文件的获取：竞争性磋商公告发布后，有意向的供应商应从采购代理机构购买竞争性磋商文件，竞争性磋商文件一经售出，一律不退，仅作为本次招标使用。</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采购人在磋商截止时间5日前，可以以书面形式对竞争性磋商文件进行必要的澄清或修改，其内容均为竞争性磋商文件的组成部分，并对采购人及供应商起约束作用。</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供应商应详细阅读竞争性磋商文件所有的事项、格式、条款和规范要求等，在竞争性磋商响应文件中对竞争性磋商文件的各方面都做出实质性的响应，按照竞争性磋商文件的要求提交全部资料。若供应商的竞争性磋商响应文件未按竞争性磋商文件要求提交全部资料，或没有对竞争性磋商文件做出实质性响应，将导致磋商被拒绝。</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竞争性磋商文件的澄清或修改：</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供应商对竞争性磋商文件如有疑问要求澄清，或认为有必要与采购人进行技术交流，应于竞争性磋商响应文件递交截止5日前，以书面形式通知采购代理机构，采购代理机构以书面形式予以答复。</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  无论是采购代理机构主动对竞争性磋商文件进行必要的修改，或根据供应商的要求对竞争性磋商文件做出的澄清，都将于磋商截止时间5日前以书面形式发送给所有合格的供应商。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  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  根据招标工作进展实际情况，采购人可酌情延长递交竞争性磋商响应文件的截止时间，若延长递交竞争性磋商响应文件的截止时间将另行以书面形式通知各供应商。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  供应商必须从采购代理机构购买竞争性磋商文件，供应商自行转让或复制竞争性磋商文件视为无效。竞争性磋商文件售后不退，仅作为本次招标使用。</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  竞争性磋商文件的解释权归采购人。如发现竞争性磋商文件内容中与现行的法律法规不相符合的情况，以现行的法律法规为准。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6本项目磋商文件依据《中华人民共和国政府采购法》及《中华人民共和国政府采购法实施条例》等相关法律法规进行编写。</w:t>
      </w:r>
    </w:p>
    <w:p>
      <w:pPr>
        <w:snapToGrid w:val="0"/>
        <w:spacing w:line="400" w:lineRule="exact"/>
        <w:ind w:right="21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四、竞争性磋商响应文件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竞争性磋商响应文件的组成：</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各供应商应根据竞争性磋商文件要求编制竞争性磋商响应文件。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竞争性磋商响应文件应由磋商函、磋商报价一览表、资格证明文件、工作实施方案、服务承诺等部分组成。</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竞争性磋商响应文件部分应包括：</w:t>
      </w:r>
    </w:p>
    <w:p>
      <w:pPr>
        <w:numPr>
          <w:ilvl w:val="0"/>
          <w:numId w:val="0"/>
        </w:numPr>
        <w:snapToGrid w:val="0"/>
        <w:spacing w:line="400" w:lineRule="exact"/>
        <w:ind w:right="210" w:rightChars="10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磋商函</w:t>
      </w:r>
    </w:p>
    <w:p>
      <w:pPr>
        <w:numPr>
          <w:ilvl w:val="0"/>
          <w:numId w:val="0"/>
        </w:numPr>
        <w:snapToGrid w:val="0"/>
        <w:spacing w:line="400" w:lineRule="exact"/>
        <w:ind w:right="210" w:rightChars="100"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2、磋商报价一览表</w:t>
      </w:r>
    </w:p>
    <w:p>
      <w:pPr>
        <w:numPr>
          <w:ilvl w:val="0"/>
          <w:numId w:val="0"/>
        </w:numPr>
        <w:snapToGrid w:val="0"/>
        <w:spacing w:line="400" w:lineRule="exact"/>
        <w:ind w:right="210" w:rightChars="100"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3、技术、商务偏离表</w:t>
      </w:r>
    </w:p>
    <w:p>
      <w:pPr>
        <w:numPr>
          <w:ilvl w:val="0"/>
          <w:numId w:val="0"/>
        </w:numPr>
        <w:snapToGrid w:val="0"/>
        <w:spacing w:line="400" w:lineRule="exact"/>
        <w:ind w:right="210" w:rightChars="100"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4、法定代表人授权书</w:t>
      </w:r>
    </w:p>
    <w:p>
      <w:pPr>
        <w:numPr>
          <w:ilvl w:val="0"/>
          <w:numId w:val="0"/>
        </w:numPr>
        <w:snapToGrid w:val="0"/>
        <w:spacing w:line="400" w:lineRule="exact"/>
        <w:ind w:right="210" w:rightChars="100"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5、资格证明文件</w:t>
      </w:r>
    </w:p>
    <w:p>
      <w:pPr>
        <w:numPr>
          <w:ilvl w:val="0"/>
          <w:numId w:val="0"/>
        </w:numPr>
        <w:snapToGrid w:val="0"/>
        <w:spacing w:line="400" w:lineRule="exact"/>
        <w:ind w:right="210" w:rightChars="100"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6、技术响应</w:t>
      </w:r>
    </w:p>
    <w:p>
      <w:pPr>
        <w:numPr>
          <w:ilvl w:val="0"/>
          <w:numId w:val="0"/>
        </w:numPr>
        <w:snapToGrid w:val="0"/>
        <w:spacing w:line="400" w:lineRule="exact"/>
        <w:ind w:right="210" w:rightChars="100"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7、项目人员</w:t>
      </w:r>
    </w:p>
    <w:p>
      <w:pPr>
        <w:numPr>
          <w:ilvl w:val="0"/>
          <w:numId w:val="0"/>
        </w:numPr>
        <w:snapToGrid w:val="0"/>
        <w:spacing w:line="400" w:lineRule="exact"/>
        <w:ind w:right="210" w:rightChars="100"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8、业绩</w:t>
      </w:r>
    </w:p>
    <w:p>
      <w:pPr>
        <w:numPr>
          <w:ilvl w:val="0"/>
          <w:numId w:val="0"/>
        </w:numPr>
        <w:snapToGrid w:val="0"/>
        <w:spacing w:line="400" w:lineRule="exact"/>
        <w:ind w:right="210" w:rightChars="100"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9、荣誉</w:t>
      </w:r>
    </w:p>
    <w:p>
      <w:pPr>
        <w:numPr>
          <w:ilvl w:val="0"/>
          <w:numId w:val="0"/>
        </w:numPr>
        <w:snapToGrid w:val="0"/>
        <w:spacing w:line="400" w:lineRule="exact"/>
        <w:ind w:right="210" w:rightChars="100"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10、供应商声明、承诺</w:t>
      </w:r>
    </w:p>
    <w:p>
      <w:pPr>
        <w:snapToGrid w:val="0"/>
        <w:spacing w:line="400" w:lineRule="exact"/>
        <w:ind w:right="210" w:rightChars="100"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供应商应对竞争性磋商文件的技术要求逐项做出注明和说明；对竞争性磋商文件的商务要求完全响应，偏离处做出注明和说明。</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2、磋商响应文件的编制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供应商应仔细阅读竞争性磋商文件的所有内容，按竞争性磋商文件规定及要求编制，应当对竞争性磋商文件提出的实质性要求做出响应，并提交完整的磋商响应文件。磋商供应商应填写全称，同时加盖公章，签署、盖章和内容应完整，如有遗漏，将被视为无效。</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2.2、竞争性磋商响应文件应当对竞争性磋商文件有关服务期、投标有效期、技术标准和要求、竞争性磋商范围等实质性内容做出响应。</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磋商响应文件的语言：磋商供应商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磋商响应文件的计量单位：竞争性磋商文件已有明确规定的，使用竞争性磋商文件规定的计量单位；竞争性磋商文件没有规定的，应采用中华人民共和国法定计量单位(国际单位制和国家选定的其他计量单位)。否则，视为对竞争性磋商文件未作出实质性响应。</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2.5、报价使用货币：本次采购项目的报价均以人民币报价。</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2.6、磋商响应文件形式：本项目磋商响应文件应采用书面文件形式，电报、传真、电子邮件形式的磋商响应文件不予接受。</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2.7、备选方案：本项目不接受备选响应方案，磋商响应文件的报价只允许有一个报价，不接受有任何选择或具有附加条件的报价，否则，在评审时将其视为无效报价。</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w:t>
      </w:r>
      <w:bookmarkStart w:id="15" w:name="OLE_LINK4"/>
      <w:r>
        <w:rPr>
          <w:rFonts w:hint="eastAsia" w:asciiTheme="minorEastAsia" w:hAnsiTheme="minorEastAsia" w:eastAsiaTheme="minorEastAsia" w:cstheme="minorEastAsia"/>
          <w:sz w:val="24"/>
        </w:rPr>
        <w:t>磋商响应文件应在“供应商须知前附表”中规定的期限内保持有效。磋商有效期不满足规定有效期的磋商响应文件将被视为非响应性磋商而予以拒绝。</w:t>
      </w:r>
      <w:bookmarkEnd w:id="15"/>
      <w:r>
        <w:rPr>
          <w:rFonts w:hint="eastAsia" w:asciiTheme="minorEastAsia" w:hAnsiTheme="minorEastAsia" w:eastAsiaTheme="minorEastAsia" w:cstheme="minorEastAsia"/>
          <w:sz w:val="24"/>
        </w:rPr>
        <w:t>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竞争性磋商响应文件的式样和签署</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供应商须知的要求，准备一份竞争性磋商响应文件正本和“供应商须知前附表”中规定数量的副本，每套竞争性磋商响应文件封面须清楚地标明“正本”或“副本”。同时提供与正本内容一致的电子版（PDF或Word版，U盘）响应文件，并标注供应商全称、项目名称、项目编号，与竞争性磋商响应文件同时递交。</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正、副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将按竞争性磋商文件规定的格式出具的“法定代表人授权书”附在竞争性磋商响应文件中，所有要求签字（名）处，均须由签字（名）者本人用不褪色的蓝（黑）色墨水（汁）书写，不得用任何形式的图章代替，副本可以是正本的复印件。所有竞争性磋商响应文件正本和副本，须按第六章要求进行编排、并编制目录、标注页码。</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任何行间插字、涂改和增删，必须由供应商的法定代表人或其授权代表在旁边签字才有效。</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因字迹潦草、表述不清或不按竞争性磋商文件格式编制的竞争性磋商响应文件，所引起的对供应商不利的后果，由供应商自行负责。</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竞争性磋商文件的副本、电子版须和正本保持一致。若正本、副本和电子版有不一致的内容，以正本为准。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2.10</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证明供应商合格的资格证明文件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2.10.1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供应商应按照竞争性磋商文件供应商须知前附表的要求，在竞争性磋商过程中和响应文件中提交合格的资格证明文件。如果资格证明文件不全或不合格的，其磋商响应文件将被作无效文件处理。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证明的合格性和符合竞争性磋商文件规定的文件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上述证明文件可以是文字资料、图纸、图片、数据、宣传彩页等，所有证明文件表达意思必须统一。</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2.12、磋商响应文件的装订、密封及标识。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2.12.1、磋商响应文件的正本、所有副本、资格证明文件、开标一览表、磋商响应文件电子版U盘各单独密封，同时在封口处加贴封条并在骑缝处加盖磋商供应商公章及法定代表人印章。并在封袋封面注明“正本”“副本”“电子版本”“报价一览表”“资格证明文件”字样。封袋正面应写明供应商全称、项目名称、项目编号等标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2.12.3、磋商响应文件正本和副本</w:t>
      </w:r>
      <w:r>
        <w:rPr>
          <w:rFonts w:hint="eastAsia" w:asciiTheme="minorEastAsia" w:hAnsiTheme="minorEastAsia" w:eastAsiaTheme="minorEastAsia" w:cstheme="minorEastAsia"/>
          <w:sz w:val="24"/>
          <w:lang w:val="zh-CN"/>
        </w:rPr>
        <w:t>一律采用A4纸幅面加胶装分别装订成册，</w:t>
      </w:r>
      <w:r>
        <w:rPr>
          <w:rFonts w:hint="eastAsia" w:asciiTheme="minorEastAsia" w:hAnsiTheme="minorEastAsia" w:eastAsiaTheme="minorEastAsia" w:cstheme="minorEastAsia"/>
          <w:sz w:val="24"/>
        </w:rPr>
        <w:t>按序从目录开始编制连续页码。文件胶装装订后，页面不可抽取，不得有活动页，无破损、不可拆分。如果正本与副本不符，以正本磋商响应文件为准。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磋商报价</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2.13.1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磋商报价：磋商报价是供应商为完成本项目要求的服务内容最终价格的体现，供应商所报的价格应考虑到可能发生的所有与完成本项目相关服务及履行合同义务有关的一切费用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磋商文件未列明，而供应商认为应当计取的费用均应列入报价中。报价时不论是否计取，采购人均按已计取对待</w:t>
      </w:r>
      <w:r>
        <w:rPr>
          <w:rFonts w:hint="eastAsia" w:asciiTheme="minorEastAsia" w:hAnsiTheme="minorEastAsia" w:eastAsiaTheme="minorEastAsia" w:cstheme="minorEastAsia"/>
          <w:sz w:val="24"/>
        </w:rPr>
        <w:t>，任何有选择的报价将不予接受，按无效磋商处理。供应商漏报或不报，采购人或采购代理机构将视为有关费用已包括在磋商报价中不予支付。</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不得以低于成本的报价参加磋商。当磋商小组认为某个供应商的磋商报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磋商应作废标处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供应商所报的磋商价在合同执行过程中是固定不变的，不得以任何理由予以变更。任何包含价格调整要求的磋商，将被认为是非响应性磋商而予以拒绝。</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最低报价不是磋商成交的唯一依据。</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2.13.5本项目采购预算：见响应人须知前附表，任何超过采购预算的报价为无效响应。</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3、竞争性磋商响应文件的递交</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3.1、供应商应按规定的时间、地点，于磋商截止时间前递交竞争性磋商响应文件；</w:t>
      </w:r>
    </w:p>
    <w:p>
      <w:pPr>
        <w:pStyle w:val="120"/>
        <w:snapToGrid w:val="0"/>
        <w:spacing w:line="400" w:lineRule="exact"/>
        <w:ind w:right="210" w:rightChars="1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3.2、采购代理机构仅负责对磋商响应文件的接收时间、份数和递交人等信息的确认。在宣布递交磋商响应文件时间截止之后，任何人送达、递交的磋商响应文件和文书资料，采购代理机构拒绝接收。</w:t>
      </w:r>
    </w:p>
    <w:p>
      <w:pPr>
        <w:pStyle w:val="120"/>
        <w:snapToGrid w:val="0"/>
        <w:spacing w:line="400" w:lineRule="exact"/>
        <w:ind w:right="210" w:rightChars="1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3.3、核查、信息确认完毕的磋商响应文件由采购代理机构妥善保管，任何人不得擅自拆封、调换和退回。</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3.4、无论供应商成交与否，其竞争性磋商响应文件恕不退还。</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3.5、采购代理机构推迟递交竞争性磋商响应文件截止时间时，应在竞争性磋商响应文件截止时间1日前以书面或传真的形式通知所有供应商。采购代理机构和供应商的权利和义务将受到新的截止期的约束。</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3.6、递交竞争性磋商响应文件截止时间止，若收到的竞争性磋商响应文件少于3个，采购人将报请监督管理机构批准变更招标方式或择日重新组织招标；</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4、竞争性磋商响应文件的补充、修改与撤回：</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供应商在递交竞争性磋商响应文件以后，在规定的磋商截止时间之前,可以书面形式补充、修改或撤回已递交的竞争性磋商响应文件，并以书面形式通知采购代理机构。补充、修改的内容应当按竞争性磋商文件要求密封、签署、盖章，并作为竞争性磋商响应文件的组成部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4.2、供应商提出修改和撤标要求的，须在磋商截止时间前密封送到采购代理机构，并在封面上加注“修改”或“撤回”字样。采购代理机构可以接受，但不退还原竞争性磋商响应文件（包含纸质及电子版）。</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撤回竞争性磋商响应文件应以书面形式由有权人（法人代表人或被授权人）通知采购代理机构。如采取传真形式撤回磋商，随后必须补充有法人代表人签署的要求撤回磋商的正式文件。原磋商文件不退还，正式磋商文件以在招标开始前送达陕西华茂建设监理咨询有限公司为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4.4、磋商截止时间之后，供应商不得补充、修改竞争性磋商响应文件；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4.5、在磋商截止时间至磋商有效期满之前，供应商不得撤回其竞争性磋商响应文件，否则其磋商保证金将不予退还。 </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5、磋商保证金</w:t>
      </w:r>
    </w:p>
    <w:p>
      <w:pPr>
        <w:snapToGrid w:val="0"/>
        <w:spacing w:line="400" w:lineRule="exact"/>
        <w:ind w:right="210" w:rightChars="100" w:firstLine="480" w:firstLineChars="200"/>
        <w:rPr>
          <w:rFonts w:asciiTheme="minorEastAsia" w:hAnsiTheme="minorEastAsia" w:eastAsiaTheme="minorEastAsia" w:cstheme="minorEastAsia"/>
          <w:sz w:val="24"/>
        </w:rPr>
      </w:pPr>
      <w:bookmarkStart w:id="16" w:name="_Ref467306302"/>
      <w:r>
        <w:rPr>
          <w:rFonts w:hint="eastAsia" w:asciiTheme="minorEastAsia" w:hAnsiTheme="minorEastAsia" w:eastAsiaTheme="minorEastAsia" w:cstheme="minorEastAsia"/>
          <w:sz w:val="24"/>
        </w:rPr>
        <w:t>5.1</w:t>
      </w:r>
      <w:bookmarkEnd w:id="16"/>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供应商应按照供应商须知前附表规定的数额和方式递交磋商保证金至采购代理机构（到账）。并作为其磋商响应文件的一部分。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保证金是为了保护采购单位免遭因供应商的行为蒙受损失而要求的。</w:t>
      </w:r>
    </w:p>
    <w:p>
      <w:pPr>
        <w:snapToGrid w:val="0"/>
        <w:spacing w:line="400" w:lineRule="exact"/>
        <w:ind w:right="210" w:rightChars="100" w:firstLine="480" w:firstLineChars="200"/>
        <w:rPr>
          <w:rFonts w:asciiTheme="minorEastAsia" w:hAnsiTheme="minorEastAsia" w:eastAsiaTheme="minorEastAsia" w:cstheme="minorEastAsia"/>
          <w:sz w:val="24"/>
        </w:rPr>
      </w:pPr>
      <w:bookmarkStart w:id="17" w:name="_Ref467306336"/>
      <w:r>
        <w:rPr>
          <w:rFonts w:hint="eastAsia" w:asciiTheme="minorEastAsia" w:hAnsiTheme="minorEastAsia" w:eastAsiaTheme="minorEastAsia" w:cstheme="minorEastAsia"/>
          <w:sz w:val="24"/>
        </w:rPr>
        <w:t>发生下列情形之一的，采购代理机构将不予退还供应商交纳的磋商保证金：</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（1）供应商在提交响应文件截止时间后撤回投标文件的；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（2）供应商在响应文件中提供虚假材料的；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（3）成交供应商在规定的时间内未能签订合同；</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（4）供应商与采购人、其他供应商或者采购代理机构恶意串通的；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（5）成交后放弃成交、不领取或者不接收中标通知书的；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（6）成交供应商未按时缴付成交服务费；</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（7）由于供应商的原因导致成交无效的。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（8）投标有效期内，供应商在政府采购活动中有违法、违规、违纪行为。</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w:t>
      </w:r>
      <w:bookmarkEnd w:id="17"/>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凡未按磋商文件要求提交保证金的，将被视为非响应性而予以拒绝。</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供应商的保证金，在接到成交通知书并签订合同后凭签订的合同原件无息退还成交供应商（基本账户）；未成交供应商的磋商保证金在公示结束后5个工作日内无息退还（基本账户）。供应商必须详细明确的提供基本账户信息，以保障招标代理机构及时准确退还投标保证金。</w:t>
      </w:r>
    </w:p>
    <w:p>
      <w:pPr>
        <w:snapToGrid w:val="0"/>
        <w:spacing w:line="400" w:lineRule="exact"/>
        <w:ind w:right="21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五、磋商与评审</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1、竞争性磋商时间和地点</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采购人在前附表规定的磋商截止时间（竞争性磋商时间）和供应商须知前附表规定的地点公开进行，采购人、供应商须派代表参加并签到以证明其出席。磋商由采购代理机构主持，采购人、供应商代表参加。</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采购代理机构将做磋商记录，存档备查。</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2、磋商小组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根据本次竞争性磋商项目的特点，参照有关规定组建评审小组。评审小组专家成员在陕西省财政厅评审专家库中随机抽取，采购人可派代表进入评审小组（如有）。评审小组专家人数应占总人数的2/3以上。评审小组负责对具备实质性响应的竞争性磋商响应文件进行评估和比较。</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磋商小组成员到位后，推荐一名磋商小组成员担任磋商小组组长，并由磋商小组组长牵头组织该项目磋商与评审工作，采购人授权的代表，不得担任磋商小组组长。</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磋商小组成员有下列情形之一的，应当回避：</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（1）采购人或供应商的主要负责人的近亲属；</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（2）与供应商有经济利益关系，可能影响对响应文件公正评审的；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（3）曾因在招标、评标以及其他与招标投标有关活动中从事违法行为而受过行政处罚或刑事处罚的。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评审小组成员应当遵守并履行下列职责义务：</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坚持公平、公正、科学、择优，合理低价，禁止不正当竞争。从服务方案、服务质量均能满足磋商文件实质性响应要求的供应商中确定成交单位。</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（1）审查参加磋商的供应商磋商文件是否齐全、合法、有效；</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（2）遵纪守法，客观、公正、审慎、认真负责地履行职责，审查磋商响应文件是否符合竞争性磋商文件的要求，并做出评价；</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（3）确认或修定磋商文件；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（4）评审小组可要求供应商就竞争性磋商响应文件中含义不明确的内容进行书面说明并提供相关材料；</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（5）依据竞争性磋商文件中招标内容、实施方案、磋商报价、商务等要求和磋商其他标准与供应商进行磋商，推荐成交候选单位名单，对磋商意见承担个人责任；</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（6）对磋商过程及各供应商的商业机密予以保密；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（7）拟定磋商结果；</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（8）配合采购人、采购代理机构答复各供应商提出的质疑；</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（9）配合各部门处理投诉工作。</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3、竞争性磋商程序</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主持人按下列主要程序进行竞争性磋商：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宣布竞争性磋商项目名称及竞争性磋商响应文件接收截止时间，终止一切竞争性磋商响应文件的接收工作，并宣布竞争性磋商会开始，同时开启录音录像设备。</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宣布竞争性磋商会议纪律。</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介绍竞争性磋商监督管理部门代表、采购人代表、采购代理机构代表和竞争性磋商工作人员。</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宣布参加本项目的响应供应商名单。</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由供应商或者其推选的代表先检查其自己递交的竞争性磋商响应文件的密封情况，经确认无误后，供应商代表签字确认。</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 以随机开启各响应人竞争性磋商响应文件，宣读相关投标要素，并记录，供应商核对竞争性磋商记录并签字确认；</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 评审小组对响应供应商</w:t>
      </w:r>
      <w:r>
        <w:rPr>
          <w:rFonts w:hint="eastAsia" w:asciiTheme="minorEastAsia" w:hAnsiTheme="minorEastAsia" w:eastAsiaTheme="minorEastAsia" w:cstheme="minorEastAsia"/>
          <w:sz w:val="24"/>
          <w:lang w:eastAsia="zh-CN"/>
        </w:rPr>
        <w:t>的响应文件进行</w:t>
      </w:r>
      <w:r>
        <w:rPr>
          <w:rFonts w:hint="eastAsia" w:asciiTheme="minorEastAsia" w:hAnsiTheme="minorEastAsia" w:eastAsiaTheme="minorEastAsia" w:cstheme="minorEastAsia"/>
          <w:sz w:val="24"/>
        </w:rPr>
        <w:t>符合性评审，评审合格后，方可磋商。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资格性、符合性评审合格的响应供应商按递交文件顺序单独与磋商小组成员就磋商响应文件的技术、商务等内容进行磋商，供应商法定代表人或其授权响应供应商代表需参加磋商并就磋商中所作出的第二轮报价、承诺进行书面签字确认。</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 休会，竞争性磋商小组进行评审。</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退还响应供应商审查证件，公布成交结果公示媒介。</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宣布竞争性磋商会议结束。</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4、磋商、评审原则</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磋商小组按照竞争性磋商文件规定的磋商方法和标准进行评审，对供应商的竞争性磋商响应文件进行技术、服务、商务等方面评估，综合比较与评价。</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竞争性磋商文件和竞争性磋商响应文件是评审的依据。在评审中，不得改变竞争性磋商文件中规定的评审标准、方法和成交条件。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如果供应商在澄清规定期限内，未能答复或拒绝答复磋商小组提出的澄清要求，将由磋商小组根据其竞争性磋商响应文件按最大风险进行评审。</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磋商过程中的实质性变动：</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对竞争性磋商文件做出的实质性变动是磋商文件的有效组成部分，磋商小组应当及时以书面形式通知所有参加磋商的供应商。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竞争性磋商响应文件的初审（含资格性检查和符合性检查）</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资格性检查</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采购人</w:t>
      </w:r>
      <w:r>
        <w:rPr>
          <w:rFonts w:hint="eastAsia" w:asciiTheme="minorEastAsia" w:hAnsiTheme="minorEastAsia" w:eastAsiaTheme="minorEastAsia" w:cstheme="minorEastAsia"/>
          <w:sz w:val="24"/>
        </w:rPr>
        <w:t>应依据法律法规和本竞争性磋商文件的规定，对竞争性磋商响应文件是否按照规定要求提供资格性证明材料、是否按照规定交纳磋商保证金、是否属于禁止参加磋商的供应商等进行审查，以确定磋商供应商是否具备磋商资格。</w:t>
      </w:r>
    </w:p>
    <w:p>
      <w:pPr>
        <w:snapToGrid w:val="0"/>
        <w:spacing w:line="400" w:lineRule="exact"/>
        <w:ind w:right="210" w:rightChars="100" w:firstLine="480" w:firstLineChars="200"/>
        <w:rPr>
          <w:rFonts w:asciiTheme="minorEastAsia" w:hAnsiTheme="minorEastAsia" w:eastAsiaTheme="minorEastAsia" w:cstheme="minorEastAsia"/>
          <w:sz w:val="24"/>
        </w:rPr>
      </w:pPr>
      <w:bookmarkStart w:id="18" w:name="_Toc525074468"/>
      <w:bookmarkStart w:id="19" w:name="_Toc11915782"/>
      <w:bookmarkStart w:id="20" w:name="_Toc5006288"/>
      <w:bookmarkStart w:id="21" w:name="_Toc11915740"/>
      <w:bookmarkStart w:id="22" w:name="_Toc525074416"/>
      <w:bookmarkStart w:id="23" w:name="_Toc504079823"/>
      <w:r>
        <w:rPr>
          <w:rFonts w:hint="eastAsia" w:asciiTheme="minorEastAsia" w:hAnsiTheme="minorEastAsia" w:eastAsiaTheme="minorEastAsia" w:cstheme="minorEastAsia"/>
          <w:sz w:val="24"/>
        </w:rPr>
        <w:t>4.6.2、</w:t>
      </w:r>
      <w:bookmarkEnd w:id="18"/>
      <w:bookmarkEnd w:id="19"/>
      <w:bookmarkEnd w:id="20"/>
      <w:bookmarkEnd w:id="21"/>
      <w:bookmarkEnd w:id="22"/>
      <w:bookmarkEnd w:id="23"/>
      <w:r>
        <w:rPr>
          <w:rFonts w:hint="eastAsia" w:asciiTheme="minorEastAsia" w:hAnsiTheme="minorEastAsia" w:eastAsiaTheme="minorEastAsia" w:cstheme="minorEastAsia"/>
          <w:sz w:val="24"/>
        </w:rPr>
        <w:t>符合性检查</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磋商小组依据本竞争性磋商文件的要求，对符合资格的竞争性磋商响应文件进行审查，以确定其是否满足本竞争性磋商文件的实质性要求。</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竞争性磋商响应文件报价出现前后不一致的，除竞争性磋商文件另有规定外，按照下列规定修正：</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（2）磋商响应文件的大写金额和小写金额不一致的，以大写金额为准。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按上述修正的顺序和方法调整的报价应对供应商具有约束力。如果供应商不接受修正后的价格，其响应文件将按无效响应处理。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对于竞争性磋商响应文件中明显的标点符号错误或不构成实质性偏差的不正规、不一致或不规则，采购人可以接受。</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4.9</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4.10</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实质上没有响应竞争性磋商文件要求的磋商将被拒绝。供应商不得通过修正或撤销不合要求的偏离从而使其磋商成为实质性响应的磋商。如发现下列情况之一的，其磋商将构成非实质性响应，按无效磋商处理：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1）没有按照竞争性磋商文件要求提供的竞争性磋商响应文件或竞争性磋商响应文件构成有重大缺项；</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2）竞争性磋商响应文件未按竞争性磋商文件要求密封、签署、盖章的；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3）资格证明文件不全的或无效的，或不符合国家规定的；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4）竞争性磋商响应文件无供应商公章、无法定代表人签字或签字人无法定代表人有效委托书的；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5）无磋商有效期或有效期达不到竞争性磋商文件要求的；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6）供应商在同一份竞争性磋商响应文件中，有两个或多个报价的；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7）存在有重大缺漏项和重大偏离的；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8）供应商有串通磋商、以他人名义磋商、行贿、提供虚假证明（包括第三方提供的虚假证明），开具虚假资质，出现虚假应答的，除按无效文件处理外，还将按照政府采购的有关规定进行处罚；</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9）磋商总报价低于成本或者高于竞争性磋商文件公布的采购预算的；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10）竞争性磋商响应文件含有采购人不能接受的附加条件的；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11）竞争性磋商响应文件不符合法律法规要求的；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12）供应商被列入失信被执行人、重大税收违法案件当事人名单、政府采购严重违法失信行为记录名单及其他不符合《中华人民共和国政府采购法》第二十二条规定条件。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的澄清、说明或者补正应当采用书面形式，并加盖公章，或者由法定代表人或其授权的代表签字。供应商的澄清、说明或者补正不得超出竞争性磋商响应文件的范围或者改变竞争性磋商响应文件的实质性内容。</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磋商小组认为磋商供应商的报价明显低于其他通过符合性审查磋商供应商的报价，有可能影响服务质量或者不能诚信履约的，应当要求其在磋商现场合理的时间内提供书面说明，必要时提交相关证明材料；磋商供应商不能证明其报价合理性的，磋商小组应当将其作为无效磋商处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7、磋商小组所有成员集中与单一供应商分别进行一轮或多轮磋商，并给予所有参加磋商的供应商平等的磋商机会。磋商过程中，磋商小组可以根据磋商情况调整磋商轮次。</w:t>
      </w:r>
    </w:p>
    <w:p>
      <w:pPr>
        <w:snapToGrid w:val="0"/>
        <w:spacing w:line="400" w:lineRule="exact"/>
        <w:ind w:right="210" w:rightChars="100" w:firstLine="480" w:firstLineChars="200"/>
        <w:rPr>
          <w:rFonts w:asciiTheme="minorEastAsia" w:hAnsiTheme="minorEastAsia" w:eastAsiaTheme="minorEastAsia" w:cstheme="minorEastAsia"/>
          <w:sz w:val="24"/>
        </w:rPr>
      </w:pPr>
      <w:bookmarkStart w:id="24" w:name="_Toc505256733"/>
      <w:r>
        <w:rPr>
          <w:rFonts w:hint="eastAsia" w:asciiTheme="minorEastAsia" w:hAnsiTheme="minorEastAsia" w:eastAsiaTheme="minorEastAsia" w:cstheme="minorEastAsia"/>
          <w:sz w:val="24"/>
        </w:rPr>
        <w:t>磋商过程中，磋商文件变动的，供应商应当按照磋商文件的变动情况和磋商小组的要求重新提交响应文件，并由其法定代表人或其授权代表签字或者加盖公章。</w:t>
      </w:r>
      <w:bookmarkEnd w:id="24"/>
      <w:bookmarkStart w:id="25" w:name="_Toc505256734"/>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磋商过程中，磋商的任何一方不得透露与磋商有关的其他供应商的技术资料、价格和其他信息。</w:t>
      </w:r>
      <w:bookmarkEnd w:id="25"/>
      <w:bookmarkStart w:id="26" w:name="_Toc505256735"/>
      <w:r>
        <w:rPr>
          <w:rFonts w:hint="eastAsia" w:asciiTheme="minorEastAsia" w:hAnsiTheme="minorEastAsia" w:eastAsiaTheme="minorEastAsia" w:cstheme="minorEastAsia"/>
          <w:sz w:val="24"/>
        </w:rPr>
        <w:t>磋商小组发现或者知晓供应商存在违法、违纪行为的，磋商小组应当将该供应商响应文件作无效处理，不允许其提交最后报价。</w:t>
      </w:r>
      <w:bookmarkEnd w:id="26"/>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8、最后报价</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文件能够详细列明采购标的的技术、服务要求的，磋商结束后，磋商小组应当要求所有实质性响应的供应商在规定时间内提交最后报价，提交最后报价的供应商不得少于3家，符合《政府采购竞争性磋商采购方式管理暂行办法》 第三条第四项情形的，提交最后报价的供应商可以为2家。</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结束后，磋商小组应当要求所有实质性响应的供应商在规定时间内提交最后报价。其最后报价不得高于对该项目之前的报价，否则，磋商小组应当对其响应文件按无效处理，不允许进入综合评分，并书面告知供应商，说明理由。</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供应商最后报价应当由法定代表人或其授权代表签字确认或加盖公章。最后报价是供应商响应文件的有效组成部分。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比较与评价。由磋商小组采用综合评分法对提交最后报价的供应商的响应文件和最后报价进行综合评分，具体要求详见评审办法。</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推荐成交候选供应商。磋商小组应当根据综合评分情况，按照磋商得分由高到低顺序推荐3名以上成交候选供应商，符合《政府采购竞争性磋商采购方式管理暂行办法》第二十一条第三款情形的，可以推荐2家以上成交候选供应商。磋商得分相同的，按照最后报价由低到高的顺序推荐。磋商得分且最后报价相同的，按照技术指标优劣顺序推荐。</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10、磋商报告。磋商小组推荐成交候选供应商后，应当向采购人出具磋商报告。成交供应商确定之后，成交结果将在财政部门指定的政府采购信息发布媒体上公告。</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11、评审过程的保密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磋商小组成员和与评审活动有关的工作人员不得泄露有关竞争性磋商响应文件的评审和比较、成交候选人的推荐以及与评审有关的其他情况。</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评审方法和程序</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具体详见第四章评审方法。</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13、成交通知</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13.1、确定成交单位</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13.1.1、采购人根据磋商小组提交的评审报告和采购代理机构的《成交确认函》确定成交单位。</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13.1.2、采购代理机构接到采购人的《定标复函》后，将成交结果在陕西省政府采购网上发布公告。其他供应商若有异议，按《政府采购法》第52条执行。若无异议，采购代理机构向成交单位发出成交通知书。</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13.2、采购代理机构不做未成交原因的解释。</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成交通知书对采购人和成交供应商具有同等法律效力。成交通知书发出之后，采购人改变成交结果，或者成交供应商放弃成交，应当承担相应的法律责任。</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14、成交合同的签订</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人应当自成交通知书发出之日起三十日内，按照竞争性磋商文件和成交供应商竞争性磋商响应文件（包括评审中形成的澄清文件）的约定，与成交供应商签订书面合同，成交单位因自身原因不按规定与采购人签订供货合同，则采购人将废除授标，磋商保证金不予退还。给采购人造成损失的，还应予以赔偿，并依法承担相应法律责任。</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所签订的合同不得对竞争性磋商文件和成交供应商的竞争性磋商响应文件（包括评审中形成的澄清文件）作实质性修改。</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成交供应商自采购合同签订之日起二个工作日内向采购代理机构提供采购合同壹份。</w:t>
      </w:r>
    </w:p>
    <w:p>
      <w:pPr>
        <w:snapToGrid w:val="0"/>
        <w:spacing w:line="400" w:lineRule="exact"/>
        <w:ind w:right="21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六、询问和质疑</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1、供应商认为磋商文件、采购过程、成交结果使自己的权益受到损害的，可以在知道或者应知其权益受到损害之日起7个工作日内，以书面形式向采购人、采购代理机构提出质疑。</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2、供应商必须在法定质疑期内一次性提出针对同一采购程序环节的质疑。</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4、以联合体形式参加政府采购活动的，其质疑应当由组成联合体的所有供应商共同提出。</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有下列情形之一的，属于无效质疑，采购代理机构和采购人不予受理：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质疑供应商不是参与本次政府采购项目的供应商；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质疑供应商与质疑事项不存在利害关系的；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未在法定期限内提出质疑的；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质疑未以书面形式提出，或质疑函主要内容构成不完整的；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应当提交授权书而未提交的；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以非法手段取得证据、材料的；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质疑答复后，同一质疑人就同一事项或同一采购程序环节再次提出质疑的；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6.8</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不符合法律、法规、规章和政府采购监管机构规定的其他条件的。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7、质疑答复</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出现磋商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7.3、供应商对评审过程、中标或者成交结果提出质疑的，采购人、采购代理机构可以组织原评标委员会、竞争性谈判小组、询价小组或者竞争性磋商小组协助答复质疑。</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7.4、质疑人有下列情形之一的，代理机构应驳回质疑：</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7.4.1、质疑缺乏事实和法律依据的；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7.4.2、质疑人捏造事实、提供虚假材料，或在一定期限内多次质疑而无实据的；</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7.4.3、质疑已经处理并答复后，质疑人就同一事项又提起质疑且未提供新的有效证据的；</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7.4.4、其他根据相关法律、法规应当予以驳回的情形。</w:t>
      </w:r>
    </w:p>
    <w:p>
      <w:pPr>
        <w:snapToGrid w:val="0"/>
        <w:spacing w:line="400" w:lineRule="exact"/>
        <w:ind w:right="210" w:rightChars="100"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eastAsia="zh-CN"/>
        </w:rPr>
        <w:t>8、</w:t>
      </w:r>
      <w:r>
        <w:rPr>
          <w:rFonts w:hint="eastAsia" w:asciiTheme="minorEastAsia" w:hAnsiTheme="minorEastAsia" w:eastAsiaTheme="minorEastAsia" w:cstheme="minorEastAsia"/>
          <w:b w:val="0"/>
          <w:bCs w:val="0"/>
          <w:sz w:val="24"/>
        </w:rPr>
        <w:t>关于对参加政府采购活动的中小企业的扶持政策</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本项目采购标的对应的中小企业划分标准所属行业为：</w:t>
      </w:r>
      <w:r>
        <w:rPr>
          <w:rFonts w:hint="eastAsia" w:asciiTheme="minorEastAsia" w:hAnsiTheme="minorEastAsia" w:eastAsiaTheme="minorEastAsia" w:cstheme="minorEastAsia"/>
          <w:b/>
          <w:bCs/>
          <w:sz w:val="24"/>
          <w:lang w:eastAsia="zh-CN"/>
        </w:rPr>
        <w:t>其他未列明行</w:t>
      </w:r>
      <w:r>
        <w:rPr>
          <w:rFonts w:hint="eastAsia" w:asciiTheme="minorEastAsia" w:hAnsiTheme="minorEastAsia" w:eastAsiaTheme="minorEastAsia" w:cstheme="minorEastAsia"/>
          <w:b/>
          <w:bCs/>
          <w:sz w:val="24"/>
        </w:rPr>
        <w:t>业</w:t>
      </w:r>
      <w:r>
        <w:rPr>
          <w:rFonts w:hint="eastAsia" w:asciiTheme="minorEastAsia" w:hAnsiTheme="minorEastAsia" w:eastAsiaTheme="minorEastAsia" w:cstheme="minorEastAsia"/>
          <w:sz w:val="24"/>
        </w:rPr>
        <w:t xml:space="preserve"> 。</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8.1 供应商提供的货物、工程或者服务符合下列情形的，享受相关中小企业扶持政策：</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（1）在货物采购项目中，货物由中小企业制造，即货物由中小企业生产且使用该中小企业商号或者注册商标；</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（2）在工程采购项目中，工程由中小企业承建，即工程施工单位为中小企业；</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（3）在服务采购项目中，服务由中小企业承接，即提供服务的人员为中小企业依照《中华人民共和国劳动合同法》订立劳动合同的从业人员。</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在货物采购项目中，供应商提供的货物既有中小企业制造货物，也有大型企业制造货物的，不享受相关中小企业扶持政策。</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以联合体形式参加政府采购活动，联合体各方均为中小企业的，联合体视同中小企业。其中，联合体各方均为小微企业的，联合体视同小微企业。</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8.2 对符合上述情形的小微企业报价给予 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价格扣除比例或者价格分加分比例对小型企业和微型企业同等对待，不作区分。</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中小企业参加政府采购活动，应当出具《中小企业声明函》，否则不得享受相关中小企业扶持政策。</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中小企业中标（成交）的采购项目。在控制履约风险的前提下合同约定首付款比例一般不低于60%，累计付款次数不超过3次。</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中小企业投标（包括磋商、谈判、询价）保证金（需要交纳保证金时）减半，履约保证金全免。</w:t>
      </w:r>
    </w:p>
    <w:p>
      <w:pPr>
        <w:snapToGrid w:val="0"/>
        <w:spacing w:line="400" w:lineRule="exact"/>
        <w:ind w:right="21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未尽事宜以《政府采购促进中小企业发展管理办法》（财库〔2020〕46号）为准。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、供应商进行虚假和恶意质疑的，代理机构可以提请有关部门将其列入不良记录名单，在一至三年内禁止参加政府采购活动，并将处理决定在相关政府采购媒体上公布。</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、采购人、采购代理机构认为供应商质疑不成立，或者成立但未对中标、成交结果构成影响的，继续开展采购活动；认为供应商质疑成立且影响或者可能影响中标、成交结果的，按照下列情况处理：</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（一）对采购文件提出的质疑，依法通过澄清或者修改可以继续开展采购活动的，澄清或者修改采购文件后继续开展采购活动；否则应当修改采购文件后重新开展采购活动。</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质疑答复导致中标、成交结果改变的，采购人或者采购代理机构应当将有关情况书面报告本级财政部门。</w:t>
      </w:r>
    </w:p>
    <w:p>
      <w:pPr>
        <w:snapToGrid w:val="0"/>
        <w:spacing w:line="400" w:lineRule="exact"/>
        <w:ind w:right="210" w:rightChars="100" w:firstLine="480" w:firstLineChars="200"/>
        <w:rPr>
          <w:rFonts w:asciiTheme="minorEastAsia" w:hAnsiTheme="minorEastAsia" w:eastAsiaTheme="minorEastAsia" w:cstheme="minorEastAsia"/>
          <w:sz w:val="24"/>
        </w:rPr>
      </w:pPr>
      <w:bookmarkStart w:id="27" w:name="_Hlt487972895"/>
      <w:bookmarkEnd w:id="27"/>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、质疑供应商对采购人、采购代理机构的答复不满意，或者采购人、采购代理机构未在规定时间内作出答复的，可以在答复期满后15个工作日内向本办法第六条规定的财政部门提起投诉（投诉书范本见附件2）。</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、关于供应商注册登记提醒</w:t>
      </w:r>
    </w:p>
    <w:p>
      <w:pPr>
        <w:snapToGrid w:val="0"/>
        <w:spacing w:line="400" w:lineRule="exact"/>
        <w:ind w:right="21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、根据陕西省财政厅关于政府采购供应商注册登记有关事项的通知，如所投本项目的供应商未在</w:t>
      </w:r>
      <w:r>
        <w:rPr>
          <w:rFonts w:hint="eastAsia" w:asciiTheme="minorEastAsia" w:hAnsiTheme="minorEastAsia" w:eastAsiaTheme="minorEastAsia" w:cstheme="minorEastAsia"/>
          <w:sz w:val="24"/>
          <w:lang w:eastAsia="zh-CN"/>
        </w:rPr>
        <w:t>陕西省政府采购网</w:t>
      </w:r>
      <w:r>
        <w:rPr>
          <w:rStyle w:val="45"/>
        </w:rPr>
        <w:commentReference w:id="1"/>
      </w:r>
      <w:r>
        <w:rPr>
          <w:rFonts w:hint="eastAsia" w:asciiTheme="minorEastAsia" w:hAnsiTheme="minorEastAsia" w:eastAsiaTheme="minorEastAsia" w:cstheme="minorEastAsia"/>
          <w:sz w:val="24"/>
        </w:rPr>
        <w:t xml:space="preserve">（http://www.ccgp-shaanxi.gov.cn/） 注册登记加入陕西省政府采购供应商库的，应按要求及时办理注册登记，并接受财政部门监督管理，以便项目网上流程的正常进行。 </w:t>
      </w:r>
    </w:p>
    <w:p>
      <w:pPr>
        <w:snapToGrid w:val="0"/>
        <w:spacing w:line="400" w:lineRule="exact"/>
        <w:ind w:right="210" w:rightChars="100" w:firstLine="48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、请各供应商自行在陕西省政府采购网主页面资料下载区下载《陕西省政府采购管理系统供应商用户手册》，并按操作手册流程注册登记</w:t>
      </w:r>
      <w:r>
        <w:rPr>
          <w:rFonts w:hint="eastAsia" w:asciiTheme="minorEastAsia" w:hAnsiTheme="minorEastAsia" w:eastAsiaTheme="minorEastAsia" w:cstheme="minorEastAsia"/>
          <w:sz w:val="28"/>
          <w:szCs w:val="28"/>
        </w:rPr>
        <w:br w:type="page"/>
      </w:r>
    </w:p>
    <w:p>
      <w:pPr>
        <w:pStyle w:val="120"/>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附件1</w:t>
      </w: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质疑函范本</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一、质疑供应商基本信息</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质疑供应商：</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二、质疑项目基本情况</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质疑项目的名称：</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包号：</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采购人名称：</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采购文件获取日期：</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三、质疑事项具体内容</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质疑事项1：</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质疑事项2</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四、与质疑事项相关的质疑请求</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签字(签章)：                   公章：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日期：    </w:t>
      </w: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质疑函制作说明：</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1.供应商提出质疑时，应提交质疑函和必要的证明材料。</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3.质疑供应商若对项目的某一分包进行质疑，质疑函中应列明具体分包号。</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4.质疑函的质疑事项应具体、明确，并有必要的事实依据和法律依据。</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5.质疑函的质疑请求应与质疑事项相关。</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6.质疑供应商为自然人的，质疑函应由本人签字；质疑供应商为法人或者其他组织的，质疑函应由法定代表人、主要负责人，或者其授权代表签字或者盖章，并加盖公章。</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pStyle w:val="3"/>
        <w:spacing w:line="5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第三章 采购内容和要求</w:t>
      </w:r>
    </w:p>
    <w:p>
      <w:pPr>
        <w:numPr>
          <w:ilvl w:val="0"/>
          <w:numId w:val="2"/>
        </w:numPr>
        <w:spacing w:line="360" w:lineRule="auto"/>
        <w:ind w:firstLine="480"/>
        <w:textAlignment w:val="baseline"/>
        <w:rPr>
          <w:rFonts w:ascii="宋体" w:hAnsi="宋体"/>
          <w:sz w:val="24"/>
        </w:rPr>
      </w:pPr>
      <w:r>
        <w:rPr>
          <w:rFonts w:hint="eastAsia" w:ascii="宋体" w:hAnsi="宋体"/>
          <w:sz w:val="24"/>
        </w:rPr>
        <w:t>项目内容</w:t>
      </w:r>
      <w:r>
        <w:rPr>
          <w:rFonts w:hint="eastAsia" w:ascii="宋体" w:hAnsi="宋体"/>
          <w:sz w:val="24"/>
          <w:lang w:eastAsia="zh-CN"/>
        </w:rPr>
        <w:t>：</w:t>
      </w:r>
      <w:r>
        <w:rPr>
          <w:rFonts w:hint="eastAsia" w:ascii="宋体" w:hAnsi="宋体"/>
          <w:sz w:val="24"/>
        </w:rPr>
        <w:t xml:space="preserve">主要工作内容为开展西乡县城市体检评估工作。共涉及生态宜居、健康舒适、安全韧性、交通便捷、风貌特色、整洁有序、多元包容、创新活力等8个方面79项指标内容，对县城建设现状和存在问题进行全面评估，提出开发建设策略，形成体检报告，促进县城高质量发展建设。 </w:t>
      </w:r>
    </w:p>
    <w:p>
      <w:pPr>
        <w:numPr>
          <w:ilvl w:val="0"/>
          <w:numId w:val="2"/>
        </w:numPr>
        <w:spacing w:line="360" w:lineRule="auto"/>
        <w:ind w:firstLine="480"/>
        <w:textAlignment w:val="baseline"/>
        <w:rPr>
          <w:rFonts w:ascii="宋体" w:hAnsi="宋体"/>
          <w:sz w:val="24"/>
        </w:rPr>
      </w:pPr>
      <w:r>
        <w:rPr>
          <w:rFonts w:hint="eastAsia" w:ascii="宋体" w:hAnsi="宋体"/>
          <w:sz w:val="24"/>
        </w:rPr>
        <w:t>服务期限：90日历天。</w:t>
      </w:r>
    </w:p>
    <w:p>
      <w:pPr>
        <w:numPr>
          <w:ilvl w:val="0"/>
          <w:numId w:val="2"/>
        </w:numPr>
        <w:spacing w:line="360" w:lineRule="auto"/>
        <w:ind w:firstLine="480"/>
        <w:textAlignment w:val="baseline"/>
        <w:rPr>
          <w:rFonts w:ascii="宋体" w:hAnsi="宋体"/>
          <w:sz w:val="24"/>
          <w:lang w:val="zh-CN"/>
        </w:rPr>
      </w:pPr>
      <w:r>
        <w:rPr>
          <w:rFonts w:hint="eastAsia" w:ascii="宋体" w:hAnsi="宋体"/>
          <w:sz w:val="24"/>
        </w:rPr>
        <w:t>质量要求：</w:t>
      </w:r>
      <w:r>
        <w:rPr>
          <w:rFonts w:hint="eastAsia" w:ascii="宋体" w:hAnsi="宋体"/>
          <w:sz w:val="24"/>
          <w:lang w:val="zh-CN"/>
        </w:rPr>
        <w:t>符合国家及相关部门规定的验收合格标准。</w:t>
      </w:r>
    </w:p>
    <w:p>
      <w:pPr>
        <w:pStyle w:val="102"/>
        <w:numPr>
          <w:ilvl w:val="0"/>
          <w:numId w:val="2"/>
        </w:numPr>
        <w:spacing w:line="360" w:lineRule="auto"/>
        <w:ind w:firstLineChars="0"/>
        <w:textAlignment w:val="baseline"/>
        <w:rPr>
          <w:rFonts w:ascii="宋体" w:hAnsi="宋体"/>
          <w:color w:val="000000"/>
          <w:sz w:val="24"/>
        </w:rPr>
      </w:pPr>
      <w:r>
        <w:rPr>
          <w:rFonts w:hint="eastAsia" w:ascii="宋体" w:hAnsi="宋体"/>
          <w:color w:val="000000"/>
          <w:sz w:val="24"/>
        </w:rPr>
        <w:t>采购要求：</w:t>
      </w:r>
    </w:p>
    <w:p>
      <w:pPr>
        <w:spacing w:line="360" w:lineRule="auto"/>
        <w:ind w:firstLine="480" w:firstLineChars="200"/>
        <w:rPr>
          <w:rFonts w:ascii="宋体" w:hAnsi="宋体" w:cs="宋体"/>
          <w:color w:val="000000"/>
          <w:sz w:val="24"/>
          <w:szCs w:val="22"/>
        </w:rPr>
      </w:pPr>
      <w:r>
        <w:rPr>
          <w:rFonts w:ascii="宋体" w:hAnsi="宋体" w:cs="宋体"/>
          <w:color w:val="000000"/>
          <w:sz w:val="24"/>
          <w:szCs w:val="22"/>
        </w:rPr>
        <w:t>1</w:t>
      </w:r>
      <w:r>
        <w:rPr>
          <w:rFonts w:hint="eastAsia" w:ascii="宋体" w:hAnsi="宋体" w:cs="宋体"/>
          <w:color w:val="000000"/>
          <w:sz w:val="24"/>
          <w:szCs w:val="22"/>
        </w:rPr>
        <w:t>、编制背景</w:t>
      </w:r>
    </w:p>
    <w:p>
      <w:pPr>
        <w:spacing w:line="360" w:lineRule="auto"/>
        <w:ind w:firstLine="480" w:firstLineChars="200"/>
        <w:rPr>
          <w:rFonts w:ascii="宋体" w:hAnsi="宋体" w:cs="宋体"/>
          <w:color w:val="000000"/>
          <w:sz w:val="24"/>
          <w:highlight w:val="lightGray"/>
        </w:rPr>
      </w:pPr>
      <w:r>
        <w:rPr>
          <w:rFonts w:hint="eastAsia" w:ascii="宋体" w:hAnsi="宋体" w:cs="宋体"/>
          <w:color w:val="000000"/>
          <w:sz w:val="24"/>
          <w:szCs w:val="22"/>
        </w:rPr>
        <w:t>为深入贯彻中央城市工作会议精神，落实《中共中央国务院关于推动高质量发展的意见》《中共中央办公厅</w:t>
      </w:r>
      <w:r>
        <w:rPr>
          <w:rFonts w:ascii="宋体" w:hAnsi="宋体" w:cs="宋体"/>
          <w:color w:val="000000"/>
          <w:sz w:val="24"/>
          <w:szCs w:val="22"/>
        </w:rPr>
        <w:t>国务院办公厅关于推动城乡建设绿色发展的意见》要求，</w:t>
      </w:r>
      <w:r>
        <w:rPr>
          <w:rFonts w:hint="eastAsia" w:ascii="宋体" w:hAnsi="宋体" w:cs="宋体"/>
          <w:color w:val="000000"/>
          <w:sz w:val="24"/>
          <w:szCs w:val="22"/>
        </w:rPr>
        <w:t>按照《住房和城乡建设部关于开展</w:t>
      </w:r>
      <w:r>
        <w:rPr>
          <w:rFonts w:ascii="宋体" w:hAnsi="宋体" w:cs="宋体"/>
          <w:color w:val="000000"/>
          <w:sz w:val="24"/>
          <w:szCs w:val="22"/>
        </w:rPr>
        <w:t>2021年城市体检工作的通知》（建科函〔2021〕44号</w:t>
      </w:r>
      <w:r>
        <w:rPr>
          <w:rFonts w:hint="eastAsia" w:ascii="宋体" w:hAnsi="宋体" w:cs="宋体"/>
          <w:color w:val="000000"/>
          <w:sz w:val="24"/>
          <w:szCs w:val="22"/>
        </w:rPr>
        <w:t>）、《陕西省住房和城乡建设厅关于印发〈陕西省</w:t>
      </w:r>
      <w:r>
        <w:rPr>
          <w:rFonts w:ascii="宋体" w:hAnsi="宋体" w:cs="宋体"/>
          <w:color w:val="000000"/>
          <w:sz w:val="24"/>
          <w:szCs w:val="22"/>
        </w:rPr>
        <w:t>2021年城市体检工作实施方案〉的通知》（陕建函〔2021〕290号）</w:t>
      </w:r>
      <w:r>
        <w:rPr>
          <w:rFonts w:hint="eastAsia" w:ascii="宋体" w:hAnsi="宋体" w:cs="宋体"/>
          <w:color w:val="000000"/>
          <w:sz w:val="24"/>
          <w:szCs w:val="22"/>
        </w:rPr>
        <w:t>的规定，结合西乡县建设理念，计划开展西乡县城市体检工作，精准查找城市建设和发展中的短板与不足，提出解决方案和措施，以城市体检统筹城市规划建设管理，推进实施城市更新行动，</w:t>
      </w:r>
      <w:r>
        <w:rPr>
          <w:rFonts w:ascii="宋体" w:hAnsi="宋体" w:cs="宋体"/>
          <w:color w:val="000000"/>
          <w:sz w:val="24"/>
          <w:szCs w:val="22"/>
        </w:rPr>
        <w:t>进一步提升城市人居环境品质，</w:t>
      </w:r>
      <w:r>
        <w:rPr>
          <w:rFonts w:hint="eastAsia" w:ascii="宋体" w:hAnsi="宋体" w:cs="宋体"/>
          <w:color w:val="000000"/>
          <w:sz w:val="24"/>
          <w:szCs w:val="22"/>
        </w:rPr>
        <w:t>全面推动汉中市</w:t>
      </w:r>
      <w:r>
        <w:rPr>
          <w:rFonts w:ascii="宋体" w:hAnsi="宋体" w:cs="宋体"/>
          <w:color w:val="000000"/>
          <w:sz w:val="24"/>
          <w:szCs w:val="22"/>
        </w:rPr>
        <w:t>高质量发展</w:t>
      </w:r>
      <w:r>
        <w:rPr>
          <w:rFonts w:hint="eastAsia" w:ascii="宋体" w:hAnsi="宋体" w:cs="宋体"/>
          <w:color w:val="000000"/>
          <w:sz w:val="24"/>
          <w:szCs w:val="22"/>
        </w:rPr>
        <w:t>。</w:t>
      </w:r>
    </w:p>
    <w:p>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2、工作范围</w:t>
      </w:r>
    </w:p>
    <w:p>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本次体检范围为西乡县中心城区建成区</w:t>
      </w:r>
      <w:r>
        <w:rPr>
          <w:rFonts w:ascii="宋体" w:hAnsi="宋体" w:cs="宋体"/>
          <w:color w:val="000000"/>
          <w:sz w:val="24"/>
          <w:szCs w:val="22"/>
        </w:rPr>
        <w:t>。</w:t>
      </w:r>
    </w:p>
    <w:p>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3、主要内容</w:t>
      </w:r>
    </w:p>
    <w:p>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本次城市体检研究工作以目标导向、问题导向、治理导向为原则，围绕创造优良城市人居环境和促进城市高质量发展，识别查找城市人居环境明显短板和居民关注的突出问题，将城市体检工作同城市治理的公共政策紧密结合，重视城市体检成果在城市治理工作的应用，是推动建设没有“城市病”的城市，促进人居环境高质量发展的抓手。编制工作强调科学性和实施性，编制内容主要包含有以下三方面：</w:t>
      </w:r>
    </w:p>
    <w:p>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1）</w:t>
      </w:r>
      <w:r>
        <w:rPr>
          <w:rFonts w:hint="eastAsia" w:ascii="宋体" w:hAnsi="宋体" w:cs="宋体"/>
          <w:color w:val="000000"/>
          <w:sz w:val="24"/>
          <w:szCs w:val="22"/>
        </w:rPr>
        <w:t>以中省政策文件要求的城市体检指标为基础，充分考虑西乡县城市自身发展特征和发展目标，针对性设置特色体检指标，建立西乡县城市体检指标体系，并合理设定指标评价标准。</w:t>
      </w:r>
    </w:p>
    <w:p>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2）完成指标数据的采集、计算和校核等工作，</w:t>
      </w:r>
      <w:r>
        <w:rPr>
          <w:rFonts w:hint="eastAsia" w:ascii="宋体" w:hAnsi="宋体" w:cs="宋体"/>
          <w:color w:val="000000"/>
          <w:sz w:val="24"/>
          <w:szCs w:val="22"/>
        </w:rPr>
        <w:t>围绕生态宜居、健康舒适、安全韧性、交通便捷、风貌特色、整洁有序、多元包容、创新活力等</w:t>
      </w:r>
      <w:r>
        <w:rPr>
          <w:rFonts w:ascii="宋体" w:hAnsi="宋体" w:cs="宋体"/>
          <w:color w:val="000000"/>
          <w:sz w:val="24"/>
          <w:szCs w:val="22"/>
        </w:rPr>
        <w:t>8个一级分类开展分项评估</w:t>
      </w:r>
      <w:r>
        <w:rPr>
          <w:rFonts w:hint="eastAsia" w:ascii="宋体" w:hAnsi="宋体" w:cs="宋体"/>
          <w:color w:val="000000"/>
          <w:sz w:val="24"/>
          <w:szCs w:val="22"/>
        </w:rPr>
        <w:t>。</w:t>
      </w:r>
    </w:p>
    <w:p>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（3）</w:t>
      </w:r>
      <w:r>
        <w:rPr>
          <w:rFonts w:ascii="宋体" w:hAnsi="宋体" w:cs="宋体"/>
          <w:color w:val="000000"/>
          <w:sz w:val="24"/>
          <w:szCs w:val="22"/>
        </w:rPr>
        <w:t>判断城市人居环境的现状总体情况，分析识别发展短板和问题，形成年度城市自体检报告，并对查找的问题提出</w:t>
      </w:r>
      <w:r>
        <w:rPr>
          <w:rFonts w:hint="eastAsia" w:ascii="宋体" w:hAnsi="宋体" w:cs="宋体"/>
          <w:color w:val="000000"/>
          <w:sz w:val="24"/>
          <w:szCs w:val="22"/>
        </w:rPr>
        <w:t>对策和工作建议。</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4、服务要求：</w:t>
      </w:r>
    </w:p>
    <w:p>
      <w:pPr>
        <w:numPr>
          <w:ilvl w:val="0"/>
          <w:numId w:val="0"/>
        </w:numPr>
        <w:spacing w:line="360" w:lineRule="auto"/>
        <w:ind w:firstLine="480" w:firstLineChars="200"/>
        <w:rPr>
          <w:rFonts w:hint="eastAsia" w:ascii="宋体" w:hAnsi="宋体" w:cs="宋体"/>
          <w:color w:val="000000"/>
          <w:sz w:val="24"/>
          <w:szCs w:val="22"/>
        </w:rPr>
      </w:pPr>
      <w:r>
        <w:rPr>
          <w:rFonts w:hint="eastAsia" w:ascii="宋体" w:hAnsi="宋体" w:cs="宋体"/>
          <w:color w:val="000000"/>
          <w:sz w:val="24"/>
          <w:szCs w:val="22"/>
          <w:lang w:val="en-US" w:eastAsia="zh-CN"/>
        </w:rPr>
        <w:t xml:space="preserve">（1）服务商须精心组建项目团队，确定项目负责人，并对项目团队的政治素质和业务素质负责。鼓励组成跨领域、跨学科的项目组团队进行分析计算城市体检指标。 </w:t>
      </w:r>
    </w:p>
    <w:p>
      <w:pPr>
        <w:spacing w:line="360" w:lineRule="auto"/>
        <w:ind w:firstLine="480" w:firstLineChars="200"/>
        <w:rPr>
          <w:rFonts w:hint="eastAsia" w:ascii="宋体" w:hAnsi="宋体" w:cs="宋体"/>
          <w:color w:val="000000"/>
          <w:sz w:val="24"/>
          <w:szCs w:val="22"/>
        </w:rPr>
      </w:pPr>
      <w:r>
        <w:rPr>
          <w:rFonts w:hint="eastAsia" w:ascii="宋体" w:hAnsi="宋体" w:cs="宋体"/>
          <w:color w:val="000000"/>
          <w:sz w:val="24"/>
          <w:szCs w:val="22"/>
          <w:lang w:val="en-US" w:eastAsia="zh-CN"/>
        </w:rPr>
        <w:t xml:space="preserve">（2）项目组成员须有较强的组织和协调能力，具有较高的理论素养和分析解决问题的能力。 </w:t>
      </w:r>
    </w:p>
    <w:p>
      <w:pPr>
        <w:spacing w:line="360" w:lineRule="auto"/>
        <w:ind w:firstLine="480" w:firstLineChars="200"/>
        <w:rPr>
          <w:rFonts w:hint="eastAsia" w:ascii="宋体" w:hAnsi="宋体" w:cs="宋体"/>
          <w:color w:val="000000"/>
          <w:sz w:val="24"/>
          <w:szCs w:val="22"/>
        </w:rPr>
      </w:pPr>
      <w:r>
        <w:rPr>
          <w:rFonts w:hint="eastAsia" w:ascii="宋体" w:hAnsi="宋体" w:cs="宋体"/>
          <w:color w:val="000000"/>
          <w:sz w:val="24"/>
          <w:szCs w:val="22"/>
          <w:lang w:val="en-US" w:eastAsia="zh-CN"/>
        </w:rPr>
        <w:t xml:space="preserve">（3）项目负责人必须是该项目实施全过程的真正组织者和指导者，并担负城市体检全过程的统筹指导工作。 </w:t>
      </w:r>
    </w:p>
    <w:p>
      <w:pPr>
        <w:spacing w:line="360" w:lineRule="auto"/>
        <w:ind w:firstLine="480" w:firstLineChars="200"/>
        <w:rPr>
          <w:rFonts w:hint="eastAsia" w:ascii="宋体" w:hAnsi="宋体" w:cs="宋体"/>
          <w:color w:val="000000"/>
          <w:sz w:val="24"/>
          <w:szCs w:val="22"/>
        </w:rPr>
      </w:pPr>
      <w:r>
        <w:rPr>
          <w:rFonts w:hint="eastAsia" w:ascii="宋体" w:hAnsi="宋体" w:cs="宋体"/>
          <w:color w:val="000000"/>
          <w:sz w:val="24"/>
          <w:szCs w:val="22"/>
          <w:lang w:val="en-US" w:eastAsia="zh-CN"/>
        </w:rPr>
        <w:t xml:space="preserve">（4）项目团队成员应当熟悉城市体检工作或具有一定的城市体检工作相关经验，并有一定研究基础与研究能力，能够理论与实际相结合。 </w:t>
      </w:r>
    </w:p>
    <w:p>
      <w:pPr>
        <w:spacing w:line="360" w:lineRule="auto"/>
        <w:ind w:firstLine="480" w:firstLineChars="200"/>
        <w:rPr>
          <w:rFonts w:hint="eastAsia" w:ascii="宋体" w:hAnsi="宋体" w:cs="宋体"/>
          <w:color w:val="000000"/>
          <w:sz w:val="24"/>
          <w:szCs w:val="22"/>
        </w:rPr>
      </w:pPr>
      <w:r>
        <w:rPr>
          <w:rFonts w:hint="eastAsia" w:ascii="宋体" w:hAnsi="宋体" w:cs="宋体"/>
          <w:color w:val="000000"/>
          <w:sz w:val="24"/>
          <w:szCs w:val="22"/>
          <w:lang w:val="en-US" w:eastAsia="zh-CN"/>
        </w:rPr>
        <w:t xml:space="preserve">（5）项目团队成员及其主要成员履约过程中不得随意更换，确需调整时，须书面提请采购人同意。 </w:t>
      </w:r>
    </w:p>
    <w:p>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lang w:val="en-US" w:eastAsia="zh-CN"/>
        </w:rPr>
        <w:t>5</w:t>
      </w:r>
      <w:r>
        <w:rPr>
          <w:rFonts w:hint="eastAsia" w:ascii="宋体" w:hAnsi="宋体" w:cs="宋体"/>
          <w:color w:val="000000"/>
          <w:sz w:val="24"/>
          <w:szCs w:val="22"/>
        </w:rPr>
        <w:t>、成果要求</w:t>
      </w:r>
    </w:p>
    <w:p>
      <w:pPr>
        <w:numPr>
          <w:ilvl w:val="0"/>
          <w:numId w:val="0"/>
        </w:num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（1）交付成果 </w:t>
      </w:r>
    </w:p>
    <w:p>
      <w:pPr>
        <w:numPr>
          <w:ilvl w:val="0"/>
          <w:numId w:val="0"/>
        </w:num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成果质量符合住房和城乡建设部建筑节能与科技司印发的《城市体检评估技术指南》的相关要求，能够准确、完整地阐述城市体检内容，包括体检报告及附件等纸质成果以及成果电子文件。报告主要包括总体结论，规划实施成效、存在问题及原因分析，对策建议等，应简明扼要，重点突出；附件应包括体检评估指标表、重点任务完成清单、规划实施分析图、数据库建设情况说明等。并通过采购人组织的专家论证或评估会。 </w:t>
      </w:r>
    </w:p>
    <w:p>
      <w:pPr>
        <w:numPr>
          <w:ilvl w:val="0"/>
          <w:numId w:val="0"/>
        </w:num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（2）成果形式和数量 </w:t>
      </w:r>
    </w:p>
    <w:p>
      <w:pPr>
        <w:numPr>
          <w:ilvl w:val="0"/>
          <w:numId w:val="0"/>
        </w:num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纸质成果要求：采用 A4 幅面装订，双面印刷，一式 8份。电子成果要求：以 U 盘形式提供 2 份成果。电子成果与上述纸质成果相对应，文本文件采用 word 或 pdf 格式。</w:t>
      </w:r>
    </w:p>
    <w:p>
      <w:pPr>
        <w:rPr>
          <w:rFonts w:asciiTheme="minorEastAsia" w:hAnsiTheme="minorEastAsia" w:eastAsiaTheme="minorEastAsia" w:cstheme="minorEastAsia"/>
          <w:sz w:val="32"/>
          <w:szCs w:val="32"/>
        </w:rPr>
      </w:pPr>
    </w:p>
    <w:p>
      <w:pPr>
        <w:pStyle w:val="3"/>
        <w:spacing w:before="0" w:after="0" w:line="400" w:lineRule="exact"/>
        <w:jc w:val="center"/>
        <w:rPr>
          <w:rFonts w:asciiTheme="minorEastAsia" w:hAnsiTheme="minorEastAsia" w:eastAsiaTheme="minorEastAsia" w:cstheme="minorEastAsia"/>
          <w:sz w:val="32"/>
          <w:szCs w:val="32"/>
        </w:rPr>
      </w:pPr>
    </w:p>
    <w:p/>
    <w:p>
      <w:pPr>
        <w:pStyle w:val="3"/>
        <w:spacing w:before="0" w:after="0" w:line="400" w:lineRule="exact"/>
        <w:jc w:val="cente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12"/>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3"/>
        <w:spacing w:before="0" w:after="0" w:line="4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第四章 评审办法</w:t>
      </w:r>
    </w:p>
    <w:p>
      <w:pPr>
        <w:spacing w:before="120" w:beforeLines="50" w:after="120" w:after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一、评审方法</w:t>
      </w:r>
    </w:p>
    <w:p>
      <w:pPr>
        <w:pStyle w:val="32"/>
        <w:shd w:val="clear" w:color="auto" w:fill="FFFFFF"/>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按照《中华人民共和国政府采购法》及实施条例和关于印发《政府采购竞争性磋商采购方式管理暂行办法》的通知（财库【2014】214号）及其补充通知（财库【2015】124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before="120" w:beforeLines="50" w:after="120" w:after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二、评审程序：</w:t>
      </w:r>
    </w:p>
    <w:p>
      <w:pPr>
        <w:pStyle w:val="32"/>
        <w:shd w:val="clear" w:color="auto" w:fill="FFFFFF"/>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1、磋商响应文件得初审</w:t>
      </w:r>
    </w:p>
    <w:p>
      <w:pPr>
        <w:pStyle w:val="32"/>
        <w:shd w:val="clear" w:color="auto" w:fill="FFFFFF"/>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初审分为资格性审查和符合性审查。</w:t>
      </w:r>
    </w:p>
    <w:p>
      <w:pPr>
        <w:pStyle w:val="32"/>
        <w:shd w:val="clear" w:color="auto" w:fill="FFFFFF"/>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资格性审查。依据法律法规和磋商文件的规定，</w:t>
      </w:r>
      <w:r>
        <w:rPr>
          <w:rFonts w:hint="eastAsia" w:asciiTheme="minorEastAsia" w:hAnsiTheme="minorEastAsia" w:eastAsiaTheme="minorEastAsia" w:cstheme="minorEastAsia"/>
          <w:lang w:eastAsia="zh-CN"/>
        </w:rPr>
        <w:t>由采购人</w:t>
      </w:r>
      <w:r>
        <w:rPr>
          <w:rFonts w:hint="eastAsia" w:asciiTheme="minorEastAsia" w:hAnsiTheme="minorEastAsia" w:eastAsiaTheme="minorEastAsia" w:cstheme="minorEastAsia"/>
        </w:rPr>
        <w:t>对供应商提交的资格证明文件进行审查，以确定供应商是否具备磋商资格。有一项不符合评审标准的，将被视为未实质性响应磋商文件，其磋商响应文件将按无效文件处理。不得进入下一流程评审；资格审查合格的供应商进入下一流程评审。</w:t>
      </w:r>
    </w:p>
    <w:p>
      <w:pPr>
        <w:pStyle w:val="22"/>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资格审查内容：</w:t>
      </w:r>
    </w:p>
    <w:tbl>
      <w:tblPr>
        <w:tblStyle w:val="35"/>
        <w:tblpPr w:leftFromText="180" w:rightFromText="180" w:vertAnchor="text" w:horzAnchor="page" w:tblpX="1757" w:tblpY="202"/>
        <w:tblOverlap w:val="never"/>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8143"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143" w:type="dxa"/>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color w:val="333333"/>
                <w:szCs w:val="21"/>
                <w:shd w:val="clear" w:color="auto" w:fill="FFFFFF"/>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143" w:type="dxa"/>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Theme="minorEastAsia" w:hAnsiTheme="minorEastAsia" w:eastAsiaTheme="minorEastAsia" w:cstheme="minorEastAsia"/>
                <w:color w:val="333333"/>
                <w:kern w:val="2"/>
                <w:sz w:val="21"/>
                <w:szCs w:val="21"/>
                <w:shd w:val="clear" w:color="auto" w:fill="FFFFFF"/>
                <w:lang w:val="en-US" w:eastAsia="zh-CN" w:bidi="ar-SA"/>
              </w:rPr>
            </w:pPr>
            <w:r>
              <w:rPr>
                <w:rFonts w:hint="eastAsia" w:asciiTheme="minorEastAsia" w:hAnsiTheme="minorEastAsia" w:eastAsiaTheme="minorEastAsia" w:cstheme="minorEastAsia"/>
                <w:color w:val="333333"/>
                <w:kern w:val="2"/>
                <w:sz w:val="21"/>
                <w:szCs w:val="21"/>
                <w:shd w:val="clear" w:color="auto" w:fill="FFFFFF"/>
                <w:lang w:val="en-US" w:eastAsia="zh-CN" w:bidi="ar-SA"/>
              </w:rPr>
              <w:t>财务状况报告：财务状况良好，提供2019-2021年度任意一年的财务审计报告（公司成立不足一年的需提供银行出具的资信证明原件及基本账号开户许可证或开户银行出具的基本存款账户信息表）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143" w:type="dxa"/>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Theme="minorEastAsia" w:hAnsiTheme="minorEastAsia" w:eastAsiaTheme="minorEastAsia" w:cstheme="minorEastAsia"/>
                <w:color w:val="333333"/>
                <w:kern w:val="2"/>
                <w:sz w:val="21"/>
                <w:szCs w:val="21"/>
                <w:shd w:val="clear" w:color="auto" w:fill="FFFFFF"/>
                <w:lang w:val="en-US" w:eastAsia="zh-CN" w:bidi="ar-SA"/>
              </w:rPr>
            </w:pPr>
            <w:r>
              <w:rPr>
                <w:rFonts w:hint="eastAsia" w:asciiTheme="minorEastAsia" w:hAnsiTheme="minorEastAsia" w:eastAsiaTheme="minorEastAsia" w:cstheme="minorEastAsia"/>
                <w:color w:val="333333"/>
                <w:kern w:val="2"/>
                <w:sz w:val="21"/>
                <w:szCs w:val="21"/>
                <w:shd w:val="clear" w:color="auto" w:fill="FFFFFF"/>
                <w:lang w:val="en-US" w:eastAsia="zh-CN" w:bidi="ar-SA"/>
              </w:rPr>
              <w:t>税收缴纳证明：具有依法缴纳税收的良好记录（提供磋商截止前六个月内任意一个月的缴纳证明）；依法免税的应提供相关文件证明；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143" w:type="dxa"/>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Theme="minorEastAsia" w:hAnsiTheme="minorEastAsia" w:eastAsiaTheme="minorEastAsia" w:cstheme="minorEastAsia"/>
                <w:color w:val="333333"/>
                <w:kern w:val="2"/>
                <w:sz w:val="21"/>
                <w:szCs w:val="21"/>
                <w:shd w:val="clear" w:color="auto" w:fill="FFFFFF"/>
                <w:lang w:val="en-US" w:eastAsia="zh-CN" w:bidi="ar-SA"/>
              </w:rPr>
            </w:pPr>
            <w:r>
              <w:rPr>
                <w:rFonts w:hint="eastAsia" w:asciiTheme="minorEastAsia" w:hAnsiTheme="minorEastAsia" w:eastAsiaTheme="minorEastAsia" w:cstheme="minorEastAsia"/>
                <w:color w:val="333333"/>
                <w:kern w:val="2"/>
                <w:sz w:val="21"/>
                <w:szCs w:val="21"/>
                <w:shd w:val="clear" w:color="auto" w:fill="FFFFFF"/>
                <w:lang w:val="en-US" w:eastAsia="zh-CN" w:bidi="ar-SA"/>
              </w:rPr>
              <w:t>提供磋商截止前六个月内任意一个月的社保缴费凭据或社保机构开具的社会保险参保缴费情况证明；（依法不需要缴纳社会保障资金的响应人应提供相关证明）；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8143" w:type="dxa"/>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333333"/>
                <w:kern w:val="2"/>
                <w:sz w:val="21"/>
                <w:szCs w:val="21"/>
                <w:shd w:val="clear" w:color="auto" w:fill="FFFFFF"/>
                <w:lang w:val="en-US" w:eastAsia="zh-CN" w:bidi="ar-SA"/>
              </w:rPr>
            </w:pPr>
            <w:r>
              <w:rPr>
                <w:rFonts w:hint="eastAsia" w:asciiTheme="minorEastAsia" w:hAnsiTheme="minorEastAsia" w:eastAsiaTheme="minorEastAsia" w:cstheme="minorEastAsia"/>
                <w:color w:val="333333"/>
                <w:kern w:val="2"/>
                <w:sz w:val="21"/>
                <w:szCs w:val="21"/>
                <w:shd w:val="clear" w:color="auto" w:fill="FFFFFF"/>
                <w:lang w:val="en-US" w:eastAsia="zh-CN" w:bidi="ar-SA"/>
              </w:rPr>
              <w:t>供应商须具有行业主管部门颁发的城乡规划乙级（含乙级）以上资质；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8143" w:type="dxa"/>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333333"/>
                <w:kern w:val="2"/>
                <w:sz w:val="21"/>
                <w:szCs w:val="21"/>
                <w:shd w:val="clear" w:color="auto" w:fill="FFFFFF"/>
                <w:lang w:val="en-US" w:eastAsia="zh-CN" w:bidi="ar-SA"/>
              </w:rPr>
            </w:pPr>
            <w:r>
              <w:rPr>
                <w:rFonts w:hint="eastAsia" w:asciiTheme="minorEastAsia" w:hAnsiTheme="minorEastAsia" w:eastAsiaTheme="minorEastAsia" w:cstheme="minorEastAsia"/>
                <w:color w:val="333333"/>
                <w:kern w:val="2"/>
                <w:sz w:val="21"/>
                <w:szCs w:val="21"/>
                <w:shd w:val="clear" w:color="auto" w:fill="FFFFFF"/>
                <w:lang w:val="en-US" w:eastAsia="zh-CN" w:bidi="ar-SA"/>
              </w:rPr>
              <w:t>拟派往本项目负责人具备注册城乡规划师资格证书并具备相关专业工程师（含）以上专业技术职称（提供本单位为其缴纳近3个月的养老保险）；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w:t>
            </w:r>
          </w:p>
        </w:tc>
        <w:tc>
          <w:tcPr>
            <w:tcW w:w="8143" w:type="dxa"/>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Theme="minorEastAsia" w:hAnsiTheme="minorEastAsia" w:eastAsiaTheme="minorEastAsia" w:cstheme="minorEastAsia"/>
                <w:color w:val="333333"/>
                <w:kern w:val="2"/>
                <w:sz w:val="21"/>
                <w:szCs w:val="21"/>
                <w:shd w:val="clear" w:color="auto" w:fill="FFFFFF"/>
                <w:lang w:val="en-US" w:eastAsia="zh-CN" w:bidi="ar-SA"/>
              </w:rPr>
            </w:pPr>
            <w:r>
              <w:rPr>
                <w:rFonts w:hint="eastAsia" w:asciiTheme="minorEastAsia" w:hAnsiTheme="minorEastAsia" w:eastAsiaTheme="minorEastAsia" w:cstheme="minorEastAsia"/>
                <w:color w:val="333333"/>
                <w:kern w:val="2"/>
                <w:sz w:val="21"/>
                <w:szCs w:val="21"/>
                <w:shd w:val="clear" w:color="auto" w:fill="FFFFFF"/>
                <w:lang w:val="en-US" w:eastAsia="zh-CN" w:bidi="ar-SA"/>
              </w:rPr>
              <w:t>书面声明：参加本次政府采购活动前三年内在经营活动中没有重大违法记录的声明函原件；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w:t>
            </w:r>
          </w:p>
        </w:tc>
        <w:tc>
          <w:tcPr>
            <w:tcW w:w="8143" w:type="dxa"/>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Theme="minorEastAsia" w:hAnsiTheme="minorEastAsia" w:eastAsiaTheme="minorEastAsia" w:cstheme="minorEastAsia"/>
                <w:color w:val="333333"/>
                <w:kern w:val="2"/>
                <w:sz w:val="21"/>
                <w:szCs w:val="21"/>
                <w:shd w:val="clear" w:color="auto" w:fill="FFFFFF"/>
                <w:lang w:val="en-US" w:eastAsia="zh-CN" w:bidi="ar-SA"/>
              </w:rPr>
            </w:pPr>
            <w:r>
              <w:rPr>
                <w:rFonts w:hint="eastAsia" w:asciiTheme="minorEastAsia" w:hAnsiTheme="minorEastAsia" w:eastAsiaTheme="minorEastAsia" w:cstheme="minorEastAsia"/>
                <w:color w:val="333333"/>
                <w:kern w:val="2"/>
                <w:sz w:val="21"/>
                <w:szCs w:val="21"/>
                <w:shd w:val="clear" w:color="auto" w:fill="FFFFFF"/>
                <w:lang w:val="en-US" w:eastAsia="zh-CN" w:bidi="ar-SA"/>
              </w:rPr>
              <w:t>本项目不接受联合体投标，单位负责人为同一人或者存在直接控股、管理关系的不同供应商，不得同时参加本项目投标活动，提供《供应商企业关系关联承诺书原件》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w:t>
            </w:r>
          </w:p>
        </w:tc>
        <w:tc>
          <w:tcPr>
            <w:tcW w:w="8143" w:type="dxa"/>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Theme="minorEastAsia" w:hAnsiTheme="minorEastAsia" w:eastAsiaTheme="minorEastAsia" w:cstheme="minorEastAsia"/>
                <w:color w:val="333333"/>
                <w:kern w:val="2"/>
                <w:sz w:val="21"/>
                <w:szCs w:val="21"/>
                <w:shd w:val="clear" w:color="auto" w:fill="FFFFFF"/>
                <w:lang w:val="en-US" w:eastAsia="zh-CN" w:bidi="ar-SA"/>
              </w:rPr>
            </w:pPr>
            <w:r>
              <w:rPr>
                <w:rFonts w:hint="eastAsia" w:asciiTheme="minorEastAsia" w:hAnsiTheme="minorEastAsia" w:eastAsiaTheme="minorEastAsia" w:cstheme="minorEastAsia"/>
                <w:color w:val="333333"/>
                <w:kern w:val="2"/>
                <w:sz w:val="21"/>
                <w:szCs w:val="21"/>
                <w:shd w:val="clear" w:color="auto" w:fill="FFFFFF"/>
                <w:lang w:val="en-US" w:eastAsia="zh-CN" w:bidi="ar-SA"/>
              </w:rPr>
              <w:t>响应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w:t>
            </w:r>
          </w:p>
        </w:tc>
        <w:tc>
          <w:tcPr>
            <w:tcW w:w="8143" w:type="dxa"/>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Theme="minorEastAsia" w:hAnsiTheme="minorEastAsia" w:eastAsiaTheme="minorEastAsia" w:cstheme="minorEastAsia"/>
                <w:color w:val="333333"/>
                <w:kern w:val="2"/>
                <w:sz w:val="21"/>
                <w:szCs w:val="21"/>
                <w:shd w:val="clear" w:color="auto" w:fill="FFFFFF"/>
                <w:lang w:val="en-US" w:eastAsia="zh-CN" w:bidi="ar-SA"/>
              </w:rPr>
            </w:pPr>
            <w:r>
              <w:rPr>
                <w:rFonts w:hint="eastAsia" w:asciiTheme="minorEastAsia" w:hAnsiTheme="minorEastAsia" w:eastAsiaTheme="minorEastAsia" w:cstheme="minorEastAsia"/>
                <w:color w:val="333333"/>
                <w:kern w:val="2"/>
                <w:sz w:val="21"/>
                <w:szCs w:val="21"/>
                <w:shd w:val="clear" w:color="auto" w:fill="FFFFFF"/>
                <w:lang w:val="en-US" w:eastAsia="zh-CN" w:bidi="ar-SA"/>
              </w:rPr>
              <w:t>本项目专门面向中小企业招标，非中小企业单位（监狱企业、残疾人福利单位除外）不得参与投标，需提供《中小企业声明函原件》；</w:t>
            </w:r>
          </w:p>
        </w:tc>
      </w:tr>
    </w:tbl>
    <w:p>
      <w:pPr>
        <w:pStyle w:val="22"/>
        <w:rPr>
          <w:rFonts w:asciiTheme="minorEastAsia" w:hAnsiTheme="minorEastAsia" w:eastAsiaTheme="minorEastAsia" w:cstheme="minorEastAsia"/>
        </w:rPr>
      </w:pPr>
    </w:p>
    <w:p>
      <w:pPr>
        <w:pStyle w:val="32"/>
        <w:shd w:val="clear" w:color="auto" w:fill="FFFFFF"/>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符合性审查。依据磋商文件的规定，从响应文件的完整性、有效性和对磋商文件的响应程度等进行审查，以确定是否对磋商文件的实质性要求作出响应。</w:t>
      </w:r>
    </w:p>
    <w:p>
      <w:pPr>
        <w:pStyle w:val="32"/>
        <w:shd w:val="clear" w:color="auto" w:fill="FFFFFF"/>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按照以下内容对竞争性磋商响应文件初审，一项不合格其磋商即为无效响应，不得进入下一流程评审。</w:t>
      </w:r>
    </w:p>
    <w:p>
      <w:pPr>
        <w:pStyle w:val="22"/>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符合性审查内容和标准：</w:t>
      </w:r>
    </w:p>
    <w:p>
      <w:pPr>
        <w:pStyle w:val="22"/>
        <w:rPr>
          <w:rFonts w:asciiTheme="minorEastAsia" w:hAnsiTheme="minorEastAsia" w:eastAsiaTheme="minorEastAsia" w:cstheme="minorEastAsia"/>
          <w:kern w:val="0"/>
          <w:sz w:val="24"/>
          <w:szCs w:val="20"/>
        </w:rPr>
      </w:pPr>
    </w:p>
    <w:tbl>
      <w:tblPr>
        <w:tblStyle w:val="35"/>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529"/>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2" w:type="dxa"/>
            <w:gridSpan w:val="2"/>
            <w:tcBorders>
              <w:bottom w:val="single" w:color="auto" w:sz="4" w:space="0"/>
            </w:tcBorders>
            <w:vAlign w:val="center"/>
          </w:tcPr>
          <w:p>
            <w:pPr>
              <w:tabs>
                <w:tab w:val="left" w:pos="0"/>
              </w:tabs>
              <w:adjustRightInd w:val="0"/>
              <w:snapToGrid w:val="0"/>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评审因素</w:t>
            </w:r>
          </w:p>
        </w:tc>
        <w:tc>
          <w:tcPr>
            <w:tcW w:w="4891" w:type="dxa"/>
            <w:vAlign w:val="center"/>
          </w:tcPr>
          <w:p>
            <w:pPr>
              <w:tabs>
                <w:tab w:val="left" w:pos="0"/>
              </w:tabs>
              <w:adjustRightInd w:val="0"/>
              <w:snapToGrid w:val="0"/>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tcBorders>
              <w:top w:val="single" w:color="auto" w:sz="4" w:space="0"/>
              <w:left w:val="single" w:color="auto" w:sz="4" w:space="0"/>
            </w:tcBorders>
            <w:vAlign w:val="center"/>
          </w:tcPr>
          <w:p>
            <w:pPr>
              <w:tabs>
                <w:tab w:val="left" w:pos="0"/>
              </w:tabs>
              <w:adjustRightInd w:val="0"/>
              <w:snapToGrid w:val="0"/>
              <w:spacing w:line="276" w:lineRule="auto"/>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符合性评审</w:t>
            </w:r>
          </w:p>
        </w:tc>
        <w:tc>
          <w:tcPr>
            <w:tcW w:w="3529" w:type="dxa"/>
            <w:tcBorders>
              <w:top w:val="single" w:color="auto" w:sz="4" w:space="0"/>
              <w:righ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（1）磋商响应文件的签署盖章</w:t>
            </w:r>
          </w:p>
        </w:tc>
        <w:tc>
          <w:tcPr>
            <w:tcW w:w="4891" w:type="dxa"/>
            <w:tcBorders>
              <w:left w:val="single" w:color="auto" w:sz="4" w:space="0"/>
            </w:tcBorders>
            <w:vAlign w:val="center"/>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磋商响应文件上法定代表人或其授权代表人的签字齐全并加盖公章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righ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（2）磋商响应文件格式</w:t>
            </w:r>
          </w:p>
        </w:tc>
        <w:tc>
          <w:tcPr>
            <w:tcW w:w="4891" w:type="dxa"/>
            <w:tcBorders>
              <w:lef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应符合“磋商响应文件格式”要求，可以扩充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bottom w:val="single" w:color="auto" w:sz="4" w:space="0"/>
              <w:righ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（3）磋商响应文件递交</w:t>
            </w:r>
          </w:p>
        </w:tc>
        <w:tc>
          <w:tcPr>
            <w:tcW w:w="4891" w:type="dxa"/>
            <w:tcBorders>
              <w:lef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top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（4）报价唯一</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（5）第一次磋商报价</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第一次磋商报价不超过采购预算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vAlign w:val="center"/>
          </w:tcPr>
          <w:p>
            <w:pPr>
              <w:tabs>
                <w:tab w:val="left" w:pos="0"/>
              </w:tabs>
              <w:adjustRightInd w:val="0"/>
              <w:snapToGrid w:val="0"/>
              <w:spacing w:line="276" w:lineRule="auto"/>
              <w:jc w:val="center"/>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（6）磋商响应文件密封和标记</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（7）磋商响应文件份数</w:t>
            </w:r>
          </w:p>
        </w:tc>
        <w:tc>
          <w:tcPr>
            <w:tcW w:w="4891" w:type="dxa"/>
            <w:vAlign w:val="center"/>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应符合“供应商须知前列表”规定的正本、副本、电子文件数量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（8）磋商响应文件内容</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磋商响应文件内容齐全、无遗漏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vAlign w:val="center"/>
          </w:tcPr>
          <w:p>
            <w:pPr>
              <w:tabs>
                <w:tab w:val="left" w:pos="0"/>
              </w:tabs>
              <w:adjustRightInd w:val="0"/>
              <w:snapToGrid w:val="0"/>
              <w:spacing w:line="276" w:lineRule="auto"/>
              <w:jc w:val="center"/>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（9）服务要求</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（10）服务期</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（11）磋商有效期</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（12）其他响应</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不能有任何采购人不能接受的附加条件</w:t>
            </w:r>
          </w:p>
        </w:tc>
      </w:tr>
    </w:tbl>
    <w:p>
      <w:pPr>
        <w:pStyle w:val="22"/>
        <w:rPr>
          <w:rFonts w:asciiTheme="minorEastAsia" w:hAnsiTheme="minorEastAsia" w:eastAsiaTheme="minorEastAsia" w:cstheme="minorEastAsia"/>
          <w:kern w:val="0"/>
          <w:sz w:val="24"/>
          <w:szCs w:val="20"/>
        </w:rPr>
      </w:pP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3、磋商响应文件的澄清和错误修正</w:t>
      </w:r>
    </w:p>
    <w:p>
      <w:pPr>
        <w:spacing w:before="12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评审期间，磋商委员会有权以书面方式要求供应商对其磋商响应文件中含义不明确、对同类问题表述不一致或者有明显文字和计算错误的内容作必要的澄清。供应商澄清应在磋商小组规定的时间内以书面方式进行，并不得超出磋商响应文件范围或者改变磋商响应文件的实质性内容。</w:t>
      </w:r>
    </w:p>
    <w:p>
      <w:pPr>
        <w:spacing w:before="12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3.2澄清文件将作为磋商响应文件内容的一部分。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3.3计算错误的修正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3.3.1磋商响应文件报价出现前后不一致的，除磋商文件另有规定外，按照下列规定修正：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（2）磋商响应文件的大写金额和小写金额不一致的，以大写金额为准。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按上述修正的顺序和方法调整的报价应对供应商具有约束力。如果供应商不接受修正后的价格，其响应文件将按无效响应处理。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单价金额小数点或者百分比有明显错位的，以开标一览表的总价为准，并修改单价；</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总价金额与按单价汇总金额不一致的，以单价金额计算结果为准。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3.3.2评标委员会将按3.3.1条款的修正办法要求供应商对其磋商响应文件中报价的计算错误进行修正。同时出现3.3.1条款两种以上不一致的，按照前款规定的顺序修正。修正后的报价经供应商确认后产生约束力，供应商不确认的，其投标无效。</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4、第二轮报价</w:t>
      </w:r>
    </w:p>
    <w:p>
      <w:pPr>
        <w:tabs>
          <w:tab w:val="left" w:pos="720"/>
        </w:tabs>
        <w:spacing w:before="12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磋商小组依据本项目竞争性磋商文件和各供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商的磋商响应文件，分别一对一单独与各供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商进行磋商后，供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对需进一步说明和承诺的事项用中文描述澄清，并要求供应商在规定的时间内提交最后报价（第二轮报价），最后报价为最终报价。供应商的投标报价明显低于其他供应商的投标报价时，有可能影响产品质量或者不能诚信履约的，评标委员会可质询该供应商，经质询后不能在规定时间内说明理由、或虽说明理由但不能被评标委员三分之二以上成员共同认可的，按无效标处理。</w:t>
      </w:r>
    </w:p>
    <w:p>
      <w:pPr>
        <w:tabs>
          <w:tab w:val="left" w:pos="720"/>
        </w:tabs>
        <w:spacing w:before="120" w:line="360" w:lineRule="auto"/>
        <w:ind w:firstLine="48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磋商步骤为：第一次报价---分别磋商---最终报价---评审推荐成交人。</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5、综合评审</w:t>
      </w:r>
    </w:p>
    <w:p>
      <w:pPr>
        <w:tabs>
          <w:tab w:val="left" w:pos="720"/>
        </w:tabs>
        <w:spacing w:before="12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经初审合格的所有供应商，由磋商小组各成员依据磋商响应文件和最终报价，按照《磋商评审细则》规定的内容独立进行综合评价、比较打分，然后汇总每个供应商的得分，从高到低依次排序，推荐成交候选人。得分相同的，按投标报价由低到高顺序排列。得分且投标报价相同的并列。投标文件满足磋商文件全部实质性要求，且按照评审因素的量化指标评审得分最高的供应商为排名第一的中标候选人。</w:t>
      </w:r>
    </w:p>
    <w:p>
      <w:pPr>
        <w:tabs>
          <w:tab w:val="left" w:pos="720"/>
        </w:tabs>
        <w:spacing w:before="12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的确定：采购人应当确定排名第一的中标候选人为中标人。排名第一的中标候选人放弃中标、因不可抗力不能履行合同、不按照磋商文件要求提交履约保证金，或者被查实存在影响中标结果的违法行为等情形，不符合中标条件的，采购人可以按照评标委员会提出的中标候选人名单排序依次确定其他中标候选人为中标人，也可以重新招标。</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6、评审过程及保密原则</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6.1磋商响应文件递交后，直到授予成交供应商合同止，凡与本次采购有关人员对属于审查、澄清、评价和比较报价的有关资料以及授标意向等，均不得向供应商或其他无关的人员透露。</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6.2在磋商评审期间，供应商试图影响采购单位和磋商小组的任何活动，将导致其报价被拒绝，并承担相应的法律责任。</w:t>
      </w:r>
    </w:p>
    <w:p>
      <w:pPr>
        <w:tabs>
          <w:tab w:val="left" w:pos="720"/>
        </w:tabs>
        <w:spacing w:before="120"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eastAsia="zh-CN"/>
        </w:rPr>
        <w:t>本项目对中小企业</w:t>
      </w:r>
      <w:r>
        <w:rPr>
          <w:rFonts w:hint="eastAsia" w:asciiTheme="minorEastAsia" w:hAnsiTheme="minorEastAsia" w:eastAsiaTheme="minorEastAsia" w:cstheme="minorEastAsia"/>
          <w:sz w:val="24"/>
          <w:lang w:val="en-US" w:eastAsia="zh-CN"/>
        </w:rPr>
        <w:t>的要求</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w:t>
      </w:r>
      <w:r>
        <w:rPr>
          <w:rFonts w:hint="eastAsia" w:asciiTheme="minorEastAsia" w:hAnsiTheme="minorEastAsia" w:eastAsiaTheme="minorEastAsia" w:cstheme="minorEastAsia"/>
          <w:sz w:val="24"/>
          <w:lang w:eastAsia="zh-CN"/>
        </w:rPr>
        <w:t>本项目专门面向中小企业</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7.2</w:t>
      </w:r>
      <w:r>
        <w:rPr>
          <w:rFonts w:hint="eastAsia" w:asciiTheme="minorEastAsia" w:hAnsiTheme="minorEastAsia" w:eastAsiaTheme="minorEastAsia" w:cstheme="minorEastAsia"/>
          <w:sz w:val="24"/>
          <w:lang w:val="en-US" w:eastAsia="zh-CN"/>
        </w:rPr>
        <w:t>本项目</w:t>
      </w:r>
      <w:r>
        <w:rPr>
          <w:rFonts w:hint="eastAsia" w:asciiTheme="minorEastAsia" w:hAnsiTheme="minorEastAsia" w:eastAsiaTheme="minorEastAsia" w:cstheme="minorEastAsia"/>
          <w:sz w:val="24"/>
          <w:lang w:val="en-US" w:eastAsia="zh-CN"/>
        </w:rPr>
        <w:t>所要求</w:t>
      </w:r>
      <w:r>
        <w:rPr>
          <w:rFonts w:hint="eastAsia" w:asciiTheme="minorEastAsia" w:hAnsiTheme="minorEastAsia" w:eastAsiaTheme="minorEastAsia" w:cstheme="minorEastAsia"/>
          <w:sz w:val="24"/>
          <w:lang w:val="en-US" w:eastAsia="zh-CN"/>
        </w:rPr>
        <w:t>中小企业，是指在中华人民共和国境内依法设立，依据国务院批准的中小企业划分标准确定的 中型企业、小型企业和微型企业，但与大企业的负责人为同 一人，或者与大企业存在直接控股、管理关系的除外。 符合中小企业划分标准的个体工商户，在政府采购活动 中视同中小企业。</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7.3</w:t>
      </w:r>
      <w:r>
        <w:rPr>
          <w:rFonts w:hint="eastAsia" w:asciiTheme="minorEastAsia" w:hAnsiTheme="minorEastAsia" w:eastAsiaTheme="minorEastAsia" w:cstheme="minorEastAsia"/>
          <w:sz w:val="24"/>
          <w:lang w:val="en-US" w:eastAsia="zh-CN"/>
        </w:rPr>
        <w:t>本</w:t>
      </w:r>
      <w:r>
        <w:rPr>
          <w:rFonts w:hint="eastAsia" w:asciiTheme="minorEastAsia" w:hAnsiTheme="minorEastAsia" w:eastAsiaTheme="minorEastAsia" w:cstheme="minorEastAsia"/>
          <w:sz w:val="24"/>
          <w:lang w:val="en-US" w:eastAsia="zh-CN"/>
        </w:rPr>
        <w:t>采购标的对应的中小企业划分标准所属行业为餐饮业</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7.4</w:t>
      </w:r>
      <w:r>
        <w:rPr>
          <w:rFonts w:hint="eastAsia" w:asciiTheme="minorEastAsia" w:hAnsiTheme="minorEastAsia" w:eastAsiaTheme="minorEastAsia" w:cstheme="minorEastAsia"/>
          <w:sz w:val="24"/>
        </w:rPr>
        <w:t>在政府采购活动中，残疾人福利性单位视同小型、微型企业，残疾人福利性单位属于小型、微型企业的，不重复享受政策</w:t>
      </w:r>
      <w:r>
        <w:rPr>
          <w:rFonts w:hint="eastAsia" w:asciiTheme="minorEastAsia" w:hAnsiTheme="minorEastAsia" w:eastAsiaTheme="minorEastAsia" w:cstheme="minorEastAsia"/>
          <w:sz w:val="24"/>
          <w:lang w:eastAsia="zh-CN"/>
        </w:rPr>
        <w:t>。</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8、无效的投标文件</w:t>
      </w:r>
    </w:p>
    <w:p>
      <w:pPr>
        <w:spacing w:line="360" w:lineRule="auto"/>
        <w:ind w:firstLine="482" w:firstLineChars="200"/>
        <w:rPr>
          <w:rFonts w:asciiTheme="minorEastAsia" w:hAnsiTheme="minorEastAsia" w:eastAsiaTheme="minorEastAsia" w:cstheme="minorEastAsia"/>
          <w:b/>
          <w:sz w:val="24"/>
          <w:u w:val="double"/>
        </w:rPr>
      </w:pPr>
      <w:r>
        <w:rPr>
          <w:rFonts w:hint="eastAsia" w:asciiTheme="minorEastAsia" w:hAnsiTheme="minorEastAsia" w:eastAsiaTheme="minorEastAsia" w:cstheme="minorEastAsia"/>
          <w:b/>
          <w:sz w:val="24"/>
          <w:u w:val="double"/>
        </w:rPr>
        <w:t>8.1、有下列情形之一的，视为供应商串通投标，其投标无效：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1）不同供应商的投标文件由同一单位或者个人编制；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2）不同供应商委托同一单位或者个人办理投标事宜；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3）不同供应商的投标文件载明的项目管理成员或者联系人员为同一人；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4）不同供应商的投标文件异常一致或者投标报价呈规律性差异；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5）不同供应商的投标文件相互混装；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6）不同供应商的投标保证金从同一单位或者个人的账户转出。</w:t>
      </w:r>
    </w:p>
    <w:p>
      <w:pPr>
        <w:spacing w:line="360" w:lineRule="auto"/>
        <w:ind w:firstLine="482" w:firstLineChars="200"/>
        <w:rPr>
          <w:rFonts w:asciiTheme="minorEastAsia" w:hAnsiTheme="minorEastAsia" w:eastAsiaTheme="minorEastAsia" w:cstheme="minorEastAsia"/>
          <w:b/>
          <w:sz w:val="24"/>
          <w:u w:val="double"/>
        </w:rPr>
      </w:pPr>
      <w:r>
        <w:rPr>
          <w:rFonts w:hint="eastAsia" w:asciiTheme="minorEastAsia" w:hAnsiTheme="minorEastAsia" w:eastAsiaTheme="minorEastAsia" w:cstheme="minorEastAsia"/>
          <w:b/>
          <w:sz w:val="24"/>
          <w:u w:val="double"/>
        </w:rPr>
        <w:t>8.2、供应商存在下列情况之一的，投标无效（包含但不限于以下各条）：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1）没有按照磋商文件要求提供</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文件或提供的</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文件有重大缺项（缺页、缺项、前后混装、未按要求装订、关键内容字迹模糊、无法辨认等）；</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文件未按磋商文件要求签署、盖章的；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3）供应商未提交有效的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保证金或金额不足的、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保证金形式不符合磋商文件要求的；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4）不具备磋商文件中规定的资格要求的；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5）报价超过磋商文件中规定的预算金额或者最高限价的；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文件中（磋商文件要求必须加盖供应商公章，法定代表人或授权人签字或盖章）无供应商公章、无法定代表人或授权人签字（或盖章）或签章人无法定代表人有效委托书的、授权委托书填写不完整或有涂改的；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文件无法区分正、副本的；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8）无投标有效期或有效期达不到磋商文件要求的；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9）供应商在同一份</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文件中，对同一招标产品报有两个或多个报价（未指定以哪个报价为准的）的；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文件含有采购人不能接受的附加条件的；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11）法律、法规和磋商文件规定的其他无效情形；</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9、评标结果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结果汇总完成后，除下列情形外，任何人不得修改评标结果：（一）分值汇总计算错误的；（二）分项评分超出评分标准范围的；（三）评标委员会成员对客观评审因素评分不一致的；（四）经评标委员会认定评分畸高、畸低的。</w:t>
      </w:r>
    </w:p>
    <w:p>
      <w:pPr>
        <w:numPr>
          <w:ilvl w:val="0"/>
          <w:numId w:val="3"/>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磋商标准详见附表《磋商评审细则》</w:t>
      </w:r>
    </w:p>
    <w:p>
      <w:pPr>
        <w:pStyle w:val="2"/>
        <w:snapToGrid w:val="0"/>
        <w:spacing w:before="0" w:after="0" w:line="24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 xml:space="preserve"> </w:t>
      </w:r>
    </w:p>
    <w:p>
      <w:pPr>
        <w:pStyle w:val="2"/>
        <w:snapToGrid w:val="0"/>
        <w:spacing w:before="0" w:after="0" w:line="24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 xml:space="preserve">                      磋商评审细则</w:t>
      </w:r>
    </w:p>
    <w:tbl>
      <w:tblPr>
        <w:tblStyle w:val="36"/>
        <w:tblpPr w:leftFromText="180" w:rightFromText="180" w:vertAnchor="text" w:horzAnchor="page" w:tblpX="1260" w:tblpY="649"/>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20"/>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05" w:type="dxa"/>
            <w:vAlign w:val="center"/>
          </w:tcPr>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评审</w:t>
            </w:r>
          </w:p>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内容</w:t>
            </w:r>
          </w:p>
        </w:tc>
        <w:tc>
          <w:tcPr>
            <w:tcW w:w="1020" w:type="dxa"/>
            <w:vAlign w:val="center"/>
          </w:tcPr>
          <w:p>
            <w:pPr>
              <w:spacing w:line="36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分数</w:t>
            </w:r>
          </w:p>
        </w:tc>
        <w:tc>
          <w:tcPr>
            <w:tcW w:w="7752" w:type="dxa"/>
            <w:vAlign w:val="center"/>
          </w:tcPr>
          <w:p>
            <w:pPr>
              <w:spacing w:line="36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评审原则与标准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pacing w:line="36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报价</w:t>
            </w:r>
          </w:p>
        </w:tc>
        <w:tc>
          <w:tcPr>
            <w:tcW w:w="1020" w:type="dxa"/>
            <w:vAlign w:val="center"/>
          </w:tcPr>
          <w:p>
            <w:pPr>
              <w:spacing w:line="36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10分</w:t>
            </w:r>
          </w:p>
        </w:tc>
        <w:tc>
          <w:tcPr>
            <w:tcW w:w="7752" w:type="dxa"/>
            <w:vAlign w:val="center"/>
          </w:tcPr>
          <w:p>
            <w:pPr>
              <w:spacing w:line="36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价格分采用低价优先法计算，即满足磋商文件要求且</w:t>
            </w:r>
            <w:r>
              <w:rPr>
                <w:rFonts w:hint="eastAsia" w:asciiTheme="majorEastAsia" w:hAnsiTheme="majorEastAsia" w:eastAsiaTheme="majorEastAsia" w:cstheme="majorEastAsia"/>
                <w:color w:val="000000" w:themeColor="text1"/>
                <w:kern w:val="0"/>
                <w:sz w:val="21"/>
                <w:szCs w:val="21"/>
                <w:lang w:eastAsia="zh-CN"/>
                <w14:textFill>
                  <w14:solidFill>
                    <w14:schemeClr w14:val="tx1"/>
                  </w14:solidFill>
                </w14:textFill>
              </w:rPr>
              <w:t>最后</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报价最低的供应商价格为磋商基准价，其价格分为满分。其他供应商的价格分统一按下列公式计算：</w:t>
            </w:r>
          </w:p>
          <w:p>
            <w:pPr>
              <w:spacing w:line="360" w:lineRule="auto"/>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磋商报价得分=（磋商基准价/磋商报价）×价格权值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805" w:type="dxa"/>
            <w:vMerge w:val="restart"/>
            <w:vAlign w:val="center"/>
          </w:tcPr>
          <w:p>
            <w:pPr>
              <w:spacing w:line="360" w:lineRule="auto"/>
              <w:jc w:val="cente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技术方案</w:t>
            </w:r>
          </w:p>
        </w:tc>
        <w:tc>
          <w:tcPr>
            <w:tcW w:w="1020" w:type="dxa"/>
            <w:vAlign w:val="center"/>
          </w:tcPr>
          <w:p>
            <w:pPr>
              <w:spacing w:line="240" w:lineRule="auto"/>
              <w:jc w:val="cente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项目的理解</w:t>
            </w:r>
          </w:p>
          <w:p>
            <w:pPr>
              <w:spacing w:line="240" w:lineRule="auto"/>
              <w:jc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14</w:t>
            </w:r>
            <w:r>
              <w:rPr>
                <w:rFonts w:hint="eastAsia" w:asciiTheme="majorEastAsia" w:hAnsiTheme="majorEastAsia" w:eastAsiaTheme="majorEastAsia" w:cstheme="majorEastAsia"/>
                <w:color w:val="000000" w:themeColor="text1"/>
                <w:sz w:val="21"/>
                <w:szCs w:val="21"/>
                <w14:textFill>
                  <w14:solidFill>
                    <w14:schemeClr w14:val="tx1"/>
                  </w14:solidFill>
                </w14:textFill>
              </w:rPr>
              <w:t>分</w:t>
            </w:r>
          </w:p>
        </w:tc>
        <w:tc>
          <w:tcPr>
            <w:tcW w:w="7752" w:type="dxa"/>
            <w:vAlign w:val="center"/>
          </w:tcPr>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供应商对本项目的基本情况和背景的理解，对工作方向解读等：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1、对本项目的基本情况和背景非常熟悉和透彻，对工作方向解读科学、合理、准确，得（10.6-14）分 ；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2、对本项目的基本情况和背景理解一般，对工作方向解读科学性、合理性和准确性一般，得（4.6-10.5）分；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3、对项目认识不足，未能理解项目基本情况和背景，对工作方向解读不够科学、不够合理、不够准确，得（1-4.5）分。 </w:t>
            </w:r>
          </w:p>
          <w:p>
            <w:pPr>
              <w:keepNext w:val="0"/>
              <w:keepLines w:val="0"/>
              <w:widowControl/>
              <w:suppressLineNumbers w:val="0"/>
              <w:jc w:val="left"/>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无相关内容的不得分</w:t>
            </w: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05" w:type="dxa"/>
            <w:vMerge w:val="continue"/>
            <w:vAlign w:val="center"/>
          </w:tcPr>
          <w:p>
            <w:pPr>
              <w:spacing w:line="36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指标体系的理解</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14:textFill>
                  <w14:solidFill>
                    <w14:schemeClr w14:val="tx1"/>
                  </w14:solidFill>
                </w14:textFill>
              </w:rPr>
              <w:t>14分</w:t>
            </w:r>
          </w:p>
        </w:tc>
        <w:tc>
          <w:tcPr>
            <w:tcW w:w="7752" w:type="dxa"/>
            <w:vAlign w:val="center"/>
          </w:tcPr>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供应商对城市体检指标体系的理解程度：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1、对城市体检指标体系、单项指标的内涵的认识和理解清晰准确，得（10.6-14）分；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2、对城市体检指标体系、单项指标的内涵的认识和理解较为清晰准确，得（4.6-10.5）分；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3、对城市体检指标体系、单项指标的内涵的认识和理解不够清晰准确，得（1--4.5）分；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无相关内容的不得分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805" w:type="dxa"/>
            <w:vMerge w:val="continue"/>
            <w:vAlign w:val="center"/>
          </w:tcPr>
          <w:p>
            <w:pPr>
              <w:spacing w:line="36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数据获取和分析能力</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14分</w:t>
            </w:r>
          </w:p>
        </w:tc>
        <w:tc>
          <w:tcPr>
            <w:tcW w:w="7752" w:type="dxa"/>
            <w:vAlign w:val="center"/>
          </w:tcPr>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供应商数据获取方法是否可行，是否具备数据处理和分析应用能力：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1、数据获取方法可行，数据处理和分析应用能力强，得（10.6-14）分；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2、数据获取方法基本可行，数据处理和分析应用能力较强，得（4.6-10.5）分；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3、数据获取方法不够可行，数据处理和分析应用能力不 足，得（1--4.5）分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pacing w:line="240" w:lineRule="auto"/>
              <w:jc w:val="cente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实施进度保障</w:t>
            </w:r>
          </w:p>
        </w:tc>
        <w:tc>
          <w:tcPr>
            <w:tcW w:w="1020" w:type="dxa"/>
            <w:vAlign w:val="center"/>
          </w:tcPr>
          <w:p>
            <w:pPr>
              <w:spacing w:line="360" w:lineRule="auto"/>
              <w:jc w:val="cente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8分</w:t>
            </w:r>
          </w:p>
        </w:tc>
        <w:tc>
          <w:tcPr>
            <w:tcW w:w="7752" w:type="dxa"/>
            <w:vAlign w:val="center"/>
          </w:tcPr>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供应商工作进度满足采购人对于项目完成时间的要求，且有详尽可行的保障措施。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1、进度计划科学、合理、切合实际、保障措施可行完善的得（6.1-8）分；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2、进度计划符合实际、措施基本可行的得（3.1-6）分；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3、进度计划不符合实际、措施不可行的得（1-3）分； </w:t>
            </w:r>
          </w:p>
          <w:p>
            <w:pPr>
              <w:keepNext w:val="0"/>
              <w:keepLines w:val="0"/>
              <w:widowControl/>
              <w:suppressLineNumbers w:val="0"/>
              <w:jc w:val="left"/>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无相关内容不得分。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pacing w:line="240" w:lineRule="auto"/>
              <w:jc w:val="cente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质量保障</w:t>
            </w:r>
          </w:p>
        </w:tc>
        <w:tc>
          <w:tcPr>
            <w:tcW w:w="1020" w:type="dxa"/>
            <w:vAlign w:val="center"/>
          </w:tcPr>
          <w:p>
            <w:pPr>
              <w:spacing w:line="360" w:lineRule="auto"/>
              <w:jc w:val="cente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8分</w:t>
            </w:r>
          </w:p>
        </w:tc>
        <w:tc>
          <w:tcPr>
            <w:tcW w:w="7752" w:type="dxa"/>
            <w:vAlign w:val="center"/>
          </w:tcPr>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供应商是否有详尽可行的质量保障措施和内部监督机制。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1、切合实际、措施详尽可行的得（6.1-8）分；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2、符合实际、措施基本可行的得（3.1-6）分；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3、不符合实际、措施不可行的得（1-3）分； </w:t>
            </w:r>
          </w:p>
          <w:p>
            <w:pPr>
              <w:keepNext w:val="0"/>
              <w:keepLines w:val="0"/>
              <w:widowControl/>
              <w:suppressLineNumbers w:val="0"/>
              <w:jc w:val="left"/>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无相关内容不得分。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pacing w:line="24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人员配置 </w:t>
            </w: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w:t>
            </w:r>
          </w:p>
        </w:tc>
        <w:tc>
          <w:tcPr>
            <w:tcW w:w="1020" w:type="dxa"/>
            <w:vAlign w:val="center"/>
          </w:tcPr>
          <w:p>
            <w:pPr>
              <w:spacing w:line="36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10分</w:t>
            </w:r>
            <w:r>
              <w:rPr>
                <w:rStyle w:val="45"/>
                <w:rFonts w:hint="eastAsia" w:asciiTheme="majorEastAsia" w:hAnsiTheme="majorEastAsia" w:eastAsiaTheme="majorEastAsia" w:cstheme="majorEastAsia"/>
                <w:color w:val="000000" w:themeColor="text1"/>
                <w:sz w:val="21"/>
                <w:szCs w:val="21"/>
                <w14:textFill>
                  <w14:solidFill>
                    <w14:schemeClr w14:val="tx1"/>
                  </w14:solidFill>
                </w14:textFill>
              </w:rPr>
              <w:commentReference w:id="2"/>
            </w:r>
          </w:p>
        </w:tc>
        <w:tc>
          <w:tcPr>
            <w:tcW w:w="7752" w:type="dxa"/>
            <w:vAlign w:val="center"/>
          </w:tcPr>
          <w:p>
            <w:pPr>
              <w:keepNext w:val="0"/>
              <w:keepLines w:val="0"/>
              <w:widowControl/>
              <w:suppressLineNumbers w:val="0"/>
              <w:jc w:val="left"/>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1、项目负责人具有城乡规划专业正高级（或教授级）技术职称得4分，项目负责人具有城乡规划专业高级技术职称得2分。</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2、项目组其他成员中具有建筑、景观、市政相关专业高级或以上技术职称得2分，每增加一个专业高级或以上技术职称的加2分，最高加6分。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pacing w:line="24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业绩</w:t>
            </w:r>
          </w:p>
        </w:tc>
        <w:tc>
          <w:tcPr>
            <w:tcW w:w="1020" w:type="dxa"/>
            <w:vAlign w:val="center"/>
          </w:tcPr>
          <w:p>
            <w:pPr>
              <w:spacing w:line="36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 w:val="21"/>
                <w:szCs w:val="21"/>
                <w14:textFill>
                  <w14:solidFill>
                    <w14:schemeClr w14:val="tx1"/>
                  </w14:solidFill>
                </w14:textFill>
              </w:rPr>
              <w:t>分</w:t>
            </w:r>
          </w:p>
        </w:tc>
        <w:tc>
          <w:tcPr>
            <w:tcW w:w="7752" w:type="dxa"/>
            <w:vAlign w:val="center"/>
          </w:tcPr>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供应商提供近三年以来类似服务（总体规划类、 详细规划类、专项规划类、体检评估类、数据分析或采集类）等项目业绩，响应文件中附有业绩证明材料，业绩以中标通知书或合同文件为依据，每提供一个计2分，满分10分。 </w:t>
            </w:r>
          </w:p>
          <w:p>
            <w:pPr>
              <w:spacing w:line="360" w:lineRule="auto"/>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注：提供加盖公章的业绩证明材料复印件为评分依据，未提供不得分。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pacing w:line="24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荣誉、奖项</w:t>
            </w:r>
          </w:p>
        </w:tc>
        <w:tc>
          <w:tcPr>
            <w:tcW w:w="1020" w:type="dxa"/>
            <w:vAlign w:val="center"/>
          </w:tcPr>
          <w:p>
            <w:pPr>
              <w:spacing w:line="360"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1"/>
                <w:szCs w:val="21"/>
                <w14:textFill>
                  <w14:solidFill>
                    <w14:schemeClr w14:val="tx1"/>
                  </w14:solidFill>
                </w14:textFill>
              </w:rPr>
              <w:t>分</w:t>
            </w:r>
          </w:p>
        </w:tc>
        <w:tc>
          <w:tcPr>
            <w:tcW w:w="7752" w:type="dxa"/>
            <w:vAlign w:val="center"/>
          </w:tcPr>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供应商提供近三年以来总体规划类、详细规划类、专项规划类、体检评估类、数据分析或采集类等项目获得市级及以上级别奖项的每个得2分，最多得6分。 </w:t>
            </w:r>
          </w:p>
          <w:p>
            <w:pPr>
              <w:keepNext w:val="0"/>
              <w:keepLines w:val="0"/>
              <w:widowControl/>
              <w:suppressLineNumbers w:val="0"/>
              <w:jc w:val="left"/>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注：提供加盖公章的获奖证书复印件为评分依据，未提供不得分。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keepNext w:val="0"/>
              <w:keepLines w:val="0"/>
              <w:widowControl/>
              <w:suppressLineNumbers w:val="0"/>
              <w:spacing w:line="240" w:lineRule="auto"/>
              <w:jc w:val="left"/>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服务承诺</w:t>
            </w:r>
          </w:p>
        </w:tc>
        <w:tc>
          <w:tcPr>
            <w:tcW w:w="1020" w:type="dxa"/>
            <w:vAlign w:val="center"/>
          </w:tcPr>
          <w:p>
            <w:pPr>
              <w:keepNext w:val="0"/>
              <w:keepLines w:val="0"/>
              <w:widowControl/>
              <w:suppressLineNumbers w:val="0"/>
              <w:jc w:val="cente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6分</w:t>
            </w:r>
          </w:p>
        </w:tc>
        <w:tc>
          <w:tcPr>
            <w:tcW w:w="7752" w:type="dxa"/>
            <w:vAlign w:val="center"/>
          </w:tcPr>
          <w:p>
            <w:pPr>
              <w:keepNext w:val="0"/>
              <w:keepLines w:val="0"/>
              <w:widowControl/>
              <w:suppressLineNumbers w:val="0"/>
              <w:jc w:val="left"/>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根据供应商提供的各项服务承诺，服务内容的详实具体、可操作性综合打分。</w:t>
            </w:r>
          </w:p>
          <w:p>
            <w:pPr>
              <w:keepNext w:val="0"/>
              <w:keepLines w:val="0"/>
              <w:widowControl/>
              <w:suppressLineNumbers w:val="0"/>
              <w:jc w:val="left"/>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1、具备合理的售后服务流程和服务响应机制得4-6分；</w:t>
            </w:r>
          </w:p>
          <w:p>
            <w:pPr>
              <w:keepNext w:val="0"/>
              <w:keepLines w:val="0"/>
              <w:widowControl/>
              <w:suppressLineNumbers w:val="0"/>
              <w:jc w:val="left"/>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2、基本满足售后服务流程和服务响应机制得1-3.9分；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7" w:type="dxa"/>
            <w:gridSpan w:val="3"/>
            <w:vAlign w:val="center"/>
          </w:tcPr>
          <w:p>
            <w:pPr>
              <w:ind w:right="-2"/>
              <w:rPr>
                <w:rFonts w:hint="eastAsia" w:asciiTheme="majorEastAsia" w:hAnsiTheme="majorEastAsia" w:eastAsiaTheme="majorEastAsia" w:cstheme="majorEastAsia"/>
                <w:bCs/>
                <w:color w:val="000000" w:themeColor="text1"/>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14:textFill>
                  <w14:solidFill>
                    <w14:schemeClr w14:val="tx1"/>
                  </w14:solidFill>
                </w14:textFill>
              </w:rPr>
              <w:t>1）各磋商小组成员独立打分。</w:t>
            </w:r>
          </w:p>
          <w:p>
            <w:pPr>
              <w:ind w:right="-2"/>
              <w:rPr>
                <w:rFonts w:hint="eastAsia" w:asciiTheme="majorEastAsia" w:hAnsiTheme="majorEastAsia" w:eastAsiaTheme="majorEastAsia" w:cstheme="majorEastAsia"/>
                <w:bCs/>
                <w:color w:val="000000" w:themeColor="text1"/>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14:textFill>
                  <w14:solidFill>
                    <w14:schemeClr w14:val="tx1"/>
                  </w14:solidFill>
                </w14:textFill>
              </w:rPr>
              <w:t>2）磋商小组成员打分超过得分界限或未按本表规定赋分时，该成员的打分无效，不计入汇总分。</w:t>
            </w:r>
          </w:p>
          <w:p>
            <w:pPr>
              <w:ind w:right="-2"/>
              <w:rPr>
                <w:rFonts w:hint="eastAsia" w:asciiTheme="majorEastAsia" w:hAnsiTheme="majorEastAsia" w:eastAsiaTheme="majorEastAsia" w:cstheme="majorEastAsia"/>
                <w:bCs/>
                <w:color w:val="000000" w:themeColor="text1"/>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14:textFill>
                  <w14:solidFill>
                    <w14:schemeClr w14:val="tx1"/>
                  </w14:solidFill>
                </w14:textFill>
              </w:rPr>
              <w:t>3）若出现综合得分相同的，按二次报价由低到高顺序排列名次；得分且二次报价相同的，按技术响应得分顺序排列名次。</w:t>
            </w:r>
          </w:p>
          <w:p>
            <w:pPr>
              <w:spacing w:line="360" w:lineRule="auto"/>
              <w:jc w:val="left"/>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14:textFill>
                  <w14:solidFill>
                    <w14:schemeClr w14:val="tx1"/>
                  </w14:solidFill>
                </w14:textFill>
              </w:rPr>
              <w:t>4）</w:t>
            </w:r>
            <w:r>
              <w:rPr>
                <w:rFonts w:hint="eastAsia" w:asciiTheme="majorEastAsia" w:hAnsiTheme="majorEastAsia" w:eastAsiaTheme="majorEastAsia" w:cstheme="majorEastAsia"/>
                <w:color w:val="000000" w:themeColor="text1"/>
                <w:sz w:val="21"/>
                <w:szCs w:val="21"/>
                <w14:textFill>
                  <w14:solidFill>
                    <w14:schemeClr w14:val="tx1"/>
                  </w14:solidFill>
                </w14:textFill>
              </w:rPr>
              <w:t>各种计算数字均保留两位小数，第三位“四舍五入”</w:t>
            </w:r>
          </w:p>
        </w:tc>
      </w:tr>
    </w:tbl>
    <w:p>
      <w:pPr>
        <w:jc w:val="center"/>
        <w:rPr>
          <w:rFonts w:hint="eastAsia" w:asciiTheme="minorEastAsia" w:hAnsiTheme="minorEastAsia" w:eastAsiaTheme="minorEastAsia" w:cstheme="minorEastAsia"/>
          <w:b/>
          <w:bCs/>
          <w:sz w:val="36"/>
          <w:szCs w:val="36"/>
        </w:rPr>
      </w:pPr>
      <w:bookmarkStart w:id="28" w:name="_Toc2209"/>
    </w:p>
    <w:p>
      <w:pPr>
        <w:jc w:val="center"/>
        <w:rPr>
          <w:rFonts w:hint="eastAsia" w:asciiTheme="minorEastAsia" w:hAnsiTheme="minorEastAsia" w:eastAsiaTheme="minorEastAsia" w:cstheme="minorEastAsia"/>
          <w:b/>
          <w:bCs/>
          <w:sz w:val="36"/>
          <w:szCs w:val="36"/>
        </w:rPr>
      </w:pPr>
    </w:p>
    <w:p>
      <w:pPr>
        <w:jc w:val="center"/>
        <w:rPr>
          <w:rFonts w:hint="eastAsia" w:asciiTheme="minorEastAsia" w:hAnsiTheme="minorEastAsia" w:eastAsiaTheme="minorEastAsia" w:cstheme="minorEastAsia"/>
          <w:b/>
          <w:bCs/>
          <w:sz w:val="36"/>
          <w:szCs w:val="36"/>
        </w:rPr>
      </w:pPr>
    </w:p>
    <w:p>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36"/>
          <w:szCs w:val="36"/>
        </w:rPr>
        <w:t>第五章  合同条款</w:t>
      </w:r>
      <w:bookmarkEnd w:id="28"/>
    </w:p>
    <w:p>
      <w:pPr>
        <w:ind w:firstLine="723" w:firstLineChars="200"/>
        <w:jc w:val="center"/>
        <w:rPr>
          <w:rFonts w:asciiTheme="minorEastAsia" w:hAnsiTheme="minorEastAsia" w:eastAsiaTheme="minorEastAsia" w:cstheme="minorEastAsia"/>
          <w:b/>
          <w:sz w:val="36"/>
        </w:rPr>
      </w:pPr>
      <w:bookmarkStart w:id="29" w:name="_Toc23598"/>
      <w:bookmarkStart w:id="30" w:name="_Toc16778"/>
      <w:bookmarkStart w:id="31" w:name="_Toc30044"/>
      <w:bookmarkStart w:id="32" w:name="_Toc16627"/>
      <w:bookmarkStart w:id="33" w:name="_Toc24130"/>
    </w:p>
    <w:p>
      <w:pPr>
        <w:ind w:firstLine="723" w:firstLineChars="200"/>
        <w:jc w:val="center"/>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6"/>
        </w:rPr>
        <w:t>（格式）</w:t>
      </w:r>
    </w:p>
    <w:p>
      <w:pPr>
        <w:jc w:val="center"/>
        <w:outlineLvl w:val="0"/>
        <w:rPr>
          <w:rFonts w:asciiTheme="minorEastAsia" w:hAnsiTheme="minorEastAsia" w:eastAsiaTheme="minorEastAsia" w:cstheme="minorEastAsia"/>
          <w:b/>
          <w:sz w:val="24"/>
        </w:rPr>
      </w:pPr>
    </w:p>
    <w:p>
      <w:pPr>
        <w:adjustRightInd w:val="0"/>
        <w:snapToGrid w:val="0"/>
        <w:ind w:firstLine="523" w:firstLineChars="218"/>
        <w:jc w:val="center"/>
        <w:rPr>
          <w:rFonts w:asciiTheme="minorEastAsia" w:hAnsiTheme="minorEastAsia" w:eastAsiaTheme="minorEastAsia" w:cstheme="minorEastAsia"/>
          <w:sz w:val="24"/>
        </w:rPr>
      </w:pPr>
    </w:p>
    <w:p>
      <w:pPr>
        <w:adjustRightInd w:val="0"/>
        <w:snapToGrid w:val="0"/>
        <w:ind w:firstLine="523" w:firstLineChars="218"/>
        <w:jc w:val="center"/>
        <w:rPr>
          <w:rFonts w:asciiTheme="minorEastAsia" w:hAnsiTheme="minorEastAsia" w:eastAsiaTheme="minorEastAsia" w:cstheme="minorEastAsia"/>
          <w:sz w:val="24"/>
        </w:rPr>
      </w:pPr>
    </w:p>
    <w:p>
      <w:pPr>
        <w:adjustRightInd w:val="0"/>
        <w:snapToGrid w:val="0"/>
        <w:ind w:firstLine="523" w:firstLineChars="218"/>
        <w:jc w:val="center"/>
        <w:rPr>
          <w:rFonts w:asciiTheme="minorEastAsia" w:hAnsiTheme="minorEastAsia" w:eastAsiaTheme="minorEastAsia" w:cstheme="minorEastAsia"/>
          <w:sz w:val="24"/>
        </w:rPr>
      </w:pPr>
    </w:p>
    <w:p>
      <w:pPr>
        <w:adjustRightInd w:val="0"/>
        <w:snapToGrid w:val="0"/>
        <w:ind w:firstLine="523" w:firstLineChars="218"/>
        <w:jc w:val="center"/>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sz w:val="28"/>
          <w:szCs w:val="28"/>
          <w:lang w:eastAsia="zh-CN"/>
        </w:rPr>
        <w:t>西乡</w:t>
      </w:r>
      <w:r>
        <w:rPr>
          <w:rFonts w:hint="eastAsia"/>
          <w:sz w:val="28"/>
          <w:szCs w:val="28"/>
          <w:lang w:val="en-US" w:eastAsia="zh-CN"/>
        </w:rPr>
        <w:t>县城市体检工作</w:t>
      </w:r>
    </w:p>
    <w:p>
      <w:pPr>
        <w:spacing w:line="360" w:lineRule="auto"/>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spacing w:line="360" w:lineRule="auto"/>
        <w:ind w:firstLine="1960" w:firstLineChars="7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甲方（采购人）：</w:t>
      </w:r>
    </w:p>
    <w:p>
      <w:pPr>
        <w:spacing w:line="360" w:lineRule="auto"/>
        <w:jc w:val="left"/>
        <w:rPr>
          <w:rFonts w:asciiTheme="minorEastAsia" w:hAnsiTheme="minorEastAsia" w:eastAsiaTheme="minorEastAsia" w:cstheme="minorEastAsia"/>
          <w:sz w:val="28"/>
          <w:szCs w:val="28"/>
        </w:rPr>
      </w:pPr>
    </w:p>
    <w:p>
      <w:pPr>
        <w:spacing w:line="360" w:lineRule="auto"/>
        <w:ind w:firstLine="1960" w:firstLineChars="7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乙方（成交供应商）：</w:t>
      </w:r>
    </w:p>
    <w:p>
      <w:pPr>
        <w:spacing w:line="360" w:lineRule="auto"/>
        <w:jc w:val="left"/>
        <w:rPr>
          <w:rFonts w:asciiTheme="minorEastAsia" w:hAnsiTheme="minorEastAsia" w:eastAsiaTheme="minorEastAsia" w:cstheme="minorEastAsia"/>
          <w:sz w:val="28"/>
          <w:szCs w:val="28"/>
        </w:rPr>
      </w:pPr>
    </w:p>
    <w:p>
      <w:pPr>
        <w:spacing w:line="360" w:lineRule="auto"/>
        <w:ind w:firstLine="1960" w:firstLineChars="7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签订时间：</w:t>
      </w: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委托方（以下简称甲方） ：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受托方（以下简称乙方） ：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项目已完成磋商，</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(以下简称“甲方”）确定</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（以下简称“乙方”）为成交供应商。</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依据</w:t>
      </w:r>
      <w:r>
        <w:rPr>
          <w:rFonts w:hint="eastAsia" w:asciiTheme="minorEastAsia" w:hAnsiTheme="minorEastAsia" w:eastAsiaTheme="minorEastAsia" w:cstheme="minorEastAsia"/>
          <w:sz w:val="24"/>
          <w:lang w:val="en-US" w:eastAsia="zh-CN"/>
        </w:rPr>
        <w:t>据《中华人民共和国民法典》、《中华人民共和国建筑法》、《中 华人民共和国城乡规划法》</w:t>
      </w:r>
      <w:r>
        <w:rPr>
          <w:rFonts w:hint="eastAsia" w:asciiTheme="minorEastAsia" w:hAnsiTheme="minorEastAsia" w:eastAsiaTheme="minorEastAsia" w:cstheme="minorEastAsia"/>
          <w:sz w:val="24"/>
        </w:rPr>
        <w:t>和《中华人民共和国政府采购法》及其他有关法律、法规之规定，在平等、自愿、协商一致的基础上</w:t>
      </w:r>
      <w:r>
        <w:rPr>
          <w:rFonts w:hint="eastAsia" w:asciiTheme="minorEastAsia" w:hAnsiTheme="minorEastAsia" w:eastAsiaTheme="minorEastAsia" w:cstheme="minorEastAsia"/>
          <w:sz w:val="24"/>
          <w:lang w:val="en-US" w:eastAsia="zh-CN"/>
        </w:rPr>
        <w:t>，签订本采购合同，以资共同遵循</w:t>
      </w:r>
      <w:r>
        <w:rPr>
          <w:rFonts w:hint="eastAsia" w:asciiTheme="minorEastAsia" w:hAnsiTheme="minorEastAsia" w:eastAsiaTheme="minorEastAsia" w:cstheme="minorEastAsia"/>
          <w:sz w:val="24"/>
        </w:rPr>
        <w:t>，达成如下合同条款：</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第一条 项目内容及要求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1.1 项目名称：</w:t>
      </w:r>
      <w:r>
        <w:rPr>
          <w:rFonts w:hint="eastAsia" w:ascii="宋体" w:hAnsi="宋体" w:eastAsia="宋体" w:cs="宋体"/>
          <w:i w:val="0"/>
          <w:iCs w:val="0"/>
          <w:caps w:val="0"/>
          <w:color w:val="333333"/>
          <w:spacing w:val="0"/>
          <w:sz w:val="24"/>
          <w:szCs w:val="24"/>
          <w:shd w:val="clear" w:fill="FFFFFF"/>
        </w:rPr>
        <w:t>西乡县城市体检工作</w:t>
      </w:r>
      <w:r>
        <w:rPr>
          <w:rFonts w:hint="eastAsia" w:asciiTheme="minorEastAsia" w:hAnsiTheme="minorEastAsia" w:eastAsiaTheme="minorEastAsia" w:cstheme="minorEastAsia"/>
          <w:sz w:val="24"/>
          <w:lang w:val="en-US" w:eastAsia="zh-CN"/>
        </w:rPr>
        <w:t xml:space="preserve">报告编制项目；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1.2 项目地点：汉中西乡县；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1.3 项目范围：西乡县；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1.4 项目内容：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（一）数据处理、校核、补充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对体检指标项涉及的基础数据进行校验、清洗与处理；按照要求对数据进行筛选、属性规整；整合手机信令、POI 数据、城市社会经济数据、产业发展数据、规划数据 等多源数据；并通过现状调查、实地踏勘、访谈走访等方式校核补充完善指标基础数据。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（二）分析评价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在县域、县辖区建成区各空间维度，从空间性、结构性、时序性等角度分析，细化分析城市发展存在的问题，精准识别城市病；通过指标的互联分析，运用相关技术方法综合评估判定城市现状。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（三）报告初稿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结合空间指标分析，对体检指标项进行全面研究、评价；开展专项评估，根据国家规范标准、规划目标、对标城市、结合西乡县实际发展情况，评估西乡县几方面发展水平。根据体检结果，找出城市发展的弱项短板、城市发展的问题症结，剖析问题成因，形成《西乡县 城市体检报告（初稿）》。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（四）报告修编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结合住建部第三方城市体检结论、满意度调查结果，系统评估城市的实际发展水平，客观分析评价城市存在问题及城市工作亮点，提出相应“城市病”治理的对策建议，修改完善形成《西乡县城市体检报告》。分析产生城市问题的成因，梳理形成整改任务清单及责任清单，为后续工作提供指导和方向。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1.5 项目要求：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一、服务需求 </w:t>
      </w:r>
    </w:p>
    <w:p>
      <w:pPr>
        <w:numPr>
          <w:ilvl w:val="0"/>
          <w:numId w:val="0"/>
        </w:numPr>
        <w:spacing w:line="360" w:lineRule="auto"/>
        <w:ind w:firstLine="480" w:firstLineChars="200"/>
        <w:rPr>
          <w:rFonts w:hint="eastAsia" w:ascii="宋体" w:hAnsi="宋体" w:cs="宋体"/>
          <w:color w:val="000000"/>
          <w:sz w:val="24"/>
          <w:szCs w:val="22"/>
        </w:rPr>
      </w:pPr>
      <w:r>
        <w:rPr>
          <w:rFonts w:hint="eastAsia" w:ascii="宋体" w:hAnsi="宋体" w:cs="宋体"/>
          <w:color w:val="000000"/>
          <w:sz w:val="24"/>
          <w:szCs w:val="22"/>
          <w:lang w:val="en-US" w:eastAsia="zh-CN"/>
        </w:rPr>
        <w:t xml:space="preserve">（1）服务商须精心组建项目团队，确定项目负责人，并对项目团队的政治素质和业务素质负责。鼓励组成跨领域、跨学科的项目组团队进行分析计算城市体检指标。 </w:t>
      </w:r>
    </w:p>
    <w:p>
      <w:pPr>
        <w:spacing w:line="360" w:lineRule="auto"/>
        <w:ind w:firstLine="480" w:firstLineChars="200"/>
        <w:rPr>
          <w:rFonts w:hint="eastAsia" w:ascii="宋体" w:hAnsi="宋体" w:cs="宋体"/>
          <w:color w:val="000000"/>
          <w:sz w:val="24"/>
          <w:szCs w:val="22"/>
        </w:rPr>
      </w:pPr>
      <w:r>
        <w:rPr>
          <w:rFonts w:hint="eastAsia" w:ascii="宋体" w:hAnsi="宋体" w:cs="宋体"/>
          <w:color w:val="000000"/>
          <w:sz w:val="24"/>
          <w:szCs w:val="22"/>
          <w:lang w:val="en-US" w:eastAsia="zh-CN"/>
        </w:rPr>
        <w:t xml:space="preserve">（2）项目组成员须有较强的组织和协调能力，具有较高的理论素养和分析解决问题的能力。 </w:t>
      </w:r>
    </w:p>
    <w:p>
      <w:pPr>
        <w:spacing w:line="360" w:lineRule="auto"/>
        <w:ind w:firstLine="480" w:firstLineChars="200"/>
        <w:rPr>
          <w:rFonts w:hint="eastAsia" w:ascii="宋体" w:hAnsi="宋体" w:cs="宋体"/>
          <w:color w:val="000000"/>
          <w:sz w:val="24"/>
          <w:szCs w:val="22"/>
        </w:rPr>
      </w:pPr>
      <w:r>
        <w:rPr>
          <w:rFonts w:hint="eastAsia" w:ascii="宋体" w:hAnsi="宋体" w:cs="宋体"/>
          <w:color w:val="000000"/>
          <w:sz w:val="24"/>
          <w:szCs w:val="22"/>
          <w:lang w:val="en-US" w:eastAsia="zh-CN"/>
        </w:rPr>
        <w:t xml:space="preserve">（3）项目负责人必须是该项目实施全过程的真正组织者和指导者，并担负城市体检全过程的统筹指导工作。 </w:t>
      </w:r>
    </w:p>
    <w:p>
      <w:pPr>
        <w:spacing w:line="360" w:lineRule="auto"/>
        <w:ind w:firstLine="480" w:firstLineChars="200"/>
        <w:rPr>
          <w:rFonts w:hint="eastAsia" w:ascii="宋体" w:hAnsi="宋体" w:cs="宋体"/>
          <w:color w:val="000000"/>
          <w:sz w:val="24"/>
          <w:szCs w:val="22"/>
        </w:rPr>
      </w:pPr>
      <w:r>
        <w:rPr>
          <w:rFonts w:hint="eastAsia" w:ascii="宋体" w:hAnsi="宋体" w:cs="宋体"/>
          <w:color w:val="000000"/>
          <w:sz w:val="24"/>
          <w:szCs w:val="22"/>
          <w:lang w:val="en-US" w:eastAsia="zh-CN"/>
        </w:rPr>
        <w:t xml:space="preserve">（4）项目团队成员应当熟悉城市体检工作或具有一定的城市体检工作相关经验，并有一定研究基础与研究能力，能够理论与实际相结合。 </w:t>
      </w:r>
    </w:p>
    <w:p>
      <w:pPr>
        <w:spacing w:line="360" w:lineRule="auto"/>
        <w:ind w:firstLine="480" w:firstLineChars="200"/>
        <w:rPr>
          <w:rFonts w:hint="eastAsia" w:ascii="宋体" w:hAnsi="宋体" w:cs="宋体"/>
          <w:color w:val="000000"/>
          <w:sz w:val="24"/>
          <w:szCs w:val="22"/>
        </w:rPr>
      </w:pPr>
      <w:r>
        <w:rPr>
          <w:rFonts w:hint="eastAsia" w:ascii="宋体" w:hAnsi="宋体" w:cs="宋体"/>
          <w:color w:val="000000"/>
          <w:sz w:val="24"/>
          <w:szCs w:val="22"/>
          <w:lang w:val="en-US" w:eastAsia="zh-CN"/>
        </w:rPr>
        <w:t xml:space="preserve">（5）项目团队成员及其主要成员履约过程中不得随意更换，确需调整时，须书面提请采购人同意。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二、预期目标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（一）主要成果及提交形式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工作成果：《西乡县城市体检报告》。</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提交形式：纸质版和电子版。 </w:t>
      </w:r>
    </w:p>
    <w:p>
      <w:pPr>
        <w:numPr>
          <w:ilvl w:val="0"/>
          <w:numId w:val="4"/>
        </w:num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项目完成后产生的经济效益、社会效益、生态效益、可持续发展效益</w:t>
      </w:r>
    </w:p>
    <w:p>
      <w:pPr>
        <w:numPr>
          <w:ilvl w:val="0"/>
          <w:numId w:val="0"/>
        </w:num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经济效益：通过城市体检，找出城市发展的弱项、短板，厘清阻碍城市发展的“症 结”所在；优化城市发展目标、补齐城市建设短板，解决“城市病”问题。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社会效益：针对城市体检存在的问题，遵循问题导向、目标导向和结果导向，提出城市建设意见建议、整改措施。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生态效益：通过城市体检，在城市优化布局、完善功能、提升品质、底线管控、提升效能、转变方式等方面有所提升。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可持续发展效益：通过城市体检，找出城市发展的弱项、短板，客观分析问题，提出整改建议和解决方案，助力城市可持续发展。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三、成果提交时间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1、 2023年5月1日前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完成《</w:t>
      </w:r>
      <w:r>
        <w:rPr>
          <w:rFonts w:hint="eastAsia" w:asciiTheme="minorEastAsia" w:hAnsiTheme="minorEastAsia" w:eastAsiaTheme="minorEastAsia" w:cstheme="minorEastAsia"/>
          <w:sz w:val="24"/>
          <w:lang w:val="en-US" w:eastAsia="zh-CN"/>
        </w:rPr>
        <w:t>西乡县城市体检报告</w:t>
      </w:r>
      <w:r>
        <w:rPr>
          <w:rFonts w:hint="eastAsia" w:ascii="宋体" w:hAnsi="宋体" w:cs="宋体"/>
          <w:color w:val="000000"/>
          <w:sz w:val="24"/>
          <w:szCs w:val="22"/>
          <w:lang w:val="en-US" w:eastAsia="zh-CN"/>
        </w:rPr>
        <w:t xml:space="preserve">（初稿）》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2、2023 年5月30日前</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结合住建部第三方城市体检结论、满意度调查结果，完成《</w:t>
      </w:r>
      <w:r>
        <w:rPr>
          <w:rFonts w:hint="eastAsia" w:asciiTheme="minorEastAsia" w:hAnsiTheme="minorEastAsia" w:eastAsiaTheme="minorEastAsia" w:cstheme="minorEastAsia"/>
          <w:sz w:val="24"/>
          <w:lang w:val="en-US" w:eastAsia="zh-CN"/>
        </w:rPr>
        <w:t>西乡县城市体检报告</w:t>
      </w:r>
      <w:r>
        <w:rPr>
          <w:rFonts w:hint="eastAsia" w:ascii="宋体" w:hAnsi="宋体" w:cs="宋体"/>
          <w:color w:val="000000"/>
          <w:sz w:val="24"/>
          <w:szCs w:val="22"/>
          <w:lang w:val="en-US" w:eastAsia="zh-CN"/>
        </w:rPr>
        <w:t xml:space="preserve">》。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项目进度根据实际工作安排进行相应顺延或调整。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3、交付成果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成果质量符合住房和城乡建设部建筑节能与科技司印发的《城市体检评估技术指南》的相关要求，能够准确、完整地阐述城市体检内容，包括体检报告及附件等纸质成果以及成果电子文件。报告主要包括总体结论，规划实施成效、存在问题及原因分析，对策建议等，应简明扼要，重点突出；附件应包括体检评估指标表、重点任务完成清单、规划实施分析图、数据库建设情况说明等。并通过采购人组织的专家论证或评估会。</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4、成果形式和数量 </w:t>
      </w:r>
    </w:p>
    <w:p>
      <w:pPr>
        <w:numPr>
          <w:ilvl w:val="0"/>
          <w:numId w:val="0"/>
        </w:num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纸质成果要求：采用 A4 幅面装订，双面印刷，一式 8份。电子成果要求：以 U 盘形式提供 2 份成果。电子成果与上述纸质成果相对应，文本文件采用 word 或 pdf 格式。</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5、其他成果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基础资料汇编。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第二条 合同费用及付款方式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2.1 经政府采购竞争性磋商后确定该项目费用为人民币￥      万元，大写     人民币 。甲方付款前，乙方须向甲方提供正式等额合法、合规且符合甲方要求的税费发票。乙方不提供或逾期提供的，甲方有权顺延付款且不承担因此导致的逾期付款违约责任。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2.2 合同付款方式分三次付款，合同签订 5 个工作日内支付合同额的 40%，成果通过专家评审会后支付合同额的 30%，成果提交至西乡县城市体检评估领导工作小组后付清剩余尾款。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第三条 甲方的权利与义务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3.1 甲方在合同规定的时间内向乙方提供相关资料及文件，并对资料的完整性、正确性负责。若因甲方单方原因未提供所需要资料或提供资料延时的，所造成的任何后果由甲方承担。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3.2 甲方应为乙方派赴现场处理有关编制成果问题的工作人员提供必要的工作方便条件。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3.3 本次编制成果所有版权均归甲方所有，乙方不得将本次编制成果用于第三方。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3.4 甲方应提前向乙方告知甲方工作安排，乙方应根据甲方工作安排合理安排工作计划。</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第四条 乙方的权利与义务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4.1 乙方应按国家技术规范、标准、规程及甲方提出的要求进行编制，按合同规定的进度要求提交质量合格的编制成果，并对其负责。且乙方需确保其编制成果不侵犯任何第三方的合法权益，如因侵权引起的责任和费用全部由乙方承担。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4.2 乙方在交付编制资料及文件后，应按规定参加有关的审查工作，并根据审查结论及甲方要求负责对不超出原定范围的内容做必要调整补充。审查所产生的费用由乙方负责。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4.3 乙方应保护甲方的知识产权，不得向第三方泄露、转让甲方所提供的任何资料和本次编制成果。乙方违反约定，泄露了与本合同项目有关的任何资料、信息的，乙方应承担相应法律责任，同时甲方有权立即解除本合同，乙方应当按照合同总价款的 10%支付违约金给甲方，因乙方违约给甲方造成损失的，乙方还应当及时、足额的赔偿甲方的损失，包括律师费等全部费用。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第五条 违约责任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5.1 合同生效后，甲方要求终止或解除合同，乙方已开始设计工作的，甲方应根据乙方已进行的实际工作量支付相应费用。无正当理由，乙方要求终止或解除合同，乙方应向甲方支付合同总价 30%的违约金。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5.2 超时付款和进度：甲方应按本合同第 2.2 条规定的金额和时间向乙方支付成果费，每逾期支付一天，按应承担支付该付款的 2‰逾期违约金，且乙方提交成果文件的时间顺延；逾期超过 10 天以上时，乙方有权暂停履行下阶段工作，并书面通知甲方。逾期超过 60 天以上时，乙方有权解除合同，甲方除应按合同约定进行付费外，还需向乙方支付合同总价 10%的违约金。乙方应按照合同 1.5 条规定进度向甲方提交编制成果，并按照甲方合理要求保障编制进度，每逾期一天，乙方应向甲方支付该付款的 1% 逾期违约金，逾期超过 10 天及以上时，甲方有权向乙方提出终止合同，乙方向甲方退换已付款项。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5.3 设计质量：乙方对由于乙方原因导致的成果文件出现遗漏或错误负责修改或补充，直至甲方审核并通过书面确认。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第六条 争议解决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合同及其附件发生的或与本合同及其附件有关的一切争议，双方应在友好协商的基础上予以解决。经友好协商仍不能达成解决措施的，甲乙任何一方有权将争议提交西乡仲裁委员会在西乡进行裁决，若仲裁未解决的，可向项目所在地人民法院起诉。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第七条 其他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 xml:space="preserve">7.1 附属文件：双方认可的来往传真、会议纪要等，均为合同的组成部分，与本合同具有同等效力。本合同未尽事宜，双方可签订补充协议作为附件，补充协议与本合同具有同等效力。 </w:t>
      </w:r>
    </w:p>
    <w:p>
      <w:pPr>
        <w:spacing w:line="360" w:lineRule="auto"/>
        <w:ind w:firstLine="480" w:firstLineChars="200"/>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7.2 本合同自甲乙双方法定代表人或授权代表签字、盖公章后生效。甲乙双方履行完成合同规定的义务，本合同终止。本合同壹式六份，甲乙双方各执三份，每份具有同等法律效力。</w:t>
      </w:r>
    </w:p>
    <w:p>
      <w:pPr>
        <w:spacing w:line="360" w:lineRule="auto"/>
        <w:ind w:firstLine="480" w:firstLineChars="200"/>
        <w:rPr>
          <w:rFonts w:hint="eastAsia" w:ascii="宋体" w:hAnsi="宋体" w:cs="宋体"/>
          <w:color w:val="000000"/>
          <w:sz w:val="24"/>
          <w:szCs w:val="22"/>
          <w:lang w:val="en-US" w:eastAsia="zh-CN"/>
        </w:rPr>
      </w:pPr>
    </w:p>
    <w:p>
      <w:pPr>
        <w:spacing w:line="360" w:lineRule="auto"/>
        <w:ind w:firstLine="480" w:firstLineChars="200"/>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采购人（公章）：                   成交供应商（公章）：</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                         法定代表人</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或其被授权人：                     或其被授权人：</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                             地址：</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邮编：                             邮编：</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                             电话：</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传真：                             传真：</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签约时间：  年    月   日          签约时间：  年    月   日  </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pStyle w:val="3"/>
        <w:spacing w:line="24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36"/>
          <w:szCs w:val="36"/>
        </w:rPr>
        <w:t>第六章  竞争性磋商响应文件格式</w:t>
      </w:r>
      <w:bookmarkEnd w:id="29"/>
      <w:bookmarkEnd w:id="30"/>
      <w:bookmarkEnd w:id="31"/>
      <w:bookmarkEnd w:id="32"/>
      <w:bookmarkEnd w:id="33"/>
    </w:p>
    <w:p>
      <w:pPr>
        <w:spacing w:line="480" w:lineRule="exact"/>
        <w:ind w:right="-99" w:rightChars="-47" w:firstLine="560" w:firstLineChars="200"/>
        <w:rPr>
          <w:rFonts w:asciiTheme="minorEastAsia" w:hAnsiTheme="minorEastAsia" w:eastAsiaTheme="minorEastAsia" w:cstheme="minorEastAsia"/>
          <w:sz w:val="28"/>
          <w:szCs w:val="28"/>
        </w:rPr>
      </w:pPr>
    </w:p>
    <w:p>
      <w:pPr>
        <w:widowControl/>
        <w:tabs>
          <w:tab w:val="left" w:pos="1620"/>
        </w:tabs>
        <w:snapToGrid w:val="0"/>
        <w:spacing w:line="480" w:lineRule="exact"/>
        <w:ind w:right="-99" w:rightChars="-47"/>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 </w:t>
      </w:r>
    </w:p>
    <w:p>
      <w:pPr>
        <w:widowControl/>
        <w:tabs>
          <w:tab w:val="left" w:pos="1620"/>
        </w:tabs>
        <w:snapToGrid w:val="0"/>
        <w:spacing w:line="480" w:lineRule="exact"/>
        <w:ind w:right="-99" w:rightChars="-47" w:firstLine="7590" w:firstLineChars="21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正/副本                    </w:t>
      </w:r>
    </w:p>
    <w:p>
      <w:pPr>
        <w:widowControl/>
        <w:tabs>
          <w:tab w:val="left" w:pos="1620"/>
        </w:tabs>
        <w:snapToGrid w:val="0"/>
        <w:spacing w:line="480" w:lineRule="exact"/>
        <w:ind w:right="-99" w:rightChars="-47"/>
        <w:jc w:val="left"/>
        <w:rPr>
          <w:rFonts w:asciiTheme="minorEastAsia" w:hAnsiTheme="minorEastAsia" w:eastAsiaTheme="minorEastAsia" w:cstheme="minorEastAsia"/>
          <w:b/>
          <w:sz w:val="36"/>
          <w:szCs w:val="36"/>
        </w:rPr>
      </w:pPr>
    </w:p>
    <w:p>
      <w:pPr>
        <w:widowControl/>
        <w:tabs>
          <w:tab w:val="left" w:pos="1620"/>
        </w:tabs>
        <w:snapToGrid w:val="0"/>
        <w:spacing w:line="480" w:lineRule="exact"/>
        <w:ind w:right="-99" w:rightChars="-47"/>
        <w:jc w:val="center"/>
        <w:rPr>
          <w:rFonts w:asciiTheme="minorEastAsia" w:hAnsiTheme="minorEastAsia" w:eastAsiaTheme="minorEastAsia" w:cstheme="minorEastAsia"/>
          <w:b/>
          <w:sz w:val="30"/>
          <w:szCs w:val="30"/>
        </w:rPr>
      </w:pPr>
    </w:p>
    <w:p>
      <w:pPr>
        <w:widowControl/>
        <w:tabs>
          <w:tab w:val="left" w:pos="1620"/>
        </w:tabs>
        <w:snapToGrid w:val="0"/>
        <w:spacing w:line="480" w:lineRule="exact"/>
        <w:ind w:right="-99" w:rightChars="-47"/>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项目编号: SHM-HZZ-(202</w:t>
      </w:r>
      <w:r>
        <w:rPr>
          <w:rFonts w:hint="eastAsia" w:asciiTheme="minorEastAsia" w:hAnsiTheme="minorEastAsia" w:eastAsiaTheme="minorEastAsia" w:cstheme="minorEastAsia"/>
          <w:b/>
          <w:sz w:val="30"/>
          <w:szCs w:val="30"/>
          <w:lang w:val="en-US" w:eastAsia="zh-CN"/>
        </w:rPr>
        <w:t>3</w:t>
      </w:r>
      <w:r>
        <w:rPr>
          <w:rFonts w:hint="eastAsia" w:asciiTheme="minorEastAsia" w:hAnsiTheme="minorEastAsia" w:eastAsiaTheme="minorEastAsia" w:cstheme="minorEastAsia"/>
          <w:b/>
          <w:sz w:val="30"/>
          <w:szCs w:val="30"/>
        </w:rPr>
        <w:t>)第</w:t>
      </w:r>
      <w:r>
        <w:rPr>
          <w:rFonts w:hint="eastAsia" w:asciiTheme="minorEastAsia" w:hAnsiTheme="minorEastAsia" w:eastAsiaTheme="minorEastAsia" w:cstheme="minorEastAsia"/>
          <w:b/>
          <w:sz w:val="30"/>
          <w:szCs w:val="30"/>
          <w:lang w:val="en-US" w:eastAsia="zh-CN"/>
        </w:rPr>
        <w:t>3</w:t>
      </w:r>
      <w:r>
        <w:rPr>
          <w:rFonts w:hint="eastAsia" w:asciiTheme="minorEastAsia" w:hAnsiTheme="minorEastAsia" w:eastAsiaTheme="minorEastAsia" w:cstheme="minorEastAsia"/>
          <w:b/>
          <w:sz w:val="30"/>
          <w:szCs w:val="30"/>
        </w:rPr>
        <w:t>号</w:t>
      </w:r>
    </w:p>
    <w:p>
      <w:pPr>
        <w:spacing w:line="480" w:lineRule="exact"/>
        <w:ind w:right="-99" w:rightChars="-47"/>
        <w:jc w:val="right"/>
        <w:rPr>
          <w:rFonts w:asciiTheme="minorEastAsia" w:hAnsiTheme="minorEastAsia" w:eastAsiaTheme="minorEastAsia" w:cstheme="minorEastAsia"/>
          <w:b/>
          <w:sz w:val="36"/>
          <w:szCs w:val="36"/>
          <w:bdr w:val="single" w:color="auto" w:sz="4" w:space="0"/>
          <w:shd w:val="pct10" w:color="auto" w:fill="FFFFFF"/>
        </w:rPr>
      </w:pPr>
    </w:p>
    <w:p>
      <w:pPr>
        <w:spacing w:line="540" w:lineRule="exact"/>
        <w:ind w:right="-99" w:rightChars="-47"/>
        <w:jc w:val="center"/>
        <w:rPr>
          <w:rFonts w:asciiTheme="minorEastAsia" w:hAnsiTheme="minorEastAsia" w:eastAsiaTheme="minorEastAsia" w:cstheme="minorEastAsia"/>
          <w:b/>
          <w:bCs/>
          <w:spacing w:val="-20"/>
          <w:sz w:val="44"/>
          <w:szCs w:val="44"/>
        </w:rPr>
      </w:pPr>
      <w:r>
        <w:rPr>
          <w:rFonts w:hint="eastAsia" w:asciiTheme="minorEastAsia" w:hAnsiTheme="minorEastAsia" w:eastAsiaTheme="minorEastAsia" w:cstheme="minorEastAsia"/>
          <w:b/>
          <w:bCs/>
          <w:spacing w:val="-20"/>
          <w:sz w:val="44"/>
          <w:szCs w:val="44"/>
        </w:rPr>
        <w:t xml:space="preserve"> </w:t>
      </w:r>
    </w:p>
    <w:p>
      <w:pPr>
        <w:spacing w:line="540" w:lineRule="exact"/>
        <w:ind w:right="-99" w:rightChars="-47"/>
        <w:jc w:val="center"/>
        <w:rPr>
          <w:rFonts w:asciiTheme="minorEastAsia" w:hAnsiTheme="minorEastAsia" w:eastAsiaTheme="minorEastAsia" w:cstheme="minorEastAsia"/>
          <w:b/>
          <w:bCs/>
          <w:spacing w:val="-20"/>
          <w:sz w:val="44"/>
          <w:szCs w:val="44"/>
        </w:rPr>
      </w:pPr>
    </w:p>
    <w:p>
      <w:pPr>
        <w:spacing w:line="540" w:lineRule="exact"/>
        <w:ind w:right="-99" w:rightChars="-47"/>
        <w:jc w:val="center"/>
        <w:rPr>
          <w:rFonts w:asciiTheme="minorEastAsia" w:hAnsiTheme="minorEastAsia" w:eastAsiaTheme="minorEastAsia" w:cstheme="minorEastAsia"/>
          <w:b/>
          <w:bCs/>
          <w:spacing w:val="-20"/>
          <w:sz w:val="48"/>
          <w:szCs w:val="48"/>
        </w:rPr>
      </w:pPr>
    </w:p>
    <w:p>
      <w:pPr>
        <w:pStyle w:val="51"/>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西乡县城市体检工作</w:t>
      </w:r>
    </w:p>
    <w:p>
      <w:pPr>
        <w:pStyle w:val="51"/>
        <w:jc w:val="center"/>
        <w:rPr>
          <w:rFonts w:hint="eastAsia" w:asciiTheme="minorEastAsia" w:hAnsiTheme="minorEastAsia" w:eastAsiaTheme="minorEastAsia" w:cstheme="minorEastAsia"/>
          <w:b/>
          <w:bCs/>
          <w:sz w:val="36"/>
          <w:szCs w:val="36"/>
        </w:rPr>
      </w:pPr>
    </w:p>
    <w:p>
      <w:pPr>
        <w:pStyle w:val="51"/>
        <w:jc w:val="center"/>
        <w:rPr>
          <w:rFonts w:hint="eastAsia" w:asciiTheme="minorEastAsia" w:hAnsiTheme="minorEastAsia" w:eastAsiaTheme="minorEastAsia" w:cstheme="minorEastAsia"/>
          <w:b/>
          <w:bCs/>
          <w:sz w:val="36"/>
          <w:szCs w:val="36"/>
        </w:rPr>
      </w:pPr>
    </w:p>
    <w:p>
      <w:pPr>
        <w:spacing w:line="900" w:lineRule="exact"/>
        <w:ind w:right="-97" w:rightChars="-46"/>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竞争性磋商响应文件</w:t>
      </w:r>
    </w:p>
    <w:p>
      <w:pPr>
        <w:spacing w:line="480" w:lineRule="exact"/>
        <w:ind w:right="-99" w:rightChars="-47"/>
        <w:rPr>
          <w:rFonts w:asciiTheme="minorEastAsia" w:hAnsiTheme="minorEastAsia" w:eastAsiaTheme="minorEastAsia" w:cstheme="minorEastAsia"/>
          <w:b/>
          <w:sz w:val="32"/>
          <w:szCs w:val="32"/>
        </w:rPr>
      </w:pPr>
    </w:p>
    <w:p>
      <w:pPr>
        <w:spacing w:line="480" w:lineRule="exact"/>
        <w:ind w:right="-99" w:rightChars="-47"/>
        <w:rPr>
          <w:rFonts w:asciiTheme="minorEastAsia" w:hAnsiTheme="minorEastAsia" w:eastAsiaTheme="minorEastAsia" w:cstheme="minorEastAsia"/>
          <w:b/>
          <w:sz w:val="28"/>
          <w:szCs w:val="28"/>
        </w:rPr>
      </w:pPr>
    </w:p>
    <w:p>
      <w:pPr>
        <w:spacing w:line="480" w:lineRule="exact"/>
        <w:ind w:right="-99" w:rightChars="-47"/>
        <w:rPr>
          <w:rFonts w:asciiTheme="minorEastAsia" w:hAnsiTheme="minorEastAsia" w:eastAsiaTheme="minorEastAsia" w:cstheme="minorEastAsia"/>
          <w:b/>
          <w:sz w:val="28"/>
          <w:szCs w:val="28"/>
        </w:rPr>
      </w:pPr>
    </w:p>
    <w:p>
      <w:pPr>
        <w:spacing w:line="480" w:lineRule="exact"/>
        <w:ind w:right="-99" w:rightChars="-47"/>
        <w:rPr>
          <w:rFonts w:asciiTheme="minorEastAsia" w:hAnsiTheme="minorEastAsia" w:eastAsiaTheme="minorEastAsia" w:cstheme="minorEastAsia"/>
          <w:b/>
          <w:sz w:val="28"/>
          <w:szCs w:val="28"/>
        </w:rPr>
      </w:pPr>
    </w:p>
    <w:p>
      <w:pPr>
        <w:spacing w:line="560" w:lineRule="exact"/>
        <w:ind w:right="-99" w:rightChars="-47"/>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w:t>
      </w:r>
    </w:p>
    <w:p>
      <w:pPr>
        <w:spacing w:line="360" w:lineRule="auto"/>
        <w:ind w:right="-99" w:rightChars="-47" w:firstLine="1680" w:firstLineChars="600"/>
        <w:rPr>
          <w:rFonts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z w:val="28"/>
          <w:szCs w:val="28"/>
          <w:u w:val="single"/>
        </w:rPr>
        <w:t xml:space="preserve">    </w:t>
      </w:r>
    </w:p>
    <w:p>
      <w:pPr>
        <w:spacing w:line="360" w:lineRule="auto"/>
        <w:ind w:firstLine="2520" w:firstLineChars="9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（公章）</w:t>
      </w:r>
      <w:r>
        <w:rPr>
          <w:rFonts w:hint="eastAsia" w:asciiTheme="minorEastAsia" w:hAnsiTheme="minorEastAsia" w:eastAsiaTheme="minorEastAsia" w:cstheme="minorEastAsia"/>
          <w:sz w:val="28"/>
          <w:szCs w:val="28"/>
          <w:u w:val="single"/>
        </w:rPr>
        <w:t xml:space="preserve">        </w:t>
      </w:r>
    </w:p>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法定代表人或授权代表</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（签字或盖章） </w:t>
      </w:r>
    </w:p>
    <w:p>
      <w:pPr>
        <w:autoSpaceDE w:val="0"/>
        <w:autoSpaceDN w:val="0"/>
        <w:adjustRightInd w:val="0"/>
        <w:spacing w:line="360" w:lineRule="auto"/>
        <w:ind w:firstLine="280" w:firstLineChars="1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sz w:val="28"/>
          <w:szCs w:val="28"/>
        </w:rPr>
        <w:t xml:space="preserve">                日 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spacing w:line="480" w:lineRule="exact"/>
        <w:ind w:right="-99" w:rightChars="-47"/>
        <w:jc w:val="center"/>
        <w:rPr>
          <w:rFonts w:asciiTheme="minorEastAsia" w:hAnsiTheme="minorEastAsia" w:eastAsiaTheme="minorEastAsia" w:cstheme="minorEastAsia"/>
          <w:b/>
          <w:sz w:val="44"/>
          <w:szCs w:val="44"/>
        </w:rPr>
      </w:pPr>
    </w:p>
    <w:p>
      <w:pPr>
        <w:spacing w:line="480" w:lineRule="exact"/>
        <w:ind w:right="-99" w:rightChars="-47"/>
        <w:jc w:val="center"/>
        <w:rPr>
          <w:rFonts w:asciiTheme="minorEastAsia" w:hAnsiTheme="minorEastAsia" w:eastAsiaTheme="minorEastAsia" w:cstheme="minorEastAsia"/>
          <w:b/>
          <w:sz w:val="44"/>
          <w:szCs w:val="44"/>
        </w:rPr>
      </w:pPr>
    </w:p>
    <w:p>
      <w:pPr>
        <w:spacing w:line="480" w:lineRule="exact"/>
        <w:ind w:right="-99" w:rightChars="-47"/>
        <w:jc w:val="center"/>
        <w:rPr>
          <w:rFonts w:asciiTheme="minorEastAsia" w:hAnsiTheme="minorEastAsia" w:eastAsiaTheme="minorEastAsia" w:cstheme="minorEastAsia"/>
          <w:b/>
          <w:sz w:val="44"/>
          <w:szCs w:val="44"/>
        </w:rPr>
      </w:pPr>
    </w:p>
    <w:p>
      <w:pPr>
        <w:spacing w:line="480" w:lineRule="exact"/>
        <w:ind w:right="-99" w:rightChars="-47"/>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目    录</w:t>
      </w:r>
    </w:p>
    <w:p>
      <w:pPr>
        <w:spacing w:line="480" w:lineRule="auto"/>
        <w:ind w:left="2100"/>
        <w:jc w:val="left"/>
        <w:rPr>
          <w:rFonts w:asciiTheme="minorEastAsia" w:hAnsiTheme="minorEastAsia" w:eastAsiaTheme="minorEastAsia" w:cstheme="minorEastAsia"/>
          <w:sz w:val="28"/>
          <w:szCs w:val="28"/>
        </w:rPr>
      </w:pPr>
    </w:p>
    <w:p>
      <w:pPr>
        <w:numPr>
          <w:ilvl w:val="0"/>
          <w:numId w:val="0"/>
        </w:numPr>
        <w:snapToGrid w:val="0"/>
        <w:spacing w:line="400" w:lineRule="exact"/>
        <w:ind w:right="210" w:rightChars="100" w:firstLine="600" w:firstLineChars="200"/>
        <w:jc w:val="lef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磋商函</w:t>
      </w:r>
    </w:p>
    <w:p>
      <w:pPr>
        <w:numPr>
          <w:ilvl w:val="0"/>
          <w:numId w:val="0"/>
        </w:numPr>
        <w:snapToGrid w:val="0"/>
        <w:spacing w:line="400" w:lineRule="exact"/>
        <w:ind w:right="210" w:rightChars="100"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2、磋商报价一览表</w:t>
      </w:r>
    </w:p>
    <w:p>
      <w:pPr>
        <w:numPr>
          <w:ilvl w:val="0"/>
          <w:numId w:val="0"/>
        </w:numPr>
        <w:snapToGrid w:val="0"/>
        <w:spacing w:line="400" w:lineRule="exact"/>
        <w:ind w:right="210" w:rightChars="100"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3、技术、商务偏离表</w:t>
      </w:r>
    </w:p>
    <w:p>
      <w:pPr>
        <w:numPr>
          <w:ilvl w:val="0"/>
          <w:numId w:val="0"/>
        </w:numPr>
        <w:snapToGrid w:val="0"/>
        <w:spacing w:line="400" w:lineRule="exact"/>
        <w:ind w:right="210" w:rightChars="100"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4、法定代表人授权书</w:t>
      </w:r>
    </w:p>
    <w:p>
      <w:pPr>
        <w:numPr>
          <w:ilvl w:val="0"/>
          <w:numId w:val="0"/>
        </w:numPr>
        <w:snapToGrid w:val="0"/>
        <w:spacing w:line="400" w:lineRule="exact"/>
        <w:ind w:right="210" w:rightChars="100"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5、资格证明文件</w:t>
      </w:r>
    </w:p>
    <w:p>
      <w:pPr>
        <w:numPr>
          <w:ilvl w:val="0"/>
          <w:numId w:val="0"/>
        </w:numPr>
        <w:snapToGrid w:val="0"/>
        <w:spacing w:line="400" w:lineRule="exact"/>
        <w:ind w:right="210" w:rightChars="100"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6、技术响应</w:t>
      </w:r>
    </w:p>
    <w:p>
      <w:pPr>
        <w:numPr>
          <w:ilvl w:val="0"/>
          <w:numId w:val="0"/>
        </w:numPr>
        <w:snapToGrid w:val="0"/>
        <w:spacing w:line="400" w:lineRule="exact"/>
        <w:ind w:right="210" w:rightChars="100"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7、项目人员</w:t>
      </w:r>
    </w:p>
    <w:p>
      <w:pPr>
        <w:numPr>
          <w:ilvl w:val="0"/>
          <w:numId w:val="0"/>
        </w:numPr>
        <w:snapToGrid w:val="0"/>
        <w:spacing w:line="400" w:lineRule="exact"/>
        <w:ind w:right="210" w:rightChars="100"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8、业绩</w:t>
      </w:r>
    </w:p>
    <w:p>
      <w:pPr>
        <w:numPr>
          <w:ilvl w:val="0"/>
          <w:numId w:val="0"/>
        </w:numPr>
        <w:snapToGrid w:val="0"/>
        <w:spacing w:line="400" w:lineRule="exact"/>
        <w:ind w:right="210" w:rightChars="100"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9、荣誉</w:t>
      </w:r>
    </w:p>
    <w:p>
      <w:pPr>
        <w:numPr>
          <w:ilvl w:val="0"/>
          <w:numId w:val="0"/>
        </w:numPr>
        <w:snapToGrid w:val="0"/>
        <w:spacing w:line="400" w:lineRule="exact"/>
        <w:ind w:right="210" w:rightChars="100"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10、供应商声明、承诺</w:t>
      </w:r>
    </w:p>
    <w:p>
      <w:pPr>
        <w:spacing w:line="540" w:lineRule="exact"/>
        <w:ind w:right="-99" w:rightChars="-47"/>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备注：竞争性磋商响应文件内容包括但不限于以上内容</w:t>
      </w:r>
    </w:p>
    <w:p>
      <w:pPr>
        <w:spacing w:line="540" w:lineRule="exact"/>
        <w:ind w:left="1050" w:leftChars="500" w:right="-99" w:rightChars="-47"/>
        <w:rPr>
          <w:rFonts w:asciiTheme="minorEastAsia" w:hAnsiTheme="minorEastAsia" w:eastAsiaTheme="minorEastAsia" w:cstheme="minorEastAsia"/>
          <w:sz w:val="28"/>
          <w:szCs w:val="28"/>
        </w:rPr>
      </w:pPr>
    </w:p>
    <w:p>
      <w:pPr>
        <w:tabs>
          <w:tab w:val="left" w:pos="1665"/>
        </w:tabs>
        <w:spacing w:line="480" w:lineRule="exact"/>
        <w:ind w:right="-99" w:rightChars="-47"/>
        <w:rPr>
          <w:rFonts w:asciiTheme="minorEastAsia" w:hAnsiTheme="minorEastAsia" w:eastAsiaTheme="minorEastAsia" w:cstheme="minorEastAsia"/>
          <w:b/>
          <w:sz w:val="28"/>
          <w:szCs w:val="28"/>
        </w:rPr>
      </w:pPr>
    </w:p>
    <w:p>
      <w:pPr>
        <w:tabs>
          <w:tab w:val="left" w:pos="1665"/>
        </w:tabs>
        <w:spacing w:line="480" w:lineRule="exact"/>
        <w:ind w:right="-99" w:rightChars="-47"/>
        <w:rPr>
          <w:rFonts w:asciiTheme="minorEastAsia" w:hAnsiTheme="minorEastAsia" w:eastAsiaTheme="minorEastAsia" w:cstheme="minorEastAsia"/>
          <w:b/>
          <w:sz w:val="28"/>
          <w:szCs w:val="28"/>
        </w:rPr>
      </w:pPr>
    </w:p>
    <w:p>
      <w:pPr>
        <w:pStyle w:val="50"/>
        <w:rPr>
          <w:rFonts w:asciiTheme="minorEastAsia" w:hAnsiTheme="minorEastAsia" w:eastAsiaTheme="minorEastAsia" w:cstheme="minorEastAsia"/>
        </w:rPr>
      </w:pP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pStyle w:val="4"/>
        <w:spacing w:line="24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1、磋商函（格式）</w:t>
      </w:r>
    </w:p>
    <w:p>
      <w:pPr>
        <w:ind w:right="-99" w:rightChars="-47"/>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磋 商 函</w:t>
      </w:r>
    </w:p>
    <w:p>
      <w:pPr>
        <w:spacing w:line="540" w:lineRule="exact"/>
        <w:ind w:right="-99" w:rightChars="-4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致：</w:t>
      </w:r>
    </w:p>
    <w:p>
      <w:pPr>
        <w:spacing w:line="540" w:lineRule="exact"/>
        <w:ind w:right="-99" w:rightChars="-47" w:firstLine="548" w:firstLineChars="19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根据贵单位</w:t>
      </w:r>
      <w:r>
        <w:rPr>
          <w:rFonts w:hint="eastAsia" w:asciiTheme="minorEastAsia" w:hAnsiTheme="minorEastAsia" w:eastAsiaTheme="minorEastAsia" w:cstheme="minorEastAsia"/>
          <w:sz w:val="28"/>
          <w:szCs w:val="28"/>
          <w:u w:val="single"/>
        </w:rPr>
        <w:t xml:space="preserve">         （采项目名称）    </w:t>
      </w:r>
      <w:r>
        <w:rPr>
          <w:rFonts w:hint="eastAsia" w:asciiTheme="minorEastAsia" w:hAnsiTheme="minorEastAsia" w:eastAsiaTheme="minorEastAsia" w:cstheme="minorEastAsia"/>
          <w:sz w:val="28"/>
          <w:szCs w:val="28"/>
        </w:rPr>
        <w:t>项目</w:t>
      </w:r>
      <w:r>
        <w:rPr>
          <w:rFonts w:hint="eastAsia" w:asciiTheme="minorEastAsia" w:hAnsiTheme="minorEastAsia" w:eastAsiaTheme="minorEastAsia" w:cstheme="minorEastAsia"/>
          <w:sz w:val="28"/>
          <w:szCs w:val="28"/>
          <w:u w:val="single"/>
        </w:rPr>
        <w:t>（项目编号）</w:t>
      </w:r>
      <w:r>
        <w:rPr>
          <w:rFonts w:hint="eastAsia" w:asciiTheme="minorEastAsia" w:hAnsiTheme="minorEastAsia" w:eastAsiaTheme="minorEastAsia" w:cstheme="minorEastAsia"/>
          <w:sz w:val="28"/>
          <w:szCs w:val="28"/>
        </w:rPr>
        <w:t>的磋商公告，我方代表</w:t>
      </w:r>
      <w:r>
        <w:rPr>
          <w:rFonts w:hint="eastAsia" w:asciiTheme="minorEastAsia" w:hAnsiTheme="minorEastAsia" w:eastAsiaTheme="minorEastAsia" w:cstheme="minorEastAsia"/>
          <w:sz w:val="28"/>
          <w:szCs w:val="28"/>
          <w:u w:val="single"/>
        </w:rPr>
        <w:t xml:space="preserve">   （姓名、职务）   </w:t>
      </w:r>
      <w:r>
        <w:rPr>
          <w:rFonts w:hint="eastAsia" w:asciiTheme="minorEastAsia" w:hAnsiTheme="minorEastAsia" w:eastAsiaTheme="minorEastAsia" w:cstheme="minorEastAsia"/>
          <w:sz w:val="28"/>
          <w:szCs w:val="28"/>
        </w:rPr>
        <w:t>经正式授权并代表</w:t>
      </w:r>
      <w:r>
        <w:rPr>
          <w:rFonts w:hint="eastAsia" w:asciiTheme="minorEastAsia" w:hAnsiTheme="minorEastAsia" w:eastAsiaTheme="minorEastAsia" w:cstheme="minorEastAsia"/>
          <w:sz w:val="28"/>
          <w:szCs w:val="28"/>
          <w:u w:val="single"/>
        </w:rPr>
        <w:t xml:space="preserve">     （供应商名称）     </w:t>
      </w:r>
      <w:r>
        <w:rPr>
          <w:rFonts w:hint="eastAsia" w:asciiTheme="minorEastAsia" w:hAnsiTheme="minorEastAsia" w:eastAsiaTheme="minorEastAsia" w:cstheme="minorEastAsia"/>
          <w:sz w:val="28"/>
          <w:szCs w:val="28"/>
        </w:rPr>
        <w:t>就该项目进行竞争性磋商。</w:t>
      </w:r>
    </w:p>
    <w:p>
      <w:pPr>
        <w:spacing w:line="540" w:lineRule="exact"/>
        <w:ind w:right="-99" w:rightChars="-47"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在此，我方郑重声明以下诸点，并负法律责任：</w:t>
      </w:r>
    </w:p>
    <w:p>
      <w:pPr>
        <w:spacing w:line="540" w:lineRule="exact"/>
        <w:ind w:right="-99" w:rightChars="-47"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1、我方提交的磋商响应文件正本一份，副本两份，电子文件（U盘或光盘）一份。</w:t>
      </w:r>
    </w:p>
    <w:p>
      <w:pPr>
        <w:spacing w:line="540" w:lineRule="exact"/>
        <w:ind w:right="-99" w:rightChars="-47"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2、我方所附磋商报价表中应提交和交付的服务磋商总价为人民币：</w:t>
      </w:r>
      <w:r>
        <w:rPr>
          <w:rFonts w:hint="eastAsia" w:asciiTheme="minorEastAsia" w:hAnsiTheme="minorEastAsia" w:eastAsiaTheme="minorEastAsia" w:cstheme="minorEastAsia"/>
          <w:sz w:val="28"/>
          <w:szCs w:val="28"/>
          <w:u w:val="single"/>
        </w:rPr>
        <w:t>（同时用汉字大写和数字表示的磋商总价）</w:t>
      </w:r>
      <w:r>
        <w:rPr>
          <w:rFonts w:hint="eastAsia" w:asciiTheme="minorEastAsia" w:hAnsiTheme="minorEastAsia" w:eastAsiaTheme="minorEastAsia" w:cstheme="minorEastAsia"/>
          <w:sz w:val="28"/>
          <w:szCs w:val="28"/>
        </w:rPr>
        <w:t>。该报价不受市场因素的影响。</w:t>
      </w:r>
    </w:p>
    <w:p>
      <w:pPr>
        <w:spacing w:line="540" w:lineRule="exact"/>
        <w:ind w:right="-99" w:rightChars="-47"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3、我方已详细审查全部磋商文件，完全理解并同意放弃对这方面有不明及误解质疑、投诉的权力。</w:t>
      </w:r>
    </w:p>
    <w:p>
      <w:pPr>
        <w:spacing w:line="540" w:lineRule="exact"/>
        <w:ind w:right="-99" w:rightChars="-47"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4、我方完全理解并同意磋商文件中有关没收磋商保证金的条款。</w:t>
      </w:r>
    </w:p>
    <w:p>
      <w:pPr>
        <w:spacing w:line="540" w:lineRule="exact"/>
        <w:ind w:right="-99" w:rightChars="-47"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5、我方同意按照要求提供磋商有关的一切数据或资料。</w:t>
      </w:r>
    </w:p>
    <w:p>
      <w:pPr>
        <w:spacing w:line="540" w:lineRule="exact"/>
        <w:ind w:right="-99" w:rightChars="-47"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6、我方将按磋商文件的规定履行合同责任和义务。</w:t>
      </w:r>
    </w:p>
    <w:p>
      <w:pPr>
        <w:spacing w:line="540" w:lineRule="exact"/>
        <w:ind w:right="-99" w:rightChars="-47"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7、我方完全理解最低报价不是成交的唯一条件，尊重评标委员会的评审结果，并同意放弃对这方面有不明及误解质疑的权力。 </w:t>
      </w:r>
    </w:p>
    <w:p>
      <w:pPr>
        <w:spacing w:line="540" w:lineRule="exact"/>
        <w:ind w:right="-99" w:rightChars="-47"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8、我方同意按磋商文件规定，遵守贵方有关磋商的各项规定。</w:t>
      </w:r>
    </w:p>
    <w:p>
      <w:pPr>
        <w:spacing w:line="540" w:lineRule="exact"/>
        <w:ind w:right="-99" w:rightChars="-47"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9、磋商有效期为自磋商之日起90个日历日。</w:t>
      </w:r>
    </w:p>
    <w:p>
      <w:pPr>
        <w:spacing w:line="540" w:lineRule="exact"/>
        <w:ind w:right="-99" w:rightChars="-4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10、所有关于本项目的函电，请按下列地址联系：</w:t>
      </w:r>
    </w:p>
    <w:p>
      <w:pPr>
        <w:spacing w:line="600" w:lineRule="exact"/>
        <w:ind w:right="-99" w:rightChars="-47"/>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供应商名称（公章）：</w:t>
      </w:r>
      <w:r>
        <w:rPr>
          <w:rFonts w:hint="eastAsia" w:asciiTheme="minorEastAsia" w:hAnsiTheme="minorEastAsia" w:eastAsiaTheme="minorEastAsia" w:cstheme="minorEastAsia"/>
          <w:sz w:val="28"/>
          <w:szCs w:val="28"/>
          <w:u w:val="single"/>
        </w:rPr>
        <w:t xml:space="preserve">                                </w:t>
      </w:r>
    </w:p>
    <w:p>
      <w:pPr>
        <w:spacing w:line="600" w:lineRule="exact"/>
        <w:ind w:right="-99" w:rightChars="-47"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详 细 地 址：</w:t>
      </w:r>
      <w:r>
        <w:rPr>
          <w:rFonts w:hint="eastAsia" w:asciiTheme="minorEastAsia" w:hAnsiTheme="minorEastAsia" w:eastAsiaTheme="minorEastAsia" w:cstheme="minorEastAsia"/>
          <w:sz w:val="28"/>
          <w:szCs w:val="28"/>
          <w:u w:val="single"/>
        </w:rPr>
        <w:t xml:space="preserve">                                      </w:t>
      </w:r>
    </w:p>
    <w:p>
      <w:pPr>
        <w:tabs>
          <w:tab w:val="left" w:pos="360"/>
        </w:tabs>
        <w:spacing w:line="600" w:lineRule="exact"/>
        <w:ind w:right="-99" w:rightChars="-47"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邮 政 编 码：</w:t>
      </w:r>
      <w:r>
        <w:rPr>
          <w:rFonts w:hint="eastAsia" w:asciiTheme="minorEastAsia" w:hAnsiTheme="minorEastAsia" w:eastAsiaTheme="minorEastAsia" w:cstheme="minorEastAsia"/>
          <w:sz w:val="28"/>
          <w:szCs w:val="28"/>
          <w:u w:val="single"/>
        </w:rPr>
        <w:t xml:space="preserve">                   </w:t>
      </w:r>
    </w:p>
    <w:p>
      <w:pPr>
        <w:autoSpaceDE w:val="0"/>
        <w:autoSpaceDN w:val="0"/>
        <w:adjustRightInd w:val="0"/>
        <w:spacing w:line="600" w:lineRule="exact"/>
        <w:ind w:right="-99" w:rightChars="-47" w:firstLine="560" w:firstLineChars="200"/>
        <w:rPr>
          <w:rFonts w:asciiTheme="minorEastAsia" w:hAnsiTheme="minorEastAsia" w:eastAsiaTheme="minorEastAsia" w:cstheme="minorEastAsia"/>
          <w:sz w:val="28"/>
          <w:szCs w:val="28"/>
          <w:u w:val="single"/>
          <w:lang w:val="zh-CN"/>
        </w:rPr>
      </w:pPr>
      <w:r>
        <w:rPr>
          <w:rFonts w:hint="eastAsia" w:asciiTheme="minorEastAsia" w:hAnsiTheme="minorEastAsia" w:eastAsiaTheme="minorEastAsia" w:cstheme="minorEastAsia"/>
          <w:sz w:val="28"/>
          <w:szCs w:val="28"/>
          <w:lang w:val="zh-CN"/>
        </w:rPr>
        <w:t>电       话：</w:t>
      </w:r>
      <w:r>
        <w:rPr>
          <w:rFonts w:hint="eastAsia" w:asciiTheme="minorEastAsia" w:hAnsiTheme="minorEastAsia" w:eastAsiaTheme="minorEastAsia" w:cstheme="minorEastAsia"/>
          <w:sz w:val="28"/>
          <w:szCs w:val="28"/>
          <w:u w:val="single"/>
          <w:lang w:val="zh-CN"/>
        </w:rPr>
        <w:t xml:space="preserve">                   </w:t>
      </w:r>
    </w:p>
    <w:p>
      <w:pPr>
        <w:autoSpaceDE w:val="0"/>
        <w:autoSpaceDN w:val="0"/>
        <w:adjustRightInd w:val="0"/>
        <w:spacing w:line="600" w:lineRule="exact"/>
        <w:ind w:right="-99" w:rightChars="-47" w:firstLine="560" w:firstLineChars="200"/>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传       真：</w:t>
      </w:r>
      <w:r>
        <w:rPr>
          <w:rFonts w:hint="eastAsia" w:asciiTheme="minorEastAsia" w:hAnsiTheme="minorEastAsia" w:eastAsiaTheme="minorEastAsia" w:cstheme="minorEastAsia"/>
          <w:sz w:val="28"/>
          <w:szCs w:val="28"/>
          <w:u w:val="single"/>
          <w:lang w:val="zh-CN"/>
        </w:rPr>
        <w:t xml:space="preserve">                   </w:t>
      </w:r>
    </w:p>
    <w:p>
      <w:pPr>
        <w:tabs>
          <w:tab w:val="left" w:pos="360"/>
        </w:tabs>
        <w:spacing w:line="600" w:lineRule="exact"/>
        <w:ind w:right="-99" w:rightChars="-47"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 子 邮 件：</w:t>
      </w:r>
      <w:r>
        <w:rPr>
          <w:rFonts w:hint="eastAsia" w:asciiTheme="minorEastAsia" w:hAnsiTheme="minorEastAsia" w:eastAsiaTheme="minorEastAsia" w:cstheme="minorEastAsia"/>
          <w:sz w:val="28"/>
          <w:szCs w:val="28"/>
          <w:u w:val="single"/>
        </w:rPr>
        <w:t xml:space="preserve">                   </w:t>
      </w:r>
    </w:p>
    <w:p>
      <w:pPr>
        <w:autoSpaceDE w:val="0"/>
        <w:autoSpaceDN w:val="0"/>
        <w:adjustRightInd w:val="0"/>
        <w:spacing w:line="600" w:lineRule="exact"/>
        <w:ind w:right="-99" w:rightChars="-47" w:firstLine="560" w:firstLineChars="200"/>
        <w:rPr>
          <w:rFonts w:asciiTheme="minorEastAsia" w:hAnsiTheme="minorEastAsia" w:eastAsiaTheme="minorEastAsia" w:cstheme="minorEastAsia"/>
          <w:sz w:val="28"/>
          <w:szCs w:val="28"/>
          <w:u w:val="single"/>
          <w:lang w:val="zh-CN"/>
        </w:rPr>
      </w:pPr>
      <w:r>
        <w:rPr>
          <w:rFonts w:hint="eastAsia" w:asciiTheme="minorEastAsia" w:hAnsiTheme="minorEastAsia" w:eastAsiaTheme="minorEastAsia" w:cstheme="minorEastAsia"/>
          <w:sz w:val="28"/>
          <w:szCs w:val="28"/>
          <w:lang w:val="zh-CN"/>
        </w:rPr>
        <w:t>开 户 银 行：</w:t>
      </w:r>
      <w:r>
        <w:rPr>
          <w:rFonts w:hint="eastAsia" w:asciiTheme="minorEastAsia" w:hAnsiTheme="minorEastAsia" w:eastAsiaTheme="minorEastAsia" w:cstheme="minorEastAsia"/>
          <w:sz w:val="28"/>
          <w:szCs w:val="28"/>
          <w:u w:val="single"/>
          <w:lang w:val="zh-CN"/>
        </w:rPr>
        <w:t xml:space="preserve">                   </w:t>
      </w:r>
    </w:p>
    <w:p>
      <w:pPr>
        <w:autoSpaceDE w:val="0"/>
        <w:autoSpaceDN w:val="0"/>
        <w:adjustRightInd w:val="0"/>
        <w:spacing w:line="600" w:lineRule="exact"/>
        <w:ind w:right="-99" w:rightChars="-47" w:firstLine="560" w:firstLineChars="200"/>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帐       号：</w:t>
      </w:r>
      <w:r>
        <w:rPr>
          <w:rFonts w:hint="eastAsia" w:asciiTheme="minorEastAsia" w:hAnsiTheme="minorEastAsia" w:eastAsiaTheme="minorEastAsia" w:cstheme="minorEastAsia"/>
          <w:sz w:val="28"/>
          <w:szCs w:val="28"/>
          <w:u w:val="single"/>
          <w:lang w:val="zh-CN"/>
        </w:rPr>
        <w:t xml:space="preserve">                   </w:t>
      </w:r>
    </w:p>
    <w:p>
      <w:pPr>
        <w:autoSpaceDE w:val="0"/>
        <w:autoSpaceDN w:val="0"/>
        <w:adjustRightInd w:val="0"/>
        <w:spacing w:line="480" w:lineRule="exact"/>
        <w:ind w:right="-99" w:rightChars="-47" w:hanging="600"/>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pPr>
        <w:autoSpaceDE w:val="0"/>
        <w:autoSpaceDN w:val="0"/>
        <w:adjustRightInd w:val="0"/>
        <w:spacing w:line="480" w:lineRule="exact"/>
        <w:ind w:right="-99" w:rightChars="-47" w:hanging="600"/>
        <w:rPr>
          <w:rFonts w:asciiTheme="minorEastAsia" w:hAnsiTheme="minorEastAsia" w:eastAsiaTheme="minorEastAsia" w:cstheme="minorEastAsia"/>
          <w:sz w:val="28"/>
          <w:szCs w:val="28"/>
          <w:lang w:val="zh-CN"/>
        </w:rPr>
      </w:pPr>
    </w:p>
    <w:p>
      <w:pPr>
        <w:autoSpaceDE w:val="0"/>
        <w:autoSpaceDN w:val="0"/>
        <w:adjustRightInd w:val="0"/>
        <w:spacing w:line="480" w:lineRule="exact"/>
        <w:ind w:right="-99" w:rightChars="-47" w:hanging="600"/>
        <w:rPr>
          <w:rFonts w:asciiTheme="minorEastAsia" w:hAnsiTheme="minorEastAsia" w:eastAsiaTheme="minorEastAsia" w:cstheme="minorEastAsia"/>
          <w:sz w:val="28"/>
          <w:szCs w:val="28"/>
          <w:lang w:val="zh-CN"/>
        </w:rPr>
      </w:pPr>
    </w:p>
    <w:p>
      <w:pPr>
        <w:autoSpaceDE w:val="0"/>
        <w:autoSpaceDN w:val="0"/>
        <w:adjustRightInd w:val="0"/>
        <w:spacing w:line="480" w:lineRule="exact"/>
        <w:ind w:right="-99" w:rightChars="-47" w:hanging="600"/>
        <w:rPr>
          <w:rFonts w:asciiTheme="minorEastAsia" w:hAnsiTheme="minorEastAsia" w:eastAsiaTheme="minorEastAsia" w:cstheme="minorEastAsia"/>
          <w:sz w:val="28"/>
          <w:szCs w:val="28"/>
          <w:lang w:val="zh-CN"/>
        </w:rPr>
      </w:pPr>
    </w:p>
    <w:p>
      <w:pPr>
        <w:autoSpaceDE w:val="0"/>
        <w:autoSpaceDN w:val="0"/>
        <w:adjustRightInd w:val="0"/>
        <w:spacing w:line="480" w:lineRule="exact"/>
        <w:ind w:right="-99" w:rightChars="-47" w:hanging="600"/>
        <w:rPr>
          <w:rFonts w:asciiTheme="minorEastAsia" w:hAnsiTheme="minorEastAsia" w:eastAsiaTheme="minorEastAsia" w:cstheme="minorEastAsia"/>
          <w:sz w:val="28"/>
          <w:szCs w:val="28"/>
          <w:lang w:val="zh-CN"/>
        </w:rPr>
      </w:pPr>
    </w:p>
    <w:p>
      <w:pPr>
        <w:autoSpaceDE w:val="0"/>
        <w:autoSpaceDN w:val="0"/>
        <w:adjustRightInd w:val="0"/>
        <w:spacing w:line="480" w:lineRule="exact"/>
        <w:ind w:right="-99" w:rightChars="-47"/>
        <w:rPr>
          <w:rFonts w:asciiTheme="minorEastAsia" w:hAnsiTheme="minorEastAsia" w:eastAsiaTheme="minorEastAsia" w:cstheme="minorEastAsia"/>
          <w:sz w:val="28"/>
          <w:szCs w:val="28"/>
          <w:lang w:val="zh-CN"/>
        </w:rPr>
      </w:pPr>
    </w:p>
    <w:p>
      <w:pPr>
        <w:tabs>
          <w:tab w:val="left" w:pos="7492"/>
        </w:tabs>
        <w:autoSpaceDE w:val="0"/>
        <w:autoSpaceDN w:val="0"/>
        <w:adjustRightInd w:val="0"/>
        <w:spacing w:line="480" w:lineRule="exact"/>
        <w:ind w:right="-99" w:rightChars="-47"/>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ab/>
      </w:r>
    </w:p>
    <w:p>
      <w:pPr>
        <w:autoSpaceDE w:val="0"/>
        <w:autoSpaceDN w:val="0"/>
        <w:adjustRightInd w:val="0"/>
        <w:spacing w:line="480" w:lineRule="exact"/>
        <w:ind w:right="-99" w:rightChars="-47" w:firstLine="3920" w:firstLineChars="14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法定代表人或供应商</w:t>
      </w:r>
      <w:r>
        <w:rPr>
          <w:rFonts w:hint="eastAsia" w:asciiTheme="minorEastAsia" w:hAnsiTheme="minorEastAsia" w:eastAsiaTheme="minorEastAsia" w:cstheme="minorEastAsia"/>
          <w:sz w:val="28"/>
          <w:szCs w:val="28"/>
        </w:rPr>
        <w:t>授权</w:t>
      </w:r>
      <w:r>
        <w:rPr>
          <w:rFonts w:hint="eastAsia" w:asciiTheme="minorEastAsia" w:hAnsiTheme="minorEastAsia" w:eastAsiaTheme="minorEastAsia" w:cstheme="minorEastAsia"/>
          <w:sz w:val="28"/>
          <w:szCs w:val="28"/>
          <w:lang w:val="zh-CN"/>
        </w:rPr>
        <w:t>代表签名：</w:t>
      </w:r>
      <w:r>
        <w:rPr>
          <w:rFonts w:hint="eastAsia" w:asciiTheme="minorEastAsia" w:hAnsiTheme="minorEastAsia" w:eastAsiaTheme="minorEastAsia" w:cstheme="minorEastAsia"/>
          <w:sz w:val="28"/>
          <w:szCs w:val="28"/>
          <w:u w:val="single"/>
        </w:rPr>
        <w:t xml:space="preserve">               </w:t>
      </w:r>
    </w:p>
    <w:p>
      <w:pPr>
        <w:autoSpaceDE w:val="0"/>
        <w:autoSpaceDN w:val="0"/>
        <w:adjustRightInd w:val="0"/>
        <w:spacing w:line="480" w:lineRule="exact"/>
        <w:ind w:right="-99" w:rightChars="-47" w:firstLine="4620" w:firstLineChars="1650"/>
        <w:rPr>
          <w:rFonts w:asciiTheme="minorEastAsia" w:hAnsiTheme="minorEastAsia" w:eastAsiaTheme="minorEastAsia" w:cstheme="minorEastAsia"/>
          <w:sz w:val="28"/>
          <w:szCs w:val="28"/>
          <w:u w:val="single"/>
          <w:lang w:val="zh-CN"/>
        </w:rPr>
      </w:pPr>
      <w:r>
        <w:rPr>
          <w:rFonts w:hint="eastAsia" w:asciiTheme="minorEastAsia" w:hAnsiTheme="minorEastAsia" w:eastAsiaTheme="minorEastAsia" w:cstheme="minorEastAsia"/>
          <w:sz w:val="28"/>
          <w:szCs w:val="28"/>
          <w:lang w:val="zh-CN"/>
        </w:rPr>
        <w:t>联系电话/手机：</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rPr>
        <w:t xml:space="preserve">  </w:t>
      </w:r>
    </w:p>
    <w:p>
      <w:pPr>
        <w:spacing w:line="480" w:lineRule="exact"/>
        <w:ind w:right="-99" w:rightChars="-47"/>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日 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spacing w:line="480" w:lineRule="exact"/>
        <w:ind w:right="-99" w:rightChars="-47"/>
        <w:jc w:val="center"/>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9"/>
        <w:rPr>
          <w:rFonts w:asciiTheme="minorEastAsia" w:hAnsiTheme="minorEastAsia" w:eastAsiaTheme="minorEastAsia" w:cstheme="minorEastAsia"/>
          <w:sz w:val="28"/>
          <w:szCs w:val="28"/>
        </w:rPr>
      </w:pPr>
    </w:p>
    <w:p>
      <w:pPr>
        <w:pStyle w:val="4"/>
        <w:spacing w:line="240" w:lineRule="auto"/>
        <w:rPr>
          <w:rFonts w:asciiTheme="minorEastAsia" w:hAnsiTheme="minorEastAsia" w:eastAsiaTheme="minorEastAsia" w:cstheme="minorEastAsia"/>
          <w:sz w:val="24"/>
        </w:rPr>
      </w:pPr>
      <w:bookmarkStart w:id="34" w:name="_Toc188808834"/>
      <w:bookmarkStart w:id="35" w:name="_Toc193126882"/>
      <w:bookmarkStart w:id="36" w:name="_Toc193187098"/>
      <w:bookmarkStart w:id="37" w:name="_Toc194663919"/>
      <w:r>
        <w:rPr>
          <w:rFonts w:hint="eastAsia" w:asciiTheme="minorEastAsia" w:hAnsiTheme="minorEastAsia" w:eastAsiaTheme="minorEastAsia" w:cstheme="minorEastAsia"/>
          <w:sz w:val="28"/>
          <w:szCs w:val="28"/>
        </w:rPr>
        <w:t>2、磋商报价一览表（格式）</w:t>
      </w:r>
      <w:bookmarkEnd w:id="34"/>
      <w:bookmarkEnd w:id="35"/>
      <w:bookmarkEnd w:id="36"/>
      <w:bookmarkEnd w:id="37"/>
      <w:r>
        <w:rPr>
          <w:rFonts w:hint="eastAsia" w:asciiTheme="minorEastAsia" w:hAnsiTheme="minorEastAsia" w:eastAsiaTheme="minorEastAsia" w:cstheme="minorEastAsia"/>
          <w:sz w:val="28"/>
          <w:szCs w:val="28"/>
        </w:rPr>
        <w:t xml:space="preserve">                                                               </w:t>
      </w:r>
    </w:p>
    <w:p>
      <w:pPr>
        <w:spacing w:line="480" w:lineRule="exact"/>
        <w:ind w:left="210" w:leftChars="100" w:right="-99" w:rightChars="-47"/>
        <w:jc w:val="center"/>
        <w:rPr>
          <w:rFonts w:asciiTheme="minorEastAsia" w:hAnsiTheme="minorEastAsia" w:eastAsiaTheme="minorEastAsia" w:cstheme="minorEastAsia"/>
          <w:b/>
          <w:bCs/>
          <w:sz w:val="36"/>
          <w:szCs w:val="21"/>
        </w:rPr>
      </w:pPr>
      <w:r>
        <w:rPr>
          <w:rFonts w:hint="eastAsia" w:asciiTheme="minorEastAsia" w:hAnsiTheme="minorEastAsia" w:eastAsiaTheme="minorEastAsia" w:cstheme="minorEastAsia"/>
          <w:b/>
          <w:bCs/>
          <w:sz w:val="36"/>
          <w:szCs w:val="21"/>
          <w:lang w:val="zh-CN"/>
        </w:rPr>
        <w:t>磋商响应报价表</w:t>
      </w:r>
    </w:p>
    <w:p>
      <w:pPr>
        <w:spacing w:line="480" w:lineRule="exact"/>
        <w:ind w:right="-99" w:rightChars="-47" w:firstLine="140" w:firstLineChars="50"/>
        <w:rPr>
          <w:rFonts w:asciiTheme="minorEastAsia" w:hAnsiTheme="minorEastAsia" w:eastAsiaTheme="minorEastAsia" w:cstheme="minorEastAsia"/>
          <w:bCs/>
          <w:kern w:val="0"/>
          <w:sz w:val="28"/>
          <w:szCs w:val="28"/>
          <w:u w:val="single"/>
        </w:rPr>
      </w:pPr>
    </w:p>
    <w:p>
      <w:pPr>
        <w:spacing w:line="480" w:lineRule="exact"/>
        <w:ind w:right="-99" w:rightChars="-47" w:firstLine="140" w:firstLineChars="5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lang w:val="zh-CN"/>
        </w:rPr>
        <w:t>项目编号:</w:t>
      </w:r>
    </w:p>
    <w:p>
      <w:pPr>
        <w:spacing w:line="480" w:lineRule="exact"/>
        <w:ind w:right="-99" w:rightChars="-47" w:firstLine="140" w:firstLineChars="50"/>
        <w:rPr>
          <w:rFonts w:asciiTheme="minorEastAsia" w:hAnsiTheme="minorEastAsia" w:eastAsiaTheme="minorEastAsia" w:cstheme="minorEastAsia"/>
          <w:bCs/>
          <w:kern w:val="0"/>
          <w:sz w:val="28"/>
          <w:szCs w:val="28"/>
          <w:u w:val="single"/>
        </w:rPr>
      </w:pPr>
      <w:r>
        <w:rPr>
          <w:rFonts w:hint="eastAsia" w:asciiTheme="minorEastAsia" w:hAnsiTheme="minorEastAsia" w:eastAsiaTheme="minorEastAsia" w:cstheme="minorEastAsia"/>
          <w:bCs/>
          <w:kern w:val="0"/>
          <w:sz w:val="28"/>
          <w:szCs w:val="28"/>
          <w:lang w:val="zh-CN"/>
        </w:rPr>
        <w:t>项目</w:t>
      </w:r>
      <w:r>
        <w:rPr>
          <w:rFonts w:hint="eastAsia" w:asciiTheme="minorEastAsia" w:hAnsiTheme="minorEastAsia" w:eastAsiaTheme="minorEastAsia" w:cstheme="minorEastAsia"/>
          <w:bCs/>
          <w:kern w:val="0"/>
          <w:sz w:val="28"/>
          <w:szCs w:val="28"/>
        </w:rPr>
        <w:t>名称</w:t>
      </w:r>
      <w:r>
        <w:rPr>
          <w:rFonts w:hint="eastAsia" w:asciiTheme="minorEastAsia" w:hAnsiTheme="minorEastAsia" w:eastAsiaTheme="minorEastAsia" w:cstheme="minorEastAsia"/>
          <w:bCs/>
          <w:kern w:val="0"/>
          <w:sz w:val="28"/>
          <w:szCs w:val="28"/>
          <w:lang w:val="zh-CN"/>
        </w:rPr>
        <w:t>:</w:t>
      </w:r>
    </w:p>
    <w:tbl>
      <w:tblPr>
        <w:tblStyle w:val="3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639" w:type="dxa"/>
            <w:vAlign w:val="center"/>
          </w:tcPr>
          <w:p>
            <w:pPr>
              <w:jc w:val="center"/>
              <w:rPr>
                <w:rFonts w:ascii="宋体" w:hAnsi="宋体" w:cs="宋体"/>
                <w:sz w:val="24"/>
              </w:rPr>
            </w:pPr>
            <w:r>
              <w:rPr>
                <w:rFonts w:hint="eastAsia" w:ascii="宋体" w:hAnsi="宋体" w:cs="宋体"/>
                <w:sz w:val="24"/>
              </w:rPr>
              <w:t>磋商总报价</w:t>
            </w:r>
          </w:p>
        </w:tc>
        <w:tc>
          <w:tcPr>
            <w:tcW w:w="6661" w:type="dxa"/>
            <w:vAlign w:val="center"/>
          </w:tcPr>
          <w:p>
            <w:pPr>
              <w:rPr>
                <w:rFonts w:ascii="宋体" w:hAnsi="宋体" w:cs="宋体"/>
                <w:sz w:val="24"/>
              </w:rPr>
            </w:pPr>
            <w:r>
              <w:rPr>
                <w:rFonts w:hint="eastAsia" w:ascii="宋体" w:hAnsi="宋体" w:cs="宋体"/>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39" w:type="dxa"/>
            <w:vAlign w:val="center"/>
          </w:tcPr>
          <w:p>
            <w:pPr>
              <w:jc w:val="center"/>
              <w:rPr>
                <w:rFonts w:ascii="宋体" w:hAnsi="宋体" w:cs="宋体"/>
                <w:sz w:val="24"/>
              </w:rPr>
            </w:pPr>
            <w:r>
              <w:rPr>
                <w:rFonts w:hint="eastAsia" w:ascii="宋体" w:hAnsi="宋体" w:cs="宋体"/>
                <w:color w:val="auto"/>
                <w:sz w:val="24"/>
              </w:rPr>
              <w:t>服务期</w:t>
            </w:r>
          </w:p>
        </w:tc>
        <w:tc>
          <w:tcPr>
            <w:tcW w:w="666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39" w:type="dxa"/>
            <w:vAlign w:val="center"/>
          </w:tcPr>
          <w:p>
            <w:pPr>
              <w:jc w:val="center"/>
              <w:rPr>
                <w:rFonts w:ascii="宋体" w:hAnsi="宋体" w:cs="宋体"/>
                <w:sz w:val="24"/>
              </w:rPr>
            </w:pPr>
            <w:r>
              <w:rPr>
                <w:rFonts w:hint="eastAsia" w:ascii="宋体" w:hAnsi="宋体" w:cs="宋体"/>
                <w:sz w:val="24"/>
              </w:rPr>
              <w:t>项目负责人</w:t>
            </w:r>
          </w:p>
        </w:tc>
        <w:tc>
          <w:tcPr>
            <w:tcW w:w="666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9300" w:type="dxa"/>
            <w:gridSpan w:val="2"/>
            <w:vAlign w:val="center"/>
          </w:tcPr>
          <w:p>
            <w:pPr>
              <w:spacing w:line="360" w:lineRule="auto"/>
              <w:jc w:val="left"/>
              <w:rPr>
                <w:rFonts w:ascii="宋体" w:hAnsi="宋体" w:cs="宋体"/>
                <w:sz w:val="24"/>
              </w:rPr>
            </w:pPr>
            <w:r>
              <w:rPr>
                <w:rFonts w:hint="eastAsia" w:ascii="宋体" w:hAnsi="宋体" w:cs="宋体"/>
                <w:sz w:val="24"/>
              </w:rPr>
              <w:t>报价声明：总报价中已包含完成本项目所需的一切费用</w:t>
            </w:r>
            <w:r>
              <w:rPr>
                <w:rFonts w:hint="eastAsia" w:ascii="仿宋" w:hAnsi="仿宋" w:eastAsia="仿宋" w:cs="仿宋"/>
                <w:sz w:val="24"/>
                <w:lang w:val="zh-CN"/>
              </w:rPr>
              <w:t>。</w:t>
            </w:r>
            <w:r>
              <w:rPr>
                <w:rFonts w:hint="eastAsia" w:ascii="宋体" w:hAnsi="宋体" w:cs="宋体"/>
                <w:sz w:val="24"/>
              </w:rPr>
              <w:t>在工作中出现任何遗漏，均由成交供应商免费提供，采购人将不再支付任何费用。</w:t>
            </w:r>
          </w:p>
        </w:tc>
      </w:tr>
    </w:tbl>
    <w:p>
      <w:pPr>
        <w:spacing w:line="300" w:lineRule="exact"/>
        <w:ind w:right="-99" w:rightChars="-47" w:firstLine="360" w:firstLineChars="150"/>
        <w:rPr>
          <w:rFonts w:asciiTheme="minorEastAsia" w:hAnsiTheme="minorEastAsia" w:eastAsiaTheme="minorEastAsia" w:cstheme="minorEastAsia"/>
          <w:sz w:val="24"/>
        </w:rPr>
      </w:pPr>
    </w:p>
    <w:p>
      <w:pPr>
        <w:spacing w:line="400" w:lineRule="exact"/>
        <w:ind w:right="-99"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注：1、本表价格应按磋商总价填写，同时应保证磋商响应文件的正、副本中仍有此表且一致。</w:t>
      </w:r>
    </w:p>
    <w:p>
      <w:pPr>
        <w:spacing w:line="400" w:lineRule="exact"/>
        <w:ind w:right="-99" w:rightChars="-47"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2、此表中任何信息与响应文件其他处不一致时以此表为准。</w:t>
      </w:r>
    </w:p>
    <w:p>
      <w:pPr>
        <w:spacing w:line="400" w:lineRule="exact"/>
        <w:ind w:right="-99" w:rightChars="-47"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3、报价精确到小数点后两位。</w:t>
      </w:r>
    </w:p>
    <w:p>
      <w:pPr>
        <w:spacing w:line="480" w:lineRule="exact"/>
        <w:ind w:right="-99" w:rightChars="-47"/>
        <w:rPr>
          <w:rFonts w:asciiTheme="minorEastAsia" w:hAnsiTheme="minorEastAsia" w:eastAsiaTheme="minorEastAsia" w:cstheme="minorEastAsia"/>
        </w:rPr>
      </w:pPr>
    </w:p>
    <w:p>
      <w:pPr>
        <w:spacing w:line="360" w:lineRule="auto"/>
        <w:ind w:firstLine="2160" w:firstLineChars="900"/>
        <w:rPr>
          <w:rFonts w:asciiTheme="minorEastAsia" w:hAnsiTheme="minorEastAsia" w:eastAsiaTheme="minorEastAsia" w:cstheme="minorEastAsia"/>
          <w:sz w:val="24"/>
        </w:rPr>
      </w:pPr>
    </w:p>
    <w:p>
      <w:pPr>
        <w:spacing w:line="360" w:lineRule="auto"/>
        <w:ind w:firstLine="2160" w:firstLineChars="900"/>
        <w:rPr>
          <w:rFonts w:asciiTheme="minorEastAsia" w:hAnsiTheme="minorEastAsia" w:eastAsiaTheme="minorEastAsia" w:cstheme="minorEastAsia"/>
          <w:sz w:val="24"/>
        </w:rPr>
      </w:pPr>
    </w:p>
    <w:p>
      <w:pPr>
        <w:spacing w:line="360" w:lineRule="auto"/>
        <w:ind w:firstLine="2160" w:firstLineChars="9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法定代表人或授权代表（签字或盖章）：</w:t>
      </w:r>
    </w:p>
    <w:p>
      <w:pPr>
        <w:autoSpaceDE w:val="0"/>
        <w:autoSpaceDN w:val="0"/>
        <w:adjustRightInd w:val="0"/>
        <w:spacing w:line="360" w:lineRule="auto"/>
        <w:ind w:firstLine="240" w:firstLineChars="1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sz w:val="24"/>
        </w:rPr>
        <w:t xml:space="preserve">                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spacing w:line="300" w:lineRule="exact"/>
        <w:ind w:right="-99" w:rightChars="-47" w:firstLine="315" w:firstLineChars="150"/>
        <w:rPr>
          <w:rFonts w:asciiTheme="minorEastAsia" w:hAnsiTheme="minorEastAsia" w:eastAsiaTheme="minorEastAsia" w:cstheme="minorEastAsia"/>
          <w:u w:val="single"/>
        </w:rPr>
      </w:pPr>
    </w:p>
    <w:p>
      <w:pPr>
        <w:spacing w:line="300" w:lineRule="exact"/>
        <w:ind w:right="-99" w:rightChars="-47" w:firstLine="315" w:firstLineChars="150"/>
        <w:rPr>
          <w:rFonts w:asciiTheme="minorEastAsia" w:hAnsiTheme="minorEastAsia" w:eastAsiaTheme="minorEastAsia" w:cstheme="minorEastAsia"/>
          <w:u w:val="single"/>
        </w:rPr>
      </w:pPr>
    </w:p>
    <w:p>
      <w:pPr>
        <w:spacing w:line="300" w:lineRule="exact"/>
        <w:ind w:right="-99" w:rightChars="-47" w:firstLine="315" w:firstLineChars="150"/>
        <w:rPr>
          <w:rFonts w:asciiTheme="minorEastAsia" w:hAnsiTheme="minorEastAsia" w:eastAsiaTheme="minorEastAsia" w:cstheme="minorEastAsia"/>
          <w:u w:val="single"/>
        </w:rPr>
      </w:pPr>
    </w:p>
    <w:p>
      <w:pPr>
        <w:spacing w:line="300" w:lineRule="exact"/>
        <w:ind w:right="-99" w:rightChars="-47" w:firstLine="315" w:firstLineChars="150"/>
        <w:rPr>
          <w:rFonts w:asciiTheme="minorEastAsia" w:hAnsiTheme="minorEastAsia" w:eastAsiaTheme="minorEastAsia" w:cstheme="minorEastAsia"/>
          <w:u w:val="single"/>
        </w:rPr>
      </w:pPr>
    </w:p>
    <w:p>
      <w:pPr>
        <w:spacing w:line="300" w:lineRule="exact"/>
        <w:ind w:right="-99" w:rightChars="-47" w:firstLine="315" w:firstLineChars="150"/>
        <w:rPr>
          <w:rFonts w:asciiTheme="minorEastAsia" w:hAnsiTheme="minorEastAsia" w:eastAsiaTheme="minorEastAsia" w:cstheme="minorEastAsia"/>
          <w:u w:val="single"/>
        </w:rPr>
      </w:pPr>
    </w:p>
    <w:p>
      <w:pPr>
        <w:spacing w:line="300" w:lineRule="exact"/>
        <w:ind w:right="-99" w:rightChars="-47" w:firstLine="315" w:firstLineChars="150"/>
        <w:rPr>
          <w:rFonts w:asciiTheme="minorEastAsia" w:hAnsiTheme="minorEastAsia" w:eastAsiaTheme="minorEastAsia" w:cstheme="minorEastAsia"/>
          <w:u w:val="single"/>
        </w:rPr>
      </w:pPr>
    </w:p>
    <w:p>
      <w:pPr>
        <w:pStyle w:val="12"/>
        <w:rPr>
          <w:rFonts w:asciiTheme="minorEastAsia" w:hAnsiTheme="minorEastAsia" w:eastAsiaTheme="minorEastAsia" w:cstheme="minorEastAsia"/>
          <w:u w:val="single"/>
        </w:rPr>
      </w:pPr>
    </w:p>
    <w:p>
      <w:pPr>
        <w:rPr>
          <w:rFonts w:asciiTheme="minorEastAsia" w:hAnsiTheme="minorEastAsia" w:eastAsiaTheme="minorEastAsia" w:cstheme="minorEastAsia"/>
        </w:rPr>
      </w:pPr>
    </w:p>
    <w:p>
      <w:pPr>
        <w:spacing w:line="300" w:lineRule="exact"/>
        <w:ind w:right="-99" w:rightChars="-47" w:firstLine="315" w:firstLineChars="150"/>
        <w:rPr>
          <w:rFonts w:asciiTheme="minorEastAsia" w:hAnsiTheme="minorEastAsia" w:eastAsiaTheme="minorEastAsia" w:cstheme="minorEastAsia"/>
          <w:u w:val="single"/>
        </w:rPr>
      </w:pPr>
    </w:p>
    <w:p>
      <w:pPr>
        <w:spacing w:line="300" w:lineRule="exact"/>
        <w:ind w:right="-99" w:rightChars="-47" w:firstLine="315" w:firstLineChars="150"/>
        <w:rPr>
          <w:rFonts w:asciiTheme="minorEastAsia" w:hAnsiTheme="minorEastAsia" w:eastAsiaTheme="minorEastAsia" w:cstheme="minorEastAsia"/>
          <w:u w:val="single"/>
        </w:rPr>
      </w:pPr>
    </w:p>
    <w:p>
      <w:pPr>
        <w:spacing w:line="300" w:lineRule="exact"/>
        <w:ind w:right="-99" w:rightChars="-47" w:firstLine="315" w:firstLineChars="150"/>
        <w:rPr>
          <w:rFonts w:asciiTheme="minorEastAsia" w:hAnsiTheme="minorEastAsia" w:eastAsiaTheme="minorEastAsia" w:cstheme="minorEastAsia"/>
          <w:u w:val="single"/>
        </w:rPr>
      </w:pPr>
    </w:p>
    <w:p>
      <w:pPr>
        <w:spacing w:line="480" w:lineRule="exact"/>
        <w:ind w:left="210" w:leftChars="100" w:right="-99" w:rightChars="-47"/>
        <w:jc w:val="center"/>
        <w:rPr>
          <w:rFonts w:hint="eastAsia" w:asciiTheme="minorEastAsia" w:hAnsiTheme="minorEastAsia" w:eastAsiaTheme="minorEastAsia" w:cstheme="minorEastAsia"/>
          <w:b/>
          <w:bCs/>
          <w:sz w:val="36"/>
          <w:szCs w:val="21"/>
          <w:lang w:val="zh-CN" w:eastAsia="zh-CN"/>
        </w:rPr>
      </w:pPr>
      <w:r>
        <w:rPr>
          <w:rFonts w:hint="eastAsia" w:asciiTheme="minorEastAsia" w:hAnsiTheme="minorEastAsia" w:eastAsiaTheme="minorEastAsia" w:cstheme="minorEastAsia"/>
          <w:b/>
          <w:bCs/>
          <w:sz w:val="36"/>
          <w:szCs w:val="21"/>
          <w:lang w:val="zh-CN" w:eastAsia="zh-CN"/>
        </w:rPr>
        <w:t>分项报价表</w:t>
      </w:r>
    </w:p>
    <w:tbl>
      <w:tblPr>
        <w:tblStyle w:val="36"/>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792"/>
        <w:gridCol w:w="3266"/>
        <w:gridCol w:w="972"/>
        <w:gridCol w:w="1370"/>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r>
              <w:rPr>
                <w:rFonts w:hint="eastAsia" w:asciiTheme="minorEastAsia" w:hAnsiTheme="minorEastAsia" w:eastAsiaTheme="minorEastAsia" w:cstheme="minorEastAsia"/>
                <w:b w:val="0"/>
                <w:bCs w:val="0"/>
                <w:sz w:val="21"/>
                <w:szCs w:val="21"/>
                <w:vertAlign w:val="baseline"/>
                <w:lang w:val="zh-CN" w:eastAsia="zh-CN"/>
              </w:rPr>
              <w:t>序号</w:t>
            </w: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r>
              <w:rPr>
                <w:rFonts w:hint="eastAsia" w:asciiTheme="minorEastAsia" w:hAnsiTheme="minorEastAsia" w:eastAsiaTheme="minorEastAsia" w:cstheme="minorEastAsia"/>
                <w:b w:val="0"/>
                <w:bCs w:val="0"/>
                <w:sz w:val="21"/>
                <w:szCs w:val="21"/>
                <w:vertAlign w:val="baseline"/>
                <w:lang w:val="zh-CN" w:eastAsia="zh-CN"/>
              </w:rPr>
              <w:t>费用名称</w:t>
            </w: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r>
              <w:rPr>
                <w:rFonts w:hint="eastAsia" w:asciiTheme="minorEastAsia" w:hAnsiTheme="minorEastAsia" w:eastAsiaTheme="minorEastAsia" w:cstheme="minorEastAsia"/>
                <w:b w:val="0"/>
                <w:bCs w:val="0"/>
                <w:sz w:val="21"/>
                <w:szCs w:val="21"/>
                <w:vertAlign w:val="baseline"/>
                <w:lang w:val="zh-CN" w:eastAsia="zh-CN"/>
              </w:rPr>
              <w:t>费用描述</w:t>
            </w: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r>
              <w:rPr>
                <w:rFonts w:hint="eastAsia" w:asciiTheme="minorEastAsia" w:hAnsiTheme="minorEastAsia" w:eastAsiaTheme="minorEastAsia" w:cstheme="minorEastAsia"/>
                <w:b w:val="0"/>
                <w:bCs w:val="0"/>
                <w:sz w:val="21"/>
                <w:szCs w:val="21"/>
                <w:vertAlign w:val="baseline"/>
                <w:lang w:val="zh-CN" w:eastAsia="zh-CN"/>
              </w:rPr>
              <w:t>数量</w:t>
            </w: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r>
              <w:rPr>
                <w:rFonts w:hint="eastAsia" w:asciiTheme="minorEastAsia" w:hAnsiTheme="minorEastAsia" w:eastAsiaTheme="minorEastAsia" w:cstheme="minorEastAsia"/>
                <w:b w:val="0"/>
                <w:bCs w:val="0"/>
                <w:sz w:val="21"/>
                <w:szCs w:val="21"/>
                <w:vertAlign w:val="baseline"/>
                <w:lang w:val="zh-CN" w:eastAsia="zh-CN"/>
              </w:rPr>
              <w:t>单价</w:t>
            </w: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r>
              <w:rPr>
                <w:rFonts w:hint="eastAsia" w:asciiTheme="minorEastAsia" w:hAnsiTheme="minorEastAsia" w:eastAsiaTheme="minorEastAsia" w:cstheme="minorEastAsia"/>
                <w:b w:val="0"/>
                <w:bCs w:val="0"/>
                <w:sz w:val="21"/>
                <w:szCs w:val="21"/>
                <w:vertAlign w:val="baseline"/>
                <w:lang w:val="zh-CN"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5"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79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3266"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972"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370"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15" w:type="dxa"/>
            <w:gridSpan w:val="5"/>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r>
              <w:rPr>
                <w:rFonts w:hint="eastAsia" w:asciiTheme="minorEastAsia" w:hAnsiTheme="minorEastAsia" w:eastAsiaTheme="minorEastAsia" w:cstheme="minorEastAsia"/>
                <w:b w:val="0"/>
                <w:bCs w:val="0"/>
                <w:sz w:val="21"/>
                <w:szCs w:val="21"/>
                <w:vertAlign w:val="baseline"/>
                <w:lang w:val="zh-CN" w:eastAsia="zh-CN"/>
              </w:rPr>
              <w:t>总计</w:t>
            </w:r>
          </w:p>
        </w:tc>
        <w:tc>
          <w:tcPr>
            <w:tcW w:w="1483" w:type="dxa"/>
            <w:vAlign w:val="center"/>
          </w:tcPr>
          <w:p>
            <w:pPr>
              <w:pStyle w:val="24"/>
              <w:jc w:val="center"/>
              <w:rPr>
                <w:rFonts w:hint="eastAsia" w:asciiTheme="minorEastAsia" w:hAnsiTheme="minorEastAsia" w:eastAsiaTheme="minorEastAsia" w:cstheme="minorEastAsia"/>
                <w:b w:val="0"/>
                <w:bCs w:val="0"/>
                <w:sz w:val="21"/>
                <w:szCs w:val="21"/>
                <w:vertAlign w:val="baseline"/>
                <w:lang w:val="zh-CN" w:eastAsia="zh-CN"/>
              </w:rPr>
            </w:pPr>
          </w:p>
        </w:tc>
      </w:tr>
    </w:tbl>
    <w:p>
      <w:pPr>
        <w:pStyle w:val="24"/>
        <w:rPr>
          <w:rFonts w:hint="eastAsia" w:asciiTheme="minorEastAsia" w:hAnsiTheme="minorEastAsia" w:eastAsiaTheme="minorEastAsia" w:cstheme="minorEastAsia"/>
          <w:b/>
          <w:bCs/>
          <w:sz w:val="36"/>
          <w:szCs w:val="21"/>
          <w:lang w:val="zh-CN" w:eastAsia="zh-CN"/>
        </w:rPr>
      </w:pPr>
    </w:p>
    <w:p>
      <w:pPr>
        <w:rPr>
          <w:rFonts w:hint="eastAsia" w:asciiTheme="minorEastAsia" w:hAnsiTheme="minorEastAsia" w:eastAsiaTheme="minorEastAsia" w:cstheme="minorEastAsia"/>
          <w:b/>
          <w:bCs/>
          <w:sz w:val="36"/>
          <w:szCs w:val="21"/>
          <w:lang w:val="zh-CN" w:eastAsia="zh-CN"/>
        </w:rPr>
      </w:pPr>
    </w:p>
    <w:p>
      <w:pPr>
        <w:spacing w:line="360" w:lineRule="auto"/>
        <w:ind w:firstLine="4560" w:firstLineChars="19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法定代表人或授权代表（签字或盖章）：</w:t>
      </w:r>
    </w:p>
    <w:p>
      <w:pPr>
        <w:autoSpaceDE w:val="0"/>
        <w:autoSpaceDN w:val="0"/>
        <w:adjustRightInd w:val="0"/>
        <w:spacing w:line="360" w:lineRule="auto"/>
        <w:ind w:firstLine="240" w:firstLineChars="1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pStyle w:val="24"/>
        <w:rPr>
          <w:rFonts w:hint="eastAsia" w:asciiTheme="minorEastAsia" w:hAnsiTheme="minorEastAsia" w:eastAsiaTheme="minorEastAsia" w:cstheme="minorEastAsia"/>
          <w:b/>
          <w:bCs/>
          <w:sz w:val="36"/>
          <w:szCs w:val="21"/>
          <w:lang w:val="zh-CN" w:eastAsia="zh-CN"/>
        </w:rPr>
      </w:pPr>
    </w:p>
    <w:p>
      <w:pPr>
        <w:rPr>
          <w:rFonts w:hint="eastAsia" w:asciiTheme="minorEastAsia" w:hAnsiTheme="minorEastAsia" w:eastAsiaTheme="minorEastAsia" w:cstheme="minorEastAsia"/>
          <w:b/>
          <w:bCs/>
          <w:sz w:val="36"/>
          <w:szCs w:val="21"/>
          <w:lang w:val="zh-CN" w:eastAsia="zh-CN"/>
        </w:rPr>
      </w:pPr>
    </w:p>
    <w:p>
      <w:pPr>
        <w:spacing w:line="300" w:lineRule="exact"/>
        <w:ind w:right="-99" w:rightChars="-47" w:firstLine="315" w:firstLineChars="150"/>
        <w:rPr>
          <w:rFonts w:asciiTheme="minorEastAsia" w:hAnsiTheme="minorEastAsia" w:eastAsiaTheme="minorEastAsia" w:cstheme="minorEastAsia"/>
          <w:u w:val="single"/>
        </w:rPr>
      </w:pPr>
    </w:p>
    <w:p>
      <w:pPr>
        <w:spacing w:line="300" w:lineRule="exact"/>
        <w:ind w:right="-99" w:rightChars="-47" w:firstLine="422" w:firstLineChars="15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3、</w:t>
      </w:r>
      <w:r>
        <w:rPr>
          <w:rFonts w:hint="eastAsia" w:asciiTheme="minorEastAsia" w:hAnsiTheme="minorEastAsia" w:eastAsiaTheme="minorEastAsia" w:cstheme="minorEastAsia"/>
          <w:b/>
          <w:bCs/>
          <w:sz w:val="28"/>
          <w:szCs w:val="28"/>
          <w:lang w:eastAsia="zh-CN"/>
        </w:rPr>
        <w:t>技术、商务</w:t>
      </w:r>
      <w:r>
        <w:rPr>
          <w:rFonts w:hint="eastAsia" w:asciiTheme="minorEastAsia" w:hAnsiTheme="minorEastAsia" w:eastAsiaTheme="minorEastAsia" w:cstheme="minorEastAsia"/>
          <w:b/>
          <w:bCs/>
          <w:sz w:val="28"/>
          <w:szCs w:val="28"/>
        </w:rPr>
        <w:t>偏离表（格式）</w:t>
      </w:r>
    </w:p>
    <w:p>
      <w:pPr>
        <w:spacing w:line="480" w:lineRule="exact"/>
        <w:ind w:right="-99" w:rightChars="-47"/>
        <w:jc w:val="center"/>
        <w:rPr>
          <w:rFonts w:asciiTheme="minorEastAsia" w:hAnsiTheme="minorEastAsia" w:eastAsiaTheme="minorEastAsia" w:cstheme="minorEastAsia"/>
          <w:b/>
          <w:bCs/>
          <w:sz w:val="36"/>
          <w:szCs w:val="21"/>
        </w:rPr>
      </w:pPr>
      <w:r>
        <w:rPr>
          <w:rFonts w:hint="eastAsia" w:asciiTheme="minorEastAsia" w:hAnsiTheme="minorEastAsia" w:eastAsiaTheme="minorEastAsia" w:cstheme="minorEastAsia"/>
          <w:b/>
          <w:bCs/>
          <w:sz w:val="36"/>
          <w:szCs w:val="21"/>
          <w:lang w:eastAsia="zh-CN"/>
        </w:rPr>
        <w:t>技术</w:t>
      </w:r>
      <w:r>
        <w:rPr>
          <w:rFonts w:hint="eastAsia" w:asciiTheme="minorEastAsia" w:hAnsiTheme="minorEastAsia" w:eastAsiaTheme="minorEastAsia" w:cstheme="minorEastAsia"/>
          <w:b/>
          <w:bCs/>
          <w:sz w:val="36"/>
          <w:szCs w:val="21"/>
        </w:rPr>
        <w:t>偏离表</w:t>
      </w:r>
    </w:p>
    <w:p>
      <w:pPr>
        <w:spacing w:line="480" w:lineRule="exact"/>
        <w:ind w:right="-99" w:rightChars="-4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项目编号：</w:t>
      </w:r>
      <w:r>
        <w:rPr>
          <w:rFonts w:hint="eastAsia" w:asciiTheme="minorEastAsia" w:hAnsiTheme="minorEastAsia" w:eastAsiaTheme="minorEastAsia" w:cstheme="minorEastAsia"/>
          <w:sz w:val="28"/>
          <w:szCs w:val="28"/>
          <w:u w:val="single"/>
        </w:rPr>
        <w:t xml:space="preserve">              </w:t>
      </w:r>
    </w:p>
    <w:tbl>
      <w:tblPr>
        <w:tblStyle w:val="35"/>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序号</w:t>
            </w:r>
          </w:p>
        </w:tc>
        <w:tc>
          <w:tcPr>
            <w:tcW w:w="2678"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竞争性磋商文件</w:t>
            </w:r>
          </w:p>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要求</w:t>
            </w:r>
          </w:p>
        </w:tc>
        <w:tc>
          <w:tcPr>
            <w:tcW w:w="2700"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竞争性磋商响应文件</w:t>
            </w:r>
          </w:p>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要求响应</w:t>
            </w:r>
          </w:p>
        </w:tc>
        <w:tc>
          <w:tcPr>
            <w:tcW w:w="1650"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偏离情况</w:t>
            </w:r>
          </w:p>
        </w:tc>
        <w:tc>
          <w:tcPr>
            <w:tcW w:w="1438" w:type="dxa"/>
            <w:vAlign w:val="center"/>
          </w:tcPr>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tcBorders>
              <w:bottom w:val="single" w:color="auto" w:sz="4" w:space="0"/>
            </w:tcBorders>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tcBorders>
              <w:bottom w:val="single" w:color="auto" w:sz="4" w:space="0"/>
            </w:tcBorders>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bl>
    <w:p>
      <w:pPr>
        <w:spacing w:line="480" w:lineRule="exact"/>
        <w:ind w:right="-99"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声明：</w:t>
      </w:r>
    </w:p>
    <w:p>
      <w:pPr>
        <w:spacing w:line="480" w:lineRule="exact"/>
        <w:ind w:right="-99" w:rightChars="-47"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1、供应商应逐条响应磋商文件中的技术要求，并在表中逐项列明。</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中技术响应与</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要求完全一致的，不用在此表中列出，但必须提交空白表。</w:t>
      </w:r>
    </w:p>
    <w:p>
      <w:pPr>
        <w:spacing w:line="480" w:lineRule="exact"/>
        <w:ind w:right="-99" w:rightChars="-47"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2、在“偏离情况”栏填入“无偏离”、“正偏离”和“负偏离”字样。</w:t>
      </w:r>
    </w:p>
    <w:p>
      <w:pPr>
        <w:spacing w:line="480" w:lineRule="exact"/>
        <w:ind w:right="-99" w:rightChars="-47" w:firstLine="480" w:firstLineChars="200"/>
        <w:rPr>
          <w:rFonts w:asciiTheme="minorEastAsia" w:hAnsiTheme="minorEastAsia" w:eastAsiaTheme="minorEastAsia" w:cstheme="minorEastAsia"/>
          <w:sz w:val="24"/>
        </w:rPr>
      </w:pPr>
    </w:p>
    <w:p>
      <w:pPr>
        <w:spacing w:line="480" w:lineRule="exact"/>
        <w:ind w:right="-99" w:rightChars="-47" w:firstLine="480" w:firstLineChars="200"/>
        <w:rPr>
          <w:rFonts w:asciiTheme="minorEastAsia" w:hAnsiTheme="minorEastAsia" w:eastAsiaTheme="minorEastAsia" w:cstheme="minorEastAsia"/>
          <w:sz w:val="24"/>
        </w:rPr>
      </w:pPr>
    </w:p>
    <w:p>
      <w:pPr>
        <w:spacing w:line="360" w:lineRule="auto"/>
        <w:ind w:firstLine="2160" w:firstLineChars="9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法定代表人或授权代表（签字或盖章）：</w:t>
      </w:r>
    </w:p>
    <w:p>
      <w:pPr>
        <w:autoSpaceDE w:val="0"/>
        <w:autoSpaceDN w:val="0"/>
        <w:adjustRightInd w:val="0"/>
        <w:spacing w:line="360" w:lineRule="auto"/>
        <w:ind w:firstLine="240" w:firstLineChars="1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sz w:val="24"/>
        </w:rPr>
        <w:t xml:space="preserve">                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spacing w:line="480" w:lineRule="exact"/>
        <w:ind w:right="-99" w:rightChars="-47"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p>
    <w:p>
      <w:pPr>
        <w:spacing w:line="480" w:lineRule="exact"/>
        <w:ind w:right="-99" w:rightChars="-47"/>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bookmarkStart w:id="38" w:name="_Toc49019497"/>
      <w:bookmarkStart w:id="39" w:name="_Toc49019236"/>
      <w:bookmarkStart w:id="40" w:name="_Toc47262069"/>
      <w:bookmarkStart w:id="41" w:name="_Toc47261690"/>
      <w:bookmarkStart w:id="42" w:name="_Toc47418255"/>
      <w:bookmarkStart w:id="43" w:name="_Toc48995851"/>
      <w:bookmarkStart w:id="44" w:name="_Toc48791235"/>
      <w:bookmarkStart w:id="45" w:name="_Toc47418731"/>
      <w:bookmarkStart w:id="46" w:name="_Toc47418938"/>
      <w:bookmarkStart w:id="47" w:name="_Toc47261885"/>
      <w:bookmarkStart w:id="48" w:name="_Toc193187104"/>
      <w:bookmarkStart w:id="49" w:name="_Toc188808839"/>
      <w:bookmarkStart w:id="50" w:name="_Toc194663925"/>
      <w:bookmarkStart w:id="51" w:name="_Toc193126888"/>
    </w:p>
    <w:p>
      <w:pPr>
        <w:pStyle w:val="51"/>
        <w:rPr>
          <w:rFonts w:asciiTheme="minorEastAsia" w:hAnsiTheme="minorEastAsia" w:eastAsiaTheme="minorEastAsia" w:cstheme="minorEastAsia"/>
        </w:rPr>
      </w:pPr>
    </w:p>
    <w:p>
      <w:pPr>
        <w:spacing w:line="480" w:lineRule="exact"/>
        <w:ind w:right="-99" w:rightChars="-47"/>
        <w:jc w:val="center"/>
        <w:rPr>
          <w:rFonts w:asciiTheme="minorEastAsia" w:hAnsiTheme="minorEastAsia" w:eastAsiaTheme="minorEastAsia" w:cstheme="minorEastAsia"/>
          <w:b/>
          <w:bCs/>
          <w:sz w:val="36"/>
          <w:szCs w:val="21"/>
        </w:rPr>
      </w:pPr>
      <w:r>
        <w:rPr>
          <w:rFonts w:hint="eastAsia" w:asciiTheme="minorEastAsia" w:hAnsiTheme="minorEastAsia" w:eastAsiaTheme="minorEastAsia" w:cstheme="minorEastAsia"/>
          <w:b/>
          <w:bCs/>
          <w:sz w:val="36"/>
          <w:szCs w:val="21"/>
        </w:rPr>
        <w:t>商务偏离表</w:t>
      </w:r>
    </w:p>
    <w:p>
      <w:pPr>
        <w:spacing w:line="480" w:lineRule="exact"/>
        <w:ind w:right="-99" w:rightChars="-4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项目编号：</w:t>
      </w:r>
      <w:r>
        <w:rPr>
          <w:rFonts w:hint="eastAsia" w:asciiTheme="minorEastAsia" w:hAnsiTheme="minorEastAsia" w:eastAsiaTheme="minorEastAsia" w:cstheme="minorEastAsia"/>
          <w:sz w:val="28"/>
          <w:szCs w:val="28"/>
          <w:u w:val="single"/>
        </w:rPr>
        <w:t xml:space="preserve">              </w:t>
      </w:r>
    </w:p>
    <w:tbl>
      <w:tblPr>
        <w:tblStyle w:val="35"/>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序号</w:t>
            </w:r>
          </w:p>
        </w:tc>
        <w:tc>
          <w:tcPr>
            <w:tcW w:w="2678"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竞争性磋商文件</w:t>
            </w:r>
          </w:p>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商务要求</w:t>
            </w:r>
          </w:p>
        </w:tc>
        <w:tc>
          <w:tcPr>
            <w:tcW w:w="2700"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竞争性磋商响应文件</w:t>
            </w:r>
          </w:p>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商务响应</w:t>
            </w:r>
          </w:p>
        </w:tc>
        <w:tc>
          <w:tcPr>
            <w:tcW w:w="1650"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偏离情况</w:t>
            </w:r>
          </w:p>
        </w:tc>
        <w:tc>
          <w:tcPr>
            <w:tcW w:w="1438" w:type="dxa"/>
            <w:vAlign w:val="center"/>
          </w:tcPr>
          <w:p>
            <w:pPr>
              <w:spacing w:line="480" w:lineRule="exact"/>
              <w:ind w:right="-99" w:rightChars="-47"/>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tcBorders>
              <w:bottom w:val="single" w:color="auto" w:sz="4" w:space="0"/>
            </w:tcBorders>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tcBorders>
              <w:bottom w:val="single" w:color="auto" w:sz="4" w:space="0"/>
            </w:tcBorders>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sz w:val="28"/>
                <w:szCs w:val="28"/>
              </w:rPr>
            </w:pPr>
          </w:p>
        </w:tc>
      </w:tr>
    </w:tbl>
    <w:p>
      <w:pPr>
        <w:spacing w:line="480" w:lineRule="exact"/>
        <w:ind w:right="-99"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声明：</w:t>
      </w:r>
    </w:p>
    <w:p>
      <w:pPr>
        <w:spacing w:line="480" w:lineRule="exact"/>
        <w:ind w:right="-99" w:rightChars="-47"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1、供应商如有商务偏离，在表中逐项列明。除本商务偏离表中所列的偏离项目外，其它所有商务响应均完全响应招标文件中的要求。</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中技术响应与</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要求完全一致的，不用在此表中列出，但必须提交空白表。</w:t>
      </w:r>
    </w:p>
    <w:p>
      <w:pPr>
        <w:spacing w:line="480" w:lineRule="exact"/>
        <w:ind w:right="-99" w:rightChars="-47"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2、如供应商全部响应招标文件商务要求，在“竞争性磋商文件商务要求”及“竞争性磋商响应文件商务响应”栏中填写“全部”字样，在“偏离情况”栏填入“无偏离”字样。</w:t>
      </w:r>
    </w:p>
    <w:p>
      <w:pPr>
        <w:spacing w:line="480" w:lineRule="exact"/>
        <w:ind w:right="-99" w:rightChars="-47" w:firstLine="480" w:firstLineChars="200"/>
        <w:rPr>
          <w:rFonts w:asciiTheme="minorEastAsia" w:hAnsiTheme="minorEastAsia" w:eastAsiaTheme="minorEastAsia" w:cstheme="minorEastAsia"/>
          <w:sz w:val="24"/>
        </w:rPr>
      </w:pPr>
    </w:p>
    <w:p>
      <w:pPr>
        <w:spacing w:line="480" w:lineRule="exact"/>
        <w:ind w:right="-99" w:rightChars="-47" w:firstLine="480" w:firstLineChars="200"/>
        <w:rPr>
          <w:rFonts w:asciiTheme="minorEastAsia" w:hAnsiTheme="minorEastAsia" w:eastAsiaTheme="minorEastAsia" w:cstheme="minorEastAsia"/>
          <w:sz w:val="24"/>
        </w:rPr>
      </w:pPr>
    </w:p>
    <w:p>
      <w:pPr>
        <w:spacing w:line="360" w:lineRule="auto"/>
        <w:ind w:firstLine="2160" w:firstLineChars="9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法定代表人或授权代表（签字或盖章）：</w:t>
      </w:r>
    </w:p>
    <w:p>
      <w:pPr>
        <w:autoSpaceDE w:val="0"/>
        <w:autoSpaceDN w:val="0"/>
        <w:adjustRightInd w:val="0"/>
        <w:spacing w:line="360" w:lineRule="auto"/>
        <w:ind w:firstLine="240" w:firstLineChars="1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sz w:val="24"/>
        </w:rPr>
        <w:t xml:space="preserve">                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spacing w:line="480" w:lineRule="exact"/>
        <w:ind w:right="-99" w:rightChars="-47"/>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p>
    <w:p>
      <w:pPr>
        <w:rPr>
          <w:rFonts w:asciiTheme="minorEastAsia" w:hAnsiTheme="minorEastAsia" w:eastAsiaTheme="minorEastAsia" w:cstheme="minorEastAsia"/>
        </w:rPr>
      </w:pPr>
    </w:p>
    <w:p>
      <w:pPr>
        <w:pStyle w:val="4"/>
        <w:spacing w:line="24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4、法定代表人授权书</w:t>
      </w:r>
      <w:bookmarkEnd w:id="38"/>
      <w:bookmarkEnd w:id="39"/>
      <w:bookmarkEnd w:id="40"/>
      <w:bookmarkEnd w:id="41"/>
      <w:bookmarkEnd w:id="42"/>
      <w:bookmarkEnd w:id="43"/>
      <w:bookmarkEnd w:id="44"/>
      <w:bookmarkEnd w:id="45"/>
      <w:bookmarkEnd w:id="46"/>
      <w:bookmarkEnd w:id="47"/>
      <w:r>
        <w:rPr>
          <w:rFonts w:hint="eastAsia" w:asciiTheme="minorEastAsia" w:hAnsiTheme="minorEastAsia" w:eastAsiaTheme="minorEastAsia" w:cstheme="minorEastAsia"/>
          <w:sz w:val="28"/>
          <w:szCs w:val="28"/>
        </w:rPr>
        <w:t>（格式）</w:t>
      </w:r>
      <w:bookmarkEnd w:id="48"/>
      <w:bookmarkEnd w:id="49"/>
      <w:bookmarkEnd w:id="50"/>
      <w:bookmarkEnd w:id="51"/>
    </w:p>
    <w:p>
      <w:pPr>
        <w:pStyle w:val="6"/>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4-1、法定代表人证明书</w:t>
      </w:r>
    </w:p>
    <w:tbl>
      <w:tblPr>
        <w:tblStyle w:val="35"/>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460"/>
        <w:gridCol w:w="1485"/>
        <w:gridCol w:w="1336"/>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5"/>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tcPr>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企</w:t>
            </w:r>
          </w:p>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业</w:t>
            </w:r>
          </w:p>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w:t>
            </w:r>
          </w:p>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人</w:t>
            </w: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 xml:space="preserve">企 业 名 称 </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 定 地 址</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邮 政 编 码</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网       址</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工商登记机关</w:t>
            </w:r>
          </w:p>
        </w:tc>
        <w:tc>
          <w:tcPr>
            <w:tcW w:w="5460" w:type="dxa"/>
            <w:gridSpan w:val="3"/>
          </w:tcPr>
          <w:p>
            <w:pPr>
              <w:tabs>
                <w:tab w:val="right" w:leader="dot" w:pos="9022"/>
              </w:tabs>
              <w:autoSpaceDE w:val="0"/>
              <w:autoSpaceDN w:val="0"/>
              <w:adjustRightInd w:val="0"/>
              <w:spacing w:line="480" w:lineRule="exact"/>
              <w:ind w:right="-99" w:rightChars="-47" w:firstLine="2800" w:firstLineChars="1000"/>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2460" w:type="dxa"/>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税务登记机关</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机构代码证号</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（或统一社会信用代码证号）</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 定</w:t>
            </w:r>
          </w:p>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代 表</w:t>
            </w:r>
          </w:p>
          <w:p>
            <w:pPr>
              <w:tabs>
                <w:tab w:val="right" w:leader="dot" w:pos="9022"/>
              </w:tabs>
              <w:autoSpaceDE w:val="0"/>
              <w:autoSpaceDN w:val="0"/>
              <w:adjustRightInd w:val="0"/>
              <w:spacing w:line="480" w:lineRule="exact"/>
              <w:ind w:right="-99" w:rightChars="-47" w:firstLine="280" w:firstLineChars="100"/>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人</w:t>
            </w:r>
          </w:p>
        </w:tc>
        <w:tc>
          <w:tcPr>
            <w:tcW w:w="2460" w:type="dxa"/>
          </w:tcPr>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姓    名</w:t>
            </w:r>
          </w:p>
        </w:tc>
        <w:tc>
          <w:tcPr>
            <w:tcW w:w="1485"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336"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性    别</w:t>
            </w:r>
          </w:p>
        </w:tc>
        <w:tc>
          <w:tcPr>
            <w:tcW w:w="2639"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职    务</w:t>
            </w:r>
          </w:p>
        </w:tc>
        <w:tc>
          <w:tcPr>
            <w:tcW w:w="1485"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336"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联系电话</w:t>
            </w:r>
          </w:p>
        </w:tc>
        <w:tc>
          <w:tcPr>
            <w:tcW w:w="2639"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2460" w:type="dxa"/>
          </w:tcPr>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传    真</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080" w:type="dxa"/>
            <w:vMerge w:val="restart"/>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法定代表人（负责人）身份证</w:t>
            </w:r>
          </w:p>
        </w:tc>
        <w:tc>
          <w:tcPr>
            <w:tcW w:w="3945" w:type="dxa"/>
            <w:gridSpan w:val="2"/>
            <w:vMerge w:val="restart"/>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sz w:val="28"/>
                <w:szCs w:val="28"/>
              </w:rPr>
            </w:pPr>
          </w:p>
        </w:tc>
        <w:tc>
          <w:tcPr>
            <w:tcW w:w="3975" w:type="dxa"/>
            <w:gridSpan w:val="2"/>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3945" w:type="dxa"/>
            <w:gridSpan w:val="2"/>
            <w:vMerge w:val="continue"/>
          </w:tcPr>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sz w:val="28"/>
                <w:szCs w:val="28"/>
              </w:rPr>
            </w:pPr>
          </w:p>
        </w:tc>
        <w:tc>
          <w:tcPr>
            <w:tcW w:w="3975" w:type="dxa"/>
            <w:gridSpan w:val="2"/>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firstLine="140" w:firstLineChars="5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（公章）</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 xml:space="preserve">   </w:t>
            </w:r>
          </w:p>
          <w:p>
            <w:pPr>
              <w:tabs>
                <w:tab w:val="right" w:leader="dot" w:pos="9022"/>
              </w:tabs>
              <w:autoSpaceDE w:val="0"/>
              <w:autoSpaceDN w:val="0"/>
              <w:adjustRightInd w:val="0"/>
              <w:spacing w:line="480" w:lineRule="exact"/>
              <w:ind w:right="-99" w:rightChars="-47" w:firstLine="1680" w:firstLineChars="6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年  月  日</w:t>
            </w:r>
          </w:p>
        </w:tc>
      </w:tr>
    </w:tbl>
    <w:p>
      <w:pPr>
        <w:spacing w:line="480" w:lineRule="exact"/>
        <w:ind w:right="-99" w:rightChars="-47"/>
        <w:outlineLvl w:val="1"/>
        <w:rPr>
          <w:rFonts w:asciiTheme="minorEastAsia" w:hAnsiTheme="minorEastAsia" w:eastAsiaTheme="minorEastAsia" w:cstheme="minorEastAsia"/>
          <w:b/>
          <w:bCs/>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418" w:right="1287" w:bottom="936" w:left="1259" w:header="851" w:footer="992" w:gutter="0"/>
          <w:cols w:space="720" w:num="1"/>
          <w:docGrid w:linePitch="312" w:charSpace="0"/>
        </w:sectPr>
      </w:pPr>
    </w:p>
    <w:p>
      <w:pPr>
        <w:pStyle w:val="6"/>
        <w:spacing w:line="24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4-2、法定代表人授权书</w:t>
      </w:r>
    </w:p>
    <w:tbl>
      <w:tblPr>
        <w:tblStyle w:val="35"/>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440"/>
        <w:gridCol w:w="2234"/>
        <w:gridCol w:w="1126"/>
        <w:gridCol w:w="144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gridSpan w:val="6"/>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28" w:type="dxa"/>
            <w:vMerge w:val="restart"/>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被</w:t>
            </w:r>
          </w:p>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授</w:t>
            </w:r>
          </w:p>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权</w:t>
            </w:r>
          </w:p>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人</w:t>
            </w: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姓    名</w:t>
            </w:r>
          </w:p>
        </w:tc>
        <w:tc>
          <w:tcPr>
            <w:tcW w:w="3360" w:type="dxa"/>
            <w:gridSpan w:val="2"/>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性    别</w:t>
            </w:r>
          </w:p>
        </w:tc>
        <w:tc>
          <w:tcPr>
            <w:tcW w:w="240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职    务</w:t>
            </w:r>
          </w:p>
        </w:tc>
        <w:tc>
          <w:tcPr>
            <w:tcW w:w="3360" w:type="dxa"/>
            <w:gridSpan w:val="2"/>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手机号码</w:t>
            </w:r>
          </w:p>
        </w:tc>
        <w:tc>
          <w:tcPr>
            <w:tcW w:w="240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联系电话</w:t>
            </w:r>
          </w:p>
        </w:tc>
        <w:tc>
          <w:tcPr>
            <w:tcW w:w="3360" w:type="dxa"/>
            <w:gridSpan w:val="2"/>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图文传真</w:t>
            </w:r>
          </w:p>
        </w:tc>
        <w:tc>
          <w:tcPr>
            <w:tcW w:w="240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通讯地址</w:t>
            </w:r>
          </w:p>
        </w:tc>
        <w:tc>
          <w:tcPr>
            <w:tcW w:w="7200" w:type="dxa"/>
            <w:gridSpan w:val="4"/>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网    址</w:t>
            </w:r>
          </w:p>
        </w:tc>
        <w:tc>
          <w:tcPr>
            <w:tcW w:w="7200" w:type="dxa"/>
            <w:gridSpan w:val="4"/>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restart"/>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被</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授</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权</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项</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目</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与</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内</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容</w:t>
            </w: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项目名称</w:t>
            </w:r>
          </w:p>
        </w:tc>
        <w:tc>
          <w:tcPr>
            <w:tcW w:w="7200" w:type="dxa"/>
            <w:gridSpan w:val="4"/>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文件编号</w:t>
            </w:r>
          </w:p>
        </w:tc>
        <w:tc>
          <w:tcPr>
            <w:tcW w:w="7200" w:type="dxa"/>
            <w:gridSpan w:val="4"/>
          </w:tcPr>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440" w:type="dxa"/>
            <w:vAlign w:val="center"/>
          </w:tcPr>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授权范围</w:t>
            </w:r>
          </w:p>
        </w:tc>
        <w:tc>
          <w:tcPr>
            <w:tcW w:w="7200" w:type="dxa"/>
            <w:gridSpan w:val="4"/>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全权办理本次采购项目的磋商、现场澄清、联系、洽谈、签约、执行等具体事务，签署全部有关文件、文书、协议及合同。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法律责任</w:t>
            </w:r>
          </w:p>
        </w:tc>
        <w:tc>
          <w:tcPr>
            <w:tcW w:w="7200" w:type="dxa"/>
            <w:gridSpan w:val="4"/>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tc>
        <w:tc>
          <w:tcPr>
            <w:tcW w:w="1440" w:type="dxa"/>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授权期限</w:t>
            </w:r>
          </w:p>
        </w:tc>
        <w:tc>
          <w:tcPr>
            <w:tcW w:w="7200" w:type="dxa"/>
            <w:gridSpan w:val="4"/>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本授权书自磋商大会之日计算有效期为</w:t>
            </w:r>
            <w:r>
              <w:rPr>
                <w:rFonts w:hint="eastAsia" w:asciiTheme="minorEastAsia" w:hAnsiTheme="minorEastAsia" w:eastAsiaTheme="minorEastAsia" w:cstheme="minorEastAsia"/>
                <w:bCs/>
                <w:caps/>
                <w:sz w:val="28"/>
                <w:szCs w:val="28"/>
                <w:u w:val="single"/>
              </w:rPr>
              <w:t xml:space="preserve">    </w:t>
            </w:r>
            <w:r>
              <w:rPr>
                <w:rFonts w:hint="eastAsia" w:asciiTheme="minorEastAsia" w:hAnsiTheme="minorEastAsia" w:eastAsiaTheme="minorEastAsia" w:cstheme="minorEastAsia"/>
                <w:bCs/>
                <w:caps/>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02" w:type="dxa"/>
            <w:gridSpan w:val="3"/>
          </w:tcPr>
          <w:p>
            <w:pPr>
              <w:tabs>
                <w:tab w:val="right" w:leader="dot" w:pos="9022"/>
              </w:tabs>
              <w:autoSpaceDE w:val="0"/>
              <w:autoSpaceDN w:val="0"/>
              <w:adjustRightInd w:val="0"/>
              <w:spacing w:line="480" w:lineRule="exact"/>
              <w:ind w:right="-99" w:rightChars="-47" w:firstLine="56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被授权人身份证</w:t>
            </w:r>
          </w:p>
        </w:tc>
        <w:tc>
          <w:tcPr>
            <w:tcW w:w="4966" w:type="dxa"/>
            <w:gridSpan w:val="3"/>
          </w:tcPr>
          <w:p>
            <w:pPr>
              <w:tabs>
                <w:tab w:val="right" w:leader="dot" w:pos="9022"/>
              </w:tabs>
              <w:autoSpaceDE w:val="0"/>
              <w:autoSpaceDN w:val="0"/>
              <w:adjustRightInd w:val="0"/>
              <w:spacing w:line="480" w:lineRule="exact"/>
              <w:ind w:right="-99" w:rightChars="-47" w:firstLine="560" w:firstLineChars="2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4202" w:type="dxa"/>
            <w:gridSpan w:val="3"/>
            <w:vMerge w:val="restart"/>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sz w:val="28"/>
                <w:szCs w:val="28"/>
              </w:rPr>
            </w:pPr>
          </w:p>
        </w:tc>
        <w:tc>
          <w:tcPr>
            <w:tcW w:w="4966" w:type="dxa"/>
            <w:gridSpan w:val="3"/>
          </w:tcPr>
          <w:p>
            <w:pPr>
              <w:tabs>
                <w:tab w:val="right" w:leader="dot" w:pos="9022"/>
              </w:tabs>
              <w:autoSpaceDE w:val="0"/>
              <w:autoSpaceDN w:val="0"/>
              <w:adjustRightInd w:val="0"/>
              <w:spacing w:line="480" w:lineRule="exact"/>
              <w:ind w:right="-99" w:rightChars="-47" w:firstLine="560" w:firstLineChars="200"/>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firstLine="560" w:firstLineChars="2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4202" w:type="dxa"/>
            <w:gridSpan w:val="3"/>
            <w:vMerge w:val="continue"/>
          </w:tcPr>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sz w:val="28"/>
                <w:szCs w:val="28"/>
              </w:rPr>
            </w:pPr>
          </w:p>
        </w:tc>
        <w:tc>
          <w:tcPr>
            <w:tcW w:w="4966"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 xml:space="preserve">        </w:t>
            </w:r>
          </w:p>
          <w:p>
            <w:pPr>
              <w:tabs>
                <w:tab w:val="right" w:leader="dot" w:pos="9022"/>
              </w:tabs>
              <w:autoSpaceDE w:val="0"/>
              <w:autoSpaceDN w:val="0"/>
              <w:adjustRightInd w:val="0"/>
              <w:spacing w:line="480" w:lineRule="exact"/>
              <w:ind w:right="-99" w:rightChars="-47" w:firstLine="560" w:firstLineChars="20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（公章）</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 xml:space="preserve">                  </w:t>
            </w:r>
          </w:p>
          <w:p>
            <w:pPr>
              <w:tabs>
                <w:tab w:val="right" w:leader="dot" w:pos="9022"/>
              </w:tabs>
              <w:autoSpaceDE w:val="0"/>
              <w:autoSpaceDN w:val="0"/>
              <w:adjustRightInd w:val="0"/>
              <w:spacing w:line="480" w:lineRule="exact"/>
              <w:ind w:right="-99" w:rightChars="-47" w:firstLine="2380" w:firstLineChars="850"/>
              <w:jc w:val="left"/>
              <w:rPr>
                <w:rFonts w:asciiTheme="minorEastAsia" w:hAnsiTheme="minorEastAsia" w:eastAsiaTheme="minorEastAsia" w:cstheme="minorEastAsia"/>
                <w:bCs/>
                <w:caps/>
                <w:sz w:val="28"/>
                <w:szCs w:val="28"/>
              </w:rPr>
            </w:pPr>
          </w:p>
          <w:p>
            <w:pPr>
              <w:tabs>
                <w:tab w:val="right" w:leader="dot" w:pos="9022"/>
              </w:tabs>
              <w:autoSpaceDE w:val="0"/>
              <w:autoSpaceDN w:val="0"/>
              <w:adjustRightInd w:val="0"/>
              <w:spacing w:line="480" w:lineRule="exact"/>
              <w:ind w:right="-99" w:rightChars="-47" w:firstLine="2660" w:firstLineChars="950"/>
              <w:jc w:val="left"/>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 xml:space="preserve"> 年  月  日</w:t>
            </w:r>
          </w:p>
        </w:tc>
      </w:tr>
    </w:tbl>
    <w:p>
      <w:pPr>
        <w:pStyle w:val="4"/>
        <w:spacing w:line="24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5、资格证明文件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①具有独立承担民事责任能力的法人、其他组织或自然人，并出具合法有效的营业执照或事业单位法人证书等国家规定的相关证明，自然人参与的提供其身份证明；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②财务状况报告：财务状况良好，提供</w:t>
      </w:r>
      <w:r>
        <w:rPr>
          <w:rFonts w:hint="eastAsia" w:ascii="宋体" w:hAnsi="宋体" w:eastAsia="宋体" w:cs="宋体"/>
          <w:i w:val="0"/>
          <w:iCs w:val="0"/>
          <w:caps w:val="0"/>
          <w:color w:val="333333"/>
          <w:spacing w:val="0"/>
          <w:sz w:val="24"/>
          <w:szCs w:val="24"/>
          <w:shd w:val="clear" w:fill="FFFFFF"/>
          <w:lang w:val="en-US" w:eastAsia="zh-CN"/>
        </w:rPr>
        <w:t>2019-</w:t>
      </w:r>
      <w:r>
        <w:rPr>
          <w:rFonts w:hint="eastAsia" w:ascii="宋体" w:hAnsi="宋体" w:eastAsia="宋体" w:cs="宋体"/>
          <w:i w:val="0"/>
          <w:iCs w:val="0"/>
          <w:caps w:val="0"/>
          <w:color w:val="333333"/>
          <w:spacing w:val="0"/>
          <w:sz w:val="24"/>
          <w:szCs w:val="24"/>
          <w:shd w:val="clear" w:fill="FFFFFF"/>
        </w:rPr>
        <w:t>2021年度</w:t>
      </w:r>
      <w:r>
        <w:rPr>
          <w:rFonts w:hint="eastAsia" w:ascii="宋体" w:hAnsi="宋体" w:eastAsia="宋体" w:cs="宋体"/>
          <w:i w:val="0"/>
          <w:iCs w:val="0"/>
          <w:caps w:val="0"/>
          <w:color w:val="333333"/>
          <w:spacing w:val="0"/>
          <w:sz w:val="24"/>
          <w:szCs w:val="24"/>
          <w:shd w:val="clear" w:fill="FFFFFF"/>
          <w:lang w:eastAsia="zh-CN"/>
        </w:rPr>
        <w:t>任意一年的</w:t>
      </w:r>
      <w:r>
        <w:rPr>
          <w:rFonts w:hint="eastAsia" w:ascii="宋体" w:hAnsi="宋体" w:eastAsia="宋体" w:cs="宋体"/>
          <w:i w:val="0"/>
          <w:iCs w:val="0"/>
          <w:caps w:val="0"/>
          <w:color w:val="333333"/>
          <w:spacing w:val="0"/>
          <w:sz w:val="24"/>
          <w:szCs w:val="24"/>
          <w:shd w:val="clear" w:fill="FFFFFF"/>
        </w:rPr>
        <w:t>财务审计报告（公司成立不足一年的需提供银行出具的资信证明原件及基本账号开户许可证或开户银行出具的基本存款账户信息表）</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③税收缴纳证明：具有依法缴纳税收的良好记录（提供</w:t>
      </w:r>
      <w:r>
        <w:rPr>
          <w:rFonts w:hint="eastAsia" w:ascii="宋体" w:hAnsi="宋体" w:eastAsia="宋体" w:cs="宋体"/>
          <w:i w:val="0"/>
          <w:iCs w:val="0"/>
          <w:caps w:val="0"/>
          <w:color w:val="333333"/>
          <w:spacing w:val="0"/>
          <w:sz w:val="24"/>
          <w:szCs w:val="24"/>
          <w:shd w:val="clear" w:fill="FFFFFF"/>
          <w:lang w:eastAsia="zh-CN"/>
        </w:rPr>
        <w:t>磋商</w:t>
      </w:r>
      <w:r>
        <w:rPr>
          <w:rFonts w:hint="eastAsia" w:ascii="宋体" w:hAnsi="宋体" w:eastAsia="宋体" w:cs="宋体"/>
          <w:i w:val="0"/>
          <w:iCs w:val="0"/>
          <w:caps w:val="0"/>
          <w:color w:val="333333"/>
          <w:spacing w:val="0"/>
          <w:sz w:val="24"/>
          <w:szCs w:val="24"/>
          <w:shd w:val="clear" w:fill="FFFFFF"/>
        </w:rPr>
        <w:t>截止前六个月内任意一个月的缴纳证明）；依法免税的应提供相关文件证明；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④提供</w:t>
      </w:r>
      <w:r>
        <w:rPr>
          <w:rFonts w:hint="eastAsia" w:ascii="宋体" w:hAnsi="宋体" w:eastAsia="宋体" w:cs="宋体"/>
          <w:i w:val="0"/>
          <w:iCs w:val="0"/>
          <w:caps w:val="0"/>
          <w:color w:val="333333"/>
          <w:spacing w:val="0"/>
          <w:sz w:val="24"/>
          <w:szCs w:val="24"/>
          <w:shd w:val="clear" w:fill="FFFFFF"/>
          <w:lang w:eastAsia="zh-CN"/>
        </w:rPr>
        <w:t>磋商</w:t>
      </w:r>
      <w:r>
        <w:rPr>
          <w:rFonts w:hint="eastAsia" w:ascii="宋体" w:hAnsi="宋体" w:eastAsia="宋体" w:cs="宋体"/>
          <w:i w:val="0"/>
          <w:iCs w:val="0"/>
          <w:caps w:val="0"/>
          <w:color w:val="333333"/>
          <w:spacing w:val="0"/>
          <w:sz w:val="24"/>
          <w:szCs w:val="24"/>
          <w:shd w:val="clear" w:fill="FFFFFF"/>
        </w:rPr>
        <w:t>截止前六个月内任意一个月的社保缴费凭据或社保机构开具的社会保险参保缴费情况证明；（依法不需要缴纳社会保障资金的</w:t>
      </w:r>
      <w:r>
        <w:rPr>
          <w:rFonts w:hint="eastAsia" w:ascii="宋体" w:hAnsi="宋体" w:eastAsia="宋体" w:cs="宋体"/>
          <w:i w:val="0"/>
          <w:iCs w:val="0"/>
          <w:caps w:val="0"/>
          <w:color w:val="333333"/>
          <w:spacing w:val="0"/>
          <w:sz w:val="24"/>
          <w:szCs w:val="24"/>
          <w:shd w:val="clear" w:fill="FFFFFF"/>
          <w:lang w:eastAsia="zh-CN"/>
        </w:rPr>
        <w:t>响应</w:t>
      </w:r>
      <w:r>
        <w:rPr>
          <w:rFonts w:hint="eastAsia" w:ascii="宋体" w:hAnsi="宋体" w:eastAsia="宋体" w:cs="宋体"/>
          <w:i w:val="0"/>
          <w:iCs w:val="0"/>
          <w:caps w:val="0"/>
          <w:color w:val="333333"/>
          <w:spacing w:val="0"/>
          <w:sz w:val="24"/>
          <w:szCs w:val="24"/>
          <w:shd w:val="clear" w:fill="FFFFFF"/>
        </w:rPr>
        <w:t>人应提供相关证明）；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⑤供应商须具有行业主管部门颁发的城乡规划乙级（含乙级）以上资质</w:t>
      </w:r>
      <w:r>
        <w:rPr>
          <w:rFonts w:hint="eastAsia" w:ascii="宋体" w:hAnsi="宋体" w:eastAsia="宋体" w:cs="宋体"/>
          <w:i w:val="0"/>
          <w:iCs w:val="0"/>
          <w:caps w:val="0"/>
          <w:color w:val="333333"/>
          <w:spacing w:val="0"/>
          <w:sz w:val="24"/>
          <w:szCs w:val="24"/>
          <w:shd w:val="clear" w:fill="FFFFFF"/>
          <w:lang w:eastAsia="zh-CN"/>
        </w:rPr>
        <w:t>；</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⑥拟派往本项目负责人具备注册城乡规划师资格证书并具备相关专业工程师（含）以上专业技术职称（提供</w:t>
      </w:r>
      <w:r>
        <w:rPr>
          <w:rFonts w:hint="eastAsia" w:ascii="宋体" w:hAnsi="宋体" w:eastAsia="宋体" w:cs="宋体"/>
          <w:i w:val="0"/>
          <w:iCs w:val="0"/>
          <w:caps w:val="0"/>
          <w:color w:val="333333"/>
          <w:spacing w:val="0"/>
          <w:sz w:val="24"/>
          <w:szCs w:val="24"/>
          <w:shd w:val="clear" w:fill="FFFFFF"/>
          <w:lang w:eastAsia="zh-CN"/>
        </w:rPr>
        <w:t>本单位为其缴纳</w:t>
      </w:r>
      <w:r>
        <w:rPr>
          <w:rFonts w:hint="eastAsia" w:ascii="宋体" w:hAnsi="宋体" w:eastAsia="宋体" w:cs="宋体"/>
          <w:i w:val="0"/>
          <w:iCs w:val="0"/>
          <w:caps w:val="0"/>
          <w:color w:val="333333"/>
          <w:spacing w:val="0"/>
          <w:sz w:val="24"/>
          <w:szCs w:val="24"/>
          <w:shd w:val="clear" w:fill="FFFFFF"/>
        </w:rPr>
        <w:t>近3个月的养老保险）</w:t>
      </w:r>
      <w:r>
        <w:rPr>
          <w:rFonts w:hint="eastAsia" w:ascii="宋体" w:hAnsi="宋体" w:eastAsia="宋体" w:cs="宋体"/>
          <w:i w:val="0"/>
          <w:iCs w:val="0"/>
          <w:caps w:val="0"/>
          <w:color w:val="333333"/>
          <w:spacing w:val="0"/>
          <w:sz w:val="24"/>
          <w:szCs w:val="24"/>
          <w:shd w:val="clear" w:fill="FFFFFF"/>
          <w:lang w:eastAsia="zh-CN"/>
        </w:rPr>
        <w:t>；</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⑦书面声明：参加本次政府采购活动前三年内在经营活动中没有重大违法记录的声明函原件；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⑧本项目不接受联合体投标，单位负责人为同一人或者存在直接控股、管理关系的不同供应商，不得同时参加本项目投标活动，提供《供应商企业关系关联承诺书原件》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⑨</w:t>
      </w:r>
      <w:r>
        <w:rPr>
          <w:rFonts w:hint="eastAsia" w:cs="宋体"/>
          <w:color w:val="333333"/>
          <w:shd w:val="clear" w:color="auto" w:fill="FFFFFF"/>
          <w:lang w:eastAsia="zh-CN"/>
        </w:rPr>
        <w:t>响应</w:t>
      </w:r>
      <w:r>
        <w:rPr>
          <w:rFonts w:hint="eastAsia" w:cs="宋体"/>
          <w:color w:val="333333"/>
          <w:shd w:val="clear" w:color="auto" w:fill="FFFFFF"/>
        </w:rPr>
        <w:t>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⑩本项目专门面向中小企业招标，非中小企业单位（监狱企业、残疾人福利单位除外）不得参与投标，需提供《中小企业声明函原件》；</w:t>
      </w:r>
    </w:p>
    <w:p>
      <w:pPr>
        <w:pStyle w:val="32"/>
        <w:shd w:val="clear" w:color="auto" w:fill="FFFFFF"/>
        <w:spacing w:before="0" w:beforeAutospacing="0" w:after="0" w:afterAutospacing="0" w:line="360" w:lineRule="auto"/>
        <w:ind w:firstLine="280" w:firstLineChars="100"/>
        <w:jc w:val="both"/>
        <w:rPr>
          <w:rFonts w:hint="eastAsia" w:asciiTheme="minorEastAsia" w:hAnsiTheme="minorEastAsia" w:eastAsiaTheme="minorEastAsia" w:cstheme="minorEastAsia"/>
          <w:bCs/>
          <w:caps/>
          <w:sz w:val="28"/>
          <w:szCs w:val="28"/>
        </w:rPr>
      </w:pPr>
    </w:p>
    <w:p>
      <w:pPr>
        <w:pStyle w:val="32"/>
        <w:shd w:val="clear" w:color="auto" w:fill="FFFFFF"/>
        <w:spacing w:before="0" w:beforeAutospacing="0" w:after="0" w:afterAutospacing="0" w:line="360" w:lineRule="auto"/>
        <w:ind w:firstLine="280" w:firstLineChars="100"/>
        <w:jc w:val="both"/>
        <w:rPr>
          <w:rFonts w:asciiTheme="minorEastAsia" w:hAnsiTheme="minorEastAsia" w:eastAsiaTheme="minorEastAsia" w:cstheme="minorEastAsia"/>
          <w:bCs/>
          <w:caps/>
          <w:sz w:val="28"/>
          <w:szCs w:val="28"/>
        </w:rPr>
      </w:pPr>
      <w:r>
        <w:rPr>
          <w:rFonts w:hint="eastAsia" w:asciiTheme="minorEastAsia" w:hAnsiTheme="minorEastAsia" w:eastAsiaTheme="minorEastAsia" w:cstheme="minorEastAsia"/>
          <w:bCs/>
          <w:caps/>
          <w:sz w:val="28"/>
          <w:szCs w:val="28"/>
        </w:rPr>
        <w:t>以上</w:t>
      </w:r>
      <w:r>
        <w:rPr>
          <w:rFonts w:hint="eastAsia" w:asciiTheme="minorEastAsia" w:hAnsiTheme="minorEastAsia" w:eastAsiaTheme="minorEastAsia" w:cstheme="minorEastAsia"/>
          <w:bCs/>
          <w:caps/>
          <w:sz w:val="28"/>
          <w:szCs w:val="28"/>
          <w:lang w:eastAsia="zh-CN"/>
        </w:rPr>
        <w:t>资格证明文件在</w:t>
      </w:r>
      <w:r>
        <w:rPr>
          <w:rFonts w:hint="eastAsia" w:asciiTheme="minorEastAsia" w:hAnsiTheme="minorEastAsia" w:eastAsiaTheme="minorEastAsia" w:cstheme="minorEastAsia"/>
          <w:bCs/>
          <w:caps/>
          <w:sz w:val="28"/>
          <w:szCs w:val="28"/>
        </w:rPr>
        <w:t>磋商文件中应附加盖供应商红色公章的复印件。</w:t>
      </w:r>
    </w:p>
    <w:p>
      <w:pPr>
        <w:spacing w:line="500" w:lineRule="exact"/>
        <w:ind w:right="-99" w:rightChars="-47" w:firstLine="480"/>
        <w:rPr>
          <w:rFonts w:asciiTheme="minorEastAsia" w:hAnsiTheme="minorEastAsia" w:eastAsiaTheme="minorEastAsia" w:cstheme="minorEastAsia"/>
          <w:sz w:val="28"/>
          <w:szCs w:val="28"/>
        </w:rPr>
      </w:pPr>
    </w:p>
    <w:p>
      <w:pPr>
        <w:spacing w:line="500" w:lineRule="exact"/>
        <w:ind w:right="-99" w:rightChars="-47" w:firstLine="480"/>
        <w:rPr>
          <w:rFonts w:asciiTheme="minorEastAsia" w:hAnsiTheme="minorEastAsia" w:eastAsiaTheme="minorEastAsia" w:cstheme="minorEastAsia"/>
          <w:sz w:val="28"/>
          <w:szCs w:val="28"/>
        </w:rPr>
      </w:pPr>
    </w:p>
    <w:p>
      <w:pPr>
        <w:pStyle w:val="12"/>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2"/>
        <w:rPr>
          <w:rFonts w:asciiTheme="minorEastAsia" w:hAnsiTheme="minorEastAsia" w:eastAsiaTheme="minorEastAsia" w:cstheme="minorEastAsia"/>
        </w:rPr>
      </w:pPr>
    </w:p>
    <w:p>
      <w:pPr>
        <w:rPr>
          <w:rFonts w:asciiTheme="minorEastAsia" w:hAnsiTheme="minorEastAsia" w:eastAsiaTheme="minorEastAsia" w:cstheme="minorEastAsia"/>
        </w:rPr>
      </w:pPr>
    </w:p>
    <w:p>
      <w:pPr>
        <w:widowControl/>
        <w:spacing w:line="480" w:lineRule="exact"/>
        <w:ind w:right="-99" w:rightChars="-47"/>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附件：</w:t>
      </w:r>
    </w:p>
    <w:p>
      <w:pPr>
        <w:widowControl/>
        <w:spacing w:line="480" w:lineRule="exact"/>
        <w:ind w:right="-99" w:rightChars="-47"/>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陕西省政府采购供应商拒绝政府采购领域商业贿赂承诺书</w:t>
      </w:r>
    </w:p>
    <w:p>
      <w:pPr>
        <w:widowControl/>
        <w:spacing w:line="540" w:lineRule="exact"/>
        <w:ind w:right="-99" w:rightChars="-47"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为响应党中央、国务院关于治理政府采购领域商业贿赂行为的号召，我单位在此庄严承诺： </w:t>
      </w:r>
    </w:p>
    <w:p>
      <w:pPr>
        <w:widowControl/>
        <w:numPr>
          <w:ilvl w:val="0"/>
          <w:numId w:val="5"/>
        </w:numPr>
        <w:spacing w:line="540" w:lineRule="exact"/>
        <w:ind w:left="279" w:leftChars="133" w:right="-99" w:rightChars="-4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在参与政府采购活动中遵纪守法、诚信经营、公平竞标。 </w:t>
      </w:r>
    </w:p>
    <w:p>
      <w:pPr>
        <w:widowControl/>
        <w:spacing w:line="540" w:lineRule="exact"/>
        <w:ind w:right="-99" w:rightChars="-47" w:firstLine="280" w:firstLineChars="1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 xml:space="preserve">2、不向采购人、招标代理机构和政府采购磋商专家进行任何形式的商业贿赂以谋取交易机会。 </w:t>
      </w:r>
    </w:p>
    <w:p>
      <w:pPr>
        <w:widowControl/>
        <w:spacing w:line="540" w:lineRule="exact"/>
        <w:ind w:right="-99" w:rightChars="-47"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3、不向政府采购采购代理机构和采购人提供虚假资质文件或采用虚假应标方式参与政府采购市场竞争并谋取成交。 </w:t>
      </w:r>
    </w:p>
    <w:p>
      <w:pPr>
        <w:widowControl/>
        <w:spacing w:line="540" w:lineRule="exact"/>
        <w:ind w:right="-99" w:rightChars="-47"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4、不采取“围标、陪标”等商业欺诈手段获得政府采购定单。</w:t>
      </w:r>
    </w:p>
    <w:p>
      <w:pPr>
        <w:widowControl/>
        <w:spacing w:line="540" w:lineRule="exact"/>
        <w:ind w:right="-99" w:rightChars="-47" w:firstLine="280" w:firstLineChars="1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5、不采取不正当手段诋毁、排挤其他供应商。</w:t>
      </w:r>
    </w:p>
    <w:p>
      <w:pPr>
        <w:widowControl/>
        <w:spacing w:line="540" w:lineRule="exact"/>
        <w:ind w:right="-99" w:rightChars="-47"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6、不在提供商品和服务时“偷梁换柱、以次充好”损害采购人的合法权益。     </w:t>
      </w:r>
    </w:p>
    <w:p>
      <w:pPr>
        <w:widowControl/>
        <w:spacing w:line="540" w:lineRule="exact"/>
        <w:ind w:right="-99" w:rightChars="-47" w:firstLine="280" w:firstLineChars="1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7、不与采购人、招标代理机构政府采购磋商专家或其它供应商恶意串通，进行质疑和投诉，维护政府采购市场秩序。</w:t>
      </w:r>
    </w:p>
    <w:p>
      <w:pPr>
        <w:widowControl/>
        <w:spacing w:line="540" w:lineRule="exact"/>
        <w:ind w:right="-99" w:rightChars="-47"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8、尊重和接受政府采购监督管理部门的监督和政府采购代理机构采购要求，承担因违约行为给采购人造成的损失。</w:t>
      </w:r>
    </w:p>
    <w:p>
      <w:pPr>
        <w:widowControl/>
        <w:spacing w:line="540" w:lineRule="exact"/>
        <w:ind w:right="-99" w:rightChars="-47" w:firstLine="280" w:firstLineChars="1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 xml:space="preserve">9、不发生其他有悖于政府采购公开、公平、公正和诚信原则的行为。 </w:t>
      </w:r>
    </w:p>
    <w:p>
      <w:pPr>
        <w:widowControl/>
        <w:spacing w:line="540" w:lineRule="exact"/>
        <w:ind w:right="-99" w:rightChars="-47"/>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承诺单位：</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（盖章） </w:t>
      </w:r>
    </w:p>
    <w:p>
      <w:pPr>
        <w:widowControl/>
        <w:spacing w:line="540" w:lineRule="exact"/>
        <w:ind w:right="-99" w:rightChars="-4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w:t>
      </w:r>
    </w:p>
    <w:p>
      <w:pPr>
        <w:widowControl/>
        <w:spacing w:line="540" w:lineRule="exact"/>
        <w:ind w:right="-99" w:rightChars="-47"/>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或其授权委托人</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（签字） </w:t>
      </w:r>
    </w:p>
    <w:p>
      <w:pPr>
        <w:widowControl/>
        <w:spacing w:line="540" w:lineRule="exact"/>
        <w:ind w:right="-99" w:rightChars="-47"/>
        <w:rPr>
          <w:rFonts w:asciiTheme="minorEastAsia" w:hAnsiTheme="minorEastAsia" w:eastAsiaTheme="minorEastAsia" w:cstheme="minorEastAsia"/>
          <w:kern w:val="0"/>
          <w:sz w:val="28"/>
          <w:szCs w:val="28"/>
          <w:u w:val="single"/>
        </w:rPr>
      </w:pPr>
      <w:r>
        <w:rPr>
          <w:rFonts w:hint="eastAsia" w:asciiTheme="minorEastAsia" w:hAnsiTheme="minorEastAsia" w:eastAsiaTheme="minorEastAsia" w:cstheme="minorEastAsia"/>
          <w:kern w:val="0"/>
          <w:sz w:val="28"/>
          <w:szCs w:val="28"/>
        </w:rPr>
        <w:t>地　　址：</w:t>
      </w:r>
      <w:r>
        <w:rPr>
          <w:rFonts w:hint="eastAsia" w:asciiTheme="minorEastAsia" w:hAnsiTheme="minorEastAsia" w:eastAsiaTheme="minorEastAsia" w:cstheme="minorEastAsia"/>
          <w:kern w:val="0"/>
          <w:sz w:val="28"/>
          <w:szCs w:val="28"/>
          <w:u w:val="single"/>
        </w:rPr>
        <w:t>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u w:val="single"/>
        </w:rPr>
        <w:t xml:space="preserve">   </w:t>
      </w:r>
    </w:p>
    <w:p>
      <w:pPr>
        <w:widowControl/>
        <w:spacing w:line="540" w:lineRule="exact"/>
        <w:ind w:right="-99" w:rightChars="-47"/>
        <w:rPr>
          <w:rFonts w:asciiTheme="minorEastAsia" w:hAnsiTheme="minorEastAsia" w:eastAsiaTheme="minorEastAsia" w:cstheme="minorEastAsia"/>
          <w:kern w:val="0"/>
          <w:sz w:val="28"/>
          <w:szCs w:val="28"/>
          <w:u w:val="single"/>
        </w:rPr>
      </w:pPr>
      <w:r>
        <w:rPr>
          <w:rFonts w:hint="eastAsia" w:asciiTheme="minorEastAsia" w:hAnsiTheme="minorEastAsia" w:eastAsiaTheme="minorEastAsia" w:cstheme="minorEastAsia"/>
          <w:kern w:val="0"/>
          <w:sz w:val="28"/>
          <w:szCs w:val="28"/>
        </w:rPr>
        <w:t>电　　话：</w:t>
      </w:r>
      <w:r>
        <w:rPr>
          <w:rFonts w:hint="eastAsia" w:asciiTheme="minorEastAsia" w:hAnsiTheme="minorEastAsia" w:eastAsiaTheme="minorEastAsia" w:cstheme="minorEastAsia"/>
          <w:kern w:val="0"/>
          <w:sz w:val="28"/>
          <w:szCs w:val="28"/>
          <w:u w:val="single"/>
        </w:rPr>
        <w:t>　　　                　　　　</w:t>
      </w:r>
    </w:p>
    <w:p>
      <w:pPr>
        <w:widowControl/>
        <w:spacing w:line="540" w:lineRule="exact"/>
        <w:ind w:right="-99" w:rightChars="-47"/>
        <w:rPr>
          <w:rFonts w:asciiTheme="minorEastAsia" w:hAnsiTheme="minorEastAsia" w:eastAsiaTheme="minorEastAsia" w:cstheme="minorEastAsia"/>
          <w:kern w:val="0"/>
          <w:sz w:val="28"/>
          <w:szCs w:val="28"/>
          <w:u w:val="single"/>
        </w:rPr>
      </w:pPr>
      <w:r>
        <w:rPr>
          <w:rFonts w:hint="eastAsia" w:asciiTheme="minorEastAsia" w:hAnsiTheme="minorEastAsia" w:eastAsiaTheme="minorEastAsia" w:cstheme="minorEastAsia"/>
          <w:kern w:val="0"/>
          <w:sz w:val="28"/>
          <w:szCs w:val="28"/>
        </w:rPr>
        <w:t>邮    编：</w:t>
      </w:r>
      <w:r>
        <w:rPr>
          <w:rFonts w:hint="eastAsia" w:asciiTheme="minorEastAsia" w:hAnsiTheme="minorEastAsia" w:eastAsiaTheme="minorEastAsia" w:cstheme="minorEastAsia"/>
          <w:kern w:val="0"/>
          <w:sz w:val="28"/>
          <w:szCs w:val="28"/>
          <w:u w:val="single"/>
        </w:rPr>
        <w:t xml:space="preserve">　                          　                          </w:t>
      </w:r>
    </w:p>
    <w:p>
      <w:pPr>
        <w:spacing w:line="340" w:lineRule="exact"/>
        <w:ind w:firstLine="5740" w:firstLineChars="2050"/>
        <w:rPr>
          <w:rFonts w:asciiTheme="minorEastAsia" w:hAnsiTheme="minorEastAsia" w:eastAsiaTheme="minorEastAsia" w:cstheme="minorEastAsia"/>
          <w:kern w:val="0"/>
          <w:sz w:val="28"/>
          <w:szCs w:val="28"/>
        </w:rPr>
      </w:pPr>
    </w:p>
    <w:p>
      <w:pPr>
        <w:spacing w:line="340" w:lineRule="exact"/>
        <w:ind w:firstLine="5740" w:firstLineChars="2050"/>
        <w:rPr>
          <w:rFonts w:asciiTheme="minorEastAsia" w:hAnsiTheme="minorEastAsia" w:eastAsiaTheme="minorEastAsia" w:cstheme="minorEastAsia"/>
          <w:kern w:val="0"/>
          <w:sz w:val="28"/>
          <w:szCs w:val="28"/>
        </w:rPr>
        <w:sectPr>
          <w:headerReference r:id="rId11" w:type="first"/>
          <w:footerReference r:id="rId13" w:type="first"/>
          <w:footerReference r:id="rId12" w:type="default"/>
          <w:pgSz w:w="11907" w:h="16840"/>
          <w:pgMar w:top="1282" w:right="1542" w:bottom="1440" w:left="1247" w:header="471" w:footer="1020" w:gutter="0"/>
          <w:pgNumType w:fmt="decimal" w:start="46"/>
          <w:cols w:space="720" w:num="1"/>
          <w:titlePg/>
          <w:docGrid w:linePitch="326" w:charSpace="0"/>
        </w:sect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kern w:val="0"/>
          <w:sz w:val="28"/>
          <w:szCs w:val="28"/>
        </w:rPr>
        <w:t>　</w:t>
      </w:r>
    </w:p>
    <w:p>
      <w:pPr>
        <w:snapToGrid w:val="0"/>
        <w:spacing w:line="360" w:lineRule="auto"/>
        <w:jc w:val="center"/>
        <w:rPr>
          <w:rFonts w:hint="eastAsia" w:ascii="仿宋" w:hAnsi="仿宋" w:eastAsia="仿宋"/>
          <w:b/>
          <w:sz w:val="32"/>
          <w:szCs w:val="44"/>
          <w:u w:val="single"/>
        </w:rPr>
      </w:pPr>
    </w:p>
    <w:p>
      <w:pPr>
        <w:snapToGrid w:val="0"/>
        <w:spacing w:line="360" w:lineRule="auto"/>
        <w:jc w:val="center"/>
        <w:rPr>
          <w:rFonts w:hint="eastAsia" w:ascii="仿宋" w:hAnsi="仿宋" w:eastAsia="仿宋"/>
          <w:b/>
          <w:sz w:val="24"/>
        </w:rPr>
      </w:pPr>
      <w:r>
        <w:rPr>
          <w:rFonts w:hint="eastAsia" w:ascii="仿宋" w:hAnsi="仿宋" w:eastAsia="仿宋"/>
          <w:b/>
          <w:sz w:val="32"/>
          <w:szCs w:val="44"/>
          <w:u w:val="single"/>
        </w:rPr>
        <w:t>近三年内在经营活动中无重大违法记录声明</w:t>
      </w:r>
    </w:p>
    <w:p>
      <w:pPr>
        <w:spacing w:line="520" w:lineRule="exact"/>
        <w:jc w:val="center"/>
        <w:rPr>
          <w:rFonts w:hint="eastAsia" w:ascii="仿宋" w:hAnsi="仿宋" w:eastAsia="仿宋"/>
          <w:sz w:val="28"/>
          <w:szCs w:val="28"/>
        </w:rPr>
      </w:pPr>
      <w:r>
        <w:rPr>
          <w:rFonts w:hint="eastAsia" w:ascii="仿宋" w:hAnsi="仿宋" w:eastAsia="仿宋"/>
          <w:b/>
          <w:sz w:val="28"/>
          <w:szCs w:val="28"/>
        </w:rPr>
        <w:t>声   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640" w:type="dxa"/>
            <w:gridSpan w:val="3"/>
            <w:noWrap w:val="0"/>
            <w:vAlign w:val="center"/>
          </w:tcPr>
          <w:p>
            <w:pPr>
              <w:spacing w:line="400" w:lineRule="exact"/>
              <w:rPr>
                <w:rFonts w:hint="eastAsia" w:ascii="仿宋" w:hAnsi="仿宋" w:eastAsia="仿宋"/>
                <w:sz w:val="24"/>
              </w:rPr>
            </w:pPr>
            <w:r>
              <w:rPr>
                <w:rFonts w:hint="eastAsia" w:ascii="仿宋" w:hAnsi="仿宋" w:eastAsia="仿宋"/>
                <w:sz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8640" w:type="dxa"/>
            <w:gridSpan w:val="3"/>
            <w:noWrap w:val="0"/>
            <w:vAlign w:val="center"/>
          </w:tcPr>
          <w:p>
            <w:pPr>
              <w:spacing w:line="360" w:lineRule="exact"/>
              <w:ind w:firstLine="480" w:firstLineChars="200"/>
              <w:rPr>
                <w:rFonts w:hint="eastAsia" w:ascii="仿宋" w:hAnsi="仿宋" w:eastAsia="仿宋"/>
                <w:sz w:val="24"/>
                <w:u w:val="single"/>
              </w:rPr>
            </w:pPr>
            <w:r>
              <w:rPr>
                <w:rFonts w:hint="eastAsia" w:ascii="仿宋" w:hAnsi="仿宋" w:eastAsia="仿宋"/>
                <w:sz w:val="24"/>
              </w:rPr>
              <w:t>本企业（公司）在参加本项目招标（磋商、谈判、询价）活动之前3年内，经营活动中不存在《中华人民共和国政府采购法实施条例》第十九条所列指的重大违法记录（是指供应商因违法经营受到刑事处罚或者责令停产停业、吊销许可证或者执照、较大数额罚款等行政处罚），如有隐瞒实情，愿承担一切责任和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880" w:type="dxa"/>
            <w:noWrap w:val="0"/>
            <w:vAlign w:val="center"/>
          </w:tcPr>
          <w:p>
            <w:pPr>
              <w:spacing w:line="400" w:lineRule="exact"/>
              <w:jc w:val="center"/>
              <w:rPr>
                <w:rFonts w:hint="eastAsia" w:ascii="仿宋" w:hAnsi="仿宋" w:eastAsia="仿宋"/>
                <w:sz w:val="24"/>
              </w:rPr>
            </w:pPr>
            <w:r>
              <w:rPr>
                <w:rFonts w:hint="eastAsia" w:ascii="仿宋" w:hAnsi="仿宋" w:eastAsia="仿宋"/>
                <w:sz w:val="24"/>
              </w:rPr>
              <w:t>声明人</w:t>
            </w:r>
          </w:p>
        </w:tc>
        <w:tc>
          <w:tcPr>
            <w:tcW w:w="2880" w:type="dxa"/>
            <w:noWrap w:val="0"/>
            <w:vAlign w:val="center"/>
          </w:tcPr>
          <w:p>
            <w:pPr>
              <w:spacing w:line="400" w:lineRule="exact"/>
              <w:jc w:val="center"/>
              <w:rPr>
                <w:rFonts w:hint="eastAsia" w:ascii="仿宋" w:hAnsi="仿宋" w:eastAsia="仿宋"/>
                <w:sz w:val="24"/>
              </w:rPr>
            </w:pPr>
            <w:r>
              <w:rPr>
                <w:rFonts w:hint="eastAsia" w:ascii="仿宋" w:hAnsi="仿宋" w:eastAsia="仿宋"/>
                <w:sz w:val="24"/>
              </w:rPr>
              <w:t>法定代表人</w:t>
            </w:r>
          </w:p>
        </w:tc>
        <w:tc>
          <w:tcPr>
            <w:tcW w:w="2880" w:type="dxa"/>
            <w:noWrap w:val="0"/>
            <w:vAlign w:val="center"/>
          </w:tcPr>
          <w:p>
            <w:pPr>
              <w:spacing w:line="400" w:lineRule="exact"/>
              <w:jc w:val="center"/>
              <w:rPr>
                <w:rFonts w:hint="eastAsia" w:ascii="仿宋" w:hAnsi="仿宋" w:eastAsia="仿宋"/>
                <w:sz w:val="24"/>
              </w:rPr>
            </w:pPr>
            <w:r>
              <w:rPr>
                <w:rFonts w:hint="eastAsia" w:ascii="仿宋" w:hAnsi="仿宋" w:eastAsia="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2880" w:type="dxa"/>
            <w:noWrap w:val="0"/>
            <w:vAlign w:val="center"/>
          </w:tcPr>
          <w:p>
            <w:pPr>
              <w:spacing w:line="400" w:lineRule="exact"/>
              <w:jc w:val="center"/>
              <w:rPr>
                <w:rFonts w:hint="eastAsia" w:ascii="仿宋" w:hAnsi="仿宋" w:eastAsia="仿宋"/>
                <w:sz w:val="24"/>
              </w:rPr>
            </w:pPr>
            <w:r>
              <w:rPr>
                <w:rFonts w:hint="eastAsia" w:ascii="仿宋" w:hAnsi="仿宋" w:eastAsia="仿宋"/>
                <w:sz w:val="24"/>
              </w:rPr>
              <w:t>（公章）</w:t>
            </w:r>
          </w:p>
        </w:tc>
        <w:tc>
          <w:tcPr>
            <w:tcW w:w="2880" w:type="dxa"/>
            <w:noWrap w:val="0"/>
            <w:vAlign w:val="center"/>
          </w:tcPr>
          <w:p>
            <w:pPr>
              <w:spacing w:line="400" w:lineRule="exact"/>
              <w:jc w:val="center"/>
              <w:rPr>
                <w:rFonts w:hint="eastAsia" w:ascii="仿宋" w:hAnsi="仿宋" w:eastAsia="仿宋"/>
                <w:sz w:val="24"/>
              </w:rPr>
            </w:pPr>
            <w:r>
              <w:rPr>
                <w:rFonts w:hint="eastAsia" w:ascii="仿宋" w:hAnsi="仿宋" w:eastAsia="仿宋"/>
                <w:sz w:val="24"/>
              </w:rPr>
              <w:t>（签字或盖章）</w:t>
            </w:r>
          </w:p>
        </w:tc>
        <w:tc>
          <w:tcPr>
            <w:tcW w:w="2880" w:type="dxa"/>
            <w:noWrap w:val="0"/>
            <w:vAlign w:val="center"/>
          </w:tcPr>
          <w:p>
            <w:pPr>
              <w:spacing w:line="400" w:lineRule="exact"/>
              <w:ind w:firstLine="480" w:firstLineChars="200"/>
              <w:rPr>
                <w:rFonts w:hint="eastAsia" w:ascii="仿宋" w:hAnsi="仿宋" w:eastAsia="仿宋"/>
                <w:sz w:val="24"/>
              </w:rPr>
            </w:pPr>
            <w:r>
              <w:rPr>
                <w:rFonts w:hint="eastAsia" w:ascii="仿宋" w:hAnsi="仿宋" w:eastAsia="仿宋"/>
                <w:sz w:val="24"/>
              </w:rPr>
              <w:t>年   月   日</w:t>
            </w:r>
          </w:p>
        </w:tc>
      </w:tr>
    </w:tbl>
    <w:p>
      <w:pPr>
        <w:rPr>
          <w:rFonts w:asciiTheme="minorEastAsia" w:hAnsiTheme="minorEastAsia" w:eastAsiaTheme="minorEastAsia" w:cstheme="minorEastAsia"/>
          <w:b/>
          <w:bCs/>
          <w:sz w:val="28"/>
          <w:szCs w:val="28"/>
        </w:rPr>
      </w:pPr>
    </w:p>
    <w:p>
      <w:pPr>
        <w:adjustRightInd w:val="0"/>
        <w:snapToGrid w:val="0"/>
        <w:spacing w:line="360" w:lineRule="auto"/>
        <w:jc w:val="center"/>
        <w:rPr>
          <w:rFonts w:hint="eastAsia" w:asciiTheme="minorEastAsia" w:hAnsiTheme="minorEastAsia" w:eastAsiaTheme="minorEastAsia" w:cstheme="minorEastAsia"/>
          <w:b/>
          <w:bCs/>
          <w:color w:val="000000"/>
          <w:sz w:val="28"/>
          <w:szCs w:val="28"/>
        </w:rPr>
      </w:pPr>
    </w:p>
    <w:p>
      <w:pPr>
        <w:adjustRightInd w:val="0"/>
        <w:snapToGrid w:val="0"/>
        <w:spacing w:line="360" w:lineRule="auto"/>
        <w:jc w:val="center"/>
        <w:rPr>
          <w:rFonts w:hint="eastAsia" w:asciiTheme="minorEastAsia" w:hAnsiTheme="minorEastAsia" w:eastAsiaTheme="minorEastAsia" w:cstheme="minorEastAsia"/>
          <w:b/>
          <w:bCs/>
          <w:color w:val="000000"/>
          <w:sz w:val="28"/>
          <w:szCs w:val="28"/>
        </w:rPr>
      </w:pPr>
    </w:p>
    <w:p>
      <w:pPr>
        <w:adjustRightInd w:val="0"/>
        <w:snapToGrid w:val="0"/>
        <w:spacing w:line="360" w:lineRule="auto"/>
        <w:jc w:val="center"/>
        <w:rPr>
          <w:rFonts w:hint="eastAsia" w:asciiTheme="minorEastAsia" w:hAnsiTheme="minorEastAsia" w:eastAsiaTheme="minorEastAsia" w:cstheme="minorEastAsia"/>
          <w:b/>
          <w:bCs/>
          <w:color w:val="000000"/>
          <w:sz w:val="28"/>
          <w:szCs w:val="28"/>
        </w:rPr>
      </w:pPr>
    </w:p>
    <w:p>
      <w:pPr>
        <w:adjustRightInd w:val="0"/>
        <w:snapToGrid w:val="0"/>
        <w:spacing w:line="360" w:lineRule="auto"/>
        <w:jc w:val="center"/>
        <w:rPr>
          <w:rFonts w:hint="eastAsia" w:asciiTheme="minorEastAsia" w:hAnsiTheme="minorEastAsia" w:eastAsiaTheme="minorEastAsia" w:cstheme="minorEastAsia"/>
          <w:b/>
          <w:bCs/>
          <w:color w:val="000000"/>
          <w:sz w:val="28"/>
          <w:szCs w:val="28"/>
        </w:rPr>
      </w:pPr>
    </w:p>
    <w:p>
      <w:pPr>
        <w:adjustRightInd w:val="0"/>
        <w:snapToGrid w:val="0"/>
        <w:spacing w:line="360" w:lineRule="auto"/>
        <w:jc w:val="center"/>
        <w:rPr>
          <w:rFonts w:hint="eastAsia" w:asciiTheme="minorEastAsia" w:hAnsiTheme="minorEastAsia" w:eastAsiaTheme="minorEastAsia" w:cstheme="minorEastAsia"/>
          <w:b/>
          <w:bCs/>
          <w:color w:val="000000"/>
          <w:sz w:val="28"/>
          <w:szCs w:val="28"/>
        </w:rPr>
      </w:pPr>
    </w:p>
    <w:p>
      <w:pPr>
        <w:adjustRightInd w:val="0"/>
        <w:snapToGrid w:val="0"/>
        <w:spacing w:line="360" w:lineRule="auto"/>
        <w:jc w:val="center"/>
        <w:rPr>
          <w:rFonts w:hint="eastAsia" w:asciiTheme="minorEastAsia" w:hAnsiTheme="minorEastAsia" w:eastAsiaTheme="minorEastAsia" w:cstheme="minorEastAsia"/>
          <w:b/>
          <w:bCs/>
          <w:color w:val="000000"/>
          <w:sz w:val="28"/>
          <w:szCs w:val="28"/>
        </w:rPr>
      </w:pPr>
    </w:p>
    <w:p>
      <w:pPr>
        <w:adjustRightInd w:val="0"/>
        <w:snapToGrid w:val="0"/>
        <w:spacing w:line="360" w:lineRule="auto"/>
        <w:jc w:val="center"/>
        <w:rPr>
          <w:rFonts w:hint="eastAsia" w:asciiTheme="minorEastAsia" w:hAnsiTheme="minorEastAsia" w:eastAsiaTheme="minorEastAsia" w:cstheme="minorEastAsia"/>
          <w:b/>
          <w:bCs/>
          <w:color w:val="000000"/>
          <w:sz w:val="28"/>
          <w:szCs w:val="28"/>
        </w:rPr>
      </w:pPr>
    </w:p>
    <w:p>
      <w:pPr>
        <w:adjustRightInd w:val="0"/>
        <w:snapToGrid w:val="0"/>
        <w:spacing w:line="360" w:lineRule="auto"/>
        <w:jc w:val="center"/>
        <w:rPr>
          <w:rFonts w:hint="eastAsia" w:asciiTheme="minorEastAsia" w:hAnsiTheme="minorEastAsia" w:eastAsiaTheme="minorEastAsia" w:cstheme="minorEastAsia"/>
          <w:b/>
          <w:bCs/>
          <w:color w:val="000000"/>
          <w:sz w:val="28"/>
          <w:szCs w:val="28"/>
        </w:rPr>
      </w:pPr>
    </w:p>
    <w:p>
      <w:pPr>
        <w:adjustRightInd w:val="0"/>
        <w:snapToGrid w:val="0"/>
        <w:spacing w:line="360" w:lineRule="auto"/>
        <w:jc w:val="center"/>
        <w:rPr>
          <w:rFonts w:hint="eastAsia" w:asciiTheme="minorEastAsia" w:hAnsiTheme="minorEastAsia" w:eastAsiaTheme="minorEastAsia" w:cstheme="minorEastAsia"/>
          <w:b/>
          <w:bCs/>
          <w:color w:val="000000"/>
          <w:sz w:val="28"/>
          <w:szCs w:val="28"/>
        </w:rPr>
      </w:pPr>
    </w:p>
    <w:p>
      <w:pPr>
        <w:adjustRightInd w:val="0"/>
        <w:snapToGrid w:val="0"/>
        <w:spacing w:line="360" w:lineRule="auto"/>
        <w:jc w:val="center"/>
        <w:rPr>
          <w:rFonts w:hint="eastAsia" w:asciiTheme="minorEastAsia" w:hAnsiTheme="minorEastAsia" w:eastAsiaTheme="minorEastAsia" w:cstheme="minorEastAsia"/>
          <w:b/>
          <w:bCs/>
          <w:color w:val="000000"/>
          <w:sz w:val="28"/>
          <w:szCs w:val="28"/>
        </w:rPr>
      </w:pPr>
    </w:p>
    <w:p>
      <w:pPr>
        <w:adjustRightInd w:val="0"/>
        <w:snapToGrid w:val="0"/>
        <w:spacing w:line="360" w:lineRule="auto"/>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中小企业声明函</w:t>
      </w:r>
    </w:p>
    <w:p>
      <w:pPr>
        <w:jc w:val="center"/>
        <w:rPr>
          <w:rFonts w:ascii="宋体" w:hAnsi="宋体" w:cs="宋体"/>
          <w:b/>
          <w:bCs/>
          <w:sz w:val="30"/>
          <w:szCs w:val="30"/>
        </w:rPr>
      </w:pPr>
      <w:r>
        <w:rPr>
          <w:rFonts w:hint="eastAsia" w:ascii="仿宋_GB2312" w:hAnsi="仿宋_GB2312" w:eastAsia="仿宋_GB2312" w:cs="仿宋_GB2312"/>
          <w:b/>
          <w:bCs/>
          <w:sz w:val="30"/>
          <w:szCs w:val="30"/>
        </w:rPr>
        <w:t>中小企业声明函（工程、服务）</w:t>
      </w:r>
    </w:p>
    <w:p>
      <w:pPr>
        <w:jc w:val="center"/>
        <w:rPr>
          <w:rFonts w:ascii="宋体" w:hAnsi="宋体" w:cs="宋体"/>
          <w:b/>
          <w:bCs/>
          <w:sz w:val="24"/>
        </w:rPr>
      </w:pPr>
    </w:p>
    <w:p>
      <w:pPr>
        <w:spacing w:line="360" w:lineRule="auto"/>
        <w:ind w:firstLine="480" w:firstLineChars="200"/>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i w:val="0"/>
          <w:iCs w:val="0"/>
          <w:sz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val="0"/>
          <w:iCs w:val="0"/>
          <w:sz w:val="24"/>
          <w:u w:val="single"/>
        </w:rPr>
        <w:t>（单位名称）</w:t>
      </w:r>
      <w:r>
        <w:rPr>
          <w:rFonts w:hint="eastAsia" w:asciiTheme="minorEastAsia" w:hAnsiTheme="minorEastAsia" w:eastAsiaTheme="minorEastAsia" w:cstheme="minorEastAsia"/>
          <w:i w:val="0"/>
          <w:iCs w:val="0"/>
          <w:sz w:val="24"/>
        </w:rPr>
        <w:t>的</w:t>
      </w:r>
      <w:r>
        <w:rPr>
          <w:rFonts w:hint="eastAsia" w:asciiTheme="minorEastAsia" w:hAnsiTheme="minorEastAsia" w:eastAsiaTheme="minorEastAsia" w:cstheme="minorEastAsia"/>
          <w:i w:val="0"/>
          <w:iCs w:val="0"/>
          <w:sz w:val="24"/>
          <w:u w:val="single"/>
        </w:rPr>
        <w:t>（项目名称）</w:t>
      </w:r>
      <w:r>
        <w:rPr>
          <w:rFonts w:hint="eastAsia" w:asciiTheme="minorEastAsia" w:hAnsiTheme="minorEastAsia" w:eastAsiaTheme="minorEastAsia" w:cstheme="minorEastAsia"/>
          <w:i w:val="0"/>
          <w:iCs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i w:val="0"/>
          <w:iCs w:val="0"/>
          <w:sz w:val="24"/>
        </w:rPr>
        <w:t>1.</w:t>
      </w:r>
      <w:r>
        <w:rPr>
          <w:rFonts w:hint="eastAsia" w:asciiTheme="minorEastAsia" w:hAnsiTheme="minorEastAsia" w:eastAsiaTheme="minorEastAsia" w:cstheme="minorEastAsia"/>
          <w:i w:val="0"/>
          <w:iCs w:val="0"/>
          <w:sz w:val="24"/>
          <w:u w:val="single"/>
        </w:rPr>
        <w:t xml:space="preserve"> （标的名称） </w:t>
      </w:r>
      <w:r>
        <w:rPr>
          <w:rFonts w:hint="eastAsia" w:asciiTheme="minorEastAsia" w:hAnsiTheme="minorEastAsia" w:eastAsiaTheme="minorEastAsia" w:cstheme="minorEastAsia"/>
          <w:i w:val="0"/>
          <w:iCs w:val="0"/>
          <w:sz w:val="24"/>
        </w:rPr>
        <w:t>，属于</w:t>
      </w:r>
      <w:r>
        <w:rPr>
          <w:rFonts w:hint="eastAsia" w:asciiTheme="minorEastAsia" w:hAnsiTheme="minorEastAsia" w:eastAsiaTheme="minorEastAsia" w:cstheme="minorEastAsia"/>
          <w:i w:val="0"/>
          <w:iCs w:val="0"/>
          <w:sz w:val="24"/>
          <w:u w:val="single"/>
        </w:rPr>
        <w:t>（采购文件中明确的所属行业）</w:t>
      </w:r>
      <w:r>
        <w:rPr>
          <w:rFonts w:hint="eastAsia" w:asciiTheme="minorEastAsia" w:hAnsiTheme="minorEastAsia" w:eastAsiaTheme="minorEastAsia" w:cstheme="minorEastAsia"/>
          <w:i w:val="0"/>
          <w:iCs w:val="0"/>
          <w:sz w:val="24"/>
        </w:rPr>
        <w:t>；承建（承接）企业为</w:t>
      </w:r>
      <w:r>
        <w:rPr>
          <w:rFonts w:hint="eastAsia" w:asciiTheme="minorEastAsia" w:hAnsiTheme="minorEastAsia" w:eastAsiaTheme="minorEastAsia" w:cstheme="minorEastAsia"/>
          <w:i w:val="0"/>
          <w:iCs w:val="0"/>
          <w:sz w:val="24"/>
          <w:u w:val="single"/>
        </w:rPr>
        <w:t>（企业名称）</w:t>
      </w:r>
      <w:r>
        <w:rPr>
          <w:rFonts w:hint="eastAsia" w:asciiTheme="minorEastAsia" w:hAnsiTheme="minorEastAsia" w:eastAsiaTheme="minorEastAsia" w:cstheme="minorEastAsia"/>
          <w:i w:val="0"/>
          <w:iCs w:val="0"/>
          <w:sz w:val="24"/>
        </w:rPr>
        <w:t>，从业人员</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人，营业收入为</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万元，资产总额为</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万元，属于</w:t>
      </w:r>
      <w:r>
        <w:rPr>
          <w:rFonts w:hint="eastAsia" w:asciiTheme="minorEastAsia" w:hAnsiTheme="minorEastAsia" w:eastAsiaTheme="minorEastAsia" w:cstheme="minorEastAsia"/>
          <w:i w:val="0"/>
          <w:iCs w:val="0"/>
          <w:sz w:val="24"/>
          <w:u w:val="single"/>
        </w:rPr>
        <w:t>（中型企业、小型企业、微型企业）</w:t>
      </w:r>
      <w:r>
        <w:rPr>
          <w:rFonts w:hint="eastAsia" w:asciiTheme="minorEastAsia" w:hAnsiTheme="minorEastAsia" w:eastAsiaTheme="minorEastAsia" w:cstheme="minorEastAsia"/>
          <w:i w:val="0"/>
          <w:iCs w:val="0"/>
          <w:sz w:val="24"/>
        </w:rPr>
        <w:t>；</w:t>
      </w:r>
    </w:p>
    <w:p>
      <w:pPr>
        <w:spacing w:line="360" w:lineRule="auto"/>
        <w:ind w:firstLine="480" w:firstLineChars="200"/>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i w:val="0"/>
          <w:iCs w:val="0"/>
          <w:sz w:val="24"/>
        </w:rPr>
        <w:t>2.</w:t>
      </w:r>
      <w:r>
        <w:rPr>
          <w:rFonts w:hint="eastAsia" w:asciiTheme="minorEastAsia" w:hAnsiTheme="minorEastAsia" w:eastAsiaTheme="minorEastAsia" w:cstheme="minorEastAsia"/>
          <w:i w:val="0"/>
          <w:iCs w:val="0"/>
          <w:sz w:val="24"/>
          <w:u w:val="single"/>
        </w:rPr>
        <w:t xml:space="preserve"> （标的名称） </w:t>
      </w:r>
      <w:r>
        <w:rPr>
          <w:rFonts w:hint="eastAsia" w:asciiTheme="minorEastAsia" w:hAnsiTheme="minorEastAsia" w:eastAsiaTheme="minorEastAsia" w:cstheme="minorEastAsia"/>
          <w:i w:val="0"/>
          <w:iCs w:val="0"/>
          <w:sz w:val="24"/>
        </w:rPr>
        <w:t>，属于</w:t>
      </w:r>
      <w:r>
        <w:rPr>
          <w:rFonts w:hint="eastAsia" w:asciiTheme="minorEastAsia" w:hAnsiTheme="minorEastAsia" w:eastAsiaTheme="minorEastAsia" w:cstheme="minorEastAsia"/>
          <w:i w:val="0"/>
          <w:iCs w:val="0"/>
          <w:sz w:val="24"/>
          <w:u w:val="single"/>
        </w:rPr>
        <w:t>（采购文件中明确的所属行业）</w:t>
      </w:r>
      <w:r>
        <w:rPr>
          <w:rFonts w:hint="eastAsia" w:asciiTheme="minorEastAsia" w:hAnsiTheme="minorEastAsia" w:eastAsiaTheme="minorEastAsia" w:cstheme="minorEastAsia"/>
          <w:i w:val="0"/>
          <w:iCs w:val="0"/>
          <w:sz w:val="24"/>
        </w:rPr>
        <w:t>；承建（承接）企业为</w:t>
      </w:r>
      <w:r>
        <w:rPr>
          <w:rFonts w:hint="eastAsia" w:asciiTheme="minorEastAsia" w:hAnsiTheme="minorEastAsia" w:eastAsiaTheme="minorEastAsia" w:cstheme="minorEastAsia"/>
          <w:i w:val="0"/>
          <w:iCs w:val="0"/>
          <w:sz w:val="24"/>
          <w:u w:val="single"/>
        </w:rPr>
        <w:t>（企业名称）</w:t>
      </w:r>
      <w:r>
        <w:rPr>
          <w:rFonts w:hint="eastAsia" w:asciiTheme="minorEastAsia" w:hAnsiTheme="minorEastAsia" w:eastAsiaTheme="minorEastAsia" w:cstheme="minorEastAsia"/>
          <w:i w:val="0"/>
          <w:iCs w:val="0"/>
          <w:sz w:val="24"/>
        </w:rPr>
        <w:t>，从业人员</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人，营业收入为</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万元，资产总额为</w:t>
      </w:r>
      <w:r>
        <w:rPr>
          <w:rFonts w:hint="eastAsia" w:asciiTheme="minorEastAsia" w:hAnsiTheme="minorEastAsia" w:eastAsiaTheme="minorEastAsia" w:cstheme="minorEastAsia"/>
          <w:i w:val="0"/>
          <w:iCs w:val="0"/>
          <w:sz w:val="24"/>
          <w:u w:val="single"/>
        </w:rPr>
        <w:t xml:space="preserve">    </w:t>
      </w:r>
      <w:r>
        <w:rPr>
          <w:rFonts w:hint="eastAsia" w:asciiTheme="minorEastAsia" w:hAnsiTheme="minorEastAsia" w:eastAsiaTheme="minorEastAsia" w:cstheme="minorEastAsia"/>
          <w:i w:val="0"/>
          <w:iCs w:val="0"/>
          <w:sz w:val="24"/>
        </w:rPr>
        <w:t>万元，属于</w:t>
      </w:r>
      <w:r>
        <w:rPr>
          <w:rFonts w:hint="eastAsia" w:asciiTheme="minorEastAsia" w:hAnsiTheme="minorEastAsia" w:eastAsiaTheme="minorEastAsia" w:cstheme="minorEastAsia"/>
          <w:i w:val="0"/>
          <w:iCs w:val="0"/>
          <w:sz w:val="24"/>
          <w:u w:val="single"/>
        </w:rPr>
        <w:t>（中型企业、小型企业、微型企业）</w:t>
      </w:r>
      <w:r>
        <w:rPr>
          <w:rFonts w:hint="eastAsia" w:asciiTheme="minorEastAsia" w:hAnsiTheme="minorEastAsia" w:eastAsiaTheme="minorEastAsia" w:cstheme="minorEastAsia"/>
          <w:i w:val="0"/>
          <w:iCs w:val="0"/>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以上企业，不属于大企业的分支机构，不存在控股股东为大企业的情形，也不存在与大企业的负责人为同一人的情形。</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本企业对上述声明内容的真实性负责。如有虚假，将依法承担相应责任。</w:t>
      </w:r>
    </w:p>
    <w:p>
      <w:pPr>
        <w:wordWrap w:val="0"/>
        <w:spacing w:line="360" w:lineRule="auto"/>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企业名称（盖章）：            </w:t>
      </w:r>
    </w:p>
    <w:p>
      <w:pPr>
        <w:wordWrap w:val="0"/>
        <w:spacing w:line="360" w:lineRule="auto"/>
        <w:jc w:val="right"/>
        <w:rPr>
          <w:rFonts w:ascii="仿宋_GB2312" w:hAnsi="仿宋_GB2312" w:eastAsia="仿宋_GB2312" w:cs="仿宋_GB2312"/>
          <w:sz w:val="24"/>
        </w:rPr>
      </w:pPr>
      <w:r>
        <w:rPr>
          <w:rFonts w:hint="eastAsia" w:asciiTheme="minorEastAsia" w:hAnsiTheme="minorEastAsia" w:eastAsiaTheme="minorEastAsia" w:cstheme="minorEastAsia"/>
          <w:sz w:val="24"/>
        </w:rPr>
        <w:t xml:space="preserve">日 期：                      </w:t>
      </w:r>
      <w:r>
        <w:rPr>
          <w:rFonts w:hint="eastAsia" w:ascii="仿宋_GB2312" w:hAnsi="仿宋_GB2312" w:eastAsia="仿宋_GB2312" w:cs="仿宋_GB2312"/>
          <w:sz w:val="24"/>
        </w:rPr>
        <w:t xml:space="preserve"> </w:t>
      </w:r>
    </w:p>
    <w:p>
      <w:pPr>
        <w:pStyle w:val="12"/>
        <w:rPr>
          <w:rFonts w:asciiTheme="minorEastAsia" w:hAnsiTheme="minorEastAsia" w:eastAsiaTheme="minorEastAsia" w:cstheme="minorEastAsia"/>
          <w:b/>
          <w:sz w:val="44"/>
          <w:szCs w:val="44"/>
        </w:rPr>
      </w:pPr>
    </w:p>
    <w:p>
      <w:pPr>
        <w:pStyle w:val="12"/>
        <w:rPr>
          <w:rFonts w:asciiTheme="minorEastAsia" w:hAnsiTheme="minorEastAsia" w:eastAsiaTheme="minorEastAsia" w:cstheme="minorEastAsia"/>
          <w:sz w:val="28"/>
          <w:szCs w:val="28"/>
        </w:rPr>
      </w:pPr>
    </w:p>
    <w:p>
      <w:pPr>
        <w:pStyle w:val="16"/>
        <w:adjustRightInd w:val="0"/>
        <w:snapToGrid w:val="0"/>
        <w:spacing w:line="360" w:lineRule="auto"/>
        <w:ind w:firstLine="2560" w:firstLineChars="800"/>
        <w:rPr>
          <w:rFonts w:asciiTheme="minorEastAsia" w:hAnsiTheme="minorEastAsia" w:eastAsiaTheme="minorEastAsia" w:cstheme="minorEastAsia"/>
          <w:sz w:val="32"/>
        </w:rPr>
      </w:pPr>
      <w:r>
        <w:rPr>
          <w:rFonts w:hint="eastAsia" w:asciiTheme="minorEastAsia" w:hAnsiTheme="minorEastAsia" w:eastAsiaTheme="minorEastAsia" w:cstheme="minorEastAsia"/>
          <w:sz w:val="32"/>
          <w:u w:val="single"/>
        </w:rPr>
        <w:t xml:space="preserve">                             </w:t>
      </w:r>
    </w:p>
    <w:p>
      <w:pPr>
        <w:spacing w:line="480" w:lineRule="auto"/>
        <w:ind w:right="-161"/>
        <w:rPr>
          <w:rFonts w:asciiTheme="minorEastAsia" w:hAnsiTheme="minorEastAsia" w:eastAsiaTheme="minorEastAsia" w:cstheme="minorEastAsia"/>
          <w:sz w:val="28"/>
          <w:szCs w:val="28"/>
        </w:rPr>
      </w:pPr>
    </w:p>
    <w:p>
      <w:pPr>
        <w:pStyle w:val="50"/>
        <w:rPr>
          <w:rFonts w:asciiTheme="minorEastAsia" w:hAnsiTheme="minorEastAsia" w:eastAsiaTheme="minorEastAsia" w:cstheme="minorEastAsia"/>
        </w:rPr>
      </w:pPr>
    </w:p>
    <w:p>
      <w:pPr>
        <w:pStyle w:val="50"/>
        <w:rPr>
          <w:rFonts w:asciiTheme="minorEastAsia" w:hAnsiTheme="minorEastAsia" w:eastAsiaTheme="minorEastAsia" w:cstheme="minorEastAsia"/>
        </w:rPr>
      </w:pPr>
    </w:p>
    <w:p>
      <w:pPr>
        <w:pStyle w:val="50"/>
        <w:rPr>
          <w:rFonts w:asciiTheme="minorEastAsia" w:hAnsiTheme="minorEastAsia" w:eastAsiaTheme="minorEastAsia" w:cstheme="minorEastAsia"/>
        </w:rPr>
      </w:pPr>
    </w:p>
    <w:p>
      <w:pPr>
        <w:pStyle w:val="50"/>
        <w:rPr>
          <w:rFonts w:asciiTheme="minorEastAsia" w:hAnsiTheme="minorEastAsia" w:eastAsiaTheme="minorEastAsia" w:cstheme="minorEastAsia"/>
        </w:rPr>
      </w:pPr>
    </w:p>
    <w:p>
      <w:pPr>
        <w:pStyle w:val="50"/>
        <w:rPr>
          <w:rFonts w:asciiTheme="minorEastAsia" w:hAnsiTheme="minorEastAsia" w:eastAsiaTheme="minorEastAsia" w:cstheme="minorEastAsia"/>
        </w:rPr>
      </w:pPr>
    </w:p>
    <w:p>
      <w:pPr>
        <w:pStyle w:val="50"/>
        <w:rPr>
          <w:rFonts w:asciiTheme="minorEastAsia" w:hAnsiTheme="minorEastAsia" w:eastAsiaTheme="minorEastAsia" w:cstheme="minorEastAsia"/>
        </w:rPr>
      </w:pPr>
    </w:p>
    <w:p>
      <w:pPr>
        <w:pStyle w:val="50"/>
        <w:rPr>
          <w:rFonts w:asciiTheme="minorEastAsia" w:hAnsiTheme="minorEastAsia" w:eastAsiaTheme="minorEastAsia" w:cstheme="minorEastAsia"/>
        </w:rPr>
      </w:pPr>
    </w:p>
    <w:p>
      <w:pPr>
        <w:pStyle w:val="50"/>
        <w:rPr>
          <w:rFonts w:asciiTheme="minorEastAsia" w:hAnsiTheme="minorEastAsia" w:eastAsiaTheme="minorEastAsia" w:cstheme="minorEastAsia"/>
        </w:rPr>
      </w:pPr>
    </w:p>
    <w:p>
      <w:pPr>
        <w:pStyle w:val="50"/>
        <w:rPr>
          <w:rFonts w:asciiTheme="minorEastAsia" w:hAnsiTheme="minorEastAsia" w:eastAsiaTheme="minorEastAsia" w:cstheme="minorEastAsia"/>
        </w:rPr>
      </w:pPr>
    </w:p>
    <w:p>
      <w:pPr>
        <w:pStyle w:val="50"/>
        <w:rPr>
          <w:rFonts w:asciiTheme="minorEastAsia" w:hAnsiTheme="minorEastAsia" w:eastAsiaTheme="minorEastAsia" w:cstheme="minorEastAsia"/>
        </w:rPr>
      </w:pPr>
    </w:p>
    <w:p>
      <w:pPr>
        <w:pStyle w:val="50"/>
        <w:rPr>
          <w:rFonts w:asciiTheme="minorEastAsia" w:hAnsiTheme="minorEastAsia" w:eastAsiaTheme="minorEastAsia" w:cstheme="minorEastAsia"/>
        </w:rPr>
      </w:pPr>
    </w:p>
    <w:p>
      <w:pPr>
        <w:spacing w:line="360" w:lineRule="auto"/>
        <w:jc w:val="center"/>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b/>
          <w:bCs/>
          <w:sz w:val="28"/>
          <w:szCs w:val="28"/>
          <w:lang w:val="zh-CN"/>
        </w:rPr>
        <w:t>供应商承诺书</w:t>
      </w:r>
    </w:p>
    <w:p>
      <w:pPr>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致：</w:t>
      </w:r>
    </w:p>
    <w:p>
      <w:pPr>
        <w:autoSpaceDE w:val="0"/>
        <w:autoSpaceDN w:val="0"/>
        <w:adjustRightIn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Cs/>
          <w:caps/>
          <w:sz w:val="28"/>
          <w:szCs w:val="28"/>
        </w:rPr>
        <w:t>我公司</w:t>
      </w:r>
      <w:r>
        <w:rPr>
          <w:rFonts w:hint="eastAsia" w:asciiTheme="minorEastAsia" w:hAnsiTheme="minorEastAsia" w:eastAsiaTheme="minorEastAsia" w:cstheme="minorEastAsia"/>
          <w:sz w:val="28"/>
          <w:szCs w:val="28"/>
        </w:rPr>
        <w:t>做为参加贵单位组织的</w:t>
      </w:r>
      <w:r>
        <w:rPr>
          <w:rFonts w:hint="eastAsia" w:asciiTheme="minorEastAsia" w:hAnsiTheme="minorEastAsia" w:eastAsiaTheme="minorEastAsia" w:cstheme="minorEastAsia"/>
          <w:sz w:val="28"/>
          <w:szCs w:val="28"/>
          <w:u w:val="single"/>
          <w:lang w:val="zh-CN"/>
        </w:rPr>
        <w:t>（项目名称）</w:t>
      </w:r>
      <w:r>
        <w:rPr>
          <w:rFonts w:hint="eastAsia" w:asciiTheme="minorEastAsia" w:hAnsiTheme="minorEastAsia" w:eastAsiaTheme="minorEastAsia" w:cstheme="minorEastAsia"/>
          <w:sz w:val="28"/>
          <w:szCs w:val="28"/>
        </w:rPr>
        <w:t>的供应商人，本公司郑重承诺：</w:t>
      </w:r>
    </w:p>
    <w:p>
      <w:pPr>
        <w:autoSpaceDE w:val="0"/>
        <w:autoSpaceDN w:val="0"/>
        <w:adjustRightIn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1、在参加本项目磋商活动之前不存在被依法禁止经营行为、财产被接管或冻结的情况，如有隐瞒实情，愿承担一切责任及后果。</w:t>
      </w:r>
    </w:p>
    <w:p>
      <w:pPr>
        <w:autoSpaceDE w:val="0"/>
        <w:autoSpaceDN w:val="0"/>
        <w:adjustRightIn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2、近三年受到有关行政主管部门的行政处理、不良行为记录为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次（没有填零），如有隐瞒实情，愿承担一切责任及后果。</w:t>
      </w:r>
    </w:p>
    <w:p>
      <w:pPr>
        <w:autoSpaceDE w:val="0"/>
        <w:autoSpaceDN w:val="0"/>
        <w:adjustRightIn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3、参加本次磋商提交的所有证明文件及业绩证明文件是真实的、有效的，如有隐瞒实情，愿承担一切责任及后果。</w:t>
      </w:r>
    </w:p>
    <w:p>
      <w:pPr>
        <w:autoSpaceDE w:val="0"/>
        <w:autoSpaceDN w:val="0"/>
        <w:adjustRightIn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autoSpaceDE w:val="0"/>
        <w:autoSpaceDN w:val="0"/>
        <w:adjustRightInd w:val="0"/>
        <w:spacing w:line="360" w:lineRule="auto"/>
        <w:rPr>
          <w:rFonts w:asciiTheme="minorEastAsia" w:hAnsiTheme="minorEastAsia" w:eastAsiaTheme="minorEastAsia" w:cstheme="minorEastAsia"/>
          <w:sz w:val="28"/>
          <w:szCs w:val="28"/>
        </w:rPr>
      </w:pPr>
    </w:p>
    <w:p>
      <w:pPr>
        <w:autoSpaceDE w:val="0"/>
        <w:autoSpaceDN w:val="0"/>
        <w:adjustRightInd w:val="0"/>
        <w:spacing w:line="360" w:lineRule="auto"/>
        <w:rPr>
          <w:rFonts w:asciiTheme="minorEastAsia" w:hAnsiTheme="minorEastAsia" w:eastAsiaTheme="minorEastAsia" w:cstheme="minorEastAsia"/>
          <w:sz w:val="28"/>
          <w:szCs w:val="28"/>
        </w:rPr>
      </w:pPr>
    </w:p>
    <w:p>
      <w:pPr>
        <w:spacing w:line="360" w:lineRule="auto"/>
        <w:ind w:firstLine="2520" w:firstLineChars="9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供应商（公章）：</w:t>
      </w:r>
      <w:r>
        <w:rPr>
          <w:rFonts w:hint="eastAsia" w:asciiTheme="minorEastAsia" w:hAnsiTheme="minorEastAsia" w:eastAsiaTheme="minorEastAsia" w:cstheme="minorEastAsia"/>
          <w:sz w:val="28"/>
          <w:szCs w:val="28"/>
          <w:u w:val="single"/>
        </w:rPr>
        <w:t xml:space="preserve">                     </w:t>
      </w:r>
    </w:p>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法定代表人或授权代表（签字或盖章）：</w:t>
      </w:r>
    </w:p>
    <w:p>
      <w:pPr>
        <w:autoSpaceDE w:val="0"/>
        <w:autoSpaceDN w:val="0"/>
        <w:adjustRightInd w:val="0"/>
        <w:spacing w:line="360" w:lineRule="auto"/>
        <w:ind w:firstLine="280" w:firstLineChars="1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sz w:val="28"/>
          <w:szCs w:val="28"/>
        </w:rPr>
        <w:t xml:space="preserve">                日 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spacing w:line="360" w:lineRule="auto"/>
        <w:rPr>
          <w:rFonts w:asciiTheme="minorEastAsia" w:hAnsiTheme="minorEastAsia" w:eastAsiaTheme="minorEastAsia" w:cstheme="minorEastAsia"/>
          <w:bCs/>
          <w:caps/>
          <w:sz w:val="28"/>
          <w:szCs w:val="28"/>
        </w:rPr>
      </w:pPr>
    </w:p>
    <w:p>
      <w:pPr>
        <w:rPr>
          <w:rFonts w:asciiTheme="minorEastAsia" w:hAnsiTheme="minorEastAsia" w:eastAsiaTheme="minorEastAsia" w:cstheme="minorEastAsia"/>
        </w:rPr>
      </w:pPr>
    </w:p>
    <w:p>
      <w:pPr>
        <w:pStyle w:val="12"/>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49"/>
        <w:rPr>
          <w:rFonts w:asciiTheme="minorEastAsia" w:hAnsiTheme="minorEastAsia" w:eastAsiaTheme="minorEastAsia" w:cstheme="minorEastAsia"/>
        </w:rPr>
      </w:pPr>
    </w:p>
    <w:p>
      <w:pPr>
        <w:pStyle w:val="49"/>
        <w:rPr>
          <w:rFonts w:asciiTheme="minorEastAsia" w:hAnsiTheme="minorEastAsia" w:eastAsiaTheme="minorEastAsia" w:cstheme="minorEastAsia"/>
        </w:rPr>
      </w:pPr>
    </w:p>
    <w:p>
      <w:pPr>
        <w:pStyle w:val="49"/>
        <w:rPr>
          <w:rFonts w:asciiTheme="minorEastAsia" w:hAnsiTheme="minorEastAsia" w:eastAsiaTheme="minorEastAsia" w:cstheme="minorEastAsia"/>
        </w:rPr>
      </w:pPr>
    </w:p>
    <w:p>
      <w:pPr>
        <w:pStyle w:val="49"/>
        <w:rPr>
          <w:rFonts w:asciiTheme="minorEastAsia" w:hAnsiTheme="minorEastAsia" w:eastAsiaTheme="minorEastAsia" w:cstheme="minorEastAsia"/>
        </w:rPr>
      </w:pPr>
    </w:p>
    <w:p>
      <w:pPr>
        <w:pStyle w:val="49"/>
        <w:rPr>
          <w:rFonts w:asciiTheme="minorEastAsia" w:hAnsiTheme="minorEastAsia" w:eastAsiaTheme="minorEastAsia" w:cstheme="minorEastAsia"/>
        </w:rPr>
      </w:pPr>
    </w:p>
    <w:p>
      <w:pPr>
        <w:pStyle w:val="49"/>
        <w:rPr>
          <w:rFonts w:asciiTheme="minorEastAsia" w:hAnsiTheme="minorEastAsia" w:eastAsiaTheme="minorEastAsia" w:cstheme="minorEastAsia"/>
        </w:rPr>
      </w:pPr>
    </w:p>
    <w:p>
      <w:pPr>
        <w:pStyle w:val="49"/>
        <w:rPr>
          <w:rFonts w:asciiTheme="minorEastAsia" w:hAnsiTheme="minorEastAsia" w:eastAsiaTheme="minorEastAsia" w:cstheme="minorEastAsia"/>
        </w:rPr>
      </w:pPr>
    </w:p>
    <w:p>
      <w:pPr>
        <w:pStyle w:val="4"/>
        <w:jc w:val="center"/>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供应商企业关系关联承诺书</w:t>
      </w:r>
    </w:p>
    <w:p>
      <w:pPr>
        <w:autoSpaceDE w:val="0"/>
        <w:autoSpaceDN w:val="0"/>
        <w:adjustRightInd w:val="0"/>
        <w:spacing w:line="360" w:lineRule="auto"/>
        <w:rPr>
          <w:rFonts w:asciiTheme="minorEastAsia" w:hAnsiTheme="minorEastAsia" w:eastAsiaTheme="minorEastAsia" w:cstheme="minorEastAsia"/>
          <w:sz w:val="28"/>
          <w:szCs w:val="28"/>
        </w:rPr>
      </w:pPr>
    </w:p>
    <w:p>
      <w:pPr>
        <w:autoSpaceDE w:val="0"/>
        <w:autoSpaceDN w:val="0"/>
        <w:adjustRightInd w:val="0"/>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我单位供应商在本磋商项目中，与其它供应商负责人为同一人，有控股、管理等关联关系承诺：</w:t>
      </w:r>
    </w:p>
    <w:p>
      <w:pPr>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1、管理关系说明：</w:t>
      </w: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我单位管理的具有独立法人的下属单位有：</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我单位的上级管理单位有</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pPr>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2、股权关系说明：</w:t>
      </w: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我单位控股的单位有</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我单位被</w:t>
      </w:r>
      <w:r>
        <w:rPr>
          <w:rFonts w:hint="eastAsia" w:asciiTheme="minorEastAsia" w:hAnsiTheme="minorEastAsia" w:eastAsiaTheme="minorEastAsia" w:cstheme="minorEastAsia"/>
          <w:i/>
          <w:sz w:val="28"/>
          <w:szCs w:val="28"/>
          <w:u w:val="single"/>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单位控股。</w:t>
      </w:r>
    </w:p>
    <w:p>
      <w:pPr>
        <w:autoSpaceDE w:val="0"/>
        <w:autoSpaceDN w:val="0"/>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3、其他与本项目有关的利害关系说明：</w:t>
      </w:r>
    </w:p>
    <w:p>
      <w:pPr>
        <w:autoSpaceDE w:val="0"/>
        <w:autoSpaceDN w:val="0"/>
        <w:adjustRightInd w:val="0"/>
        <w:snapToGrid w:val="0"/>
        <w:spacing w:line="360" w:lineRule="auto"/>
        <w:rPr>
          <w:rFonts w:asciiTheme="minorEastAsia" w:hAnsiTheme="minorEastAsia" w:eastAsiaTheme="minorEastAsia" w:cstheme="minorEastAsia"/>
          <w:sz w:val="28"/>
          <w:szCs w:val="28"/>
        </w:rPr>
      </w:pPr>
    </w:p>
    <w:p>
      <w:pPr>
        <w:autoSpaceDE w:val="0"/>
        <w:autoSpaceDN w:val="0"/>
        <w:adjustRightInd w:val="0"/>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我单位承诺以上说明真实有效，无虚假内容或隐瞒。</w:t>
      </w:r>
    </w:p>
    <w:p>
      <w:pPr>
        <w:autoSpaceDE w:val="0"/>
        <w:autoSpaceDN w:val="0"/>
        <w:adjustRightInd w:val="0"/>
        <w:snapToGrid w:val="0"/>
        <w:spacing w:line="360" w:lineRule="auto"/>
        <w:rPr>
          <w:rFonts w:asciiTheme="minorEastAsia" w:hAnsiTheme="minorEastAsia" w:eastAsiaTheme="minorEastAsia" w:cstheme="minorEastAsia"/>
          <w:sz w:val="28"/>
          <w:szCs w:val="28"/>
        </w:rPr>
      </w:pPr>
    </w:p>
    <w:p>
      <w:pPr>
        <w:spacing w:line="360" w:lineRule="auto"/>
        <w:ind w:firstLine="2520" w:firstLineChars="9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供应商（公章）：</w:t>
      </w:r>
      <w:r>
        <w:rPr>
          <w:rFonts w:hint="eastAsia" w:asciiTheme="minorEastAsia" w:hAnsiTheme="minorEastAsia" w:eastAsiaTheme="minorEastAsia" w:cstheme="minorEastAsia"/>
          <w:sz w:val="28"/>
          <w:szCs w:val="28"/>
          <w:u w:val="single"/>
        </w:rPr>
        <w:t xml:space="preserve">                     </w:t>
      </w:r>
    </w:p>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法定代表人或授权代表（签字或盖章）：</w:t>
      </w:r>
    </w:p>
    <w:p>
      <w:pPr>
        <w:autoSpaceDE w:val="0"/>
        <w:autoSpaceDN w:val="0"/>
        <w:adjustRightInd w:val="0"/>
        <w:spacing w:line="360" w:lineRule="auto"/>
        <w:ind w:firstLine="280" w:firstLineChars="1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sz w:val="28"/>
          <w:szCs w:val="28"/>
        </w:rPr>
        <w:t xml:space="preserve">                日 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rPr>
          <w:rFonts w:asciiTheme="minorEastAsia" w:hAnsiTheme="minorEastAsia" w:eastAsiaTheme="minorEastAsia" w:cstheme="minorEastAsia"/>
          <w:b/>
          <w:sz w:val="44"/>
          <w:szCs w:val="44"/>
        </w:rPr>
      </w:pPr>
    </w:p>
    <w:p>
      <w:pPr>
        <w:pStyle w:val="12"/>
      </w:pPr>
    </w:p>
    <w:p>
      <w:pPr>
        <w:pStyle w:val="12"/>
        <w:rPr>
          <w:rFonts w:hint="eastAsia" w:eastAsiaTheme="minorEastAsia"/>
          <w:lang w:eastAsia="zh-CN"/>
        </w:rPr>
      </w:pPr>
    </w:p>
    <w:p>
      <w:pPr>
        <w:rPr>
          <w:rFonts w:hint="eastAsia" w:eastAsiaTheme="minorEastAsia"/>
          <w:lang w:eastAsia="zh-CN"/>
        </w:rPr>
      </w:pPr>
    </w:p>
    <w:p>
      <w:pPr>
        <w:pStyle w:val="48"/>
        <w:rPr>
          <w:rFonts w:hint="eastAsia" w:eastAsiaTheme="minorEastAsia"/>
          <w:lang w:eastAsia="zh-CN"/>
        </w:rPr>
      </w:pPr>
    </w:p>
    <w:p>
      <w:pPr>
        <w:pStyle w:val="48"/>
        <w:rPr>
          <w:rFonts w:hint="eastAsia" w:eastAsiaTheme="minorEastAsia"/>
          <w:lang w:eastAsia="zh-CN"/>
        </w:rPr>
      </w:pPr>
    </w:p>
    <w:p>
      <w:pPr>
        <w:rPr>
          <w:rFonts w:asciiTheme="minorEastAsia" w:hAnsiTheme="minorEastAsia" w:eastAsiaTheme="minorEastAsia" w:cstheme="minorEastAsia"/>
        </w:rPr>
      </w:pPr>
    </w:p>
    <w:p>
      <w:pPr>
        <w:numPr>
          <w:ilvl w:val="0"/>
          <w:numId w:val="6"/>
        </w:numPr>
        <w:spacing w:line="360" w:lineRule="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技术响应</w:t>
      </w:r>
    </w:p>
    <w:p>
      <w:pPr>
        <w:numPr>
          <w:ilvl w:val="0"/>
          <w:numId w:val="0"/>
        </w:numPr>
        <w:spacing w:line="360" w:lineRule="auto"/>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根据评审细则内容包含但不限于对项目的理解、招标体系的理解、数据获取和分析、实施进度保障、质量保障等。（供应商按照本项目具体情况进行编写，格式自拟）</w:t>
      </w:r>
    </w:p>
    <w:p>
      <w:pPr>
        <w:pStyle w:val="12"/>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pStyle w:val="12"/>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pStyle w:val="12"/>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pStyle w:val="12"/>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pStyle w:val="12"/>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pStyle w:val="12"/>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pStyle w:val="12"/>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pStyle w:val="12"/>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val="en-US" w:eastAsia="zh-CN"/>
        </w:rPr>
        <w:t>7、</w:t>
      </w:r>
      <w:r>
        <w:rPr>
          <w:rFonts w:hint="eastAsia" w:asciiTheme="minorEastAsia" w:hAnsiTheme="minorEastAsia" w:eastAsiaTheme="minorEastAsia" w:cstheme="minorEastAsia"/>
          <w:b/>
          <w:bCs/>
          <w:sz w:val="28"/>
          <w:szCs w:val="28"/>
          <w:lang w:eastAsia="zh-CN"/>
        </w:rPr>
        <w:t>人员配置</w:t>
      </w:r>
    </w:p>
    <w:p>
      <w:pPr>
        <w:tabs>
          <w:tab w:val="left" w:pos="0"/>
        </w:tabs>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项目负责人简历表</w:t>
      </w:r>
    </w:p>
    <w:tbl>
      <w:tblPr>
        <w:tblStyle w:val="3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340"/>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520"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姓       名</w:t>
            </w:r>
          </w:p>
        </w:tc>
        <w:tc>
          <w:tcPr>
            <w:tcW w:w="2340" w:type="dxa"/>
            <w:vAlign w:val="center"/>
          </w:tcPr>
          <w:p>
            <w:pPr>
              <w:jc w:val="center"/>
              <w:rPr>
                <w:rFonts w:asciiTheme="minorEastAsia" w:hAnsiTheme="minorEastAsia" w:eastAsiaTheme="minorEastAsia" w:cstheme="minorEastAsia"/>
                <w:sz w:val="28"/>
                <w:szCs w:val="28"/>
              </w:rPr>
            </w:pPr>
          </w:p>
        </w:tc>
        <w:tc>
          <w:tcPr>
            <w:tcW w:w="4518"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曾经担任过的相关项目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520"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性       别</w:t>
            </w:r>
          </w:p>
        </w:tc>
        <w:tc>
          <w:tcPr>
            <w:tcW w:w="2340" w:type="dxa"/>
            <w:vAlign w:val="center"/>
          </w:tcPr>
          <w:p>
            <w:pPr>
              <w:jc w:val="center"/>
              <w:rPr>
                <w:rFonts w:asciiTheme="minorEastAsia" w:hAnsiTheme="minorEastAsia" w:eastAsiaTheme="minorEastAsia" w:cstheme="minorEastAsia"/>
                <w:sz w:val="28"/>
                <w:szCs w:val="28"/>
              </w:rPr>
            </w:pPr>
          </w:p>
        </w:tc>
        <w:tc>
          <w:tcPr>
            <w:tcW w:w="4518" w:type="dxa"/>
            <w:vMerge w:val="restart"/>
            <w:vAlign w:val="center"/>
          </w:tcPr>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520"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龄</w:t>
            </w:r>
          </w:p>
        </w:tc>
        <w:tc>
          <w:tcPr>
            <w:tcW w:w="2340" w:type="dxa"/>
            <w:vAlign w:val="center"/>
          </w:tcPr>
          <w:p>
            <w:pPr>
              <w:jc w:val="center"/>
              <w:rPr>
                <w:rFonts w:asciiTheme="minorEastAsia" w:hAnsiTheme="minorEastAsia" w:eastAsiaTheme="minorEastAsia" w:cstheme="minorEastAsia"/>
                <w:sz w:val="28"/>
                <w:szCs w:val="28"/>
              </w:rPr>
            </w:pPr>
          </w:p>
        </w:tc>
        <w:tc>
          <w:tcPr>
            <w:tcW w:w="4518" w:type="dxa"/>
            <w:vMerge w:val="continue"/>
            <w:vAlign w:val="center"/>
          </w:tcPr>
          <w:p>
            <w:pPr>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520"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职       务</w:t>
            </w:r>
          </w:p>
        </w:tc>
        <w:tc>
          <w:tcPr>
            <w:tcW w:w="2340" w:type="dxa"/>
            <w:vAlign w:val="center"/>
          </w:tcPr>
          <w:p>
            <w:pPr>
              <w:jc w:val="center"/>
              <w:rPr>
                <w:rFonts w:asciiTheme="minorEastAsia" w:hAnsiTheme="minorEastAsia" w:eastAsiaTheme="minorEastAsia" w:cstheme="minorEastAsia"/>
                <w:sz w:val="28"/>
                <w:szCs w:val="28"/>
              </w:rPr>
            </w:pPr>
          </w:p>
        </w:tc>
        <w:tc>
          <w:tcPr>
            <w:tcW w:w="4518" w:type="dxa"/>
            <w:vMerge w:val="continue"/>
            <w:vAlign w:val="center"/>
          </w:tcPr>
          <w:p>
            <w:pPr>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520"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职       称</w:t>
            </w:r>
          </w:p>
        </w:tc>
        <w:tc>
          <w:tcPr>
            <w:tcW w:w="2340" w:type="dxa"/>
            <w:vAlign w:val="center"/>
          </w:tcPr>
          <w:p>
            <w:pPr>
              <w:jc w:val="center"/>
              <w:rPr>
                <w:rFonts w:asciiTheme="minorEastAsia" w:hAnsiTheme="minorEastAsia" w:eastAsiaTheme="minorEastAsia" w:cstheme="minorEastAsia"/>
                <w:sz w:val="28"/>
                <w:szCs w:val="28"/>
              </w:rPr>
            </w:pPr>
          </w:p>
        </w:tc>
        <w:tc>
          <w:tcPr>
            <w:tcW w:w="4518" w:type="dxa"/>
            <w:vMerge w:val="continue"/>
            <w:vAlign w:val="center"/>
          </w:tcPr>
          <w:p>
            <w:pPr>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520"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毕 业 学 校</w:t>
            </w:r>
          </w:p>
        </w:tc>
        <w:tc>
          <w:tcPr>
            <w:tcW w:w="2340" w:type="dxa"/>
            <w:vAlign w:val="center"/>
          </w:tcPr>
          <w:p>
            <w:pPr>
              <w:jc w:val="center"/>
              <w:rPr>
                <w:rFonts w:asciiTheme="minorEastAsia" w:hAnsiTheme="minorEastAsia" w:eastAsiaTheme="minorEastAsia" w:cstheme="minorEastAsia"/>
                <w:sz w:val="28"/>
                <w:szCs w:val="28"/>
              </w:rPr>
            </w:pPr>
          </w:p>
        </w:tc>
        <w:tc>
          <w:tcPr>
            <w:tcW w:w="4518" w:type="dxa"/>
            <w:vMerge w:val="continue"/>
            <w:vAlign w:val="center"/>
          </w:tcPr>
          <w:p>
            <w:pPr>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520"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毕 业 时 间</w:t>
            </w:r>
          </w:p>
        </w:tc>
        <w:tc>
          <w:tcPr>
            <w:tcW w:w="2340" w:type="dxa"/>
            <w:vAlign w:val="center"/>
          </w:tcPr>
          <w:p>
            <w:pPr>
              <w:jc w:val="center"/>
              <w:rPr>
                <w:rFonts w:asciiTheme="minorEastAsia" w:hAnsiTheme="minorEastAsia" w:eastAsiaTheme="minorEastAsia" w:cstheme="minorEastAsia"/>
                <w:sz w:val="28"/>
                <w:szCs w:val="28"/>
              </w:rPr>
            </w:pPr>
          </w:p>
        </w:tc>
        <w:tc>
          <w:tcPr>
            <w:tcW w:w="4518" w:type="dxa"/>
            <w:vMerge w:val="continue"/>
            <w:vAlign w:val="center"/>
          </w:tcPr>
          <w:p>
            <w:pPr>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520"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 学 专 业</w:t>
            </w:r>
          </w:p>
        </w:tc>
        <w:tc>
          <w:tcPr>
            <w:tcW w:w="2340" w:type="dxa"/>
            <w:vAlign w:val="center"/>
          </w:tcPr>
          <w:p>
            <w:pPr>
              <w:jc w:val="center"/>
              <w:rPr>
                <w:rFonts w:asciiTheme="minorEastAsia" w:hAnsiTheme="minorEastAsia" w:eastAsiaTheme="minorEastAsia" w:cstheme="minorEastAsia"/>
                <w:sz w:val="28"/>
                <w:szCs w:val="28"/>
              </w:rPr>
            </w:pPr>
          </w:p>
        </w:tc>
        <w:tc>
          <w:tcPr>
            <w:tcW w:w="4518" w:type="dxa"/>
            <w:vMerge w:val="continue"/>
            <w:vAlign w:val="center"/>
          </w:tcPr>
          <w:p>
            <w:pPr>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2520" w:type="dxa"/>
            <w:vAlign w:val="center"/>
          </w:tcPr>
          <w:p>
            <w:pPr>
              <w:jc w:val="center"/>
              <w:rPr>
                <w:rFonts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专业技术资格证书</w:t>
            </w:r>
          </w:p>
        </w:tc>
        <w:tc>
          <w:tcPr>
            <w:tcW w:w="2340" w:type="dxa"/>
            <w:vAlign w:val="center"/>
          </w:tcPr>
          <w:p>
            <w:pPr>
              <w:jc w:val="center"/>
              <w:rPr>
                <w:rFonts w:asciiTheme="minorEastAsia" w:hAnsiTheme="minorEastAsia" w:eastAsiaTheme="minorEastAsia" w:cstheme="minorEastAsia"/>
                <w:sz w:val="28"/>
                <w:szCs w:val="28"/>
              </w:rPr>
            </w:pPr>
          </w:p>
        </w:tc>
        <w:tc>
          <w:tcPr>
            <w:tcW w:w="4518" w:type="dxa"/>
            <w:vMerge w:val="continue"/>
            <w:vAlign w:val="center"/>
          </w:tcPr>
          <w:p>
            <w:pPr>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2520"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 系 电 话</w:t>
            </w:r>
          </w:p>
        </w:tc>
        <w:tc>
          <w:tcPr>
            <w:tcW w:w="2340" w:type="dxa"/>
            <w:vAlign w:val="center"/>
          </w:tcPr>
          <w:p>
            <w:pPr>
              <w:jc w:val="center"/>
              <w:rPr>
                <w:rFonts w:asciiTheme="minorEastAsia" w:hAnsiTheme="minorEastAsia" w:eastAsiaTheme="minorEastAsia" w:cstheme="minorEastAsia"/>
                <w:sz w:val="28"/>
                <w:szCs w:val="28"/>
              </w:rPr>
            </w:pPr>
          </w:p>
        </w:tc>
        <w:tc>
          <w:tcPr>
            <w:tcW w:w="4518" w:type="dxa"/>
            <w:vMerge w:val="continue"/>
            <w:vAlign w:val="center"/>
          </w:tcPr>
          <w:p>
            <w:pPr>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2520"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拟在本项目中</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担任主要工作</w:t>
            </w:r>
          </w:p>
        </w:tc>
        <w:tc>
          <w:tcPr>
            <w:tcW w:w="6858" w:type="dxa"/>
            <w:gridSpan w:val="2"/>
            <w:vAlign w:val="center"/>
          </w:tcPr>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tc>
      </w:tr>
    </w:tbl>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备注：本表后附相关证书复印件并加盖公章。</w:t>
      </w:r>
    </w:p>
    <w:p>
      <w:pPr>
        <w:spacing w:line="360" w:lineRule="auto"/>
        <w:ind w:firstLine="2520" w:firstLineChars="9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供应商（公章）：</w:t>
      </w:r>
      <w:r>
        <w:rPr>
          <w:rFonts w:hint="eastAsia" w:asciiTheme="minorEastAsia" w:hAnsiTheme="minorEastAsia" w:eastAsiaTheme="minorEastAsia" w:cstheme="minorEastAsia"/>
          <w:sz w:val="28"/>
          <w:szCs w:val="28"/>
          <w:u w:val="single"/>
        </w:rPr>
        <w:t xml:space="preserve">                     </w:t>
      </w:r>
    </w:p>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法定代表人或授权代表（签字或盖章）：</w:t>
      </w:r>
    </w:p>
    <w:p>
      <w:pPr>
        <w:spacing w:line="360" w:lineRule="auto"/>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日 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u w:val="single"/>
        </w:rPr>
        <w:t xml:space="preserve">                              </w:t>
      </w: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r>
        <w:rPr>
          <w:rFonts w:hint="eastAsia" w:asciiTheme="minorEastAsia" w:hAnsiTheme="minorEastAsia" w:eastAsiaTheme="minorEastAsia" w:cstheme="minorEastAsia"/>
          <w:b/>
          <w:bCs/>
          <w:sz w:val="28"/>
          <w:szCs w:val="28"/>
        </w:rPr>
        <w:t>项目主要工作人员一览表</w:t>
      </w:r>
    </w:p>
    <w:tbl>
      <w:tblPr>
        <w:tblStyle w:val="35"/>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365"/>
        <w:gridCol w:w="1340"/>
        <w:gridCol w:w="1612"/>
        <w:gridCol w:w="1355"/>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302" w:type="dxa"/>
            <w:vAlign w:val="center"/>
          </w:tcPr>
          <w:p>
            <w:pPr>
              <w:tabs>
                <w:tab w:val="left" w:pos="0"/>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365" w:type="dxa"/>
            <w:vAlign w:val="center"/>
          </w:tcPr>
          <w:p>
            <w:pPr>
              <w:tabs>
                <w:tab w:val="left" w:pos="0"/>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姓名</w:t>
            </w:r>
          </w:p>
        </w:tc>
        <w:tc>
          <w:tcPr>
            <w:tcW w:w="1340" w:type="dxa"/>
            <w:vAlign w:val="center"/>
          </w:tcPr>
          <w:p>
            <w:pPr>
              <w:tabs>
                <w:tab w:val="left" w:pos="0"/>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性别</w:t>
            </w:r>
          </w:p>
        </w:tc>
        <w:tc>
          <w:tcPr>
            <w:tcW w:w="1612" w:type="dxa"/>
            <w:vAlign w:val="center"/>
          </w:tcPr>
          <w:p>
            <w:pPr>
              <w:tabs>
                <w:tab w:val="left" w:pos="0"/>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职业证书</w:t>
            </w:r>
          </w:p>
        </w:tc>
        <w:tc>
          <w:tcPr>
            <w:tcW w:w="1355" w:type="dxa"/>
            <w:vAlign w:val="center"/>
          </w:tcPr>
          <w:p>
            <w:pPr>
              <w:tabs>
                <w:tab w:val="left" w:pos="0"/>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职称</w:t>
            </w:r>
          </w:p>
        </w:tc>
        <w:tc>
          <w:tcPr>
            <w:tcW w:w="2203" w:type="dxa"/>
            <w:vAlign w:val="center"/>
          </w:tcPr>
          <w:p>
            <w:pPr>
              <w:tabs>
                <w:tab w:val="left" w:pos="0"/>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拟承担的工作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Pr>
          <w:p>
            <w:pPr>
              <w:tabs>
                <w:tab w:val="left" w:pos="0"/>
              </w:tabs>
              <w:spacing w:line="360" w:lineRule="auto"/>
              <w:rPr>
                <w:rFonts w:asciiTheme="minorEastAsia" w:hAnsiTheme="minorEastAsia" w:eastAsiaTheme="minorEastAsia" w:cstheme="minorEastAsia"/>
                <w:sz w:val="28"/>
                <w:szCs w:val="28"/>
              </w:rPr>
            </w:pPr>
          </w:p>
        </w:tc>
        <w:tc>
          <w:tcPr>
            <w:tcW w:w="1365" w:type="dxa"/>
          </w:tcPr>
          <w:p>
            <w:pPr>
              <w:tabs>
                <w:tab w:val="left" w:pos="0"/>
              </w:tabs>
              <w:spacing w:line="360" w:lineRule="auto"/>
              <w:rPr>
                <w:rFonts w:asciiTheme="minorEastAsia" w:hAnsiTheme="minorEastAsia" w:eastAsiaTheme="minorEastAsia" w:cstheme="minorEastAsia"/>
                <w:sz w:val="28"/>
                <w:szCs w:val="28"/>
              </w:rPr>
            </w:pPr>
          </w:p>
        </w:tc>
        <w:tc>
          <w:tcPr>
            <w:tcW w:w="1340" w:type="dxa"/>
          </w:tcPr>
          <w:p>
            <w:pPr>
              <w:tabs>
                <w:tab w:val="left" w:pos="0"/>
              </w:tabs>
              <w:spacing w:line="360" w:lineRule="auto"/>
              <w:rPr>
                <w:rFonts w:asciiTheme="minorEastAsia" w:hAnsiTheme="minorEastAsia" w:eastAsiaTheme="minorEastAsia" w:cstheme="minorEastAsia"/>
                <w:sz w:val="28"/>
                <w:szCs w:val="28"/>
              </w:rPr>
            </w:pPr>
          </w:p>
        </w:tc>
        <w:tc>
          <w:tcPr>
            <w:tcW w:w="1612" w:type="dxa"/>
          </w:tcPr>
          <w:p>
            <w:pPr>
              <w:tabs>
                <w:tab w:val="left" w:pos="0"/>
              </w:tabs>
              <w:spacing w:line="360" w:lineRule="auto"/>
              <w:rPr>
                <w:rFonts w:asciiTheme="minorEastAsia" w:hAnsiTheme="minorEastAsia" w:eastAsiaTheme="minorEastAsia" w:cstheme="minorEastAsia"/>
                <w:sz w:val="28"/>
                <w:szCs w:val="28"/>
              </w:rPr>
            </w:pPr>
          </w:p>
        </w:tc>
        <w:tc>
          <w:tcPr>
            <w:tcW w:w="1355" w:type="dxa"/>
          </w:tcPr>
          <w:p>
            <w:pPr>
              <w:tabs>
                <w:tab w:val="left" w:pos="0"/>
              </w:tabs>
              <w:spacing w:line="360" w:lineRule="auto"/>
              <w:rPr>
                <w:rFonts w:asciiTheme="minorEastAsia" w:hAnsiTheme="minorEastAsia" w:eastAsiaTheme="minorEastAsia" w:cstheme="minorEastAsia"/>
                <w:sz w:val="28"/>
                <w:szCs w:val="28"/>
              </w:rPr>
            </w:pPr>
          </w:p>
        </w:tc>
        <w:tc>
          <w:tcPr>
            <w:tcW w:w="2203" w:type="dxa"/>
          </w:tcPr>
          <w:p>
            <w:pPr>
              <w:tabs>
                <w:tab w:val="left" w:pos="0"/>
              </w:tabs>
              <w:spacing w:line="360" w:lineRule="auto"/>
              <w:rPr>
                <w:rFonts w:asciiTheme="minorEastAsia" w:hAnsiTheme="minorEastAsia" w:eastAsiaTheme="minorEastAsia" w:cstheme="minorEastAsia"/>
                <w:sz w:val="28"/>
                <w:szCs w:val="28"/>
              </w:rPr>
            </w:pPr>
          </w:p>
        </w:tc>
      </w:tr>
    </w:tbl>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注：本表后附相关证书复印件并加盖公章。</w:t>
      </w:r>
    </w:p>
    <w:p>
      <w:pPr>
        <w:spacing w:line="360" w:lineRule="auto"/>
        <w:ind w:firstLine="3306" w:firstLineChars="1181"/>
        <w:rPr>
          <w:rFonts w:asciiTheme="minorEastAsia" w:hAnsiTheme="minorEastAsia" w:eastAsiaTheme="minorEastAsia" w:cstheme="minorEastAsia"/>
          <w:sz w:val="28"/>
          <w:szCs w:val="28"/>
        </w:rPr>
      </w:pPr>
    </w:p>
    <w:p>
      <w:pPr>
        <w:spacing w:line="360" w:lineRule="auto"/>
        <w:ind w:firstLine="2520" w:firstLineChars="9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供应商（公章）：</w:t>
      </w:r>
      <w:r>
        <w:rPr>
          <w:rFonts w:hint="eastAsia" w:asciiTheme="minorEastAsia" w:hAnsiTheme="minorEastAsia" w:eastAsiaTheme="minorEastAsia" w:cstheme="minorEastAsia"/>
          <w:sz w:val="28"/>
          <w:szCs w:val="28"/>
          <w:u w:val="single"/>
        </w:rPr>
        <w:t xml:space="preserve">                     </w:t>
      </w:r>
    </w:p>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法定代表人或授权代表（签字或盖章）：</w:t>
      </w:r>
    </w:p>
    <w:p>
      <w:pPr>
        <w:autoSpaceDE w:val="0"/>
        <w:autoSpaceDN w:val="0"/>
        <w:adjustRightInd w:val="0"/>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日 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pStyle w:val="12"/>
        <w:rPr>
          <w:rFonts w:hint="eastAsia" w:asciiTheme="minorEastAsia" w:hAnsiTheme="minorEastAsia" w:eastAsiaTheme="minorEastAsia" w:cstheme="minorEastAsia"/>
          <w:sz w:val="28"/>
          <w:szCs w:val="28"/>
        </w:rPr>
      </w:pPr>
    </w:p>
    <w:p>
      <w:pPr>
        <w:rPr>
          <w:lang w:val="zh-CN"/>
        </w:rPr>
      </w:pPr>
    </w:p>
    <w:p>
      <w:pPr>
        <w:numPr>
          <w:ilvl w:val="0"/>
          <w:numId w:val="0"/>
        </w:numPr>
        <w:spacing w:line="360" w:lineRule="auto"/>
        <w:ind w:leftChars="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8、</w:t>
      </w:r>
      <w:r>
        <w:rPr>
          <w:rFonts w:hint="eastAsia" w:asciiTheme="minorEastAsia" w:hAnsiTheme="minorEastAsia" w:eastAsiaTheme="minorEastAsia" w:cstheme="minorEastAsia"/>
          <w:b/>
          <w:bCs/>
          <w:sz w:val="28"/>
          <w:szCs w:val="28"/>
        </w:rPr>
        <w:t>业绩</w:t>
      </w:r>
    </w:p>
    <w:p>
      <w:pPr>
        <w:pStyle w:val="119"/>
        <w:ind w:firstLine="0" w:firstLineChars="0"/>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业</w:t>
      </w:r>
      <w:r>
        <w:rPr>
          <w:rFonts w:hint="eastAsia" w:asciiTheme="minorEastAsia" w:hAnsiTheme="minorEastAsia" w:eastAsiaTheme="minorEastAsia" w:cstheme="minorEastAsia"/>
          <w:b/>
          <w:bCs/>
          <w:sz w:val="28"/>
          <w:szCs w:val="28"/>
        </w:rPr>
        <w:t>绩证明资料料</w:t>
      </w:r>
    </w:p>
    <w:tbl>
      <w:tblPr>
        <w:tblStyle w:val="35"/>
        <w:tblW w:w="88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046"/>
        <w:gridCol w:w="2600"/>
        <w:gridCol w:w="1697"/>
        <w:gridCol w:w="1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05" w:type="dxa"/>
            <w:vAlign w:val="center"/>
          </w:tcPr>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序号</w:t>
            </w:r>
          </w:p>
        </w:tc>
        <w:tc>
          <w:tcPr>
            <w:tcW w:w="2046" w:type="dxa"/>
            <w:vAlign w:val="center"/>
          </w:tcPr>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项目名称</w:t>
            </w:r>
          </w:p>
        </w:tc>
        <w:tc>
          <w:tcPr>
            <w:tcW w:w="2600" w:type="dxa"/>
            <w:vAlign w:val="center"/>
          </w:tcPr>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业主名称</w:t>
            </w:r>
          </w:p>
        </w:tc>
        <w:tc>
          <w:tcPr>
            <w:tcW w:w="1697" w:type="dxa"/>
            <w:vAlign w:val="center"/>
          </w:tcPr>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合同金额</w:t>
            </w:r>
          </w:p>
        </w:tc>
        <w:tc>
          <w:tcPr>
            <w:tcW w:w="1657" w:type="dxa"/>
            <w:vAlign w:val="center"/>
          </w:tcPr>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合同</w:t>
            </w:r>
          </w:p>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5" w:type="dxa"/>
          </w:tcPr>
          <w:p>
            <w:pPr>
              <w:rPr>
                <w:rFonts w:asciiTheme="minorEastAsia" w:hAnsiTheme="minorEastAsia" w:eastAsiaTheme="minorEastAsia" w:cstheme="minorEastAsia"/>
                <w:sz w:val="28"/>
                <w:szCs w:val="28"/>
              </w:rPr>
            </w:pPr>
          </w:p>
        </w:tc>
        <w:tc>
          <w:tcPr>
            <w:tcW w:w="2046" w:type="dxa"/>
          </w:tcPr>
          <w:p>
            <w:pPr>
              <w:rPr>
                <w:rFonts w:asciiTheme="minorEastAsia" w:hAnsiTheme="minorEastAsia" w:eastAsiaTheme="minorEastAsia" w:cstheme="minorEastAsia"/>
                <w:sz w:val="28"/>
                <w:szCs w:val="28"/>
              </w:rPr>
            </w:pPr>
          </w:p>
        </w:tc>
        <w:tc>
          <w:tcPr>
            <w:tcW w:w="2600" w:type="dxa"/>
          </w:tcPr>
          <w:p>
            <w:pPr>
              <w:rPr>
                <w:rFonts w:asciiTheme="minorEastAsia" w:hAnsiTheme="minorEastAsia" w:eastAsiaTheme="minorEastAsia" w:cstheme="minorEastAsia"/>
                <w:sz w:val="28"/>
                <w:szCs w:val="28"/>
              </w:rPr>
            </w:pPr>
          </w:p>
        </w:tc>
        <w:tc>
          <w:tcPr>
            <w:tcW w:w="1697" w:type="dxa"/>
          </w:tcPr>
          <w:p>
            <w:pPr>
              <w:rPr>
                <w:rFonts w:asciiTheme="minorEastAsia" w:hAnsiTheme="minorEastAsia" w:eastAsiaTheme="minorEastAsia" w:cstheme="minorEastAsia"/>
                <w:sz w:val="28"/>
                <w:szCs w:val="28"/>
              </w:rPr>
            </w:pPr>
          </w:p>
        </w:tc>
        <w:tc>
          <w:tcPr>
            <w:tcW w:w="1657" w:type="dxa"/>
          </w:tcPr>
          <w:p>
            <w:pPr>
              <w:rPr>
                <w:rFonts w:asciiTheme="minorEastAsia" w:hAnsiTheme="minorEastAsia" w:eastAsiaTheme="minorEastAsia" w:cstheme="minorEastAsia"/>
                <w:sz w:val="28"/>
                <w:szCs w:val="28"/>
              </w:rPr>
            </w:pPr>
          </w:p>
        </w:tc>
      </w:tr>
    </w:tbl>
    <w:p>
      <w:pPr>
        <w:rPr>
          <w:rFonts w:asciiTheme="minorEastAsia" w:hAnsiTheme="minorEastAsia" w:eastAsiaTheme="minorEastAsia" w:cstheme="minorEastAsia"/>
          <w:sz w:val="28"/>
          <w:szCs w:val="28"/>
        </w:rPr>
      </w:pPr>
    </w:p>
    <w:p>
      <w:pPr>
        <w:autoSpaceDE w:val="0"/>
        <w:autoSpaceDN w:val="0"/>
        <w:adjustRightInd w:val="0"/>
        <w:spacing w:line="560" w:lineRule="exact"/>
        <w:ind w:firstLine="560" w:firstLineChars="200"/>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注：本表后附中标通知书复印件或合同复印件或委托方证明材料。</w:t>
      </w:r>
      <w:commentRangeStart w:id="3"/>
    </w:p>
    <w:commentRangeEnd w:id="3"/>
    <w:p>
      <w:pPr>
        <w:spacing w:line="540" w:lineRule="exact"/>
        <w:ind w:right="-197" w:rightChars="-94" w:firstLine="420" w:firstLineChars="200"/>
        <w:jc w:val="left"/>
        <w:rPr>
          <w:rFonts w:asciiTheme="minorEastAsia" w:hAnsiTheme="minorEastAsia" w:eastAsiaTheme="minorEastAsia" w:cstheme="minorEastAsia"/>
          <w:sz w:val="28"/>
          <w:szCs w:val="28"/>
        </w:rPr>
      </w:pPr>
      <w:r>
        <w:rPr>
          <w:rStyle w:val="45"/>
        </w:rPr>
        <w:commentReference w:id="3"/>
      </w:r>
    </w:p>
    <w:p>
      <w:pPr>
        <w:spacing w:line="540" w:lineRule="exact"/>
        <w:ind w:right="-197" w:rightChars="-94" w:firstLine="560" w:firstLineChars="200"/>
        <w:jc w:val="left"/>
        <w:rPr>
          <w:rFonts w:asciiTheme="minorEastAsia" w:hAnsiTheme="minorEastAsia" w:eastAsiaTheme="minorEastAsia" w:cstheme="minorEastAsia"/>
          <w:sz w:val="28"/>
          <w:szCs w:val="28"/>
        </w:rPr>
      </w:pPr>
    </w:p>
    <w:p>
      <w:pPr>
        <w:spacing w:line="360" w:lineRule="auto"/>
        <w:ind w:firstLine="2520" w:firstLineChars="9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供应商（公章）：</w:t>
      </w:r>
      <w:r>
        <w:rPr>
          <w:rFonts w:hint="eastAsia" w:asciiTheme="minorEastAsia" w:hAnsiTheme="minorEastAsia" w:eastAsiaTheme="minorEastAsia" w:cstheme="minorEastAsia"/>
          <w:sz w:val="28"/>
          <w:szCs w:val="28"/>
          <w:u w:val="single"/>
        </w:rPr>
        <w:t xml:space="preserve">                     </w:t>
      </w:r>
    </w:p>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法定代表人或授权代表（签字或盖章）：</w:t>
      </w:r>
    </w:p>
    <w:p>
      <w:pPr>
        <w:autoSpaceDE w:val="0"/>
        <w:autoSpaceDN w:val="0"/>
        <w:adjustRightInd w:val="0"/>
        <w:spacing w:line="360" w:lineRule="auto"/>
        <w:ind w:firstLine="280" w:firstLineChars="100"/>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sz w:val="28"/>
          <w:szCs w:val="28"/>
        </w:rPr>
        <w:t xml:space="preserve">                日 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rPr>
          <w:rFonts w:asciiTheme="minorEastAsia" w:hAnsiTheme="minorEastAsia" w:eastAsiaTheme="minorEastAsia" w:cstheme="minorEastAsia"/>
          <w:sz w:val="28"/>
          <w:szCs w:val="28"/>
        </w:rPr>
      </w:pPr>
    </w:p>
    <w:p>
      <w:pPr>
        <w:numPr>
          <w:ilvl w:val="0"/>
          <w:numId w:val="0"/>
        </w:numPr>
        <w:ind w:leftChars="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b/>
          <w:bCs/>
          <w:sz w:val="28"/>
          <w:szCs w:val="28"/>
          <w:lang w:eastAsia="zh-CN"/>
        </w:rPr>
        <w:t>荣誉、奖项</w:t>
      </w:r>
    </w:p>
    <w:p>
      <w:pPr>
        <w:pStyle w:val="12"/>
        <w:widowControl w:val="0"/>
        <w:numPr>
          <w:ilvl w:val="0"/>
          <w:numId w:val="0"/>
        </w:numPr>
        <w:spacing w:after="120"/>
        <w:jc w:val="both"/>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12"/>
        <w:rPr>
          <w:rFonts w:hint="eastAsia"/>
          <w:lang w:eastAsia="zh-CN"/>
        </w:rPr>
      </w:pPr>
    </w:p>
    <w:p>
      <w:pPr>
        <w:rPr>
          <w:rFonts w:hint="eastAsia"/>
          <w:lang w:eastAsia="zh-CN"/>
        </w:rPr>
      </w:pPr>
    </w:p>
    <w:p>
      <w:pPr>
        <w:pStyle w:val="4"/>
        <w:numPr>
          <w:ilvl w:val="0"/>
          <w:numId w:val="0"/>
        </w:numPr>
        <w:spacing w:line="240" w:lineRule="auto"/>
        <w:ind w:leftChars="0"/>
        <w:rPr>
          <w:rFonts w:hint="eastAsia" w:asciiTheme="minorEastAsia" w:hAnsiTheme="minorEastAsia" w:eastAsiaTheme="minorEastAsia" w:cstheme="minorEastAsia"/>
          <w:b/>
          <w:sz w:val="28"/>
          <w:lang w:val="zh-CN"/>
        </w:rPr>
      </w:pPr>
      <w:r>
        <w:rPr>
          <w:rFonts w:hint="eastAsia" w:asciiTheme="minorEastAsia" w:hAnsiTheme="minorEastAsia" w:eastAsiaTheme="minorEastAsia" w:cstheme="minorEastAsia"/>
          <w:b/>
          <w:sz w:val="28"/>
          <w:lang w:val="en-US" w:eastAsia="zh-CN"/>
        </w:rPr>
        <w:t>10、</w:t>
      </w:r>
      <w:r>
        <w:rPr>
          <w:rFonts w:hint="eastAsia" w:asciiTheme="minorEastAsia" w:hAnsiTheme="minorEastAsia" w:eastAsiaTheme="minorEastAsia" w:cstheme="minorEastAsia"/>
          <w:b/>
          <w:sz w:val="28"/>
          <w:lang w:val="zh-CN"/>
        </w:rPr>
        <w:t>服务承诺</w:t>
      </w: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5"/>
        <w:numPr>
          <w:ilvl w:val="0"/>
          <w:numId w:val="0"/>
        </w:numPr>
        <w:ind w:leftChars="0"/>
        <w:rPr>
          <w:rFonts w:hint="eastAsia"/>
          <w:lang w:val="zh-CN"/>
        </w:rPr>
      </w:pPr>
    </w:p>
    <w:p>
      <w:pPr>
        <w:pStyle w:val="4"/>
        <w:numPr>
          <w:ilvl w:val="0"/>
          <w:numId w:val="0"/>
        </w:numPr>
        <w:spacing w:line="240" w:lineRule="auto"/>
        <w:ind w:leftChars="0"/>
        <w:rPr>
          <w:rFonts w:hint="eastAsia" w:asciiTheme="minorEastAsia" w:hAnsiTheme="minorEastAsia" w:eastAsiaTheme="minorEastAsia" w:cstheme="minorEastAsia"/>
          <w:b/>
          <w:sz w:val="28"/>
          <w:lang w:val="en-US" w:eastAsia="zh-CN"/>
        </w:rPr>
      </w:pPr>
      <w:r>
        <w:rPr>
          <w:rFonts w:hint="eastAsia" w:asciiTheme="minorEastAsia" w:hAnsiTheme="minorEastAsia" w:eastAsiaTheme="minorEastAsia" w:cstheme="minorEastAsia"/>
          <w:b/>
          <w:sz w:val="28"/>
          <w:lang w:val="en-US" w:eastAsia="zh-CN"/>
        </w:rPr>
        <w:t>11、供应商磋商保证金交纳凭证</w:t>
      </w:r>
    </w:p>
    <w:p>
      <w:pPr>
        <w:spacing w:line="500" w:lineRule="atLeast"/>
        <w:ind w:firstLine="570"/>
        <w:rPr>
          <w:rFonts w:hint="eastAsia" w:ascii="仿宋" w:hAnsi="仿宋" w:eastAsia="仿宋" w:cs="仿宋"/>
          <w:sz w:val="28"/>
          <w:szCs w:val="28"/>
        </w:rPr>
      </w:pPr>
      <w:r>
        <w:rPr>
          <w:rFonts w:hint="eastAsia" w:ascii="仿宋" w:hAnsi="仿宋" w:eastAsia="仿宋" w:cs="仿宋"/>
          <w:sz w:val="28"/>
          <w:szCs w:val="28"/>
        </w:rPr>
        <w:t>鉴于</w:t>
      </w:r>
      <w:r>
        <w:rPr>
          <w:rFonts w:hint="eastAsia" w:ascii="仿宋" w:hAnsi="仿宋" w:eastAsia="仿宋" w:cs="仿宋"/>
          <w:sz w:val="28"/>
          <w:szCs w:val="28"/>
          <w:u w:val="single"/>
        </w:rPr>
        <w:t xml:space="preserve">            </w:t>
      </w:r>
      <w:r>
        <w:rPr>
          <w:rFonts w:hint="eastAsia" w:ascii="仿宋" w:hAnsi="仿宋" w:eastAsia="仿宋" w:cs="仿宋"/>
          <w:sz w:val="28"/>
          <w:szCs w:val="28"/>
        </w:rPr>
        <w:t>（供应商）于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项目的竞争性磋商。供应商在此承担向采购代理机构交纳金额</w:t>
      </w:r>
      <w:r>
        <w:rPr>
          <w:rFonts w:hint="eastAsia" w:ascii="仿宋" w:hAnsi="仿宋" w:eastAsia="仿宋" w:cs="仿宋"/>
          <w:sz w:val="28"/>
          <w:szCs w:val="28"/>
          <w:u w:val="single"/>
        </w:rPr>
        <w:t xml:space="preserve">        </w:t>
      </w:r>
      <w:r>
        <w:rPr>
          <w:rFonts w:hint="eastAsia" w:ascii="仿宋" w:hAnsi="仿宋" w:eastAsia="仿宋" w:cs="仿宋"/>
          <w:sz w:val="28"/>
          <w:szCs w:val="28"/>
        </w:rPr>
        <w:t>元的责任。</w:t>
      </w:r>
    </w:p>
    <w:p>
      <w:pPr>
        <w:spacing w:line="500" w:lineRule="atLeast"/>
        <w:ind w:firstLine="570"/>
        <w:rPr>
          <w:rFonts w:hint="eastAsia" w:ascii="仿宋" w:hAnsi="仿宋" w:eastAsia="仿宋" w:cs="仿宋"/>
          <w:sz w:val="28"/>
          <w:szCs w:val="28"/>
        </w:rPr>
      </w:pPr>
      <w:r>
        <w:rPr>
          <w:rFonts w:hint="eastAsia" w:ascii="仿宋" w:hAnsi="仿宋" w:eastAsia="仿宋" w:cs="仿宋"/>
          <w:sz w:val="28"/>
          <w:szCs w:val="28"/>
        </w:rPr>
        <w:t>磋商保证金在投标有效期内保持有效。</w:t>
      </w:r>
    </w:p>
    <w:p>
      <w:pPr>
        <w:spacing w:line="500" w:lineRule="atLeast"/>
        <w:ind w:firstLine="570"/>
        <w:jc w:val="center"/>
        <w:rPr>
          <w:rFonts w:hint="eastAsia" w:ascii="仿宋" w:hAnsi="仿宋" w:eastAsia="仿宋" w:cs="仿宋"/>
          <w:sz w:val="28"/>
          <w:szCs w:val="28"/>
        </w:rPr>
      </w:pPr>
    </w:p>
    <w:tbl>
      <w:tblPr>
        <w:tblStyle w:val="35"/>
        <w:tblW w:w="8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vAlign w:val="center"/>
          </w:tcPr>
          <w:p>
            <w:pPr>
              <w:spacing w:before="0" w:beforeAutospacing="0" w:after="0" w:afterAutospacing="0" w:line="500" w:lineRule="atLeast"/>
              <w:ind w:left="0" w:right="0" w:firstLine="570"/>
              <w:jc w:val="center"/>
              <w:rPr>
                <w:rFonts w:hint="eastAsia" w:ascii="仿宋" w:hAnsi="仿宋" w:eastAsia="仿宋" w:cs="仿宋"/>
                <w:sz w:val="28"/>
                <w:szCs w:val="28"/>
              </w:rPr>
            </w:pPr>
            <w:r>
              <w:rPr>
                <w:rFonts w:hint="eastAsia" w:ascii="仿宋" w:hAnsi="仿宋" w:eastAsia="仿宋" w:cs="仿宋"/>
                <w:sz w:val="28"/>
                <w:szCs w:val="28"/>
              </w:rPr>
              <w:t>磋商保证金证明（供应商交纳凭证复印件）</w:t>
            </w:r>
          </w:p>
        </w:tc>
      </w:tr>
    </w:tbl>
    <w:p>
      <w:pPr>
        <w:spacing w:line="500" w:lineRule="atLeast"/>
        <w:ind w:firstLine="570"/>
        <w:jc w:val="center"/>
        <w:rPr>
          <w:rFonts w:hint="eastAsia" w:ascii="仿宋" w:hAnsi="仿宋" w:eastAsia="仿宋" w:cs="仿宋"/>
          <w:sz w:val="28"/>
          <w:szCs w:val="28"/>
        </w:rPr>
      </w:pPr>
    </w:p>
    <w:p>
      <w:pPr>
        <w:spacing w:line="500" w:lineRule="atLeast"/>
        <w:jc w:val="both"/>
        <w:rPr>
          <w:rFonts w:hint="eastAsia" w:ascii="仿宋" w:hAnsi="仿宋" w:eastAsia="仿宋" w:cs="仿宋"/>
          <w:color w:val="FF0000"/>
          <w:sz w:val="28"/>
          <w:szCs w:val="28"/>
        </w:rPr>
      </w:pPr>
    </w:p>
    <w:p>
      <w:pPr>
        <w:pStyle w:val="21"/>
        <w:rPr>
          <w:rFonts w:hint="eastAsia" w:ascii="仿宋" w:hAnsi="仿宋" w:eastAsia="仿宋" w:cs="仿宋"/>
          <w:color w:val="FF0000"/>
          <w:sz w:val="28"/>
          <w:szCs w:val="28"/>
        </w:rPr>
      </w:pPr>
    </w:p>
    <w:p>
      <w:pPr>
        <w:pStyle w:val="21"/>
        <w:rPr>
          <w:rFonts w:hint="eastAsia" w:ascii="仿宋" w:hAnsi="仿宋" w:eastAsia="仿宋" w:cs="仿宋"/>
          <w:color w:val="FF0000"/>
          <w:sz w:val="28"/>
          <w:szCs w:val="28"/>
        </w:rPr>
      </w:pPr>
    </w:p>
    <w:p>
      <w:pPr>
        <w:pStyle w:val="21"/>
        <w:rPr>
          <w:rFonts w:hint="eastAsia" w:ascii="仿宋" w:hAnsi="仿宋" w:eastAsia="仿宋" w:cs="仿宋"/>
          <w:color w:val="FF0000"/>
          <w:sz w:val="28"/>
          <w:szCs w:val="28"/>
        </w:rPr>
      </w:pPr>
    </w:p>
    <w:p>
      <w:pPr>
        <w:pStyle w:val="21"/>
        <w:rPr>
          <w:rFonts w:hint="eastAsia" w:ascii="仿宋" w:hAnsi="仿宋" w:eastAsia="仿宋" w:cs="仿宋"/>
          <w:color w:val="FF0000"/>
          <w:sz w:val="28"/>
          <w:szCs w:val="28"/>
        </w:rPr>
      </w:pPr>
    </w:p>
    <w:p>
      <w:pPr>
        <w:pStyle w:val="21"/>
        <w:rPr>
          <w:rFonts w:hint="eastAsia" w:ascii="仿宋" w:hAnsi="仿宋" w:eastAsia="仿宋" w:cs="仿宋"/>
          <w:color w:val="FF0000"/>
          <w:sz w:val="28"/>
          <w:szCs w:val="28"/>
        </w:rPr>
      </w:pPr>
    </w:p>
    <w:p>
      <w:pPr>
        <w:pStyle w:val="21"/>
        <w:rPr>
          <w:rFonts w:hint="eastAsia" w:ascii="仿宋" w:hAnsi="仿宋" w:eastAsia="仿宋" w:cs="仿宋"/>
          <w:color w:val="FF0000"/>
          <w:sz w:val="28"/>
          <w:szCs w:val="28"/>
        </w:rPr>
      </w:pPr>
    </w:p>
    <w:p>
      <w:pPr>
        <w:pStyle w:val="21"/>
        <w:rPr>
          <w:rFonts w:hint="eastAsia" w:ascii="仿宋" w:hAnsi="仿宋" w:eastAsia="仿宋" w:cs="仿宋"/>
          <w:color w:val="FF0000"/>
          <w:sz w:val="28"/>
          <w:szCs w:val="28"/>
        </w:rPr>
      </w:pPr>
    </w:p>
    <w:p>
      <w:pPr>
        <w:pStyle w:val="21"/>
        <w:rPr>
          <w:rFonts w:hint="eastAsia" w:ascii="仿宋" w:hAnsi="仿宋" w:eastAsia="仿宋" w:cs="仿宋"/>
          <w:color w:val="FF0000"/>
          <w:sz w:val="28"/>
          <w:szCs w:val="28"/>
        </w:rPr>
      </w:pPr>
    </w:p>
    <w:p>
      <w:pPr>
        <w:pStyle w:val="21"/>
        <w:rPr>
          <w:rFonts w:hint="eastAsia" w:ascii="仿宋" w:hAnsi="仿宋" w:eastAsia="仿宋" w:cs="仿宋"/>
          <w:color w:val="FF0000"/>
          <w:sz w:val="28"/>
          <w:szCs w:val="28"/>
        </w:rPr>
      </w:pPr>
    </w:p>
    <w:p>
      <w:pPr>
        <w:pStyle w:val="21"/>
        <w:rPr>
          <w:rFonts w:hint="eastAsia" w:ascii="仿宋" w:hAnsi="仿宋" w:eastAsia="仿宋" w:cs="仿宋"/>
          <w:color w:val="FF0000"/>
          <w:sz w:val="28"/>
          <w:szCs w:val="28"/>
        </w:rPr>
      </w:pPr>
    </w:p>
    <w:p>
      <w:pPr>
        <w:pStyle w:val="21"/>
        <w:rPr>
          <w:rFonts w:hint="eastAsia" w:ascii="仿宋" w:hAnsi="仿宋" w:eastAsia="仿宋" w:cs="仿宋"/>
          <w:color w:val="FF0000"/>
          <w:sz w:val="28"/>
          <w:szCs w:val="28"/>
        </w:rPr>
      </w:pPr>
    </w:p>
    <w:p>
      <w:pPr>
        <w:pStyle w:val="5"/>
        <w:numPr>
          <w:ilvl w:val="0"/>
          <w:numId w:val="0"/>
        </w:numPr>
        <w:ind w:leftChars="0"/>
      </w:pPr>
    </w:p>
    <w:sectPr>
      <w:headerReference r:id="rId14" w:type="default"/>
      <w:footerReference r:id="rId15" w:type="default"/>
      <w:pgSz w:w="11907" w:h="16840"/>
      <w:pgMar w:top="1418" w:right="1287" w:bottom="936" w:left="1259"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y" w:date="2022-04-23T00:28:00Z" w:initials="MOU">
    <w:p w14:paraId="00D9610E">
      <w:pPr>
        <w:pStyle w:val="11"/>
      </w:pPr>
      <w:r>
        <w:rPr>
          <w:rFonts w:hint="eastAsia"/>
        </w:rPr>
        <w:t>腾讯会议开标</w:t>
      </w:r>
    </w:p>
  </w:comment>
  <w:comment w:id="1" w:author="gy" w:date="2022-04-23T00:43:00Z" w:initials="MOU">
    <w:p w14:paraId="1A2E3817">
      <w:pPr>
        <w:pStyle w:val="11"/>
      </w:pPr>
      <w:r>
        <w:rPr>
          <w:rFonts w:hint="eastAsia"/>
        </w:rPr>
        <w:t>是否必须要注册？开标时是否使用？</w:t>
      </w:r>
    </w:p>
  </w:comment>
  <w:comment w:id="2" w:author="gy" w:date="2022-04-23T00:50:00Z" w:initials="MOU">
    <w:p w14:paraId="348E3962">
      <w:pPr>
        <w:pStyle w:val="11"/>
      </w:pPr>
      <w:r>
        <w:rPr>
          <w:rFonts w:hint="eastAsia"/>
        </w:rPr>
        <w:t>这项是1</w:t>
      </w:r>
      <w:r>
        <w:t>0</w:t>
      </w:r>
      <w:r>
        <w:rPr>
          <w:rFonts w:hint="eastAsia"/>
        </w:rPr>
        <w:t>分吧？否则总体多了6分</w:t>
      </w:r>
    </w:p>
  </w:comment>
  <w:comment w:id="3" w:author="gy" w:date="2022-04-23T01:09:00Z" w:initials="MOU">
    <w:p w14:paraId="67B67D26">
      <w:pPr>
        <w:pStyle w:val="11"/>
      </w:pPr>
      <w:r>
        <w:rPr>
          <w:rFonts w:hint="eastAsia"/>
        </w:rPr>
        <w:t>能否合同或中标通知书或业绩证明？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D9610E" w15:done="0"/>
  <w15:commentEx w15:paraId="1A2E3817" w15:done="0"/>
  <w15:commentEx w15:paraId="348E3962" w15:done="0"/>
  <w15:commentEx w15:paraId="67B67D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20B0604020202020204"/>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cs="宋体"/>
        <w:b/>
        <w:szCs w:val="21"/>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0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84</w:t>
                          </w:r>
                          <w:r>
                            <w:fldChar w:fldCharType="end"/>
                          </w:r>
                          <w:r>
                            <w:rPr>
                              <w:rFonts w:hint="eastAsia"/>
                            </w:rPr>
                            <w:t xml:space="preserve"> 页</w:t>
                          </w:r>
                        </w:p>
                      </w:txbxContent>
                    </wps:txbx>
                    <wps:bodyPr wrap="none" lIns="0" tIns="0" rIns="0" bIns="0" upright="1">
                      <a:spAutoFit/>
                    </wps:bodyPr>
                  </wps:wsp>
                </a:graphicData>
              </a:graphic>
            </wp:anchor>
          </w:drawing>
        </mc:Choice>
        <mc:Fallback>
          <w:pict>
            <v:rect id="文本框 102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8ihOcYBAACKAwAADgAAAAAAAAABACAAAAAfAQAAZHJzL2Uyb0RvYy54&#10;bWxQSwUGAAAAAAYABgBZAQAAVwUAAAAA&#10;">
              <v:fill on="f" focussize="0,0"/>
              <v:stroke on="f"/>
              <v:imagedata o:title=""/>
              <o:lock v:ext="edit" aspectratio="f"/>
              <v:textbox inset="0mm,0mm,0mm,0mm" style="mso-fit-shape-to-text:t;">
                <w:txbxContent>
                  <w:p>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84</w:t>
                    </w:r>
                    <w:r>
                      <w:fldChar w:fldCharType="end"/>
                    </w:r>
                    <w:r>
                      <w:rPr>
                        <w:rFonts w:hint="eastAsia"/>
                      </w:rP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黑体" w:hAnsi="黑体" w:eastAsia="黑体" w:cs="黑体"/>
        <w:b/>
        <w:sz w:val="18"/>
        <w:szCs w:val="18"/>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tabs>
                              <w:tab w:val="center" w:pos="4140"/>
                              <w:tab w:val="right" w:pos="8300"/>
                              <w:tab w:val="clear" w:pos="4153"/>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100</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21"/>
                      <w:tabs>
                        <w:tab w:val="center" w:pos="4140"/>
                        <w:tab w:val="right" w:pos="8300"/>
                        <w:tab w:val="clear" w:pos="4153"/>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100</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黑体" w:hAnsi="黑体" w:eastAsia="黑体" w:cs="黑体"/>
        <w:b/>
        <w:sz w:val="18"/>
        <w:szCs w:val="18"/>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tabs>
                              <w:tab w:val="center" w:pos="4140"/>
                              <w:tab w:val="right" w:pos="8300"/>
                              <w:tab w:val="clear" w:pos="4153"/>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100</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21"/>
                      <w:tabs>
                        <w:tab w:val="center" w:pos="4140"/>
                        <w:tab w:val="right" w:pos="8300"/>
                        <w:tab w:val="clear" w:pos="4153"/>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100</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cs="宋体"/>
        <w:b/>
        <w:szCs w:val="21"/>
      </w:rPr>
    </w:pPr>
    <w:bookmarkStart w:id="52" w:name="_GoBack"/>
    <w:bookmarkEnd w:id="52"/>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r>
                            <w:rPr>
                              <w:rFonts w:hint="eastAsia"/>
                            </w:rPr>
                            <w:t xml:space="preserve"> 页 共</w:t>
                          </w:r>
                          <w:r>
                            <w:rPr>
                              <w:rFonts w:hint="eastAsia"/>
                              <w:lang w:val="en-US" w:eastAsia="zh-CN"/>
                            </w:rPr>
                            <w:t>63</w:t>
                          </w:r>
                          <w:r>
                            <w:rPr>
                              <w:rFonts w:hint="eastAsia"/>
                            </w:rPr>
                            <w:t>页</w:t>
                          </w:r>
                        </w:p>
                      </w:txbxContent>
                    </wps:txbx>
                    <wps:bodyPr wrap="none" lIns="0" tIns="0" rIns="0" bIns="0" upright="1">
                      <a:spAutoFit/>
                    </wps:bodyPr>
                  </wps:wsp>
                </a:graphicData>
              </a:graphic>
            </wp:anchor>
          </w:drawing>
        </mc:Choice>
        <mc:Fallback>
          <w:pict>
            <v:rect id="文本框 103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rSUg9xQEAAIoDAAAOAAAAAAAAAAEAIAAAAB8BAABkcnMvZTJvRG9jLnht&#10;bFBLBQYAAAAABgAGAFkBAABWBQAAAAA=&#10;">
              <v:fill on="f" focussize="0,0"/>
              <v:stroke on="f"/>
              <v:imagedata o:title=""/>
              <o:lock v:ext="edit" aspectratio="f"/>
              <v:textbox inset="0mm,0mm,0mm,0mm" style="mso-fit-shape-to-text:t;">
                <w:txbxContent>
                  <w:p>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r>
                      <w:rPr>
                        <w:rFonts w:hint="eastAsia"/>
                      </w:rPr>
                      <w:t xml:space="preserve"> 页 共</w:t>
                    </w:r>
                    <w:r>
                      <w:rPr>
                        <w:rFonts w:hint="eastAsia"/>
                        <w:lang w:val="en-US" w:eastAsia="zh-CN"/>
                      </w:rPr>
                      <w:t>63</w:t>
                    </w:r>
                    <w:r>
                      <w:rPr>
                        <w:rFonts w:hint="eastAsia"/>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b/>
        <w:szCs w:val="21"/>
        <w:u w:val="single"/>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center" w:pos="4140"/>
        <w:tab w:val="right" w:pos="8300"/>
        <w:tab w:val="clear" w:pos="4153"/>
        <w:tab w:val="clear" w:pos="8306"/>
      </w:tabs>
      <w:ind w:firstLine="16014" w:firstLineChars="7596"/>
      <w:jc w:val="both"/>
      <w:rPr>
        <w:rFonts w:ascii="宋体" w:hAnsi="宋体" w:eastAsia="黑体"/>
        <w:b/>
        <w:sz w:val="21"/>
        <w:szCs w:val="21"/>
        <w:highlight w:val="red"/>
        <w:shd w:val="pct10" w:color="auto" w:fill="FFFFF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b/>
        <w:szCs w:val="21"/>
        <w:u w:val="single"/>
        <w:shd w:val="pct10"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23E2E"/>
    <w:multiLevelType w:val="singleLevel"/>
    <w:tmpl w:val="C1923E2E"/>
    <w:lvl w:ilvl="0" w:tentative="0">
      <w:start w:val="1"/>
      <w:numFmt w:val="decimal"/>
      <w:suff w:val="nothing"/>
      <w:lvlText w:val="%1、"/>
      <w:lvlJc w:val="left"/>
    </w:lvl>
  </w:abstractNum>
  <w:abstractNum w:abstractNumId="1">
    <w:nsid w:val="CA4BFE72"/>
    <w:multiLevelType w:val="singleLevel"/>
    <w:tmpl w:val="CA4BFE72"/>
    <w:lvl w:ilvl="0" w:tentative="0">
      <w:start w:val="1"/>
      <w:numFmt w:val="chineseCounting"/>
      <w:suff w:val="nothing"/>
      <w:lvlText w:val="%1、"/>
      <w:lvlJc w:val="left"/>
      <w:pPr>
        <w:ind w:left="-60"/>
      </w:pPr>
      <w:rPr>
        <w:rFonts w:hint="eastAsia"/>
      </w:rPr>
    </w:lvl>
  </w:abstractNum>
  <w:abstractNum w:abstractNumId="2">
    <w:nsid w:val="D6DA8B82"/>
    <w:multiLevelType w:val="singleLevel"/>
    <w:tmpl w:val="D6DA8B82"/>
    <w:lvl w:ilvl="0" w:tentative="0">
      <w:start w:val="2"/>
      <w:numFmt w:val="chineseCounting"/>
      <w:suff w:val="nothing"/>
      <w:lvlText w:val="（%1）"/>
      <w:lvlJc w:val="left"/>
      <w:rPr>
        <w:rFonts w:hint="eastAsia"/>
      </w:rPr>
    </w:lvl>
  </w:abstractNum>
  <w:abstractNum w:abstractNumId="3">
    <w:nsid w:val="F07967B7"/>
    <w:multiLevelType w:val="singleLevel"/>
    <w:tmpl w:val="F07967B7"/>
    <w:lvl w:ilvl="0" w:tentative="0">
      <w:start w:val="10"/>
      <w:numFmt w:val="decimal"/>
      <w:suff w:val="nothing"/>
      <w:lvlText w:val="%1、"/>
      <w:lvlJc w:val="left"/>
    </w:lvl>
  </w:abstractNum>
  <w:abstractNum w:abstractNumId="4">
    <w:nsid w:val="00000004"/>
    <w:multiLevelType w:val="multilevel"/>
    <w:tmpl w:val="00000004"/>
    <w:lvl w:ilvl="0" w:tentative="0">
      <w:start w:val="1"/>
      <w:numFmt w:val="none"/>
      <w:suff w:val="nothing"/>
      <w:lvlText w:val=""/>
      <w:lvlJc w:val="left"/>
    </w:lvl>
    <w:lvl w:ilvl="1" w:tentative="0">
      <w:start w:val="1"/>
      <w:numFmt w:val="none"/>
      <w:lvlText w:val=""/>
      <w:lvlJc w:val="left"/>
    </w:lvl>
    <w:lvl w:ilvl="2" w:tentative="0">
      <w:start w:val="1"/>
      <w:numFmt w:val="none"/>
      <w:lvlText w:val=""/>
      <w:lvlJc w:val="left"/>
    </w:lvl>
    <w:lvl w:ilvl="3" w:tentative="0">
      <w:start w:val="1"/>
      <w:numFmt w:val="none"/>
      <w:pStyle w:val="2"/>
      <w:lvlText w:val=""/>
      <w:lvlJc w:val="left"/>
    </w:lvl>
    <w:lvl w:ilvl="4" w:tentative="0">
      <w:start w:val="1"/>
      <w:numFmt w:val="none"/>
      <w:lvlText w:val=""/>
      <w:lvlJc w:val="left"/>
    </w:lvl>
    <w:lvl w:ilvl="5" w:tentative="0">
      <w:start w:val="1"/>
      <w:numFmt w:val="decimal"/>
      <w:lvlText w:val=".%6"/>
      <w:lvlJc w:val="left"/>
    </w:lvl>
    <w:lvl w:ilvl="6" w:tentative="0">
      <w:start w:val="1"/>
      <w:numFmt w:val="decimal"/>
      <w:lvlText w:val=".%6.%7"/>
      <w:lvlJc w:val="left"/>
    </w:lvl>
    <w:lvl w:ilvl="7" w:tentative="0">
      <w:start w:val="1"/>
      <w:numFmt w:val="decimal"/>
      <w:lvlText w:val=".%6.%7.%8"/>
      <w:lvlJc w:val="left"/>
    </w:lvl>
    <w:lvl w:ilvl="8" w:tentative="0">
      <w:start w:val="1"/>
      <w:numFmt w:val="decimal"/>
      <w:lvlText w:val=".%6.%7.%8.%9"/>
      <w:lvlJc w:val="left"/>
    </w:lvl>
  </w:abstractNum>
  <w:abstractNum w:abstractNumId="5">
    <w:nsid w:val="29499964"/>
    <w:multiLevelType w:val="singleLevel"/>
    <w:tmpl w:val="29499964"/>
    <w:lvl w:ilvl="0" w:tentative="0">
      <w:start w:val="6"/>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y">
    <w15:presenceInfo w15:providerId="None" w15:userId="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ZDNjMDUwYjBjMzRlOWY5NTI3NWMwODhiOTc4NmUifQ=="/>
    <w:docVar w:name="KSO_WPS_MARK_KEY" w:val="e6173247-4b5a-4574-8942-6bd2cd07b771"/>
  </w:docVars>
  <w:rsids>
    <w:rsidRoot w:val="009F3A88"/>
    <w:rsid w:val="00056BCF"/>
    <w:rsid w:val="001671E2"/>
    <w:rsid w:val="001939DE"/>
    <w:rsid w:val="00197D6D"/>
    <w:rsid w:val="00554E6F"/>
    <w:rsid w:val="007C46B0"/>
    <w:rsid w:val="00812533"/>
    <w:rsid w:val="00907D80"/>
    <w:rsid w:val="00981274"/>
    <w:rsid w:val="009F3A88"/>
    <w:rsid w:val="00A02D15"/>
    <w:rsid w:val="00AC6B1F"/>
    <w:rsid w:val="00B03929"/>
    <w:rsid w:val="00B94BB2"/>
    <w:rsid w:val="00BD0D08"/>
    <w:rsid w:val="00C85647"/>
    <w:rsid w:val="00CC4D07"/>
    <w:rsid w:val="00E24433"/>
    <w:rsid w:val="00F55DF9"/>
    <w:rsid w:val="01604C7F"/>
    <w:rsid w:val="01986E50"/>
    <w:rsid w:val="021E2116"/>
    <w:rsid w:val="02C14BE1"/>
    <w:rsid w:val="03142F79"/>
    <w:rsid w:val="03C2385F"/>
    <w:rsid w:val="044F5FB5"/>
    <w:rsid w:val="045F2BE1"/>
    <w:rsid w:val="045F5EB3"/>
    <w:rsid w:val="04B87893"/>
    <w:rsid w:val="04FF57C5"/>
    <w:rsid w:val="0594355F"/>
    <w:rsid w:val="05956031"/>
    <w:rsid w:val="065A2B98"/>
    <w:rsid w:val="06621664"/>
    <w:rsid w:val="06D06B26"/>
    <w:rsid w:val="080C3265"/>
    <w:rsid w:val="09B2307E"/>
    <w:rsid w:val="09B90F56"/>
    <w:rsid w:val="09E228F6"/>
    <w:rsid w:val="0A174A81"/>
    <w:rsid w:val="0A4F7D5A"/>
    <w:rsid w:val="0A5A199F"/>
    <w:rsid w:val="0B6261CC"/>
    <w:rsid w:val="0BA7232B"/>
    <w:rsid w:val="0C48430C"/>
    <w:rsid w:val="0CE825CA"/>
    <w:rsid w:val="0D0D0A3A"/>
    <w:rsid w:val="0DDE0FDB"/>
    <w:rsid w:val="0DFA0CDB"/>
    <w:rsid w:val="0E012F78"/>
    <w:rsid w:val="0E2F731F"/>
    <w:rsid w:val="0E6C3641"/>
    <w:rsid w:val="0EAF15E3"/>
    <w:rsid w:val="0ED12D05"/>
    <w:rsid w:val="0F9C2742"/>
    <w:rsid w:val="0FDE128A"/>
    <w:rsid w:val="10537E35"/>
    <w:rsid w:val="105D6139"/>
    <w:rsid w:val="10824765"/>
    <w:rsid w:val="111D6B69"/>
    <w:rsid w:val="113E3395"/>
    <w:rsid w:val="11A10111"/>
    <w:rsid w:val="11BA64BF"/>
    <w:rsid w:val="12824C25"/>
    <w:rsid w:val="133E05CC"/>
    <w:rsid w:val="13C94579"/>
    <w:rsid w:val="14B546E4"/>
    <w:rsid w:val="14BF513D"/>
    <w:rsid w:val="15531A13"/>
    <w:rsid w:val="15E92B64"/>
    <w:rsid w:val="15F40114"/>
    <w:rsid w:val="16323C45"/>
    <w:rsid w:val="172C4390"/>
    <w:rsid w:val="18603A73"/>
    <w:rsid w:val="18687937"/>
    <w:rsid w:val="19051239"/>
    <w:rsid w:val="194E7329"/>
    <w:rsid w:val="19BA5369"/>
    <w:rsid w:val="19C90964"/>
    <w:rsid w:val="1A3F47F1"/>
    <w:rsid w:val="1A4A3AB9"/>
    <w:rsid w:val="1A5B0F6E"/>
    <w:rsid w:val="1ACA5968"/>
    <w:rsid w:val="1ADB32AD"/>
    <w:rsid w:val="1B48665A"/>
    <w:rsid w:val="1C2B4DD9"/>
    <w:rsid w:val="1C8648F3"/>
    <w:rsid w:val="1D0B32BA"/>
    <w:rsid w:val="1E3A3600"/>
    <w:rsid w:val="1E3C4089"/>
    <w:rsid w:val="1E5B1A71"/>
    <w:rsid w:val="1EA23DBA"/>
    <w:rsid w:val="1EFC6BB7"/>
    <w:rsid w:val="1F1D3F5E"/>
    <w:rsid w:val="1FCA4540"/>
    <w:rsid w:val="1FFA68AF"/>
    <w:rsid w:val="20101E05"/>
    <w:rsid w:val="20971543"/>
    <w:rsid w:val="218803FA"/>
    <w:rsid w:val="21A01611"/>
    <w:rsid w:val="22D86A88"/>
    <w:rsid w:val="22F106E2"/>
    <w:rsid w:val="230A2025"/>
    <w:rsid w:val="236A3B04"/>
    <w:rsid w:val="23ED44B2"/>
    <w:rsid w:val="24F84C44"/>
    <w:rsid w:val="25211D49"/>
    <w:rsid w:val="256565CE"/>
    <w:rsid w:val="256A420A"/>
    <w:rsid w:val="267141B1"/>
    <w:rsid w:val="26882357"/>
    <w:rsid w:val="26FE5360"/>
    <w:rsid w:val="2877041A"/>
    <w:rsid w:val="287F5D4D"/>
    <w:rsid w:val="29A84B87"/>
    <w:rsid w:val="2A1C79A9"/>
    <w:rsid w:val="2A23470E"/>
    <w:rsid w:val="2AC33B7E"/>
    <w:rsid w:val="2AF8662B"/>
    <w:rsid w:val="2B911D7C"/>
    <w:rsid w:val="2C394A2A"/>
    <w:rsid w:val="2D7072FB"/>
    <w:rsid w:val="2DBF7CEA"/>
    <w:rsid w:val="2E093F38"/>
    <w:rsid w:val="2E5853CD"/>
    <w:rsid w:val="2E7C6333"/>
    <w:rsid w:val="2FAF4F8C"/>
    <w:rsid w:val="2FC70041"/>
    <w:rsid w:val="304B50AE"/>
    <w:rsid w:val="30621F42"/>
    <w:rsid w:val="30F23884"/>
    <w:rsid w:val="312A14E5"/>
    <w:rsid w:val="318C66E8"/>
    <w:rsid w:val="321133AF"/>
    <w:rsid w:val="3216579D"/>
    <w:rsid w:val="327632EA"/>
    <w:rsid w:val="327A3807"/>
    <w:rsid w:val="32A33BE6"/>
    <w:rsid w:val="339D6375"/>
    <w:rsid w:val="34AA437D"/>
    <w:rsid w:val="34B85D27"/>
    <w:rsid w:val="354A13F4"/>
    <w:rsid w:val="35643BC0"/>
    <w:rsid w:val="35672743"/>
    <w:rsid w:val="358803DE"/>
    <w:rsid w:val="35A324DC"/>
    <w:rsid w:val="35AB7539"/>
    <w:rsid w:val="3652249A"/>
    <w:rsid w:val="375A2924"/>
    <w:rsid w:val="385072E7"/>
    <w:rsid w:val="38960A6E"/>
    <w:rsid w:val="3AE82245"/>
    <w:rsid w:val="3BA6098F"/>
    <w:rsid w:val="3D6A65DA"/>
    <w:rsid w:val="3E3D5271"/>
    <w:rsid w:val="3E805CD6"/>
    <w:rsid w:val="3F9C31B5"/>
    <w:rsid w:val="3FFB71F6"/>
    <w:rsid w:val="405D74C8"/>
    <w:rsid w:val="40FB1D88"/>
    <w:rsid w:val="410374E2"/>
    <w:rsid w:val="41AB303C"/>
    <w:rsid w:val="41B20417"/>
    <w:rsid w:val="42177ECE"/>
    <w:rsid w:val="427423DF"/>
    <w:rsid w:val="428358A2"/>
    <w:rsid w:val="4293659C"/>
    <w:rsid w:val="43137009"/>
    <w:rsid w:val="432266DE"/>
    <w:rsid w:val="43997D49"/>
    <w:rsid w:val="43A951A3"/>
    <w:rsid w:val="452537D4"/>
    <w:rsid w:val="45573F2A"/>
    <w:rsid w:val="45596064"/>
    <w:rsid w:val="45BE654B"/>
    <w:rsid w:val="45CD1C72"/>
    <w:rsid w:val="45D3020D"/>
    <w:rsid w:val="45D3296A"/>
    <w:rsid w:val="468A38F6"/>
    <w:rsid w:val="46F96F02"/>
    <w:rsid w:val="473C241C"/>
    <w:rsid w:val="47E34CD3"/>
    <w:rsid w:val="48632366"/>
    <w:rsid w:val="48B36CCA"/>
    <w:rsid w:val="49A33F43"/>
    <w:rsid w:val="4B100FB9"/>
    <w:rsid w:val="4B3D656C"/>
    <w:rsid w:val="4BA761DA"/>
    <w:rsid w:val="4C055728"/>
    <w:rsid w:val="4C9C33FE"/>
    <w:rsid w:val="4CC32FF9"/>
    <w:rsid w:val="4ED33232"/>
    <w:rsid w:val="4EEF6DA9"/>
    <w:rsid w:val="4F804F1C"/>
    <w:rsid w:val="4FD337D1"/>
    <w:rsid w:val="50763470"/>
    <w:rsid w:val="52395A0F"/>
    <w:rsid w:val="524158C5"/>
    <w:rsid w:val="52B642F8"/>
    <w:rsid w:val="53322A9A"/>
    <w:rsid w:val="534E6AE1"/>
    <w:rsid w:val="53937B53"/>
    <w:rsid w:val="539904DF"/>
    <w:rsid w:val="53997B30"/>
    <w:rsid w:val="53D02B58"/>
    <w:rsid w:val="541516C1"/>
    <w:rsid w:val="5491333E"/>
    <w:rsid w:val="54B57A36"/>
    <w:rsid w:val="5562085F"/>
    <w:rsid w:val="55755862"/>
    <w:rsid w:val="56090D75"/>
    <w:rsid w:val="568F098B"/>
    <w:rsid w:val="56C44BB8"/>
    <w:rsid w:val="56CB71D5"/>
    <w:rsid w:val="56EC057E"/>
    <w:rsid w:val="57034CCA"/>
    <w:rsid w:val="57176120"/>
    <w:rsid w:val="57540D4E"/>
    <w:rsid w:val="580A2C2F"/>
    <w:rsid w:val="58B15B45"/>
    <w:rsid w:val="58C145C0"/>
    <w:rsid w:val="58E5338A"/>
    <w:rsid w:val="59537079"/>
    <w:rsid w:val="598A6B33"/>
    <w:rsid w:val="5A3A67C7"/>
    <w:rsid w:val="5A98049E"/>
    <w:rsid w:val="5B560728"/>
    <w:rsid w:val="5C400E45"/>
    <w:rsid w:val="5CBD0E95"/>
    <w:rsid w:val="5D2D0723"/>
    <w:rsid w:val="5D6B0764"/>
    <w:rsid w:val="5D7601BC"/>
    <w:rsid w:val="5DA05BF8"/>
    <w:rsid w:val="5E1C17EC"/>
    <w:rsid w:val="5E401407"/>
    <w:rsid w:val="5E8C14B0"/>
    <w:rsid w:val="5E903C4F"/>
    <w:rsid w:val="5FC6783F"/>
    <w:rsid w:val="62B11BF8"/>
    <w:rsid w:val="630E3A1E"/>
    <w:rsid w:val="637571E1"/>
    <w:rsid w:val="6407517A"/>
    <w:rsid w:val="64283581"/>
    <w:rsid w:val="643F3598"/>
    <w:rsid w:val="64B775F0"/>
    <w:rsid w:val="64D81352"/>
    <w:rsid w:val="653F1031"/>
    <w:rsid w:val="65980E89"/>
    <w:rsid w:val="65CF5432"/>
    <w:rsid w:val="666E16CC"/>
    <w:rsid w:val="66CD3647"/>
    <w:rsid w:val="670729AE"/>
    <w:rsid w:val="69584B44"/>
    <w:rsid w:val="6AB066E5"/>
    <w:rsid w:val="6AED334B"/>
    <w:rsid w:val="6BA93A95"/>
    <w:rsid w:val="6BF2044A"/>
    <w:rsid w:val="6BF56646"/>
    <w:rsid w:val="6C0A3335"/>
    <w:rsid w:val="6C131879"/>
    <w:rsid w:val="6DD936A0"/>
    <w:rsid w:val="6E460510"/>
    <w:rsid w:val="6E690E45"/>
    <w:rsid w:val="6F5D3845"/>
    <w:rsid w:val="6FCF1189"/>
    <w:rsid w:val="700F4E94"/>
    <w:rsid w:val="70541A5B"/>
    <w:rsid w:val="70572623"/>
    <w:rsid w:val="706125BA"/>
    <w:rsid w:val="709E5136"/>
    <w:rsid w:val="713D37C7"/>
    <w:rsid w:val="727F5E2F"/>
    <w:rsid w:val="72950CCE"/>
    <w:rsid w:val="73CC4CF1"/>
    <w:rsid w:val="73ED2E66"/>
    <w:rsid w:val="73FD385B"/>
    <w:rsid w:val="74702C11"/>
    <w:rsid w:val="761D7A71"/>
    <w:rsid w:val="763A0446"/>
    <w:rsid w:val="76A73236"/>
    <w:rsid w:val="76A90018"/>
    <w:rsid w:val="76BA7F89"/>
    <w:rsid w:val="787B3A54"/>
    <w:rsid w:val="78FA3D71"/>
    <w:rsid w:val="79656382"/>
    <w:rsid w:val="796E613D"/>
    <w:rsid w:val="798C5B54"/>
    <w:rsid w:val="7A0C1213"/>
    <w:rsid w:val="7A3F0FCF"/>
    <w:rsid w:val="7A5434E7"/>
    <w:rsid w:val="7A687D2B"/>
    <w:rsid w:val="7A771137"/>
    <w:rsid w:val="7AA35AA2"/>
    <w:rsid w:val="7AB82C0A"/>
    <w:rsid w:val="7B6E7088"/>
    <w:rsid w:val="7BA67B98"/>
    <w:rsid w:val="7BB87ECA"/>
    <w:rsid w:val="7C9931E9"/>
    <w:rsid w:val="7D1A78DA"/>
    <w:rsid w:val="7D473F89"/>
    <w:rsid w:val="7D517FCE"/>
    <w:rsid w:val="7D9E5E13"/>
    <w:rsid w:val="7DF56ED9"/>
    <w:rsid w:val="7F6265ED"/>
    <w:rsid w:val="7FAD3D97"/>
    <w:rsid w:val="7FC5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99"/>
    <w:pPr>
      <w:keepNext/>
      <w:keepLines/>
      <w:spacing w:before="340" w:after="330" w:line="576" w:lineRule="auto"/>
      <w:outlineLvl w:val="0"/>
    </w:pPr>
    <w:rPr>
      <w:b/>
      <w:bCs/>
      <w:kern w:val="44"/>
      <w:sz w:val="44"/>
      <w:szCs w:val="44"/>
    </w:rPr>
  </w:style>
  <w:style w:type="paragraph" w:styleId="4">
    <w:name w:val="heading 2"/>
    <w:basedOn w:val="1"/>
    <w:next w:val="5"/>
    <w:link w:val="63"/>
    <w:qFormat/>
    <w:uiPriority w:val="99"/>
    <w:pPr>
      <w:keepNext/>
      <w:keepLines/>
      <w:spacing w:before="260" w:after="260" w:line="413" w:lineRule="auto"/>
      <w:outlineLvl w:val="1"/>
    </w:pPr>
    <w:rPr>
      <w:rFonts w:ascii="Arial" w:hAnsi="Arial" w:eastAsia="黑体" w:cs="Arial"/>
      <w:b/>
      <w:bCs/>
      <w:sz w:val="32"/>
      <w:szCs w:val="32"/>
    </w:rPr>
  </w:style>
  <w:style w:type="paragraph" w:styleId="6">
    <w:name w:val="heading 3"/>
    <w:basedOn w:val="1"/>
    <w:next w:val="1"/>
    <w:link w:val="76"/>
    <w:qFormat/>
    <w:uiPriority w:val="99"/>
    <w:pPr>
      <w:keepNext/>
      <w:keepLines/>
      <w:spacing w:before="260" w:after="260" w:line="413" w:lineRule="auto"/>
      <w:outlineLvl w:val="2"/>
    </w:pPr>
    <w:rPr>
      <w:rFonts w:eastAsia="楷体_GB2312"/>
      <w:b/>
      <w:bCs/>
      <w:sz w:val="30"/>
      <w:szCs w:val="30"/>
    </w:rPr>
  </w:style>
  <w:style w:type="paragraph" w:styleId="2">
    <w:name w:val="heading 4"/>
    <w:basedOn w:val="1"/>
    <w:next w:val="1"/>
    <w:link w:val="66"/>
    <w:qFormat/>
    <w:uiPriority w:val="99"/>
    <w:pPr>
      <w:keepNext/>
      <w:keepLines/>
      <w:numPr>
        <w:ilvl w:val="3"/>
        <w:numId w:val="1"/>
      </w:numPr>
      <w:adjustRightInd w:val="0"/>
      <w:spacing w:before="280" w:after="290" w:line="376" w:lineRule="atLeast"/>
      <w:textAlignment w:val="baseline"/>
      <w:outlineLvl w:val="3"/>
    </w:pPr>
    <w:rPr>
      <w:rFonts w:ascii="Arial" w:hAnsi="Arial"/>
      <w:b/>
      <w:spacing w:val="20"/>
      <w:sz w:val="28"/>
      <w:szCs w:val="20"/>
    </w:rPr>
  </w:style>
  <w:style w:type="paragraph" w:styleId="7">
    <w:name w:val="heading 5"/>
    <w:basedOn w:val="1"/>
    <w:next w:val="1"/>
    <w:link w:val="75"/>
    <w:qFormat/>
    <w:uiPriority w:val="99"/>
    <w:pPr>
      <w:keepNext/>
      <w:keepLines/>
      <w:spacing w:before="280" w:after="290" w:line="376" w:lineRule="auto"/>
      <w:outlineLvl w:val="4"/>
    </w:pPr>
    <w:rPr>
      <w:b/>
      <w:bCs/>
      <w:kern w:val="0"/>
      <w:sz w:val="28"/>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6"/>
    <w:qFormat/>
    <w:uiPriority w:val="99"/>
    <w:pPr>
      <w:ind w:firstLine="420" w:firstLineChars="200"/>
    </w:pPr>
  </w:style>
  <w:style w:type="paragraph" w:styleId="9">
    <w:name w:val="toc 7"/>
    <w:basedOn w:val="1"/>
    <w:next w:val="1"/>
    <w:qFormat/>
    <w:uiPriority w:val="0"/>
    <w:pPr>
      <w:ind w:left="2520" w:leftChars="1200"/>
    </w:pPr>
  </w:style>
  <w:style w:type="paragraph" w:styleId="10">
    <w:name w:val="Document Map"/>
    <w:basedOn w:val="1"/>
    <w:qFormat/>
    <w:uiPriority w:val="0"/>
    <w:pPr>
      <w:shd w:val="clear" w:color="auto" w:fill="000080"/>
    </w:pPr>
  </w:style>
  <w:style w:type="paragraph" w:styleId="11">
    <w:name w:val="annotation text"/>
    <w:basedOn w:val="1"/>
    <w:link w:val="105"/>
    <w:qFormat/>
    <w:uiPriority w:val="0"/>
    <w:pPr>
      <w:jc w:val="left"/>
    </w:pPr>
  </w:style>
  <w:style w:type="paragraph" w:styleId="12">
    <w:name w:val="Body Text"/>
    <w:basedOn w:val="1"/>
    <w:next w:val="1"/>
    <w:link w:val="55"/>
    <w:qFormat/>
    <w:uiPriority w:val="99"/>
    <w:pPr>
      <w:spacing w:after="120"/>
    </w:pPr>
    <w:rPr>
      <w:rFonts w:eastAsia="Times New Roman"/>
    </w:rPr>
  </w:style>
  <w:style w:type="paragraph" w:styleId="13">
    <w:name w:val="Body Text Indent"/>
    <w:basedOn w:val="1"/>
    <w:qFormat/>
    <w:uiPriority w:val="0"/>
    <w:pPr>
      <w:spacing w:after="120"/>
      <w:ind w:left="420" w:leftChars="200"/>
    </w:pPr>
  </w:style>
  <w:style w:type="paragraph" w:styleId="14">
    <w:name w:val="toc 5"/>
    <w:basedOn w:val="1"/>
    <w:next w:val="1"/>
    <w:qFormat/>
    <w:uiPriority w:val="0"/>
    <w:pPr>
      <w:ind w:left="1680" w:leftChars="800"/>
    </w:pPr>
  </w:style>
  <w:style w:type="paragraph" w:styleId="15">
    <w:name w:val="toc 3"/>
    <w:basedOn w:val="1"/>
    <w:next w:val="1"/>
    <w:qFormat/>
    <w:uiPriority w:val="0"/>
    <w:pPr>
      <w:ind w:left="840" w:leftChars="400"/>
    </w:pPr>
  </w:style>
  <w:style w:type="paragraph" w:styleId="16">
    <w:name w:val="Plain Text"/>
    <w:basedOn w:val="1"/>
    <w:link w:val="62"/>
    <w:qFormat/>
    <w:uiPriority w:val="0"/>
    <w:rPr>
      <w:rFonts w:ascii="宋体" w:hAnsi="Courier New"/>
      <w:szCs w:val="20"/>
    </w:rPr>
  </w:style>
  <w:style w:type="paragraph" w:styleId="17">
    <w:name w:val="toc 8"/>
    <w:basedOn w:val="1"/>
    <w:next w:val="1"/>
    <w:qFormat/>
    <w:uiPriority w:val="0"/>
    <w:pPr>
      <w:ind w:left="2940" w:leftChars="1400"/>
    </w:pPr>
  </w:style>
  <w:style w:type="paragraph" w:styleId="18">
    <w:name w:val="Date"/>
    <w:basedOn w:val="1"/>
    <w:next w:val="1"/>
    <w:link w:val="67"/>
    <w:qFormat/>
    <w:uiPriority w:val="99"/>
    <w:pPr>
      <w:ind w:left="100" w:leftChars="2500"/>
    </w:pPr>
  </w:style>
  <w:style w:type="paragraph" w:styleId="19">
    <w:name w:val="Body Text Indent 2"/>
    <w:basedOn w:val="1"/>
    <w:qFormat/>
    <w:uiPriority w:val="0"/>
    <w:pPr>
      <w:tabs>
        <w:tab w:val="left" w:pos="360"/>
      </w:tabs>
      <w:spacing w:line="360" w:lineRule="auto"/>
      <w:ind w:firstLine="480" w:firstLineChars="200"/>
    </w:pPr>
    <w:rPr>
      <w:sz w:val="24"/>
    </w:rPr>
  </w:style>
  <w:style w:type="paragraph" w:styleId="20">
    <w:name w:val="Balloon Text"/>
    <w:basedOn w:val="1"/>
    <w:link w:val="58"/>
    <w:qFormat/>
    <w:uiPriority w:val="99"/>
    <w:rPr>
      <w:sz w:val="18"/>
      <w:szCs w:val="18"/>
    </w:rPr>
  </w:style>
  <w:style w:type="paragraph" w:styleId="21">
    <w:name w:val="footer"/>
    <w:basedOn w:val="1"/>
    <w:link w:val="53"/>
    <w:qFormat/>
    <w:uiPriority w:val="99"/>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73"/>
    <w:qFormat/>
    <w:uiPriority w:val="99"/>
    <w:pPr>
      <w:ind w:firstLine="645"/>
    </w:pPr>
    <w:rPr>
      <w:rFonts w:ascii="宋体" w:hAnsi="Copperplate Gothic Bold"/>
      <w:kern w:val="0"/>
      <w:sz w:val="20"/>
      <w:szCs w:val="20"/>
    </w:rPr>
  </w:style>
  <w:style w:type="paragraph" w:styleId="28">
    <w:name w:val="toc 2"/>
    <w:basedOn w:val="1"/>
    <w:next w:val="1"/>
    <w:qFormat/>
    <w:uiPriority w:val="0"/>
    <w:pPr>
      <w:ind w:left="420" w:leftChars="200"/>
    </w:pPr>
  </w:style>
  <w:style w:type="paragraph" w:styleId="29">
    <w:name w:val="toc 9"/>
    <w:basedOn w:val="1"/>
    <w:next w:val="1"/>
    <w:qFormat/>
    <w:uiPriority w:val="0"/>
    <w:pPr>
      <w:ind w:left="3360" w:leftChars="1600"/>
    </w:pPr>
  </w:style>
  <w:style w:type="paragraph" w:styleId="30">
    <w:name w:val="Body Text 2"/>
    <w:basedOn w:val="1"/>
    <w:link w:val="96"/>
    <w:qFormat/>
    <w:uiPriority w:val="0"/>
    <w:pPr>
      <w:spacing w:after="120" w:line="480" w:lineRule="auto"/>
    </w:pPr>
  </w:style>
  <w:style w:type="paragraph" w:styleId="31">
    <w:name w:val="HTML Preformatted"/>
    <w:basedOn w:val="1"/>
    <w:link w:val="6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2">
    <w:name w:val="Normal (Web)"/>
    <w:basedOn w:val="1"/>
    <w:next w:val="22"/>
    <w:qFormat/>
    <w:uiPriority w:val="0"/>
    <w:pPr>
      <w:widowControl/>
      <w:spacing w:before="100" w:beforeAutospacing="1" w:after="100" w:afterAutospacing="1"/>
      <w:jc w:val="left"/>
    </w:pPr>
    <w:rPr>
      <w:rFonts w:ascii="宋体" w:hAnsi="宋体"/>
      <w:sz w:val="24"/>
    </w:rPr>
  </w:style>
  <w:style w:type="paragraph" w:styleId="33">
    <w:name w:val="annotation subject"/>
    <w:basedOn w:val="11"/>
    <w:next w:val="11"/>
    <w:link w:val="106"/>
    <w:qFormat/>
    <w:uiPriority w:val="0"/>
    <w:rPr>
      <w:b/>
      <w:bCs/>
    </w:rPr>
  </w:style>
  <w:style w:type="paragraph" w:styleId="34">
    <w:name w:val="Body Text First Indent 2"/>
    <w:basedOn w:val="13"/>
    <w:qFormat/>
    <w:uiPriority w:val="0"/>
    <w:pPr>
      <w:spacing w:after="0"/>
      <w:ind w:firstLine="420"/>
    </w:pPr>
  </w:style>
  <w:style w:type="table" w:styleId="36">
    <w:name w:val="Table Grid"/>
    <w:basedOn w:val="3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basedOn w:val="37"/>
    <w:qFormat/>
    <w:uiPriority w:val="0"/>
    <w:rPr>
      <w:color w:val="333333"/>
      <w:u w:val="none"/>
    </w:rPr>
  </w:style>
  <w:style w:type="character" w:styleId="41">
    <w:name w:val="Emphasis"/>
    <w:basedOn w:val="37"/>
    <w:qFormat/>
    <w:uiPriority w:val="0"/>
  </w:style>
  <w:style w:type="character" w:styleId="42">
    <w:name w:val="HTML Definition"/>
    <w:basedOn w:val="37"/>
    <w:qFormat/>
    <w:uiPriority w:val="0"/>
    <w:rPr>
      <w:i/>
    </w:rPr>
  </w:style>
  <w:style w:type="character" w:styleId="43">
    <w:name w:val="Hyperlink"/>
    <w:basedOn w:val="37"/>
    <w:qFormat/>
    <w:uiPriority w:val="99"/>
    <w:rPr>
      <w:color w:val="0000FF"/>
      <w:u w:val="single"/>
    </w:rPr>
  </w:style>
  <w:style w:type="character" w:styleId="44">
    <w:name w:val="HTML Code"/>
    <w:basedOn w:val="37"/>
    <w:qFormat/>
    <w:uiPriority w:val="0"/>
    <w:rPr>
      <w:rFonts w:ascii="Consolas" w:hAnsi="Consolas" w:eastAsia="Consolas" w:cs="Consolas"/>
      <w:color w:val="C7254E"/>
      <w:sz w:val="21"/>
      <w:szCs w:val="21"/>
      <w:shd w:val="clear" w:color="auto" w:fill="F9F2F4"/>
    </w:rPr>
  </w:style>
  <w:style w:type="character" w:styleId="45">
    <w:name w:val="annotation reference"/>
    <w:basedOn w:val="37"/>
    <w:qFormat/>
    <w:uiPriority w:val="0"/>
    <w:rPr>
      <w:sz w:val="21"/>
      <w:szCs w:val="21"/>
    </w:rPr>
  </w:style>
  <w:style w:type="character" w:styleId="46">
    <w:name w:val="HTML Keyboard"/>
    <w:basedOn w:val="37"/>
    <w:qFormat/>
    <w:uiPriority w:val="0"/>
    <w:rPr>
      <w:rFonts w:hint="default" w:ascii="Consolas" w:hAnsi="Consolas" w:eastAsia="Consolas" w:cs="Consolas"/>
      <w:color w:val="FFFFFF"/>
      <w:sz w:val="21"/>
      <w:szCs w:val="21"/>
      <w:shd w:val="clear" w:color="auto" w:fill="333333"/>
    </w:rPr>
  </w:style>
  <w:style w:type="character" w:styleId="47">
    <w:name w:val="HTML Sample"/>
    <w:basedOn w:val="37"/>
    <w:qFormat/>
    <w:uiPriority w:val="0"/>
    <w:rPr>
      <w:rFonts w:hint="default" w:ascii="Consolas" w:hAnsi="Consolas" w:eastAsia="Consolas" w:cs="Consolas"/>
      <w:b/>
      <w:color w:val="FFFFFF"/>
      <w:sz w:val="21"/>
      <w:szCs w:val="21"/>
      <w:vertAlign w:val="baseline"/>
    </w:rPr>
  </w:style>
  <w:style w:type="paragraph" w:customStyle="1" w:styleId="48">
    <w:name w:val="正文（缩进）"/>
    <w:basedOn w:val="1"/>
    <w:qFormat/>
    <w:uiPriority w:val="0"/>
    <w:pPr>
      <w:keepNext w:val="0"/>
      <w:keepLines w:val="0"/>
      <w:widowControl w:val="0"/>
      <w:suppressLineNumbers w:val="0"/>
      <w:spacing w:before="156" w:beforeAutospacing="0" w:after="156" w:afterAutospacing="0" w:line="360" w:lineRule="auto"/>
      <w:ind w:firstLine="480" w:firstLineChars="200"/>
      <w:jc w:val="both"/>
    </w:pPr>
    <w:rPr>
      <w:rFonts w:hint="default" w:ascii="Times New Roman" w:hAnsi="Times New Roman" w:cs="Times New Roman"/>
      <w:kern w:val="2"/>
      <w:sz w:val="24"/>
      <w:szCs w:val="24"/>
      <w:lang w:val="en-US" w:eastAsia="zh-CN" w:bidi="ar"/>
    </w:rPr>
  </w:style>
  <w:style w:type="paragraph" w:customStyle="1" w:styleId="4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列出段落1"/>
    <w:basedOn w:val="1"/>
    <w:qFormat/>
    <w:uiPriority w:val="99"/>
    <w:pPr>
      <w:ind w:firstLine="420" w:firstLineChars="200"/>
    </w:pPr>
    <w:rPr>
      <w:szCs w:val="20"/>
    </w:rPr>
  </w:style>
  <w:style w:type="paragraph" w:customStyle="1" w:styleId="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ca-2"/>
    <w:basedOn w:val="37"/>
    <w:qFormat/>
    <w:uiPriority w:val="0"/>
  </w:style>
  <w:style w:type="character" w:customStyle="1" w:styleId="53">
    <w:name w:val="页脚 字符"/>
    <w:basedOn w:val="37"/>
    <w:link w:val="21"/>
    <w:qFormat/>
    <w:uiPriority w:val="99"/>
    <w:rPr>
      <w:kern w:val="2"/>
      <w:sz w:val="18"/>
      <w:szCs w:val="18"/>
    </w:rPr>
  </w:style>
  <w:style w:type="character" w:customStyle="1" w:styleId="54">
    <w:name w:val="页脚 Char"/>
    <w:qFormat/>
    <w:uiPriority w:val="99"/>
    <w:rPr>
      <w:rFonts w:ascii="Times New Roman" w:hAnsi="Times New Roman" w:eastAsia="宋体"/>
      <w:sz w:val="18"/>
    </w:rPr>
  </w:style>
  <w:style w:type="character" w:customStyle="1" w:styleId="55">
    <w:name w:val="正文文本 字符"/>
    <w:basedOn w:val="37"/>
    <w:link w:val="12"/>
    <w:qFormat/>
    <w:uiPriority w:val="99"/>
    <w:rPr>
      <w:rFonts w:eastAsia="Times New Roman"/>
      <w:kern w:val="2"/>
      <w:sz w:val="21"/>
      <w:szCs w:val="24"/>
      <w:lang w:val="en-US" w:eastAsia="zh-CN"/>
    </w:rPr>
  </w:style>
  <w:style w:type="character" w:customStyle="1" w:styleId="56">
    <w:name w:val="正文缩进 字符"/>
    <w:link w:val="5"/>
    <w:qFormat/>
    <w:uiPriority w:val="99"/>
    <w:rPr>
      <w:kern w:val="2"/>
      <w:sz w:val="21"/>
      <w:szCs w:val="24"/>
    </w:rPr>
  </w:style>
  <w:style w:type="character" w:customStyle="1" w:styleId="57">
    <w:name w:val="标题 1 字符"/>
    <w:basedOn w:val="37"/>
    <w:link w:val="3"/>
    <w:qFormat/>
    <w:uiPriority w:val="99"/>
    <w:rPr>
      <w:b/>
      <w:bCs/>
      <w:kern w:val="44"/>
      <w:sz w:val="44"/>
      <w:szCs w:val="44"/>
    </w:rPr>
  </w:style>
  <w:style w:type="character" w:customStyle="1" w:styleId="58">
    <w:name w:val="批注框文本 字符"/>
    <w:basedOn w:val="37"/>
    <w:link w:val="20"/>
    <w:qFormat/>
    <w:uiPriority w:val="99"/>
    <w:rPr>
      <w:kern w:val="2"/>
      <w:sz w:val="18"/>
      <w:szCs w:val="18"/>
    </w:rPr>
  </w:style>
  <w:style w:type="character" w:customStyle="1" w:styleId="59">
    <w:name w:val="ca-3"/>
    <w:basedOn w:val="37"/>
    <w:qFormat/>
    <w:uiPriority w:val="0"/>
  </w:style>
  <w:style w:type="character" w:customStyle="1" w:styleId="60">
    <w:name w:val="paramname3"/>
    <w:basedOn w:val="37"/>
    <w:qFormat/>
    <w:uiPriority w:val="0"/>
    <w:rPr>
      <w:color w:val="999999"/>
    </w:rPr>
  </w:style>
  <w:style w:type="character" w:customStyle="1" w:styleId="61">
    <w:name w:val="HTML 预设格式 字符"/>
    <w:basedOn w:val="37"/>
    <w:link w:val="31"/>
    <w:qFormat/>
    <w:uiPriority w:val="99"/>
    <w:rPr>
      <w:rFonts w:ascii="宋体" w:hAnsi="宋体"/>
      <w:sz w:val="24"/>
      <w:szCs w:val="24"/>
    </w:rPr>
  </w:style>
  <w:style w:type="character" w:customStyle="1" w:styleId="62">
    <w:name w:val="纯文本 字符"/>
    <w:basedOn w:val="37"/>
    <w:link w:val="16"/>
    <w:qFormat/>
    <w:uiPriority w:val="0"/>
    <w:rPr>
      <w:rFonts w:ascii="宋体" w:hAnsi="Courier New"/>
      <w:kern w:val="2"/>
      <w:sz w:val="21"/>
    </w:rPr>
  </w:style>
  <w:style w:type="character" w:customStyle="1" w:styleId="63">
    <w:name w:val="标题 2 字符"/>
    <w:basedOn w:val="37"/>
    <w:link w:val="4"/>
    <w:qFormat/>
    <w:uiPriority w:val="99"/>
    <w:rPr>
      <w:rFonts w:ascii="Arial" w:hAnsi="Arial" w:eastAsia="黑体" w:cs="Arial"/>
      <w:b/>
      <w:bCs/>
      <w:kern w:val="2"/>
      <w:sz w:val="32"/>
      <w:szCs w:val="32"/>
    </w:rPr>
  </w:style>
  <w:style w:type="character" w:customStyle="1" w:styleId="64">
    <w:name w:val="headline-content2"/>
    <w:basedOn w:val="37"/>
    <w:qFormat/>
    <w:uiPriority w:val="0"/>
  </w:style>
  <w:style w:type="character" w:customStyle="1" w:styleId="65">
    <w:name w:val="ca-0"/>
    <w:basedOn w:val="37"/>
    <w:qFormat/>
    <w:uiPriority w:val="0"/>
  </w:style>
  <w:style w:type="character" w:customStyle="1" w:styleId="66">
    <w:name w:val="标题 4 字符"/>
    <w:basedOn w:val="37"/>
    <w:link w:val="2"/>
    <w:qFormat/>
    <w:uiPriority w:val="99"/>
    <w:rPr>
      <w:rFonts w:ascii="Arial" w:hAnsi="Arial" w:eastAsia="宋体"/>
      <w:b/>
      <w:spacing w:val="20"/>
      <w:kern w:val="2"/>
      <w:sz w:val="28"/>
      <w:lang w:val="en-US" w:eastAsia="zh-CN" w:bidi="ar-SA"/>
    </w:rPr>
  </w:style>
  <w:style w:type="character" w:customStyle="1" w:styleId="67">
    <w:name w:val="日期 字符"/>
    <w:basedOn w:val="37"/>
    <w:link w:val="18"/>
    <w:qFormat/>
    <w:uiPriority w:val="99"/>
    <w:rPr>
      <w:kern w:val="2"/>
      <w:sz w:val="21"/>
      <w:szCs w:val="24"/>
    </w:rPr>
  </w:style>
  <w:style w:type="character" w:customStyle="1" w:styleId="68">
    <w:name w:val="正文缩进 Char1"/>
    <w:qFormat/>
    <w:uiPriority w:val="99"/>
    <w:rPr>
      <w:rFonts w:ascii="Times New Roman" w:hAnsi="Times New Roman"/>
      <w:kern w:val="2"/>
      <w:sz w:val="24"/>
    </w:rPr>
  </w:style>
  <w:style w:type="character" w:customStyle="1" w:styleId="69">
    <w:name w:val="ca-4"/>
    <w:basedOn w:val="37"/>
    <w:qFormat/>
    <w:uiPriority w:val="0"/>
  </w:style>
  <w:style w:type="character" w:customStyle="1" w:styleId="70">
    <w:name w:val="ca-1"/>
    <w:basedOn w:val="37"/>
    <w:qFormat/>
    <w:uiPriority w:val="0"/>
  </w:style>
  <w:style w:type="character" w:customStyle="1" w:styleId="71">
    <w:name w:val="页眉 字符"/>
    <w:basedOn w:val="37"/>
    <w:link w:val="23"/>
    <w:qFormat/>
    <w:uiPriority w:val="99"/>
    <w:rPr>
      <w:kern w:val="2"/>
      <w:sz w:val="18"/>
      <w:szCs w:val="18"/>
    </w:rPr>
  </w:style>
  <w:style w:type="character" w:customStyle="1" w:styleId="72">
    <w:name w:val="ca-5"/>
    <w:basedOn w:val="37"/>
    <w:qFormat/>
    <w:uiPriority w:val="0"/>
  </w:style>
  <w:style w:type="character" w:customStyle="1" w:styleId="73">
    <w:name w:val="正文文本缩进 3 字符"/>
    <w:basedOn w:val="37"/>
    <w:link w:val="27"/>
    <w:qFormat/>
    <w:uiPriority w:val="99"/>
    <w:rPr>
      <w:rFonts w:ascii="宋体" w:hAnsi="Copperplate Gothic Bold"/>
    </w:rPr>
  </w:style>
  <w:style w:type="character" w:customStyle="1" w:styleId="74">
    <w:name w:val="页眉 Char"/>
    <w:qFormat/>
    <w:uiPriority w:val="99"/>
    <w:rPr>
      <w:rFonts w:ascii="Times New Roman" w:hAnsi="Times New Roman" w:eastAsia="宋体"/>
      <w:sz w:val="18"/>
    </w:rPr>
  </w:style>
  <w:style w:type="character" w:customStyle="1" w:styleId="75">
    <w:name w:val="标题 5 字符"/>
    <w:basedOn w:val="37"/>
    <w:link w:val="7"/>
    <w:qFormat/>
    <w:uiPriority w:val="99"/>
    <w:rPr>
      <w:b/>
      <w:bCs/>
      <w:sz w:val="28"/>
      <w:szCs w:val="28"/>
    </w:rPr>
  </w:style>
  <w:style w:type="character" w:customStyle="1" w:styleId="76">
    <w:name w:val="标题 3 字符"/>
    <w:basedOn w:val="37"/>
    <w:link w:val="6"/>
    <w:qFormat/>
    <w:uiPriority w:val="99"/>
    <w:rPr>
      <w:rFonts w:eastAsia="楷体_GB2312"/>
      <w:b/>
      <w:bCs/>
      <w:kern w:val="2"/>
      <w:sz w:val="30"/>
      <w:szCs w:val="30"/>
    </w:rPr>
  </w:style>
  <w:style w:type="paragraph" w:customStyle="1" w:styleId="77">
    <w:name w:val="Char1"/>
    <w:basedOn w:val="1"/>
    <w:qFormat/>
    <w:uiPriority w:val="99"/>
    <w:rPr>
      <w:rFonts w:ascii="仿宋_GB2312" w:eastAsia="仿宋_GB2312"/>
      <w:b/>
      <w:sz w:val="32"/>
      <w:szCs w:val="32"/>
    </w:rPr>
  </w:style>
  <w:style w:type="paragraph" w:customStyle="1" w:styleId="78">
    <w:name w:val="font14"/>
    <w:basedOn w:val="1"/>
    <w:qFormat/>
    <w:uiPriority w:val="0"/>
    <w:pPr>
      <w:widowControl/>
      <w:spacing w:before="100" w:beforeAutospacing="1" w:after="100" w:afterAutospacing="1" w:line="288" w:lineRule="auto"/>
      <w:jc w:val="left"/>
    </w:pPr>
    <w:rPr>
      <w:rFonts w:ascii="ˎ̥" w:hAnsi="ˎ̥" w:cs="宋体"/>
      <w:color w:val="000000"/>
      <w:kern w:val="0"/>
      <w:sz w:val="22"/>
      <w:szCs w:val="22"/>
    </w:rPr>
  </w:style>
  <w:style w:type="paragraph" w:customStyle="1" w:styleId="79">
    <w:name w:val="Char Char Char Char Char Char Char"/>
    <w:basedOn w:val="10"/>
    <w:qFormat/>
    <w:uiPriority w:val="0"/>
    <w:rPr>
      <w:rFonts w:ascii="Tahoma" w:hAnsi="Tahoma"/>
      <w:sz w:val="24"/>
    </w:rPr>
  </w:style>
  <w:style w:type="paragraph" w:customStyle="1" w:styleId="8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3">
    <w:name w:val="Char Char Char Char"/>
    <w:basedOn w:val="1"/>
    <w:qFormat/>
    <w:uiPriority w:val="0"/>
    <w:rPr>
      <w:rFonts w:ascii="Tahoma" w:hAnsi="Tahoma"/>
      <w:sz w:val="24"/>
      <w:szCs w:val="20"/>
    </w:rPr>
  </w:style>
  <w:style w:type="paragraph" w:customStyle="1" w:styleId="84">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85">
    <w:name w:val="样式2"/>
    <w:basedOn w:val="1"/>
    <w:qFormat/>
    <w:uiPriority w:val="0"/>
    <w:pPr>
      <w:tabs>
        <w:tab w:val="left" w:pos="425"/>
      </w:tabs>
      <w:ind w:left="425" w:hanging="425"/>
    </w:pPr>
    <w:rPr>
      <w:szCs w:val="20"/>
    </w:rPr>
  </w:style>
  <w:style w:type="paragraph" w:customStyle="1" w:styleId="86">
    <w:name w:val="四号"/>
    <w:basedOn w:val="1"/>
    <w:next w:val="5"/>
    <w:qFormat/>
    <w:uiPriority w:val="0"/>
    <w:pPr>
      <w:spacing w:line="360" w:lineRule="auto"/>
      <w:ind w:left="1134"/>
    </w:pPr>
    <w:rPr>
      <w:sz w:val="24"/>
    </w:rPr>
  </w:style>
  <w:style w:type="paragraph" w:customStyle="1" w:styleId="87">
    <w:name w:val="Char"/>
    <w:basedOn w:val="1"/>
    <w:qFormat/>
    <w:uiPriority w:val="0"/>
    <w:rPr>
      <w:rFonts w:ascii="Tahoma" w:hAnsi="Tahoma"/>
      <w:sz w:val="24"/>
      <w:szCs w:val="20"/>
    </w:rPr>
  </w:style>
  <w:style w:type="paragraph" w:customStyle="1" w:styleId="88">
    <w:name w:val="Char11"/>
    <w:basedOn w:val="1"/>
    <w:qFormat/>
    <w:uiPriority w:val="0"/>
    <w:pPr>
      <w:spacing w:line="440" w:lineRule="atLeast"/>
      <w:ind w:firstLine="482" w:firstLineChars="200"/>
    </w:pPr>
    <w:rPr>
      <w:rFonts w:ascii="宋体" w:hAnsi="宋体"/>
      <w:b/>
      <w:color w:val="000000"/>
      <w:sz w:val="24"/>
    </w:rPr>
  </w:style>
  <w:style w:type="paragraph" w:customStyle="1" w:styleId="89">
    <w:name w:val="1 Char Char Char Char"/>
    <w:basedOn w:val="1"/>
    <w:qFormat/>
    <w:uiPriority w:val="0"/>
    <w:pPr>
      <w:spacing w:line="360" w:lineRule="auto"/>
      <w:jc w:val="center"/>
    </w:pPr>
    <w:rPr>
      <w:rFonts w:ascii="Tahoma" w:hAnsi="Tahoma"/>
      <w:sz w:val="24"/>
      <w:szCs w:val="20"/>
    </w:rPr>
  </w:style>
  <w:style w:type="paragraph" w:customStyle="1" w:styleId="90">
    <w:name w:val="Char Char Char"/>
    <w:basedOn w:val="1"/>
    <w:qFormat/>
    <w:uiPriority w:val="0"/>
    <w:rPr>
      <w:rFonts w:ascii="Copperplate Gothic Bold" w:hAnsi="Copperplate Gothic Bold"/>
      <w:kern w:val="0"/>
      <w:sz w:val="28"/>
      <w:szCs w:val="28"/>
    </w:rPr>
  </w:style>
  <w:style w:type="paragraph" w:customStyle="1" w:styleId="91">
    <w:name w:val="列出段落2"/>
    <w:basedOn w:val="1"/>
    <w:qFormat/>
    <w:uiPriority w:val="34"/>
    <w:pPr>
      <w:ind w:firstLine="420" w:firstLineChars="200"/>
    </w:pPr>
  </w:style>
  <w:style w:type="paragraph" w:customStyle="1" w:styleId="92">
    <w:name w:val="List Paragraph1"/>
    <w:basedOn w:val="1"/>
    <w:qFormat/>
    <w:uiPriority w:val="0"/>
    <w:pPr>
      <w:ind w:left="720"/>
    </w:pPr>
    <w:rPr>
      <w:szCs w:val="20"/>
    </w:rPr>
  </w:style>
  <w:style w:type="paragraph" w:customStyle="1" w:styleId="93">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列出段落3"/>
    <w:basedOn w:val="1"/>
    <w:qFormat/>
    <w:uiPriority w:val="99"/>
    <w:pPr>
      <w:ind w:firstLine="420" w:firstLineChars="200"/>
    </w:pPr>
  </w:style>
  <w:style w:type="paragraph" w:customStyle="1" w:styleId="95">
    <w:name w:val="列出段落4"/>
    <w:basedOn w:val="1"/>
    <w:qFormat/>
    <w:uiPriority w:val="99"/>
    <w:pPr>
      <w:ind w:firstLine="420" w:firstLineChars="200"/>
    </w:pPr>
  </w:style>
  <w:style w:type="character" w:customStyle="1" w:styleId="96">
    <w:name w:val="正文文本 2 字符"/>
    <w:basedOn w:val="37"/>
    <w:link w:val="30"/>
    <w:qFormat/>
    <w:uiPriority w:val="0"/>
    <w:rPr>
      <w:kern w:val="2"/>
      <w:sz w:val="21"/>
      <w:szCs w:val="24"/>
    </w:rPr>
  </w:style>
  <w:style w:type="character" w:customStyle="1" w:styleId="97">
    <w:name w:val="font11"/>
    <w:basedOn w:val="37"/>
    <w:qFormat/>
    <w:uiPriority w:val="0"/>
    <w:rPr>
      <w:rFonts w:hint="eastAsia" w:ascii="宋体" w:hAnsi="宋体" w:eastAsia="宋体" w:cs="宋体"/>
      <w:color w:val="000000"/>
      <w:sz w:val="24"/>
      <w:szCs w:val="24"/>
      <w:u w:val="none"/>
    </w:rPr>
  </w:style>
  <w:style w:type="character" w:customStyle="1" w:styleId="98">
    <w:name w:val="font01"/>
    <w:basedOn w:val="37"/>
    <w:qFormat/>
    <w:uiPriority w:val="0"/>
    <w:rPr>
      <w:rFonts w:hint="eastAsia" w:ascii="宋体" w:hAnsi="宋体" w:eastAsia="宋体" w:cs="宋体"/>
      <w:color w:val="000000"/>
      <w:sz w:val="24"/>
      <w:szCs w:val="24"/>
      <w:u w:val="none"/>
      <w:vertAlign w:val="superscript"/>
    </w:rPr>
  </w:style>
  <w:style w:type="paragraph" w:customStyle="1" w:styleId="99">
    <w:name w:val="列出段落5"/>
    <w:basedOn w:val="1"/>
    <w:qFormat/>
    <w:uiPriority w:val="34"/>
    <w:pPr>
      <w:ind w:firstLine="420" w:firstLineChars="200"/>
    </w:pPr>
  </w:style>
  <w:style w:type="paragraph" w:customStyle="1" w:styleId="100">
    <w:name w:val="列出段落6"/>
    <w:basedOn w:val="1"/>
    <w:qFormat/>
    <w:uiPriority w:val="99"/>
    <w:pPr>
      <w:ind w:firstLine="420" w:firstLineChars="200"/>
    </w:pPr>
  </w:style>
  <w:style w:type="paragraph" w:customStyle="1" w:styleId="101">
    <w:name w:val="列出段落7"/>
    <w:basedOn w:val="1"/>
    <w:qFormat/>
    <w:uiPriority w:val="99"/>
    <w:pPr>
      <w:ind w:firstLine="420" w:firstLineChars="200"/>
    </w:pPr>
  </w:style>
  <w:style w:type="paragraph" w:styleId="102">
    <w:name w:val="List Paragraph"/>
    <w:basedOn w:val="1"/>
    <w:qFormat/>
    <w:uiPriority w:val="99"/>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样式2"/>
    <w:qFormat/>
    <w:uiPriority w:val="0"/>
    <w:pPr>
      <w:spacing w:line="160" w:lineRule="atLeast"/>
    </w:pPr>
    <w:rPr>
      <w:rFonts w:ascii="方正仿宋_GBK" w:hAnsi="宋体" w:eastAsia="宋体" w:cs="Times New Roman"/>
      <w:bCs/>
      <w:lang w:val="en-US" w:eastAsia="zh-CN" w:bidi="ar-SA"/>
    </w:rPr>
  </w:style>
  <w:style w:type="character" w:customStyle="1" w:styleId="105">
    <w:name w:val="批注文字 字符"/>
    <w:basedOn w:val="37"/>
    <w:link w:val="11"/>
    <w:qFormat/>
    <w:uiPriority w:val="0"/>
    <w:rPr>
      <w:rFonts w:ascii="Times New Roman" w:hAnsi="Times New Roman" w:eastAsia="宋体" w:cs="Times New Roman"/>
      <w:kern w:val="2"/>
      <w:sz w:val="21"/>
      <w:szCs w:val="24"/>
    </w:rPr>
  </w:style>
  <w:style w:type="character" w:customStyle="1" w:styleId="106">
    <w:name w:val="批注主题 字符"/>
    <w:basedOn w:val="105"/>
    <w:link w:val="33"/>
    <w:qFormat/>
    <w:uiPriority w:val="0"/>
    <w:rPr>
      <w:rFonts w:ascii="Times New Roman" w:hAnsi="Times New Roman" w:eastAsia="宋体" w:cs="Times New Roman"/>
      <w:b/>
      <w:bCs/>
      <w:kern w:val="2"/>
      <w:sz w:val="21"/>
      <w:szCs w:val="24"/>
    </w:rPr>
  </w:style>
  <w:style w:type="paragraph" w:customStyle="1" w:styleId="107">
    <w:name w:val="title12"/>
    <w:basedOn w:val="1"/>
    <w:qFormat/>
    <w:uiPriority w:val="0"/>
    <w:pPr>
      <w:spacing w:before="150"/>
      <w:jc w:val="left"/>
    </w:pPr>
    <w:rPr>
      <w:b/>
      <w:kern w:val="0"/>
      <w:sz w:val="22"/>
      <w:szCs w:val="22"/>
    </w:rPr>
  </w:style>
  <w:style w:type="paragraph" w:customStyle="1" w:styleId="108">
    <w:name w:val="_Style 3"/>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09">
    <w:name w:val="tmpztreemove_arrow"/>
    <w:basedOn w:val="37"/>
    <w:qFormat/>
    <w:uiPriority w:val="0"/>
    <w:rPr>
      <w:shd w:val="clear" w:color="auto" w:fill="FFFFFF"/>
    </w:rPr>
  </w:style>
  <w:style w:type="character" w:customStyle="1" w:styleId="110">
    <w:name w:val="hover3"/>
    <w:basedOn w:val="37"/>
    <w:qFormat/>
    <w:uiPriority w:val="0"/>
    <w:rPr>
      <w:shd w:val="clear" w:color="auto" w:fill="EEEEEE"/>
    </w:rPr>
  </w:style>
  <w:style w:type="character" w:customStyle="1" w:styleId="111">
    <w:name w:val="old"/>
    <w:basedOn w:val="37"/>
    <w:qFormat/>
    <w:uiPriority w:val="0"/>
    <w:rPr>
      <w:color w:val="999999"/>
    </w:rPr>
  </w:style>
  <w:style w:type="character" w:customStyle="1" w:styleId="112">
    <w:name w:val="glyphicon4"/>
    <w:basedOn w:val="37"/>
    <w:qFormat/>
    <w:uiPriority w:val="0"/>
  </w:style>
  <w:style w:type="character" w:customStyle="1" w:styleId="113">
    <w:name w:val="hour_am"/>
    <w:basedOn w:val="37"/>
    <w:qFormat/>
    <w:uiPriority w:val="0"/>
  </w:style>
  <w:style w:type="character" w:customStyle="1" w:styleId="114">
    <w:name w:val="hour_pm"/>
    <w:basedOn w:val="37"/>
    <w:qFormat/>
    <w:uiPriority w:val="0"/>
  </w:style>
  <w:style w:type="character" w:customStyle="1" w:styleId="115">
    <w:name w:val="indent"/>
    <w:basedOn w:val="37"/>
    <w:qFormat/>
    <w:uiPriority w:val="0"/>
  </w:style>
  <w:style w:type="character" w:customStyle="1" w:styleId="116">
    <w:name w:val="button"/>
    <w:basedOn w:val="37"/>
    <w:qFormat/>
    <w:uiPriority w:val="0"/>
  </w:style>
  <w:style w:type="character" w:customStyle="1" w:styleId="117">
    <w:name w:val="hover"/>
    <w:basedOn w:val="37"/>
    <w:qFormat/>
    <w:uiPriority w:val="0"/>
    <w:rPr>
      <w:shd w:val="clear" w:color="auto" w:fill="EEEEEE"/>
    </w:rPr>
  </w:style>
  <w:style w:type="character" w:customStyle="1" w:styleId="118">
    <w:name w:val="glyphicon"/>
    <w:basedOn w:val="37"/>
    <w:qFormat/>
    <w:uiPriority w:val="0"/>
  </w:style>
  <w:style w:type="paragraph" w:customStyle="1" w:styleId="119">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120">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1"/>
    <w:qFormat/>
    <w:uiPriority w:val="0"/>
    <w:pPr>
      <w:widowControl w:val="0"/>
      <w:adjustRightInd w:val="0"/>
      <w:spacing w:line="312" w:lineRule="atLeast"/>
      <w:jc w:val="both"/>
      <w:textAlignment w:val="baseline"/>
    </w:pPr>
    <w:rPr>
      <w:rFonts w:ascii="宋体" w:hAnsiTheme="minorHAnsi" w:eastAsiaTheme="minorEastAsia" w:cstheme="minorBidi"/>
      <w:sz w:val="34"/>
      <w:szCs w:val="22"/>
      <w:lang w:val="en-US" w:eastAsia="zh-CN" w:bidi="ar-SA"/>
    </w:rPr>
  </w:style>
  <w:style w:type="paragraph" w:customStyle="1" w:styleId="122">
    <w:name w:val="p15"/>
    <w:basedOn w:val="1"/>
    <w:qFormat/>
    <w:uiPriority w:val="99"/>
    <w:pPr>
      <w:widowControl/>
    </w:pPr>
    <w:rPr>
      <w:kern w:val="0"/>
      <w:szCs w:val="21"/>
    </w:rPr>
  </w:style>
  <w:style w:type="paragraph" w:customStyle="1" w:styleId="12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24">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669C6-4446-4D72-B0DA-55DAF801F676}">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63</Pages>
  <Words>34164</Words>
  <Characters>35513</Characters>
  <Lines>880</Lines>
  <Paragraphs>791</Paragraphs>
  <TotalTime>12</TotalTime>
  <ScaleCrop>false</ScaleCrop>
  <LinksUpToDate>false</LinksUpToDate>
  <CharactersWithSpaces>38899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2015-11-25T00:56:00Z</dcterms:created>
  <dc:creator>YlmF</dc:creator>
  <cp:lastModifiedBy>俊～～</cp:lastModifiedBy>
  <cp:lastPrinted>2023-02-16T07:20:44Z</cp:lastPrinted>
  <dcterms:modified xsi:type="dcterms:W3CDTF">2023-02-16T08:01:35Z</dcterms:modified>
  <dc:title>目 录</dc:title>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E0B51429AE414129A6CF7D2539543EE4</vt:lpwstr>
  </property>
</Properties>
</file>