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楷体" w:hAnsi="楷体" w:eastAsia="楷体" w:cs="楷体"/>
          <w:b/>
          <w:bCs/>
          <w:sz w:val="32"/>
          <w:szCs w:val="32"/>
        </w:rPr>
      </w:pPr>
      <w:r>
        <w:rPr>
          <w:rFonts w:hint="eastAsia" w:ascii="楷体" w:hAnsi="楷体" w:eastAsia="楷体" w:cs="楷体"/>
          <w:b/>
          <w:bCs/>
          <w:sz w:val="32"/>
          <w:szCs w:val="32"/>
        </w:rPr>
        <w:t>项目编号：</w:t>
      </w:r>
      <w:r>
        <w:rPr>
          <w:rFonts w:hint="eastAsia" w:ascii="楷体" w:hAnsi="楷体" w:eastAsia="楷体" w:cs="楷体"/>
          <w:b/>
          <w:bCs/>
          <w:sz w:val="32"/>
          <w:szCs w:val="32"/>
          <w:lang w:eastAsia="zh-CN"/>
        </w:rPr>
        <w:t>华采HW【2022】05</w:t>
      </w:r>
      <w:r>
        <w:rPr>
          <w:rFonts w:hint="eastAsia" w:ascii="楷体" w:hAnsi="楷体" w:eastAsia="楷体" w:cs="楷体"/>
          <w:b/>
          <w:bCs/>
          <w:sz w:val="32"/>
          <w:szCs w:val="32"/>
        </w:rPr>
        <w:t xml:space="preserve"> </w:t>
      </w:r>
    </w:p>
    <w:p>
      <w:pPr>
        <w:jc w:val="left"/>
        <w:rPr>
          <w:rFonts w:ascii="楷体" w:hAnsi="楷体" w:eastAsia="楷体" w:cs="楷体"/>
          <w:b/>
          <w:sz w:val="36"/>
        </w:rPr>
      </w:pPr>
    </w:p>
    <w:p>
      <w:pPr>
        <w:rPr>
          <w:rFonts w:ascii="楷体" w:hAnsi="楷体" w:eastAsia="楷体" w:cs="楷体"/>
          <w:b/>
          <w:sz w:val="36"/>
          <w:szCs w:val="36"/>
        </w:rPr>
      </w:pPr>
    </w:p>
    <w:p>
      <w:pPr>
        <w:pStyle w:val="3"/>
        <w:jc w:val="center"/>
        <w:rPr>
          <w:rFonts w:ascii="楷体" w:hAnsi="楷体" w:eastAsia="楷体" w:cs="楷体"/>
          <w:b/>
        </w:rPr>
      </w:pPr>
      <w:r>
        <w:rPr>
          <w:rFonts w:hint="eastAsia" w:ascii="楷体" w:hAnsi="楷体" w:eastAsia="楷体" w:cs="楷体"/>
          <w:b/>
          <w:sz w:val="72"/>
          <w:szCs w:val="72"/>
          <w:lang w:eastAsia="zh-CN"/>
        </w:rPr>
        <w:t>勉县公安局勉县“雪亮工程”建设第一期采购（设备采购、含监理）</w:t>
      </w:r>
      <w:r>
        <w:rPr>
          <w:rFonts w:hint="eastAsia" w:ascii="楷体" w:hAnsi="楷体" w:eastAsia="楷体" w:cs="楷体"/>
          <w:b/>
          <w:sz w:val="72"/>
          <w:szCs w:val="72"/>
        </w:rPr>
        <w:t>(包1</w:t>
      </w:r>
      <w:r>
        <w:rPr>
          <w:rFonts w:hint="eastAsia" w:ascii="楷体" w:hAnsi="楷体" w:eastAsia="楷体" w:cs="楷体"/>
          <w:b/>
          <w:sz w:val="72"/>
          <w:szCs w:val="72"/>
          <w:lang w:val="en-US" w:eastAsia="zh-CN"/>
        </w:rPr>
        <w:t>/2/3/4/5</w:t>
      </w:r>
      <w:r>
        <w:rPr>
          <w:rFonts w:hint="eastAsia" w:ascii="楷体" w:hAnsi="楷体" w:eastAsia="楷体" w:cs="楷体"/>
          <w:b/>
          <w:sz w:val="72"/>
          <w:szCs w:val="72"/>
        </w:rPr>
        <w:t>）</w:t>
      </w:r>
    </w:p>
    <w:p>
      <w:pPr>
        <w:pStyle w:val="21"/>
        <w:ind w:left="3840"/>
        <w:rPr>
          <w:rFonts w:ascii="楷体" w:hAnsi="楷体" w:eastAsia="楷体" w:cs="楷体"/>
        </w:rPr>
      </w:pPr>
    </w:p>
    <w:p/>
    <w:p>
      <w:pPr>
        <w:pStyle w:val="10"/>
        <w:rPr>
          <w:rFonts w:ascii="楷体" w:hAnsi="楷体" w:eastAsia="楷体" w:cs="楷体"/>
        </w:rPr>
      </w:pPr>
    </w:p>
    <w:p>
      <w:pPr>
        <w:spacing w:line="780" w:lineRule="auto"/>
        <w:jc w:val="center"/>
        <w:rPr>
          <w:rFonts w:ascii="楷体" w:hAnsi="楷体" w:eastAsia="楷体" w:cs="楷体"/>
          <w:b/>
          <w:sz w:val="80"/>
          <w:szCs w:val="80"/>
        </w:rPr>
      </w:pPr>
    </w:p>
    <w:p>
      <w:pPr>
        <w:spacing w:line="780" w:lineRule="auto"/>
        <w:jc w:val="center"/>
        <w:rPr>
          <w:rFonts w:ascii="楷体" w:hAnsi="楷体" w:eastAsia="楷体" w:cs="楷体"/>
          <w:b/>
          <w:sz w:val="88"/>
          <w:szCs w:val="88"/>
        </w:rPr>
      </w:pPr>
      <w:r>
        <w:rPr>
          <w:rFonts w:hint="eastAsia" w:ascii="楷体" w:hAnsi="楷体" w:eastAsia="楷体" w:cs="楷体"/>
          <w:b/>
          <w:sz w:val="80"/>
          <w:szCs w:val="80"/>
        </w:rPr>
        <w:t>招标文件</w:t>
      </w:r>
    </w:p>
    <w:p>
      <w:pPr>
        <w:jc w:val="center"/>
        <w:rPr>
          <w:rFonts w:ascii="楷体" w:hAnsi="楷体" w:eastAsia="楷体" w:cs="楷体"/>
          <w:sz w:val="36"/>
          <w:szCs w:val="36"/>
        </w:rPr>
      </w:pPr>
      <w:bookmarkStart w:id="0" w:name="_Toc363463325"/>
    </w:p>
    <w:p>
      <w:pPr>
        <w:jc w:val="center"/>
        <w:rPr>
          <w:rFonts w:ascii="楷体" w:hAnsi="楷体" w:eastAsia="楷体" w:cs="楷体"/>
          <w:sz w:val="36"/>
          <w:szCs w:val="36"/>
        </w:rPr>
      </w:pPr>
    </w:p>
    <w:bookmarkEnd w:id="0"/>
    <w:p>
      <w:pPr>
        <w:jc w:val="center"/>
        <w:rPr>
          <w:rFonts w:ascii="楷体" w:hAnsi="楷体" w:eastAsia="楷体" w:cs="楷体"/>
          <w:b/>
          <w:sz w:val="36"/>
          <w:szCs w:val="36"/>
        </w:rPr>
      </w:pPr>
    </w:p>
    <w:p>
      <w:pPr>
        <w:jc w:val="center"/>
        <w:rPr>
          <w:rFonts w:ascii="楷体" w:hAnsi="楷体" w:eastAsia="楷体" w:cs="楷体"/>
          <w:sz w:val="36"/>
          <w:szCs w:val="36"/>
        </w:rPr>
      </w:pPr>
    </w:p>
    <w:p>
      <w:pPr>
        <w:pStyle w:val="3"/>
        <w:rPr>
          <w:rFonts w:ascii="楷体" w:hAnsi="楷体" w:eastAsia="楷体" w:cs="楷体"/>
        </w:rPr>
      </w:pPr>
    </w:p>
    <w:p>
      <w:pPr>
        <w:pStyle w:val="22"/>
        <w:rPr>
          <w:rFonts w:ascii="楷体" w:hAnsi="楷体" w:eastAsia="楷体" w:cs="楷体"/>
        </w:rPr>
      </w:pPr>
    </w:p>
    <w:p>
      <w:pPr>
        <w:pStyle w:val="10"/>
        <w:ind w:firstLine="0" w:firstLineChars="0"/>
        <w:rPr>
          <w:rFonts w:ascii="楷体" w:hAnsi="楷体" w:eastAsia="楷体" w:cs="楷体"/>
          <w:sz w:val="36"/>
          <w:szCs w:val="36"/>
        </w:rPr>
      </w:pPr>
    </w:p>
    <w:p>
      <w:pPr>
        <w:tabs>
          <w:tab w:val="left" w:pos="525"/>
        </w:tabs>
        <w:ind w:left="-2" w:leftChars="-1" w:firstLine="1"/>
        <w:jc w:val="center"/>
        <w:rPr>
          <w:rFonts w:ascii="楷体" w:hAnsi="楷体" w:eastAsia="楷体" w:cs="楷体"/>
          <w:b/>
          <w:bCs/>
          <w:sz w:val="32"/>
          <w:szCs w:val="32"/>
        </w:rPr>
      </w:pPr>
      <w:r>
        <w:rPr>
          <w:rFonts w:hint="eastAsia" w:ascii="楷体" w:hAnsi="楷体" w:eastAsia="楷体" w:cs="楷体"/>
          <w:b/>
          <w:bCs/>
          <w:sz w:val="32"/>
          <w:szCs w:val="32"/>
        </w:rPr>
        <w:t>华睿诚项目管理有限公司</w:t>
      </w:r>
    </w:p>
    <w:p>
      <w:pPr>
        <w:tabs>
          <w:tab w:val="left" w:pos="525"/>
        </w:tabs>
        <w:ind w:left="-2" w:leftChars="-1" w:firstLine="1"/>
        <w:jc w:val="center"/>
        <w:rPr>
          <w:rFonts w:ascii="楷体" w:hAnsi="楷体" w:eastAsia="楷体" w:cs="楷体"/>
          <w:b/>
          <w:bCs/>
          <w:sz w:val="44"/>
          <w:szCs w:val="44"/>
        </w:rPr>
      </w:pPr>
      <w:r>
        <w:rPr>
          <w:rFonts w:hint="eastAsia" w:ascii="楷体" w:hAnsi="楷体" w:eastAsia="楷体" w:cs="楷体"/>
          <w:b/>
          <w:bCs/>
          <w:sz w:val="32"/>
          <w:szCs w:val="32"/>
        </w:rPr>
        <w:t>2022年11月</w:t>
      </w:r>
    </w:p>
    <w:p>
      <w:pPr>
        <w:spacing w:line="480" w:lineRule="auto"/>
        <w:ind w:firstLine="1044" w:firstLineChars="200"/>
        <w:rPr>
          <w:rFonts w:ascii="楷体" w:hAnsi="楷体" w:eastAsia="楷体" w:cs="楷体"/>
          <w:b/>
          <w:sz w:val="30"/>
          <w:szCs w:val="30"/>
        </w:rPr>
        <w:sectPr>
          <w:headerReference r:id="rId3" w:type="first"/>
          <w:footerReference r:id="rId4" w:type="default"/>
          <w:pgSz w:w="11906" w:h="16838"/>
          <w:pgMar w:top="1418" w:right="1418" w:bottom="1418" w:left="1701" w:header="851" w:footer="992" w:gutter="0"/>
          <w:cols w:space="720" w:num="1"/>
          <w:titlePg/>
          <w:docGrid w:type="lines" w:linePitch="312" w:charSpace="0"/>
        </w:sectPr>
      </w:pPr>
      <w:r>
        <w:rPr>
          <w:rFonts w:hint="eastAsia" w:ascii="楷体" w:hAnsi="楷体" w:eastAsia="楷体" w:cs="楷体"/>
          <w:b/>
          <w:sz w:val="52"/>
          <w:szCs w:val="52"/>
        </w:rPr>
        <w:br w:type="page"/>
      </w:r>
    </w:p>
    <w:p>
      <w:pPr>
        <w:jc w:val="center"/>
        <w:rPr>
          <w:rFonts w:hint="eastAsia" w:ascii="楷体" w:hAnsi="楷体" w:eastAsia="楷体" w:cs="楷体"/>
          <w:b/>
          <w:sz w:val="52"/>
          <w:szCs w:val="52"/>
        </w:rPr>
      </w:pPr>
    </w:p>
    <w:p>
      <w:pPr>
        <w:jc w:val="center"/>
        <w:rPr>
          <w:rFonts w:ascii="楷体" w:hAnsi="楷体" w:eastAsia="楷体" w:cs="楷体"/>
          <w:b/>
          <w:sz w:val="52"/>
          <w:szCs w:val="52"/>
        </w:rPr>
      </w:pPr>
      <w:r>
        <w:rPr>
          <w:rFonts w:hint="eastAsia" w:ascii="楷体" w:hAnsi="楷体" w:eastAsia="楷体" w:cs="楷体"/>
          <w:b/>
          <w:sz w:val="52"/>
          <w:szCs w:val="52"/>
        </w:rPr>
        <w:t>目   录</w:t>
      </w:r>
    </w:p>
    <w:p>
      <w:pPr>
        <w:pStyle w:val="19"/>
        <w:tabs>
          <w:tab w:val="right" w:leader="dot" w:pos="8302"/>
        </w:tabs>
        <w:spacing w:line="720" w:lineRule="auto"/>
        <w:rPr>
          <w:rFonts w:ascii="楷体" w:hAnsi="楷体" w:eastAsia="楷体" w:cs="楷体"/>
          <w:sz w:val="28"/>
          <w:szCs w:val="28"/>
        </w:rPr>
      </w:pPr>
    </w:p>
    <w:p>
      <w:pPr>
        <w:pStyle w:val="19"/>
        <w:tabs>
          <w:tab w:val="right" w:leader="dot" w:pos="8300"/>
        </w:tabs>
        <w:spacing w:line="720" w:lineRule="auto"/>
        <w:rPr>
          <w:rFonts w:ascii="楷体" w:hAnsi="楷体" w:eastAsia="楷体" w:cs="楷体"/>
          <w:sz w:val="32"/>
          <w:szCs w:val="32"/>
        </w:rPr>
      </w:pPr>
      <w:bookmarkStart w:id="1" w:name="_Toc389582033"/>
      <w:bookmarkStart w:id="2" w:name="_Toc16218"/>
      <w:bookmarkStart w:id="3" w:name="_Toc21518"/>
      <w:bookmarkStart w:id="4" w:name="_Toc19886"/>
      <w:bookmarkStart w:id="5" w:name="_Toc20858"/>
      <w:bookmarkStart w:id="6" w:name="_Toc5293"/>
      <w:bookmarkStart w:id="7" w:name="_Toc20652"/>
      <w:bookmarkStart w:id="8" w:name="_Toc27420"/>
      <w:bookmarkStart w:id="9" w:name="_Toc363473971"/>
      <w:bookmarkStart w:id="10" w:name="_Toc403077638"/>
      <w:bookmarkStart w:id="11" w:name="_Toc363474016"/>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TOC \o "1-1" \h \u </w:instrText>
      </w:r>
      <w:r>
        <w:rPr>
          <w:rFonts w:hint="eastAsia" w:ascii="楷体" w:hAnsi="楷体" w:eastAsia="楷体" w:cs="楷体"/>
          <w:sz w:val="32"/>
          <w:szCs w:val="32"/>
        </w:rPr>
        <w:fldChar w:fldCharType="separate"/>
      </w:r>
      <w:r>
        <w:fldChar w:fldCharType="begin"/>
      </w:r>
      <w:r>
        <w:instrText xml:space="preserve"> HYPERLINK \l "_Toc27342" </w:instrText>
      </w:r>
      <w:r>
        <w:fldChar w:fldCharType="separate"/>
      </w:r>
      <w:r>
        <w:rPr>
          <w:rFonts w:hint="eastAsia" w:ascii="楷体" w:hAnsi="楷体" w:eastAsia="楷体" w:cs="楷体"/>
          <w:bCs/>
          <w:sz w:val="32"/>
          <w:szCs w:val="32"/>
        </w:rPr>
        <w:t>第一章  招标公告</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_Toc27342 \h </w:instrText>
      </w:r>
      <w:r>
        <w:rPr>
          <w:rFonts w:hint="eastAsia" w:ascii="楷体" w:hAnsi="楷体" w:eastAsia="楷体" w:cs="楷体"/>
          <w:sz w:val="32"/>
          <w:szCs w:val="32"/>
        </w:rPr>
        <w:fldChar w:fldCharType="separate"/>
      </w:r>
      <w:r>
        <w:rPr>
          <w:rFonts w:hint="eastAsia" w:ascii="楷体" w:hAnsi="楷体" w:eastAsia="楷体" w:cs="楷体"/>
          <w:sz w:val="32"/>
          <w:szCs w:val="32"/>
        </w:rPr>
        <w:t>1</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19"/>
        <w:tabs>
          <w:tab w:val="right" w:leader="dot" w:pos="8300"/>
        </w:tabs>
        <w:spacing w:line="720" w:lineRule="auto"/>
        <w:rPr>
          <w:rFonts w:ascii="楷体" w:hAnsi="楷体" w:eastAsia="楷体" w:cs="楷体"/>
          <w:sz w:val="32"/>
          <w:szCs w:val="32"/>
        </w:rPr>
      </w:pPr>
      <w:r>
        <w:fldChar w:fldCharType="begin"/>
      </w:r>
      <w:r>
        <w:instrText xml:space="preserve"> HYPERLINK \l "_Toc31159" </w:instrText>
      </w:r>
      <w:r>
        <w:fldChar w:fldCharType="separate"/>
      </w:r>
      <w:r>
        <w:rPr>
          <w:rFonts w:hint="eastAsia" w:ascii="楷体" w:hAnsi="楷体" w:eastAsia="楷体" w:cs="楷体"/>
          <w:bCs/>
          <w:sz w:val="32"/>
          <w:szCs w:val="32"/>
        </w:rPr>
        <w:t>第二章  投标人须知</w:t>
      </w:r>
      <w:r>
        <w:rPr>
          <w:rFonts w:hint="eastAsia" w:ascii="楷体" w:hAnsi="楷体" w:eastAsia="楷体" w:cs="楷体"/>
          <w:sz w:val="32"/>
          <w:szCs w:val="32"/>
        </w:rPr>
        <w:tab/>
      </w:r>
      <w:r>
        <w:rPr>
          <w:rFonts w:hint="eastAsia" w:ascii="楷体" w:hAnsi="楷体" w:eastAsia="楷体" w:cs="楷体"/>
          <w:sz w:val="32"/>
          <w:szCs w:val="32"/>
          <w:lang w:val="en-US" w:eastAsia="zh-CN"/>
        </w:rPr>
        <w:t>5</w:t>
      </w:r>
      <w:r>
        <w:rPr>
          <w:rFonts w:hint="eastAsia" w:ascii="楷体" w:hAnsi="楷体" w:eastAsia="楷体" w:cs="楷体"/>
          <w:sz w:val="32"/>
          <w:szCs w:val="32"/>
        </w:rPr>
        <w:fldChar w:fldCharType="end"/>
      </w:r>
    </w:p>
    <w:p>
      <w:pPr>
        <w:pStyle w:val="19"/>
        <w:tabs>
          <w:tab w:val="right" w:leader="dot" w:pos="8300"/>
        </w:tabs>
        <w:spacing w:line="720" w:lineRule="auto"/>
        <w:rPr>
          <w:rFonts w:ascii="楷体" w:hAnsi="楷体" w:eastAsia="楷体" w:cs="楷体"/>
          <w:sz w:val="32"/>
          <w:szCs w:val="32"/>
        </w:rPr>
      </w:pPr>
      <w:r>
        <w:fldChar w:fldCharType="begin"/>
      </w:r>
      <w:r>
        <w:instrText xml:space="preserve"> HYPERLINK \l "_Toc29568" </w:instrText>
      </w:r>
      <w:r>
        <w:fldChar w:fldCharType="separate"/>
      </w:r>
      <w:r>
        <w:rPr>
          <w:rFonts w:hint="eastAsia" w:ascii="楷体" w:hAnsi="楷体" w:eastAsia="楷体" w:cs="楷体"/>
          <w:sz w:val="32"/>
          <w:szCs w:val="32"/>
        </w:rPr>
        <w:t>第三章  合同条款及格式</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_Toc29568 \h </w:instrText>
      </w:r>
      <w:r>
        <w:rPr>
          <w:rFonts w:hint="eastAsia" w:ascii="楷体" w:hAnsi="楷体" w:eastAsia="楷体" w:cs="楷体"/>
          <w:sz w:val="32"/>
          <w:szCs w:val="32"/>
        </w:rPr>
        <w:fldChar w:fldCharType="separate"/>
      </w:r>
      <w:r>
        <w:rPr>
          <w:rFonts w:hint="eastAsia" w:ascii="楷体" w:hAnsi="楷体" w:eastAsia="楷体" w:cs="楷体"/>
          <w:sz w:val="32"/>
          <w:szCs w:val="32"/>
        </w:rPr>
        <w:t>24</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19"/>
        <w:tabs>
          <w:tab w:val="right" w:leader="dot" w:pos="8300"/>
        </w:tabs>
        <w:spacing w:line="720" w:lineRule="auto"/>
        <w:rPr>
          <w:rFonts w:ascii="楷体" w:hAnsi="楷体" w:eastAsia="楷体" w:cs="楷体"/>
          <w:sz w:val="32"/>
          <w:szCs w:val="32"/>
        </w:rPr>
      </w:pPr>
      <w:r>
        <w:fldChar w:fldCharType="begin"/>
      </w:r>
      <w:r>
        <w:instrText xml:space="preserve"> HYPERLINK \l "_Toc15560" </w:instrText>
      </w:r>
      <w:r>
        <w:fldChar w:fldCharType="separate"/>
      </w:r>
      <w:r>
        <w:rPr>
          <w:rFonts w:hint="eastAsia" w:ascii="楷体" w:hAnsi="楷体" w:eastAsia="楷体" w:cs="楷体"/>
          <w:sz w:val="32"/>
          <w:szCs w:val="32"/>
        </w:rPr>
        <w:t xml:space="preserve">第四章  </w:t>
      </w:r>
      <w:r>
        <w:rPr>
          <w:rFonts w:hint="eastAsia" w:ascii="楷体" w:hAnsi="楷体" w:eastAsia="楷体" w:cs="楷体"/>
          <w:bCs/>
          <w:sz w:val="32"/>
          <w:szCs w:val="32"/>
        </w:rPr>
        <w:t>采购内容及技术要求</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_Toc15560 \h </w:instrText>
      </w:r>
      <w:r>
        <w:rPr>
          <w:rFonts w:hint="eastAsia" w:ascii="楷体" w:hAnsi="楷体" w:eastAsia="楷体" w:cs="楷体"/>
          <w:sz w:val="32"/>
          <w:szCs w:val="32"/>
        </w:rPr>
        <w:fldChar w:fldCharType="separate"/>
      </w:r>
      <w:r>
        <w:rPr>
          <w:rFonts w:hint="eastAsia" w:ascii="楷体" w:hAnsi="楷体" w:eastAsia="楷体" w:cs="楷体"/>
          <w:sz w:val="32"/>
          <w:szCs w:val="32"/>
        </w:rPr>
        <w:t>3</w:t>
      </w:r>
      <w:r>
        <w:rPr>
          <w:rFonts w:hint="eastAsia" w:ascii="楷体" w:hAnsi="楷体" w:eastAsia="楷体" w:cs="楷体"/>
          <w:sz w:val="32"/>
          <w:szCs w:val="32"/>
          <w:lang w:val="en-US" w:eastAsia="zh-CN"/>
        </w:rPr>
        <w:t>3</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19"/>
        <w:tabs>
          <w:tab w:val="right" w:leader="dot" w:pos="8300"/>
        </w:tabs>
        <w:spacing w:line="720" w:lineRule="auto"/>
        <w:rPr>
          <w:rFonts w:hint="eastAsia" w:ascii="楷体" w:hAnsi="楷体" w:eastAsia="楷体" w:cs="楷体"/>
          <w:sz w:val="32"/>
          <w:szCs w:val="32"/>
          <w:lang w:val="en-US" w:eastAsia="zh-CN"/>
        </w:rPr>
      </w:pPr>
      <w:r>
        <w:fldChar w:fldCharType="begin"/>
      </w:r>
      <w:r>
        <w:instrText xml:space="preserve"> HYPERLINK \l "_Toc32380" </w:instrText>
      </w:r>
      <w:r>
        <w:fldChar w:fldCharType="separate"/>
      </w:r>
      <w:r>
        <w:rPr>
          <w:rFonts w:hint="eastAsia" w:ascii="楷体" w:hAnsi="楷体" w:eastAsia="楷体" w:cs="楷体"/>
          <w:sz w:val="32"/>
          <w:szCs w:val="32"/>
        </w:rPr>
        <w:t>第五章  评审方法</w:t>
      </w:r>
      <w:r>
        <w:rPr>
          <w:rFonts w:hint="eastAsia" w:ascii="楷体" w:hAnsi="楷体" w:eastAsia="楷体" w:cs="楷体"/>
          <w:sz w:val="32"/>
          <w:szCs w:val="32"/>
        </w:rPr>
        <w:tab/>
      </w:r>
      <w:r>
        <w:rPr>
          <w:rFonts w:hint="eastAsia" w:ascii="楷体" w:hAnsi="楷体" w:eastAsia="楷体" w:cs="楷体"/>
          <w:sz w:val="32"/>
          <w:szCs w:val="32"/>
          <w:lang w:val="en-US" w:eastAsia="zh-CN"/>
        </w:rPr>
        <w:t>8</w:t>
      </w:r>
      <w:r>
        <w:rPr>
          <w:rFonts w:hint="eastAsia" w:ascii="楷体" w:hAnsi="楷体" w:eastAsia="楷体" w:cs="楷体"/>
          <w:sz w:val="32"/>
          <w:szCs w:val="32"/>
        </w:rPr>
        <w:fldChar w:fldCharType="end"/>
      </w:r>
      <w:r>
        <w:rPr>
          <w:rFonts w:hint="eastAsia" w:ascii="楷体" w:hAnsi="楷体" w:eastAsia="楷体" w:cs="楷体"/>
          <w:sz w:val="32"/>
          <w:szCs w:val="32"/>
          <w:lang w:val="en-US" w:eastAsia="zh-CN"/>
        </w:rPr>
        <w:t>9</w:t>
      </w:r>
    </w:p>
    <w:p>
      <w:pPr>
        <w:pStyle w:val="19"/>
        <w:tabs>
          <w:tab w:val="right" w:leader="dot" w:pos="8300"/>
        </w:tabs>
        <w:spacing w:line="720" w:lineRule="auto"/>
        <w:rPr>
          <w:rFonts w:ascii="楷体" w:hAnsi="楷体" w:eastAsia="楷体" w:cs="楷体"/>
          <w:sz w:val="32"/>
          <w:szCs w:val="32"/>
        </w:rPr>
      </w:pPr>
      <w:r>
        <w:fldChar w:fldCharType="begin"/>
      </w:r>
      <w:r>
        <w:instrText xml:space="preserve"> HYPERLINK \l "_Toc23662" </w:instrText>
      </w:r>
      <w:r>
        <w:fldChar w:fldCharType="separate"/>
      </w:r>
      <w:r>
        <w:rPr>
          <w:rFonts w:hint="eastAsia" w:ascii="楷体" w:hAnsi="楷体" w:eastAsia="楷体" w:cs="楷体"/>
          <w:bCs/>
          <w:sz w:val="32"/>
          <w:szCs w:val="32"/>
        </w:rPr>
        <w:t>第六章  投标文件格式</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_Toc23662 \h </w:instrText>
      </w:r>
      <w:r>
        <w:rPr>
          <w:rFonts w:hint="eastAsia" w:ascii="楷体" w:hAnsi="楷体" w:eastAsia="楷体" w:cs="楷体"/>
          <w:sz w:val="32"/>
          <w:szCs w:val="32"/>
        </w:rPr>
        <w:fldChar w:fldCharType="separate"/>
      </w:r>
      <w:r>
        <w:rPr>
          <w:rFonts w:hint="eastAsia" w:ascii="楷体" w:hAnsi="楷体" w:eastAsia="楷体" w:cs="楷体"/>
          <w:sz w:val="32"/>
          <w:szCs w:val="32"/>
        </w:rPr>
        <w:t>96</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spacing w:line="720" w:lineRule="auto"/>
        <w:jc w:val="left"/>
        <w:rPr>
          <w:rFonts w:ascii="楷体" w:hAnsi="楷体" w:eastAsia="楷体" w:cs="楷体"/>
          <w:sz w:val="32"/>
          <w:szCs w:val="32"/>
        </w:rPr>
      </w:pPr>
      <w:r>
        <w:rPr>
          <w:rFonts w:hint="eastAsia" w:ascii="楷体" w:hAnsi="楷体" w:eastAsia="楷体" w:cs="楷体"/>
          <w:sz w:val="32"/>
          <w:szCs w:val="32"/>
        </w:rPr>
        <w:fldChar w:fldCharType="end"/>
      </w:r>
    </w:p>
    <w:p>
      <w:pPr>
        <w:spacing w:line="720" w:lineRule="auto"/>
        <w:rPr>
          <w:rFonts w:ascii="楷体" w:hAnsi="楷体" w:eastAsia="楷体" w:cs="楷体"/>
        </w:rPr>
      </w:pPr>
      <w:r>
        <w:rPr>
          <w:rFonts w:hint="eastAsia" w:ascii="楷体" w:hAnsi="楷体" w:eastAsia="楷体" w:cs="楷体"/>
        </w:rPr>
        <w:t xml:space="preserve"> </w:t>
      </w:r>
    </w:p>
    <w:p>
      <w:pPr>
        <w:pStyle w:val="19"/>
        <w:tabs>
          <w:tab w:val="center" w:pos="4393"/>
        </w:tabs>
        <w:spacing w:line="720" w:lineRule="auto"/>
        <w:rPr>
          <w:rFonts w:ascii="楷体" w:hAnsi="楷体" w:eastAsia="楷体" w:cs="楷体"/>
          <w:bCs/>
          <w:sz w:val="40"/>
          <w:szCs w:val="36"/>
        </w:rPr>
      </w:pPr>
      <w:r>
        <w:rPr>
          <w:rFonts w:hint="eastAsia" w:ascii="楷体" w:hAnsi="楷体" w:eastAsia="楷体" w:cs="楷体"/>
          <w:sz w:val="32"/>
          <w:szCs w:val="28"/>
        </w:rPr>
        <w:tab/>
      </w:r>
    </w:p>
    <w:p>
      <w:pPr>
        <w:rPr>
          <w:rFonts w:ascii="楷体" w:hAnsi="楷体" w:eastAsia="楷体" w:cs="楷体"/>
          <w:bCs/>
          <w:sz w:val="36"/>
          <w:szCs w:val="36"/>
        </w:rPr>
      </w:pPr>
    </w:p>
    <w:p>
      <w:pPr>
        <w:rPr>
          <w:rFonts w:ascii="楷体" w:hAnsi="楷体" w:eastAsia="楷体" w:cs="楷体"/>
          <w:bCs/>
          <w:sz w:val="36"/>
          <w:szCs w:val="36"/>
        </w:rPr>
      </w:pPr>
    </w:p>
    <w:p>
      <w:pPr>
        <w:pStyle w:val="6"/>
        <w:keepNext w:val="0"/>
        <w:keepLines/>
        <w:pageBreakBefore/>
        <w:spacing w:line="360" w:lineRule="auto"/>
        <w:jc w:val="center"/>
        <w:rPr>
          <w:rFonts w:ascii="楷体" w:hAnsi="楷体" w:eastAsia="楷体" w:cs="楷体"/>
          <w:bCs/>
          <w:sz w:val="36"/>
          <w:szCs w:val="36"/>
        </w:rPr>
        <w:sectPr>
          <w:headerReference r:id="rId5" w:type="default"/>
          <w:pgSz w:w="11906" w:h="16838"/>
          <w:pgMar w:top="1440" w:right="1803" w:bottom="1440" w:left="1803" w:header="851" w:footer="992" w:gutter="0"/>
          <w:pgNumType w:start="1"/>
          <w:cols w:space="720" w:num="1"/>
          <w:docGrid w:type="lines" w:linePitch="312" w:charSpace="0"/>
        </w:sectPr>
      </w:pPr>
      <w:bookmarkStart w:id="12" w:name="_Toc15550"/>
      <w:bookmarkStart w:id="13" w:name="_Toc27924"/>
    </w:p>
    <w:p>
      <w:pPr>
        <w:pStyle w:val="6"/>
        <w:keepNext w:val="0"/>
        <w:keepLines/>
        <w:pageBreakBefore/>
        <w:spacing w:line="360" w:lineRule="auto"/>
        <w:jc w:val="center"/>
        <w:rPr>
          <w:rFonts w:ascii="楷体" w:hAnsi="楷体" w:eastAsia="楷体" w:cs="楷体"/>
          <w:bCs/>
          <w:sz w:val="36"/>
          <w:szCs w:val="36"/>
        </w:rPr>
      </w:pPr>
      <w:bookmarkStart w:id="14" w:name="_Toc27342"/>
      <w:bookmarkStart w:id="15" w:name="_Toc9840"/>
      <w:bookmarkStart w:id="16" w:name="_Toc20469"/>
      <w:r>
        <w:rPr>
          <w:rFonts w:hint="eastAsia" w:ascii="楷体" w:hAnsi="楷体" w:eastAsia="楷体" w:cs="楷体"/>
          <w:bCs/>
          <w:sz w:val="36"/>
          <w:szCs w:val="36"/>
        </w:rPr>
        <w:t xml:space="preserve">第一章  </w:t>
      </w:r>
      <w:bookmarkEnd w:id="1"/>
      <w:bookmarkEnd w:id="2"/>
      <w:bookmarkEnd w:id="3"/>
      <w:bookmarkEnd w:id="4"/>
      <w:bookmarkEnd w:id="5"/>
      <w:bookmarkEnd w:id="6"/>
      <w:bookmarkEnd w:id="7"/>
      <w:r>
        <w:rPr>
          <w:rFonts w:hint="eastAsia" w:ascii="楷体" w:hAnsi="楷体" w:eastAsia="楷体" w:cs="楷体"/>
          <w:bCs/>
          <w:sz w:val="36"/>
          <w:szCs w:val="36"/>
        </w:rPr>
        <w:t>招标公告</w:t>
      </w:r>
      <w:bookmarkEnd w:id="8"/>
      <w:bookmarkEnd w:id="12"/>
      <w:bookmarkEnd w:id="13"/>
      <w:bookmarkEnd w:id="14"/>
      <w:bookmarkEnd w:id="15"/>
      <w:bookmarkEnd w:id="16"/>
    </w:p>
    <w:p>
      <w:pPr>
        <w:spacing w:line="360" w:lineRule="auto"/>
        <w:ind w:firstLine="480" w:firstLineChars="200"/>
        <w:jc w:val="left"/>
        <w:rPr>
          <w:rFonts w:ascii="楷体" w:hAnsi="楷体" w:eastAsia="楷体" w:cs="楷体"/>
          <w:szCs w:val="24"/>
        </w:rPr>
      </w:pPr>
      <w:bookmarkStart w:id="17" w:name="_Toc389582035"/>
      <w:bookmarkStart w:id="18" w:name="_Toc2929"/>
      <w:bookmarkStart w:id="19" w:name="_Toc30070"/>
      <w:bookmarkStart w:id="20" w:name="_Toc26058"/>
      <w:bookmarkStart w:id="21" w:name="_Toc27594"/>
      <w:bookmarkStart w:id="22" w:name="_Toc13275"/>
      <w:bookmarkStart w:id="23" w:name="_Toc29249"/>
      <w:bookmarkStart w:id="24" w:name="_Toc31159"/>
      <w:r>
        <w:rPr>
          <w:rFonts w:hint="eastAsia" w:ascii="楷体" w:hAnsi="楷体" w:eastAsia="楷体" w:cs="楷体"/>
          <w:szCs w:val="24"/>
        </w:rPr>
        <w:t xml:space="preserve">勉县“雪亮工程”建设第一期采购（设备采购、含监理）招标项目的潜在投标人应在汉中市汉台区荔枝路智诚雅居二楼（华睿诚项目管理有限公司）获取招标文件，并于 2022年12月12日 09时30分 （北京时间）前递交投标文件。 </w:t>
      </w:r>
    </w:p>
    <w:p>
      <w:pPr>
        <w:spacing w:line="360" w:lineRule="auto"/>
        <w:jc w:val="left"/>
        <w:rPr>
          <w:rFonts w:ascii="楷体" w:hAnsi="楷体" w:eastAsia="楷体" w:cs="楷体"/>
          <w:b/>
          <w:bCs/>
          <w:szCs w:val="24"/>
        </w:rPr>
      </w:pPr>
      <w:r>
        <w:rPr>
          <w:rFonts w:hint="eastAsia" w:ascii="楷体" w:hAnsi="楷体" w:eastAsia="楷体" w:cs="楷体"/>
          <w:b/>
          <w:bCs/>
          <w:szCs w:val="24"/>
        </w:rPr>
        <w:t>一、项目基本情况：</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项目编号：华采HW【2022】05号</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项目名称：勉县“雪亮工程”建设第一期采购（设备采购、含监理）</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采购方式：公开招标</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预算金额：44,678,061.94元</w:t>
      </w:r>
    </w:p>
    <w:p>
      <w:pPr>
        <w:spacing w:line="360" w:lineRule="auto"/>
        <w:ind w:firstLine="480" w:firstLineChars="200"/>
        <w:jc w:val="left"/>
        <w:rPr>
          <w:rFonts w:ascii="楷体" w:hAnsi="楷体" w:eastAsia="楷体" w:cs="楷体"/>
          <w:szCs w:val="24"/>
        </w:rPr>
      </w:pPr>
      <w:r>
        <w:rPr>
          <w:rFonts w:hint="eastAsia" w:ascii="楷体" w:hAnsi="楷体" w:eastAsia="楷体" w:cs="楷体"/>
          <w:szCs w:val="24"/>
        </w:rPr>
        <w:t xml:space="preserve">采购需求： </w:t>
      </w:r>
    </w:p>
    <w:p>
      <w:pPr>
        <w:spacing w:line="360" w:lineRule="auto"/>
        <w:ind w:firstLine="480" w:firstLineChars="200"/>
        <w:jc w:val="left"/>
        <w:rPr>
          <w:rFonts w:ascii="楷体" w:hAnsi="楷体" w:eastAsia="楷体" w:cs="楷体"/>
          <w:szCs w:val="24"/>
        </w:rPr>
      </w:pPr>
      <w:r>
        <w:rPr>
          <w:rFonts w:hint="eastAsia" w:ascii="楷体" w:hAnsi="楷体" w:eastAsia="楷体" w:cs="楷体"/>
          <w:szCs w:val="24"/>
        </w:rPr>
        <w:t xml:space="preserve">第1包（包1）： 预算金额：6744439.14元，项目概况：本项目主要包括基础设施、前端系统及数据中心机房等内容(具体要求详见招标文件)简要技术要求、用途：工作需要； </w:t>
      </w:r>
    </w:p>
    <w:p>
      <w:pPr>
        <w:spacing w:line="360" w:lineRule="auto"/>
        <w:ind w:firstLine="480" w:firstLineChars="200"/>
        <w:jc w:val="left"/>
        <w:rPr>
          <w:rFonts w:ascii="楷体" w:hAnsi="楷体" w:eastAsia="楷体" w:cs="楷体"/>
          <w:szCs w:val="24"/>
        </w:rPr>
      </w:pPr>
      <w:r>
        <w:rPr>
          <w:rFonts w:hint="eastAsia" w:ascii="楷体" w:hAnsi="楷体" w:eastAsia="楷体" w:cs="楷体"/>
          <w:szCs w:val="24"/>
        </w:rPr>
        <w:t xml:space="preserve">第2包（包2）： 预算金额：5010349.40元，项目概况：本项目主要包括基础设施、前端系统等内容(具体要求详见招标文件)简要技术要求、用途：工作需要； </w:t>
      </w:r>
    </w:p>
    <w:p>
      <w:pPr>
        <w:spacing w:line="360" w:lineRule="auto"/>
        <w:ind w:firstLine="480" w:firstLineChars="200"/>
        <w:jc w:val="left"/>
        <w:rPr>
          <w:rFonts w:ascii="楷体" w:hAnsi="楷体" w:eastAsia="楷体" w:cs="楷体"/>
          <w:szCs w:val="24"/>
        </w:rPr>
      </w:pPr>
      <w:r>
        <w:rPr>
          <w:rFonts w:hint="eastAsia" w:ascii="楷体" w:hAnsi="楷体" w:eastAsia="楷体" w:cs="楷体"/>
          <w:szCs w:val="24"/>
        </w:rPr>
        <w:t>第3包（包3）： 预算金额：7050349.40元，项目概况：本项目主要包括基础设施、前端系统、重点人员管控系统等内容(具体要求详见招标文件)简要技术要求、用途：工作需要；</w:t>
      </w:r>
    </w:p>
    <w:p>
      <w:pPr>
        <w:spacing w:line="360" w:lineRule="auto"/>
        <w:ind w:firstLine="480" w:firstLineChars="200"/>
        <w:jc w:val="left"/>
        <w:rPr>
          <w:rFonts w:ascii="楷体" w:hAnsi="楷体" w:eastAsia="楷体" w:cs="楷体"/>
          <w:szCs w:val="24"/>
        </w:rPr>
      </w:pPr>
      <w:r>
        <w:rPr>
          <w:rFonts w:hint="eastAsia" w:ascii="楷体" w:hAnsi="楷体" w:eastAsia="楷体" w:cs="楷体"/>
          <w:szCs w:val="24"/>
        </w:rPr>
        <w:t>第4包（包4）： 预算金额：17720978.60元，项目概况：本项目主要包括基础设施、前端系统、网络传输、系统支撑运用、管理系统、数据中心等内容(具体要求详见招标文件)简要技术要求、用途：工作需要；</w:t>
      </w:r>
    </w:p>
    <w:p>
      <w:pPr>
        <w:spacing w:line="360" w:lineRule="auto"/>
        <w:ind w:firstLine="480" w:firstLineChars="200"/>
        <w:jc w:val="left"/>
        <w:rPr>
          <w:rFonts w:ascii="楷体" w:hAnsi="楷体" w:eastAsia="楷体" w:cs="楷体"/>
          <w:szCs w:val="24"/>
        </w:rPr>
      </w:pPr>
      <w:r>
        <w:rPr>
          <w:rFonts w:hint="eastAsia" w:ascii="楷体" w:hAnsi="楷体" w:eastAsia="楷体" w:cs="楷体"/>
          <w:szCs w:val="24"/>
        </w:rPr>
        <w:t>第5包（包5）： 预算金额：7751945.40元，项目概况：本项目主要包括基础设施、前端系统、系统存储等内容(具体要求详见招标文件)简要技术要求、用途：工作需要；</w:t>
      </w:r>
    </w:p>
    <w:p>
      <w:pPr>
        <w:spacing w:line="360" w:lineRule="auto"/>
        <w:ind w:firstLine="480" w:firstLineChars="200"/>
        <w:jc w:val="left"/>
        <w:rPr>
          <w:rFonts w:ascii="楷体" w:hAnsi="楷体" w:eastAsia="楷体" w:cs="楷体"/>
          <w:szCs w:val="24"/>
        </w:rPr>
      </w:pPr>
      <w:r>
        <w:rPr>
          <w:rFonts w:hint="eastAsia" w:ascii="楷体" w:hAnsi="楷体" w:eastAsia="楷体" w:cs="楷体"/>
          <w:szCs w:val="24"/>
        </w:rPr>
        <w:t>第6包（包6）：预算金额：400000.00元，项目概况：对</w:t>
      </w:r>
      <w:r>
        <w:rPr>
          <w:rFonts w:hint="eastAsia" w:ascii="楷体" w:hAnsi="楷体" w:eastAsia="楷体" w:cs="楷体"/>
          <w:szCs w:val="24"/>
          <w:lang w:eastAsia="zh-CN"/>
        </w:rPr>
        <w:t>勉县公安局勉县“雪亮工程”建设第一期采购（设备采购、含监理）</w:t>
      </w:r>
      <w:r>
        <w:rPr>
          <w:rFonts w:hint="eastAsia" w:ascii="楷体" w:hAnsi="楷体" w:eastAsia="楷体" w:cs="楷体"/>
          <w:szCs w:val="24"/>
        </w:rPr>
        <w:t xml:space="preserve">提供监理服务，服务期限为所监理项目终验合格为止(具体要求详见招标文件)简要技术要求、用途：监理服务。 </w:t>
      </w:r>
    </w:p>
    <w:p>
      <w:pPr>
        <w:spacing w:line="360" w:lineRule="auto"/>
        <w:ind w:firstLine="480" w:firstLineChars="200"/>
        <w:jc w:val="left"/>
        <w:rPr>
          <w:rFonts w:hint="eastAsia" w:ascii="楷体" w:hAnsi="楷体" w:eastAsia="楷体" w:cs="楷体"/>
          <w:b w:val="0"/>
          <w:bCs w:val="0"/>
          <w:szCs w:val="24"/>
        </w:rPr>
      </w:pPr>
      <w:r>
        <w:rPr>
          <w:rFonts w:hint="eastAsia" w:ascii="楷体" w:hAnsi="楷体" w:eastAsia="楷体" w:cs="楷体"/>
          <w:b w:val="0"/>
          <w:bCs w:val="0"/>
          <w:szCs w:val="24"/>
        </w:rPr>
        <w:t>本合同包不接受联合体投标</w:t>
      </w:r>
    </w:p>
    <w:p>
      <w:pPr>
        <w:spacing w:line="360" w:lineRule="auto"/>
        <w:ind w:firstLine="480" w:firstLineChars="200"/>
        <w:jc w:val="left"/>
        <w:rPr>
          <w:rFonts w:hint="eastAsia" w:ascii="楷体" w:hAnsi="楷体" w:eastAsia="楷体" w:cs="楷体"/>
          <w:b w:val="0"/>
          <w:bCs w:val="0"/>
          <w:szCs w:val="24"/>
          <w:lang w:val="en-US" w:eastAsia="zh-CN"/>
        </w:rPr>
      </w:pPr>
      <w:r>
        <w:rPr>
          <w:rFonts w:hint="eastAsia" w:ascii="楷体" w:hAnsi="楷体" w:eastAsia="楷体" w:cs="楷体"/>
          <w:b w:val="0"/>
          <w:bCs w:val="0"/>
          <w:szCs w:val="24"/>
        </w:rPr>
        <w:t>合同履行期限：150日历天</w:t>
      </w:r>
    </w:p>
    <w:p>
      <w:pPr>
        <w:spacing w:line="360" w:lineRule="auto"/>
        <w:jc w:val="left"/>
        <w:rPr>
          <w:rFonts w:ascii="楷体" w:hAnsi="楷体" w:eastAsia="楷体" w:cs="楷体"/>
          <w:b/>
          <w:bCs/>
          <w:szCs w:val="24"/>
        </w:rPr>
      </w:pPr>
      <w:r>
        <w:rPr>
          <w:rFonts w:hint="eastAsia" w:ascii="楷体" w:hAnsi="楷体" w:eastAsia="楷体" w:cs="楷体"/>
          <w:b/>
          <w:bCs/>
          <w:szCs w:val="24"/>
        </w:rPr>
        <w:t xml:space="preserve">二、 投标人的资格要求 </w:t>
      </w:r>
    </w:p>
    <w:p>
      <w:pPr>
        <w:spacing w:line="360" w:lineRule="auto"/>
        <w:jc w:val="left"/>
        <w:rPr>
          <w:rFonts w:hint="eastAsia" w:ascii="楷体" w:hAnsi="楷体" w:eastAsia="楷体" w:cs="楷体"/>
          <w:b w:val="0"/>
          <w:bCs w:val="0"/>
          <w:szCs w:val="24"/>
        </w:rPr>
      </w:pPr>
      <w:r>
        <w:rPr>
          <w:rFonts w:hint="eastAsia" w:ascii="楷体" w:hAnsi="楷体" w:eastAsia="楷体" w:cs="楷体"/>
          <w:b w:val="0"/>
          <w:bCs w:val="0"/>
          <w:szCs w:val="24"/>
        </w:rPr>
        <w:t>1.满足《中华人民共和国政府采购法》第二十二条规定;</w:t>
      </w:r>
    </w:p>
    <w:p>
      <w:pPr>
        <w:spacing w:line="360" w:lineRule="auto"/>
        <w:jc w:val="left"/>
        <w:rPr>
          <w:rFonts w:hint="eastAsia" w:ascii="楷体" w:hAnsi="楷体" w:eastAsia="楷体" w:cs="楷体"/>
          <w:b w:val="0"/>
          <w:bCs w:val="0"/>
          <w:szCs w:val="24"/>
        </w:rPr>
      </w:pPr>
      <w:r>
        <w:rPr>
          <w:rFonts w:hint="eastAsia" w:ascii="楷体" w:hAnsi="楷体" w:eastAsia="楷体" w:cs="楷体"/>
          <w:b w:val="0"/>
          <w:bCs w:val="0"/>
          <w:szCs w:val="24"/>
        </w:rPr>
        <w:t>2.落实政府采购政策需满足的资格要求：</w:t>
      </w:r>
    </w:p>
    <w:p>
      <w:pPr>
        <w:spacing w:line="360" w:lineRule="auto"/>
        <w:jc w:val="left"/>
        <w:rPr>
          <w:rFonts w:hint="eastAsia" w:ascii="楷体" w:hAnsi="楷体" w:eastAsia="楷体" w:cs="楷体"/>
          <w:b w:val="0"/>
          <w:bCs w:val="0"/>
          <w:szCs w:val="24"/>
        </w:rPr>
      </w:pPr>
      <w:r>
        <w:rPr>
          <w:rFonts w:hint="eastAsia" w:ascii="楷体" w:hAnsi="楷体" w:eastAsia="楷体" w:cs="楷体"/>
          <w:b w:val="0"/>
          <w:bCs w:val="0"/>
          <w:szCs w:val="24"/>
        </w:rPr>
        <w:t>1、《关于进一步加大政府采购支持中小企业力度的通知》（财库【2022】19号）；</w:t>
      </w:r>
      <w:r>
        <w:rPr>
          <w:rFonts w:hint="eastAsia" w:ascii="楷体" w:hAnsi="楷体" w:eastAsia="楷体" w:cs="楷体"/>
          <w:b w:val="0"/>
          <w:bCs w:val="0"/>
          <w:szCs w:val="24"/>
        </w:rPr>
        <w:br w:type="textWrapping"/>
      </w:r>
      <w:r>
        <w:rPr>
          <w:rFonts w:hint="eastAsia" w:ascii="楷体" w:hAnsi="楷体" w:eastAsia="楷体" w:cs="楷体"/>
          <w:b w:val="0"/>
          <w:bCs w:val="0"/>
          <w:szCs w:val="24"/>
        </w:rPr>
        <w:t>2、《财政部司法部关于政府采购支持监狱企业发展有关问题的通知》（财库〔2014〕68号）；</w:t>
      </w:r>
      <w:r>
        <w:rPr>
          <w:rFonts w:hint="eastAsia" w:ascii="楷体" w:hAnsi="楷体" w:eastAsia="楷体" w:cs="楷体"/>
          <w:b w:val="0"/>
          <w:bCs w:val="0"/>
          <w:szCs w:val="24"/>
        </w:rPr>
        <w:br w:type="textWrapping"/>
      </w:r>
      <w:r>
        <w:rPr>
          <w:rFonts w:hint="eastAsia" w:ascii="楷体" w:hAnsi="楷体" w:eastAsia="楷体" w:cs="楷体"/>
          <w:b w:val="0"/>
          <w:bCs w:val="0"/>
          <w:szCs w:val="24"/>
        </w:rPr>
        <w:t>3、《国务院办公厅关于建立政府强制采购节能产品制度的通知》（国办发〔2007〕51号）；</w:t>
      </w:r>
      <w:r>
        <w:rPr>
          <w:rFonts w:hint="eastAsia" w:ascii="楷体" w:hAnsi="楷体" w:eastAsia="楷体" w:cs="楷体"/>
          <w:b w:val="0"/>
          <w:bCs w:val="0"/>
          <w:szCs w:val="24"/>
        </w:rPr>
        <w:br w:type="textWrapping"/>
      </w:r>
      <w:r>
        <w:rPr>
          <w:rFonts w:hint="eastAsia" w:ascii="楷体" w:hAnsi="楷体" w:eastAsia="楷体" w:cs="楷体"/>
          <w:b w:val="0"/>
          <w:bCs w:val="0"/>
          <w:szCs w:val="24"/>
        </w:rPr>
        <w:t>4、《财政部环保总局关于环境标志产品政府采购实施的意见》（财库[2006]90号）；</w:t>
      </w:r>
      <w:r>
        <w:rPr>
          <w:rFonts w:hint="eastAsia" w:ascii="楷体" w:hAnsi="楷体" w:eastAsia="楷体" w:cs="楷体"/>
          <w:b w:val="0"/>
          <w:bCs w:val="0"/>
          <w:szCs w:val="24"/>
        </w:rPr>
        <w:br w:type="textWrapping"/>
      </w:r>
      <w:r>
        <w:rPr>
          <w:rFonts w:hint="eastAsia" w:ascii="楷体" w:hAnsi="楷体" w:eastAsia="楷体" w:cs="楷体"/>
          <w:b w:val="0"/>
          <w:bCs w:val="0"/>
          <w:szCs w:val="24"/>
        </w:rPr>
        <w:t>5、《财政部国家发展改革委关于印发〈节能产品政府采购实施意见〉的通知》（财库〔2004〕185号）；</w:t>
      </w:r>
      <w:r>
        <w:rPr>
          <w:rFonts w:hint="eastAsia" w:ascii="楷体" w:hAnsi="楷体" w:eastAsia="楷体" w:cs="楷体"/>
          <w:b w:val="0"/>
          <w:bCs w:val="0"/>
          <w:szCs w:val="24"/>
        </w:rPr>
        <w:br w:type="textWrapping"/>
      </w:r>
      <w:r>
        <w:rPr>
          <w:rFonts w:hint="eastAsia" w:ascii="楷体" w:hAnsi="楷体" w:eastAsia="楷体" w:cs="楷体"/>
          <w:b w:val="0"/>
          <w:bCs w:val="0"/>
          <w:szCs w:val="24"/>
        </w:rPr>
        <w:t>6、《三部门联合发布关于促进残疾人就业政府采购政策的通知》（财库〔2017〕141号）；</w:t>
      </w:r>
      <w:r>
        <w:rPr>
          <w:rFonts w:hint="eastAsia" w:ascii="楷体" w:hAnsi="楷体" w:eastAsia="楷体" w:cs="楷体"/>
          <w:b w:val="0"/>
          <w:bCs w:val="0"/>
          <w:szCs w:val="24"/>
        </w:rPr>
        <w:br w:type="textWrapping"/>
      </w:r>
      <w:r>
        <w:rPr>
          <w:rFonts w:hint="eastAsia" w:ascii="楷体" w:hAnsi="楷体" w:eastAsia="楷体" w:cs="楷体"/>
          <w:b w:val="0"/>
          <w:bCs w:val="0"/>
          <w:szCs w:val="24"/>
        </w:rPr>
        <w:t>7、《财政部发展改革委生态环境部市场监管总局关于调整优化节能产品、环境标志产品政府采购执行机制的通知》（财库〔2019〕9号）；</w:t>
      </w:r>
      <w:r>
        <w:rPr>
          <w:rFonts w:hint="eastAsia" w:ascii="楷体" w:hAnsi="楷体" w:eastAsia="楷体" w:cs="楷体"/>
          <w:b w:val="0"/>
          <w:bCs w:val="0"/>
          <w:szCs w:val="24"/>
        </w:rPr>
        <w:br w:type="textWrapping"/>
      </w:r>
      <w:r>
        <w:rPr>
          <w:rFonts w:hint="eastAsia" w:ascii="楷体" w:hAnsi="楷体" w:eastAsia="楷体" w:cs="楷体"/>
          <w:b w:val="0"/>
          <w:bCs w:val="0"/>
          <w:szCs w:val="24"/>
        </w:rPr>
        <w:t>8、《关于运用政府采购政策支持脱贫攻坚的通知》财库〔2019〕27号。</w:t>
      </w:r>
    </w:p>
    <w:p>
      <w:pPr>
        <w:spacing w:line="360" w:lineRule="auto"/>
        <w:jc w:val="left"/>
        <w:rPr>
          <w:rFonts w:hint="eastAsia" w:ascii="楷体" w:hAnsi="楷体" w:eastAsia="楷体" w:cs="楷体"/>
          <w:b w:val="0"/>
          <w:bCs w:val="0"/>
          <w:szCs w:val="24"/>
        </w:rPr>
      </w:pPr>
      <w:r>
        <w:rPr>
          <w:rFonts w:hint="eastAsia" w:ascii="楷体" w:hAnsi="楷体" w:eastAsia="楷体" w:cs="楷体"/>
          <w:b w:val="0"/>
          <w:bCs w:val="0"/>
          <w:szCs w:val="24"/>
        </w:rPr>
        <w:t>3.本项目的特定资格要求：</w:t>
      </w:r>
    </w:p>
    <w:p>
      <w:pPr>
        <w:spacing w:line="360" w:lineRule="auto"/>
        <w:jc w:val="left"/>
        <w:rPr>
          <w:rFonts w:hint="eastAsia" w:ascii="楷体" w:hAnsi="楷体" w:eastAsia="楷体" w:cs="楷体"/>
          <w:b w:val="0"/>
          <w:bCs w:val="0"/>
          <w:szCs w:val="24"/>
        </w:rPr>
      </w:pPr>
      <w:r>
        <w:rPr>
          <w:rFonts w:hint="eastAsia" w:ascii="楷体" w:hAnsi="楷体" w:eastAsia="楷体" w:cs="楷体"/>
          <w:b w:val="0"/>
          <w:bCs w:val="0"/>
          <w:szCs w:val="24"/>
        </w:rPr>
        <w:t>1、法定代表人或负责人直接参与投标时需提供身份证原件及复印件加盖公章；被授权人参与投标时需提供法定代表人或负责人授权委托书（附法定代表人或负责人及被授权人身份证复印件及被授权人须提供身份证原件）；</w:t>
      </w:r>
      <w:r>
        <w:rPr>
          <w:rFonts w:hint="eastAsia" w:ascii="楷体" w:hAnsi="楷体" w:eastAsia="楷体" w:cs="楷体"/>
          <w:b w:val="0"/>
          <w:bCs w:val="0"/>
          <w:szCs w:val="24"/>
        </w:rPr>
        <w:br w:type="textWrapping"/>
      </w:r>
      <w:r>
        <w:rPr>
          <w:rFonts w:hint="eastAsia" w:ascii="楷体" w:hAnsi="楷体" w:eastAsia="楷体" w:cs="楷体"/>
          <w:b w:val="0"/>
          <w:bCs w:val="0"/>
          <w:szCs w:val="24"/>
        </w:rPr>
        <w:t>2、对列入“信用中国”网站(www.creditchina.gov.cn)“记录失信被执行人或重大税收违法案件当事人名单或企业经营异常名录”记录名单及中国政府采购网(www.ccgp.gov.cn)“政府采购严重违法失信行为信息记录”的投标人，禁止参与政府采购活动（附投标截止日前的查询结果但以投标截止日当天查询结果为准）;</w:t>
      </w:r>
      <w:r>
        <w:rPr>
          <w:rFonts w:hint="eastAsia" w:ascii="楷体" w:hAnsi="楷体" w:eastAsia="楷体" w:cs="楷体"/>
          <w:b w:val="0"/>
          <w:bCs w:val="0"/>
          <w:szCs w:val="24"/>
        </w:rPr>
        <w:br w:type="textWrapping"/>
      </w:r>
      <w:r>
        <w:rPr>
          <w:rFonts w:hint="eastAsia" w:ascii="楷体" w:hAnsi="楷体" w:eastAsia="楷体" w:cs="楷体"/>
          <w:b w:val="0"/>
          <w:bCs w:val="0"/>
          <w:szCs w:val="24"/>
        </w:rPr>
        <w:t>3、投标保证金交纳凭证（保证金交纳凭证复印件加盖公章）；</w:t>
      </w:r>
      <w:r>
        <w:rPr>
          <w:rFonts w:hint="eastAsia" w:ascii="楷体" w:hAnsi="楷体" w:eastAsia="楷体" w:cs="楷体"/>
          <w:b w:val="0"/>
          <w:bCs w:val="0"/>
          <w:szCs w:val="24"/>
        </w:rPr>
        <w:br w:type="textWrapping"/>
      </w:r>
      <w:r>
        <w:rPr>
          <w:rFonts w:hint="eastAsia" w:ascii="楷体" w:hAnsi="楷体" w:eastAsia="楷体" w:cs="楷体"/>
          <w:b w:val="0"/>
          <w:bCs w:val="0"/>
          <w:szCs w:val="24"/>
        </w:rPr>
        <w:t>4、财务状况报告：提供2021年度经审计的财务报告或开标日期前壹个月内其基本存款账户开户银行出具的资信证明及基本存款账户开户许可证（基本账户信息表）；</w:t>
      </w:r>
      <w:r>
        <w:rPr>
          <w:rFonts w:hint="eastAsia" w:ascii="楷体" w:hAnsi="楷体" w:eastAsia="楷体" w:cs="楷体"/>
          <w:b w:val="0"/>
          <w:bCs w:val="0"/>
          <w:szCs w:val="24"/>
        </w:rPr>
        <w:br w:type="textWrapping"/>
      </w:r>
      <w:r>
        <w:rPr>
          <w:rFonts w:hint="eastAsia" w:ascii="楷体" w:hAnsi="楷体" w:eastAsia="楷体" w:cs="楷体"/>
          <w:b w:val="0"/>
          <w:bCs w:val="0"/>
          <w:szCs w:val="24"/>
        </w:rPr>
        <w:t>5、税收缴纳证明：提供2022年1月至今已缴纳的连续陆个月的纳税证明，依法免税的单位应提供相关证明材料；</w:t>
      </w:r>
      <w:r>
        <w:rPr>
          <w:rFonts w:hint="eastAsia" w:ascii="楷体" w:hAnsi="楷体" w:eastAsia="楷体" w:cs="楷体"/>
          <w:b w:val="0"/>
          <w:bCs w:val="0"/>
          <w:szCs w:val="24"/>
        </w:rPr>
        <w:br w:type="textWrapping"/>
      </w:r>
      <w:r>
        <w:rPr>
          <w:rFonts w:hint="eastAsia" w:ascii="楷体" w:hAnsi="楷体" w:eastAsia="楷体" w:cs="楷体"/>
          <w:b w:val="0"/>
          <w:bCs w:val="0"/>
          <w:szCs w:val="24"/>
        </w:rPr>
        <w:t>6、社会保障资金缴纳证明：提供2022年1月至今已缴存的连续陆个月的社会保障资金缴存单据或社保机构开具的社会保险参保缴费情况证明，依法不需要缴纳社会保障资金的单位应提供相关证明材料。</w:t>
      </w:r>
      <w:r>
        <w:rPr>
          <w:rFonts w:hint="eastAsia" w:ascii="楷体" w:hAnsi="楷体" w:eastAsia="楷体" w:cs="楷体"/>
          <w:b w:val="0"/>
          <w:bCs w:val="0"/>
          <w:szCs w:val="24"/>
        </w:rPr>
        <w:br w:type="textWrapping"/>
      </w:r>
      <w:r>
        <w:rPr>
          <w:rFonts w:hint="eastAsia" w:ascii="楷体" w:hAnsi="楷体" w:eastAsia="楷体" w:cs="楷体"/>
          <w:b w:val="0"/>
          <w:bCs w:val="0"/>
          <w:szCs w:val="24"/>
        </w:rPr>
        <w:t>7、投标人还需符合以下要求:</w:t>
      </w:r>
      <w:r>
        <w:rPr>
          <w:rFonts w:hint="eastAsia" w:ascii="楷体" w:hAnsi="楷体" w:eastAsia="楷体" w:cs="楷体"/>
          <w:b w:val="0"/>
          <w:bCs w:val="0"/>
          <w:szCs w:val="24"/>
        </w:rPr>
        <w:br w:type="textWrapping"/>
      </w:r>
      <w:r>
        <w:rPr>
          <w:rFonts w:hint="eastAsia" w:ascii="楷体" w:hAnsi="楷体" w:eastAsia="楷体" w:cs="楷体"/>
          <w:b w:val="0"/>
          <w:bCs w:val="0"/>
          <w:szCs w:val="24"/>
        </w:rPr>
        <w:t>（1）合同包（包1、包2、包3、包4、包5）拟派项目负责人须具备相关专业（系统集成或通信工程或电子工程或机电安装等相关专业）高级工程师及以上技术职称资格证书。</w:t>
      </w:r>
      <w:r>
        <w:rPr>
          <w:rFonts w:hint="eastAsia" w:ascii="楷体" w:hAnsi="楷体" w:eastAsia="楷体" w:cs="楷体"/>
          <w:b w:val="0"/>
          <w:bCs w:val="0"/>
          <w:szCs w:val="24"/>
        </w:rPr>
        <w:br w:type="textWrapping"/>
      </w:r>
      <w:r>
        <w:rPr>
          <w:rFonts w:hint="eastAsia" w:ascii="楷体" w:hAnsi="楷体" w:eastAsia="楷体" w:cs="楷体"/>
          <w:b w:val="0"/>
          <w:bCs w:val="0"/>
          <w:szCs w:val="24"/>
        </w:rPr>
        <w:t>（2）合同包（包6）投标人需具备通信工程监理甲级或综合监理资格。拟派项目负责人须具备通信工程或机电安装工程监理师资格证书,无在建项目且在本单位注册。</w:t>
      </w:r>
      <w:r>
        <w:rPr>
          <w:rFonts w:hint="eastAsia" w:ascii="楷体" w:hAnsi="楷体" w:eastAsia="楷体" w:cs="楷体"/>
          <w:b w:val="0"/>
          <w:bCs w:val="0"/>
          <w:szCs w:val="24"/>
        </w:rPr>
        <w:br w:type="textWrapping"/>
      </w:r>
      <w:r>
        <w:rPr>
          <w:rFonts w:hint="eastAsia" w:ascii="楷体" w:hAnsi="楷体" w:eastAsia="楷体" w:cs="楷体"/>
          <w:b w:val="0"/>
          <w:bCs w:val="0"/>
          <w:szCs w:val="24"/>
        </w:rPr>
        <w:t>注：1、本项目不接受联合体投标。</w:t>
      </w:r>
      <w:r>
        <w:rPr>
          <w:rFonts w:hint="eastAsia" w:ascii="楷体" w:hAnsi="楷体" w:eastAsia="楷体" w:cs="楷体"/>
          <w:b w:val="0"/>
          <w:bCs w:val="0"/>
          <w:szCs w:val="24"/>
        </w:rPr>
        <w:br w:type="textWrapping"/>
      </w:r>
      <w:r>
        <w:rPr>
          <w:rFonts w:hint="eastAsia" w:ascii="楷体" w:hAnsi="楷体" w:eastAsia="楷体" w:cs="楷体"/>
          <w:b w:val="0"/>
          <w:bCs w:val="0"/>
          <w:szCs w:val="24"/>
          <w:lang w:val="en-US" w:eastAsia="zh-CN"/>
        </w:rPr>
        <w:t xml:space="preserve">    </w:t>
      </w:r>
      <w:r>
        <w:rPr>
          <w:rFonts w:hint="eastAsia" w:ascii="楷体" w:hAnsi="楷体" w:eastAsia="楷体" w:cs="楷体"/>
          <w:b w:val="0"/>
          <w:bCs w:val="0"/>
          <w:szCs w:val="24"/>
        </w:rPr>
        <w:t>2、单位负责人为同一人或者存在控股、管理关系的不同单位，不得参加同一项目包投标或者未划分标段的同一采购项目投标。违反规定的，其投标均无效。</w:t>
      </w:r>
      <w:r>
        <w:rPr>
          <w:rFonts w:hint="eastAsia" w:ascii="楷体" w:hAnsi="楷体" w:eastAsia="楷体" w:cs="楷体"/>
          <w:b w:val="0"/>
          <w:bCs w:val="0"/>
          <w:szCs w:val="24"/>
        </w:rPr>
        <w:br w:type="textWrapping"/>
      </w:r>
      <w:r>
        <w:rPr>
          <w:rFonts w:hint="eastAsia" w:ascii="楷体" w:hAnsi="楷体" w:eastAsia="楷体" w:cs="楷体"/>
          <w:b w:val="0"/>
          <w:bCs w:val="0"/>
          <w:szCs w:val="24"/>
          <w:lang w:val="en-US" w:eastAsia="zh-CN"/>
        </w:rPr>
        <w:t xml:space="preserve">    </w:t>
      </w:r>
      <w:r>
        <w:rPr>
          <w:rFonts w:hint="eastAsia" w:ascii="楷体" w:hAnsi="楷体" w:eastAsia="楷体" w:cs="楷体"/>
          <w:b w:val="0"/>
          <w:bCs w:val="0"/>
          <w:szCs w:val="24"/>
        </w:rPr>
        <w:t>3、本项目接受同一投标人对一个标段/包别进行投标响应。</w:t>
      </w:r>
      <w:r>
        <w:rPr>
          <w:rFonts w:hint="eastAsia" w:ascii="楷体" w:hAnsi="楷体" w:eastAsia="楷体" w:cs="楷体"/>
          <w:b w:val="0"/>
          <w:bCs w:val="0"/>
          <w:szCs w:val="24"/>
        </w:rPr>
        <w:br w:type="textWrapping"/>
      </w:r>
      <w:r>
        <w:rPr>
          <w:rFonts w:hint="eastAsia" w:ascii="楷体" w:hAnsi="楷体" w:eastAsia="楷体" w:cs="楷体"/>
          <w:b w:val="0"/>
          <w:bCs w:val="0"/>
          <w:szCs w:val="24"/>
        </w:rPr>
        <w:t>本项目允许分支机构投标，若法人与法人分支机构同时投标，视为一家投标人，以法人投标文件为准，不接受同一法人的多家分支机构同时投标。分支机构投标须有法人资格总公司授权，其财务状况、税收缴纳、社会保障资金缴纳等由主管单位或总公司代缴（代管）的，需提供相应证明材料及情况说明。</w:t>
      </w:r>
    </w:p>
    <w:p>
      <w:pPr>
        <w:spacing w:line="360" w:lineRule="auto"/>
        <w:jc w:val="left"/>
        <w:rPr>
          <w:rFonts w:ascii="楷体" w:hAnsi="楷体" w:eastAsia="楷体" w:cs="楷体"/>
          <w:b/>
          <w:bCs/>
          <w:szCs w:val="24"/>
        </w:rPr>
      </w:pPr>
      <w:r>
        <w:rPr>
          <w:rFonts w:hint="eastAsia" w:ascii="楷体" w:hAnsi="楷体" w:eastAsia="楷体" w:cs="楷体"/>
          <w:b/>
          <w:bCs/>
          <w:szCs w:val="24"/>
        </w:rPr>
        <w:t xml:space="preserve">三、 招标文件的获取方式 </w:t>
      </w:r>
    </w:p>
    <w:p>
      <w:pPr>
        <w:spacing w:line="360" w:lineRule="auto"/>
        <w:ind w:firstLine="480" w:firstLineChars="200"/>
        <w:jc w:val="left"/>
        <w:rPr>
          <w:rFonts w:hint="eastAsia" w:ascii="楷体" w:hAnsi="楷体" w:eastAsia="楷体" w:cs="楷体"/>
          <w:szCs w:val="24"/>
          <w:highlight w:val="none"/>
        </w:rPr>
      </w:pPr>
      <w:r>
        <w:rPr>
          <w:rFonts w:hint="eastAsia" w:ascii="楷体" w:hAnsi="楷体" w:eastAsia="楷体" w:cs="楷体"/>
          <w:szCs w:val="24"/>
          <w:highlight w:val="none"/>
        </w:rPr>
        <w:t>时间： 2022年11月21日 至 2022年11月25日 ，每天上午 08:00:00 至 12:00:00 ，下午 14:00:00 至 18:00:00 （北京时间）</w:t>
      </w:r>
    </w:p>
    <w:p>
      <w:pPr>
        <w:spacing w:line="360" w:lineRule="auto"/>
        <w:ind w:firstLine="480" w:firstLineChars="200"/>
        <w:jc w:val="left"/>
        <w:rPr>
          <w:rFonts w:hint="eastAsia" w:ascii="楷体" w:hAnsi="楷体" w:eastAsia="楷体" w:cs="楷体"/>
          <w:szCs w:val="24"/>
          <w:highlight w:val="none"/>
        </w:rPr>
      </w:pPr>
      <w:r>
        <w:rPr>
          <w:rFonts w:hint="eastAsia" w:ascii="楷体" w:hAnsi="楷体" w:eastAsia="楷体" w:cs="楷体"/>
          <w:szCs w:val="24"/>
          <w:highlight w:val="none"/>
        </w:rPr>
        <w:t>途径：汉中市汉台区荔枝路智诚雅居二楼（华睿诚项目管理有限公司）</w:t>
      </w:r>
    </w:p>
    <w:p>
      <w:pPr>
        <w:spacing w:line="360" w:lineRule="auto"/>
        <w:ind w:firstLine="480" w:firstLineChars="200"/>
        <w:jc w:val="left"/>
        <w:rPr>
          <w:rFonts w:hint="eastAsia" w:ascii="楷体" w:hAnsi="楷体" w:eastAsia="楷体" w:cs="楷体"/>
          <w:szCs w:val="24"/>
          <w:highlight w:val="none"/>
        </w:rPr>
      </w:pPr>
      <w:r>
        <w:rPr>
          <w:rFonts w:hint="eastAsia" w:ascii="楷体" w:hAnsi="楷体" w:eastAsia="楷体" w:cs="楷体"/>
          <w:szCs w:val="24"/>
          <w:highlight w:val="none"/>
        </w:rPr>
        <w:t>方式：现场获取</w:t>
      </w:r>
    </w:p>
    <w:p>
      <w:pPr>
        <w:spacing w:line="360" w:lineRule="auto"/>
        <w:ind w:firstLine="480" w:firstLineChars="200"/>
        <w:jc w:val="left"/>
        <w:rPr>
          <w:rFonts w:hint="eastAsia" w:ascii="楷体" w:hAnsi="楷体" w:eastAsia="楷体" w:cs="楷体"/>
          <w:szCs w:val="24"/>
          <w:highlight w:val="none"/>
        </w:rPr>
      </w:pPr>
      <w:r>
        <w:rPr>
          <w:rFonts w:hint="eastAsia" w:ascii="楷体" w:hAnsi="楷体" w:eastAsia="楷体" w:cs="楷体"/>
          <w:szCs w:val="24"/>
          <w:highlight w:val="none"/>
        </w:rPr>
        <w:t>售价： 300元</w:t>
      </w:r>
    </w:p>
    <w:p>
      <w:pPr>
        <w:spacing w:line="360" w:lineRule="auto"/>
        <w:ind w:firstLine="480" w:firstLineChars="200"/>
        <w:jc w:val="left"/>
        <w:rPr>
          <w:rFonts w:ascii="楷体" w:hAnsi="楷体" w:eastAsia="楷体" w:cs="楷体"/>
          <w:szCs w:val="24"/>
          <w:highlight w:val="none"/>
        </w:rPr>
      </w:pPr>
      <w:r>
        <w:rPr>
          <w:rFonts w:hint="eastAsia" w:ascii="楷体" w:hAnsi="楷体" w:eastAsia="楷体" w:cs="楷体"/>
          <w:szCs w:val="24"/>
          <w:highlight w:val="none"/>
        </w:rPr>
        <w:t>注：获取招标文件时供应商需委派本单元自有人员携带单位介绍信和经办人2022年任意月份社保缴纳证明材料、身份证原件及加盖公章的复印件；</w:t>
      </w:r>
    </w:p>
    <w:p>
      <w:pPr>
        <w:spacing w:line="360" w:lineRule="auto"/>
        <w:jc w:val="left"/>
        <w:rPr>
          <w:rFonts w:hint="eastAsia" w:ascii="楷体" w:hAnsi="楷体" w:eastAsia="楷体" w:cs="楷体"/>
          <w:b/>
          <w:bCs/>
          <w:szCs w:val="24"/>
        </w:rPr>
      </w:pPr>
      <w:r>
        <w:rPr>
          <w:rFonts w:hint="eastAsia" w:ascii="楷体" w:hAnsi="楷体" w:eastAsia="楷体" w:cs="楷体"/>
          <w:b/>
          <w:bCs/>
          <w:szCs w:val="24"/>
        </w:rPr>
        <w:t>四、 提交投标文件截止时间、开标时间和地点</w:t>
      </w:r>
    </w:p>
    <w:p>
      <w:pPr>
        <w:spacing w:line="360" w:lineRule="auto"/>
        <w:ind w:firstLine="480" w:firstLineChars="200"/>
        <w:jc w:val="left"/>
        <w:rPr>
          <w:rFonts w:hint="eastAsia" w:ascii="楷体" w:hAnsi="楷体" w:eastAsia="楷体" w:cs="楷体"/>
          <w:b w:val="0"/>
          <w:bCs w:val="0"/>
          <w:szCs w:val="24"/>
        </w:rPr>
      </w:pPr>
      <w:r>
        <w:rPr>
          <w:rFonts w:hint="eastAsia" w:ascii="楷体" w:hAnsi="楷体" w:eastAsia="楷体" w:cs="楷体"/>
          <w:b w:val="0"/>
          <w:bCs w:val="0"/>
          <w:szCs w:val="24"/>
        </w:rPr>
        <w:t>时间： 2022年12月12日 09时30分00秒 （北京时间）</w:t>
      </w:r>
    </w:p>
    <w:p>
      <w:pPr>
        <w:spacing w:line="360" w:lineRule="auto"/>
        <w:ind w:firstLine="480" w:firstLineChars="200"/>
        <w:jc w:val="left"/>
        <w:rPr>
          <w:rFonts w:hint="eastAsia" w:ascii="楷体" w:hAnsi="楷体" w:eastAsia="楷体" w:cs="楷体"/>
          <w:b w:val="0"/>
          <w:bCs w:val="0"/>
          <w:szCs w:val="24"/>
        </w:rPr>
      </w:pPr>
      <w:r>
        <w:rPr>
          <w:rFonts w:hint="eastAsia" w:ascii="楷体" w:hAnsi="楷体" w:eastAsia="楷体" w:cs="楷体"/>
          <w:b w:val="0"/>
          <w:bCs w:val="0"/>
          <w:szCs w:val="24"/>
        </w:rPr>
        <w:t>提交投标文件地点：汉中市汉台区荔枝路智诚雅居二楼</w:t>
      </w:r>
    </w:p>
    <w:p>
      <w:pPr>
        <w:spacing w:line="360" w:lineRule="auto"/>
        <w:ind w:firstLine="480" w:firstLineChars="200"/>
        <w:jc w:val="left"/>
        <w:rPr>
          <w:rFonts w:ascii="楷体" w:hAnsi="楷体" w:eastAsia="楷体" w:cs="楷体"/>
          <w:szCs w:val="24"/>
        </w:rPr>
      </w:pPr>
      <w:r>
        <w:rPr>
          <w:rFonts w:hint="eastAsia" w:ascii="楷体" w:hAnsi="楷体" w:eastAsia="楷体" w:cs="楷体"/>
          <w:b w:val="0"/>
          <w:bCs w:val="0"/>
          <w:szCs w:val="24"/>
        </w:rPr>
        <w:t>开标地点：汉中市汉台区荔枝路智诚雅居二楼</w:t>
      </w:r>
    </w:p>
    <w:p>
      <w:pPr>
        <w:spacing w:line="360" w:lineRule="auto"/>
        <w:jc w:val="left"/>
        <w:rPr>
          <w:rFonts w:ascii="楷体" w:hAnsi="楷体" w:eastAsia="楷体" w:cs="楷体"/>
          <w:b/>
          <w:bCs/>
          <w:szCs w:val="24"/>
        </w:rPr>
      </w:pPr>
      <w:r>
        <w:rPr>
          <w:rFonts w:hint="eastAsia" w:ascii="楷体" w:hAnsi="楷体" w:eastAsia="楷体" w:cs="楷体"/>
          <w:b/>
          <w:bCs/>
          <w:szCs w:val="24"/>
        </w:rPr>
        <w:t>五、公告期限</w:t>
      </w:r>
    </w:p>
    <w:p>
      <w:pPr>
        <w:spacing w:line="360" w:lineRule="auto"/>
        <w:ind w:firstLine="480" w:firstLineChars="200"/>
        <w:jc w:val="left"/>
        <w:rPr>
          <w:rFonts w:ascii="楷体" w:hAnsi="楷体" w:eastAsia="楷体" w:cs="楷体"/>
          <w:szCs w:val="24"/>
        </w:rPr>
      </w:pPr>
      <w:r>
        <w:rPr>
          <w:rFonts w:hint="eastAsia" w:ascii="楷体" w:hAnsi="楷体" w:eastAsia="楷体" w:cs="楷体"/>
          <w:szCs w:val="24"/>
        </w:rPr>
        <w:t>自本公告发布之日起5个工作日。</w:t>
      </w:r>
    </w:p>
    <w:p>
      <w:pPr>
        <w:spacing w:line="360" w:lineRule="auto"/>
        <w:jc w:val="left"/>
        <w:rPr>
          <w:rFonts w:ascii="楷体" w:hAnsi="楷体" w:eastAsia="楷体" w:cs="楷体"/>
          <w:b/>
          <w:bCs/>
          <w:szCs w:val="24"/>
        </w:rPr>
      </w:pPr>
      <w:r>
        <w:rPr>
          <w:rFonts w:hint="eastAsia" w:ascii="楷体" w:hAnsi="楷体" w:eastAsia="楷体" w:cs="楷体"/>
          <w:b/>
          <w:bCs/>
          <w:szCs w:val="24"/>
        </w:rPr>
        <w:t>六、其他补充事宜</w:t>
      </w:r>
    </w:p>
    <w:p>
      <w:pPr>
        <w:spacing w:line="360" w:lineRule="auto"/>
        <w:ind w:firstLine="480" w:firstLineChars="200"/>
        <w:jc w:val="left"/>
        <w:rPr>
          <w:rFonts w:hint="eastAsia" w:ascii="楷体" w:hAnsi="楷体" w:eastAsia="楷体" w:cs="楷体"/>
          <w:b w:val="0"/>
          <w:bCs w:val="0"/>
          <w:szCs w:val="24"/>
        </w:rPr>
      </w:pPr>
      <w:r>
        <w:rPr>
          <w:rFonts w:hint="eastAsia" w:ascii="楷体" w:hAnsi="楷体" w:eastAsia="楷体" w:cs="楷体"/>
          <w:b w:val="0"/>
          <w:bCs w:val="0"/>
          <w:szCs w:val="24"/>
        </w:rPr>
        <w:t>1.获取招标文件时供应商需委派本单元自有人员携带单位介绍信和经办人2022年任意月份社保缴纳证明材料、身份证原件及加盖公章的复印件。</w:t>
      </w:r>
    </w:p>
    <w:p>
      <w:pPr>
        <w:spacing w:line="360" w:lineRule="auto"/>
        <w:ind w:firstLine="480" w:firstLineChars="200"/>
        <w:jc w:val="left"/>
        <w:rPr>
          <w:rFonts w:hint="eastAsia" w:ascii="楷体" w:hAnsi="楷体" w:eastAsia="楷体" w:cs="楷体"/>
          <w:b w:val="0"/>
          <w:bCs w:val="0"/>
          <w:szCs w:val="24"/>
        </w:rPr>
      </w:pPr>
      <w:r>
        <w:rPr>
          <w:rFonts w:hint="eastAsia" w:ascii="楷体" w:hAnsi="楷体" w:eastAsia="楷体" w:cs="楷体"/>
          <w:b w:val="0"/>
          <w:bCs w:val="0"/>
          <w:szCs w:val="24"/>
        </w:rPr>
        <w:t>2.请供应商按照陕西省财政厅关于政府采购供应商注册登记有关事项的通知中的要求，通过陕西省政府采购网（http://www.ccgp-shaanxi.gov.cn/）注册登记加入陕西省政府采购供应商库。</w:t>
      </w:r>
    </w:p>
    <w:p>
      <w:pPr>
        <w:spacing w:line="360" w:lineRule="auto"/>
        <w:ind w:firstLine="480" w:firstLineChars="200"/>
        <w:jc w:val="left"/>
        <w:rPr>
          <w:rFonts w:hint="eastAsia" w:ascii="楷体" w:hAnsi="楷体" w:eastAsia="楷体" w:cs="楷体"/>
          <w:b w:val="0"/>
          <w:bCs w:val="0"/>
          <w:szCs w:val="24"/>
        </w:rPr>
      </w:pPr>
      <w:r>
        <w:rPr>
          <w:rFonts w:hint="eastAsia" w:ascii="楷体" w:hAnsi="楷体" w:eastAsia="楷体" w:cs="楷体"/>
          <w:b w:val="0"/>
          <w:bCs w:val="0"/>
          <w:szCs w:val="24"/>
        </w:rPr>
        <w:t>3.本项目无预付款。采购单位根据服务实施情况及资金到位情况分年分期支付，合同价款不计息。</w:t>
      </w:r>
    </w:p>
    <w:p>
      <w:pPr>
        <w:spacing w:line="360" w:lineRule="auto"/>
        <w:ind w:firstLine="480" w:firstLineChars="200"/>
        <w:jc w:val="left"/>
      </w:pPr>
      <w:r>
        <w:rPr>
          <w:rFonts w:hint="eastAsia" w:ascii="楷体" w:hAnsi="楷体" w:eastAsia="楷体" w:cs="楷体"/>
          <w:b w:val="0"/>
          <w:bCs w:val="0"/>
          <w:szCs w:val="24"/>
        </w:rPr>
        <w:t>4.履约保证金为中标价的10%，中标人须在领取中标通知书后十个工作日内向采购人支付。</w:t>
      </w:r>
    </w:p>
    <w:p>
      <w:pPr>
        <w:spacing w:line="360" w:lineRule="auto"/>
        <w:jc w:val="left"/>
        <w:rPr>
          <w:rFonts w:ascii="楷体" w:hAnsi="楷体" w:eastAsia="楷体" w:cs="楷体"/>
          <w:b/>
          <w:bCs/>
          <w:szCs w:val="24"/>
        </w:rPr>
      </w:pPr>
      <w:r>
        <w:rPr>
          <w:rFonts w:hint="eastAsia" w:ascii="楷体" w:hAnsi="楷体" w:eastAsia="楷体" w:cs="楷体"/>
          <w:b/>
          <w:bCs/>
          <w:szCs w:val="24"/>
        </w:rPr>
        <w:t xml:space="preserve">七、对本次招标提出询问，请按以下方式联系。 </w:t>
      </w:r>
    </w:p>
    <w:p>
      <w:pPr>
        <w:spacing w:line="360" w:lineRule="auto"/>
        <w:ind w:firstLine="480" w:firstLineChars="200"/>
        <w:jc w:val="left"/>
        <w:rPr>
          <w:rFonts w:ascii="楷体" w:hAnsi="楷体" w:eastAsia="楷体" w:cs="楷体"/>
          <w:szCs w:val="24"/>
        </w:rPr>
      </w:pPr>
      <w:r>
        <w:rPr>
          <w:rFonts w:hint="eastAsia" w:ascii="楷体" w:hAnsi="楷体" w:eastAsia="楷体" w:cs="楷体"/>
          <w:szCs w:val="24"/>
        </w:rPr>
        <w:t>1、采购人信息：勉县公安局</w:t>
      </w:r>
    </w:p>
    <w:p>
      <w:pPr>
        <w:spacing w:line="360" w:lineRule="auto"/>
        <w:ind w:firstLine="480" w:firstLineChars="200"/>
        <w:jc w:val="left"/>
        <w:rPr>
          <w:rFonts w:ascii="楷体" w:hAnsi="楷体" w:eastAsia="楷体" w:cs="楷体"/>
          <w:szCs w:val="24"/>
        </w:rPr>
      </w:pPr>
      <w:r>
        <w:rPr>
          <w:rFonts w:hint="eastAsia" w:ascii="楷体" w:hAnsi="楷体" w:eastAsia="楷体" w:cs="楷体"/>
          <w:szCs w:val="24"/>
        </w:rPr>
        <w:t>地址：勉县勉阳街道办民主街</w:t>
      </w:r>
    </w:p>
    <w:p>
      <w:pPr>
        <w:spacing w:line="360" w:lineRule="auto"/>
        <w:ind w:firstLine="480" w:firstLineChars="200"/>
        <w:jc w:val="left"/>
        <w:rPr>
          <w:rFonts w:ascii="楷体" w:hAnsi="楷体" w:eastAsia="楷体" w:cs="楷体"/>
          <w:szCs w:val="24"/>
        </w:rPr>
      </w:pPr>
      <w:r>
        <w:rPr>
          <w:rFonts w:hint="eastAsia" w:ascii="楷体" w:hAnsi="楷体" w:eastAsia="楷体" w:cs="楷体"/>
          <w:szCs w:val="24"/>
        </w:rPr>
        <w:t>联系人：张林哲</w:t>
      </w:r>
      <w:r>
        <w:rPr>
          <w:rFonts w:hint="eastAsia" w:ascii="楷体" w:hAnsi="楷体" w:eastAsia="楷体" w:cs="楷体"/>
          <w:szCs w:val="24"/>
          <w:lang w:val="en-US" w:eastAsia="zh-CN"/>
        </w:rPr>
        <w:t xml:space="preserve">         </w:t>
      </w:r>
      <w:r>
        <w:rPr>
          <w:rFonts w:hint="eastAsia" w:ascii="楷体" w:hAnsi="楷体" w:eastAsia="楷体" w:cs="楷体"/>
          <w:szCs w:val="24"/>
        </w:rPr>
        <w:t>电</w:t>
      </w:r>
      <w:r>
        <w:rPr>
          <w:rFonts w:hint="eastAsia" w:ascii="楷体" w:hAnsi="楷体" w:eastAsia="楷体" w:cs="楷体"/>
          <w:szCs w:val="24"/>
          <w:lang w:val="en-US" w:eastAsia="zh-CN"/>
        </w:rPr>
        <w:t xml:space="preserve"> </w:t>
      </w:r>
      <w:r>
        <w:rPr>
          <w:rFonts w:hint="eastAsia" w:ascii="楷体" w:hAnsi="楷体" w:eastAsia="楷体" w:cs="楷体"/>
          <w:szCs w:val="24"/>
        </w:rPr>
        <w:t>话：0916-</w:t>
      </w:r>
      <w:r>
        <w:rPr>
          <w:rFonts w:hint="eastAsia" w:ascii="楷体" w:hAnsi="楷体" w:eastAsia="楷体" w:cs="楷体"/>
          <w:szCs w:val="24"/>
          <w:lang w:val="en-US" w:eastAsia="zh-CN"/>
        </w:rPr>
        <w:t>3292858</w:t>
      </w:r>
    </w:p>
    <w:p>
      <w:pPr>
        <w:spacing w:line="360" w:lineRule="auto"/>
        <w:ind w:firstLine="480" w:firstLineChars="200"/>
        <w:jc w:val="left"/>
        <w:rPr>
          <w:rFonts w:ascii="楷体" w:hAnsi="楷体" w:eastAsia="楷体" w:cs="楷体"/>
          <w:szCs w:val="24"/>
        </w:rPr>
      </w:pPr>
      <w:r>
        <w:rPr>
          <w:rFonts w:hint="eastAsia" w:ascii="楷体" w:hAnsi="楷体" w:eastAsia="楷体" w:cs="楷体"/>
          <w:szCs w:val="24"/>
        </w:rPr>
        <w:t>2、项目联系方式</w:t>
      </w:r>
    </w:p>
    <w:p>
      <w:pPr>
        <w:spacing w:line="360" w:lineRule="auto"/>
        <w:ind w:firstLine="480" w:firstLineChars="200"/>
        <w:jc w:val="left"/>
        <w:rPr>
          <w:rFonts w:hint="default" w:ascii="楷体" w:hAnsi="楷体" w:eastAsia="楷体" w:cs="楷体"/>
          <w:szCs w:val="24"/>
          <w:lang w:val="en-US" w:eastAsia="zh-CN"/>
        </w:rPr>
      </w:pPr>
      <w:r>
        <w:rPr>
          <w:rFonts w:hint="eastAsia" w:ascii="楷体" w:hAnsi="楷体" w:eastAsia="楷体" w:cs="楷体"/>
          <w:szCs w:val="24"/>
        </w:rPr>
        <w:t>项目联系人：张晓斌</w:t>
      </w:r>
      <w:r>
        <w:rPr>
          <w:rFonts w:hint="eastAsia" w:ascii="楷体" w:hAnsi="楷体" w:eastAsia="楷体" w:cs="楷体"/>
          <w:szCs w:val="24"/>
          <w:lang w:val="en-US" w:eastAsia="zh-CN"/>
        </w:rPr>
        <w:t xml:space="preserve">     </w:t>
      </w:r>
      <w:r>
        <w:rPr>
          <w:rFonts w:hint="eastAsia" w:ascii="楷体" w:hAnsi="楷体" w:eastAsia="楷体" w:cs="楷体"/>
          <w:szCs w:val="24"/>
        </w:rPr>
        <w:t>电 话：</w:t>
      </w:r>
      <w:r>
        <w:rPr>
          <w:rFonts w:hint="eastAsia" w:ascii="楷体" w:hAnsi="楷体" w:eastAsia="楷体" w:cs="楷体"/>
          <w:szCs w:val="24"/>
          <w:lang w:val="en-US" w:eastAsia="zh-CN"/>
        </w:rPr>
        <w:t>0916-25338477</w:t>
      </w:r>
    </w:p>
    <w:p>
      <w:pPr>
        <w:spacing w:line="360" w:lineRule="auto"/>
        <w:ind w:firstLine="480" w:firstLineChars="200"/>
        <w:jc w:val="left"/>
        <w:rPr>
          <w:rFonts w:ascii="楷体" w:hAnsi="楷体" w:eastAsia="楷体" w:cs="楷体"/>
          <w:szCs w:val="24"/>
        </w:rPr>
      </w:pPr>
      <w:r>
        <w:rPr>
          <w:rFonts w:hint="eastAsia" w:ascii="楷体" w:hAnsi="楷体" w:eastAsia="楷体" w:cs="楷体"/>
          <w:szCs w:val="24"/>
        </w:rPr>
        <w:t>3、采购代理机构信息</w:t>
      </w:r>
    </w:p>
    <w:p>
      <w:pPr>
        <w:spacing w:line="360" w:lineRule="auto"/>
        <w:ind w:firstLine="480" w:firstLineChars="200"/>
        <w:jc w:val="left"/>
        <w:rPr>
          <w:rFonts w:ascii="楷体" w:hAnsi="楷体" w:eastAsia="楷体" w:cs="楷体"/>
          <w:szCs w:val="24"/>
        </w:rPr>
      </w:pPr>
      <w:r>
        <w:rPr>
          <w:rFonts w:hint="eastAsia" w:ascii="楷体" w:hAnsi="楷体" w:eastAsia="楷体" w:cs="楷体"/>
          <w:szCs w:val="24"/>
        </w:rPr>
        <w:t xml:space="preserve">名称：华睿诚项目管理有限公司  </w:t>
      </w:r>
    </w:p>
    <w:p>
      <w:pPr>
        <w:spacing w:line="360" w:lineRule="auto"/>
        <w:ind w:firstLine="480" w:firstLineChars="200"/>
        <w:jc w:val="left"/>
        <w:rPr>
          <w:rFonts w:ascii="楷体" w:hAnsi="楷体" w:eastAsia="楷体" w:cs="楷体"/>
          <w:szCs w:val="24"/>
        </w:rPr>
      </w:pPr>
      <w:r>
        <w:rPr>
          <w:rFonts w:hint="eastAsia" w:ascii="楷体" w:hAnsi="楷体" w:eastAsia="楷体" w:cs="楷体"/>
          <w:szCs w:val="24"/>
        </w:rPr>
        <w:t>联系地址：汉中市汉台区荔枝路智诚雅居二楼</w:t>
      </w:r>
    </w:p>
    <w:p>
      <w:pPr>
        <w:spacing w:line="360" w:lineRule="auto"/>
        <w:jc w:val="right"/>
        <w:rPr>
          <w:rFonts w:ascii="楷体" w:hAnsi="楷体" w:eastAsia="楷体" w:cs="楷体"/>
          <w:szCs w:val="24"/>
        </w:rPr>
      </w:pPr>
      <w:r>
        <w:rPr>
          <w:rFonts w:hint="eastAsia" w:ascii="楷体" w:hAnsi="楷体" w:eastAsia="楷体" w:cs="楷体"/>
          <w:szCs w:val="24"/>
        </w:rPr>
        <w:t xml:space="preserve">           华睿诚项目管理有限公司                                      2022年11月</w:t>
      </w:r>
      <w:r>
        <w:rPr>
          <w:rFonts w:hint="eastAsia" w:ascii="楷体" w:hAnsi="楷体" w:eastAsia="楷体" w:cs="楷体"/>
          <w:szCs w:val="24"/>
          <w:lang w:val="en-US" w:eastAsia="zh-CN"/>
        </w:rPr>
        <w:t>18</w:t>
      </w:r>
      <w:r>
        <w:rPr>
          <w:rFonts w:hint="eastAsia" w:ascii="楷体" w:hAnsi="楷体" w:eastAsia="楷体" w:cs="楷体"/>
          <w:szCs w:val="24"/>
        </w:rPr>
        <w:t>日</w:t>
      </w:r>
    </w:p>
    <w:p>
      <w:pPr>
        <w:rPr>
          <w:rFonts w:ascii="楷体" w:hAnsi="楷体" w:eastAsia="楷体" w:cs="楷体"/>
          <w:szCs w:val="24"/>
        </w:rPr>
        <w:sectPr>
          <w:footerReference r:id="rId6" w:type="default"/>
          <w:pgSz w:w="11906" w:h="16838"/>
          <w:pgMar w:top="1440" w:right="1800" w:bottom="1440" w:left="1800" w:header="851" w:footer="992" w:gutter="0"/>
          <w:pgNumType w:start="1"/>
          <w:cols w:space="720" w:num="1"/>
          <w:docGrid w:type="lines" w:linePitch="312" w:charSpace="0"/>
        </w:sectPr>
      </w:pPr>
    </w:p>
    <w:p>
      <w:pPr>
        <w:pStyle w:val="6"/>
        <w:keepNext w:val="0"/>
        <w:keepLines/>
        <w:pageBreakBefore/>
        <w:spacing w:line="360" w:lineRule="auto"/>
        <w:jc w:val="center"/>
        <w:rPr>
          <w:rFonts w:ascii="楷体" w:hAnsi="楷体" w:eastAsia="楷体" w:cs="楷体"/>
          <w:bCs/>
          <w:sz w:val="36"/>
          <w:szCs w:val="36"/>
        </w:rPr>
      </w:pPr>
      <w:r>
        <w:rPr>
          <w:rFonts w:hint="eastAsia" w:ascii="楷体" w:hAnsi="楷体" w:eastAsia="楷体" w:cs="楷体"/>
          <w:bCs/>
          <w:sz w:val="36"/>
          <w:szCs w:val="36"/>
        </w:rPr>
        <w:t xml:space="preserve">第二章  </w:t>
      </w:r>
      <w:bookmarkEnd w:id="17"/>
      <w:bookmarkEnd w:id="18"/>
      <w:r>
        <w:rPr>
          <w:rFonts w:hint="eastAsia" w:ascii="楷体" w:hAnsi="楷体" w:eastAsia="楷体" w:cs="楷体"/>
          <w:bCs/>
          <w:sz w:val="36"/>
          <w:szCs w:val="36"/>
        </w:rPr>
        <w:t>投标人须知</w:t>
      </w:r>
      <w:bookmarkEnd w:id="19"/>
      <w:bookmarkEnd w:id="20"/>
      <w:bookmarkEnd w:id="21"/>
      <w:bookmarkEnd w:id="22"/>
      <w:bookmarkEnd w:id="23"/>
      <w:bookmarkEnd w:id="24"/>
    </w:p>
    <w:p>
      <w:pPr>
        <w:jc w:val="center"/>
        <w:rPr>
          <w:rFonts w:ascii="楷体" w:hAnsi="楷体" w:eastAsia="楷体" w:cs="楷体"/>
          <w:b/>
          <w:bCs/>
          <w:sz w:val="30"/>
          <w:szCs w:val="30"/>
        </w:rPr>
      </w:pPr>
      <w:bookmarkStart w:id="25" w:name="_Toc19364"/>
      <w:bookmarkStart w:id="26" w:name="_Toc2257"/>
      <w:bookmarkStart w:id="27" w:name="_Toc423973073"/>
      <w:r>
        <w:rPr>
          <w:rFonts w:hint="eastAsia" w:ascii="楷体" w:hAnsi="楷体" w:eastAsia="楷体" w:cs="楷体"/>
          <w:b/>
          <w:bCs/>
          <w:sz w:val="30"/>
          <w:szCs w:val="30"/>
        </w:rPr>
        <w:t>投标人须知前附表</w:t>
      </w:r>
      <w:bookmarkEnd w:id="25"/>
      <w:bookmarkEnd w:id="26"/>
      <w:bookmarkEnd w:id="27"/>
    </w:p>
    <w:tbl>
      <w:tblPr>
        <w:tblStyle w:val="24"/>
        <w:tblW w:w="885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03"/>
        <w:gridCol w:w="931"/>
        <w:gridCol w:w="73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1" w:hRule="atLeast"/>
          <w:tblHeader/>
          <w:jc w:val="center"/>
        </w:trPr>
        <w:tc>
          <w:tcPr>
            <w:tcW w:w="603" w:type="dxa"/>
            <w:vAlign w:val="center"/>
          </w:tcPr>
          <w:p>
            <w:pPr>
              <w:spacing w:line="360" w:lineRule="auto"/>
              <w:jc w:val="center"/>
              <w:rPr>
                <w:rFonts w:ascii="楷体" w:hAnsi="楷体" w:eastAsia="楷体" w:cs="楷体"/>
                <w:b/>
                <w:szCs w:val="24"/>
              </w:rPr>
            </w:pPr>
            <w:r>
              <w:rPr>
                <w:rFonts w:hint="eastAsia" w:ascii="楷体" w:hAnsi="楷体" w:eastAsia="楷体" w:cs="楷体"/>
                <w:b/>
                <w:szCs w:val="24"/>
              </w:rPr>
              <w:t>序号</w:t>
            </w:r>
          </w:p>
        </w:tc>
        <w:tc>
          <w:tcPr>
            <w:tcW w:w="931" w:type="dxa"/>
            <w:vAlign w:val="center"/>
          </w:tcPr>
          <w:p>
            <w:pPr>
              <w:spacing w:line="360" w:lineRule="auto"/>
              <w:jc w:val="center"/>
              <w:rPr>
                <w:rFonts w:ascii="楷体" w:hAnsi="楷体" w:eastAsia="楷体" w:cs="楷体"/>
                <w:b/>
                <w:szCs w:val="24"/>
              </w:rPr>
            </w:pPr>
            <w:r>
              <w:rPr>
                <w:rFonts w:hint="eastAsia" w:ascii="楷体" w:hAnsi="楷体" w:eastAsia="楷体" w:cs="楷体"/>
                <w:b/>
                <w:szCs w:val="24"/>
              </w:rPr>
              <w:t>条款号</w:t>
            </w:r>
          </w:p>
        </w:tc>
        <w:tc>
          <w:tcPr>
            <w:tcW w:w="7322" w:type="dxa"/>
            <w:vAlign w:val="center"/>
          </w:tcPr>
          <w:p>
            <w:pPr>
              <w:spacing w:line="360" w:lineRule="auto"/>
              <w:jc w:val="center"/>
              <w:rPr>
                <w:rFonts w:ascii="楷体" w:hAnsi="楷体" w:eastAsia="楷体" w:cs="楷体"/>
                <w:b/>
                <w:szCs w:val="24"/>
              </w:rPr>
            </w:pPr>
            <w:r>
              <w:rPr>
                <w:rFonts w:hint="eastAsia" w:ascii="楷体" w:hAnsi="楷体" w:eastAsia="楷体" w:cs="楷体"/>
                <w:b/>
                <w:szCs w:val="24"/>
              </w:rPr>
              <w:t>编列内容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03" w:type="dxa"/>
            <w:vAlign w:val="center"/>
          </w:tcPr>
          <w:p>
            <w:pPr>
              <w:spacing w:line="360" w:lineRule="auto"/>
              <w:jc w:val="center"/>
              <w:rPr>
                <w:rFonts w:ascii="楷体" w:hAnsi="楷体" w:eastAsia="楷体" w:cs="楷体"/>
                <w:szCs w:val="24"/>
              </w:rPr>
            </w:pPr>
            <w:r>
              <w:rPr>
                <w:rFonts w:hint="eastAsia" w:ascii="楷体" w:hAnsi="楷体" w:eastAsia="楷体" w:cs="楷体"/>
                <w:szCs w:val="24"/>
              </w:rPr>
              <w:t>1</w:t>
            </w:r>
          </w:p>
        </w:tc>
        <w:tc>
          <w:tcPr>
            <w:tcW w:w="931" w:type="dxa"/>
            <w:vAlign w:val="center"/>
          </w:tcPr>
          <w:p>
            <w:pPr>
              <w:spacing w:line="360" w:lineRule="auto"/>
              <w:jc w:val="center"/>
              <w:rPr>
                <w:rFonts w:ascii="楷体" w:hAnsi="楷体" w:eastAsia="楷体" w:cs="楷体"/>
                <w:szCs w:val="24"/>
              </w:rPr>
            </w:pPr>
            <w:r>
              <w:rPr>
                <w:rFonts w:hint="eastAsia" w:ascii="楷体" w:hAnsi="楷体" w:eastAsia="楷体" w:cs="楷体"/>
                <w:szCs w:val="24"/>
              </w:rPr>
              <w:t>2.1</w:t>
            </w:r>
          </w:p>
        </w:tc>
        <w:tc>
          <w:tcPr>
            <w:tcW w:w="7322" w:type="dxa"/>
          </w:tcPr>
          <w:p>
            <w:pPr>
              <w:spacing w:line="360" w:lineRule="auto"/>
              <w:rPr>
                <w:rFonts w:ascii="楷体" w:hAnsi="楷体" w:eastAsia="楷体" w:cs="楷体"/>
                <w:szCs w:val="24"/>
              </w:rPr>
            </w:pPr>
            <w:r>
              <w:rPr>
                <w:rFonts w:hint="eastAsia" w:ascii="楷体" w:hAnsi="楷体" w:eastAsia="楷体" w:cs="楷体"/>
                <w:szCs w:val="24"/>
              </w:rPr>
              <w:t>招标代理机构：华睿诚项目管理有限公司</w:t>
            </w:r>
          </w:p>
          <w:p>
            <w:pPr>
              <w:spacing w:line="360" w:lineRule="auto"/>
              <w:rPr>
                <w:rFonts w:ascii="楷体" w:hAnsi="楷体" w:eastAsia="楷体" w:cs="楷体"/>
                <w:szCs w:val="24"/>
              </w:rPr>
            </w:pPr>
            <w:r>
              <w:rPr>
                <w:rFonts w:hint="eastAsia" w:ascii="楷体" w:hAnsi="楷体" w:eastAsia="楷体" w:cs="楷体"/>
                <w:szCs w:val="24"/>
              </w:rPr>
              <w:t>地址：汉中市汉台区荔枝路智诚雅居二楼</w:t>
            </w:r>
          </w:p>
          <w:p>
            <w:pPr>
              <w:spacing w:line="360" w:lineRule="auto"/>
              <w:rPr>
                <w:rFonts w:ascii="楷体" w:hAnsi="楷体" w:eastAsia="楷体" w:cs="楷体"/>
                <w:szCs w:val="24"/>
              </w:rPr>
            </w:pPr>
            <w:r>
              <w:rPr>
                <w:rFonts w:hint="eastAsia" w:ascii="楷体" w:hAnsi="楷体" w:eastAsia="楷体" w:cs="楷体"/>
                <w:szCs w:val="24"/>
              </w:rPr>
              <w:t>采购项目联系人：张晓斌</w:t>
            </w:r>
          </w:p>
          <w:p>
            <w:pPr>
              <w:spacing w:line="360" w:lineRule="auto"/>
              <w:rPr>
                <w:rFonts w:ascii="楷体" w:hAnsi="楷体" w:eastAsia="楷体" w:cs="楷体"/>
                <w:szCs w:val="24"/>
              </w:rPr>
            </w:pPr>
            <w:r>
              <w:rPr>
                <w:rFonts w:hint="eastAsia" w:ascii="楷体" w:hAnsi="楷体" w:eastAsia="楷体" w:cs="楷体"/>
                <w:szCs w:val="24"/>
              </w:rPr>
              <w:t>电话：13630207151</w:t>
            </w:r>
          </w:p>
          <w:p>
            <w:pPr>
              <w:spacing w:line="360" w:lineRule="auto"/>
              <w:rPr>
                <w:rFonts w:ascii="楷体" w:hAnsi="楷体" w:eastAsia="楷体" w:cs="楷体"/>
                <w:szCs w:val="24"/>
              </w:rPr>
            </w:pPr>
            <w:r>
              <w:rPr>
                <w:rFonts w:hint="eastAsia" w:ascii="楷体" w:hAnsi="楷体" w:eastAsia="楷体" w:cs="楷体"/>
                <w:szCs w:val="24"/>
              </w:rPr>
              <w:t>邮箱：624765915@qq.com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3" w:hRule="atLeast"/>
          <w:jc w:val="center"/>
        </w:trPr>
        <w:tc>
          <w:tcPr>
            <w:tcW w:w="603" w:type="dxa"/>
            <w:vAlign w:val="center"/>
          </w:tcPr>
          <w:p>
            <w:pPr>
              <w:spacing w:line="360" w:lineRule="auto"/>
              <w:jc w:val="center"/>
              <w:rPr>
                <w:rFonts w:ascii="楷体" w:hAnsi="楷体" w:eastAsia="楷体" w:cs="楷体"/>
                <w:szCs w:val="24"/>
              </w:rPr>
            </w:pPr>
            <w:r>
              <w:rPr>
                <w:rFonts w:hint="eastAsia" w:ascii="楷体" w:hAnsi="楷体" w:eastAsia="楷体" w:cs="楷体"/>
                <w:szCs w:val="24"/>
              </w:rPr>
              <w:t>2</w:t>
            </w:r>
          </w:p>
        </w:tc>
        <w:tc>
          <w:tcPr>
            <w:tcW w:w="931" w:type="dxa"/>
            <w:vAlign w:val="center"/>
          </w:tcPr>
          <w:p>
            <w:pPr>
              <w:spacing w:line="360" w:lineRule="auto"/>
              <w:jc w:val="center"/>
              <w:rPr>
                <w:rFonts w:ascii="楷体" w:hAnsi="楷体" w:eastAsia="楷体" w:cs="楷体"/>
                <w:szCs w:val="24"/>
              </w:rPr>
            </w:pPr>
            <w:r>
              <w:rPr>
                <w:rFonts w:hint="eastAsia" w:ascii="楷体" w:hAnsi="楷体" w:eastAsia="楷体" w:cs="楷体"/>
                <w:szCs w:val="24"/>
              </w:rPr>
              <w:t>2.3</w:t>
            </w:r>
          </w:p>
        </w:tc>
        <w:tc>
          <w:tcPr>
            <w:tcW w:w="7322" w:type="dxa"/>
            <w:vAlign w:val="center"/>
          </w:tcPr>
          <w:p>
            <w:pPr>
              <w:spacing w:line="360" w:lineRule="auto"/>
              <w:rPr>
                <w:rFonts w:ascii="楷体" w:hAnsi="楷体" w:eastAsia="楷体" w:cs="楷体"/>
                <w:szCs w:val="24"/>
              </w:rPr>
            </w:pPr>
            <w:r>
              <w:rPr>
                <w:rFonts w:hint="eastAsia" w:ascii="楷体" w:hAnsi="楷体" w:eastAsia="楷体" w:cs="楷体"/>
                <w:szCs w:val="24"/>
              </w:rPr>
              <w:t>本项目不接受联合体投标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6" w:hRule="atLeast"/>
          <w:jc w:val="center"/>
        </w:trPr>
        <w:tc>
          <w:tcPr>
            <w:tcW w:w="603" w:type="dxa"/>
            <w:vAlign w:val="center"/>
          </w:tcPr>
          <w:p>
            <w:pPr>
              <w:spacing w:line="360" w:lineRule="auto"/>
              <w:jc w:val="center"/>
              <w:rPr>
                <w:rFonts w:ascii="楷体" w:hAnsi="楷体" w:eastAsia="楷体" w:cs="楷体"/>
                <w:szCs w:val="24"/>
              </w:rPr>
            </w:pPr>
            <w:r>
              <w:rPr>
                <w:rFonts w:hint="eastAsia" w:ascii="楷体" w:hAnsi="楷体" w:eastAsia="楷体" w:cs="楷体"/>
                <w:szCs w:val="24"/>
              </w:rPr>
              <w:t>3</w:t>
            </w:r>
          </w:p>
        </w:tc>
        <w:tc>
          <w:tcPr>
            <w:tcW w:w="931" w:type="dxa"/>
            <w:vAlign w:val="center"/>
          </w:tcPr>
          <w:p>
            <w:pPr>
              <w:spacing w:line="360" w:lineRule="auto"/>
              <w:jc w:val="center"/>
              <w:rPr>
                <w:rFonts w:ascii="楷体" w:hAnsi="楷体" w:eastAsia="楷体" w:cs="楷体"/>
                <w:szCs w:val="24"/>
              </w:rPr>
            </w:pPr>
            <w:r>
              <w:rPr>
                <w:rFonts w:hint="eastAsia" w:ascii="楷体" w:hAnsi="楷体" w:eastAsia="楷体" w:cs="楷体"/>
                <w:szCs w:val="24"/>
              </w:rPr>
              <w:t>10.2</w:t>
            </w:r>
          </w:p>
        </w:tc>
        <w:tc>
          <w:tcPr>
            <w:tcW w:w="7322" w:type="dxa"/>
            <w:vAlign w:val="center"/>
          </w:tcPr>
          <w:p>
            <w:pPr>
              <w:spacing w:line="360" w:lineRule="auto"/>
              <w:rPr>
                <w:rFonts w:ascii="楷体" w:hAnsi="楷体" w:eastAsia="楷体" w:cs="楷体"/>
                <w:szCs w:val="24"/>
              </w:rPr>
            </w:pPr>
            <w:r>
              <w:rPr>
                <w:rFonts w:hint="eastAsia" w:ascii="楷体" w:hAnsi="楷体" w:eastAsia="楷体" w:cs="楷体"/>
                <w:szCs w:val="24"/>
              </w:rPr>
              <w:t>不允许提供备选方案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03" w:type="dxa"/>
            <w:vAlign w:val="center"/>
          </w:tcPr>
          <w:p>
            <w:pPr>
              <w:spacing w:line="360" w:lineRule="auto"/>
              <w:jc w:val="center"/>
              <w:rPr>
                <w:rFonts w:ascii="楷体" w:hAnsi="楷体" w:eastAsia="楷体" w:cs="楷体"/>
                <w:szCs w:val="24"/>
              </w:rPr>
            </w:pPr>
            <w:r>
              <w:rPr>
                <w:rFonts w:hint="eastAsia" w:ascii="楷体" w:hAnsi="楷体" w:eastAsia="楷体" w:cs="楷体"/>
                <w:szCs w:val="24"/>
              </w:rPr>
              <w:t>5</w:t>
            </w:r>
          </w:p>
        </w:tc>
        <w:tc>
          <w:tcPr>
            <w:tcW w:w="931" w:type="dxa"/>
            <w:vAlign w:val="center"/>
          </w:tcPr>
          <w:p>
            <w:pPr>
              <w:spacing w:line="360" w:lineRule="auto"/>
              <w:jc w:val="center"/>
              <w:rPr>
                <w:rFonts w:ascii="楷体" w:hAnsi="楷体" w:eastAsia="楷体" w:cs="楷体"/>
                <w:szCs w:val="24"/>
              </w:rPr>
            </w:pPr>
            <w:r>
              <w:rPr>
                <w:rFonts w:hint="eastAsia" w:ascii="楷体" w:hAnsi="楷体" w:eastAsia="楷体" w:cs="楷体"/>
                <w:szCs w:val="24"/>
              </w:rPr>
              <w:t>12.2</w:t>
            </w:r>
          </w:p>
        </w:tc>
        <w:tc>
          <w:tcPr>
            <w:tcW w:w="7322" w:type="dxa"/>
          </w:tcPr>
          <w:p>
            <w:pPr>
              <w:spacing w:line="360" w:lineRule="auto"/>
              <w:rPr>
                <w:rFonts w:ascii="楷体" w:hAnsi="楷体" w:eastAsia="楷体" w:cs="楷体"/>
                <w:szCs w:val="24"/>
              </w:rPr>
            </w:pPr>
            <w:r>
              <w:rPr>
                <w:rFonts w:hint="eastAsia" w:ascii="楷体" w:hAnsi="楷体" w:eastAsia="楷体" w:cs="楷体"/>
                <w:szCs w:val="24"/>
              </w:rPr>
              <w:t>投标报价：投标报价是供应商为完成本项目要求的全部货物及服务内容（包括但不限于产品费、运杂费、安装调试费、运行维护费、税金及其他一切相关费用）最终价格的体现。</w:t>
            </w:r>
          </w:p>
          <w:p>
            <w:pPr>
              <w:spacing w:line="360" w:lineRule="auto"/>
              <w:rPr>
                <w:rFonts w:ascii="楷体" w:hAnsi="楷体" w:eastAsia="楷体" w:cs="楷体"/>
                <w:szCs w:val="24"/>
              </w:rPr>
            </w:pPr>
            <w:r>
              <w:rPr>
                <w:rFonts w:hint="eastAsia" w:ascii="楷体" w:hAnsi="楷体" w:eastAsia="楷体" w:cs="楷体"/>
                <w:szCs w:val="24"/>
              </w:rPr>
              <w:t>报价以人民币报价。供应商应在投标报价表中标明完成本次招标所要求的货物、服务且验收合格的所有费用。对本文件未列明，而投标人认为必需的费用也需列入投标总报价。供应商所报的价格应考虑到可能发生的所有与完成本项目相关服务及履行合同义务有关的一切费用，任何有选择的报价将不予接受，按无效投标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9" w:hRule="atLeast"/>
          <w:jc w:val="center"/>
        </w:trPr>
        <w:tc>
          <w:tcPr>
            <w:tcW w:w="603" w:type="dxa"/>
            <w:vAlign w:val="center"/>
          </w:tcPr>
          <w:p>
            <w:pPr>
              <w:spacing w:line="360" w:lineRule="auto"/>
              <w:jc w:val="center"/>
              <w:rPr>
                <w:rFonts w:ascii="楷体" w:hAnsi="楷体" w:eastAsia="楷体" w:cs="楷体"/>
                <w:szCs w:val="24"/>
              </w:rPr>
            </w:pPr>
            <w:r>
              <w:rPr>
                <w:rFonts w:hint="eastAsia" w:ascii="楷体" w:hAnsi="楷体" w:eastAsia="楷体" w:cs="楷体"/>
                <w:szCs w:val="24"/>
              </w:rPr>
              <w:t>6</w:t>
            </w:r>
          </w:p>
        </w:tc>
        <w:tc>
          <w:tcPr>
            <w:tcW w:w="931" w:type="dxa"/>
            <w:vAlign w:val="center"/>
          </w:tcPr>
          <w:p>
            <w:pPr>
              <w:spacing w:line="360" w:lineRule="auto"/>
              <w:jc w:val="center"/>
              <w:rPr>
                <w:rFonts w:ascii="楷体" w:hAnsi="楷体" w:eastAsia="楷体" w:cs="楷体"/>
                <w:szCs w:val="24"/>
              </w:rPr>
            </w:pPr>
            <w:r>
              <w:rPr>
                <w:rFonts w:hint="eastAsia" w:ascii="楷体" w:hAnsi="楷体" w:eastAsia="楷体" w:cs="楷体"/>
                <w:szCs w:val="24"/>
              </w:rPr>
              <w:t>13.1</w:t>
            </w:r>
          </w:p>
        </w:tc>
        <w:tc>
          <w:tcPr>
            <w:tcW w:w="7322" w:type="dxa"/>
          </w:tcPr>
          <w:p>
            <w:pPr>
              <w:spacing w:line="360" w:lineRule="auto"/>
              <w:rPr>
                <w:rFonts w:ascii="楷体" w:hAnsi="楷体" w:eastAsia="楷体" w:cs="楷体"/>
                <w:szCs w:val="24"/>
              </w:rPr>
            </w:pPr>
            <w:r>
              <w:rPr>
                <w:rFonts w:hint="eastAsia" w:ascii="楷体" w:hAnsi="楷体" w:eastAsia="楷体" w:cs="楷体"/>
                <w:b/>
                <w:bCs/>
                <w:szCs w:val="24"/>
              </w:rPr>
              <w:t>投标人资质要求：</w:t>
            </w:r>
          </w:p>
          <w:p>
            <w:pPr>
              <w:spacing w:line="360" w:lineRule="auto"/>
              <w:rPr>
                <w:rFonts w:ascii="楷体" w:hAnsi="楷体" w:eastAsia="楷体" w:cs="楷体"/>
                <w:szCs w:val="24"/>
              </w:rPr>
            </w:pPr>
            <w:r>
              <w:rPr>
                <w:rFonts w:hint="eastAsia" w:ascii="楷体" w:hAnsi="楷体" w:eastAsia="楷体" w:cs="楷体"/>
                <w:szCs w:val="24"/>
              </w:rPr>
              <w:t>1、投标人具备《中华人民共和国政府采购法》第二十二条规定之资格条件。须提供的证明材料有：</w:t>
            </w:r>
          </w:p>
          <w:p>
            <w:pPr>
              <w:pStyle w:val="23"/>
              <w:spacing w:beforeAutospacing="0" w:afterAutospacing="0" w:line="360" w:lineRule="auto"/>
              <w:rPr>
                <w:rFonts w:hint="eastAsia" w:ascii="楷体" w:hAnsi="楷体" w:eastAsia="楷体" w:cs="楷体"/>
              </w:rPr>
            </w:pPr>
            <w:r>
              <w:rPr>
                <w:rFonts w:hint="eastAsia" w:ascii="楷体" w:hAnsi="楷体" w:eastAsia="楷体" w:cs="楷体"/>
              </w:rPr>
              <w:t>1.1提供有效合格的具有社会统一信用代码的营业执照，其他组织经营的须提供合法凭证，自然人提供身份证明文件;</w:t>
            </w:r>
          </w:p>
          <w:p>
            <w:pPr>
              <w:pStyle w:val="23"/>
              <w:spacing w:beforeAutospacing="0" w:afterAutospacing="0" w:line="360" w:lineRule="auto"/>
              <w:rPr>
                <w:rFonts w:ascii="楷体" w:hAnsi="楷体" w:eastAsia="楷体" w:cs="楷体"/>
                <w:color w:val="0000FF"/>
              </w:rPr>
            </w:pPr>
            <w:r>
              <w:rPr>
                <w:rFonts w:hint="eastAsia" w:ascii="楷体" w:hAnsi="楷体" w:eastAsia="楷体" w:cs="楷体"/>
                <w:lang w:val="en-US" w:eastAsia="zh-CN"/>
              </w:rPr>
              <w:t>1.2</w:t>
            </w:r>
            <w:r>
              <w:rPr>
                <w:rFonts w:hint="eastAsia" w:ascii="楷体" w:hAnsi="楷体" w:eastAsia="楷体" w:cs="楷体"/>
              </w:rPr>
              <w:t>对列入“信用中国”网站(www.creditchina.gov.cn)“记录失信被执行人或重大税收违法案件当事人名单或企业经营异常名录”记录名单及中国政府采购网(www.ccgp.gov.cn)“政府采购严重违法失信行为信息记录”的投标人，</w:t>
            </w:r>
            <w:r>
              <w:rPr>
                <w:rFonts w:hint="eastAsia" w:ascii="楷体" w:hAnsi="楷体" w:eastAsia="楷体" w:cs="楷体"/>
                <w:lang w:eastAsia="zh-CN"/>
              </w:rPr>
              <w:t>禁止</w:t>
            </w:r>
            <w:r>
              <w:rPr>
                <w:rFonts w:hint="eastAsia" w:ascii="楷体" w:hAnsi="楷体" w:eastAsia="楷体" w:cs="楷体"/>
              </w:rPr>
              <w:t>参与政府采购活动（附投标截止日前的查询结果但以投标截止日当天查询结果为准）;</w:t>
            </w:r>
          </w:p>
          <w:p>
            <w:pPr>
              <w:pStyle w:val="23"/>
              <w:spacing w:beforeAutospacing="0" w:afterAutospacing="0" w:line="360" w:lineRule="auto"/>
              <w:rPr>
                <w:rFonts w:hint="eastAsia" w:ascii="楷体" w:hAnsi="楷体" w:eastAsia="楷体" w:cs="楷体"/>
                <w:lang w:val="en-US" w:eastAsia="zh-CN"/>
              </w:rPr>
            </w:pPr>
            <w:r>
              <w:rPr>
                <w:rFonts w:hint="eastAsia" w:ascii="楷体" w:hAnsi="楷体" w:eastAsia="楷体" w:cs="楷体"/>
              </w:rPr>
              <w:t>1.</w:t>
            </w:r>
            <w:r>
              <w:rPr>
                <w:rFonts w:hint="eastAsia" w:ascii="楷体" w:hAnsi="楷体" w:eastAsia="楷体" w:cs="楷体"/>
                <w:lang w:val="en-US" w:eastAsia="zh-CN"/>
              </w:rPr>
              <w:t>3</w:t>
            </w:r>
            <w:r>
              <w:rPr>
                <w:rFonts w:hint="eastAsia" w:ascii="楷体" w:hAnsi="楷体" w:eastAsia="楷体" w:cs="楷体"/>
              </w:rPr>
              <w:t>投标保证金交纳凭证（保证金交纳凭证复印件加盖公章）</w:t>
            </w:r>
            <w:r>
              <w:rPr>
                <w:rFonts w:hint="eastAsia" w:ascii="楷体" w:hAnsi="楷体" w:eastAsia="楷体" w:cs="楷体"/>
                <w:lang w:eastAsia="zh-CN"/>
              </w:rPr>
              <w:t>；</w:t>
            </w:r>
          </w:p>
          <w:p>
            <w:pPr>
              <w:pStyle w:val="23"/>
              <w:spacing w:beforeAutospacing="0" w:afterAutospacing="0" w:line="360" w:lineRule="auto"/>
              <w:rPr>
                <w:rFonts w:ascii="楷体" w:hAnsi="楷体" w:eastAsia="楷体" w:cs="楷体"/>
              </w:rPr>
            </w:pPr>
            <w:r>
              <w:rPr>
                <w:rFonts w:hint="eastAsia" w:ascii="楷体" w:hAnsi="楷体" w:eastAsia="楷体" w:cs="楷体"/>
                <w:lang w:val="en-US" w:eastAsia="zh-CN"/>
              </w:rPr>
              <w:t>1.4</w:t>
            </w:r>
            <w:r>
              <w:rPr>
                <w:rFonts w:hint="eastAsia" w:ascii="楷体" w:hAnsi="楷体" w:eastAsia="楷体" w:cs="楷体"/>
              </w:rPr>
              <w:t>财务状况报告：提供2021年度经审计的财务报告或开标日期前三个月内其基本存款账户开户银行出具的资信证明及基本存款账户开户许可证（基本账户信息表）；</w:t>
            </w:r>
          </w:p>
          <w:p>
            <w:pPr>
              <w:pStyle w:val="23"/>
              <w:spacing w:beforeAutospacing="0" w:afterAutospacing="0" w:line="360" w:lineRule="auto"/>
              <w:rPr>
                <w:rFonts w:ascii="楷体" w:hAnsi="楷体" w:eastAsia="楷体" w:cs="楷体"/>
              </w:rPr>
            </w:pPr>
            <w:r>
              <w:rPr>
                <w:rFonts w:hint="eastAsia" w:ascii="楷体" w:hAnsi="楷体" w:eastAsia="楷体" w:cs="楷体"/>
              </w:rPr>
              <w:t>1.</w:t>
            </w:r>
            <w:r>
              <w:rPr>
                <w:rFonts w:hint="eastAsia" w:ascii="楷体" w:hAnsi="楷体" w:eastAsia="楷体" w:cs="楷体"/>
                <w:lang w:val="en-US" w:eastAsia="zh-CN"/>
              </w:rPr>
              <w:t>5</w:t>
            </w:r>
            <w:r>
              <w:rPr>
                <w:rFonts w:hint="eastAsia" w:ascii="楷体" w:hAnsi="楷体" w:eastAsia="楷体" w:cs="楷体"/>
              </w:rPr>
              <w:t>税收缴纳证明：提供2022年1月至今已缴纳的连续陆个月的纳税证明，依法免税的单位应提供相关证明材料；</w:t>
            </w:r>
          </w:p>
          <w:p>
            <w:pPr>
              <w:pStyle w:val="23"/>
              <w:spacing w:beforeAutospacing="0" w:afterAutospacing="0" w:line="360" w:lineRule="auto"/>
              <w:rPr>
                <w:rFonts w:ascii="楷体" w:hAnsi="楷体" w:eastAsia="楷体" w:cs="楷体"/>
              </w:rPr>
            </w:pPr>
            <w:r>
              <w:rPr>
                <w:rFonts w:hint="eastAsia" w:ascii="楷体" w:hAnsi="楷体" w:eastAsia="楷体" w:cs="楷体"/>
              </w:rPr>
              <w:t>1.</w:t>
            </w:r>
            <w:r>
              <w:rPr>
                <w:rFonts w:hint="eastAsia" w:ascii="楷体" w:hAnsi="楷体" w:eastAsia="楷体" w:cs="楷体"/>
                <w:lang w:val="en-US" w:eastAsia="zh-CN"/>
              </w:rPr>
              <w:t>6</w:t>
            </w:r>
            <w:r>
              <w:rPr>
                <w:rFonts w:hint="eastAsia" w:ascii="楷体" w:hAnsi="楷体" w:eastAsia="楷体" w:cs="楷体"/>
              </w:rPr>
              <w:t>社会保障资金缴纳证明：提供2022年1月至今已缴存的连续陆个月的社会保障资金缴存单据或社保机构开具的社会保险参保缴费情况证明，依法不需要缴纳社会保障资金的单位应提供相关证明材料；</w:t>
            </w:r>
          </w:p>
          <w:p>
            <w:pPr>
              <w:pStyle w:val="23"/>
              <w:spacing w:beforeAutospacing="0" w:afterAutospacing="0" w:line="360" w:lineRule="auto"/>
              <w:rPr>
                <w:rFonts w:ascii="楷体" w:hAnsi="楷体" w:eastAsia="楷体" w:cs="楷体"/>
              </w:rPr>
            </w:pPr>
            <w:r>
              <w:rPr>
                <w:rFonts w:hint="eastAsia" w:ascii="楷体" w:hAnsi="楷体" w:eastAsia="楷体" w:cs="楷体"/>
              </w:rPr>
              <w:t>1.</w:t>
            </w:r>
            <w:r>
              <w:rPr>
                <w:rFonts w:hint="eastAsia" w:ascii="楷体" w:hAnsi="楷体" w:eastAsia="楷体" w:cs="楷体"/>
                <w:lang w:val="en-US" w:eastAsia="zh-CN"/>
              </w:rPr>
              <w:t>7</w:t>
            </w:r>
            <w:r>
              <w:rPr>
                <w:rFonts w:hint="eastAsia" w:ascii="楷体" w:hAnsi="楷体" w:eastAsia="楷体" w:cs="楷体"/>
              </w:rPr>
              <w:t>具备履行合同所必须的设备和专业技术能力的书面声明;</w:t>
            </w:r>
          </w:p>
          <w:p>
            <w:pPr>
              <w:pStyle w:val="23"/>
              <w:spacing w:beforeAutospacing="0" w:afterAutospacing="0" w:line="360" w:lineRule="auto"/>
              <w:rPr>
                <w:rFonts w:hint="eastAsia" w:ascii="楷体" w:hAnsi="楷体" w:eastAsia="楷体" w:cs="楷体"/>
              </w:rPr>
            </w:pPr>
            <w:r>
              <w:rPr>
                <w:rFonts w:hint="eastAsia" w:ascii="楷体" w:hAnsi="楷体" w:eastAsia="楷体" w:cs="楷体"/>
              </w:rPr>
              <w:t>1.</w:t>
            </w:r>
            <w:r>
              <w:rPr>
                <w:rFonts w:hint="eastAsia" w:ascii="楷体" w:hAnsi="楷体" w:eastAsia="楷体" w:cs="楷体"/>
                <w:lang w:val="en-US" w:eastAsia="zh-CN"/>
              </w:rPr>
              <w:t>8</w:t>
            </w:r>
            <w:r>
              <w:rPr>
                <w:rFonts w:hint="eastAsia" w:ascii="楷体" w:hAnsi="楷体" w:eastAsia="楷体" w:cs="楷体"/>
              </w:rPr>
              <w:t>参加政府采购活动前三年内，在经营活动中没有重大违法记录的书面声明；</w:t>
            </w:r>
          </w:p>
          <w:p>
            <w:pPr>
              <w:pStyle w:val="23"/>
              <w:spacing w:beforeAutospacing="0" w:afterAutospacing="0" w:line="360" w:lineRule="auto"/>
              <w:rPr>
                <w:rFonts w:ascii="楷体" w:hAnsi="楷体" w:eastAsia="楷体" w:cs="楷体"/>
              </w:rPr>
            </w:pPr>
            <w:r>
              <w:rPr>
                <w:rFonts w:hint="eastAsia" w:ascii="楷体" w:hAnsi="楷体" w:eastAsia="楷体" w:cs="楷体"/>
              </w:rPr>
              <w:t>2.特定资格条件</w:t>
            </w:r>
          </w:p>
          <w:p>
            <w:pPr>
              <w:pStyle w:val="23"/>
              <w:spacing w:beforeAutospacing="0" w:afterAutospacing="0" w:line="480" w:lineRule="exact"/>
              <w:jc w:val="both"/>
              <w:textAlignment w:val="baseline"/>
              <w:rPr>
                <w:rFonts w:ascii="楷体" w:hAnsi="楷体" w:eastAsia="楷体" w:cs="楷体"/>
                <w:b/>
                <w:bCs/>
              </w:rPr>
            </w:pPr>
            <w:r>
              <w:rPr>
                <w:rFonts w:hint="eastAsia" w:ascii="楷体" w:hAnsi="楷体" w:eastAsia="楷体" w:cs="楷体"/>
                <w:b/>
                <w:bCs/>
              </w:rPr>
              <w:t>合同包（包1、包2、包3、包4、包5）特定资格要求如下:</w:t>
            </w:r>
          </w:p>
          <w:p>
            <w:pPr>
              <w:pStyle w:val="23"/>
              <w:spacing w:beforeAutospacing="0" w:afterAutospacing="0" w:line="480" w:lineRule="exact"/>
              <w:ind w:firstLine="480" w:firstLineChars="200"/>
              <w:jc w:val="both"/>
              <w:textAlignment w:val="baseline"/>
              <w:rPr>
                <w:rFonts w:ascii="楷体" w:hAnsi="楷体" w:eastAsia="楷体" w:cs="楷体"/>
                <w:color w:val="0000FF"/>
              </w:rPr>
            </w:pPr>
            <w:r>
              <w:rPr>
                <w:rFonts w:hint="eastAsia" w:ascii="楷体" w:hAnsi="楷体" w:eastAsia="楷体" w:cs="楷体"/>
              </w:rPr>
              <w:t>拟派项目负责人须具备相关专业（系统集成、通信、电子工程、机电安装等专业）高级工程</w:t>
            </w:r>
            <w:r>
              <w:rPr>
                <w:rFonts w:hint="eastAsia" w:ascii="楷体" w:hAnsi="楷体" w:eastAsia="楷体" w:cs="楷体"/>
                <w:color w:val="auto"/>
              </w:rPr>
              <w:t>师</w:t>
            </w:r>
            <w:r>
              <w:rPr>
                <w:rFonts w:hint="eastAsia" w:ascii="楷体" w:hAnsi="楷体" w:eastAsia="楷体" w:cs="楷体"/>
                <w:color w:val="auto"/>
                <w:highlight w:val="none"/>
              </w:rPr>
              <w:t>及</w:t>
            </w:r>
            <w:r>
              <w:rPr>
                <w:rFonts w:hint="eastAsia" w:ascii="楷体" w:hAnsi="楷体" w:eastAsia="楷体" w:cs="楷体"/>
                <w:highlight w:val="none"/>
              </w:rPr>
              <w:t>以上技术职称</w:t>
            </w:r>
            <w:r>
              <w:rPr>
                <w:rFonts w:hint="eastAsia" w:ascii="楷体" w:hAnsi="楷体" w:eastAsia="楷体" w:cs="楷体"/>
                <w:color w:val="auto"/>
                <w:highlight w:val="none"/>
              </w:rPr>
              <w:t>资格证书</w:t>
            </w:r>
            <w:r>
              <w:rPr>
                <w:rFonts w:hint="eastAsia" w:ascii="楷体" w:hAnsi="楷体" w:eastAsia="楷体" w:cs="楷体"/>
                <w:highlight w:val="none"/>
              </w:rPr>
              <w:t>。</w:t>
            </w:r>
          </w:p>
          <w:p>
            <w:pPr>
              <w:spacing w:line="360" w:lineRule="auto"/>
              <w:jc w:val="left"/>
              <w:rPr>
                <w:rFonts w:ascii="楷体" w:hAnsi="楷体" w:eastAsia="楷体" w:cs="楷体"/>
              </w:rPr>
            </w:pPr>
            <w:r>
              <w:rPr>
                <w:rFonts w:hint="eastAsia" w:ascii="楷体" w:hAnsi="楷体" w:eastAsia="楷体" w:cs="楷体"/>
                <w:b/>
                <w:bCs/>
                <w:szCs w:val="24"/>
              </w:rPr>
              <w:t>备注：</w:t>
            </w:r>
            <w:r>
              <w:rPr>
                <w:rFonts w:hint="eastAsia" w:ascii="楷体" w:hAnsi="楷体" w:eastAsia="楷体" w:cs="仿宋"/>
                <w:szCs w:val="24"/>
              </w:rPr>
              <w:t>上述资格证明文件为必备资格，资格证明文件应加盖投标单位鲜公章，缺项或者符合性、有效性、合法性审核不合格的，按无效投标处理。</w:t>
            </w:r>
            <w:r>
              <w:rPr>
                <w:rFonts w:hint="eastAsia" w:ascii="楷体" w:hAnsi="楷体" w:eastAsia="楷体" w:cs="仿宋"/>
                <w:b/>
                <w:bCs/>
                <w:szCs w:val="24"/>
              </w:rPr>
              <w:t>开标时各投标人须携带资格证明文件原件备查。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6" w:hRule="exact"/>
          <w:jc w:val="center"/>
        </w:trPr>
        <w:tc>
          <w:tcPr>
            <w:tcW w:w="603" w:type="dxa"/>
            <w:vAlign w:val="center"/>
          </w:tcPr>
          <w:p>
            <w:pPr>
              <w:spacing w:line="360" w:lineRule="auto"/>
              <w:jc w:val="center"/>
              <w:rPr>
                <w:rFonts w:ascii="楷体" w:hAnsi="楷体" w:eastAsia="楷体" w:cs="楷体"/>
                <w:szCs w:val="24"/>
              </w:rPr>
            </w:pPr>
            <w:r>
              <w:rPr>
                <w:rFonts w:hint="eastAsia" w:ascii="楷体" w:hAnsi="楷体" w:eastAsia="楷体" w:cs="楷体"/>
                <w:szCs w:val="24"/>
              </w:rPr>
              <w:t>7</w:t>
            </w:r>
          </w:p>
        </w:tc>
        <w:tc>
          <w:tcPr>
            <w:tcW w:w="931" w:type="dxa"/>
            <w:vAlign w:val="center"/>
          </w:tcPr>
          <w:p>
            <w:pPr>
              <w:spacing w:line="360" w:lineRule="auto"/>
              <w:jc w:val="center"/>
              <w:rPr>
                <w:rFonts w:ascii="楷体" w:hAnsi="楷体" w:eastAsia="楷体" w:cs="楷体"/>
                <w:szCs w:val="24"/>
              </w:rPr>
            </w:pPr>
            <w:r>
              <w:rPr>
                <w:rFonts w:hint="eastAsia" w:ascii="楷体" w:hAnsi="楷体" w:eastAsia="楷体" w:cs="楷体"/>
                <w:szCs w:val="24"/>
              </w:rPr>
              <w:t>15.1</w:t>
            </w:r>
          </w:p>
        </w:tc>
        <w:tc>
          <w:tcPr>
            <w:tcW w:w="7322" w:type="dxa"/>
            <w:vAlign w:val="center"/>
          </w:tcPr>
          <w:p>
            <w:pPr>
              <w:spacing w:line="360" w:lineRule="auto"/>
              <w:rPr>
                <w:rFonts w:ascii="楷体" w:hAnsi="楷体" w:eastAsia="楷体" w:cs="楷体"/>
                <w:szCs w:val="24"/>
              </w:rPr>
            </w:pPr>
            <w:r>
              <w:rPr>
                <w:rFonts w:hint="eastAsia" w:ascii="楷体" w:hAnsi="楷体" w:eastAsia="楷体" w:cs="楷体"/>
                <w:szCs w:val="24"/>
              </w:rPr>
              <w:t>投标有效期（含授权有效期）：递交投标文件的截止之日起90个日历天。中标人的投标文件有效期自动延长至项目质保期结束。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35" w:hRule="atLeast"/>
          <w:jc w:val="center"/>
        </w:trPr>
        <w:tc>
          <w:tcPr>
            <w:tcW w:w="603" w:type="dxa"/>
            <w:vAlign w:val="center"/>
          </w:tcPr>
          <w:p>
            <w:pPr>
              <w:spacing w:line="360" w:lineRule="auto"/>
              <w:jc w:val="center"/>
              <w:rPr>
                <w:rFonts w:ascii="楷体" w:hAnsi="楷体" w:eastAsia="楷体" w:cs="楷体"/>
                <w:szCs w:val="24"/>
              </w:rPr>
            </w:pPr>
            <w:r>
              <w:rPr>
                <w:rFonts w:hint="eastAsia" w:ascii="楷体" w:hAnsi="楷体" w:eastAsia="楷体" w:cs="楷体"/>
                <w:szCs w:val="24"/>
              </w:rPr>
              <w:t>8</w:t>
            </w:r>
          </w:p>
        </w:tc>
        <w:tc>
          <w:tcPr>
            <w:tcW w:w="931" w:type="dxa"/>
            <w:vAlign w:val="center"/>
          </w:tcPr>
          <w:p>
            <w:pPr>
              <w:spacing w:line="360" w:lineRule="auto"/>
              <w:jc w:val="center"/>
              <w:rPr>
                <w:rFonts w:ascii="楷体" w:hAnsi="楷体" w:eastAsia="楷体" w:cs="楷体"/>
                <w:szCs w:val="24"/>
              </w:rPr>
            </w:pPr>
            <w:r>
              <w:rPr>
                <w:rFonts w:hint="eastAsia" w:ascii="楷体" w:hAnsi="楷体" w:eastAsia="楷体" w:cs="楷体"/>
                <w:szCs w:val="24"/>
              </w:rPr>
              <w:t>16</w:t>
            </w:r>
          </w:p>
        </w:tc>
        <w:tc>
          <w:tcPr>
            <w:tcW w:w="7322" w:type="dxa"/>
            <w:vAlign w:val="center"/>
          </w:tcPr>
          <w:p>
            <w:pPr>
              <w:spacing w:line="360" w:lineRule="auto"/>
              <w:rPr>
                <w:rFonts w:ascii="楷体" w:hAnsi="楷体" w:eastAsia="楷体" w:cs="楷体"/>
                <w:szCs w:val="24"/>
              </w:rPr>
            </w:pPr>
            <w:r>
              <w:rPr>
                <w:rFonts w:hint="eastAsia" w:ascii="楷体" w:hAnsi="楷体" w:eastAsia="楷体" w:cs="楷体"/>
                <w:szCs w:val="24"/>
              </w:rPr>
              <w:t>投标保证金：</w:t>
            </w:r>
          </w:p>
          <w:p>
            <w:pPr>
              <w:spacing w:line="360" w:lineRule="auto"/>
              <w:rPr>
                <w:rFonts w:ascii="楷体" w:hAnsi="楷体" w:eastAsia="楷体" w:cs="楷体"/>
                <w:color w:val="auto"/>
                <w:szCs w:val="24"/>
                <w:highlight w:val="none"/>
              </w:rPr>
            </w:pPr>
            <w:r>
              <w:rPr>
                <w:rFonts w:hint="eastAsia" w:ascii="楷体" w:hAnsi="楷体" w:eastAsia="楷体" w:cs="楷体"/>
                <w:color w:val="auto"/>
                <w:szCs w:val="24"/>
                <w:highlight w:val="none"/>
              </w:rPr>
              <w:t>（包1、包2、包3、包4、包5）人民币：伍万元整/标段</w:t>
            </w:r>
            <w:r>
              <w:rPr>
                <w:rFonts w:hint="eastAsia" w:ascii="楷体" w:hAnsi="楷体" w:eastAsia="楷体" w:cs="楷体"/>
                <w:color w:val="auto"/>
                <w:szCs w:val="24"/>
                <w:highlight w:val="none"/>
                <w:lang w:eastAsia="zh-CN"/>
              </w:rPr>
              <w:t>（包）</w:t>
            </w:r>
            <w:r>
              <w:rPr>
                <w:rFonts w:hint="eastAsia" w:ascii="楷体" w:hAnsi="楷体" w:eastAsia="楷体" w:cs="楷体"/>
                <w:color w:val="auto"/>
                <w:szCs w:val="24"/>
                <w:highlight w:val="none"/>
              </w:rPr>
              <w:t>（</w:t>
            </w:r>
            <w:r>
              <w:rPr>
                <w:rFonts w:hint="eastAsia" w:hAnsi="宋体" w:cs="宋体"/>
                <w:color w:val="auto"/>
                <w:szCs w:val="24"/>
                <w:highlight w:val="none"/>
              </w:rPr>
              <w:t>￥</w:t>
            </w:r>
            <w:r>
              <w:rPr>
                <w:rFonts w:hint="eastAsia" w:ascii="楷体" w:hAnsi="楷体" w:eastAsia="楷体" w:cs="楷体"/>
                <w:color w:val="auto"/>
                <w:szCs w:val="24"/>
                <w:highlight w:val="none"/>
              </w:rPr>
              <w:t>：50000.00元）；</w:t>
            </w:r>
          </w:p>
          <w:p>
            <w:pPr>
              <w:spacing w:line="360" w:lineRule="auto"/>
              <w:rPr>
                <w:rFonts w:ascii="楷体" w:hAnsi="楷体" w:eastAsia="楷体" w:cs="楷体"/>
                <w:szCs w:val="24"/>
              </w:rPr>
            </w:pPr>
            <w:r>
              <w:rPr>
                <w:rFonts w:hint="eastAsia" w:ascii="楷体" w:hAnsi="楷体" w:eastAsia="楷体" w:cs="楷体"/>
                <w:szCs w:val="24"/>
              </w:rPr>
              <w:t>投标保证金的有效期与投标有效期一致。</w:t>
            </w:r>
          </w:p>
          <w:p>
            <w:pPr>
              <w:spacing w:line="360" w:lineRule="auto"/>
              <w:rPr>
                <w:rFonts w:ascii="楷体" w:hAnsi="楷体" w:eastAsia="楷体" w:cs="楷体"/>
                <w:szCs w:val="24"/>
              </w:rPr>
            </w:pPr>
            <w:r>
              <w:rPr>
                <w:rFonts w:hint="eastAsia" w:ascii="楷体" w:hAnsi="楷体" w:eastAsia="楷体" w:cs="楷体"/>
                <w:szCs w:val="24"/>
              </w:rPr>
              <w:t>投标保证金的交纳形式：转账、电汇、担保机构保函。</w:t>
            </w:r>
          </w:p>
          <w:p>
            <w:pPr>
              <w:spacing w:line="360" w:lineRule="auto"/>
              <w:rPr>
                <w:rFonts w:ascii="楷体" w:hAnsi="楷体" w:eastAsia="楷体" w:cs="楷体"/>
                <w:szCs w:val="24"/>
              </w:rPr>
            </w:pPr>
            <w:r>
              <w:rPr>
                <w:rFonts w:hint="eastAsia" w:ascii="楷体" w:hAnsi="楷体" w:eastAsia="楷体" w:cs="楷体"/>
                <w:szCs w:val="24"/>
              </w:rPr>
              <w:t>投标人以银行转账、电汇形式交纳投标保证金的（转账时请注明项目编号、标段号），投标结束之后以转账形式退到投标人的账户。</w:t>
            </w:r>
          </w:p>
          <w:p>
            <w:pPr>
              <w:spacing w:line="360" w:lineRule="auto"/>
              <w:rPr>
                <w:rFonts w:ascii="楷体" w:hAnsi="楷体" w:eastAsia="楷体" w:cs="楷体"/>
                <w:szCs w:val="24"/>
              </w:rPr>
            </w:pPr>
            <w:r>
              <w:rPr>
                <w:rFonts w:hint="eastAsia" w:ascii="楷体" w:hAnsi="楷体" w:eastAsia="楷体" w:cs="楷体"/>
                <w:szCs w:val="24"/>
              </w:rPr>
              <w:t>投标人以担保机构保函形式交纳投标保证金的，须在投标文件递交截止时间前将担保机构保函正本原件提交至招标代理机构备案，招标结束之后将担保机构保函正本原件退回，有效期应当符合招标文件规定。</w:t>
            </w:r>
          </w:p>
          <w:p>
            <w:pPr>
              <w:spacing w:line="360" w:lineRule="auto"/>
              <w:rPr>
                <w:rFonts w:ascii="楷体" w:hAnsi="楷体" w:eastAsia="楷体" w:cs="楷体"/>
                <w:szCs w:val="24"/>
              </w:rPr>
            </w:pPr>
            <w:r>
              <w:rPr>
                <w:rFonts w:hint="eastAsia" w:ascii="楷体" w:hAnsi="楷体" w:eastAsia="楷体" w:cs="楷体"/>
                <w:szCs w:val="24"/>
              </w:rPr>
              <w:t>供应商以银行转账、电汇形式交纳投标保证金的截止时间：须在投标文件递交截止时间前存入以下帐户（以到账时间为准）。</w:t>
            </w:r>
          </w:p>
          <w:p>
            <w:pPr>
              <w:spacing w:line="360" w:lineRule="auto"/>
              <w:rPr>
                <w:rFonts w:hint="eastAsia" w:ascii="楷体" w:hAnsi="楷体" w:eastAsia="楷体" w:cs="楷体"/>
                <w:color w:val="000000" w:themeColor="text1"/>
                <w:szCs w:val="24"/>
                <w:lang w:val="en-US" w:eastAsia="zh-CN"/>
              </w:rPr>
            </w:pPr>
            <w:r>
              <w:rPr>
                <w:rFonts w:hint="eastAsia" w:ascii="楷体" w:hAnsi="楷体" w:eastAsia="楷体" w:cs="楷体"/>
                <w:color w:val="000000" w:themeColor="text1"/>
                <w:szCs w:val="24"/>
              </w:rPr>
              <w:t>户名：</w:t>
            </w:r>
            <w:r>
              <w:rPr>
                <w:rFonts w:hint="eastAsia" w:ascii="楷体" w:hAnsi="楷体" w:eastAsia="楷体" w:cs="楷体"/>
                <w:color w:val="000000" w:themeColor="text1"/>
                <w:szCs w:val="24"/>
                <w:lang w:val="en-US" w:eastAsia="zh-CN"/>
              </w:rPr>
              <w:t>华睿诚项目管理有限公司汉中分公司</w:t>
            </w:r>
          </w:p>
          <w:p>
            <w:pPr>
              <w:spacing w:line="360" w:lineRule="auto"/>
              <w:rPr>
                <w:rFonts w:ascii="楷体" w:hAnsi="楷体" w:eastAsia="楷体" w:cs="楷体"/>
                <w:color w:val="000000" w:themeColor="text1"/>
                <w:szCs w:val="24"/>
              </w:rPr>
            </w:pPr>
            <w:r>
              <w:rPr>
                <w:rFonts w:hint="eastAsia" w:ascii="楷体" w:hAnsi="楷体" w:eastAsia="楷体" w:cs="楷体"/>
                <w:color w:val="000000" w:themeColor="text1"/>
                <w:szCs w:val="24"/>
              </w:rPr>
              <w:t>账号：8060</w:t>
            </w:r>
            <w:r>
              <w:rPr>
                <w:rFonts w:hint="eastAsia" w:ascii="楷体" w:hAnsi="楷体" w:eastAsia="楷体" w:cs="楷体"/>
                <w:color w:val="000000" w:themeColor="text1"/>
                <w:szCs w:val="24"/>
                <w:lang w:val="en-US" w:eastAsia="zh-CN"/>
              </w:rPr>
              <w:t xml:space="preserve"> </w:t>
            </w:r>
            <w:r>
              <w:rPr>
                <w:rFonts w:hint="eastAsia" w:ascii="楷体" w:hAnsi="楷体" w:eastAsia="楷体" w:cs="楷体"/>
                <w:color w:val="000000" w:themeColor="text1"/>
                <w:szCs w:val="24"/>
              </w:rPr>
              <w:t>6060</w:t>
            </w:r>
            <w:r>
              <w:rPr>
                <w:rFonts w:hint="eastAsia" w:ascii="楷体" w:hAnsi="楷体" w:eastAsia="楷体" w:cs="楷体"/>
                <w:color w:val="000000" w:themeColor="text1"/>
                <w:szCs w:val="24"/>
                <w:lang w:val="en-US" w:eastAsia="zh-CN"/>
              </w:rPr>
              <w:t xml:space="preserve"> </w:t>
            </w:r>
            <w:r>
              <w:rPr>
                <w:rFonts w:hint="eastAsia" w:ascii="楷体" w:hAnsi="楷体" w:eastAsia="楷体" w:cs="楷体"/>
                <w:color w:val="000000" w:themeColor="text1"/>
                <w:szCs w:val="24"/>
              </w:rPr>
              <w:t>1421</w:t>
            </w:r>
            <w:r>
              <w:rPr>
                <w:rFonts w:hint="eastAsia" w:ascii="楷体" w:hAnsi="楷体" w:eastAsia="楷体" w:cs="楷体"/>
                <w:color w:val="000000" w:themeColor="text1"/>
                <w:szCs w:val="24"/>
                <w:lang w:val="en-US" w:eastAsia="zh-CN"/>
              </w:rPr>
              <w:t xml:space="preserve"> </w:t>
            </w:r>
            <w:r>
              <w:rPr>
                <w:rFonts w:hint="eastAsia" w:ascii="楷体" w:hAnsi="楷体" w:eastAsia="楷体" w:cs="楷体"/>
                <w:color w:val="000000" w:themeColor="text1"/>
                <w:szCs w:val="24"/>
              </w:rPr>
              <w:t>002</w:t>
            </w:r>
            <w:r>
              <w:rPr>
                <w:rFonts w:hint="eastAsia" w:ascii="楷体" w:hAnsi="楷体" w:eastAsia="楷体" w:cs="楷体"/>
                <w:color w:val="000000" w:themeColor="text1"/>
                <w:szCs w:val="24"/>
                <w:lang w:val="en-US" w:eastAsia="zh-CN"/>
              </w:rPr>
              <w:t xml:space="preserve"> </w:t>
            </w:r>
            <w:r>
              <w:rPr>
                <w:rFonts w:hint="eastAsia" w:ascii="楷体" w:hAnsi="楷体" w:eastAsia="楷体" w:cs="楷体"/>
                <w:color w:val="000000" w:themeColor="text1"/>
                <w:szCs w:val="24"/>
              </w:rPr>
              <w:t>099</w:t>
            </w:r>
          </w:p>
          <w:p>
            <w:pPr>
              <w:pStyle w:val="13"/>
              <w:spacing w:line="360" w:lineRule="auto"/>
              <w:jc w:val="both"/>
              <w:rPr>
                <w:rFonts w:hint="eastAsia" w:ascii="楷体" w:hAnsi="楷体" w:eastAsia="楷体" w:cs="楷体"/>
                <w:color w:val="000000" w:themeColor="text1"/>
                <w:szCs w:val="24"/>
              </w:rPr>
            </w:pPr>
            <w:r>
              <w:rPr>
                <w:rFonts w:hint="eastAsia" w:ascii="楷体" w:hAnsi="楷体" w:eastAsia="楷体" w:cs="楷体"/>
                <w:color w:val="000000" w:themeColor="text1"/>
                <w:szCs w:val="24"/>
              </w:rPr>
              <w:t>开户银行：长安银行汉中兴元路支行</w:t>
            </w:r>
          </w:p>
          <w:p>
            <w:pPr>
              <w:spacing w:line="360" w:lineRule="auto"/>
              <w:rPr>
                <w:rFonts w:ascii="楷体" w:hAnsi="楷体" w:eastAsia="楷体" w:cs="楷体"/>
                <w:szCs w:val="24"/>
              </w:rPr>
            </w:pPr>
            <w:r>
              <w:rPr>
                <w:rFonts w:hint="eastAsia" w:ascii="楷体" w:hAnsi="楷体" w:eastAsia="楷体" w:cs="楷体"/>
                <w:szCs w:val="24"/>
              </w:rPr>
              <w:t>投标保证金到达招标代理机构指定账户后，将保证金转账凭证复印件或担保机构出具的保函正本复印件附于投标文件规定处。</w:t>
            </w:r>
          </w:p>
          <w:p>
            <w:pPr>
              <w:spacing w:line="360" w:lineRule="auto"/>
              <w:rPr>
                <w:rFonts w:ascii="楷体" w:hAnsi="楷体" w:eastAsia="楷体" w:cs="楷体"/>
                <w:szCs w:val="24"/>
              </w:rPr>
            </w:pPr>
            <w:r>
              <w:rPr>
                <w:rFonts w:hint="eastAsia" w:ascii="楷体" w:hAnsi="楷体" w:eastAsia="楷体" w:cs="楷体"/>
                <w:b/>
                <w:bCs/>
                <w:szCs w:val="24"/>
              </w:rPr>
              <w:t>注:投标人未按以上要求缴纳投标保证金的，按无效投标处理。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9" w:hRule="atLeast"/>
          <w:jc w:val="center"/>
        </w:trPr>
        <w:tc>
          <w:tcPr>
            <w:tcW w:w="603" w:type="dxa"/>
            <w:vAlign w:val="center"/>
          </w:tcPr>
          <w:p>
            <w:pPr>
              <w:spacing w:line="360" w:lineRule="auto"/>
              <w:jc w:val="center"/>
              <w:rPr>
                <w:rFonts w:ascii="楷体" w:hAnsi="楷体" w:eastAsia="楷体" w:cs="楷体"/>
                <w:szCs w:val="24"/>
              </w:rPr>
            </w:pPr>
            <w:r>
              <w:rPr>
                <w:rFonts w:hint="eastAsia" w:ascii="楷体" w:hAnsi="楷体" w:eastAsia="楷体" w:cs="楷体"/>
                <w:szCs w:val="24"/>
              </w:rPr>
              <w:t>9</w:t>
            </w:r>
          </w:p>
        </w:tc>
        <w:tc>
          <w:tcPr>
            <w:tcW w:w="931" w:type="dxa"/>
            <w:vAlign w:val="center"/>
          </w:tcPr>
          <w:p>
            <w:pPr>
              <w:spacing w:line="360" w:lineRule="auto"/>
              <w:jc w:val="center"/>
              <w:rPr>
                <w:rFonts w:ascii="楷体" w:hAnsi="楷体" w:eastAsia="楷体" w:cs="楷体"/>
                <w:szCs w:val="24"/>
              </w:rPr>
            </w:pPr>
            <w:r>
              <w:rPr>
                <w:rFonts w:hint="eastAsia" w:ascii="楷体" w:hAnsi="楷体" w:eastAsia="楷体" w:cs="楷体"/>
                <w:szCs w:val="24"/>
              </w:rPr>
              <w:t>17.1</w:t>
            </w:r>
          </w:p>
        </w:tc>
        <w:tc>
          <w:tcPr>
            <w:tcW w:w="7322" w:type="dxa"/>
            <w:vAlign w:val="center"/>
          </w:tcPr>
          <w:p>
            <w:pPr>
              <w:spacing w:line="360" w:lineRule="auto"/>
              <w:rPr>
                <w:rFonts w:ascii="楷体" w:hAnsi="楷体" w:eastAsia="楷体" w:cs="楷体"/>
                <w:szCs w:val="24"/>
              </w:rPr>
            </w:pPr>
            <w:r>
              <w:rPr>
                <w:rFonts w:hint="eastAsia" w:ascii="楷体" w:hAnsi="楷体" w:eastAsia="楷体" w:cs="楷体"/>
                <w:szCs w:val="24"/>
              </w:rPr>
              <w:t>正本的份数：壹份；</w:t>
            </w:r>
          </w:p>
          <w:p>
            <w:pPr>
              <w:spacing w:line="360" w:lineRule="auto"/>
              <w:rPr>
                <w:rFonts w:ascii="楷体" w:hAnsi="楷体" w:eastAsia="楷体" w:cs="楷体"/>
                <w:szCs w:val="24"/>
              </w:rPr>
            </w:pPr>
            <w:r>
              <w:rPr>
                <w:rFonts w:hint="eastAsia" w:ascii="楷体" w:hAnsi="楷体" w:eastAsia="楷体" w:cs="楷体"/>
                <w:szCs w:val="24"/>
              </w:rPr>
              <w:t>副本的份数：贰份；</w:t>
            </w:r>
          </w:p>
          <w:p>
            <w:pPr>
              <w:spacing w:line="360" w:lineRule="auto"/>
              <w:rPr>
                <w:rFonts w:ascii="楷体" w:hAnsi="楷体" w:eastAsia="楷体" w:cs="楷体"/>
                <w:szCs w:val="24"/>
              </w:rPr>
            </w:pPr>
            <w:r>
              <w:rPr>
                <w:rFonts w:hint="eastAsia" w:ascii="楷体" w:hAnsi="楷体" w:eastAsia="楷体" w:cs="楷体"/>
                <w:szCs w:val="24"/>
              </w:rPr>
              <w:t>开标一览表：壹份；</w:t>
            </w:r>
          </w:p>
          <w:p>
            <w:pPr>
              <w:spacing w:line="360" w:lineRule="auto"/>
              <w:rPr>
                <w:rFonts w:ascii="楷体" w:hAnsi="楷体" w:eastAsia="楷体" w:cs="楷体"/>
                <w:szCs w:val="24"/>
              </w:rPr>
            </w:pPr>
            <w:r>
              <w:rPr>
                <w:rFonts w:hint="eastAsia" w:ascii="楷体" w:hAnsi="楷体" w:eastAsia="楷体" w:cs="楷体"/>
                <w:szCs w:val="24"/>
              </w:rPr>
              <w:t>电子版（U盘）：壹份（文件命名为投标单位名称）。</w:t>
            </w:r>
          </w:p>
          <w:p>
            <w:pPr>
              <w:spacing w:line="360" w:lineRule="auto"/>
              <w:rPr>
                <w:rFonts w:ascii="楷体" w:hAnsi="楷体" w:eastAsia="楷体" w:cs="楷体"/>
                <w:szCs w:val="24"/>
              </w:rPr>
            </w:pPr>
            <w:r>
              <w:rPr>
                <w:rFonts w:hint="eastAsia" w:ascii="楷体" w:hAnsi="楷体" w:eastAsia="楷体" w:cs="楷体"/>
                <w:szCs w:val="24"/>
              </w:rPr>
              <w:t>电子版包括：</w:t>
            </w:r>
          </w:p>
          <w:p>
            <w:pPr>
              <w:spacing w:line="360" w:lineRule="auto"/>
              <w:rPr>
                <w:rFonts w:ascii="楷体" w:hAnsi="楷体" w:eastAsia="楷体" w:cs="楷体"/>
                <w:szCs w:val="24"/>
              </w:rPr>
            </w:pPr>
            <w:r>
              <w:rPr>
                <w:rFonts w:hint="eastAsia" w:ascii="楷体" w:hAnsi="楷体" w:eastAsia="楷体" w:cs="楷体"/>
                <w:szCs w:val="24"/>
              </w:rPr>
              <w:t>1.与投标文件正本一致的扫描件；</w:t>
            </w:r>
          </w:p>
          <w:p>
            <w:pPr>
              <w:spacing w:line="360" w:lineRule="auto"/>
              <w:rPr>
                <w:rFonts w:ascii="楷体" w:hAnsi="楷体" w:eastAsia="楷体" w:cs="楷体"/>
                <w:szCs w:val="24"/>
              </w:rPr>
            </w:pPr>
            <w:r>
              <w:rPr>
                <w:rFonts w:hint="eastAsia" w:ascii="楷体" w:hAnsi="楷体" w:eastAsia="楷体" w:cs="楷体"/>
                <w:szCs w:val="24"/>
              </w:rPr>
              <w:t>2.word</w:t>
            </w:r>
            <w:r>
              <w:rPr>
                <w:rFonts w:hint="eastAsia" w:ascii="楷体" w:hAnsi="楷体" w:eastAsia="楷体" w:cs="楷体"/>
                <w:szCs w:val="24"/>
                <w:lang w:eastAsia="zh-CN"/>
              </w:rPr>
              <w:t>或</w:t>
            </w:r>
            <w:r>
              <w:rPr>
                <w:rFonts w:hint="eastAsia" w:ascii="楷体" w:hAnsi="楷体" w:eastAsia="楷体" w:cs="楷体"/>
                <w:szCs w:val="24"/>
                <w:lang w:val="en-US" w:eastAsia="zh-CN"/>
              </w:rPr>
              <w:t>PDF</w:t>
            </w:r>
            <w:r>
              <w:rPr>
                <w:rFonts w:hint="eastAsia" w:ascii="楷体" w:hAnsi="楷体" w:eastAsia="楷体" w:cs="楷体"/>
                <w:szCs w:val="24"/>
              </w:rPr>
              <w:t>版投标文件；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2" w:hRule="atLeast"/>
          <w:jc w:val="center"/>
        </w:trPr>
        <w:tc>
          <w:tcPr>
            <w:tcW w:w="603" w:type="dxa"/>
            <w:vAlign w:val="center"/>
          </w:tcPr>
          <w:p>
            <w:pPr>
              <w:spacing w:line="360" w:lineRule="auto"/>
              <w:jc w:val="center"/>
              <w:rPr>
                <w:rFonts w:ascii="楷体" w:hAnsi="楷体" w:eastAsia="楷体" w:cs="楷体"/>
                <w:szCs w:val="24"/>
              </w:rPr>
            </w:pPr>
            <w:r>
              <w:rPr>
                <w:rFonts w:hint="eastAsia" w:ascii="楷体" w:hAnsi="楷体" w:eastAsia="楷体" w:cs="楷体"/>
                <w:szCs w:val="24"/>
              </w:rPr>
              <w:t>10</w:t>
            </w:r>
          </w:p>
        </w:tc>
        <w:tc>
          <w:tcPr>
            <w:tcW w:w="931" w:type="dxa"/>
            <w:vAlign w:val="center"/>
          </w:tcPr>
          <w:p>
            <w:pPr>
              <w:spacing w:line="360" w:lineRule="auto"/>
              <w:jc w:val="center"/>
              <w:rPr>
                <w:rFonts w:ascii="楷体" w:hAnsi="楷体" w:eastAsia="楷体" w:cs="楷体"/>
                <w:szCs w:val="24"/>
              </w:rPr>
            </w:pPr>
            <w:r>
              <w:rPr>
                <w:rFonts w:hint="eastAsia" w:ascii="楷体" w:hAnsi="楷体" w:eastAsia="楷体" w:cs="楷体"/>
                <w:szCs w:val="24"/>
              </w:rPr>
              <w:t>19.2</w:t>
            </w:r>
          </w:p>
        </w:tc>
        <w:tc>
          <w:tcPr>
            <w:tcW w:w="7322" w:type="dxa"/>
            <w:vAlign w:val="center"/>
          </w:tcPr>
          <w:p>
            <w:pPr>
              <w:spacing w:line="360" w:lineRule="auto"/>
              <w:rPr>
                <w:rFonts w:ascii="楷体" w:hAnsi="楷体" w:eastAsia="楷体" w:cs="楷体"/>
                <w:b/>
                <w:szCs w:val="24"/>
              </w:rPr>
            </w:pPr>
            <w:r>
              <w:rPr>
                <w:rFonts w:hint="eastAsia" w:ascii="楷体" w:hAnsi="楷体" w:eastAsia="楷体" w:cs="楷体"/>
                <w:b/>
                <w:szCs w:val="24"/>
              </w:rPr>
              <w:t>投标文件的密封和标记：</w:t>
            </w:r>
          </w:p>
          <w:p>
            <w:pPr>
              <w:spacing w:line="360" w:lineRule="auto"/>
              <w:rPr>
                <w:rFonts w:ascii="楷体" w:hAnsi="楷体" w:eastAsia="楷体" w:cs="楷体"/>
                <w:b/>
                <w:bCs/>
                <w:szCs w:val="24"/>
              </w:rPr>
            </w:pPr>
            <w:r>
              <w:rPr>
                <w:rFonts w:hint="eastAsia" w:ascii="楷体" w:hAnsi="楷体" w:eastAsia="楷体" w:cs="楷体"/>
                <w:b/>
                <w:bCs/>
                <w:szCs w:val="24"/>
              </w:rPr>
              <w:t>密封包装方式：</w:t>
            </w:r>
          </w:p>
          <w:p>
            <w:pPr>
              <w:spacing w:line="360" w:lineRule="auto"/>
              <w:rPr>
                <w:rFonts w:ascii="楷体" w:hAnsi="楷体" w:eastAsia="楷体" w:cs="楷体"/>
                <w:szCs w:val="24"/>
              </w:rPr>
            </w:pPr>
            <w:r>
              <w:rPr>
                <w:rFonts w:hint="eastAsia" w:ascii="楷体" w:hAnsi="楷体" w:eastAsia="楷体" w:cs="楷体"/>
                <w:szCs w:val="24"/>
              </w:rPr>
              <w:t>供应商应将投标文件正本、所有的副本、电子版本、开标一览表分别单独密封在封袋/封箱中（封袋不得有破损）。封袋/封箱应加贴封条，并在封线处加盖供应商公章。</w:t>
            </w:r>
          </w:p>
          <w:p>
            <w:pPr>
              <w:spacing w:line="360" w:lineRule="auto"/>
              <w:rPr>
                <w:rFonts w:ascii="楷体" w:hAnsi="楷体" w:eastAsia="楷体" w:cs="楷体"/>
                <w:b/>
                <w:bCs/>
                <w:szCs w:val="24"/>
              </w:rPr>
            </w:pPr>
            <w:r>
              <w:rPr>
                <w:rFonts w:hint="eastAsia" w:ascii="楷体" w:hAnsi="楷体" w:eastAsia="楷体" w:cs="楷体"/>
                <w:b/>
                <w:bCs/>
                <w:szCs w:val="24"/>
              </w:rPr>
              <w:t>外层包装请按以下要求标记：</w:t>
            </w:r>
          </w:p>
          <w:p>
            <w:pPr>
              <w:spacing w:line="360" w:lineRule="auto"/>
              <w:rPr>
                <w:rFonts w:ascii="楷体" w:hAnsi="楷体" w:eastAsia="楷体" w:cs="楷体"/>
                <w:szCs w:val="24"/>
              </w:rPr>
            </w:pPr>
            <w:r>
              <w:rPr>
                <w:rFonts w:hint="eastAsia" w:ascii="楷体" w:hAnsi="楷体" w:eastAsia="楷体" w:cs="楷体"/>
                <w:szCs w:val="24"/>
              </w:rPr>
              <w:t>（1) 供应商的全称；</w:t>
            </w:r>
          </w:p>
          <w:p>
            <w:pPr>
              <w:spacing w:line="360" w:lineRule="auto"/>
              <w:rPr>
                <w:rFonts w:ascii="楷体" w:hAnsi="楷体" w:eastAsia="楷体" w:cs="楷体"/>
                <w:szCs w:val="24"/>
              </w:rPr>
            </w:pPr>
            <w:r>
              <w:rPr>
                <w:rFonts w:hint="eastAsia" w:ascii="楷体" w:hAnsi="楷体" w:eastAsia="楷体" w:cs="楷体"/>
                <w:szCs w:val="24"/>
              </w:rPr>
              <w:t>（2）投标项目名称、标段、项目编号</w:t>
            </w:r>
          </w:p>
          <w:p>
            <w:pPr>
              <w:spacing w:line="360" w:lineRule="auto"/>
              <w:rPr>
                <w:rFonts w:ascii="楷体" w:hAnsi="楷体" w:eastAsia="楷体" w:cs="楷体"/>
                <w:szCs w:val="24"/>
              </w:rPr>
            </w:pPr>
            <w:r>
              <w:rPr>
                <w:rFonts w:hint="eastAsia" w:ascii="楷体" w:hAnsi="楷体" w:eastAsia="楷体" w:cs="楷体"/>
                <w:szCs w:val="24"/>
              </w:rPr>
              <w:t>（3）正本、副本、“电子版本”、“开标一览表”等信息。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603" w:type="dxa"/>
            <w:vAlign w:val="center"/>
          </w:tcPr>
          <w:p>
            <w:pPr>
              <w:spacing w:line="360" w:lineRule="auto"/>
              <w:jc w:val="center"/>
              <w:rPr>
                <w:rFonts w:ascii="楷体" w:hAnsi="楷体" w:eastAsia="楷体" w:cs="楷体"/>
                <w:szCs w:val="24"/>
              </w:rPr>
            </w:pPr>
            <w:r>
              <w:rPr>
                <w:rFonts w:hint="eastAsia" w:ascii="楷体" w:hAnsi="楷体" w:eastAsia="楷体" w:cs="楷体"/>
                <w:szCs w:val="24"/>
              </w:rPr>
              <w:t>11</w:t>
            </w:r>
          </w:p>
        </w:tc>
        <w:tc>
          <w:tcPr>
            <w:tcW w:w="931" w:type="dxa"/>
            <w:vAlign w:val="center"/>
          </w:tcPr>
          <w:p>
            <w:pPr>
              <w:spacing w:line="360" w:lineRule="auto"/>
              <w:jc w:val="center"/>
              <w:rPr>
                <w:rFonts w:ascii="楷体" w:hAnsi="楷体" w:eastAsia="楷体" w:cs="楷体"/>
                <w:szCs w:val="24"/>
              </w:rPr>
            </w:pPr>
            <w:r>
              <w:rPr>
                <w:rFonts w:hint="eastAsia" w:ascii="楷体" w:hAnsi="楷体" w:eastAsia="楷体" w:cs="楷体"/>
                <w:szCs w:val="24"/>
              </w:rPr>
              <w:t>20.1</w:t>
            </w:r>
          </w:p>
        </w:tc>
        <w:tc>
          <w:tcPr>
            <w:tcW w:w="7322" w:type="dxa"/>
          </w:tcPr>
          <w:p>
            <w:pPr>
              <w:spacing w:line="360" w:lineRule="auto"/>
              <w:rPr>
                <w:rFonts w:ascii="楷体" w:hAnsi="楷体" w:eastAsia="楷体" w:cs="楷体"/>
                <w:szCs w:val="24"/>
              </w:rPr>
            </w:pPr>
            <w:r>
              <w:rPr>
                <w:rFonts w:hint="eastAsia" w:ascii="楷体" w:hAnsi="楷体" w:eastAsia="楷体" w:cs="楷体"/>
                <w:szCs w:val="24"/>
              </w:rPr>
              <w:t>投标文件递交截止时间：详见招标公告。</w:t>
            </w:r>
          </w:p>
          <w:p>
            <w:pPr>
              <w:spacing w:line="360" w:lineRule="auto"/>
              <w:rPr>
                <w:rFonts w:ascii="楷体" w:hAnsi="楷体" w:eastAsia="楷体" w:cs="楷体"/>
                <w:szCs w:val="24"/>
              </w:rPr>
            </w:pPr>
            <w:r>
              <w:rPr>
                <w:rFonts w:hint="eastAsia" w:ascii="楷体" w:hAnsi="楷体" w:eastAsia="楷体" w:cs="楷体"/>
                <w:szCs w:val="24"/>
              </w:rPr>
              <w:t>投标文件递交地址：详见招标公告。</w:t>
            </w:r>
          </w:p>
          <w:p>
            <w:pPr>
              <w:spacing w:line="360" w:lineRule="auto"/>
              <w:rPr>
                <w:rFonts w:ascii="楷体" w:hAnsi="楷体" w:eastAsia="楷体" w:cs="楷体"/>
                <w:szCs w:val="24"/>
              </w:rPr>
            </w:pPr>
            <w:r>
              <w:rPr>
                <w:rFonts w:hint="eastAsia" w:ascii="楷体" w:hAnsi="楷体" w:eastAsia="楷体" w:cs="楷体"/>
                <w:szCs w:val="24"/>
              </w:rPr>
              <w:t>投标文件接收人：华睿诚项目管理有限公司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19" w:hRule="atLeast"/>
          <w:jc w:val="center"/>
        </w:trPr>
        <w:tc>
          <w:tcPr>
            <w:tcW w:w="603" w:type="dxa"/>
            <w:vAlign w:val="center"/>
          </w:tcPr>
          <w:p>
            <w:pPr>
              <w:spacing w:line="360" w:lineRule="auto"/>
              <w:jc w:val="center"/>
              <w:rPr>
                <w:rFonts w:ascii="楷体" w:hAnsi="楷体" w:eastAsia="楷体" w:cs="楷体"/>
                <w:szCs w:val="24"/>
              </w:rPr>
            </w:pPr>
            <w:r>
              <w:rPr>
                <w:rFonts w:hint="eastAsia" w:ascii="楷体" w:hAnsi="楷体" w:eastAsia="楷体" w:cs="楷体"/>
                <w:szCs w:val="24"/>
              </w:rPr>
              <w:t>12</w:t>
            </w:r>
          </w:p>
        </w:tc>
        <w:tc>
          <w:tcPr>
            <w:tcW w:w="931" w:type="dxa"/>
            <w:vAlign w:val="center"/>
          </w:tcPr>
          <w:p>
            <w:pPr>
              <w:spacing w:line="360" w:lineRule="auto"/>
              <w:jc w:val="center"/>
              <w:rPr>
                <w:rFonts w:ascii="楷体" w:hAnsi="楷体" w:eastAsia="楷体" w:cs="楷体"/>
                <w:szCs w:val="24"/>
              </w:rPr>
            </w:pPr>
            <w:r>
              <w:rPr>
                <w:rFonts w:hint="eastAsia" w:ascii="楷体" w:hAnsi="楷体" w:eastAsia="楷体" w:cs="楷体"/>
                <w:szCs w:val="24"/>
              </w:rPr>
              <w:t>22.1</w:t>
            </w:r>
          </w:p>
        </w:tc>
        <w:tc>
          <w:tcPr>
            <w:tcW w:w="7322" w:type="dxa"/>
          </w:tcPr>
          <w:p>
            <w:pPr>
              <w:spacing w:line="360" w:lineRule="auto"/>
              <w:rPr>
                <w:rFonts w:ascii="楷体" w:hAnsi="楷体" w:eastAsia="楷体" w:cs="楷体"/>
                <w:szCs w:val="24"/>
              </w:rPr>
            </w:pPr>
            <w:r>
              <w:rPr>
                <w:rFonts w:hint="eastAsia" w:ascii="楷体" w:hAnsi="楷体" w:eastAsia="楷体" w:cs="楷体"/>
                <w:szCs w:val="24"/>
              </w:rPr>
              <w:t>开标时间：详见招标公告。</w:t>
            </w:r>
          </w:p>
          <w:p>
            <w:pPr>
              <w:spacing w:line="360" w:lineRule="auto"/>
              <w:rPr>
                <w:rFonts w:ascii="楷体" w:hAnsi="楷体" w:eastAsia="楷体" w:cs="楷体"/>
                <w:szCs w:val="24"/>
              </w:rPr>
            </w:pPr>
            <w:r>
              <w:rPr>
                <w:rFonts w:hint="eastAsia" w:ascii="楷体" w:hAnsi="楷体" w:eastAsia="楷体" w:cs="楷体"/>
                <w:szCs w:val="24"/>
              </w:rPr>
              <w:t>开标地点：详见招标公告。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603" w:type="dxa"/>
            <w:vAlign w:val="center"/>
          </w:tcPr>
          <w:p>
            <w:pPr>
              <w:spacing w:line="360" w:lineRule="auto"/>
              <w:jc w:val="center"/>
              <w:rPr>
                <w:rFonts w:ascii="楷体" w:hAnsi="楷体" w:eastAsia="楷体" w:cs="楷体"/>
                <w:szCs w:val="24"/>
              </w:rPr>
            </w:pPr>
            <w:r>
              <w:rPr>
                <w:rFonts w:hint="eastAsia" w:ascii="楷体" w:hAnsi="楷体" w:eastAsia="楷体" w:cs="楷体"/>
                <w:szCs w:val="24"/>
              </w:rPr>
              <w:t>13</w:t>
            </w:r>
          </w:p>
        </w:tc>
        <w:tc>
          <w:tcPr>
            <w:tcW w:w="931" w:type="dxa"/>
            <w:vAlign w:val="center"/>
          </w:tcPr>
          <w:p>
            <w:pPr>
              <w:spacing w:line="360" w:lineRule="auto"/>
              <w:jc w:val="center"/>
              <w:rPr>
                <w:rFonts w:ascii="楷体" w:hAnsi="楷体" w:eastAsia="楷体" w:cs="楷体"/>
                <w:szCs w:val="24"/>
              </w:rPr>
            </w:pPr>
            <w:r>
              <w:rPr>
                <w:rFonts w:hint="eastAsia" w:ascii="楷体" w:hAnsi="楷体" w:eastAsia="楷体" w:cs="楷体"/>
                <w:szCs w:val="24"/>
              </w:rPr>
              <w:t>25.1</w:t>
            </w:r>
          </w:p>
        </w:tc>
        <w:tc>
          <w:tcPr>
            <w:tcW w:w="7322" w:type="dxa"/>
            <w:vAlign w:val="center"/>
          </w:tcPr>
          <w:p>
            <w:pPr>
              <w:spacing w:line="360" w:lineRule="auto"/>
              <w:jc w:val="left"/>
              <w:rPr>
                <w:rFonts w:ascii="楷体" w:hAnsi="楷体" w:eastAsia="楷体" w:cs="楷体"/>
                <w:szCs w:val="24"/>
              </w:rPr>
            </w:pPr>
            <w:r>
              <w:rPr>
                <w:rFonts w:hint="eastAsia" w:ascii="楷体" w:hAnsi="楷体" w:eastAsia="楷体" w:cs="楷体"/>
                <w:b/>
                <w:bCs/>
                <w:szCs w:val="24"/>
              </w:rPr>
              <w:t>评审方法：综合评分法（详见第五章）。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1" w:hRule="atLeast"/>
          <w:jc w:val="center"/>
        </w:trPr>
        <w:tc>
          <w:tcPr>
            <w:tcW w:w="603" w:type="dxa"/>
            <w:vAlign w:val="center"/>
          </w:tcPr>
          <w:p>
            <w:pPr>
              <w:spacing w:line="360" w:lineRule="auto"/>
              <w:jc w:val="center"/>
              <w:rPr>
                <w:rFonts w:ascii="楷体" w:hAnsi="楷体" w:eastAsia="楷体" w:cs="楷体"/>
                <w:szCs w:val="24"/>
              </w:rPr>
            </w:pPr>
            <w:r>
              <w:rPr>
                <w:rFonts w:hint="eastAsia" w:ascii="楷体" w:hAnsi="楷体" w:eastAsia="楷体" w:cs="楷体"/>
                <w:szCs w:val="24"/>
              </w:rPr>
              <w:t>14</w:t>
            </w:r>
          </w:p>
        </w:tc>
        <w:tc>
          <w:tcPr>
            <w:tcW w:w="931" w:type="dxa"/>
            <w:vAlign w:val="center"/>
          </w:tcPr>
          <w:p>
            <w:pPr>
              <w:spacing w:line="360" w:lineRule="auto"/>
              <w:jc w:val="center"/>
              <w:rPr>
                <w:rFonts w:ascii="楷体" w:hAnsi="楷体" w:eastAsia="楷体" w:cs="楷体"/>
                <w:szCs w:val="24"/>
              </w:rPr>
            </w:pPr>
            <w:r>
              <w:rPr>
                <w:rFonts w:hint="eastAsia" w:ascii="楷体" w:hAnsi="楷体" w:eastAsia="楷体" w:cs="楷体"/>
                <w:szCs w:val="24"/>
              </w:rPr>
              <w:t>31</w:t>
            </w:r>
          </w:p>
        </w:tc>
        <w:tc>
          <w:tcPr>
            <w:tcW w:w="7322" w:type="dxa"/>
            <w:vAlign w:val="center"/>
          </w:tcPr>
          <w:p>
            <w:pPr>
              <w:spacing w:line="360" w:lineRule="auto"/>
              <w:rPr>
                <w:rFonts w:ascii="楷体" w:hAnsi="楷体" w:eastAsia="楷体" w:cs="楷体"/>
                <w:szCs w:val="24"/>
              </w:rPr>
            </w:pPr>
            <w:r>
              <w:rPr>
                <w:rFonts w:hint="eastAsia" w:ascii="楷体" w:hAnsi="楷体" w:eastAsia="楷体" w:cs="楷体"/>
                <w:szCs w:val="24"/>
              </w:rPr>
              <w:t>履约保证金:</w:t>
            </w:r>
          </w:p>
          <w:p>
            <w:pPr>
              <w:spacing w:line="360" w:lineRule="auto"/>
              <w:rPr>
                <w:rFonts w:ascii="楷体" w:hAnsi="楷体" w:eastAsia="楷体" w:cs="楷体"/>
                <w:szCs w:val="24"/>
              </w:rPr>
            </w:pPr>
            <w:r>
              <w:rPr>
                <w:rFonts w:hint="eastAsia" w:ascii="楷体" w:hAnsi="楷体" w:eastAsia="楷体" w:cs="楷体"/>
                <w:szCs w:val="24"/>
              </w:rPr>
              <w:t>□ 不要求提供</w:t>
            </w:r>
          </w:p>
          <w:p>
            <w:pPr>
              <w:spacing w:line="360" w:lineRule="auto"/>
              <w:rPr>
                <w:rFonts w:ascii="楷体" w:hAnsi="楷体" w:eastAsia="楷体" w:cs="楷体"/>
                <w:szCs w:val="24"/>
              </w:rPr>
            </w:pPr>
            <w:r>
              <w:rPr>
                <w:rFonts w:hint="eastAsia" w:ascii="楷体" w:hAnsi="楷体" w:eastAsia="楷体" w:cs="楷体"/>
                <w:szCs w:val="24"/>
              </w:rPr>
              <w:t>☑ 要求提供，履约保证金金额为合同金额的10%，提交形式：以支票、汇票、本票等非现金形式提交</w:t>
            </w:r>
            <w:r>
              <w:rPr>
                <w:rFonts w:hint="eastAsia" w:ascii="楷体" w:hAnsi="楷体" w:eastAsia="楷体" w:cs="楷体"/>
                <w:szCs w:val="24"/>
                <w:shd w:val="clear" w:color="auto" w:fill="FFFFFF"/>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603" w:type="dxa"/>
            <w:vAlign w:val="center"/>
          </w:tcPr>
          <w:p>
            <w:pPr>
              <w:spacing w:line="360" w:lineRule="auto"/>
              <w:jc w:val="center"/>
              <w:rPr>
                <w:rFonts w:ascii="楷体" w:hAnsi="楷体" w:eastAsia="楷体" w:cs="楷体"/>
                <w:szCs w:val="24"/>
              </w:rPr>
            </w:pPr>
            <w:r>
              <w:rPr>
                <w:rFonts w:hint="eastAsia" w:ascii="楷体" w:hAnsi="楷体" w:eastAsia="楷体" w:cs="楷体"/>
                <w:szCs w:val="24"/>
              </w:rPr>
              <w:t>15</w:t>
            </w:r>
          </w:p>
        </w:tc>
        <w:tc>
          <w:tcPr>
            <w:tcW w:w="931" w:type="dxa"/>
            <w:vAlign w:val="center"/>
          </w:tcPr>
          <w:p>
            <w:pPr>
              <w:spacing w:line="360" w:lineRule="auto"/>
              <w:jc w:val="center"/>
              <w:rPr>
                <w:rFonts w:ascii="楷体" w:hAnsi="楷体" w:eastAsia="楷体" w:cs="楷体"/>
                <w:szCs w:val="24"/>
              </w:rPr>
            </w:pPr>
            <w:r>
              <w:rPr>
                <w:rFonts w:hint="eastAsia" w:ascii="楷体" w:hAnsi="楷体" w:eastAsia="楷体" w:cs="楷体"/>
                <w:szCs w:val="24"/>
              </w:rPr>
              <w:t>分包、转包</w:t>
            </w:r>
          </w:p>
        </w:tc>
        <w:tc>
          <w:tcPr>
            <w:tcW w:w="7322" w:type="dxa"/>
            <w:vAlign w:val="center"/>
          </w:tcPr>
          <w:p>
            <w:pPr>
              <w:spacing w:line="360" w:lineRule="auto"/>
              <w:rPr>
                <w:rFonts w:ascii="楷体" w:hAnsi="楷体" w:eastAsia="楷体" w:cs="楷体"/>
                <w:szCs w:val="24"/>
              </w:rPr>
            </w:pPr>
            <w:r>
              <w:rPr>
                <w:rFonts w:hint="eastAsia" w:ascii="楷体" w:hAnsi="楷体" w:eastAsia="楷体" w:cs="楷体"/>
                <w:szCs w:val="24"/>
              </w:rPr>
              <w:t>未经甲方许可，乙方不得将项目内容擅自以任何形式进行分包、转包。如经发现，将没收履约保证金，且采购人有权终止合同。同时上报财政部门列入不良行为记录名单，在一至三年内禁止参加政府采购活动并予以通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33" w:hRule="atLeast"/>
          <w:jc w:val="center"/>
        </w:trPr>
        <w:tc>
          <w:tcPr>
            <w:tcW w:w="603" w:type="dxa"/>
            <w:vAlign w:val="center"/>
          </w:tcPr>
          <w:p>
            <w:pPr>
              <w:spacing w:line="360" w:lineRule="auto"/>
              <w:jc w:val="center"/>
              <w:rPr>
                <w:rFonts w:ascii="楷体" w:hAnsi="楷体" w:eastAsia="楷体" w:cs="楷体"/>
                <w:szCs w:val="24"/>
              </w:rPr>
            </w:pPr>
            <w:r>
              <w:rPr>
                <w:rFonts w:hint="eastAsia" w:ascii="楷体" w:hAnsi="楷体" w:eastAsia="楷体" w:cs="楷体"/>
                <w:szCs w:val="24"/>
              </w:rPr>
              <w:t>16</w:t>
            </w:r>
          </w:p>
        </w:tc>
        <w:tc>
          <w:tcPr>
            <w:tcW w:w="931" w:type="dxa"/>
            <w:vAlign w:val="center"/>
          </w:tcPr>
          <w:p>
            <w:pPr>
              <w:spacing w:line="360" w:lineRule="auto"/>
              <w:jc w:val="center"/>
              <w:rPr>
                <w:rFonts w:ascii="楷体" w:hAnsi="楷体" w:eastAsia="楷体" w:cs="楷体"/>
                <w:szCs w:val="24"/>
              </w:rPr>
            </w:pPr>
            <w:r>
              <w:rPr>
                <w:rFonts w:hint="eastAsia" w:ascii="楷体" w:hAnsi="楷体" w:eastAsia="楷体" w:cs="楷体"/>
                <w:szCs w:val="24"/>
              </w:rPr>
              <w:t>现场  踏勘</w:t>
            </w:r>
          </w:p>
        </w:tc>
        <w:tc>
          <w:tcPr>
            <w:tcW w:w="7322" w:type="dxa"/>
            <w:vAlign w:val="center"/>
          </w:tcPr>
          <w:p>
            <w:pPr>
              <w:spacing w:line="360" w:lineRule="auto"/>
              <w:rPr>
                <w:rFonts w:ascii="楷体" w:hAnsi="楷体" w:eastAsia="楷体" w:cs="楷体"/>
                <w:szCs w:val="24"/>
              </w:rPr>
            </w:pPr>
            <w:r>
              <w:rPr>
                <w:rFonts w:hint="eastAsia" w:ascii="楷体" w:hAnsi="楷体" w:eastAsia="楷体" w:cs="楷体"/>
                <w:szCs w:val="24"/>
              </w:rPr>
              <w:t>踏勘方式：自行踏勘</w:t>
            </w:r>
          </w:p>
          <w:p>
            <w:pPr>
              <w:spacing w:line="360" w:lineRule="auto"/>
              <w:rPr>
                <w:rFonts w:ascii="楷体" w:hAnsi="楷体" w:eastAsia="楷体" w:cs="楷体"/>
                <w:szCs w:val="24"/>
              </w:rPr>
            </w:pPr>
            <w:r>
              <w:rPr>
                <w:rFonts w:hint="eastAsia" w:ascii="楷体" w:hAnsi="楷体" w:eastAsia="楷体" w:cs="楷体"/>
                <w:szCs w:val="24"/>
              </w:rPr>
              <w:t>注意事项：1.投标人根据需求自行踏勘；2.可按照本项目采购人联系方式询问有关踏勘事宜；3、投标人各自承担踏勘现场所发生的费用和自身安全责任；3.投标人对本项目地形、地貌、电源、水文、地质、气象、料源(场)、水源、动力、电讯、地下管网、取(弃)土场和交通条件等的描述或说明资料的判断、推断和应用负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33" w:hRule="atLeast"/>
          <w:jc w:val="center"/>
        </w:trPr>
        <w:tc>
          <w:tcPr>
            <w:tcW w:w="603" w:type="dxa"/>
            <w:vAlign w:val="center"/>
          </w:tcPr>
          <w:p>
            <w:pPr>
              <w:spacing w:line="360" w:lineRule="auto"/>
              <w:jc w:val="center"/>
              <w:rPr>
                <w:rFonts w:ascii="楷体" w:hAnsi="楷体" w:eastAsia="楷体" w:cs="楷体"/>
                <w:szCs w:val="24"/>
              </w:rPr>
            </w:pPr>
            <w:r>
              <w:rPr>
                <w:rFonts w:hint="eastAsia" w:ascii="楷体" w:hAnsi="楷体" w:eastAsia="楷体" w:cs="楷体"/>
                <w:szCs w:val="24"/>
              </w:rPr>
              <w:t>17</w:t>
            </w:r>
          </w:p>
        </w:tc>
        <w:tc>
          <w:tcPr>
            <w:tcW w:w="931" w:type="dxa"/>
            <w:vAlign w:val="center"/>
          </w:tcPr>
          <w:p>
            <w:pPr>
              <w:spacing w:line="360" w:lineRule="auto"/>
              <w:jc w:val="center"/>
              <w:rPr>
                <w:rFonts w:ascii="楷体" w:hAnsi="楷体" w:eastAsia="楷体" w:cs="楷体"/>
                <w:szCs w:val="24"/>
              </w:rPr>
            </w:pPr>
            <w:r>
              <w:rPr>
                <w:rFonts w:hint="eastAsia" w:ascii="楷体" w:hAnsi="楷体" w:eastAsia="楷体" w:cs="楷体"/>
                <w:szCs w:val="24"/>
              </w:rPr>
              <w:t>同义</w:t>
            </w:r>
          </w:p>
          <w:p>
            <w:pPr>
              <w:spacing w:line="360" w:lineRule="auto"/>
              <w:jc w:val="center"/>
              <w:rPr>
                <w:rFonts w:ascii="楷体" w:hAnsi="楷体" w:eastAsia="楷体" w:cs="楷体"/>
                <w:szCs w:val="24"/>
              </w:rPr>
            </w:pPr>
            <w:r>
              <w:rPr>
                <w:rFonts w:hint="eastAsia" w:ascii="楷体" w:hAnsi="楷体" w:eastAsia="楷体" w:cs="楷体"/>
                <w:szCs w:val="24"/>
              </w:rPr>
              <w:t>词语</w:t>
            </w:r>
          </w:p>
        </w:tc>
        <w:tc>
          <w:tcPr>
            <w:tcW w:w="7322" w:type="dxa"/>
            <w:vAlign w:val="center"/>
          </w:tcPr>
          <w:p>
            <w:pPr>
              <w:spacing w:line="360" w:lineRule="auto"/>
              <w:rPr>
                <w:rFonts w:ascii="楷体" w:hAnsi="楷体" w:eastAsia="楷体" w:cs="楷体"/>
                <w:szCs w:val="24"/>
              </w:rPr>
            </w:pPr>
            <w:r>
              <w:rPr>
                <w:rFonts w:hint="eastAsia" w:ascii="楷体" w:hAnsi="楷体" w:eastAsia="楷体" w:cs="楷体"/>
                <w:szCs w:val="24"/>
              </w:rPr>
              <w:t>构成招标文件组成部分的各章节中出现的措辞“委托人”、“发包人”、和“投标人”、“承包人”，在招标投标阶段应当分别按“采购人”和“投标人”进行理解。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7" w:hRule="atLeast"/>
          <w:jc w:val="center"/>
        </w:trPr>
        <w:tc>
          <w:tcPr>
            <w:tcW w:w="603" w:type="dxa"/>
            <w:vAlign w:val="center"/>
          </w:tcPr>
          <w:p>
            <w:pPr>
              <w:spacing w:line="360" w:lineRule="auto"/>
              <w:jc w:val="center"/>
              <w:rPr>
                <w:rFonts w:ascii="楷体" w:hAnsi="楷体" w:eastAsia="楷体" w:cs="楷体"/>
                <w:szCs w:val="24"/>
              </w:rPr>
            </w:pPr>
            <w:r>
              <w:rPr>
                <w:rFonts w:hint="eastAsia" w:ascii="楷体" w:hAnsi="楷体" w:eastAsia="楷体" w:cs="楷体"/>
                <w:szCs w:val="24"/>
              </w:rPr>
              <w:t>18</w:t>
            </w:r>
          </w:p>
        </w:tc>
        <w:tc>
          <w:tcPr>
            <w:tcW w:w="931" w:type="dxa"/>
            <w:vAlign w:val="center"/>
          </w:tcPr>
          <w:p>
            <w:pPr>
              <w:spacing w:line="360" w:lineRule="auto"/>
              <w:jc w:val="center"/>
              <w:rPr>
                <w:rFonts w:ascii="楷体" w:hAnsi="楷体" w:eastAsia="楷体" w:cs="楷体"/>
                <w:szCs w:val="24"/>
              </w:rPr>
            </w:pPr>
            <w:r>
              <w:rPr>
                <w:rFonts w:hint="eastAsia" w:ascii="楷体" w:hAnsi="楷体" w:eastAsia="楷体" w:cs="楷体"/>
                <w:szCs w:val="24"/>
              </w:rPr>
              <w:t>进口  产品</w:t>
            </w:r>
          </w:p>
        </w:tc>
        <w:tc>
          <w:tcPr>
            <w:tcW w:w="7322" w:type="dxa"/>
            <w:vAlign w:val="center"/>
          </w:tcPr>
          <w:p>
            <w:pPr>
              <w:spacing w:line="360" w:lineRule="auto"/>
              <w:rPr>
                <w:rFonts w:ascii="楷体" w:hAnsi="楷体" w:eastAsia="楷体" w:cs="楷体"/>
                <w:szCs w:val="24"/>
              </w:rPr>
            </w:pPr>
            <w:r>
              <w:rPr>
                <w:rFonts w:hint="eastAsia" w:ascii="楷体" w:hAnsi="楷体" w:eastAsia="楷体" w:cs="楷体"/>
                <w:szCs w:val="24"/>
              </w:rPr>
              <w:t>☑ 本采购项目拒绝进口产品参加投标</w:t>
            </w:r>
          </w:p>
          <w:p>
            <w:pPr>
              <w:spacing w:line="360" w:lineRule="auto"/>
              <w:rPr>
                <w:rFonts w:ascii="楷体" w:hAnsi="楷体" w:eastAsia="楷体" w:cs="楷体"/>
                <w:szCs w:val="24"/>
              </w:rPr>
            </w:pPr>
            <w:r>
              <w:rPr>
                <w:rFonts w:hint="eastAsia" w:ascii="楷体" w:hAnsi="楷体" w:eastAsia="楷体" w:cs="楷体"/>
                <w:szCs w:val="24"/>
              </w:rPr>
              <w:t>□ 本采购项目已经财政部门审核同意购买进口产品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2" w:hRule="atLeast"/>
          <w:jc w:val="center"/>
        </w:trPr>
        <w:tc>
          <w:tcPr>
            <w:tcW w:w="603" w:type="dxa"/>
            <w:vAlign w:val="center"/>
          </w:tcPr>
          <w:p>
            <w:pPr>
              <w:spacing w:line="360" w:lineRule="auto"/>
              <w:jc w:val="center"/>
              <w:rPr>
                <w:rFonts w:ascii="楷体" w:hAnsi="楷体" w:eastAsia="楷体" w:cs="楷体"/>
                <w:szCs w:val="24"/>
              </w:rPr>
            </w:pPr>
            <w:r>
              <w:rPr>
                <w:rFonts w:hint="eastAsia" w:ascii="楷体" w:hAnsi="楷体" w:eastAsia="楷体" w:cs="楷体"/>
                <w:szCs w:val="24"/>
              </w:rPr>
              <w:t>19</w:t>
            </w:r>
          </w:p>
        </w:tc>
        <w:tc>
          <w:tcPr>
            <w:tcW w:w="931" w:type="dxa"/>
            <w:vAlign w:val="center"/>
          </w:tcPr>
          <w:p>
            <w:pPr>
              <w:spacing w:line="360" w:lineRule="auto"/>
              <w:jc w:val="center"/>
              <w:rPr>
                <w:rFonts w:ascii="楷体" w:hAnsi="楷体" w:eastAsia="楷体" w:cs="楷体"/>
                <w:szCs w:val="24"/>
              </w:rPr>
            </w:pPr>
            <w:r>
              <w:rPr>
                <w:rFonts w:hint="eastAsia" w:ascii="楷体" w:hAnsi="楷体" w:eastAsia="楷体" w:cs="楷体"/>
                <w:szCs w:val="24"/>
              </w:rPr>
              <w:t>信用记录查询说明</w:t>
            </w:r>
          </w:p>
        </w:tc>
        <w:tc>
          <w:tcPr>
            <w:tcW w:w="7322" w:type="dxa"/>
            <w:vAlign w:val="center"/>
          </w:tcPr>
          <w:p>
            <w:pPr>
              <w:pStyle w:val="19"/>
              <w:spacing w:line="360" w:lineRule="auto"/>
              <w:rPr>
                <w:rFonts w:ascii="楷体" w:hAnsi="楷体" w:eastAsia="楷体" w:cs="楷体"/>
                <w:szCs w:val="24"/>
              </w:rPr>
            </w:pPr>
            <w:r>
              <w:rPr>
                <w:rFonts w:hint="eastAsia" w:ascii="楷体" w:hAnsi="楷体" w:eastAsia="楷体" w:cs="楷体"/>
                <w:szCs w:val="24"/>
              </w:rPr>
              <w:t>1.依据《财政部关于在政府采购活动中查询及使用信用记录有关问题的通知》（财库【2016】125号）文件中信用查询的要求，通过“信用中国”网站(www.creditchina.gov.cn)和中国政府采购网(www.ccgp.gov.cn) 查询投标人的信用记录，采购人、采购代理机构对各投标人信用记录情况进行查询甄别，并对查询结果以网站截图纸质版或网站截图电子版形式予以留存。</w:t>
            </w:r>
          </w:p>
          <w:p>
            <w:pPr>
              <w:pStyle w:val="19"/>
              <w:spacing w:line="360" w:lineRule="auto"/>
              <w:rPr>
                <w:rFonts w:ascii="楷体" w:hAnsi="楷体" w:eastAsia="楷体" w:cs="楷体"/>
                <w:szCs w:val="24"/>
              </w:rPr>
            </w:pPr>
            <w:r>
              <w:rPr>
                <w:rFonts w:hint="eastAsia" w:ascii="楷体" w:hAnsi="楷体" w:eastAsia="楷体" w:cs="楷体"/>
                <w:szCs w:val="24"/>
              </w:rPr>
              <w:t>2.查询时间：公告发出之日至投标截止时间后2小时内，若查询结果不符合要求，按无效投标处理。</w:t>
            </w:r>
          </w:p>
          <w:p>
            <w:pPr>
              <w:pStyle w:val="19"/>
              <w:spacing w:line="360" w:lineRule="auto"/>
              <w:rPr>
                <w:rFonts w:ascii="楷体" w:hAnsi="楷体" w:eastAsia="楷体" w:cs="楷体"/>
                <w:szCs w:val="24"/>
              </w:rPr>
            </w:pPr>
            <w:r>
              <w:rPr>
                <w:rFonts w:hint="eastAsia" w:ascii="楷体" w:hAnsi="楷体" w:eastAsia="楷体" w:cs="楷体"/>
                <w:szCs w:val="24"/>
              </w:rPr>
              <w:t>3.在本招标文件规定的查询时间之后，网站信息发生的任何变更均不再作为评审依据。</w:t>
            </w:r>
          </w:p>
          <w:p>
            <w:pPr>
              <w:pStyle w:val="19"/>
              <w:spacing w:line="360" w:lineRule="auto"/>
            </w:pPr>
            <w:r>
              <w:rPr>
                <w:rFonts w:hint="eastAsia" w:ascii="楷体" w:hAnsi="楷体" w:eastAsia="楷体" w:cs="楷体"/>
                <w:szCs w:val="24"/>
              </w:rPr>
              <w:t>4.投标人自行提供的与网站信息不一致的其他证明材料亦不作为资格审查依据。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764" w:hRule="atLeast"/>
          <w:jc w:val="center"/>
        </w:trPr>
        <w:tc>
          <w:tcPr>
            <w:tcW w:w="603" w:type="dxa"/>
            <w:vAlign w:val="center"/>
          </w:tcPr>
          <w:p>
            <w:pPr>
              <w:adjustRightInd w:val="0"/>
              <w:spacing w:line="360" w:lineRule="atLeast"/>
              <w:jc w:val="center"/>
              <w:textAlignment w:val="baseline"/>
              <w:rPr>
                <w:rFonts w:hint="default" w:ascii="楷体" w:hAnsi="楷体" w:eastAsia="楷体" w:cs="楷体"/>
                <w:szCs w:val="24"/>
                <w:lang w:val="en-US"/>
              </w:rPr>
            </w:pPr>
            <w:r>
              <w:rPr>
                <w:rFonts w:hint="eastAsia" w:ascii="仿宋" w:hAnsi="仿宋" w:eastAsia="仿宋" w:cs="仿宋"/>
                <w:sz w:val="24"/>
                <w:lang w:val="en-US" w:eastAsia="zh-CN"/>
              </w:rPr>
              <w:t>20</w:t>
            </w:r>
          </w:p>
        </w:tc>
        <w:tc>
          <w:tcPr>
            <w:tcW w:w="931" w:type="dxa"/>
            <w:vAlign w:val="center"/>
          </w:tcPr>
          <w:p>
            <w:pPr>
              <w:spacing w:line="276" w:lineRule="auto"/>
              <w:jc w:val="center"/>
              <w:rPr>
                <w:rFonts w:hint="eastAsia" w:ascii="楷体" w:hAnsi="楷体" w:eastAsia="楷体" w:cs="楷体"/>
                <w:szCs w:val="24"/>
              </w:rPr>
            </w:pPr>
            <w:r>
              <w:rPr>
                <w:rFonts w:hint="eastAsia" w:ascii="楷体" w:hAnsi="楷体" w:eastAsia="楷体" w:cs="楷体"/>
                <w:sz w:val="24"/>
                <w:szCs w:val="24"/>
              </w:rPr>
              <w:t>采购代理服务费</w:t>
            </w:r>
          </w:p>
        </w:tc>
        <w:tc>
          <w:tcPr>
            <w:tcW w:w="7322" w:type="dxa"/>
            <w:vAlign w:val="center"/>
          </w:tcPr>
          <w:p>
            <w:pPr>
              <w:spacing w:line="276" w:lineRule="auto"/>
              <w:rPr>
                <w:rFonts w:hint="eastAsia" w:ascii="楷体" w:hAnsi="楷体" w:eastAsia="楷体" w:cs="楷体"/>
                <w:sz w:val="24"/>
                <w:szCs w:val="24"/>
                <w:lang w:val="en-US" w:eastAsia="zh-CN" w:bidi="ar-SA"/>
              </w:rPr>
            </w:pPr>
            <w:r>
              <w:rPr>
                <w:rFonts w:hint="eastAsia"/>
                <w:lang w:val="en-US" w:eastAsia="zh-CN"/>
              </w:rPr>
              <w:t>1</w:t>
            </w:r>
            <w:r>
              <w:rPr>
                <w:rFonts w:hint="eastAsia" w:ascii="楷体" w:hAnsi="楷体" w:eastAsia="楷体" w:cs="楷体"/>
                <w:sz w:val="24"/>
                <w:szCs w:val="24"/>
                <w:lang w:val="en-US" w:eastAsia="zh-CN" w:bidi="ar-SA"/>
              </w:rPr>
              <w:t>、招标代理费由：由中标单位在领取中标通知书时，一次性支付。</w:t>
            </w:r>
          </w:p>
          <w:p>
            <w:pPr>
              <w:spacing w:line="276" w:lineRule="auto"/>
              <w:rPr>
                <w:rFonts w:hint="eastAsia" w:ascii="楷体" w:hAnsi="楷体" w:eastAsia="楷体" w:cs="楷体"/>
                <w:sz w:val="24"/>
                <w:szCs w:val="24"/>
                <w:lang w:val="en-US" w:eastAsia="zh-CN" w:bidi="ar-SA"/>
              </w:rPr>
            </w:pPr>
            <w:r>
              <w:rPr>
                <w:rFonts w:hint="eastAsia" w:ascii="楷体" w:hAnsi="楷体" w:eastAsia="楷体" w:cs="楷体"/>
                <w:sz w:val="24"/>
                <w:szCs w:val="24"/>
                <w:lang w:val="en-US" w:eastAsia="zh-CN" w:bidi="ar-SA"/>
              </w:rPr>
              <w:t>2、招标代理服务费：依据《招标代理服务收费管理暂行办法》计价[2002]1980号文和《国家发展改革委员会办公厅关于招标代理服务收费有关问题的通知》（发改办价格〔2003〕857号）计取（本项目为货物类，按照货物类计费标准执行）。</w:t>
            </w:r>
          </w:p>
          <w:p>
            <w:pPr>
              <w:pStyle w:val="2"/>
              <w:rPr>
                <w:rFonts w:hint="eastAsia" w:ascii="楷体" w:hAnsi="楷体" w:eastAsia="楷体" w:cs="楷体"/>
                <w:sz w:val="24"/>
                <w:szCs w:val="24"/>
                <w:lang w:val="en-US" w:eastAsia="zh-CN" w:bidi="ar-SA"/>
              </w:rPr>
            </w:pPr>
            <w:r>
              <w:rPr>
                <w:rFonts w:hint="eastAsia" w:ascii="楷体" w:hAnsi="楷体" w:eastAsia="楷体" w:cs="楷体"/>
                <w:sz w:val="24"/>
                <w:szCs w:val="24"/>
                <w:lang w:val="en-US" w:eastAsia="zh-CN" w:bidi="ar-SA"/>
              </w:rPr>
              <w:t xml:space="preserve"> 户  名：华睿诚项目管理有限公司汉中分公司</w:t>
            </w:r>
          </w:p>
          <w:p>
            <w:pPr>
              <w:pStyle w:val="2"/>
              <w:rPr>
                <w:rFonts w:hint="eastAsia" w:ascii="楷体" w:hAnsi="楷体" w:eastAsia="楷体" w:cs="楷体"/>
                <w:sz w:val="24"/>
                <w:szCs w:val="24"/>
                <w:lang w:val="en-US" w:eastAsia="zh-CN" w:bidi="ar-SA"/>
              </w:rPr>
            </w:pPr>
            <w:r>
              <w:rPr>
                <w:rFonts w:hint="eastAsia" w:ascii="楷体" w:hAnsi="楷体" w:eastAsia="楷体" w:cs="楷体"/>
                <w:sz w:val="24"/>
                <w:szCs w:val="24"/>
                <w:lang w:val="en-US" w:eastAsia="zh-CN" w:bidi="ar-SA"/>
              </w:rPr>
              <w:t xml:space="preserve"> 开户行：建行汉中东大街支行</w:t>
            </w:r>
          </w:p>
          <w:p>
            <w:pPr>
              <w:pStyle w:val="2"/>
              <w:rPr>
                <w:rFonts w:hint="eastAsia"/>
              </w:rPr>
            </w:pPr>
            <w:r>
              <w:rPr>
                <w:rFonts w:hint="eastAsia" w:ascii="楷体" w:hAnsi="楷体" w:eastAsia="楷体" w:cs="楷体"/>
                <w:sz w:val="24"/>
                <w:szCs w:val="24"/>
                <w:lang w:val="en-US" w:eastAsia="zh-CN" w:bidi="ar-SA"/>
              </w:rPr>
              <w:t xml:space="preserve"> 账  号：6100 1653 9000 5250 0465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603" w:type="dxa"/>
            <w:vAlign w:val="center"/>
          </w:tcPr>
          <w:p>
            <w:pPr>
              <w:spacing w:line="360" w:lineRule="auto"/>
              <w:jc w:val="center"/>
              <w:rPr>
                <w:rFonts w:hint="eastAsia" w:ascii="楷体" w:hAnsi="楷体" w:eastAsia="楷体" w:cs="楷体"/>
                <w:szCs w:val="24"/>
                <w:lang w:eastAsia="zh-CN"/>
              </w:rPr>
            </w:pPr>
            <w:r>
              <w:rPr>
                <w:rFonts w:hint="eastAsia" w:ascii="楷体" w:hAnsi="楷体" w:eastAsia="楷体" w:cs="楷体"/>
                <w:szCs w:val="24"/>
              </w:rPr>
              <w:t>2</w:t>
            </w:r>
            <w:r>
              <w:rPr>
                <w:rFonts w:hint="eastAsia" w:ascii="楷体" w:hAnsi="楷体" w:eastAsia="楷体" w:cs="楷体"/>
                <w:szCs w:val="24"/>
                <w:lang w:val="en-US" w:eastAsia="zh-CN"/>
              </w:rPr>
              <w:t>1</w:t>
            </w:r>
          </w:p>
        </w:tc>
        <w:tc>
          <w:tcPr>
            <w:tcW w:w="931" w:type="dxa"/>
            <w:vAlign w:val="center"/>
          </w:tcPr>
          <w:p>
            <w:pPr>
              <w:spacing w:line="360" w:lineRule="auto"/>
              <w:jc w:val="center"/>
              <w:rPr>
                <w:rFonts w:ascii="楷体" w:hAnsi="楷体" w:eastAsia="楷体" w:cs="楷体"/>
                <w:szCs w:val="24"/>
              </w:rPr>
            </w:pPr>
            <w:r>
              <w:rPr>
                <w:rFonts w:hint="eastAsia" w:ascii="楷体" w:hAnsi="楷体" w:eastAsia="楷体" w:cs="楷体"/>
                <w:color w:val="auto"/>
                <w:szCs w:val="24"/>
              </w:rPr>
              <w:t>其他</w:t>
            </w:r>
          </w:p>
        </w:tc>
        <w:tc>
          <w:tcPr>
            <w:tcW w:w="7322" w:type="dxa"/>
            <w:vAlign w:val="center"/>
          </w:tcPr>
          <w:p>
            <w:pPr>
              <w:pStyle w:val="19"/>
              <w:spacing w:line="360" w:lineRule="auto"/>
              <w:rPr>
                <w:rFonts w:ascii="楷体" w:hAnsi="楷体" w:eastAsia="楷体" w:cs="楷体"/>
                <w:szCs w:val="24"/>
              </w:rPr>
            </w:pPr>
            <w:r>
              <w:rPr>
                <w:rFonts w:hint="eastAsia" w:ascii="楷体" w:hAnsi="楷体" w:eastAsia="楷体" w:cs="楷体"/>
                <w:szCs w:val="24"/>
              </w:rPr>
              <w:t>1.本项目非专门面向中小企业采购。</w:t>
            </w:r>
          </w:p>
          <w:p>
            <w:pPr>
              <w:pStyle w:val="19"/>
              <w:spacing w:line="360" w:lineRule="auto"/>
              <w:rPr>
                <w:rFonts w:eastAsia="楷体"/>
              </w:rPr>
            </w:pPr>
            <w:r>
              <w:rPr>
                <w:rFonts w:hint="eastAsia" w:ascii="楷体" w:hAnsi="楷体" w:eastAsia="楷体" w:cs="楷体"/>
                <w:szCs w:val="24"/>
              </w:rPr>
              <w:t>2.按照</w:t>
            </w:r>
            <w:r>
              <w:rPr>
                <w:rFonts w:hint="eastAsia" w:ascii="楷体" w:hAnsi="楷体" w:eastAsia="楷体" w:cs="楷体"/>
                <w:szCs w:val="24"/>
                <w:lang w:eastAsia="zh-CN"/>
              </w:rPr>
              <w:t>《关于进一步加大政府采购支持中小企业力度的通知》（财库【2022】19号）</w:t>
            </w:r>
            <w:r>
              <w:rPr>
                <w:rFonts w:hint="eastAsia" w:ascii="楷体" w:hAnsi="楷体" w:eastAsia="楷体" w:cs="楷体"/>
                <w:szCs w:val="24"/>
              </w:rPr>
              <w:t>规定和《中小企业划型标准规定》（工信部联企业〔2011〕300号，本项目采购标的所属行业为</w:t>
            </w:r>
            <w:r>
              <w:rPr>
                <w:rFonts w:hint="eastAsia" w:ascii="楷体" w:hAnsi="楷体" w:eastAsia="楷体" w:cs="楷体"/>
                <w:szCs w:val="24"/>
                <w:lang w:eastAsia="zh-CN"/>
              </w:rPr>
              <w:t>工</w:t>
            </w:r>
            <w:r>
              <w:rPr>
                <w:rFonts w:hint="eastAsia" w:ascii="楷体" w:hAnsi="楷体" w:eastAsia="楷体" w:cs="楷体"/>
                <w:szCs w:val="24"/>
              </w:rPr>
              <w:t>业。</w:t>
            </w:r>
          </w:p>
        </w:tc>
      </w:tr>
      <w:bookmarkEnd w:id="9"/>
      <w:bookmarkEnd w:id="10"/>
      <w:bookmarkEnd w:id="11"/>
    </w:tbl>
    <w:p>
      <w:pPr>
        <w:spacing w:line="360" w:lineRule="auto"/>
        <w:jc w:val="center"/>
        <w:rPr>
          <w:rFonts w:ascii="楷体" w:hAnsi="楷体" w:eastAsia="楷体" w:cs="楷体"/>
          <w:sz w:val="32"/>
          <w:szCs w:val="32"/>
        </w:rPr>
      </w:pPr>
      <w:bookmarkStart w:id="28" w:name="_Toc403077639"/>
      <w:bookmarkStart w:id="29" w:name="_Toc363474017"/>
      <w:bookmarkStart w:id="30" w:name="_Toc363473972"/>
      <w:bookmarkStart w:id="31" w:name="_Toc25783"/>
      <w:bookmarkStart w:id="32" w:name="_Toc403077645"/>
      <w:bookmarkStart w:id="33" w:name="_Toc363474023"/>
      <w:r>
        <w:rPr>
          <w:rFonts w:hint="eastAsia" w:ascii="楷体" w:hAnsi="楷体" w:eastAsia="楷体" w:cs="楷体"/>
          <w:b/>
          <w:sz w:val="32"/>
          <w:szCs w:val="32"/>
        </w:rPr>
        <w:br w:type="page"/>
      </w:r>
      <w:bookmarkEnd w:id="28"/>
      <w:bookmarkEnd w:id="29"/>
      <w:bookmarkEnd w:id="30"/>
      <w:r>
        <w:rPr>
          <w:rFonts w:hint="eastAsia" w:ascii="楷体" w:hAnsi="楷体" w:eastAsia="楷体" w:cs="楷体"/>
          <w:b/>
          <w:sz w:val="32"/>
          <w:szCs w:val="32"/>
        </w:rPr>
        <w:t>一.总  则</w:t>
      </w:r>
    </w:p>
    <w:p>
      <w:pPr>
        <w:spacing w:line="360" w:lineRule="auto"/>
        <w:rPr>
          <w:rFonts w:ascii="楷体" w:hAnsi="楷体" w:eastAsia="楷体" w:cs="楷体"/>
          <w:b/>
          <w:szCs w:val="24"/>
        </w:rPr>
      </w:pPr>
      <w:r>
        <w:rPr>
          <w:rFonts w:hint="eastAsia" w:ascii="楷体" w:hAnsi="楷体" w:eastAsia="楷体" w:cs="楷体"/>
          <w:b/>
          <w:szCs w:val="24"/>
        </w:rPr>
        <w:t>1.资金来源</w:t>
      </w:r>
    </w:p>
    <w:p>
      <w:pPr>
        <w:spacing w:line="360" w:lineRule="auto"/>
        <w:ind w:firstLine="480" w:firstLineChars="200"/>
        <w:rPr>
          <w:rFonts w:ascii="楷体" w:hAnsi="楷体" w:eastAsia="楷体" w:cs="楷体"/>
          <w:szCs w:val="24"/>
        </w:rPr>
      </w:pPr>
      <w:r>
        <w:rPr>
          <w:rFonts w:hint="eastAsia" w:ascii="楷体" w:hAnsi="楷体" w:eastAsia="楷体" w:cs="楷体"/>
          <w:szCs w:val="24"/>
        </w:rPr>
        <w:t>1.1本次公开招标所签合同使用财政资金支付。</w:t>
      </w:r>
    </w:p>
    <w:p>
      <w:pPr>
        <w:spacing w:line="360" w:lineRule="auto"/>
        <w:rPr>
          <w:rFonts w:ascii="楷体" w:hAnsi="楷体" w:eastAsia="楷体" w:cs="楷体"/>
          <w:b/>
          <w:szCs w:val="24"/>
        </w:rPr>
      </w:pPr>
      <w:r>
        <w:rPr>
          <w:rFonts w:hint="eastAsia" w:ascii="楷体" w:hAnsi="楷体" w:eastAsia="楷体" w:cs="楷体"/>
          <w:b/>
          <w:szCs w:val="24"/>
        </w:rPr>
        <w:t>2.招标代理机构及合格的投标人</w:t>
      </w:r>
    </w:p>
    <w:p>
      <w:pPr>
        <w:spacing w:line="360" w:lineRule="auto"/>
        <w:ind w:firstLine="480" w:firstLineChars="200"/>
        <w:rPr>
          <w:rFonts w:ascii="楷体" w:hAnsi="楷体" w:eastAsia="楷体" w:cs="楷体"/>
          <w:szCs w:val="24"/>
        </w:rPr>
      </w:pPr>
      <w:r>
        <w:rPr>
          <w:rFonts w:hint="eastAsia" w:ascii="楷体" w:hAnsi="楷体" w:eastAsia="楷体" w:cs="楷体"/>
          <w:szCs w:val="24"/>
        </w:rPr>
        <w:t>2.1 招标代理机构</w:t>
      </w:r>
    </w:p>
    <w:p>
      <w:pPr>
        <w:spacing w:line="360" w:lineRule="auto"/>
        <w:ind w:firstLine="480" w:firstLineChars="200"/>
        <w:rPr>
          <w:rFonts w:ascii="楷体" w:hAnsi="楷体" w:eastAsia="楷体" w:cs="楷体"/>
          <w:szCs w:val="24"/>
        </w:rPr>
      </w:pPr>
      <w:r>
        <w:rPr>
          <w:rFonts w:hint="eastAsia" w:ascii="楷体" w:hAnsi="楷体" w:eastAsia="楷体" w:cs="楷体"/>
          <w:szCs w:val="24"/>
        </w:rPr>
        <w:t>实施本次招标的招标代理机构为华睿诚项目管理有限公司。</w:t>
      </w:r>
    </w:p>
    <w:p>
      <w:pPr>
        <w:spacing w:line="360" w:lineRule="auto"/>
        <w:ind w:firstLine="480" w:firstLineChars="200"/>
        <w:rPr>
          <w:rFonts w:ascii="楷体" w:hAnsi="楷体" w:eastAsia="楷体" w:cs="楷体"/>
          <w:szCs w:val="24"/>
        </w:rPr>
      </w:pPr>
      <w:r>
        <w:rPr>
          <w:rFonts w:hint="eastAsia" w:ascii="楷体" w:hAnsi="楷体" w:eastAsia="楷体" w:cs="楷体"/>
          <w:szCs w:val="24"/>
        </w:rPr>
        <w:t>2.2合格的投标人：</w:t>
      </w:r>
    </w:p>
    <w:p>
      <w:pPr>
        <w:spacing w:line="360" w:lineRule="auto"/>
        <w:ind w:firstLine="480" w:firstLineChars="200"/>
        <w:rPr>
          <w:rFonts w:ascii="楷体" w:hAnsi="楷体" w:eastAsia="楷体" w:cs="楷体"/>
          <w:szCs w:val="24"/>
        </w:rPr>
      </w:pPr>
      <w:r>
        <w:rPr>
          <w:rFonts w:hint="eastAsia" w:ascii="楷体" w:hAnsi="楷体" w:eastAsia="楷体" w:cs="楷体"/>
          <w:szCs w:val="24"/>
        </w:rPr>
        <w:t>2.2.1投标人应具备的资格条件：见投标人须知前附表。</w:t>
      </w:r>
    </w:p>
    <w:p>
      <w:pPr>
        <w:spacing w:line="360" w:lineRule="auto"/>
        <w:ind w:firstLine="480" w:firstLineChars="200"/>
        <w:rPr>
          <w:rFonts w:ascii="楷体" w:hAnsi="楷体" w:eastAsia="楷体" w:cs="楷体"/>
          <w:szCs w:val="24"/>
        </w:rPr>
      </w:pPr>
      <w:r>
        <w:rPr>
          <w:rFonts w:hint="eastAsia" w:ascii="楷体" w:hAnsi="楷体" w:eastAsia="楷体" w:cs="楷体"/>
          <w:szCs w:val="24"/>
        </w:rPr>
        <w:t>2.2.2投标人不得存在下列情形之一：</w:t>
      </w:r>
    </w:p>
    <w:p>
      <w:pPr>
        <w:spacing w:line="360" w:lineRule="auto"/>
        <w:ind w:firstLine="480" w:firstLineChars="200"/>
        <w:rPr>
          <w:rFonts w:ascii="楷体" w:hAnsi="楷体" w:eastAsia="楷体" w:cs="楷体"/>
          <w:szCs w:val="24"/>
        </w:rPr>
      </w:pPr>
      <w:r>
        <w:rPr>
          <w:rFonts w:hint="eastAsia" w:ascii="楷体" w:hAnsi="楷体" w:eastAsia="楷体" w:cs="楷体"/>
          <w:szCs w:val="24"/>
        </w:rPr>
        <w:t xml:space="preserve">2.2.2.1为采购人不具有独立法人资格的附属机构（单位）； </w:t>
      </w:r>
    </w:p>
    <w:p>
      <w:pPr>
        <w:spacing w:line="360" w:lineRule="auto"/>
        <w:ind w:firstLine="480" w:firstLineChars="200"/>
        <w:rPr>
          <w:rFonts w:ascii="楷体" w:hAnsi="楷体" w:eastAsia="楷体" w:cs="楷体"/>
          <w:szCs w:val="24"/>
        </w:rPr>
      </w:pPr>
      <w:r>
        <w:rPr>
          <w:rFonts w:hint="eastAsia" w:ascii="楷体" w:hAnsi="楷体" w:eastAsia="楷体" w:cs="楷体"/>
          <w:szCs w:val="24"/>
        </w:rPr>
        <w:t>2.2.2.2为本项目前期准备提供设计或咨询服务的；</w:t>
      </w:r>
    </w:p>
    <w:p>
      <w:pPr>
        <w:spacing w:line="360" w:lineRule="auto"/>
        <w:ind w:firstLine="480" w:firstLineChars="200"/>
        <w:rPr>
          <w:rFonts w:ascii="楷体" w:hAnsi="楷体" w:eastAsia="楷体" w:cs="楷体"/>
          <w:szCs w:val="24"/>
        </w:rPr>
      </w:pPr>
      <w:r>
        <w:rPr>
          <w:rFonts w:hint="eastAsia" w:ascii="楷体" w:hAnsi="楷体" w:eastAsia="楷体" w:cs="楷体"/>
          <w:szCs w:val="24"/>
        </w:rPr>
        <w:t>2.2.2.3为本项目提供监理服务的；</w:t>
      </w:r>
    </w:p>
    <w:p>
      <w:pPr>
        <w:spacing w:line="360" w:lineRule="auto"/>
        <w:ind w:firstLine="480" w:firstLineChars="200"/>
        <w:rPr>
          <w:rFonts w:ascii="楷体" w:hAnsi="楷体" w:eastAsia="楷体" w:cs="楷体"/>
          <w:szCs w:val="24"/>
        </w:rPr>
      </w:pPr>
      <w:r>
        <w:rPr>
          <w:rFonts w:hint="eastAsia" w:ascii="楷体" w:hAnsi="楷体" w:eastAsia="楷体" w:cs="楷体"/>
          <w:szCs w:val="24"/>
        </w:rPr>
        <w:t>2.2.2.4与本项目采购代理机构同为一个法定代表人的；</w:t>
      </w:r>
    </w:p>
    <w:p>
      <w:pPr>
        <w:spacing w:line="360" w:lineRule="auto"/>
        <w:ind w:firstLine="480" w:firstLineChars="200"/>
        <w:rPr>
          <w:rFonts w:ascii="楷体" w:hAnsi="楷体" w:eastAsia="楷体" w:cs="楷体"/>
          <w:szCs w:val="24"/>
        </w:rPr>
      </w:pPr>
      <w:r>
        <w:rPr>
          <w:rFonts w:hint="eastAsia" w:ascii="楷体" w:hAnsi="楷体" w:eastAsia="楷体" w:cs="楷体"/>
          <w:szCs w:val="24"/>
        </w:rPr>
        <w:t>2.2.2.5被责令停业的；</w:t>
      </w:r>
    </w:p>
    <w:p>
      <w:pPr>
        <w:spacing w:line="360" w:lineRule="auto"/>
        <w:ind w:firstLine="480" w:firstLineChars="200"/>
        <w:rPr>
          <w:rFonts w:ascii="楷体" w:hAnsi="楷体" w:eastAsia="楷体" w:cs="楷体"/>
          <w:szCs w:val="24"/>
        </w:rPr>
      </w:pPr>
      <w:r>
        <w:rPr>
          <w:rFonts w:hint="eastAsia" w:ascii="楷体" w:hAnsi="楷体" w:eastAsia="楷体" w:cs="楷体"/>
          <w:szCs w:val="24"/>
        </w:rPr>
        <w:t>2.2.2.6被暂停或取消投标资格的；</w:t>
      </w:r>
    </w:p>
    <w:p>
      <w:pPr>
        <w:spacing w:line="360" w:lineRule="auto"/>
        <w:ind w:firstLine="480" w:firstLineChars="200"/>
        <w:rPr>
          <w:rFonts w:ascii="楷体" w:hAnsi="楷体" w:eastAsia="楷体" w:cs="楷体"/>
          <w:szCs w:val="24"/>
        </w:rPr>
      </w:pPr>
      <w:r>
        <w:rPr>
          <w:rFonts w:hint="eastAsia" w:ascii="楷体" w:hAnsi="楷体" w:eastAsia="楷体" w:cs="楷体"/>
          <w:szCs w:val="24"/>
        </w:rPr>
        <w:t>2.2.2.7财产被接管或冻结的；</w:t>
      </w:r>
    </w:p>
    <w:p>
      <w:pPr>
        <w:spacing w:line="360" w:lineRule="auto"/>
        <w:ind w:firstLine="480" w:firstLineChars="200"/>
        <w:rPr>
          <w:rFonts w:ascii="楷体" w:hAnsi="楷体" w:eastAsia="楷体" w:cs="楷体"/>
          <w:szCs w:val="24"/>
        </w:rPr>
      </w:pPr>
      <w:r>
        <w:rPr>
          <w:rFonts w:hint="eastAsia" w:ascii="楷体" w:hAnsi="楷体" w:eastAsia="楷体" w:cs="楷体"/>
          <w:szCs w:val="24"/>
        </w:rPr>
        <w:t>2.2.2.8在最近三年内有骗取中标或严重违约或重大质量问题的；</w:t>
      </w:r>
    </w:p>
    <w:p>
      <w:pPr>
        <w:spacing w:line="360" w:lineRule="auto"/>
        <w:ind w:firstLine="480" w:firstLineChars="200"/>
        <w:rPr>
          <w:rFonts w:ascii="楷体" w:hAnsi="楷体" w:eastAsia="楷体" w:cs="楷体"/>
          <w:szCs w:val="24"/>
        </w:rPr>
      </w:pPr>
      <w:r>
        <w:rPr>
          <w:rFonts w:hint="eastAsia" w:ascii="楷体" w:hAnsi="楷体" w:eastAsia="楷体" w:cs="楷体"/>
          <w:szCs w:val="24"/>
        </w:rPr>
        <w:t>2.2.2.9与采购人存在利害关系可能影响招标公正性的法人、其他组织或者个人；</w:t>
      </w:r>
    </w:p>
    <w:p>
      <w:pPr>
        <w:spacing w:line="360" w:lineRule="auto"/>
        <w:ind w:firstLine="480" w:firstLineChars="200"/>
        <w:rPr>
          <w:rFonts w:ascii="楷体" w:hAnsi="楷体" w:eastAsia="楷体" w:cs="楷体"/>
          <w:szCs w:val="24"/>
        </w:rPr>
      </w:pPr>
      <w:r>
        <w:rPr>
          <w:rFonts w:hint="eastAsia" w:ascii="楷体" w:hAnsi="楷体" w:eastAsia="楷体" w:cs="楷体"/>
          <w:szCs w:val="24"/>
        </w:rPr>
        <w:t>2.2.2.10单位负责人为同一人或者存在控股、管理关系的不同单位，不得参加同一标段投标或者未划分标段的同一招标项目投标。</w:t>
      </w:r>
    </w:p>
    <w:p>
      <w:pPr>
        <w:spacing w:line="360" w:lineRule="auto"/>
        <w:ind w:firstLine="480" w:firstLineChars="200"/>
        <w:rPr>
          <w:rFonts w:ascii="楷体" w:hAnsi="楷体" w:eastAsia="楷体" w:cs="楷体"/>
          <w:szCs w:val="24"/>
        </w:rPr>
      </w:pPr>
      <w:r>
        <w:rPr>
          <w:rFonts w:hint="eastAsia" w:ascii="楷体" w:hAnsi="楷体" w:eastAsia="楷体" w:cs="楷体"/>
          <w:szCs w:val="24"/>
        </w:rPr>
        <w:t>2.2.2.11受到刑事处罚，或者受到责令停产停业、在一至三年内禁止参加政府采购活动、暂扣或者吊销许可证、暂扣或者吊销执照等情形之一的行政处罚，或者存在财政部门认定的其他重大违法记录；</w:t>
      </w:r>
    </w:p>
    <w:p>
      <w:pPr>
        <w:spacing w:line="360" w:lineRule="auto"/>
        <w:ind w:firstLine="480" w:firstLineChars="200"/>
        <w:rPr>
          <w:rFonts w:ascii="楷体" w:hAnsi="楷体" w:eastAsia="楷体" w:cs="楷体"/>
          <w:szCs w:val="24"/>
        </w:rPr>
      </w:pPr>
      <w:r>
        <w:rPr>
          <w:rFonts w:hint="eastAsia" w:ascii="楷体" w:hAnsi="楷体" w:eastAsia="楷体" w:cs="楷体"/>
          <w:szCs w:val="24"/>
        </w:rPr>
        <w:t>2.2.2.12两家以上的投标人不得在同一合同项下的采购项目中，同时委托同一个自然人、同一家庭的人员、同一单位的人员作为其代理人，否则，其投标文件作为无效处理；</w:t>
      </w:r>
    </w:p>
    <w:p>
      <w:pPr>
        <w:spacing w:line="360" w:lineRule="auto"/>
        <w:ind w:firstLine="480" w:firstLineChars="200"/>
        <w:rPr>
          <w:rFonts w:ascii="楷体" w:hAnsi="楷体" w:eastAsia="楷体" w:cs="楷体"/>
          <w:szCs w:val="24"/>
        </w:rPr>
      </w:pPr>
      <w:r>
        <w:rPr>
          <w:rFonts w:hint="eastAsia" w:ascii="楷体" w:hAnsi="楷体" w:eastAsia="楷体" w:cs="楷体"/>
          <w:szCs w:val="24"/>
        </w:rPr>
        <w:t>2.2.2.13法律法规及相关行政规范性文件规定的其他情形。</w:t>
      </w:r>
    </w:p>
    <w:p>
      <w:pPr>
        <w:spacing w:line="360" w:lineRule="auto"/>
        <w:ind w:firstLine="480" w:firstLineChars="200"/>
        <w:rPr>
          <w:rFonts w:ascii="楷体" w:hAnsi="楷体" w:eastAsia="楷体" w:cs="楷体"/>
          <w:szCs w:val="24"/>
        </w:rPr>
      </w:pPr>
      <w:r>
        <w:rPr>
          <w:rFonts w:hint="eastAsia" w:ascii="楷体" w:hAnsi="楷体" w:eastAsia="楷体" w:cs="楷体"/>
          <w:szCs w:val="24"/>
        </w:rPr>
        <w:t>2.2.3</w:t>
      </w:r>
      <w:r>
        <w:rPr>
          <w:rFonts w:ascii="楷体" w:hAnsi="楷体" w:eastAsia="楷体" w:cs="楷体"/>
          <w:szCs w:val="24"/>
        </w:rPr>
        <w:t>关联企业投标限制</w:t>
      </w:r>
    </w:p>
    <w:p>
      <w:pPr>
        <w:spacing w:line="360" w:lineRule="auto"/>
        <w:ind w:firstLine="480" w:firstLineChars="200"/>
        <w:rPr>
          <w:rFonts w:ascii="楷体" w:hAnsi="楷体" w:eastAsia="楷体" w:cs="楷体"/>
          <w:szCs w:val="24"/>
        </w:rPr>
      </w:pPr>
      <w:r>
        <w:rPr>
          <w:rFonts w:hint="eastAsia" w:ascii="楷体" w:hAnsi="楷体" w:eastAsia="楷体" w:cs="楷体"/>
          <w:szCs w:val="24"/>
        </w:rPr>
        <w:t>2.2.3.1</w:t>
      </w:r>
      <w:r>
        <w:rPr>
          <w:rFonts w:ascii="楷体" w:hAnsi="楷体" w:eastAsia="楷体" w:cs="楷体"/>
          <w:szCs w:val="24"/>
        </w:rPr>
        <w:t>本招标文件所称关联企业,是指存在关联关系的企业。</w:t>
      </w:r>
    </w:p>
    <w:p>
      <w:pPr>
        <w:spacing w:line="360" w:lineRule="auto"/>
        <w:ind w:firstLine="480" w:firstLineChars="200"/>
        <w:rPr>
          <w:rFonts w:ascii="楷体" w:hAnsi="楷体" w:eastAsia="楷体" w:cs="楷体"/>
          <w:szCs w:val="24"/>
        </w:rPr>
      </w:pPr>
      <w:r>
        <w:rPr>
          <w:rFonts w:hint="eastAsia" w:ascii="楷体" w:hAnsi="楷体" w:eastAsia="楷体" w:cs="楷体"/>
          <w:szCs w:val="24"/>
        </w:rPr>
        <w:t>2.2.3.2</w:t>
      </w:r>
      <w:r>
        <w:rPr>
          <w:rFonts w:ascii="楷体" w:hAnsi="楷体" w:eastAsia="楷体" w:cs="楷体"/>
          <w:szCs w:val="24"/>
        </w:rPr>
        <w:t>关联企业中，同一个法定代表人的两个及两个以上法人，母公司、全资子公司及其控股公司，都不得参加同一采购项目投标。一经发现，将导致投标同时被拒绝。</w:t>
      </w:r>
    </w:p>
    <w:p>
      <w:pPr>
        <w:spacing w:line="360" w:lineRule="auto"/>
        <w:ind w:firstLine="480" w:firstLineChars="200"/>
        <w:rPr>
          <w:rFonts w:ascii="楷体" w:hAnsi="楷体" w:eastAsia="楷体" w:cs="楷体"/>
          <w:szCs w:val="24"/>
        </w:rPr>
      </w:pPr>
      <w:r>
        <w:rPr>
          <w:rFonts w:hint="eastAsia" w:ascii="楷体" w:hAnsi="楷体" w:eastAsia="楷体" w:cs="楷体"/>
          <w:szCs w:val="24"/>
        </w:rPr>
        <w:t>2.2.4</w:t>
      </w:r>
      <w:r>
        <w:rPr>
          <w:rFonts w:ascii="楷体" w:hAnsi="楷体" w:eastAsia="楷体" w:cs="楷体"/>
          <w:szCs w:val="24"/>
        </w:rPr>
        <w:t>关系企业投标限制</w:t>
      </w:r>
    </w:p>
    <w:p>
      <w:pPr>
        <w:spacing w:line="360" w:lineRule="auto"/>
        <w:ind w:firstLine="480" w:firstLineChars="200"/>
        <w:rPr>
          <w:rFonts w:ascii="楷体" w:hAnsi="楷体" w:eastAsia="楷体" w:cs="楷体"/>
          <w:szCs w:val="24"/>
        </w:rPr>
      </w:pPr>
      <w:r>
        <w:rPr>
          <w:rFonts w:ascii="楷体" w:hAnsi="楷体" w:eastAsia="楷体" w:cs="楷体"/>
          <w:szCs w:val="24"/>
        </w:rPr>
        <w:t>总公司、分公司不能以不同的投标人身份参加同一采购项目</w:t>
      </w:r>
      <w:r>
        <w:rPr>
          <w:rFonts w:hint="eastAsia" w:ascii="楷体" w:hAnsi="楷体" w:eastAsia="楷体" w:cs="楷体"/>
          <w:szCs w:val="24"/>
        </w:rPr>
        <w:t>中的其它包</w:t>
      </w:r>
      <w:r>
        <w:rPr>
          <w:rFonts w:ascii="楷体" w:hAnsi="楷体" w:eastAsia="楷体" w:cs="楷体"/>
          <w:szCs w:val="24"/>
        </w:rPr>
        <w:t>投标。</w:t>
      </w:r>
    </w:p>
    <w:p>
      <w:pPr>
        <w:spacing w:line="360" w:lineRule="auto"/>
        <w:ind w:firstLine="480" w:firstLineChars="200"/>
        <w:rPr>
          <w:rFonts w:ascii="楷体" w:hAnsi="楷体" w:eastAsia="楷体" w:cs="楷体"/>
          <w:szCs w:val="24"/>
        </w:rPr>
      </w:pPr>
      <w:r>
        <w:rPr>
          <w:rFonts w:hint="eastAsia" w:ascii="楷体" w:hAnsi="楷体" w:eastAsia="楷体" w:cs="楷体"/>
          <w:szCs w:val="24"/>
        </w:rPr>
        <w:t>2.3本项目不接受联合体投标。</w:t>
      </w:r>
    </w:p>
    <w:p>
      <w:pPr>
        <w:spacing w:line="360" w:lineRule="auto"/>
        <w:ind w:firstLine="480" w:firstLineChars="200"/>
        <w:rPr>
          <w:rFonts w:ascii="楷体" w:hAnsi="楷体" w:eastAsia="楷体" w:cs="楷体"/>
          <w:szCs w:val="24"/>
        </w:rPr>
      </w:pPr>
      <w:r>
        <w:rPr>
          <w:rFonts w:hint="eastAsia" w:ascii="楷体" w:hAnsi="楷体" w:eastAsia="楷体" w:cs="楷体"/>
          <w:szCs w:val="24"/>
        </w:rPr>
        <w:t>如果在招标文件中接受联合体投标（见投标人须知前附表），则两个以上投标人可以组成一个联合体，以一个投标人的身份投标。以联合体形式参加投标的，联合体各方均应当符合政府采购法第二十二条规定的条件。采购人根据采购项目的特殊要求规定投标人特定条件的，联合体各方中至少应当有一方符合采购人规定的特定条件。</w:t>
      </w:r>
    </w:p>
    <w:p>
      <w:pPr>
        <w:spacing w:line="360" w:lineRule="auto"/>
        <w:ind w:firstLine="480" w:firstLineChars="200"/>
        <w:rPr>
          <w:rFonts w:ascii="楷体" w:hAnsi="楷体" w:eastAsia="楷体" w:cs="楷体"/>
          <w:szCs w:val="24"/>
        </w:rPr>
      </w:pPr>
      <w:r>
        <w:rPr>
          <w:rFonts w:hint="eastAsia" w:ascii="楷体" w:hAnsi="楷体" w:eastAsia="楷体" w:cs="楷体"/>
          <w:szCs w:val="24"/>
        </w:rPr>
        <w:t>联合体各方之间应当签订共同投标协议，明确约定联合体各方承担的工作和相应的责任，并将共同投标协议连同投标文件一并递交投标文件接收人。联合体各方签订共同投标协议后，不得再以自己名义单独在同一项目中投标，也不得组成新的联合体参加同一项目投标，否则按无效投标处理。</w:t>
      </w:r>
    </w:p>
    <w:p>
      <w:pPr>
        <w:spacing w:line="360" w:lineRule="auto"/>
        <w:ind w:firstLine="480" w:firstLineChars="200"/>
        <w:rPr>
          <w:rFonts w:ascii="楷体" w:hAnsi="楷体" w:eastAsia="楷体" w:cs="楷体"/>
          <w:szCs w:val="24"/>
        </w:rPr>
      </w:pPr>
      <w:r>
        <w:rPr>
          <w:rFonts w:hint="eastAsia" w:ascii="楷体" w:hAnsi="楷体" w:eastAsia="楷体" w:cs="楷体"/>
          <w:szCs w:val="24"/>
        </w:rPr>
        <w:t>2.4投标费用自理。不论投标的结果如何，投标人均应自行承担所有与参加投标有关的费用。</w:t>
      </w:r>
    </w:p>
    <w:p>
      <w:pPr>
        <w:spacing w:line="360" w:lineRule="auto"/>
        <w:rPr>
          <w:rFonts w:ascii="楷体" w:hAnsi="楷体" w:eastAsia="楷体" w:cs="楷体"/>
          <w:b/>
          <w:szCs w:val="24"/>
        </w:rPr>
      </w:pPr>
      <w:bookmarkStart w:id="34" w:name="_Toc363474018"/>
      <w:bookmarkStart w:id="35" w:name="_Toc363473973"/>
      <w:bookmarkStart w:id="36" w:name="_Toc403077640"/>
      <w:r>
        <w:rPr>
          <w:rFonts w:hint="eastAsia" w:ascii="楷体" w:hAnsi="楷体" w:eastAsia="楷体" w:cs="楷体"/>
          <w:b/>
          <w:szCs w:val="24"/>
        </w:rPr>
        <w:t>3.投标产品的合格性和合法性</w:t>
      </w:r>
    </w:p>
    <w:p>
      <w:pPr>
        <w:spacing w:line="360" w:lineRule="auto"/>
        <w:ind w:firstLine="480" w:firstLineChars="200"/>
        <w:rPr>
          <w:rFonts w:ascii="楷体" w:hAnsi="楷体" w:eastAsia="楷体" w:cs="楷体"/>
          <w:szCs w:val="24"/>
        </w:rPr>
      </w:pPr>
      <w:r>
        <w:rPr>
          <w:rFonts w:hint="eastAsia" w:ascii="楷体" w:hAnsi="楷体" w:eastAsia="楷体" w:cs="楷体"/>
          <w:szCs w:val="24"/>
        </w:rPr>
        <w:t>3.1投标产品应满足招标文件的要求并应符合国家法律法规、行业管理部门要求的其他强制性标准。</w:t>
      </w:r>
    </w:p>
    <w:p>
      <w:pPr>
        <w:spacing w:line="360" w:lineRule="auto"/>
        <w:rPr>
          <w:rFonts w:ascii="楷体" w:hAnsi="楷体" w:eastAsia="楷体" w:cs="楷体"/>
          <w:b/>
          <w:szCs w:val="24"/>
        </w:rPr>
      </w:pPr>
      <w:r>
        <w:rPr>
          <w:rFonts w:hint="eastAsia" w:ascii="楷体" w:hAnsi="楷体" w:eastAsia="楷体" w:cs="楷体"/>
          <w:b/>
          <w:szCs w:val="24"/>
        </w:rPr>
        <w:t>4.投标文件内容的真实性</w:t>
      </w:r>
    </w:p>
    <w:p>
      <w:pPr>
        <w:spacing w:line="360" w:lineRule="auto"/>
        <w:ind w:firstLine="480" w:firstLineChars="200"/>
        <w:rPr>
          <w:rFonts w:ascii="楷体" w:hAnsi="楷体" w:eastAsia="楷体" w:cs="楷体"/>
          <w:szCs w:val="24"/>
        </w:rPr>
      </w:pPr>
      <w:r>
        <w:rPr>
          <w:rFonts w:hint="eastAsia" w:ascii="楷体" w:hAnsi="楷体" w:eastAsia="楷体" w:cs="楷体"/>
          <w:szCs w:val="24"/>
        </w:rPr>
        <w:t>4.1投标人应保证其投标文件中所提供的所有有关投标的资料、信息是真实的，并且来源于合法的渠道。因投标文件中所提供的投标资料、信息不真实或者其来源不合法而导致的所有法律责任，由投标人自行承担。</w:t>
      </w:r>
    </w:p>
    <w:p>
      <w:pPr>
        <w:spacing w:line="360" w:lineRule="auto"/>
        <w:rPr>
          <w:rFonts w:ascii="楷体" w:hAnsi="楷体" w:eastAsia="楷体" w:cs="楷体"/>
          <w:b/>
          <w:szCs w:val="24"/>
        </w:rPr>
      </w:pPr>
      <w:r>
        <w:rPr>
          <w:rFonts w:hint="eastAsia" w:ascii="楷体" w:hAnsi="楷体" w:eastAsia="楷体" w:cs="楷体"/>
          <w:b/>
          <w:szCs w:val="24"/>
        </w:rPr>
        <w:t>5.招标过程的监督和管理</w:t>
      </w:r>
    </w:p>
    <w:p>
      <w:pPr>
        <w:spacing w:line="360" w:lineRule="auto"/>
        <w:ind w:firstLine="480" w:firstLineChars="200"/>
        <w:rPr>
          <w:rFonts w:ascii="楷体" w:hAnsi="楷体" w:eastAsia="楷体" w:cs="楷体"/>
          <w:szCs w:val="24"/>
        </w:rPr>
      </w:pPr>
      <w:r>
        <w:rPr>
          <w:rFonts w:hint="eastAsia" w:ascii="楷体" w:hAnsi="楷体" w:eastAsia="楷体" w:cs="楷体"/>
          <w:szCs w:val="24"/>
        </w:rPr>
        <w:t>5.1同级政府采购监管管理部门和有关部门依法履行对招标过程的监督管理职责。</w:t>
      </w:r>
    </w:p>
    <w:p>
      <w:pPr>
        <w:spacing w:line="360" w:lineRule="auto"/>
        <w:jc w:val="center"/>
        <w:rPr>
          <w:rFonts w:ascii="楷体" w:hAnsi="楷体" w:eastAsia="楷体" w:cs="楷体"/>
          <w:b/>
          <w:sz w:val="32"/>
          <w:szCs w:val="32"/>
        </w:rPr>
      </w:pPr>
      <w:r>
        <w:rPr>
          <w:rFonts w:hint="eastAsia" w:ascii="楷体" w:hAnsi="楷体" w:eastAsia="楷体" w:cs="楷体"/>
          <w:b/>
          <w:sz w:val="32"/>
          <w:szCs w:val="32"/>
        </w:rPr>
        <w:t>二.</w:t>
      </w:r>
      <w:bookmarkEnd w:id="34"/>
      <w:bookmarkEnd w:id="35"/>
      <w:bookmarkEnd w:id="36"/>
      <w:r>
        <w:rPr>
          <w:rFonts w:hint="eastAsia" w:ascii="楷体" w:hAnsi="楷体" w:eastAsia="楷体" w:cs="楷体"/>
          <w:b/>
          <w:sz w:val="32"/>
          <w:szCs w:val="32"/>
        </w:rPr>
        <w:t>招标文件</w:t>
      </w:r>
    </w:p>
    <w:p>
      <w:pPr>
        <w:spacing w:line="360" w:lineRule="auto"/>
        <w:rPr>
          <w:rFonts w:ascii="楷体" w:hAnsi="楷体" w:eastAsia="楷体" w:cs="楷体"/>
          <w:b/>
          <w:szCs w:val="24"/>
        </w:rPr>
      </w:pPr>
      <w:r>
        <w:rPr>
          <w:rFonts w:hint="eastAsia" w:ascii="楷体" w:hAnsi="楷体" w:eastAsia="楷体" w:cs="楷体"/>
          <w:b/>
          <w:szCs w:val="24"/>
        </w:rPr>
        <w:t>6.招标文件构成</w:t>
      </w:r>
    </w:p>
    <w:p>
      <w:pPr>
        <w:spacing w:line="360" w:lineRule="auto"/>
        <w:ind w:firstLine="480" w:firstLineChars="200"/>
        <w:rPr>
          <w:rFonts w:ascii="楷体" w:hAnsi="楷体" w:eastAsia="楷体" w:cs="楷体"/>
          <w:szCs w:val="24"/>
        </w:rPr>
      </w:pPr>
      <w:r>
        <w:rPr>
          <w:rFonts w:hint="eastAsia" w:ascii="楷体" w:hAnsi="楷体" w:eastAsia="楷体" w:cs="楷体"/>
          <w:szCs w:val="24"/>
        </w:rPr>
        <w:t>6.1 招标文件由招标文件总目录所列内容组成。</w:t>
      </w:r>
    </w:p>
    <w:p>
      <w:pPr>
        <w:spacing w:line="360" w:lineRule="auto"/>
        <w:ind w:firstLine="480" w:firstLineChars="200"/>
        <w:rPr>
          <w:rFonts w:ascii="楷体" w:hAnsi="楷体" w:eastAsia="楷体" w:cs="楷体"/>
          <w:szCs w:val="24"/>
        </w:rPr>
      </w:pPr>
      <w:r>
        <w:rPr>
          <w:rFonts w:hint="eastAsia" w:ascii="楷体" w:hAnsi="楷体" w:eastAsia="楷体" w:cs="楷体"/>
          <w:szCs w:val="24"/>
        </w:rPr>
        <w:t>6.2投标人应认真阅读招标文件中所有的事项、格式、条款和规范等要求。未按招标文件要求提供的投标文件和资料可能导致投标被拒绝。</w:t>
      </w:r>
    </w:p>
    <w:p>
      <w:pPr>
        <w:spacing w:line="360" w:lineRule="auto"/>
        <w:ind w:firstLine="480" w:firstLineChars="200"/>
        <w:rPr>
          <w:rFonts w:ascii="楷体" w:hAnsi="楷体" w:eastAsia="楷体" w:cs="楷体"/>
          <w:szCs w:val="24"/>
        </w:rPr>
      </w:pPr>
      <w:r>
        <w:rPr>
          <w:rFonts w:hint="eastAsia" w:ascii="楷体" w:hAnsi="楷体" w:eastAsia="楷体" w:cs="楷体"/>
          <w:szCs w:val="24"/>
        </w:rPr>
        <w:t>6.3投标人必须从招标代理机构购买获取文件，投标人自行转让或复制招标文件视为无效。招标文件一经售出，一律不退，仅作为本次招标使用。</w:t>
      </w:r>
    </w:p>
    <w:p>
      <w:pPr>
        <w:spacing w:line="360" w:lineRule="auto"/>
        <w:ind w:firstLine="480" w:firstLineChars="200"/>
        <w:rPr>
          <w:rFonts w:ascii="楷体" w:hAnsi="楷体" w:eastAsia="楷体" w:cs="楷体"/>
          <w:szCs w:val="24"/>
        </w:rPr>
      </w:pPr>
      <w:r>
        <w:rPr>
          <w:rFonts w:hint="eastAsia" w:ascii="楷体" w:hAnsi="楷体" w:eastAsia="楷体" w:cs="楷体"/>
          <w:szCs w:val="24"/>
        </w:rPr>
        <w:t>6.4投标人应仔细阅读招标文件，对招标文件中有疑义或异议的部分及时函告，否则视为同意招标文件的一切条款和要求，并承担法律责任。</w:t>
      </w:r>
    </w:p>
    <w:p>
      <w:pPr>
        <w:spacing w:line="360" w:lineRule="auto"/>
        <w:ind w:firstLine="480" w:firstLineChars="200"/>
        <w:rPr>
          <w:rFonts w:ascii="楷体" w:hAnsi="楷体" w:eastAsia="楷体" w:cs="楷体"/>
          <w:szCs w:val="24"/>
        </w:rPr>
      </w:pPr>
      <w:r>
        <w:rPr>
          <w:rFonts w:hint="eastAsia" w:ascii="楷体" w:hAnsi="楷体" w:eastAsia="楷体" w:cs="楷体"/>
          <w:szCs w:val="24"/>
        </w:rPr>
        <w:t>6.5本招标文件的解释权归华睿诚项目管理有限公司，如发现招标文件内容与现行法律法规不相符的情况，以现行法律法规为准。</w:t>
      </w:r>
    </w:p>
    <w:p>
      <w:pPr>
        <w:spacing w:line="360" w:lineRule="auto"/>
        <w:rPr>
          <w:rFonts w:ascii="楷体" w:hAnsi="楷体" w:eastAsia="楷体" w:cs="楷体"/>
          <w:b/>
          <w:szCs w:val="24"/>
        </w:rPr>
      </w:pPr>
      <w:bookmarkStart w:id="37" w:name="_Toc363473974"/>
      <w:bookmarkStart w:id="38" w:name="_Toc363474019"/>
      <w:bookmarkStart w:id="39" w:name="_Toc403077641"/>
      <w:r>
        <w:rPr>
          <w:rFonts w:hint="eastAsia" w:ascii="楷体" w:hAnsi="楷体" w:eastAsia="楷体" w:cs="楷体"/>
          <w:b/>
          <w:szCs w:val="24"/>
        </w:rPr>
        <w:t>7.招标文件的修改和澄清</w:t>
      </w:r>
    </w:p>
    <w:p>
      <w:pPr>
        <w:spacing w:line="360" w:lineRule="auto"/>
        <w:ind w:firstLine="480" w:firstLineChars="200"/>
        <w:rPr>
          <w:rFonts w:ascii="楷体" w:hAnsi="楷体" w:eastAsia="楷体" w:cs="楷体"/>
          <w:szCs w:val="24"/>
        </w:rPr>
      </w:pPr>
      <w:r>
        <w:rPr>
          <w:rFonts w:hint="eastAsia" w:ascii="楷体" w:hAnsi="楷体" w:eastAsia="楷体" w:cs="楷体"/>
          <w:szCs w:val="24"/>
        </w:rPr>
        <w:t>7.1在投标截止时间前，招标代理机构可以视采购具体情况，延长投标截止时间和开标时间并在财政部门指定的媒体上发布变更公告，同时将变更时间书面通知所有招标文件收受人。</w:t>
      </w:r>
    </w:p>
    <w:p>
      <w:pPr>
        <w:spacing w:line="360" w:lineRule="auto"/>
        <w:ind w:firstLine="480" w:firstLineChars="200"/>
        <w:rPr>
          <w:rFonts w:ascii="楷体" w:hAnsi="楷体" w:eastAsia="楷体" w:cs="楷体"/>
          <w:szCs w:val="24"/>
        </w:rPr>
      </w:pPr>
      <w:r>
        <w:rPr>
          <w:rFonts w:hint="eastAsia" w:ascii="楷体" w:hAnsi="楷体" w:eastAsia="楷体" w:cs="楷体"/>
          <w:szCs w:val="24"/>
        </w:rPr>
        <w:t>7.2招标代理机构可以对已发出的招标文件进行必要的澄清或者修改。澄清或者修改的内容可能影响投标文件编制的，招标代理机构应当在投标截止时间至少15日前，以书面形式通知所有获取招标文件的潜在投标人；不足15日的，招标代理机构应当顺延提交投标文件的截止时间,该澄清或者修改的内容为招标文件的组成部分，与其具有同等法律效力。</w:t>
      </w:r>
    </w:p>
    <w:p>
      <w:pPr>
        <w:spacing w:line="360" w:lineRule="auto"/>
        <w:ind w:firstLine="480" w:firstLineChars="200"/>
        <w:rPr>
          <w:rFonts w:ascii="楷体" w:hAnsi="楷体" w:eastAsia="楷体" w:cs="楷体"/>
          <w:szCs w:val="24"/>
        </w:rPr>
      </w:pPr>
      <w:r>
        <w:rPr>
          <w:rFonts w:hint="eastAsia" w:ascii="楷体" w:hAnsi="楷体" w:eastAsia="楷体" w:cs="楷体"/>
          <w:szCs w:val="24"/>
        </w:rPr>
        <w:t>7.3已经购买招标文件的投标人对招标文件有疑问的，均应在投标截止日期5日前以书面形式向招标代理机构提出。招标代理机构视情况必要时将书面答复传送给所有投标人。</w:t>
      </w:r>
    </w:p>
    <w:p>
      <w:pPr>
        <w:keepNext/>
        <w:keepLines/>
        <w:spacing w:line="360" w:lineRule="auto"/>
        <w:ind w:firstLine="480" w:firstLineChars="200"/>
        <w:rPr>
          <w:rFonts w:ascii="楷体" w:hAnsi="楷体" w:eastAsia="楷体" w:cs="楷体"/>
        </w:rPr>
      </w:pPr>
      <w:r>
        <w:rPr>
          <w:rFonts w:hint="eastAsia" w:ascii="楷体" w:hAnsi="楷体" w:eastAsia="楷体" w:cs="楷体"/>
          <w:szCs w:val="24"/>
        </w:rPr>
        <w:t>7.4</w:t>
      </w:r>
      <w:r>
        <w:rPr>
          <w:rFonts w:hint="eastAsia" w:ascii="楷体" w:hAnsi="楷体" w:eastAsia="楷体" w:cs="楷体"/>
        </w:rPr>
        <w:t>投标人在收到上述通知后，应立即向招标代理机构回函确认。</w:t>
      </w:r>
    </w:p>
    <w:p>
      <w:pPr>
        <w:keepNext/>
        <w:keepLines/>
        <w:spacing w:line="360" w:lineRule="auto"/>
        <w:jc w:val="center"/>
        <w:rPr>
          <w:rFonts w:ascii="楷体" w:hAnsi="楷体" w:eastAsia="楷体" w:cs="楷体"/>
          <w:b/>
          <w:sz w:val="32"/>
          <w:szCs w:val="32"/>
        </w:rPr>
      </w:pPr>
      <w:r>
        <w:rPr>
          <w:rFonts w:hint="eastAsia" w:ascii="楷体" w:hAnsi="楷体" w:eastAsia="楷体" w:cs="楷体"/>
          <w:b/>
          <w:sz w:val="32"/>
          <w:szCs w:val="32"/>
        </w:rPr>
        <w:t>三. 投标文件的编制</w:t>
      </w:r>
      <w:bookmarkEnd w:id="37"/>
      <w:bookmarkEnd w:id="38"/>
      <w:bookmarkEnd w:id="39"/>
    </w:p>
    <w:p>
      <w:pPr>
        <w:spacing w:line="360" w:lineRule="auto"/>
        <w:rPr>
          <w:rFonts w:ascii="楷体" w:hAnsi="楷体" w:eastAsia="楷体" w:cs="楷体"/>
          <w:b/>
          <w:szCs w:val="24"/>
        </w:rPr>
      </w:pPr>
      <w:r>
        <w:rPr>
          <w:rFonts w:hint="eastAsia" w:ascii="楷体" w:hAnsi="楷体" w:eastAsia="楷体" w:cs="楷体"/>
          <w:b/>
          <w:szCs w:val="24"/>
        </w:rPr>
        <w:t>8.投标语言</w:t>
      </w:r>
    </w:p>
    <w:p>
      <w:pPr>
        <w:spacing w:line="360" w:lineRule="auto"/>
        <w:ind w:firstLine="480" w:firstLineChars="200"/>
        <w:rPr>
          <w:rFonts w:ascii="楷体" w:hAnsi="楷体" w:eastAsia="楷体" w:cs="楷体"/>
          <w:szCs w:val="24"/>
        </w:rPr>
      </w:pPr>
      <w:r>
        <w:rPr>
          <w:rFonts w:hint="eastAsia" w:ascii="楷体" w:hAnsi="楷体" w:eastAsia="楷体" w:cs="楷体"/>
          <w:szCs w:val="24"/>
        </w:rPr>
        <w:t>8.1投标人提交的投标文件以及投标人与采购代理机构就有关投标的所有来往书面文件均须使用中文。投标文件中如附有外文资料，必须逐一对应翻译成中文并加盖投标人公章后附在相关外文资料后面，否则，由此带来的一切影响后果自负。</w:t>
      </w:r>
    </w:p>
    <w:p>
      <w:pPr>
        <w:spacing w:line="360" w:lineRule="auto"/>
        <w:ind w:firstLine="480" w:firstLineChars="200"/>
        <w:rPr>
          <w:rFonts w:ascii="楷体" w:hAnsi="楷体" w:eastAsia="楷体" w:cs="楷体"/>
          <w:szCs w:val="24"/>
        </w:rPr>
      </w:pPr>
      <w:r>
        <w:rPr>
          <w:rFonts w:hint="eastAsia" w:ascii="楷体" w:hAnsi="楷体" w:eastAsia="楷体" w:cs="楷体"/>
          <w:szCs w:val="24"/>
        </w:rPr>
        <w:t>8.2翻译的中文资料与外文资料如果出现差异和矛盾时，以中文为准。但不能故意错误翻译，否则，作为无效投标处理。必要时采购人可以要求投标人提供附有公证书的中文翻译文件或者与原版文件签章相一致的中文翻译文件。</w:t>
      </w:r>
    </w:p>
    <w:p>
      <w:pPr>
        <w:spacing w:line="360" w:lineRule="auto"/>
        <w:rPr>
          <w:rFonts w:ascii="楷体" w:hAnsi="楷体" w:eastAsia="楷体" w:cs="楷体"/>
          <w:b/>
          <w:szCs w:val="24"/>
        </w:rPr>
      </w:pPr>
      <w:r>
        <w:rPr>
          <w:rFonts w:hint="eastAsia" w:ascii="楷体" w:hAnsi="楷体" w:eastAsia="楷体" w:cs="楷体"/>
          <w:b/>
          <w:szCs w:val="24"/>
        </w:rPr>
        <w:t>9.计量单位</w:t>
      </w:r>
    </w:p>
    <w:p>
      <w:pPr>
        <w:spacing w:line="360" w:lineRule="auto"/>
        <w:ind w:firstLine="480" w:firstLineChars="200"/>
        <w:rPr>
          <w:rFonts w:ascii="楷体" w:hAnsi="楷体" w:eastAsia="楷体" w:cs="楷体"/>
          <w:szCs w:val="24"/>
        </w:rPr>
      </w:pPr>
      <w:r>
        <w:rPr>
          <w:rFonts w:hint="eastAsia" w:ascii="楷体" w:hAnsi="楷体" w:eastAsia="楷体" w:cs="楷体"/>
          <w:szCs w:val="24"/>
        </w:rPr>
        <w:t>9.1投标资料中所使用的计量单位，除有特殊要求外，均采用国家法定计量单位。</w:t>
      </w:r>
    </w:p>
    <w:p>
      <w:pPr>
        <w:spacing w:line="360" w:lineRule="auto"/>
        <w:rPr>
          <w:rFonts w:ascii="楷体" w:hAnsi="楷体" w:eastAsia="楷体" w:cs="楷体"/>
          <w:b/>
          <w:szCs w:val="24"/>
        </w:rPr>
      </w:pPr>
      <w:r>
        <w:rPr>
          <w:rFonts w:hint="eastAsia" w:ascii="楷体" w:hAnsi="楷体" w:eastAsia="楷体" w:cs="楷体"/>
          <w:b/>
          <w:szCs w:val="24"/>
        </w:rPr>
        <w:t>10.投标文件的构成</w:t>
      </w:r>
    </w:p>
    <w:p>
      <w:pPr>
        <w:spacing w:line="520" w:lineRule="exact"/>
        <w:ind w:firstLine="470" w:firstLineChars="196"/>
        <w:rPr>
          <w:rFonts w:ascii="楷体" w:hAnsi="楷体" w:eastAsia="楷体" w:cs="楷体"/>
          <w:szCs w:val="24"/>
        </w:rPr>
      </w:pPr>
      <w:r>
        <w:rPr>
          <w:rFonts w:hint="eastAsia" w:ascii="楷体" w:hAnsi="楷体" w:eastAsia="楷体" w:cs="楷体"/>
          <w:szCs w:val="24"/>
        </w:rPr>
        <w:t>10.1 投标人提交的投标文件应包括招标文件第六章“投标文件格式”所要求的所有内容。</w:t>
      </w:r>
    </w:p>
    <w:p>
      <w:pPr>
        <w:spacing w:line="520" w:lineRule="exact"/>
        <w:ind w:firstLine="551" w:firstLineChars="196"/>
        <w:rPr>
          <w:rFonts w:ascii="楷体" w:hAnsi="楷体" w:eastAsia="楷体" w:cs="楷体"/>
          <w:bCs/>
          <w:color w:val="000000"/>
          <w:sz w:val="28"/>
          <w:szCs w:val="28"/>
        </w:rPr>
      </w:pPr>
      <w:r>
        <w:rPr>
          <w:rFonts w:hint="eastAsia" w:ascii="楷体" w:hAnsi="楷体" w:eastAsia="楷体" w:cs="楷体"/>
          <w:b/>
          <w:color w:val="000000"/>
          <w:sz w:val="28"/>
          <w:szCs w:val="28"/>
        </w:rPr>
        <w:t>注：商务要求不允许负偏离，技术要求不得出现重大负偏离，否则，将被视为无效投标文件。</w:t>
      </w:r>
    </w:p>
    <w:p>
      <w:pPr>
        <w:spacing w:line="360" w:lineRule="auto"/>
        <w:ind w:firstLine="480" w:firstLineChars="200"/>
        <w:rPr>
          <w:rFonts w:ascii="楷体" w:hAnsi="楷体" w:eastAsia="楷体" w:cs="楷体"/>
          <w:szCs w:val="24"/>
        </w:rPr>
      </w:pPr>
      <w:r>
        <w:rPr>
          <w:rFonts w:hint="eastAsia" w:ascii="楷体" w:hAnsi="楷体" w:eastAsia="楷体" w:cs="楷体"/>
          <w:szCs w:val="24"/>
        </w:rPr>
        <w:t>10.2 如果在招标文件中没有允许提供备选方案，则每个投标人只允许提交一个投标方案，否则，其将按无效投标处理。</w:t>
      </w:r>
    </w:p>
    <w:p>
      <w:pPr>
        <w:spacing w:line="360" w:lineRule="auto"/>
        <w:rPr>
          <w:rFonts w:ascii="楷体" w:hAnsi="楷体" w:eastAsia="楷体" w:cs="楷体"/>
          <w:b/>
          <w:szCs w:val="24"/>
        </w:rPr>
      </w:pPr>
      <w:r>
        <w:rPr>
          <w:rFonts w:hint="eastAsia" w:ascii="楷体" w:hAnsi="楷体" w:eastAsia="楷体" w:cs="楷体"/>
          <w:b/>
          <w:szCs w:val="24"/>
        </w:rPr>
        <w:t>11.投标文件格式</w:t>
      </w:r>
    </w:p>
    <w:p>
      <w:pPr>
        <w:spacing w:line="360" w:lineRule="auto"/>
        <w:ind w:firstLine="480" w:firstLineChars="200"/>
        <w:rPr>
          <w:rFonts w:ascii="楷体" w:hAnsi="楷体" w:eastAsia="楷体" w:cs="楷体"/>
          <w:szCs w:val="24"/>
        </w:rPr>
      </w:pPr>
      <w:r>
        <w:rPr>
          <w:rFonts w:hint="eastAsia" w:ascii="楷体" w:hAnsi="楷体" w:eastAsia="楷体" w:cs="楷体"/>
          <w:szCs w:val="24"/>
        </w:rPr>
        <w:t>11.1投标人应按照招标文件中第六章所提供的格式和要求制作投标文件，明确表达投标意愿，详细说明投标方案、承诺及价格。</w:t>
      </w:r>
    </w:p>
    <w:p>
      <w:pPr>
        <w:spacing w:line="360" w:lineRule="auto"/>
        <w:ind w:firstLine="480" w:firstLineChars="200"/>
        <w:rPr>
          <w:rFonts w:ascii="楷体" w:hAnsi="楷体" w:eastAsia="楷体" w:cs="楷体"/>
          <w:szCs w:val="24"/>
        </w:rPr>
      </w:pPr>
      <w:r>
        <w:rPr>
          <w:rFonts w:hint="eastAsia" w:ascii="楷体" w:hAnsi="楷体" w:eastAsia="楷体" w:cs="楷体"/>
          <w:szCs w:val="24"/>
        </w:rPr>
        <w:t>11.2按招标文件第六章提供的格式和要求编写其投标文件，投标人不得缺少任何招标文件要求填写的表格或提交的资料。</w:t>
      </w:r>
      <w:r>
        <w:rPr>
          <w:rFonts w:hint="eastAsia" w:ascii="楷体" w:hAnsi="楷体" w:eastAsia="楷体" w:cs="楷体"/>
        </w:rPr>
        <w:t>否则，按</w:t>
      </w:r>
      <w:r>
        <w:rPr>
          <w:rFonts w:hint="eastAsia" w:ascii="楷体" w:hAnsi="楷体" w:eastAsia="楷体" w:cs="楷体"/>
          <w:szCs w:val="24"/>
        </w:rPr>
        <w:t>无效投标</w:t>
      </w:r>
      <w:r>
        <w:rPr>
          <w:rFonts w:hint="eastAsia" w:ascii="楷体" w:hAnsi="楷体" w:eastAsia="楷体" w:cs="楷体"/>
        </w:rPr>
        <w:t>处理。</w:t>
      </w:r>
    </w:p>
    <w:p>
      <w:pPr>
        <w:spacing w:line="360" w:lineRule="auto"/>
        <w:rPr>
          <w:rFonts w:ascii="楷体" w:hAnsi="楷体" w:eastAsia="楷体" w:cs="楷体"/>
          <w:b/>
          <w:szCs w:val="24"/>
        </w:rPr>
      </w:pPr>
      <w:r>
        <w:rPr>
          <w:rFonts w:hint="eastAsia" w:ascii="楷体" w:hAnsi="楷体" w:eastAsia="楷体" w:cs="楷体"/>
          <w:b/>
          <w:szCs w:val="24"/>
        </w:rPr>
        <w:t>12.投标报价</w:t>
      </w:r>
    </w:p>
    <w:p>
      <w:pPr>
        <w:spacing w:line="360" w:lineRule="auto"/>
        <w:ind w:firstLine="480" w:firstLineChars="200"/>
        <w:rPr>
          <w:rFonts w:ascii="楷体" w:hAnsi="楷体" w:eastAsia="楷体" w:cs="楷体"/>
          <w:szCs w:val="24"/>
        </w:rPr>
      </w:pPr>
      <w:r>
        <w:rPr>
          <w:rFonts w:hint="eastAsia" w:ascii="楷体" w:hAnsi="楷体" w:eastAsia="楷体" w:cs="楷体"/>
          <w:szCs w:val="24"/>
        </w:rPr>
        <w:t>12.1本次招标项目的投标均以人民币报价。</w:t>
      </w:r>
    </w:p>
    <w:p>
      <w:pPr>
        <w:spacing w:line="360" w:lineRule="auto"/>
        <w:ind w:firstLine="480" w:firstLineChars="200"/>
        <w:rPr>
          <w:rFonts w:ascii="楷体" w:hAnsi="楷体" w:eastAsia="楷体" w:cs="楷体"/>
          <w:szCs w:val="24"/>
        </w:rPr>
      </w:pPr>
      <w:r>
        <w:rPr>
          <w:rFonts w:hint="eastAsia" w:ascii="楷体" w:hAnsi="楷体" w:eastAsia="楷体" w:cs="楷体"/>
          <w:szCs w:val="24"/>
        </w:rPr>
        <w:t>12.2投标报价是供应商为完成本项目要求的全部货物及服务（包括但不限于产品费、运杂费、安装调试费、运行维护费、税金及其他一切相关费用）内容最终价格的体现。报价以人民币报价。供应商应在投标报价表中标明完成本次招标所要求的货物、服务且验收合格的所有费用。对本文件未列明，而投标人认为必需的费用也需列入投标总报价。供应商所报的价格应考虑到可能发生的所有与完成本项目相关服务及履行合同义务有关的一切费用，任何有选择的报价将不予接受，按无效投标处理。</w:t>
      </w:r>
    </w:p>
    <w:p>
      <w:pPr>
        <w:spacing w:line="360" w:lineRule="auto"/>
        <w:ind w:firstLine="480" w:firstLineChars="200"/>
        <w:rPr>
          <w:rFonts w:ascii="楷体" w:hAnsi="楷体" w:eastAsia="楷体" w:cs="楷体"/>
          <w:szCs w:val="24"/>
        </w:rPr>
      </w:pPr>
      <w:r>
        <w:rPr>
          <w:rFonts w:hint="eastAsia" w:ascii="楷体" w:hAnsi="楷体" w:eastAsia="楷体" w:cs="楷体"/>
          <w:szCs w:val="24"/>
        </w:rPr>
        <w:t>12.3本项目采购预算及最高限价已在招标公告中公布，若投标人报价超出采购预算或最高限价，作为不实质性响应招标文件处理。</w:t>
      </w:r>
    </w:p>
    <w:p>
      <w:pPr>
        <w:spacing w:line="360" w:lineRule="auto"/>
        <w:ind w:firstLine="480" w:firstLineChars="200"/>
        <w:rPr>
          <w:rFonts w:ascii="楷体" w:hAnsi="楷体" w:eastAsia="楷体" w:cs="楷体"/>
          <w:szCs w:val="24"/>
        </w:rPr>
      </w:pPr>
      <w:r>
        <w:rPr>
          <w:rFonts w:hint="eastAsia" w:ascii="楷体" w:hAnsi="楷体" w:eastAsia="楷体" w:cs="楷体"/>
          <w:szCs w:val="24"/>
        </w:rPr>
        <w:t>12.4当评标委员会认为，某投标人的报价存在明显低于其他通过符合性审查投标人的报价，有可能影响货物质量和不能诚信履约的，应当要求其在评标现场规定时间内，提供必要的书面文件予以解释和说明，必要时提交相关证明材料；若投标人不能证明其报价合理性，评标委员会将其作无效投标处理。</w:t>
      </w:r>
    </w:p>
    <w:p>
      <w:pPr>
        <w:spacing w:line="360" w:lineRule="auto"/>
        <w:rPr>
          <w:rFonts w:ascii="楷体" w:hAnsi="楷体" w:eastAsia="楷体" w:cs="楷体"/>
          <w:b/>
          <w:szCs w:val="24"/>
        </w:rPr>
      </w:pPr>
      <w:r>
        <w:rPr>
          <w:rFonts w:hint="eastAsia" w:ascii="楷体" w:hAnsi="楷体" w:eastAsia="楷体" w:cs="楷体"/>
          <w:b/>
          <w:szCs w:val="24"/>
        </w:rPr>
        <w:t>13.证明投标人合格的资格证明文件</w:t>
      </w:r>
    </w:p>
    <w:p>
      <w:pPr>
        <w:spacing w:line="360" w:lineRule="auto"/>
        <w:ind w:firstLine="480" w:firstLineChars="200"/>
        <w:rPr>
          <w:rFonts w:ascii="楷体" w:hAnsi="楷体" w:eastAsia="楷体" w:cs="楷体"/>
          <w:szCs w:val="24"/>
        </w:rPr>
      </w:pPr>
      <w:r>
        <w:rPr>
          <w:rFonts w:hint="eastAsia" w:ascii="楷体" w:hAnsi="楷体" w:eastAsia="楷体" w:cs="楷体"/>
          <w:szCs w:val="24"/>
        </w:rPr>
        <w:t>13.1投标人应按照招标文件“投标人须知前附表”的要求，在投标文件中提交合格的资格证明文件。如果资格证明文件不全或不合格的，将按无效投标处理。</w:t>
      </w:r>
    </w:p>
    <w:p>
      <w:pPr>
        <w:spacing w:line="360" w:lineRule="auto"/>
        <w:rPr>
          <w:rFonts w:ascii="楷体" w:hAnsi="楷体" w:eastAsia="楷体" w:cs="楷体"/>
          <w:b/>
          <w:szCs w:val="24"/>
        </w:rPr>
      </w:pPr>
      <w:r>
        <w:rPr>
          <w:rFonts w:hint="eastAsia" w:ascii="楷体" w:hAnsi="楷体" w:eastAsia="楷体" w:cs="楷体"/>
          <w:b/>
          <w:szCs w:val="24"/>
        </w:rPr>
        <w:t>14.证明标的物的合格性和符合招标文件规定的文件</w:t>
      </w:r>
    </w:p>
    <w:p>
      <w:pPr>
        <w:spacing w:line="360" w:lineRule="auto"/>
        <w:ind w:firstLine="480" w:firstLineChars="200"/>
        <w:rPr>
          <w:rFonts w:ascii="楷体" w:hAnsi="楷体" w:eastAsia="楷体" w:cs="楷体"/>
          <w:szCs w:val="24"/>
        </w:rPr>
      </w:pPr>
      <w:r>
        <w:rPr>
          <w:rFonts w:hint="eastAsia" w:ascii="楷体" w:hAnsi="楷体" w:eastAsia="楷体" w:cs="楷体"/>
          <w:szCs w:val="24"/>
        </w:rPr>
        <w:t>14.1投标人应在投标文件中提供标的物满足招标文件要求并符合国家法律法规、行业管理部门要求的其他强制性标准的证明文件。缺少证明文件或证明文件不合格的投标，与招标文件要求有重大偏离的投标，不符合国家法律法规、行业管理部门要求的其他强制性标准的投标文件将被作无效投标处理。</w:t>
      </w:r>
    </w:p>
    <w:p>
      <w:pPr>
        <w:spacing w:line="360" w:lineRule="auto"/>
        <w:rPr>
          <w:rFonts w:ascii="楷体" w:hAnsi="楷体" w:eastAsia="楷体" w:cs="楷体"/>
          <w:b/>
          <w:szCs w:val="24"/>
        </w:rPr>
      </w:pPr>
      <w:r>
        <w:rPr>
          <w:rFonts w:hint="eastAsia" w:ascii="楷体" w:hAnsi="楷体" w:eastAsia="楷体" w:cs="楷体"/>
          <w:b/>
          <w:szCs w:val="24"/>
        </w:rPr>
        <w:t>15.投标有效期</w:t>
      </w:r>
    </w:p>
    <w:p>
      <w:pPr>
        <w:spacing w:line="360" w:lineRule="auto"/>
        <w:ind w:firstLine="480" w:firstLineChars="200"/>
        <w:rPr>
          <w:rFonts w:ascii="楷体" w:hAnsi="楷体" w:eastAsia="楷体" w:cs="楷体"/>
          <w:szCs w:val="24"/>
        </w:rPr>
      </w:pPr>
      <w:r>
        <w:rPr>
          <w:rFonts w:hint="eastAsia" w:ascii="楷体" w:hAnsi="楷体" w:eastAsia="楷体" w:cs="楷体"/>
          <w:szCs w:val="24"/>
        </w:rPr>
        <w:t>15.1投标有效期（含授权有效期）从递交投标文件的截止之日起 90 个日历天。投标有效期不满足招标文件要求的投标，将被视为非实质性响应性投标而予以拒绝，将按无效投标处理。</w:t>
      </w:r>
    </w:p>
    <w:p>
      <w:pPr>
        <w:spacing w:line="360" w:lineRule="auto"/>
        <w:ind w:firstLine="480" w:firstLineChars="200"/>
        <w:rPr>
          <w:rFonts w:ascii="楷体" w:hAnsi="楷体" w:eastAsia="楷体" w:cs="楷体"/>
          <w:szCs w:val="24"/>
        </w:rPr>
      </w:pPr>
      <w:r>
        <w:rPr>
          <w:rFonts w:hint="eastAsia" w:ascii="楷体" w:hAnsi="楷体" w:eastAsia="楷体" w:cs="楷体"/>
          <w:szCs w:val="24"/>
        </w:rPr>
        <w:t>15.2特殊情况下，在原投标有效期期满之前，采购代理机构可向供应商提出延长投标有效期的要求。这种要求与答复均应以书面的形式。</w:t>
      </w:r>
    </w:p>
    <w:p>
      <w:pPr>
        <w:numPr>
          <w:ilvl w:val="0"/>
          <w:numId w:val="3"/>
        </w:numPr>
        <w:spacing w:line="360" w:lineRule="auto"/>
        <w:rPr>
          <w:rFonts w:ascii="楷体" w:hAnsi="楷体" w:eastAsia="楷体" w:cs="楷体"/>
          <w:b/>
          <w:szCs w:val="24"/>
        </w:rPr>
      </w:pPr>
      <w:r>
        <w:rPr>
          <w:rFonts w:hint="eastAsia" w:ascii="楷体" w:hAnsi="楷体" w:eastAsia="楷体" w:cs="楷体"/>
          <w:b/>
          <w:szCs w:val="24"/>
        </w:rPr>
        <w:t>投标保证金：</w:t>
      </w:r>
    </w:p>
    <w:p>
      <w:pPr>
        <w:spacing w:line="360" w:lineRule="auto"/>
        <w:ind w:firstLine="480" w:firstLineChars="200"/>
        <w:rPr>
          <w:rFonts w:ascii="楷体" w:hAnsi="楷体" w:eastAsia="楷体" w:cs="仿宋"/>
          <w:szCs w:val="24"/>
        </w:rPr>
      </w:pPr>
      <w:r>
        <w:rPr>
          <w:rFonts w:hint="eastAsia" w:ascii="楷体" w:hAnsi="楷体" w:eastAsia="楷体" w:cs="仿宋"/>
          <w:szCs w:val="24"/>
        </w:rPr>
        <w:t>16.1供应商</w:t>
      </w:r>
      <w:r>
        <w:rPr>
          <w:rFonts w:hint="eastAsia" w:ascii="楷体" w:hAnsi="楷体" w:eastAsia="楷体"/>
          <w:szCs w:val="24"/>
        </w:rPr>
        <w:t>须在招标文件规定的时间前</w:t>
      </w:r>
      <w:r>
        <w:rPr>
          <w:rFonts w:hint="eastAsia" w:ascii="楷体" w:hAnsi="楷体" w:eastAsia="楷体" w:cs="仿宋"/>
          <w:szCs w:val="24"/>
        </w:rPr>
        <w:t>向华睿诚项目管理有限公司交纳“供应商须知前附表”规定数额的投标保证金,并作为其投标的一部分。</w:t>
      </w:r>
    </w:p>
    <w:p>
      <w:pPr>
        <w:spacing w:line="360" w:lineRule="auto"/>
        <w:ind w:firstLine="480" w:firstLineChars="200"/>
        <w:rPr>
          <w:rFonts w:ascii="楷体" w:hAnsi="楷体" w:eastAsia="楷体" w:cs="仿宋"/>
          <w:szCs w:val="24"/>
        </w:rPr>
      </w:pPr>
      <w:r>
        <w:rPr>
          <w:rFonts w:hint="eastAsia" w:ascii="楷体" w:hAnsi="楷体" w:eastAsia="楷体" w:cs="仿宋"/>
          <w:szCs w:val="24"/>
        </w:rPr>
        <w:t>16.2投标保证金是为了保护采购人和招标代理机构免遭因供应商的行为而蒙受损失。</w:t>
      </w:r>
    </w:p>
    <w:p>
      <w:pPr>
        <w:spacing w:line="360" w:lineRule="auto"/>
        <w:ind w:firstLine="480" w:firstLineChars="200"/>
        <w:rPr>
          <w:rFonts w:ascii="楷体" w:hAnsi="楷体" w:eastAsia="楷体" w:cs="仿宋"/>
          <w:szCs w:val="24"/>
        </w:rPr>
      </w:pPr>
      <w:r>
        <w:rPr>
          <w:rFonts w:hint="eastAsia" w:ascii="楷体" w:hAnsi="楷体" w:eastAsia="楷体" w:cs="仿宋"/>
          <w:szCs w:val="24"/>
        </w:rPr>
        <w:t>16.3投标保证金可采取“供应商须知前附表”规定的任何一种形式。</w:t>
      </w:r>
    </w:p>
    <w:p>
      <w:pPr>
        <w:spacing w:line="360" w:lineRule="auto"/>
        <w:ind w:firstLine="480" w:firstLineChars="200"/>
        <w:rPr>
          <w:rFonts w:ascii="楷体" w:hAnsi="楷体" w:eastAsia="楷体" w:cs="仿宋"/>
          <w:szCs w:val="24"/>
        </w:rPr>
      </w:pPr>
      <w:r>
        <w:rPr>
          <w:rFonts w:hint="eastAsia" w:ascii="楷体" w:hAnsi="楷体" w:eastAsia="楷体" w:cs="仿宋"/>
          <w:szCs w:val="24"/>
        </w:rPr>
        <w:t>16.4经审查，未交纳投标保证金、未按招标文件规定时间交纳投标保证金、担保机构出具的保函正本未在规定时间到招标代理机构备案、投标保证金金额不足、投标保证金转账凭证复印件或担保机构出具的保函正本复印件未附在投标文件内，将按无效投标处理。</w:t>
      </w:r>
    </w:p>
    <w:p>
      <w:pPr>
        <w:spacing w:line="360" w:lineRule="auto"/>
        <w:ind w:firstLine="482" w:firstLineChars="200"/>
        <w:rPr>
          <w:rFonts w:ascii="楷体" w:hAnsi="楷体" w:eastAsia="楷体" w:cs="仿宋"/>
          <w:b/>
          <w:bCs/>
          <w:szCs w:val="24"/>
        </w:rPr>
      </w:pPr>
      <w:r>
        <w:rPr>
          <w:rFonts w:hint="eastAsia" w:ascii="楷体" w:hAnsi="楷体" w:eastAsia="楷体" w:cs="仿宋"/>
          <w:b/>
          <w:bCs/>
          <w:szCs w:val="24"/>
        </w:rPr>
        <w:t>16</w:t>
      </w:r>
      <w:r>
        <w:rPr>
          <w:rFonts w:hint="eastAsia" w:ascii="楷体" w:hAnsi="楷体" w:eastAsia="楷体" w:cs="楷体"/>
          <w:b/>
          <w:bCs/>
          <w:szCs w:val="24"/>
        </w:rPr>
        <w:t>.5</w:t>
      </w:r>
      <w:r>
        <w:rPr>
          <w:rFonts w:hint="eastAsia" w:ascii="楷体" w:hAnsi="楷体" w:eastAsia="楷体" w:cs="仿宋"/>
          <w:b/>
          <w:bCs/>
          <w:szCs w:val="24"/>
        </w:rPr>
        <w:t>保证金的退还</w:t>
      </w:r>
    </w:p>
    <w:p>
      <w:pPr>
        <w:spacing w:line="360" w:lineRule="auto"/>
        <w:ind w:firstLine="480" w:firstLineChars="200"/>
        <w:rPr>
          <w:rFonts w:ascii="楷体" w:hAnsi="楷体" w:eastAsia="楷体" w:cs="仿宋"/>
          <w:szCs w:val="24"/>
        </w:rPr>
      </w:pPr>
      <w:r>
        <w:rPr>
          <w:rFonts w:hint="eastAsia" w:ascii="楷体" w:hAnsi="楷体" w:eastAsia="楷体" w:cs="仿宋"/>
          <w:szCs w:val="24"/>
        </w:rPr>
        <w:t>16.5.1保证金的退还须提供《投标保证金退还申请函》及开户许可证、投标保证金转账凭证复印件加盖单位公章（参见附件9）。</w:t>
      </w:r>
    </w:p>
    <w:p>
      <w:pPr>
        <w:spacing w:line="360" w:lineRule="auto"/>
        <w:ind w:firstLine="480" w:firstLineChars="200"/>
        <w:rPr>
          <w:rFonts w:ascii="楷体" w:hAnsi="楷体" w:eastAsia="楷体" w:cs="仿宋"/>
          <w:szCs w:val="24"/>
        </w:rPr>
      </w:pPr>
      <w:r>
        <w:rPr>
          <w:rFonts w:hint="eastAsia" w:ascii="楷体" w:hAnsi="楷体" w:eastAsia="楷体" w:cs="仿宋"/>
          <w:szCs w:val="24"/>
        </w:rPr>
        <w:t>16.5.2未中标人的投标保证金，将在中标通知书发出后五个工作日内按原账户退还；中标人的投标保证金，在采购合同签订后并按规定交纳招标代理服务费后五个工作日内退还（退还时，须向招标代理机构提供采购合同壹份）。</w:t>
      </w:r>
    </w:p>
    <w:p>
      <w:pPr>
        <w:spacing w:line="360" w:lineRule="auto"/>
        <w:ind w:firstLine="480" w:firstLineChars="200"/>
        <w:rPr>
          <w:rFonts w:ascii="楷体" w:hAnsi="楷体" w:eastAsia="楷体" w:cs="仿宋"/>
          <w:szCs w:val="24"/>
        </w:rPr>
      </w:pPr>
      <w:r>
        <w:rPr>
          <w:rFonts w:hint="eastAsia" w:ascii="楷体" w:hAnsi="楷体" w:eastAsia="楷体" w:cs="仿宋"/>
          <w:szCs w:val="24"/>
        </w:rPr>
        <w:t>16.6投标人以担保机构保函形式交纳投标保证金的，项目结束之后将担保机构保函原件退回（退还时间参照上述条款）。投标人领取担保机构保函原件时须携带法定代表人授权委托书原件及经办人身份证。</w:t>
      </w:r>
    </w:p>
    <w:p>
      <w:pPr>
        <w:spacing w:line="360" w:lineRule="auto"/>
        <w:ind w:firstLine="480" w:firstLineChars="200"/>
        <w:rPr>
          <w:rFonts w:ascii="楷体" w:hAnsi="楷体" w:eastAsia="楷体" w:cs="仿宋"/>
          <w:szCs w:val="24"/>
        </w:rPr>
      </w:pPr>
      <w:r>
        <w:rPr>
          <w:rFonts w:hint="eastAsia" w:ascii="楷体" w:hAnsi="楷体" w:eastAsia="楷体" w:cs="仿宋"/>
          <w:szCs w:val="24"/>
        </w:rPr>
        <w:t>16.7下列情况发生时，视为供应商违约，其投标保证金将被没收：</w:t>
      </w:r>
    </w:p>
    <w:p>
      <w:pPr>
        <w:spacing w:line="360" w:lineRule="auto"/>
        <w:ind w:firstLine="480" w:firstLineChars="200"/>
        <w:rPr>
          <w:rFonts w:ascii="楷体" w:hAnsi="楷体" w:eastAsia="楷体" w:cs="仿宋"/>
          <w:szCs w:val="24"/>
        </w:rPr>
      </w:pPr>
      <w:r>
        <w:rPr>
          <w:rFonts w:hint="eastAsia" w:ascii="楷体" w:hAnsi="楷体" w:eastAsia="楷体" w:cs="仿宋"/>
          <w:szCs w:val="24"/>
        </w:rPr>
        <w:t>16.7.1投标人</w:t>
      </w:r>
      <w:r>
        <w:rPr>
          <w:rFonts w:hint="eastAsia" w:ascii="楷体" w:hAnsi="楷体" w:eastAsia="楷体"/>
          <w:szCs w:val="24"/>
        </w:rPr>
        <w:t>在递交投标文件截止时间后，撤回投标文件的或者擅自退出投标活动的。</w:t>
      </w:r>
    </w:p>
    <w:p>
      <w:pPr>
        <w:spacing w:line="360" w:lineRule="auto"/>
        <w:ind w:firstLine="480" w:firstLineChars="200"/>
        <w:rPr>
          <w:rFonts w:ascii="楷体" w:hAnsi="楷体" w:eastAsia="楷体" w:cs="仿宋"/>
          <w:szCs w:val="24"/>
        </w:rPr>
      </w:pPr>
      <w:r>
        <w:rPr>
          <w:rFonts w:hint="eastAsia" w:ascii="楷体" w:hAnsi="楷体" w:eastAsia="楷体" w:cs="仿宋"/>
          <w:szCs w:val="24"/>
        </w:rPr>
        <w:t>16.7.2投标人</w:t>
      </w:r>
      <w:r>
        <w:rPr>
          <w:rFonts w:hint="eastAsia" w:ascii="楷体" w:hAnsi="楷体" w:eastAsia="楷体"/>
          <w:szCs w:val="24"/>
        </w:rPr>
        <w:t>中标后放弃中标或无正当理由不与采购人签订合同或未能按规定交纳招标代理服务费或由于供应商的原因导致成交无效的。</w:t>
      </w:r>
    </w:p>
    <w:p>
      <w:pPr>
        <w:spacing w:line="360" w:lineRule="auto"/>
        <w:ind w:firstLine="480" w:firstLineChars="200"/>
        <w:rPr>
          <w:rFonts w:ascii="楷体" w:hAnsi="楷体" w:eastAsia="楷体" w:cs="仿宋"/>
          <w:szCs w:val="24"/>
        </w:rPr>
      </w:pPr>
      <w:r>
        <w:rPr>
          <w:rFonts w:hint="eastAsia" w:ascii="楷体" w:hAnsi="楷体" w:eastAsia="楷体" w:cs="仿宋"/>
          <w:szCs w:val="24"/>
        </w:rPr>
        <w:t>16.7.3投标人</w:t>
      </w:r>
      <w:r>
        <w:rPr>
          <w:rFonts w:hint="eastAsia" w:ascii="楷体" w:hAnsi="楷体" w:eastAsia="楷体"/>
          <w:szCs w:val="24"/>
        </w:rPr>
        <w:t>将中标项目转让给他人，或者未经采购人同意，将中标项目分包给他人的。</w:t>
      </w:r>
    </w:p>
    <w:p>
      <w:pPr>
        <w:spacing w:line="360" w:lineRule="auto"/>
        <w:ind w:firstLine="480" w:firstLineChars="200"/>
        <w:rPr>
          <w:rFonts w:ascii="楷体" w:hAnsi="楷体" w:eastAsia="楷体"/>
          <w:szCs w:val="24"/>
        </w:rPr>
      </w:pPr>
      <w:r>
        <w:rPr>
          <w:rFonts w:hint="eastAsia" w:ascii="楷体" w:hAnsi="楷体" w:eastAsia="楷体"/>
          <w:szCs w:val="24"/>
        </w:rPr>
        <w:t>16.7.4投标人在投标文件中提供伪造、套改、虚假资料参与投标的。</w:t>
      </w:r>
    </w:p>
    <w:p>
      <w:pPr>
        <w:spacing w:line="360" w:lineRule="auto"/>
        <w:ind w:firstLine="480" w:firstLineChars="200"/>
        <w:rPr>
          <w:rFonts w:ascii="楷体" w:hAnsi="楷体" w:eastAsia="楷体"/>
          <w:szCs w:val="24"/>
        </w:rPr>
      </w:pPr>
      <w:r>
        <w:rPr>
          <w:rFonts w:hint="eastAsia" w:ascii="楷体" w:hAnsi="楷体" w:eastAsia="楷体"/>
          <w:szCs w:val="24"/>
        </w:rPr>
        <w:t>16.7.5投标人不按法定程序进行质疑和投诉,捏造事实，查无实据，造成恶劣影响，导致采购活动无法正常进行的;</w:t>
      </w:r>
    </w:p>
    <w:p>
      <w:pPr>
        <w:spacing w:line="360" w:lineRule="auto"/>
        <w:ind w:firstLine="480" w:firstLineChars="200"/>
        <w:rPr>
          <w:rFonts w:ascii="楷体" w:hAnsi="楷体" w:eastAsia="楷体"/>
          <w:szCs w:val="24"/>
        </w:rPr>
      </w:pPr>
      <w:r>
        <w:rPr>
          <w:rFonts w:hint="eastAsia" w:ascii="楷体" w:hAnsi="楷体" w:eastAsia="楷体"/>
          <w:szCs w:val="24"/>
        </w:rPr>
        <w:t>16.7.6投标人在投标文件中提供虚假材料的；</w:t>
      </w:r>
    </w:p>
    <w:p>
      <w:pPr>
        <w:spacing w:line="360" w:lineRule="auto"/>
        <w:ind w:firstLine="480" w:firstLineChars="200"/>
        <w:rPr>
          <w:rFonts w:ascii="楷体" w:hAnsi="楷体" w:eastAsia="楷体"/>
          <w:szCs w:val="24"/>
        </w:rPr>
      </w:pPr>
      <w:r>
        <w:rPr>
          <w:rFonts w:hint="eastAsia" w:ascii="楷体" w:hAnsi="楷体" w:eastAsia="楷体"/>
          <w:szCs w:val="24"/>
        </w:rPr>
        <w:t>16.8投标保证金的有效期与投标有效期一致。</w:t>
      </w:r>
    </w:p>
    <w:p>
      <w:pPr>
        <w:spacing w:line="360" w:lineRule="auto"/>
        <w:rPr>
          <w:rFonts w:ascii="楷体" w:hAnsi="楷体" w:eastAsia="楷体" w:cs="楷体"/>
          <w:b/>
          <w:szCs w:val="24"/>
        </w:rPr>
      </w:pPr>
      <w:r>
        <w:rPr>
          <w:rFonts w:hint="eastAsia" w:ascii="楷体" w:hAnsi="楷体" w:eastAsia="楷体" w:cs="楷体"/>
          <w:b/>
          <w:szCs w:val="24"/>
        </w:rPr>
        <w:t>17.投标文件的式样和签署</w:t>
      </w:r>
    </w:p>
    <w:p>
      <w:pPr>
        <w:spacing w:line="360" w:lineRule="auto"/>
        <w:ind w:firstLine="480" w:firstLineChars="200"/>
        <w:rPr>
          <w:rFonts w:ascii="楷体" w:hAnsi="楷体" w:eastAsia="楷体" w:cs="楷体"/>
          <w:spacing w:val="-2"/>
        </w:rPr>
      </w:pPr>
      <w:r>
        <w:rPr>
          <w:rFonts w:hint="eastAsia" w:ascii="楷体" w:hAnsi="楷体" w:eastAsia="楷体" w:cs="楷体"/>
          <w:szCs w:val="24"/>
        </w:rPr>
        <w:t>17.1投标人应按照“投标人须知前附表”的要求,递交规定数量及要求的正本、副本及电子版文件。</w:t>
      </w:r>
      <w:r>
        <w:rPr>
          <w:rFonts w:hint="eastAsia" w:ascii="楷体" w:hAnsi="楷体" w:eastAsia="楷体" w:cs="楷体"/>
          <w:spacing w:val="4"/>
        </w:rPr>
        <w:t>投标文件的副本、电子版须和正本保持一致。</w:t>
      </w:r>
      <w:r>
        <w:rPr>
          <w:rFonts w:hint="eastAsia" w:ascii="楷体" w:hAnsi="楷体" w:eastAsia="楷体" w:cs="楷体"/>
          <w:szCs w:val="24"/>
        </w:rPr>
        <w:t>如果发生正本与副本</w:t>
      </w:r>
      <w:r>
        <w:rPr>
          <w:rFonts w:hint="eastAsia" w:ascii="楷体" w:hAnsi="楷体" w:eastAsia="楷体" w:cs="楷体"/>
        </w:rPr>
        <w:t>或电子版</w:t>
      </w:r>
      <w:r>
        <w:rPr>
          <w:rFonts w:hint="eastAsia" w:ascii="楷体" w:hAnsi="楷体" w:eastAsia="楷体" w:cs="楷体"/>
          <w:szCs w:val="24"/>
        </w:rPr>
        <w:t>不一致的情况，以正本为准。</w:t>
      </w:r>
    </w:p>
    <w:p>
      <w:pPr>
        <w:spacing w:line="360" w:lineRule="auto"/>
        <w:ind w:firstLine="480" w:firstLineChars="200"/>
        <w:rPr>
          <w:rFonts w:ascii="楷体" w:hAnsi="楷体" w:eastAsia="楷体" w:cs="楷体"/>
        </w:rPr>
      </w:pPr>
      <w:r>
        <w:rPr>
          <w:rFonts w:hint="eastAsia" w:ascii="楷体" w:hAnsi="楷体" w:eastAsia="楷体" w:cs="楷体"/>
          <w:szCs w:val="24"/>
        </w:rPr>
        <w:t>17.2投标文件须打印或用不褪色的蓝（黑）墨水书写,清楚地标明“正本”、“副本”字样，各自装订成册，并由投标人法定代表人或经法定代表人正式授权的代表签字或盖章（招标文件要求投标文件中法定代表人签字处必须由法定代表人签署，要求授权代表签字处必须由授权代表签署）。若由授权代表签署，须按招标文件规定的格式出具的“法定代表人授权委托书”原件附在投标文件中。</w:t>
      </w:r>
    </w:p>
    <w:p>
      <w:pPr>
        <w:spacing w:line="360" w:lineRule="auto"/>
        <w:ind w:firstLine="480" w:firstLineChars="200"/>
        <w:rPr>
          <w:rFonts w:ascii="楷体" w:hAnsi="楷体" w:eastAsia="楷体" w:cs="楷体"/>
          <w:szCs w:val="24"/>
        </w:rPr>
      </w:pPr>
      <w:r>
        <w:rPr>
          <w:rFonts w:hint="eastAsia" w:ascii="楷体" w:hAnsi="楷体" w:eastAsia="楷体" w:cs="楷体"/>
          <w:szCs w:val="24"/>
        </w:rPr>
        <w:t>17.3任何行间插字、涂改和增删，必须由投标人的法定代表人或其授权代表在旁边签字或加盖公章方有效。</w:t>
      </w:r>
    </w:p>
    <w:p>
      <w:pPr>
        <w:spacing w:line="360" w:lineRule="auto"/>
        <w:ind w:firstLine="480" w:firstLineChars="200"/>
        <w:rPr>
          <w:rFonts w:ascii="楷体" w:hAnsi="楷体" w:eastAsia="楷体" w:cs="楷体"/>
        </w:rPr>
      </w:pPr>
      <w:r>
        <w:rPr>
          <w:rFonts w:hint="eastAsia" w:ascii="楷体" w:hAnsi="楷体" w:eastAsia="楷体" w:cs="楷体"/>
        </w:rPr>
        <w:t>17.4投标人名称应填写全称并加盖公章，所有投标文件须加盖骑缝章。</w:t>
      </w:r>
    </w:p>
    <w:p>
      <w:pPr>
        <w:spacing w:line="360" w:lineRule="auto"/>
        <w:ind w:firstLine="480" w:firstLineChars="200"/>
        <w:rPr>
          <w:rFonts w:ascii="楷体" w:hAnsi="楷体" w:eastAsia="楷体" w:cs="楷体"/>
          <w:szCs w:val="24"/>
        </w:rPr>
      </w:pPr>
      <w:r>
        <w:rPr>
          <w:rFonts w:hint="eastAsia" w:ascii="楷体" w:hAnsi="楷体" w:eastAsia="楷体" w:cs="楷体"/>
          <w:szCs w:val="24"/>
        </w:rPr>
        <w:t>17.5因字迹潦草或表达不清所引起的后果由投标人负责。</w:t>
      </w:r>
    </w:p>
    <w:p>
      <w:pPr>
        <w:spacing w:line="360" w:lineRule="auto"/>
        <w:rPr>
          <w:rFonts w:ascii="楷体" w:hAnsi="楷体" w:eastAsia="楷体" w:cs="楷体"/>
          <w:b/>
          <w:szCs w:val="24"/>
        </w:rPr>
      </w:pPr>
      <w:r>
        <w:rPr>
          <w:rFonts w:hint="eastAsia" w:ascii="楷体" w:hAnsi="楷体" w:eastAsia="楷体" w:cs="楷体"/>
          <w:b/>
          <w:szCs w:val="24"/>
        </w:rPr>
        <w:t>18.投标文件的装订</w:t>
      </w:r>
    </w:p>
    <w:p>
      <w:pPr>
        <w:pStyle w:val="19"/>
        <w:spacing w:line="360" w:lineRule="auto"/>
        <w:ind w:firstLine="480" w:firstLineChars="200"/>
        <w:rPr>
          <w:rFonts w:ascii="楷体" w:hAnsi="楷体" w:eastAsia="楷体" w:cs="楷体"/>
          <w:szCs w:val="24"/>
        </w:rPr>
      </w:pPr>
      <w:r>
        <w:rPr>
          <w:rFonts w:hint="eastAsia" w:ascii="楷体" w:hAnsi="楷体" w:eastAsia="楷体" w:cs="楷体"/>
          <w:szCs w:val="24"/>
        </w:rPr>
        <w:t>18.1为节约纸张，投标文件建议采用A4纸张双面打印，牢固胶状成册，不可插页抽页</w:t>
      </w:r>
      <w:r>
        <w:rPr>
          <w:rFonts w:ascii="楷体" w:hAnsi="楷体" w:eastAsia="楷体" w:cs="楷体"/>
          <w:szCs w:val="24"/>
        </w:rPr>
        <w:t>，不得有零散页。若同一册的内容较多，可装订成若干分册，并在封面标明次序及册数。</w:t>
      </w:r>
    </w:p>
    <w:p>
      <w:pPr>
        <w:pStyle w:val="19"/>
        <w:spacing w:line="360" w:lineRule="auto"/>
        <w:ind w:firstLine="480" w:firstLineChars="200"/>
        <w:rPr>
          <w:rFonts w:ascii="楷体" w:hAnsi="楷体" w:eastAsia="楷体" w:cs="楷体"/>
          <w:szCs w:val="24"/>
        </w:rPr>
      </w:pPr>
      <w:r>
        <w:rPr>
          <w:rFonts w:hint="eastAsia" w:ascii="楷体" w:hAnsi="楷体" w:eastAsia="楷体" w:cs="楷体"/>
          <w:szCs w:val="24"/>
        </w:rPr>
        <w:t>18.2</w:t>
      </w:r>
      <w:r>
        <w:rPr>
          <w:rFonts w:ascii="楷体" w:hAnsi="楷体" w:eastAsia="楷体" w:cs="楷体"/>
          <w:szCs w:val="24"/>
        </w:rPr>
        <w:t>由于装订原因造成投标文件的散落、丢失等，责任投标人自负。</w:t>
      </w:r>
    </w:p>
    <w:p>
      <w:pPr>
        <w:keepNext/>
        <w:keepLines/>
        <w:spacing w:line="360" w:lineRule="auto"/>
        <w:jc w:val="center"/>
        <w:rPr>
          <w:rFonts w:ascii="楷体" w:hAnsi="楷体" w:eastAsia="楷体" w:cs="楷体"/>
          <w:b/>
          <w:sz w:val="32"/>
          <w:szCs w:val="32"/>
        </w:rPr>
      </w:pPr>
      <w:r>
        <w:rPr>
          <w:rFonts w:hint="eastAsia" w:ascii="楷体" w:hAnsi="楷体" w:eastAsia="楷体" w:cs="楷体"/>
          <w:b/>
          <w:sz w:val="32"/>
          <w:szCs w:val="32"/>
        </w:rPr>
        <w:t>四.投标文件的递交</w:t>
      </w:r>
    </w:p>
    <w:p>
      <w:pPr>
        <w:spacing w:line="360" w:lineRule="auto"/>
        <w:rPr>
          <w:rFonts w:ascii="楷体" w:hAnsi="楷体" w:eastAsia="楷体" w:cs="楷体"/>
          <w:b/>
          <w:szCs w:val="24"/>
        </w:rPr>
      </w:pPr>
      <w:r>
        <w:rPr>
          <w:rFonts w:hint="eastAsia" w:ascii="楷体" w:hAnsi="楷体" w:eastAsia="楷体" w:cs="楷体"/>
          <w:b/>
          <w:szCs w:val="24"/>
        </w:rPr>
        <w:t>19.投标文件的密封和标记</w:t>
      </w:r>
    </w:p>
    <w:p>
      <w:pPr>
        <w:spacing w:line="360" w:lineRule="auto"/>
        <w:ind w:firstLine="480" w:firstLineChars="200"/>
        <w:rPr>
          <w:rFonts w:ascii="楷体" w:hAnsi="楷体" w:eastAsia="楷体" w:cs="楷体"/>
          <w:szCs w:val="24"/>
        </w:rPr>
      </w:pPr>
      <w:r>
        <w:rPr>
          <w:rFonts w:hint="eastAsia" w:ascii="楷体" w:hAnsi="楷体" w:eastAsia="楷体" w:cs="楷体"/>
          <w:szCs w:val="24"/>
        </w:rPr>
        <w:t>19.1</w:t>
      </w:r>
      <w:r>
        <w:rPr>
          <w:rFonts w:hint="eastAsia" w:ascii="楷体" w:hAnsi="楷体" w:eastAsia="楷体" w:cs="楷体"/>
        </w:rPr>
        <w:t>为方便唱标记标，</w:t>
      </w:r>
      <w:r>
        <w:rPr>
          <w:rFonts w:hint="eastAsia" w:ascii="楷体" w:hAnsi="楷体" w:eastAsia="楷体" w:cs="楷体"/>
          <w:szCs w:val="24"/>
        </w:rPr>
        <w:t>开标一览表</w:t>
      </w:r>
      <w:r>
        <w:rPr>
          <w:rFonts w:hint="eastAsia" w:ascii="楷体" w:hAnsi="楷体" w:eastAsia="楷体" w:cs="楷体"/>
        </w:rPr>
        <w:t>除投标文件内装订外，再制作一份单独密封在封袋中。封线处加贴封条并加盖投标人公章，封袋/封箱正面要粘贴标识，单独递交（该单独密封</w:t>
      </w:r>
      <w:r>
        <w:rPr>
          <w:rFonts w:hint="eastAsia" w:ascii="楷体" w:hAnsi="楷体" w:eastAsia="楷体" w:cs="楷体"/>
          <w:szCs w:val="24"/>
        </w:rPr>
        <w:t>开标一览表</w:t>
      </w:r>
      <w:r>
        <w:rPr>
          <w:rFonts w:hint="eastAsia" w:ascii="楷体" w:hAnsi="楷体" w:eastAsia="楷体" w:cs="楷体"/>
        </w:rPr>
        <w:t>的投标报价必须与投标文件正本中的投</w:t>
      </w:r>
      <w:r>
        <w:rPr>
          <w:rFonts w:hint="eastAsia" w:ascii="楷体" w:hAnsi="楷体" w:eastAsia="楷体" w:cs="楷体"/>
          <w:szCs w:val="24"/>
        </w:rPr>
        <w:t>标报价一致，若不一致，则按单独密封的开标一览表为准）。</w:t>
      </w:r>
    </w:p>
    <w:p>
      <w:pPr>
        <w:spacing w:line="360" w:lineRule="auto"/>
        <w:ind w:firstLine="480" w:firstLineChars="200"/>
        <w:rPr>
          <w:rFonts w:ascii="楷体" w:hAnsi="楷体" w:eastAsia="楷体" w:cs="楷体"/>
          <w:szCs w:val="24"/>
        </w:rPr>
      </w:pPr>
      <w:r>
        <w:rPr>
          <w:rFonts w:hint="eastAsia" w:ascii="楷体" w:hAnsi="楷体" w:eastAsia="楷体" w:cs="楷体"/>
          <w:szCs w:val="24"/>
        </w:rPr>
        <w:t>19.2</w:t>
      </w:r>
      <w:r>
        <w:rPr>
          <w:rFonts w:hint="eastAsia" w:ascii="楷体" w:hAnsi="楷体" w:eastAsia="楷体" w:cs="楷体"/>
          <w:b/>
          <w:szCs w:val="24"/>
        </w:rPr>
        <w:t>投标人应将投标文件正本、所有副本、电子版、开标一览表分别密封装在单独封袋/封箱中，共四个封袋/封箱</w:t>
      </w:r>
      <w:r>
        <w:rPr>
          <w:rFonts w:hint="eastAsia" w:ascii="楷体" w:hAnsi="楷体" w:eastAsia="楷体" w:cs="楷体"/>
          <w:szCs w:val="24"/>
        </w:rPr>
        <w:t>。封袋</w:t>
      </w:r>
      <w:r>
        <w:rPr>
          <w:rFonts w:hint="eastAsia" w:ascii="楷体" w:hAnsi="楷体" w:eastAsia="楷体" w:cs="楷体"/>
        </w:rPr>
        <w:t>/封箱</w:t>
      </w:r>
      <w:r>
        <w:rPr>
          <w:rFonts w:hint="eastAsia" w:ascii="楷体" w:hAnsi="楷体" w:eastAsia="楷体" w:cs="楷体"/>
          <w:szCs w:val="24"/>
        </w:rPr>
        <w:t>不得破损，否则不予接收。</w:t>
      </w:r>
    </w:p>
    <w:p>
      <w:pPr>
        <w:spacing w:line="360" w:lineRule="auto"/>
        <w:ind w:firstLine="480" w:firstLineChars="200"/>
        <w:rPr>
          <w:rFonts w:ascii="楷体" w:hAnsi="楷体" w:eastAsia="楷体" w:cs="楷体"/>
          <w:szCs w:val="24"/>
        </w:rPr>
      </w:pPr>
      <w:r>
        <w:rPr>
          <w:rFonts w:hint="eastAsia" w:ascii="楷体" w:hAnsi="楷体" w:eastAsia="楷体" w:cs="楷体"/>
          <w:szCs w:val="24"/>
        </w:rPr>
        <w:t>19.3外层包装请按以下要求标记：</w:t>
      </w:r>
    </w:p>
    <w:p>
      <w:pPr>
        <w:spacing w:line="360" w:lineRule="auto"/>
        <w:rPr>
          <w:rFonts w:ascii="楷体" w:hAnsi="楷体" w:eastAsia="楷体" w:cs="楷体"/>
          <w:szCs w:val="24"/>
        </w:rPr>
      </w:pPr>
      <w:r>
        <w:rPr>
          <w:rFonts w:hint="eastAsia" w:ascii="楷体" w:hAnsi="楷体" w:eastAsia="楷体" w:cs="楷体"/>
          <w:szCs w:val="24"/>
        </w:rPr>
        <w:t xml:space="preserve">    19.3.1 投标人的全称（盖公章）；</w:t>
      </w:r>
    </w:p>
    <w:p>
      <w:pPr>
        <w:spacing w:line="360" w:lineRule="auto"/>
        <w:rPr>
          <w:rFonts w:ascii="楷体" w:hAnsi="楷体" w:eastAsia="楷体" w:cs="楷体"/>
          <w:szCs w:val="24"/>
        </w:rPr>
      </w:pPr>
      <w:r>
        <w:rPr>
          <w:rFonts w:hint="eastAsia" w:ascii="楷体" w:hAnsi="楷体" w:eastAsia="楷体" w:cs="楷体"/>
          <w:szCs w:val="24"/>
        </w:rPr>
        <w:t xml:space="preserve">    19.3.2 投标项目名称、标段、项目编号；</w:t>
      </w:r>
    </w:p>
    <w:p>
      <w:pPr>
        <w:spacing w:line="360" w:lineRule="auto"/>
        <w:rPr>
          <w:rFonts w:ascii="楷体" w:hAnsi="楷体" w:eastAsia="楷体" w:cs="楷体"/>
          <w:szCs w:val="24"/>
        </w:rPr>
      </w:pPr>
      <w:r>
        <w:rPr>
          <w:rFonts w:hint="eastAsia" w:ascii="楷体" w:hAnsi="楷体" w:eastAsia="楷体" w:cs="楷体"/>
          <w:szCs w:val="24"/>
        </w:rPr>
        <w:t xml:space="preserve">    19.3.3 正本/副本/电子版/开标一览表等信息。</w:t>
      </w:r>
    </w:p>
    <w:p>
      <w:pPr>
        <w:spacing w:line="360" w:lineRule="auto"/>
        <w:ind w:firstLine="480" w:firstLineChars="200"/>
        <w:rPr>
          <w:rFonts w:ascii="楷体" w:hAnsi="楷体" w:eastAsia="楷体" w:cs="楷体"/>
          <w:szCs w:val="24"/>
        </w:rPr>
      </w:pPr>
      <w:r>
        <w:rPr>
          <w:rFonts w:hint="eastAsia" w:ascii="楷体" w:hAnsi="楷体" w:eastAsia="楷体" w:cs="楷体"/>
          <w:szCs w:val="24"/>
        </w:rPr>
        <w:t>19.4如果投标人未对投标文件按上述要求进行完好密封，由此产生的不利后果由投标人自行承担。</w:t>
      </w:r>
    </w:p>
    <w:p>
      <w:pPr>
        <w:spacing w:line="360" w:lineRule="auto"/>
        <w:rPr>
          <w:rFonts w:ascii="楷体" w:hAnsi="楷体" w:eastAsia="楷体" w:cs="楷体"/>
          <w:b/>
          <w:szCs w:val="24"/>
        </w:rPr>
      </w:pPr>
      <w:r>
        <w:rPr>
          <w:rFonts w:hint="eastAsia" w:ascii="楷体" w:hAnsi="楷体" w:eastAsia="楷体" w:cs="楷体"/>
          <w:b/>
          <w:szCs w:val="24"/>
        </w:rPr>
        <w:t>20．投标文件的递交</w:t>
      </w:r>
    </w:p>
    <w:p>
      <w:pPr>
        <w:spacing w:line="360" w:lineRule="auto"/>
        <w:ind w:firstLine="480" w:firstLineChars="200"/>
        <w:rPr>
          <w:rFonts w:ascii="楷体" w:hAnsi="楷体" w:eastAsia="楷体" w:cs="楷体"/>
          <w:szCs w:val="24"/>
        </w:rPr>
      </w:pPr>
      <w:r>
        <w:rPr>
          <w:rFonts w:hint="eastAsia" w:ascii="楷体" w:hAnsi="楷体" w:eastAsia="楷体" w:cs="楷体"/>
          <w:szCs w:val="24"/>
        </w:rPr>
        <w:t>20.1投标人应按招标文件中规定的时间和地点，在投标截止时间前将全部投标文件和投标资料递交至招标代理机构投标文件接收人。</w:t>
      </w:r>
    </w:p>
    <w:p>
      <w:pPr>
        <w:spacing w:line="360" w:lineRule="auto"/>
        <w:ind w:firstLine="480" w:firstLineChars="200"/>
        <w:rPr>
          <w:rFonts w:ascii="楷体" w:hAnsi="楷体" w:eastAsia="楷体" w:cs="楷体"/>
          <w:szCs w:val="24"/>
        </w:rPr>
      </w:pPr>
      <w:r>
        <w:rPr>
          <w:rFonts w:hint="eastAsia" w:ascii="楷体" w:hAnsi="楷体" w:eastAsia="楷体" w:cs="楷体"/>
          <w:szCs w:val="24"/>
        </w:rPr>
        <w:t>20.2投标文件接收人在招标文件规定的投标文件递交截止时间前，只负责对投标文件和投标资料的接收、清点、造册登记工作，并请递交人签字确认，对其有效性不负任何责任；</w:t>
      </w:r>
    </w:p>
    <w:p>
      <w:pPr>
        <w:spacing w:line="360" w:lineRule="auto"/>
        <w:ind w:firstLine="480" w:firstLineChars="200"/>
        <w:rPr>
          <w:rFonts w:ascii="楷体" w:hAnsi="楷体" w:eastAsia="楷体" w:cs="楷体"/>
          <w:szCs w:val="24"/>
        </w:rPr>
      </w:pPr>
      <w:r>
        <w:rPr>
          <w:rFonts w:hint="eastAsia" w:ascii="楷体" w:hAnsi="楷体" w:eastAsia="楷体" w:cs="楷体"/>
          <w:szCs w:val="24"/>
        </w:rPr>
        <w:t>20.3本次招标不接受邮寄或速递或快递的投标文件；</w:t>
      </w:r>
    </w:p>
    <w:p>
      <w:pPr>
        <w:spacing w:line="360" w:lineRule="auto"/>
        <w:ind w:firstLine="480" w:firstLineChars="200"/>
        <w:rPr>
          <w:rFonts w:ascii="楷体" w:hAnsi="楷体" w:eastAsia="楷体" w:cs="楷体"/>
          <w:szCs w:val="24"/>
        </w:rPr>
      </w:pPr>
      <w:r>
        <w:rPr>
          <w:rFonts w:hint="eastAsia" w:ascii="楷体" w:hAnsi="楷体" w:eastAsia="楷体" w:cs="楷体"/>
          <w:szCs w:val="24"/>
        </w:rPr>
        <w:t>20.4逾期送达的或者未送达指定地点的投标文件，采购代理机构不予受理；</w:t>
      </w:r>
    </w:p>
    <w:p>
      <w:pPr>
        <w:spacing w:line="360" w:lineRule="auto"/>
        <w:ind w:firstLine="480" w:firstLineChars="200"/>
        <w:rPr>
          <w:rFonts w:ascii="楷体" w:hAnsi="楷体" w:eastAsia="楷体" w:cs="楷体"/>
          <w:spacing w:val="-2"/>
        </w:rPr>
      </w:pPr>
      <w:r>
        <w:rPr>
          <w:rFonts w:hint="eastAsia" w:ascii="楷体" w:hAnsi="楷体" w:eastAsia="楷体" w:cs="楷体"/>
          <w:szCs w:val="24"/>
        </w:rPr>
        <w:t>20.5无论投标人中标与否，其投标文件</w:t>
      </w:r>
      <w:r>
        <w:rPr>
          <w:rFonts w:hint="eastAsia" w:ascii="楷体" w:hAnsi="楷体" w:eastAsia="楷体" w:cs="楷体"/>
        </w:rPr>
        <w:t>恕不退还。</w:t>
      </w:r>
    </w:p>
    <w:p>
      <w:pPr>
        <w:spacing w:line="360" w:lineRule="auto"/>
        <w:rPr>
          <w:rFonts w:ascii="楷体" w:hAnsi="楷体" w:eastAsia="楷体" w:cs="楷体"/>
          <w:b/>
          <w:szCs w:val="24"/>
        </w:rPr>
      </w:pPr>
      <w:r>
        <w:rPr>
          <w:rFonts w:hint="eastAsia" w:ascii="楷体" w:hAnsi="楷体" w:eastAsia="楷体" w:cs="楷体"/>
          <w:b/>
          <w:szCs w:val="24"/>
        </w:rPr>
        <w:t>21．投标文件的修改与撤回</w:t>
      </w:r>
    </w:p>
    <w:p>
      <w:pPr>
        <w:spacing w:line="360" w:lineRule="auto"/>
        <w:ind w:firstLine="480" w:firstLineChars="200"/>
        <w:rPr>
          <w:rFonts w:ascii="楷体" w:hAnsi="楷体" w:eastAsia="楷体" w:cs="楷体"/>
          <w:szCs w:val="24"/>
        </w:rPr>
      </w:pPr>
      <w:r>
        <w:rPr>
          <w:rFonts w:hint="eastAsia" w:ascii="楷体" w:hAnsi="楷体" w:eastAsia="楷体" w:cs="楷体"/>
          <w:szCs w:val="24"/>
        </w:rPr>
        <w:t>21.1投标人在投标截止时间前，可以对所递交的投标文件进行补充、修改或者撤回，并书面通知采购人或者招标代理机构。补充、修改的内容应当按照招标文件要求签署、盖章、密封后，作为投标文件的组成部分。</w:t>
      </w:r>
    </w:p>
    <w:p>
      <w:pPr>
        <w:spacing w:line="360" w:lineRule="auto"/>
        <w:ind w:firstLine="480" w:firstLineChars="200"/>
        <w:rPr>
          <w:rFonts w:ascii="楷体" w:hAnsi="楷体" w:eastAsia="楷体" w:cs="楷体"/>
          <w:szCs w:val="24"/>
        </w:rPr>
      </w:pPr>
      <w:r>
        <w:rPr>
          <w:rFonts w:hint="eastAsia" w:ascii="楷体" w:hAnsi="楷体" w:eastAsia="楷体" w:cs="楷体"/>
          <w:szCs w:val="24"/>
        </w:rPr>
        <w:t>21.2 投标人的修改或撤回或变动价格的通知应按本章第17条的规定编制、密封、标记和递交。</w:t>
      </w:r>
    </w:p>
    <w:p>
      <w:pPr>
        <w:spacing w:line="360" w:lineRule="auto"/>
        <w:ind w:firstLine="480" w:firstLineChars="200"/>
        <w:rPr>
          <w:rFonts w:ascii="楷体" w:hAnsi="楷体" w:eastAsia="楷体" w:cs="楷体"/>
          <w:szCs w:val="24"/>
        </w:rPr>
      </w:pPr>
      <w:r>
        <w:rPr>
          <w:rFonts w:hint="eastAsia" w:ascii="楷体" w:hAnsi="楷体" w:eastAsia="楷体" w:cs="楷体"/>
          <w:szCs w:val="24"/>
        </w:rPr>
        <w:t>21.3 在投标文件递交截止时间之后，投标人不得对其投标做任何补充、修改或撤回。</w:t>
      </w:r>
    </w:p>
    <w:p>
      <w:pPr>
        <w:keepNext/>
        <w:keepLines/>
        <w:spacing w:line="360" w:lineRule="auto"/>
        <w:jc w:val="center"/>
        <w:rPr>
          <w:rFonts w:ascii="楷体" w:hAnsi="楷体" w:eastAsia="楷体" w:cs="楷体"/>
          <w:b/>
          <w:sz w:val="32"/>
          <w:szCs w:val="32"/>
        </w:rPr>
      </w:pPr>
      <w:bookmarkStart w:id="40" w:name="_Toc403077643"/>
      <w:bookmarkStart w:id="41" w:name="_Toc363473976"/>
      <w:bookmarkStart w:id="42" w:name="_Toc363474021"/>
      <w:r>
        <w:rPr>
          <w:rFonts w:hint="eastAsia" w:ascii="楷体" w:hAnsi="楷体" w:eastAsia="楷体" w:cs="楷体"/>
          <w:b/>
          <w:sz w:val="32"/>
          <w:szCs w:val="32"/>
        </w:rPr>
        <w:t>五.开标与评</w:t>
      </w:r>
      <w:bookmarkEnd w:id="40"/>
      <w:bookmarkEnd w:id="41"/>
      <w:bookmarkEnd w:id="42"/>
      <w:r>
        <w:rPr>
          <w:rFonts w:hint="eastAsia" w:ascii="楷体" w:hAnsi="楷体" w:eastAsia="楷体" w:cs="楷体"/>
          <w:b/>
          <w:sz w:val="32"/>
          <w:szCs w:val="32"/>
        </w:rPr>
        <w:t>标</w:t>
      </w:r>
    </w:p>
    <w:p>
      <w:pPr>
        <w:spacing w:line="360" w:lineRule="auto"/>
        <w:rPr>
          <w:rFonts w:ascii="楷体" w:hAnsi="楷体" w:eastAsia="楷体" w:cs="楷体"/>
          <w:b/>
          <w:szCs w:val="24"/>
        </w:rPr>
      </w:pPr>
      <w:r>
        <w:rPr>
          <w:rFonts w:hint="eastAsia" w:ascii="楷体" w:hAnsi="楷体" w:eastAsia="楷体" w:cs="楷体"/>
          <w:b/>
          <w:szCs w:val="24"/>
        </w:rPr>
        <w:t>22.开标</w:t>
      </w:r>
    </w:p>
    <w:p>
      <w:pPr>
        <w:spacing w:line="360" w:lineRule="auto"/>
        <w:ind w:firstLine="480" w:firstLineChars="200"/>
        <w:rPr>
          <w:rFonts w:ascii="楷体" w:hAnsi="楷体" w:eastAsia="楷体" w:cs="楷体"/>
          <w:szCs w:val="24"/>
        </w:rPr>
      </w:pPr>
      <w:r>
        <w:rPr>
          <w:rFonts w:hint="eastAsia" w:ascii="楷体" w:hAnsi="楷体" w:eastAsia="楷体" w:cs="楷体"/>
          <w:szCs w:val="24"/>
        </w:rPr>
        <w:t>22.1 招标代理机构在规定的时间和地点组织公开开标。</w:t>
      </w:r>
    </w:p>
    <w:p>
      <w:pPr>
        <w:spacing w:line="360" w:lineRule="auto"/>
        <w:ind w:firstLine="480" w:firstLineChars="200"/>
        <w:rPr>
          <w:rFonts w:ascii="楷体" w:hAnsi="楷体" w:eastAsia="楷体" w:cs="楷体"/>
          <w:szCs w:val="24"/>
        </w:rPr>
      </w:pPr>
      <w:r>
        <w:rPr>
          <w:rFonts w:hint="eastAsia" w:ascii="楷体" w:hAnsi="楷体" w:eastAsia="楷体" w:cs="楷体"/>
          <w:szCs w:val="24"/>
        </w:rPr>
        <w:t>22.2开标大会由招标代理机构主持，采购单位代表、投标单位代表及有关工作人员参加。评标委员会成员不得参加开标活动。</w:t>
      </w:r>
    </w:p>
    <w:p>
      <w:pPr>
        <w:spacing w:line="360" w:lineRule="auto"/>
        <w:ind w:firstLine="480" w:firstLineChars="200"/>
        <w:rPr>
          <w:rFonts w:ascii="楷体" w:hAnsi="楷体" w:eastAsia="楷体" w:cs="楷体"/>
          <w:szCs w:val="24"/>
        </w:rPr>
      </w:pPr>
      <w:r>
        <w:rPr>
          <w:rFonts w:hint="eastAsia" w:ascii="楷体" w:hAnsi="楷体" w:eastAsia="楷体" w:cs="楷体"/>
          <w:szCs w:val="24"/>
        </w:rPr>
        <w:t>22.3 开标时由投标人授权代表和监标人共同查验投标文件密封情况，招标代理机构当众拆封，以公开唱标的形式宣读报价等内容。</w:t>
      </w:r>
    </w:p>
    <w:p>
      <w:pPr>
        <w:spacing w:line="360" w:lineRule="auto"/>
        <w:ind w:firstLine="480" w:firstLineChars="200"/>
        <w:rPr>
          <w:rFonts w:ascii="楷体" w:hAnsi="楷体" w:eastAsia="楷体" w:cs="楷体"/>
          <w:szCs w:val="24"/>
        </w:rPr>
      </w:pPr>
      <w:r>
        <w:rPr>
          <w:rFonts w:hint="eastAsia" w:ascii="楷体" w:hAnsi="楷体" w:eastAsia="楷体" w:cs="楷体"/>
          <w:szCs w:val="24"/>
        </w:rPr>
        <w:t>22.4 招标代理机构将做开标记录，开标记录包括按规定在开标时宣读的全部内容。与会的投标人授权代表应在开标记录上签字确认。</w:t>
      </w:r>
    </w:p>
    <w:p>
      <w:pPr>
        <w:spacing w:line="360" w:lineRule="auto"/>
        <w:rPr>
          <w:rFonts w:ascii="楷体" w:hAnsi="楷体" w:eastAsia="楷体" w:cs="楷体"/>
          <w:b/>
          <w:szCs w:val="24"/>
        </w:rPr>
      </w:pPr>
      <w:r>
        <w:rPr>
          <w:rFonts w:hint="eastAsia" w:ascii="楷体" w:hAnsi="楷体" w:eastAsia="楷体" w:cs="楷体"/>
          <w:b/>
          <w:szCs w:val="24"/>
        </w:rPr>
        <w:t>23．评标组织及评标原则</w:t>
      </w:r>
    </w:p>
    <w:p>
      <w:pPr>
        <w:spacing w:line="360" w:lineRule="auto"/>
        <w:ind w:firstLine="480" w:firstLineChars="200"/>
        <w:rPr>
          <w:rFonts w:ascii="楷体" w:hAnsi="楷体" w:eastAsia="楷体" w:cs="楷体"/>
          <w:szCs w:val="24"/>
        </w:rPr>
      </w:pPr>
      <w:r>
        <w:rPr>
          <w:rFonts w:hint="eastAsia" w:ascii="楷体" w:hAnsi="楷体" w:eastAsia="楷体" w:cs="楷体"/>
          <w:szCs w:val="24"/>
        </w:rPr>
        <w:t>23.1按照《中华人民共和国政府采购法》、《中华人民共和国政府采购法实施条例》、《政府采购货物和服务招标投标管理办法》（财政部令第87号）等相关法律法规，依法组建评标委员会。评标委员会由采购人代表和评审专家组成，成员人数应当为5人以上单数，其中评审专家不得少于成员总数的三分之二。其中采购人代表须持有评审授权书。评标委员会应当按照招标文件中规定的评标方法和标准，对符合性审查合格的投标文件进行商务和技术评估，综合比较与评价。</w:t>
      </w:r>
    </w:p>
    <w:p>
      <w:pPr>
        <w:spacing w:line="360" w:lineRule="auto"/>
        <w:ind w:firstLine="480" w:firstLineChars="200"/>
        <w:rPr>
          <w:rFonts w:ascii="楷体" w:hAnsi="楷体" w:eastAsia="楷体" w:cs="楷体"/>
          <w:szCs w:val="24"/>
        </w:rPr>
      </w:pPr>
      <w:r>
        <w:rPr>
          <w:rFonts w:hint="eastAsia" w:ascii="楷体" w:hAnsi="楷体" w:eastAsia="楷体" w:cs="楷体"/>
          <w:szCs w:val="24"/>
        </w:rPr>
        <w:t>23.2招标文件和投标文件是评标的依据。在评标中，不得改变招标文件中规定的评标标准、方法和中标条件。投标人不得在开标后使用任何方式对投标文件的实质性内容做任何更改。</w:t>
      </w:r>
    </w:p>
    <w:p>
      <w:pPr>
        <w:spacing w:line="360" w:lineRule="auto"/>
        <w:ind w:firstLine="480" w:firstLineChars="200"/>
        <w:rPr>
          <w:rFonts w:ascii="楷体" w:hAnsi="楷体" w:eastAsia="楷体" w:cs="楷体"/>
          <w:szCs w:val="24"/>
        </w:rPr>
      </w:pPr>
      <w:r>
        <w:rPr>
          <w:rFonts w:hint="eastAsia" w:ascii="楷体" w:hAnsi="楷体" w:eastAsia="楷体" w:cs="楷体"/>
          <w:szCs w:val="24"/>
        </w:rPr>
        <w:t>23.3在评审期间，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楷体" w:hAnsi="楷体" w:eastAsia="楷体" w:cs="楷体"/>
          <w:szCs w:val="24"/>
        </w:rPr>
      </w:pPr>
      <w:r>
        <w:rPr>
          <w:rFonts w:hint="eastAsia" w:ascii="楷体" w:hAnsi="楷体" w:eastAsia="楷体" w:cs="楷体"/>
          <w:szCs w:val="24"/>
        </w:rPr>
        <w:t>23.4如果投标人在澄清规定期限内，未能答复或拒绝答复评标委员会提出的澄清要求，将由评标委员会根据其投标文件按最大风险进行评标。</w:t>
      </w:r>
    </w:p>
    <w:p>
      <w:pPr>
        <w:spacing w:line="360" w:lineRule="auto"/>
        <w:ind w:firstLine="482" w:firstLineChars="200"/>
        <w:rPr>
          <w:rFonts w:ascii="楷体" w:hAnsi="楷体" w:eastAsia="楷体" w:cs="楷体"/>
          <w:b/>
          <w:szCs w:val="24"/>
        </w:rPr>
      </w:pPr>
      <w:r>
        <w:rPr>
          <w:rFonts w:hint="eastAsia" w:ascii="楷体" w:hAnsi="楷体" w:eastAsia="楷体" w:cs="楷体"/>
          <w:b/>
          <w:szCs w:val="24"/>
        </w:rPr>
        <w:t>23.5投标文件的初审（含资格性审查和符合性审查）</w:t>
      </w:r>
    </w:p>
    <w:p>
      <w:pPr>
        <w:spacing w:line="360" w:lineRule="auto"/>
        <w:ind w:firstLine="480" w:firstLineChars="200"/>
        <w:rPr>
          <w:rFonts w:ascii="楷体" w:hAnsi="楷体" w:eastAsia="楷体" w:cs="楷体"/>
          <w:szCs w:val="24"/>
        </w:rPr>
      </w:pPr>
      <w:r>
        <w:rPr>
          <w:rFonts w:hint="eastAsia" w:ascii="楷体" w:hAnsi="楷体" w:eastAsia="楷体" w:cs="楷体"/>
          <w:szCs w:val="24"/>
        </w:rPr>
        <w:t>23.5.1采购人或者采购代理机构应当依法对投标人的资格进行审查；评标委员会应当对符合资格的投标人的投标文件进行符合性审查，以确定其是否满足招标文件的实质性要求。</w:t>
      </w:r>
    </w:p>
    <w:p>
      <w:pPr>
        <w:spacing w:line="360" w:lineRule="auto"/>
        <w:ind w:firstLine="480" w:firstLineChars="200"/>
        <w:rPr>
          <w:rFonts w:ascii="楷体" w:hAnsi="楷体" w:eastAsia="楷体" w:cs="楷体"/>
          <w:szCs w:val="24"/>
        </w:rPr>
      </w:pPr>
      <w:r>
        <w:rPr>
          <w:rFonts w:hint="eastAsia" w:ascii="楷体" w:hAnsi="楷体" w:eastAsia="楷体" w:cs="楷体"/>
          <w:szCs w:val="24"/>
        </w:rPr>
        <w:t>23.5.2计算错误将按以下方法更正：</w:t>
      </w:r>
      <w:r>
        <w:rPr>
          <w:rFonts w:ascii="Calibri" w:eastAsia="楷体" w:cs="Calibri"/>
          <w:szCs w:val="24"/>
        </w:rPr>
        <w:t>①</w:t>
      </w:r>
      <w:r>
        <w:rPr>
          <w:rFonts w:hint="eastAsia" w:ascii="楷体" w:hAnsi="楷体" w:eastAsia="楷体" w:cs="楷体"/>
          <w:szCs w:val="24"/>
        </w:rPr>
        <w:t>投标文件中开标一览表（报价表）内容与投标文件中相应内容不一致的，以开标一览表（报价表）为准；</w:t>
      </w:r>
      <w:r>
        <w:rPr>
          <w:rFonts w:ascii="Calibri" w:eastAsia="楷体" w:cs="Calibri"/>
          <w:szCs w:val="24"/>
        </w:rPr>
        <w:t>②</w:t>
      </w:r>
      <w:r>
        <w:rPr>
          <w:rFonts w:hint="eastAsia" w:ascii="楷体" w:hAnsi="楷体" w:eastAsia="楷体" w:cs="楷体"/>
          <w:szCs w:val="24"/>
        </w:rPr>
        <w:t>大写金额和小写金额不一致的，以大写金额为准；</w:t>
      </w:r>
      <w:r>
        <w:rPr>
          <w:rFonts w:ascii="Calibri" w:eastAsia="楷体" w:cs="Calibri"/>
          <w:szCs w:val="24"/>
        </w:rPr>
        <w:t>③</w:t>
      </w:r>
      <w:r>
        <w:rPr>
          <w:rFonts w:hint="eastAsia" w:ascii="楷体" w:hAnsi="楷体" w:eastAsia="楷体" w:cs="楷体"/>
          <w:szCs w:val="24"/>
        </w:rPr>
        <w:t>单价金额小数点或者百分比有明显错位的，以开标一览表的总价为准，并修改单价；④总价金额与按单价汇总金额不一致的，以单价金额计算结果为准。同时出现两种以上不一致的，按照前款规定的顺序修正。修正后的报价按照招标文件23.3条的规定经投标人确认后产生约束力，投标人不同意以上修正的，其投标无效。</w:t>
      </w:r>
    </w:p>
    <w:p>
      <w:pPr>
        <w:spacing w:line="360" w:lineRule="auto"/>
        <w:ind w:firstLine="480" w:firstLineChars="200"/>
        <w:rPr>
          <w:rFonts w:ascii="楷体" w:hAnsi="楷体" w:eastAsia="楷体" w:cs="楷体"/>
          <w:szCs w:val="24"/>
        </w:rPr>
      </w:pPr>
      <w:r>
        <w:rPr>
          <w:rFonts w:hint="eastAsia" w:ascii="楷体" w:hAnsi="楷体" w:eastAsia="楷体" w:cs="楷体"/>
          <w:szCs w:val="24"/>
        </w:rPr>
        <w:t>23.5.3在详细评审前，根据本须知第23.5.4条的规定，评标委员会要审查每份投标文件是否实质上响应了招标文件的要求。对关键条文的偏离、保留或反对将被认为是实质上的偏离，这些偏离不允许在开标后修正。但允许修改不构成重大偏离的、微小的、非正规的不一致或不规则的地方。</w:t>
      </w:r>
    </w:p>
    <w:p>
      <w:pPr>
        <w:spacing w:line="360" w:lineRule="auto"/>
        <w:ind w:firstLine="480" w:firstLineChars="200"/>
        <w:rPr>
          <w:rFonts w:ascii="楷体" w:hAnsi="楷体" w:eastAsia="楷体" w:cs="楷体"/>
          <w:szCs w:val="24"/>
        </w:rPr>
      </w:pPr>
      <w:r>
        <w:rPr>
          <w:rFonts w:hint="eastAsia" w:ascii="楷体" w:hAnsi="楷体" w:eastAsia="楷体" w:cs="楷体"/>
          <w:szCs w:val="24"/>
        </w:rPr>
        <w:t>23.5.4实质上没有响应招标文件要求的投标将按无效投标处理。投标人不得通过修正或撤销不合要求的偏离从而使其投标成为实质性响应的投标。如发现下列情况之一的，其投标将构成非实质性响应，按无效投标处理：</w:t>
      </w:r>
    </w:p>
    <w:p>
      <w:pPr>
        <w:tabs>
          <w:tab w:val="left" w:pos="1260"/>
        </w:tabs>
        <w:spacing w:line="360" w:lineRule="auto"/>
        <w:ind w:firstLine="480" w:firstLineChars="200"/>
        <w:rPr>
          <w:rFonts w:ascii="楷体" w:hAnsi="楷体" w:eastAsia="楷体" w:cs="楷体"/>
          <w:szCs w:val="24"/>
        </w:rPr>
      </w:pPr>
      <w:r>
        <w:rPr>
          <w:rFonts w:hint="eastAsia" w:ascii="楷体" w:hAnsi="楷体" w:eastAsia="楷体" w:cs="楷体"/>
          <w:szCs w:val="24"/>
        </w:rPr>
        <w:t>23.5.4.1未按招标文件要求提供的投标文件或投标文件构成有重大缺项；</w:t>
      </w:r>
    </w:p>
    <w:p>
      <w:pPr>
        <w:kinsoku w:val="0"/>
        <w:spacing w:line="360" w:lineRule="auto"/>
        <w:ind w:firstLine="480" w:firstLineChars="200"/>
        <w:rPr>
          <w:rFonts w:ascii="楷体" w:hAnsi="楷体" w:eastAsia="楷体" w:cs="楷体"/>
          <w:szCs w:val="24"/>
        </w:rPr>
      </w:pPr>
      <w:r>
        <w:rPr>
          <w:rFonts w:hint="eastAsia" w:ascii="楷体" w:hAnsi="楷体" w:eastAsia="楷体" w:cs="楷体"/>
          <w:szCs w:val="24"/>
        </w:rPr>
        <w:t>23</w:t>
      </w:r>
      <w:r>
        <w:rPr>
          <w:rFonts w:hint="eastAsia" w:ascii="楷体" w:hAnsi="楷体" w:eastAsia="楷体" w:cs="楷体"/>
        </w:rPr>
        <w:t>.5.4.2投标</w:t>
      </w:r>
      <w:r>
        <w:rPr>
          <w:rFonts w:hint="eastAsia" w:ascii="楷体" w:hAnsi="楷体" w:eastAsia="楷体" w:cs="楷体"/>
          <w:spacing w:val="-6"/>
        </w:rPr>
        <w:t>文件</w:t>
      </w:r>
      <w:r>
        <w:rPr>
          <w:rFonts w:hint="eastAsia" w:ascii="楷体" w:hAnsi="楷体" w:eastAsia="楷体" w:cs="楷体"/>
        </w:rPr>
        <w:t>未按招标文件要求签署、盖章、装订的；</w:t>
      </w:r>
    </w:p>
    <w:p>
      <w:pPr>
        <w:tabs>
          <w:tab w:val="left" w:pos="1260"/>
        </w:tabs>
        <w:spacing w:line="360" w:lineRule="auto"/>
        <w:ind w:firstLine="480" w:firstLineChars="200"/>
        <w:rPr>
          <w:rFonts w:ascii="楷体" w:hAnsi="楷体" w:eastAsia="楷体" w:cs="楷体"/>
          <w:szCs w:val="24"/>
        </w:rPr>
      </w:pPr>
      <w:r>
        <w:rPr>
          <w:rFonts w:hint="eastAsia" w:ascii="楷体" w:hAnsi="楷体" w:eastAsia="楷体" w:cs="楷体"/>
          <w:szCs w:val="24"/>
        </w:rPr>
        <w:t>23.5.4.3资格证明文件不全的或无效的，或不符合国家规定的；</w:t>
      </w:r>
    </w:p>
    <w:p>
      <w:pPr>
        <w:tabs>
          <w:tab w:val="left" w:pos="1260"/>
        </w:tabs>
        <w:spacing w:line="360" w:lineRule="auto"/>
        <w:ind w:firstLine="480" w:firstLineChars="200"/>
        <w:rPr>
          <w:rFonts w:ascii="楷体" w:hAnsi="楷体" w:eastAsia="楷体" w:cs="楷体"/>
          <w:szCs w:val="24"/>
        </w:rPr>
      </w:pPr>
      <w:r>
        <w:rPr>
          <w:rFonts w:hint="eastAsia" w:ascii="楷体" w:hAnsi="楷体" w:eastAsia="楷体" w:cs="楷体"/>
          <w:szCs w:val="24"/>
        </w:rPr>
        <w:t>23.5.4.4投标文件无投标人公章、无法定代表人或授权人签章或签章人无法定代表人有效委托书的；</w:t>
      </w:r>
    </w:p>
    <w:p>
      <w:pPr>
        <w:tabs>
          <w:tab w:val="left" w:pos="1260"/>
        </w:tabs>
        <w:spacing w:line="360" w:lineRule="auto"/>
        <w:rPr>
          <w:rFonts w:ascii="楷体" w:hAnsi="楷体" w:eastAsia="楷体" w:cs="楷体"/>
          <w:szCs w:val="24"/>
        </w:rPr>
      </w:pPr>
      <w:r>
        <w:rPr>
          <w:rFonts w:hint="eastAsia" w:ascii="楷体" w:hAnsi="楷体" w:eastAsia="楷体" w:cs="楷体"/>
          <w:szCs w:val="24"/>
        </w:rPr>
        <w:t xml:space="preserve">    23.5.4.5无投标有效期或有效期不满足招标文件要求的；</w:t>
      </w:r>
    </w:p>
    <w:p>
      <w:pPr>
        <w:tabs>
          <w:tab w:val="left" w:pos="1260"/>
        </w:tabs>
        <w:spacing w:line="360" w:lineRule="auto"/>
        <w:ind w:firstLine="480" w:firstLineChars="200"/>
        <w:rPr>
          <w:rFonts w:ascii="楷体" w:hAnsi="楷体" w:eastAsia="楷体" w:cs="楷体"/>
          <w:szCs w:val="24"/>
        </w:rPr>
      </w:pPr>
      <w:r>
        <w:rPr>
          <w:rFonts w:hint="eastAsia" w:ascii="楷体" w:hAnsi="楷体" w:eastAsia="楷体" w:cs="楷体"/>
          <w:szCs w:val="24"/>
        </w:rPr>
        <w:t>23.5.4.6投标人在同一份投标文件中，对同一招标产品报有两个或多个报价的；</w:t>
      </w:r>
    </w:p>
    <w:p>
      <w:pPr>
        <w:tabs>
          <w:tab w:val="left" w:pos="1260"/>
        </w:tabs>
        <w:spacing w:line="360" w:lineRule="auto"/>
        <w:ind w:firstLine="480" w:firstLineChars="200"/>
        <w:rPr>
          <w:rFonts w:ascii="楷体" w:hAnsi="楷体" w:eastAsia="楷体" w:cs="楷体"/>
          <w:szCs w:val="24"/>
        </w:rPr>
      </w:pPr>
      <w:r>
        <w:rPr>
          <w:rFonts w:hint="eastAsia" w:ascii="楷体" w:hAnsi="楷体" w:eastAsia="楷体" w:cs="楷体"/>
          <w:szCs w:val="24"/>
        </w:rPr>
        <w:t>23.5.4.7未按招标文件要求交纳投标保证金的；</w:t>
      </w:r>
    </w:p>
    <w:p>
      <w:pPr>
        <w:tabs>
          <w:tab w:val="left" w:pos="1260"/>
        </w:tabs>
        <w:spacing w:line="360" w:lineRule="auto"/>
        <w:ind w:firstLine="480" w:firstLineChars="200"/>
        <w:rPr>
          <w:rFonts w:ascii="楷体" w:hAnsi="楷体" w:eastAsia="楷体" w:cs="楷体"/>
          <w:szCs w:val="24"/>
        </w:rPr>
      </w:pPr>
      <w:r>
        <w:rPr>
          <w:rFonts w:hint="eastAsia" w:ascii="楷体" w:hAnsi="楷体" w:eastAsia="楷体" w:cs="楷体"/>
          <w:szCs w:val="24"/>
        </w:rPr>
        <w:t>23.5.4.8对招标文件要求有重大负偏离的；</w:t>
      </w:r>
    </w:p>
    <w:p>
      <w:pPr>
        <w:tabs>
          <w:tab w:val="left" w:pos="1260"/>
        </w:tabs>
        <w:spacing w:line="360" w:lineRule="auto"/>
        <w:ind w:firstLine="480" w:firstLineChars="200"/>
        <w:rPr>
          <w:rFonts w:ascii="楷体" w:hAnsi="楷体" w:eastAsia="楷体" w:cs="楷体"/>
          <w:szCs w:val="24"/>
        </w:rPr>
      </w:pPr>
      <w:r>
        <w:rPr>
          <w:rFonts w:hint="eastAsia" w:ascii="楷体" w:hAnsi="楷体" w:eastAsia="楷体" w:cs="楷体"/>
          <w:szCs w:val="24"/>
        </w:rPr>
        <w:t>23.5.4.9投标人有串通投标、以他人名义投标、弄虚作假、行贿等违法行为的；</w:t>
      </w:r>
    </w:p>
    <w:p>
      <w:pPr>
        <w:tabs>
          <w:tab w:val="left" w:pos="1260"/>
        </w:tabs>
        <w:spacing w:line="360" w:lineRule="auto"/>
        <w:ind w:firstLine="480" w:firstLineChars="200"/>
        <w:rPr>
          <w:rFonts w:ascii="楷体" w:hAnsi="楷体" w:eastAsia="楷体" w:cs="楷体"/>
          <w:szCs w:val="24"/>
        </w:rPr>
      </w:pPr>
      <w:r>
        <w:rPr>
          <w:rFonts w:hint="eastAsia" w:ascii="楷体" w:hAnsi="楷体" w:eastAsia="楷体" w:cs="楷体"/>
          <w:szCs w:val="24"/>
        </w:rPr>
        <w:t>23.5.4.10投标总报价低于成本或者高于采购预算的；</w:t>
      </w:r>
    </w:p>
    <w:p>
      <w:pPr>
        <w:tabs>
          <w:tab w:val="left" w:pos="1260"/>
        </w:tabs>
        <w:spacing w:line="360" w:lineRule="auto"/>
        <w:ind w:firstLine="480" w:firstLineChars="200"/>
        <w:rPr>
          <w:rFonts w:ascii="楷体" w:hAnsi="楷体" w:eastAsia="楷体" w:cs="楷体"/>
          <w:szCs w:val="24"/>
        </w:rPr>
      </w:pPr>
      <w:r>
        <w:rPr>
          <w:rFonts w:hint="eastAsia" w:ascii="楷体" w:hAnsi="楷体" w:eastAsia="楷体" w:cs="楷体"/>
          <w:szCs w:val="24"/>
        </w:rPr>
        <w:t>23.5.4.11投标文件与本项目名称不一致的；</w:t>
      </w:r>
    </w:p>
    <w:p>
      <w:pPr>
        <w:tabs>
          <w:tab w:val="left" w:pos="1260"/>
        </w:tabs>
        <w:spacing w:line="360" w:lineRule="auto"/>
        <w:ind w:firstLine="480" w:firstLineChars="200"/>
        <w:rPr>
          <w:rFonts w:ascii="楷体" w:hAnsi="楷体" w:eastAsia="楷体" w:cs="楷体"/>
          <w:szCs w:val="24"/>
        </w:rPr>
      </w:pPr>
      <w:r>
        <w:rPr>
          <w:rFonts w:hint="eastAsia" w:ascii="楷体" w:hAnsi="楷体" w:eastAsia="楷体" w:cs="楷体"/>
          <w:szCs w:val="24"/>
        </w:rPr>
        <w:t>23.5.4.12投标文件份数不符合招标文件要求的；</w:t>
      </w:r>
    </w:p>
    <w:p>
      <w:pPr>
        <w:tabs>
          <w:tab w:val="left" w:pos="1260"/>
        </w:tabs>
        <w:spacing w:line="360" w:lineRule="auto"/>
        <w:ind w:firstLine="480" w:firstLineChars="200"/>
        <w:rPr>
          <w:rFonts w:ascii="楷体" w:hAnsi="楷体" w:eastAsia="楷体" w:cs="楷体"/>
          <w:szCs w:val="24"/>
        </w:rPr>
      </w:pPr>
      <w:r>
        <w:rPr>
          <w:rFonts w:hint="eastAsia" w:ascii="楷体" w:hAnsi="楷体" w:eastAsia="楷体" w:cs="楷体"/>
          <w:szCs w:val="24"/>
        </w:rPr>
        <w:t>23.5.4.13法律法规或招标文件规定的其他无效情形。</w:t>
      </w:r>
    </w:p>
    <w:p>
      <w:pPr>
        <w:tabs>
          <w:tab w:val="left" w:pos="1260"/>
        </w:tabs>
        <w:spacing w:line="360" w:lineRule="auto"/>
        <w:ind w:firstLine="480" w:firstLineChars="200"/>
        <w:rPr>
          <w:rFonts w:ascii="楷体" w:hAnsi="楷体" w:eastAsia="楷体" w:cs="楷体"/>
          <w:szCs w:val="24"/>
        </w:rPr>
      </w:pPr>
      <w:r>
        <w:rPr>
          <w:rFonts w:hint="eastAsia" w:ascii="楷体" w:hAnsi="楷体" w:eastAsia="楷体" w:cs="楷体"/>
          <w:szCs w:val="24"/>
        </w:rPr>
        <w:t>23.6 投标文件的详细评审</w:t>
      </w:r>
    </w:p>
    <w:p>
      <w:pPr>
        <w:spacing w:line="360" w:lineRule="auto"/>
        <w:ind w:firstLine="480" w:firstLineChars="200"/>
        <w:rPr>
          <w:rFonts w:ascii="楷体" w:hAnsi="楷体" w:eastAsia="楷体" w:cs="楷体"/>
          <w:szCs w:val="24"/>
        </w:rPr>
      </w:pPr>
      <w:r>
        <w:rPr>
          <w:rFonts w:hint="eastAsia" w:ascii="楷体" w:hAnsi="楷体" w:eastAsia="楷体" w:cs="楷体"/>
          <w:szCs w:val="24"/>
        </w:rPr>
        <w:t>23.6.1评标委员会将按照本须知第23.5.4条规定，只对确定为实质性响应招标文件要求的投标进行详细评审。评标时，评标委员会各成员应当独立对每个投标人的投标文件进行评价，并汇总每个投标人的得分。</w:t>
      </w:r>
    </w:p>
    <w:p>
      <w:pPr>
        <w:spacing w:line="360" w:lineRule="auto"/>
        <w:ind w:firstLine="480" w:firstLineChars="200"/>
        <w:rPr>
          <w:rFonts w:ascii="楷体" w:hAnsi="楷体" w:eastAsia="楷体" w:cs="楷体"/>
          <w:szCs w:val="24"/>
        </w:rPr>
      </w:pPr>
      <w:r>
        <w:rPr>
          <w:rFonts w:hint="eastAsia" w:ascii="楷体" w:hAnsi="楷体" w:eastAsia="楷体" w:cs="楷体"/>
          <w:szCs w:val="24"/>
        </w:rPr>
        <w:t>23.6.2详细评审按照第五章“评审方法”的方法进行评审。</w:t>
      </w:r>
    </w:p>
    <w:p>
      <w:pPr>
        <w:spacing w:line="360" w:lineRule="auto"/>
        <w:ind w:firstLine="480" w:firstLineChars="200"/>
        <w:rPr>
          <w:rFonts w:ascii="楷体" w:hAnsi="楷体" w:eastAsia="楷体" w:cs="楷体"/>
          <w:szCs w:val="24"/>
        </w:rPr>
      </w:pPr>
      <w:r>
        <w:rPr>
          <w:rFonts w:hint="eastAsia" w:ascii="楷体" w:hAnsi="楷体" w:eastAsia="楷体" w:cs="楷体"/>
          <w:szCs w:val="24"/>
        </w:rPr>
        <w:t>23.7中标候选人的确定</w:t>
      </w:r>
    </w:p>
    <w:p>
      <w:pPr>
        <w:spacing w:line="360" w:lineRule="auto"/>
        <w:ind w:firstLine="480" w:firstLineChars="200"/>
        <w:rPr>
          <w:rFonts w:ascii="楷体" w:hAnsi="楷体" w:eastAsia="楷体" w:cs="楷体"/>
        </w:rPr>
      </w:pPr>
      <w:r>
        <w:rPr>
          <w:rFonts w:hint="eastAsia" w:ascii="楷体" w:hAnsi="楷体" w:eastAsia="楷体" w:cs="楷体"/>
          <w:szCs w:val="24"/>
        </w:rPr>
        <w:t>23.7.1评标委员会完成评标后，向采购人提出书面评标报告，并推荐3名中标候选人，标明排列顺序。</w:t>
      </w:r>
    </w:p>
    <w:p>
      <w:pPr>
        <w:spacing w:line="360" w:lineRule="auto"/>
        <w:rPr>
          <w:rFonts w:ascii="楷体" w:hAnsi="楷体" w:eastAsia="楷体" w:cs="楷体"/>
          <w:b/>
          <w:szCs w:val="24"/>
        </w:rPr>
      </w:pPr>
      <w:r>
        <w:rPr>
          <w:rFonts w:hint="eastAsia" w:ascii="楷体" w:hAnsi="楷体" w:eastAsia="楷体" w:cs="楷体"/>
          <w:b/>
          <w:szCs w:val="24"/>
        </w:rPr>
        <w:t>24．评标过程的保密</w:t>
      </w:r>
    </w:p>
    <w:p>
      <w:pPr>
        <w:spacing w:line="360" w:lineRule="auto"/>
        <w:ind w:firstLine="480" w:firstLineChars="200"/>
        <w:rPr>
          <w:rFonts w:ascii="楷体" w:hAnsi="楷体" w:eastAsia="楷体" w:cs="楷体"/>
          <w:szCs w:val="24"/>
        </w:rPr>
      </w:pPr>
      <w:r>
        <w:rPr>
          <w:rFonts w:hint="eastAsia" w:ascii="楷体" w:hAnsi="楷体" w:eastAsia="楷体" w:cs="楷体"/>
          <w:szCs w:val="24"/>
        </w:rPr>
        <w:t>24.1评标委员会全体成员和与评审活动有关的工作人员不得泄露有关投标文件的评审和比较、中标候选人的推荐以及与评审有关的其他情况。</w:t>
      </w:r>
    </w:p>
    <w:p>
      <w:pPr>
        <w:spacing w:line="360" w:lineRule="auto"/>
        <w:ind w:firstLine="480" w:firstLineChars="200"/>
        <w:rPr>
          <w:rFonts w:ascii="楷体" w:hAnsi="楷体" w:eastAsia="楷体" w:cs="楷体"/>
          <w:szCs w:val="24"/>
        </w:rPr>
      </w:pPr>
      <w:r>
        <w:rPr>
          <w:rFonts w:hint="eastAsia" w:ascii="楷体" w:hAnsi="楷体" w:eastAsia="楷体" w:cs="楷体"/>
          <w:szCs w:val="24"/>
        </w:rPr>
        <w:t>24.2在评审过程中，如果投标人试图在投标文件的评审中比较中标候选人的推荐以及与评审有关的其他方面，向评标委员会和采购人及招标代理机构施加任何影响，应予废标。</w:t>
      </w:r>
    </w:p>
    <w:p>
      <w:pPr>
        <w:spacing w:line="360" w:lineRule="auto"/>
        <w:rPr>
          <w:rFonts w:ascii="楷体" w:hAnsi="楷体" w:eastAsia="楷体" w:cs="楷体"/>
          <w:b/>
          <w:szCs w:val="24"/>
        </w:rPr>
      </w:pPr>
      <w:r>
        <w:rPr>
          <w:rFonts w:hint="eastAsia" w:ascii="楷体" w:hAnsi="楷体" w:eastAsia="楷体" w:cs="楷体"/>
          <w:b/>
          <w:szCs w:val="24"/>
        </w:rPr>
        <w:t>25．评审方法</w:t>
      </w:r>
    </w:p>
    <w:p>
      <w:pPr>
        <w:spacing w:line="360" w:lineRule="auto"/>
        <w:ind w:firstLine="480" w:firstLineChars="200"/>
        <w:rPr>
          <w:rFonts w:ascii="楷体" w:hAnsi="楷体" w:eastAsia="楷体" w:cs="楷体"/>
          <w:szCs w:val="24"/>
        </w:rPr>
      </w:pPr>
      <w:r>
        <w:rPr>
          <w:rFonts w:hint="eastAsia" w:ascii="楷体" w:hAnsi="楷体" w:eastAsia="楷体" w:cs="楷体"/>
          <w:szCs w:val="24"/>
        </w:rPr>
        <w:t>25.1按照《中华人民共和国政府采购法》和《中华人民共和国政府采购法实施条例》及《政府采购货物和服务招标投标管理办法》（财政部令第87号）等相关法律法规，本次评审采用</w:t>
      </w:r>
      <w:r>
        <w:rPr>
          <w:rFonts w:hint="eastAsia" w:ascii="楷体" w:hAnsi="楷体" w:eastAsia="楷体" w:cs="楷体"/>
          <w:b/>
          <w:bCs/>
          <w:szCs w:val="24"/>
        </w:rPr>
        <w:t>综合评分法</w:t>
      </w:r>
      <w:r>
        <w:rPr>
          <w:rFonts w:hint="eastAsia" w:ascii="楷体" w:hAnsi="楷体" w:eastAsia="楷体" w:cs="楷体"/>
          <w:b/>
          <w:szCs w:val="24"/>
        </w:rPr>
        <w:t>（详见第五章）</w:t>
      </w:r>
      <w:r>
        <w:rPr>
          <w:rFonts w:hint="eastAsia" w:ascii="楷体" w:hAnsi="楷体" w:eastAsia="楷体" w:cs="楷体"/>
          <w:szCs w:val="24"/>
        </w:rPr>
        <w:t>。</w:t>
      </w:r>
    </w:p>
    <w:p>
      <w:pPr>
        <w:spacing w:line="360" w:lineRule="auto"/>
        <w:ind w:firstLine="480" w:firstLineChars="200"/>
        <w:rPr>
          <w:rFonts w:ascii="楷体" w:hAnsi="楷体" w:eastAsia="楷体" w:cs="楷体"/>
          <w:szCs w:val="24"/>
        </w:rPr>
      </w:pPr>
      <w:r>
        <w:rPr>
          <w:rFonts w:hint="eastAsia" w:ascii="楷体" w:hAnsi="楷体" w:eastAsia="楷体" w:cs="楷体"/>
          <w:szCs w:val="24"/>
        </w:rPr>
        <w:t>25.1.1综合评分法，是指投标文件满足招标文件全部实质性要求，且按照评审因素的量化指标评审得分最高的投标人为中标候选人的评标方法。</w:t>
      </w:r>
    </w:p>
    <w:p>
      <w:pPr>
        <w:spacing w:line="360" w:lineRule="auto"/>
        <w:rPr>
          <w:rFonts w:ascii="楷体" w:hAnsi="楷体" w:eastAsia="楷体" w:cs="楷体"/>
          <w:b/>
          <w:szCs w:val="24"/>
        </w:rPr>
      </w:pPr>
      <w:r>
        <w:rPr>
          <w:rFonts w:hint="eastAsia" w:ascii="楷体" w:hAnsi="楷体" w:eastAsia="楷体" w:cs="楷体"/>
          <w:b/>
          <w:szCs w:val="24"/>
        </w:rPr>
        <w:t>26．评标程序</w:t>
      </w:r>
    </w:p>
    <w:p>
      <w:pPr>
        <w:spacing w:line="360" w:lineRule="auto"/>
        <w:ind w:firstLine="480" w:firstLineChars="200"/>
        <w:rPr>
          <w:rFonts w:ascii="楷体" w:hAnsi="楷体" w:eastAsia="楷体" w:cs="楷体"/>
          <w:szCs w:val="24"/>
        </w:rPr>
      </w:pPr>
      <w:r>
        <w:rPr>
          <w:rFonts w:hint="eastAsia" w:ascii="楷体" w:hAnsi="楷体" w:eastAsia="楷体" w:cs="楷体"/>
          <w:szCs w:val="24"/>
        </w:rPr>
        <w:t>按照初审（含资格性审查和符合性审查）、详细评审、推荐中标候选人名单的工作程序进行评审。在上一步评审中，投标人被按无效投标处理的投标人，不进入下一步的评审。</w:t>
      </w:r>
    </w:p>
    <w:p>
      <w:pPr>
        <w:pStyle w:val="14"/>
        <w:ind w:left="1680"/>
        <w:rPr>
          <w:rFonts w:ascii="楷体" w:hAnsi="楷体" w:eastAsia="楷体" w:cs="楷体"/>
        </w:rPr>
      </w:pPr>
    </w:p>
    <w:p>
      <w:pPr>
        <w:keepNext/>
        <w:keepLines/>
        <w:spacing w:line="360" w:lineRule="auto"/>
        <w:jc w:val="center"/>
        <w:rPr>
          <w:rFonts w:ascii="楷体" w:hAnsi="楷体" w:eastAsia="楷体" w:cs="楷体"/>
          <w:b/>
          <w:sz w:val="32"/>
          <w:szCs w:val="32"/>
        </w:rPr>
      </w:pPr>
      <w:r>
        <w:rPr>
          <w:rFonts w:hint="eastAsia" w:ascii="楷体" w:hAnsi="楷体" w:eastAsia="楷体" w:cs="楷体"/>
          <w:b/>
          <w:sz w:val="32"/>
          <w:szCs w:val="32"/>
        </w:rPr>
        <w:t>六.定标、中标通知与签约</w:t>
      </w:r>
    </w:p>
    <w:p>
      <w:pPr>
        <w:spacing w:line="360" w:lineRule="auto"/>
        <w:rPr>
          <w:rFonts w:ascii="楷体" w:hAnsi="楷体" w:eastAsia="楷体" w:cs="楷体"/>
          <w:b/>
          <w:szCs w:val="24"/>
        </w:rPr>
      </w:pPr>
      <w:r>
        <w:rPr>
          <w:rFonts w:hint="eastAsia" w:ascii="楷体" w:hAnsi="楷体" w:eastAsia="楷体" w:cs="楷体"/>
          <w:b/>
          <w:szCs w:val="24"/>
        </w:rPr>
        <w:t>27．定标程序</w:t>
      </w:r>
    </w:p>
    <w:p>
      <w:pPr>
        <w:spacing w:line="360" w:lineRule="auto"/>
        <w:ind w:firstLine="480" w:firstLineChars="200"/>
        <w:rPr>
          <w:rFonts w:ascii="楷体" w:hAnsi="楷体" w:eastAsia="楷体" w:cs="楷体"/>
          <w:szCs w:val="24"/>
        </w:rPr>
      </w:pPr>
      <w:r>
        <w:rPr>
          <w:rFonts w:hint="eastAsia" w:ascii="楷体" w:hAnsi="楷体" w:eastAsia="楷体" w:cs="楷体"/>
          <w:szCs w:val="24"/>
        </w:rPr>
        <w:t>27.1评标委员会根据评标方法的规定对供应商进行评审排序，推荐3名中标候选人，作为评标结果。评标结果由评标委员会成员签字确认。</w:t>
      </w:r>
    </w:p>
    <w:p>
      <w:pPr>
        <w:spacing w:line="360" w:lineRule="auto"/>
        <w:ind w:firstLine="480" w:firstLineChars="200"/>
        <w:rPr>
          <w:rFonts w:ascii="楷体" w:hAnsi="楷体" w:eastAsia="楷体" w:cs="楷体"/>
          <w:szCs w:val="24"/>
        </w:rPr>
      </w:pPr>
      <w:r>
        <w:rPr>
          <w:rFonts w:hint="eastAsia" w:ascii="楷体" w:hAnsi="楷体" w:eastAsia="楷体" w:cs="楷体"/>
          <w:szCs w:val="24"/>
        </w:rPr>
        <w:t>27.2采购代理机构在评标结束后2个工作日内将评标报告送采购人。采购人应当在收到评标报告后5个工作日内，按照评标报告中推荐的中标候选人顺序和有关规定确定中标人。</w:t>
      </w:r>
    </w:p>
    <w:p>
      <w:pPr>
        <w:spacing w:line="360" w:lineRule="auto"/>
        <w:ind w:firstLine="480" w:firstLineChars="200"/>
        <w:rPr>
          <w:rFonts w:ascii="楷体" w:hAnsi="楷体" w:eastAsia="楷体" w:cs="楷体"/>
          <w:szCs w:val="24"/>
        </w:rPr>
      </w:pPr>
      <w:r>
        <w:rPr>
          <w:rFonts w:hint="eastAsia" w:ascii="楷体" w:hAnsi="楷体" w:eastAsia="楷体" w:cs="楷体"/>
          <w:szCs w:val="24"/>
        </w:rPr>
        <w:t>27.3确定的中标候选人放弃中标、在规定期限内未能签订合同、因不可抗力不能履行合同或者被查实存在影响中标结果的违法行为等情形，不符合中标条件的，采购人可以按照评标委员会提出的中标候选人名单排序依次确定其他中标候选人为中标人，也可以重新招标。</w:t>
      </w:r>
    </w:p>
    <w:p>
      <w:pPr>
        <w:spacing w:line="360" w:lineRule="auto"/>
        <w:ind w:firstLine="480" w:firstLineChars="200"/>
        <w:rPr>
          <w:rFonts w:ascii="楷体" w:hAnsi="楷体" w:eastAsia="楷体" w:cs="楷体"/>
          <w:szCs w:val="24"/>
        </w:rPr>
      </w:pPr>
      <w:r>
        <w:rPr>
          <w:rFonts w:hint="eastAsia" w:ascii="楷体" w:hAnsi="楷体" w:eastAsia="楷体" w:cs="楷体"/>
          <w:szCs w:val="24"/>
        </w:rPr>
        <w:t>27.4采购人也可以授权评标委员会评标后直接确定中标人。</w:t>
      </w:r>
    </w:p>
    <w:p>
      <w:pPr>
        <w:spacing w:line="360" w:lineRule="auto"/>
        <w:ind w:firstLine="480" w:firstLineChars="200"/>
        <w:rPr>
          <w:rFonts w:ascii="楷体" w:hAnsi="楷体" w:eastAsia="楷体" w:cs="楷体"/>
          <w:szCs w:val="24"/>
        </w:rPr>
      </w:pPr>
      <w:r>
        <w:rPr>
          <w:rFonts w:hint="eastAsia" w:ascii="楷体" w:hAnsi="楷体" w:eastAsia="楷体" w:cs="楷体"/>
          <w:szCs w:val="24"/>
        </w:rPr>
        <w:t>27.5中标人确定之后，中标结果将在财政部门指定的政府采购信息发布媒体上公告。</w:t>
      </w:r>
    </w:p>
    <w:p>
      <w:pPr>
        <w:spacing w:line="360" w:lineRule="auto"/>
        <w:ind w:firstLine="480" w:firstLineChars="200"/>
        <w:rPr>
          <w:rFonts w:ascii="楷体" w:hAnsi="楷体" w:eastAsia="楷体" w:cs="楷体"/>
          <w:szCs w:val="24"/>
        </w:rPr>
      </w:pPr>
      <w:r>
        <w:rPr>
          <w:rFonts w:hint="eastAsia" w:ascii="楷体" w:hAnsi="楷体" w:eastAsia="楷体" w:cs="楷体"/>
          <w:szCs w:val="24"/>
        </w:rPr>
        <w:t>27.6投标人或者其他利害关系人对评标结果有异议的，应当在法律规定的时间内提出。</w:t>
      </w:r>
    </w:p>
    <w:p>
      <w:pPr>
        <w:spacing w:line="360" w:lineRule="auto"/>
        <w:rPr>
          <w:rFonts w:ascii="楷体" w:hAnsi="楷体" w:eastAsia="楷体" w:cs="楷体"/>
          <w:b/>
          <w:szCs w:val="24"/>
        </w:rPr>
      </w:pPr>
      <w:r>
        <w:rPr>
          <w:rFonts w:hint="eastAsia" w:ascii="楷体" w:hAnsi="楷体" w:eastAsia="楷体" w:cs="楷体"/>
          <w:b/>
          <w:szCs w:val="24"/>
        </w:rPr>
        <w:t>28．中标与落标通知</w:t>
      </w:r>
    </w:p>
    <w:p>
      <w:pPr>
        <w:spacing w:line="360" w:lineRule="auto"/>
        <w:ind w:firstLine="480" w:firstLineChars="200"/>
        <w:rPr>
          <w:rFonts w:ascii="楷体" w:hAnsi="楷体" w:eastAsia="楷体" w:cs="楷体"/>
          <w:szCs w:val="24"/>
        </w:rPr>
      </w:pPr>
      <w:r>
        <w:rPr>
          <w:rFonts w:hint="eastAsia" w:ascii="楷体" w:hAnsi="楷体" w:eastAsia="楷体" w:cs="楷体"/>
          <w:szCs w:val="24"/>
        </w:rPr>
        <w:t>28.1 招标代理机构向中标人发出《中标通知书》。</w:t>
      </w:r>
    </w:p>
    <w:p>
      <w:pPr>
        <w:spacing w:line="360" w:lineRule="auto"/>
        <w:ind w:firstLine="480" w:firstLineChars="200"/>
        <w:rPr>
          <w:rFonts w:ascii="楷体" w:hAnsi="楷体" w:eastAsia="楷体" w:cs="楷体"/>
          <w:szCs w:val="24"/>
        </w:rPr>
      </w:pPr>
      <w:r>
        <w:rPr>
          <w:rFonts w:hint="eastAsia" w:ascii="楷体" w:hAnsi="楷体" w:eastAsia="楷体" w:cs="楷体"/>
          <w:szCs w:val="24"/>
        </w:rPr>
        <w:t>28.2中标通知书对采购人和中标人具有同等法律效力。中标通知书发出之后，采购人改变中标结果，或者中标人无正当理由放弃中标，应当承担相应的法律责任。</w:t>
      </w:r>
    </w:p>
    <w:p>
      <w:pPr>
        <w:spacing w:line="360" w:lineRule="auto"/>
        <w:rPr>
          <w:rFonts w:ascii="楷体" w:hAnsi="楷体" w:eastAsia="楷体" w:cs="楷体"/>
          <w:b/>
          <w:szCs w:val="24"/>
        </w:rPr>
      </w:pPr>
      <w:r>
        <w:rPr>
          <w:rFonts w:hint="eastAsia" w:ascii="楷体" w:hAnsi="楷体" w:eastAsia="楷体" w:cs="楷体"/>
          <w:b/>
          <w:szCs w:val="24"/>
        </w:rPr>
        <w:t>29. 中标合同的签订</w:t>
      </w:r>
    </w:p>
    <w:p>
      <w:pPr>
        <w:spacing w:line="360" w:lineRule="auto"/>
        <w:ind w:firstLine="480" w:firstLineChars="200"/>
        <w:rPr>
          <w:rFonts w:ascii="楷体" w:hAnsi="楷体" w:eastAsia="楷体" w:cs="楷体"/>
          <w:szCs w:val="24"/>
        </w:rPr>
      </w:pPr>
      <w:r>
        <w:rPr>
          <w:rFonts w:hint="eastAsia" w:ascii="楷体" w:hAnsi="楷体" w:eastAsia="楷体" w:cs="楷体"/>
          <w:szCs w:val="24"/>
        </w:rPr>
        <w:t>29.1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spacing w:line="360" w:lineRule="auto"/>
        <w:ind w:firstLine="480" w:firstLineChars="200"/>
        <w:rPr>
          <w:rFonts w:ascii="楷体" w:hAnsi="楷体" w:eastAsia="楷体" w:cs="楷体"/>
          <w:szCs w:val="24"/>
        </w:rPr>
      </w:pPr>
      <w:r>
        <w:rPr>
          <w:rFonts w:hint="eastAsia" w:ascii="楷体" w:hAnsi="楷体" w:eastAsia="楷体" w:cs="楷体"/>
          <w:szCs w:val="24"/>
        </w:rPr>
        <w:t>29.2政府采购合同应当包括采购人与中标人的名称和住所、标的、数量、质量、价款或者报酬、履行期限及地点和方式、验收要求、违约责任、解决争议的方法等内容。</w:t>
      </w:r>
    </w:p>
    <w:p>
      <w:pPr>
        <w:spacing w:line="360" w:lineRule="auto"/>
        <w:ind w:firstLine="480" w:firstLineChars="200"/>
        <w:rPr>
          <w:rFonts w:ascii="楷体" w:hAnsi="楷体" w:eastAsia="楷体" w:cs="楷体"/>
          <w:szCs w:val="24"/>
        </w:rPr>
      </w:pPr>
      <w:r>
        <w:rPr>
          <w:rFonts w:hint="eastAsia" w:ascii="楷体" w:hAnsi="楷体" w:eastAsia="楷体" w:cs="楷体"/>
          <w:szCs w:val="24"/>
        </w:rPr>
        <w:t>29.3采购人与中标人应当根据合同的约定依法履行合同义务。政府采购合同的履行、违约责任和解决争议的方法等适用《中华人民共和国民法典》。</w:t>
      </w:r>
    </w:p>
    <w:p>
      <w:pPr>
        <w:spacing w:line="360" w:lineRule="auto"/>
        <w:ind w:firstLine="480" w:firstLineChars="200"/>
        <w:rPr>
          <w:rFonts w:ascii="楷体" w:hAnsi="楷体" w:eastAsia="楷体" w:cs="楷体"/>
          <w:szCs w:val="24"/>
        </w:rPr>
      </w:pPr>
      <w:r>
        <w:rPr>
          <w:rFonts w:hint="eastAsia" w:ascii="楷体" w:hAnsi="楷体" w:eastAsia="楷体" w:cs="楷体"/>
          <w:szCs w:val="24"/>
        </w:rPr>
        <w:t>29.4采购人自政府采购合同签订之日起2个工作日内，将政府采购合同在省级以上人民政府财政部门指定的媒体上公告，但政府采购合同中涉及国家秘密、商业秘密的内容除外。</w:t>
      </w:r>
    </w:p>
    <w:p>
      <w:pPr>
        <w:spacing w:line="360" w:lineRule="auto"/>
        <w:rPr>
          <w:rFonts w:ascii="楷体" w:hAnsi="楷体" w:eastAsia="楷体" w:cs="楷体"/>
          <w:b/>
          <w:szCs w:val="24"/>
        </w:rPr>
      </w:pPr>
      <w:r>
        <w:rPr>
          <w:rFonts w:hint="eastAsia" w:ascii="楷体" w:hAnsi="楷体" w:eastAsia="楷体" w:cs="楷体"/>
          <w:b/>
          <w:szCs w:val="24"/>
        </w:rPr>
        <w:t>30．招标代理服务费收费标准和计算方法</w:t>
      </w:r>
    </w:p>
    <w:p>
      <w:pPr>
        <w:spacing w:line="360" w:lineRule="auto"/>
        <w:rPr>
          <w:rFonts w:hint="eastAsia" w:ascii="楷体" w:hAnsi="楷体" w:eastAsia="楷体" w:cs="楷体"/>
          <w:szCs w:val="24"/>
          <w:lang w:val="en-US" w:eastAsia="zh-CN"/>
        </w:rPr>
      </w:pPr>
      <w:r>
        <w:rPr>
          <w:rFonts w:hint="eastAsia" w:ascii="楷体" w:hAnsi="楷体" w:eastAsia="楷体" w:cs="楷体"/>
          <w:szCs w:val="24"/>
        </w:rPr>
        <w:t>30.1</w:t>
      </w:r>
      <w:r>
        <w:rPr>
          <w:rFonts w:hint="eastAsia" w:ascii="楷体" w:hAnsi="楷体" w:eastAsia="楷体" w:cs="楷体"/>
          <w:szCs w:val="24"/>
          <w:lang w:val="en-US" w:eastAsia="zh-CN"/>
        </w:rPr>
        <w:t>招标代理费由：由中标单位在领取中标通知书时，一次性支付。</w:t>
      </w:r>
    </w:p>
    <w:p>
      <w:pPr>
        <w:spacing w:line="360" w:lineRule="auto"/>
        <w:rPr>
          <w:rFonts w:hint="eastAsia" w:ascii="楷体" w:hAnsi="楷体" w:eastAsia="楷体" w:cs="楷体"/>
          <w:szCs w:val="24"/>
          <w:lang w:val="en-US" w:eastAsia="zh-CN"/>
        </w:rPr>
      </w:pPr>
      <w:r>
        <w:rPr>
          <w:rFonts w:hint="eastAsia" w:ascii="楷体" w:hAnsi="楷体" w:eastAsia="楷体" w:cs="楷体"/>
          <w:szCs w:val="24"/>
          <w:lang w:val="en-US" w:eastAsia="zh-CN"/>
        </w:rPr>
        <w:t>30.2招标代理服务费：依据《招标代理服务收费管理暂行办法》计价[2002]1980号文和《国家发展改革委员会办公厅关于招标代理服务收费有关问题的通知》（发改办价格〔2003〕857号）计取</w:t>
      </w:r>
      <w:r>
        <w:rPr>
          <w:rFonts w:hint="eastAsia" w:ascii="楷体" w:hAnsi="楷体" w:eastAsia="楷体" w:cs="楷体"/>
          <w:szCs w:val="24"/>
        </w:rPr>
        <w:t>（本项目为货物类，按照货物类计费标准执行）</w:t>
      </w:r>
      <w:r>
        <w:rPr>
          <w:rFonts w:hint="eastAsia" w:ascii="楷体" w:hAnsi="楷体" w:eastAsia="楷体" w:cs="楷体"/>
          <w:szCs w:val="24"/>
          <w:lang w:eastAsia="zh-CN"/>
        </w:rPr>
        <w:t>。</w:t>
      </w:r>
    </w:p>
    <w:p>
      <w:pPr>
        <w:spacing w:line="360" w:lineRule="auto"/>
        <w:rPr>
          <w:rFonts w:ascii="楷体" w:hAnsi="楷体" w:eastAsia="楷体" w:cs="楷体"/>
          <w:b/>
          <w:szCs w:val="24"/>
        </w:rPr>
      </w:pPr>
      <w:r>
        <w:rPr>
          <w:rFonts w:hint="eastAsia" w:ascii="楷体" w:hAnsi="楷体" w:eastAsia="楷体" w:cs="楷体"/>
          <w:b/>
          <w:szCs w:val="24"/>
        </w:rPr>
        <w:t>31.</w:t>
      </w:r>
      <w:r>
        <w:rPr>
          <w:rFonts w:hint="eastAsia" w:ascii="楷体" w:hAnsi="楷体" w:eastAsia="楷体" w:cs="楷体"/>
        </w:rPr>
        <w:t xml:space="preserve"> </w:t>
      </w:r>
      <w:r>
        <w:rPr>
          <w:rFonts w:hint="eastAsia" w:ascii="楷体" w:hAnsi="楷体" w:eastAsia="楷体" w:cs="楷体"/>
          <w:b/>
          <w:szCs w:val="24"/>
        </w:rPr>
        <w:t>履约保证金：</w:t>
      </w:r>
    </w:p>
    <w:p>
      <w:pPr>
        <w:spacing w:line="360" w:lineRule="auto"/>
        <w:ind w:firstLine="480" w:firstLineChars="200"/>
        <w:rPr>
          <w:rFonts w:ascii="楷体" w:hAnsi="楷体" w:eastAsia="楷体" w:cs="楷体"/>
          <w:szCs w:val="24"/>
        </w:rPr>
      </w:pPr>
      <w:r>
        <w:rPr>
          <w:rFonts w:hint="eastAsia" w:ascii="楷体" w:hAnsi="楷体" w:eastAsia="楷体" w:cs="楷体"/>
          <w:szCs w:val="24"/>
        </w:rPr>
        <w:t>□ 不要求提供</w:t>
      </w:r>
    </w:p>
    <w:p>
      <w:pPr>
        <w:spacing w:line="360" w:lineRule="auto"/>
        <w:ind w:firstLine="480" w:firstLineChars="200"/>
        <w:rPr>
          <w:rFonts w:ascii="楷体" w:hAnsi="楷体" w:eastAsia="楷体" w:cs="楷体"/>
          <w:szCs w:val="24"/>
          <w:shd w:val="clear" w:color="auto" w:fill="FFFFFF"/>
        </w:rPr>
      </w:pPr>
      <w:r>
        <w:rPr>
          <w:rFonts w:hint="eastAsia" w:ascii="楷体" w:hAnsi="楷体" w:eastAsia="楷体" w:cs="楷体"/>
          <w:szCs w:val="24"/>
        </w:rPr>
        <w:t>☑ 要求提供，履约保证金金额为合同金额的10%，提交形式：以支票、汇票、本票等非现金形式提交</w:t>
      </w:r>
      <w:r>
        <w:rPr>
          <w:rFonts w:hint="eastAsia" w:ascii="楷体" w:hAnsi="楷体" w:eastAsia="楷体" w:cs="楷体"/>
          <w:szCs w:val="24"/>
          <w:shd w:val="clear" w:color="auto" w:fill="FFFFFF"/>
        </w:rPr>
        <w:t>。</w:t>
      </w:r>
    </w:p>
    <w:p>
      <w:pPr>
        <w:spacing w:line="360" w:lineRule="auto"/>
        <w:ind w:firstLine="480" w:firstLineChars="200"/>
        <w:rPr>
          <w:rFonts w:ascii="楷体" w:hAnsi="楷体" w:eastAsia="楷体" w:cs="楷体"/>
          <w:szCs w:val="24"/>
        </w:rPr>
      </w:pPr>
      <w:r>
        <w:rPr>
          <w:rFonts w:hint="eastAsia" w:ascii="楷体" w:hAnsi="楷体" w:eastAsia="楷体" w:cs="楷体"/>
          <w:bCs/>
          <w:szCs w:val="24"/>
        </w:rPr>
        <w:t>31.</w:t>
      </w:r>
      <w:r>
        <w:rPr>
          <w:rFonts w:hint="eastAsia" w:ascii="楷体" w:hAnsi="楷体" w:eastAsia="楷体" w:cs="楷体"/>
          <w:szCs w:val="24"/>
        </w:rPr>
        <w:t>1中标人须在领取中标通知书后十个工作日内向采购人支付合同总价款的10%作为履约保证金。采购人于验收合格之日起退还履约保证金给中标人。</w:t>
      </w:r>
    </w:p>
    <w:p>
      <w:pPr>
        <w:spacing w:line="360" w:lineRule="auto"/>
        <w:ind w:firstLine="480" w:firstLineChars="200"/>
        <w:rPr>
          <w:rFonts w:ascii="楷体" w:hAnsi="楷体" w:eastAsia="楷体" w:cs="楷体"/>
          <w:szCs w:val="24"/>
        </w:rPr>
      </w:pPr>
      <w:r>
        <w:rPr>
          <w:rFonts w:hint="eastAsia" w:ascii="楷体" w:hAnsi="楷体" w:eastAsia="楷体" w:cs="楷体"/>
          <w:szCs w:val="24"/>
        </w:rPr>
        <w:t>31.2中标人不履行与采购人订立的合同或未经采购人允许将项目内容擅自以任何形式进行分包、转包的，履约保证金不予退还。</w:t>
      </w:r>
    </w:p>
    <w:p>
      <w:pPr>
        <w:spacing w:line="360" w:lineRule="auto"/>
        <w:ind w:firstLine="480" w:firstLineChars="200"/>
        <w:rPr>
          <w:rFonts w:ascii="楷体" w:hAnsi="楷体" w:eastAsia="楷体" w:cs="楷体"/>
          <w:szCs w:val="24"/>
        </w:rPr>
      </w:pPr>
      <w:r>
        <w:rPr>
          <w:rFonts w:hint="eastAsia" w:ascii="楷体" w:hAnsi="楷体" w:eastAsia="楷体" w:cs="楷体"/>
          <w:szCs w:val="24"/>
        </w:rPr>
        <w:t>31.3履约保证金缴纳形式：以支票、汇票、本票或者金融机构、担保机构出具的保函等非现金形式提交</w:t>
      </w:r>
      <w:r>
        <w:rPr>
          <w:rFonts w:hint="eastAsia" w:ascii="楷体" w:hAnsi="楷体" w:eastAsia="楷体" w:cs="楷体"/>
          <w:szCs w:val="24"/>
          <w:shd w:val="clear" w:color="auto" w:fill="FFFFFF"/>
        </w:rPr>
        <w:t>。</w:t>
      </w:r>
    </w:p>
    <w:p>
      <w:pPr>
        <w:spacing w:line="360" w:lineRule="auto"/>
        <w:rPr>
          <w:rFonts w:ascii="楷体" w:hAnsi="楷体" w:eastAsia="楷体" w:cs="楷体"/>
          <w:b/>
          <w:szCs w:val="24"/>
        </w:rPr>
      </w:pPr>
      <w:r>
        <w:rPr>
          <w:rFonts w:hint="eastAsia" w:ascii="楷体" w:hAnsi="楷体" w:eastAsia="楷体" w:cs="楷体"/>
          <w:b/>
          <w:szCs w:val="24"/>
        </w:rPr>
        <w:t>32.其他</w:t>
      </w:r>
    </w:p>
    <w:p>
      <w:pPr>
        <w:spacing w:line="360" w:lineRule="auto"/>
        <w:ind w:firstLine="480" w:firstLineChars="200"/>
        <w:rPr>
          <w:rFonts w:ascii="楷体" w:hAnsi="楷体" w:eastAsia="楷体" w:cs="楷体"/>
          <w:szCs w:val="24"/>
        </w:rPr>
      </w:pPr>
      <w:r>
        <w:rPr>
          <w:rFonts w:hint="eastAsia" w:ascii="楷体" w:hAnsi="楷体" w:eastAsia="楷体" w:cs="楷体"/>
          <w:szCs w:val="24"/>
        </w:rPr>
        <w:t>32.1开标后，如果投标人的报价超过了采购预算，应予无效投标处理。废标后，除采购任务取消情形外，应当重新组织招标；需要采取其他方式采购的，应当在采购活动开始前获得设区的市、自治州以上人民政府采购监督管理部门或者政府有关部门批准。</w:t>
      </w:r>
    </w:p>
    <w:p>
      <w:pPr>
        <w:spacing w:line="360" w:lineRule="auto"/>
        <w:ind w:firstLine="480" w:firstLineChars="200"/>
        <w:rPr>
          <w:rFonts w:ascii="楷体" w:hAnsi="楷体" w:eastAsia="楷体" w:cs="楷体"/>
          <w:szCs w:val="24"/>
        </w:rPr>
      </w:pPr>
      <w:r>
        <w:rPr>
          <w:rFonts w:hint="eastAsia" w:ascii="楷体" w:hAnsi="楷体" w:eastAsia="楷体" w:cs="楷体"/>
          <w:szCs w:val="24"/>
        </w:rPr>
        <w:t>32.2投标截止时间结束后，参加投标的投标人不足三家，或在评标期间，出现符合专业条件的投标人或者对招标文件做出实质性响应的投标人不足三家情形的，按照</w:t>
      </w:r>
      <w:bookmarkStart w:id="43" w:name="OLE_LINK7"/>
      <w:bookmarkStart w:id="44" w:name="OLE_LINK8"/>
      <w:r>
        <w:rPr>
          <w:rFonts w:hint="eastAsia" w:ascii="楷体" w:hAnsi="楷体" w:eastAsia="楷体" w:cs="楷体"/>
          <w:szCs w:val="24"/>
        </w:rPr>
        <w:t>《中华人民共和国政府采购法》、《中华人民共和国政府采购法实施条例》、《政府采购货物和服务招标投标管理办法》（财政部令第87号）、《陕西省财政厅关于政府采购有关问题的通知》陕财办采资[2016]53号</w:t>
      </w:r>
      <w:bookmarkEnd w:id="43"/>
      <w:bookmarkEnd w:id="44"/>
      <w:r>
        <w:rPr>
          <w:rFonts w:hint="eastAsia" w:ascii="楷体" w:hAnsi="楷体" w:eastAsia="楷体" w:cs="楷体"/>
          <w:szCs w:val="24"/>
        </w:rPr>
        <w:t>的规定，报告当地有关财政部门，由财政部门按照相关原则，做出重新组织招标或采取其他方式继续招标的决定。</w:t>
      </w:r>
    </w:p>
    <w:p>
      <w:pPr>
        <w:spacing w:line="360" w:lineRule="auto"/>
        <w:rPr>
          <w:rFonts w:ascii="楷体" w:hAnsi="楷体" w:eastAsia="楷体" w:cs="楷体"/>
          <w:b/>
          <w:szCs w:val="24"/>
        </w:rPr>
      </w:pPr>
      <w:r>
        <w:rPr>
          <w:rFonts w:hint="eastAsia" w:ascii="楷体" w:hAnsi="楷体" w:eastAsia="楷体" w:cs="楷体"/>
          <w:b/>
          <w:szCs w:val="24"/>
        </w:rPr>
        <w:t>33.质疑与质疑答复</w:t>
      </w:r>
    </w:p>
    <w:p>
      <w:pPr>
        <w:spacing w:line="360" w:lineRule="auto"/>
        <w:ind w:firstLine="480" w:firstLineChars="200"/>
        <w:rPr>
          <w:rFonts w:ascii="楷体" w:hAnsi="楷体" w:eastAsia="楷体" w:cs="楷体"/>
          <w:szCs w:val="24"/>
        </w:rPr>
      </w:pPr>
      <w:r>
        <w:rPr>
          <w:rFonts w:hint="eastAsia" w:ascii="楷体" w:hAnsi="楷体" w:eastAsia="楷体" w:cs="楷体"/>
          <w:szCs w:val="24"/>
        </w:rPr>
        <w:t>33.1投标人认为采购文件、采购过程、中标结果使自己的权益受到损害的，可以在知道或者应知其权益受到损害之日起七个工作日内，以书面形式向采购代理机构提出质疑（质疑函接收联系人、联系电话和通讯地址等详见招标公告，质疑函须当面提交给采购代理机构）。</w:t>
      </w:r>
    </w:p>
    <w:p>
      <w:pPr>
        <w:spacing w:line="360" w:lineRule="auto"/>
        <w:ind w:firstLine="480" w:firstLineChars="200"/>
        <w:rPr>
          <w:rFonts w:ascii="楷体" w:hAnsi="楷体" w:eastAsia="楷体" w:cs="楷体"/>
          <w:szCs w:val="24"/>
        </w:rPr>
      </w:pPr>
      <w:r>
        <w:rPr>
          <w:rFonts w:hint="eastAsia" w:ascii="楷体" w:hAnsi="楷体" w:eastAsia="楷体" w:cs="楷体"/>
          <w:szCs w:val="24"/>
        </w:rPr>
        <w:t>33.2质疑函范本格式在中国政府采购网站（http://www.ccgp.gov.cn/）自行下载。</w:t>
      </w:r>
    </w:p>
    <w:p>
      <w:pPr>
        <w:spacing w:line="360" w:lineRule="auto"/>
        <w:ind w:firstLine="480" w:firstLineChars="200"/>
        <w:rPr>
          <w:rFonts w:ascii="楷体" w:hAnsi="楷体" w:eastAsia="楷体" w:cs="楷体"/>
          <w:szCs w:val="24"/>
        </w:rPr>
      </w:pPr>
      <w:r>
        <w:rPr>
          <w:rFonts w:hint="eastAsia" w:ascii="楷体" w:hAnsi="楷体" w:eastAsia="楷体" w:cs="楷体"/>
          <w:szCs w:val="24"/>
        </w:rPr>
        <w:t>33.3投标人须在法定质疑期内一次性提出针对同一采购程序环节的质疑。</w:t>
      </w:r>
    </w:p>
    <w:p>
      <w:pPr>
        <w:spacing w:line="360" w:lineRule="auto"/>
        <w:ind w:firstLine="480" w:firstLineChars="200"/>
        <w:rPr>
          <w:rFonts w:ascii="楷体" w:hAnsi="楷体" w:eastAsia="楷体" w:cs="楷体"/>
          <w:szCs w:val="24"/>
        </w:rPr>
      </w:pPr>
      <w:r>
        <w:rPr>
          <w:rFonts w:hint="eastAsia" w:ascii="楷体" w:hAnsi="楷体" w:eastAsia="楷体" w:cs="楷体"/>
          <w:szCs w:val="24"/>
        </w:rPr>
        <w:t>33.4法定代表人提交质疑的，须出具法定代表人资格证明书；委托代理人提交质疑的，必须出具授权委托书，授权委托书应当载明代理人的姓名或者名称、代理事项、具体权限、期限和相关事项，由法定代表人签字或者盖章，并加盖单位公章。</w:t>
      </w:r>
    </w:p>
    <w:p>
      <w:pPr>
        <w:spacing w:line="360" w:lineRule="auto"/>
        <w:ind w:firstLine="480" w:firstLineChars="200"/>
        <w:rPr>
          <w:rFonts w:ascii="楷体" w:hAnsi="楷体" w:eastAsia="楷体" w:cs="楷体"/>
          <w:szCs w:val="24"/>
        </w:rPr>
      </w:pPr>
      <w:r>
        <w:rPr>
          <w:rFonts w:hint="eastAsia" w:ascii="楷体" w:hAnsi="楷体" w:eastAsia="楷体" w:cs="楷体"/>
          <w:szCs w:val="24"/>
        </w:rPr>
        <w:t>质疑函应当包括下列内容：</w:t>
      </w:r>
    </w:p>
    <w:p>
      <w:pPr>
        <w:spacing w:line="360" w:lineRule="auto"/>
        <w:ind w:firstLine="480" w:firstLineChars="200"/>
        <w:rPr>
          <w:rFonts w:ascii="楷体" w:hAnsi="楷体" w:eastAsia="楷体" w:cs="楷体"/>
          <w:szCs w:val="24"/>
        </w:rPr>
      </w:pPr>
      <w:r>
        <w:rPr>
          <w:rFonts w:hint="eastAsia" w:ascii="楷体" w:hAnsi="楷体" w:eastAsia="楷体" w:cs="楷体"/>
          <w:szCs w:val="24"/>
        </w:rPr>
        <w:t>1、</w:t>
      </w:r>
      <w:r>
        <w:rPr>
          <w:rFonts w:hint="eastAsia" w:ascii="楷体" w:hAnsi="楷体" w:eastAsia="楷体" w:cs="楷体"/>
          <w:szCs w:val="24"/>
          <w:lang w:val="zh-CN"/>
        </w:rPr>
        <w:t>投标人</w:t>
      </w:r>
      <w:r>
        <w:rPr>
          <w:rFonts w:hint="eastAsia" w:ascii="楷体" w:hAnsi="楷体" w:eastAsia="楷体" w:cs="楷体"/>
          <w:szCs w:val="24"/>
        </w:rPr>
        <w:t>的姓名或者名称、地址、邮编、联系人及联系电话；</w:t>
      </w:r>
    </w:p>
    <w:p>
      <w:pPr>
        <w:spacing w:line="360" w:lineRule="auto"/>
        <w:ind w:firstLine="480" w:firstLineChars="200"/>
        <w:rPr>
          <w:rFonts w:ascii="楷体" w:hAnsi="楷体" w:eastAsia="楷体" w:cs="楷体"/>
          <w:szCs w:val="24"/>
        </w:rPr>
      </w:pPr>
      <w:r>
        <w:rPr>
          <w:rFonts w:hint="eastAsia" w:ascii="楷体" w:hAnsi="楷体" w:eastAsia="楷体" w:cs="楷体"/>
          <w:szCs w:val="24"/>
        </w:rPr>
        <w:t>2、质疑项目的名称、编号；</w:t>
      </w:r>
    </w:p>
    <w:p>
      <w:pPr>
        <w:spacing w:line="360" w:lineRule="auto"/>
        <w:ind w:firstLine="480" w:firstLineChars="200"/>
        <w:rPr>
          <w:rFonts w:ascii="楷体" w:hAnsi="楷体" w:eastAsia="楷体" w:cs="楷体"/>
          <w:szCs w:val="24"/>
        </w:rPr>
      </w:pPr>
      <w:r>
        <w:rPr>
          <w:rFonts w:hint="eastAsia" w:ascii="楷体" w:hAnsi="楷体" w:eastAsia="楷体" w:cs="楷体"/>
          <w:szCs w:val="24"/>
        </w:rPr>
        <w:t>3、具体、明确的质疑事项和与质疑事项相关的请求；</w:t>
      </w:r>
    </w:p>
    <w:p>
      <w:pPr>
        <w:spacing w:line="360" w:lineRule="auto"/>
        <w:ind w:firstLine="480" w:firstLineChars="200"/>
        <w:rPr>
          <w:rFonts w:ascii="楷体" w:hAnsi="楷体" w:eastAsia="楷体" w:cs="楷体"/>
          <w:szCs w:val="24"/>
        </w:rPr>
      </w:pPr>
      <w:r>
        <w:rPr>
          <w:rFonts w:hint="eastAsia" w:ascii="楷体" w:hAnsi="楷体" w:eastAsia="楷体" w:cs="楷体"/>
          <w:szCs w:val="24"/>
        </w:rPr>
        <w:t>4、事实依据；</w:t>
      </w:r>
    </w:p>
    <w:p>
      <w:pPr>
        <w:spacing w:line="360" w:lineRule="auto"/>
        <w:ind w:firstLine="480" w:firstLineChars="200"/>
        <w:rPr>
          <w:rFonts w:ascii="楷体" w:hAnsi="楷体" w:eastAsia="楷体" w:cs="楷体"/>
          <w:szCs w:val="24"/>
        </w:rPr>
      </w:pPr>
      <w:r>
        <w:rPr>
          <w:rFonts w:hint="eastAsia" w:ascii="楷体" w:hAnsi="楷体" w:eastAsia="楷体" w:cs="楷体"/>
          <w:szCs w:val="24"/>
        </w:rPr>
        <w:t>5、必要的法律依据；</w:t>
      </w:r>
    </w:p>
    <w:p>
      <w:pPr>
        <w:spacing w:line="360" w:lineRule="auto"/>
        <w:ind w:firstLine="480" w:firstLineChars="200"/>
        <w:rPr>
          <w:rFonts w:ascii="楷体" w:hAnsi="楷体" w:eastAsia="楷体" w:cs="楷体"/>
          <w:szCs w:val="24"/>
        </w:rPr>
      </w:pPr>
      <w:r>
        <w:rPr>
          <w:rFonts w:hint="eastAsia" w:ascii="楷体" w:hAnsi="楷体" w:eastAsia="楷体" w:cs="楷体"/>
          <w:szCs w:val="24"/>
        </w:rPr>
        <w:t xml:space="preserve">6、提出质疑的日期。 </w:t>
      </w:r>
    </w:p>
    <w:p>
      <w:pPr>
        <w:spacing w:line="360" w:lineRule="auto"/>
        <w:ind w:firstLine="480" w:firstLineChars="200"/>
        <w:rPr>
          <w:rFonts w:ascii="楷体" w:hAnsi="楷体" w:eastAsia="楷体" w:cs="楷体"/>
          <w:szCs w:val="24"/>
        </w:rPr>
      </w:pPr>
      <w:r>
        <w:rPr>
          <w:rFonts w:hint="eastAsia" w:ascii="楷体" w:hAnsi="楷体" w:eastAsia="楷体" w:cs="楷体"/>
          <w:szCs w:val="24"/>
        </w:rPr>
        <w:t>备注：</w:t>
      </w:r>
      <w:r>
        <w:rPr>
          <w:rFonts w:hint="eastAsia" w:ascii="楷体" w:hAnsi="楷体" w:eastAsia="楷体" w:cs="楷体"/>
          <w:szCs w:val="24"/>
          <w:lang w:val="zh-CN"/>
        </w:rPr>
        <w:t>投标人为自然人的，应当由本人签字；投标人为法人或者其他组织的，应当由法定代表人、主要负责人，或者其授权代表签字或者盖章，并加盖公章。</w:t>
      </w:r>
    </w:p>
    <w:p>
      <w:pPr>
        <w:spacing w:line="360" w:lineRule="auto"/>
        <w:ind w:firstLine="480" w:firstLineChars="200"/>
        <w:rPr>
          <w:rFonts w:ascii="楷体" w:hAnsi="楷体" w:eastAsia="楷体" w:cs="楷体"/>
          <w:szCs w:val="24"/>
        </w:rPr>
      </w:pPr>
      <w:r>
        <w:rPr>
          <w:rFonts w:hint="eastAsia" w:ascii="楷体" w:hAnsi="楷体" w:eastAsia="楷体" w:cs="楷体"/>
          <w:szCs w:val="24"/>
        </w:rPr>
        <w:t>33.5质疑有以下情形之一的，采购代理机构不予受理：</w:t>
      </w:r>
    </w:p>
    <w:p>
      <w:pPr>
        <w:spacing w:line="360" w:lineRule="auto"/>
        <w:ind w:firstLine="480" w:firstLineChars="200"/>
        <w:rPr>
          <w:rFonts w:ascii="楷体" w:hAnsi="楷体" w:eastAsia="楷体" w:cs="楷体"/>
          <w:szCs w:val="24"/>
        </w:rPr>
      </w:pPr>
      <w:r>
        <w:rPr>
          <w:rFonts w:hint="eastAsia" w:ascii="楷体" w:hAnsi="楷体" w:eastAsia="楷体" w:cs="楷体"/>
          <w:szCs w:val="24"/>
        </w:rPr>
        <w:t>1、未按规定程序和渠道提出质疑的；</w:t>
      </w:r>
    </w:p>
    <w:p>
      <w:pPr>
        <w:spacing w:line="360" w:lineRule="auto"/>
        <w:ind w:firstLine="480" w:firstLineChars="200"/>
        <w:rPr>
          <w:rFonts w:ascii="楷体" w:hAnsi="楷体" w:eastAsia="楷体" w:cs="楷体"/>
          <w:szCs w:val="24"/>
        </w:rPr>
      </w:pPr>
      <w:r>
        <w:rPr>
          <w:rFonts w:hint="eastAsia" w:ascii="楷体" w:hAnsi="楷体" w:eastAsia="楷体" w:cs="楷体"/>
          <w:szCs w:val="24"/>
        </w:rPr>
        <w:t xml:space="preserve">2、超过法定质疑期限的； </w:t>
      </w:r>
    </w:p>
    <w:p>
      <w:pPr>
        <w:spacing w:line="360" w:lineRule="auto"/>
        <w:ind w:firstLine="480" w:firstLineChars="200"/>
        <w:rPr>
          <w:rFonts w:ascii="楷体" w:hAnsi="楷体" w:eastAsia="楷体" w:cs="楷体"/>
          <w:szCs w:val="24"/>
        </w:rPr>
      </w:pPr>
      <w:r>
        <w:rPr>
          <w:rFonts w:hint="eastAsia" w:ascii="楷体" w:hAnsi="楷体" w:eastAsia="楷体" w:cs="楷体"/>
          <w:szCs w:val="24"/>
        </w:rPr>
        <w:t>3、书面质疑的形式和内容不符合上述要求的；</w:t>
      </w:r>
    </w:p>
    <w:p>
      <w:pPr>
        <w:spacing w:line="360" w:lineRule="auto"/>
        <w:ind w:firstLine="480" w:firstLineChars="200"/>
        <w:rPr>
          <w:rFonts w:ascii="楷体" w:hAnsi="楷体" w:eastAsia="楷体" w:cs="楷体"/>
          <w:szCs w:val="24"/>
        </w:rPr>
      </w:pPr>
      <w:r>
        <w:rPr>
          <w:rFonts w:hint="eastAsia" w:ascii="楷体" w:hAnsi="楷体" w:eastAsia="楷体" w:cs="楷体"/>
          <w:szCs w:val="24"/>
        </w:rPr>
        <w:t xml:space="preserve">4、提出的质疑事项已经明确答复的； </w:t>
      </w:r>
    </w:p>
    <w:p>
      <w:pPr>
        <w:spacing w:line="360" w:lineRule="auto"/>
        <w:ind w:firstLine="480" w:firstLineChars="200"/>
        <w:rPr>
          <w:rFonts w:ascii="楷体" w:hAnsi="楷体" w:eastAsia="楷体" w:cs="楷体"/>
          <w:szCs w:val="24"/>
        </w:rPr>
      </w:pPr>
      <w:r>
        <w:rPr>
          <w:rFonts w:hint="eastAsia" w:ascii="楷体" w:hAnsi="楷体" w:eastAsia="楷体" w:cs="楷体"/>
          <w:szCs w:val="24"/>
        </w:rPr>
        <w:t>5、法律法规规定的其他不予受理的条件。</w:t>
      </w:r>
    </w:p>
    <w:p>
      <w:pPr>
        <w:spacing w:line="360" w:lineRule="auto"/>
        <w:ind w:firstLine="480" w:firstLineChars="200"/>
        <w:rPr>
          <w:rFonts w:ascii="楷体" w:hAnsi="楷体" w:eastAsia="楷体" w:cs="楷体"/>
          <w:szCs w:val="24"/>
        </w:rPr>
      </w:pPr>
      <w:r>
        <w:rPr>
          <w:rFonts w:hint="eastAsia" w:ascii="楷体" w:hAnsi="楷体" w:eastAsia="楷体" w:cs="楷体"/>
          <w:szCs w:val="24"/>
        </w:rPr>
        <w:t>33.6质疑答复</w:t>
      </w:r>
    </w:p>
    <w:p>
      <w:pPr>
        <w:spacing w:line="360" w:lineRule="auto"/>
        <w:ind w:firstLine="480" w:firstLineChars="200"/>
        <w:rPr>
          <w:rFonts w:ascii="楷体" w:hAnsi="楷体" w:eastAsia="楷体" w:cs="楷体"/>
          <w:szCs w:val="24"/>
        </w:rPr>
      </w:pPr>
      <w:r>
        <w:rPr>
          <w:rFonts w:hint="eastAsia" w:ascii="楷体" w:hAnsi="楷体" w:eastAsia="楷体" w:cs="楷体"/>
          <w:szCs w:val="24"/>
        </w:rPr>
        <w:t>采购人或招标代理机构在收到投标人的书面质疑后将按规定的时间进行回复。</w:t>
      </w:r>
    </w:p>
    <w:p>
      <w:pPr>
        <w:spacing w:line="360" w:lineRule="auto"/>
        <w:ind w:firstLine="480" w:firstLineChars="200"/>
        <w:rPr>
          <w:rFonts w:ascii="楷体" w:hAnsi="楷体" w:eastAsia="楷体" w:cs="楷体"/>
          <w:szCs w:val="24"/>
          <w:lang w:val="zh-CN"/>
        </w:rPr>
      </w:pPr>
      <w:r>
        <w:rPr>
          <w:rFonts w:hint="eastAsia" w:ascii="楷体" w:hAnsi="楷体" w:eastAsia="楷体" w:cs="楷体"/>
          <w:szCs w:val="24"/>
        </w:rPr>
        <w:t>33.7</w:t>
      </w:r>
      <w:r>
        <w:rPr>
          <w:rFonts w:hint="eastAsia" w:ascii="楷体" w:hAnsi="楷体" w:eastAsia="楷体" w:cs="楷体"/>
          <w:szCs w:val="24"/>
          <w:lang w:val="zh-CN"/>
        </w:rPr>
        <w:t>投标人进行虚假和恶意质疑的，采购代理机构将提供相关资料报监督机构，按其情况进行相应处理。</w:t>
      </w:r>
    </w:p>
    <w:p>
      <w:pPr>
        <w:spacing w:line="360" w:lineRule="auto"/>
        <w:jc w:val="center"/>
        <w:outlineLvl w:val="0"/>
        <w:rPr>
          <w:rFonts w:ascii="楷体" w:hAnsi="楷体" w:eastAsia="楷体" w:cs="楷体"/>
          <w:bCs/>
          <w:sz w:val="36"/>
          <w:szCs w:val="36"/>
        </w:rPr>
      </w:pPr>
      <w:r>
        <w:rPr>
          <w:rFonts w:hint="eastAsia" w:ascii="楷体" w:hAnsi="楷体" w:eastAsia="楷体" w:cs="楷体"/>
          <w:bCs/>
          <w:sz w:val="36"/>
          <w:szCs w:val="36"/>
        </w:rPr>
        <w:br w:type="page"/>
      </w:r>
      <w:bookmarkStart w:id="45" w:name="_Toc20054"/>
      <w:bookmarkStart w:id="46" w:name="_Toc24268"/>
      <w:bookmarkStart w:id="47" w:name="_Toc7157"/>
      <w:bookmarkStart w:id="48" w:name="_Toc14019"/>
      <w:bookmarkStart w:id="49" w:name="_Toc29568"/>
      <w:r>
        <w:rPr>
          <w:rFonts w:hint="eastAsia" w:ascii="楷体" w:hAnsi="楷体" w:eastAsia="楷体" w:cs="楷体"/>
          <w:b/>
          <w:sz w:val="36"/>
          <w:szCs w:val="36"/>
        </w:rPr>
        <w:t>第三章  合同条款及格式</w:t>
      </w:r>
      <w:bookmarkEnd w:id="31"/>
      <w:bookmarkEnd w:id="32"/>
      <w:bookmarkEnd w:id="45"/>
      <w:bookmarkEnd w:id="46"/>
      <w:bookmarkEnd w:id="47"/>
      <w:bookmarkEnd w:id="48"/>
      <w:bookmarkEnd w:id="49"/>
    </w:p>
    <w:p>
      <w:pPr>
        <w:jc w:val="center"/>
        <w:rPr>
          <w:rFonts w:ascii="楷体" w:hAnsi="楷体" w:eastAsia="楷体" w:cs="楷体"/>
          <w:b/>
          <w:bCs/>
          <w:sz w:val="32"/>
          <w:szCs w:val="32"/>
        </w:rPr>
      </w:pPr>
      <w:bookmarkStart w:id="50" w:name="_Toc5421"/>
      <w:r>
        <w:rPr>
          <w:rFonts w:hint="eastAsia" w:ascii="楷体" w:hAnsi="楷体" w:eastAsia="楷体" w:cs="楷体"/>
          <w:b/>
          <w:bCs/>
          <w:sz w:val="32"/>
          <w:szCs w:val="32"/>
        </w:rPr>
        <w:t>合同条款及格式前附表</w:t>
      </w:r>
      <w:bookmarkEnd w:id="50"/>
    </w:p>
    <w:p>
      <w:pPr>
        <w:spacing w:line="480" w:lineRule="auto"/>
        <w:ind w:firstLine="480" w:firstLineChars="200"/>
        <w:rPr>
          <w:rFonts w:ascii="楷体" w:hAnsi="楷体" w:eastAsia="楷体" w:cs="楷体"/>
          <w:bCs/>
          <w:sz w:val="36"/>
          <w:szCs w:val="36"/>
        </w:rPr>
      </w:pPr>
      <w:r>
        <w:rPr>
          <w:rFonts w:hint="eastAsia" w:ascii="楷体" w:hAnsi="楷体" w:eastAsia="楷体" w:cs="楷体"/>
          <w:szCs w:val="24"/>
        </w:rPr>
        <w:t>本表是对合同条款的具体补充和修改，如有矛盾，应以本资料表为准。</w:t>
      </w:r>
    </w:p>
    <w:tbl>
      <w:tblPr>
        <w:tblStyle w:val="24"/>
        <w:tblW w:w="0" w:type="auto"/>
        <w:tblInd w:w="2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70"/>
        <w:gridCol w:w="75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670" w:type="dxa"/>
            <w:vAlign w:val="center"/>
          </w:tcPr>
          <w:p>
            <w:pPr>
              <w:spacing w:line="360" w:lineRule="auto"/>
              <w:jc w:val="center"/>
              <w:rPr>
                <w:rFonts w:ascii="楷体" w:hAnsi="楷体" w:eastAsia="楷体" w:cs="楷体"/>
                <w:b/>
                <w:szCs w:val="24"/>
              </w:rPr>
            </w:pPr>
            <w:bookmarkStart w:id="51" w:name="_Toc26595"/>
            <w:bookmarkStart w:id="52" w:name="_Toc19199"/>
            <w:bookmarkStart w:id="53" w:name="_Toc8333"/>
            <w:bookmarkStart w:id="54" w:name="_Toc389582037"/>
            <w:bookmarkStart w:id="55" w:name="_Toc31520"/>
            <w:bookmarkStart w:id="56" w:name="_Toc4679"/>
            <w:bookmarkStart w:id="57" w:name="_Toc29888"/>
            <w:bookmarkStart w:id="58" w:name="_Toc19246"/>
            <w:r>
              <w:rPr>
                <w:rFonts w:hint="eastAsia" w:ascii="楷体" w:hAnsi="楷体" w:eastAsia="楷体" w:cs="楷体"/>
                <w:b/>
                <w:szCs w:val="24"/>
              </w:rPr>
              <w:t>序号</w:t>
            </w:r>
          </w:p>
        </w:tc>
        <w:tc>
          <w:tcPr>
            <w:tcW w:w="7552" w:type="dxa"/>
            <w:vAlign w:val="center"/>
          </w:tcPr>
          <w:p>
            <w:pPr>
              <w:spacing w:line="360" w:lineRule="auto"/>
              <w:jc w:val="center"/>
              <w:rPr>
                <w:rFonts w:ascii="楷体" w:hAnsi="楷体" w:eastAsia="楷体" w:cs="楷体"/>
                <w:b/>
                <w:szCs w:val="24"/>
              </w:rPr>
            </w:pPr>
            <w:r>
              <w:rPr>
                <w:rFonts w:hint="eastAsia" w:ascii="楷体" w:hAnsi="楷体" w:eastAsia="楷体" w:cs="楷体"/>
                <w:b/>
                <w:szCs w:val="24"/>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670" w:type="dxa"/>
            <w:vAlign w:val="center"/>
          </w:tcPr>
          <w:p>
            <w:pPr>
              <w:spacing w:line="360" w:lineRule="auto"/>
              <w:jc w:val="center"/>
              <w:rPr>
                <w:rFonts w:ascii="楷体" w:hAnsi="楷体" w:eastAsia="楷体" w:cs="楷体"/>
                <w:szCs w:val="24"/>
              </w:rPr>
            </w:pPr>
            <w:r>
              <w:rPr>
                <w:rFonts w:hint="eastAsia" w:ascii="楷体" w:hAnsi="楷体" w:eastAsia="楷体" w:cs="楷体"/>
                <w:szCs w:val="24"/>
              </w:rPr>
              <w:t>1</w:t>
            </w:r>
          </w:p>
        </w:tc>
        <w:tc>
          <w:tcPr>
            <w:tcW w:w="7552" w:type="dxa"/>
            <w:vAlign w:val="center"/>
          </w:tcPr>
          <w:p>
            <w:pPr>
              <w:spacing w:line="360" w:lineRule="auto"/>
              <w:rPr>
                <w:rFonts w:ascii="楷体" w:hAnsi="楷体" w:eastAsia="楷体" w:cs="楷体"/>
                <w:szCs w:val="24"/>
              </w:rPr>
            </w:pPr>
            <w:r>
              <w:rPr>
                <w:rFonts w:hint="eastAsia" w:ascii="楷体" w:hAnsi="楷体" w:eastAsia="楷体" w:cs="楷体"/>
                <w:b/>
                <w:szCs w:val="24"/>
              </w:rPr>
              <w:t>采购人：</w:t>
            </w:r>
            <w:r>
              <w:rPr>
                <w:rFonts w:hint="eastAsia" w:ascii="楷体" w:hAnsi="楷体" w:eastAsia="楷体" w:cs="宋体"/>
                <w:szCs w:val="24"/>
              </w:rPr>
              <w:t>勉县公安局</w:t>
            </w:r>
          </w:p>
          <w:p>
            <w:pPr>
              <w:spacing w:line="360" w:lineRule="auto"/>
              <w:rPr>
                <w:rFonts w:ascii="楷体" w:hAnsi="楷体" w:eastAsia="楷体" w:cs="楷体"/>
                <w:bCs/>
                <w:szCs w:val="24"/>
              </w:rPr>
            </w:pPr>
            <w:r>
              <w:rPr>
                <w:rFonts w:hint="eastAsia" w:ascii="楷体" w:hAnsi="楷体" w:eastAsia="楷体" w:cs="楷体"/>
                <w:b/>
                <w:szCs w:val="24"/>
              </w:rPr>
              <w:t>地址：</w:t>
            </w:r>
            <w:r>
              <w:rPr>
                <w:rFonts w:hint="eastAsia" w:ascii="楷体" w:hAnsi="楷体" w:eastAsia="楷体" w:cs="楷体"/>
                <w:szCs w:val="24"/>
              </w:rPr>
              <w:t>勉县勉阳街道办民主街</w:t>
            </w:r>
          </w:p>
          <w:p>
            <w:pPr>
              <w:spacing w:line="360" w:lineRule="auto"/>
              <w:rPr>
                <w:rFonts w:hint="eastAsia" w:ascii="楷体" w:hAnsi="楷体" w:eastAsia="楷体" w:cs="楷体"/>
                <w:szCs w:val="24"/>
                <w:lang w:eastAsia="zh-CN"/>
              </w:rPr>
            </w:pPr>
            <w:r>
              <w:rPr>
                <w:rFonts w:hint="eastAsia" w:ascii="楷体" w:hAnsi="楷体" w:eastAsia="楷体" w:cs="楷体"/>
                <w:b/>
                <w:szCs w:val="24"/>
              </w:rPr>
              <w:t>项目名称：</w:t>
            </w:r>
            <w:r>
              <w:rPr>
                <w:rFonts w:hint="eastAsia" w:ascii="楷体" w:hAnsi="楷体" w:eastAsia="楷体" w:cs="楷体"/>
                <w:bCs/>
                <w:szCs w:val="24"/>
                <w:lang w:eastAsia="zh-CN"/>
              </w:rPr>
              <w:t>勉县公安局勉县“雪亮工程”建设第一期采购（设备采购、含监理）</w:t>
            </w:r>
          </w:p>
          <w:p>
            <w:pPr>
              <w:spacing w:line="360" w:lineRule="auto"/>
              <w:rPr>
                <w:rFonts w:ascii="楷体" w:hAnsi="楷体" w:eastAsia="楷体" w:cs="楷体"/>
                <w:szCs w:val="24"/>
              </w:rPr>
            </w:pPr>
            <w:r>
              <w:rPr>
                <w:rFonts w:hint="eastAsia" w:ascii="楷体" w:hAnsi="楷体" w:eastAsia="楷体" w:cs="楷体"/>
                <w:b/>
                <w:szCs w:val="24"/>
              </w:rPr>
              <w:t>资金来源：</w:t>
            </w:r>
            <w:r>
              <w:rPr>
                <w:rFonts w:hint="eastAsia" w:ascii="楷体" w:hAnsi="楷体" w:eastAsia="楷体" w:cs="楷体"/>
                <w:szCs w:val="24"/>
              </w:rPr>
              <w:t>财政资金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34" w:hRule="exact"/>
        </w:trPr>
        <w:tc>
          <w:tcPr>
            <w:tcW w:w="670" w:type="dxa"/>
            <w:vAlign w:val="center"/>
          </w:tcPr>
          <w:p>
            <w:pPr>
              <w:spacing w:line="360" w:lineRule="auto"/>
              <w:jc w:val="center"/>
              <w:rPr>
                <w:rFonts w:ascii="楷体" w:hAnsi="楷体" w:eastAsia="楷体" w:cs="楷体"/>
                <w:szCs w:val="24"/>
              </w:rPr>
            </w:pPr>
            <w:r>
              <w:rPr>
                <w:rFonts w:hint="eastAsia" w:ascii="楷体" w:hAnsi="楷体" w:eastAsia="楷体" w:cs="楷体"/>
                <w:szCs w:val="24"/>
              </w:rPr>
              <w:t>2</w:t>
            </w:r>
          </w:p>
        </w:tc>
        <w:tc>
          <w:tcPr>
            <w:tcW w:w="7552" w:type="dxa"/>
            <w:vAlign w:val="center"/>
          </w:tcPr>
          <w:p>
            <w:pPr>
              <w:spacing w:line="360" w:lineRule="auto"/>
              <w:rPr>
                <w:rFonts w:ascii="楷体" w:hAnsi="楷体" w:eastAsia="楷体" w:cs="楷体"/>
                <w:b/>
                <w:szCs w:val="24"/>
              </w:rPr>
            </w:pPr>
            <w:r>
              <w:rPr>
                <w:rFonts w:hint="eastAsia" w:ascii="楷体" w:hAnsi="楷体" w:eastAsia="楷体" w:cs="楷体"/>
                <w:b/>
                <w:szCs w:val="24"/>
              </w:rPr>
              <w:t>名词解释：</w:t>
            </w:r>
            <w:r>
              <w:rPr>
                <w:rFonts w:hint="eastAsia" w:ascii="楷体" w:hAnsi="楷体" w:eastAsia="楷体" w:cs="楷体"/>
                <w:szCs w:val="24"/>
              </w:rPr>
              <w:t>本章节中出现的“投标人”，在招标投标阶段措辞为“投标人”；在项目招标结束，中标结果确定后，措辞由“投标人”转为“中标人”。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exact"/>
        </w:trPr>
        <w:tc>
          <w:tcPr>
            <w:tcW w:w="670" w:type="dxa"/>
            <w:vAlign w:val="center"/>
          </w:tcPr>
          <w:p>
            <w:pPr>
              <w:spacing w:line="360" w:lineRule="auto"/>
              <w:jc w:val="center"/>
              <w:rPr>
                <w:rFonts w:ascii="楷体" w:hAnsi="楷体" w:eastAsia="楷体" w:cs="楷体"/>
                <w:szCs w:val="24"/>
              </w:rPr>
            </w:pPr>
            <w:r>
              <w:rPr>
                <w:rFonts w:hint="eastAsia" w:ascii="楷体" w:hAnsi="楷体" w:eastAsia="楷体" w:cs="楷体"/>
                <w:szCs w:val="24"/>
              </w:rPr>
              <w:t>3</w:t>
            </w:r>
          </w:p>
        </w:tc>
        <w:tc>
          <w:tcPr>
            <w:tcW w:w="7552" w:type="dxa"/>
            <w:vAlign w:val="center"/>
          </w:tcPr>
          <w:p>
            <w:pPr>
              <w:spacing w:line="360" w:lineRule="auto"/>
              <w:rPr>
                <w:rFonts w:ascii="楷体" w:hAnsi="楷体" w:eastAsia="楷体" w:cs="楷体"/>
                <w:b/>
                <w:szCs w:val="24"/>
              </w:rPr>
            </w:pPr>
            <w:r>
              <w:rPr>
                <w:rFonts w:hint="eastAsia" w:ascii="楷体" w:hAnsi="楷体" w:eastAsia="楷体" w:cs="楷体"/>
                <w:b/>
                <w:szCs w:val="24"/>
              </w:rPr>
              <w:t>项目实施地点：</w:t>
            </w:r>
            <w:r>
              <w:rPr>
                <w:rFonts w:hint="eastAsia" w:ascii="楷体" w:hAnsi="楷体" w:eastAsia="楷体" w:cs="楷体"/>
                <w:bCs/>
                <w:szCs w:val="24"/>
              </w:rPr>
              <w:t>采购人指定地点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8" w:hRule="exact"/>
        </w:trPr>
        <w:tc>
          <w:tcPr>
            <w:tcW w:w="670" w:type="dxa"/>
            <w:vAlign w:val="center"/>
          </w:tcPr>
          <w:p>
            <w:pPr>
              <w:spacing w:line="360" w:lineRule="auto"/>
              <w:jc w:val="center"/>
              <w:rPr>
                <w:rFonts w:ascii="楷体" w:hAnsi="楷体" w:eastAsia="楷体" w:cs="楷体"/>
                <w:szCs w:val="24"/>
              </w:rPr>
            </w:pPr>
            <w:r>
              <w:rPr>
                <w:rFonts w:hint="eastAsia" w:ascii="楷体" w:hAnsi="楷体" w:eastAsia="楷体" w:cs="楷体"/>
                <w:szCs w:val="24"/>
              </w:rPr>
              <w:t>4</w:t>
            </w:r>
          </w:p>
        </w:tc>
        <w:tc>
          <w:tcPr>
            <w:tcW w:w="7552" w:type="dxa"/>
            <w:vAlign w:val="center"/>
          </w:tcPr>
          <w:p>
            <w:pPr>
              <w:spacing w:line="360" w:lineRule="auto"/>
              <w:rPr>
                <w:rFonts w:ascii="楷体" w:hAnsi="楷体" w:eastAsia="楷体" w:cs="楷体"/>
                <w:szCs w:val="24"/>
              </w:rPr>
            </w:pPr>
            <w:r>
              <w:rPr>
                <w:rFonts w:hint="eastAsia" w:ascii="楷体" w:hAnsi="楷体" w:eastAsia="楷体" w:cs="仿宋"/>
                <w:b/>
                <w:szCs w:val="24"/>
              </w:rPr>
              <w:t>建设期：自合同签订之日起150日历天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0" w:hRule="exact"/>
        </w:trPr>
        <w:tc>
          <w:tcPr>
            <w:tcW w:w="670" w:type="dxa"/>
            <w:vAlign w:val="center"/>
          </w:tcPr>
          <w:p>
            <w:pPr>
              <w:spacing w:line="360" w:lineRule="auto"/>
              <w:jc w:val="center"/>
              <w:rPr>
                <w:rFonts w:ascii="楷体" w:hAnsi="楷体" w:eastAsia="楷体" w:cs="楷体"/>
                <w:szCs w:val="24"/>
              </w:rPr>
            </w:pPr>
            <w:r>
              <w:rPr>
                <w:rFonts w:hint="eastAsia" w:ascii="楷体" w:hAnsi="楷体" w:eastAsia="楷体" w:cs="楷体"/>
                <w:szCs w:val="24"/>
              </w:rPr>
              <w:t>5</w:t>
            </w:r>
          </w:p>
        </w:tc>
        <w:tc>
          <w:tcPr>
            <w:tcW w:w="7552" w:type="dxa"/>
            <w:vAlign w:val="center"/>
          </w:tcPr>
          <w:p>
            <w:pPr>
              <w:spacing w:line="360" w:lineRule="auto"/>
              <w:ind w:left="964" w:hanging="964" w:hangingChars="400"/>
              <w:rPr>
                <w:rFonts w:ascii="楷体" w:hAnsi="楷体" w:eastAsia="楷体" w:cs="楷体"/>
                <w:b/>
                <w:bCs/>
                <w:szCs w:val="24"/>
              </w:rPr>
            </w:pPr>
            <w:r>
              <w:rPr>
                <w:rFonts w:hint="eastAsia" w:ascii="楷体" w:hAnsi="楷体" w:eastAsia="楷体" w:cs="仿宋"/>
                <w:b/>
                <w:szCs w:val="24"/>
              </w:rPr>
              <w:t>质保期：初验合格之日起硬件设备3年，软件5年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670" w:type="dxa"/>
            <w:vAlign w:val="center"/>
          </w:tcPr>
          <w:p>
            <w:pPr>
              <w:spacing w:line="360" w:lineRule="auto"/>
              <w:jc w:val="center"/>
              <w:rPr>
                <w:rFonts w:ascii="楷体" w:hAnsi="楷体" w:eastAsia="楷体" w:cs="楷体"/>
                <w:szCs w:val="24"/>
              </w:rPr>
            </w:pPr>
            <w:r>
              <w:rPr>
                <w:rFonts w:hint="eastAsia" w:ascii="楷体" w:hAnsi="楷体" w:eastAsia="楷体" w:cs="楷体"/>
                <w:szCs w:val="24"/>
              </w:rPr>
              <w:t>6</w:t>
            </w:r>
          </w:p>
        </w:tc>
        <w:tc>
          <w:tcPr>
            <w:tcW w:w="7552" w:type="dxa"/>
            <w:vAlign w:val="center"/>
          </w:tcPr>
          <w:p>
            <w:pPr>
              <w:spacing w:line="360" w:lineRule="auto"/>
              <w:rPr>
                <w:rFonts w:ascii="楷体" w:hAnsi="楷体" w:eastAsia="楷体" w:cs="楷体"/>
                <w:b/>
                <w:bCs/>
                <w:szCs w:val="24"/>
              </w:rPr>
            </w:pPr>
            <w:r>
              <w:rPr>
                <w:rFonts w:hint="eastAsia" w:ascii="楷体" w:hAnsi="楷体" w:eastAsia="楷体" w:cs="楷体"/>
                <w:b/>
                <w:bCs/>
                <w:szCs w:val="24"/>
              </w:rPr>
              <w:t>付款：</w:t>
            </w:r>
          </w:p>
          <w:p>
            <w:pPr>
              <w:spacing w:line="360" w:lineRule="auto"/>
              <w:ind w:firstLine="480" w:firstLineChars="200"/>
              <w:rPr>
                <w:rFonts w:ascii="楷体" w:hAnsi="楷体" w:eastAsia="楷体" w:cs="楷体"/>
                <w:szCs w:val="24"/>
              </w:rPr>
            </w:pPr>
            <w:r>
              <w:rPr>
                <w:rFonts w:hint="eastAsia" w:ascii="楷体" w:hAnsi="楷体" w:eastAsia="楷体" w:cs="楷体"/>
                <w:szCs w:val="24"/>
              </w:rPr>
              <w:t>1.合同总价为固定总价，不受市场价变化的影响。</w:t>
            </w:r>
          </w:p>
          <w:p>
            <w:pPr>
              <w:spacing w:line="360" w:lineRule="auto"/>
              <w:ind w:firstLine="480" w:firstLineChars="200"/>
              <w:rPr>
                <w:rFonts w:ascii="楷体" w:hAnsi="楷体" w:eastAsia="楷体" w:cs="楷体"/>
                <w:szCs w:val="24"/>
              </w:rPr>
            </w:pPr>
            <w:r>
              <w:rPr>
                <w:rFonts w:hint="eastAsia" w:ascii="楷体" w:hAnsi="楷体" w:eastAsia="楷体" w:cs="楷体"/>
                <w:szCs w:val="24"/>
              </w:rPr>
              <w:t>2.付款方式和程序：</w:t>
            </w:r>
          </w:p>
          <w:p>
            <w:pPr>
              <w:spacing w:line="360" w:lineRule="auto"/>
              <w:ind w:firstLine="480" w:firstLineChars="200"/>
              <w:rPr>
                <w:rFonts w:ascii="楷体" w:hAnsi="楷体" w:eastAsia="楷体" w:cs="楷体"/>
                <w:szCs w:val="24"/>
              </w:rPr>
            </w:pPr>
            <w:r>
              <w:rPr>
                <w:rFonts w:hint="eastAsia" w:ascii="楷体" w:hAnsi="楷体" w:eastAsia="楷体" w:cs="楷体"/>
                <w:szCs w:val="24"/>
              </w:rPr>
              <w:t>2.1由采购人负责结算，在付款前，中标人必须开具相应金额的正规发票给采购人（附详细清单）。</w:t>
            </w:r>
          </w:p>
          <w:p>
            <w:pPr>
              <w:spacing w:line="360" w:lineRule="auto"/>
              <w:ind w:firstLine="482" w:firstLineChars="200"/>
              <w:rPr>
                <w:rFonts w:ascii="楷体" w:hAnsi="楷体" w:eastAsia="楷体" w:cs="楷体"/>
                <w:b/>
                <w:bCs/>
                <w:szCs w:val="24"/>
              </w:rPr>
            </w:pPr>
            <w:r>
              <w:rPr>
                <w:rFonts w:hint="eastAsia" w:ascii="楷体" w:hAnsi="楷体" w:eastAsia="楷体" w:cs="楷体"/>
                <w:b/>
                <w:bCs/>
                <w:szCs w:val="24"/>
              </w:rPr>
              <w:t>2.2付款方式：</w:t>
            </w:r>
          </w:p>
          <w:p>
            <w:pPr>
              <w:adjustRightInd w:val="0"/>
              <w:snapToGrid w:val="0"/>
              <w:spacing w:line="360" w:lineRule="auto"/>
              <w:ind w:firstLine="480" w:firstLineChars="200"/>
              <w:rPr>
                <w:rFonts w:ascii="楷体" w:hAnsi="楷体" w:eastAsia="楷体" w:cs="楷体"/>
                <w:szCs w:val="24"/>
              </w:rPr>
            </w:pPr>
            <w:r>
              <w:rPr>
                <w:rFonts w:hint="eastAsia" w:ascii="楷体" w:hAnsi="楷体" w:eastAsia="楷体" w:cs="楷体"/>
                <w:szCs w:val="24"/>
              </w:rPr>
              <w:t>2.2.1项目建设完成，试运行三个月后并经初验合格后开始，</w:t>
            </w:r>
            <w:r>
              <w:rPr>
                <w:rFonts w:ascii="楷体" w:hAnsi="楷体" w:eastAsia="楷体" w:cs="楷体"/>
                <w:szCs w:val="24"/>
              </w:rPr>
              <w:t>采购单位根据服务实施情况及资金到位情况分年分期支付，合同价款不计息</w:t>
            </w:r>
            <w:r>
              <w:rPr>
                <w:rFonts w:hint="eastAsia" w:ascii="楷体" w:hAnsi="楷体" w:eastAsia="楷体" w:cs="楷体"/>
                <w:szCs w:val="24"/>
              </w:rPr>
              <w:t>。</w:t>
            </w:r>
          </w:p>
          <w:p>
            <w:pPr>
              <w:adjustRightInd w:val="0"/>
              <w:snapToGrid w:val="0"/>
              <w:spacing w:line="360" w:lineRule="auto"/>
              <w:ind w:firstLine="480" w:firstLineChars="200"/>
            </w:pPr>
            <w:r>
              <w:rPr>
                <w:rFonts w:hint="eastAsia" w:ascii="楷体" w:hAnsi="楷体" w:eastAsia="楷体" w:cs="楷体"/>
                <w:szCs w:val="24"/>
              </w:rPr>
              <w:t>2.2.2终验合格后支付最后一次合同价款。</w:t>
            </w:r>
          </w:p>
          <w:p>
            <w:pPr>
              <w:spacing w:line="360" w:lineRule="auto"/>
              <w:ind w:firstLine="480" w:firstLineChars="200"/>
              <w:rPr>
                <w:rFonts w:ascii="楷体" w:hAnsi="楷体" w:eastAsia="楷体" w:cs="楷体"/>
                <w:szCs w:val="24"/>
              </w:rPr>
            </w:pPr>
            <w:r>
              <w:rPr>
                <w:rFonts w:hint="eastAsia" w:ascii="楷体" w:hAnsi="楷体" w:eastAsia="楷体" w:cs="楷体"/>
                <w:szCs w:val="24"/>
              </w:rPr>
              <w:t>2.3 支付方式：银行转账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26" w:hRule="atLeast"/>
        </w:trPr>
        <w:tc>
          <w:tcPr>
            <w:tcW w:w="670" w:type="dxa"/>
            <w:vAlign w:val="center"/>
          </w:tcPr>
          <w:p>
            <w:pPr>
              <w:spacing w:line="360" w:lineRule="auto"/>
              <w:jc w:val="center"/>
              <w:rPr>
                <w:rFonts w:ascii="楷体" w:hAnsi="楷体" w:eastAsia="楷体" w:cs="楷体"/>
                <w:szCs w:val="24"/>
              </w:rPr>
            </w:pPr>
            <w:r>
              <w:rPr>
                <w:rFonts w:hint="eastAsia" w:ascii="楷体" w:hAnsi="楷体" w:eastAsia="楷体" w:cs="楷体"/>
                <w:szCs w:val="24"/>
              </w:rPr>
              <w:t>7</w:t>
            </w:r>
          </w:p>
        </w:tc>
        <w:tc>
          <w:tcPr>
            <w:tcW w:w="7552" w:type="dxa"/>
            <w:vAlign w:val="center"/>
          </w:tcPr>
          <w:p>
            <w:pPr>
              <w:spacing w:line="360" w:lineRule="auto"/>
              <w:rPr>
                <w:rFonts w:ascii="楷体" w:hAnsi="楷体" w:eastAsia="楷体" w:cs="楷体"/>
                <w:szCs w:val="24"/>
                <w:shd w:val="clear" w:color="auto" w:fill="FFFFFF"/>
              </w:rPr>
            </w:pPr>
            <w:r>
              <w:rPr>
                <w:rFonts w:hint="eastAsia" w:ascii="楷体" w:hAnsi="楷体" w:eastAsia="楷体" w:cs="楷体"/>
                <w:b/>
                <w:bCs/>
                <w:szCs w:val="24"/>
              </w:rPr>
              <w:t>履约保证金：</w:t>
            </w:r>
          </w:p>
          <w:p>
            <w:pPr>
              <w:spacing w:line="360" w:lineRule="auto"/>
              <w:ind w:firstLine="480" w:firstLineChars="200"/>
              <w:jc w:val="left"/>
              <w:rPr>
                <w:rFonts w:ascii="楷体" w:hAnsi="楷体" w:eastAsia="楷体" w:cs="楷体"/>
                <w:szCs w:val="24"/>
              </w:rPr>
            </w:pPr>
            <w:r>
              <w:rPr>
                <w:rFonts w:hint="eastAsia" w:ascii="楷体" w:hAnsi="楷体" w:eastAsia="楷体" w:cs="楷体"/>
                <w:szCs w:val="24"/>
              </w:rPr>
              <w:t>1.中标人须在领取中标通知书后五个工作日内向采购人支付合同总价款的10%作为履约保证金。采购人于验收合格之日起退还履约保证金给中标人。</w:t>
            </w:r>
          </w:p>
          <w:p>
            <w:pPr>
              <w:spacing w:line="360" w:lineRule="auto"/>
              <w:ind w:firstLine="480" w:firstLineChars="200"/>
              <w:jc w:val="left"/>
              <w:rPr>
                <w:rFonts w:ascii="楷体" w:hAnsi="楷体" w:eastAsia="楷体" w:cs="楷体"/>
                <w:szCs w:val="24"/>
              </w:rPr>
            </w:pPr>
            <w:r>
              <w:rPr>
                <w:rFonts w:hint="eastAsia" w:ascii="楷体" w:hAnsi="楷体" w:eastAsia="楷体" w:cs="楷体"/>
                <w:szCs w:val="24"/>
              </w:rPr>
              <w:t>2.中标人不履行与采购人订立的合同或未经采购人允许将项目内容擅自以任何形式进行分包、转包的，履约保证金不予退还。</w:t>
            </w:r>
          </w:p>
          <w:p>
            <w:pPr>
              <w:spacing w:line="360" w:lineRule="auto"/>
              <w:ind w:firstLine="480" w:firstLineChars="200"/>
              <w:jc w:val="left"/>
            </w:pPr>
            <w:r>
              <w:rPr>
                <w:rFonts w:hint="eastAsia" w:ascii="楷体" w:hAnsi="楷体" w:eastAsia="楷体" w:cs="楷体"/>
                <w:szCs w:val="24"/>
              </w:rPr>
              <w:t>3.履约保证金缴纳形式：以支票、汇票、本票等非现金形式提交。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26" w:hRule="atLeast"/>
        </w:trPr>
        <w:tc>
          <w:tcPr>
            <w:tcW w:w="670" w:type="dxa"/>
            <w:vAlign w:val="center"/>
          </w:tcPr>
          <w:p>
            <w:pPr>
              <w:spacing w:line="360" w:lineRule="auto"/>
              <w:jc w:val="center"/>
              <w:rPr>
                <w:rFonts w:ascii="楷体" w:hAnsi="楷体" w:eastAsia="楷体" w:cs="楷体"/>
                <w:szCs w:val="24"/>
              </w:rPr>
            </w:pPr>
            <w:r>
              <w:rPr>
                <w:rFonts w:hint="eastAsia" w:ascii="楷体" w:hAnsi="楷体" w:eastAsia="楷体" w:cs="楷体"/>
                <w:szCs w:val="24"/>
              </w:rPr>
              <w:t>8</w:t>
            </w:r>
          </w:p>
        </w:tc>
        <w:tc>
          <w:tcPr>
            <w:tcW w:w="7552" w:type="dxa"/>
            <w:vAlign w:val="center"/>
          </w:tcPr>
          <w:p>
            <w:pPr>
              <w:spacing w:line="360" w:lineRule="auto"/>
              <w:jc w:val="left"/>
              <w:rPr>
                <w:rFonts w:ascii="楷体" w:hAnsi="楷体" w:eastAsia="楷体" w:cs="楷体"/>
                <w:b/>
                <w:bCs/>
                <w:szCs w:val="24"/>
              </w:rPr>
            </w:pPr>
            <w:r>
              <w:rPr>
                <w:rFonts w:hint="eastAsia" w:ascii="楷体" w:hAnsi="楷体" w:eastAsia="楷体" w:cs="楷体"/>
                <w:b/>
                <w:bCs/>
                <w:szCs w:val="24"/>
              </w:rPr>
              <w:t>质量保证：</w:t>
            </w:r>
          </w:p>
          <w:p>
            <w:pPr>
              <w:numPr>
                <w:ilvl w:val="0"/>
                <w:numId w:val="4"/>
              </w:numPr>
              <w:spacing w:line="360" w:lineRule="auto"/>
              <w:ind w:firstLine="480" w:firstLineChars="200"/>
              <w:jc w:val="left"/>
              <w:rPr>
                <w:rFonts w:ascii="楷体" w:hAnsi="楷体" w:eastAsia="楷体" w:cs="楷体"/>
                <w:szCs w:val="24"/>
              </w:rPr>
            </w:pPr>
            <w:r>
              <w:rPr>
                <w:rFonts w:hint="eastAsia" w:ascii="楷体" w:hAnsi="楷体" w:eastAsia="楷体" w:cs="楷体"/>
                <w:szCs w:val="24"/>
              </w:rPr>
              <w:t>投标人提供的产品及材料必须为原厂正品，保证质量可靠，为市场最新或主流产品，进货渠道正常，配置合理齐全，应全面满足招标文件的要求，招标文件未明确要求的内容，供应商须按招标产品主流标准配置或以采购人的补充要求为准。所供产品工艺质量应严格按国家最新发布的规范标准执行，如发生质量问题由投标人承担全部责任。</w:t>
            </w:r>
          </w:p>
          <w:p>
            <w:pPr>
              <w:numPr>
                <w:ilvl w:val="0"/>
                <w:numId w:val="4"/>
              </w:numPr>
              <w:spacing w:line="360" w:lineRule="auto"/>
              <w:ind w:firstLine="480" w:firstLineChars="200"/>
              <w:jc w:val="left"/>
              <w:rPr>
                <w:rFonts w:ascii="楷体" w:hAnsi="楷体" w:eastAsia="楷体" w:cs="楷体"/>
                <w:szCs w:val="24"/>
              </w:rPr>
            </w:pPr>
            <w:r>
              <w:rPr>
                <w:rFonts w:hint="eastAsia" w:ascii="楷体" w:hAnsi="楷体" w:eastAsia="楷体" w:cs="楷体"/>
                <w:szCs w:val="24"/>
              </w:rPr>
              <w:t>投标人应保证所有产品的完好无损包括配套包装，如有缺漏、损坏，由供应商负责调换、补齐或赔偿。</w:t>
            </w:r>
          </w:p>
          <w:p>
            <w:pPr>
              <w:numPr>
                <w:ilvl w:val="0"/>
                <w:numId w:val="4"/>
              </w:numPr>
              <w:spacing w:line="360" w:lineRule="auto"/>
              <w:ind w:firstLine="480" w:firstLineChars="200"/>
              <w:jc w:val="left"/>
            </w:pPr>
            <w:r>
              <w:rPr>
                <w:rFonts w:hint="eastAsia" w:ascii="楷体" w:hAnsi="楷体" w:eastAsia="楷体" w:cs="楷体"/>
                <w:szCs w:val="24"/>
              </w:rPr>
              <w:t>供方必须严格按照需方要求和国家颁布的有关技术规范标准提供货物。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670" w:type="dxa"/>
            <w:vAlign w:val="center"/>
          </w:tcPr>
          <w:p>
            <w:pPr>
              <w:spacing w:line="360" w:lineRule="auto"/>
              <w:jc w:val="center"/>
              <w:rPr>
                <w:rFonts w:ascii="楷体" w:hAnsi="楷体" w:eastAsia="楷体" w:cs="楷体"/>
                <w:szCs w:val="24"/>
              </w:rPr>
            </w:pPr>
            <w:r>
              <w:rPr>
                <w:rFonts w:hint="eastAsia" w:ascii="楷体" w:hAnsi="楷体" w:eastAsia="楷体" w:cs="楷体"/>
                <w:szCs w:val="24"/>
              </w:rPr>
              <w:t>9</w:t>
            </w:r>
          </w:p>
        </w:tc>
        <w:tc>
          <w:tcPr>
            <w:tcW w:w="7552" w:type="dxa"/>
            <w:vAlign w:val="center"/>
          </w:tcPr>
          <w:p>
            <w:pPr>
              <w:spacing w:line="360" w:lineRule="auto"/>
              <w:jc w:val="left"/>
              <w:rPr>
                <w:rFonts w:ascii="楷体" w:hAnsi="楷体" w:eastAsia="楷体" w:cs="楷体"/>
                <w:b/>
                <w:bCs/>
                <w:szCs w:val="24"/>
              </w:rPr>
            </w:pPr>
            <w:r>
              <w:rPr>
                <w:rFonts w:hint="eastAsia" w:ascii="楷体" w:hAnsi="楷体" w:eastAsia="楷体" w:cs="楷体"/>
                <w:b/>
                <w:bCs/>
                <w:szCs w:val="24"/>
              </w:rPr>
              <w:t>验收：</w:t>
            </w:r>
          </w:p>
          <w:p>
            <w:pPr>
              <w:spacing w:line="360" w:lineRule="auto"/>
              <w:ind w:firstLine="480" w:firstLineChars="200"/>
              <w:jc w:val="left"/>
              <w:rPr>
                <w:rFonts w:ascii="楷体" w:hAnsi="楷体" w:eastAsia="楷体" w:cs="楷体"/>
                <w:szCs w:val="24"/>
              </w:rPr>
            </w:pPr>
            <w:r>
              <w:rPr>
                <w:rFonts w:hint="eastAsia" w:ascii="楷体" w:hAnsi="楷体" w:eastAsia="楷体" w:cs="楷体"/>
                <w:szCs w:val="24"/>
              </w:rPr>
              <w:t>1.供方提供的产品性能及质量有国家标准的应符合国家标准，无国家标准的应符合行业标准或企业标准，并满足甲方要求；</w:t>
            </w:r>
          </w:p>
          <w:p>
            <w:pPr>
              <w:spacing w:line="360" w:lineRule="auto"/>
              <w:ind w:firstLine="480" w:firstLineChars="200"/>
              <w:jc w:val="left"/>
              <w:rPr>
                <w:rFonts w:ascii="楷体" w:hAnsi="楷体" w:eastAsia="楷体" w:cs="楷体"/>
                <w:szCs w:val="24"/>
              </w:rPr>
            </w:pPr>
            <w:r>
              <w:rPr>
                <w:rFonts w:hint="eastAsia" w:ascii="楷体" w:hAnsi="楷体" w:eastAsia="楷体" w:cs="楷体"/>
                <w:szCs w:val="24"/>
              </w:rPr>
              <w:t>2.中标人须积极配合本项目监理，提供三级等保测评、安全测评、审计等报告。</w:t>
            </w:r>
          </w:p>
          <w:p>
            <w:pPr>
              <w:spacing w:line="360" w:lineRule="auto"/>
              <w:ind w:firstLine="480" w:firstLineChars="200"/>
              <w:jc w:val="left"/>
              <w:rPr>
                <w:rFonts w:ascii="楷体" w:hAnsi="楷体" w:eastAsia="楷体" w:cs="楷体"/>
                <w:szCs w:val="24"/>
              </w:rPr>
            </w:pPr>
            <w:r>
              <w:rPr>
                <w:rFonts w:hint="eastAsia" w:ascii="楷体" w:hAnsi="楷体" w:eastAsia="楷体" w:cs="楷体"/>
                <w:szCs w:val="24"/>
              </w:rPr>
              <w:t>3.项目实施、验收等相关流程制度标准，以国家相关法律、法规和上级机关的规章、制度为准。中标人完成阶段工作内容后向采购人提起阶段验收申请，由采购人组织评审签字确认后视为阶段验收合格。由国家组织评审通过视为终验合格。</w:t>
            </w:r>
          </w:p>
          <w:p>
            <w:pPr>
              <w:spacing w:line="360" w:lineRule="auto"/>
              <w:ind w:firstLine="480" w:firstLineChars="200"/>
              <w:jc w:val="left"/>
              <w:rPr>
                <w:rFonts w:ascii="楷体" w:hAnsi="楷体" w:eastAsia="楷体" w:cs="楷体"/>
                <w:szCs w:val="24"/>
              </w:rPr>
            </w:pPr>
            <w:r>
              <w:rPr>
                <w:rFonts w:hint="eastAsia" w:ascii="楷体" w:hAnsi="楷体" w:eastAsia="楷体" w:cs="楷体"/>
                <w:szCs w:val="24"/>
              </w:rPr>
              <w:t>4.中标人向采购人提供项目履约过程中的所有资料,以便采购人日后管理和维护。</w:t>
            </w:r>
          </w:p>
          <w:p>
            <w:pPr>
              <w:spacing w:line="360" w:lineRule="auto"/>
              <w:ind w:firstLine="480" w:firstLineChars="200"/>
              <w:jc w:val="left"/>
              <w:rPr>
                <w:rFonts w:ascii="楷体" w:hAnsi="楷体" w:eastAsia="楷体" w:cs="楷体"/>
                <w:szCs w:val="24"/>
              </w:rPr>
            </w:pPr>
            <w:r>
              <w:rPr>
                <w:rFonts w:hint="eastAsia" w:ascii="楷体" w:hAnsi="楷体" w:eastAsia="楷体" w:cs="楷体"/>
                <w:szCs w:val="24"/>
              </w:rPr>
              <w:t>4.1验收依据</w:t>
            </w:r>
          </w:p>
          <w:p>
            <w:pPr>
              <w:spacing w:line="360" w:lineRule="auto"/>
              <w:ind w:firstLine="480" w:firstLineChars="200"/>
              <w:jc w:val="left"/>
              <w:rPr>
                <w:rFonts w:ascii="楷体" w:hAnsi="楷体" w:eastAsia="楷体" w:cs="楷体"/>
                <w:szCs w:val="24"/>
              </w:rPr>
            </w:pPr>
            <w:r>
              <w:rPr>
                <w:rFonts w:hint="eastAsia" w:ascii="楷体" w:hAnsi="楷体" w:eastAsia="楷体" w:cs="楷体"/>
                <w:szCs w:val="24"/>
              </w:rPr>
              <w:t>4.2招标文件、投标文件、澄清表（如有）；</w:t>
            </w:r>
          </w:p>
          <w:p>
            <w:pPr>
              <w:spacing w:line="360" w:lineRule="auto"/>
              <w:ind w:firstLine="480" w:firstLineChars="200"/>
              <w:jc w:val="left"/>
              <w:rPr>
                <w:rFonts w:ascii="楷体" w:hAnsi="楷体" w:eastAsia="楷体" w:cs="楷体"/>
                <w:szCs w:val="24"/>
              </w:rPr>
            </w:pPr>
            <w:r>
              <w:rPr>
                <w:rFonts w:hint="eastAsia" w:ascii="楷体" w:hAnsi="楷体" w:eastAsia="楷体" w:cs="楷体"/>
                <w:szCs w:val="24"/>
              </w:rPr>
              <w:t>4.3本合同及附件文本；</w:t>
            </w:r>
          </w:p>
          <w:p>
            <w:pPr>
              <w:spacing w:line="360" w:lineRule="auto"/>
              <w:ind w:firstLine="480" w:firstLineChars="200"/>
              <w:jc w:val="left"/>
              <w:rPr>
                <w:rFonts w:ascii="楷体" w:hAnsi="楷体" w:eastAsia="楷体" w:cs="楷体"/>
                <w:szCs w:val="24"/>
              </w:rPr>
            </w:pPr>
            <w:r>
              <w:rPr>
                <w:rFonts w:hint="eastAsia" w:ascii="楷体" w:hAnsi="楷体" w:eastAsia="楷体" w:cs="楷体"/>
                <w:szCs w:val="24"/>
              </w:rPr>
              <w:t>4.4国家相应的标准、规范。</w:t>
            </w:r>
          </w:p>
          <w:p>
            <w:pPr>
              <w:spacing w:line="360" w:lineRule="auto"/>
              <w:ind w:firstLine="482" w:firstLineChars="200"/>
              <w:jc w:val="left"/>
              <w:rPr>
                <w:rFonts w:ascii="楷体" w:hAnsi="楷体" w:eastAsia="楷体" w:cs="楷体"/>
                <w:b/>
                <w:bCs/>
                <w:szCs w:val="24"/>
              </w:rPr>
            </w:pPr>
            <w:r>
              <w:rPr>
                <w:rFonts w:hint="eastAsia" w:ascii="楷体" w:hAnsi="楷体" w:eastAsia="楷体" w:cs="楷体"/>
                <w:b/>
                <w:bCs/>
                <w:szCs w:val="24"/>
              </w:rPr>
              <w:t>5.验收标准</w:t>
            </w:r>
          </w:p>
          <w:p>
            <w:pPr>
              <w:spacing w:line="360" w:lineRule="auto"/>
              <w:ind w:firstLine="482" w:firstLineChars="200"/>
              <w:jc w:val="left"/>
              <w:rPr>
                <w:rFonts w:ascii="楷体" w:hAnsi="楷体" w:eastAsia="楷体" w:cs="楷体"/>
                <w:szCs w:val="24"/>
              </w:rPr>
            </w:pPr>
            <w:r>
              <w:rPr>
                <w:rFonts w:hint="eastAsia" w:ascii="楷体" w:hAnsi="楷体" w:eastAsia="楷体" w:cs="楷体"/>
                <w:b/>
                <w:bCs/>
                <w:szCs w:val="24"/>
              </w:rPr>
              <w:t>5.1阶段标准1</w:t>
            </w:r>
            <w:r>
              <w:rPr>
                <w:rFonts w:hint="eastAsia" w:ascii="楷体" w:hAnsi="楷体" w:eastAsia="楷体" w:cs="楷体"/>
                <w:szCs w:val="24"/>
              </w:rPr>
              <w:t>：硬件设备全部到场，符合合同要求，经甲方确认。</w:t>
            </w:r>
          </w:p>
          <w:p>
            <w:pPr>
              <w:spacing w:line="360" w:lineRule="auto"/>
              <w:ind w:firstLine="482" w:firstLineChars="200"/>
              <w:jc w:val="left"/>
            </w:pPr>
            <w:r>
              <w:rPr>
                <w:rFonts w:hint="eastAsia" w:ascii="楷体" w:hAnsi="楷体" w:eastAsia="楷体" w:cs="楷体"/>
                <w:b/>
                <w:bCs/>
                <w:szCs w:val="24"/>
              </w:rPr>
              <w:t>5.2 阶段标准2：</w:t>
            </w:r>
            <w:r>
              <w:rPr>
                <w:rFonts w:hint="eastAsia" w:ascii="楷体" w:hAnsi="楷体" w:eastAsia="楷体" w:cs="楷体"/>
                <w:szCs w:val="24"/>
              </w:rPr>
              <w:t>项目建设完成并满足功能需求，试运行三个月。</w:t>
            </w:r>
          </w:p>
          <w:p>
            <w:pPr>
              <w:spacing w:line="360" w:lineRule="auto"/>
              <w:ind w:firstLine="482" w:firstLineChars="200"/>
              <w:jc w:val="left"/>
              <w:rPr>
                <w:rFonts w:ascii="楷体" w:hAnsi="楷体" w:eastAsia="楷体" w:cs="楷体"/>
                <w:szCs w:val="24"/>
              </w:rPr>
            </w:pPr>
            <w:r>
              <w:rPr>
                <w:rFonts w:hint="eastAsia" w:ascii="楷体" w:hAnsi="楷体" w:eastAsia="楷体" w:cs="楷体"/>
                <w:b/>
                <w:bCs/>
                <w:szCs w:val="24"/>
              </w:rPr>
              <w:t>5.3终验标准</w:t>
            </w:r>
            <w:r>
              <w:rPr>
                <w:rFonts w:hint="eastAsia" w:ascii="楷体" w:hAnsi="楷体" w:eastAsia="楷体" w:cs="楷体"/>
                <w:szCs w:val="24"/>
              </w:rPr>
              <w:t>：</w:t>
            </w:r>
          </w:p>
          <w:p>
            <w:pPr>
              <w:spacing w:line="360" w:lineRule="auto"/>
              <w:ind w:firstLine="480" w:firstLineChars="200"/>
              <w:jc w:val="left"/>
            </w:pPr>
            <w:r>
              <w:rPr>
                <w:rFonts w:hint="eastAsia" w:ascii="楷体" w:hAnsi="楷体" w:eastAsia="楷体" w:cs="楷体"/>
                <w:szCs w:val="24"/>
              </w:rPr>
              <w:t>项目实施完成后，由中央综治办、国家发展改革委、公安部等委托第三方中介机构按照建设规划方案进行项目验收，验收不通过的，项目实施主要负责人要书面陈述原因，并责令限期整改。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670" w:type="dxa"/>
            <w:vAlign w:val="center"/>
          </w:tcPr>
          <w:p>
            <w:pPr>
              <w:pStyle w:val="15"/>
              <w:spacing w:line="360" w:lineRule="auto"/>
              <w:jc w:val="center"/>
              <w:rPr>
                <w:rFonts w:ascii="楷体" w:hAnsi="楷体" w:eastAsia="楷体" w:cs="楷体"/>
                <w:kern w:val="0"/>
                <w:sz w:val="24"/>
                <w:szCs w:val="24"/>
              </w:rPr>
            </w:pPr>
            <w:r>
              <w:rPr>
                <w:rFonts w:hint="eastAsia" w:ascii="楷体" w:hAnsi="楷体" w:eastAsia="楷体" w:cs="楷体"/>
                <w:kern w:val="0"/>
                <w:sz w:val="24"/>
                <w:szCs w:val="24"/>
              </w:rPr>
              <w:t>10</w:t>
            </w:r>
          </w:p>
        </w:tc>
        <w:tc>
          <w:tcPr>
            <w:tcW w:w="7552" w:type="dxa"/>
            <w:vAlign w:val="center"/>
          </w:tcPr>
          <w:p>
            <w:pPr>
              <w:spacing w:line="360" w:lineRule="auto"/>
              <w:rPr>
                <w:rFonts w:ascii="楷体" w:hAnsi="楷体" w:eastAsia="楷体" w:cs="楷体"/>
                <w:b/>
                <w:szCs w:val="24"/>
              </w:rPr>
            </w:pPr>
            <w:r>
              <w:rPr>
                <w:rFonts w:hint="eastAsia" w:ascii="楷体" w:hAnsi="楷体" w:eastAsia="楷体" w:cs="楷体"/>
                <w:b/>
                <w:szCs w:val="24"/>
              </w:rPr>
              <w:t>违约责任：</w:t>
            </w:r>
          </w:p>
          <w:p>
            <w:pPr>
              <w:spacing w:line="360" w:lineRule="auto"/>
              <w:ind w:firstLine="480" w:firstLineChars="200"/>
              <w:rPr>
                <w:rFonts w:ascii="楷体" w:hAnsi="楷体" w:eastAsia="楷体" w:cs="楷体"/>
                <w:szCs w:val="24"/>
              </w:rPr>
            </w:pPr>
            <w:r>
              <w:rPr>
                <w:rFonts w:hint="eastAsia" w:ascii="楷体" w:hAnsi="楷体" w:eastAsia="楷体" w:cs="楷体"/>
                <w:szCs w:val="24"/>
              </w:rPr>
              <w:t>1.按《中华人民共和国政府采购法》、《中华人民共和国民法典》中的相关条款执行。</w:t>
            </w:r>
          </w:p>
          <w:p>
            <w:pPr>
              <w:tabs>
                <w:tab w:val="left" w:pos="152"/>
              </w:tabs>
              <w:spacing w:line="360" w:lineRule="auto"/>
              <w:ind w:firstLine="480" w:firstLineChars="200"/>
              <w:rPr>
                <w:rFonts w:ascii="楷体" w:hAnsi="楷体" w:eastAsia="楷体" w:cs="楷体"/>
                <w:szCs w:val="24"/>
              </w:rPr>
            </w:pPr>
            <w:r>
              <w:rPr>
                <w:rFonts w:hint="eastAsia" w:ascii="楷体" w:hAnsi="楷体" w:eastAsia="楷体" w:cs="楷体"/>
                <w:szCs w:val="24"/>
              </w:rPr>
              <w:t>2.未按合同或招标文件要求提供产品或供应的产品质量不能满足采购人技术要求，采购单位有权终止合同，并对投标人违约行为进行追究。</w:t>
            </w:r>
          </w:p>
          <w:p>
            <w:pPr>
              <w:tabs>
                <w:tab w:val="left" w:pos="152"/>
              </w:tabs>
              <w:spacing w:line="360" w:lineRule="auto"/>
              <w:ind w:firstLine="480" w:firstLineChars="200"/>
              <w:rPr>
                <w:rFonts w:ascii="楷体" w:hAnsi="楷体" w:eastAsia="楷体" w:cs="楷体"/>
                <w:szCs w:val="24"/>
              </w:rPr>
            </w:pPr>
            <w:r>
              <w:rPr>
                <w:rFonts w:hint="eastAsia" w:ascii="楷体" w:hAnsi="楷体" w:eastAsia="楷体" w:cs="楷体"/>
                <w:szCs w:val="24"/>
              </w:rPr>
              <w:t>3.投标人的投标文件为签订正式书面合同书不可分割的部分，供货方应履行相应的责任。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670" w:type="dxa"/>
            <w:vAlign w:val="center"/>
          </w:tcPr>
          <w:p>
            <w:pPr>
              <w:pStyle w:val="15"/>
              <w:spacing w:line="360" w:lineRule="auto"/>
              <w:jc w:val="center"/>
              <w:rPr>
                <w:rFonts w:ascii="楷体" w:hAnsi="楷体" w:eastAsia="楷体" w:cs="楷体"/>
                <w:kern w:val="0"/>
                <w:sz w:val="24"/>
                <w:szCs w:val="24"/>
              </w:rPr>
            </w:pPr>
            <w:r>
              <w:rPr>
                <w:rFonts w:hint="eastAsia" w:ascii="楷体" w:hAnsi="楷体" w:eastAsia="楷体" w:cs="楷体"/>
                <w:kern w:val="0"/>
                <w:sz w:val="24"/>
                <w:szCs w:val="24"/>
              </w:rPr>
              <w:t>11</w:t>
            </w:r>
          </w:p>
        </w:tc>
        <w:tc>
          <w:tcPr>
            <w:tcW w:w="7552" w:type="dxa"/>
            <w:vAlign w:val="center"/>
          </w:tcPr>
          <w:p>
            <w:pPr>
              <w:tabs>
                <w:tab w:val="left" w:pos="152"/>
              </w:tabs>
              <w:spacing w:line="360" w:lineRule="auto"/>
              <w:rPr>
                <w:rFonts w:ascii="楷体" w:hAnsi="楷体" w:eastAsia="楷体" w:cs="楷体"/>
                <w:b/>
                <w:bCs/>
                <w:szCs w:val="24"/>
              </w:rPr>
            </w:pPr>
            <w:r>
              <w:rPr>
                <w:rFonts w:hint="eastAsia" w:ascii="楷体" w:hAnsi="楷体" w:eastAsia="楷体" w:cs="楷体"/>
                <w:b/>
                <w:bCs/>
                <w:szCs w:val="24"/>
              </w:rPr>
              <w:t>政府采购合同：</w:t>
            </w:r>
          </w:p>
          <w:p>
            <w:pPr>
              <w:tabs>
                <w:tab w:val="left" w:pos="152"/>
              </w:tabs>
              <w:spacing w:line="360" w:lineRule="auto"/>
              <w:ind w:firstLine="480" w:firstLineChars="200"/>
              <w:rPr>
                <w:rFonts w:ascii="楷体" w:hAnsi="楷体" w:eastAsia="楷体" w:cs="楷体"/>
                <w:szCs w:val="24"/>
              </w:rPr>
            </w:pPr>
            <w:r>
              <w:rPr>
                <w:rFonts w:hint="eastAsia" w:ascii="楷体" w:hAnsi="楷体" w:eastAsia="楷体" w:cs="楷体"/>
                <w:szCs w:val="24"/>
              </w:rPr>
              <w:t>政府采购合同适用中华人民共和国民法典。采购人和投标人之间的权利和义务，应当按照平等、自愿的原则以合同方式约定。</w:t>
            </w:r>
          </w:p>
          <w:p>
            <w:pPr>
              <w:tabs>
                <w:tab w:val="left" w:pos="152"/>
              </w:tabs>
              <w:spacing w:line="360" w:lineRule="auto"/>
              <w:ind w:firstLine="480" w:firstLineChars="200"/>
              <w:rPr>
                <w:rFonts w:ascii="楷体" w:hAnsi="楷体" w:eastAsia="楷体" w:cs="楷体"/>
                <w:szCs w:val="24"/>
              </w:rPr>
            </w:pPr>
            <w:r>
              <w:rPr>
                <w:rFonts w:hint="eastAsia" w:ascii="楷体" w:hAnsi="楷体" w:eastAsia="楷体" w:cs="楷体"/>
                <w:szCs w:val="24"/>
              </w:rPr>
              <w:t xml:space="preserve"> 采购人可以委托采购代理机构代表其与投标人签订政府采购合同。由采购代理机构以采购人名义签订合同的，应当提交采购人的授权委托书，作为合同附件。</w:t>
            </w:r>
          </w:p>
          <w:p>
            <w:pPr>
              <w:tabs>
                <w:tab w:val="left" w:pos="152"/>
              </w:tabs>
              <w:spacing w:line="360" w:lineRule="auto"/>
              <w:ind w:firstLine="480" w:firstLineChars="200"/>
              <w:rPr>
                <w:rFonts w:ascii="楷体" w:hAnsi="楷体" w:eastAsia="楷体" w:cs="楷体"/>
                <w:szCs w:val="24"/>
              </w:rPr>
            </w:pPr>
            <w:r>
              <w:rPr>
                <w:rFonts w:hint="eastAsia" w:ascii="楷体" w:hAnsi="楷体" w:eastAsia="楷体" w:cs="楷体"/>
                <w:szCs w:val="24"/>
              </w:rPr>
              <w:t>政府采购合同应当采用书面形式。</w:t>
            </w:r>
          </w:p>
          <w:p>
            <w:pPr>
              <w:tabs>
                <w:tab w:val="left" w:pos="152"/>
              </w:tabs>
              <w:spacing w:line="360" w:lineRule="auto"/>
              <w:ind w:firstLine="480" w:firstLineChars="200"/>
              <w:rPr>
                <w:rFonts w:ascii="楷体" w:hAnsi="楷体" w:eastAsia="楷体" w:cs="楷体"/>
                <w:szCs w:val="24"/>
              </w:rPr>
            </w:pPr>
            <w:r>
              <w:rPr>
                <w:rFonts w:hint="eastAsia" w:ascii="楷体" w:hAnsi="楷体" w:eastAsia="楷体" w:cs="楷体"/>
                <w:szCs w:val="24"/>
              </w:rPr>
              <w:t>国务院政府采购监督管理部门应当会同国务院有关部门，规定政府采购合同必须具备的条款。</w:t>
            </w:r>
          </w:p>
          <w:p>
            <w:pPr>
              <w:tabs>
                <w:tab w:val="left" w:pos="152"/>
              </w:tabs>
              <w:spacing w:line="360" w:lineRule="auto"/>
              <w:ind w:firstLine="480" w:firstLineChars="200"/>
              <w:rPr>
                <w:rFonts w:ascii="楷体" w:hAnsi="楷体" w:eastAsia="楷体" w:cs="楷体"/>
                <w:szCs w:val="24"/>
              </w:rPr>
            </w:pPr>
            <w:r>
              <w:rPr>
                <w:rFonts w:hint="eastAsia" w:ascii="楷体" w:hAnsi="楷体" w:eastAsia="楷体" w:cs="楷体"/>
                <w:szCs w:val="24"/>
              </w:rPr>
              <w:t xml:space="preserve"> 采购人与中标人应当在中标、中标知书发出之日起三十日内，按照采购文件确定的事项签订政府采购合同。</w:t>
            </w:r>
          </w:p>
          <w:p>
            <w:pPr>
              <w:tabs>
                <w:tab w:val="left" w:pos="152"/>
              </w:tabs>
              <w:spacing w:line="360" w:lineRule="auto"/>
              <w:ind w:firstLine="480" w:firstLineChars="200"/>
              <w:rPr>
                <w:rFonts w:ascii="楷体" w:hAnsi="楷体" w:eastAsia="楷体" w:cs="楷体"/>
                <w:szCs w:val="24"/>
              </w:rPr>
            </w:pPr>
            <w:r>
              <w:rPr>
                <w:rFonts w:hint="eastAsia" w:ascii="楷体" w:hAnsi="楷体" w:eastAsia="楷体" w:cs="楷体"/>
                <w:szCs w:val="24"/>
              </w:rPr>
              <w:t xml:space="preserve"> 中标、中标通知书对采购人和中标人均具有法律效力。中标、中标通知书发出后，采购人改变中标结果的，或者中标人放弃中标项目的，应当依法承担法律责任。</w:t>
            </w:r>
          </w:p>
          <w:p>
            <w:pPr>
              <w:tabs>
                <w:tab w:val="left" w:pos="152"/>
              </w:tabs>
              <w:spacing w:line="360" w:lineRule="auto"/>
              <w:ind w:firstLine="480" w:firstLineChars="200"/>
              <w:rPr>
                <w:rFonts w:ascii="楷体" w:hAnsi="楷体" w:eastAsia="楷体" w:cs="楷体"/>
                <w:szCs w:val="24"/>
              </w:rPr>
            </w:pPr>
            <w:r>
              <w:rPr>
                <w:rFonts w:hint="eastAsia" w:ascii="楷体" w:hAnsi="楷体" w:eastAsia="楷体" w:cs="楷体"/>
                <w:szCs w:val="24"/>
              </w:rPr>
              <w:t>政府采购项目的采购合同自签订之日起七个工作日内，采购人应当将合同副本报同级政府采购监督管理部门和有关部门备案。</w:t>
            </w:r>
          </w:p>
          <w:p>
            <w:pPr>
              <w:tabs>
                <w:tab w:val="left" w:pos="152"/>
              </w:tabs>
              <w:spacing w:line="360" w:lineRule="auto"/>
              <w:ind w:firstLine="480" w:firstLineChars="200"/>
              <w:rPr>
                <w:rFonts w:ascii="楷体" w:hAnsi="楷体" w:eastAsia="楷体" w:cs="楷体"/>
                <w:szCs w:val="24"/>
              </w:rPr>
            </w:pPr>
            <w:r>
              <w:rPr>
                <w:rFonts w:hint="eastAsia" w:ascii="楷体" w:hAnsi="楷体" w:eastAsia="楷体" w:cs="楷体"/>
                <w:szCs w:val="24"/>
              </w:rPr>
              <w:t>政府采购合同履行中，采购人需追加与合同标的相同的货物、工程或者服务的，在不改变合同其他条款的前提下，可以与投标人协商签订补充合同，但所有补充合同的采购金额不得超过原合同采购金额的百分之十。</w:t>
            </w:r>
          </w:p>
          <w:p>
            <w:pPr>
              <w:tabs>
                <w:tab w:val="left" w:pos="152"/>
              </w:tabs>
              <w:spacing w:line="360" w:lineRule="auto"/>
              <w:ind w:firstLine="480" w:firstLineChars="200"/>
              <w:rPr>
                <w:rFonts w:ascii="楷体" w:hAnsi="楷体" w:eastAsia="楷体" w:cs="楷体"/>
                <w:szCs w:val="24"/>
              </w:rPr>
            </w:pPr>
            <w:r>
              <w:rPr>
                <w:rFonts w:hint="eastAsia" w:ascii="楷体" w:hAnsi="楷体" w:eastAsia="楷体" w:cs="楷体"/>
                <w:szCs w:val="24"/>
              </w:rPr>
              <w:t>政府采购合同的双方当事人不得擅自变更、中止或者终止合同。</w:t>
            </w:r>
          </w:p>
          <w:p>
            <w:pPr>
              <w:tabs>
                <w:tab w:val="left" w:pos="152"/>
              </w:tabs>
              <w:spacing w:line="360" w:lineRule="auto"/>
              <w:ind w:firstLine="480" w:firstLineChars="200"/>
              <w:rPr>
                <w:rFonts w:ascii="楷体" w:hAnsi="楷体" w:eastAsia="楷体" w:cs="楷体"/>
                <w:szCs w:val="24"/>
              </w:rPr>
            </w:pPr>
            <w:r>
              <w:rPr>
                <w:rFonts w:hint="eastAsia" w:ascii="楷体" w:hAnsi="楷体" w:eastAsia="楷体" w:cs="楷体"/>
                <w:szCs w:val="24"/>
              </w:rPr>
              <w:t>政府采购合同继续履行将损害国家利益和社会公共利益的，双方当事人应当变更、中止或者终止合同。有过错的一方应当承担赔偿责任，双方都有过错的，各自承担相应的责任。</w:t>
            </w:r>
          </w:p>
          <w:p>
            <w:pPr>
              <w:tabs>
                <w:tab w:val="left" w:pos="152"/>
              </w:tabs>
              <w:spacing w:line="360" w:lineRule="auto"/>
              <w:ind w:firstLine="480" w:firstLineChars="200"/>
              <w:rPr>
                <w:rFonts w:ascii="楷体" w:hAnsi="楷体" w:eastAsia="楷体" w:cs="楷体"/>
                <w:szCs w:val="24"/>
              </w:rPr>
            </w:pPr>
            <w:r>
              <w:rPr>
                <w:rFonts w:hint="eastAsia" w:ascii="楷体" w:hAnsi="楷体" w:eastAsia="楷体" w:cs="楷体"/>
                <w:szCs w:val="24"/>
              </w:rPr>
              <w:t>签订合同之前，中标人需提供项目组人员一览表，与投标文件的人员一览表一致，无特殊情况项目组人员不得变更。如需变更采购人同意后方可履行相关手续。</w:t>
            </w:r>
          </w:p>
          <w:p>
            <w:pPr>
              <w:tabs>
                <w:tab w:val="left" w:pos="152"/>
              </w:tabs>
              <w:spacing w:line="360" w:lineRule="auto"/>
              <w:ind w:firstLine="480" w:firstLineChars="200"/>
            </w:pPr>
            <w:r>
              <w:rPr>
                <w:rFonts w:hint="eastAsia" w:ascii="楷体" w:hAnsi="楷体" w:eastAsia="楷体" w:cs="楷体"/>
                <w:szCs w:val="24"/>
              </w:rPr>
              <w:t>中标人违约承担违约责任。所有中标内容均需按照招标文件指标要求进行检查核对后方可进行报验，不满足招标文件指标和投标承诺的，采购人有权不对其进行验收；同时中标人对不满足要求的内容承担违约责任。</w:t>
            </w:r>
          </w:p>
        </w:tc>
      </w:tr>
    </w:tbl>
    <w:p>
      <w:pPr>
        <w:jc w:val="center"/>
        <w:rPr>
          <w:rFonts w:ascii="楷体" w:hAnsi="楷体" w:eastAsia="楷体" w:cs="楷体"/>
          <w:b/>
          <w:bCs/>
          <w:sz w:val="52"/>
          <w:szCs w:val="72"/>
        </w:rPr>
      </w:pPr>
    </w:p>
    <w:p>
      <w:pPr>
        <w:jc w:val="center"/>
        <w:rPr>
          <w:rFonts w:ascii="楷体" w:hAnsi="楷体" w:eastAsia="楷体" w:cs="楷体"/>
          <w:b/>
          <w:bCs/>
          <w:sz w:val="52"/>
          <w:szCs w:val="72"/>
        </w:rPr>
      </w:pPr>
    </w:p>
    <w:p>
      <w:pPr>
        <w:jc w:val="center"/>
        <w:rPr>
          <w:rFonts w:ascii="楷体" w:hAnsi="楷体" w:eastAsia="楷体" w:cs="楷体"/>
          <w:b/>
          <w:bCs/>
          <w:sz w:val="52"/>
          <w:szCs w:val="72"/>
        </w:rPr>
      </w:pPr>
      <w:r>
        <w:rPr>
          <w:rFonts w:hint="eastAsia" w:ascii="楷体" w:hAnsi="楷体" w:eastAsia="楷体" w:cs="楷体"/>
          <w:b/>
          <w:bCs/>
          <w:sz w:val="52"/>
          <w:szCs w:val="72"/>
        </w:rPr>
        <w:br w:type="page"/>
      </w:r>
    </w:p>
    <w:p>
      <w:pPr>
        <w:jc w:val="center"/>
        <w:rPr>
          <w:rFonts w:ascii="楷体" w:hAnsi="楷体" w:eastAsia="楷体" w:cs="楷体"/>
          <w:b/>
          <w:bCs/>
          <w:sz w:val="52"/>
          <w:szCs w:val="72"/>
        </w:rPr>
      </w:pPr>
    </w:p>
    <w:p>
      <w:pPr>
        <w:jc w:val="center"/>
        <w:rPr>
          <w:rFonts w:hint="eastAsia" w:ascii="楷体" w:hAnsi="楷体" w:eastAsia="楷体" w:cs="楷体"/>
          <w:b/>
          <w:bCs/>
          <w:sz w:val="56"/>
          <w:szCs w:val="96"/>
          <w:lang w:eastAsia="zh-CN"/>
        </w:rPr>
      </w:pPr>
      <w:r>
        <w:rPr>
          <w:rFonts w:hint="eastAsia" w:ascii="楷体" w:hAnsi="楷体" w:eastAsia="楷体" w:cs="楷体"/>
          <w:b/>
          <w:bCs/>
          <w:sz w:val="56"/>
          <w:szCs w:val="96"/>
          <w:lang w:eastAsia="zh-CN"/>
        </w:rPr>
        <w:t>勉县公安局勉县“雪亮工程”建设第一期采购（设备采购、含监理）</w:t>
      </w:r>
    </w:p>
    <w:p>
      <w:pPr>
        <w:jc w:val="center"/>
        <w:rPr>
          <w:rFonts w:ascii="楷体" w:hAnsi="楷体" w:eastAsia="楷体" w:cs="楷体"/>
          <w:b/>
          <w:bCs/>
          <w:sz w:val="40"/>
          <w:szCs w:val="48"/>
        </w:rPr>
      </w:pPr>
    </w:p>
    <w:p>
      <w:pPr>
        <w:jc w:val="center"/>
        <w:rPr>
          <w:rFonts w:ascii="楷体" w:hAnsi="楷体" w:eastAsia="楷体" w:cs="楷体"/>
          <w:b/>
          <w:bCs/>
          <w:sz w:val="52"/>
          <w:szCs w:val="72"/>
        </w:rPr>
      </w:pPr>
    </w:p>
    <w:p>
      <w:pPr>
        <w:jc w:val="center"/>
        <w:rPr>
          <w:rFonts w:ascii="楷体" w:hAnsi="楷体" w:eastAsia="楷体" w:cs="楷体"/>
          <w:b/>
          <w:bCs/>
          <w:sz w:val="52"/>
          <w:szCs w:val="72"/>
        </w:rPr>
      </w:pPr>
      <w:r>
        <w:rPr>
          <w:rFonts w:hint="eastAsia" w:ascii="楷体" w:hAnsi="楷体" w:eastAsia="楷体" w:cs="楷体"/>
          <w:b/>
          <w:bCs/>
          <w:sz w:val="52"/>
          <w:szCs w:val="72"/>
        </w:rPr>
        <w:t>采购合同</w:t>
      </w:r>
    </w:p>
    <w:p>
      <w:pPr>
        <w:jc w:val="center"/>
        <w:rPr>
          <w:rFonts w:ascii="楷体" w:hAnsi="楷体" w:eastAsia="楷体" w:cs="楷体"/>
          <w:sz w:val="44"/>
          <w:szCs w:val="44"/>
        </w:rPr>
      </w:pPr>
    </w:p>
    <w:p>
      <w:pPr>
        <w:jc w:val="center"/>
        <w:rPr>
          <w:rFonts w:ascii="楷体" w:hAnsi="楷体" w:eastAsia="楷体" w:cs="楷体"/>
          <w:sz w:val="44"/>
          <w:szCs w:val="44"/>
        </w:rPr>
      </w:pPr>
    </w:p>
    <w:p>
      <w:pPr>
        <w:jc w:val="center"/>
        <w:rPr>
          <w:rFonts w:ascii="楷体" w:hAnsi="楷体" w:eastAsia="楷体" w:cs="楷体"/>
          <w:b/>
          <w:sz w:val="36"/>
          <w:szCs w:val="36"/>
        </w:rPr>
      </w:pPr>
      <w:r>
        <w:rPr>
          <w:rFonts w:hint="eastAsia" w:ascii="楷体" w:hAnsi="楷体" w:eastAsia="楷体" w:cs="楷体"/>
          <w:b/>
          <w:sz w:val="36"/>
          <w:szCs w:val="36"/>
        </w:rPr>
        <w:t>（示范文本）</w:t>
      </w:r>
    </w:p>
    <w:p>
      <w:pPr>
        <w:pStyle w:val="3"/>
        <w:rPr>
          <w:rFonts w:eastAsia="楷体"/>
        </w:rPr>
      </w:pPr>
      <w:r>
        <w:rPr>
          <w:rFonts w:hint="eastAsia" w:ascii="楷体" w:hAnsi="楷体" w:eastAsia="楷体" w:cs="楷体"/>
          <w:b/>
          <w:sz w:val="36"/>
          <w:szCs w:val="36"/>
        </w:rPr>
        <w:t xml:space="preserve">           </w:t>
      </w:r>
      <w:r>
        <w:rPr>
          <w:rFonts w:hint="eastAsia" w:ascii="楷体" w:hAnsi="楷体" w:eastAsia="楷体" w:cs="楷体"/>
          <w:bCs/>
          <w:sz w:val="24"/>
          <w:szCs w:val="24"/>
        </w:rPr>
        <w:t>甲乙双方可以根据项目实际情况细化调整</w:t>
      </w:r>
    </w:p>
    <w:p>
      <w:pPr>
        <w:tabs>
          <w:tab w:val="left" w:pos="9030"/>
        </w:tabs>
        <w:snapToGrid w:val="0"/>
        <w:spacing w:line="360" w:lineRule="auto"/>
        <w:rPr>
          <w:rFonts w:ascii="楷体" w:hAnsi="楷体" w:eastAsia="楷体" w:cs="楷体"/>
          <w:b/>
          <w:bCs/>
          <w:szCs w:val="24"/>
          <w:lang w:val="zh-CN"/>
        </w:rPr>
      </w:pPr>
      <w:r>
        <w:rPr>
          <w:rFonts w:hint="eastAsia" w:ascii="楷体" w:hAnsi="楷体" w:eastAsia="楷体" w:cs="楷体"/>
          <w:bCs/>
          <w:sz w:val="48"/>
          <w:szCs w:val="48"/>
        </w:rPr>
        <w:br w:type="page"/>
      </w:r>
      <w:r>
        <w:rPr>
          <w:rFonts w:hint="eastAsia" w:ascii="楷体" w:hAnsi="楷体" w:eastAsia="楷体" w:cs="楷体"/>
          <w:bCs/>
          <w:sz w:val="48"/>
          <w:szCs w:val="48"/>
        </w:rPr>
        <w:t xml:space="preserve">  </w:t>
      </w:r>
      <w:r>
        <w:rPr>
          <w:rFonts w:hint="eastAsia" w:ascii="楷体" w:hAnsi="楷体" w:eastAsia="楷体" w:cs="楷体"/>
          <w:b/>
          <w:bCs/>
          <w:szCs w:val="24"/>
          <w:lang w:val="zh-CN"/>
        </w:rPr>
        <w:t>甲方：</w:t>
      </w:r>
      <w:r>
        <w:rPr>
          <w:rFonts w:hint="eastAsia" w:ascii="楷体" w:hAnsi="楷体" w:eastAsia="楷体" w:cs="楷体"/>
          <w:bCs/>
          <w:szCs w:val="24"/>
          <w:lang w:val="zh-CN"/>
        </w:rPr>
        <w:t>（前款所称采购人）</w:t>
      </w:r>
    </w:p>
    <w:p>
      <w:pPr>
        <w:tabs>
          <w:tab w:val="left" w:pos="9030"/>
        </w:tabs>
        <w:snapToGrid w:val="0"/>
        <w:spacing w:line="360" w:lineRule="auto"/>
        <w:ind w:firstLine="482" w:firstLineChars="200"/>
        <w:rPr>
          <w:rFonts w:ascii="楷体" w:hAnsi="楷体" w:eastAsia="楷体" w:cs="楷体"/>
          <w:bCs/>
          <w:szCs w:val="24"/>
          <w:lang w:val="zh-CN"/>
        </w:rPr>
      </w:pPr>
      <w:r>
        <w:rPr>
          <w:rFonts w:hint="eastAsia" w:ascii="楷体" w:hAnsi="楷体" w:eastAsia="楷体" w:cs="楷体"/>
          <w:b/>
          <w:bCs/>
          <w:szCs w:val="24"/>
          <w:lang w:val="zh-CN"/>
        </w:rPr>
        <w:t>乙方：</w:t>
      </w:r>
      <w:r>
        <w:rPr>
          <w:rFonts w:hint="eastAsia" w:ascii="楷体" w:hAnsi="楷体" w:eastAsia="楷体" w:cs="楷体"/>
          <w:bCs/>
          <w:szCs w:val="24"/>
          <w:lang w:val="zh-CN"/>
        </w:rPr>
        <w:t>（前款所称中标人）</w:t>
      </w:r>
    </w:p>
    <w:p>
      <w:pPr>
        <w:numPr>
          <w:ilvl w:val="0"/>
          <w:numId w:val="5"/>
        </w:numPr>
        <w:tabs>
          <w:tab w:val="left" w:pos="9030"/>
        </w:tabs>
        <w:snapToGrid w:val="0"/>
        <w:spacing w:line="360" w:lineRule="auto"/>
        <w:ind w:firstLine="482" w:firstLineChars="200"/>
        <w:rPr>
          <w:rFonts w:ascii="楷体" w:hAnsi="楷体" w:eastAsia="楷体" w:cs="楷体"/>
          <w:b/>
          <w:szCs w:val="24"/>
          <w:lang w:val="zh-CN"/>
        </w:rPr>
      </w:pPr>
      <w:r>
        <w:rPr>
          <w:rFonts w:hint="eastAsia" w:ascii="楷体" w:hAnsi="楷体" w:eastAsia="楷体" w:cs="楷体"/>
          <w:b/>
          <w:szCs w:val="24"/>
          <w:lang w:val="zh-CN"/>
        </w:rPr>
        <w:t>合同内容</w:t>
      </w:r>
    </w:p>
    <w:p>
      <w:pPr>
        <w:pStyle w:val="3"/>
        <w:ind w:firstLine="480" w:firstLineChars="200"/>
        <w:rPr>
          <w:rFonts w:ascii="楷体" w:hAnsi="楷体" w:eastAsia="楷体" w:cs="楷体"/>
          <w:kern w:val="0"/>
          <w:sz w:val="24"/>
          <w:szCs w:val="24"/>
          <w:u w:val="single"/>
        </w:rPr>
      </w:pPr>
      <w:r>
        <w:rPr>
          <w:rFonts w:hint="eastAsia" w:ascii="楷体" w:hAnsi="楷体" w:eastAsia="楷体" w:cs="楷体"/>
          <w:kern w:val="0"/>
          <w:sz w:val="24"/>
          <w:szCs w:val="24"/>
          <w:lang w:val="zh-CN"/>
        </w:rPr>
        <w:t>项目名称：</w:t>
      </w:r>
      <w:r>
        <w:rPr>
          <w:rFonts w:hint="eastAsia" w:ascii="楷体" w:hAnsi="楷体" w:eastAsia="楷体" w:cs="楷体"/>
          <w:kern w:val="0"/>
          <w:sz w:val="24"/>
          <w:szCs w:val="24"/>
          <w:u w:val="single"/>
        </w:rPr>
        <w:t xml:space="preserve">                                                   </w:t>
      </w:r>
    </w:p>
    <w:p>
      <w:pPr>
        <w:adjustRightInd w:val="0"/>
        <w:snapToGrid w:val="0"/>
        <w:spacing w:line="360" w:lineRule="auto"/>
        <w:ind w:firstLine="480" w:firstLineChars="200"/>
        <w:rPr>
          <w:rFonts w:ascii="楷体" w:hAnsi="楷体" w:eastAsia="楷体" w:cs="楷体"/>
          <w:szCs w:val="24"/>
        </w:rPr>
      </w:pPr>
      <w:r>
        <w:rPr>
          <w:rFonts w:hint="eastAsia" w:ascii="楷体" w:hAnsi="楷体" w:eastAsia="楷体" w:cs="楷体"/>
          <w:szCs w:val="24"/>
        </w:rPr>
        <w:t xml:space="preserve">合同段：  </w:t>
      </w:r>
      <w:r>
        <w:rPr>
          <w:rFonts w:hint="eastAsia" w:ascii="楷体" w:hAnsi="楷体" w:eastAsia="楷体" w:cs="楷体"/>
          <w:szCs w:val="24"/>
          <w:u w:val="single"/>
        </w:rPr>
        <w:t xml:space="preserve">                                                   </w:t>
      </w:r>
      <w:r>
        <w:rPr>
          <w:rFonts w:hint="eastAsia" w:ascii="楷体" w:hAnsi="楷体" w:eastAsia="楷体" w:cs="楷体"/>
          <w:szCs w:val="24"/>
        </w:rPr>
        <w:t xml:space="preserve">                                </w:t>
      </w:r>
    </w:p>
    <w:p>
      <w:pPr>
        <w:adjustRightInd w:val="0"/>
        <w:snapToGrid w:val="0"/>
        <w:spacing w:line="360" w:lineRule="auto"/>
        <w:ind w:firstLine="480" w:firstLineChars="200"/>
        <w:rPr>
          <w:rFonts w:ascii="楷体" w:hAnsi="楷体" w:eastAsia="楷体" w:cs="楷体"/>
          <w:szCs w:val="24"/>
          <w:u w:val="single"/>
        </w:rPr>
      </w:pPr>
      <w:r>
        <w:rPr>
          <w:rFonts w:hint="eastAsia" w:ascii="楷体" w:hAnsi="楷体" w:eastAsia="楷体" w:cs="楷体"/>
          <w:szCs w:val="24"/>
        </w:rPr>
        <w:t>主要内容：</w:t>
      </w:r>
      <w:r>
        <w:rPr>
          <w:rFonts w:hint="eastAsia" w:ascii="楷体" w:hAnsi="楷体" w:eastAsia="楷体" w:cs="楷体"/>
          <w:szCs w:val="24"/>
          <w:u w:val="single"/>
        </w:rPr>
        <w:t xml:space="preserve">                                                   </w:t>
      </w:r>
    </w:p>
    <w:p>
      <w:pPr>
        <w:tabs>
          <w:tab w:val="left" w:pos="9030"/>
        </w:tabs>
        <w:snapToGrid w:val="0"/>
        <w:spacing w:line="360" w:lineRule="auto"/>
        <w:ind w:firstLine="482" w:firstLineChars="200"/>
        <w:rPr>
          <w:rFonts w:ascii="楷体" w:hAnsi="楷体" w:eastAsia="楷体" w:cs="楷体"/>
          <w:b/>
          <w:szCs w:val="24"/>
          <w:lang w:val="zh-CN"/>
        </w:rPr>
      </w:pPr>
      <w:r>
        <w:rPr>
          <w:rFonts w:hint="eastAsia" w:ascii="楷体" w:hAnsi="楷体" w:eastAsia="楷体" w:cs="楷体"/>
          <w:b/>
          <w:szCs w:val="24"/>
          <w:lang w:val="zh-CN"/>
        </w:rPr>
        <w:t>二、合同价款</w:t>
      </w:r>
    </w:p>
    <w:p>
      <w:pPr>
        <w:adjustRightInd w:val="0"/>
        <w:snapToGrid w:val="0"/>
        <w:spacing w:line="360" w:lineRule="auto"/>
        <w:ind w:firstLine="480" w:firstLineChars="200"/>
        <w:rPr>
          <w:rFonts w:ascii="楷体" w:hAnsi="楷体" w:eastAsia="楷体" w:cs="楷体"/>
          <w:szCs w:val="24"/>
        </w:rPr>
      </w:pPr>
      <w:r>
        <w:rPr>
          <w:rFonts w:hint="eastAsia" w:ascii="楷体" w:hAnsi="楷体" w:eastAsia="楷体" w:cs="楷体"/>
          <w:szCs w:val="24"/>
        </w:rPr>
        <w:t>1.合同总价：</w:t>
      </w:r>
      <w:r>
        <w:rPr>
          <w:rFonts w:hint="eastAsia" w:ascii="楷体" w:hAnsi="楷体" w:eastAsia="楷体" w:cs="楷体"/>
          <w:szCs w:val="24"/>
          <w:u w:val="single"/>
        </w:rPr>
        <w:t xml:space="preserve"> 人民币大写：        小写：         元          </w:t>
      </w:r>
    </w:p>
    <w:p>
      <w:pPr>
        <w:adjustRightInd w:val="0"/>
        <w:snapToGrid w:val="0"/>
        <w:spacing w:line="360" w:lineRule="auto"/>
        <w:ind w:firstLine="480" w:firstLineChars="200"/>
        <w:rPr>
          <w:rFonts w:ascii="楷体" w:hAnsi="楷体" w:eastAsia="楷体" w:cs="楷体"/>
          <w:szCs w:val="24"/>
        </w:rPr>
      </w:pPr>
      <w:r>
        <w:rPr>
          <w:rFonts w:hint="eastAsia" w:ascii="楷体" w:hAnsi="楷体" w:eastAsia="楷体" w:cs="楷体"/>
          <w:szCs w:val="24"/>
        </w:rPr>
        <w:t>2.合同总价是完成本项目招标内容所需的全部费用，包括但不限于设备费、安装工程费、运营维护费等。</w:t>
      </w:r>
    </w:p>
    <w:p>
      <w:pPr>
        <w:adjustRightInd w:val="0"/>
        <w:snapToGrid w:val="0"/>
        <w:spacing w:line="360" w:lineRule="auto"/>
        <w:ind w:firstLine="480" w:firstLineChars="200"/>
        <w:rPr>
          <w:rFonts w:ascii="楷体" w:hAnsi="楷体" w:eastAsia="楷体" w:cs="楷体"/>
          <w:szCs w:val="24"/>
        </w:rPr>
      </w:pPr>
      <w:r>
        <w:rPr>
          <w:rFonts w:hint="eastAsia" w:ascii="楷体" w:hAnsi="楷体" w:eastAsia="楷体" w:cs="楷体"/>
          <w:szCs w:val="24"/>
        </w:rPr>
        <w:t>3.合同总价为固定总价，不受市场价变化的影响。</w:t>
      </w:r>
    </w:p>
    <w:p>
      <w:pPr>
        <w:tabs>
          <w:tab w:val="left" w:pos="9030"/>
        </w:tabs>
        <w:snapToGrid w:val="0"/>
        <w:spacing w:line="360" w:lineRule="auto"/>
        <w:ind w:firstLine="482" w:firstLineChars="200"/>
        <w:rPr>
          <w:rFonts w:ascii="楷体" w:hAnsi="楷体" w:eastAsia="楷体" w:cs="楷体"/>
          <w:b/>
          <w:szCs w:val="24"/>
          <w:lang w:val="zh-CN"/>
        </w:rPr>
      </w:pPr>
      <w:r>
        <w:rPr>
          <w:rFonts w:hint="eastAsia" w:ascii="楷体" w:hAnsi="楷体" w:eastAsia="楷体" w:cs="楷体"/>
          <w:b/>
          <w:szCs w:val="24"/>
          <w:lang w:val="zh-CN"/>
        </w:rPr>
        <w:t>三、合同结算</w:t>
      </w:r>
    </w:p>
    <w:p>
      <w:pPr>
        <w:adjustRightInd w:val="0"/>
        <w:snapToGrid w:val="0"/>
        <w:spacing w:line="360" w:lineRule="auto"/>
        <w:ind w:firstLine="480" w:firstLineChars="200"/>
        <w:rPr>
          <w:rFonts w:ascii="楷体" w:hAnsi="楷体" w:eastAsia="楷体" w:cs="楷体"/>
          <w:szCs w:val="24"/>
        </w:rPr>
      </w:pPr>
      <w:r>
        <w:rPr>
          <w:rFonts w:hint="eastAsia" w:ascii="楷体" w:hAnsi="楷体" w:eastAsia="楷体" w:cs="楷体"/>
          <w:szCs w:val="24"/>
        </w:rPr>
        <w:t>1.付款方式</w:t>
      </w:r>
    </w:p>
    <w:p>
      <w:pPr>
        <w:adjustRightInd w:val="0"/>
        <w:snapToGrid w:val="0"/>
        <w:spacing w:line="360" w:lineRule="auto"/>
        <w:ind w:firstLine="480" w:firstLineChars="200"/>
        <w:rPr>
          <w:rFonts w:ascii="楷体" w:hAnsi="楷体" w:eastAsia="楷体" w:cs="楷体"/>
          <w:szCs w:val="24"/>
        </w:rPr>
      </w:pPr>
      <w:r>
        <w:rPr>
          <w:rFonts w:hint="eastAsia" w:ascii="楷体" w:hAnsi="楷体" w:eastAsia="楷体" w:cs="楷体"/>
          <w:szCs w:val="24"/>
        </w:rPr>
        <w:t>1.1项目建设完成，试运行三个月后并经初验合格后开始起，</w:t>
      </w:r>
      <w:r>
        <w:rPr>
          <w:rFonts w:ascii="楷体" w:hAnsi="楷体" w:eastAsia="楷体" w:cs="楷体"/>
          <w:szCs w:val="24"/>
        </w:rPr>
        <w:t>采购单位根据服务实施情况及资金到位情况分年分期支付，合同价款不计息</w:t>
      </w:r>
      <w:r>
        <w:rPr>
          <w:rFonts w:hint="eastAsia" w:ascii="楷体" w:hAnsi="楷体" w:eastAsia="楷体" w:cs="楷体"/>
          <w:szCs w:val="24"/>
        </w:rPr>
        <w:t>。</w:t>
      </w:r>
    </w:p>
    <w:p>
      <w:pPr>
        <w:adjustRightInd w:val="0"/>
        <w:snapToGrid w:val="0"/>
        <w:spacing w:line="360" w:lineRule="auto"/>
        <w:ind w:firstLine="480" w:firstLineChars="200"/>
        <w:rPr>
          <w:rFonts w:ascii="楷体" w:hAnsi="楷体" w:eastAsia="楷体" w:cs="楷体"/>
          <w:szCs w:val="24"/>
        </w:rPr>
      </w:pPr>
      <w:r>
        <w:rPr>
          <w:rFonts w:hint="eastAsia" w:ascii="楷体" w:hAnsi="楷体" w:eastAsia="楷体" w:cs="楷体"/>
          <w:szCs w:val="24"/>
        </w:rPr>
        <w:t>1.2终验合格后支付最后一次合同价款。</w:t>
      </w:r>
    </w:p>
    <w:p>
      <w:pPr>
        <w:adjustRightInd w:val="0"/>
        <w:snapToGrid w:val="0"/>
        <w:spacing w:line="360" w:lineRule="auto"/>
        <w:ind w:firstLine="480" w:firstLineChars="200"/>
        <w:rPr>
          <w:rFonts w:ascii="楷体" w:hAnsi="楷体" w:eastAsia="楷体" w:cs="楷体"/>
          <w:szCs w:val="24"/>
        </w:rPr>
      </w:pPr>
      <w:r>
        <w:rPr>
          <w:rFonts w:hint="eastAsia" w:ascii="楷体" w:hAnsi="楷体" w:eastAsia="楷体" w:cs="楷体"/>
          <w:szCs w:val="24"/>
        </w:rPr>
        <w:t>2.结算方式：银行转账。</w:t>
      </w:r>
    </w:p>
    <w:p>
      <w:pPr>
        <w:adjustRightInd w:val="0"/>
        <w:snapToGrid w:val="0"/>
        <w:spacing w:line="360" w:lineRule="auto"/>
        <w:ind w:firstLine="480" w:firstLineChars="200"/>
        <w:rPr>
          <w:rFonts w:ascii="楷体" w:hAnsi="楷体" w:eastAsia="楷体" w:cs="楷体"/>
          <w:szCs w:val="24"/>
        </w:rPr>
      </w:pPr>
      <w:r>
        <w:rPr>
          <w:rFonts w:hint="eastAsia" w:ascii="楷体" w:hAnsi="楷体" w:eastAsia="楷体" w:cs="楷体"/>
          <w:szCs w:val="24"/>
        </w:rPr>
        <w:t>3.结算单位：由甲方负责结算，乙方开具与当期支付款项额度等额发票交采购人。</w:t>
      </w:r>
    </w:p>
    <w:p>
      <w:pPr>
        <w:adjustRightInd w:val="0"/>
        <w:snapToGrid w:val="0"/>
        <w:spacing w:line="360" w:lineRule="auto"/>
        <w:ind w:firstLine="480" w:firstLineChars="200"/>
        <w:rPr>
          <w:rFonts w:ascii="楷体" w:hAnsi="楷体" w:eastAsia="楷体" w:cs="楷体"/>
          <w:szCs w:val="24"/>
        </w:rPr>
      </w:pPr>
      <w:r>
        <w:rPr>
          <w:rFonts w:hint="eastAsia" w:ascii="楷体" w:hAnsi="楷体" w:eastAsia="楷体" w:cs="楷体"/>
          <w:szCs w:val="24"/>
        </w:rPr>
        <w:t>4.履约保证金：要求提供，履约保证金金额为合同金额的10%。</w:t>
      </w:r>
    </w:p>
    <w:p>
      <w:pPr>
        <w:adjustRightInd w:val="0"/>
        <w:snapToGrid w:val="0"/>
        <w:spacing w:line="360" w:lineRule="auto"/>
        <w:ind w:firstLine="480" w:firstLineChars="200"/>
        <w:rPr>
          <w:rFonts w:ascii="楷体" w:hAnsi="楷体" w:eastAsia="楷体" w:cs="楷体"/>
          <w:szCs w:val="24"/>
          <w:lang w:val="zh-CN"/>
        </w:rPr>
      </w:pPr>
      <w:r>
        <w:rPr>
          <w:rFonts w:hint="eastAsia" w:ascii="楷体" w:hAnsi="楷体" w:eastAsia="楷体" w:cs="楷体"/>
          <w:szCs w:val="24"/>
        </w:rPr>
        <w:t>4.1</w:t>
      </w:r>
      <w:r>
        <w:rPr>
          <w:rFonts w:hint="eastAsia" w:ascii="楷体" w:hAnsi="楷体" w:eastAsia="楷体" w:cs="楷体"/>
          <w:szCs w:val="24"/>
          <w:lang w:val="zh-CN"/>
        </w:rPr>
        <w:t>中标人须在领取中标通知书后五个工作日内向采购人支付合同总价款的10%作为履约保证金。采购人于验收合格之日起退还履约保证金给中标人。</w:t>
      </w:r>
    </w:p>
    <w:p>
      <w:pPr>
        <w:adjustRightInd w:val="0"/>
        <w:snapToGrid w:val="0"/>
        <w:spacing w:line="360" w:lineRule="auto"/>
        <w:ind w:firstLine="480" w:firstLineChars="200"/>
        <w:rPr>
          <w:rFonts w:ascii="楷体" w:hAnsi="楷体" w:eastAsia="楷体" w:cs="楷体"/>
          <w:szCs w:val="24"/>
          <w:lang w:val="zh-CN"/>
        </w:rPr>
      </w:pPr>
      <w:r>
        <w:rPr>
          <w:rFonts w:hint="eastAsia" w:ascii="楷体" w:hAnsi="楷体" w:eastAsia="楷体" w:cs="楷体"/>
          <w:szCs w:val="24"/>
        </w:rPr>
        <w:t>4.2</w:t>
      </w:r>
      <w:r>
        <w:rPr>
          <w:rFonts w:hint="eastAsia" w:ascii="楷体" w:hAnsi="楷体" w:eastAsia="楷体" w:cs="楷体"/>
          <w:szCs w:val="24"/>
          <w:lang w:val="zh-CN"/>
        </w:rPr>
        <w:t>中标人不履行与采购人订立的合同或未经采购人允许将项目内容擅自以任何形式进行分包、转包的，履约保证金不予退还。</w:t>
      </w:r>
    </w:p>
    <w:p>
      <w:pPr>
        <w:adjustRightInd w:val="0"/>
        <w:snapToGrid w:val="0"/>
        <w:spacing w:line="360" w:lineRule="auto"/>
        <w:ind w:firstLine="480" w:firstLineChars="200"/>
        <w:rPr>
          <w:rFonts w:ascii="楷体" w:hAnsi="楷体" w:eastAsia="楷体" w:cs="楷体"/>
          <w:szCs w:val="24"/>
          <w:lang w:val="zh-CN"/>
        </w:rPr>
      </w:pPr>
      <w:r>
        <w:rPr>
          <w:rFonts w:hint="eastAsia" w:ascii="楷体" w:hAnsi="楷体" w:eastAsia="楷体" w:cs="楷体"/>
          <w:szCs w:val="24"/>
        </w:rPr>
        <w:t>4.3</w:t>
      </w:r>
      <w:r>
        <w:rPr>
          <w:rFonts w:hint="eastAsia" w:ascii="楷体" w:hAnsi="楷体" w:eastAsia="楷体" w:cs="楷体"/>
          <w:szCs w:val="24"/>
          <w:lang w:val="zh-CN"/>
        </w:rPr>
        <w:t>履约保证金缴纳形式：以支票、汇票、本票等非现金形式提交。</w:t>
      </w:r>
    </w:p>
    <w:p>
      <w:pPr>
        <w:tabs>
          <w:tab w:val="left" w:pos="9030"/>
        </w:tabs>
        <w:snapToGrid w:val="0"/>
        <w:spacing w:line="360" w:lineRule="auto"/>
        <w:ind w:firstLine="482" w:firstLineChars="200"/>
        <w:rPr>
          <w:rFonts w:ascii="楷体" w:hAnsi="楷体" w:eastAsia="楷体" w:cs="楷体"/>
          <w:b/>
          <w:szCs w:val="24"/>
          <w:lang w:val="zh-CN"/>
        </w:rPr>
      </w:pPr>
      <w:r>
        <w:rPr>
          <w:rFonts w:hint="eastAsia" w:ascii="楷体" w:hAnsi="楷体" w:eastAsia="楷体" w:cs="楷体"/>
          <w:b/>
          <w:szCs w:val="24"/>
          <w:lang w:val="zh-CN"/>
        </w:rPr>
        <w:t>四、交货条件</w:t>
      </w:r>
    </w:p>
    <w:p>
      <w:pPr>
        <w:adjustRightInd w:val="0"/>
        <w:snapToGrid w:val="0"/>
        <w:spacing w:line="360" w:lineRule="auto"/>
        <w:ind w:firstLine="480" w:firstLineChars="200"/>
        <w:rPr>
          <w:rFonts w:ascii="楷体" w:hAnsi="楷体" w:eastAsia="楷体" w:cs="楷体"/>
          <w:szCs w:val="24"/>
        </w:rPr>
      </w:pPr>
      <w:r>
        <w:rPr>
          <w:rFonts w:hint="eastAsia" w:ascii="楷体" w:hAnsi="楷体" w:eastAsia="楷体" w:cs="楷体"/>
          <w:szCs w:val="24"/>
        </w:rPr>
        <w:t>1.交付地点：甲方指定地点</w:t>
      </w:r>
    </w:p>
    <w:p>
      <w:pPr>
        <w:adjustRightInd w:val="0"/>
        <w:snapToGrid w:val="0"/>
        <w:spacing w:line="360" w:lineRule="auto"/>
        <w:ind w:firstLine="480" w:firstLineChars="200"/>
        <w:rPr>
          <w:rFonts w:ascii="楷体" w:hAnsi="楷体" w:eastAsia="楷体" w:cs="楷体"/>
          <w:szCs w:val="24"/>
        </w:rPr>
      </w:pPr>
      <w:r>
        <w:rPr>
          <w:rFonts w:hint="eastAsia" w:ascii="楷体" w:hAnsi="楷体" w:eastAsia="楷体" w:cs="楷体"/>
          <w:szCs w:val="24"/>
        </w:rPr>
        <w:t>2.项目建设期：合同签订后150日历天；</w:t>
      </w:r>
    </w:p>
    <w:p>
      <w:pPr>
        <w:adjustRightInd w:val="0"/>
        <w:snapToGrid w:val="0"/>
        <w:spacing w:line="360" w:lineRule="auto"/>
        <w:ind w:firstLine="720" w:firstLineChars="300"/>
        <w:rPr>
          <w:rFonts w:ascii="楷体" w:hAnsi="楷体" w:eastAsia="楷体" w:cs="楷体"/>
          <w:szCs w:val="24"/>
        </w:rPr>
      </w:pPr>
      <w:r>
        <w:rPr>
          <w:rFonts w:hint="eastAsia" w:ascii="楷体" w:hAnsi="楷体" w:eastAsia="楷体" w:cs="楷体"/>
          <w:szCs w:val="24"/>
        </w:rPr>
        <w:t>项目质保期：初验合格之日起硬件设备3年，软件5年；</w:t>
      </w:r>
    </w:p>
    <w:p>
      <w:pPr>
        <w:adjustRightInd w:val="0"/>
        <w:snapToGrid w:val="0"/>
        <w:spacing w:line="360" w:lineRule="auto"/>
        <w:ind w:firstLine="482" w:firstLineChars="200"/>
        <w:rPr>
          <w:rFonts w:ascii="楷体" w:hAnsi="楷体" w:eastAsia="楷体" w:cs="楷体"/>
          <w:b/>
          <w:szCs w:val="24"/>
        </w:rPr>
      </w:pPr>
      <w:r>
        <w:rPr>
          <w:rFonts w:hint="eastAsia" w:ascii="楷体" w:hAnsi="楷体" w:eastAsia="楷体" w:cs="楷体"/>
          <w:b/>
          <w:szCs w:val="24"/>
        </w:rPr>
        <w:t>五、质量保证与售后服务</w:t>
      </w:r>
    </w:p>
    <w:p>
      <w:pPr>
        <w:spacing w:line="360" w:lineRule="auto"/>
        <w:ind w:firstLine="480" w:firstLineChars="200"/>
        <w:jc w:val="left"/>
        <w:rPr>
          <w:rFonts w:ascii="楷体" w:hAnsi="楷体" w:eastAsia="楷体" w:cs="楷体"/>
          <w:szCs w:val="24"/>
        </w:rPr>
      </w:pPr>
      <w:r>
        <w:rPr>
          <w:rFonts w:hint="eastAsia" w:ascii="楷体" w:hAnsi="楷体" w:eastAsia="楷体" w:cs="楷体"/>
          <w:szCs w:val="24"/>
        </w:rPr>
        <w:t>1.投标人提供的产品及材料必须为原厂正品，保证质量可靠，为市场最新或主流产品，进货渠道正常，配置合理齐全，应全面满足招标文件的要求，招标文件未明确要求的内容，供应商须按招标产品主流标准配置或以采购人的补充要求为准。所供产品工艺质量应严格按国家最新发布的规范标准执行，如发生质量问题由投标人承担全部责任。</w:t>
      </w:r>
    </w:p>
    <w:p>
      <w:pPr>
        <w:spacing w:line="360" w:lineRule="auto"/>
        <w:ind w:firstLine="480" w:firstLineChars="200"/>
        <w:jc w:val="left"/>
        <w:rPr>
          <w:rFonts w:ascii="楷体" w:hAnsi="楷体" w:eastAsia="楷体" w:cs="楷体"/>
          <w:szCs w:val="24"/>
        </w:rPr>
      </w:pPr>
      <w:r>
        <w:rPr>
          <w:rFonts w:hint="eastAsia" w:ascii="楷体" w:hAnsi="楷体" w:eastAsia="楷体" w:cs="楷体"/>
          <w:szCs w:val="24"/>
        </w:rPr>
        <w:t>2.投标人应保证所有产品的完好无损包括配套包装，如有缺漏、损坏，由供应商负责调换、补齐或赔偿。</w:t>
      </w:r>
    </w:p>
    <w:p>
      <w:pPr>
        <w:spacing w:line="360" w:lineRule="auto"/>
        <w:ind w:firstLine="480" w:firstLineChars="200"/>
        <w:jc w:val="left"/>
        <w:rPr>
          <w:rFonts w:ascii="楷体" w:hAnsi="楷体" w:eastAsia="楷体" w:cs="楷体"/>
          <w:szCs w:val="24"/>
        </w:rPr>
      </w:pPr>
      <w:r>
        <w:rPr>
          <w:rFonts w:hint="eastAsia" w:ascii="楷体" w:hAnsi="楷体" w:eastAsia="楷体" w:cs="楷体"/>
          <w:szCs w:val="24"/>
        </w:rPr>
        <w:t>3.供方必须严格按照需方要求和国家颁布的有关技术规范标准提供货物。</w:t>
      </w:r>
    </w:p>
    <w:p>
      <w:pPr>
        <w:spacing w:line="360" w:lineRule="auto"/>
        <w:ind w:firstLine="480" w:firstLineChars="200"/>
        <w:jc w:val="left"/>
        <w:rPr>
          <w:rFonts w:ascii="楷体" w:hAnsi="楷体" w:eastAsia="楷体" w:cs="楷体"/>
          <w:szCs w:val="24"/>
        </w:rPr>
      </w:pPr>
      <w:r>
        <w:rPr>
          <w:rFonts w:hint="eastAsia" w:ascii="楷体" w:hAnsi="楷体" w:eastAsia="楷体" w:cs="楷体"/>
          <w:szCs w:val="24"/>
        </w:rPr>
        <w:t>4.乙方提供的货物经过双方验收合格之日起按招标文件要求进行免费保修服务及软件升级、运营维护等服务。</w:t>
      </w:r>
    </w:p>
    <w:p>
      <w:pPr>
        <w:spacing w:line="360" w:lineRule="auto"/>
        <w:ind w:firstLine="480" w:firstLineChars="200"/>
        <w:jc w:val="left"/>
        <w:rPr>
          <w:rFonts w:ascii="楷体" w:hAnsi="楷体" w:eastAsia="楷体" w:cs="楷体"/>
          <w:szCs w:val="24"/>
        </w:rPr>
      </w:pPr>
      <w:r>
        <w:rPr>
          <w:rFonts w:hint="eastAsia" w:ascii="楷体" w:hAnsi="楷体" w:eastAsia="楷体" w:cs="楷体"/>
          <w:szCs w:val="24"/>
        </w:rPr>
        <w:t>5.乙方在接到用户对所涉及设备进行维修的要求后，应在24小时内给予答复，并派出合格的维修人员在2个工作日内到用户现场进行维修服务。若因设备质量造成损害，全部费用由乙方承担，若需将产品送回生产厂，乙方还应承担维修设备所需的往返费用。</w:t>
      </w:r>
    </w:p>
    <w:p>
      <w:pPr>
        <w:spacing w:line="360" w:lineRule="auto"/>
        <w:ind w:firstLine="480" w:firstLineChars="200"/>
        <w:jc w:val="left"/>
        <w:rPr>
          <w:rFonts w:ascii="楷体" w:hAnsi="楷体" w:eastAsia="楷体" w:cs="楷体"/>
          <w:szCs w:val="24"/>
        </w:rPr>
      </w:pPr>
      <w:r>
        <w:rPr>
          <w:rFonts w:hint="eastAsia" w:ascii="楷体" w:hAnsi="楷体" w:eastAsia="楷体" w:cs="楷体"/>
          <w:szCs w:val="24"/>
        </w:rPr>
        <w:t>6.项目验收合格之日开始质保（包含但不限于运营维护、软件升级等）。</w:t>
      </w:r>
    </w:p>
    <w:p>
      <w:pPr>
        <w:adjustRightInd w:val="0"/>
        <w:snapToGrid w:val="0"/>
        <w:spacing w:line="360" w:lineRule="auto"/>
        <w:ind w:firstLine="480" w:firstLineChars="200"/>
        <w:rPr>
          <w:rFonts w:ascii="楷体" w:hAnsi="楷体" w:eastAsia="楷体" w:cs="楷体"/>
          <w:szCs w:val="24"/>
        </w:rPr>
      </w:pPr>
      <w:r>
        <w:rPr>
          <w:rFonts w:hint="eastAsia" w:ascii="楷体" w:hAnsi="楷体" w:eastAsia="楷体" w:cs="楷体"/>
          <w:szCs w:val="24"/>
        </w:rPr>
        <w:t>7.包装要求</w:t>
      </w:r>
    </w:p>
    <w:p>
      <w:pPr>
        <w:adjustRightInd w:val="0"/>
        <w:snapToGrid w:val="0"/>
        <w:spacing w:line="360" w:lineRule="auto"/>
        <w:ind w:firstLine="480" w:firstLineChars="200"/>
        <w:rPr>
          <w:rFonts w:ascii="楷体" w:hAnsi="楷体" w:eastAsia="楷体" w:cs="楷体"/>
          <w:szCs w:val="24"/>
        </w:rPr>
      </w:pPr>
      <w:r>
        <w:rPr>
          <w:rFonts w:hint="eastAsia" w:ascii="楷体" w:hAnsi="楷体" w:eastAsia="楷体" w:cs="楷体"/>
          <w:szCs w:val="24"/>
        </w:rPr>
        <w:t>7.1除合同另有规定外，乙方提供的全部货物，均应按标准保护措施进行包装，并确保货物安全无损运抵甲方指定地点。</w:t>
      </w:r>
    </w:p>
    <w:p>
      <w:pPr>
        <w:adjustRightInd w:val="0"/>
        <w:snapToGrid w:val="0"/>
        <w:spacing w:line="360" w:lineRule="auto"/>
        <w:ind w:firstLine="480" w:firstLineChars="200"/>
        <w:rPr>
          <w:rFonts w:ascii="楷体" w:hAnsi="楷体" w:eastAsia="楷体" w:cs="楷体"/>
          <w:szCs w:val="24"/>
        </w:rPr>
      </w:pPr>
      <w:r>
        <w:rPr>
          <w:rFonts w:hint="eastAsia" w:ascii="楷体" w:hAnsi="楷体" w:eastAsia="楷体" w:cs="楷体"/>
          <w:szCs w:val="24"/>
        </w:rPr>
        <w:t>7.2每一个包装箱内应附一份详细装箱单和质量合格证。</w:t>
      </w:r>
    </w:p>
    <w:p>
      <w:pPr>
        <w:adjustRightInd w:val="0"/>
        <w:snapToGrid w:val="0"/>
        <w:spacing w:line="360" w:lineRule="auto"/>
        <w:ind w:firstLine="480" w:firstLineChars="200"/>
        <w:rPr>
          <w:rFonts w:ascii="楷体" w:hAnsi="楷体" w:eastAsia="楷体" w:cs="楷体"/>
          <w:szCs w:val="24"/>
        </w:rPr>
      </w:pPr>
      <w:r>
        <w:rPr>
          <w:rFonts w:hint="eastAsia" w:ascii="楷体" w:hAnsi="楷体" w:eastAsia="楷体" w:cs="楷体"/>
          <w:szCs w:val="24"/>
        </w:rPr>
        <w:t>8.乙方应保证甲方在使用该货物或其任何一部分时免受第三方提出侵犯其专利权、商标权或工业设计权的起诉。</w:t>
      </w:r>
    </w:p>
    <w:p>
      <w:pPr>
        <w:adjustRightInd w:val="0"/>
        <w:snapToGrid w:val="0"/>
        <w:spacing w:line="360" w:lineRule="auto"/>
        <w:ind w:firstLine="480" w:firstLineChars="200"/>
        <w:rPr>
          <w:rFonts w:ascii="楷体" w:hAnsi="楷体" w:eastAsia="楷体" w:cs="楷体"/>
          <w:szCs w:val="24"/>
        </w:rPr>
      </w:pPr>
      <w:r>
        <w:rPr>
          <w:rFonts w:hint="eastAsia" w:ascii="楷体" w:hAnsi="楷体" w:eastAsia="楷体" w:cs="楷体"/>
          <w:szCs w:val="24"/>
        </w:rPr>
        <w:t>以上最终以实际合同为准。</w:t>
      </w:r>
    </w:p>
    <w:p>
      <w:pPr>
        <w:adjustRightInd w:val="0"/>
        <w:snapToGrid w:val="0"/>
        <w:spacing w:line="360" w:lineRule="auto"/>
        <w:ind w:firstLine="482" w:firstLineChars="200"/>
        <w:rPr>
          <w:rFonts w:ascii="楷体" w:hAnsi="楷体" w:eastAsia="楷体" w:cs="楷体"/>
          <w:b/>
          <w:szCs w:val="24"/>
        </w:rPr>
      </w:pPr>
      <w:r>
        <w:rPr>
          <w:rFonts w:hint="eastAsia" w:ascii="楷体" w:hAnsi="楷体" w:eastAsia="楷体" w:cs="楷体"/>
          <w:b/>
          <w:szCs w:val="24"/>
        </w:rPr>
        <w:t>六、技术服务</w:t>
      </w:r>
    </w:p>
    <w:p>
      <w:pPr>
        <w:adjustRightInd w:val="0"/>
        <w:snapToGrid w:val="0"/>
        <w:spacing w:line="360" w:lineRule="auto"/>
        <w:ind w:firstLine="480" w:firstLineChars="200"/>
        <w:rPr>
          <w:rFonts w:ascii="楷体" w:hAnsi="楷体" w:eastAsia="楷体" w:cs="楷体"/>
          <w:szCs w:val="24"/>
        </w:rPr>
      </w:pPr>
      <w:r>
        <w:rPr>
          <w:rFonts w:hint="eastAsia" w:ascii="楷体" w:hAnsi="楷体" w:eastAsia="楷体" w:cs="楷体"/>
          <w:szCs w:val="24"/>
        </w:rPr>
        <w:t>1.对技术服务的要求：乙方应随同货物提供相应的中文技术文件(包括产品合格证、装箱清单、操作手册、使用说明、检测报告、维护手册、服务指南等资料)，现场安装、调试、试运行技术保障服务。</w:t>
      </w:r>
    </w:p>
    <w:p>
      <w:pPr>
        <w:adjustRightInd w:val="0"/>
        <w:snapToGrid w:val="0"/>
        <w:spacing w:line="360" w:lineRule="auto"/>
        <w:ind w:firstLine="480" w:firstLineChars="200"/>
        <w:rPr>
          <w:rFonts w:ascii="楷体" w:hAnsi="楷体" w:eastAsia="楷体" w:cs="楷体"/>
          <w:szCs w:val="24"/>
        </w:rPr>
      </w:pPr>
      <w:r>
        <w:rPr>
          <w:rFonts w:hint="eastAsia" w:ascii="楷体" w:hAnsi="楷体" w:eastAsia="楷体" w:cs="楷体"/>
          <w:szCs w:val="24"/>
        </w:rPr>
        <w:t>1.1驻场人员：乙方需根据项目需求提供不少于</w:t>
      </w:r>
      <w:r>
        <w:rPr>
          <w:rFonts w:hint="eastAsia" w:ascii="楷体" w:hAnsi="楷体" w:eastAsia="楷体" w:cs="楷体"/>
          <w:szCs w:val="24"/>
          <w:u w:val="single"/>
        </w:rPr>
        <w:t>3名</w:t>
      </w:r>
      <w:r>
        <w:rPr>
          <w:rFonts w:hint="eastAsia" w:ascii="楷体" w:hAnsi="楷体" w:eastAsia="楷体" w:cs="楷体"/>
          <w:szCs w:val="24"/>
        </w:rPr>
        <w:t>的驻场技术支撑人员。</w:t>
      </w:r>
    </w:p>
    <w:p>
      <w:pPr>
        <w:adjustRightInd w:val="0"/>
        <w:snapToGrid w:val="0"/>
        <w:spacing w:line="360" w:lineRule="auto"/>
        <w:ind w:firstLine="480" w:firstLineChars="200"/>
        <w:rPr>
          <w:rFonts w:ascii="楷体" w:hAnsi="楷体" w:eastAsia="楷体" w:cs="楷体"/>
          <w:szCs w:val="24"/>
        </w:rPr>
      </w:pPr>
      <w:r>
        <w:rPr>
          <w:rFonts w:hint="eastAsia" w:ascii="楷体" w:hAnsi="楷体" w:eastAsia="楷体" w:cs="楷体"/>
          <w:szCs w:val="24"/>
        </w:rPr>
        <w:t>2.技术资料：</w:t>
      </w:r>
    </w:p>
    <w:p>
      <w:pPr>
        <w:adjustRightInd w:val="0"/>
        <w:snapToGrid w:val="0"/>
        <w:spacing w:line="360" w:lineRule="auto"/>
        <w:ind w:firstLine="480" w:firstLineChars="200"/>
        <w:rPr>
          <w:rFonts w:ascii="楷体" w:hAnsi="楷体" w:eastAsia="楷体" w:cs="楷体"/>
          <w:szCs w:val="24"/>
        </w:rPr>
      </w:pPr>
      <w:r>
        <w:rPr>
          <w:rFonts w:hint="eastAsia" w:ascii="楷体" w:hAnsi="楷体" w:eastAsia="楷体" w:cs="楷体"/>
          <w:szCs w:val="24"/>
        </w:rPr>
        <w:t>2.1产品合格证及检验报告；</w:t>
      </w:r>
    </w:p>
    <w:p>
      <w:pPr>
        <w:adjustRightInd w:val="0"/>
        <w:snapToGrid w:val="0"/>
        <w:spacing w:line="360" w:lineRule="auto"/>
        <w:ind w:firstLine="480" w:firstLineChars="200"/>
        <w:rPr>
          <w:rFonts w:ascii="楷体" w:hAnsi="楷体" w:eastAsia="楷体" w:cs="楷体"/>
          <w:szCs w:val="24"/>
        </w:rPr>
      </w:pPr>
      <w:r>
        <w:rPr>
          <w:rFonts w:hint="eastAsia" w:ascii="楷体" w:hAnsi="楷体" w:eastAsia="楷体" w:cs="楷体"/>
          <w:szCs w:val="24"/>
        </w:rPr>
        <w:t>2.2产品使用说明书（中文）；</w:t>
      </w:r>
    </w:p>
    <w:p>
      <w:pPr>
        <w:adjustRightInd w:val="0"/>
        <w:snapToGrid w:val="0"/>
        <w:spacing w:line="360" w:lineRule="auto"/>
        <w:ind w:firstLine="480" w:firstLineChars="200"/>
        <w:rPr>
          <w:rFonts w:ascii="楷体" w:hAnsi="楷体" w:eastAsia="楷体" w:cs="楷体"/>
          <w:szCs w:val="24"/>
        </w:rPr>
      </w:pPr>
      <w:r>
        <w:rPr>
          <w:rFonts w:hint="eastAsia" w:ascii="楷体" w:hAnsi="楷体" w:eastAsia="楷体" w:cs="楷体"/>
          <w:szCs w:val="24"/>
        </w:rPr>
        <w:t>2.4其它资料。</w:t>
      </w:r>
    </w:p>
    <w:p>
      <w:pPr>
        <w:adjustRightInd w:val="0"/>
        <w:snapToGrid w:val="0"/>
        <w:spacing w:line="360" w:lineRule="auto"/>
        <w:ind w:firstLine="480" w:firstLineChars="200"/>
        <w:rPr>
          <w:rFonts w:ascii="楷体" w:hAnsi="楷体" w:eastAsia="楷体" w:cs="楷体"/>
          <w:szCs w:val="24"/>
        </w:rPr>
      </w:pPr>
      <w:r>
        <w:rPr>
          <w:rFonts w:hint="eastAsia" w:ascii="楷体" w:hAnsi="楷体" w:eastAsia="楷体" w:cs="楷体"/>
          <w:szCs w:val="24"/>
        </w:rPr>
        <w:t>3.伴随服务</w:t>
      </w:r>
    </w:p>
    <w:p>
      <w:pPr>
        <w:adjustRightInd w:val="0"/>
        <w:snapToGrid w:val="0"/>
        <w:spacing w:line="360" w:lineRule="auto"/>
        <w:ind w:firstLine="480" w:firstLineChars="200"/>
        <w:rPr>
          <w:rFonts w:ascii="楷体" w:hAnsi="楷体" w:eastAsia="楷体" w:cs="楷体"/>
          <w:szCs w:val="24"/>
        </w:rPr>
      </w:pPr>
      <w:r>
        <w:rPr>
          <w:rFonts w:hint="eastAsia" w:ascii="楷体" w:hAnsi="楷体" w:eastAsia="楷体" w:cs="楷体"/>
          <w:szCs w:val="24"/>
        </w:rPr>
        <w:t>3.1乙方应随同每套货物提供相应的中文的技术文件。</w:t>
      </w:r>
    </w:p>
    <w:p>
      <w:pPr>
        <w:adjustRightInd w:val="0"/>
        <w:snapToGrid w:val="0"/>
        <w:spacing w:line="360" w:lineRule="auto"/>
        <w:ind w:firstLine="480" w:firstLineChars="200"/>
        <w:rPr>
          <w:rFonts w:ascii="楷体" w:hAnsi="楷体" w:eastAsia="楷体" w:cs="楷体"/>
          <w:szCs w:val="24"/>
        </w:rPr>
      </w:pPr>
      <w:r>
        <w:rPr>
          <w:rFonts w:hint="eastAsia" w:ascii="楷体" w:hAnsi="楷体" w:eastAsia="楷体" w:cs="楷体"/>
          <w:szCs w:val="24"/>
        </w:rPr>
        <w:t>3.1.1完整的操作使用手册和维护、修理技术文件，图纸、保修卡等。</w:t>
      </w:r>
    </w:p>
    <w:p>
      <w:pPr>
        <w:adjustRightInd w:val="0"/>
        <w:snapToGrid w:val="0"/>
        <w:spacing w:line="360" w:lineRule="auto"/>
        <w:ind w:firstLine="480" w:firstLineChars="200"/>
        <w:rPr>
          <w:rFonts w:ascii="楷体" w:hAnsi="楷体" w:eastAsia="楷体" w:cs="楷体"/>
          <w:szCs w:val="24"/>
        </w:rPr>
      </w:pPr>
      <w:r>
        <w:rPr>
          <w:rFonts w:hint="eastAsia" w:ascii="楷体" w:hAnsi="楷体" w:eastAsia="楷体" w:cs="楷体"/>
          <w:szCs w:val="24"/>
        </w:rPr>
        <w:t>3.1.2制造厂的检验、测试报告、设备检验合格证书，质量保证书等文件须随设备装箱提供。</w:t>
      </w:r>
    </w:p>
    <w:p>
      <w:pPr>
        <w:adjustRightInd w:val="0"/>
        <w:snapToGrid w:val="0"/>
        <w:spacing w:line="360" w:lineRule="auto"/>
        <w:ind w:firstLine="480" w:firstLineChars="200"/>
        <w:rPr>
          <w:rFonts w:ascii="楷体" w:hAnsi="楷体" w:eastAsia="楷体" w:cs="楷体"/>
          <w:szCs w:val="24"/>
        </w:rPr>
      </w:pPr>
      <w:r>
        <w:rPr>
          <w:rFonts w:hint="eastAsia" w:ascii="楷体" w:hAnsi="楷体" w:eastAsia="楷体" w:cs="楷体"/>
          <w:szCs w:val="24"/>
        </w:rPr>
        <w:t>3.1.3必须的其它技术资料。</w:t>
      </w:r>
    </w:p>
    <w:p>
      <w:pPr>
        <w:adjustRightInd w:val="0"/>
        <w:snapToGrid w:val="0"/>
        <w:spacing w:line="360" w:lineRule="auto"/>
        <w:ind w:firstLine="480" w:firstLineChars="200"/>
        <w:rPr>
          <w:rFonts w:ascii="楷体" w:hAnsi="楷体" w:eastAsia="楷体" w:cs="楷体"/>
          <w:szCs w:val="24"/>
        </w:rPr>
      </w:pPr>
      <w:r>
        <w:rPr>
          <w:rFonts w:hint="eastAsia" w:ascii="楷体" w:hAnsi="楷体" w:eastAsia="楷体" w:cs="楷体"/>
          <w:szCs w:val="24"/>
        </w:rPr>
        <w:t>3.2伴随服务的费用已含在合同价中，不单独进行支付。</w:t>
      </w:r>
    </w:p>
    <w:p>
      <w:pPr>
        <w:numPr>
          <w:ilvl w:val="0"/>
          <w:numId w:val="6"/>
        </w:numPr>
        <w:adjustRightInd w:val="0"/>
        <w:snapToGrid w:val="0"/>
        <w:spacing w:line="360" w:lineRule="auto"/>
        <w:ind w:firstLine="480" w:firstLineChars="200"/>
        <w:rPr>
          <w:rFonts w:ascii="楷体" w:hAnsi="楷体" w:eastAsia="楷体" w:cs="楷体"/>
          <w:szCs w:val="24"/>
        </w:rPr>
      </w:pPr>
      <w:r>
        <w:rPr>
          <w:rFonts w:hint="eastAsia" w:ascii="楷体" w:hAnsi="楷体" w:eastAsia="楷体" w:cs="楷体"/>
          <w:szCs w:val="24"/>
        </w:rPr>
        <w:t>验收</w:t>
      </w:r>
    </w:p>
    <w:p>
      <w:pPr>
        <w:adjustRightInd w:val="0"/>
        <w:snapToGrid w:val="0"/>
        <w:spacing w:line="360" w:lineRule="auto"/>
        <w:ind w:firstLine="480" w:firstLineChars="200"/>
        <w:rPr>
          <w:rFonts w:ascii="楷体" w:hAnsi="楷体" w:eastAsia="楷体" w:cs="楷体"/>
          <w:szCs w:val="24"/>
        </w:rPr>
      </w:pPr>
      <w:r>
        <w:rPr>
          <w:rFonts w:hint="eastAsia" w:ascii="楷体" w:hAnsi="楷体" w:eastAsia="楷体" w:cs="楷体"/>
          <w:szCs w:val="24"/>
        </w:rPr>
        <w:t>1.供方提供的产品性能及质量有国家标准的应符合国家标准，无国家标准的应符合行业标准或企业标准，并满足甲方要求；</w:t>
      </w:r>
    </w:p>
    <w:p>
      <w:pPr>
        <w:adjustRightInd w:val="0"/>
        <w:snapToGrid w:val="0"/>
        <w:spacing w:line="360" w:lineRule="auto"/>
        <w:ind w:firstLine="480" w:firstLineChars="200"/>
        <w:rPr>
          <w:rFonts w:ascii="楷体" w:hAnsi="楷体" w:eastAsia="楷体" w:cs="楷体"/>
          <w:szCs w:val="24"/>
        </w:rPr>
      </w:pPr>
      <w:r>
        <w:rPr>
          <w:rFonts w:hint="eastAsia" w:ascii="楷体" w:hAnsi="楷体" w:eastAsia="楷体" w:cs="楷体"/>
          <w:szCs w:val="24"/>
        </w:rPr>
        <w:t>2.中标人须积极配合本项目监理，提供三级等保测评、安全测评、审计等报告。</w:t>
      </w:r>
    </w:p>
    <w:p>
      <w:pPr>
        <w:adjustRightInd w:val="0"/>
        <w:snapToGrid w:val="0"/>
        <w:spacing w:line="360" w:lineRule="auto"/>
        <w:ind w:firstLine="480" w:firstLineChars="200"/>
        <w:rPr>
          <w:rFonts w:ascii="楷体" w:hAnsi="楷体" w:eastAsia="楷体" w:cs="楷体"/>
          <w:szCs w:val="24"/>
        </w:rPr>
      </w:pPr>
      <w:r>
        <w:rPr>
          <w:rFonts w:hint="eastAsia" w:ascii="楷体" w:hAnsi="楷体" w:eastAsia="楷体" w:cs="楷体"/>
          <w:szCs w:val="24"/>
        </w:rPr>
        <w:t>3.项目实施、验收等相关流程制度标准，以国家相关法律、法规和上级机关的规章、制度为准。中标人完成阶段工作内容后向采购人提起阶段验收申请，由采购人组织评审签字确认后视为阶段验收合格。由国家组织评审通过视为终验合格。</w:t>
      </w:r>
    </w:p>
    <w:p>
      <w:pPr>
        <w:adjustRightInd w:val="0"/>
        <w:snapToGrid w:val="0"/>
        <w:spacing w:line="360" w:lineRule="auto"/>
        <w:ind w:firstLine="480" w:firstLineChars="200"/>
        <w:rPr>
          <w:rFonts w:ascii="楷体" w:hAnsi="楷体" w:eastAsia="楷体" w:cs="楷体"/>
          <w:szCs w:val="24"/>
        </w:rPr>
      </w:pPr>
      <w:r>
        <w:rPr>
          <w:rFonts w:hint="eastAsia" w:ascii="楷体" w:hAnsi="楷体" w:eastAsia="楷体" w:cs="楷体"/>
          <w:szCs w:val="24"/>
        </w:rPr>
        <w:t>4.中标人向采购人提供项目履约过程中的所有资料,以便采购人日后管理和维护。</w:t>
      </w:r>
    </w:p>
    <w:p>
      <w:pPr>
        <w:adjustRightInd w:val="0"/>
        <w:snapToGrid w:val="0"/>
        <w:spacing w:line="360" w:lineRule="auto"/>
        <w:ind w:firstLine="480" w:firstLineChars="200"/>
        <w:rPr>
          <w:rFonts w:ascii="楷体" w:hAnsi="楷体" w:eastAsia="楷体" w:cs="楷体"/>
          <w:szCs w:val="24"/>
        </w:rPr>
      </w:pPr>
      <w:r>
        <w:rPr>
          <w:rFonts w:hint="eastAsia" w:ascii="楷体" w:hAnsi="楷体" w:eastAsia="楷体" w:cs="楷体"/>
          <w:szCs w:val="24"/>
        </w:rPr>
        <w:t>4.1验收依据</w:t>
      </w:r>
    </w:p>
    <w:p>
      <w:pPr>
        <w:adjustRightInd w:val="0"/>
        <w:snapToGrid w:val="0"/>
        <w:spacing w:line="360" w:lineRule="auto"/>
        <w:ind w:firstLine="480" w:firstLineChars="200"/>
        <w:rPr>
          <w:rFonts w:ascii="楷体" w:hAnsi="楷体" w:eastAsia="楷体" w:cs="楷体"/>
          <w:szCs w:val="24"/>
        </w:rPr>
      </w:pPr>
      <w:r>
        <w:rPr>
          <w:rFonts w:hint="eastAsia" w:ascii="楷体" w:hAnsi="楷体" w:eastAsia="楷体" w:cs="楷体"/>
          <w:szCs w:val="24"/>
        </w:rPr>
        <w:t>4.2招标文件、投标文件、澄清表（如有）；</w:t>
      </w:r>
    </w:p>
    <w:p>
      <w:pPr>
        <w:adjustRightInd w:val="0"/>
        <w:snapToGrid w:val="0"/>
        <w:spacing w:line="360" w:lineRule="auto"/>
        <w:ind w:firstLine="480" w:firstLineChars="200"/>
        <w:rPr>
          <w:rFonts w:ascii="楷体" w:hAnsi="楷体" w:eastAsia="楷体" w:cs="楷体"/>
          <w:szCs w:val="24"/>
        </w:rPr>
      </w:pPr>
      <w:r>
        <w:rPr>
          <w:rFonts w:hint="eastAsia" w:ascii="楷体" w:hAnsi="楷体" w:eastAsia="楷体" w:cs="楷体"/>
          <w:szCs w:val="24"/>
        </w:rPr>
        <w:t>4.3本合同及附件文本；</w:t>
      </w:r>
    </w:p>
    <w:p>
      <w:pPr>
        <w:adjustRightInd w:val="0"/>
        <w:snapToGrid w:val="0"/>
        <w:spacing w:line="360" w:lineRule="auto"/>
        <w:ind w:firstLine="480" w:firstLineChars="200"/>
        <w:rPr>
          <w:rFonts w:ascii="楷体" w:hAnsi="楷体" w:eastAsia="楷体" w:cs="楷体"/>
          <w:szCs w:val="24"/>
        </w:rPr>
      </w:pPr>
      <w:r>
        <w:rPr>
          <w:rFonts w:hint="eastAsia" w:ascii="楷体" w:hAnsi="楷体" w:eastAsia="楷体" w:cs="楷体"/>
          <w:szCs w:val="24"/>
        </w:rPr>
        <w:t>4.4国家相应的标准、规范。</w:t>
      </w:r>
    </w:p>
    <w:p>
      <w:pPr>
        <w:adjustRightInd w:val="0"/>
        <w:snapToGrid w:val="0"/>
        <w:spacing w:line="360" w:lineRule="auto"/>
        <w:ind w:firstLine="480" w:firstLineChars="200"/>
        <w:rPr>
          <w:rFonts w:ascii="楷体" w:hAnsi="楷体" w:eastAsia="楷体" w:cs="楷体"/>
          <w:szCs w:val="24"/>
        </w:rPr>
      </w:pPr>
      <w:r>
        <w:rPr>
          <w:rFonts w:hint="eastAsia" w:ascii="楷体" w:hAnsi="楷体" w:eastAsia="楷体" w:cs="楷体"/>
          <w:szCs w:val="24"/>
        </w:rPr>
        <w:t>5.验收标准</w:t>
      </w:r>
    </w:p>
    <w:p>
      <w:pPr>
        <w:adjustRightInd w:val="0"/>
        <w:snapToGrid w:val="0"/>
        <w:spacing w:line="360" w:lineRule="auto"/>
        <w:ind w:firstLine="480" w:firstLineChars="200"/>
        <w:rPr>
          <w:rFonts w:ascii="楷体" w:hAnsi="楷体" w:eastAsia="楷体" w:cs="楷体"/>
          <w:szCs w:val="24"/>
        </w:rPr>
      </w:pPr>
      <w:r>
        <w:rPr>
          <w:rFonts w:hint="eastAsia" w:ascii="楷体" w:hAnsi="楷体" w:eastAsia="楷体" w:cs="楷体"/>
          <w:szCs w:val="24"/>
        </w:rPr>
        <w:t>5.1阶段标准1：硬件设备全部到场，符合合同要求，经甲方确认。</w:t>
      </w:r>
    </w:p>
    <w:p>
      <w:pPr>
        <w:adjustRightInd w:val="0"/>
        <w:snapToGrid w:val="0"/>
        <w:spacing w:line="360" w:lineRule="auto"/>
        <w:ind w:firstLine="480" w:firstLineChars="200"/>
        <w:rPr>
          <w:rFonts w:ascii="楷体" w:hAnsi="楷体" w:eastAsia="楷体" w:cs="楷体"/>
          <w:szCs w:val="24"/>
        </w:rPr>
      </w:pPr>
      <w:r>
        <w:rPr>
          <w:rFonts w:hint="eastAsia" w:ascii="楷体" w:hAnsi="楷体" w:eastAsia="楷体" w:cs="楷体"/>
          <w:szCs w:val="24"/>
        </w:rPr>
        <w:t>5.2 阶段标准2：项目建设完成并满足功能需求，试运行三个月。</w:t>
      </w:r>
    </w:p>
    <w:p>
      <w:pPr>
        <w:adjustRightInd w:val="0"/>
        <w:snapToGrid w:val="0"/>
        <w:spacing w:line="360" w:lineRule="auto"/>
        <w:ind w:firstLine="480" w:firstLineChars="200"/>
        <w:rPr>
          <w:rFonts w:ascii="楷体" w:hAnsi="楷体" w:eastAsia="楷体" w:cs="楷体"/>
          <w:szCs w:val="24"/>
        </w:rPr>
      </w:pPr>
      <w:r>
        <w:rPr>
          <w:rFonts w:hint="eastAsia" w:ascii="楷体" w:hAnsi="楷体" w:eastAsia="楷体" w:cs="楷体"/>
          <w:szCs w:val="24"/>
        </w:rPr>
        <w:t>5.3终验标准：</w:t>
      </w:r>
    </w:p>
    <w:p>
      <w:pPr>
        <w:adjustRightInd w:val="0"/>
        <w:snapToGrid w:val="0"/>
        <w:spacing w:line="360" w:lineRule="auto"/>
        <w:ind w:firstLine="480" w:firstLineChars="200"/>
        <w:rPr>
          <w:rFonts w:ascii="楷体" w:hAnsi="楷体" w:eastAsia="楷体" w:cs="楷体"/>
          <w:szCs w:val="24"/>
        </w:rPr>
      </w:pPr>
      <w:r>
        <w:rPr>
          <w:rFonts w:hint="eastAsia" w:ascii="楷体" w:hAnsi="楷体" w:eastAsia="楷体" w:cs="楷体"/>
          <w:szCs w:val="24"/>
        </w:rPr>
        <w:t>项目实施完成后，由中央综治办、国家发展改革委、公安部等委托第三方中介机构按照建设规划方案进行项目验收，验收不通过的，项目实施主要负责人要书面陈述原因，并责令限期整改。</w:t>
      </w:r>
    </w:p>
    <w:p>
      <w:pPr>
        <w:adjustRightInd w:val="0"/>
        <w:snapToGrid w:val="0"/>
        <w:spacing w:line="360" w:lineRule="auto"/>
        <w:ind w:firstLine="482" w:firstLineChars="200"/>
        <w:rPr>
          <w:rFonts w:ascii="楷体" w:hAnsi="楷体" w:eastAsia="楷体" w:cs="楷体"/>
          <w:b/>
          <w:szCs w:val="24"/>
        </w:rPr>
      </w:pPr>
      <w:r>
        <w:rPr>
          <w:rFonts w:hint="eastAsia" w:ascii="楷体" w:hAnsi="楷体" w:eastAsia="楷体" w:cs="楷体"/>
          <w:b/>
          <w:szCs w:val="24"/>
        </w:rPr>
        <w:t>八、违约责任</w:t>
      </w:r>
    </w:p>
    <w:p>
      <w:pPr>
        <w:adjustRightInd w:val="0"/>
        <w:snapToGrid w:val="0"/>
        <w:spacing w:line="360" w:lineRule="auto"/>
        <w:ind w:firstLine="480" w:firstLineChars="200"/>
        <w:rPr>
          <w:rFonts w:ascii="楷体" w:hAnsi="楷体" w:eastAsia="楷体" w:cs="楷体"/>
          <w:szCs w:val="24"/>
        </w:rPr>
      </w:pPr>
      <w:r>
        <w:rPr>
          <w:rFonts w:hint="eastAsia" w:ascii="楷体" w:hAnsi="楷体" w:eastAsia="楷体" w:cs="楷体"/>
          <w:szCs w:val="24"/>
        </w:rPr>
        <w:t>1.甲方应当履行合同约定的义务，如有违反，须承担相应的违约责任。</w:t>
      </w:r>
    </w:p>
    <w:p>
      <w:pPr>
        <w:adjustRightInd w:val="0"/>
        <w:snapToGrid w:val="0"/>
        <w:spacing w:line="360" w:lineRule="auto"/>
        <w:ind w:firstLine="480" w:firstLineChars="200"/>
        <w:rPr>
          <w:rFonts w:ascii="楷体" w:hAnsi="楷体" w:eastAsia="楷体" w:cs="楷体"/>
          <w:szCs w:val="24"/>
        </w:rPr>
      </w:pPr>
      <w:r>
        <w:rPr>
          <w:rFonts w:hint="eastAsia" w:ascii="楷体" w:hAnsi="楷体" w:eastAsia="楷体" w:cs="楷体"/>
          <w:szCs w:val="24"/>
        </w:rPr>
        <w:t>2.项目不能按建设期验收或验收不合格，乙方应负责返工并从逾期日起每日承担合同总金额日千分之三的违约金。如因甲方原因造成不能按期完工，工期相应顺延。</w:t>
      </w:r>
    </w:p>
    <w:p>
      <w:pPr>
        <w:adjustRightInd w:val="0"/>
        <w:snapToGrid w:val="0"/>
        <w:spacing w:line="360" w:lineRule="auto"/>
        <w:ind w:firstLine="480" w:firstLineChars="200"/>
        <w:rPr>
          <w:rFonts w:ascii="楷体" w:hAnsi="楷体" w:eastAsia="楷体" w:cs="楷体"/>
          <w:szCs w:val="24"/>
        </w:rPr>
      </w:pPr>
      <w:r>
        <w:rPr>
          <w:rFonts w:hint="eastAsia" w:ascii="楷体" w:hAnsi="楷体" w:eastAsia="楷体" w:cs="楷体"/>
          <w:szCs w:val="24"/>
        </w:rPr>
        <w:t>3.如在合同规定的工期内，达不到项目规定的技术指标，乙方应当承担违约责任。</w:t>
      </w:r>
    </w:p>
    <w:p>
      <w:pPr>
        <w:adjustRightInd w:val="0"/>
        <w:snapToGrid w:val="0"/>
        <w:spacing w:line="360" w:lineRule="auto"/>
        <w:ind w:firstLine="480" w:firstLineChars="200"/>
        <w:rPr>
          <w:rFonts w:ascii="楷体" w:hAnsi="楷体" w:eastAsia="楷体" w:cs="楷体"/>
          <w:szCs w:val="24"/>
        </w:rPr>
      </w:pPr>
      <w:r>
        <w:rPr>
          <w:rFonts w:hint="eastAsia" w:ascii="楷体" w:hAnsi="楷体" w:eastAsia="楷体" w:cs="楷体"/>
          <w:szCs w:val="24"/>
        </w:rPr>
        <w:t>4.如乙方达不到验收标准的，则必须无条件返工整改；如整改后仍达不到合同要求的，则甲方有权终止合同。</w:t>
      </w:r>
    </w:p>
    <w:p>
      <w:pPr>
        <w:adjustRightInd w:val="0"/>
        <w:snapToGrid w:val="0"/>
        <w:spacing w:line="360" w:lineRule="auto"/>
        <w:ind w:firstLine="480" w:firstLineChars="200"/>
        <w:rPr>
          <w:rFonts w:ascii="楷体" w:hAnsi="楷体" w:eastAsia="楷体" w:cs="楷体"/>
          <w:szCs w:val="24"/>
        </w:rPr>
      </w:pPr>
      <w:r>
        <w:rPr>
          <w:rFonts w:hint="eastAsia" w:ascii="楷体" w:hAnsi="楷体" w:eastAsia="楷体" w:cs="楷体"/>
          <w:szCs w:val="24"/>
        </w:rPr>
        <w:t>5.因不可抗力导致合同不能全部或部分履行，甲、乙双方协商解决。</w:t>
      </w:r>
    </w:p>
    <w:p>
      <w:pPr>
        <w:adjustRightInd w:val="0"/>
        <w:snapToGrid w:val="0"/>
        <w:spacing w:line="360" w:lineRule="auto"/>
        <w:ind w:firstLine="480" w:firstLineChars="200"/>
        <w:rPr>
          <w:rFonts w:ascii="楷体" w:hAnsi="楷体" w:eastAsia="楷体" w:cs="楷体"/>
          <w:szCs w:val="24"/>
        </w:rPr>
      </w:pPr>
      <w:r>
        <w:rPr>
          <w:rFonts w:hint="eastAsia" w:ascii="楷体" w:hAnsi="楷体" w:eastAsia="楷体" w:cs="楷体"/>
          <w:szCs w:val="24"/>
        </w:rPr>
        <w:t>以上最终以实际合同为准。</w:t>
      </w:r>
    </w:p>
    <w:p>
      <w:pPr>
        <w:adjustRightInd w:val="0"/>
        <w:snapToGrid w:val="0"/>
        <w:spacing w:line="360" w:lineRule="auto"/>
        <w:ind w:firstLine="482" w:firstLineChars="200"/>
        <w:rPr>
          <w:rFonts w:ascii="楷体" w:hAnsi="楷体" w:eastAsia="楷体" w:cs="楷体"/>
          <w:b/>
          <w:szCs w:val="24"/>
        </w:rPr>
      </w:pPr>
      <w:r>
        <w:rPr>
          <w:rFonts w:hint="eastAsia" w:ascii="楷体" w:hAnsi="楷体" w:eastAsia="楷体" w:cs="楷体"/>
          <w:b/>
          <w:szCs w:val="24"/>
        </w:rPr>
        <w:t>九、不可抵抗力的应对措施和解决办法</w:t>
      </w:r>
    </w:p>
    <w:p>
      <w:pPr>
        <w:adjustRightInd w:val="0"/>
        <w:snapToGrid w:val="0"/>
        <w:spacing w:line="360" w:lineRule="auto"/>
        <w:ind w:firstLine="480" w:firstLineChars="200"/>
        <w:rPr>
          <w:rFonts w:ascii="楷体" w:hAnsi="楷体" w:eastAsia="楷体" w:cs="楷体"/>
          <w:szCs w:val="24"/>
        </w:rPr>
      </w:pPr>
      <w:r>
        <w:rPr>
          <w:rFonts w:hint="eastAsia" w:ascii="楷体" w:hAnsi="楷体" w:eastAsia="楷体" w:cs="楷体"/>
          <w:szCs w:val="24"/>
        </w:rPr>
        <w:t>1.合同任一方由于受诸如洪水、地震等不可抗力事件的影响而不能执行合同时，相关期限应予以延长，延长的期限应相当于事故所影响的时间。不可抗力事件是指甲乙双方在缔结合同时所不能预见的，且它的发生及其后果是无法避免和无法克服的事故。</w:t>
      </w:r>
    </w:p>
    <w:p>
      <w:pPr>
        <w:adjustRightInd w:val="0"/>
        <w:snapToGrid w:val="0"/>
        <w:spacing w:line="360" w:lineRule="auto"/>
        <w:ind w:firstLine="480" w:firstLineChars="200"/>
        <w:rPr>
          <w:rFonts w:ascii="楷体" w:hAnsi="楷体" w:eastAsia="楷体" w:cs="楷体"/>
          <w:szCs w:val="24"/>
        </w:rPr>
      </w:pPr>
      <w:r>
        <w:rPr>
          <w:rFonts w:hint="eastAsia" w:ascii="楷体" w:hAnsi="楷体" w:eastAsia="楷体" w:cs="楷体"/>
          <w:szCs w:val="24"/>
        </w:rPr>
        <w:t>2.遭受不可抗力一方应在不可抗力事故发生后尽快以书面形式通知对方，并于事故发生后14天内将有关部门出具的证明文件、详细情况报告以及不可抗力对履行合同影响程度的说明通知对方。</w:t>
      </w:r>
    </w:p>
    <w:p>
      <w:pPr>
        <w:adjustRightInd w:val="0"/>
        <w:snapToGrid w:val="0"/>
        <w:spacing w:line="360" w:lineRule="auto"/>
        <w:ind w:firstLine="480" w:firstLineChars="200"/>
        <w:rPr>
          <w:rFonts w:ascii="楷体" w:hAnsi="楷体" w:eastAsia="楷体" w:cs="楷体"/>
          <w:szCs w:val="24"/>
        </w:rPr>
      </w:pPr>
      <w:r>
        <w:rPr>
          <w:rFonts w:hint="eastAsia" w:ascii="楷体" w:hAnsi="楷体" w:eastAsia="楷体" w:cs="楷体"/>
          <w:szCs w:val="24"/>
        </w:rPr>
        <w:t>3.发生不可抗力时，任何一方均不对因不可抗力无法履行或延迟履行本合同义务而使另一方蒙受损失承担责任，但遭受不可抗力一方有责任尽可能采取适当或必要措施减少或消除不可抗力的影响。遭受不可抗力的一方对因未尽本项义务而造成的损失承担赔偿责任。</w:t>
      </w:r>
    </w:p>
    <w:p>
      <w:pPr>
        <w:adjustRightInd w:val="0"/>
        <w:snapToGrid w:val="0"/>
        <w:spacing w:line="360" w:lineRule="auto"/>
        <w:ind w:firstLine="480" w:firstLineChars="200"/>
        <w:rPr>
          <w:rFonts w:ascii="楷体" w:hAnsi="楷体" w:eastAsia="楷体" w:cs="楷体"/>
          <w:szCs w:val="24"/>
        </w:rPr>
      </w:pPr>
      <w:r>
        <w:rPr>
          <w:rFonts w:hint="eastAsia" w:ascii="楷体" w:hAnsi="楷体" w:eastAsia="楷体" w:cs="楷体"/>
          <w:szCs w:val="24"/>
        </w:rPr>
        <w:t>4.一旦不可抗力事故的影响持续90天以上，甲乙双方通过友好协商，在合理的时间内达成进一步履行合同或者终止合同协议。</w:t>
      </w:r>
    </w:p>
    <w:p>
      <w:pPr>
        <w:adjustRightInd w:val="0"/>
        <w:snapToGrid w:val="0"/>
        <w:spacing w:line="360" w:lineRule="auto"/>
        <w:ind w:firstLine="480" w:firstLineChars="200"/>
        <w:rPr>
          <w:rFonts w:ascii="楷体" w:hAnsi="楷体" w:eastAsia="楷体" w:cs="楷体"/>
          <w:szCs w:val="24"/>
        </w:rPr>
      </w:pPr>
      <w:r>
        <w:rPr>
          <w:rFonts w:hint="eastAsia" w:ascii="楷体" w:hAnsi="楷体" w:eastAsia="楷体" w:cs="楷体"/>
          <w:szCs w:val="24"/>
        </w:rPr>
        <w:t>以上最终以实际合同为准。</w:t>
      </w:r>
    </w:p>
    <w:p>
      <w:pPr>
        <w:adjustRightInd w:val="0"/>
        <w:snapToGrid w:val="0"/>
        <w:spacing w:line="360" w:lineRule="auto"/>
        <w:ind w:firstLine="482" w:firstLineChars="200"/>
        <w:rPr>
          <w:rFonts w:ascii="楷体" w:hAnsi="楷体" w:eastAsia="楷体" w:cs="楷体"/>
          <w:b/>
          <w:szCs w:val="24"/>
        </w:rPr>
      </w:pPr>
      <w:r>
        <w:rPr>
          <w:rFonts w:hint="eastAsia" w:ascii="楷体" w:hAnsi="楷体" w:eastAsia="楷体" w:cs="楷体"/>
          <w:b/>
          <w:szCs w:val="24"/>
        </w:rPr>
        <w:t>十、合同组成</w:t>
      </w:r>
    </w:p>
    <w:p>
      <w:pPr>
        <w:adjustRightInd w:val="0"/>
        <w:snapToGrid w:val="0"/>
        <w:spacing w:line="360" w:lineRule="auto"/>
        <w:ind w:firstLine="480" w:firstLineChars="200"/>
        <w:rPr>
          <w:rFonts w:ascii="楷体" w:hAnsi="楷体" w:eastAsia="楷体" w:cs="楷体"/>
          <w:szCs w:val="24"/>
        </w:rPr>
      </w:pPr>
      <w:r>
        <w:rPr>
          <w:rFonts w:hint="eastAsia" w:ascii="楷体" w:hAnsi="楷体" w:eastAsia="楷体" w:cs="楷体"/>
          <w:szCs w:val="24"/>
        </w:rPr>
        <w:t>1.中标通知书</w:t>
      </w:r>
    </w:p>
    <w:p>
      <w:pPr>
        <w:adjustRightInd w:val="0"/>
        <w:snapToGrid w:val="0"/>
        <w:spacing w:line="360" w:lineRule="auto"/>
        <w:ind w:firstLine="480" w:firstLineChars="200"/>
        <w:rPr>
          <w:rFonts w:ascii="楷体" w:hAnsi="楷体" w:eastAsia="楷体" w:cs="楷体"/>
          <w:szCs w:val="24"/>
        </w:rPr>
      </w:pPr>
      <w:r>
        <w:rPr>
          <w:rFonts w:hint="eastAsia" w:ascii="楷体" w:hAnsi="楷体" w:eastAsia="楷体" w:cs="楷体"/>
          <w:szCs w:val="24"/>
        </w:rPr>
        <w:t>2.合同文件</w:t>
      </w:r>
    </w:p>
    <w:p>
      <w:pPr>
        <w:adjustRightInd w:val="0"/>
        <w:snapToGrid w:val="0"/>
        <w:spacing w:line="360" w:lineRule="auto"/>
        <w:ind w:firstLine="480" w:firstLineChars="200"/>
        <w:rPr>
          <w:rFonts w:ascii="楷体" w:hAnsi="楷体" w:eastAsia="楷体" w:cs="楷体"/>
          <w:szCs w:val="24"/>
        </w:rPr>
      </w:pPr>
      <w:r>
        <w:rPr>
          <w:rFonts w:hint="eastAsia" w:ascii="楷体" w:hAnsi="楷体" w:eastAsia="楷体" w:cs="楷体"/>
          <w:szCs w:val="24"/>
        </w:rPr>
        <w:t>3.国家相关规范及标准</w:t>
      </w:r>
    </w:p>
    <w:p>
      <w:pPr>
        <w:adjustRightInd w:val="0"/>
        <w:snapToGrid w:val="0"/>
        <w:spacing w:line="360" w:lineRule="auto"/>
        <w:ind w:firstLine="480" w:firstLineChars="200"/>
        <w:rPr>
          <w:rFonts w:ascii="楷体" w:hAnsi="楷体" w:eastAsia="楷体" w:cs="楷体"/>
          <w:szCs w:val="24"/>
        </w:rPr>
      </w:pPr>
      <w:r>
        <w:rPr>
          <w:rFonts w:hint="eastAsia" w:ascii="楷体" w:hAnsi="楷体" w:eastAsia="楷体" w:cs="楷体"/>
          <w:szCs w:val="24"/>
        </w:rPr>
        <w:t>4.供货设备技术规格及参数表</w:t>
      </w:r>
    </w:p>
    <w:p>
      <w:pPr>
        <w:adjustRightInd w:val="0"/>
        <w:snapToGrid w:val="0"/>
        <w:spacing w:line="360" w:lineRule="auto"/>
        <w:ind w:firstLine="480" w:firstLineChars="200"/>
        <w:rPr>
          <w:rFonts w:ascii="楷体" w:hAnsi="楷体" w:eastAsia="楷体" w:cs="楷体"/>
          <w:szCs w:val="24"/>
        </w:rPr>
      </w:pPr>
      <w:r>
        <w:rPr>
          <w:rFonts w:hint="eastAsia" w:ascii="楷体" w:hAnsi="楷体" w:eastAsia="楷体" w:cs="楷体"/>
          <w:szCs w:val="24"/>
        </w:rPr>
        <w:t>5.招标文件</w:t>
      </w:r>
    </w:p>
    <w:p>
      <w:pPr>
        <w:adjustRightInd w:val="0"/>
        <w:snapToGrid w:val="0"/>
        <w:spacing w:line="360" w:lineRule="auto"/>
        <w:ind w:firstLine="480" w:firstLineChars="200"/>
        <w:rPr>
          <w:rFonts w:ascii="楷体" w:hAnsi="楷体" w:eastAsia="楷体" w:cs="楷体"/>
          <w:szCs w:val="24"/>
        </w:rPr>
      </w:pPr>
      <w:r>
        <w:rPr>
          <w:rFonts w:hint="eastAsia" w:ascii="楷体" w:hAnsi="楷体" w:eastAsia="楷体" w:cs="楷体"/>
          <w:szCs w:val="24"/>
        </w:rPr>
        <w:t>6.投标文件</w:t>
      </w:r>
    </w:p>
    <w:p>
      <w:pPr>
        <w:adjustRightInd w:val="0"/>
        <w:snapToGrid w:val="0"/>
        <w:spacing w:line="360" w:lineRule="auto"/>
        <w:ind w:firstLine="482" w:firstLineChars="200"/>
        <w:rPr>
          <w:rFonts w:ascii="楷体" w:hAnsi="楷体" w:eastAsia="楷体" w:cs="楷体"/>
          <w:b/>
          <w:szCs w:val="24"/>
        </w:rPr>
      </w:pPr>
      <w:r>
        <w:rPr>
          <w:rFonts w:hint="eastAsia" w:ascii="楷体" w:hAnsi="楷体" w:eastAsia="楷体" w:cs="楷体"/>
          <w:b/>
          <w:szCs w:val="24"/>
        </w:rPr>
        <w:t>十一、合同生效及其它</w:t>
      </w:r>
    </w:p>
    <w:p>
      <w:pPr>
        <w:adjustRightInd w:val="0"/>
        <w:snapToGrid w:val="0"/>
        <w:spacing w:line="360" w:lineRule="auto"/>
        <w:ind w:firstLine="480" w:firstLineChars="200"/>
        <w:rPr>
          <w:rFonts w:ascii="楷体" w:hAnsi="楷体" w:eastAsia="楷体" w:cs="楷体"/>
          <w:szCs w:val="24"/>
        </w:rPr>
      </w:pPr>
      <w:r>
        <w:rPr>
          <w:rFonts w:hint="eastAsia" w:ascii="楷体" w:hAnsi="楷体" w:eastAsia="楷体" w:cs="楷体"/>
          <w:szCs w:val="24"/>
        </w:rPr>
        <w:t>1.合同未尽事宜、由甲、乙双方协商，作为合同补充，与原合同具有同等法律效力。</w:t>
      </w:r>
    </w:p>
    <w:p>
      <w:pPr>
        <w:adjustRightInd w:val="0"/>
        <w:snapToGrid w:val="0"/>
        <w:spacing w:line="360" w:lineRule="auto"/>
        <w:ind w:firstLine="480" w:firstLineChars="200"/>
        <w:rPr>
          <w:rFonts w:ascii="楷体" w:hAnsi="楷体" w:eastAsia="楷体" w:cs="楷体"/>
          <w:szCs w:val="24"/>
        </w:rPr>
      </w:pPr>
      <w:r>
        <w:rPr>
          <w:rFonts w:hint="eastAsia" w:ascii="楷体" w:hAnsi="楷体" w:eastAsia="楷体" w:cs="楷体"/>
          <w:szCs w:val="24"/>
        </w:rPr>
        <w:t>2.本合同正本一式</w:t>
      </w:r>
      <w:r>
        <w:rPr>
          <w:rFonts w:hint="eastAsia" w:ascii="楷体" w:hAnsi="楷体" w:eastAsia="楷体" w:cs="楷体"/>
          <w:szCs w:val="24"/>
          <w:u w:val="single"/>
        </w:rPr>
        <w:t xml:space="preserve">     </w:t>
      </w:r>
      <w:r>
        <w:rPr>
          <w:rFonts w:hint="eastAsia" w:ascii="楷体" w:hAnsi="楷体" w:eastAsia="楷体" w:cs="楷体"/>
          <w:szCs w:val="24"/>
        </w:rPr>
        <w:t>份，甲方、乙方双方分别执</w:t>
      </w:r>
      <w:r>
        <w:rPr>
          <w:rFonts w:hint="eastAsia" w:ascii="楷体" w:hAnsi="楷体" w:eastAsia="楷体" w:cs="楷体"/>
          <w:szCs w:val="24"/>
          <w:u w:val="single"/>
        </w:rPr>
        <w:t xml:space="preserve">   </w:t>
      </w:r>
      <w:r>
        <w:rPr>
          <w:rFonts w:hint="eastAsia" w:ascii="楷体" w:hAnsi="楷体" w:eastAsia="楷体" w:cs="楷体"/>
          <w:szCs w:val="24"/>
        </w:rPr>
        <w:t>份，备案</w:t>
      </w:r>
      <w:r>
        <w:rPr>
          <w:rFonts w:hint="eastAsia" w:ascii="楷体" w:hAnsi="楷体" w:eastAsia="楷体" w:cs="楷体"/>
          <w:szCs w:val="24"/>
          <w:u w:val="single"/>
        </w:rPr>
        <w:t xml:space="preserve">     </w:t>
      </w:r>
      <w:r>
        <w:rPr>
          <w:rFonts w:hint="eastAsia" w:ascii="楷体" w:hAnsi="楷体" w:eastAsia="楷体" w:cs="楷体"/>
          <w:szCs w:val="24"/>
        </w:rPr>
        <w:t>份。</w:t>
      </w:r>
    </w:p>
    <w:p>
      <w:pPr>
        <w:adjustRightInd w:val="0"/>
        <w:snapToGrid w:val="0"/>
        <w:spacing w:line="360" w:lineRule="auto"/>
        <w:ind w:firstLine="480" w:firstLineChars="200"/>
        <w:rPr>
          <w:rFonts w:ascii="楷体" w:hAnsi="楷体" w:eastAsia="楷体" w:cs="楷体"/>
          <w:szCs w:val="24"/>
        </w:rPr>
      </w:pPr>
      <w:r>
        <w:rPr>
          <w:rFonts w:hint="eastAsia" w:ascii="楷体" w:hAnsi="楷体" w:eastAsia="楷体" w:cs="楷体"/>
          <w:szCs w:val="24"/>
        </w:rPr>
        <w:t>3.合同经甲乙双方盖章、签字后生效，合同签订地点为</w:t>
      </w:r>
      <w:r>
        <w:rPr>
          <w:rFonts w:hint="eastAsia" w:ascii="楷体" w:hAnsi="楷体" w:eastAsia="楷体" w:cs="楷体"/>
          <w:szCs w:val="24"/>
          <w:u w:val="single"/>
        </w:rPr>
        <w:t xml:space="preserve">      </w:t>
      </w:r>
      <w:r>
        <w:rPr>
          <w:rFonts w:hint="eastAsia" w:ascii="楷体" w:hAnsi="楷体" w:eastAsia="楷体" w:cs="楷体"/>
          <w:szCs w:val="24"/>
        </w:rPr>
        <w:t>。</w:t>
      </w:r>
    </w:p>
    <w:p>
      <w:pPr>
        <w:adjustRightInd w:val="0"/>
        <w:snapToGrid w:val="0"/>
        <w:spacing w:line="360" w:lineRule="auto"/>
        <w:ind w:firstLine="480" w:firstLineChars="200"/>
        <w:rPr>
          <w:rFonts w:ascii="楷体" w:hAnsi="楷体" w:eastAsia="楷体" w:cs="楷体"/>
          <w:szCs w:val="24"/>
        </w:rPr>
      </w:pPr>
      <w:r>
        <w:rPr>
          <w:rFonts w:hint="eastAsia" w:ascii="楷体" w:hAnsi="楷体" w:eastAsia="楷体" w:cs="楷体"/>
          <w:szCs w:val="24"/>
        </w:rPr>
        <w:t>4.生效时间：   年  月  日</w:t>
      </w:r>
    </w:p>
    <w:tbl>
      <w:tblPr>
        <w:tblStyle w:val="24"/>
        <w:tblpPr w:leftFromText="180" w:rightFromText="180" w:vertAnchor="text" w:horzAnchor="page" w:tblpX="1826" w:tblpY="508"/>
        <w:tblOverlap w:val="never"/>
        <w:tblW w:w="0" w:type="auto"/>
        <w:tblInd w:w="0" w:type="dxa"/>
        <w:tblLayout w:type="fixed"/>
        <w:tblCellMar>
          <w:top w:w="0" w:type="dxa"/>
          <w:left w:w="108" w:type="dxa"/>
          <w:bottom w:w="0" w:type="dxa"/>
          <w:right w:w="108" w:type="dxa"/>
        </w:tblCellMar>
      </w:tblPr>
      <w:tblGrid>
        <w:gridCol w:w="4643"/>
        <w:gridCol w:w="4643"/>
      </w:tblGrid>
      <w:tr>
        <w:tblPrEx>
          <w:tblCellMar>
            <w:top w:w="0" w:type="dxa"/>
            <w:left w:w="108" w:type="dxa"/>
            <w:bottom w:w="0" w:type="dxa"/>
            <w:right w:w="108" w:type="dxa"/>
          </w:tblCellMar>
        </w:tblPrEx>
        <w:tc>
          <w:tcPr>
            <w:tcW w:w="4643" w:type="dxa"/>
          </w:tcPr>
          <w:p>
            <w:pPr>
              <w:widowControl/>
              <w:autoSpaceDE w:val="0"/>
              <w:autoSpaceDN w:val="0"/>
              <w:snapToGrid w:val="0"/>
              <w:spacing w:line="360" w:lineRule="auto"/>
              <w:ind w:firstLine="480" w:firstLineChars="200"/>
              <w:textAlignment w:val="bottom"/>
              <w:rPr>
                <w:rFonts w:ascii="楷体" w:hAnsi="楷体" w:eastAsia="楷体" w:cs="楷体"/>
                <w:szCs w:val="24"/>
              </w:rPr>
            </w:pPr>
            <w:r>
              <w:rPr>
                <w:rFonts w:hint="eastAsia" w:ascii="楷体" w:hAnsi="楷体" w:eastAsia="楷体" w:cs="楷体"/>
                <w:szCs w:val="24"/>
              </w:rPr>
              <w:t>甲方名称</w:t>
            </w:r>
            <w:r>
              <w:rPr>
                <w:rFonts w:hint="eastAsia" w:ascii="楷体" w:hAnsi="楷体" w:eastAsia="楷体" w:cs="楷体"/>
                <w:spacing w:val="-20"/>
                <w:szCs w:val="24"/>
              </w:rPr>
              <w:t>（盖章）</w:t>
            </w:r>
            <w:r>
              <w:rPr>
                <w:rFonts w:hint="eastAsia" w:ascii="楷体" w:hAnsi="楷体" w:eastAsia="楷体" w:cs="楷体"/>
                <w:szCs w:val="24"/>
              </w:rPr>
              <w:t>:</w:t>
            </w:r>
          </w:p>
          <w:p>
            <w:pPr>
              <w:widowControl/>
              <w:autoSpaceDE w:val="0"/>
              <w:autoSpaceDN w:val="0"/>
              <w:snapToGrid w:val="0"/>
              <w:spacing w:line="360" w:lineRule="auto"/>
              <w:ind w:firstLine="480" w:firstLineChars="200"/>
              <w:textAlignment w:val="bottom"/>
              <w:rPr>
                <w:rFonts w:ascii="楷体" w:hAnsi="楷体" w:eastAsia="楷体" w:cs="楷体"/>
                <w:szCs w:val="24"/>
              </w:rPr>
            </w:pPr>
            <w:r>
              <w:rPr>
                <w:rFonts w:hint="eastAsia" w:ascii="楷体" w:hAnsi="楷体" w:eastAsia="楷体" w:cs="楷体"/>
                <w:szCs w:val="24"/>
              </w:rPr>
              <w:t>地址：</w:t>
            </w:r>
          </w:p>
          <w:p>
            <w:pPr>
              <w:widowControl/>
              <w:autoSpaceDE w:val="0"/>
              <w:autoSpaceDN w:val="0"/>
              <w:snapToGrid w:val="0"/>
              <w:spacing w:line="360" w:lineRule="auto"/>
              <w:ind w:firstLine="480" w:firstLineChars="200"/>
              <w:textAlignment w:val="bottom"/>
              <w:rPr>
                <w:rFonts w:ascii="楷体" w:hAnsi="楷体" w:eastAsia="楷体" w:cs="楷体"/>
                <w:szCs w:val="24"/>
              </w:rPr>
            </w:pPr>
            <w:r>
              <w:rPr>
                <w:rFonts w:hint="eastAsia" w:ascii="楷体" w:hAnsi="楷体" w:eastAsia="楷体" w:cs="楷体"/>
                <w:szCs w:val="24"/>
              </w:rPr>
              <w:t>代表人（签字）：</w:t>
            </w:r>
          </w:p>
          <w:p>
            <w:pPr>
              <w:widowControl/>
              <w:autoSpaceDE w:val="0"/>
              <w:autoSpaceDN w:val="0"/>
              <w:snapToGrid w:val="0"/>
              <w:spacing w:line="360" w:lineRule="auto"/>
              <w:ind w:firstLine="480" w:firstLineChars="200"/>
              <w:textAlignment w:val="bottom"/>
              <w:rPr>
                <w:rFonts w:ascii="楷体" w:hAnsi="楷体" w:eastAsia="楷体" w:cs="楷体"/>
                <w:szCs w:val="24"/>
              </w:rPr>
            </w:pPr>
            <w:r>
              <w:rPr>
                <w:rFonts w:hint="eastAsia" w:ascii="楷体" w:hAnsi="楷体" w:eastAsia="楷体" w:cs="楷体"/>
                <w:szCs w:val="24"/>
              </w:rPr>
              <w:t>电话：</w:t>
            </w:r>
          </w:p>
          <w:p>
            <w:pPr>
              <w:widowControl/>
              <w:autoSpaceDE w:val="0"/>
              <w:autoSpaceDN w:val="0"/>
              <w:snapToGrid w:val="0"/>
              <w:spacing w:line="360" w:lineRule="auto"/>
              <w:ind w:firstLine="480" w:firstLineChars="200"/>
              <w:textAlignment w:val="bottom"/>
              <w:rPr>
                <w:rFonts w:ascii="楷体" w:hAnsi="楷体" w:eastAsia="楷体" w:cs="楷体"/>
                <w:szCs w:val="24"/>
              </w:rPr>
            </w:pPr>
            <w:r>
              <w:rPr>
                <w:rFonts w:hint="eastAsia" w:ascii="楷体" w:hAnsi="楷体" w:eastAsia="楷体" w:cs="楷体"/>
                <w:szCs w:val="24"/>
              </w:rPr>
              <w:t>开户银行：</w:t>
            </w:r>
          </w:p>
          <w:p>
            <w:pPr>
              <w:widowControl/>
              <w:autoSpaceDE w:val="0"/>
              <w:autoSpaceDN w:val="0"/>
              <w:snapToGrid w:val="0"/>
              <w:spacing w:line="360" w:lineRule="auto"/>
              <w:ind w:firstLine="480" w:firstLineChars="200"/>
              <w:textAlignment w:val="bottom"/>
              <w:rPr>
                <w:rFonts w:ascii="楷体" w:hAnsi="楷体" w:eastAsia="楷体" w:cs="楷体"/>
                <w:szCs w:val="24"/>
              </w:rPr>
            </w:pPr>
            <w:r>
              <w:rPr>
                <w:rFonts w:hint="eastAsia" w:ascii="楷体" w:hAnsi="楷体" w:eastAsia="楷体" w:cs="楷体"/>
                <w:szCs w:val="24"/>
              </w:rPr>
              <w:t>帐号：</w:t>
            </w:r>
          </w:p>
        </w:tc>
        <w:tc>
          <w:tcPr>
            <w:tcW w:w="4643" w:type="dxa"/>
          </w:tcPr>
          <w:p>
            <w:pPr>
              <w:widowControl/>
              <w:autoSpaceDE w:val="0"/>
              <w:autoSpaceDN w:val="0"/>
              <w:snapToGrid w:val="0"/>
              <w:spacing w:line="360" w:lineRule="auto"/>
              <w:ind w:firstLine="480" w:firstLineChars="200"/>
              <w:textAlignment w:val="bottom"/>
              <w:rPr>
                <w:rFonts w:ascii="楷体" w:hAnsi="楷体" w:eastAsia="楷体" w:cs="楷体"/>
                <w:szCs w:val="24"/>
              </w:rPr>
            </w:pPr>
            <w:r>
              <w:rPr>
                <w:rFonts w:hint="eastAsia" w:ascii="楷体" w:hAnsi="楷体" w:eastAsia="楷体" w:cs="楷体"/>
                <w:szCs w:val="24"/>
              </w:rPr>
              <w:t>乙方名称</w:t>
            </w:r>
            <w:r>
              <w:rPr>
                <w:rFonts w:hint="eastAsia" w:ascii="楷体" w:hAnsi="楷体" w:eastAsia="楷体" w:cs="楷体"/>
                <w:spacing w:val="-20"/>
                <w:szCs w:val="24"/>
              </w:rPr>
              <w:t>（盖章）</w:t>
            </w:r>
            <w:r>
              <w:rPr>
                <w:rFonts w:hint="eastAsia" w:ascii="楷体" w:hAnsi="楷体" w:eastAsia="楷体" w:cs="楷体"/>
                <w:szCs w:val="24"/>
              </w:rPr>
              <w:t>:</w:t>
            </w:r>
          </w:p>
          <w:p>
            <w:pPr>
              <w:widowControl/>
              <w:autoSpaceDE w:val="0"/>
              <w:autoSpaceDN w:val="0"/>
              <w:snapToGrid w:val="0"/>
              <w:spacing w:line="360" w:lineRule="auto"/>
              <w:ind w:firstLine="480" w:firstLineChars="200"/>
              <w:textAlignment w:val="bottom"/>
              <w:rPr>
                <w:rFonts w:ascii="楷体" w:hAnsi="楷体" w:eastAsia="楷体" w:cs="楷体"/>
                <w:szCs w:val="24"/>
              </w:rPr>
            </w:pPr>
            <w:r>
              <w:rPr>
                <w:rFonts w:hint="eastAsia" w:ascii="楷体" w:hAnsi="楷体" w:eastAsia="楷体" w:cs="楷体"/>
                <w:szCs w:val="24"/>
              </w:rPr>
              <w:t>地址：</w:t>
            </w:r>
          </w:p>
          <w:p>
            <w:pPr>
              <w:widowControl/>
              <w:autoSpaceDE w:val="0"/>
              <w:autoSpaceDN w:val="0"/>
              <w:snapToGrid w:val="0"/>
              <w:spacing w:line="360" w:lineRule="auto"/>
              <w:ind w:firstLine="480" w:firstLineChars="200"/>
              <w:textAlignment w:val="bottom"/>
              <w:rPr>
                <w:rFonts w:ascii="楷体" w:hAnsi="楷体" w:eastAsia="楷体" w:cs="楷体"/>
                <w:szCs w:val="24"/>
              </w:rPr>
            </w:pPr>
            <w:r>
              <w:rPr>
                <w:rFonts w:hint="eastAsia" w:ascii="楷体" w:hAnsi="楷体" w:eastAsia="楷体" w:cs="楷体"/>
                <w:szCs w:val="24"/>
              </w:rPr>
              <w:t>代表人（签字）：</w:t>
            </w:r>
          </w:p>
          <w:p>
            <w:pPr>
              <w:widowControl/>
              <w:autoSpaceDE w:val="0"/>
              <w:autoSpaceDN w:val="0"/>
              <w:snapToGrid w:val="0"/>
              <w:spacing w:line="360" w:lineRule="auto"/>
              <w:ind w:firstLine="480" w:firstLineChars="200"/>
              <w:textAlignment w:val="bottom"/>
              <w:rPr>
                <w:rFonts w:ascii="楷体" w:hAnsi="楷体" w:eastAsia="楷体" w:cs="楷体"/>
                <w:szCs w:val="24"/>
              </w:rPr>
            </w:pPr>
            <w:r>
              <w:rPr>
                <w:rFonts w:hint="eastAsia" w:ascii="楷体" w:hAnsi="楷体" w:eastAsia="楷体" w:cs="楷体"/>
                <w:szCs w:val="24"/>
              </w:rPr>
              <w:t>电话：</w:t>
            </w:r>
          </w:p>
          <w:p>
            <w:pPr>
              <w:widowControl/>
              <w:autoSpaceDE w:val="0"/>
              <w:autoSpaceDN w:val="0"/>
              <w:snapToGrid w:val="0"/>
              <w:spacing w:line="360" w:lineRule="auto"/>
              <w:ind w:firstLine="480" w:firstLineChars="200"/>
              <w:textAlignment w:val="bottom"/>
              <w:rPr>
                <w:rFonts w:ascii="楷体" w:hAnsi="楷体" w:eastAsia="楷体" w:cs="楷体"/>
                <w:szCs w:val="24"/>
              </w:rPr>
            </w:pPr>
            <w:r>
              <w:rPr>
                <w:rFonts w:hint="eastAsia" w:ascii="楷体" w:hAnsi="楷体" w:eastAsia="楷体" w:cs="楷体"/>
                <w:szCs w:val="24"/>
              </w:rPr>
              <w:t>开户银行：</w:t>
            </w:r>
          </w:p>
          <w:p>
            <w:pPr>
              <w:widowControl/>
              <w:autoSpaceDE w:val="0"/>
              <w:autoSpaceDN w:val="0"/>
              <w:snapToGrid w:val="0"/>
              <w:spacing w:line="360" w:lineRule="auto"/>
              <w:ind w:firstLine="480" w:firstLineChars="200"/>
              <w:textAlignment w:val="bottom"/>
              <w:rPr>
                <w:rFonts w:ascii="楷体" w:hAnsi="楷体" w:eastAsia="楷体" w:cs="楷体"/>
                <w:szCs w:val="24"/>
              </w:rPr>
            </w:pPr>
            <w:r>
              <w:rPr>
                <w:rFonts w:hint="eastAsia" w:ascii="楷体" w:hAnsi="楷体" w:eastAsia="楷体" w:cs="楷体"/>
                <w:szCs w:val="24"/>
              </w:rPr>
              <w:t>帐号：</w:t>
            </w:r>
          </w:p>
        </w:tc>
      </w:tr>
    </w:tbl>
    <w:p>
      <w:pPr>
        <w:spacing w:line="360" w:lineRule="auto"/>
        <w:ind w:firstLine="482" w:firstLineChars="200"/>
        <w:jc w:val="center"/>
        <w:rPr>
          <w:rFonts w:ascii="楷体" w:hAnsi="楷体" w:eastAsia="楷体" w:cs="楷体"/>
          <w:b/>
          <w:szCs w:val="24"/>
        </w:rPr>
      </w:pPr>
    </w:p>
    <w:p>
      <w:pPr>
        <w:spacing w:line="360" w:lineRule="auto"/>
        <w:ind w:firstLine="482" w:firstLineChars="200"/>
        <w:jc w:val="center"/>
        <w:rPr>
          <w:rFonts w:ascii="楷体" w:hAnsi="楷体" w:eastAsia="楷体" w:cs="楷体"/>
          <w:b/>
          <w:szCs w:val="24"/>
        </w:rPr>
      </w:pPr>
    </w:p>
    <w:p>
      <w:pPr>
        <w:spacing w:line="360" w:lineRule="auto"/>
        <w:ind w:firstLine="482" w:firstLineChars="200"/>
        <w:jc w:val="center"/>
        <w:rPr>
          <w:rFonts w:ascii="楷体" w:hAnsi="楷体" w:eastAsia="楷体" w:cs="楷体"/>
          <w:b/>
          <w:szCs w:val="24"/>
        </w:rPr>
      </w:pPr>
    </w:p>
    <w:p>
      <w:pPr>
        <w:pStyle w:val="17"/>
        <w:spacing w:line="360" w:lineRule="auto"/>
        <w:ind w:firstLine="482" w:firstLineChars="200"/>
        <w:rPr>
          <w:rFonts w:ascii="楷体" w:hAnsi="楷体" w:eastAsia="楷体" w:cs="楷体"/>
          <w:b/>
          <w:sz w:val="24"/>
          <w:szCs w:val="24"/>
        </w:rPr>
      </w:pPr>
    </w:p>
    <w:p>
      <w:pPr>
        <w:pStyle w:val="3"/>
        <w:spacing w:line="360" w:lineRule="auto"/>
        <w:ind w:firstLine="482" w:firstLineChars="200"/>
        <w:rPr>
          <w:rFonts w:ascii="楷体" w:hAnsi="楷体" w:eastAsia="楷体" w:cs="楷体"/>
          <w:b/>
          <w:sz w:val="24"/>
          <w:szCs w:val="24"/>
        </w:rPr>
      </w:pPr>
    </w:p>
    <w:p>
      <w:pPr>
        <w:pStyle w:val="30"/>
        <w:spacing w:before="0" w:after="0" w:line="360" w:lineRule="auto"/>
        <w:ind w:left="0" w:firstLine="482" w:firstLineChars="200"/>
        <w:rPr>
          <w:rFonts w:ascii="楷体" w:hAnsi="楷体" w:eastAsia="楷体" w:cs="楷体"/>
          <w:b/>
          <w:szCs w:val="24"/>
        </w:rPr>
      </w:pPr>
    </w:p>
    <w:p>
      <w:pPr>
        <w:spacing w:line="360" w:lineRule="auto"/>
        <w:ind w:firstLine="482" w:firstLineChars="200"/>
        <w:rPr>
          <w:rFonts w:ascii="楷体" w:hAnsi="楷体" w:eastAsia="楷体" w:cs="楷体"/>
          <w:b/>
          <w:szCs w:val="24"/>
        </w:rPr>
      </w:pPr>
    </w:p>
    <w:p>
      <w:pPr>
        <w:pStyle w:val="17"/>
        <w:spacing w:line="360" w:lineRule="auto"/>
        <w:ind w:firstLine="482" w:firstLineChars="200"/>
        <w:rPr>
          <w:rFonts w:ascii="楷体" w:hAnsi="楷体" w:eastAsia="楷体" w:cs="楷体"/>
          <w:b/>
          <w:sz w:val="24"/>
          <w:szCs w:val="24"/>
        </w:rPr>
      </w:pPr>
    </w:p>
    <w:p>
      <w:pPr>
        <w:pStyle w:val="3"/>
        <w:spacing w:line="360" w:lineRule="auto"/>
        <w:ind w:firstLine="482" w:firstLineChars="200"/>
        <w:rPr>
          <w:rFonts w:ascii="楷体" w:hAnsi="楷体" w:eastAsia="楷体" w:cs="楷体"/>
          <w:b/>
          <w:sz w:val="24"/>
          <w:szCs w:val="24"/>
        </w:rPr>
      </w:pPr>
    </w:p>
    <w:p>
      <w:pPr>
        <w:pStyle w:val="30"/>
        <w:spacing w:before="0" w:after="0" w:line="360" w:lineRule="auto"/>
        <w:ind w:left="0" w:firstLine="482" w:firstLineChars="200"/>
        <w:rPr>
          <w:rFonts w:ascii="楷体" w:hAnsi="楷体" w:eastAsia="楷体" w:cs="楷体"/>
          <w:b/>
          <w:szCs w:val="24"/>
        </w:rPr>
      </w:pPr>
    </w:p>
    <w:p>
      <w:pPr>
        <w:spacing w:line="360" w:lineRule="auto"/>
        <w:ind w:firstLine="480" w:firstLineChars="200"/>
        <w:rPr>
          <w:rFonts w:ascii="楷体" w:hAnsi="楷体" w:eastAsia="楷体" w:cs="楷体"/>
          <w:szCs w:val="24"/>
        </w:rPr>
      </w:pPr>
    </w:p>
    <w:p>
      <w:pPr>
        <w:tabs>
          <w:tab w:val="left" w:pos="1152"/>
        </w:tabs>
        <w:spacing w:line="360" w:lineRule="auto"/>
        <w:rPr>
          <w:rFonts w:ascii="楷体" w:hAnsi="楷体" w:eastAsia="楷体" w:cs="楷体"/>
          <w:szCs w:val="24"/>
        </w:rPr>
      </w:pPr>
    </w:p>
    <w:p>
      <w:pPr>
        <w:tabs>
          <w:tab w:val="left" w:pos="480"/>
        </w:tabs>
        <w:spacing w:line="360" w:lineRule="auto"/>
        <w:ind w:firstLine="1200" w:firstLineChars="500"/>
        <w:rPr>
          <w:rFonts w:ascii="楷体" w:hAnsi="楷体" w:eastAsia="楷体" w:cs="楷体"/>
        </w:rPr>
      </w:pPr>
    </w:p>
    <w:p>
      <w:pPr>
        <w:pStyle w:val="6"/>
        <w:keepLines/>
        <w:numPr>
          <w:ilvl w:val="0"/>
          <w:numId w:val="7"/>
        </w:numPr>
        <w:jc w:val="center"/>
      </w:pPr>
      <w:bookmarkStart w:id="59" w:name="_Toc5067"/>
      <w:r>
        <w:rPr>
          <w:rFonts w:hint="eastAsia" w:ascii="楷体" w:hAnsi="楷体" w:eastAsia="楷体" w:cs="楷体"/>
          <w:b w:val="0"/>
          <w:sz w:val="36"/>
          <w:szCs w:val="36"/>
        </w:rPr>
        <w:br w:type="page"/>
      </w:r>
      <w:bookmarkStart w:id="60" w:name="_Toc13103"/>
      <w:bookmarkStart w:id="61" w:name="_Toc31098"/>
      <w:r>
        <w:rPr>
          <w:rFonts w:hint="eastAsia" w:ascii="楷体" w:hAnsi="楷体" w:eastAsia="楷体" w:cs="楷体"/>
          <w:bCs/>
          <w:sz w:val="36"/>
          <w:szCs w:val="36"/>
        </w:rPr>
        <w:t xml:space="preserve"> </w:t>
      </w:r>
      <w:bookmarkStart w:id="62" w:name="_Toc32339"/>
      <w:bookmarkStart w:id="63" w:name="_Toc15560"/>
      <w:r>
        <w:rPr>
          <w:rFonts w:hint="eastAsia" w:ascii="楷体" w:hAnsi="楷体" w:eastAsia="楷体" w:cs="楷体"/>
          <w:bCs/>
          <w:sz w:val="36"/>
          <w:szCs w:val="36"/>
        </w:rPr>
        <w:t>采购内容及技术要求</w:t>
      </w:r>
      <w:bookmarkEnd w:id="51"/>
      <w:bookmarkEnd w:id="52"/>
      <w:bookmarkEnd w:id="53"/>
      <w:bookmarkEnd w:id="54"/>
      <w:bookmarkEnd w:id="55"/>
      <w:bookmarkEnd w:id="56"/>
      <w:bookmarkEnd w:id="57"/>
      <w:bookmarkEnd w:id="58"/>
      <w:bookmarkEnd w:id="59"/>
      <w:bookmarkEnd w:id="60"/>
      <w:bookmarkEnd w:id="61"/>
      <w:bookmarkEnd w:id="62"/>
      <w:bookmarkEnd w:id="63"/>
    </w:p>
    <w:p>
      <w:pPr>
        <w:numPr>
          <w:ilvl w:val="0"/>
          <w:numId w:val="8"/>
        </w:numPr>
        <w:spacing w:line="360" w:lineRule="auto"/>
        <w:ind w:left="420" w:firstLine="0"/>
        <w:jc w:val="left"/>
        <w:outlineLvl w:val="1"/>
        <w:rPr>
          <w:rFonts w:ascii="楷体" w:hAnsi="楷体" w:eastAsia="楷体" w:cs="楷体"/>
          <w:b/>
          <w:bCs/>
          <w:sz w:val="32"/>
          <w:szCs w:val="32"/>
        </w:rPr>
      </w:pPr>
      <w:bookmarkStart w:id="64" w:name="_Toc13146"/>
      <w:bookmarkStart w:id="65" w:name="_Toc14916"/>
      <w:bookmarkStart w:id="66" w:name="_Toc13526"/>
      <w:bookmarkStart w:id="67" w:name="_Toc30830"/>
      <w:bookmarkStart w:id="68" w:name="_Toc24068"/>
      <w:bookmarkStart w:id="69" w:name="_Toc1025"/>
      <w:bookmarkStart w:id="70" w:name="_Toc4053"/>
      <w:bookmarkStart w:id="71" w:name="_Toc20481"/>
      <w:bookmarkStart w:id="72" w:name="_Toc23856"/>
      <w:bookmarkStart w:id="73" w:name="_Toc11450"/>
      <w:bookmarkStart w:id="74" w:name="_Toc389582038"/>
      <w:bookmarkStart w:id="75" w:name="_Toc2711"/>
      <w:r>
        <w:rPr>
          <w:rFonts w:hint="eastAsia" w:ascii="楷体" w:hAnsi="楷体" w:eastAsia="楷体" w:cs="楷体"/>
          <w:b/>
          <w:bCs/>
          <w:sz w:val="32"/>
          <w:szCs w:val="32"/>
        </w:rPr>
        <w:t>项目概况</w:t>
      </w:r>
    </w:p>
    <w:p>
      <w:pPr>
        <w:spacing w:line="360" w:lineRule="auto"/>
        <w:rPr>
          <w:rFonts w:ascii="楷体" w:hAnsi="楷体" w:eastAsia="楷体" w:cs="楷体"/>
          <w:b/>
          <w:bCs/>
          <w:sz w:val="28"/>
          <w:szCs w:val="28"/>
        </w:rPr>
      </w:pPr>
      <w:r>
        <w:rPr>
          <w:rFonts w:hint="eastAsia" w:ascii="楷体" w:hAnsi="楷体" w:eastAsia="楷体" w:cs="楷体"/>
          <w:b/>
          <w:bCs/>
          <w:sz w:val="28"/>
          <w:szCs w:val="28"/>
        </w:rPr>
        <w:t>1.项目建设目标与周期</w:t>
      </w:r>
    </w:p>
    <w:p>
      <w:pPr>
        <w:spacing w:line="360" w:lineRule="auto"/>
        <w:ind w:firstLine="480"/>
        <w:rPr>
          <w:rFonts w:ascii="楷体" w:hAnsi="楷体" w:eastAsia="楷体" w:cs="楷体"/>
          <w:b/>
          <w:bCs/>
        </w:rPr>
      </w:pPr>
      <w:r>
        <w:rPr>
          <w:rFonts w:hint="eastAsia" w:ascii="楷体" w:hAnsi="楷体" w:eastAsia="楷体" w:cs="楷体"/>
          <w:b/>
          <w:bCs/>
        </w:rPr>
        <w:t>1.1建设目标</w:t>
      </w:r>
    </w:p>
    <w:p>
      <w:pPr>
        <w:spacing w:line="360" w:lineRule="auto"/>
        <w:ind w:firstLine="480"/>
        <w:rPr>
          <w:rFonts w:ascii="楷体" w:hAnsi="楷体" w:eastAsia="楷体" w:cs="楷体"/>
        </w:rPr>
      </w:pPr>
      <w:r>
        <w:rPr>
          <w:rFonts w:hint="eastAsia" w:ascii="楷体" w:hAnsi="楷体" w:eastAsia="楷体" w:cs="楷体"/>
        </w:rPr>
        <w:t>根据国家发展和改革委员会等九部委（发改高技[2015]996号）和国家发展和改革委员会等三部委《加强公共安全视频监控建设联网应用工作方案（2015-2020年）》（发改办高技[2015]2056号）和《中共陕西省委办公厅 陕西省人民政府办公厅印发&lt;关于加快“雪亮工程”建设的实施意见&gt;的通知》（陕办字[2018]46号）等相关文件精神，勉县“雪亮工程”工作要基本实现全县“全域覆盖、全网共享、全时可用、全程可控”的目标，在加强治安防控、优化交通出行、服务城市管理、创新社会治理等方面取得显著成效。</w:t>
      </w:r>
    </w:p>
    <w:p>
      <w:pPr>
        <w:spacing w:line="360" w:lineRule="auto"/>
        <w:ind w:firstLine="480"/>
        <w:rPr>
          <w:rFonts w:ascii="楷体" w:hAnsi="楷体" w:eastAsia="楷体" w:cs="楷体"/>
        </w:rPr>
      </w:pPr>
      <w:r>
        <w:rPr>
          <w:rFonts w:hint="eastAsia" w:ascii="楷体" w:hAnsi="楷体" w:eastAsia="楷体" w:cs="楷体"/>
        </w:rPr>
        <w:t>——全域覆盖。重点公共区域视频监控覆盖率达到100%，新建、改建高清摄像机比例达到100%；重点行业、领域的重要部位视频监控覆盖率达到100%。</w:t>
      </w:r>
    </w:p>
    <w:p>
      <w:pPr>
        <w:spacing w:line="360" w:lineRule="auto"/>
        <w:ind w:firstLine="480"/>
        <w:rPr>
          <w:rFonts w:ascii="楷体" w:hAnsi="楷体" w:eastAsia="楷体" w:cs="楷体"/>
        </w:rPr>
      </w:pPr>
      <w:r>
        <w:rPr>
          <w:rFonts w:hint="eastAsia" w:ascii="楷体" w:hAnsi="楷体" w:eastAsia="楷体" w:cs="楷体"/>
        </w:rPr>
        <w:t>——全网共享。重点公共区域视频监控联网率达到100%；重点行业、领域涉及公共区域的视频图像资源联网率达到100%。</w:t>
      </w:r>
    </w:p>
    <w:p>
      <w:pPr>
        <w:spacing w:line="360" w:lineRule="auto"/>
        <w:ind w:firstLine="480"/>
        <w:rPr>
          <w:rFonts w:ascii="楷体" w:hAnsi="楷体" w:eastAsia="楷体" w:cs="楷体"/>
        </w:rPr>
      </w:pPr>
      <w:r>
        <w:rPr>
          <w:rFonts w:hint="eastAsia" w:ascii="楷体" w:hAnsi="楷体" w:eastAsia="楷体" w:cs="楷体"/>
        </w:rPr>
        <w:t>——全时可用。重点公共区域安装的视频监控摄像机完好率达到98%，重点行业、领域安装的涉及公共区域的视频监控摄像机完好率达到95%，实现视频图像信息的全天候应用。</w:t>
      </w:r>
    </w:p>
    <w:p>
      <w:pPr>
        <w:spacing w:line="360" w:lineRule="auto"/>
        <w:ind w:firstLine="480"/>
        <w:rPr>
          <w:rFonts w:ascii="楷体" w:hAnsi="楷体" w:eastAsia="楷体" w:cs="楷体"/>
        </w:rPr>
      </w:pPr>
      <w:r>
        <w:rPr>
          <w:rFonts w:hint="eastAsia" w:ascii="楷体" w:hAnsi="楷体" w:eastAsia="楷体" w:cs="楷体"/>
        </w:rPr>
        <w:t>——全程可控。公共安全视频监控系统联网应用的分层安全体系基本建成，实现重要视频图像信息不失控，敏感视频图像信息不泄露。</w:t>
      </w:r>
    </w:p>
    <w:p>
      <w:pPr>
        <w:spacing w:line="360" w:lineRule="auto"/>
        <w:ind w:firstLine="480"/>
        <w:rPr>
          <w:rFonts w:ascii="楷体" w:hAnsi="楷体" w:eastAsia="楷体" w:cs="楷体"/>
          <w:b/>
          <w:bCs/>
        </w:rPr>
      </w:pPr>
      <w:r>
        <w:rPr>
          <w:rFonts w:hint="eastAsia" w:ascii="楷体" w:hAnsi="楷体" w:eastAsia="楷体" w:cs="楷体"/>
          <w:b/>
          <w:bCs/>
        </w:rPr>
        <w:t>1.2建设周期</w:t>
      </w:r>
    </w:p>
    <w:p>
      <w:pPr>
        <w:spacing w:line="360" w:lineRule="auto"/>
        <w:ind w:firstLine="480"/>
        <w:rPr>
          <w:rFonts w:ascii="楷体" w:hAnsi="楷体" w:eastAsia="楷体" w:cs="楷体"/>
        </w:rPr>
      </w:pPr>
      <w:r>
        <w:rPr>
          <w:rFonts w:hint="eastAsia" w:ascii="楷体" w:hAnsi="楷体" w:eastAsia="楷体" w:cs="楷体"/>
        </w:rPr>
        <w:t>建设周期：自合同签订之日起150个日历日。</w:t>
      </w:r>
    </w:p>
    <w:p>
      <w:pPr>
        <w:spacing w:line="360" w:lineRule="auto"/>
        <w:ind w:firstLine="480"/>
        <w:rPr>
          <w:rFonts w:ascii="楷体" w:hAnsi="楷体" w:eastAsia="楷体" w:cs="楷体"/>
          <w:b/>
          <w:bCs/>
        </w:rPr>
      </w:pPr>
      <w:r>
        <w:rPr>
          <w:rFonts w:hint="eastAsia" w:ascii="楷体" w:hAnsi="楷体" w:eastAsia="楷体" w:cs="楷体"/>
          <w:b/>
          <w:bCs/>
        </w:rPr>
        <w:t>1.3建设依据</w:t>
      </w:r>
    </w:p>
    <w:p>
      <w:pPr>
        <w:spacing w:line="360" w:lineRule="auto"/>
        <w:ind w:firstLine="480"/>
        <w:rPr>
          <w:rFonts w:ascii="楷体" w:hAnsi="楷体" w:eastAsia="楷体" w:cs="楷体"/>
        </w:rPr>
      </w:pPr>
      <w:r>
        <w:rPr>
          <w:rFonts w:hint="eastAsia" w:ascii="楷体" w:hAnsi="楷体" w:eastAsia="楷体" w:cs="楷体"/>
        </w:rPr>
        <w:t>本次项目依据国家相关法律规章、国家和行业相关标准等进行规划设计，具体如下：</w:t>
      </w:r>
    </w:p>
    <w:p>
      <w:pPr>
        <w:spacing w:line="360" w:lineRule="auto"/>
        <w:ind w:firstLine="480"/>
        <w:rPr>
          <w:rFonts w:ascii="楷体" w:hAnsi="楷体" w:eastAsia="楷体" w:cs="楷体"/>
          <w:b/>
          <w:bCs/>
        </w:rPr>
      </w:pPr>
      <w:bookmarkStart w:id="76" w:name="_Toc72161155"/>
      <w:bookmarkStart w:id="77" w:name="_Toc62321365"/>
      <w:r>
        <w:rPr>
          <w:rFonts w:hint="eastAsia" w:ascii="楷体" w:hAnsi="楷体" w:eastAsia="楷体" w:cs="楷体"/>
          <w:b/>
          <w:bCs/>
        </w:rPr>
        <w:t>1.3.1相关政策要求</w:t>
      </w:r>
      <w:bookmarkEnd w:id="76"/>
      <w:bookmarkEnd w:id="77"/>
    </w:p>
    <w:p>
      <w:pPr>
        <w:spacing w:line="360" w:lineRule="auto"/>
        <w:ind w:firstLine="480"/>
        <w:rPr>
          <w:rFonts w:ascii="楷体" w:hAnsi="楷体" w:eastAsia="楷体" w:cs="楷体"/>
          <w:snapToGrid w:val="0"/>
          <w:szCs w:val="24"/>
        </w:rPr>
      </w:pPr>
      <w:r>
        <w:rPr>
          <w:rFonts w:hint="eastAsia" w:ascii="楷体" w:hAnsi="楷体" w:eastAsia="楷体" w:cs="楷体"/>
          <w:snapToGrid w:val="0"/>
          <w:szCs w:val="24"/>
        </w:rPr>
        <w:t>《关于加强公共安全视频监控建设联网应用工作的若干意见》（发改高技[2015]996号）</w:t>
      </w:r>
    </w:p>
    <w:p>
      <w:pPr>
        <w:spacing w:line="360" w:lineRule="auto"/>
        <w:ind w:firstLine="480"/>
        <w:rPr>
          <w:rFonts w:ascii="楷体" w:hAnsi="楷体" w:eastAsia="楷体" w:cs="楷体"/>
          <w:szCs w:val="24"/>
        </w:rPr>
      </w:pPr>
      <w:r>
        <w:rPr>
          <w:rFonts w:hint="eastAsia" w:ascii="楷体" w:hAnsi="楷体" w:eastAsia="楷体" w:cs="楷体"/>
          <w:szCs w:val="24"/>
        </w:rPr>
        <w:t>《关于加强社会治安防控体系建设的意见》（中办发〔2014〕69号）</w:t>
      </w:r>
    </w:p>
    <w:p>
      <w:pPr>
        <w:spacing w:line="360" w:lineRule="auto"/>
        <w:ind w:firstLine="480"/>
        <w:rPr>
          <w:rFonts w:ascii="楷体" w:hAnsi="楷体" w:eastAsia="楷体" w:cs="楷体"/>
          <w:szCs w:val="24"/>
        </w:rPr>
      </w:pPr>
      <w:r>
        <w:rPr>
          <w:rFonts w:hint="eastAsia" w:ascii="楷体" w:hAnsi="楷体" w:eastAsia="楷体" w:cs="楷体"/>
          <w:szCs w:val="24"/>
        </w:rPr>
        <w:t>《关于推进社会治安综合治理信信息化建设的若干意见》（中综办 [2014]27号）</w:t>
      </w:r>
    </w:p>
    <w:p>
      <w:pPr>
        <w:spacing w:line="360" w:lineRule="auto"/>
        <w:ind w:firstLine="480"/>
        <w:rPr>
          <w:rFonts w:ascii="楷体" w:hAnsi="楷体" w:eastAsia="楷体" w:cs="楷体"/>
          <w:szCs w:val="24"/>
        </w:rPr>
      </w:pPr>
      <w:r>
        <w:rPr>
          <w:rFonts w:hint="eastAsia" w:ascii="楷体" w:hAnsi="楷体" w:eastAsia="楷体" w:cs="楷体"/>
          <w:szCs w:val="24"/>
        </w:rPr>
        <w:t>《公共安全视频监控建设联网应用“十三五”规划方案》（中综密〔2016〕182号）</w:t>
      </w:r>
    </w:p>
    <w:p>
      <w:pPr>
        <w:spacing w:line="360" w:lineRule="auto"/>
        <w:ind w:firstLine="480"/>
        <w:rPr>
          <w:rFonts w:ascii="楷体" w:hAnsi="楷体" w:eastAsia="楷体" w:cs="楷体"/>
          <w:szCs w:val="24"/>
        </w:rPr>
      </w:pPr>
      <w:r>
        <w:rPr>
          <w:rFonts w:hint="eastAsia" w:ascii="楷体" w:hAnsi="楷体" w:eastAsia="楷体" w:cs="楷体"/>
          <w:szCs w:val="24"/>
        </w:rPr>
        <w:t>陕西省委办公厅、陕西省人民政府办公厅《关于加快“雪亮工程”建设实施意见》（陕办字[2018]46号）</w:t>
      </w:r>
    </w:p>
    <w:p>
      <w:pPr>
        <w:spacing w:line="360" w:lineRule="auto"/>
        <w:ind w:firstLine="480"/>
        <w:rPr>
          <w:rFonts w:ascii="楷体" w:hAnsi="楷体" w:eastAsia="楷体" w:cs="楷体"/>
          <w:szCs w:val="24"/>
        </w:rPr>
      </w:pPr>
      <w:r>
        <w:rPr>
          <w:rFonts w:hint="eastAsia" w:ascii="楷体" w:hAnsi="楷体" w:eastAsia="楷体" w:cs="楷体"/>
          <w:szCs w:val="24"/>
        </w:rPr>
        <w:t>《关于推进全省“雪亮工程”建设工作的通知》（陕综治办字[2017]27号）</w:t>
      </w:r>
    </w:p>
    <w:p>
      <w:pPr>
        <w:spacing w:line="360" w:lineRule="auto"/>
        <w:ind w:firstLine="480"/>
      </w:pPr>
      <w:r>
        <w:rPr>
          <w:rFonts w:hint="eastAsia" w:ascii="楷体" w:hAnsi="楷体" w:eastAsia="楷体" w:cs="楷体"/>
          <w:szCs w:val="24"/>
        </w:rPr>
        <w:t>《陕西省“雪亮工程”规划设计方案》（2018-2020）</w:t>
      </w:r>
    </w:p>
    <w:p>
      <w:pPr>
        <w:spacing w:line="360" w:lineRule="auto"/>
        <w:ind w:firstLine="480"/>
        <w:rPr>
          <w:rFonts w:ascii="楷体" w:hAnsi="楷体" w:eastAsia="楷体" w:cs="楷体"/>
          <w:b/>
          <w:bCs/>
          <w:szCs w:val="24"/>
        </w:rPr>
      </w:pPr>
      <w:bookmarkStart w:id="78" w:name="_Toc62321367"/>
      <w:bookmarkStart w:id="79" w:name="_Toc72161157"/>
      <w:r>
        <w:rPr>
          <w:rFonts w:hint="eastAsia" w:ascii="楷体" w:hAnsi="楷体" w:eastAsia="楷体" w:cs="楷体"/>
          <w:b/>
          <w:bCs/>
          <w:szCs w:val="24"/>
        </w:rPr>
        <w:t>1.1.3.3技术标准</w:t>
      </w:r>
      <w:bookmarkEnd w:id="78"/>
      <w:bookmarkEnd w:id="79"/>
    </w:p>
    <w:p>
      <w:pPr>
        <w:spacing w:line="360" w:lineRule="auto"/>
        <w:ind w:firstLine="480"/>
        <w:rPr>
          <w:rFonts w:ascii="楷体" w:hAnsi="楷体" w:eastAsia="楷体" w:cs="楷体"/>
          <w:szCs w:val="24"/>
        </w:rPr>
      </w:pPr>
      <w:r>
        <w:rPr>
          <w:rFonts w:hint="eastAsia" w:ascii="楷体" w:hAnsi="楷体" w:eastAsia="楷体" w:cs="楷体"/>
          <w:b/>
          <w:szCs w:val="24"/>
        </w:rPr>
        <w:t>公</w:t>
      </w:r>
      <w:r>
        <w:rPr>
          <w:rFonts w:hint="eastAsia" w:ascii="楷体" w:hAnsi="楷体" w:eastAsia="楷体" w:cs="楷体"/>
          <w:szCs w:val="24"/>
        </w:rPr>
        <w:t>安信息系统类标准</w:t>
      </w:r>
    </w:p>
    <w:p>
      <w:pPr>
        <w:spacing w:line="360" w:lineRule="auto"/>
        <w:ind w:firstLine="480"/>
        <w:rPr>
          <w:rFonts w:ascii="楷体" w:hAnsi="楷体" w:eastAsia="楷体" w:cs="楷体"/>
          <w:szCs w:val="24"/>
        </w:rPr>
      </w:pPr>
      <w:r>
        <w:rPr>
          <w:rFonts w:hint="eastAsia" w:ascii="楷体" w:hAnsi="楷体" w:eastAsia="楷体" w:cs="楷体"/>
          <w:szCs w:val="24"/>
        </w:rPr>
        <w:t>《公安视频图像信息应用系统第1部分：通用技术要求》（GA/T 1400.1-2017）、</w:t>
      </w:r>
    </w:p>
    <w:p>
      <w:pPr>
        <w:spacing w:line="360" w:lineRule="auto"/>
        <w:ind w:firstLine="480"/>
        <w:rPr>
          <w:rFonts w:ascii="楷体" w:hAnsi="楷体" w:eastAsia="楷体" w:cs="楷体"/>
          <w:szCs w:val="24"/>
        </w:rPr>
      </w:pPr>
      <w:r>
        <w:rPr>
          <w:rFonts w:hint="eastAsia" w:ascii="楷体" w:hAnsi="楷体" w:eastAsia="楷体" w:cs="楷体"/>
          <w:szCs w:val="24"/>
        </w:rPr>
        <w:t>《公安视频图像信息应用系统第2部分：应用平台技术要求》（GA/T 1400.2-2017）、</w:t>
      </w:r>
    </w:p>
    <w:p>
      <w:pPr>
        <w:spacing w:line="360" w:lineRule="auto"/>
        <w:ind w:firstLine="480"/>
        <w:rPr>
          <w:rFonts w:ascii="楷体" w:hAnsi="楷体" w:eastAsia="楷体" w:cs="楷体"/>
          <w:szCs w:val="24"/>
        </w:rPr>
      </w:pPr>
      <w:r>
        <w:rPr>
          <w:rFonts w:hint="eastAsia" w:ascii="楷体" w:hAnsi="楷体" w:eastAsia="楷体" w:cs="楷体"/>
          <w:szCs w:val="24"/>
        </w:rPr>
        <w:t>《公安视频图像信息应用系统第3部分：数据库技术要求》（GA/T 1400.3-2017）、</w:t>
      </w:r>
    </w:p>
    <w:p>
      <w:pPr>
        <w:spacing w:line="360" w:lineRule="auto"/>
        <w:ind w:firstLine="480"/>
        <w:rPr>
          <w:rFonts w:ascii="楷体" w:hAnsi="楷体" w:eastAsia="楷体" w:cs="楷体"/>
          <w:szCs w:val="24"/>
        </w:rPr>
      </w:pPr>
      <w:r>
        <w:rPr>
          <w:rFonts w:hint="eastAsia" w:ascii="楷体" w:hAnsi="楷体" w:eastAsia="楷体" w:cs="楷体"/>
          <w:szCs w:val="24"/>
        </w:rPr>
        <w:t>《公安视频图像分析系统 第1部分：通用技术要求》（GA/T 1399.1-2017）</w:t>
      </w:r>
    </w:p>
    <w:p>
      <w:pPr>
        <w:spacing w:line="360" w:lineRule="auto"/>
        <w:ind w:firstLine="480"/>
        <w:rPr>
          <w:rFonts w:ascii="楷体" w:hAnsi="楷体" w:eastAsia="楷体" w:cs="楷体"/>
          <w:szCs w:val="24"/>
        </w:rPr>
      </w:pPr>
      <w:r>
        <w:rPr>
          <w:rFonts w:hint="eastAsia" w:ascii="楷体" w:hAnsi="楷体" w:eastAsia="楷体" w:cs="楷体"/>
          <w:szCs w:val="24"/>
        </w:rPr>
        <w:t>《公安视频图像分析系统 第2部分：视频图像内容分析及描述技术要求》（GA/T 1399.2-2017）等）</w:t>
      </w:r>
    </w:p>
    <w:p>
      <w:pPr>
        <w:spacing w:line="360" w:lineRule="auto"/>
        <w:ind w:firstLine="480"/>
        <w:rPr>
          <w:rFonts w:ascii="楷体" w:hAnsi="楷体" w:eastAsia="楷体" w:cs="楷体"/>
          <w:b/>
          <w:szCs w:val="24"/>
        </w:rPr>
      </w:pPr>
      <w:r>
        <w:rPr>
          <w:rFonts w:hint="eastAsia" w:ascii="楷体" w:hAnsi="楷体" w:eastAsia="楷体" w:cs="楷体"/>
          <w:b/>
          <w:szCs w:val="24"/>
        </w:rPr>
        <w:t>视频监控联网应用类标准</w:t>
      </w:r>
    </w:p>
    <w:p>
      <w:pPr>
        <w:spacing w:line="360" w:lineRule="auto"/>
        <w:ind w:firstLine="480"/>
        <w:rPr>
          <w:rFonts w:ascii="楷体" w:hAnsi="楷体" w:eastAsia="楷体" w:cs="楷体"/>
          <w:szCs w:val="24"/>
        </w:rPr>
      </w:pPr>
      <w:r>
        <w:rPr>
          <w:rFonts w:hint="eastAsia" w:ascii="楷体" w:hAnsi="楷体" w:eastAsia="楷体" w:cs="楷体"/>
          <w:szCs w:val="24"/>
        </w:rPr>
        <w:t>《公共安全视频监控联网系统信息传输、交换、控制技术要求》（GB/T 28181-2016）、</w:t>
      </w:r>
    </w:p>
    <w:p>
      <w:pPr>
        <w:spacing w:line="360" w:lineRule="auto"/>
        <w:ind w:firstLine="480"/>
        <w:rPr>
          <w:rFonts w:ascii="楷体" w:hAnsi="楷体" w:eastAsia="楷体" w:cs="楷体"/>
          <w:szCs w:val="24"/>
        </w:rPr>
      </w:pPr>
      <w:r>
        <w:rPr>
          <w:rFonts w:hint="eastAsia" w:ascii="楷体" w:hAnsi="楷体" w:eastAsia="楷体" w:cs="楷体"/>
          <w:szCs w:val="24"/>
        </w:rPr>
        <w:t>《公共安全视频监控联网信息安全技术要求》（GB 35114-2017）、</w:t>
      </w:r>
    </w:p>
    <w:p>
      <w:pPr>
        <w:spacing w:line="360" w:lineRule="auto"/>
        <w:ind w:firstLine="480"/>
        <w:rPr>
          <w:rFonts w:ascii="楷体" w:hAnsi="楷体" w:eastAsia="楷体" w:cs="楷体"/>
          <w:szCs w:val="24"/>
        </w:rPr>
      </w:pPr>
      <w:r>
        <w:rPr>
          <w:rFonts w:hint="eastAsia" w:ascii="楷体" w:hAnsi="楷体" w:eastAsia="楷体" w:cs="楷体"/>
          <w:szCs w:val="24"/>
        </w:rPr>
        <w:t>《安全防范工程技术规范》(GB 50348-2018)、</w:t>
      </w:r>
    </w:p>
    <w:p>
      <w:pPr>
        <w:spacing w:line="360" w:lineRule="auto"/>
        <w:ind w:firstLine="480"/>
        <w:rPr>
          <w:rFonts w:ascii="楷体" w:hAnsi="楷体" w:eastAsia="楷体" w:cs="楷体"/>
          <w:szCs w:val="24"/>
        </w:rPr>
      </w:pPr>
      <w:r>
        <w:rPr>
          <w:rFonts w:hint="eastAsia" w:ascii="楷体" w:hAnsi="楷体" w:eastAsia="楷体" w:cs="楷体"/>
          <w:szCs w:val="24"/>
        </w:rPr>
        <w:t>《</w:t>
      </w:r>
      <w:r>
        <w:rPr>
          <w:rFonts w:ascii="楷体" w:hAnsi="楷体" w:eastAsia="楷体" w:cs="楷体"/>
          <w:szCs w:val="24"/>
        </w:rPr>
        <w:t>公共安全重点区域视频图像信息采集规范</w:t>
      </w:r>
      <w:r>
        <w:rPr>
          <w:rFonts w:hint="eastAsia" w:ascii="楷体" w:hAnsi="楷体" w:eastAsia="楷体" w:cs="楷体"/>
          <w:szCs w:val="24"/>
        </w:rPr>
        <w:t>》（</w:t>
      </w:r>
      <w:r>
        <w:rPr>
          <w:rFonts w:ascii="楷体" w:hAnsi="楷体" w:eastAsia="楷体" w:cs="楷体"/>
          <w:szCs w:val="24"/>
        </w:rPr>
        <w:t>GB 37300-2018</w:t>
      </w:r>
      <w:r>
        <w:rPr>
          <w:rFonts w:hint="eastAsia" w:ascii="楷体" w:hAnsi="楷体" w:eastAsia="楷体" w:cs="楷体"/>
          <w:szCs w:val="24"/>
        </w:rPr>
        <w:t>）、</w:t>
      </w:r>
    </w:p>
    <w:p>
      <w:pPr>
        <w:spacing w:line="360" w:lineRule="auto"/>
        <w:ind w:firstLine="480"/>
        <w:rPr>
          <w:rFonts w:ascii="楷体" w:hAnsi="楷体" w:eastAsia="楷体" w:cs="楷体"/>
          <w:szCs w:val="24"/>
        </w:rPr>
      </w:pPr>
      <w:r>
        <w:rPr>
          <w:rFonts w:hint="eastAsia" w:ascii="楷体" w:hAnsi="楷体" w:eastAsia="楷体" w:cs="楷体"/>
          <w:szCs w:val="24"/>
        </w:rPr>
        <w:t>《公共安全视频监控数字视音频 编解码技术要求》（G</w:t>
      </w:r>
      <w:r>
        <w:rPr>
          <w:rFonts w:ascii="楷体" w:hAnsi="楷体" w:eastAsia="楷体" w:cs="楷体"/>
          <w:szCs w:val="24"/>
        </w:rPr>
        <w:t>B 25724</w:t>
      </w:r>
      <w:r>
        <w:rPr>
          <w:rFonts w:hint="eastAsia" w:ascii="楷体" w:hAnsi="楷体" w:eastAsia="楷体" w:cs="楷体"/>
          <w:szCs w:val="24"/>
        </w:rPr>
        <w:t>-</w:t>
      </w:r>
      <w:r>
        <w:rPr>
          <w:rFonts w:ascii="楷体" w:hAnsi="楷体" w:eastAsia="楷体" w:cs="楷体"/>
          <w:szCs w:val="24"/>
        </w:rPr>
        <w:t>2017</w:t>
      </w:r>
      <w:r>
        <w:rPr>
          <w:rFonts w:hint="eastAsia" w:ascii="楷体" w:hAnsi="楷体" w:eastAsia="楷体" w:cs="楷体"/>
          <w:szCs w:val="24"/>
        </w:rPr>
        <w:t>）、</w:t>
      </w:r>
    </w:p>
    <w:p>
      <w:pPr>
        <w:spacing w:line="360" w:lineRule="auto"/>
        <w:ind w:firstLine="480"/>
        <w:rPr>
          <w:rFonts w:ascii="楷体" w:hAnsi="楷体" w:eastAsia="楷体" w:cs="楷体"/>
          <w:szCs w:val="24"/>
        </w:rPr>
      </w:pPr>
      <w:r>
        <w:rPr>
          <w:rFonts w:hint="eastAsia" w:ascii="楷体" w:hAnsi="楷体" w:eastAsia="楷体" w:cs="楷体"/>
          <w:szCs w:val="24"/>
        </w:rPr>
        <w:t>公共视频图像信息系统安全技术要求第1部分：通用要求（GA/</w:t>
      </w:r>
      <w:r>
        <w:rPr>
          <w:rFonts w:ascii="楷体" w:hAnsi="楷体" w:eastAsia="楷体" w:cs="楷体"/>
          <w:szCs w:val="24"/>
        </w:rPr>
        <w:t>T1788.1</w:t>
      </w:r>
      <w:r>
        <w:rPr>
          <w:rFonts w:hint="eastAsia" w:ascii="楷体" w:hAnsi="楷体" w:eastAsia="楷体" w:cs="楷体"/>
          <w:szCs w:val="24"/>
        </w:rPr>
        <w:t>-</w:t>
      </w:r>
      <w:r>
        <w:rPr>
          <w:rFonts w:ascii="楷体" w:hAnsi="楷体" w:eastAsia="楷体" w:cs="楷体"/>
          <w:szCs w:val="24"/>
        </w:rPr>
        <w:t>2021</w:t>
      </w:r>
      <w:r>
        <w:rPr>
          <w:rFonts w:hint="eastAsia" w:ascii="楷体" w:hAnsi="楷体" w:eastAsia="楷体" w:cs="楷体"/>
          <w:szCs w:val="24"/>
        </w:rPr>
        <w:t>）、</w:t>
      </w:r>
    </w:p>
    <w:p>
      <w:pPr>
        <w:spacing w:line="360" w:lineRule="auto"/>
        <w:ind w:firstLine="480"/>
        <w:rPr>
          <w:rFonts w:ascii="楷体" w:hAnsi="楷体" w:eastAsia="楷体" w:cs="楷体"/>
          <w:szCs w:val="24"/>
        </w:rPr>
      </w:pPr>
      <w:r>
        <w:rPr>
          <w:rFonts w:hint="eastAsia" w:ascii="楷体" w:hAnsi="楷体" w:eastAsia="楷体" w:cs="楷体"/>
          <w:szCs w:val="24"/>
        </w:rPr>
        <w:t>公共视频图像信息系统安全技术要求21部分：前端设备（GA/</w:t>
      </w:r>
      <w:r>
        <w:rPr>
          <w:rFonts w:ascii="楷体" w:hAnsi="楷体" w:eastAsia="楷体" w:cs="楷体"/>
          <w:szCs w:val="24"/>
        </w:rPr>
        <w:t>T1788.2</w:t>
      </w:r>
      <w:r>
        <w:rPr>
          <w:rFonts w:hint="eastAsia" w:ascii="楷体" w:hAnsi="楷体" w:eastAsia="楷体" w:cs="楷体"/>
          <w:szCs w:val="24"/>
        </w:rPr>
        <w:t>-</w:t>
      </w:r>
      <w:r>
        <w:rPr>
          <w:rFonts w:ascii="楷体" w:hAnsi="楷体" w:eastAsia="楷体" w:cs="楷体"/>
          <w:szCs w:val="24"/>
        </w:rPr>
        <w:t>2021</w:t>
      </w:r>
      <w:r>
        <w:rPr>
          <w:rFonts w:hint="eastAsia" w:ascii="楷体" w:hAnsi="楷体" w:eastAsia="楷体" w:cs="楷体"/>
          <w:szCs w:val="24"/>
        </w:rPr>
        <w:t>）、</w:t>
      </w:r>
    </w:p>
    <w:p>
      <w:pPr>
        <w:spacing w:line="360" w:lineRule="auto"/>
        <w:ind w:firstLine="480"/>
        <w:rPr>
          <w:rFonts w:ascii="楷体" w:hAnsi="楷体" w:eastAsia="楷体" w:cs="楷体"/>
          <w:szCs w:val="24"/>
        </w:rPr>
      </w:pPr>
      <w:r>
        <w:rPr>
          <w:rFonts w:hint="eastAsia" w:ascii="楷体" w:hAnsi="楷体" w:eastAsia="楷体" w:cs="楷体"/>
          <w:szCs w:val="24"/>
        </w:rPr>
        <w:t>公共视频图像信息系统安全技术要求第三部分：安全交互（GA/</w:t>
      </w:r>
      <w:r>
        <w:rPr>
          <w:rFonts w:ascii="楷体" w:hAnsi="楷体" w:eastAsia="楷体" w:cs="楷体"/>
          <w:szCs w:val="24"/>
        </w:rPr>
        <w:t>T1788.3</w:t>
      </w:r>
      <w:r>
        <w:rPr>
          <w:rFonts w:hint="eastAsia" w:ascii="楷体" w:hAnsi="楷体" w:eastAsia="楷体" w:cs="楷体"/>
          <w:szCs w:val="24"/>
        </w:rPr>
        <w:t>-</w:t>
      </w:r>
      <w:r>
        <w:rPr>
          <w:rFonts w:ascii="楷体" w:hAnsi="楷体" w:eastAsia="楷体" w:cs="楷体"/>
          <w:szCs w:val="24"/>
        </w:rPr>
        <w:t>2021</w:t>
      </w:r>
      <w:r>
        <w:rPr>
          <w:rFonts w:hint="eastAsia" w:ascii="楷体" w:hAnsi="楷体" w:eastAsia="楷体" w:cs="楷体"/>
          <w:szCs w:val="24"/>
        </w:rPr>
        <w:t>）、</w:t>
      </w:r>
    </w:p>
    <w:p>
      <w:pPr>
        <w:spacing w:line="360" w:lineRule="auto"/>
        <w:ind w:firstLine="480"/>
        <w:rPr>
          <w:rFonts w:ascii="楷体" w:hAnsi="楷体" w:eastAsia="楷体" w:cs="楷体"/>
          <w:szCs w:val="24"/>
        </w:rPr>
      </w:pPr>
      <w:r>
        <w:rPr>
          <w:rFonts w:hint="eastAsia" w:ascii="楷体" w:hAnsi="楷体" w:eastAsia="楷体" w:cs="楷体"/>
          <w:szCs w:val="24"/>
        </w:rPr>
        <w:t>公共视频图像信息系统安全技术要求第4部分：安全管理平台（GA/</w:t>
      </w:r>
      <w:r>
        <w:rPr>
          <w:rFonts w:ascii="楷体" w:hAnsi="楷体" w:eastAsia="楷体" w:cs="楷体"/>
          <w:szCs w:val="24"/>
        </w:rPr>
        <w:t>T1788.4</w:t>
      </w:r>
      <w:r>
        <w:rPr>
          <w:rFonts w:hint="eastAsia" w:ascii="楷体" w:hAnsi="楷体" w:eastAsia="楷体" w:cs="楷体"/>
          <w:szCs w:val="24"/>
        </w:rPr>
        <w:t>-</w:t>
      </w:r>
      <w:r>
        <w:rPr>
          <w:rFonts w:ascii="楷体" w:hAnsi="楷体" w:eastAsia="楷体" w:cs="楷体"/>
          <w:szCs w:val="24"/>
        </w:rPr>
        <w:t>2021</w:t>
      </w:r>
      <w:r>
        <w:rPr>
          <w:rFonts w:hint="eastAsia" w:ascii="楷体" w:hAnsi="楷体" w:eastAsia="楷体" w:cs="楷体"/>
          <w:szCs w:val="24"/>
        </w:rPr>
        <w:t>）、</w:t>
      </w:r>
    </w:p>
    <w:p>
      <w:pPr>
        <w:spacing w:line="360" w:lineRule="auto"/>
        <w:ind w:firstLine="480"/>
      </w:pPr>
      <w:r>
        <w:rPr>
          <w:rFonts w:hint="eastAsia" w:ascii="楷体" w:hAnsi="楷体" w:eastAsia="楷体" w:cs="楷体"/>
          <w:szCs w:val="24"/>
        </w:rPr>
        <w:t>公共安全社会视频资源安全联网设备技术要求（GA/</w:t>
      </w:r>
      <w:r>
        <w:rPr>
          <w:rFonts w:ascii="楷体" w:hAnsi="楷体" w:eastAsia="楷体" w:cs="楷体"/>
          <w:szCs w:val="24"/>
        </w:rPr>
        <w:t>T1781</w:t>
      </w:r>
      <w:r>
        <w:rPr>
          <w:rFonts w:hint="eastAsia" w:ascii="楷体" w:hAnsi="楷体" w:eastAsia="楷体" w:cs="楷体"/>
          <w:szCs w:val="24"/>
        </w:rPr>
        <w:t>-</w:t>
      </w:r>
      <w:r>
        <w:rPr>
          <w:rFonts w:ascii="楷体" w:hAnsi="楷体" w:eastAsia="楷体" w:cs="楷体"/>
          <w:szCs w:val="24"/>
        </w:rPr>
        <w:t>2021</w:t>
      </w:r>
      <w:r>
        <w:rPr>
          <w:rFonts w:hint="eastAsia" w:ascii="楷体" w:hAnsi="楷体" w:eastAsia="楷体" w:cs="楷体"/>
          <w:szCs w:val="24"/>
        </w:rPr>
        <w:t>）</w:t>
      </w:r>
    </w:p>
    <w:p>
      <w:pPr>
        <w:spacing w:line="360" w:lineRule="auto"/>
        <w:ind w:firstLine="482"/>
        <w:rPr>
          <w:rFonts w:ascii="楷体" w:hAnsi="楷体" w:eastAsia="楷体" w:cs="楷体"/>
          <w:b/>
          <w:szCs w:val="24"/>
        </w:rPr>
      </w:pPr>
      <w:r>
        <w:rPr>
          <w:rFonts w:hint="eastAsia" w:ascii="楷体" w:hAnsi="楷体" w:eastAsia="楷体" w:cs="楷体"/>
          <w:b/>
          <w:szCs w:val="24"/>
        </w:rPr>
        <w:t>3）综治类相关规范标准</w:t>
      </w:r>
    </w:p>
    <w:p>
      <w:pPr>
        <w:spacing w:line="360" w:lineRule="auto"/>
        <w:ind w:firstLine="480"/>
        <w:rPr>
          <w:rFonts w:ascii="楷体" w:hAnsi="楷体" w:eastAsia="楷体" w:cs="楷体"/>
          <w:szCs w:val="24"/>
        </w:rPr>
      </w:pPr>
      <w:r>
        <w:rPr>
          <w:rFonts w:hint="eastAsia" w:ascii="楷体" w:hAnsi="楷体" w:eastAsia="楷体" w:cs="楷体"/>
          <w:szCs w:val="24"/>
        </w:rPr>
        <w:t>《社会治安综合治理基础数据规范》（GB/T 31000-2015）</w:t>
      </w:r>
    </w:p>
    <w:p>
      <w:pPr>
        <w:spacing w:line="360" w:lineRule="auto"/>
        <w:ind w:firstLine="480"/>
        <w:rPr>
          <w:rFonts w:ascii="楷体" w:hAnsi="楷体" w:eastAsia="楷体" w:cs="楷体"/>
          <w:szCs w:val="24"/>
        </w:rPr>
      </w:pPr>
      <w:r>
        <w:rPr>
          <w:rFonts w:hint="eastAsia" w:ascii="楷体" w:hAnsi="楷体" w:eastAsia="楷体" w:cs="楷体"/>
          <w:szCs w:val="24"/>
        </w:rPr>
        <w:t>《社会治安综合治理综治中心建设与管理规范》（GB/T 33200-2016）</w:t>
      </w:r>
    </w:p>
    <w:p>
      <w:pPr>
        <w:spacing w:line="360" w:lineRule="auto"/>
        <w:ind w:firstLine="482"/>
        <w:rPr>
          <w:rFonts w:ascii="楷体" w:hAnsi="楷体" w:eastAsia="楷体" w:cs="楷体"/>
          <w:b/>
          <w:szCs w:val="24"/>
        </w:rPr>
      </w:pPr>
      <w:r>
        <w:rPr>
          <w:rFonts w:hint="eastAsia" w:ascii="楷体" w:hAnsi="楷体" w:eastAsia="楷体" w:cs="楷体"/>
          <w:b/>
          <w:szCs w:val="24"/>
        </w:rPr>
        <w:t>4）网络信息安全类相关标准</w:t>
      </w:r>
    </w:p>
    <w:p>
      <w:pPr>
        <w:spacing w:line="360" w:lineRule="auto"/>
        <w:ind w:firstLine="480"/>
        <w:rPr>
          <w:rFonts w:ascii="楷体" w:hAnsi="楷体" w:eastAsia="楷体" w:cs="楷体"/>
          <w:szCs w:val="24"/>
        </w:rPr>
      </w:pPr>
      <w:r>
        <w:rPr>
          <w:rFonts w:hint="eastAsia" w:ascii="楷体" w:hAnsi="楷体" w:eastAsia="楷体" w:cs="楷体"/>
          <w:szCs w:val="24"/>
        </w:rPr>
        <w:t>《信息安全等级保护管理办法》（公通字〔2007〕43号）</w:t>
      </w:r>
    </w:p>
    <w:p>
      <w:pPr>
        <w:spacing w:line="360" w:lineRule="auto"/>
        <w:ind w:firstLine="480"/>
        <w:rPr>
          <w:rFonts w:ascii="楷体" w:hAnsi="楷体" w:eastAsia="楷体" w:cs="楷体"/>
          <w:szCs w:val="24"/>
        </w:rPr>
      </w:pPr>
      <w:r>
        <w:rPr>
          <w:rFonts w:hint="eastAsia" w:ascii="楷体" w:hAnsi="楷体" w:eastAsia="楷体" w:cs="楷体"/>
          <w:szCs w:val="24"/>
        </w:rPr>
        <w:t>《城市监控报警联网系统 技术标准 第2部分：安全技术要求》（GA/T 669.2-2008）</w:t>
      </w:r>
    </w:p>
    <w:p>
      <w:pPr>
        <w:spacing w:line="360" w:lineRule="auto"/>
        <w:ind w:firstLine="480"/>
        <w:rPr>
          <w:rFonts w:ascii="楷体" w:hAnsi="楷体" w:eastAsia="楷体" w:cs="楷体"/>
          <w:szCs w:val="24"/>
        </w:rPr>
      </w:pPr>
      <w:r>
        <w:rPr>
          <w:rFonts w:hint="eastAsia" w:ascii="楷体" w:hAnsi="楷体" w:eastAsia="楷体" w:cs="楷体"/>
          <w:szCs w:val="24"/>
        </w:rPr>
        <w:t>《信息系统安全等级保护基本要求》（GB/T 22239-2008）</w:t>
      </w:r>
    </w:p>
    <w:p>
      <w:pPr>
        <w:spacing w:line="360" w:lineRule="auto"/>
        <w:ind w:firstLine="480"/>
        <w:rPr>
          <w:rFonts w:ascii="楷体" w:hAnsi="楷体" w:eastAsia="楷体" w:cs="楷体"/>
          <w:szCs w:val="24"/>
        </w:rPr>
      </w:pPr>
      <w:r>
        <w:rPr>
          <w:rFonts w:hint="eastAsia" w:ascii="楷体" w:hAnsi="楷体" w:eastAsia="楷体" w:cs="楷体"/>
          <w:szCs w:val="24"/>
        </w:rPr>
        <w:t>《信息安全技术 网络安全等级保护基本要求》GB/T 22239-2019</w:t>
      </w:r>
    </w:p>
    <w:p>
      <w:pPr>
        <w:spacing w:line="360" w:lineRule="auto"/>
        <w:ind w:firstLine="482"/>
        <w:rPr>
          <w:rFonts w:ascii="楷体" w:hAnsi="楷体" w:eastAsia="楷体" w:cs="楷体"/>
          <w:b/>
          <w:szCs w:val="24"/>
        </w:rPr>
      </w:pPr>
      <w:r>
        <w:rPr>
          <w:rFonts w:hint="eastAsia" w:ascii="楷体" w:hAnsi="楷体" w:eastAsia="楷体" w:cs="楷体"/>
          <w:b/>
          <w:szCs w:val="24"/>
        </w:rPr>
        <w:t>5）建设防雷接地标准</w:t>
      </w:r>
    </w:p>
    <w:p>
      <w:pPr>
        <w:spacing w:line="360" w:lineRule="auto"/>
        <w:ind w:firstLine="480"/>
        <w:rPr>
          <w:rFonts w:ascii="楷体" w:hAnsi="楷体" w:eastAsia="楷体" w:cs="楷体"/>
          <w:szCs w:val="24"/>
        </w:rPr>
      </w:pPr>
      <w:r>
        <w:rPr>
          <w:rFonts w:hint="eastAsia" w:ascii="楷体" w:hAnsi="楷体" w:eastAsia="楷体" w:cs="楷体"/>
          <w:szCs w:val="24"/>
        </w:rPr>
        <w:t>《安全防范系统雷电浪涌防护技术要求》（GA/T 670-2006）</w:t>
      </w:r>
    </w:p>
    <w:p>
      <w:pPr>
        <w:spacing w:line="360" w:lineRule="auto"/>
        <w:ind w:firstLine="480"/>
        <w:rPr>
          <w:rFonts w:ascii="楷体" w:hAnsi="楷体" w:eastAsia="楷体" w:cs="楷体"/>
          <w:szCs w:val="24"/>
        </w:rPr>
      </w:pPr>
      <w:r>
        <w:rPr>
          <w:rFonts w:hint="eastAsia" w:ascii="楷体" w:hAnsi="楷体" w:eastAsia="楷体" w:cs="楷体"/>
          <w:szCs w:val="24"/>
        </w:rPr>
        <w:t>《建筑物电子信息系统防雷技术规范》(GB 50343-2012)</w:t>
      </w:r>
    </w:p>
    <w:p>
      <w:pPr>
        <w:numPr>
          <w:ilvl w:val="0"/>
          <w:numId w:val="8"/>
        </w:numPr>
        <w:spacing w:line="360" w:lineRule="auto"/>
        <w:ind w:left="420" w:firstLine="0"/>
        <w:outlineLvl w:val="1"/>
        <w:rPr>
          <w:rFonts w:ascii="楷体" w:hAnsi="楷体" w:eastAsia="楷体" w:cs="楷体"/>
          <w:b/>
          <w:bCs/>
          <w:sz w:val="32"/>
          <w:szCs w:val="32"/>
        </w:rPr>
      </w:pPr>
      <w:r>
        <w:rPr>
          <w:rFonts w:hint="eastAsia" w:ascii="楷体" w:hAnsi="楷体" w:eastAsia="楷体" w:cs="楷体"/>
          <w:b/>
          <w:bCs/>
          <w:sz w:val="32"/>
          <w:szCs w:val="32"/>
        </w:rPr>
        <w:t>项目背景</w:t>
      </w:r>
    </w:p>
    <w:p>
      <w:pPr>
        <w:spacing w:line="360" w:lineRule="auto"/>
        <w:ind w:firstLine="480"/>
        <w:rPr>
          <w:rFonts w:ascii="楷体" w:hAnsi="楷体" w:eastAsia="楷体" w:cs="楷体"/>
        </w:rPr>
      </w:pPr>
      <w:r>
        <w:rPr>
          <w:rFonts w:hint="eastAsia" w:ascii="楷体" w:hAnsi="楷体" w:eastAsia="楷体" w:cs="楷体"/>
        </w:rPr>
        <w:t>“雪亮工程”是提升防恐反恐、预防和处置突发公共事件能力，保障城市安全、公民人身财产安全的必然要求。当前社会公共安全形势严峻，影响社会稳定和公共安全的风险和挑战进一步增多，重点区域治安环境日趋复杂，恐怖活动和个人极端暴力犯罪对社会公共安全的威胁更加现实，社会危害极其严重。加之我国社会结构和利益格局深刻调整，利益关系多样化，利益诉求复杂化趋势更加明显，各类社会矛盾相互交织、重大恶性案件时有发生。因此，“雪亮工程”是新形势下维护国家安全和社会稳定、预防和打击犯罪的重要手段，对于提升城乡管理水平、创新社会治理体制具有重要意义。</w:t>
      </w:r>
    </w:p>
    <w:p>
      <w:pPr>
        <w:spacing w:line="360" w:lineRule="auto"/>
        <w:ind w:firstLine="480"/>
        <w:rPr>
          <w:rFonts w:ascii="楷体" w:hAnsi="楷体" w:eastAsia="楷体" w:cs="楷体"/>
        </w:rPr>
      </w:pPr>
      <w:r>
        <w:rPr>
          <w:rFonts w:hint="eastAsia" w:ascii="楷体" w:hAnsi="楷体" w:eastAsia="楷体" w:cs="楷体"/>
        </w:rPr>
        <w:t>为贯彻落实中央、国务院《关于加强社会治安防控体系建设的意见》（中办发[2014]69号），国家发展和改革委员会等九部委《关于加强公共安全视频监控建设联网应用工作的若干意见》(发改高技[2015]996号)，国家发展和改革委员会等三部委《加强公共安全视频监控建设联网应用工作方案（2015-2020年）》（发改办高技[2015]2056号），《中共陕西省委办公厅 陕西省人民政府办公厅印发&lt;关于加快“雪亮工程”建设的实施意见&gt;的通知》（陕办字[2018]46号），根据《陕西省“雪亮工程”规划设计方案（2018-2020年）》等要求，为进一步推动勉县公共安全视频监控建设、联网、应用及管理工作，推进视频图像信息的智能化应用，充分发挥视频图像数据在保障社会公共安全各项工作中的作用，扎实推进勉县维稳工作规范化建设，努力构建和谐稳定的社会环境，制定并有效实施“雪亮工程”总体规划，通过“雪亮工程”建设，实现对社会治安的实时、可视、动态监控，构建打防管控一体的社会治安防控体系，对于防恐反恐、维护社会和谐稳定具有重要现实意义。</w:t>
      </w:r>
    </w:p>
    <w:p>
      <w:pPr>
        <w:numPr>
          <w:ilvl w:val="0"/>
          <w:numId w:val="8"/>
        </w:numPr>
        <w:spacing w:line="360" w:lineRule="auto"/>
        <w:ind w:left="420" w:firstLine="0"/>
        <w:outlineLvl w:val="1"/>
        <w:rPr>
          <w:rFonts w:ascii="楷体" w:hAnsi="楷体" w:eastAsia="楷体" w:cs="楷体"/>
          <w:b/>
          <w:bCs/>
          <w:sz w:val="32"/>
          <w:szCs w:val="32"/>
        </w:rPr>
      </w:pPr>
      <w:r>
        <w:rPr>
          <w:rFonts w:hint="eastAsia" w:ascii="楷体" w:hAnsi="楷体" w:eastAsia="楷体" w:cs="楷体"/>
          <w:b/>
          <w:bCs/>
          <w:sz w:val="32"/>
          <w:szCs w:val="32"/>
        </w:rPr>
        <w:t>总体架构</w:t>
      </w:r>
    </w:p>
    <w:p>
      <w:pPr>
        <w:spacing w:line="360" w:lineRule="auto"/>
        <w:ind w:firstLine="480"/>
        <w:rPr>
          <w:rFonts w:ascii="楷体" w:hAnsi="楷体" w:eastAsia="楷体" w:cs="楷体"/>
        </w:rPr>
      </w:pPr>
      <w:r>
        <w:rPr>
          <w:rFonts w:hint="eastAsia" w:ascii="楷体" w:hAnsi="楷体" w:eastAsia="楷体" w:cs="楷体"/>
        </w:rPr>
        <w:t>本项目按照招标文件要求，结合可研的方案规划、需求分析，遵循国家及行业标准进行设计，建设雪亮工程前端系统、指挥中心系统。依托外网搭建雪亮工程指挥中心。</w:t>
      </w:r>
    </w:p>
    <w:p>
      <w:pPr>
        <w:spacing w:line="360" w:lineRule="auto"/>
        <w:ind w:firstLine="480"/>
        <w:rPr>
          <w:rFonts w:ascii="楷体" w:hAnsi="楷体" w:eastAsia="楷体" w:cs="楷体"/>
        </w:rPr>
      </w:pPr>
      <w:r>
        <w:rPr>
          <w:rFonts w:hint="eastAsia" w:ascii="楷体" w:hAnsi="楷体" w:eastAsia="楷体" w:cs="楷体"/>
        </w:rPr>
        <w:t>雪亮工程控制中心依托电子政务外网汇聚二、三类视频图像信息资源，以目录清单管理制度规定共享上传相关数据。以智能化为引领、信息化为支撑、以网格化管理为基础、以社会治安综合治理为重点业务，依托视联网搭建综治视联网平台，依托电子政务外网搭建社会治安综合治理应用平台，实现跨地区、跨部门、跨行业的人、事、地、物、组织等基础信息共建共享。</w:t>
      </w:r>
    </w:p>
    <w:p>
      <w:pPr>
        <w:spacing w:line="360" w:lineRule="auto"/>
        <w:ind w:firstLine="480"/>
        <w:rPr>
          <w:rFonts w:ascii="楷体" w:hAnsi="楷体" w:eastAsia="楷体" w:cs="楷体"/>
        </w:rPr>
      </w:pPr>
      <w:r>
        <w:rPr>
          <w:rFonts w:hint="eastAsia" w:ascii="楷体" w:hAnsi="楷体" w:eastAsia="楷体" w:cs="楷体"/>
        </w:rPr>
        <w:t>依托公安视频专网及公安信息网，接入一类视频监控图像信息资源，共享雪亮工程总中心图像信息资源，整合复杂治安场所图像信息资源，</w:t>
      </w:r>
      <w:bookmarkStart w:id="80" w:name="_Hlk85965358"/>
      <w:r>
        <w:rPr>
          <w:rFonts w:hint="eastAsia" w:ascii="楷体" w:hAnsi="楷体" w:eastAsia="楷体" w:cs="楷体"/>
        </w:rPr>
        <w:t>建设视频监控</w:t>
      </w:r>
      <w:r>
        <w:rPr>
          <w:rFonts w:hint="eastAsia" w:ascii="楷体" w:hAnsi="楷体" w:eastAsia="楷体" w:cs="楷体"/>
          <w:color w:val="000000"/>
        </w:rPr>
        <w:t>共</w:t>
      </w:r>
      <w:r>
        <w:rPr>
          <w:rFonts w:hint="eastAsia" w:ascii="楷体" w:hAnsi="楷体" w:eastAsia="楷体" w:cs="楷体"/>
          <w:szCs w:val="22"/>
        </w:rPr>
        <w:t>享平台、</w:t>
      </w:r>
      <w:r>
        <w:rPr>
          <w:rFonts w:hint="eastAsia" w:ascii="楷体" w:hAnsi="楷体" w:eastAsia="楷体" w:cs="楷体"/>
        </w:rPr>
        <w:t>联网平台、视频图像信息数据库、视频图像分析系统等</w:t>
      </w:r>
      <w:bookmarkEnd w:id="80"/>
      <w:r>
        <w:rPr>
          <w:rFonts w:hint="eastAsia" w:ascii="楷体" w:hAnsi="楷体" w:eastAsia="楷体" w:cs="楷体"/>
        </w:rPr>
        <w:t>，实现基于视频图像、人员和车辆数据等的公安实战应用。</w:t>
      </w:r>
    </w:p>
    <w:p>
      <w:pPr>
        <w:numPr>
          <w:ilvl w:val="0"/>
          <w:numId w:val="8"/>
        </w:numPr>
        <w:spacing w:line="360" w:lineRule="auto"/>
        <w:ind w:left="420" w:firstLine="0"/>
        <w:outlineLvl w:val="1"/>
        <w:rPr>
          <w:rFonts w:ascii="楷体" w:hAnsi="楷体" w:eastAsia="楷体" w:cs="楷体"/>
          <w:b/>
          <w:bCs/>
          <w:sz w:val="32"/>
          <w:szCs w:val="32"/>
        </w:rPr>
      </w:pPr>
      <w:r>
        <w:rPr>
          <w:rFonts w:hint="eastAsia" w:ascii="楷体" w:hAnsi="楷体" w:eastAsia="楷体" w:cs="楷体"/>
          <w:b/>
          <w:bCs/>
          <w:sz w:val="32"/>
          <w:szCs w:val="32"/>
        </w:rPr>
        <w:t>建设内容</w:t>
      </w:r>
    </w:p>
    <w:p>
      <w:pPr>
        <w:numPr>
          <w:ilvl w:val="0"/>
          <w:numId w:val="9"/>
        </w:numPr>
        <w:spacing w:line="360" w:lineRule="auto"/>
        <w:outlineLvl w:val="2"/>
        <w:rPr>
          <w:rFonts w:ascii="楷体" w:hAnsi="楷体" w:eastAsia="楷体" w:cs="楷体"/>
          <w:b/>
          <w:bCs/>
          <w:sz w:val="28"/>
          <w:szCs w:val="28"/>
        </w:rPr>
      </w:pPr>
      <w:r>
        <w:rPr>
          <w:rFonts w:hint="eastAsia" w:ascii="楷体" w:hAnsi="楷体" w:eastAsia="楷体" w:cs="楷体"/>
          <w:b/>
          <w:bCs/>
          <w:sz w:val="28"/>
          <w:szCs w:val="28"/>
        </w:rPr>
        <w:t>雪亮工程前端系统建设</w:t>
      </w:r>
    </w:p>
    <w:p>
      <w:pPr>
        <w:spacing w:line="360" w:lineRule="auto"/>
        <w:ind w:left="480" w:leftChars="200"/>
        <w:outlineLvl w:val="3"/>
        <w:rPr>
          <w:rFonts w:ascii="楷体" w:hAnsi="楷体" w:eastAsia="楷体" w:cs="楷体"/>
          <w:szCs w:val="24"/>
        </w:rPr>
      </w:pPr>
      <w:r>
        <w:rPr>
          <w:rFonts w:hint="eastAsia" w:ascii="楷体" w:hAnsi="楷体" w:eastAsia="楷体" w:cs="楷体"/>
          <w:szCs w:val="24"/>
        </w:rPr>
        <w:t>1.1前端系统感知设备建设</w:t>
      </w:r>
    </w:p>
    <w:p>
      <w:pPr>
        <w:pStyle w:val="3"/>
        <w:rPr>
          <w:rFonts w:eastAsia="楷体"/>
        </w:rPr>
      </w:pPr>
      <w:r>
        <w:rPr>
          <w:rFonts w:hint="eastAsia" w:ascii="楷体" w:hAnsi="楷体" w:eastAsia="楷体" w:cs="楷体"/>
          <w:szCs w:val="24"/>
        </w:rPr>
        <w:t xml:space="preserve">         前端微卡口、人脸识别系统设备建设，通过网络传输至控制中心，完成信息收集、分类、存储、上传。</w:t>
      </w:r>
    </w:p>
    <w:p>
      <w:pPr>
        <w:numPr>
          <w:ilvl w:val="0"/>
          <w:numId w:val="9"/>
        </w:numPr>
        <w:spacing w:line="360" w:lineRule="auto"/>
        <w:outlineLvl w:val="2"/>
        <w:rPr>
          <w:rFonts w:ascii="楷体" w:hAnsi="楷体" w:eastAsia="楷体" w:cs="楷体"/>
          <w:b/>
          <w:bCs/>
          <w:sz w:val="28"/>
          <w:szCs w:val="28"/>
        </w:rPr>
      </w:pPr>
      <w:r>
        <w:rPr>
          <w:rFonts w:hint="eastAsia" w:ascii="楷体" w:hAnsi="楷体" w:eastAsia="楷体" w:cs="楷体"/>
          <w:b/>
          <w:bCs/>
          <w:sz w:val="28"/>
          <w:szCs w:val="28"/>
        </w:rPr>
        <w:t>雪亮工程系统建设</w:t>
      </w:r>
    </w:p>
    <w:p>
      <w:pPr>
        <w:spacing w:line="360" w:lineRule="auto"/>
        <w:ind w:firstLine="480" w:firstLineChars="200"/>
        <w:rPr>
          <w:rFonts w:ascii="楷体" w:hAnsi="楷体" w:eastAsia="楷体" w:cs="楷体"/>
        </w:rPr>
      </w:pPr>
      <w:r>
        <w:rPr>
          <w:rFonts w:hint="eastAsia" w:ascii="楷体" w:hAnsi="楷体" w:eastAsia="楷体" w:cs="楷体"/>
        </w:rPr>
        <w:t>建设公共安全视频图像共享交换平台（以下简称“交换平台”），该平台整合二类监控、与综治信息网社会治安综合治理视联网平台、公安视频专网视频图像信息共享平台通过安全设备进行对接，接入一二三类点位视频，实现视频数据共享，并可为其他委办局提供所整合视频的目录管理、申请审批、视频调阅、后台管理、共享服务门户、地理信息支撑等功能。</w:t>
      </w:r>
    </w:p>
    <w:p>
      <w:pPr>
        <w:spacing w:line="360" w:lineRule="auto"/>
        <w:ind w:firstLine="480" w:firstLineChars="200"/>
        <w:rPr>
          <w:rFonts w:ascii="楷体" w:hAnsi="楷体" w:eastAsia="楷体" w:cs="楷体"/>
        </w:rPr>
      </w:pPr>
      <w:r>
        <w:rPr>
          <w:rFonts w:hint="eastAsia" w:ascii="楷体" w:hAnsi="楷体" w:eastAsia="楷体" w:cs="楷体"/>
        </w:rPr>
        <w:t>公共安全视频图像共享交换平台设计、建设依据国家电子政务外网管理中心《公共安全视频监控建设联网应用共享交换技术体系建设指南(联网测试版)》。</w:t>
      </w:r>
    </w:p>
    <w:p>
      <w:pPr>
        <w:spacing w:line="360" w:lineRule="auto"/>
        <w:ind w:firstLine="480" w:firstLineChars="200"/>
        <w:rPr>
          <w:rFonts w:ascii="楷体" w:hAnsi="楷体" w:eastAsia="楷体" w:cs="楷体"/>
        </w:rPr>
      </w:pPr>
      <w:r>
        <w:rPr>
          <w:rFonts w:hint="eastAsia" w:ascii="楷体" w:hAnsi="楷体" w:eastAsia="楷体" w:cs="楷体"/>
        </w:rPr>
        <w:t>2.1目录管理系统是负责采集、维护和管理共享交换平台汇聚的视频监控资源目录的系统，包括资源目录采集和资源目录管理两个功能模块。</w:t>
      </w:r>
    </w:p>
    <w:p>
      <w:pPr>
        <w:spacing w:line="360" w:lineRule="auto"/>
        <w:ind w:firstLine="480" w:firstLineChars="200"/>
        <w:rPr>
          <w:rFonts w:ascii="楷体" w:hAnsi="楷体" w:eastAsia="楷体" w:cs="楷体"/>
        </w:rPr>
      </w:pPr>
      <w:r>
        <w:rPr>
          <w:rFonts w:hint="eastAsia" w:ascii="楷体" w:hAnsi="楷体" w:eastAsia="楷体" w:cs="楷体"/>
        </w:rPr>
        <w:t>2.2申请审批系统是对共享交换平台收到的资源共享申请的核准及授权系统，所有用户在资源调阅操作前，均须进行核准和授权。</w:t>
      </w:r>
    </w:p>
    <w:p>
      <w:pPr>
        <w:tabs>
          <w:tab w:val="left" w:pos="645"/>
        </w:tabs>
        <w:spacing w:line="360" w:lineRule="auto"/>
        <w:ind w:firstLine="480" w:firstLineChars="200"/>
        <w:rPr>
          <w:rFonts w:ascii="楷体" w:hAnsi="楷体" w:eastAsia="楷体" w:cs="楷体"/>
        </w:rPr>
      </w:pPr>
      <w:r>
        <w:rPr>
          <w:rFonts w:hint="eastAsia" w:ascii="楷体" w:hAnsi="楷体" w:eastAsia="楷体" w:cs="楷体"/>
        </w:rPr>
        <w:t>2.3视频调阅系统</w:t>
      </w:r>
    </w:p>
    <w:p>
      <w:pPr>
        <w:spacing w:line="360" w:lineRule="auto"/>
        <w:rPr>
          <w:rFonts w:ascii="楷体" w:hAnsi="楷体" w:eastAsia="楷体" w:cs="楷体"/>
        </w:rPr>
      </w:pPr>
      <w:r>
        <w:rPr>
          <w:rFonts w:hint="eastAsia" w:ascii="楷体" w:hAnsi="楷体" w:eastAsia="楷体" w:cs="楷体"/>
        </w:rPr>
        <w:t>视频调阅系统是共享交换平台的核心组件，满足不同部门行业用户基于权限控制的、对共享视频资源的查看与调阅，同时负责收集、管理共享交换平台及部门/行业平台信息。</w:t>
      </w:r>
    </w:p>
    <w:p>
      <w:pPr>
        <w:tabs>
          <w:tab w:val="left" w:pos="645"/>
        </w:tabs>
        <w:spacing w:line="360" w:lineRule="auto"/>
        <w:ind w:firstLine="480" w:firstLineChars="200"/>
        <w:rPr>
          <w:rFonts w:ascii="楷体" w:hAnsi="楷体" w:eastAsia="楷体" w:cs="楷体"/>
        </w:rPr>
      </w:pPr>
      <w:r>
        <w:rPr>
          <w:rFonts w:hint="eastAsia" w:ascii="楷体" w:hAnsi="楷体" w:eastAsia="楷体" w:cs="楷体"/>
        </w:rPr>
        <w:t>2.4后台管理系统</w:t>
      </w:r>
    </w:p>
    <w:p>
      <w:pPr>
        <w:spacing w:line="360" w:lineRule="auto"/>
        <w:ind w:firstLine="480" w:firstLineChars="200"/>
        <w:rPr>
          <w:rFonts w:ascii="楷体" w:hAnsi="楷体" w:eastAsia="楷体" w:cs="楷体"/>
        </w:rPr>
      </w:pPr>
      <w:r>
        <w:rPr>
          <w:rFonts w:hint="eastAsia" w:ascii="楷体" w:hAnsi="楷体" w:eastAsia="楷体" w:cs="楷体"/>
        </w:rPr>
        <w:t>后台管理系统主要面向视频图像共享交换平台的建设管理部门使用，负责对视频图像共享交换平台的系统运行状态和用户操作动作的监管监测，包括针对视频图像共享交换平台所涉及的共享服务门户、目录管理、申请审批、视频调阅等系统组件运行状态和用户操作动作进行采集、存储和管理。</w:t>
      </w:r>
    </w:p>
    <w:p>
      <w:pPr>
        <w:tabs>
          <w:tab w:val="left" w:pos="645"/>
        </w:tabs>
        <w:spacing w:line="360" w:lineRule="auto"/>
        <w:ind w:firstLine="480" w:firstLineChars="200"/>
        <w:rPr>
          <w:rFonts w:ascii="楷体" w:hAnsi="楷体" w:eastAsia="楷体" w:cs="楷体"/>
        </w:rPr>
      </w:pPr>
      <w:bookmarkStart w:id="81" w:name="_Toc62511506"/>
      <w:r>
        <w:rPr>
          <w:rFonts w:hint="eastAsia" w:ascii="楷体" w:hAnsi="楷体" w:eastAsia="楷体" w:cs="楷体"/>
        </w:rPr>
        <w:t>2.5共享平台功能</w:t>
      </w:r>
      <w:bookmarkEnd w:id="81"/>
    </w:p>
    <w:p>
      <w:pPr>
        <w:numPr>
          <w:ilvl w:val="0"/>
          <w:numId w:val="10"/>
        </w:numPr>
        <w:spacing w:line="360" w:lineRule="auto"/>
        <w:rPr>
          <w:rFonts w:ascii="楷体" w:hAnsi="楷体" w:eastAsia="楷体" w:cs="楷体"/>
        </w:rPr>
      </w:pPr>
      <w:r>
        <w:rPr>
          <w:rFonts w:hint="eastAsia" w:ascii="楷体" w:hAnsi="楷体" w:eastAsia="楷体" w:cs="楷体"/>
        </w:rPr>
        <w:t>实时图像点播</w:t>
      </w:r>
    </w:p>
    <w:p>
      <w:pPr>
        <w:spacing w:line="360" w:lineRule="auto"/>
        <w:ind w:firstLine="480"/>
        <w:rPr>
          <w:rFonts w:ascii="楷体" w:hAnsi="楷体" w:eastAsia="楷体" w:cs="楷体"/>
        </w:rPr>
      </w:pPr>
      <w:r>
        <w:rPr>
          <w:rFonts w:hint="eastAsia" w:ascii="楷体" w:hAnsi="楷体" w:eastAsia="楷体" w:cs="楷体"/>
        </w:rPr>
        <w:t>系统能够按照指定设备、指定通道进行图像的实时点播，支持对点播图像进行显示、缩放、抓拍及录像，支持多用户对同一视频资源同时点播。</w:t>
      </w:r>
    </w:p>
    <w:p>
      <w:pPr>
        <w:numPr>
          <w:ilvl w:val="0"/>
          <w:numId w:val="10"/>
        </w:numPr>
        <w:spacing w:line="360" w:lineRule="auto"/>
        <w:rPr>
          <w:rFonts w:ascii="楷体" w:hAnsi="楷体" w:eastAsia="楷体" w:cs="楷体"/>
        </w:rPr>
      </w:pPr>
      <w:r>
        <w:rPr>
          <w:rFonts w:hint="eastAsia" w:ascii="楷体" w:hAnsi="楷体" w:eastAsia="楷体" w:cs="楷体"/>
        </w:rPr>
        <w:t>历史图像的检索及回放</w:t>
      </w:r>
    </w:p>
    <w:p>
      <w:pPr>
        <w:spacing w:line="360" w:lineRule="auto"/>
        <w:ind w:firstLine="480"/>
        <w:rPr>
          <w:rFonts w:ascii="楷体" w:hAnsi="楷体" w:eastAsia="楷体" w:cs="楷体"/>
        </w:rPr>
      </w:pPr>
      <w:r>
        <w:rPr>
          <w:rFonts w:hint="eastAsia" w:ascii="楷体" w:hAnsi="楷体" w:eastAsia="楷体" w:cs="楷体"/>
        </w:rPr>
        <w:t>系统能够按照指定设备、通道、时间信息，以及标签标记、摘要索引对全网海量历史图像资料进行云搜索，并支持对图像资料进行回放及下载，回放过程中支持正常、快速、慢速播放，画面暂停、图像抓拍、缩放显示等。</w:t>
      </w:r>
    </w:p>
    <w:p>
      <w:pPr>
        <w:spacing w:line="360" w:lineRule="auto"/>
        <w:ind w:firstLine="480"/>
        <w:rPr>
          <w:rFonts w:ascii="楷体" w:hAnsi="楷体" w:eastAsia="楷体" w:cs="楷体"/>
        </w:rPr>
      </w:pPr>
      <w:r>
        <w:rPr>
          <w:rFonts w:hint="eastAsia" w:ascii="楷体" w:hAnsi="楷体" w:eastAsia="楷体" w:cs="楷体"/>
        </w:rPr>
        <w:t>录像文件检索：按日期、时间、类型、服务器、通道检索客户端本地、存储服务器、前端设备录像文件。</w:t>
      </w:r>
    </w:p>
    <w:p>
      <w:pPr>
        <w:numPr>
          <w:ilvl w:val="0"/>
          <w:numId w:val="10"/>
        </w:numPr>
        <w:spacing w:line="360" w:lineRule="auto"/>
        <w:rPr>
          <w:rFonts w:ascii="楷体" w:hAnsi="楷体" w:eastAsia="楷体" w:cs="楷体"/>
        </w:rPr>
      </w:pPr>
      <w:r>
        <w:rPr>
          <w:rFonts w:hint="eastAsia" w:ascii="楷体" w:hAnsi="楷体" w:eastAsia="楷体" w:cs="楷体"/>
        </w:rPr>
        <w:t>远程控制</w:t>
      </w:r>
    </w:p>
    <w:p>
      <w:pPr>
        <w:spacing w:line="360" w:lineRule="auto"/>
        <w:ind w:firstLine="480"/>
        <w:rPr>
          <w:rFonts w:ascii="楷体" w:hAnsi="楷体" w:eastAsia="楷体" w:cs="楷体"/>
        </w:rPr>
      </w:pPr>
      <w:r>
        <w:rPr>
          <w:rFonts w:hint="eastAsia" w:ascii="楷体" w:hAnsi="楷体" w:eastAsia="楷体" w:cs="楷体"/>
        </w:rPr>
        <w:t>系统能够通过手动或自动操作，对前端设备进行PTZ控制。</w:t>
      </w:r>
    </w:p>
    <w:p>
      <w:pPr>
        <w:numPr>
          <w:ilvl w:val="0"/>
          <w:numId w:val="10"/>
        </w:numPr>
        <w:spacing w:line="360" w:lineRule="auto"/>
        <w:rPr>
          <w:rFonts w:ascii="楷体" w:hAnsi="楷体" w:eastAsia="楷体" w:cs="楷体"/>
        </w:rPr>
      </w:pPr>
      <w:r>
        <w:rPr>
          <w:rFonts w:hint="eastAsia" w:ascii="楷体" w:hAnsi="楷体" w:eastAsia="楷体" w:cs="楷体"/>
        </w:rPr>
        <w:t>解码输出</w:t>
      </w:r>
    </w:p>
    <w:p>
      <w:pPr>
        <w:spacing w:line="360" w:lineRule="auto"/>
        <w:ind w:firstLine="480"/>
        <w:rPr>
          <w:rFonts w:ascii="楷体" w:hAnsi="楷体" w:eastAsia="楷体" w:cs="楷体"/>
        </w:rPr>
      </w:pPr>
      <w:r>
        <w:rPr>
          <w:rFonts w:hint="eastAsia" w:ascii="楷体" w:hAnsi="楷体" w:eastAsia="楷体" w:cs="楷体"/>
        </w:rPr>
        <w:t>系统能够按照指定设备、指定通道进行图像实时解码上墙显示。</w:t>
      </w:r>
    </w:p>
    <w:p>
      <w:pPr>
        <w:numPr>
          <w:ilvl w:val="0"/>
          <w:numId w:val="10"/>
        </w:numPr>
        <w:spacing w:line="360" w:lineRule="auto"/>
        <w:rPr>
          <w:rFonts w:ascii="楷体" w:hAnsi="楷体" w:eastAsia="楷体" w:cs="楷体"/>
        </w:rPr>
      </w:pPr>
      <w:r>
        <w:rPr>
          <w:rFonts w:hint="eastAsia" w:ascii="楷体" w:hAnsi="楷体" w:eastAsia="楷体" w:cs="楷体"/>
        </w:rPr>
        <w:t>卡口管理</w:t>
      </w:r>
    </w:p>
    <w:p>
      <w:pPr>
        <w:spacing w:line="360" w:lineRule="auto"/>
        <w:ind w:firstLine="480"/>
        <w:rPr>
          <w:rFonts w:ascii="楷体" w:hAnsi="楷体" w:eastAsia="楷体" w:cs="楷体"/>
        </w:rPr>
      </w:pPr>
      <w:r>
        <w:rPr>
          <w:rFonts w:hint="eastAsia" w:ascii="楷体" w:hAnsi="楷体" w:eastAsia="楷体" w:cs="楷体"/>
        </w:rPr>
        <w:t>卡口过车信息查询：查询卡口系统的过车信息、过车图片信息进行显示。</w:t>
      </w:r>
    </w:p>
    <w:p>
      <w:pPr>
        <w:numPr>
          <w:ilvl w:val="0"/>
          <w:numId w:val="10"/>
        </w:numPr>
        <w:spacing w:line="360" w:lineRule="auto"/>
        <w:rPr>
          <w:rFonts w:ascii="楷体" w:hAnsi="楷体" w:eastAsia="楷体" w:cs="楷体"/>
        </w:rPr>
      </w:pPr>
      <w:r>
        <w:rPr>
          <w:rFonts w:hint="eastAsia" w:ascii="楷体" w:hAnsi="楷体" w:eastAsia="楷体" w:cs="楷体"/>
        </w:rPr>
        <w:t>存储管理</w:t>
      </w:r>
    </w:p>
    <w:p>
      <w:pPr>
        <w:spacing w:line="360" w:lineRule="auto"/>
        <w:ind w:firstLine="480"/>
        <w:rPr>
          <w:rFonts w:ascii="楷体" w:hAnsi="楷体" w:eastAsia="楷体" w:cs="楷体"/>
        </w:rPr>
      </w:pPr>
      <w:r>
        <w:rPr>
          <w:rFonts w:hint="eastAsia" w:ascii="楷体" w:hAnsi="楷体" w:eastAsia="楷体" w:cs="楷体"/>
        </w:rPr>
        <w:t>采用前端存储和平台存储相结合的分级分布式存储策略；支持对存储位置、存储时间、备份策略、整理策略等存储策略的设置。</w:t>
      </w:r>
    </w:p>
    <w:p>
      <w:pPr>
        <w:numPr>
          <w:ilvl w:val="0"/>
          <w:numId w:val="10"/>
        </w:numPr>
        <w:spacing w:line="360" w:lineRule="auto"/>
        <w:rPr>
          <w:rFonts w:ascii="楷体" w:hAnsi="楷体" w:eastAsia="楷体" w:cs="楷体"/>
        </w:rPr>
      </w:pPr>
      <w:r>
        <w:rPr>
          <w:rFonts w:hint="eastAsia" w:ascii="楷体" w:hAnsi="楷体" w:eastAsia="楷体" w:cs="楷体"/>
        </w:rPr>
        <w:t>设备管理</w:t>
      </w:r>
    </w:p>
    <w:p>
      <w:pPr>
        <w:spacing w:line="360" w:lineRule="auto"/>
        <w:ind w:firstLine="480"/>
        <w:rPr>
          <w:rFonts w:ascii="楷体" w:hAnsi="楷体" w:eastAsia="楷体" w:cs="楷体"/>
        </w:rPr>
      </w:pPr>
      <w:r>
        <w:rPr>
          <w:rFonts w:hint="eastAsia" w:ascii="楷体" w:hAnsi="楷体" w:eastAsia="楷体" w:cs="楷体"/>
        </w:rPr>
        <w:t>对本级平台联网设备进行管理，同时向上级平台上传管理信息，上传的管理信息应包含相应目录列表信息，目录主要包含公共安全视频监控（一类点位）、社会资源监控。</w:t>
      </w:r>
    </w:p>
    <w:p>
      <w:pPr>
        <w:spacing w:line="360" w:lineRule="auto"/>
        <w:ind w:firstLine="480"/>
        <w:rPr>
          <w:rFonts w:ascii="楷体" w:hAnsi="楷体" w:eastAsia="楷体" w:cs="楷体"/>
        </w:rPr>
      </w:pPr>
      <w:r>
        <w:rPr>
          <w:rFonts w:hint="eastAsia" w:ascii="楷体" w:hAnsi="楷体" w:eastAsia="楷体" w:cs="楷体"/>
        </w:rPr>
        <w:t>支持设备进入联网系统时向管理平台进行注册登记并进行合法性认证，同时进行时钟校正；信令安全路由网关应逐步支持信令认证，保证信令安全；对设备厂商、设备型号、版本、支持协议类型等基本信息进行查询；设备主要参数应能够进行远程配置和软件批量更新升级。</w:t>
      </w:r>
    </w:p>
    <w:p>
      <w:pPr>
        <w:numPr>
          <w:ilvl w:val="0"/>
          <w:numId w:val="10"/>
        </w:numPr>
        <w:spacing w:line="360" w:lineRule="auto"/>
        <w:rPr>
          <w:rFonts w:ascii="楷体" w:hAnsi="楷体" w:eastAsia="楷体" w:cs="楷体"/>
        </w:rPr>
      </w:pPr>
      <w:r>
        <w:rPr>
          <w:rFonts w:hint="eastAsia" w:ascii="楷体" w:hAnsi="楷体" w:eastAsia="楷体" w:cs="楷体"/>
        </w:rPr>
        <w:t>运行管理</w:t>
      </w:r>
    </w:p>
    <w:p>
      <w:pPr>
        <w:spacing w:line="360" w:lineRule="auto"/>
        <w:ind w:firstLine="480"/>
        <w:rPr>
          <w:rFonts w:ascii="楷体" w:hAnsi="楷体" w:eastAsia="楷体" w:cs="楷体"/>
        </w:rPr>
      </w:pPr>
      <w:r>
        <w:rPr>
          <w:rFonts w:hint="eastAsia" w:ascii="楷体" w:hAnsi="楷体" w:eastAsia="楷体" w:cs="楷体"/>
        </w:rPr>
        <w:t>能够自动搜索、检测、查询联网系统内设备数量、在线情况已经运行状态，当发现系统设备故障或出现异常时，能够发出告警信息，应当具备应用层网管功能。</w:t>
      </w:r>
    </w:p>
    <w:p>
      <w:pPr>
        <w:numPr>
          <w:ilvl w:val="0"/>
          <w:numId w:val="10"/>
        </w:numPr>
        <w:spacing w:line="360" w:lineRule="auto"/>
        <w:rPr>
          <w:rFonts w:ascii="楷体" w:hAnsi="楷体" w:eastAsia="楷体" w:cs="楷体"/>
        </w:rPr>
      </w:pPr>
      <w:r>
        <w:rPr>
          <w:rFonts w:hint="eastAsia" w:ascii="楷体" w:hAnsi="楷体" w:eastAsia="楷体" w:cs="楷体"/>
        </w:rPr>
        <w:t>用户管理</w:t>
      </w:r>
    </w:p>
    <w:p>
      <w:pPr>
        <w:spacing w:line="360" w:lineRule="auto"/>
        <w:ind w:firstLine="480"/>
        <w:rPr>
          <w:rFonts w:ascii="楷体" w:hAnsi="楷体" w:eastAsia="楷体" w:cs="楷体"/>
        </w:rPr>
      </w:pPr>
      <w:r>
        <w:rPr>
          <w:rFonts w:hint="eastAsia" w:ascii="楷体" w:hAnsi="楷体" w:eastAsia="楷体" w:cs="楷体"/>
        </w:rPr>
        <w:t>具备用户注册、身份认证、权限管理、访问控制等功能，支持平台间的用户身份传递和审计。</w:t>
      </w:r>
    </w:p>
    <w:p>
      <w:pPr>
        <w:numPr>
          <w:ilvl w:val="0"/>
          <w:numId w:val="10"/>
        </w:numPr>
        <w:spacing w:line="360" w:lineRule="auto"/>
        <w:rPr>
          <w:rFonts w:ascii="楷体" w:hAnsi="楷体" w:eastAsia="楷体" w:cs="楷体"/>
        </w:rPr>
      </w:pPr>
      <w:r>
        <w:rPr>
          <w:rFonts w:hint="eastAsia" w:ascii="楷体" w:hAnsi="楷体" w:eastAsia="楷体" w:cs="楷体"/>
        </w:rPr>
        <w:t>日志管理</w:t>
      </w:r>
    </w:p>
    <w:p>
      <w:pPr>
        <w:spacing w:line="360" w:lineRule="auto"/>
        <w:ind w:firstLine="480"/>
        <w:rPr>
          <w:rFonts w:ascii="楷体" w:hAnsi="楷体" w:eastAsia="楷体" w:cs="楷体"/>
        </w:rPr>
      </w:pPr>
      <w:r>
        <w:rPr>
          <w:rFonts w:hint="eastAsia" w:ascii="楷体" w:hAnsi="楷体" w:eastAsia="楷体" w:cs="楷体"/>
        </w:rPr>
        <w:t>包括记录系统运行状态的运行日志以及记录操作人员操作情况的操作日志，支持日志信息查询和报表制作等功能。</w:t>
      </w:r>
    </w:p>
    <w:p>
      <w:pPr>
        <w:numPr>
          <w:ilvl w:val="0"/>
          <w:numId w:val="10"/>
        </w:numPr>
        <w:spacing w:line="360" w:lineRule="auto"/>
        <w:rPr>
          <w:rFonts w:ascii="楷体" w:hAnsi="楷体" w:eastAsia="楷体" w:cs="楷体"/>
        </w:rPr>
      </w:pPr>
      <w:r>
        <w:rPr>
          <w:rFonts w:hint="eastAsia" w:ascii="楷体" w:hAnsi="楷体" w:eastAsia="楷体" w:cs="楷体"/>
        </w:rPr>
        <w:t>地图管理</w:t>
      </w:r>
    </w:p>
    <w:p>
      <w:pPr>
        <w:spacing w:line="360" w:lineRule="auto"/>
        <w:ind w:firstLine="480"/>
        <w:rPr>
          <w:rFonts w:ascii="楷体" w:hAnsi="楷体" w:eastAsia="楷体" w:cs="楷体"/>
        </w:rPr>
      </w:pPr>
      <w:r>
        <w:rPr>
          <w:rFonts w:hint="eastAsia" w:ascii="楷体" w:hAnsi="楷体" w:eastAsia="楷体" w:cs="楷体"/>
        </w:rPr>
        <w:t>与GIS等地理信息系统进行结合，支持监控设备上图显示，具体功能包含如下：</w:t>
      </w:r>
    </w:p>
    <w:p>
      <w:pPr>
        <w:spacing w:line="360" w:lineRule="auto"/>
        <w:ind w:firstLine="480"/>
        <w:rPr>
          <w:rFonts w:ascii="楷体" w:hAnsi="楷体" w:eastAsia="楷体" w:cs="楷体"/>
        </w:rPr>
      </w:pPr>
      <w:r>
        <w:rPr>
          <w:rFonts w:hint="eastAsia" w:ascii="楷体" w:hAnsi="楷体" w:eastAsia="楷体" w:cs="楷体"/>
        </w:rPr>
        <w:t>平台面向全网用户提供摄像机点位的GIS电子地图服务，用户可及时获取并更新地图信息，方便直观地定位和查看前端监控点图像。</w:t>
      </w:r>
    </w:p>
    <w:p>
      <w:pPr>
        <w:spacing w:line="360" w:lineRule="auto"/>
        <w:ind w:firstLine="480"/>
        <w:rPr>
          <w:rFonts w:ascii="楷体" w:hAnsi="楷体" w:eastAsia="楷体" w:cs="楷体"/>
        </w:rPr>
      </w:pPr>
      <w:r>
        <w:rPr>
          <w:rFonts w:hint="eastAsia" w:ascii="楷体" w:hAnsi="楷体" w:eastAsia="楷体" w:cs="楷体"/>
        </w:rPr>
        <w:t>在线地图：支持多种地图，联网用户仅需选择任意一种均可进行在线访问，节点信息会保存在PC客户端中。</w:t>
      </w:r>
    </w:p>
    <w:p>
      <w:pPr>
        <w:spacing w:line="360" w:lineRule="auto"/>
        <w:ind w:firstLine="480"/>
        <w:rPr>
          <w:rFonts w:ascii="楷体" w:hAnsi="楷体" w:eastAsia="楷体" w:cs="楷体"/>
        </w:rPr>
      </w:pPr>
      <w:r>
        <w:rPr>
          <w:rFonts w:hint="eastAsia" w:ascii="楷体" w:hAnsi="楷体" w:eastAsia="楷体" w:cs="楷体"/>
        </w:rPr>
        <w:t>GIS地图中摄像机集群可聚合显示，仅显示区域内摄像机个数，防止区域内因摄像机数量过多，造成摄像机点位在地图上密集显示无法操作问题。</w:t>
      </w:r>
    </w:p>
    <w:p>
      <w:pPr>
        <w:spacing w:line="360" w:lineRule="auto"/>
        <w:ind w:firstLine="480"/>
        <w:rPr>
          <w:rFonts w:ascii="楷体" w:hAnsi="楷体" w:eastAsia="楷体" w:cs="楷体"/>
        </w:rPr>
      </w:pPr>
      <w:r>
        <w:rPr>
          <w:rFonts w:hint="eastAsia" w:ascii="楷体" w:hAnsi="楷体" w:eastAsia="楷体" w:cs="楷体"/>
        </w:rPr>
        <w:t>GIS地图支持预存区域/预存点的添加，可对重点区域/点进行预存，当此区域有事件产生时，用户可实现监控区域的快速跳转。</w:t>
      </w:r>
    </w:p>
    <w:p>
      <w:pPr>
        <w:spacing w:line="360" w:lineRule="auto"/>
        <w:ind w:firstLine="480"/>
        <w:rPr>
          <w:rFonts w:ascii="楷体" w:hAnsi="楷体" w:eastAsia="楷体" w:cs="楷体"/>
        </w:rPr>
      </w:pPr>
      <w:r>
        <w:rPr>
          <w:rFonts w:hint="eastAsia" w:ascii="楷体" w:hAnsi="楷体" w:eastAsia="楷体" w:cs="楷体"/>
        </w:rPr>
        <w:t>支持定位查询：用户仅需知道查询的方位经纬度信息后，可直接进行定位，找到具体位置。</w:t>
      </w:r>
    </w:p>
    <w:p>
      <w:pPr>
        <w:numPr>
          <w:ilvl w:val="0"/>
          <w:numId w:val="10"/>
        </w:numPr>
        <w:spacing w:line="360" w:lineRule="auto"/>
        <w:rPr>
          <w:rFonts w:ascii="楷体" w:hAnsi="楷体" w:eastAsia="楷体" w:cs="楷体"/>
        </w:rPr>
      </w:pPr>
      <w:r>
        <w:rPr>
          <w:rFonts w:hint="eastAsia" w:ascii="楷体" w:hAnsi="楷体" w:eastAsia="楷体" w:cs="楷体"/>
        </w:rPr>
        <w:t>视频监控</w:t>
      </w:r>
    </w:p>
    <w:p>
      <w:pPr>
        <w:spacing w:line="360" w:lineRule="auto"/>
        <w:ind w:firstLine="480"/>
        <w:rPr>
          <w:rFonts w:ascii="楷体" w:hAnsi="楷体" w:eastAsia="楷体" w:cs="楷体"/>
        </w:rPr>
      </w:pPr>
      <w:r>
        <w:rPr>
          <w:rFonts w:hint="eastAsia" w:ascii="楷体" w:hAnsi="楷体" w:eastAsia="楷体" w:cs="楷体"/>
        </w:rPr>
        <w:t>视频图像信息共享平台依托视频图像资源可实现视频巡逻功能，根据所辖区域治安状况和警情等级，实行分级分区域监看，强化对高发案地段、时段的实时监控，确保对重点部位重点时段的监控。具体功能如下，</w:t>
      </w:r>
    </w:p>
    <w:p>
      <w:pPr>
        <w:spacing w:line="360" w:lineRule="auto"/>
        <w:ind w:firstLine="480"/>
        <w:rPr>
          <w:rFonts w:ascii="楷体" w:hAnsi="楷体" w:eastAsia="楷体" w:cs="楷体"/>
        </w:rPr>
      </w:pPr>
      <w:r>
        <w:rPr>
          <w:rFonts w:hint="eastAsia" w:ascii="楷体" w:hAnsi="楷体" w:eastAsia="楷体" w:cs="楷体"/>
        </w:rPr>
        <w:t>支持等级和分组两种优先模式；每一个监巡分组支持布局设置和时间设置；布局设置支持用户自定义模版编辑，时间设置支持用户设置开始时间、结束时间和停留时间、监巡等级。</w:t>
      </w:r>
    </w:p>
    <w:p>
      <w:pPr>
        <w:spacing w:line="360" w:lineRule="auto"/>
        <w:ind w:firstLine="480"/>
        <w:rPr>
          <w:rFonts w:ascii="楷体" w:hAnsi="楷体" w:eastAsia="楷体" w:cs="楷体"/>
        </w:rPr>
      </w:pPr>
      <w:r>
        <w:rPr>
          <w:rFonts w:hint="eastAsia" w:ascii="楷体" w:hAnsi="楷体" w:eastAsia="楷体" w:cs="楷体"/>
        </w:rPr>
        <w:t>支持视频自动巡视功能，在可设定的间隔时间内对全网的监控点进行图像巡检，组成轮巡的对象可以任意设定，轮巡的间隔时间可设置。轮巡顺序可按等级、分组、时间三类优先级别设定。</w:t>
      </w:r>
    </w:p>
    <w:p>
      <w:pPr>
        <w:spacing w:line="360" w:lineRule="auto"/>
        <w:ind w:firstLine="480"/>
        <w:rPr>
          <w:rFonts w:ascii="楷体" w:hAnsi="楷体" w:eastAsia="楷体" w:cs="楷体"/>
        </w:rPr>
      </w:pPr>
      <w:r>
        <w:rPr>
          <w:rFonts w:hint="eastAsia" w:ascii="楷体" w:hAnsi="楷体" w:eastAsia="楷体" w:cs="楷体"/>
        </w:rPr>
        <w:t>支持高权限用户任务抢占正在执行的轮询任务，抢占时，正在执行轮巡的界面均会得到抢占提示，高权限用户释放图像资源后，可自动恢复抢占前画面。</w:t>
      </w:r>
    </w:p>
    <w:p>
      <w:pPr>
        <w:numPr>
          <w:ilvl w:val="0"/>
          <w:numId w:val="10"/>
        </w:numPr>
        <w:spacing w:line="360" w:lineRule="auto"/>
        <w:rPr>
          <w:rFonts w:ascii="楷体" w:hAnsi="楷体" w:eastAsia="楷体" w:cs="楷体"/>
        </w:rPr>
      </w:pPr>
      <w:r>
        <w:rPr>
          <w:rFonts w:ascii="楷体" w:hAnsi="楷体" w:eastAsia="楷体" w:cs="楷体"/>
        </w:rPr>
        <w:t>具有安全功能的前端设备接入</w:t>
      </w:r>
    </w:p>
    <w:p>
      <w:pPr>
        <w:spacing w:line="360" w:lineRule="auto"/>
        <w:ind w:firstLine="480"/>
        <w:rPr>
          <w:rFonts w:ascii="楷体" w:hAnsi="楷体" w:eastAsia="楷体" w:cs="楷体"/>
        </w:rPr>
      </w:pPr>
      <w:r>
        <w:rPr>
          <w:rFonts w:hint="eastAsia" w:ascii="楷体" w:hAnsi="楷体" w:eastAsia="楷体" w:cs="楷体"/>
        </w:rPr>
        <w:t>平台接入具有安全功能的前端设备通过设备认证及管理模块完成。对标准FDWSF（具有安全功能的前端设备）的基本信息、属性信息以及FDWSF的ID、其密码模块ID与设备证书等进行对应的配置及管理，同时可对标准FDWSF基于双向设备身份认证方式注册认证。基于国密算法和部件的数字证书设备身份认证。</w:t>
      </w:r>
    </w:p>
    <w:p>
      <w:pPr>
        <w:numPr>
          <w:ilvl w:val="0"/>
          <w:numId w:val="10"/>
        </w:numPr>
        <w:spacing w:line="360" w:lineRule="auto"/>
        <w:rPr>
          <w:rFonts w:ascii="楷体" w:hAnsi="楷体" w:eastAsia="楷体" w:cs="楷体"/>
        </w:rPr>
      </w:pPr>
      <w:r>
        <w:rPr>
          <w:rFonts w:hint="eastAsia" w:ascii="楷体" w:hAnsi="楷体" w:eastAsia="楷体" w:cs="楷体"/>
        </w:rPr>
        <w:t>GB 35114</w:t>
      </w:r>
      <w:r>
        <w:rPr>
          <w:rFonts w:ascii="楷体" w:hAnsi="楷体" w:eastAsia="楷体" w:cs="楷体"/>
        </w:rPr>
        <w:t>联网</w:t>
      </w:r>
    </w:p>
    <w:p>
      <w:pPr>
        <w:spacing w:line="360" w:lineRule="auto"/>
        <w:ind w:firstLine="480"/>
        <w:rPr>
          <w:rFonts w:ascii="楷体" w:hAnsi="楷体" w:eastAsia="楷体" w:cs="楷体"/>
        </w:rPr>
      </w:pPr>
      <w:r>
        <w:rPr>
          <w:rFonts w:ascii="楷体" w:hAnsi="楷体" w:eastAsia="楷体" w:cs="楷体"/>
        </w:rPr>
        <w:t>基于GB</w:t>
      </w:r>
      <w:r>
        <w:rPr>
          <w:rFonts w:hint="eastAsia" w:ascii="楷体" w:hAnsi="楷体" w:eastAsia="楷体" w:cs="楷体"/>
        </w:rPr>
        <w:t xml:space="preserve"> 35114</w:t>
      </w:r>
      <w:r>
        <w:rPr>
          <w:rFonts w:ascii="楷体" w:hAnsi="楷体" w:eastAsia="楷体" w:cs="楷体"/>
        </w:rPr>
        <w:t>协议</w:t>
      </w:r>
      <w:r>
        <w:rPr>
          <w:rFonts w:hint="eastAsia" w:ascii="楷体" w:hAnsi="楷体" w:eastAsia="楷体" w:cs="楷体"/>
        </w:rPr>
        <w:t>实现，</w:t>
      </w:r>
      <w:r>
        <w:rPr>
          <w:rFonts w:ascii="楷体" w:hAnsi="楷体" w:eastAsia="楷体" w:cs="楷体"/>
        </w:rPr>
        <w:t>在协议层满足</w:t>
      </w:r>
      <w:r>
        <w:rPr>
          <w:rFonts w:hint="eastAsia" w:ascii="楷体" w:hAnsi="楷体" w:eastAsia="楷体" w:cs="楷体"/>
        </w:rPr>
        <w:t>GB/T 28181的前提下，对GB/T28181进行扩展，采用国密算法实现基于数字证书的接入认证和基于数字摘要的信令认证。</w:t>
      </w:r>
      <w:r>
        <w:rPr>
          <w:rFonts w:ascii="楷体" w:hAnsi="楷体" w:eastAsia="楷体" w:cs="楷体"/>
        </w:rPr>
        <w:t>平台之间以信令安全路由网关</w:t>
      </w:r>
      <w:r>
        <w:rPr>
          <w:rFonts w:hint="eastAsia" w:ascii="楷体" w:hAnsi="楷体" w:eastAsia="楷体" w:cs="楷体"/>
        </w:rPr>
        <w:t>、</w:t>
      </w:r>
      <w:r>
        <w:rPr>
          <w:rFonts w:ascii="楷体" w:hAnsi="楷体" w:eastAsia="楷体" w:cs="楷体"/>
        </w:rPr>
        <w:t>具有安全功能的媒体服务器为核心</w:t>
      </w:r>
      <w:r>
        <w:rPr>
          <w:rFonts w:hint="eastAsia" w:ascii="楷体" w:hAnsi="楷体" w:eastAsia="楷体" w:cs="楷体"/>
        </w:rPr>
        <w:t>，</w:t>
      </w:r>
      <w:r>
        <w:rPr>
          <w:rFonts w:ascii="楷体" w:hAnsi="楷体" w:eastAsia="楷体" w:cs="楷体"/>
        </w:rPr>
        <w:t>控制信令信息和媒体信息的传输、交换、控制等均可基于标准协议</w:t>
      </w:r>
      <w:r>
        <w:rPr>
          <w:rFonts w:hint="eastAsia" w:ascii="楷体" w:hAnsi="楷体" w:eastAsia="楷体" w:cs="楷体"/>
        </w:rPr>
        <w:t>，</w:t>
      </w:r>
      <w:r>
        <w:rPr>
          <w:rFonts w:ascii="楷体" w:hAnsi="楷体" w:eastAsia="楷体" w:cs="楷体"/>
        </w:rPr>
        <w:t>平台间互联互通时需进行双向身份认证</w:t>
      </w:r>
      <w:r>
        <w:rPr>
          <w:rFonts w:hint="eastAsia" w:ascii="楷体" w:hAnsi="楷体" w:eastAsia="楷体" w:cs="楷体"/>
        </w:rPr>
        <w:t>。</w:t>
      </w:r>
    </w:p>
    <w:p>
      <w:pPr>
        <w:numPr>
          <w:ilvl w:val="0"/>
          <w:numId w:val="10"/>
        </w:numPr>
        <w:spacing w:line="360" w:lineRule="auto"/>
        <w:rPr>
          <w:rFonts w:ascii="楷体" w:hAnsi="楷体" w:eastAsia="楷体" w:cs="楷体"/>
        </w:rPr>
      </w:pPr>
      <w:r>
        <w:rPr>
          <w:rFonts w:hint="eastAsia" w:ascii="楷体" w:hAnsi="楷体" w:eastAsia="楷体" w:cs="楷体"/>
        </w:rPr>
        <w:t>接口调用服务</w:t>
      </w:r>
    </w:p>
    <w:p>
      <w:pPr>
        <w:spacing w:line="360" w:lineRule="auto"/>
        <w:ind w:firstLine="480"/>
        <w:rPr>
          <w:rFonts w:ascii="楷体" w:hAnsi="楷体" w:eastAsia="楷体" w:cs="楷体"/>
        </w:rPr>
      </w:pPr>
      <w:r>
        <w:rPr>
          <w:rFonts w:hint="eastAsia" w:ascii="楷体" w:hAnsi="楷体" w:eastAsia="楷体" w:cs="楷体"/>
        </w:rPr>
        <w:t>能够为视综平台、分析系统等提供基于GB/T 28181-2016的视频调用接口，便于其它系统或平台调用视频资源。</w:t>
      </w:r>
    </w:p>
    <w:p>
      <w:pPr>
        <w:tabs>
          <w:tab w:val="left" w:pos="645"/>
        </w:tabs>
        <w:spacing w:line="360" w:lineRule="auto"/>
        <w:ind w:firstLine="480" w:firstLineChars="200"/>
        <w:rPr>
          <w:rFonts w:ascii="楷体" w:hAnsi="楷体" w:eastAsia="楷体" w:cs="楷体"/>
        </w:rPr>
      </w:pPr>
      <w:r>
        <w:rPr>
          <w:rFonts w:hint="eastAsia" w:ascii="楷体" w:hAnsi="楷体" w:eastAsia="楷体" w:cs="楷体"/>
        </w:rPr>
        <w:t>2.6联网平台功能</w:t>
      </w:r>
    </w:p>
    <w:p>
      <w:pPr>
        <w:numPr>
          <w:ilvl w:val="0"/>
          <w:numId w:val="11"/>
        </w:numPr>
        <w:spacing w:line="360" w:lineRule="auto"/>
        <w:rPr>
          <w:rFonts w:ascii="楷体" w:hAnsi="楷体" w:eastAsia="楷体" w:cs="楷体"/>
        </w:rPr>
      </w:pPr>
      <w:r>
        <w:rPr>
          <w:rFonts w:hint="eastAsia" w:ascii="楷体" w:hAnsi="楷体" w:eastAsia="楷体" w:cs="楷体"/>
        </w:rPr>
        <w:t>实时图像点播</w:t>
      </w:r>
    </w:p>
    <w:p>
      <w:pPr>
        <w:spacing w:line="360" w:lineRule="auto"/>
        <w:ind w:firstLine="480"/>
        <w:rPr>
          <w:rFonts w:ascii="楷体" w:hAnsi="楷体" w:eastAsia="楷体" w:cs="楷体"/>
        </w:rPr>
      </w:pPr>
      <w:r>
        <w:rPr>
          <w:rFonts w:hint="eastAsia" w:ascii="楷体" w:hAnsi="楷体" w:eastAsia="楷体" w:cs="楷体"/>
        </w:rPr>
        <w:t>系统能够按照指定设备、指定通道进行图像的实时点播，支持对点播图像进行显示、缩放、抓拍及录像，支持多用户对同一视频资源同时点播。</w:t>
      </w:r>
    </w:p>
    <w:p>
      <w:pPr>
        <w:numPr>
          <w:ilvl w:val="0"/>
          <w:numId w:val="11"/>
        </w:numPr>
        <w:spacing w:line="360" w:lineRule="auto"/>
        <w:rPr>
          <w:rFonts w:ascii="楷体" w:hAnsi="楷体" w:eastAsia="楷体" w:cs="楷体"/>
        </w:rPr>
      </w:pPr>
      <w:r>
        <w:rPr>
          <w:rFonts w:hint="eastAsia" w:ascii="楷体" w:hAnsi="楷体" w:eastAsia="楷体" w:cs="楷体"/>
        </w:rPr>
        <w:t>历史图像的检索及回放</w:t>
      </w:r>
    </w:p>
    <w:p>
      <w:pPr>
        <w:spacing w:line="360" w:lineRule="auto"/>
        <w:ind w:firstLine="480"/>
        <w:rPr>
          <w:rFonts w:ascii="楷体" w:hAnsi="楷体" w:eastAsia="楷体" w:cs="楷体"/>
        </w:rPr>
      </w:pPr>
      <w:r>
        <w:rPr>
          <w:rFonts w:hint="eastAsia" w:ascii="楷体" w:hAnsi="楷体" w:eastAsia="楷体" w:cs="楷体"/>
        </w:rPr>
        <w:t>系统能够按照指定设备、通道、时间信息，以及标签标记、摘要索引对全网海量历史图像资料进行云搜索，并支持对图像资料进行回放及下载，回放过程中支持正常、快速、慢速播放，画面暂停、图像抓拍、缩放显示等。</w:t>
      </w:r>
    </w:p>
    <w:p>
      <w:pPr>
        <w:spacing w:line="360" w:lineRule="auto"/>
        <w:ind w:firstLine="480"/>
        <w:rPr>
          <w:rFonts w:ascii="楷体" w:hAnsi="楷体" w:eastAsia="楷体" w:cs="楷体"/>
        </w:rPr>
      </w:pPr>
      <w:r>
        <w:rPr>
          <w:rFonts w:hint="eastAsia" w:ascii="楷体" w:hAnsi="楷体" w:eastAsia="楷体" w:cs="楷体"/>
        </w:rPr>
        <w:t>录像文件检索：按日期、时间、类型、服务器、通道检索客户端本地、存储服务器、前端设备录像文件。</w:t>
      </w:r>
    </w:p>
    <w:p>
      <w:pPr>
        <w:numPr>
          <w:ilvl w:val="0"/>
          <w:numId w:val="11"/>
        </w:numPr>
        <w:spacing w:line="360" w:lineRule="auto"/>
        <w:rPr>
          <w:rFonts w:ascii="楷体" w:hAnsi="楷体" w:eastAsia="楷体" w:cs="楷体"/>
        </w:rPr>
      </w:pPr>
      <w:r>
        <w:rPr>
          <w:rFonts w:hint="eastAsia" w:ascii="楷体" w:hAnsi="楷体" w:eastAsia="楷体" w:cs="楷体"/>
        </w:rPr>
        <w:t>远程控制</w:t>
      </w:r>
    </w:p>
    <w:p>
      <w:pPr>
        <w:spacing w:line="360" w:lineRule="auto"/>
        <w:ind w:firstLine="480"/>
        <w:rPr>
          <w:rFonts w:ascii="楷体" w:hAnsi="楷体" w:eastAsia="楷体" w:cs="楷体"/>
        </w:rPr>
      </w:pPr>
      <w:r>
        <w:rPr>
          <w:rFonts w:hint="eastAsia" w:ascii="楷体" w:hAnsi="楷体" w:eastAsia="楷体" w:cs="楷体"/>
        </w:rPr>
        <w:t>系统能够通过手动或自动操作，对前端设备进行PTZ控制。</w:t>
      </w:r>
    </w:p>
    <w:p>
      <w:pPr>
        <w:numPr>
          <w:ilvl w:val="0"/>
          <w:numId w:val="11"/>
        </w:numPr>
        <w:spacing w:line="360" w:lineRule="auto"/>
        <w:rPr>
          <w:rFonts w:ascii="楷体" w:hAnsi="楷体" w:eastAsia="楷体" w:cs="楷体"/>
        </w:rPr>
      </w:pPr>
      <w:r>
        <w:rPr>
          <w:rFonts w:hint="eastAsia" w:ascii="楷体" w:hAnsi="楷体" w:eastAsia="楷体" w:cs="楷体"/>
        </w:rPr>
        <w:t>解码输出</w:t>
      </w:r>
    </w:p>
    <w:p>
      <w:pPr>
        <w:spacing w:line="360" w:lineRule="auto"/>
        <w:ind w:firstLine="480"/>
        <w:rPr>
          <w:rFonts w:ascii="楷体" w:hAnsi="楷体" w:eastAsia="楷体" w:cs="楷体"/>
        </w:rPr>
      </w:pPr>
      <w:r>
        <w:rPr>
          <w:rFonts w:hint="eastAsia" w:ascii="楷体" w:hAnsi="楷体" w:eastAsia="楷体" w:cs="楷体"/>
        </w:rPr>
        <w:t>系统能够按照指定设备、指定通道进行图像实时解码上墙显示。</w:t>
      </w:r>
    </w:p>
    <w:p>
      <w:pPr>
        <w:numPr>
          <w:ilvl w:val="0"/>
          <w:numId w:val="11"/>
        </w:numPr>
        <w:spacing w:line="360" w:lineRule="auto"/>
        <w:rPr>
          <w:rFonts w:ascii="楷体" w:hAnsi="楷体" w:eastAsia="楷体" w:cs="楷体"/>
        </w:rPr>
      </w:pPr>
      <w:r>
        <w:rPr>
          <w:rFonts w:hint="eastAsia" w:ascii="楷体" w:hAnsi="楷体" w:eastAsia="楷体" w:cs="楷体"/>
        </w:rPr>
        <w:t>车辆查询</w:t>
      </w:r>
    </w:p>
    <w:p>
      <w:pPr>
        <w:spacing w:line="360" w:lineRule="auto"/>
        <w:ind w:firstLine="480"/>
        <w:rPr>
          <w:rFonts w:ascii="楷体" w:hAnsi="楷体" w:eastAsia="楷体" w:cs="楷体"/>
        </w:rPr>
      </w:pPr>
      <w:r>
        <w:rPr>
          <w:rFonts w:hint="eastAsia" w:ascii="楷体" w:hAnsi="楷体" w:eastAsia="楷体" w:cs="楷体"/>
        </w:rPr>
        <w:t>卡口过车信息查询：查询卡口系统的过车信息、过车图片信息进行显示。</w:t>
      </w:r>
    </w:p>
    <w:p>
      <w:pPr>
        <w:numPr>
          <w:ilvl w:val="0"/>
          <w:numId w:val="11"/>
        </w:numPr>
        <w:spacing w:line="360" w:lineRule="auto"/>
        <w:rPr>
          <w:rFonts w:ascii="楷体" w:hAnsi="楷体" w:eastAsia="楷体" w:cs="楷体"/>
        </w:rPr>
      </w:pPr>
      <w:r>
        <w:rPr>
          <w:rFonts w:hint="eastAsia" w:ascii="楷体" w:hAnsi="楷体" w:eastAsia="楷体" w:cs="楷体"/>
        </w:rPr>
        <w:t>设备管理</w:t>
      </w:r>
    </w:p>
    <w:p>
      <w:pPr>
        <w:spacing w:line="360" w:lineRule="auto"/>
        <w:ind w:firstLine="480"/>
        <w:rPr>
          <w:rFonts w:ascii="楷体" w:hAnsi="楷体" w:eastAsia="楷体" w:cs="楷体"/>
        </w:rPr>
      </w:pPr>
      <w:r>
        <w:rPr>
          <w:rFonts w:hint="eastAsia" w:ascii="楷体" w:hAnsi="楷体" w:eastAsia="楷体" w:cs="楷体"/>
        </w:rPr>
        <w:t>对本级平台联网设备进行管理，同时向上级平台上传管理信息，上传的管理信息应包含相应目录列表信息，目录主要包含公共安全视频监控（一二三类点位）。</w:t>
      </w:r>
    </w:p>
    <w:p>
      <w:pPr>
        <w:spacing w:line="360" w:lineRule="auto"/>
        <w:ind w:firstLine="480"/>
        <w:rPr>
          <w:rFonts w:ascii="楷体" w:hAnsi="楷体" w:eastAsia="楷体" w:cs="楷体"/>
        </w:rPr>
      </w:pPr>
      <w:r>
        <w:rPr>
          <w:rFonts w:hint="eastAsia" w:ascii="楷体" w:hAnsi="楷体" w:eastAsia="楷体" w:cs="楷体"/>
        </w:rPr>
        <w:t>支持设备进入联网系统时向管理平台进行注册登记并进行合法性认证，同时进行时钟校正；信令安全路由网关应逐步支持信令认证，保证信令安全；对设备厂商、设备型号、版本、支持协议类型等基本信息进行查询；设备主要参数应能够进行远程配置和软件批量更新升级。</w:t>
      </w:r>
    </w:p>
    <w:p>
      <w:pPr>
        <w:numPr>
          <w:ilvl w:val="0"/>
          <w:numId w:val="11"/>
        </w:numPr>
        <w:spacing w:line="360" w:lineRule="auto"/>
        <w:rPr>
          <w:rFonts w:ascii="楷体" w:hAnsi="楷体" w:eastAsia="楷体" w:cs="楷体"/>
        </w:rPr>
      </w:pPr>
      <w:r>
        <w:rPr>
          <w:rFonts w:hint="eastAsia" w:ascii="楷体" w:hAnsi="楷体" w:eastAsia="楷体" w:cs="楷体"/>
        </w:rPr>
        <w:t>运行管理</w:t>
      </w:r>
    </w:p>
    <w:p>
      <w:pPr>
        <w:spacing w:line="360" w:lineRule="auto"/>
        <w:ind w:firstLine="480"/>
        <w:rPr>
          <w:rFonts w:ascii="楷体" w:hAnsi="楷体" w:eastAsia="楷体" w:cs="楷体"/>
        </w:rPr>
      </w:pPr>
      <w:r>
        <w:rPr>
          <w:rFonts w:hint="eastAsia" w:ascii="楷体" w:hAnsi="楷体" w:eastAsia="楷体" w:cs="楷体"/>
        </w:rPr>
        <w:t>能够自动搜索、检测、查询联网系统内设备数量、在线情况已经运行状态，当发现系统设备故障或出现异常时，能够发出告警信息，应当具备应用层网管功能。</w:t>
      </w:r>
    </w:p>
    <w:p>
      <w:pPr>
        <w:numPr>
          <w:ilvl w:val="0"/>
          <w:numId w:val="11"/>
        </w:numPr>
        <w:spacing w:line="360" w:lineRule="auto"/>
        <w:rPr>
          <w:rFonts w:ascii="楷体" w:hAnsi="楷体" w:eastAsia="楷体" w:cs="楷体"/>
        </w:rPr>
      </w:pPr>
      <w:r>
        <w:rPr>
          <w:rFonts w:hint="eastAsia" w:ascii="楷体" w:hAnsi="楷体" w:eastAsia="楷体" w:cs="楷体"/>
        </w:rPr>
        <w:t>用户管理</w:t>
      </w:r>
    </w:p>
    <w:p>
      <w:pPr>
        <w:spacing w:line="360" w:lineRule="auto"/>
        <w:ind w:firstLine="480"/>
        <w:rPr>
          <w:rFonts w:ascii="楷体" w:hAnsi="楷体" w:eastAsia="楷体" w:cs="楷体"/>
        </w:rPr>
      </w:pPr>
      <w:r>
        <w:rPr>
          <w:rFonts w:hint="eastAsia" w:ascii="楷体" w:hAnsi="楷体" w:eastAsia="楷体" w:cs="楷体"/>
        </w:rPr>
        <w:t>具备用户注册、身份认证、权限管理、访问控制等功能，支持平台间的用户身份传递和审计。</w:t>
      </w:r>
    </w:p>
    <w:p>
      <w:pPr>
        <w:numPr>
          <w:ilvl w:val="0"/>
          <w:numId w:val="11"/>
        </w:numPr>
        <w:spacing w:line="360" w:lineRule="auto"/>
        <w:rPr>
          <w:rFonts w:ascii="楷体" w:hAnsi="楷体" w:eastAsia="楷体" w:cs="楷体"/>
        </w:rPr>
      </w:pPr>
      <w:r>
        <w:rPr>
          <w:rFonts w:hint="eastAsia" w:ascii="楷体" w:hAnsi="楷体" w:eastAsia="楷体" w:cs="楷体"/>
        </w:rPr>
        <w:t>日志管理</w:t>
      </w:r>
    </w:p>
    <w:p>
      <w:pPr>
        <w:spacing w:line="360" w:lineRule="auto"/>
        <w:ind w:firstLine="480"/>
        <w:rPr>
          <w:rFonts w:ascii="楷体" w:hAnsi="楷体" w:eastAsia="楷体" w:cs="楷体"/>
        </w:rPr>
      </w:pPr>
      <w:r>
        <w:rPr>
          <w:rFonts w:hint="eastAsia" w:ascii="楷体" w:hAnsi="楷体" w:eastAsia="楷体" w:cs="楷体"/>
        </w:rPr>
        <w:t>包括记录系统运行状态的运行日志以及记录操作人员操作情况的操作日志，支持日志信息查询和报表制作等功能。</w:t>
      </w:r>
    </w:p>
    <w:p>
      <w:pPr>
        <w:numPr>
          <w:ilvl w:val="0"/>
          <w:numId w:val="11"/>
        </w:numPr>
        <w:spacing w:line="360" w:lineRule="auto"/>
        <w:rPr>
          <w:rFonts w:ascii="楷体" w:hAnsi="楷体" w:eastAsia="楷体" w:cs="楷体"/>
        </w:rPr>
      </w:pPr>
      <w:r>
        <w:rPr>
          <w:rFonts w:hint="eastAsia" w:ascii="楷体" w:hAnsi="楷体" w:eastAsia="楷体" w:cs="楷体"/>
        </w:rPr>
        <w:t>地图管理</w:t>
      </w:r>
    </w:p>
    <w:p>
      <w:pPr>
        <w:spacing w:line="360" w:lineRule="auto"/>
        <w:ind w:firstLine="480"/>
        <w:rPr>
          <w:rFonts w:ascii="楷体" w:hAnsi="楷体" w:eastAsia="楷体" w:cs="楷体"/>
        </w:rPr>
      </w:pPr>
      <w:r>
        <w:rPr>
          <w:rFonts w:hint="eastAsia" w:ascii="楷体" w:hAnsi="楷体" w:eastAsia="楷体" w:cs="楷体"/>
        </w:rPr>
        <w:t>与PGIS等地理信息系统进行结合，支持监控设备上图显示，具体功能包含如下：</w:t>
      </w:r>
    </w:p>
    <w:p>
      <w:pPr>
        <w:spacing w:line="360" w:lineRule="auto"/>
        <w:ind w:firstLine="480"/>
        <w:rPr>
          <w:rFonts w:ascii="楷体" w:hAnsi="楷体" w:eastAsia="楷体" w:cs="楷体"/>
        </w:rPr>
      </w:pPr>
      <w:r>
        <w:rPr>
          <w:rFonts w:hint="eastAsia" w:ascii="楷体" w:hAnsi="楷体" w:eastAsia="楷体" w:cs="楷体"/>
        </w:rPr>
        <w:t>平台面向全网用户提供摄像机点位的PGIS电子地图服务，用户可及时获取并更新地图信息，方便直观地定位和查看前端监控点图像。</w:t>
      </w:r>
    </w:p>
    <w:p>
      <w:pPr>
        <w:spacing w:line="360" w:lineRule="auto"/>
        <w:ind w:firstLine="480"/>
        <w:rPr>
          <w:rFonts w:ascii="楷体" w:hAnsi="楷体" w:eastAsia="楷体" w:cs="楷体"/>
        </w:rPr>
      </w:pPr>
      <w:r>
        <w:rPr>
          <w:rFonts w:hint="eastAsia" w:ascii="楷体" w:hAnsi="楷体" w:eastAsia="楷体" w:cs="楷体"/>
        </w:rPr>
        <w:t>在线地图：支持多种地图，联网用户仅需选择任意一种均可进行在线访问，节点信息会保存在PC客户端中。</w:t>
      </w:r>
    </w:p>
    <w:p>
      <w:pPr>
        <w:spacing w:line="360" w:lineRule="auto"/>
        <w:ind w:firstLine="480"/>
        <w:rPr>
          <w:rFonts w:ascii="楷体" w:hAnsi="楷体" w:eastAsia="楷体" w:cs="楷体"/>
        </w:rPr>
      </w:pPr>
      <w:r>
        <w:rPr>
          <w:rFonts w:hint="eastAsia" w:ascii="楷体" w:hAnsi="楷体" w:eastAsia="楷体" w:cs="楷体"/>
        </w:rPr>
        <w:t>PGIS地图中摄像机集群可聚合显示，仅显示区域内摄像机个数，防止区域内因摄像机数量过多，造成摄像机点位在地图上密集显示无法操作问题。</w:t>
      </w:r>
    </w:p>
    <w:p>
      <w:pPr>
        <w:spacing w:line="360" w:lineRule="auto"/>
        <w:ind w:firstLine="480"/>
        <w:rPr>
          <w:rFonts w:ascii="楷体" w:hAnsi="楷体" w:eastAsia="楷体" w:cs="楷体"/>
        </w:rPr>
      </w:pPr>
      <w:r>
        <w:rPr>
          <w:rFonts w:hint="eastAsia" w:ascii="楷体" w:hAnsi="楷体" w:eastAsia="楷体" w:cs="楷体"/>
        </w:rPr>
        <w:t>PGIS地图支持预存区域/预存点的添加，可对重点区域/点进行预存，当此区域有事件产生时，用户可实现监控区域的快速跳转。</w:t>
      </w:r>
    </w:p>
    <w:p>
      <w:pPr>
        <w:spacing w:line="360" w:lineRule="auto"/>
        <w:ind w:firstLine="480"/>
        <w:rPr>
          <w:rFonts w:ascii="楷体" w:hAnsi="楷体" w:eastAsia="楷体" w:cs="楷体"/>
        </w:rPr>
      </w:pPr>
      <w:r>
        <w:rPr>
          <w:rFonts w:hint="eastAsia" w:ascii="楷体" w:hAnsi="楷体" w:eastAsia="楷体" w:cs="楷体"/>
        </w:rPr>
        <w:t>支持定位查询：用户仅需知道查询的方位经纬度信息后，可直接进行定位，找到具体位置。</w:t>
      </w:r>
    </w:p>
    <w:p>
      <w:pPr>
        <w:numPr>
          <w:ilvl w:val="0"/>
          <w:numId w:val="11"/>
        </w:numPr>
        <w:spacing w:line="360" w:lineRule="auto"/>
        <w:rPr>
          <w:rFonts w:ascii="楷体" w:hAnsi="楷体" w:eastAsia="楷体" w:cs="楷体"/>
        </w:rPr>
      </w:pPr>
      <w:r>
        <w:rPr>
          <w:rFonts w:hint="eastAsia" w:ascii="楷体" w:hAnsi="楷体" w:eastAsia="楷体" w:cs="楷体"/>
        </w:rPr>
        <w:t>视频监控</w:t>
      </w:r>
    </w:p>
    <w:p>
      <w:pPr>
        <w:spacing w:line="360" w:lineRule="auto"/>
        <w:ind w:firstLine="480"/>
        <w:rPr>
          <w:rFonts w:ascii="楷体" w:hAnsi="楷体" w:eastAsia="楷体" w:cs="楷体"/>
        </w:rPr>
      </w:pPr>
      <w:r>
        <w:rPr>
          <w:rFonts w:hint="eastAsia" w:ascii="楷体" w:hAnsi="楷体" w:eastAsia="楷体" w:cs="楷体"/>
        </w:rPr>
        <w:t>视频图像信息联网平台依托视频图像资源可实现视频巡逻功能，根据所辖区域治安状况和警情等级，实行分级分区域监看，强化对高发案地段、时段的实时监控，确保对重点部位重点时段的监控。具体功能如下，</w:t>
      </w:r>
    </w:p>
    <w:p>
      <w:pPr>
        <w:spacing w:line="360" w:lineRule="auto"/>
        <w:ind w:firstLine="480"/>
        <w:rPr>
          <w:rFonts w:ascii="楷体" w:hAnsi="楷体" w:eastAsia="楷体" w:cs="楷体"/>
        </w:rPr>
      </w:pPr>
      <w:r>
        <w:rPr>
          <w:rFonts w:hint="eastAsia" w:ascii="楷体" w:hAnsi="楷体" w:eastAsia="楷体" w:cs="楷体"/>
        </w:rPr>
        <w:t>支持等级和分组两种优先模式；每一个监巡分组支持布局设置和时间设置；布局设置支持用户自定义模版编辑，时间设置支持用户设置开始时间、结束时间和停留时间、监巡等级。</w:t>
      </w:r>
    </w:p>
    <w:p>
      <w:pPr>
        <w:spacing w:line="360" w:lineRule="auto"/>
        <w:ind w:firstLine="480"/>
        <w:rPr>
          <w:rFonts w:ascii="楷体" w:hAnsi="楷体" w:eastAsia="楷体" w:cs="楷体"/>
        </w:rPr>
      </w:pPr>
      <w:r>
        <w:rPr>
          <w:rFonts w:hint="eastAsia" w:ascii="楷体" w:hAnsi="楷体" w:eastAsia="楷体" w:cs="楷体"/>
        </w:rPr>
        <w:t>支持视频自动巡视功能，在可设定的间隔时间内对全网的监控点进行图像巡检，组成轮巡的对象可以任意设定，轮巡的间隔时间可设置。轮巡顺序可按等级、分组、时间三类优先级别设定。</w:t>
      </w:r>
    </w:p>
    <w:p>
      <w:pPr>
        <w:spacing w:line="360" w:lineRule="auto"/>
        <w:ind w:firstLine="480"/>
        <w:rPr>
          <w:rFonts w:ascii="楷体" w:hAnsi="楷体" w:eastAsia="楷体" w:cs="楷体"/>
        </w:rPr>
      </w:pPr>
      <w:r>
        <w:rPr>
          <w:rFonts w:hint="eastAsia" w:ascii="楷体" w:hAnsi="楷体" w:eastAsia="楷体" w:cs="楷体"/>
        </w:rPr>
        <w:t>支持高权限用户任务抢占正在执行的轮询任务，抢占时，正在执行轮巡的界面均会得到抢占提示，高权限用户释放图像资源后，可自动恢复抢占前画面。</w:t>
      </w:r>
    </w:p>
    <w:p>
      <w:pPr>
        <w:numPr>
          <w:ilvl w:val="0"/>
          <w:numId w:val="11"/>
        </w:numPr>
        <w:spacing w:line="360" w:lineRule="auto"/>
        <w:rPr>
          <w:rFonts w:ascii="楷体" w:hAnsi="楷体" w:eastAsia="楷体" w:cs="楷体"/>
        </w:rPr>
      </w:pPr>
      <w:r>
        <w:rPr>
          <w:rFonts w:hint="eastAsia" w:ascii="楷体" w:hAnsi="楷体" w:eastAsia="楷体" w:cs="楷体"/>
        </w:rPr>
        <w:t>接口调用服务</w:t>
      </w:r>
    </w:p>
    <w:p>
      <w:pPr>
        <w:spacing w:line="360" w:lineRule="auto"/>
        <w:ind w:firstLine="480"/>
        <w:rPr>
          <w:rFonts w:ascii="楷体" w:hAnsi="楷体" w:eastAsia="楷体" w:cs="楷体"/>
        </w:rPr>
      </w:pPr>
      <w:r>
        <w:rPr>
          <w:rFonts w:hint="eastAsia" w:ascii="楷体" w:hAnsi="楷体" w:eastAsia="楷体" w:cs="楷体"/>
        </w:rPr>
        <w:t>能够为视综平台、分析系统等提供基于GB/T 28181-2016的视频调用接口，便于其它系统或平台调用视频资源。</w:t>
      </w:r>
    </w:p>
    <w:p>
      <w:pPr>
        <w:spacing w:line="360" w:lineRule="auto"/>
        <w:outlineLvl w:val="3"/>
        <w:rPr>
          <w:rFonts w:ascii="楷体" w:hAnsi="楷体" w:eastAsia="楷体" w:cs="楷体"/>
          <w:b/>
          <w:bCs/>
        </w:rPr>
      </w:pPr>
      <w:r>
        <w:rPr>
          <w:rFonts w:hint="eastAsia" w:ascii="楷体" w:hAnsi="楷体" w:eastAsia="楷体" w:cs="楷体"/>
          <w:b/>
          <w:bCs/>
        </w:rPr>
        <w:t>2.7应用支撑体系建设</w:t>
      </w:r>
    </w:p>
    <w:p>
      <w:pPr>
        <w:spacing w:line="360" w:lineRule="auto"/>
        <w:ind w:firstLine="480"/>
        <w:outlineLvl w:val="4"/>
        <w:rPr>
          <w:rFonts w:ascii="楷体" w:hAnsi="楷体" w:eastAsia="楷体" w:cs="楷体"/>
        </w:rPr>
      </w:pPr>
      <w:r>
        <w:rPr>
          <w:rFonts w:hint="eastAsia" w:ascii="楷体" w:hAnsi="楷体" w:eastAsia="楷体" w:cs="楷体"/>
        </w:rPr>
        <w:t>（1）视频图像分析系统的建设</w:t>
      </w:r>
    </w:p>
    <w:p>
      <w:pPr>
        <w:spacing w:line="360" w:lineRule="auto"/>
        <w:ind w:firstLine="480"/>
        <w:rPr>
          <w:rFonts w:ascii="楷体" w:hAnsi="楷体" w:eastAsia="楷体" w:cs="楷体"/>
        </w:rPr>
      </w:pPr>
      <w:r>
        <w:rPr>
          <w:rFonts w:hint="eastAsia" w:ascii="楷体" w:hAnsi="楷体" w:eastAsia="楷体" w:cs="楷体"/>
        </w:rPr>
        <w:t>新建视频专网市级视频图像分析系统，公安信息网视频图像分析系统，满足雪亮工程建设智能化前端的分析应用需求。</w:t>
      </w:r>
    </w:p>
    <w:p>
      <w:pPr>
        <w:spacing w:line="360" w:lineRule="auto"/>
        <w:ind w:firstLine="480"/>
        <w:rPr>
          <w:rFonts w:ascii="楷体" w:hAnsi="楷体" w:eastAsia="楷体" w:cs="楷体"/>
        </w:rPr>
      </w:pPr>
      <w:r>
        <w:rPr>
          <w:rFonts w:hint="eastAsia" w:ascii="楷体" w:hAnsi="楷体" w:eastAsia="楷体" w:cs="楷体"/>
        </w:rPr>
        <w:t>视频图像分析系统的建设需支持解析多算法融合技术，主要是针对多个厂家、多种视图智能分析算法，提供视图信息的汇聚、融合与数据挖掘的技术支撑能力。支持至少可调用3</w:t>
      </w:r>
      <w:r>
        <w:rPr>
          <w:rFonts w:hint="eastAsia" w:ascii="楷体" w:hAnsi="楷体" w:eastAsia="楷体" w:cs="楷体"/>
          <w:color w:val="000000"/>
        </w:rPr>
        <w:t>种</w:t>
      </w:r>
      <w:r>
        <w:rPr>
          <w:rFonts w:hint="eastAsia" w:ascii="楷体" w:hAnsi="楷体" w:eastAsia="楷体" w:cs="楷体"/>
        </w:rPr>
        <w:t>以上不同的解析算法，并显示各算法的对比值或对比结果，实现全市的多算法分析系统的建设。各厂家按所属区域分别提供视频分析、人脸分析、车辆分析以及人体分析等服务功能，对外提供接口服务，实现分析与结构化数据的共享。</w:t>
      </w:r>
    </w:p>
    <w:p>
      <w:pPr>
        <w:spacing w:line="360" w:lineRule="auto"/>
        <w:ind w:firstLine="480"/>
        <w:outlineLvl w:val="4"/>
        <w:rPr>
          <w:rFonts w:ascii="楷体" w:hAnsi="楷体" w:eastAsia="楷体" w:cs="楷体"/>
        </w:rPr>
      </w:pPr>
      <w:r>
        <w:rPr>
          <w:rFonts w:hint="eastAsia" w:ascii="楷体" w:hAnsi="楷体" w:eastAsia="楷体" w:cs="楷体"/>
        </w:rPr>
        <w:t>（2）视频图像信息数据库</w:t>
      </w:r>
    </w:p>
    <w:p>
      <w:pPr>
        <w:spacing w:line="360" w:lineRule="auto"/>
        <w:ind w:firstLine="480"/>
        <w:rPr>
          <w:rFonts w:ascii="楷体" w:hAnsi="楷体" w:eastAsia="楷体" w:cs="楷体"/>
        </w:rPr>
      </w:pPr>
      <w:r>
        <w:rPr>
          <w:rFonts w:hint="eastAsia" w:ascii="楷体" w:hAnsi="楷体" w:eastAsia="楷体" w:cs="楷体"/>
        </w:rPr>
        <w:t>视频</w:t>
      </w:r>
      <w:r>
        <w:rPr>
          <w:rFonts w:ascii="楷体" w:hAnsi="楷体" w:eastAsia="楷体" w:cs="楷体"/>
        </w:rPr>
        <w:t>图像信息数据库</w:t>
      </w:r>
      <w:r>
        <w:rPr>
          <w:rFonts w:hint="eastAsia" w:ascii="楷体" w:hAnsi="楷体" w:eastAsia="楷体" w:cs="楷体"/>
        </w:rPr>
        <w:t>（以下简称“视图库”））</w:t>
      </w:r>
      <w:r>
        <w:rPr>
          <w:rFonts w:ascii="楷体" w:hAnsi="楷体" w:eastAsia="楷体" w:cs="楷体"/>
        </w:rPr>
        <w:t>主要</w:t>
      </w:r>
      <w:r>
        <w:rPr>
          <w:rFonts w:hint="eastAsia" w:ascii="楷体" w:hAnsi="楷体" w:eastAsia="楷体" w:cs="楷体"/>
        </w:rPr>
        <w:t>用于存储接入的</w:t>
      </w:r>
      <w:r>
        <w:rPr>
          <w:rFonts w:ascii="楷体" w:hAnsi="楷体" w:eastAsia="楷体" w:cs="楷体"/>
        </w:rPr>
        <w:t>原始数据、结构化数据、视频深度加工后数据、图像深度加工后数据</w:t>
      </w:r>
      <w:r>
        <w:rPr>
          <w:rFonts w:hint="eastAsia" w:ascii="楷体" w:hAnsi="楷体" w:eastAsia="楷体" w:cs="楷体"/>
        </w:rPr>
        <w:t>以</w:t>
      </w:r>
      <w:r>
        <w:rPr>
          <w:rFonts w:ascii="楷体" w:hAnsi="楷体" w:eastAsia="楷体" w:cs="楷体"/>
        </w:rPr>
        <w:t>及</w:t>
      </w:r>
      <w:r>
        <w:rPr>
          <w:rFonts w:hint="eastAsia" w:ascii="楷体" w:hAnsi="楷体" w:eastAsia="楷体" w:cs="楷体"/>
        </w:rPr>
        <w:t>事件触发下自动抽取，或人工值机和现场巡查、以及案件研判过程中采集和标注的视频片段、图像、索引、标签、视频结构化描述信息的数据库，以及支撑视频图像信息对象应用的相关服务功能。本次在公安视频专网和公安信息网分别建设。</w:t>
      </w:r>
    </w:p>
    <w:p>
      <w:pPr>
        <w:spacing w:line="360" w:lineRule="auto"/>
        <w:ind w:firstLine="480"/>
        <w:outlineLvl w:val="4"/>
        <w:rPr>
          <w:rFonts w:ascii="楷体" w:hAnsi="楷体" w:eastAsia="楷体" w:cs="楷体"/>
        </w:rPr>
      </w:pPr>
      <w:r>
        <w:rPr>
          <w:rFonts w:hint="eastAsia" w:ascii="楷体" w:hAnsi="楷体" w:eastAsia="楷体" w:cs="楷体"/>
        </w:rPr>
        <w:t>（3）视频图像应用平台</w:t>
      </w:r>
    </w:p>
    <w:p>
      <w:pPr>
        <w:spacing w:line="360" w:lineRule="auto"/>
        <w:ind w:firstLine="480"/>
        <w:rPr>
          <w:rFonts w:ascii="楷体" w:hAnsi="楷体" w:eastAsia="楷体" w:cs="楷体"/>
        </w:rPr>
      </w:pPr>
      <w:r>
        <w:rPr>
          <w:rFonts w:ascii="楷体" w:hAnsi="楷体" w:eastAsia="楷体" w:cs="楷体"/>
        </w:rPr>
        <w:t>部署于</w:t>
      </w:r>
      <w:r>
        <w:rPr>
          <w:rFonts w:hint="eastAsia" w:ascii="楷体" w:hAnsi="楷体" w:eastAsia="楷体" w:cs="楷体"/>
        </w:rPr>
        <w:t>勉县县</w:t>
      </w:r>
      <w:r>
        <w:rPr>
          <w:rFonts w:ascii="楷体" w:hAnsi="楷体" w:eastAsia="楷体" w:cs="楷体"/>
        </w:rPr>
        <w:t>级公安视频专网，基于市级视频图像信息共享平台视频数据及视频图像信息数据库和视频图像分析系统，实现以视频图像数据为主的视频图像实时性为主的智能应用。</w:t>
      </w:r>
    </w:p>
    <w:p>
      <w:pPr>
        <w:spacing w:line="360" w:lineRule="auto"/>
        <w:ind w:firstLine="480"/>
        <w:rPr>
          <w:rFonts w:ascii="楷体" w:hAnsi="楷体" w:eastAsia="楷体" w:cs="楷体"/>
        </w:rPr>
      </w:pPr>
      <w:r>
        <w:rPr>
          <w:rFonts w:ascii="楷体" w:hAnsi="楷体" w:eastAsia="楷体" w:cs="楷体"/>
        </w:rPr>
        <w:t>视频图像信息综合应用平台是建立在视频图像信息共享平台和视频图像信息数据库之上的视频图像信息通用应用和服务平台，是视频图像信息应用功能的具体</w:t>
      </w:r>
      <w:r>
        <w:rPr>
          <w:rFonts w:hint="eastAsia" w:ascii="楷体" w:hAnsi="楷体" w:eastAsia="楷体" w:cs="楷体"/>
        </w:rPr>
        <w:t>智能应用</w:t>
      </w:r>
      <w:r>
        <w:rPr>
          <w:rFonts w:ascii="楷体" w:hAnsi="楷体" w:eastAsia="楷体" w:cs="楷体"/>
        </w:rPr>
        <w:t>界面，同时通过视频图像信息共享平台集成了视频监控的基本功能，以及与公安信息化系统的关联对接。</w:t>
      </w:r>
    </w:p>
    <w:p>
      <w:pPr>
        <w:spacing w:line="360" w:lineRule="auto"/>
        <w:ind w:firstLine="480"/>
        <w:rPr>
          <w:rFonts w:ascii="楷体" w:hAnsi="楷体" w:eastAsia="楷体" w:cs="楷体"/>
        </w:rPr>
      </w:pPr>
      <w:r>
        <w:rPr>
          <w:rFonts w:ascii="楷体" w:hAnsi="楷体" w:eastAsia="楷体" w:cs="楷体"/>
        </w:rPr>
        <w:t>视频监控综合应用的本质是高效地从视频监控中提取出有效的信息。</w:t>
      </w:r>
    </w:p>
    <w:p>
      <w:pPr>
        <w:spacing w:line="360" w:lineRule="auto"/>
        <w:ind w:firstLine="480"/>
        <w:rPr>
          <w:rFonts w:ascii="楷体" w:hAnsi="楷体" w:eastAsia="楷体" w:cs="楷体"/>
        </w:rPr>
      </w:pPr>
      <w:r>
        <w:rPr>
          <w:rFonts w:ascii="楷体" w:hAnsi="楷体" w:eastAsia="楷体" w:cs="楷体"/>
        </w:rPr>
        <w:t>视频图像信息综合应用平台主要提供面向公安实战业务的应用，为案事件视频侦查研判业务提供服务，实现警务视频深度应用。视频图像信息综合应用平台部署于视频专网，以视频图像信息共享平台为基础，从共享平台和视频图像信息库中获取视频图像资源，为案事件视频处理、研判、统一管理等提供基础信息支持。同时关联其他公安业务系统，实现各警种之间的信息共享，为案件侦查提供辅助数据支撑。</w:t>
      </w:r>
    </w:p>
    <w:p>
      <w:pPr>
        <w:spacing w:line="360" w:lineRule="auto"/>
        <w:rPr>
          <w:rFonts w:ascii="楷体" w:hAnsi="楷体" w:eastAsia="楷体" w:cs="楷体"/>
        </w:rPr>
      </w:pPr>
      <w:r>
        <w:rPr>
          <w:rFonts w:hint="eastAsia" w:ascii="楷体" w:hAnsi="楷体" w:eastAsia="楷体" w:cs="楷体"/>
        </w:rPr>
        <w:t xml:space="preserve"> </w:t>
      </w:r>
      <w:r>
        <w:rPr>
          <w:rFonts w:ascii="楷体" w:hAnsi="楷体" w:eastAsia="楷体" w:cs="楷体"/>
        </w:rPr>
        <w:t xml:space="preserve">  </w:t>
      </w:r>
      <w:r>
        <w:rPr>
          <w:rFonts w:hint="eastAsia" w:ascii="楷体" w:hAnsi="楷体" w:eastAsia="楷体" w:cs="楷体"/>
        </w:rPr>
        <w:t>息检索功能，支持过车查询、高级查询、数据筛选、快捷布控、视频追踪、图像增强、跟车检索、套牌检索、区域徘徊等功能。向授权用户和业务系统提供车辆黑名单布控功能。对于黑名单布控车辆的单条车辆布控和批量布控车辆导入功能。车辆分析研判，以车辆分析和车主分析为中心，通过综合信息，以卡口数据为基础形成复杂的信息进行数据碰撞形成产生积分规则模型，获取有价值的信息，车辆技战法：提供以车辆通行记录为核心的车辆数据挖掘及行为分析综合应用。包括行车轨迹、跟车分析、碰撞分析、频次分析、落脚点分析、昼伏夜出、隐匿车辆挖掘、首次入城、套牌分析、遮阳板检测、安全带分析、开车打电话分析等技战法。特殊车辆管控：针对两客一危，校车，警卫车辆，红名单重点车辆进行管理，支持分析出地点名称、地点编号、设备编号、日期时间、车辆号牌、号牌颜色、行车方向、车道及关联图片，还有限行违法录像等车辆通行信息；分析卡口某段时间的车流量数据，应用于汉中市城市道路、高速公路出入口、等治安卡口级重点治安地段的全天候实时监测。一车一档，</w:t>
      </w:r>
      <w:r>
        <w:rPr>
          <w:rFonts w:ascii="楷体" w:hAnsi="楷体" w:eastAsia="楷体" w:cs="楷体"/>
        </w:rPr>
        <w:t xml:space="preserve"> </w:t>
      </w:r>
      <w:r>
        <w:rPr>
          <w:rFonts w:hint="eastAsia" w:ascii="楷体" w:hAnsi="楷体" w:eastAsia="楷体" w:cs="楷体"/>
        </w:rPr>
        <w:t>7×24小时不断运行，因此积累了大量在当地区域内活动的高危车辆和人员档案信息，公安可直接查询本地历史上活动的高危车辆的详细信息。</w:t>
      </w:r>
    </w:p>
    <w:p>
      <w:pPr>
        <w:spacing w:line="360" w:lineRule="auto"/>
        <w:ind w:firstLine="480" w:firstLineChars="200"/>
        <w:rPr>
          <w:rFonts w:ascii="楷体" w:hAnsi="楷体" w:eastAsia="楷体" w:cs="楷体"/>
        </w:rPr>
      </w:pPr>
      <w:r>
        <w:rPr>
          <w:rFonts w:hint="eastAsia" w:ascii="楷体" w:hAnsi="楷体" w:eastAsia="楷体" w:cs="楷体"/>
        </w:rPr>
        <w:t>根据监控点位的位置信息、图像信息的时间信息，分析嫌疑目标的行为，重建案件的发展轨迹，包含：</w:t>
      </w:r>
    </w:p>
    <w:p>
      <w:pPr>
        <w:spacing w:line="360" w:lineRule="auto"/>
        <w:ind w:left="480"/>
        <w:rPr>
          <w:rFonts w:ascii="楷体" w:hAnsi="楷体" w:eastAsia="楷体" w:cs="楷体"/>
        </w:rPr>
      </w:pPr>
      <w:r>
        <w:rPr>
          <w:rFonts w:hint="eastAsia" w:ascii="楷体" w:hAnsi="楷体" w:eastAsia="楷体" w:cs="楷体"/>
        </w:rPr>
        <w:t>空间分析：分析嫌疑目标的空间分布、出现频度。</w:t>
      </w:r>
    </w:p>
    <w:p>
      <w:pPr>
        <w:spacing w:line="360" w:lineRule="auto"/>
        <w:ind w:left="480"/>
        <w:rPr>
          <w:rFonts w:ascii="楷体" w:hAnsi="楷体" w:eastAsia="楷体" w:cs="楷体"/>
        </w:rPr>
      </w:pPr>
      <w:r>
        <w:rPr>
          <w:rFonts w:hint="eastAsia" w:ascii="楷体" w:hAnsi="楷体" w:eastAsia="楷体" w:cs="楷体"/>
        </w:rPr>
        <w:t>轨迹追踪：通过时间-空间约束关系，重建嫌疑目标活动轨迹。</w:t>
      </w:r>
    </w:p>
    <w:p>
      <w:pPr>
        <w:spacing w:line="360" w:lineRule="auto"/>
        <w:ind w:firstLine="480" w:firstLineChars="200"/>
        <w:rPr>
          <w:rFonts w:ascii="楷体" w:hAnsi="楷体" w:eastAsia="楷体" w:cs="楷体"/>
        </w:rPr>
      </w:pPr>
      <w:r>
        <w:rPr>
          <w:rFonts w:hint="eastAsia" w:ascii="楷体" w:hAnsi="楷体" w:eastAsia="楷体" w:cs="楷体"/>
        </w:rPr>
        <w:t>视频链：从图像信息中提取一系列嫌疑目标的活动线索（视频、音频片段、图像等等），按照时间顺序，还原嫌疑目标的作案过程。</w:t>
      </w:r>
    </w:p>
    <w:p>
      <w:pPr>
        <w:spacing w:line="360" w:lineRule="auto"/>
        <w:ind w:firstLine="480" w:firstLineChars="200"/>
        <w:rPr>
          <w:rFonts w:ascii="楷体" w:hAnsi="楷体" w:eastAsia="楷体" w:cs="楷体"/>
        </w:rPr>
      </w:pPr>
      <w:r>
        <w:rPr>
          <w:rFonts w:hint="eastAsia" w:ascii="楷体" w:hAnsi="楷体" w:eastAsia="楷体" w:cs="楷体"/>
        </w:rPr>
        <w:t>现场还原：按照空间顺序，在地图上还原嫌疑目标的作案轨迹。在地图上按照时间空间精确标定从不同来源搜寻到案件相关图像信息，直观再现案件发展进程。</w:t>
      </w:r>
    </w:p>
    <w:p>
      <w:pPr>
        <w:spacing w:line="360" w:lineRule="auto"/>
        <w:ind w:firstLine="480" w:firstLineChars="200"/>
        <w:rPr>
          <w:rFonts w:ascii="楷体" w:hAnsi="楷体" w:eastAsia="楷体" w:cs="楷体"/>
        </w:rPr>
      </w:pPr>
      <w:r>
        <w:rPr>
          <w:rFonts w:hint="eastAsia" w:ascii="楷体" w:hAnsi="楷体" w:eastAsia="楷体" w:cs="楷体"/>
        </w:rPr>
        <w:t>路径分析是对最佳路径和最短路径的求解。最佳路径分析包括巡警巡逻管理路线分析和优化及犯罪发生后分析的罪犯逃逸路线分析，有关部门应急反应等。</w:t>
      </w:r>
    </w:p>
    <w:p>
      <w:pPr>
        <w:spacing w:line="360" w:lineRule="auto"/>
        <w:ind w:firstLine="480" w:firstLineChars="200"/>
        <w:rPr>
          <w:rFonts w:ascii="楷体" w:hAnsi="楷体" w:eastAsia="楷体" w:cs="楷体"/>
        </w:rPr>
      </w:pPr>
      <w:r>
        <w:rPr>
          <w:rFonts w:hint="eastAsia" w:ascii="楷体" w:hAnsi="楷体" w:eastAsia="楷体" w:cs="楷体"/>
        </w:rPr>
        <w:t>可对多点之间的过车信息进行路网轨迹分析，分析出多条可能行车轨迹，可以对路线周边摄像机进行视频查看，从而确定实际的行驶路线。查询路网轨迹附近摄像机的视频，时间可以根据过车时间估算。</w:t>
      </w:r>
    </w:p>
    <w:p>
      <w:pPr>
        <w:spacing w:line="360" w:lineRule="auto"/>
        <w:ind w:firstLine="480" w:firstLineChars="200"/>
        <w:rPr>
          <w:rFonts w:ascii="楷体" w:hAnsi="楷体" w:eastAsia="楷体" w:cs="楷体"/>
        </w:rPr>
      </w:pPr>
      <w:r>
        <w:rPr>
          <w:rFonts w:hint="eastAsia" w:ascii="楷体" w:hAnsi="楷体" w:eastAsia="楷体" w:cs="楷体"/>
        </w:rPr>
        <w:t>犯罪热点是指在一定时期内犯罪现象高度集中的地区。犯罪制图可以帮助警务人员确定犯罪人员及犯罪车辆热点地区和分析犯罪热点地区形成的原因，以采取相应的对策进行警务干预，并可以通过对犯罪人员及犯罪车辆分布的态势和状况去评估、评价警务工作对犯罪干预的有效性。</w:t>
      </w:r>
    </w:p>
    <w:p>
      <w:pPr>
        <w:spacing w:line="360" w:lineRule="auto"/>
        <w:outlineLvl w:val="2"/>
        <w:rPr>
          <w:rFonts w:ascii="楷体" w:hAnsi="楷体" w:eastAsia="楷体" w:cs="楷体"/>
          <w:b/>
          <w:bCs/>
          <w:sz w:val="28"/>
          <w:szCs w:val="28"/>
        </w:rPr>
      </w:pPr>
      <w:r>
        <w:rPr>
          <w:rFonts w:hint="eastAsia" w:ascii="楷体" w:hAnsi="楷体" w:eastAsia="楷体" w:cs="楷体"/>
          <w:b/>
          <w:bCs/>
          <w:sz w:val="28"/>
          <w:szCs w:val="28"/>
        </w:rPr>
        <w:t>2.8运维保障建设</w:t>
      </w:r>
    </w:p>
    <w:p>
      <w:pPr>
        <w:spacing w:line="360" w:lineRule="auto"/>
        <w:ind w:firstLine="480" w:firstLineChars="200"/>
        <w:rPr>
          <w:rFonts w:ascii="楷体" w:hAnsi="楷体" w:eastAsia="楷体" w:cs="楷体"/>
        </w:rPr>
      </w:pPr>
      <w:r>
        <w:rPr>
          <w:rFonts w:hint="eastAsia" w:ascii="楷体" w:hAnsi="楷体" w:eastAsia="楷体" w:cs="楷体"/>
        </w:rPr>
        <w:t>汉中</w:t>
      </w:r>
      <w:r>
        <w:rPr>
          <w:rFonts w:ascii="楷体" w:hAnsi="楷体" w:eastAsia="楷体" w:cs="楷体"/>
        </w:rPr>
        <w:t>市运维体系部署通过独立于数据网络之外专用管理通道对机房网络设备（路由器、交换机、防火墙等），服务器设备（小型机、服务器、工作站）进行集中化整合管理运维。</w:t>
      </w:r>
    </w:p>
    <w:p>
      <w:pPr>
        <w:spacing w:line="360" w:lineRule="auto"/>
        <w:rPr>
          <w:rFonts w:ascii="楷体" w:hAnsi="楷体" w:eastAsia="楷体" w:cs="楷体"/>
        </w:rPr>
      </w:pPr>
      <w:r>
        <w:rPr>
          <w:rFonts w:hint="eastAsia" w:ascii="楷体" w:hAnsi="楷体" w:eastAsia="楷体" w:cs="楷体"/>
        </w:rPr>
        <w:t>（1）运维内容及要求</w:t>
      </w:r>
    </w:p>
    <w:p>
      <w:pPr>
        <w:spacing w:line="360" w:lineRule="auto"/>
        <w:ind w:firstLine="480" w:firstLineChars="200"/>
        <w:rPr>
          <w:rFonts w:ascii="楷体" w:hAnsi="楷体" w:eastAsia="楷体" w:cs="楷体"/>
        </w:rPr>
      </w:pPr>
      <w:r>
        <w:rPr>
          <w:rFonts w:hint="eastAsia" w:ascii="楷体" w:hAnsi="楷体" w:eastAsia="楷体" w:cs="楷体"/>
        </w:rPr>
        <w:t>运维工作中的维护保养对象应按系统及其构成单元，逐级分解，系统及构成单元划分方式参照GB50348-2018中11.3的要求执行。</w:t>
      </w:r>
    </w:p>
    <w:p>
      <w:pPr>
        <w:spacing w:line="360" w:lineRule="auto"/>
        <w:rPr>
          <w:rFonts w:ascii="楷体" w:hAnsi="楷体" w:eastAsia="楷体" w:cs="楷体"/>
        </w:rPr>
      </w:pPr>
      <w:r>
        <w:rPr>
          <w:rFonts w:hint="eastAsia" w:ascii="楷体" w:hAnsi="楷体" w:eastAsia="楷体" w:cs="楷体"/>
        </w:rPr>
        <w:t>（2）维护保养周期</w:t>
      </w:r>
    </w:p>
    <w:p>
      <w:pPr>
        <w:spacing w:line="360" w:lineRule="auto"/>
        <w:ind w:firstLine="480" w:firstLineChars="200"/>
        <w:rPr>
          <w:rFonts w:ascii="楷体" w:hAnsi="楷体" w:eastAsia="楷体" w:cs="楷体"/>
          <w:b/>
          <w:bCs/>
          <w:sz w:val="28"/>
          <w:szCs w:val="28"/>
        </w:rPr>
      </w:pPr>
      <w:r>
        <w:rPr>
          <w:rFonts w:hint="eastAsia" w:ascii="楷体" w:hAnsi="楷体" w:eastAsia="楷体" w:cs="楷体"/>
        </w:rPr>
        <w:t>运维工作的维护保养周期应每六个月不少于1次。可根据各设备的运行情况及安全防范需要，相应地增加维护保养次数。</w:t>
      </w:r>
    </w:p>
    <w:p>
      <w:pPr>
        <w:spacing w:line="360" w:lineRule="auto"/>
        <w:outlineLvl w:val="1"/>
        <w:rPr>
          <w:rFonts w:ascii="楷体" w:hAnsi="楷体" w:eastAsia="楷体" w:cs="楷体"/>
          <w:b/>
          <w:bCs/>
          <w:szCs w:val="24"/>
        </w:rPr>
        <w:sectPr>
          <w:headerReference r:id="rId7" w:type="default"/>
          <w:footerReference r:id="rId8" w:type="default"/>
          <w:pgSz w:w="11906" w:h="16838"/>
          <w:pgMar w:top="1440" w:right="1803" w:bottom="1440" w:left="1803" w:header="851" w:footer="992" w:gutter="0"/>
          <w:cols w:space="720" w:num="1"/>
          <w:docGrid w:type="lines" w:linePitch="312" w:charSpace="0"/>
        </w:sectPr>
      </w:pPr>
    </w:p>
    <w:p>
      <w:pPr>
        <w:numPr>
          <w:ilvl w:val="0"/>
          <w:numId w:val="8"/>
        </w:numPr>
        <w:spacing w:line="360" w:lineRule="auto"/>
        <w:ind w:left="420" w:firstLine="0"/>
        <w:outlineLvl w:val="1"/>
        <w:rPr>
          <w:rFonts w:ascii="楷体" w:hAnsi="楷体" w:eastAsia="楷体" w:cs="楷体"/>
          <w:b/>
          <w:bCs/>
          <w:sz w:val="32"/>
          <w:szCs w:val="22"/>
        </w:rPr>
      </w:pPr>
      <w:bookmarkStart w:id="82" w:name="_Hlk85965178"/>
      <w:bookmarkStart w:id="83" w:name="_Hlk85965132"/>
      <w:r>
        <w:rPr>
          <w:rFonts w:hint="eastAsia" w:ascii="楷体" w:hAnsi="楷体" w:eastAsia="楷体" w:cs="楷体"/>
          <w:b/>
          <w:bCs/>
          <w:sz w:val="32"/>
          <w:szCs w:val="22"/>
        </w:rPr>
        <w:t>其他要求</w:t>
      </w:r>
    </w:p>
    <w:p>
      <w:pPr>
        <w:spacing w:line="360" w:lineRule="auto"/>
        <w:ind w:left="420"/>
        <w:rPr>
          <w:rFonts w:ascii="楷体" w:hAnsi="楷体" w:eastAsia="楷体" w:cs="楷体"/>
        </w:rPr>
      </w:pPr>
      <w:r>
        <w:rPr>
          <w:rFonts w:hint="eastAsia" w:ascii="楷体" w:hAnsi="楷体" w:eastAsia="楷体" w:cs="楷体"/>
        </w:rPr>
        <w:t>注：</w:t>
      </w:r>
      <w:bookmarkEnd w:id="82"/>
      <w:r>
        <w:rPr>
          <w:rFonts w:hint="eastAsia" w:ascii="楷体" w:hAnsi="楷体" w:eastAsia="楷体" w:cs="楷体"/>
        </w:rPr>
        <w:t>、按国家相关标准建设的视频监控共享平台、联网平台、视频图像信息数据库、视频图像分析系统等平台系统，建成后须通过相关国标符合性检测。</w:t>
      </w:r>
    </w:p>
    <w:p>
      <w:pPr>
        <w:numPr>
          <w:ilvl w:val="0"/>
          <w:numId w:val="0"/>
        </w:numPr>
        <w:spacing w:line="360" w:lineRule="auto"/>
        <w:ind w:left="420" w:leftChars="0"/>
        <w:outlineLvl w:val="1"/>
        <w:rPr>
          <w:rFonts w:hint="default" w:eastAsia="宋体"/>
          <w:lang w:val="en-US" w:eastAsia="zh-CN"/>
        </w:rPr>
      </w:pPr>
      <w:r>
        <w:rPr>
          <w:rFonts w:hint="eastAsia" w:ascii="楷体" w:hAnsi="楷体" w:eastAsia="楷体" w:cs="楷体"/>
          <w:b/>
          <w:bCs/>
          <w:sz w:val="32"/>
          <w:szCs w:val="32"/>
          <w:lang w:eastAsia="zh-CN"/>
        </w:rPr>
        <w:t>六、采购内容</w:t>
      </w:r>
    </w:p>
    <w:p/>
    <w:p>
      <w:pPr>
        <w:pStyle w:val="27"/>
        <w:sectPr>
          <w:headerReference r:id="rId9" w:type="default"/>
          <w:footerReference r:id="rId10" w:type="default"/>
          <w:pgSz w:w="16838" w:h="11906" w:orient="landscape"/>
          <w:pgMar w:top="1803" w:right="1440" w:bottom="1803" w:left="1440" w:header="851" w:footer="992" w:gutter="0"/>
          <w:cols w:space="720" w:num="1"/>
          <w:docGrid w:type="lines" w:linePitch="312" w:charSpace="0"/>
        </w:sectPr>
      </w:pPr>
    </w:p>
    <w:bookmarkEnd w:id="83"/>
    <w:p>
      <w:pPr>
        <w:ind w:firstLine="840" w:firstLineChars="300"/>
        <w:jc w:val="both"/>
        <w:outlineLvl w:val="0"/>
        <w:rPr>
          <w:rStyle w:val="43"/>
          <w:rFonts w:hint="eastAsia" w:ascii="楷体" w:hAnsi="楷体" w:eastAsia="楷体" w:cs="楷体"/>
          <w:b w:val="0"/>
          <w:bCs/>
          <w:sz w:val="28"/>
          <w:szCs w:val="18"/>
          <w:lang w:val="en-US" w:eastAsia="zh-CN"/>
        </w:rPr>
      </w:pPr>
      <w:bookmarkStart w:id="84" w:name="_Toc32380"/>
      <w:r>
        <w:rPr>
          <w:rStyle w:val="43"/>
          <w:rFonts w:hint="eastAsia" w:ascii="楷体" w:hAnsi="楷体" w:eastAsia="楷体" w:cs="楷体"/>
          <w:b w:val="0"/>
          <w:bCs/>
          <w:sz w:val="28"/>
          <w:szCs w:val="18"/>
          <w:lang w:eastAsia="zh-CN"/>
        </w:rPr>
        <w:t>采购</w:t>
      </w:r>
      <w:r>
        <w:rPr>
          <w:rStyle w:val="43"/>
          <w:rFonts w:hint="eastAsia" w:ascii="楷体" w:hAnsi="楷体" w:eastAsia="楷体" w:cs="楷体"/>
          <w:b w:val="0"/>
          <w:bCs/>
          <w:sz w:val="28"/>
          <w:szCs w:val="18"/>
          <w:lang w:val="en-US" w:eastAsia="zh-CN"/>
        </w:rPr>
        <w:t>1包</w:t>
      </w:r>
    </w:p>
    <w:p>
      <w:pPr>
        <w:pStyle w:val="23"/>
        <w:spacing w:before="0" w:beforeAutospacing="0" w:after="0" w:afterAutospacing="0" w:line="360" w:lineRule="auto"/>
        <w:ind w:firstLine="630"/>
        <w:jc w:val="both"/>
        <w:textAlignment w:val="baseline"/>
        <w:rPr>
          <w:rFonts w:hint="eastAsia" w:eastAsia="宋体"/>
          <w:color w:val="auto"/>
          <w:highlight w:val="none"/>
          <w:shd w:val="clear" w:color="auto" w:fill="FFFFFF"/>
          <w:lang w:eastAsia="zh-CN"/>
        </w:rPr>
      </w:pPr>
      <w:r>
        <w:rPr>
          <w:rFonts w:hint="eastAsia"/>
          <w:color w:val="auto"/>
          <w:highlight w:val="none"/>
          <w:shd w:val="clear" w:color="auto" w:fill="FFFFFF"/>
        </w:rPr>
        <w:t>合同包预算金额：</w:t>
      </w:r>
      <w:r>
        <w:rPr>
          <w:rFonts w:hint="eastAsia"/>
          <w:color w:val="auto"/>
          <w:highlight w:val="none"/>
          <w:shd w:val="clear" w:color="auto" w:fill="FFFFFF"/>
          <w:lang w:val="en-US" w:eastAsia="zh-CN"/>
        </w:rPr>
        <w:t>6744439.14</w:t>
      </w:r>
      <w:r>
        <w:rPr>
          <w:rFonts w:hint="eastAsia"/>
          <w:color w:val="auto"/>
          <w:highlight w:val="none"/>
          <w:shd w:val="clear" w:color="auto" w:fill="FFFFFF"/>
        </w:rPr>
        <w:t>元</w:t>
      </w:r>
      <w:r>
        <w:rPr>
          <w:rFonts w:hint="eastAsia"/>
          <w:color w:val="auto"/>
          <w:highlight w:val="none"/>
          <w:shd w:val="clear" w:color="auto" w:fill="FFFFFF"/>
          <w:lang w:eastAsia="zh-CN"/>
        </w:rPr>
        <w:t>（含暂列金</w:t>
      </w:r>
      <w:r>
        <w:rPr>
          <w:rFonts w:hint="eastAsia"/>
          <w:color w:val="auto"/>
          <w:highlight w:val="none"/>
          <w:shd w:val="clear" w:color="auto" w:fill="FFFFFF"/>
          <w:lang w:val="en-US" w:eastAsia="zh-CN"/>
        </w:rPr>
        <w:t>50000.00元</w:t>
      </w:r>
      <w:r>
        <w:rPr>
          <w:rFonts w:hint="eastAsia"/>
          <w:color w:val="auto"/>
          <w:highlight w:val="none"/>
          <w:shd w:val="clear" w:color="auto" w:fill="FFFFFF"/>
          <w:lang w:eastAsia="zh-CN"/>
        </w:rPr>
        <w:t>）</w:t>
      </w:r>
    </w:p>
    <w:tbl>
      <w:tblPr>
        <w:tblStyle w:val="24"/>
        <w:tblW w:w="9791" w:type="dxa"/>
        <w:tblInd w:w="-200" w:type="dxa"/>
        <w:tblLayout w:type="fixed"/>
        <w:tblCellMar>
          <w:top w:w="0" w:type="dxa"/>
          <w:left w:w="0" w:type="dxa"/>
          <w:bottom w:w="0" w:type="dxa"/>
          <w:right w:w="0" w:type="dxa"/>
        </w:tblCellMar>
      </w:tblPr>
      <w:tblGrid>
        <w:gridCol w:w="785"/>
        <w:gridCol w:w="1773"/>
        <w:gridCol w:w="2024"/>
        <w:gridCol w:w="1418"/>
        <w:gridCol w:w="1240"/>
        <w:gridCol w:w="1501"/>
        <w:gridCol w:w="1050"/>
      </w:tblGrid>
      <w:tr>
        <w:tblPrEx>
          <w:tblCellMar>
            <w:top w:w="0" w:type="dxa"/>
            <w:left w:w="0" w:type="dxa"/>
            <w:bottom w:w="0" w:type="dxa"/>
            <w:right w:w="0" w:type="dxa"/>
          </w:tblCellMar>
        </w:tblPrEx>
        <w:trPr>
          <w:trHeight w:val="728" w:hRule="atLeast"/>
          <w:tblHeader/>
        </w:trPr>
        <w:tc>
          <w:tcPr>
            <w:tcW w:w="78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360" w:lineRule="auto"/>
              <w:jc w:val="center"/>
              <w:textAlignment w:val="center"/>
              <w:rPr>
                <w:rFonts w:hint="eastAsia" w:ascii="宋体" w:hAnsi="宋体" w:cs="宋体"/>
                <w:b/>
                <w:bCs/>
                <w:color w:val="auto"/>
                <w:sz w:val="24"/>
                <w:szCs w:val="24"/>
                <w:highlight w:val="none"/>
              </w:rPr>
            </w:pPr>
            <w:r>
              <w:rPr>
                <w:rFonts w:hint="eastAsia" w:ascii="宋体" w:hAnsi="宋体" w:cs="宋体"/>
                <w:b/>
                <w:bCs/>
                <w:color w:val="auto"/>
                <w:kern w:val="0"/>
                <w:sz w:val="24"/>
                <w:szCs w:val="24"/>
                <w:highlight w:val="none"/>
                <w:lang w:bidi="ar"/>
              </w:rPr>
              <w:t>品目号</w:t>
            </w:r>
          </w:p>
        </w:tc>
        <w:tc>
          <w:tcPr>
            <w:tcW w:w="177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360" w:lineRule="auto"/>
              <w:jc w:val="center"/>
              <w:textAlignment w:val="center"/>
              <w:rPr>
                <w:rFonts w:hint="eastAsia" w:ascii="宋体" w:hAnsi="宋体" w:cs="宋体"/>
                <w:b/>
                <w:bCs/>
                <w:color w:val="auto"/>
                <w:sz w:val="24"/>
                <w:szCs w:val="24"/>
                <w:highlight w:val="none"/>
              </w:rPr>
            </w:pPr>
            <w:r>
              <w:rPr>
                <w:rFonts w:hint="eastAsia" w:ascii="宋体" w:hAnsi="宋体" w:cs="宋体"/>
                <w:b/>
                <w:bCs/>
                <w:color w:val="auto"/>
                <w:kern w:val="0"/>
                <w:sz w:val="24"/>
                <w:szCs w:val="24"/>
                <w:highlight w:val="none"/>
                <w:lang w:bidi="ar"/>
              </w:rPr>
              <w:t>品目名称</w:t>
            </w:r>
          </w:p>
        </w:tc>
        <w:tc>
          <w:tcPr>
            <w:tcW w:w="202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360" w:lineRule="auto"/>
              <w:jc w:val="center"/>
              <w:textAlignment w:val="center"/>
              <w:rPr>
                <w:rFonts w:hint="eastAsia" w:ascii="宋体" w:hAnsi="宋体" w:cs="宋体"/>
                <w:b/>
                <w:bCs/>
                <w:color w:val="auto"/>
                <w:sz w:val="24"/>
                <w:szCs w:val="24"/>
                <w:highlight w:val="none"/>
              </w:rPr>
            </w:pPr>
            <w:r>
              <w:rPr>
                <w:rFonts w:hint="eastAsia" w:ascii="宋体" w:hAnsi="宋体" w:cs="宋体"/>
                <w:b/>
                <w:bCs/>
                <w:color w:val="auto"/>
                <w:kern w:val="0"/>
                <w:sz w:val="24"/>
                <w:szCs w:val="24"/>
                <w:highlight w:val="none"/>
                <w:lang w:bidi="ar"/>
              </w:rPr>
              <w:t>采购标的</w:t>
            </w:r>
          </w:p>
        </w:tc>
        <w:tc>
          <w:tcPr>
            <w:tcW w:w="141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360" w:lineRule="auto"/>
              <w:jc w:val="center"/>
              <w:textAlignment w:val="center"/>
              <w:rPr>
                <w:rFonts w:hint="eastAsia" w:ascii="宋体" w:hAnsi="宋体" w:cs="宋体"/>
                <w:b/>
                <w:bCs/>
                <w:color w:val="auto"/>
                <w:kern w:val="0"/>
                <w:sz w:val="24"/>
                <w:szCs w:val="24"/>
                <w:highlight w:val="none"/>
                <w:lang w:bidi="ar"/>
              </w:rPr>
            </w:pPr>
            <w:r>
              <w:rPr>
                <w:rFonts w:hint="eastAsia" w:ascii="宋体" w:hAnsi="宋体" w:cs="宋体"/>
                <w:b/>
                <w:bCs/>
                <w:color w:val="auto"/>
                <w:kern w:val="0"/>
                <w:sz w:val="24"/>
                <w:szCs w:val="24"/>
                <w:highlight w:val="none"/>
                <w:lang w:bidi="ar"/>
              </w:rPr>
              <w:t>数量</w:t>
            </w:r>
          </w:p>
          <w:p>
            <w:pPr>
              <w:widowControl/>
              <w:wordWrap w:val="0"/>
              <w:spacing w:line="360" w:lineRule="auto"/>
              <w:jc w:val="center"/>
              <w:textAlignment w:val="center"/>
              <w:rPr>
                <w:rFonts w:hint="eastAsia" w:ascii="宋体" w:hAnsi="宋体" w:cs="宋体"/>
                <w:b/>
                <w:bCs/>
                <w:color w:val="auto"/>
                <w:sz w:val="24"/>
                <w:szCs w:val="24"/>
                <w:highlight w:val="none"/>
              </w:rPr>
            </w:pPr>
            <w:r>
              <w:rPr>
                <w:rFonts w:hint="eastAsia" w:ascii="宋体" w:hAnsi="宋体" w:cs="宋体"/>
                <w:b/>
                <w:bCs/>
                <w:color w:val="auto"/>
                <w:kern w:val="0"/>
                <w:sz w:val="24"/>
                <w:szCs w:val="24"/>
                <w:highlight w:val="none"/>
                <w:lang w:bidi="ar"/>
              </w:rPr>
              <w:t>（单位）</w:t>
            </w:r>
          </w:p>
        </w:tc>
        <w:tc>
          <w:tcPr>
            <w:tcW w:w="12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360" w:lineRule="auto"/>
              <w:jc w:val="center"/>
              <w:textAlignment w:val="center"/>
              <w:rPr>
                <w:rFonts w:hint="eastAsia" w:ascii="宋体" w:hAnsi="宋体" w:cs="宋体"/>
                <w:b/>
                <w:bCs/>
                <w:color w:val="auto"/>
                <w:sz w:val="24"/>
                <w:szCs w:val="24"/>
                <w:highlight w:val="none"/>
              </w:rPr>
            </w:pPr>
            <w:r>
              <w:rPr>
                <w:rFonts w:hint="eastAsia" w:ascii="宋体" w:hAnsi="宋体" w:cs="宋体"/>
                <w:b/>
                <w:bCs/>
                <w:color w:val="auto"/>
                <w:kern w:val="0"/>
                <w:sz w:val="24"/>
                <w:szCs w:val="24"/>
                <w:highlight w:val="none"/>
                <w:lang w:bidi="ar"/>
              </w:rPr>
              <w:t>技术规格、参数及要求</w:t>
            </w:r>
          </w:p>
        </w:tc>
        <w:tc>
          <w:tcPr>
            <w:tcW w:w="150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360" w:lineRule="auto"/>
              <w:jc w:val="center"/>
              <w:textAlignment w:val="center"/>
              <w:rPr>
                <w:rFonts w:hint="eastAsia" w:ascii="宋体" w:hAnsi="宋体" w:cs="宋体"/>
                <w:b/>
                <w:bCs/>
                <w:color w:val="auto"/>
                <w:sz w:val="24"/>
                <w:szCs w:val="24"/>
                <w:highlight w:val="none"/>
              </w:rPr>
            </w:pPr>
            <w:r>
              <w:rPr>
                <w:rFonts w:hint="eastAsia" w:ascii="宋体" w:hAnsi="宋体" w:cs="宋体"/>
                <w:b/>
                <w:bCs/>
                <w:color w:val="auto"/>
                <w:kern w:val="0"/>
                <w:sz w:val="24"/>
                <w:szCs w:val="24"/>
                <w:highlight w:val="none"/>
                <w:lang w:bidi="ar"/>
              </w:rPr>
              <w:t>品目预算(元)</w:t>
            </w:r>
          </w:p>
        </w:tc>
        <w:tc>
          <w:tcPr>
            <w:tcW w:w="10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360" w:lineRule="auto"/>
              <w:jc w:val="center"/>
              <w:textAlignment w:val="center"/>
              <w:rPr>
                <w:rFonts w:hint="eastAsia" w:ascii="宋体" w:hAnsi="宋体" w:cs="宋体"/>
                <w:b/>
                <w:bCs/>
                <w:color w:val="auto"/>
                <w:sz w:val="24"/>
                <w:szCs w:val="24"/>
                <w:highlight w:val="none"/>
              </w:rPr>
            </w:pPr>
            <w:r>
              <w:rPr>
                <w:rFonts w:hint="eastAsia" w:ascii="宋体" w:hAnsi="宋体" w:cs="宋体"/>
                <w:b/>
                <w:bCs/>
                <w:color w:val="auto"/>
                <w:kern w:val="0"/>
                <w:sz w:val="24"/>
                <w:szCs w:val="24"/>
                <w:highlight w:val="none"/>
                <w:lang w:bidi="ar"/>
              </w:rPr>
              <w:t>最高限价(元)</w:t>
            </w:r>
          </w:p>
        </w:tc>
      </w:tr>
      <w:tr>
        <w:tblPrEx>
          <w:tblCellMar>
            <w:top w:w="0" w:type="dxa"/>
            <w:left w:w="0" w:type="dxa"/>
            <w:bottom w:w="0" w:type="dxa"/>
            <w:right w:w="0" w:type="dxa"/>
          </w:tblCellMar>
        </w:tblPrEx>
        <w:trPr>
          <w:trHeight w:val="480" w:hRule="atLeast"/>
        </w:trPr>
        <w:tc>
          <w:tcPr>
            <w:tcW w:w="78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360" w:lineRule="auto"/>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1-1</w:t>
            </w:r>
          </w:p>
        </w:tc>
        <w:tc>
          <w:tcPr>
            <w:tcW w:w="177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360" w:lineRule="auto"/>
              <w:jc w:val="center"/>
              <w:textAlignment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主要包括基础设施、前端系统及数据中心机房等内容</w:t>
            </w:r>
          </w:p>
        </w:tc>
        <w:tc>
          <w:tcPr>
            <w:tcW w:w="202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360" w:lineRule="auto"/>
              <w:jc w:val="center"/>
              <w:textAlignment w:val="center"/>
              <w:rPr>
                <w:rFonts w:hint="eastAsia" w:ascii="宋体" w:hAnsi="宋体" w:cs="宋体"/>
                <w:color w:val="auto"/>
                <w:sz w:val="24"/>
                <w:szCs w:val="24"/>
                <w:highlight w:val="none"/>
              </w:rPr>
            </w:pPr>
            <w:r>
              <w:rPr>
                <w:rFonts w:hint="eastAsia" w:hAnsi="宋体" w:cs="宋体"/>
                <w:color w:val="auto"/>
                <w:kern w:val="0"/>
                <w:sz w:val="24"/>
                <w:szCs w:val="24"/>
                <w:highlight w:val="none"/>
                <w:lang w:eastAsia="zh-CN" w:bidi="ar"/>
              </w:rPr>
              <w:t>微卡摄像机及补光灯</w:t>
            </w:r>
            <w:r>
              <w:rPr>
                <w:rFonts w:hint="eastAsia" w:hAnsi="宋体" w:cs="宋体"/>
                <w:color w:val="auto"/>
                <w:kern w:val="0"/>
                <w:sz w:val="24"/>
                <w:szCs w:val="24"/>
                <w:highlight w:val="none"/>
                <w:lang w:val="en-US" w:eastAsia="zh-CN" w:bidi="ar"/>
              </w:rPr>
              <w:t>200套，立杆及辅材100套，指挥中心装修及市电接引</w:t>
            </w:r>
            <w:r>
              <w:rPr>
                <w:rFonts w:hint="eastAsia" w:ascii="宋体" w:hAnsi="宋体" w:cs="宋体"/>
                <w:color w:val="auto"/>
                <w:kern w:val="0"/>
                <w:sz w:val="24"/>
                <w:szCs w:val="24"/>
                <w:highlight w:val="none"/>
                <w:lang w:bidi="ar"/>
              </w:rPr>
              <w:t>。</w:t>
            </w:r>
          </w:p>
        </w:tc>
        <w:tc>
          <w:tcPr>
            <w:tcW w:w="141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360" w:lineRule="auto"/>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1(批)</w:t>
            </w:r>
          </w:p>
        </w:tc>
        <w:tc>
          <w:tcPr>
            <w:tcW w:w="12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360" w:lineRule="auto"/>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详见采购文件</w:t>
            </w:r>
          </w:p>
        </w:tc>
        <w:tc>
          <w:tcPr>
            <w:tcW w:w="150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spacing w:line="360" w:lineRule="auto"/>
              <w:jc w:val="right"/>
              <w:textAlignment w:val="center"/>
              <w:rPr>
                <w:rFonts w:hint="eastAsia" w:ascii="宋体" w:hAnsi="宋体" w:cs="宋体"/>
                <w:color w:val="auto"/>
                <w:sz w:val="24"/>
                <w:szCs w:val="24"/>
                <w:highlight w:val="none"/>
              </w:rPr>
            </w:pPr>
            <w:r>
              <w:rPr>
                <w:rFonts w:hint="eastAsia"/>
                <w:color w:val="auto"/>
                <w:highlight w:val="none"/>
                <w:shd w:val="clear" w:color="auto" w:fill="FFFFFF"/>
                <w:lang w:val="en-US" w:eastAsia="zh-CN"/>
              </w:rPr>
              <w:t>6744439.14</w:t>
            </w:r>
          </w:p>
        </w:tc>
        <w:tc>
          <w:tcPr>
            <w:tcW w:w="10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spacing w:line="360" w:lineRule="auto"/>
              <w:jc w:val="right"/>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w:t>
            </w:r>
          </w:p>
        </w:tc>
      </w:tr>
    </w:tbl>
    <w:p>
      <w:pPr>
        <w:pStyle w:val="23"/>
        <w:spacing w:before="0" w:beforeAutospacing="0" w:after="0" w:afterAutospacing="0" w:line="360" w:lineRule="auto"/>
        <w:ind w:firstLine="630"/>
        <w:jc w:val="both"/>
        <w:textAlignment w:val="baseline"/>
        <w:rPr>
          <w:rFonts w:hint="eastAsia"/>
          <w:color w:val="auto"/>
          <w:highlight w:val="none"/>
        </w:rPr>
      </w:pPr>
      <w:r>
        <w:rPr>
          <w:rFonts w:hint="eastAsia"/>
          <w:color w:val="auto"/>
          <w:highlight w:val="none"/>
          <w:shd w:val="clear" w:color="auto" w:fill="FFFFFF"/>
        </w:rPr>
        <w:t>本合同包不接受联合体投标</w:t>
      </w:r>
    </w:p>
    <w:p>
      <w:pPr>
        <w:pStyle w:val="23"/>
        <w:spacing w:before="0" w:beforeAutospacing="0" w:after="0" w:afterAutospacing="0" w:line="360" w:lineRule="auto"/>
        <w:ind w:firstLine="480" w:firstLineChars="200"/>
        <w:jc w:val="both"/>
        <w:textAlignment w:val="baseline"/>
        <w:rPr>
          <w:rFonts w:hint="eastAsia"/>
          <w:color w:val="auto"/>
          <w:highlight w:val="none"/>
          <w:shd w:val="clear" w:color="auto" w:fill="FFFFFF"/>
        </w:rPr>
      </w:pPr>
      <w:r>
        <w:rPr>
          <w:rFonts w:hint="eastAsia"/>
          <w:color w:val="auto"/>
          <w:highlight w:val="none"/>
          <w:shd w:val="clear" w:color="auto" w:fill="FFFFFF"/>
        </w:rPr>
        <w:t>合同履行期限：合同签订后</w:t>
      </w:r>
      <w:r>
        <w:rPr>
          <w:rFonts w:hint="eastAsia"/>
          <w:color w:val="auto"/>
          <w:highlight w:val="none"/>
          <w:shd w:val="clear" w:color="auto" w:fill="FFFFFF"/>
          <w:lang w:val="en-US" w:eastAsia="zh-CN"/>
        </w:rPr>
        <w:t>150</w:t>
      </w:r>
      <w:r>
        <w:rPr>
          <w:rFonts w:hint="eastAsia"/>
          <w:color w:val="auto"/>
          <w:highlight w:val="none"/>
          <w:shd w:val="clear" w:color="auto" w:fill="FFFFFF"/>
        </w:rPr>
        <w:t>天内</w:t>
      </w:r>
    </w:p>
    <w:p>
      <w:pPr>
        <w:pStyle w:val="23"/>
        <w:spacing w:before="0" w:beforeAutospacing="0" w:after="0" w:afterAutospacing="0" w:line="360" w:lineRule="auto"/>
        <w:ind w:firstLine="480" w:firstLineChars="200"/>
        <w:jc w:val="both"/>
        <w:textAlignment w:val="baseline"/>
        <w:rPr>
          <w:rFonts w:hint="eastAsia"/>
          <w:color w:val="auto"/>
          <w:highlight w:val="none"/>
          <w:shd w:val="clear" w:color="auto" w:fill="FFFFFF"/>
        </w:rPr>
      </w:pPr>
      <w:r>
        <w:rPr>
          <w:rFonts w:hint="eastAsia"/>
          <w:color w:val="auto"/>
          <w:highlight w:val="none"/>
          <w:shd w:val="clear" w:color="auto" w:fill="FFFFFF"/>
        </w:rPr>
        <w:t>采购内容及参数要求见附表</w:t>
      </w:r>
    </w:p>
    <w:tbl>
      <w:tblPr>
        <w:tblStyle w:val="24"/>
        <w:tblW w:w="9563" w:type="dxa"/>
        <w:tblInd w:w="-54" w:type="dxa"/>
        <w:tblLayout w:type="fixed"/>
        <w:tblCellMar>
          <w:top w:w="0" w:type="dxa"/>
          <w:left w:w="108" w:type="dxa"/>
          <w:bottom w:w="0" w:type="dxa"/>
          <w:right w:w="108" w:type="dxa"/>
        </w:tblCellMar>
      </w:tblPr>
      <w:tblGrid>
        <w:gridCol w:w="602"/>
        <w:gridCol w:w="795"/>
        <w:gridCol w:w="6985"/>
        <w:gridCol w:w="618"/>
        <w:gridCol w:w="563"/>
      </w:tblGrid>
      <w:tr>
        <w:tblPrEx>
          <w:tblCellMar>
            <w:top w:w="0" w:type="dxa"/>
            <w:left w:w="108" w:type="dxa"/>
            <w:bottom w:w="0" w:type="dxa"/>
            <w:right w:w="108" w:type="dxa"/>
          </w:tblCellMar>
        </w:tblPrEx>
        <w:trPr>
          <w:trHeight w:val="620" w:hRule="atLeast"/>
        </w:trPr>
        <w:tc>
          <w:tcPr>
            <w:tcW w:w="602"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lang w:bidi="ar"/>
              </w:rPr>
              <w:t>序号</w:t>
            </w:r>
          </w:p>
        </w:tc>
        <w:tc>
          <w:tcPr>
            <w:tcW w:w="795" w:type="dxa"/>
            <w:tcBorders>
              <w:top w:val="single" w:color="auto" w:sz="6" w:space="0"/>
              <w:left w:val="nil"/>
              <w:bottom w:val="single" w:color="auto" w:sz="6" w:space="0"/>
              <w:right w:val="single" w:color="auto" w:sz="6" w:space="0"/>
            </w:tcBorders>
            <w:shd w:val="clear" w:color="auto" w:fill="FFFFFF"/>
            <w:noWrap w:val="0"/>
            <w:vAlign w:val="center"/>
          </w:tcPr>
          <w:p>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lang w:bidi="ar"/>
              </w:rPr>
              <w:t>设备名称</w:t>
            </w:r>
          </w:p>
        </w:tc>
        <w:tc>
          <w:tcPr>
            <w:tcW w:w="6985" w:type="dxa"/>
            <w:tcBorders>
              <w:top w:val="single" w:color="auto" w:sz="6" w:space="0"/>
              <w:left w:val="nil"/>
              <w:bottom w:val="single" w:color="auto" w:sz="6" w:space="0"/>
              <w:right w:val="single" w:color="auto" w:sz="6" w:space="0"/>
            </w:tcBorders>
            <w:shd w:val="clear" w:color="auto" w:fill="FFFFFF"/>
            <w:noWrap w:val="0"/>
            <w:vAlign w:val="center"/>
          </w:tcPr>
          <w:p>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lang w:bidi="ar"/>
              </w:rPr>
              <w:t>技术参数</w:t>
            </w:r>
          </w:p>
        </w:tc>
        <w:tc>
          <w:tcPr>
            <w:tcW w:w="618" w:type="dxa"/>
            <w:tcBorders>
              <w:top w:val="single" w:color="auto" w:sz="6" w:space="0"/>
              <w:left w:val="nil"/>
              <w:bottom w:val="single" w:color="auto" w:sz="6" w:space="0"/>
              <w:right w:val="single" w:color="auto" w:sz="6" w:space="0"/>
            </w:tcBorders>
            <w:shd w:val="clear" w:color="auto" w:fill="FFFFFF"/>
            <w:noWrap w:val="0"/>
            <w:vAlign w:val="center"/>
          </w:tcPr>
          <w:p>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lang w:bidi="ar"/>
              </w:rPr>
              <w:t>数量</w:t>
            </w:r>
          </w:p>
        </w:tc>
        <w:tc>
          <w:tcPr>
            <w:tcW w:w="563" w:type="dxa"/>
            <w:tcBorders>
              <w:top w:val="single" w:color="auto" w:sz="6" w:space="0"/>
              <w:left w:val="nil"/>
              <w:bottom w:val="single" w:color="auto" w:sz="6" w:space="0"/>
              <w:right w:val="single" w:color="auto" w:sz="6" w:space="0"/>
            </w:tcBorders>
            <w:shd w:val="clear" w:color="auto" w:fill="FFFFFF"/>
            <w:noWrap w:val="0"/>
            <w:vAlign w:val="center"/>
          </w:tcPr>
          <w:p>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lang w:bidi="ar"/>
              </w:rPr>
              <w:t>单位</w:t>
            </w:r>
          </w:p>
        </w:tc>
      </w:tr>
      <w:tr>
        <w:tblPrEx>
          <w:tblCellMar>
            <w:top w:w="0" w:type="dxa"/>
            <w:left w:w="108" w:type="dxa"/>
            <w:bottom w:w="0" w:type="dxa"/>
            <w:right w:w="108" w:type="dxa"/>
          </w:tblCellMar>
        </w:tblPrEx>
        <w:trPr>
          <w:trHeight w:val="1525" w:hRule="atLeast"/>
        </w:trPr>
        <w:tc>
          <w:tcPr>
            <w:tcW w:w="60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lang w:bidi="ar"/>
              </w:rPr>
              <w:t>1</w:t>
            </w:r>
          </w:p>
        </w:tc>
        <w:tc>
          <w:tcPr>
            <w:tcW w:w="795" w:type="dxa"/>
            <w:tcBorders>
              <w:top w:val="single" w:color="auto" w:sz="6" w:space="0"/>
              <w:left w:val="nil"/>
              <w:bottom w:val="single" w:color="auto" w:sz="6" w:space="0"/>
              <w:right w:val="single" w:color="auto" w:sz="6" w:space="0"/>
            </w:tcBorders>
            <w:noWrap w:val="0"/>
            <w:vAlign w:val="center"/>
          </w:tcPr>
          <w:p>
            <w:pPr>
              <w:jc w:val="center"/>
              <w:rPr>
                <w:rFonts w:hint="eastAsia" w:ascii="宋体" w:hAnsi="宋体" w:cs="宋体"/>
                <w:bCs/>
                <w:color w:val="auto"/>
                <w:sz w:val="24"/>
                <w:szCs w:val="24"/>
                <w:highlight w:val="none"/>
              </w:rPr>
            </w:pPr>
            <w:r>
              <w:rPr>
                <w:rFonts w:hint="eastAsia" w:ascii="宋体" w:hAnsi="宋体" w:cs="宋体"/>
                <w:color w:val="auto"/>
                <w:sz w:val="24"/>
                <w:szCs w:val="24"/>
                <w:highlight w:val="none"/>
              </w:rPr>
              <w:t>微卡摄像机</w:t>
            </w:r>
          </w:p>
        </w:tc>
        <w:tc>
          <w:tcPr>
            <w:tcW w:w="6985" w:type="dxa"/>
            <w:tcBorders>
              <w:top w:val="single" w:color="auto" w:sz="6" w:space="0"/>
              <w:left w:val="nil"/>
              <w:bottom w:val="single" w:color="auto" w:sz="6" w:space="0"/>
              <w:right w:val="single" w:color="auto" w:sz="6" w:space="0"/>
            </w:tcBorders>
            <w:noWrap w:val="0"/>
            <w:vAlign w:val="center"/>
          </w:tcPr>
          <w:p>
            <w:pPr>
              <w:rPr>
                <w:rFonts w:hint="eastAsia" w:ascii="宋体" w:hAnsi="宋体" w:cs="宋体"/>
                <w:bCs/>
                <w:color w:val="auto"/>
                <w:sz w:val="24"/>
                <w:szCs w:val="24"/>
                <w:highlight w:val="none"/>
              </w:rPr>
            </w:pPr>
            <w:r>
              <w:rPr>
                <w:rFonts w:hint="eastAsia" w:ascii="宋体" w:hAnsi="宋体" w:cs="宋体"/>
                <w:bCs/>
                <w:color w:val="auto"/>
                <w:sz w:val="24"/>
                <w:szCs w:val="24"/>
                <w:highlight w:val="none"/>
              </w:rPr>
              <w:t>包含高清摄像机、高清镜头、室外防护罩、防雷模块、下挂灯、电源适配器等；</w:t>
            </w:r>
          </w:p>
          <w:p>
            <w:pPr>
              <w:rPr>
                <w:rFonts w:hint="eastAsia" w:ascii="宋体" w:hAnsi="宋体" w:cs="宋体"/>
                <w:bCs/>
                <w:color w:val="auto"/>
                <w:sz w:val="24"/>
                <w:szCs w:val="24"/>
                <w:highlight w:val="none"/>
              </w:rPr>
            </w:pPr>
            <w:r>
              <w:rPr>
                <w:rFonts w:hint="eastAsia" w:ascii="宋体" w:hAnsi="宋体" w:cs="宋体"/>
                <w:bCs/>
                <w:color w:val="auto"/>
                <w:sz w:val="24"/>
                <w:szCs w:val="24"/>
                <w:highlight w:val="none"/>
              </w:rPr>
              <w:t>传感器类型：≥1/1.8"CMOS；</w:t>
            </w:r>
          </w:p>
          <w:p>
            <w:pPr>
              <w:rPr>
                <w:rFonts w:hint="eastAsia" w:ascii="宋体" w:hAnsi="宋体" w:cs="宋体"/>
                <w:bCs/>
                <w:color w:val="auto"/>
                <w:sz w:val="24"/>
                <w:szCs w:val="24"/>
                <w:highlight w:val="none"/>
              </w:rPr>
            </w:pPr>
            <w:r>
              <w:rPr>
                <w:rFonts w:hint="eastAsia" w:ascii="宋体" w:hAnsi="宋体" w:cs="宋体"/>
                <w:bCs/>
                <w:color w:val="auto"/>
                <w:sz w:val="24"/>
                <w:szCs w:val="24"/>
                <w:highlight w:val="none"/>
              </w:rPr>
              <w:t>焦距：11-40mm;高清变焦镜头；</w:t>
            </w:r>
          </w:p>
          <w:p>
            <w:pPr>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支持车牌识别、子品牌识别、车身颜色识别、车型识别；</w:t>
            </w:r>
          </w:p>
          <w:p>
            <w:pPr>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★支持识别≥450种机动车品牌标志，白天识别准确率≥99%，夜晚识别准确率≥99%；</w:t>
            </w:r>
          </w:p>
          <w:p>
            <w:pPr>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★支持车辆子品牌识别功能，通过车头可识别≥7000种，通过车尾可识别≥3700种，全天识别准确率不低于99%；</w:t>
            </w:r>
          </w:p>
          <w:p>
            <w:pPr>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支持识别≥42种车型；需列出至少42种车辆类型；</w:t>
            </w:r>
          </w:p>
          <w:p>
            <w:pPr>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★支持识别≥13种车身颜色；需列出至少13种车辆颜色；</w:t>
            </w:r>
          </w:p>
          <w:p>
            <w:pPr>
              <w:rPr>
                <w:rFonts w:hint="eastAsia" w:ascii="宋体" w:hAnsi="宋体" w:cs="宋体"/>
                <w:bCs/>
                <w:color w:val="auto"/>
                <w:sz w:val="24"/>
                <w:szCs w:val="24"/>
                <w:highlight w:val="none"/>
              </w:rPr>
            </w:pPr>
            <w:r>
              <w:rPr>
                <w:rFonts w:hint="eastAsia" w:ascii="宋体" w:hAnsi="宋体" w:cs="宋体"/>
                <w:bCs/>
                <w:color w:val="auto"/>
                <w:sz w:val="24"/>
                <w:szCs w:val="24"/>
                <w:highlight w:val="none"/>
              </w:rPr>
              <w:t>像素：≥420W；</w:t>
            </w:r>
          </w:p>
          <w:p>
            <w:pPr>
              <w:rPr>
                <w:rFonts w:hint="eastAsia" w:ascii="宋体" w:hAnsi="宋体" w:cs="宋体"/>
                <w:bCs/>
                <w:color w:val="auto"/>
                <w:sz w:val="24"/>
                <w:szCs w:val="24"/>
                <w:highlight w:val="none"/>
              </w:rPr>
            </w:pPr>
            <w:r>
              <w:rPr>
                <w:rFonts w:hint="eastAsia" w:ascii="宋体" w:hAnsi="宋体" w:cs="宋体"/>
                <w:bCs/>
                <w:color w:val="auto"/>
                <w:sz w:val="24"/>
                <w:szCs w:val="24"/>
                <w:highlight w:val="none"/>
              </w:rPr>
              <w:t>感光器件：≥1/1.8"CMOS；</w:t>
            </w:r>
          </w:p>
          <w:p>
            <w:pPr>
              <w:rPr>
                <w:rFonts w:hint="eastAsia" w:ascii="宋体" w:hAnsi="宋体" w:cs="宋体"/>
                <w:bCs/>
                <w:color w:val="auto"/>
                <w:sz w:val="24"/>
                <w:szCs w:val="24"/>
                <w:highlight w:val="none"/>
              </w:rPr>
            </w:pPr>
            <w:r>
              <w:rPr>
                <w:rFonts w:hint="eastAsia" w:ascii="宋体" w:hAnsi="宋体" w:cs="宋体"/>
                <w:bCs/>
                <w:color w:val="auto"/>
                <w:sz w:val="24"/>
                <w:szCs w:val="24"/>
                <w:highlight w:val="none"/>
              </w:rPr>
              <w:t>照度：彩色不大于0.001 Lux；黑白不大于0.0001 Lux；</w:t>
            </w:r>
          </w:p>
          <w:p>
            <w:pPr>
              <w:rPr>
                <w:rFonts w:hint="eastAsia" w:ascii="宋体" w:hAnsi="宋体" w:cs="宋体"/>
                <w:bCs/>
                <w:color w:val="auto"/>
                <w:sz w:val="24"/>
                <w:szCs w:val="24"/>
                <w:highlight w:val="none"/>
              </w:rPr>
            </w:pPr>
            <w:r>
              <w:rPr>
                <w:rFonts w:hint="eastAsia" w:ascii="宋体" w:hAnsi="宋体" w:cs="宋体"/>
                <w:bCs/>
                <w:color w:val="auto"/>
                <w:sz w:val="24"/>
                <w:szCs w:val="24"/>
                <w:highlight w:val="none"/>
              </w:rPr>
              <w:t>视频压缩标准：H.264/H.265/MJPEG；</w:t>
            </w:r>
          </w:p>
          <w:p>
            <w:pPr>
              <w:rPr>
                <w:rFonts w:hint="eastAsia" w:ascii="宋体" w:hAnsi="宋体" w:cs="宋体"/>
                <w:bCs/>
                <w:color w:val="auto"/>
                <w:sz w:val="24"/>
                <w:szCs w:val="24"/>
                <w:highlight w:val="none"/>
              </w:rPr>
            </w:pPr>
            <w:r>
              <w:rPr>
                <w:rFonts w:hint="eastAsia" w:ascii="宋体" w:hAnsi="宋体" w:cs="宋体"/>
                <w:bCs/>
                <w:color w:val="auto"/>
                <w:sz w:val="24"/>
                <w:szCs w:val="24"/>
                <w:highlight w:val="none"/>
              </w:rPr>
              <w:t>宽动态能力≥120dB；</w:t>
            </w:r>
          </w:p>
          <w:p>
            <w:pPr>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支持设定以位置、车速、车型、行驶方向和车牌类型等为触发条件进行抓拍；</w:t>
            </w:r>
          </w:p>
          <w:p>
            <w:pPr>
              <w:rPr>
                <w:rFonts w:hint="eastAsia" w:ascii="宋体" w:hAnsi="宋体" w:cs="宋体"/>
                <w:bCs/>
                <w:color w:val="auto"/>
                <w:sz w:val="24"/>
                <w:szCs w:val="24"/>
                <w:highlight w:val="none"/>
              </w:rPr>
            </w:pPr>
            <w:r>
              <w:rPr>
                <w:rFonts w:hint="eastAsia" w:ascii="宋体" w:hAnsi="宋体" w:cs="宋体"/>
                <w:bCs/>
                <w:color w:val="auto"/>
                <w:sz w:val="24"/>
                <w:szCs w:val="24"/>
                <w:highlight w:val="none"/>
              </w:rPr>
              <w:t>感兴趣区域增强编码功能检查：支持≥24块感兴趣区域(ROI)增强编码功能，ROI区域压缩比在0～100范围内可设置；</w:t>
            </w:r>
          </w:p>
          <w:p>
            <w:pPr>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★支持GB 35114-2017标准A级、GB/T 28181-2016标准、GA/T 1400-2017标准；</w:t>
            </w:r>
          </w:p>
          <w:p>
            <w:pPr>
              <w:rPr>
                <w:rFonts w:hint="eastAsia" w:ascii="宋体" w:hAnsi="宋体" w:cs="宋体"/>
                <w:bCs/>
                <w:color w:val="auto"/>
                <w:sz w:val="24"/>
                <w:szCs w:val="24"/>
                <w:highlight w:val="none"/>
              </w:rPr>
            </w:pPr>
            <w:r>
              <w:rPr>
                <w:rFonts w:hint="eastAsia" w:ascii="宋体" w:hAnsi="宋体" w:cs="宋体"/>
                <w:bCs/>
                <w:color w:val="auto"/>
                <w:sz w:val="24"/>
                <w:szCs w:val="24"/>
                <w:highlight w:val="none"/>
              </w:rPr>
              <w:t>防护等级IP65；</w:t>
            </w:r>
          </w:p>
          <w:p>
            <w:pPr>
              <w:rPr>
                <w:rFonts w:hint="eastAsia" w:ascii="宋体" w:hAnsi="宋体" w:cs="宋体"/>
                <w:bCs/>
                <w:color w:val="auto"/>
                <w:sz w:val="24"/>
                <w:szCs w:val="24"/>
                <w:highlight w:val="none"/>
              </w:rPr>
            </w:pPr>
            <w:r>
              <w:rPr>
                <w:rFonts w:hint="eastAsia" w:ascii="宋体" w:hAnsi="宋体" w:cs="宋体"/>
                <w:bCs/>
                <w:color w:val="auto"/>
                <w:sz w:val="24"/>
                <w:szCs w:val="24"/>
                <w:highlight w:val="none"/>
              </w:rPr>
              <w:t>标“★”项需提供国家级或部级第三方检测鉴定机构出具的检测报告复印件并加盖生产商的红色印章；</w:t>
            </w:r>
          </w:p>
          <w:p>
            <w:pPr>
              <w:rPr>
                <w:rFonts w:hint="eastAsia" w:ascii="宋体" w:hAnsi="宋体" w:cs="宋体"/>
                <w:bCs/>
                <w:color w:val="auto"/>
                <w:sz w:val="24"/>
                <w:szCs w:val="24"/>
                <w:highlight w:val="none"/>
              </w:rPr>
            </w:pPr>
            <w:r>
              <w:rPr>
                <w:rFonts w:hint="eastAsia" w:ascii="宋体" w:hAnsi="宋体" w:cs="宋体"/>
                <w:bCs/>
                <w:color w:val="auto"/>
                <w:sz w:val="24"/>
                <w:szCs w:val="24"/>
                <w:highlight w:val="none"/>
              </w:rPr>
              <w:t>(该摄像机含支架)</w:t>
            </w:r>
          </w:p>
        </w:tc>
        <w:tc>
          <w:tcPr>
            <w:tcW w:w="618" w:type="dxa"/>
            <w:tcBorders>
              <w:top w:val="single" w:color="auto" w:sz="6" w:space="0"/>
              <w:left w:val="nil"/>
              <w:bottom w:val="single" w:color="auto" w:sz="6" w:space="0"/>
              <w:right w:val="single" w:color="auto" w:sz="6" w:space="0"/>
            </w:tcBorders>
            <w:noWrap w:val="0"/>
            <w:vAlign w:val="center"/>
          </w:tcPr>
          <w:p>
            <w:pPr>
              <w:jc w:val="center"/>
              <w:rPr>
                <w:rFonts w:hint="default" w:ascii="宋体" w:hAnsi="宋体" w:eastAsia="宋体" w:cs="宋体"/>
                <w:bCs/>
                <w:color w:val="auto"/>
                <w:sz w:val="24"/>
                <w:szCs w:val="24"/>
                <w:highlight w:val="none"/>
                <w:lang w:val="en-US" w:eastAsia="zh-CN"/>
              </w:rPr>
            </w:pPr>
            <w:r>
              <w:rPr>
                <w:rFonts w:hint="eastAsia" w:hAnsi="宋体" w:cs="宋体"/>
                <w:bCs/>
                <w:color w:val="auto"/>
                <w:sz w:val="24"/>
                <w:szCs w:val="24"/>
                <w:highlight w:val="none"/>
                <w:lang w:val="en-US" w:eastAsia="zh-CN" w:bidi="ar"/>
              </w:rPr>
              <w:t>200</w:t>
            </w:r>
          </w:p>
        </w:tc>
        <w:tc>
          <w:tcPr>
            <w:tcW w:w="563" w:type="dxa"/>
            <w:tcBorders>
              <w:top w:val="single" w:color="auto" w:sz="6" w:space="0"/>
              <w:left w:val="nil"/>
              <w:bottom w:val="single" w:color="auto" w:sz="6" w:space="0"/>
              <w:right w:val="single" w:color="auto" w:sz="6" w:space="0"/>
            </w:tcBorders>
            <w:noWrap w:val="0"/>
            <w:vAlign w:val="center"/>
          </w:tcPr>
          <w:p>
            <w:pPr>
              <w:jc w:val="center"/>
              <w:rPr>
                <w:rFonts w:hint="eastAsia" w:ascii="宋体" w:hAnsi="宋体" w:eastAsia="宋体" w:cs="宋体"/>
                <w:bCs/>
                <w:color w:val="auto"/>
                <w:sz w:val="24"/>
                <w:szCs w:val="24"/>
                <w:highlight w:val="none"/>
                <w:lang w:eastAsia="zh-CN"/>
              </w:rPr>
            </w:pPr>
            <w:r>
              <w:rPr>
                <w:rFonts w:hint="eastAsia" w:hAnsi="宋体" w:cs="宋体"/>
                <w:bCs/>
                <w:color w:val="auto"/>
                <w:sz w:val="24"/>
                <w:szCs w:val="24"/>
                <w:highlight w:val="none"/>
                <w:lang w:eastAsia="zh-CN"/>
              </w:rPr>
              <w:t>台</w:t>
            </w:r>
          </w:p>
        </w:tc>
      </w:tr>
      <w:tr>
        <w:tblPrEx>
          <w:tblCellMar>
            <w:top w:w="0" w:type="dxa"/>
            <w:left w:w="108" w:type="dxa"/>
            <w:bottom w:w="0" w:type="dxa"/>
            <w:right w:w="108" w:type="dxa"/>
          </w:tblCellMar>
        </w:tblPrEx>
        <w:trPr>
          <w:trHeight w:val="620" w:hRule="atLeast"/>
        </w:trPr>
        <w:tc>
          <w:tcPr>
            <w:tcW w:w="60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lang w:bidi="ar"/>
              </w:rPr>
              <w:t>2</w:t>
            </w:r>
          </w:p>
        </w:tc>
        <w:tc>
          <w:tcPr>
            <w:tcW w:w="795" w:type="dxa"/>
            <w:tcBorders>
              <w:top w:val="single" w:color="auto" w:sz="6" w:space="0"/>
              <w:left w:val="nil"/>
              <w:bottom w:val="single" w:color="auto" w:sz="6" w:space="0"/>
              <w:right w:val="single" w:color="auto" w:sz="6" w:space="0"/>
            </w:tcBorders>
            <w:noWrap w:val="0"/>
            <w:vAlign w:val="center"/>
          </w:tcPr>
          <w:p>
            <w:pPr>
              <w:jc w:val="center"/>
              <w:rPr>
                <w:rFonts w:hint="eastAsia" w:ascii="宋体" w:hAnsi="宋体" w:eastAsia="宋体" w:cs="宋体"/>
                <w:bCs/>
                <w:color w:val="auto"/>
                <w:sz w:val="24"/>
                <w:szCs w:val="24"/>
                <w:highlight w:val="none"/>
                <w:lang w:eastAsia="zh-CN"/>
              </w:rPr>
            </w:pPr>
            <w:r>
              <w:rPr>
                <w:rFonts w:hint="eastAsia" w:hAnsi="宋体" w:cs="宋体"/>
                <w:color w:val="auto"/>
                <w:sz w:val="24"/>
                <w:szCs w:val="24"/>
                <w:highlight w:val="none"/>
                <w:lang w:eastAsia="zh-CN"/>
              </w:rPr>
              <w:t>补光灯</w:t>
            </w:r>
          </w:p>
        </w:tc>
        <w:tc>
          <w:tcPr>
            <w:tcW w:w="6985" w:type="dxa"/>
            <w:tcBorders>
              <w:top w:val="single" w:color="auto" w:sz="6" w:space="0"/>
              <w:left w:val="nil"/>
              <w:bottom w:val="single" w:color="auto" w:sz="6" w:space="0"/>
              <w:right w:val="single" w:color="auto" w:sz="6" w:space="0"/>
            </w:tcBorders>
            <w:noWrap w:val="0"/>
            <w:vAlign w:val="center"/>
          </w:tcPr>
          <w:p>
            <w:pPr>
              <w:rPr>
                <w:rFonts w:hint="eastAsia" w:ascii="宋体" w:hAnsi="宋体" w:cs="宋体"/>
                <w:color w:val="auto"/>
                <w:sz w:val="24"/>
                <w:szCs w:val="24"/>
                <w:highlight w:val="none"/>
              </w:rPr>
            </w:pPr>
            <w:r>
              <w:rPr>
                <w:rFonts w:hint="eastAsia" w:ascii="宋体" w:hAnsi="宋体" w:cs="宋体"/>
                <w:color w:val="auto"/>
                <w:sz w:val="24"/>
                <w:szCs w:val="24"/>
                <w:highlight w:val="none"/>
              </w:rPr>
              <w:t>LED灯珠数量：≥26颗；</w:t>
            </w:r>
          </w:p>
          <w:p>
            <w:pPr>
              <w:rPr>
                <w:rFonts w:hint="eastAsia" w:ascii="宋体" w:hAnsi="宋体" w:cs="宋体"/>
                <w:color w:val="auto"/>
                <w:sz w:val="24"/>
                <w:szCs w:val="24"/>
                <w:highlight w:val="none"/>
              </w:rPr>
            </w:pPr>
            <w:r>
              <w:rPr>
                <w:rFonts w:hint="eastAsia" w:ascii="宋体" w:hAnsi="宋体" w:cs="宋体"/>
                <w:color w:val="auto"/>
                <w:sz w:val="24"/>
                <w:szCs w:val="24"/>
                <w:highlight w:val="none"/>
              </w:rPr>
              <w:t>发光角度：≥40°；</w:t>
            </w:r>
          </w:p>
          <w:p>
            <w:pPr>
              <w:rPr>
                <w:rFonts w:hint="eastAsia" w:ascii="宋体" w:hAnsi="宋体" w:cs="宋体"/>
                <w:color w:val="auto"/>
                <w:sz w:val="24"/>
                <w:szCs w:val="24"/>
                <w:highlight w:val="none"/>
              </w:rPr>
            </w:pPr>
            <w:r>
              <w:rPr>
                <w:rFonts w:hint="eastAsia" w:ascii="宋体" w:hAnsi="宋体" w:cs="宋体"/>
                <w:color w:val="auto"/>
                <w:sz w:val="24"/>
                <w:szCs w:val="24"/>
                <w:highlight w:val="none"/>
              </w:rPr>
              <w:t>最佳补光距离：16米~25米；</w:t>
            </w:r>
          </w:p>
          <w:p>
            <w:pPr>
              <w:rPr>
                <w:rFonts w:hint="eastAsia" w:ascii="宋体" w:hAnsi="宋体" w:cs="宋体"/>
                <w:color w:val="auto"/>
                <w:sz w:val="24"/>
                <w:szCs w:val="24"/>
                <w:highlight w:val="none"/>
              </w:rPr>
            </w:pPr>
            <w:r>
              <w:rPr>
                <w:rFonts w:hint="eastAsia" w:ascii="宋体" w:hAnsi="宋体" w:cs="宋体"/>
                <w:color w:val="auto"/>
                <w:sz w:val="24"/>
                <w:szCs w:val="24"/>
                <w:highlight w:val="none"/>
              </w:rPr>
              <w:t>补光灯自带光敏控制，在低照度下自动开启，低照度阀值可设；</w:t>
            </w:r>
          </w:p>
          <w:p>
            <w:pPr>
              <w:rPr>
                <w:rFonts w:hint="eastAsia" w:ascii="宋体" w:hAnsi="宋体" w:cs="宋体"/>
                <w:color w:val="auto"/>
                <w:sz w:val="24"/>
                <w:szCs w:val="24"/>
                <w:highlight w:val="none"/>
              </w:rPr>
            </w:pPr>
            <w:r>
              <w:rPr>
                <w:rFonts w:hint="eastAsia" w:ascii="宋体" w:hAnsi="宋体" w:cs="宋体"/>
                <w:color w:val="auto"/>
                <w:sz w:val="24"/>
                <w:szCs w:val="24"/>
                <w:highlight w:val="none"/>
              </w:rPr>
              <w:t>防护等级：≥IP66；</w:t>
            </w:r>
          </w:p>
          <w:p>
            <w:pPr>
              <w:rPr>
                <w:rFonts w:hint="eastAsia" w:ascii="宋体" w:hAnsi="宋体" w:cs="宋体"/>
                <w:color w:val="auto"/>
                <w:sz w:val="24"/>
                <w:szCs w:val="24"/>
                <w:highlight w:val="none"/>
              </w:rPr>
            </w:pPr>
            <w:r>
              <w:rPr>
                <w:rFonts w:hint="eastAsia" w:ascii="宋体" w:hAnsi="宋体" w:cs="宋体"/>
                <w:color w:val="auto"/>
                <w:sz w:val="24"/>
                <w:szCs w:val="24"/>
                <w:highlight w:val="none"/>
              </w:rPr>
              <w:t>功率：最大60W；</w:t>
            </w:r>
          </w:p>
          <w:p>
            <w:pPr>
              <w:rPr>
                <w:rFonts w:hint="eastAsia" w:ascii="宋体" w:hAnsi="宋体" w:cs="宋体"/>
                <w:color w:val="auto"/>
                <w:sz w:val="24"/>
                <w:szCs w:val="24"/>
                <w:highlight w:val="none"/>
              </w:rPr>
            </w:pPr>
            <w:r>
              <w:rPr>
                <w:rFonts w:hint="eastAsia" w:ascii="宋体" w:hAnsi="宋体" w:cs="宋体"/>
                <w:color w:val="auto"/>
                <w:sz w:val="24"/>
                <w:szCs w:val="24"/>
                <w:highlight w:val="none"/>
              </w:rPr>
              <w:t>支持自闪、跟随、自动频闪模式；</w:t>
            </w:r>
          </w:p>
          <w:p>
            <w:pPr>
              <w:rPr>
                <w:rFonts w:hint="eastAsia" w:ascii="宋体" w:hAnsi="宋体" w:cs="宋体"/>
                <w:color w:val="auto"/>
                <w:sz w:val="24"/>
                <w:szCs w:val="24"/>
                <w:highlight w:val="none"/>
              </w:rPr>
            </w:pPr>
            <w:r>
              <w:rPr>
                <w:rFonts w:hint="eastAsia" w:ascii="宋体" w:hAnsi="宋体" w:cs="宋体"/>
                <w:color w:val="auto"/>
                <w:sz w:val="24"/>
                <w:szCs w:val="24"/>
                <w:highlight w:val="none"/>
              </w:rPr>
              <w:t>工作环境-40℃~85℃；</w:t>
            </w:r>
          </w:p>
          <w:p>
            <w:pPr>
              <w:rPr>
                <w:rFonts w:hint="eastAsia" w:ascii="宋体" w:hAnsi="宋体" w:cs="宋体"/>
                <w:color w:val="auto"/>
                <w:sz w:val="24"/>
                <w:szCs w:val="24"/>
                <w:highlight w:val="none"/>
              </w:rPr>
            </w:pPr>
            <w:r>
              <w:rPr>
                <w:rFonts w:hint="eastAsia" w:ascii="宋体" w:hAnsi="宋体" w:cs="宋体"/>
                <w:color w:val="auto"/>
                <w:sz w:val="24"/>
                <w:szCs w:val="24"/>
                <w:highlight w:val="none"/>
              </w:rPr>
              <w:t>频率0-250HZ可调；支持通过调整占空比1%~39%进行亮度调节；</w:t>
            </w:r>
          </w:p>
          <w:p>
            <w:pPr>
              <w:rPr>
                <w:rFonts w:hint="eastAsia" w:ascii="宋体" w:hAnsi="宋体" w:cs="宋体"/>
                <w:bCs/>
                <w:color w:val="auto"/>
                <w:sz w:val="24"/>
                <w:szCs w:val="24"/>
                <w:highlight w:val="none"/>
              </w:rPr>
            </w:pPr>
            <w:r>
              <w:rPr>
                <w:rFonts w:hint="eastAsia" w:ascii="宋体" w:hAnsi="宋体" w:cs="宋体"/>
                <w:color w:val="auto"/>
                <w:sz w:val="24"/>
                <w:szCs w:val="24"/>
                <w:highlight w:val="none"/>
              </w:rPr>
              <w:t>含支架；</w:t>
            </w:r>
          </w:p>
        </w:tc>
        <w:tc>
          <w:tcPr>
            <w:tcW w:w="618" w:type="dxa"/>
            <w:tcBorders>
              <w:top w:val="single" w:color="auto" w:sz="6" w:space="0"/>
              <w:left w:val="nil"/>
              <w:bottom w:val="single" w:color="auto" w:sz="6" w:space="0"/>
              <w:right w:val="single" w:color="auto" w:sz="6" w:space="0"/>
            </w:tcBorders>
            <w:noWrap w:val="0"/>
            <w:vAlign w:val="center"/>
          </w:tcPr>
          <w:p>
            <w:pPr>
              <w:jc w:val="center"/>
              <w:rPr>
                <w:rFonts w:hint="default" w:ascii="宋体" w:hAnsi="宋体" w:eastAsia="宋体" w:cs="宋体"/>
                <w:bCs/>
                <w:color w:val="auto"/>
                <w:sz w:val="24"/>
                <w:szCs w:val="24"/>
                <w:highlight w:val="none"/>
                <w:lang w:val="en-US" w:eastAsia="zh-CN"/>
              </w:rPr>
            </w:pPr>
            <w:r>
              <w:rPr>
                <w:rFonts w:hint="eastAsia" w:hAnsi="宋体" w:cs="宋体"/>
                <w:bCs/>
                <w:color w:val="auto"/>
                <w:sz w:val="24"/>
                <w:szCs w:val="24"/>
                <w:highlight w:val="none"/>
                <w:lang w:val="en-US" w:eastAsia="zh-CN" w:bidi="ar"/>
              </w:rPr>
              <w:t>200</w:t>
            </w:r>
          </w:p>
        </w:tc>
        <w:tc>
          <w:tcPr>
            <w:tcW w:w="563" w:type="dxa"/>
            <w:tcBorders>
              <w:top w:val="single" w:color="auto" w:sz="6" w:space="0"/>
              <w:left w:val="nil"/>
              <w:bottom w:val="single" w:color="auto" w:sz="6" w:space="0"/>
              <w:right w:val="single" w:color="auto" w:sz="6" w:space="0"/>
            </w:tcBorders>
            <w:noWrap w:val="0"/>
            <w:vAlign w:val="center"/>
          </w:tcPr>
          <w:p>
            <w:pPr>
              <w:jc w:val="center"/>
              <w:rPr>
                <w:rFonts w:hint="eastAsia" w:ascii="宋体" w:hAnsi="宋体" w:eastAsia="宋体" w:cs="宋体"/>
                <w:bCs/>
                <w:color w:val="auto"/>
                <w:sz w:val="24"/>
                <w:szCs w:val="24"/>
                <w:highlight w:val="none"/>
                <w:lang w:eastAsia="zh-CN"/>
              </w:rPr>
            </w:pPr>
            <w:r>
              <w:rPr>
                <w:rFonts w:hint="eastAsia" w:hAnsi="宋体" w:cs="宋体"/>
                <w:bCs/>
                <w:color w:val="auto"/>
                <w:sz w:val="24"/>
                <w:szCs w:val="24"/>
                <w:highlight w:val="none"/>
                <w:lang w:eastAsia="zh-CN"/>
              </w:rPr>
              <w:t>个</w:t>
            </w:r>
          </w:p>
        </w:tc>
      </w:tr>
      <w:tr>
        <w:tblPrEx>
          <w:tblCellMar>
            <w:top w:w="0" w:type="dxa"/>
            <w:left w:w="108" w:type="dxa"/>
            <w:bottom w:w="0" w:type="dxa"/>
            <w:right w:w="108" w:type="dxa"/>
          </w:tblCellMar>
        </w:tblPrEx>
        <w:trPr>
          <w:trHeight w:val="620" w:hRule="atLeast"/>
        </w:trPr>
        <w:tc>
          <w:tcPr>
            <w:tcW w:w="60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lang w:bidi="ar"/>
              </w:rPr>
              <w:t>3</w:t>
            </w:r>
          </w:p>
        </w:tc>
        <w:tc>
          <w:tcPr>
            <w:tcW w:w="795" w:type="dxa"/>
            <w:tcBorders>
              <w:top w:val="single" w:color="auto" w:sz="6" w:space="0"/>
              <w:left w:val="nil"/>
              <w:bottom w:val="single" w:color="auto" w:sz="6" w:space="0"/>
              <w:right w:val="single" w:color="auto" w:sz="6" w:space="0"/>
            </w:tcBorders>
            <w:noWrap w:val="0"/>
            <w:vAlign w:val="center"/>
          </w:tcPr>
          <w:p>
            <w:pPr>
              <w:jc w:val="center"/>
              <w:rPr>
                <w:rFonts w:hint="eastAsia" w:ascii="宋体" w:hAnsi="宋体" w:cs="宋体"/>
                <w:bCs/>
                <w:color w:val="auto"/>
                <w:sz w:val="24"/>
                <w:szCs w:val="24"/>
                <w:highlight w:val="none"/>
              </w:rPr>
            </w:pPr>
            <w:r>
              <w:rPr>
                <w:rFonts w:hint="eastAsia" w:ascii="宋体" w:hAnsi="宋体" w:cs="宋体"/>
                <w:color w:val="auto"/>
                <w:sz w:val="24"/>
                <w:szCs w:val="24"/>
                <w:highlight w:val="none"/>
                <w:lang w:bidi="ar"/>
              </w:rPr>
              <w:t>6m立杆</w:t>
            </w:r>
          </w:p>
        </w:tc>
        <w:tc>
          <w:tcPr>
            <w:tcW w:w="6985" w:type="dxa"/>
            <w:tcBorders>
              <w:top w:val="single" w:color="auto" w:sz="6" w:space="0"/>
              <w:left w:val="nil"/>
              <w:bottom w:val="single" w:color="auto" w:sz="6" w:space="0"/>
              <w:right w:val="single" w:color="auto" w:sz="6" w:space="0"/>
            </w:tcBorders>
            <w:noWrap w:val="0"/>
            <w:vAlign w:val="center"/>
          </w:tcPr>
          <w:p>
            <w:pPr>
              <w:numPr>
                <w:ilvl w:val="0"/>
                <w:numId w:val="12"/>
              </w:numPr>
              <w:textAlignment w:val="center"/>
              <w:rPr>
                <w:rFonts w:hint="eastAsia"/>
                <w:lang w:eastAsia="zh-CN"/>
              </w:rPr>
            </w:pPr>
            <w:r>
              <w:rPr>
                <w:rFonts w:hint="eastAsia"/>
              </w:rPr>
              <w:t>国标热镀锌优质八棱金属杆，钢材材质均为Q235，6m，立杆大口径240mm，小口径180mm，壁厚6mm</w:t>
            </w:r>
            <w:r>
              <w:rPr>
                <w:rFonts w:hint="eastAsia"/>
                <w:lang w:eastAsia="zh-CN"/>
              </w:rPr>
              <w:t>。包含以下内容</w:t>
            </w:r>
          </w:p>
          <w:p>
            <w:pPr>
              <w:numPr>
                <w:ilvl w:val="0"/>
                <w:numId w:val="12"/>
              </w:numPr>
              <w:textAlignment w:val="center"/>
              <w:rPr>
                <w:rFonts w:hint="eastAsia"/>
                <w:lang w:eastAsia="zh-CN"/>
              </w:rPr>
            </w:pPr>
            <w:r>
              <w:rPr>
                <w:rFonts w:hint="eastAsia"/>
                <w:lang w:eastAsia="zh-CN"/>
              </w:rPr>
              <w:t>6m立杆横臂（国标热镀锌，6m横臂大口径170mm，小口径80mm，壁厚4mm）</w:t>
            </w:r>
          </w:p>
          <w:p>
            <w:pPr>
              <w:pStyle w:val="2"/>
              <w:numPr>
                <w:ilvl w:val="0"/>
                <w:numId w:val="0"/>
              </w:numPr>
              <w:tabs>
                <w:tab w:val="left" w:pos="406"/>
              </w:tabs>
              <w:ind w:leftChars="0"/>
              <w:rPr>
                <w:rFonts w:hint="eastAsia" w:ascii="宋体" w:hAnsi="Times New Roman" w:eastAsia="宋体" w:cs="Times New Roman"/>
                <w:sz w:val="24"/>
                <w:szCs w:val="20"/>
                <w:lang w:val="en-US" w:eastAsia="zh-CN" w:bidi="ar-SA"/>
              </w:rPr>
            </w:pPr>
            <w:r>
              <w:rPr>
                <w:rFonts w:hint="eastAsia" w:ascii="宋体" w:hAnsi="Times New Roman" w:eastAsia="宋体" w:cs="Times New Roman"/>
                <w:sz w:val="24"/>
                <w:szCs w:val="20"/>
                <w:lang w:val="en-US" w:eastAsia="zh-CN" w:bidi="ar-SA"/>
              </w:rPr>
              <w:t>3、杆基坑（混凝土C25，开挖尺寸为1m*1m*1.5m）</w:t>
            </w:r>
          </w:p>
          <w:p>
            <w:pPr>
              <w:pStyle w:val="4"/>
              <w:numPr>
                <w:ilvl w:val="0"/>
                <w:numId w:val="0"/>
              </w:numPr>
              <w:ind w:leftChars="0"/>
              <w:rPr>
                <w:rFonts w:hint="eastAsia" w:ascii="宋体" w:hAnsi="Times New Roman" w:eastAsia="宋体" w:cs="Times New Roman"/>
                <w:sz w:val="24"/>
                <w:szCs w:val="20"/>
                <w:lang w:val="en-US" w:eastAsia="zh-CN" w:bidi="ar-SA"/>
              </w:rPr>
            </w:pPr>
            <w:r>
              <w:rPr>
                <w:rFonts w:hint="eastAsia" w:ascii="宋体" w:hAnsi="Times New Roman" w:eastAsia="宋体" w:cs="Times New Roman"/>
                <w:sz w:val="24"/>
                <w:szCs w:val="20"/>
                <w:lang w:val="en-US" w:eastAsia="zh-CN" w:bidi="ar-SA"/>
              </w:rPr>
              <w:t>4、基坑路面恢复</w:t>
            </w:r>
          </w:p>
          <w:p>
            <w:pPr>
              <w:rPr>
                <w:rFonts w:hint="default"/>
                <w:lang w:val="en-US" w:eastAsia="zh-CN"/>
              </w:rPr>
            </w:pPr>
            <w:r>
              <w:rPr>
                <w:rFonts w:hint="eastAsia" w:ascii="宋体" w:hAnsi="Times New Roman" w:eastAsia="宋体" w:cs="Times New Roman"/>
                <w:sz w:val="24"/>
                <w:szCs w:val="20"/>
                <w:lang w:val="en-US" w:eastAsia="zh-CN" w:bidi="ar-SA"/>
              </w:rPr>
              <w:t>5、杆体反光条</w:t>
            </w:r>
          </w:p>
        </w:tc>
        <w:tc>
          <w:tcPr>
            <w:tcW w:w="618" w:type="dxa"/>
            <w:tcBorders>
              <w:top w:val="single" w:color="auto" w:sz="6" w:space="0"/>
              <w:left w:val="nil"/>
              <w:bottom w:val="single" w:color="auto" w:sz="6" w:space="0"/>
              <w:right w:val="single" w:color="auto" w:sz="6" w:space="0"/>
            </w:tcBorders>
            <w:noWrap w:val="0"/>
            <w:vAlign w:val="center"/>
          </w:tcPr>
          <w:p>
            <w:pPr>
              <w:jc w:val="center"/>
              <w:rPr>
                <w:rFonts w:hint="default" w:ascii="宋体" w:hAnsi="宋体" w:eastAsia="宋体" w:cs="宋体"/>
                <w:bCs/>
                <w:color w:val="auto"/>
                <w:sz w:val="24"/>
                <w:szCs w:val="24"/>
                <w:highlight w:val="none"/>
                <w:lang w:val="en-US" w:eastAsia="zh-CN"/>
              </w:rPr>
            </w:pPr>
            <w:r>
              <w:rPr>
                <w:rFonts w:hint="eastAsia" w:hAnsi="宋体" w:cs="宋体"/>
                <w:bCs/>
                <w:color w:val="auto"/>
                <w:sz w:val="24"/>
                <w:szCs w:val="24"/>
                <w:highlight w:val="none"/>
                <w:lang w:val="en-US" w:eastAsia="zh-CN" w:bidi="ar"/>
              </w:rPr>
              <w:t>100</w:t>
            </w:r>
          </w:p>
        </w:tc>
        <w:tc>
          <w:tcPr>
            <w:tcW w:w="563" w:type="dxa"/>
            <w:tcBorders>
              <w:top w:val="single" w:color="auto" w:sz="6" w:space="0"/>
              <w:left w:val="nil"/>
              <w:bottom w:val="single" w:color="auto" w:sz="6" w:space="0"/>
              <w:right w:val="single" w:color="auto" w:sz="6" w:space="0"/>
            </w:tcBorders>
            <w:noWrap w:val="0"/>
            <w:vAlign w:val="center"/>
          </w:tcPr>
          <w:p>
            <w:pPr>
              <w:jc w:val="center"/>
              <w:rPr>
                <w:rFonts w:hint="eastAsia" w:ascii="宋体" w:hAnsi="宋体" w:eastAsia="宋体" w:cs="宋体"/>
                <w:bCs/>
                <w:color w:val="auto"/>
                <w:sz w:val="24"/>
                <w:szCs w:val="24"/>
                <w:highlight w:val="none"/>
                <w:lang w:eastAsia="zh-CN"/>
              </w:rPr>
            </w:pPr>
            <w:r>
              <w:rPr>
                <w:rFonts w:hint="eastAsia" w:hAnsi="宋体" w:cs="宋体"/>
                <w:bCs/>
                <w:color w:val="auto"/>
                <w:sz w:val="24"/>
                <w:szCs w:val="24"/>
                <w:highlight w:val="none"/>
                <w:lang w:eastAsia="zh-CN" w:bidi="ar"/>
              </w:rPr>
              <w:t>根</w:t>
            </w:r>
          </w:p>
        </w:tc>
      </w:tr>
      <w:tr>
        <w:tblPrEx>
          <w:tblCellMar>
            <w:top w:w="0" w:type="dxa"/>
            <w:left w:w="108" w:type="dxa"/>
            <w:bottom w:w="0" w:type="dxa"/>
            <w:right w:w="108" w:type="dxa"/>
          </w:tblCellMar>
        </w:tblPrEx>
        <w:trPr>
          <w:trHeight w:val="620" w:hRule="atLeast"/>
        </w:trPr>
        <w:tc>
          <w:tcPr>
            <w:tcW w:w="60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Cs/>
                <w:color w:val="auto"/>
                <w:sz w:val="24"/>
                <w:szCs w:val="24"/>
                <w:highlight w:val="none"/>
                <w:lang w:bidi="ar"/>
              </w:rPr>
            </w:pPr>
            <w:r>
              <w:rPr>
                <w:rFonts w:hint="eastAsia" w:ascii="宋体" w:hAnsi="宋体" w:cs="宋体"/>
                <w:bCs/>
                <w:color w:val="auto"/>
                <w:sz w:val="24"/>
                <w:szCs w:val="24"/>
                <w:highlight w:val="none"/>
                <w:lang w:bidi="ar"/>
              </w:rPr>
              <w:t>4</w:t>
            </w:r>
          </w:p>
        </w:tc>
        <w:tc>
          <w:tcPr>
            <w:tcW w:w="795" w:type="dxa"/>
            <w:tcBorders>
              <w:top w:val="single" w:color="auto" w:sz="6" w:space="0"/>
              <w:left w:val="nil"/>
              <w:bottom w:val="single" w:color="auto" w:sz="6" w:space="0"/>
              <w:right w:val="single" w:color="auto" w:sz="6" w:space="0"/>
            </w:tcBorders>
            <w:noWrap w:val="0"/>
            <w:vAlign w:val="center"/>
          </w:tcPr>
          <w:p>
            <w:pPr>
              <w:jc w:val="center"/>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智能运维箱</w:t>
            </w:r>
          </w:p>
        </w:tc>
        <w:tc>
          <w:tcPr>
            <w:tcW w:w="6985" w:type="dxa"/>
            <w:tcBorders>
              <w:top w:val="single" w:color="auto" w:sz="6" w:space="0"/>
              <w:left w:val="nil"/>
              <w:bottom w:val="single" w:color="auto" w:sz="6" w:space="0"/>
              <w:right w:val="single" w:color="auto" w:sz="6" w:space="0"/>
            </w:tcBorders>
            <w:noWrap w:val="0"/>
            <w:vAlign w:val="center"/>
          </w:tcPr>
          <w:p>
            <w:pPr>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1、设备箱高*宽*深不低于500*400*200mm、箱体厚度不低于1.0mm，箱体内配置空开、防雷器、过欠压保护器，百兆网口不低于4个，电源插座不低于6路；</w:t>
            </w:r>
          </w:p>
          <w:p>
            <w:pPr>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2、设备箱自身不占用视频专网IP地址，故障信息通过4G回传，4G接口需与视频专网隔离；</w:t>
            </w:r>
          </w:p>
          <w:p>
            <w:pPr>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3、支持设备、网络、电力故障检测，故障信息告警方式支持网页弹窗、邮箱、短信、微信小程序等多种方式，断电断网情况下故障信息可正常回传；</w:t>
            </w:r>
          </w:p>
          <w:p>
            <w:pPr>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4、故障信息可通过微信小程序通知到运维人员，支持根据故障类型推送故障信息至不同工种的运维人员，小程序支持根据点位经纬度信息导航至故障点位，多个运维人员可抢同一故障通知单对故障单进行维护；</w:t>
            </w:r>
          </w:p>
          <w:p>
            <w:pPr>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5、支持远程电源管控、网络协议端口管控、物理网口管控、摄像机准入控制</w:t>
            </w:r>
          </w:p>
          <w:p>
            <w:pPr>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6、含5年4G流量卡。</w:t>
            </w:r>
          </w:p>
        </w:tc>
        <w:tc>
          <w:tcPr>
            <w:tcW w:w="618" w:type="dxa"/>
            <w:tcBorders>
              <w:top w:val="single" w:color="auto" w:sz="6" w:space="0"/>
              <w:left w:val="nil"/>
              <w:bottom w:val="single" w:color="auto" w:sz="6" w:space="0"/>
              <w:right w:val="single" w:color="auto" w:sz="6" w:space="0"/>
            </w:tcBorders>
            <w:noWrap w:val="0"/>
            <w:vAlign w:val="center"/>
          </w:tcPr>
          <w:p>
            <w:pPr>
              <w:jc w:val="center"/>
              <w:rPr>
                <w:rFonts w:hint="default" w:ascii="宋体" w:hAnsi="宋体" w:eastAsia="宋体" w:cs="宋体"/>
                <w:bCs/>
                <w:color w:val="auto"/>
                <w:sz w:val="24"/>
                <w:szCs w:val="24"/>
                <w:highlight w:val="none"/>
                <w:lang w:val="en-US" w:eastAsia="zh-CN" w:bidi="ar"/>
              </w:rPr>
            </w:pPr>
            <w:r>
              <w:rPr>
                <w:rFonts w:hint="eastAsia" w:ascii="宋体" w:hAnsi="宋体" w:cs="宋体"/>
                <w:bCs/>
                <w:color w:val="auto"/>
                <w:sz w:val="24"/>
                <w:szCs w:val="24"/>
                <w:highlight w:val="none"/>
                <w:lang w:bidi="ar"/>
              </w:rPr>
              <w:t>1</w:t>
            </w:r>
            <w:r>
              <w:rPr>
                <w:rFonts w:hint="eastAsia" w:hAnsi="宋体" w:cs="宋体"/>
                <w:bCs/>
                <w:color w:val="auto"/>
                <w:sz w:val="24"/>
                <w:szCs w:val="24"/>
                <w:highlight w:val="none"/>
                <w:lang w:val="en-US" w:eastAsia="zh-CN" w:bidi="ar"/>
              </w:rPr>
              <w:t>00</w:t>
            </w:r>
          </w:p>
        </w:tc>
        <w:tc>
          <w:tcPr>
            <w:tcW w:w="563" w:type="dxa"/>
            <w:tcBorders>
              <w:top w:val="single" w:color="auto" w:sz="6" w:space="0"/>
              <w:left w:val="nil"/>
              <w:bottom w:val="single" w:color="auto" w:sz="6" w:space="0"/>
              <w:right w:val="single" w:color="auto" w:sz="6" w:space="0"/>
            </w:tcBorders>
            <w:noWrap w:val="0"/>
            <w:vAlign w:val="center"/>
          </w:tcPr>
          <w:p>
            <w:pPr>
              <w:jc w:val="center"/>
              <w:rPr>
                <w:rFonts w:hint="eastAsia" w:ascii="宋体" w:hAnsi="宋体" w:eastAsia="宋体" w:cs="宋体"/>
                <w:bCs/>
                <w:color w:val="auto"/>
                <w:sz w:val="24"/>
                <w:szCs w:val="24"/>
                <w:highlight w:val="none"/>
                <w:lang w:eastAsia="zh-CN" w:bidi="ar"/>
              </w:rPr>
            </w:pPr>
            <w:r>
              <w:rPr>
                <w:rFonts w:hint="eastAsia" w:hAnsi="宋体" w:cs="宋体"/>
                <w:bCs/>
                <w:color w:val="auto"/>
                <w:sz w:val="24"/>
                <w:szCs w:val="24"/>
                <w:highlight w:val="none"/>
                <w:lang w:eastAsia="zh-CN" w:bidi="ar"/>
              </w:rPr>
              <w:t>套</w:t>
            </w:r>
          </w:p>
        </w:tc>
      </w:tr>
      <w:tr>
        <w:tblPrEx>
          <w:tblCellMar>
            <w:top w:w="0" w:type="dxa"/>
            <w:left w:w="108" w:type="dxa"/>
            <w:bottom w:w="0" w:type="dxa"/>
            <w:right w:w="108" w:type="dxa"/>
          </w:tblCellMar>
        </w:tblPrEx>
        <w:trPr>
          <w:trHeight w:val="620" w:hRule="atLeast"/>
        </w:trPr>
        <w:tc>
          <w:tcPr>
            <w:tcW w:w="602"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bCs/>
                <w:color w:val="auto"/>
                <w:sz w:val="24"/>
                <w:szCs w:val="24"/>
                <w:highlight w:val="none"/>
                <w:lang w:bidi="ar"/>
              </w:rPr>
            </w:pPr>
            <w:r>
              <w:rPr>
                <w:rFonts w:hint="eastAsia" w:ascii="宋体" w:hAnsi="宋体" w:cs="宋体"/>
                <w:bCs/>
                <w:color w:val="auto"/>
                <w:sz w:val="24"/>
                <w:szCs w:val="24"/>
                <w:highlight w:val="none"/>
                <w:lang w:bidi="ar"/>
              </w:rPr>
              <w:t>5</w:t>
            </w:r>
          </w:p>
        </w:tc>
        <w:tc>
          <w:tcPr>
            <w:tcW w:w="795" w:type="dxa"/>
            <w:tcBorders>
              <w:top w:val="single" w:color="auto" w:sz="6" w:space="0"/>
              <w:left w:val="nil"/>
              <w:bottom w:val="single" w:color="auto" w:sz="6" w:space="0"/>
              <w:right w:val="single" w:color="auto" w:sz="6" w:space="0"/>
            </w:tcBorders>
            <w:noWrap w:val="0"/>
            <w:vAlign w:val="center"/>
          </w:tcPr>
          <w:p>
            <w:pPr>
              <w:jc w:val="center"/>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标识标牌</w:t>
            </w:r>
          </w:p>
        </w:tc>
        <w:tc>
          <w:tcPr>
            <w:tcW w:w="6985" w:type="dxa"/>
            <w:tcBorders>
              <w:top w:val="single" w:color="auto" w:sz="6" w:space="0"/>
              <w:left w:val="nil"/>
              <w:bottom w:val="single" w:color="auto" w:sz="6" w:space="0"/>
              <w:right w:val="single" w:color="auto" w:sz="6" w:space="0"/>
            </w:tcBorders>
            <w:noWrap w:val="0"/>
            <w:vAlign w:val="center"/>
          </w:tcPr>
          <w:p>
            <w:pPr>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外喷项目定制LOGO及文字，编号根据标准统一编制，采用金属贴牌固定于箱体上，设备接线图</w:t>
            </w:r>
          </w:p>
        </w:tc>
        <w:tc>
          <w:tcPr>
            <w:tcW w:w="618" w:type="dxa"/>
            <w:tcBorders>
              <w:top w:val="single" w:color="auto" w:sz="6" w:space="0"/>
              <w:left w:val="nil"/>
              <w:bottom w:val="single" w:color="auto" w:sz="6" w:space="0"/>
              <w:right w:val="single" w:color="auto" w:sz="6" w:space="0"/>
            </w:tcBorders>
            <w:noWrap w:val="0"/>
            <w:vAlign w:val="center"/>
          </w:tcPr>
          <w:p>
            <w:pPr>
              <w:jc w:val="center"/>
              <w:rPr>
                <w:rFonts w:hint="default" w:ascii="宋体" w:hAnsi="宋体" w:eastAsia="宋体" w:cs="宋体"/>
                <w:bCs/>
                <w:color w:val="auto"/>
                <w:sz w:val="24"/>
                <w:szCs w:val="24"/>
                <w:highlight w:val="none"/>
                <w:lang w:val="en-US" w:eastAsia="zh-CN" w:bidi="ar"/>
              </w:rPr>
            </w:pPr>
            <w:r>
              <w:rPr>
                <w:rFonts w:hint="eastAsia" w:ascii="宋体" w:hAnsi="宋体" w:cs="宋体"/>
                <w:bCs/>
                <w:color w:val="auto"/>
                <w:sz w:val="24"/>
                <w:szCs w:val="24"/>
                <w:highlight w:val="none"/>
                <w:lang w:bidi="ar"/>
              </w:rPr>
              <w:t>1</w:t>
            </w:r>
            <w:r>
              <w:rPr>
                <w:rFonts w:hint="eastAsia" w:hAnsi="宋体" w:cs="宋体"/>
                <w:bCs/>
                <w:color w:val="auto"/>
                <w:sz w:val="24"/>
                <w:szCs w:val="24"/>
                <w:highlight w:val="none"/>
                <w:lang w:val="en-US" w:eastAsia="zh-CN" w:bidi="ar"/>
              </w:rPr>
              <w:t>00</w:t>
            </w:r>
          </w:p>
        </w:tc>
        <w:tc>
          <w:tcPr>
            <w:tcW w:w="563" w:type="dxa"/>
            <w:tcBorders>
              <w:top w:val="single" w:color="auto" w:sz="6" w:space="0"/>
              <w:left w:val="nil"/>
              <w:bottom w:val="single" w:color="auto" w:sz="6" w:space="0"/>
              <w:right w:val="single" w:color="auto" w:sz="6" w:space="0"/>
            </w:tcBorders>
            <w:noWrap w:val="0"/>
            <w:vAlign w:val="center"/>
          </w:tcPr>
          <w:p>
            <w:pPr>
              <w:jc w:val="center"/>
              <w:rPr>
                <w:rFonts w:hint="eastAsia" w:ascii="宋体" w:hAnsi="宋体" w:eastAsia="宋体" w:cs="宋体"/>
                <w:bCs/>
                <w:color w:val="auto"/>
                <w:sz w:val="24"/>
                <w:szCs w:val="24"/>
                <w:highlight w:val="none"/>
                <w:lang w:eastAsia="zh-CN" w:bidi="ar"/>
              </w:rPr>
            </w:pPr>
            <w:r>
              <w:rPr>
                <w:rFonts w:hint="eastAsia" w:hAnsi="宋体" w:cs="宋体"/>
                <w:bCs/>
                <w:color w:val="auto"/>
                <w:sz w:val="24"/>
                <w:szCs w:val="24"/>
                <w:highlight w:val="none"/>
                <w:lang w:eastAsia="zh-CN" w:bidi="ar"/>
              </w:rPr>
              <w:t>套</w:t>
            </w:r>
          </w:p>
        </w:tc>
      </w:tr>
      <w:tr>
        <w:tblPrEx>
          <w:tblCellMar>
            <w:top w:w="0" w:type="dxa"/>
            <w:left w:w="108" w:type="dxa"/>
            <w:bottom w:w="0" w:type="dxa"/>
            <w:right w:w="108" w:type="dxa"/>
          </w:tblCellMar>
        </w:tblPrEx>
        <w:trPr>
          <w:trHeight w:val="1543" w:hRule="atLeast"/>
        </w:trPr>
        <w:tc>
          <w:tcPr>
            <w:tcW w:w="60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6</w:t>
            </w:r>
          </w:p>
        </w:tc>
        <w:tc>
          <w:tcPr>
            <w:tcW w:w="795" w:type="dxa"/>
            <w:tcBorders>
              <w:top w:val="single" w:color="auto" w:sz="6" w:space="0"/>
              <w:left w:val="nil"/>
              <w:bottom w:val="single" w:color="auto" w:sz="6" w:space="0"/>
              <w:right w:val="single" w:color="auto" w:sz="6" w:space="0"/>
            </w:tcBorders>
            <w:noWrap w:val="0"/>
            <w:vAlign w:val="center"/>
          </w:tcPr>
          <w:p>
            <w:pPr>
              <w:jc w:val="center"/>
              <w:rPr>
                <w:rFonts w:hint="eastAsia" w:ascii="宋体" w:hAnsi="宋体" w:eastAsia="宋体" w:cs="宋体"/>
                <w:color w:val="auto"/>
                <w:sz w:val="24"/>
                <w:szCs w:val="24"/>
                <w:highlight w:val="none"/>
                <w:lang w:eastAsia="zh-CN" w:bidi="ar"/>
              </w:rPr>
            </w:pPr>
            <w:r>
              <w:rPr>
                <w:rFonts w:hint="eastAsia" w:hAnsi="宋体" w:cs="宋体"/>
                <w:color w:val="auto"/>
                <w:sz w:val="24"/>
                <w:szCs w:val="24"/>
                <w:highlight w:val="none"/>
                <w:lang w:eastAsia="zh-CN" w:bidi="ar"/>
              </w:rPr>
              <w:t>防雷接地</w:t>
            </w:r>
          </w:p>
        </w:tc>
        <w:tc>
          <w:tcPr>
            <w:tcW w:w="6985" w:type="dxa"/>
            <w:tcBorders>
              <w:top w:val="single" w:color="auto" w:sz="6" w:space="0"/>
              <w:left w:val="nil"/>
              <w:bottom w:val="single" w:color="auto" w:sz="6" w:space="0"/>
              <w:right w:val="single" w:color="auto" w:sz="6" w:space="0"/>
            </w:tcBorders>
            <w:noWrap w:val="0"/>
            <w:vAlign w:val="center"/>
          </w:tcPr>
          <w:p>
            <w:pPr>
              <w:numPr>
                <w:ilvl w:val="0"/>
                <w:numId w:val="13"/>
              </w:numPr>
              <w:rPr>
                <w:rFonts w:hint="eastAsia"/>
                <w:lang w:val="en-US" w:eastAsia="zh-CN"/>
              </w:rPr>
            </w:pPr>
            <w:r>
              <w:rPr>
                <w:rFonts w:hint="eastAsia"/>
                <w:lang w:val="en-US" w:eastAsia="zh-CN"/>
              </w:rPr>
              <w:t>接地极50*50*5mm角铁*1.5m+40*4mm扁铁*1.5m，降阻剂，</w:t>
            </w:r>
          </w:p>
          <w:p>
            <w:pPr>
              <w:pStyle w:val="2"/>
              <w:numPr>
                <w:ilvl w:val="0"/>
                <w:numId w:val="13"/>
              </w:numPr>
              <w:ind w:left="0" w:leftChars="0" w:firstLine="0" w:firstLineChars="0"/>
              <w:rPr>
                <w:rFonts w:hint="eastAsia" w:ascii="宋体" w:hAnsi="Times New Roman" w:eastAsia="宋体" w:cs="Times New Roman"/>
                <w:sz w:val="24"/>
                <w:szCs w:val="20"/>
                <w:lang w:val="en-US" w:eastAsia="zh-CN" w:bidi="ar-SA"/>
              </w:rPr>
            </w:pPr>
            <w:r>
              <w:rPr>
                <w:rFonts w:hint="eastAsia" w:ascii="宋体" w:hAnsi="Times New Roman" w:eastAsia="宋体" w:cs="Times New Roman"/>
                <w:sz w:val="24"/>
                <w:szCs w:val="20"/>
                <w:lang w:val="en-US" w:eastAsia="zh-CN" w:bidi="ar-SA"/>
              </w:rPr>
              <w:t>接地镀锌钢管φ40,2mm，每个点6m，含固定不锈钢管抱箍</w:t>
            </w:r>
          </w:p>
          <w:p>
            <w:pPr>
              <w:pStyle w:val="4"/>
              <w:numPr>
                <w:ilvl w:val="0"/>
                <w:numId w:val="13"/>
              </w:numPr>
              <w:ind w:left="0" w:leftChars="0" w:firstLine="0" w:firstLineChars="0"/>
              <w:rPr>
                <w:rFonts w:hint="default" w:ascii="宋体" w:hAnsi="Times New Roman" w:eastAsia="宋体" w:cs="Times New Roman"/>
                <w:sz w:val="24"/>
                <w:szCs w:val="20"/>
                <w:lang w:val="en-US" w:eastAsia="zh-CN" w:bidi="ar-SA"/>
              </w:rPr>
            </w:pPr>
            <w:r>
              <w:rPr>
                <w:rFonts w:hint="eastAsia" w:ascii="宋体" w:hAnsi="Times New Roman" w:eastAsia="宋体" w:cs="Times New Roman"/>
                <w:sz w:val="24"/>
                <w:szCs w:val="20"/>
                <w:lang w:val="en-US" w:eastAsia="zh-CN" w:bidi="ar-SA"/>
              </w:rPr>
              <w:t>接地线国标BVR 16mm²，长度4m</w:t>
            </w:r>
          </w:p>
          <w:p>
            <w:pPr>
              <w:rPr>
                <w:rFonts w:hint="default"/>
                <w:lang w:val="en-US" w:eastAsia="zh-CN"/>
              </w:rPr>
            </w:pPr>
            <w:r>
              <w:rPr>
                <w:rFonts w:hint="eastAsia" w:ascii="宋体" w:hAnsi="Times New Roman" w:eastAsia="宋体" w:cs="Times New Roman"/>
                <w:sz w:val="24"/>
                <w:szCs w:val="20"/>
                <w:lang w:val="en-US" w:eastAsia="zh-CN" w:bidi="ar-SA"/>
              </w:rPr>
              <w:t>4、接地线螺丝M10*30mm，带螺母</w:t>
            </w:r>
          </w:p>
        </w:tc>
        <w:tc>
          <w:tcPr>
            <w:tcW w:w="618" w:type="dxa"/>
            <w:tcBorders>
              <w:top w:val="single" w:color="auto" w:sz="6" w:space="0"/>
              <w:left w:val="nil"/>
              <w:bottom w:val="single" w:color="auto" w:sz="6" w:space="0"/>
              <w:right w:val="single" w:color="auto" w:sz="6" w:space="0"/>
            </w:tcBorders>
            <w:noWrap w:val="0"/>
            <w:vAlign w:val="center"/>
          </w:tcPr>
          <w:p>
            <w:pPr>
              <w:jc w:val="center"/>
              <w:rPr>
                <w:rFonts w:hint="eastAsia" w:ascii="宋体" w:hAnsi="宋体" w:cs="宋体"/>
                <w:bCs/>
                <w:color w:val="auto"/>
                <w:sz w:val="24"/>
                <w:szCs w:val="24"/>
                <w:highlight w:val="none"/>
                <w:lang w:bidi="ar"/>
              </w:rPr>
            </w:pPr>
            <w:r>
              <w:rPr>
                <w:rFonts w:hint="eastAsia" w:ascii="宋体" w:hAnsi="宋体" w:cs="宋体"/>
                <w:bCs/>
                <w:color w:val="auto"/>
                <w:sz w:val="24"/>
                <w:szCs w:val="24"/>
                <w:highlight w:val="none"/>
                <w:lang w:bidi="ar"/>
              </w:rPr>
              <w:t>1</w:t>
            </w:r>
            <w:r>
              <w:rPr>
                <w:rFonts w:hint="eastAsia" w:hAnsi="宋体" w:cs="宋体"/>
                <w:bCs/>
                <w:color w:val="auto"/>
                <w:sz w:val="24"/>
                <w:szCs w:val="24"/>
                <w:highlight w:val="none"/>
                <w:lang w:val="en-US" w:eastAsia="zh-CN" w:bidi="ar"/>
              </w:rPr>
              <w:t>00</w:t>
            </w:r>
          </w:p>
        </w:tc>
        <w:tc>
          <w:tcPr>
            <w:tcW w:w="563"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bCs/>
                <w:color w:val="auto"/>
                <w:sz w:val="24"/>
                <w:szCs w:val="24"/>
                <w:highlight w:val="none"/>
                <w:lang w:eastAsia="zh-CN" w:bidi="ar"/>
              </w:rPr>
            </w:pPr>
            <w:r>
              <w:rPr>
                <w:rFonts w:hint="eastAsia" w:hAnsi="宋体" w:cs="宋体"/>
                <w:bCs/>
                <w:color w:val="auto"/>
                <w:sz w:val="24"/>
                <w:szCs w:val="24"/>
                <w:highlight w:val="none"/>
                <w:lang w:eastAsia="zh-CN" w:bidi="ar"/>
              </w:rPr>
              <w:t>套</w:t>
            </w:r>
          </w:p>
        </w:tc>
      </w:tr>
      <w:tr>
        <w:tblPrEx>
          <w:tblCellMar>
            <w:top w:w="0" w:type="dxa"/>
            <w:left w:w="108" w:type="dxa"/>
            <w:bottom w:w="0" w:type="dxa"/>
            <w:right w:w="108" w:type="dxa"/>
          </w:tblCellMar>
        </w:tblPrEx>
        <w:trPr>
          <w:trHeight w:val="4271" w:hRule="atLeast"/>
        </w:trPr>
        <w:tc>
          <w:tcPr>
            <w:tcW w:w="602"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7</w:t>
            </w:r>
          </w:p>
        </w:tc>
        <w:tc>
          <w:tcPr>
            <w:tcW w:w="795"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color w:val="auto"/>
                <w:sz w:val="24"/>
                <w:szCs w:val="24"/>
                <w:highlight w:val="none"/>
                <w:lang w:eastAsia="zh-CN" w:bidi="ar"/>
              </w:rPr>
            </w:pPr>
            <w:r>
              <w:rPr>
                <w:rFonts w:hint="eastAsia" w:hAnsi="宋体" w:cs="宋体"/>
                <w:color w:val="auto"/>
                <w:sz w:val="24"/>
                <w:szCs w:val="24"/>
                <w:highlight w:val="none"/>
                <w:lang w:eastAsia="zh-CN" w:bidi="ar"/>
              </w:rPr>
              <w:t>辅材</w:t>
            </w:r>
          </w:p>
        </w:tc>
        <w:tc>
          <w:tcPr>
            <w:tcW w:w="6985"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numPr>
                <w:ilvl w:val="0"/>
                <w:numId w:val="14"/>
              </w:numPr>
              <w:kinsoku/>
              <w:wordWrap/>
              <w:overflowPunct/>
              <w:topLinePunct w:val="0"/>
              <w:autoSpaceDE/>
              <w:autoSpaceDN/>
              <w:bidi w:val="0"/>
              <w:adjustRightInd/>
              <w:snapToGrid/>
              <w:spacing w:line="340" w:lineRule="exact"/>
              <w:textAlignment w:val="auto"/>
              <w:rPr>
                <w:rFonts w:hint="eastAsia"/>
                <w:lang w:val="en-US" w:eastAsia="zh-CN"/>
              </w:rPr>
            </w:pPr>
            <w:r>
              <w:rPr>
                <w:rFonts w:hint="eastAsia"/>
                <w:lang w:val="en-US" w:eastAsia="zh-CN"/>
              </w:rPr>
              <w:t>终端电源线（国标RVV3*1.0mm²，每个摄像机11m，运维箱到摄像机）</w:t>
            </w:r>
          </w:p>
          <w:p>
            <w:pPr>
              <w:keepNext w:val="0"/>
              <w:keepLines w:val="0"/>
              <w:pageBreakBefore w:val="0"/>
              <w:widowControl/>
              <w:numPr>
                <w:ilvl w:val="0"/>
                <w:numId w:val="14"/>
              </w:numPr>
              <w:kinsoku/>
              <w:wordWrap/>
              <w:overflowPunct/>
              <w:topLinePunct w:val="0"/>
              <w:autoSpaceDE/>
              <w:autoSpaceDN/>
              <w:bidi w:val="0"/>
              <w:adjustRightInd/>
              <w:snapToGrid/>
              <w:spacing w:line="340" w:lineRule="exact"/>
              <w:textAlignment w:val="auto"/>
              <w:rPr>
                <w:rFonts w:hint="eastAsia"/>
                <w:lang w:val="en-US" w:eastAsia="zh-CN"/>
              </w:rPr>
            </w:pPr>
            <w:r>
              <w:rPr>
                <w:rFonts w:hint="eastAsia"/>
                <w:lang w:val="en-US" w:eastAsia="zh-CN"/>
              </w:rPr>
              <w:t>超五类非屏蔽双绞线,每个摄像机12m</w:t>
            </w:r>
          </w:p>
          <w:p>
            <w:pPr>
              <w:keepNext w:val="0"/>
              <w:keepLines w:val="0"/>
              <w:pageBreakBefore w:val="0"/>
              <w:widowControl/>
              <w:numPr>
                <w:ilvl w:val="0"/>
                <w:numId w:val="14"/>
              </w:numPr>
              <w:kinsoku/>
              <w:wordWrap/>
              <w:overflowPunct/>
              <w:topLinePunct w:val="0"/>
              <w:autoSpaceDE/>
              <w:autoSpaceDN/>
              <w:bidi w:val="0"/>
              <w:adjustRightInd/>
              <w:snapToGrid/>
              <w:spacing w:line="340" w:lineRule="exact"/>
              <w:textAlignment w:val="auto"/>
              <w:rPr>
                <w:rFonts w:hint="default"/>
                <w:lang w:val="en-US" w:eastAsia="zh-CN"/>
              </w:rPr>
            </w:pPr>
            <w:r>
              <w:rPr>
                <w:rFonts w:hint="default"/>
                <w:lang w:val="en-US" w:eastAsia="zh-CN"/>
              </w:rPr>
              <w:t xml:space="preserve">超五类跳线50cm，二合一防雷器到ONU设备 </w:t>
            </w:r>
          </w:p>
          <w:p>
            <w:pPr>
              <w:keepNext w:val="0"/>
              <w:keepLines w:val="0"/>
              <w:pageBreakBefore w:val="0"/>
              <w:widowControl/>
              <w:numPr>
                <w:ilvl w:val="0"/>
                <w:numId w:val="14"/>
              </w:numPr>
              <w:kinsoku/>
              <w:wordWrap/>
              <w:overflowPunct/>
              <w:topLinePunct w:val="0"/>
              <w:autoSpaceDE/>
              <w:autoSpaceDN/>
              <w:bidi w:val="0"/>
              <w:adjustRightInd/>
              <w:snapToGrid/>
              <w:spacing w:line="340" w:lineRule="exact"/>
              <w:textAlignment w:val="auto"/>
              <w:rPr>
                <w:rFonts w:hint="eastAsia"/>
                <w:lang w:val="en-US" w:eastAsia="zh-CN"/>
              </w:rPr>
            </w:pPr>
            <w:r>
              <w:rPr>
                <w:rFonts w:hint="eastAsia"/>
                <w:lang w:val="en-US" w:eastAsia="zh-CN"/>
              </w:rPr>
              <w:t>钢扎带（用于固定摄像机和补光灯的支架，规格12*400mm，  1196*2微卡补光灯，摄像机1398*2）</w:t>
            </w:r>
          </w:p>
          <w:p>
            <w:pPr>
              <w:keepNext w:val="0"/>
              <w:keepLines w:val="0"/>
              <w:pageBreakBefore w:val="0"/>
              <w:widowControl/>
              <w:numPr>
                <w:ilvl w:val="0"/>
                <w:numId w:val="14"/>
              </w:numPr>
              <w:kinsoku/>
              <w:wordWrap/>
              <w:overflowPunct/>
              <w:topLinePunct w:val="0"/>
              <w:autoSpaceDE/>
              <w:autoSpaceDN/>
              <w:bidi w:val="0"/>
              <w:adjustRightInd/>
              <w:snapToGrid/>
              <w:spacing w:line="340" w:lineRule="exact"/>
              <w:textAlignment w:val="auto"/>
              <w:rPr>
                <w:rFonts w:hint="default"/>
                <w:lang w:val="en-US" w:eastAsia="zh-CN"/>
              </w:rPr>
            </w:pPr>
            <w:r>
              <w:rPr>
                <w:rFonts w:hint="default"/>
                <w:lang w:val="en-US" w:eastAsia="zh-CN"/>
              </w:rPr>
              <w:t>金属软管国标φ32，80cm</w:t>
            </w:r>
          </w:p>
          <w:p>
            <w:pPr>
              <w:keepNext w:val="0"/>
              <w:keepLines w:val="0"/>
              <w:pageBreakBefore w:val="0"/>
              <w:widowControl/>
              <w:numPr>
                <w:ilvl w:val="0"/>
                <w:numId w:val="14"/>
              </w:numPr>
              <w:kinsoku/>
              <w:wordWrap/>
              <w:overflowPunct/>
              <w:topLinePunct w:val="0"/>
              <w:autoSpaceDE/>
              <w:autoSpaceDN/>
              <w:bidi w:val="0"/>
              <w:adjustRightInd/>
              <w:snapToGrid/>
              <w:spacing w:line="340" w:lineRule="exact"/>
              <w:textAlignment w:val="auto"/>
              <w:rPr>
                <w:rFonts w:hint="eastAsia"/>
                <w:lang w:val="en-US" w:eastAsia="zh-CN"/>
              </w:rPr>
            </w:pPr>
            <w:r>
              <w:rPr>
                <w:rFonts w:hint="eastAsia"/>
                <w:lang w:val="en-US" w:eastAsia="zh-CN"/>
              </w:rPr>
              <w:t>PE管国标φ40，5m</w:t>
            </w:r>
          </w:p>
          <w:p>
            <w:pPr>
              <w:keepNext w:val="0"/>
              <w:keepLines w:val="0"/>
              <w:pageBreakBefore w:val="0"/>
              <w:widowControl/>
              <w:numPr>
                <w:ilvl w:val="0"/>
                <w:numId w:val="14"/>
              </w:numPr>
              <w:kinsoku/>
              <w:wordWrap/>
              <w:overflowPunct/>
              <w:topLinePunct w:val="0"/>
              <w:autoSpaceDE/>
              <w:autoSpaceDN/>
              <w:bidi w:val="0"/>
              <w:adjustRightInd/>
              <w:snapToGrid/>
              <w:spacing w:line="340" w:lineRule="exact"/>
              <w:textAlignment w:val="auto"/>
              <w:rPr>
                <w:rFonts w:hint="default"/>
                <w:lang w:val="en-US" w:eastAsia="zh-CN"/>
              </w:rPr>
            </w:pPr>
            <w:r>
              <w:rPr>
                <w:rFonts w:hint="default"/>
                <w:lang w:val="en-US" w:eastAsia="zh-CN"/>
              </w:rPr>
              <w:t>五类水晶头</w:t>
            </w:r>
          </w:p>
          <w:p>
            <w:pPr>
              <w:keepNext w:val="0"/>
              <w:keepLines w:val="0"/>
              <w:pageBreakBefore w:val="0"/>
              <w:widowControl/>
              <w:numPr>
                <w:ilvl w:val="0"/>
                <w:numId w:val="14"/>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 xml:space="preserve">杆子穿线钢丝10m、PE管穿线钢丝8m米和宽胶带（黄色，封堵PE管）、固定地龙的铁丝、租用基坑围挡,防水胶布、扎带、木龙骨等  </w:t>
            </w:r>
          </w:p>
        </w:tc>
        <w:tc>
          <w:tcPr>
            <w:tcW w:w="618" w:type="dxa"/>
            <w:tcBorders>
              <w:top w:val="single" w:color="auto" w:sz="6" w:space="0"/>
              <w:left w:val="nil"/>
              <w:bottom w:val="single" w:color="auto" w:sz="6" w:space="0"/>
              <w:right w:val="single" w:color="auto" w:sz="6" w:space="0"/>
            </w:tcBorders>
            <w:noWrap w:val="0"/>
            <w:vAlign w:val="center"/>
          </w:tcPr>
          <w:p>
            <w:pPr>
              <w:jc w:val="center"/>
              <w:rPr>
                <w:rFonts w:hint="default" w:ascii="宋体" w:hAnsi="宋体" w:eastAsia="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100</w:t>
            </w:r>
          </w:p>
        </w:tc>
        <w:tc>
          <w:tcPr>
            <w:tcW w:w="563"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bCs/>
                <w:color w:val="auto"/>
                <w:sz w:val="24"/>
                <w:szCs w:val="24"/>
                <w:highlight w:val="none"/>
                <w:lang w:eastAsia="zh-CN" w:bidi="ar"/>
              </w:rPr>
            </w:pPr>
            <w:r>
              <w:rPr>
                <w:rFonts w:hint="eastAsia" w:hAnsi="宋体" w:cs="宋体"/>
                <w:bCs/>
                <w:color w:val="auto"/>
                <w:sz w:val="24"/>
                <w:szCs w:val="24"/>
                <w:highlight w:val="none"/>
                <w:lang w:eastAsia="zh-CN" w:bidi="ar"/>
              </w:rPr>
              <w:t>套</w:t>
            </w:r>
          </w:p>
        </w:tc>
      </w:tr>
      <w:tr>
        <w:tblPrEx>
          <w:tblCellMar>
            <w:top w:w="0" w:type="dxa"/>
            <w:left w:w="108" w:type="dxa"/>
            <w:bottom w:w="0" w:type="dxa"/>
            <w:right w:w="108" w:type="dxa"/>
          </w:tblCellMar>
        </w:tblPrEx>
        <w:trPr>
          <w:trHeight w:val="496" w:hRule="atLeast"/>
        </w:trPr>
        <w:tc>
          <w:tcPr>
            <w:tcW w:w="602"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8</w:t>
            </w:r>
          </w:p>
        </w:tc>
        <w:tc>
          <w:tcPr>
            <w:tcW w:w="795"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color w:val="auto"/>
                <w:sz w:val="24"/>
                <w:szCs w:val="24"/>
                <w:highlight w:val="none"/>
                <w:lang w:eastAsia="zh-CN" w:bidi="ar"/>
              </w:rPr>
            </w:pPr>
            <w:r>
              <w:rPr>
                <w:rFonts w:hint="eastAsia" w:hAnsi="宋体" w:cs="宋体"/>
                <w:color w:val="auto"/>
                <w:sz w:val="24"/>
                <w:szCs w:val="24"/>
                <w:highlight w:val="none"/>
                <w:lang w:eastAsia="zh-CN" w:bidi="ar"/>
              </w:rPr>
              <w:t>市电接引</w:t>
            </w:r>
          </w:p>
        </w:tc>
        <w:tc>
          <w:tcPr>
            <w:tcW w:w="6985"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numPr>
                <w:ilvl w:val="0"/>
                <w:numId w:val="15"/>
              </w:numPr>
              <w:kinsoku/>
              <w:wordWrap/>
              <w:overflowPunct/>
              <w:topLinePunct w:val="0"/>
              <w:autoSpaceDE/>
              <w:autoSpaceDN/>
              <w:bidi w:val="0"/>
              <w:adjustRightInd/>
              <w:snapToGrid/>
              <w:spacing w:line="340" w:lineRule="exact"/>
              <w:textAlignment w:val="auto"/>
              <w:rPr>
                <w:rFonts w:hint="eastAsia"/>
                <w:lang w:val="en-US" w:eastAsia="zh-CN"/>
              </w:rPr>
            </w:pPr>
            <w:r>
              <w:rPr>
                <w:rFonts w:hint="eastAsia" w:ascii="宋体" w:hAnsi="宋体" w:eastAsia="宋体" w:cs="宋体"/>
                <w:color w:val="auto"/>
                <w:kern w:val="2"/>
                <w:sz w:val="24"/>
                <w:szCs w:val="24"/>
                <w:lang w:val="en-US" w:eastAsia="zh-CN" w:bidi="ar-SA"/>
              </w:rPr>
              <w:t>含线缆、空开、智能电表及辅助安装材料等</w:t>
            </w:r>
            <w:r>
              <w:rPr>
                <w:rFonts w:hint="eastAsia" w:hAnsi="宋体" w:cs="宋体"/>
                <w:color w:val="auto"/>
                <w:kern w:val="2"/>
                <w:sz w:val="24"/>
                <w:szCs w:val="24"/>
                <w:lang w:val="en-US" w:eastAsia="zh-CN" w:bidi="ar-SA"/>
              </w:rPr>
              <w:t>，</w:t>
            </w:r>
            <w:r>
              <w:rPr>
                <w:rFonts w:hint="eastAsia"/>
                <w:lang w:val="en-US" w:eastAsia="zh-CN"/>
              </w:rPr>
              <w:t>暂定金额20.00万，按20.00万进行投标。</w:t>
            </w:r>
          </w:p>
          <w:p>
            <w:pPr>
              <w:pStyle w:val="2"/>
              <w:numPr>
                <w:ilvl w:val="0"/>
                <w:numId w:val="15"/>
              </w:numPr>
              <w:ind w:left="0" w:leftChars="0" w:firstLine="0" w:firstLineChars="0"/>
              <w:rPr>
                <w:rFonts w:hint="eastAsia" w:ascii="宋体" w:hAnsi="Times New Roman" w:eastAsia="宋体" w:cs="Times New Roman"/>
                <w:sz w:val="24"/>
                <w:szCs w:val="20"/>
                <w:lang w:val="en-US" w:eastAsia="zh-CN" w:bidi="ar-SA"/>
              </w:rPr>
            </w:pPr>
            <w:r>
              <w:rPr>
                <w:rFonts w:hint="eastAsia" w:ascii="宋体" w:hAnsi="Times New Roman" w:eastAsia="宋体" w:cs="Times New Roman"/>
                <w:sz w:val="24"/>
                <w:szCs w:val="20"/>
                <w:lang w:val="en-US" w:eastAsia="zh-CN" w:bidi="ar-SA"/>
              </w:rPr>
              <w:t>以满足实际需要及采购人要求为准</w:t>
            </w:r>
          </w:p>
          <w:p>
            <w:pPr>
              <w:pStyle w:val="4"/>
              <w:numPr>
                <w:ilvl w:val="0"/>
                <w:numId w:val="0"/>
              </w:numPr>
              <w:ind w:left="0" w:leftChars="0" w:firstLine="0" w:firstLineChars="0"/>
              <w:rPr>
                <w:rFonts w:hint="eastAsia"/>
                <w:lang w:val="en-US" w:eastAsia="zh-CN"/>
              </w:rPr>
            </w:pPr>
            <w:r>
              <w:rPr>
                <w:rFonts w:hint="eastAsia" w:cs="Times New Roman"/>
                <w:sz w:val="24"/>
                <w:szCs w:val="20"/>
                <w:lang w:val="en-US" w:eastAsia="zh-CN" w:bidi="ar-SA"/>
              </w:rPr>
              <w:t>3、</w:t>
            </w:r>
            <w:r>
              <w:rPr>
                <w:rFonts w:hint="eastAsia" w:ascii="宋体" w:hAnsi="Times New Roman" w:eastAsia="宋体" w:cs="Times New Roman"/>
                <w:sz w:val="24"/>
                <w:szCs w:val="20"/>
                <w:lang w:val="en-US" w:eastAsia="zh-CN" w:bidi="ar-SA"/>
              </w:rPr>
              <w:t>最终结算价以审计或验收结论为准</w:t>
            </w:r>
          </w:p>
        </w:tc>
        <w:tc>
          <w:tcPr>
            <w:tcW w:w="618"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1</w:t>
            </w:r>
          </w:p>
        </w:tc>
        <w:tc>
          <w:tcPr>
            <w:tcW w:w="563"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bCs/>
                <w:color w:val="auto"/>
                <w:sz w:val="24"/>
                <w:szCs w:val="24"/>
                <w:highlight w:val="none"/>
                <w:lang w:eastAsia="zh-CN" w:bidi="ar"/>
              </w:rPr>
            </w:pPr>
            <w:r>
              <w:rPr>
                <w:rFonts w:hint="eastAsia" w:hAnsi="宋体" w:cs="宋体"/>
                <w:sz w:val="24"/>
                <w:szCs w:val="24"/>
                <w:lang w:eastAsia="zh-CN"/>
              </w:rPr>
              <w:t>项</w:t>
            </w:r>
          </w:p>
        </w:tc>
      </w:tr>
      <w:tr>
        <w:tblPrEx>
          <w:tblCellMar>
            <w:top w:w="0" w:type="dxa"/>
            <w:left w:w="108" w:type="dxa"/>
            <w:bottom w:w="0" w:type="dxa"/>
            <w:right w:w="108" w:type="dxa"/>
          </w:tblCellMar>
        </w:tblPrEx>
        <w:trPr>
          <w:trHeight w:val="489" w:hRule="atLeast"/>
        </w:trPr>
        <w:tc>
          <w:tcPr>
            <w:tcW w:w="9563" w:type="dxa"/>
            <w:gridSpan w:val="5"/>
            <w:tcBorders>
              <w:top w:val="single" w:color="auto" w:sz="6" w:space="0"/>
              <w:left w:val="single" w:color="auto" w:sz="6" w:space="0"/>
              <w:bottom w:val="single" w:color="auto" w:sz="6" w:space="0"/>
              <w:right w:val="single" w:color="auto" w:sz="6" w:space="0"/>
            </w:tcBorders>
            <w:noWrap w:val="0"/>
            <w:vAlign w:val="center"/>
          </w:tcPr>
          <w:p>
            <w:pPr>
              <w:jc w:val="center"/>
              <w:rPr>
                <w:rFonts w:hint="eastAsia" w:hAnsi="宋体" w:cs="宋体"/>
                <w:bCs/>
                <w:color w:val="auto"/>
                <w:sz w:val="24"/>
                <w:szCs w:val="24"/>
                <w:highlight w:val="none"/>
                <w:lang w:eastAsia="zh-CN" w:bidi="ar"/>
              </w:rPr>
            </w:pPr>
            <w:r>
              <w:rPr>
                <w:rFonts w:hint="eastAsia" w:hAnsi="宋体" w:cs="宋体"/>
                <w:b/>
                <w:bCs/>
                <w:color w:val="auto"/>
                <w:sz w:val="24"/>
                <w:szCs w:val="24"/>
                <w:highlight w:val="none"/>
                <w:lang w:eastAsia="zh-CN" w:bidi="ar"/>
              </w:rPr>
              <w:t>指挥中心装修</w:t>
            </w:r>
          </w:p>
        </w:tc>
      </w:tr>
      <w:tr>
        <w:tblPrEx>
          <w:tblCellMar>
            <w:top w:w="0" w:type="dxa"/>
            <w:left w:w="108" w:type="dxa"/>
            <w:bottom w:w="0" w:type="dxa"/>
            <w:right w:w="108" w:type="dxa"/>
          </w:tblCellMar>
        </w:tblPrEx>
        <w:trPr>
          <w:trHeight w:val="2968" w:hRule="atLeast"/>
        </w:trPr>
        <w:tc>
          <w:tcPr>
            <w:tcW w:w="602"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1</w:t>
            </w:r>
          </w:p>
        </w:tc>
        <w:tc>
          <w:tcPr>
            <w:tcW w:w="795"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color w:val="auto"/>
                <w:sz w:val="24"/>
                <w:szCs w:val="24"/>
                <w:highlight w:val="none"/>
                <w:lang w:eastAsia="zh-CN" w:bidi="ar"/>
              </w:rPr>
            </w:pPr>
            <w:r>
              <w:rPr>
                <w:rFonts w:hint="eastAsia" w:hAnsi="宋体" w:cs="宋体"/>
                <w:color w:val="auto"/>
                <w:sz w:val="24"/>
                <w:szCs w:val="24"/>
                <w:highlight w:val="none"/>
                <w:lang w:eastAsia="zh-CN" w:bidi="ar"/>
              </w:rPr>
              <w:t>指挥中心装修</w:t>
            </w:r>
          </w:p>
        </w:tc>
        <w:tc>
          <w:tcPr>
            <w:tcW w:w="6985"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numPr>
                <w:ilvl w:val="0"/>
                <w:numId w:val="16"/>
              </w:numPr>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铝合金天棚348</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600MM*600MM*0.8MM、微孔滚涂，包含天</w:t>
            </w:r>
            <w:r>
              <w:rPr>
                <w:rFonts w:hint="eastAsia" w:hAnsi="宋体" w:cs="宋体"/>
                <w:sz w:val="24"/>
                <w:szCs w:val="24"/>
                <w:lang w:val="en-US" w:eastAsia="zh-CN"/>
              </w:rPr>
              <w:t xml:space="preserve">  </w:t>
            </w:r>
            <w:r>
              <w:rPr>
                <w:rFonts w:hint="eastAsia" w:ascii="宋体" w:hAnsi="宋体" w:eastAsia="宋体" w:cs="宋体"/>
                <w:sz w:val="24"/>
                <w:szCs w:val="24"/>
                <w:lang w:val="en-US" w:eastAsia="zh-CN"/>
              </w:rPr>
              <w:t>棚龙骨等其它配件</w:t>
            </w:r>
          </w:p>
          <w:p>
            <w:pPr>
              <w:pStyle w:val="2"/>
              <w:keepNext w:val="0"/>
              <w:keepLines w:val="0"/>
              <w:pageBreakBefore w:val="0"/>
              <w:widowControl/>
              <w:numPr>
                <w:ilvl w:val="0"/>
                <w:numId w:val="16"/>
              </w:numPr>
              <w:kinsoku/>
              <w:wordWrap/>
              <w:overflowPunct/>
              <w:topLinePunct w:val="0"/>
              <w:autoSpaceDE/>
              <w:autoSpaceDN/>
              <w:bidi w:val="0"/>
              <w:adjustRightInd/>
              <w:snapToGrid/>
              <w:spacing w:line="340" w:lineRule="exact"/>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大屏隔墙及粉刷，轻钢龙骨隔断，石膏板饰面8</w:t>
            </w:r>
            <w:r>
              <w:rPr>
                <w:rFonts w:hint="eastAsia" w:ascii="宋体" w:hAnsi="宋体" w:eastAsia="宋体" w:cs="宋体"/>
                <w:sz w:val="24"/>
                <w:szCs w:val="24"/>
                <w:lang w:eastAsia="zh-CN"/>
              </w:rPr>
              <w:t>㎡，定制700*2000暗门一套，高100mm,0.8拉丝不锈钢+细木工板踢脚线</w:t>
            </w:r>
            <w:r>
              <w:rPr>
                <w:rFonts w:hint="eastAsia" w:ascii="宋体" w:hAnsi="宋体" w:eastAsia="宋体" w:cs="宋体"/>
                <w:sz w:val="24"/>
                <w:szCs w:val="24"/>
                <w:lang w:val="en-US" w:eastAsia="zh-CN"/>
              </w:rPr>
              <w:t>24米，乳胶漆墙面粉刷348</w:t>
            </w:r>
            <w:r>
              <w:rPr>
                <w:rFonts w:hint="eastAsia" w:ascii="宋体" w:hAnsi="宋体" w:eastAsia="宋体" w:cs="宋体"/>
                <w:sz w:val="24"/>
                <w:szCs w:val="24"/>
                <w:lang w:eastAsia="zh-CN"/>
              </w:rPr>
              <w:t>㎡</w:t>
            </w:r>
          </w:p>
          <w:p>
            <w:pPr>
              <w:pStyle w:val="4"/>
              <w:keepNext w:val="0"/>
              <w:keepLines w:val="0"/>
              <w:pageBreakBefore w:val="0"/>
              <w:widowControl/>
              <w:numPr>
                <w:ilvl w:val="0"/>
                <w:numId w:val="16"/>
              </w:numPr>
              <w:kinsoku/>
              <w:wordWrap/>
              <w:overflowPunct/>
              <w:topLinePunct w:val="0"/>
              <w:autoSpaceDE/>
              <w:autoSpaceDN/>
              <w:bidi w:val="0"/>
              <w:adjustRightInd/>
              <w:snapToGrid/>
              <w:spacing w:line="340" w:lineRule="exact"/>
              <w:ind w:left="0" w:leftChars="0" w:firstLine="0" w:firstLineChars="0"/>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12mm厚钢化玻璃隔断48</w:t>
            </w:r>
            <w:r>
              <w:rPr>
                <w:rFonts w:hint="eastAsia" w:ascii="宋体" w:hAnsi="宋体" w:eastAsia="宋体" w:cs="宋体"/>
                <w:color w:val="000000" w:themeColor="text1"/>
                <w:sz w:val="24"/>
                <w:szCs w:val="24"/>
                <w:lang w:eastAsia="zh-CN"/>
              </w:rPr>
              <w:t>㎡，含隔墙支架，12mm厚钢化玻璃门一套1500*2100  含门上五金及不锈钢拉手</w:t>
            </w:r>
          </w:p>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lang w:val="en-US" w:eastAsia="zh-CN"/>
              </w:rPr>
            </w:pPr>
            <w:r>
              <w:rPr>
                <w:rFonts w:hint="eastAsia" w:ascii="宋体" w:hAnsi="宋体" w:eastAsia="宋体" w:cs="宋体"/>
                <w:bCs/>
                <w:color w:val="000000" w:themeColor="text1"/>
                <w:sz w:val="24"/>
                <w:szCs w:val="24"/>
                <w:highlight w:val="none"/>
                <w:lang w:val="en-US" w:eastAsia="zh-CN" w:bidi="ar"/>
              </w:rPr>
              <w:t>4、制作窗帘</w:t>
            </w:r>
          </w:p>
        </w:tc>
        <w:tc>
          <w:tcPr>
            <w:tcW w:w="618" w:type="dxa"/>
            <w:tcBorders>
              <w:top w:val="single" w:color="auto" w:sz="6" w:space="0"/>
              <w:left w:val="nil"/>
              <w:bottom w:val="single" w:color="auto" w:sz="6" w:space="0"/>
              <w:right w:val="single" w:color="auto" w:sz="6" w:space="0"/>
            </w:tcBorders>
            <w:noWrap w:val="0"/>
            <w:vAlign w:val="center"/>
          </w:tcPr>
          <w:p>
            <w:pPr>
              <w:jc w:val="center"/>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1</w:t>
            </w:r>
          </w:p>
        </w:tc>
        <w:tc>
          <w:tcPr>
            <w:tcW w:w="563"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bCs/>
                <w:color w:val="auto"/>
                <w:sz w:val="24"/>
                <w:szCs w:val="24"/>
                <w:highlight w:val="none"/>
                <w:lang w:eastAsia="zh-CN" w:bidi="ar"/>
              </w:rPr>
            </w:pPr>
            <w:r>
              <w:rPr>
                <w:rFonts w:hint="eastAsia" w:hAnsi="宋体" w:cs="宋体"/>
                <w:bCs/>
                <w:color w:val="auto"/>
                <w:sz w:val="24"/>
                <w:szCs w:val="24"/>
                <w:highlight w:val="none"/>
                <w:lang w:eastAsia="zh-CN" w:bidi="ar"/>
              </w:rPr>
              <w:t>项</w:t>
            </w:r>
          </w:p>
        </w:tc>
      </w:tr>
      <w:tr>
        <w:tblPrEx>
          <w:tblCellMar>
            <w:top w:w="0" w:type="dxa"/>
            <w:left w:w="108" w:type="dxa"/>
            <w:bottom w:w="0" w:type="dxa"/>
            <w:right w:w="108" w:type="dxa"/>
          </w:tblCellMar>
        </w:tblPrEx>
        <w:trPr>
          <w:trHeight w:val="590" w:hRule="atLeast"/>
        </w:trPr>
        <w:tc>
          <w:tcPr>
            <w:tcW w:w="9563" w:type="dxa"/>
            <w:gridSpan w:val="5"/>
            <w:tcBorders>
              <w:top w:val="single" w:color="auto" w:sz="6" w:space="0"/>
              <w:left w:val="single" w:color="auto" w:sz="6" w:space="0"/>
              <w:bottom w:val="single" w:color="auto" w:sz="6" w:space="0"/>
              <w:right w:val="single" w:color="auto" w:sz="6" w:space="0"/>
            </w:tcBorders>
            <w:noWrap w:val="0"/>
            <w:vAlign w:val="center"/>
          </w:tcPr>
          <w:p>
            <w:pPr>
              <w:jc w:val="center"/>
              <w:rPr>
                <w:rFonts w:hint="eastAsia" w:hAnsi="宋体" w:cs="宋体"/>
                <w:bCs/>
                <w:color w:val="auto"/>
                <w:sz w:val="24"/>
                <w:szCs w:val="24"/>
                <w:highlight w:val="none"/>
                <w:lang w:eastAsia="zh-CN" w:bidi="ar"/>
              </w:rPr>
            </w:pPr>
            <w:r>
              <w:rPr>
                <w:rFonts w:hint="eastAsia" w:hAnsi="宋体" w:cs="宋体"/>
                <w:b/>
                <w:bCs w:val="0"/>
                <w:color w:val="auto"/>
                <w:sz w:val="24"/>
                <w:szCs w:val="24"/>
                <w:highlight w:val="none"/>
                <w:lang w:eastAsia="zh-CN" w:bidi="ar"/>
              </w:rPr>
              <w:t>办公家具</w:t>
            </w:r>
          </w:p>
        </w:tc>
      </w:tr>
      <w:tr>
        <w:tblPrEx>
          <w:tblCellMar>
            <w:top w:w="0" w:type="dxa"/>
            <w:left w:w="108" w:type="dxa"/>
            <w:bottom w:w="0" w:type="dxa"/>
            <w:right w:w="108" w:type="dxa"/>
          </w:tblCellMar>
        </w:tblPrEx>
        <w:trPr>
          <w:trHeight w:val="4761" w:hRule="atLeast"/>
        </w:trPr>
        <w:tc>
          <w:tcPr>
            <w:tcW w:w="602"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1</w:t>
            </w:r>
          </w:p>
        </w:tc>
        <w:tc>
          <w:tcPr>
            <w:tcW w:w="795"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color w:val="auto"/>
                <w:sz w:val="24"/>
                <w:szCs w:val="24"/>
                <w:highlight w:val="none"/>
                <w:lang w:eastAsia="zh-CN" w:bidi="ar"/>
              </w:rPr>
            </w:pPr>
            <w:r>
              <w:rPr>
                <w:rFonts w:hint="eastAsia"/>
              </w:rPr>
              <w:t>操作台</w:t>
            </w:r>
          </w:p>
        </w:tc>
        <w:tc>
          <w:tcPr>
            <w:tcW w:w="6985" w:type="dxa"/>
            <w:tcBorders>
              <w:top w:val="single" w:color="auto" w:sz="6" w:space="0"/>
              <w:left w:val="nil"/>
              <w:bottom w:val="single" w:color="auto" w:sz="6" w:space="0"/>
              <w:right w:val="single" w:color="auto" w:sz="6" w:space="0"/>
            </w:tcBorders>
            <w:noWrap w:val="0"/>
            <w:vAlign w:val="center"/>
          </w:tcPr>
          <w:p>
            <w:pPr>
              <w:pStyle w:val="2"/>
              <w:keepNext w:val="0"/>
              <w:keepLines w:val="0"/>
              <w:pageBreakBefore w:val="0"/>
              <w:widowControl/>
              <w:numPr>
                <w:ilvl w:val="0"/>
                <w:numId w:val="0"/>
              </w:numPr>
              <w:kinsoku/>
              <w:wordWrap/>
              <w:overflowPunct/>
              <w:topLinePunct w:val="0"/>
              <w:autoSpaceDE/>
              <w:autoSpaceDN/>
              <w:bidi w:val="0"/>
              <w:adjustRightInd/>
              <w:snapToGrid/>
              <w:spacing w:line="340" w:lineRule="exact"/>
              <w:ind w:leftChars="0"/>
              <w:textAlignment w:val="auto"/>
              <w:rPr>
                <w:rFonts w:hint="default"/>
                <w:sz w:val="24"/>
                <w:szCs w:val="24"/>
                <w:lang w:val="en-US" w:eastAsia="zh-CN"/>
              </w:rPr>
            </w:pPr>
            <w:r>
              <w:rPr>
                <w:rFonts w:hint="eastAsia"/>
                <w:sz w:val="24"/>
                <w:szCs w:val="24"/>
                <w:lang w:val="en-US" w:eastAsia="zh-CN"/>
              </w:rPr>
              <w:t>1、</w:t>
            </w:r>
            <w:r>
              <w:rPr>
                <w:rFonts w:hint="default"/>
                <w:sz w:val="24"/>
                <w:szCs w:val="24"/>
                <w:lang w:val="en-US" w:eastAsia="zh-CN"/>
              </w:rPr>
              <w:t>7000*900*750，框架结构：内部主框架为1.5mm冷轧钢板，台面支撑件为1.5mm冷轧钢板，防静电喷塑处理。全拼装结构，可单独使用，也可多台连接。</w:t>
            </w:r>
          </w:p>
          <w:p>
            <w:pPr>
              <w:pStyle w:val="2"/>
              <w:keepNext w:val="0"/>
              <w:keepLines w:val="0"/>
              <w:pageBreakBefore w:val="0"/>
              <w:widowControl/>
              <w:numPr>
                <w:ilvl w:val="0"/>
                <w:numId w:val="0"/>
              </w:numPr>
              <w:kinsoku/>
              <w:wordWrap/>
              <w:overflowPunct/>
              <w:topLinePunct w:val="0"/>
              <w:autoSpaceDE/>
              <w:autoSpaceDN/>
              <w:bidi w:val="0"/>
              <w:adjustRightInd/>
              <w:snapToGrid/>
              <w:spacing w:line="340" w:lineRule="exact"/>
              <w:ind w:leftChars="0"/>
              <w:textAlignment w:val="auto"/>
              <w:rPr>
                <w:rFonts w:hint="default"/>
                <w:sz w:val="24"/>
                <w:szCs w:val="24"/>
                <w:lang w:val="en-US" w:eastAsia="zh-CN"/>
              </w:rPr>
            </w:pPr>
            <w:r>
              <w:rPr>
                <w:rFonts w:hint="eastAsia"/>
                <w:sz w:val="24"/>
                <w:szCs w:val="24"/>
                <w:lang w:val="en-US" w:eastAsia="zh-CN"/>
              </w:rPr>
              <w:t>2、</w:t>
            </w:r>
            <w:r>
              <w:rPr>
                <w:rFonts w:hint="default"/>
                <w:sz w:val="24"/>
                <w:szCs w:val="24"/>
                <w:lang w:val="en-US" w:eastAsia="zh-CN"/>
              </w:rPr>
              <w:t>台面板：高密度板烤漆，整体厚度不低于25mm，大面板之间需做隐藏式箭头锁链接，整体连接后必须平整光滑无缝隙。</w:t>
            </w:r>
          </w:p>
          <w:p>
            <w:pPr>
              <w:pStyle w:val="2"/>
              <w:keepNext w:val="0"/>
              <w:keepLines w:val="0"/>
              <w:pageBreakBefore w:val="0"/>
              <w:widowControl/>
              <w:numPr>
                <w:ilvl w:val="0"/>
                <w:numId w:val="0"/>
              </w:numPr>
              <w:kinsoku/>
              <w:wordWrap/>
              <w:overflowPunct/>
              <w:topLinePunct w:val="0"/>
              <w:autoSpaceDE/>
              <w:autoSpaceDN/>
              <w:bidi w:val="0"/>
              <w:adjustRightInd/>
              <w:snapToGrid/>
              <w:spacing w:line="340" w:lineRule="exact"/>
              <w:ind w:leftChars="0"/>
              <w:textAlignment w:val="auto"/>
              <w:rPr>
                <w:rFonts w:hint="default"/>
                <w:sz w:val="24"/>
                <w:szCs w:val="24"/>
                <w:lang w:val="en-US" w:eastAsia="zh-CN"/>
              </w:rPr>
            </w:pPr>
            <w:r>
              <w:rPr>
                <w:rFonts w:hint="eastAsia"/>
                <w:sz w:val="24"/>
                <w:szCs w:val="24"/>
                <w:lang w:val="en-US" w:eastAsia="zh-CN"/>
              </w:rPr>
              <w:t>3、</w:t>
            </w:r>
            <w:r>
              <w:rPr>
                <w:rFonts w:hint="default"/>
                <w:sz w:val="24"/>
                <w:szCs w:val="24"/>
                <w:lang w:val="en-US" w:eastAsia="zh-CN"/>
              </w:rPr>
              <w:t>台面边缘：台面边缘采用烤漆套色（警蓝），保证台面边位的平整性和可靠力度，确保工作人员长期工作的舒适度，避免疲劳及损伤肢体。</w:t>
            </w:r>
          </w:p>
          <w:p>
            <w:pPr>
              <w:pStyle w:val="2"/>
              <w:keepNext w:val="0"/>
              <w:keepLines w:val="0"/>
              <w:pageBreakBefore w:val="0"/>
              <w:widowControl/>
              <w:numPr>
                <w:ilvl w:val="0"/>
                <w:numId w:val="0"/>
              </w:numPr>
              <w:kinsoku/>
              <w:wordWrap/>
              <w:overflowPunct/>
              <w:topLinePunct w:val="0"/>
              <w:autoSpaceDE/>
              <w:autoSpaceDN/>
              <w:bidi w:val="0"/>
              <w:adjustRightInd/>
              <w:snapToGrid/>
              <w:spacing w:line="340" w:lineRule="exact"/>
              <w:ind w:leftChars="0"/>
              <w:textAlignment w:val="auto"/>
              <w:rPr>
                <w:rFonts w:hint="default"/>
                <w:sz w:val="24"/>
                <w:szCs w:val="24"/>
                <w:lang w:val="en-US" w:eastAsia="zh-CN"/>
              </w:rPr>
            </w:pPr>
            <w:r>
              <w:rPr>
                <w:rFonts w:hint="eastAsia"/>
                <w:sz w:val="24"/>
                <w:szCs w:val="24"/>
                <w:lang w:val="en-US" w:eastAsia="zh-CN"/>
              </w:rPr>
              <w:t>4、</w:t>
            </w:r>
            <w:r>
              <w:rPr>
                <w:rFonts w:hint="default"/>
                <w:sz w:val="24"/>
                <w:szCs w:val="24"/>
                <w:lang w:val="en-US" w:eastAsia="zh-CN"/>
              </w:rPr>
              <w:t xml:space="preserve">后背板为航空铝型材材质，每根型材经过高压喷砂，酸洗除锈。再经过静电喷涂，高温加热使桌面整洁，进线灵活方便。 </w:t>
            </w:r>
          </w:p>
          <w:p>
            <w:pPr>
              <w:pStyle w:val="2"/>
              <w:keepNext w:val="0"/>
              <w:keepLines w:val="0"/>
              <w:pageBreakBefore w:val="0"/>
              <w:widowControl/>
              <w:numPr>
                <w:ilvl w:val="0"/>
                <w:numId w:val="0"/>
              </w:numPr>
              <w:kinsoku/>
              <w:wordWrap/>
              <w:overflowPunct/>
              <w:topLinePunct w:val="0"/>
              <w:autoSpaceDE/>
              <w:autoSpaceDN/>
              <w:bidi w:val="0"/>
              <w:adjustRightInd/>
              <w:snapToGrid/>
              <w:spacing w:line="340" w:lineRule="exact"/>
              <w:ind w:leftChars="0"/>
              <w:textAlignment w:val="auto"/>
              <w:rPr>
                <w:rFonts w:hint="default"/>
                <w:lang w:val="en-US" w:eastAsia="zh-CN"/>
              </w:rPr>
            </w:pPr>
            <w:r>
              <w:rPr>
                <w:rFonts w:hint="eastAsia"/>
                <w:sz w:val="24"/>
                <w:szCs w:val="24"/>
                <w:lang w:val="en-US" w:eastAsia="zh-CN"/>
              </w:rPr>
              <w:t>5、</w:t>
            </w:r>
            <w:r>
              <w:rPr>
                <w:rFonts w:hint="default"/>
                <w:sz w:val="24"/>
                <w:szCs w:val="24"/>
                <w:lang w:val="en-US" w:eastAsia="zh-CN"/>
              </w:rPr>
              <w:t>前后门板：均采用优质冷轧钢板。厚度均为1.0mm厚，有散热孔。全部选用防腐塑粉200°高温吸附。前后门均可开关或拆卸。</w:t>
            </w:r>
          </w:p>
        </w:tc>
        <w:tc>
          <w:tcPr>
            <w:tcW w:w="618" w:type="dxa"/>
            <w:tcBorders>
              <w:top w:val="single" w:color="auto" w:sz="6" w:space="0"/>
              <w:left w:val="nil"/>
              <w:bottom w:val="single" w:color="auto" w:sz="6" w:space="0"/>
              <w:right w:val="single" w:color="auto" w:sz="6" w:space="0"/>
            </w:tcBorders>
            <w:noWrap w:val="0"/>
            <w:vAlign w:val="center"/>
          </w:tcPr>
          <w:p>
            <w:pPr>
              <w:jc w:val="center"/>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1</w:t>
            </w:r>
          </w:p>
        </w:tc>
        <w:tc>
          <w:tcPr>
            <w:tcW w:w="563"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bCs/>
                <w:color w:val="auto"/>
                <w:sz w:val="24"/>
                <w:szCs w:val="24"/>
                <w:highlight w:val="none"/>
                <w:lang w:eastAsia="zh-CN" w:bidi="ar"/>
              </w:rPr>
            </w:pPr>
            <w:r>
              <w:rPr>
                <w:rFonts w:hint="eastAsia" w:hAnsi="宋体" w:cs="宋体"/>
                <w:bCs/>
                <w:color w:val="auto"/>
                <w:sz w:val="24"/>
                <w:szCs w:val="24"/>
                <w:highlight w:val="none"/>
                <w:lang w:eastAsia="zh-CN" w:bidi="ar"/>
              </w:rPr>
              <w:t>套</w:t>
            </w:r>
          </w:p>
        </w:tc>
      </w:tr>
      <w:tr>
        <w:tblPrEx>
          <w:tblCellMar>
            <w:top w:w="0" w:type="dxa"/>
            <w:left w:w="108" w:type="dxa"/>
            <w:bottom w:w="0" w:type="dxa"/>
            <w:right w:w="108" w:type="dxa"/>
          </w:tblCellMar>
        </w:tblPrEx>
        <w:trPr>
          <w:trHeight w:val="943" w:hRule="atLeast"/>
        </w:trPr>
        <w:tc>
          <w:tcPr>
            <w:tcW w:w="602"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2</w:t>
            </w:r>
          </w:p>
        </w:tc>
        <w:tc>
          <w:tcPr>
            <w:tcW w:w="795"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color w:val="auto"/>
                <w:sz w:val="24"/>
                <w:szCs w:val="24"/>
                <w:highlight w:val="none"/>
                <w:lang w:eastAsia="zh-CN" w:bidi="ar"/>
              </w:rPr>
            </w:pPr>
            <w:r>
              <w:rPr>
                <w:rFonts w:hint="eastAsia"/>
              </w:rPr>
              <w:t>观摩桌</w:t>
            </w:r>
          </w:p>
        </w:tc>
        <w:tc>
          <w:tcPr>
            <w:tcW w:w="6985" w:type="dxa"/>
            <w:tcBorders>
              <w:top w:val="single" w:color="auto" w:sz="6" w:space="0"/>
              <w:left w:val="nil"/>
              <w:bottom w:val="single" w:color="auto" w:sz="6" w:space="0"/>
              <w:right w:val="single" w:color="auto" w:sz="6" w:space="0"/>
            </w:tcBorders>
            <w:noWrap w:val="0"/>
            <w:vAlign w:val="center"/>
          </w:tcPr>
          <w:p>
            <w:pPr>
              <w:pStyle w:val="4"/>
              <w:keepNext w:val="0"/>
              <w:keepLines w:val="0"/>
              <w:pageBreakBefore w:val="0"/>
              <w:widowControl/>
              <w:kinsoku/>
              <w:wordWrap/>
              <w:overflowPunct/>
              <w:topLinePunct w:val="0"/>
              <w:autoSpaceDE/>
              <w:autoSpaceDN/>
              <w:bidi w:val="0"/>
              <w:adjustRightInd/>
              <w:snapToGrid/>
              <w:spacing w:line="340" w:lineRule="exact"/>
              <w:ind w:left="0" w:leftChars="0" w:firstLine="0" w:firstLineChars="0"/>
              <w:textAlignment w:val="auto"/>
              <w:rPr>
                <w:rFonts w:hint="eastAsia" w:ascii="宋体" w:hAnsi="宋体" w:eastAsia="宋体" w:cs="宋体"/>
                <w:sz w:val="24"/>
                <w:szCs w:val="24"/>
                <w:lang w:val="en-US" w:eastAsia="zh-CN"/>
              </w:rPr>
            </w:pPr>
            <w:r>
              <w:rPr>
                <w:rFonts w:hint="eastAsia" w:hAnsi="宋体" w:cs="宋体"/>
                <w:sz w:val="24"/>
                <w:szCs w:val="24"/>
                <w:lang w:val="en-US" w:eastAsia="zh-CN"/>
              </w:rPr>
              <w:t>1、</w:t>
            </w:r>
            <w:r>
              <w:rPr>
                <w:rFonts w:hint="eastAsia" w:ascii="宋体" w:hAnsi="宋体" w:eastAsia="宋体" w:cs="宋体"/>
                <w:sz w:val="24"/>
                <w:szCs w:val="24"/>
                <w:lang w:val="en-US" w:eastAsia="zh-CN"/>
              </w:rPr>
              <w:t>8200*800*750框架结构：整体框架采用1.2MM冷轧钢板U型设计，保证桌体稳定性，表面静电吸附塑粉。</w:t>
            </w:r>
          </w:p>
          <w:p>
            <w:pPr>
              <w:pStyle w:val="4"/>
              <w:keepNext w:val="0"/>
              <w:keepLines w:val="0"/>
              <w:pageBreakBefore w:val="0"/>
              <w:widowControl/>
              <w:numPr>
                <w:ilvl w:val="0"/>
                <w:numId w:val="0"/>
              </w:numPr>
              <w:kinsoku/>
              <w:wordWrap/>
              <w:overflowPunct/>
              <w:topLinePunct w:val="0"/>
              <w:autoSpaceDE/>
              <w:autoSpaceDN/>
              <w:bidi w:val="0"/>
              <w:adjustRightInd/>
              <w:snapToGrid/>
              <w:spacing w:line="340" w:lineRule="exact"/>
              <w:ind w:leftChars="0"/>
              <w:textAlignment w:val="auto"/>
              <w:rPr>
                <w:rFonts w:hint="eastAsia" w:ascii="宋体" w:hAnsi="宋体" w:eastAsia="宋体" w:cs="宋体"/>
                <w:sz w:val="24"/>
                <w:szCs w:val="24"/>
                <w:lang w:val="en-US" w:eastAsia="zh-CN"/>
              </w:rPr>
            </w:pPr>
            <w:r>
              <w:rPr>
                <w:rFonts w:hint="eastAsia" w:hAnsi="宋体" w:cs="宋体"/>
                <w:sz w:val="24"/>
                <w:szCs w:val="24"/>
                <w:lang w:val="en-US" w:eastAsia="zh-CN"/>
              </w:rPr>
              <w:t>2、</w:t>
            </w:r>
            <w:r>
              <w:rPr>
                <w:rFonts w:hint="eastAsia" w:ascii="宋体" w:hAnsi="宋体" w:eastAsia="宋体" w:cs="宋体"/>
                <w:sz w:val="24"/>
                <w:szCs w:val="24"/>
                <w:lang w:val="en-US" w:eastAsia="zh-CN"/>
              </w:rPr>
              <w:t>台面板：高密度板烤漆，整体厚度不低于25mm，大面板之间需做隐藏式箭头锁链接，整体连接后必须平整光滑无缝隙。</w:t>
            </w:r>
          </w:p>
          <w:p>
            <w:pPr>
              <w:pStyle w:val="4"/>
              <w:keepNext w:val="0"/>
              <w:keepLines w:val="0"/>
              <w:pageBreakBefore w:val="0"/>
              <w:widowControl/>
              <w:numPr>
                <w:ilvl w:val="0"/>
                <w:numId w:val="0"/>
              </w:numPr>
              <w:kinsoku/>
              <w:wordWrap/>
              <w:overflowPunct/>
              <w:topLinePunct w:val="0"/>
              <w:autoSpaceDE/>
              <w:autoSpaceDN/>
              <w:bidi w:val="0"/>
              <w:adjustRightInd/>
              <w:snapToGrid/>
              <w:spacing w:line="340" w:lineRule="exact"/>
              <w:ind w:leftChars="0"/>
              <w:textAlignment w:val="auto"/>
              <w:rPr>
                <w:rFonts w:hint="default"/>
                <w:lang w:val="en-US" w:eastAsia="zh-CN"/>
              </w:rPr>
            </w:pPr>
            <w:r>
              <w:rPr>
                <w:rFonts w:hint="eastAsia" w:hAnsi="宋体" w:cs="宋体"/>
                <w:sz w:val="24"/>
                <w:szCs w:val="24"/>
                <w:lang w:val="en-US" w:eastAsia="zh-CN"/>
              </w:rPr>
              <w:t>3、</w:t>
            </w:r>
            <w:r>
              <w:rPr>
                <w:rFonts w:hint="eastAsia" w:ascii="宋体" w:hAnsi="宋体" w:eastAsia="宋体" w:cs="宋体"/>
                <w:sz w:val="24"/>
                <w:szCs w:val="24"/>
                <w:lang w:val="en-US" w:eastAsia="zh-CN"/>
              </w:rPr>
              <w:t>台面边缘：台面边缘采用烤漆套色（警蓝），保证台面边位的平整性和可靠力度，确保工作人员长期工作的舒适度，避免疲劳及损伤肢体</w:t>
            </w:r>
          </w:p>
        </w:tc>
        <w:tc>
          <w:tcPr>
            <w:tcW w:w="618"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2</w:t>
            </w:r>
          </w:p>
        </w:tc>
        <w:tc>
          <w:tcPr>
            <w:tcW w:w="563"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bCs/>
                <w:color w:val="auto"/>
                <w:sz w:val="24"/>
                <w:szCs w:val="24"/>
                <w:highlight w:val="none"/>
                <w:lang w:eastAsia="zh-CN" w:bidi="ar"/>
              </w:rPr>
            </w:pPr>
            <w:r>
              <w:rPr>
                <w:rFonts w:hint="eastAsia" w:hAnsi="宋体" w:cs="宋体"/>
                <w:bCs/>
                <w:color w:val="auto"/>
                <w:sz w:val="24"/>
                <w:szCs w:val="24"/>
                <w:highlight w:val="none"/>
                <w:lang w:eastAsia="zh-CN" w:bidi="ar"/>
              </w:rPr>
              <w:t>套</w:t>
            </w:r>
          </w:p>
        </w:tc>
      </w:tr>
      <w:tr>
        <w:tblPrEx>
          <w:tblCellMar>
            <w:top w:w="0" w:type="dxa"/>
            <w:left w:w="108" w:type="dxa"/>
            <w:bottom w:w="0" w:type="dxa"/>
            <w:right w:w="108" w:type="dxa"/>
          </w:tblCellMar>
        </w:tblPrEx>
        <w:trPr>
          <w:trHeight w:val="943" w:hRule="atLeast"/>
        </w:trPr>
        <w:tc>
          <w:tcPr>
            <w:tcW w:w="602"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3</w:t>
            </w:r>
          </w:p>
        </w:tc>
        <w:tc>
          <w:tcPr>
            <w:tcW w:w="795"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color w:val="auto"/>
                <w:sz w:val="24"/>
                <w:szCs w:val="24"/>
                <w:highlight w:val="none"/>
                <w:lang w:eastAsia="zh-CN" w:bidi="ar"/>
              </w:rPr>
            </w:pPr>
            <w:r>
              <w:rPr>
                <w:rFonts w:hint="eastAsia" w:hAnsi="宋体" w:cs="宋体"/>
                <w:color w:val="auto"/>
                <w:sz w:val="24"/>
                <w:szCs w:val="24"/>
                <w:highlight w:val="none"/>
                <w:lang w:eastAsia="zh-CN" w:bidi="ar"/>
              </w:rPr>
              <w:t>会议桌</w:t>
            </w:r>
          </w:p>
        </w:tc>
        <w:tc>
          <w:tcPr>
            <w:tcW w:w="6985" w:type="dxa"/>
            <w:tcBorders>
              <w:top w:val="single" w:color="auto" w:sz="6" w:space="0"/>
              <w:left w:val="nil"/>
              <w:bottom w:val="single" w:color="auto" w:sz="6" w:space="0"/>
              <w:right w:val="single" w:color="auto" w:sz="6" w:space="0"/>
            </w:tcBorders>
            <w:noWrap w:val="0"/>
            <w:vAlign w:val="center"/>
          </w:tcPr>
          <w:p>
            <w:pPr>
              <w:pStyle w:val="4"/>
              <w:keepNext w:val="0"/>
              <w:keepLines w:val="0"/>
              <w:pageBreakBefore w:val="0"/>
              <w:kinsoku/>
              <w:wordWrap/>
              <w:overflowPunct/>
              <w:topLinePunct w:val="0"/>
              <w:autoSpaceDE/>
              <w:autoSpaceDN/>
              <w:bidi w:val="0"/>
              <w:adjustRightInd/>
              <w:snapToGrid/>
              <w:spacing w:line="300" w:lineRule="exact"/>
              <w:ind w:left="0" w:leftChars="0" w:firstLine="0" w:firstLineChars="0"/>
              <w:textAlignment w:val="auto"/>
              <w:rPr>
                <w:rFonts w:hint="eastAsia"/>
                <w:sz w:val="24"/>
                <w:szCs w:val="24"/>
                <w:lang w:val="en-US" w:eastAsia="zh-CN"/>
              </w:rPr>
            </w:pPr>
            <w:r>
              <w:rPr>
                <w:rFonts w:hint="eastAsia"/>
                <w:sz w:val="24"/>
                <w:szCs w:val="24"/>
                <w:lang w:val="en-US" w:eastAsia="zh-CN"/>
              </w:rPr>
              <w:t>1、6000*3000*750框架结构：内部主框架为1.2mm冷轧钢板，台面支撑件为1.0mm冷轧钢板，防静电喷塑处理。全拼装结构，可单独使用，也可多台连接。</w:t>
            </w:r>
          </w:p>
          <w:p>
            <w:pPr>
              <w:pStyle w:val="4"/>
              <w:keepNext w:val="0"/>
              <w:keepLines w:val="0"/>
              <w:pageBreakBefore w:val="0"/>
              <w:numPr>
                <w:ilvl w:val="0"/>
                <w:numId w:val="0"/>
              </w:numPr>
              <w:kinsoku/>
              <w:wordWrap/>
              <w:overflowPunct/>
              <w:topLinePunct w:val="0"/>
              <w:autoSpaceDE/>
              <w:autoSpaceDN/>
              <w:bidi w:val="0"/>
              <w:adjustRightInd/>
              <w:snapToGrid/>
              <w:spacing w:line="300" w:lineRule="exact"/>
              <w:ind w:leftChars="0"/>
              <w:textAlignment w:val="auto"/>
              <w:rPr>
                <w:rFonts w:hint="eastAsia"/>
                <w:sz w:val="24"/>
                <w:szCs w:val="24"/>
                <w:lang w:val="en-US" w:eastAsia="zh-CN"/>
              </w:rPr>
            </w:pPr>
            <w:r>
              <w:rPr>
                <w:rFonts w:hint="eastAsia"/>
                <w:sz w:val="24"/>
                <w:szCs w:val="24"/>
                <w:lang w:val="en-US" w:eastAsia="zh-CN"/>
              </w:rPr>
              <w:t>2、台面板：高密度板烤漆，整体厚度不低于25mm，大面板之间需做隐藏式箭头锁链接，整体连接后必须平整光滑无缝隙。</w:t>
            </w:r>
          </w:p>
          <w:p>
            <w:pPr>
              <w:pStyle w:val="4"/>
              <w:keepNext w:val="0"/>
              <w:keepLines w:val="0"/>
              <w:pageBreakBefore w:val="0"/>
              <w:numPr>
                <w:ilvl w:val="0"/>
                <w:numId w:val="0"/>
              </w:numPr>
              <w:kinsoku/>
              <w:wordWrap/>
              <w:overflowPunct/>
              <w:topLinePunct w:val="0"/>
              <w:autoSpaceDE/>
              <w:autoSpaceDN/>
              <w:bidi w:val="0"/>
              <w:adjustRightInd/>
              <w:snapToGrid/>
              <w:spacing w:line="300" w:lineRule="exact"/>
              <w:ind w:leftChars="0"/>
              <w:textAlignment w:val="auto"/>
              <w:rPr>
                <w:rFonts w:hint="eastAsia"/>
                <w:sz w:val="24"/>
                <w:szCs w:val="24"/>
                <w:lang w:val="en-US" w:eastAsia="zh-CN"/>
              </w:rPr>
            </w:pPr>
            <w:r>
              <w:rPr>
                <w:rFonts w:hint="eastAsia"/>
                <w:sz w:val="24"/>
                <w:szCs w:val="24"/>
                <w:lang w:val="en-US" w:eastAsia="zh-CN"/>
              </w:rPr>
              <w:t>3、台面边缘：台面边缘采用烤漆套色（警蓝），保证台面边位的平整性和可靠力度，确保工作人员长期工作的舒适度，避免疲劳及损伤肢体。5．前后门板：均采用优质冷轧钢板。厚度均为1.0mm厚，有散热孔。全部选用防腐塑粉200°高温吸附。前后门均可开关或拆卸。</w:t>
            </w:r>
          </w:p>
          <w:p>
            <w:pPr>
              <w:keepNext w:val="0"/>
              <w:keepLines w:val="0"/>
              <w:pageBreakBefore w:val="0"/>
              <w:kinsoku/>
              <w:wordWrap/>
              <w:overflowPunct/>
              <w:topLinePunct w:val="0"/>
              <w:autoSpaceDE/>
              <w:autoSpaceDN/>
              <w:bidi w:val="0"/>
              <w:adjustRightInd/>
              <w:snapToGrid/>
              <w:spacing w:line="300" w:lineRule="exact"/>
              <w:textAlignment w:val="auto"/>
              <w:rPr>
                <w:rFonts w:hint="default"/>
                <w:lang w:val="en-US" w:eastAsia="zh-CN"/>
              </w:rPr>
            </w:pPr>
            <w:r>
              <w:rPr>
                <w:rFonts w:hint="eastAsia" w:hAnsi="宋体" w:cs="宋体"/>
                <w:kern w:val="2"/>
                <w:sz w:val="24"/>
                <w:szCs w:val="24"/>
                <w:lang w:val="en-US" w:eastAsia="zh-CN" w:bidi="ar-SA"/>
              </w:rPr>
              <w:t>4、</w:t>
            </w:r>
            <w:r>
              <w:rPr>
                <w:rFonts w:hint="eastAsia" w:hAnsi="宋体" w:cs="宋体"/>
                <w:color w:val="auto"/>
                <w:sz w:val="24"/>
                <w:szCs w:val="24"/>
                <w:highlight w:val="none"/>
                <w:lang w:eastAsia="zh-CN" w:bidi="ar"/>
              </w:rPr>
              <w:t>转椅</w:t>
            </w:r>
            <w:r>
              <w:rPr>
                <w:rFonts w:hint="eastAsia" w:hAnsi="宋体" w:cs="宋体"/>
                <w:color w:val="auto"/>
                <w:sz w:val="24"/>
                <w:szCs w:val="24"/>
                <w:highlight w:val="none"/>
                <w:lang w:val="en-US" w:eastAsia="zh-CN" w:bidi="ar"/>
              </w:rPr>
              <w:t>10把</w:t>
            </w:r>
          </w:p>
        </w:tc>
        <w:tc>
          <w:tcPr>
            <w:tcW w:w="618"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1</w:t>
            </w:r>
          </w:p>
        </w:tc>
        <w:tc>
          <w:tcPr>
            <w:tcW w:w="563"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bCs/>
                <w:color w:val="auto"/>
                <w:sz w:val="24"/>
                <w:szCs w:val="24"/>
                <w:highlight w:val="none"/>
                <w:lang w:eastAsia="zh-CN" w:bidi="ar"/>
              </w:rPr>
            </w:pPr>
            <w:r>
              <w:rPr>
                <w:rFonts w:hint="eastAsia" w:hAnsi="宋体" w:cs="宋体"/>
                <w:bCs/>
                <w:color w:val="auto"/>
                <w:sz w:val="24"/>
                <w:szCs w:val="24"/>
                <w:highlight w:val="none"/>
                <w:lang w:eastAsia="zh-CN" w:bidi="ar"/>
              </w:rPr>
              <w:t>套</w:t>
            </w:r>
          </w:p>
        </w:tc>
      </w:tr>
      <w:tr>
        <w:tblPrEx>
          <w:tblCellMar>
            <w:top w:w="0" w:type="dxa"/>
            <w:left w:w="108" w:type="dxa"/>
            <w:bottom w:w="0" w:type="dxa"/>
            <w:right w:w="108" w:type="dxa"/>
          </w:tblCellMar>
        </w:tblPrEx>
        <w:trPr>
          <w:trHeight w:val="594" w:hRule="atLeast"/>
        </w:trPr>
        <w:tc>
          <w:tcPr>
            <w:tcW w:w="602"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4</w:t>
            </w:r>
          </w:p>
        </w:tc>
        <w:tc>
          <w:tcPr>
            <w:tcW w:w="795"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color w:val="auto"/>
                <w:sz w:val="24"/>
                <w:szCs w:val="24"/>
                <w:highlight w:val="none"/>
                <w:lang w:eastAsia="zh-CN" w:bidi="ar"/>
              </w:rPr>
            </w:pPr>
            <w:r>
              <w:rPr>
                <w:rFonts w:hint="eastAsia" w:hAnsi="宋体" w:cs="宋体"/>
                <w:color w:val="auto"/>
                <w:sz w:val="24"/>
                <w:szCs w:val="24"/>
                <w:highlight w:val="none"/>
                <w:lang w:eastAsia="zh-CN" w:bidi="ar"/>
              </w:rPr>
              <w:t>工字椅</w:t>
            </w:r>
          </w:p>
        </w:tc>
        <w:tc>
          <w:tcPr>
            <w:tcW w:w="6985" w:type="dxa"/>
            <w:tcBorders>
              <w:top w:val="single" w:color="auto" w:sz="6" w:space="0"/>
              <w:left w:val="nil"/>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hAnsi="宋体" w:cs="宋体"/>
                <w:kern w:val="2"/>
                <w:sz w:val="24"/>
                <w:szCs w:val="24"/>
                <w:lang w:val="en-US" w:eastAsia="zh-CN" w:bidi="ar-SA"/>
              </w:rPr>
            </w:pPr>
            <w:r>
              <w:rPr>
                <w:rFonts w:hint="eastAsia" w:hAnsi="宋体" w:cs="宋体"/>
                <w:kern w:val="2"/>
                <w:sz w:val="24"/>
                <w:szCs w:val="24"/>
                <w:lang w:val="en-US" w:eastAsia="zh-CN" w:bidi="ar-SA"/>
              </w:rPr>
              <w:t>以满足实际需要及采购人要求为准</w:t>
            </w:r>
          </w:p>
        </w:tc>
        <w:tc>
          <w:tcPr>
            <w:tcW w:w="618" w:type="dxa"/>
            <w:tcBorders>
              <w:top w:val="single" w:color="auto" w:sz="6" w:space="0"/>
              <w:left w:val="nil"/>
              <w:bottom w:val="single" w:color="auto" w:sz="6" w:space="0"/>
              <w:right w:val="single" w:color="auto" w:sz="6" w:space="0"/>
            </w:tcBorders>
            <w:noWrap w:val="0"/>
            <w:vAlign w:val="center"/>
          </w:tcPr>
          <w:p>
            <w:pPr>
              <w:jc w:val="center"/>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10</w:t>
            </w:r>
          </w:p>
        </w:tc>
        <w:tc>
          <w:tcPr>
            <w:tcW w:w="563"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bCs/>
                <w:color w:val="auto"/>
                <w:sz w:val="24"/>
                <w:szCs w:val="24"/>
                <w:highlight w:val="none"/>
                <w:lang w:eastAsia="zh-CN" w:bidi="ar"/>
              </w:rPr>
            </w:pPr>
            <w:r>
              <w:rPr>
                <w:rFonts w:hint="eastAsia" w:hAnsi="宋体" w:cs="宋体"/>
                <w:bCs/>
                <w:color w:val="auto"/>
                <w:sz w:val="24"/>
                <w:szCs w:val="24"/>
                <w:highlight w:val="none"/>
                <w:lang w:eastAsia="zh-CN" w:bidi="ar"/>
              </w:rPr>
              <w:t>把</w:t>
            </w:r>
          </w:p>
        </w:tc>
      </w:tr>
      <w:tr>
        <w:tblPrEx>
          <w:tblCellMar>
            <w:top w:w="0" w:type="dxa"/>
            <w:left w:w="108" w:type="dxa"/>
            <w:bottom w:w="0" w:type="dxa"/>
            <w:right w:w="108" w:type="dxa"/>
          </w:tblCellMar>
        </w:tblPrEx>
        <w:trPr>
          <w:trHeight w:val="541" w:hRule="atLeast"/>
        </w:trPr>
        <w:tc>
          <w:tcPr>
            <w:tcW w:w="602"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5</w:t>
            </w:r>
          </w:p>
        </w:tc>
        <w:tc>
          <w:tcPr>
            <w:tcW w:w="795"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color w:val="auto"/>
                <w:sz w:val="24"/>
                <w:szCs w:val="24"/>
                <w:highlight w:val="none"/>
                <w:lang w:eastAsia="zh-CN" w:bidi="ar"/>
              </w:rPr>
            </w:pPr>
            <w:r>
              <w:rPr>
                <w:rFonts w:hint="eastAsia" w:hAnsi="宋体" w:cs="宋体"/>
                <w:color w:val="auto"/>
                <w:sz w:val="24"/>
                <w:szCs w:val="24"/>
                <w:highlight w:val="none"/>
                <w:lang w:eastAsia="zh-CN" w:bidi="ar"/>
              </w:rPr>
              <w:t>转椅</w:t>
            </w:r>
          </w:p>
        </w:tc>
        <w:tc>
          <w:tcPr>
            <w:tcW w:w="6985" w:type="dxa"/>
            <w:tcBorders>
              <w:top w:val="single" w:color="auto" w:sz="6" w:space="0"/>
              <w:left w:val="nil"/>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hAnsi="宋体" w:cs="宋体"/>
                <w:kern w:val="2"/>
                <w:sz w:val="24"/>
                <w:szCs w:val="24"/>
                <w:lang w:val="en-US" w:eastAsia="zh-CN" w:bidi="ar-SA"/>
              </w:rPr>
            </w:pPr>
            <w:r>
              <w:rPr>
                <w:rFonts w:hint="eastAsia" w:hAnsi="宋体" w:cs="宋体"/>
                <w:kern w:val="2"/>
                <w:sz w:val="24"/>
                <w:szCs w:val="24"/>
                <w:lang w:val="en-US" w:eastAsia="zh-CN" w:bidi="ar-SA"/>
              </w:rPr>
              <w:t>以满足实际需要及采购人要求为准</w:t>
            </w:r>
          </w:p>
        </w:tc>
        <w:tc>
          <w:tcPr>
            <w:tcW w:w="618" w:type="dxa"/>
            <w:tcBorders>
              <w:top w:val="single" w:color="auto" w:sz="6" w:space="0"/>
              <w:left w:val="nil"/>
              <w:bottom w:val="single" w:color="auto" w:sz="6" w:space="0"/>
              <w:right w:val="single" w:color="auto" w:sz="6" w:space="0"/>
            </w:tcBorders>
            <w:noWrap w:val="0"/>
            <w:vAlign w:val="center"/>
          </w:tcPr>
          <w:p>
            <w:pPr>
              <w:jc w:val="center"/>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10</w:t>
            </w:r>
          </w:p>
        </w:tc>
        <w:tc>
          <w:tcPr>
            <w:tcW w:w="563"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bCs/>
                <w:color w:val="auto"/>
                <w:sz w:val="24"/>
                <w:szCs w:val="24"/>
                <w:highlight w:val="none"/>
                <w:lang w:eastAsia="zh-CN" w:bidi="ar"/>
              </w:rPr>
            </w:pPr>
            <w:r>
              <w:rPr>
                <w:rFonts w:hint="eastAsia" w:hAnsi="宋体" w:cs="宋体"/>
                <w:bCs/>
                <w:color w:val="auto"/>
                <w:sz w:val="24"/>
                <w:szCs w:val="24"/>
                <w:highlight w:val="none"/>
                <w:lang w:eastAsia="zh-CN" w:bidi="ar"/>
              </w:rPr>
              <w:t>把</w:t>
            </w:r>
          </w:p>
        </w:tc>
      </w:tr>
      <w:tr>
        <w:tblPrEx>
          <w:tblCellMar>
            <w:top w:w="0" w:type="dxa"/>
            <w:left w:w="108" w:type="dxa"/>
            <w:bottom w:w="0" w:type="dxa"/>
            <w:right w:w="108" w:type="dxa"/>
          </w:tblCellMar>
        </w:tblPrEx>
        <w:trPr>
          <w:trHeight w:val="789" w:hRule="atLeast"/>
        </w:trPr>
        <w:tc>
          <w:tcPr>
            <w:tcW w:w="602"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6</w:t>
            </w:r>
          </w:p>
        </w:tc>
        <w:tc>
          <w:tcPr>
            <w:tcW w:w="795"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color w:val="auto"/>
                <w:sz w:val="24"/>
                <w:szCs w:val="24"/>
                <w:highlight w:val="none"/>
                <w:lang w:eastAsia="zh-CN" w:bidi="ar"/>
              </w:rPr>
            </w:pPr>
            <w:r>
              <w:rPr>
                <w:rFonts w:hint="eastAsia" w:hAnsi="宋体" w:cs="宋体"/>
                <w:color w:val="000000" w:themeColor="text1"/>
                <w:sz w:val="24"/>
                <w:szCs w:val="24"/>
                <w:highlight w:val="none"/>
                <w:lang w:eastAsia="zh-CN" w:bidi="ar"/>
              </w:rPr>
              <w:t>显示器支架</w:t>
            </w:r>
          </w:p>
        </w:tc>
        <w:tc>
          <w:tcPr>
            <w:tcW w:w="6985" w:type="dxa"/>
            <w:tcBorders>
              <w:top w:val="single" w:color="auto" w:sz="6" w:space="0"/>
              <w:left w:val="nil"/>
              <w:bottom w:val="single" w:color="auto" w:sz="6" w:space="0"/>
              <w:right w:val="single" w:color="auto" w:sz="6" w:space="0"/>
            </w:tcBorders>
            <w:noWrap w:val="0"/>
            <w:vAlign w:val="center"/>
          </w:tcPr>
          <w:p>
            <w:pPr>
              <w:numPr>
                <w:ilvl w:val="0"/>
                <w:numId w:val="0"/>
              </w:numPr>
              <w:ind w:leftChars="0"/>
              <w:rPr>
                <w:rFonts w:hint="eastAsia" w:ascii="宋体" w:hAnsi="宋体" w:eastAsia="宋体" w:cs="宋体"/>
                <w:kern w:val="2"/>
                <w:sz w:val="24"/>
                <w:szCs w:val="24"/>
                <w:lang w:val="en-US" w:eastAsia="zh-CN" w:bidi="ar-SA"/>
              </w:rPr>
            </w:pPr>
            <w:r>
              <w:rPr>
                <w:rFonts w:hint="eastAsia" w:hAnsi="宋体" w:cs="宋体"/>
                <w:kern w:val="2"/>
                <w:sz w:val="24"/>
                <w:szCs w:val="24"/>
                <w:lang w:val="en-US" w:eastAsia="zh-CN" w:bidi="ar-SA"/>
              </w:rPr>
              <w:t>以满足实际需要及采购人要求为准</w:t>
            </w:r>
          </w:p>
        </w:tc>
        <w:tc>
          <w:tcPr>
            <w:tcW w:w="618" w:type="dxa"/>
            <w:tcBorders>
              <w:top w:val="single" w:color="auto" w:sz="6" w:space="0"/>
              <w:left w:val="nil"/>
              <w:bottom w:val="single" w:color="auto" w:sz="6" w:space="0"/>
              <w:right w:val="single" w:color="auto" w:sz="6" w:space="0"/>
            </w:tcBorders>
            <w:noWrap w:val="0"/>
            <w:vAlign w:val="center"/>
          </w:tcPr>
          <w:p>
            <w:pPr>
              <w:jc w:val="center"/>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12</w:t>
            </w:r>
          </w:p>
        </w:tc>
        <w:tc>
          <w:tcPr>
            <w:tcW w:w="563"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bCs/>
                <w:color w:val="auto"/>
                <w:sz w:val="24"/>
                <w:szCs w:val="24"/>
                <w:highlight w:val="none"/>
                <w:lang w:eastAsia="zh-CN" w:bidi="ar"/>
              </w:rPr>
            </w:pPr>
            <w:r>
              <w:rPr>
                <w:rFonts w:hint="eastAsia" w:hAnsi="宋体" w:cs="宋体"/>
                <w:bCs/>
                <w:color w:val="auto"/>
                <w:sz w:val="24"/>
                <w:szCs w:val="24"/>
                <w:highlight w:val="none"/>
                <w:lang w:eastAsia="zh-CN" w:bidi="ar"/>
              </w:rPr>
              <w:t>套</w:t>
            </w:r>
          </w:p>
        </w:tc>
      </w:tr>
      <w:tr>
        <w:tblPrEx>
          <w:tblCellMar>
            <w:top w:w="0" w:type="dxa"/>
            <w:left w:w="108" w:type="dxa"/>
            <w:bottom w:w="0" w:type="dxa"/>
            <w:right w:w="108" w:type="dxa"/>
          </w:tblCellMar>
        </w:tblPrEx>
        <w:trPr>
          <w:trHeight w:val="631" w:hRule="atLeast"/>
        </w:trPr>
        <w:tc>
          <w:tcPr>
            <w:tcW w:w="9563" w:type="dxa"/>
            <w:gridSpan w:val="5"/>
            <w:tcBorders>
              <w:top w:val="single" w:color="auto" w:sz="6" w:space="0"/>
              <w:left w:val="single" w:color="auto" w:sz="6" w:space="0"/>
              <w:bottom w:val="single" w:color="auto" w:sz="6" w:space="0"/>
              <w:right w:val="single" w:color="auto" w:sz="6" w:space="0"/>
            </w:tcBorders>
            <w:noWrap w:val="0"/>
            <w:vAlign w:val="center"/>
          </w:tcPr>
          <w:p>
            <w:pPr>
              <w:jc w:val="center"/>
              <w:rPr>
                <w:rFonts w:hint="default" w:hAnsi="宋体" w:cs="宋体"/>
                <w:bCs/>
                <w:color w:val="auto"/>
                <w:sz w:val="24"/>
                <w:szCs w:val="24"/>
                <w:highlight w:val="none"/>
                <w:lang w:val="en-US" w:eastAsia="zh-CN" w:bidi="ar"/>
              </w:rPr>
            </w:pPr>
            <w:r>
              <w:rPr>
                <w:rFonts w:hint="eastAsia" w:hAnsi="宋体" w:cs="宋体"/>
                <w:b/>
                <w:bCs w:val="0"/>
                <w:color w:val="auto"/>
                <w:sz w:val="24"/>
                <w:szCs w:val="24"/>
                <w:highlight w:val="none"/>
                <w:lang w:eastAsia="zh-CN" w:bidi="ar"/>
              </w:rPr>
              <w:t>大屏显示系统</w:t>
            </w:r>
          </w:p>
        </w:tc>
      </w:tr>
      <w:tr>
        <w:tblPrEx>
          <w:tblCellMar>
            <w:top w:w="0" w:type="dxa"/>
            <w:left w:w="108" w:type="dxa"/>
            <w:bottom w:w="0" w:type="dxa"/>
            <w:right w:w="108" w:type="dxa"/>
          </w:tblCellMar>
        </w:tblPrEx>
        <w:trPr>
          <w:trHeight w:val="943" w:hRule="atLeast"/>
        </w:trPr>
        <w:tc>
          <w:tcPr>
            <w:tcW w:w="602"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1</w:t>
            </w:r>
          </w:p>
        </w:tc>
        <w:tc>
          <w:tcPr>
            <w:tcW w:w="795"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color w:val="auto"/>
                <w:sz w:val="24"/>
                <w:szCs w:val="24"/>
                <w:highlight w:val="none"/>
                <w:lang w:eastAsia="zh-CN" w:bidi="ar"/>
              </w:rPr>
            </w:pPr>
            <w:r>
              <w:rPr>
                <w:rFonts w:hint="eastAsia" w:hAnsi="宋体" w:cs="宋体"/>
                <w:color w:val="auto"/>
                <w:sz w:val="24"/>
                <w:szCs w:val="24"/>
                <w:highlight w:val="none"/>
                <w:lang w:eastAsia="zh-CN" w:bidi="ar"/>
              </w:rPr>
              <w:t>小间距LED屏</w:t>
            </w:r>
          </w:p>
        </w:tc>
        <w:tc>
          <w:tcPr>
            <w:tcW w:w="6985" w:type="dxa"/>
            <w:tcBorders>
              <w:top w:val="single" w:color="auto" w:sz="6" w:space="0"/>
              <w:left w:val="nil"/>
              <w:bottom w:val="single" w:color="auto" w:sz="6" w:space="0"/>
              <w:right w:val="single" w:color="auto" w:sz="6" w:space="0"/>
            </w:tcBorders>
            <w:noWrap w:val="0"/>
            <w:vAlign w:val="center"/>
          </w:tcPr>
          <w:p>
            <w:pPr>
              <w:pStyle w:val="4"/>
              <w:keepNext w:val="0"/>
              <w:keepLines w:val="0"/>
              <w:pageBreakBefore w:val="0"/>
              <w:widowControl/>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屏体显示面积9.6m（宽）×3.7125m（高）,分辨率为6144.0*2376.0；</w:t>
            </w:r>
          </w:p>
          <w:p>
            <w:pPr>
              <w:pStyle w:val="4"/>
              <w:keepNext w:val="0"/>
              <w:keepLines w:val="0"/>
              <w:pageBreakBefore w:val="0"/>
              <w:widowControl/>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1、LED像素点间距＜1.57mm;像素密度≥410000点/㎡；</w:t>
            </w:r>
          </w:p>
          <w:p>
            <w:pPr>
              <w:pStyle w:val="4"/>
              <w:keepNext w:val="0"/>
              <w:keepLines w:val="0"/>
              <w:pageBreakBefore w:val="0"/>
              <w:widowControl/>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2、采用压铸铝合金，后壳采用双列格板散热设计，增大散热面积，无风扇，无孔；</w:t>
            </w:r>
          </w:p>
          <w:p>
            <w:pPr>
              <w:pStyle w:val="4"/>
              <w:keepNext w:val="0"/>
              <w:keepLines w:val="0"/>
              <w:pageBreakBefore w:val="0"/>
              <w:widowControl/>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3、最大刷新率≥3840Hz ，换帧频率为50-120Hz，最大对比度≥5000:1；</w:t>
            </w:r>
          </w:p>
          <w:p>
            <w:pPr>
              <w:pStyle w:val="4"/>
              <w:keepNext w:val="0"/>
              <w:keepLines w:val="0"/>
              <w:pageBreakBefore w:val="0"/>
              <w:widowControl/>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4、水平和垂直视角≥170°；亮度均匀性≥98%，NTSC色域覆盖率≥115%，DCI-P3色域覆盖率≥115%；</w:t>
            </w:r>
          </w:p>
          <w:p>
            <w:pPr>
              <w:pStyle w:val="4"/>
              <w:keepNext w:val="0"/>
              <w:keepLines w:val="0"/>
              <w:pageBreakBefore w:val="0"/>
              <w:widowControl/>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5、LED灯板具备flash，更换灯板支持自动读取校正数据，更换灯板无色差；</w:t>
            </w:r>
          </w:p>
          <w:p>
            <w:pPr>
              <w:pStyle w:val="4"/>
              <w:keepNext w:val="0"/>
              <w:keepLines w:val="0"/>
              <w:pageBreakBefore w:val="0"/>
              <w:widowControl/>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6、LED的电源和接收卡均需采用前后壳传导散热方式，具有导热柱设计，箱体内部元器件热量可传导至后壳进行散热；</w:t>
            </w:r>
          </w:p>
          <w:p>
            <w:pPr>
              <w:pStyle w:val="4"/>
              <w:keepNext w:val="0"/>
              <w:keepLines w:val="0"/>
              <w:pageBreakBefore w:val="0"/>
              <w:widowControl/>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7、LED的灯板采用无线缆设计，信号和电源连接采用浮动接插件，无排线设计，灯板支持水平上下左右调整，六向调节；</w:t>
            </w:r>
          </w:p>
          <w:p>
            <w:pPr>
              <w:pStyle w:val="4"/>
              <w:keepNext w:val="0"/>
              <w:keepLines w:val="0"/>
              <w:pageBreakBefore w:val="0"/>
              <w:widowControl/>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8、客户端操作可使LED 箱体显示实际连线编号，可快捷连线，无需到屏后查看编号；</w:t>
            </w:r>
          </w:p>
          <w:p>
            <w:pPr>
              <w:pStyle w:val="4"/>
              <w:keepNext w:val="0"/>
              <w:keepLines w:val="0"/>
              <w:pageBreakBefore w:val="0"/>
              <w:widowControl/>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投标产品支持信源接入状态显示，可通过物理按键、客户端、遥控器进行信源切换；</w:t>
            </w:r>
          </w:p>
          <w:p>
            <w:pPr>
              <w:pStyle w:val="4"/>
              <w:keepNext w:val="0"/>
              <w:keepLines w:val="0"/>
              <w:pageBreakBefore w:val="0"/>
              <w:widowControl/>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9、亮度色温支持0-100%无极可调，1000K~13000K连续可调，可设置亮度定时调节，支持通过客户端、遥控器、物理按键调节；</w:t>
            </w:r>
          </w:p>
          <w:p>
            <w:pPr>
              <w:pStyle w:val="4"/>
              <w:keepNext w:val="0"/>
              <w:keepLines w:val="0"/>
              <w:pageBreakBefore w:val="0"/>
              <w:widowControl/>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10、可通过遥控器的操作，对图像的对比度、清晰度、饱和度、色温以及图像模式进行调节设置；</w:t>
            </w:r>
          </w:p>
          <w:p>
            <w:pPr>
              <w:pStyle w:val="4"/>
              <w:keepNext w:val="0"/>
              <w:keepLines w:val="0"/>
              <w:pageBreakBefore w:val="0"/>
              <w:widowControl/>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11、支持无信号输入自动熄屏待机，有信号输入自动唤醒功能；</w:t>
            </w:r>
          </w:p>
          <w:p>
            <w:pPr>
              <w:pStyle w:val="4"/>
              <w:keepNext w:val="0"/>
              <w:keepLines w:val="0"/>
              <w:pageBreakBefore w:val="0"/>
              <w:widowControl/>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12、支持全灰阶校正，通过采集屏幕不同亮度下数据，进行校正处理，实现不同亮度下调用对应的校正系数，从而实现在不同亮度下屏幕显示一致性都较好；</w:t>
            </w:r>
          </w:p>
          <w:p>
            <w:pPr>
              <w:pStyle w:val="4"/>
              <w:keepNext w:val="0"/>
              <w:keepLines w:val="0"/>
              <w:pageBreakBefore w:val="0"/>
              <w:widowControl/>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13、可通过遥控器快速开关机；</w:t>
            </w:r>
          </w:p>
          <w:p>
            <w:pPr>
              <w:pStyle w:val="4"/>
              <w:keepNext w:val="0"/>
              <w:keepLines w:val="0"/>
              <w:pageBreakBefore w:val="0"/>
              <w:widowControl/>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需提供由中国质量认证中心出具的中国环保产品（II型）认证证书，中国节能产品认证证书、CCC认证证书。</w:t>
            </w:r>
          </w:p>
          <w:p>
            <w:pPr>
              <w:pStyle w:val="4"/>
              <w:keepNext w:val="0"/>
              <w:keepLines w:val="0"/>
              <w:pageBreakBefore w:val="0"/>
              <w:widowControl/>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注：以上 1-13 设备功能均需提供首页具有CNAS标识的第三方检测报告复印件并加盖厂家公章；</w:t>
            </w:r>
          </w:p>
        </w:tc>
        <w:tc>
          <w:tcPr>
            <w:tcW w:w="618"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35.64</w:t>
            </w:r>
          </w:p>
        </w:tc>
        <w:tc>
          <w:tcPr>
            <w:tcW w:w="563"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bCs/>
                <w:color w:val="auto"/>
                <w:sz w:val="24"/>
                <w:szCs w:val="24"/>
                <w:highlight w:val="none"/>
                <w:lang w:eastAsia="zh-CN" w:bidi="ar"/>
              </w:rPr>
            </w:pPr>
            <w:r>
              <w:rPr>
                <w:rFonts w:hint="eastAsia" w:ascii="宋体" w:hAnsi="宋体" w:eastAsia="宋体" w:cs="宋体"/>
                <w:sz w:val="24"/>
                <w:szCs w:val="24"/>
                <w:lang w:eastAsia="zh-CN"/>
              </w:rPr>
              <w:t>㎡</w:t>
            </w:r>
          </w:p>
        </w:tc>
      </w:tr>
      <w:tr>
        <w:tblPrEx>
          <w:tblCellMar>
            <w:top w:w="0" w:type="dxa"/>
            <w:left w:w="108" w:type="dxa"/>
            <w:bottom w:w="0" w:type="dxa"/>
            <w:right w:w="108" w:type="dxa"/>
          </w:tblCellMar>
        </w:tblPrEx>
        <w:trPr>
          <w:trHeight w:val="943" w:hRule="atLeast"/>
        </w:trPr>
        <w:tc>
          <w:tcPr>
            <w:tcW w:w="602"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2</w:t>
            </w:r>
          </w:p>
        </w:tc>
        <w:tc>
          <w:tcPr>
            <w:tcW w:w="795"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color w:val="auto"/>
                <w:sz w:val="24"/>
                <w:szCs w:val="24"/>
                <w:highlight w:val="none"/>
                <w:lang w:eastAsia="zh-CN" w:bidi="ar"/>
              </w:rPr>
            </w:pPr>
            <w:r>
              <w:rPr>
                <w:rFonts w:hint="eastAsia" w:hAnsi="宋体" w:cs="宋体"/>
                <w:color w:val="auto"/>
                <w:sz w:val="24"/>
                <w:szCs w:val="24"/>
                <w:highlight w:val="none"/>
                <w:lang w:eastAsia="zh-CN" w:bidi="ar"/>
              </w:rPr>
              <w:t>发送卡</w:t>
            </w:r>
          </w:p>
        </w:tc>
        <w:tc>
          <w:tcPr>
            <w:tcW w:w="6985" w:type="dxa"/>
            <w:tcBorders>
              <w:top w:val="single" w:color="auto" w:sz="6" w:space="0"/>
              <w:left w:val="nil"/>
              <w:bottom w:val="single" w:color="auto" w:sz="6" w:space="0"/>
              <w:right w:val="single" w:color="auto" w:sz="6" w:space="0"/>
            </w:tcBorders>
            <w:noWrap w:val="0"/>
            <w:vAlign w:val="center"/>
          </w:tcPr>
          <w:p>
            <w:pPr>
              <w:pStyle w:val="4"/>
              <w:keepNext w:val="0"/>
              <w:keepLines w:val="0"/>
              <w:pageBreakBefore w:val="0"/>
              <w:widowControl/>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支持≥1个DVI、≥1个HDMI、≥1个DP输入接口，支持4K分辨率信号接入；</w:t>
            </w:r>
          </w:p>
          <w:p>
            <w:pPr>
              <w:pStyle w:val="4"/>
              <w:keepNext w:val="0"/>
              <w:keepLines w:val="0"/>
              <w:pageBreakBefore w:val="0"/>
              <w:widowControl/>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支持亮度调节，可以通过客户端、遥控器、PAD及物理按键进行调节，并支持多台设备同时调节；</w:t>
            </w:r>
          </w:p>
          <w:p>
            <w:pPr>
              <w:pStyle w:val="4"/>
              <w:keepNext w:val="0"/>
              <w:keepLines w:val="0"/>
              <w:pageBreakBefore w:val="0"/>
              <w:widowControl/>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支持倍帧功能，可以将输入为30Hz的信号转成60Hz信号输出；</w:t>
            </w:r>
          </w:p>
          <w:p>
            <w:pPr>
              <w:pStyle w:val="4"/>
              <w:keepNext w:val="0"/>
              <w:keepLines w:val="0"/>
              <w:pageBreakBefore w:val="0"/>
              <w:widowControl/>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支持图片上传作为底图显示，且图片可轮巡；</w:t>
            </w:r>
          </w:p>
          <w:p>
            <w:pPr>
              <w:pStyle w:val="4"/>
              <w:keepNext w:val="0"/>
              <w:keepLines w:val="0"/>
              <w:pageBreakBefore w:val="0"/>
              <w:widowControl/>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支持800*600-4092*2160之间的多种分辨率视频信号自适应接入；</w:t>
            </w:r>
          </w:p>
          <w:p>
            <w:pPr>
              <w:pStyle w:val="4"/>
              <w:keepNext w:val="0"/>
              <w:keepLines w:val="0"/>
              <w:pageBreakBefore w:val="0"/>
              <w:widowControl/>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具备光感扩展接口，配合光感传感器，无需增加额外设备即可实现光感调节功能；</w:t>
            </w:r>
          </w:p>
          <w:p>
            <w:pPr>
              <w:pStyle w:val="4"/>
              <w:keepNext w:val="0"/>
              <w:keepLines w:val="0"/>
              <w:pageBreakBefore w:val="0"/>
              <w:widowControl/>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支持屏体各通道逐个延时上电，可通过遥控器进行操作；</w:t>
            </w:r>
          </w:p>
          <w:p>
            <w:pPr>
              <w:pStyle w:val="4"/>
              <w:keepNext w:val="0"/>
              <w:keepLines w:val="0"/>
              <w:pageBreakBefore w:val="0"/>
              <w:widowControl/>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支持通过物理按键、遥控器、客户端方式对屏幕红、绿、蓝、白、条纹逐行扫描进行自检操作；</w:t>
            </w:r>
          </w:p>
          <w:p>
            <w:pPr>
              <w:pStyle w:val="4"/>
              <w:keepNext w:val="0"/>
              <w:keepLines w:val="0"/>
              <w:pageBreakBefore w:val="0"/>
              <w:widowControl/>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可通过遥控器的便捷式操作，对图像的对比度、清晰度、饱和度、色温以及图像模式进行调节设置</w:t>
            </w:r>
          </w:p>
        </w:tc>
        <w:tc>
          <w:tcPr>
            <w:tcW w:w="618" w:type="dxa"/>
            <w:tcBorders>
              <w:top w:val="single" w:color="auto" w:sz="6" w:space="0"/>
              <w:left w:val="nil"/>
              <w:bottom w:val="single" w:color="auto" w:sz="6" w:space="0"/>
              <w:right w:val="single" w:color="auto" w:sz="6" w:space="0"/>
            </w:tcBorders>
            <w:noWrap w:val="0"/>
            <w:vAlign w:val="center"/>
          </w:tcPr>
          <w:p>
            <w:pPr>
              <w:jc w:val="center"/>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12</w:t>
            </w:r>
          </w:p>
        </w:tc>
        <w:tc>
          <w:tcPr>
            <w:tcW w:w="563"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bCs/>
                <w:color w:val="auto"/>
                <w:sz w:val="24"/>
                <w:szCs w:val="24"/>
                <w:highlight w:val="none"/>
                <w:lang w:eastAsia="zh-CN" w:bidi="ar"/>
              </w:rPr>
            </w:pPr>
            <w:r>
              <w:rPr>
                <w:rFonts w:hint="eastAsia" w:hAnsi="宋体" w:cs="宋体"/>
                <w:bCs/>
                <w:color w:val="auto"/>
                <w:sz w:val="24"/>
                <w:szCs w:val="24"/>
                <w:highlight w:val="none"/>
                <w:lang w:eastAsia="zh-CN" w:bidi="ar"/>
              </w:rPr>
              <w:t>张</w:t>
            </w:r>
          </w:p>
        </w:tc>
      </w:tr>
      <w:tr>
        <w:tblPrEx>
          <w:tblCellMar>
            <w:top w:w="0" w:type="dxa"/>
            <w:left w:w="108" w:type="dxa"/>
            <w:bottom w:w="0" w:type="dxa"/>
            <w:right w:w="108" w:type="dxa"/>
          </w:tblCellMar>
        </w:tblPrEx>
        <w:trPr>
          <w:trHeight w:val="943" w:hRule="atLeast"/>
        </w:trPr>
        <w:tc>
          <w:tcPr>
            <w:tcW w:w="602"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3</w:t>
            </w:r>
          </w:p>
        </w:tc>
        <w:tc>
          <w:tcPr>
            <w:tcW w:w="795"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color w:val="auto"/>
                <w:sz w:val="24"/>
                <w:szCs w:val="24"/>
                <w:highlight w:val="none"/>
                <w:lang w:eastAsia="zh-CN" w:bidi="ar"/>
              </w:rPr>
            </w:pPr>
            <w:r>
              <w:rPr>
                <w:rFonts w:hint="eastAsia" w:hAnsi="宋体" w:cs="宋体"/>
                <w:color w:val="auto"/>
                <w:sz w:val="24"/>
                <w:szCs w:val="24"/>
                <w:highlight w:val="none"/>
                <w:lang w:eastAsia="zh-CN" w:bidi="ar"/>
              </w:rPr>
              <w:t>LED播放软件</w:t>
            </w:r>
          </w:p>
        </w:tc>
        <w:tc>
          <w:tcPr>
            <w:tcW w:w="6985" w:type="dxa"/>
            <w:tcBorders>
              <w:top w:val="single" w:color="auto" w:sz="6" w:space="0"/>
              <w:left w:val="nil"/>
              <w:bottom w:val="single" w:color="auto" w:sz="6" w:space="0"/>
              <w:right w:val="single" w:color="auto" w:sz="6" w:space="0"/>
            </w:tcBorders>
            <w:noWrap w:val="0"/>
            <w:vAlign w:val="center"/>
          </w:tcPr>
          <w:p>
            <w:pPr>
              <w:pStyle w:val="4"/>
              <w:keepNext w:val="0"/>
              <w:keepLines w:val="0"/>
              <w:pageBreakBefore w:val="0"/>
              <w:widowControl/>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支持大屏显控、平板操控、内容切换、中控管理等功能；</w:t>
            </w:r>
          </w:p>
          <w:p>
            <w:pPr>
              <w:pStyle w:val="4"/>
              <w:keepNext w:val="0"/>
              <w:keepLines w:val="0"/>
              <w:pageBreakBefore w:val="0"/>
              <w:widowControl/>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应支持创建多种用户角色，针对不同的用户角色可分配不同的组织权限、功能应用权限、信号源权限、屏幕墙操控管理权限，支持角色分组；</w:t>
            </w:r>
          </w:p>
          <w:p>
            <w:pPr>
              <w:pStyle w:val="4"/>
              <w:keepNext w:val="0"/>
              <w:keepLines w:val="0"/>
              <w:pageBreakBefore w:val="0"/>
              <w:widowControl/>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应支持多用户登录，用户数量无限制，多用户操作同步实现多人协同办公，操作同步显示；</w:t>
            </w:r>
          </w:p>
          <w:p>
            <w:pPr>
              <w:pStyle w:val="4"/>
              <w:keepNext w:val="0"/>
              <w:keepLines w:val="0"/>
              <w:pageBreakBefore w:val="0"/>
              <w:widowControl/>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应支持对屏幕创建大屏门户，可自定义门户名称、选择门户模板、屏幕类型以及门户使用方式（只控制本屏幕、可联动其他屏幕）、背景图片；</w:t>
            </w:r>
          </w:p>
          <w:p>
            <w:pPr>
              <w:pStyle w:val="4"/>
              <w:keepNext w:val="0"/>
              <w:keepLines w:val="0"/>
              <w:pageBreakBefore w:val="0"/>
              <w:widowControl/>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应提供门户菜单支持自定义配置功能，可在基于模板的基础上，隐藏显示菜单项 、 移动菜单顺序 、修改菜单名称、 编辑菜单类型（控制页面、场景、二级门户）；</w:t>
            </w:r>
          </w:p>
          <w:p>
            <w:pPr>
              <w:pStyle w:val="4"/>
              <w:keepNext w:val="0"/>
              <w:keepLines w:val="0"/>
              <w:pageBreakBefore w:val="0"/>
              <w:widowControl/>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应提供选择菜单内容的功能，当联动多个屏幕时，内容可以关联多个；</w:t>
            </w:r>
          </w:p>
          <w:p>
            <w:pPr>
              <w:pStyle w:val="4"/>
              <w:keepNext w:val="0"/>
              <w:keepLines w:val="0"/>
              <w:pageBreakBefore w:val="0"/>
              <w:widowControl/>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应支持设置二级门户，通过一级门户链接至二级门户，进行大屏内容的控制；</w:t>
            </w:r>
          </w:p>
          <w:p>
            <w:pPr>
              <w:pStyle w:val="4"/>
              <w:keepNext w:val="0"/>
              <w:keepLines w:val="0"/>
              <w:pageBreakBefore w:val="0"/>
              <w:widowControl/>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需提供大屏控制软件软件著作权；</w:t>
            </w:r>
          </w:p>
        </w:tc>
        <w:tc>
          <w:tcPr>
            <w:tcW w:w="618" w:type="dxa"/>
            <w:tcBorders>
              <w:top w:val="single" w:color="auto" w:sz="6" w:space="0"/>
              <w:left w:val="nil"/>
              <w:bottom w:val="single" w:color="auto" w:sz="6" w:space="0"/>
              <w:right w:val="single" w:color="auto" w:sz="6" w:space="0"/>
            </w:tcBorders>
            <w:noWrap w:val="0"/>
            <w:vAlign w:val="center"/>
          </w:tcPr>
          <w:p>
            <w:pPr>
              <w:jc w:val="center"/>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1</w:t>
            </w:r>
          </w:p>
        </w:tc>
        <w:tc>
          <w:tcPr>
            <w:tcW w:w="563"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bCs/>
                <w:color w:val="auto"/>
                <w:sz w:val="24"/>
                <w:szCs w:val="24"/>
                <w:highlight w:val="none"/>
                <w:lang w:eastAsia="zh-CN" w:bidi="ar"/>
              </w:rPr>
            </w:pPr>
            <w:r>
              <w:rPr>
                <w:rFonts w:hint="eastAsia" w:hAnsi="宋体" w:cs="宋体"/>
                <w:bCs/>
                <w:color w:val="auto"/>
                <w:sz w:val="24"/>
                <w:szCs w:val="24"/>
                <w:highlight w:val="none"/>
                <w:lang w:eastAsia="zh-CN" w:bidi="ar"/>
              </w:rPr>
              <w:t>套</w:t>
            </w:r>
          </w:p>
        </w:tc>
      </w:tr>
      <w:tr>
        <w:tblPrEx>
          <w:tblCellMar>
            <w:top w:w="0" w:type="dxa"/>
            <w:left w:w="108" w:type="dxa"/>
            <w:bottom w:w="0" w:type="dxa"/>
            <w:right w:w="108" w:type="dxa"/>
          </w:tblCellMar>
        </w:tblPrEx>
        <w:trPr>
          <w:trHeight w:val="943" w:hRule="atLeast"/>
        </w:trPr>
        <w:tc>
          <w:tcPr>
            <w:tcW w:w="602"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4</w:t>
            </w:r>
          </w:p>
        </w:tc>
        <w:tc>
          <w:tcPr>
            <w:tcW w:w="795"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color w:val="auto"/>
                <w:sz w:val="24"/>
                <w:szCs w:val="24"/>
                <w:highlight w:val="none"/>
                <w:lang w:eastAsia="zh-CN" w:bidi="ar"/>
              </w:rPr>
            </w:pPr>
            <w:r>
              <w:rPr>
                <w:rFonts w:hint="eastAsia" w:hAnsi="宋体" w:cs="宋体"/>
                <w:color w:val="auto"/>
                <w:sz w:val="24"/>
                <w:szCs w:val="24"/>
                <w:highlight w:val="none"/>
                <w:lang w:eastAsia="zh-CN" w:bidi="ar"/>
              </w:rPr>
              <w:t>视频处理器</w:t>
            </w:r>
          </w:p>
        </w:tc>
        <w:tc>
          <w:tcPr>
            <w:tcW w:w="6985" w:type="dxa"/>
            <w:tcBorders>
              <w:top w:val="single" w:color="auto" w:sz="6" w:space="0"/>
              <w:left w:val="nil"/>
              <w:bottom w:val="single" w:color="auto" w:sz="6" w:space="0"/>
              <w:right w:val="single" w:color="auto" w:sz="6" w:space="0"/>
            </w:tcBorders>
            <w:noWrap w:val="0"/>
            <w:vAlign w:val="center"/>
          </w:tcPr>
          <w:p>
            <w:pPr>
              <w:pStyle w:val="4"/>
              <w:numPr>
                <w:ilvl w:val="0"/>
                <w:numId w:val="0"/>
              </w:numPr>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3槽位机箱，双电源适配器，单主控板；</w:t>
            </w:r>
          </w:p>
          <w:p>
            <w:pPr>
              <w:pStyle w:val="4"/>
              <w:numPr>
                <w:ilvl w:val="0"/>
                <w:numId w:val="0"/>
              </w:numPr>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业务模块支持热插拔、双电源冗余、智能风扇自动调温；</w:t>
            </w:r>
          </w:p>
          <w:p>
            <w:pPr>
              <w:pStyle w:val="4"/>
              <w:numPr>
                <w:ilvl w:val="0"/>
                <w:numId w:val="0"/>
              </w:numPr>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信号源采集后经过高速背板总线到输出显示所用时间应≤35ms；图像切换时间应＜20ms；</w:t>
            </w:r>
          </w:p>
          <w:p>
            <w:pPr>
              <w:pStyle w:val="4"/>
              <w:numPr>
                <w:ilvl w:val="0"/>
                <w:numId w:val="0"/>
              </w:numPr>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多设备之间的视频数据通过光纤级联传输延时≤100ms；</w:t>
            </w:r>
          </w:p>
          <w:p>
            <w:pPr>
              <w:pStyle w:val="4"/>
              <w:numPr>
                <w:ilvl w:val="0"/>
                <w:numId w:val="0"/>
              </w:numPr>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主控板具有≥16个串口支持挂载≥128个RS485控制设备，可将IP数据发送至串口；</w:t>
            </w:r>
          </w:p>
          <w:p>
            <w:pPr>
              <w:pStyle w:val="4"/>
              <w:numPr>
                <w:ilvl w:val="0"/>
                <w:numId w:val="0"/>
              </w:numPr>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主控板具有≥7个RJ45网络接口、≥6个光纤接口、≥1个USB接口；</w:t>
            </w:r>
          </w:p>
          <w:p>
            <w:pPr>
              <w:pStyle w:val="4"/>
              <w:numPr>
                <w:ilvl w:val="0"/>
                <w:numId w:val="0"/>
              </w:numPr>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支持接入4096x4320、8192x2160、15360x6480、15360x8460、16384x6480等分辨率图像信号；</w:t>
            </w:r>
          </w:p>
          <w:p>
            <w:pPr>
              <w:pStyle w:val="4"/>
              <w:numPr>
                <w:ilvl w:val="0"/>
                <w:numId w:val="0"/>
              </w:numPr>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支持视音频同步输出，支持多组轮巡同步切换；</w:t>
            </w:r>
          </w:p>
          <w:p>
            <w:pPr>
              <w:pStyle w:val="4"/>
              <w:numPr>
                <w:ilvl w:val="0"/>
                <w:numId w:val="0"/>
              </w:numPr>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含1块编码板：</w:t>
            </w:r>
          </w:p>
          <w:p>
            <w:pPr>
              <w:pStyle w:val="4"/>
              <w:numPr>
                <w:ilvl w:val="0"/>
                <w:numId w:val="0"/>
              </w:numPr>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视频输入口：≥8路视频输入，≥4个VGA和4个DVI；</w:t>
            </w:r>
          </w:p>
          <w:p>
            <w:pPr>
              <w:pStyle w:val="4"/>
              <w:numPr>
                <w:ilvl w:val="0"/>
                <w:numId w:val="0"/>
              </w:numPr>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音频输入口：≥8路音频输入，≥1个DB15转BNC接口；</w:t>
            </w:r>
          </w:p>
          <w:p>
            <w:pPr>
              <w:pStyle w:val="4"/>
              <w:numPr>
                <w:ilvl w:val="0"/>
                <w:numId w:val="0"/>
              </w:numPr>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编码标准：标准H.264；</w:t>
            </w:r>
          </w:p>
          <w:p>
            <w:pPr>
              <w:pStyle w:val="4"/>
              <w:numPr>
                <w:ilvl w:val="0"/>
                <w:numId w:val="0"/>
              </w:numPr>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编码能力：≥8路，支持的编码分辨率为：1080P/720P/4CIF/CIF/QCIF；</w:t>
            </w:r>
          </w:p>
          <w:p>
            <w:pPr>
              <w:pStyle w:val="4"/>
              <w:numPr>
                <w:ilvl w:val="0"/>
                <w:numId w:val="0"/>
              </w:numPr>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2块解码板：</w:t>
            </w:r>
          </w:p>
          <w:p>
            <w:pPr>
              <w:pStyle w:val="4"/>
              <w:numPr>
                <w:ilvl w:val="0"/>
                <w:numId w:val="0"/>
              </w:numPr>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≥8路DVI显示接口输出；</w:t>
            </w:r>
          </w:p>
          <w:p>
            <w:pPr>
              <w:pStyle w:val="4"/>
              <w:numPr>
                <w:ilvl w:val="0"/>
                <w:numId w:val="0"/>
              </w:numPr>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支持≥16路800W/≥64路1080P/≥128路720P/≥256路4CIF解码H.264/H.265解码；</w:t>
            </w:r>
          </w:p>
          <w:p>
            <w:pPr>
              <w:pStyle w:val="4"/>
              <w:numPr>
                <w:ilvl w:val="0"/>
                <w:numId w:val="0"/>
              </w:numPr>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≥1个DB15转8路音频输出；</w:t>
            </w:r>
          </w:p>
          <w:p>
            <w:pPr>
              <w:pStyle w:val="4"/>
              <w:numPr>
                <w:ilvl w:val="0"/>
                <w:numId w:val="0"/>
              </w:numPr>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支持大屏拼接漫游；</w:t>
            </w:r>
          </w:p>
        </w:tc>
        <w:tc>
          <w:tcPr>
            <w:tcW w:w="618" w:type="dxa"/>
            <w:tcBorders>
              <w:top w:val="single" w:color="auto" w:sz="6" w:space="0"/>
              <w:left w:val="nil"/>
              <w:bottom w:val="single" w:color="auto" w:sz="6" w:space="0"/>
              <w:right w:val="single" w:color="auto" w:sz="6" w:space="0"/>
            </w:tcBorders>
            <w:noWrap w:val="0"/>
            <w:vAlign w:val="center"/>
          </w:tcPr>
          <w:p>
            <w:pPr>
              <w:jc w:val="center"/>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1</w:t>
            </w:r>
          </w:p>
        </w:tc>
        <w:tc>
          <w:tcPr>
            <w:tcW w:w="563"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bCs/>
                <w:color w:val="auto"/>
                <w:sz w:val="24"/>
                <w:szCs w:val="24"/>
                <w:highlight w:val="none"/>
                <w:lang w:eastAsia="zh-CN" w:bidi="ar"/>
              </w:rPr>
            </w:pPr>
            <w:r>
              <w:rPr>
                <w:rFonts w:hint="eastAsia" w:hAnsi="宋体" w:cs="宋体"/>
                <w:bCs/>
                <w:color w:val="auto"/>
                <w:sz w:val="24"/>
                <w:szCs w:val="24"/>
                <w:highlight w:val="none"/>
                <w:lang w:eastAsia="zh-CN" w:bidi="ar"/>
              </w:rPr>
              <w:t>台</w:t>
            </w:r>
          </w:p>
        </w:tc>
      </w:tr>
      <w:tr>
        <w:tblPrEx>
          <w:tblCellMar>
            <w:top w:w="0" w:type="dxa"/>
            <w:left w:w="108" w:type="dxa"/>
            <w:bottom w:w="0" w:type="dxa"/>
            <w:right w:w="108" w:type="dxa"/>
          </w:tblCellMar>
        </w:tblPrEx>
        <w:trPr>
          <w:trHeight w:val="943" w:hRule="atLeast"/>
        </w:trPr>
        <w:tc>
          <w:tcPr>
            <w:tcW w:w="602"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5</w:t>
            </w:r>
          </w:p>
        </w:tc>
        <w:tc>
          <w:tcPr>
            <w:tcW w:w="795"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color w:val="auto"/>
                <w:sz w:val="24"/>
                <w:szCs w:val="24"/>
                <w:highlight w:val="none"/>
                <w:lang w:eastAsia="zh-CN" w:bidi="ar"/>
              </w:rPr>
            </w:pPr>
            <w:r>
              <w:rPr>
                <w:rFonts w:hint="eastAsia" w:hAnsi="宋体" w:cs="宋体"/>
                <w:color w:val="auto"/>
                <w:sz w:val="24"/>
                <w:szCs w:val="24"/>
                <w:highlight w:val="none"/>
                <w:lang w:eastAsia="zh-CN" w:bidi="ar"/>
              </w:rPr>
              <w:t>工控机</w:t>
            </w:r>
          </w:p>
        </w:tc>
        <w:tc>
          <w:tcPr>
            <w:tcW w:w="6985" w:type="dxa"/>
            <w:tcBorders>
              <w:top w:val="single" w:color="auto" w:sz="6" w:space="0"/>
              <w:left w:val="nil"/>
              <w:bottom w:val="single" w:color="auto" w:sz="6" w:space="0"/>
              <w:right w:val="single" w:color="auto" w:sz="6" w:space="0"/>
            </w:tcBorders>
            <w:noWrap w:val="0"/>
            <w:vAlign w:val="center"/>
          </w:tcPr>
          <w:p>
            <w:pPr>
              <w:pStyle w:val="4"/>
              <w:numPr>
                <w:ilvl w:val="0"/>
                <w:numId w:val="0"/>
              </w:numPr>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≥40KW配电柜</w:t>
            </w:r>
          </w:p>
          <w:p>
            <w:pPr>
              <w:pStyle w:val="4"/>
              <w:numPr>
                <w:ilvl w:val="0"/>
                <w:numId w:val="0"/>
              </w:numPr>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控制：欧姆龙PLC控制器，网络远程控制</w:t>
            </w:r>
          </w:p>
          <w:p>
            <w:pPr>
              <w:pStyle w:val="4"/>
              <w:numPr>
                <w:ilvl w:val="0"/>
                <w:numId w:val="0"/>
              </w:numPr>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元器件：德力西断路器，施耐德接触器</w:t>
            </w:r>
          </w:p>
          <w:p>
            <w:pPr>
              <w:pStyle w:val="4"/>
              <w:numPr>
                <w:ilvl w:val="0"/>
                <w:numId w:val="0"/>
              </w:numPr>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输入电压：380V，三相五线</w:t>
            </w:r>
          </w:p>
          <w:p>
            <w:pPr>
              <w:pStyle w:val="4"/>
              <w:numPr>
                <w:ilvl w:val="0"/>
                <w:numId w:val="0"/>
              </w:numPr>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输出电压：220V</w:t>
            </w:r>
          </w:p>
          <w:p>
            <w:pPr>
              <w:pStyle w:val="4"/>
              <w:numPr>
                <w:ilvl w:val="0"/>
                <w:numId w:val="0"/>
              </w:numPr>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输出回路：≥6个单相回路</w:t>
            </w:r>
          </w:p>
        </w:tc>
        <w:tc>
          <w:tcPr>
            <w:tcW w:w="618" w:type="dxa"/>
            <w:tcBorders>
              <w:top w:val="single" w:color="auto" w:sz="6" w:space="0"/>
              <w:left w:val="nil"/>
              <w:bottom w:val="single" w:color="auto" w:sz="6" w:space="0"/>
              <w:right w:val="single" w:color="auto" w:sz="6" w:space="0"/>
            </w:tcBorders>
            <w:noWrap w:val="0"/>
            <w:vAlign w:val="center"/>
          </w:tcPr>
          <w:p>
            <w:pPr>
              <w:jc w:val="center"/>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1</w:t>
            </w:r>
          </w:p>
        </w:tc>
        <w:tc>
          <w:tcPr>
            <w:tcW w:w="563"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bCs/>
                <w:color w:val="auto"/>
                <w:sz w:val="24"/>
                <w:szCs w:val="24"/>
                <w:highlight w:val="none"/>
                <w:lang w:eastAsia="zh-CN" w:bidi="ar"/>
              </w:rPr>
            </w:pPr>
            <w:r>
              <w:rPr>
                <w:rFonts w:hint="eastAsia" w:hAnsi="宋体" w:cs="宋体"/>
                <w:bCs/>
                <w:color w:val="auto"/>
                <w:sz w:val="24"/>
                <w:szCs w:val="24"/>
                <w:highlight w:val="none"/>
                <w:lang w:eastAsia="zh-CN" w:bidi="ar"/>
              </w:rPr>
              <w:t>台</w:t>
            </w:r>
          </w:p>
        </w:tc>
      </w:tr>
      <w:tr>
        <w:tblPrEx>
          <w:tblCellMar>
            <w:top w:w="0" w:type="dxa"/>
            <w:left w:w="108" w:type="dxa"/>
            <w:bottom w:w="0" w:type="dxa"/>
            <w:right w:w="108" w:type="dxa"/>
          </w:tblCellMar>
        </w:tblPrEx>
        <w:trPr>
          <w:trHeight w:val="782" w:hRule="atLeast"/>
        </w:trPr>
        <w:tc>
          <w:tcPr>
            <w:tcW w:w="602"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6</w:t>
            </w:r>
          </w:p>
        </w:tc>
        <w:tc>
          <w:tcPr>
            <w:tcW w:w="795"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color w:val="auto"/>
                <w:sz w:val="24"/>
                <w:szCs w:val="24"/>
                <w:highlight w:val="none"/>
                <w:lang w:eastAsia="zh-CN" w:bidi="ar"/>
              </w:rPr>
            </w:pPr>
            <w:r>
              <w:rPr>
                <w:rFonts w:hint="eastAsia" w:hAnsi="宋体" w:cs="宋体"/>
                <w:color w:val="auto"/>
                <w:sz w:val="24"/>
                <w:szCs w:val="24"/>
                <w:highlight w:val="none"/>
                <w:lang w:eastAsia="zh-CN" w:bidi="ar"/>
              </w:rPr>
              <w:t>线材</w:t>
            </w:r>
          </w:p>
        </w:tc>
        <w:tc>
          <w:tcPr>
            <w:tcW w:w="6985" w:type="dxa"/>
            <w:tcBorders>
              <w:top w:val="single" w:color="auto" w:sz="6" w:space="0"/>
              <w:left w:val="nil"/>
              <w:bottom w:val="single" w:color="auto" w:sz="6" w:space="0"/>
              <w:right w:val="single" w:color="auto" w:sz="6" w:space="0"/>
            </w:tcBorders>
            <w:noWrap w:val="0"/>
            <w:vAlign w:val="center"/>
          </w:tcPr>
          <w:p>
            <w:pPr>
              <w:pStyle w:val="4"/>
              <w:numPr>
                <w:ilvl w:val="0"/>
                <w:numId w:val="0"/>
              </w:numPr>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线材及配管</w:t>
            </w:r>
          </w:p>
        </w:tc>
        <w:tc>
          <w:tcPr>
            <w:tcW w:w="618" w:type="dxa"/>
            <w:tcBorders>
              <w:top w:val="single" w:color="auto" w:sz="6" w:space="0"/>
              <w:left w:val="nil"/>
              <w:bottom w:val="single" w:color="auto" w:sz="6" w:space="0"/>
              <w:right w:val="single" w:color="auto" w:sz="6" w:space="0"/>
            </w:tcBorders>
            <w:noWrap w:val="0"/>
            <w:vAlign w:val="center"/>
          </w:tcPr>
          <w:p>
            <w:pPr>
              <w:jc w:val="center"/>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1</w:t>
            </w:r>
          </w:p>
        </w:tc>
        <w:tc>
          <w:tcPr>
            <w:tcW w:w="563"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bCs/>
                <w:color w:val="auto"/>
                <w:sz w:val="24"/>
                <w:szCs w:val="24"/>
                <w:highlight w:val="none"/>
                <w:lang w:eastAsia="zh-CN" w:bidi="ar"/>
              </w:rPr>
            </w:pPr>
            <w:r>
              <w:rPr>
                <w:rFonts w:hint="eastAsia" w:hAnsi="宋体" w:cs="宋体"/>
                <w:bCs/>
                <w:color w:val="auto"/>
                <w:sz w:val="24"/>
                <w:szCs w:val="24"/>
                <w:highlight w:val="none"/>
                <w:lang w:eastAsia="zh-CN" w:bidi="ar"/>
              </w:rPr>
              <w:t>套</w:t>
            </w:r>
          </w:p>
        </w:tc>
      </w:tr>
      <w:tr>
        <w:tblPrEx>
          <w:tblCellMar>
            <w:top w:w="0" w:type="dxa"/>
            <w:left w:w="108" w:type="dxa"/>
            <w:bottom w:w="0" w:type="dxa"/>
            <w:right w:w="108" w:type="dxa"/>
          </w:tblCellMar>
        </w:tblPrEx>
        <w:trPr>
          <w:trHeight w:val="740" w:hRule="atLeast"/>
        </w:trPr>
        <w:tc>
          <w:tcPr>
            <w:tcW w:w="602"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7</w:t>
            </w:r>
          </w:p>
        </w:tc>
        <w:tc>
          <w:tcPr>
            <w:tcW w:w="795"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color w:val="auto"/>
                <w:sz w:val="24"/>
                <w:szCs w:val="24"/>
                <w:highlight w:val="none"/>
                <w:lang w:eastAsia="zh-CN" w:bidi="ar"/>
              </w:rPr>
            </w:pPr>
            <w:r>
              <w:rPr>
                <w:rFonts w:hint="eastAsia" w:ascii="宋体" w:hAnsi="宋体" w:eastAsia="宋体" w:cs="宋体"/>
                <w:color w:val="000000" w:themeColor="text1"/>
                <w:kern w:val="2"/>
                <w:sz w:val="24"/>
                <w:szCs w:val="24"/>
                <w:lang w:val="en-US" w:eastAsia="zh-CN" w:bidi="ar-SA"/>
              </w:rPr>
              <w:t>钢结构</w:t>
            </w:r>
          </w:p>
        </w:tc>
        <w:tc>
          <w:tcPr>
            <w:tcW w:w="6985" w:type="dxa"/>
            <w:tcBorders>
              <w:top w:val="single" w:color="auto" w:sz="6" w:space="0"/>
              <w:left w:val="nil"/>
              <w:bottom w:val="single" w:color="auto" w:sz="6" w:space="0"/>
              <w:right w:val="single" w:color="auto" w:sz="6" w:space="0"/>
            </w:tcBorders>
            <w:noWrap w:val="0"/>
            <w:vAlign w:val="center"/>
          </w:tcPr>
          <w:p>
            <w:pPr>
              <w:pStyle w:val="4"/>
              <w:numPr>
                <w:ilvl w:val="0"/>
                <w:numId w:val="0"/>
              </w:numPr>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color w:val="000000" w:themeColor="text1"/>
                <w:kern w:val="2"/>
                <w:sz w:val="24"/>
                <w:szCs w:val="24"/>
                <w:lang w:val="en-US" w:eastAsia="zh-CN" w:bidi="ar-SA"/>
              </w:rPr>
              <w:t>钢结构</w:t>
            </w:r>
            <w:r>
              <w:rPr>
                <w:rFonts w:hint="eastAsia" w:hAnsi="宋体" w:cs="宋体"/>
                <w:color w:val="000000" w:themeColor="text1"/>
                <w:sz w:val="24"/>
                <w:szCs w:val="24"/>
                <w:highlight w:val="none"/>
                <w:lang w:eastAsia="zh-CN" w:bidi="ar"/>
              </w:rPr>
              <w:t>设备支架及包边，以满足实际需要及采购人要求为准</w:t>
            </w:r>
          </w:p>
        </w:tc>
        <w:tc>
          <w:tcPr>
            <w:tcW w:w="618"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43.32</w:t>
            </w:r>
          </w:p>
        </w:tc>
        <w:tc>
          <w:tcPr>
            <w:tcW w:w="563"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bCs/>
                <w:color w:val="auto"/>
                <w:sz w:val="24"/>
                <w:szCs w:val="24"/>
                <w:highlight w:val="none"/>
                <w:lang w:eastAsia="zh-CN" w:bidi="ar"/>
              </w:rPr>
            </w:pPr>
            <w:r>
              <w:rPr>
                <w:rFonts w:hint="eastAsia" w:hAnsi="宋体" w:cs="宋体"/>
                <w:bCs/>
                <w:color w:val="auto"/>
                <w:sz w:val="24"/>
                <w:szCs w:val="24"/>
                <w:highlight w:val="none"/>
                <w:lang w:eastAsia="zh-CN" w:bidi="ar"/>
              </w:rPr>
              <w:t>米</w:t>
            </w:r>
          </w:p>
        </w:tc>
      </w:tr>
      <w:tr>
        <w:tblPrEx>
          <w:tblCellMar>
            <w:top w:w="0" w:type="dxa"/>
            <w:left w:w="108" w:type="dxa"/>
            <w:bottom w:w="0" w:type="dxa"/>
            <w:right w:w="108" w:type="dxa"/>
          </w:tblCellMar>
        </w:tblPrEx>
        <w:trPr>
          <w:trHeight w:val="571" w:hRule="atLeast"/>
        </w:trPr>
        <w:tc>
          <w:tcPr>
            <w:tcW w:w="9563" w:type="dxa"/>
            <w:gridSpan w:val="5"/>
            <w:tcBorders>
              <w:top w:val="single" w:color="auto" w:sz="6" w:space="0"/>
              <w:left w:val="single" w:color="auto" w:sz="6" w:space="0"/>
              <w:bottom w:val="single" w:color="auto" w:sz="6" w:space="0"/>
              <w:right w:val="single" w:color="auto" w:sz="6" w:space="0"/>
            </w:tcBorders>
            <w:noWrap w:val="0"/>
            <w:vAlign w:val="center"/>
          </w:tcPr>
          <w:p>
            <w:pPr>
              <w:jc w:val="center"/>
              <w:rPr>
                <w:rFonts w:hint="eastAsia" w:hAnsi="宋体" w:cs="宋体"/>
                <w:bCs/>
                <w:color w:val="auto"/>
                <w:sz w:val="24"/>
                <w:szCs w:val="24"/>
                <w:highlight w:val="none"/>
                <w:lang w:eastAsia="zh-CN" w:bidi="ar"/>
              </w:rPr>
            </w:pPr>
            <w:r>
              <w:rPr>
                <w:rFonts w:hint="eastAsia" w:hAnsi="宋体" w:cs="宋体"/>
                <w:b/>
                <w:bCs w:val="0"/>
                <w:color w:val="auto"/>
                <w:sz w:val="24"/>
                <w:szCs w:val="24"/>
                <w:highlight w:val="none"/>
                <w:lang w:eastAsia="zh-CN" w:bidi="ar"/>
              </w:rPr>
              <w:t>空调系统</w:t>
            </w:r>
          </w:p>
        </w:tc>
      </w:tr>
      <w:tr>
        <w:tblPrEx>
          <w:tblCellMar>
            <w:top w:w="0" w:type="dxa"/>
            <w:left w:w="108" w:type="dxa"/>
            <w:bottom w:w="0" w:type="dxa"/>
            <w:right w:w="108" w:type="dxa"/>
          </w:tblCellMar>
        </w:tblPrEx>
        <w:trPr>
          <w:trHeight w:val="943" w:hRule="atLeast"/>
        </w:trPr>
        <w:tc>
          <w:tcPr>
            <w:tcW w:w="602"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1</w:t>
            </w:r>
          </w:p>
        </w:tc>
        <w:tc>
          <w:tcPr>
            <w:tcW w:w="795"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color w:val="000000" w:themeColor="text1"/>
                <w:sz w:val="24"/>
                <w:szCs w:val="24"/>
                <w:highlight w:val="none"/>
                <w:lang w:eastAsia="zh-CN" w:bidi="ar"/>
              </w:rPr>
            </w:pPr>
            <w:r>
              <w:rPr>
                <w:rFonts w:hint="eastAsia" w:hAnsi="宋体" w:cs="宋体"/>
                <w:color w:val="000000" w:themeColor="text1"/>
                <w:sz w:val="24"/>
                <w:szCs w:val="24"/>
                <w:highlight w:val="none"/>
                <w:lang w:eastAsia="zh-CN" w:bidi="ar"/>
              </w:rPr>
              <w:t>中央空调</w:t>
            </w:r>
          </w:p>
        </w:tc>
        <w:tc>
          <w:tcPr>
            <w:tcW w:w="6985" w:type="dxa"/>
            <w:tcBorders>
              <w:top w:val="single" w:color="auto" w:sz="6" w:space="0"/>
              <w:left w:val="nil"/>
              <w:bottom w:val="single" w:color="auto" w:sz="6" w:space="0"/>
              <w:right w:val="single" w:color="auto" w:sz="6" w:space="0"/>
            </w:tcBorders>
            <w:noWrap w:val="0"/>
            <w:vAlign w:val="center"/>
          </w:tcPr>
          <w:p>
            <w:pPr>
              <w:pStyle w:val="4"/>
              <w:numPr>
                <w:ilvl w:val="0"/>
                <w:numId w:val="0"/>
              </w:numPr>
              <w:ind w:leftChars="0"/>
              <w:rPr>
                <w:rFonts w:hint="eastAsia" w:ascii="宋体" w:hAnsi="宋体" w:eastAsia="宋体" w:cs="宋体"/>
                <w:color w:val="000000" w:themeColor="text1"/>
                <w:kern w:val="2"/>
                <w:sz w:val="24"/>
                <w:szCs w:val="24"/>
                <w:lang w:val="en-US" w:eastAsia="zh-CN" w:bidi="ar-SA"/>
              </w:rPr>
            </w:pPr>
            <w:r>
              <w:rPr>
                <w:rFonts w:hint="eastAsia" w:hAnsi="宋体" w:cs="宋体"/>
                <w:color w:val="000000" w:themeColor="text1"/>
                <w:kern w:val="2"/>
                <w:sz w:val="24"/>
                <w:szCs w:val="24"/>
                <w:lang w:val="en-US" w:eastAsia="zh-CN" w:bidi="ar-SA"/>
              </w:rPr>
              <w:t>1、</w:t>
            </w:r>
            <w:r>
              <w:rPr>
                <w:rFonts w:hint="eastAsia" w:ascii="宋体" w:hAnsi="宋体" w:eastAsia="宋体" w:cs="宋体"/>
                <w:color w:val="000000" w:themeColor="text1"/>
                <w:kern w:val="2"/>
                <w:sz w:val="24"/>
                <w:szCs w:val="24"/>
                <w:lang w:val="en-US" w:eastAsia="zh-CN" w:bidi="ar-SA"/>
              </w:rPr>
              <w:t>定频风管机组</w:t>
            </w:r>
            <w:r>
              <w:rPr>
                <w:rFonts w:hint="eastAsia" w:hAnsi="宋体" w:cs="宋体"/>
                <w:color w:val="000000" w:themeColor="text1"/>
                <w:kern w:val="2"/>
                <w:sz w:val="24"/>
                <w:szCs w:val="24"/>
                <w:lang w:val="en-US" w:eastAsia="zh-CN" w:bidi="ar-SA"/>
              </w:rPr>
              <w:t>，每台</w:t>
            </w:r>
            <w:r>
              <w:rPr>
                <w:rFonts w:hint="eastAsia" w:ascii="宋体" w:hAnsi="宋体" w:eastAsia="宋体" w:cs="宋体"/>
                <w:color w:val="000000" w:themeColor="text1"/>
                <w:kern w:val="2"/>
                <w:sz w:val="24"/>
                <w:szCs w:val="24"/>
                <w:lang w:val="en-US" w:eastAsia="zh-CN" w:bidi="ar-SA"/>
              </w:rPr>
              <w:t>暂定金额256500</w:t>
            </w:r>
            <w:r>
              <w:rPr>
                <w:rFonts w:hint="eastAsia" w:hAnsi="宋体" w:cs="宋体"/>
                <w:color w:val="000000" w:themeColor="text1"/>
                <w:kern w:val="2"/>
                <w:sz w:val="24"/>
                <w:szCs w:val="24"/>
                <w:lang w:val="en-US" w:eastAsia="zh-CN" w:bidi="ar-SA"/>
              </w:rPr>
              <w:t>.00元</w:t>
            </w:r>
          </w:p>
          <w:p>
            <w:pPr>
              <w:pStyle w:val="4"/>
              <w:numPr>
                <w:ilvl w:val="0"/>
                <w:numId w:val="0"/>
              </w:numPr>
              <w:ind w:leftChars="0"/>
              <w:rPr>
                <w:rFonts w:hint="eastAsia" w:ascii="宋体" w:hAnsi="宋体" w:eastAsia="宋体" w:cs="宋体"/>
                <w:color w:val="000000" w:themeColor="text1"/>
                <w:kern w:val="2"/>
                <w:sz w:val="24"/>
                <w:szCs w:val="24"/>
                <w:lang w:val="en-US" w:eastAsia="zh-CN" w:bidi="ar-SA"/>
              </w:rPr>
            </w:pPr>
            <w:r>
              <w:rPr>
                <w:rFonts w:hint="eastAsia" w:hAnsi="宋体" w:cs="宋体"/>
                <w:color w:val="000000" w:themeColor="text1"/>
                <w:kern w:val="2"/>
                <w:sz w:val="24"/>
                <w:szCs w:val="24"/>
                <w:lang w:val="en-US" w:eastAsia="zh-CN" w:bidi="ar-SA"/>
              </w:rPr>
              <w:t>2、</w:t>
            </w:r>
            <w:r>
              <w:rPr>
                <w:rFonts w:hint="eastAsia" w:ascii="宋体" w:hAnsi="宋体" w:eastAsia="宋体" w:cs="宋体"/>
                <w:color w:val="000000" w:themeColor="text1"/>
                <w:kern w:val="2"/>
                <w:sz w:val="24"/>
                <w:szCs w:val="24"/>
                <w:lang w:val="en-US" w:eastAsia="zh-CN" w:bidi="ar-SA"/>
              </w:rPr>
              <w:t>以满足实际需要及采购人要求为准</w:t>
            </w:r>
          </w:p>
          <w:p>
            <w:pPr>
              <w:pStyle w:val="4"/>
              <w:numPr>
                <w:ilvl w:val="0"/>
                <w:numId w:val="0"/>
              </w:numPr>
              <w:ind w:leftChars="0"/>
              <w:rPr>
                <w:rFonts w:hint="eastAsia" w:ascii="宋体" w:hAnsi="宋体" w:eastAsia="宋体" w:cs="宋体"/>
                <w:color w:val="000000" w:themeColor="text1"/>
                <w:kern w:val="2"/>
                <w:sz w:val="24"/>
                <w:szCs w:val="24"/>
                <w:lang w:val="en-US" w:eastAsia="zh-CN" w:bidi="ar-SA"/>
              </w:rPr>
            </w:pPr>
            <w:r>
              <w:rPr>
                <w:rFonts w:hint="eastAsia" w:hAnsi="宋体" w:cs="宋体"/>
                <w:color w:val="000000" w:themeColor="text1"/>
                <w:kern w:val="2"/>
                <w:sz w:val="24"/>
                <w:szCs w:val="24"/>
                <w:lang w:val="en-US" w:eastAsia="zh-CN" w:bidi="ar-SA"/>
              </w:rPr>
              <w:t>3、</w:t>
            </w:r>
            <w:r>
              <w:rPr>
                <w:rFonts w:hint="eastAsia" w:ascii="宋体" w:hAnsi="宋体" w:eastAsia="宋体" w:cs="宋体"/>
                <w:color w:val="000000" w:themeColor="text1"/>
                <w:kern w:val="2"/>
                <w:sz w:val="24"/>
                <w:szCs w:val="24"/>
                <w:lang w:val="en-US" w:eastAsia="zh-CN" w:bidi="ar-SA"/>
              </w:rPr>
              <w:t>最终结算价以审计或验收结论为准</w:t>
            </w:r>
          </w:p>
        </w:tc>
        <w:tc>
          <w:tcPr>
            <w:tcW w:w="618" w:type="dxa"/>
            <w:tcBorders>
              <w:top w:val="single" w:color="auto" w:sz="6" w:space="0"/>
              <w:left w:val="nil"/>
              <w:bottom w:val="single" w:color="auto" w:sz="6" w:space="0"/>
              <w:right w:val="single" w:color="auto" w:sz="6" w:space="0"/>
            </w:tcBorders>
            <w:noWrap w:val="0"/>
            <w:vAlign w:val="center"/>
          </w:tcPr>
          <w:p>
            <w:pPr>
              <w:jc w:val="center"/>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5</w:t>
            </w:r>
          </w:p>
        </w:tc>
        <w:tc>
          <w:tcPr>
            <w:tcW w:w="563"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bCs/>
                <w:color w:val="auto"/>
                <w:sz w:val="24"/>
                <w:szCs w:val="24"/>
                <w:highlight w:val="none"/>
                <w:lang w:eastAsia="zh-CN" w:bidi="ar"/>
              </w:rPr>
            </w:pPr>
            <w:r>
              <w:rPr>
                <w:rFonts w:hint="eastAsia" w:hAnsi="宋体" w:cs="宋体"/>
                <w:bCs/>
                <w:color w:val="auto"/>
                <w:sz w:val="24"/>
                <w:szCs w:val="24"/>
                <w:highlight w:val="none"/>
                <w:lang w:eastAsia="zh-CN" w:bidi="ar"/>
              </w:rPr>
              <w:t>台</w:t>
            </w:r>
          </w:p>
        </w:tc>
      </w:tr>
      <w:tr>
        <w:tblPrEx>
          <w:tblCellMar>
            <w:top w:w="0" w:type="dxa"/>
            <w:left w:w="108" w:type="dxa"/>
            <w:bottom w:w="0" w:type="dxa"/>
            <w:right w:w="108" w:type="dxa"/>
          </w:tblCellMar>
        </w:tblPrEx>
        <w:trPr>
          <w:trHeight w:val="911" w:hRule="atLeast"/>
        </w:trPr>
        <w:tc>
          <w:tcPr>
            <w:tcW w:w="602"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2</w:t>
            </w:r>
          </w:p>
        </w:tc>
        <w:tc>
          <w:tcPr>
            <w:tcW w:w="795"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color w:val="auto"/>
                <w:sz w:val="24"/>
                <w:szCs w:val="24"/>
                <w:highlight w:val="none"/>
                <w:lang w:eastAsia="zh-CN" w:bidi="ar"/>
              </w:rPr>
            </w:pPr>
            <w:r>
              <w:rPr>
                <w:rFonts w:hint="eastAsia" w:hAnsi="宋体" w:cs="宋体"/>
                <w:color w:val="auto"/>
                <w:sz w:val="24"/>
                <w:szCs w:val="24"/>
                <w:highlight w:val="none"/>
                <w:lang w:eastAsia="zh-CN" w:bidi="ar"/>
              </w:rPr>
              <w:t>出回风口</w:t>
            </w:r>
          </w:p>
        </w:tc>
        <w:tc>
          <w:tcPr>
            <w:tcW w:w="6985" w:type="dxa"/>
            <w:tcBorders>
              <w:top w:val="single" w:color="auto" w:sz="6" w:space="0"/>
              <w:left w:val="nil"/>
              <w:bottom w:val="single" w:color="auto" w:sz="6" w:space="0"/>
              <w:right w:val="single" w:color="auto" w:sz="6" w:space="0"/>
            </w:tcBorders>
            <w:noWrap w:val="0"/>
            <w:vAlign w:val="center"/>
          </w:tcPr>
          <w:p>
            <w:pPr>
              <w:pStyle w:val="4"/>
              <w:numPr>
                <w:ilvl w:val="0"/>
                <w:numId w:val="0"/>
              </w:numPr>
              <w:ind w:leftChars="0"/>
              <w:rPr>
                <w:rFonts w:hint="eastAsia" w:ascii="宋体" w:hAnsi="宋体" w:eastAsia="宋体" w:cs="宋体"/>
                <w:color w:val="FF0000"/>
                <w:kern w:val="2"/>
                <w:sz w:val="24"/>
                <w:szCs w:val="24"/>
                <w:lang w:val="en-US" w:eastAsia="zh-CN" w:bidi="ar-SA"/>
              </w:rPr>
            </w:pPr>
            <w:r>
              <w:rPr>
                <w:rFonts w:hint="eastAsia" w:ascii="宋体" w:hAnsi="宋体" w:eastAsia="宋体" w:cs="宋体"/>
                <w:color w:val="000000" w:themeColor="text1"/>
                <w:kern w:val="2"/>
                <w:sz w:val="24"/>
                <w:szCs w:val="24"/>
                <w:lang w:val="en-US" w:eastAsia="zh-CN" w:bidi="ar-SA"/>
              </w:rPr>
              <w:t>800*300</w:t>
            </w:r>
            <w:r>
              <w:rPr>
                <w:rFonts w:hint="eastAsia" w:hAnsi="宋体" w:cs="宋体"/>
                <w:color w:val="000000" w:themeColor="text1"/>
                <w:kern w:val="2"/>
                <w:sz w:val="24"/>
                <w:szCs w:val="24"/>
                <w:lang w:val="en-US" w:eastAsia="zh-CN" w:bidi="ar-SA"/>
              </w:rPr>
              <w:t>，</w:t>
            </w:r>
            <w:r>
              <w:rPr>
                <w:rFonts w:hint="eastAsia" w:ascii="宋体" w:hAnsi="宋体" w:eastAsia="宋体" w:cs="宋体"/>
                <w:color w:val="000000" w:themeColor="text1"/>
                <w:kern w:val="2"/>
                <w:sz w:val="24"/>
                <w:szCs w:val="24"/>
                <w:lang w:val="en-US" w:eastAsia="zh-CN" w:bidi="ar-SA"/>
              </w:rPr>
              <w:t>以满足实际需要及采购人要求为准</w:t>
            </w:r>
          </w:p>
        </w:tc>
        <w:tc>
          <w:tcPr>
            <w:tcW w:w="618" w:type="dxa"/>
            <w:tcBorders>
              <w:top w:val="single" w:color="auto" w:sz="6" w:space="0"/>
              <w:left w:val="nil"/>
              <w:bottom w:val="single" w:color="auto" w:sz="6" w:space="0"/>
              <w:right w:val="single" w:color="auto" w:sz="6" w:space="0"/>
            </w:tcBorders>
            <w:noWrap w:val="0"/>
            <w:vAlign w:val="center"/>
          </w:tcPr>
          <w:p>
            <w:pPr>
              <w:jc w:val="center"/>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5</w:t>
            </w:r>
          </w:p>
        </w:tc>
        <w:tc>
          <w:tcPr>
            <w:tcW w:w="563"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bCs/>
                <w:color w:val="auto"/>
                <w:sz w:val="24"/>
                <w:szCs w:val="24"/>
                <w:highlight w:val="none"/>
                <w:lang w:eastAsia="zh-CN" w:bidi="ar"/>
              </w:rPr>
            </w:pPr>
            <w:r>
              <w:rPr>
                <w:rFonts w:hint="eastAsia" w:hAnsi="宋体" w:cs="宋体"/>
                <w:bCs/>
                <w:color w:val="auto"/>
                <w:sz w:val="24"/>
                <w:szCs w:val="24"/>
                <w:highlight w:val="none"/>
                <w:lang w:eastAsia="zh-CN" w:bidi="ar"/>
              </w:rPr>
              <w:t>个</w:t>
            </w:r>
          </w:p>
        </w:tc>
      </w:tr>
      <w:tr>
        <w:tblPrEx>
          <w:tblCellMar>
            <w:top w:w="0" w:type="dxa"/>
            <w:left w:w="108" w:type="dxa"/>
            <w:bottom w:w="0" w:type="dxa"/>
            <w:right w:w="108" w:type="dxa"/>
          </w:tblCellMar>
        </w:tblPrEx>
        <w:trPr>
          <w:trHeight w:val="703" w:hRule="atLeast"/>
        </w:trPr>
        <w:tc>
          <w:tcPr>
            <w:tcW w:w="9563" w:type="dxa"/>
            <w:gridSpan w:val="5"/>
            <w:tcBorders>
              <w:top w:val="single" w:color="auto" w:sz="6" w:space="0"/>
              <w:left w:val="single" w:color="auto" w:sz="6" w:space="0"/>
              <w:bottom w:val="single" w:color="auto" w:sz="6" w:space="0"/>
              <w:right w:val="single" w:color="auto" w:sz="6" w:space="0"/>
            </w:tcBorders>
            <w:noWrap w:val="0"/>
            <w:vAlign w:val="center"/>
          </w:tcPr>
          <w:p>
            <w:pPr>
              <w:jc w:val="center"/>
              <w:rPr>
                <w:rFonts w:hint="eastAsia" w:hAnsi="宋体" w:cs="宋体"/>
                <w:bCs/>
                <w:color w:val="auto"/>
                <w:sz w:val="24"/>
                <w:szCs w:val="24"/>
                <w:highlight w:val="none"/>
                <w:lang w:eastAsia="zh-CN" w:bidi="ar"/>
              </w:rPr>
            </w:pPr>
            <w:r>
              <w:rPr>
                <w:rFonts w:hint="eastAsia" w:hAnsi="宋体" w:cs="宋体"/>
                <w:b/>
                <w:bCs w:val="0"/>
                <w:color w:val="auto"/>
                <w:sz w:val="24"/>
                <w:szCs w:val="24"/>
                <w:highlight w:val="none"/>
                <w:lang w:eastAsia="zh-CN" w:bidi="ar"/>
              </w:rPr>
              <w:t>配电系统</w:t>
            </w:r>
          </w:p>
        </w:tc>
      </w:tr>
      <w:tr>
        <w:tblPrEx>
          <w:tblCellMar>
            <w:top w:w="0" w:type="dxa"/>
            <w:left w:w="108" w:type="dxa"/>
            <w:bottom w:w="0" w:type="dxa"/>
            <w:right w:w="108" w:type="dxa"/>
          </w:tblCellMar>
        </w:tblPrEx>
        <w:trPr>
          <w:trHeight w:val="943" w:hRule="atLeast"/>
        </w:trPr>
        <w:tc>
          <w:tcPr>
            <w:tcW w:w="602"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1</w:t>
            </w:r>
          </w:p>
        </w:tc>
        <w:tc>
          <w:tcPr>
            <w:tcW w:w="795"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color w:val="auto"/>
                <w:sz w:val="24"/>
                <w:szCs w:val="24"/>
                <w:highlight w:val="none"/>
                <w:lang w:eastAsia="zh-CN" w:bidi="ar"/>
              </w:rPr>
            </w:pPr>
            <w:r>
              <w:rPr>
                <w:rFonts w:hint="eastAsia" w:hAnsi="宋体" w:cs="宋体"/>
                <w:color w:val="auto"/>
                <w:sz w:val="24"/>
                <w:szCs w:val="24"/>
                <w:highlight w:val="none"/>
                <w:lang w:eastAsia="zh-CN" w:bidi="ar"/>
              </w:rPr>
              <w:t>配电箱</w:t>
            </w:r>
          </w:p>
        </w:tc>
        <w:tc>
          <w:tcPr>
            <w:tcW w:w="6985" w:type="dxa"/>
            <w:tcBorders>
              <w:top w:val="single" w:color="auto" w:sz="6" w:space="0"/>
              <w:left w:val="nil"/>
              <w:bottom w:val="single" w:color="auto" w:sz="6" w:space="0"/>
              <w:right w:val="single" w:color="auto" w:sz="6" w:space="0"/>
            </w:tcBorders>
            <w:noWrap w:val="0"/>
            <w:vAlign w:val="center"/>
          </w:tcPr>
          <w:p>
            <w:pPr>
              <w:pStyle w:val="4"/>
              <w:numPr>
                <w:ilvl w:val="0"/>
                <w:numId w:val="0"/>
              </w:numPr>
              <w:ind w:left="0" w:leftChars="0" w:firstLine="0" w:firstLineChars="0"/>
              <w:rPr>
                <w:rFonts w:hint="eastAsia" w:ascii="宋体" w:hAnsi="宋体" w:eastAsia="宋体" w:cs="宋体"/>
                <w:color w:val="FF0000"/>
                <w:kern w:val="2"/>
                <w:sz w:val="24"/>
                <w:szCs w:val="24"/>
                <w:lang w:val="en-US" w:eastAsia="zh-CN" w:bidi="ar-SA"/>
              </w:rPr>
            </w:pPr>
            <w:r>
              <w:rPr>
                <w:rFonts w:hint="eastAsia" w:ascii="宋体" w:hAnsi="宋体" w:eastAsia="宋体" w:cs="宋体"/>
                <w:color w:val="000000" w:themeColor="text1"/>
                <w:kern w:val="2"/>
                <w:sz w:val="24"/>
                <w:szCs w:val="24"/>
                <w:lang w:val="en-US" w:eastAsia="zh-CN" w:bidi="ar-SA"/>
              </w:rPr>
              <w:t>含空开</w:t>
            </w:r>
            <w:r>
              <w:rPr>
                <w:rFonts w:hint="eastAsia" w:hAnsi="宋体" w:cs="宋体"/>
                <w:color w:val="auto"/>
                <w:sz w:val="24"/>
                <w:szCs w:val="24"/>
                <w:highlight w:val="none"/>
                <w:lang w:eastAsia="zh-CN" w:bidi="ar"/>
              </w:rPr>
              <w:t>线缆及辅材，质量、数量均以满足实际需要及采购人要求为准</w:t>
            </w:r>
          </w:p>
        </w:tc>
        <w:tc>
          <w:tcPr>
            <w:tcW w:w="618" w:type="dxa"/>
            <w:tcBorders>
              <w:top w:val="single" w:color="auto" w:sz="6" w:space="0"/>
              <w:left w:val="nil"/>
              <w:bottom w:val="single" w:color="auto" w:sz="6" w:space="0"/>
              <w:right w:val="single" w:color="auto" w:sz="6" w:space="0"/>
            </w:tcBorders>
            <w:noWrap w:val="0"/>
            <w:vAlign w:val="center"/>
          </w:tcPr>
          <w:p>
            <w:pPr>
              <w:jc w:val="center"/>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1</w:t>
            </w:r>
          </w:p>
        </w:tc>
        <w:tc>
          <w:tcPr>
            <w:tcW w:w="563"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bCs/>
                <w:color w:val="auto"/>
                <w:sz w:val="24"/>
                <w:szCs w:val="24"/>
                <w:highlight w:val="none"/>
                <w:lang w:eastAsia="zh-CN" w:bidi="ar"/>
              </w:rPr>
            </w:pPr>
            <w:r>
              <w:rPr>
                <w:rFonts w:hint="eastAsia" w:hAnsi="宋体" w:cs="宋体"/>
                <w:bCs/>
                <w:color w:val="auto"/>
                <w:sz w:val="24"/>
                <w:szCs w:val="24"/>
                <w:highlight w:val="none"/>
                <w:lang w:eastAsia="zh-CN" w:bidi="ar"/>
              </w:rPr>
              <w:t>套</w:t>
            </w:r>
          </w:p>
        </w:tc>
      </w:tr>
      <w:tr>
        <w:tblPrEx>
          <w:tblCellMar>
            <w:top w:w="0" w:type="dxa"/>
            <w:left w:w="108" w:type="dxa"/>
            <w:bottom w:w="0" w:type="dxa"/>
            <w:right w:w="108" w:type="dxa"/>
          </w:tblCellMar>
        </w:tblPrEx>
        <w:trPr>
          <w:trHeight w:val="741" w:hRule="atLeast"/>
        </w:trPr>
        <w:tc>
          <w:tcPr>
            <w:tcW w:w="9563" w:type="dxa"/>
            <w:gridSpan w:val="5"/>
            <w:tcBorders>
              <w:top w:val="single" w:color="auto" w:sz="6" w:space="0"/>
              <w:left w:val="single" w:color="auto" w:sz="6" w:space="0"/>
              <w:bottom w:val="single" w:color="auto" w:sz="6" w:space="0"/>
              <w:right w:val="single" w:color="auto" w:sz="6" w:space="0"/>
            </w:tcBorders>
            <w:noWrap w:val="0"/>
            <w:vAlign w:val="center"/>
          </w:tcPr>
          <w:p>
            <w:pPr>
              <w:jc w:val="center"/>
              <w:rPr>
                <w:rFonts w:hint="eastAsia" w:hAnsi="宋体" w:cs="宋体"/>
                <w:bCs/>
                <w:color w:val="auto"/>
                <w:sz w:val="24"/>
                <w:szCs w:val="24"/>
                <w:highlight w:val="none"/>
                <w:lang w:eastAsia="zh-CN" w:bidi="ar"/>
              </w:rPr>
            </w:pPr>
            <w:r>
              <w:rPr>
                <w:rFonts w:hint="eastAsia" w:hAnsi="宋体" w:cs="宋体"/>
                <w:b/>
                <w:bCs w:val="0"/>
                <w:color w:val="auto"/>
                <w:sz w:val="24"/>
                <w:szCs w:val="24"/>
                <w:highlight w:val="none"/>
                <w:lang w:eastAsia="zh-CN" w:bidi="ar"/>
              </w:rPr>
              <w:t>综合布线系统</w:t>
            </w:r>
          </w:p>
        </w:tc>
      </w:tr>
      <w:tr>
        <w:tblPrEx>
          <w:tblCellMar>
            <w:top w:w="0" w:type="dxa"/>
            <w:left w:w="108" w:type="dxa"/>
            <w:bottom w:w="0" w:type="dxa"/>
            <w:right w:w="108" w:type="dxa"/>
          </w:tblCellMar>
        </w:tblPrEx>
        <w:trPr>
          <w:trHeight w:val="943" w:hRule="atLeast"/>
        </w:trPr>
        <w:tc>
          <w:tcPr>
            <w:tcW w:w="602"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1</w:t>
            </w:r>
          </w:p>
        </w:tc>
        <w:tc>
          <w:tcPr>
            <w:tcW w:w="795"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color w:val="auto"/>
                <w:sz w:val="24"/>
                <w:szCs w:val="24"/>
                <w:highlight w:val="none"/>
                <w:lang w:eastAsia="zh-CN" w:bidi="ar"/>
              </w:rPr>
            </w:pPr>
            <w:r>
              <w:rPr>
                <w:rFonts w:hint="eastAsia" w:hAnsi="宋体" w:cs="宋体"/>
                <w:color w:val="auto"/>
                <w:sz w:val="24"/>
                <w:szCs w:val="24"/>
                <w:highlight w:val="none"/>
                <w:lang w:eastAsia="zh-CN" w:bidi="ar"/>
              </w:rPr>
              <w:t>弱电布线系统</w:t>
            </w:r>
          </w:p>
        </w:tc>
        <w:tc>
          <w:tcPr>
            <w:tcW w:w="6985" w:type="dxa"/>
            <w:tcBorders>
              <w:top w:val="single" w:color="auto" w:sz="6" w:space="0"/>
              <w:left w:val="nil"/>
              <w:bottom w:val="single" w:color="auto" w:sz="6" w:space="0"/>
              <w:right w:val="single" w:color="auto" w:sz="6" w:space="0"/>
            </w:tcBorders>
            <w:noWrap w:val="0"/>
            <w:vAlign w:val="center"/>
          </w:tcPr>
          <w:p>
            <w:pPr>
              <w:pStyle w:val="4"/>
              <w:numPr>
                <w:ilvl w:val="0"/>
                <w:numId w:val="0"/>
              </w:numPr>
              <w:ind w:leftChars="0"/>
              <w:rPr>
                <w:rFonts w:hint="eastAsia" w:ascii="宋体" w:hAnsi="宋体" w:eastAsia="宋体" w:cs="宋体"/>
                <w:color w:val="FF0000"/>
                <w:kern w:val="2"/>
                <w:sz w:val="24"/>
                <w:szCs w:val="24"/>
                <w:lang w:val="en-US" w:eastAsia="zh-CN" w:bidi="ar-SA"/>
              </w:rPr>
            </w:pPr>
            <w:r>
              <w:rPr>
                <w:rFonts w:hint="eastAsia" w:ascii="宋体" w:hAnsi="宋体" w:eastAsia="宋体" w:cs="宋体"/>
                <w:color w:val="000000" w:themeColor="text1"/>
                <w:kern w:val="2"/>
                <w:sz w:val="24"/>
                <w:szCs w:val="24"/>
                <w:lang w:val="en-US" w:eastAsia="zh-CN" w:bidi="ar-SA"/>
              </w:rPr>
              <w:t>质量、数量均以满足实际需要及采购人要求为准</w:t>
            </w:r>
          </w:p>
        </w:tc>
        <w:tc>
          <w:tcPr>
            <w:tcW w:w="618" w:type="dxa"/>
            <w:tcBorders>
              <w:top w:val="single" w:color="auto" w:sz="6" w:space="0"/>
              <w:left w:val="nil"/>
              <w:bottom w:val="single" w:color="auto" w:sz="6" w:space="0"/>
              <w:right w:val="single" w:color="auto" w:sz="6" w:space="0"/>
            </w:tcBorders>
            <w:noWrap w:val="0"/>
            <w:vAlign w:val="center"/>
          </w:tcPr>
          <w:p>
            <w:pPr>
              <w:jc w:val="center"/>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1</w:t>
            </w:r>
          </w:p>
        </w:tc>
        <w:tc>
          <w:tcPr>
            <w:tcW w:w="563"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bCs/>
                <w:color w:val="auto"/>
                <w:sz w:val="24"/>
                <w:szCs w:val="24"/>
                <w:highlight w:val="none"/>
                <w:lang w:eastAsia="zh-CN" w:bidi="ar"/>
              </w:rPr>
            </w:pPr>
            <w:r>
              <w:rPr>
                <w:rFonts w:hint="eastAsia" w:hAnsi="宋体" w:cs="宋体"/>
                <w:bCs/>
                <w:color w:val="auto"/>
                <w:sz w:val="24"/>
                <w:szCs w:val="24"/>
                <w:highlight w:val="none"/>
                <w:lang w:eastAsia="zh-CN" w:bidi="ar"/>
              </w:rPr>
              <w:t>项</w:t>
            </w:r>
          </w:p>
        </w:tc>
      </w:tr>
      <w:tr>
        <w:tblPrEx>
          <w:tblCellMar>
            <w:top w:w="0" w:type="dxa"/>
            <w:left w:w="108" w:type="dxa"/>
            <w:bottom w:w="0" w:type="dxa"/>
            <w:right w:w="108" w:type="dxa"/>
          </w:tblCellMar>
        </w:tblPrEx>
        <w:trPr>
          <w:trHeight w:val="834" w:hRule="atLeast"/>
        </w:trPr>
        <w:tc>
          <w:tcPr>
            <w:tcW w:w="9563" w:type="dxa"/>
            <w:gridSpan w:val="5"/>
            <w:tcBorders>
              <w:top w:val="single" w:color="auto" w:sz="6" w:space="0"/>
              <w:left w:val="single" w:color="auto" w:sz="6" w:space="0"/>
              <w:bottom w:val="single" w:color="auto" w:sz="6" w:space="0"/>
              <w:right w:val="single" w:color="auto" w:sz="6" w:space="0"/>
            </w:tcBorders>
            <w:noWrap w:val="0"/>
            <w:vAlign w:val="center"/>
          </w:tcPr>
          <w:p>
            <w:pPr>
              <w:jc w:val="center"/>
              <w:rPr>
                <w:rFonts w:hint="eastAsia" w:hAnsi="宋体" w:cs="宋体"/>
                <w:bCs/>
                <w:color w:val="auto"/>
                <w:sz w:val="24"/>
                <w:szCs w:val="24"/>
                <w:highlight w:val="none"/>
                <w:lang w:eastAsia="zh-CN" w:bidi="ar"/>
              </w:rPr>
            </w:pPr>
            <w:r>
              <w:rPr>
                <w:rFonts w:hint="eastAsia" w:hAnsi="宋体" w:cs="宋体"/>
                <w:b/>
                <w:bCs w:val="0"/>
                <w:color w:val="auto"/>
                <w:sz w:val="24"/>
                <w:szCs w:val="24"/>
                <w:highlight w:val="none"/>
                <w:lang w:eastAsia="zh-CN" w:bidi="ar"/>
              </w:rPr>
              <w:t>照明系统</w:t>
            </w:r>
          </w:p>
        </w:tc>
      </w:tr>
      <w:tr>
        <w:tblPrEx>
          <w:tblCellMar>
            <w:top w:w="0" w:type="dxa"/>
            <w:left w:w="108" w:type="dxa"/>
            <w:bottom w:w="0" w:type="dxa"/>
            <w:right w:w="108" w:type="dxa"/>
          </w:tblCellMar>
        </w:tblPrEx>
        <w:trPr>
          <w:trHeight w:val="943" w:hRule="atLeast"/>
        </w:trPr>
        <w:tc>
          <w:tcPr>
            <w:tcW w:w="602"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1</w:t>
            </w:r>
          </w:p>
        </w:tc>
        <w:tc>
          <w:tcPr>
            <w:tcW w:w="795"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color w:val="auto"/>
                <w:sz w:val="24"/>
                <w:szCs w:val="24"/>
                <w:highlight w:val="none"/>
                <w:lang w:eastAsia="zh-CN" w:bidi="ar"/>
              </w:rPr>
            </w:pPr>
            <w:r>
              <w:rPr>
                <w:rFonts w:hint="eastAsia" w:hAnsi="宋体" w:cs="宋体"/>
                <w:color w:val="auto"/>
                <w:sz w:val="24"/>
                <w:szCs w:val="24"/>
                <w:highlight w:val="none"/>
                <w:lang w:eastAsia="zh-CN" w:bidi="ar"/>
              </w:rPr>
              <w:t>照明系统</w:t>
            </w:r>
          </w:p>
        </w:tc>
        <w:tc>
          <w:tcPr>
            <w:tcW w:w="6985" w:type="dxa"/>
            <w:tcBorders>
              <w:top w:val="single" w:color="auto" w:sz="6" w:space="0"/>
              <w:left w:val="nil"/>
              <w:bottom w:val="single" w:color="auto" w:sz="6" w:space="0"/>
              <w:right w:val="single" w:color="auto" w:sz="6" w:space="0"/>
            </w:tcBorders>
            <w:noWrap w:val="0"/>
            <w:vAlign w:val="center"/>
          </w:tcPr>
          <w:p>
            <w:pPr>
              <w:pStyle w:val="4"/>
              <w:numPr>
                <w:ilvl w:val="0"/>
                <w:numId w:val="0"/>
              </w:numPr>
              <w:ind w:leftChars="0"/>
              <w:rPr>
                <w:rFonts w:hint="eastAsia" w:ascii="宋体" w:hAnsi="宋体" w:eastAsia="宋体" w:cs="宋体"/>
                <w:color w:val="FF0000"/>
                <w:kern w:val="2"/>
                <w:sz w:val="24"/>
                <w:szCs w:val="24"/>
                <w:lang w:val="en-US" w:eastAsia="zh-CN" w:bidi="ar-SA"/>
              </w:rPr>
            </w:pPr>
            <w:r>
              <w:rPr>
                <w:rFonts w:hint="eastAsia" w:ascii="宋体" w:hAnsi="宋体" w:eastAsia="宋体" w:cs="宋体"/>
                <w:color w:val="000000" w:themeColor="text1"/>
                <w:kern w:val="2"/>
                <w:sz w:val="24"/>
                <w:szCs w:val="24"/>
                <w:lang w:val="en-US" w:eastAsia="zh-CN" w:bidi="ar-SA"/>
              </w:rPr>
              <w:t>LED面板灯600*600mm</w:t>
            </w:r>
            <w:r>
              <w:rPr>
                <w:rFonts w:hint="eastAsia" w:hAnsi="宋体" w:cs="宋体"/>
                <w:color w:val="000000" w:themeColor="text1"/>
                <w:kern w:val="2"/>
                <w:sz w:val="24"/>
                <w:szCs w:val="24"/>
                <w:lang w:val="en-US" w:eastAsia="zh-CN" w:bidi="ar-SA"/>
              </w:rPr>
              <w:t>，含</w:t>
            </w:r>
            <w:r>
              <w:rPr>
                <w:rFonts w:hint="eastAsia" w:hAnsi="宋体" w:cs="宋体"/>
                <w:color w:val="000000" w:themeColor="text1"/>
                <w:sz w:val="24"/>
                <w:szCs w:val="24"/>
                <w:highlight w:val="none"/>
                <w:lang w:eastAsia="zh-CN" w:bidi="ar"/>
              </w:rPr>
              <w:t>照明附件</w:t>
            </w:r>
            <w:r>
              <w:rPr>
                <w:rFonts w:hint="eastAsia" w:ascii="宋体" w:hAnsi="宋体" w:eastAsia="宋体" w:cs="宋体"/>
                <w:color w:val="000000" w:themeColor="text1"/>
                <w:kern w:val="2"/>
                <w:sz w:val="24"/>
                <w:szCs w:val="24"/>
                <w:lang w:val="en-US" w:eastAsia="zh-CN" w:bidi="ar-SA"/>
              </w:rPr>
              <w:t>质量、数量均以满足实际需要及采购人要求为准</w:t>
            </w:r>
          </w:p>
        </w:tc>
        <w:tc>
          <w:tcPr>
            <w:tcW w:w="618" w:type="dxa"/>
            <w:tcBorders>
              <w:top w:val="single" w:color="auto" w:sz="6" w:space="0"/>
              <w:left w:val="nil"/>
              <w:bottom w:val="single" w:color="auto" w:sz="6" w:space="0"/>
              <w:right w:val="single" w:color="auto" w:sz="6" w:space="0"/>
            </w:tcBorders>
            <w:noWrap w:val="0"/>
            <w:vAlign w:val="center"/>
          </w:tcPr>
          <w:p>
            <w:pPr>
              <w:jc w:val="center"/>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44</w:t>
            </w:r>
          </w:p>
        </w:tc>
        <w:tc>
          <w:tcPr>
            <w:tcW w:w="563" w:type="dxa"/>
            <w:tcBorders>
              <w:top w:val="single" w:color="auto" w:sz="6" w:space="0"/>
              <w:left w:val="nil"/>
              <w:bottom w:val="single" w:color="auto" w:sz="6" w:space="0"/>
              <w:right w:val="single" w:color="auto" w:sz="6" w:space="0"/>
            </w:tcBorders>
            <w:noWrap w:val="0"/>
            <w:vAlign w:val="center"/>
          </w:tcPr>
          <w:p>
            <w:pPr>
              <w:jc w:val="center"/>
              <w:rPr>
                <w:rFonts w:hint="eastAsia"/>
                <w:lang w:eastAsia="zh-CN"/>
              </w:rPr>
            </w:pPr>
            <w:r>
              <w:rPr>
                <w:rFonts w:hint="eastAsia"/>
                <w:lang w:eastAsia="zh-CN"/>
              </w:rPr>
              <w:t>套</w:t>
            </w:r>
          </w:p>
        </w:tc>
      </w:tr>
      <w:tr>
        <w:tblPrEx>
          <w:tblCellMar>
            <w:top w:w="0" w:type="dxa"/>
            <w:left w:w="108" w:type="dxa"/>
            <w:bottom w:w="0" w:type="dxa"/>
            <w:right w:w="108" w:type="dxa"/>
          </w:tblCellMar>
        </w:tblPrEx>
        <w:trPr>
          <w:trHeight w:val="722" w:hRule="atLeast"/>
        </w:trPr>
        <w:tc>
          <w:tcPr>
            <w:tcW w:w="9563" w:type="dxa"/>
            <w:gridSpan w:val="5"/>
            <w:tcBorders>
              <w:top w:val="single" w:color="auto" w:sz="6" w:space="0"/>
              <w:left w:val="single" w:color="auto" w:sz="6" w:space="0"/>
              <w:bottom w:val="single" w:color="auto" w:sz="6" w:space="0"/>
              <w:right w:val="single" w:color="auto" w:sz="6" w:space="0"/>
            </w:tcBorders>
            <w:noWrap w:val="0"/>
            <w:vAlign w:val="center"/>
          </w:tcPr>
          <w:p>
            <w:pPr>
              <w:jc w:val="center"/>
              <w:rPr>
                <w:rFonts w:hint="eastAsia"/>
                <w:lang w:eastAsia="zh-CN"/>
              </w:rPr>
            </w:pPr>
            <w:r>
              <w:rPr>
                <w:rFonts w:hint="eastAsia"/>
                <w:b/>
                <w:bCs/>
                <w:lang w:eastAsia="zh-CN"/>
              </w:rPr>
              <w:t>解码器</w:t>
            </w:r>
          </w:p>
        </w:tc>
      </w:tr>
      <w:tr>
        <w:tblPrEx>
          <w:tblCellMar>
            <w:top w:w="0" w:type="dxa"/>
            <w:left w:w="108" w:type="dxa"/>
            <w:bottom w:w="0" w:type="dxa"/>
            <w:right w:w="108" w:type="dxa"/>
          </w:tblCellMar>
        </w:tblPrEx>
        <w:trPr>
          <w:trHeight w:val="943" w:hRule="atLeast"/>
        </w:trPr>
        <w:tc>
          <w:tcPr>
            <w:tcW w:w="602"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1</w:t>
            </w:r>
          </w:p>
        </w:tc>
        <w:tc>
          <w:tcPr>
            <w:tcW w:w="795"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color w:val="auto"/>
                <w:sz w:val="24"/>
                <w:szCs w:val="24"/>
                <w:highlight w:val="none"/>
                <w:lang w:eastAsia="zh-CN" w:bidi="ar"/>
              </w:rPr>
            </w:pPr>
            <w:r>
              <w:rPr>
                <w:rFonts w:hint="eastAsia" w:hAnsi="宋体" w:cs="宋体"/>
                <w:color w:val="auto"/>
                <w:sz w:val="24"/>
                <w:szCs w:val="24"/>
                <w:highlight w:val="none"/>
                <w:lang w:eastAsia="zh-CN" w:bidi="ar"/>
              </w:rPr>
              <w:t>高清解码器</w:t>
            </w:r>
          </w:p>
        </w:tc>
        <w:tc>
          <w:tcPr>
            <w:tcW w:w="6985" w:type="dxa"/>
            <w:tcBorders>
              <w:top w:val="single" w:color="auto" w:sz="6" w:space="0"/>
              <w:left w:val="nil"/>
              <w:bottom w:val="single" w:color="auto" w:sz="6" w:space="0"/>
              <w:right w:val="single" w:color="auto" w:sz="6" w:space="0"/>
            </w:tcBorders>
            <w:noWrap w:val="0"/>
            <w:vAlign w:val="center"/>
          </w:tcPr>
          <w:p>
            <w:pPr>
              <w:pStyle w:val="4"/>
              <w:numPr>
                <w:ilvl w:val="0"/>
                <w:numId w:val="0"/>
              </w:numPr>
              <w:ind w:leftChars="0"/>
              <w:rPr>
                <w:rFonts w:hint="eastAsia" w:ascii="宋体" w:hAnsi="宋体" w:eastAsia="宋体" w:cs="宋体"/>
                <w:color w:val="FF0000"/>
                <w:kern w:val="2"/>
                <w:sz w:val="24"/>
                <w:szCs w:val="24"/>
                <w:lang w:val="en-US" w:eastAsia="zh-CN" w:bidi="ar-SA"/>
              </w:rPr>
            </w:pPr>
            <w:r>
              <w:rPr>
                <w:rFonts w:hint="eastAsia" w:ascii="宋体" w:hAnsi="宋体" w:eastAsia="宋体" w:cs="宋体"/>
                <w:color w:val="auto"/>
                <w:kern w:val="2"/>
                <w:sz w:val="24"/>
                <w:szCs w:val="24"/>
                <w:lang w:val="en-US" w:eastAsia="zh-CN" w:bidi="ar-SA"/>
              </w:rPr>
              <w:t>视频输出可采用HDMI方式输出；支持8路HDMI高清解码输出，分辨率最高支持4K（3840*2160@30帧）支持H.265、H.264的Baseline、Main、High-profile解码，最大解码帧率1080P @60帧；视频解码能力：支持16路4K，或64路1080P，或128路720P，或256路D1及以下分辨率同时实时解码；支持1个RJ45 10M/100M/1000M自适应以太网口，1个标准RS-232接口；支持画面分割，单HDMI输出：支持1/4/8/9/16/25/36画面支持不少于64路1080P视频回放解码支持远程获取系统运行状态、操作日志、安全日志、告警日志</w:t>
            </w:r>
            <w:r>
              <w:rPr>
                <w:rFonts w:hint="eastAsia" w:hAnsi="宋体" w:cs="宋体"/>
                <w:color w:val="auto"/>
                <w:kern w:val="2"/>
                <w:sz w:val="24"/>
                <w:szCs w:val="24"/>
                <w:lang w:val="en-US" w:eastAsia="zh-CN" w:bidi="ar-SA"/>
              </w:rPr>
              <w:t>，包含HDMI线缆</w:t>
            </w:r>
          </w:p>
        </w:tc>
        <w:tc>
          <w:tcPr>
            <w:tcW w:w="618" w:type="dxa"/>
            <w:tcBorders>
              <w:top w:val="single" w:color="auto" w:sz="6" w:space="0"/>
              <w:left w:val="nil"/>
              <w:bottom w:val="single" w:color="auto" w:sz="6" w:space="0"/>
              <w:right w:val="single" w:color="auto" w:sz="6" w:space="0"/>
            </w:tcBorders>
            <w:noWrap w:val="0"/>
            <w:vAlign w:val="center"/>
          </w:tcPr>
          <w:p>
            <w:pPr>
              <w:jc w:val="center"/>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2</w:t>
            </w:r>
          </w:p>
        </w:tc>
        <w:tc>
          <w:tcPr>
            <w:tcW w:w="563" w:type="dxa"/>
            <w:tcBorders>
              <w:top w:val="single" w:color="auto" w:sz="6" w:space="0"/>
              <w:left w:val="nil"/>
              <w:bottom w:val="single" w:color="auto" w:sz="6" w:space="0"/>
              <w:right w:val="single" w:color="auto" w:sz="6" w:space="0"/>
            </w:tcBorders>
            <w:noWrap w:val="0"/>
            <w:vAlign w:val="center"/>
          </w:tcPr>
          <w:p>
            <w:pPr>
              <w:jc w:val="center"/>
              <w:rPr>
                <w:rFonts w:hint="eastAsia"/>
                <w:lang w:eastAsia="zh-CN"/>
              </w:rPr>
            </w:pPr>
            <w:r>
              <w:rPr>
                <w:rFonts w:hint="eastAsia"/>
                <w:lang w:eastAsia="zh-CN"/>
              </w:rPr>
              <w:t>台</w:t>
            </w:r>
          </w:p>
        </w:tc>
      </w:tr>
      <w:tr>
        <w:tblPrEx>
          <w:tblCellMar>
            <w:top w:w="0" w:type="dxa"/>
            <w:left w:w="108" w:type="dxa"/>
            <w:bottom w:w="0" w:type="dxa"/>
            <w:right w:w="108" w:type="dxa"/>
          </w:tblCellMar>
        </w:tblPrEx>
        <w:trPr>
          <w:trHeight w:val="943" w:hRule="atLeast"/>
        </w:trPr>
        <w:tc>
          <w:tcPr>
            <w:tcW w:w="602"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2</w:t>
            </w:r>
          </w:p>
        </w:tc>
        <w:tc>
          <w:tcPr>
            <w:tcW w:w="795"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color w:val="auto"/>
                <w:sz w:val="24"/>
                <w:szCs w:val="24"/>
                <w:highlight w:val="none"/>
                <w:lang w:eastAsia="zh-CN" w:bidi="ar"/>
              </w:rPr>
            </w:pPr>
            <w:r>
              <w:rPr>
                <w:rFonts w:hint="eastAsia" w:hAnsi="宋体" w:cs="宋体"/>
                <w:color w:val="auto"/>
                <w:sz w:val="24"/>
                <w:szCs w:val="24"/>
                <w:highlight w:val="none"/>
                <w:lang w:eastAsia="zh-CN" w:bidi="ar"/>
              </w:rPr>
              <w:t>高清LED显示屏</w:t>
            </w:r>
          </w:p>
        </w:tc>
        <w:tc>
          <w:tcPr>
            <w:tcW w:w="6985" w:type="dxa"/>
            <w:tcBorders>
              <w:top w:val="single" w:color="auto" w:sz="6" w:space="0"/>
              <w:left w:val="nil"/>
              <w:bottom w:val="single" w:color="auto" w:sz="6" w:space="0"/>
              <w:right w:val="single" w:color="auto" w:sz="6" w:space="0"/>
            </w:tcBorders>
            <w:noWrap w:val="0"/>
            <w:vAlign w:val="center"/>
          </w:tcPr>
          <w:p>
            <w:pPr>
              <w:pStyle w:val="4"/>
              <w:numPr>
                <w:ilvl w:val="0"/>
                <w:numId w:val="0"/>
              </w:numPr>
              <w:ind w:left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显示尺寸≥5.76*3.24m，分辨率≥3072.0*1728.0；</w:t>
            </w:r>
          </w:p>
          <w:p>
            <w:pPr>
              <w:pStyle w:val="4"/>
              <w:numPr>
                <w:ilvl w:val="0"/>
                <w:numId w:val="0"/>
              </w:numPr>
              <w:ind w:left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投标产品LED像素点间距＜1.88mm;</w:t>
            </w:r>
          </w:p>
          <w:p>
            <w:pPr>
              <w:pStyle w:val="4"/>
              <w:numPr>
                <w:ilvl w:val="0"/>
                <w:numId w:val="0"/>
              </w:numPr>
              <w:ind w:left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像素密度≥284000点/㎡；</w:t>
            </w:r>
          </w:p>
          <w:p>
            <w:pPr>
              <w:pStyle w:val="4"/>
              <w:numPr>
                <w:ilvl w:val="0"/>
                <w:numId w:val="0"/>
              </w:numPr>
              <w:ind w:left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最大对比度≥5000:1；</w:t>
            </w:r>
          </w:p>
          <w:p>
            <w:pPr>
              <w:pStyle w:val="4"/>
              <w:numPr>
                <w:ilvl w:val="0"/>
                <w:numId w:val="0"/>
              </w:numPr>
              <w:ind w:left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换帧频率50Hz，60Hz；</w:t>
            </w:r>
          </w:p>
          <w:p>
            <w:pPr>
              <w:pStyle w:val="4"/>
              <w:numPr>
                <w:ilvl w:val="0"/>
                <w:numId w:val="0"/>
              </w:numPr>
              <w:ind w:left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亮度≥600cd/㎡；</w:t>
            </w:r>
          </w:p>
          <w:p>
            <w:pPr>
              <w:pStyle w:val="4"/>
              <w:numPr>
                <w:ilvl w:val="0"/>
                <w:numId w:val="0"/>
              </w:numPr>
              <w:ind w:left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亮度在100cd/㎡，灰度等级为14bit；200cd/㎡，灰度等级为≥14bit；500cd/㎡，灰度等级为16bit；</w:t>
            </w:r>
          </w:p>
          <w:p>
            <w:pPr>
              <w:pStyle w:val="4"/>
              <w:numPr>
                <w:ilvl w:val="0"/>
                <w:numId w:val="0"/>
              </w:numPr>
              <w:ind w:left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水平视角≥160°，垂直视角≥160°；</w:t>
            </w:r>
          </w:p>
          <w:p>
            <w:pPr>
              <w:pStyle w:val="4"/>
              <w:numPr>
                <w:ilvl w:val="0"/>
                <w:numId w:val="0"/>
              </w:numPr>
              <w:ind w:left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亮度均匀性≥98%；</w:t>
            </w:r>
          </w:p>
          <w:p>
            <w:pPr>
              <w:pStyle w:val="4"/>
              <w:numPr>
                <w:ilvl w:val="0"/>
                <w:numId w:val="0"/>
              </w:numPr>
              <w:ind w:left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采用恒流驱动，同步或异步控制方式；</w:t>
            </w:r>
          </w:p>
          <w:p>
            <w:pPr>
              <w:pStyle w:val="4"/>
              <w:numPr>
                <w:ilvl w:val="0"/>
                <w:numId w:val="0"/>
              </w:numPr>
              <w:ind w:left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维护方式：支持通过磁吸进行前安装、前维护；</w:t>
            </w:r>
          </w:p>
          <w:p>
            <w:pPr>
              <w:pStyle w:val="4"/>
              <w:numPr>
                <w:ilvl w:val="0"/>
                <w:numId w:val="0"/>
              </w:numPr>
              <w:ind w:left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需提供CCC认证证书，中国环保产品（II型）认证证书，中国节能产品认证证书；</w:t>
            </w:r>
          </w:p>
        </w:tc>
        <w:tc>
          <w:tcPr>
            <w:tcW w:w="618" w:type="dxa"/>
            <w:tcBorders>
              <w:top w:val="single" w:color="auto" w:sz="6" w:space="0"/>
              <w:left w:val="nil"/>
              <w:bottom w:val="single" w:color="auto" w:sz="6" w:space="0"/>
              <w:right w:val="single" w:color="auto" w:sz="6" w:space="0"/>
            </w:tcBorders>
            <w:noWrap w:val="0"/>
            <w:vAlign w:val="center"/>
          </w:tcPr>
          <w:p>
            <w:pPr>
              <w:jc w:val="center"/>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18.66</w:t>
            </w:r>
          </w:p>
        </w:tc>
        <w:tc>
          <w:tcPr>
            <w:tcW w:w="563" w:type="dxa"/>
            <w:tcBorders>
              <w:top w:val="single" w:color="auto" w:sz="6" w:space="0"/>
              <w:left w:val="nil"/>
              <w:bottom w:val="single" w:color="auto" w:sz="6" w:space="0"/>
              <w:right w:val="single" w:color="auto" w:sz="6" w:space="0"/>
            </w:tcBorders>
            <w:noWrap w:val="0"/>
            <w:vAlign w:val="center"/>
          </w:tcPr>
          <w:p>
            <w:pPr>
              <w:jc w:val="center"/>
              <w:rPr>
                <w:rFonts w:hint="eastAsia"/>
                <w:lang w:eastAsia="zh-CN"/>
              </w:rPr>
            </w:pPr>
            <w:r>
              <w:rPr>
                <w:rFonts w:hint="eastAsia" w:ascii="宋体" w:hAnsi="宋体" w:eastAsia="宋体" w:cs="宋体"/>
                <w:sz w:val="24"/>
                <w:szCs w:val="24"/>
                <w:lang w:eastAsia="zh-CN"/>
              </w:rPr>
              <w:t>㎡</w:t>
            </w:r>
          </w:p>
        </w:tc>
      </w:tr>
      <w:tr>
        <w:tblPrEx>
          <w:tblCellMar>
            <w:top w:w="0" w:type="dxa"/>
            <w:left w:w="108" w:type="dxa"/>
            <w:bottom w:w="0" w:type="dxa"/>
            <w:right w:w="108" w:type="dxa"/>
          </w:tblCellMar>
        </w:tblPrEx>
        <w:trPr>
          <w:trHeight w:val="943" w:hRule="atLeast"/>
        </w:trPr>
        <w:tc>
          <w:tcPr>
            <w:tcW w:w="602"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3</w:t>
            </w:r>
          </w:p>
        </w:tc>
        <w:tc>
          <w:tcPr>
            <w:tcW w:w="795"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color w:val="auto"/>
                <w:sz w:val="24"/>
                <w:szCs w:val="24"/>
                <w:highlight w:val="none"/>
                <w:lang w:eastAsia="zh-CN" w:bidi="ar"/>
              </w:rPr>
            </w:pPr>
            <w:r>
              <w:rPr>
                <w:rFonts w:hint="eastAsia" w:hAnsi="宋体" w:cs="宋体"/>
                <w:color w:val="auto"/>
                <w:sz w:val="24"/>
                <w:szCs w:val="24"/>
                <w:highlight w:val="none"/>
                <w:lang w:eastAsia="zh-CN" w:bidi="ar"/>
              </w:rPr>
              <w:t>视频处理器</w:t>
            </w:r>
          </w:p>
        </w:tc>
        <w:tc>
          <w:tcPr>
            <w:tcW w:w="6985" w:type="dxa"/>
            <w:tcBorders>
              <w:top w:val="single" w:color="auto" w:sz="6" w:space="0"/>
              <w:left w:val="nil"/>
              <w:bottom w:val="single" w:color="auto" w:sz="6" w:space="0"/>
              <w:right w:val="single" w:color="auto" w:sz="6" w:space="0"/>
            </w:tcBorders>
            <w:noWrap w:val="0"/>
            <w:vAlign w:val="center"/>
          </w:tcPr>
          <w:p>
            <w:pPr>
              <w:pStyle w:val="4"/>
              <w:numPr>
                <w:ilvl w:val="0"/>
                <w:numId w:val="0"/>
              </w:numPr>
              <w:ind w:left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≥4路DVI输入、≥8路HDMI输出；</w:t>
            </w:r>
          </w:p>
          <w:p>
            <w:pPr>
              <w:pStyle w:val="4"/>
              <w:numPr>
                <w:ilvl w:val="0"/>
                <w:numId w:val="0"/>
              </w:numPr>
              <w:ind w:left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主控板具有≥4个串口，每个串口挂载≥8个RS485控制设备，可将IP数据发送给串口；</w:t>
            </w:r>
          </w:p>
          <w:p>
            <w:pPr>
              <w:pStyle w:val="4"/>
              <w:numPr>
                <w:ilvl w:val="0"/>
                <w:numId w:val="0"/>
              </w:numPr>
              <w:ind w:left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支持解码≥4路2400W@25fps、或≥8路1200W@25fps、或≥16路800W@25fps、或≥32路400W@25fps、或≥64路200W@30fps，≥128路720P@30fps，或≥128路4CIF@30fps以下分辨率；</w:t>
            </w:r>
          </w:p>
          <w:p>
            <w:pPr>
              <w:pStyle w:val="4"/>
              <w:numPr>
                <w:ilvl w:val="0"/>
                <w:numId w:val="0"/>
              </w:numPr>
              <w:ind w:left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支持解码中断时保留最后一帧的功能，解码板不同输出口以及跨解码板的输出口之间输出色彩无色差；</w:t>
            </w:r>
          </w:p>
          <w:p>
            <w:pPr>
              <w:pStyle w:val="4"/>
              <w:numPr>
                <w:ilvl w:val="0"/>
                <w:numId w:val="0"/>
              </w:numPr>
              <w:ind w:left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支持主码流、子码流、第三码流编码输出功能；</w:t>
            </w:r>
          </w:p>
          <w:p>
            <w:pPr>
              <w:pStyle w:val="4"/>
              <w:numPr>
                <w:ilvl w:val="0"/>
                <w:numId w:val="0"/>
              </w:numPr>
              <w:ind w:left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对录像文件解码延时≤110ms；</w:t>
            </w:r>
          </w:p>
          <w:p>
            <w:pPr>
              <w:pStyle w:val="4"/>
              <w:numPr>
                <w:ilvl w:val="0"/>
                <w:numId w:val="0"/>
              </w:numPr>
              <w:ind w:left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图像切换时间＜22ms；</w:t>
            </w:r>
          </w:p>
          <w:p>
            <w:pPr>
              <w:pStyle w:val="4"/>
              <w:numPr>
                <w:ilvl w:val="0"/>
                <w:numId w:val="0"/>
              </w:numPr>
              <w:ind w:left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采用嵌入式非X86架构，主控板不具备X86架构特征元件（CPU、内存条、硬盘、VGA接口），并提供产品主控板照片；</w:t>
            </w:r>
          </w:p>
          <w:p>
            <w:pPr>
              <w:pStyle w:val="4"/>
              <w:numPr>
                <w:ilvl w:val="0"/>
                <w:numId w:val="0"/>
              </w:numPr>
              <w:ind w:left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需提供权威机构所出具的CCC、RoHS、CE、FCC检测报告；</w:t>
            </w:r>
          </w:p>
        </w:tc>
        <w:tc>
          <w:tcPr>
            <w:tcW w:w="618" w:type="dxa"/>
            <w:tcBorders>
              <w:top w:val="single" w:color="auto" w:sz="6" w:space="0"/>
              <w:left w:val="nil"/>
              <w:bottom w:val="single" w:color="auto" w:sz="6" w:space="0"/>
              <w:right w:val="single" w:color="auto" w:sz="6" w:space="0"/>
            </w:tcBorders>
            <w:noWrap w:val="0"/>
            <w:vAlign w:val="center"/>
          </w:tcPr>
          <w:p>
            <w:pPr>
              <w:jc w:val="center"/>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1</w:t>
            </w:r>
          </w:p>
        </w:tc>
        <w:tc>
          <w:tcPr>
            <w:tcW w:w="563" w:type="dxa"/>
            <w:tcBorders>
              <w:top w:val="single" w:color="auto" w:sz="6" w:space="0"/>
              <w:left w:val="nil"/>
              <w:bottom w:val="single" w:color="auto" w:sz="6" w:space="0"/>
              <w:right w:val="single" w:color="auto" w:sz="6" w:space="0"/>
            </w:tcBorders>
            <w:noWrap w:val="0"/>
            <w:vAlign w:val="center"/>
          </w:tcPr>
          <w:p>
            <w:pPr>
              <w:jc w:val="center"/>
              <w:rPr>
                <w:rFonts w:hint="eastAsia" w:ascii="宋体" w:hAnsi="宋体" w:eastAsia="宋体" w:cs="宋体"/>
                <w:sz w:val="24"/>
                <w:szCs w:val="24"/>
                <w:lang w:eastAsia="zh-CN"/>
              </w:rPr>
            </w:pPr>
            <w:r>
              <w:rPr>
                <w:rFonts w:hint="eastAsia" w:hAnsi="宋体" w:cs="宋体"/>
                <w:sz w:val="24"/>
                <w:szCs w:val="24"/>
                <w:lang w:eastAsia="zh-CN"/>
              </w:rPr>
              <w:t>台</w:t>
            </w:r>
          </w:p>
        </w:tc>
      </w:tr>
      <w:tr>
        <w:tblPrEx>
          <w:tblCellMar>
            <w:top w:w="0" w:type="dxa"/>
            <w:left w:w="108" w:type="dxa"/>
            <w:bottom w:w="0" w:type="dxa"/>
            <w:right w:w="108" w:type="dxa"/>
          </w:tblCellMar>
        </w:tblPrEx>
        <w:trPr>
          <w:trHeight w:val="943" w:hRule="atLeast"/>
        </w:trPr>
        <w:tc>
          <w:tcPr>
            <w:tcW w:w="602"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4</w:t>
            </w:r>
          </w:p>
        </w:tc>
        <w:tc>
          <w:tcPr>
            <w:tcW w:w="795"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color w:val="auto"/>
                <w:sz w:val="24"/>
                <w:szCs w:val="24"/>
                <w:highlight w:val="none"/>
                <w:lang w:eastAsia="zh-CN" w:bidi="ar"/>
              </w:rPr>
            </w:pPr>
            <w:r>
              <w:rPr>
                <w:rFonts w:hint="eastAsia" w:hAnsi="宋体" w:cs="宋体"/>
                <w:color w:val="auto"/>
                <w:sz w:val="24"/>
                <w:szCs w:val="24"/>
                <w:highlight w:val="none"/>
                <w:lang w:eastAsia="zh-CN" w:bidi="ar"/>
              </w:rPr>
              <w:t>发送卡</w:t>
            </w:r>
          </w:p>
        </w:tc>
        <w:tc>
          <w:tcPr>
            <w:tcW w:w="6985" w:type="dxa"/>
            <w:tcBorders>
              <w:top w:val="single" w:color="auto" w:sz="6" w:space="0"/>
              <w:left w:val="nil"/>
              <w:bottom w:val="single" w:color="auto" w:sz="6" w:space="0"/>
              <w:right w:val="single" w:color="auto" w:sz="6" w:space="0"/>
            </w:tcBorders>
            <w:noWrap w:val="0"/>
            <w:vAlign w:val="center"/>
          </w:tcPr>
          <w:p>
            <w:pPr>
              <w:pStyle w:val="4"/>
              <w:numPr>
                <w:ilvl w:val="0"/>
                <w:numId w:val="0"/>
              </w:numPr>
              <w:ind w:left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LED全彩显示屏控制器,≥1路DVI输入≥1路HDMI输入，≥6路网口输出；</w:t>
            </w:r>
          </w:p>
          <w:p>
            <w:pPr>
              <w:pStyle w:val="4"/>
              <w:numPr>
                <w:ilvl w:val="0"/>
                <w:numId w:val="0"/>
              </w:numPr>
              <w:ind w:left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带载分辨率1920x1200；</w:t>
            </w:r>
          </w:p>
        </w:tc>
        <w:tc>
          <w:tcPr>
            <w:tcW w:w="618" w:type="dxa"/>
            <w:tcBorders>
              <w:top w:val="single" w:color="auto" w:sz="6" w:space="0"/>
              <w:left w:val="nil"/>
              <w:bottom w:val="single" w:color="auto" w:sz="6" w:space="0"/>
              <w:right w:val="single" w:color="auto" w:sz="6" w:space="0"/>
            </w:tcBorders>
            <w:noWrap w:val="0"/>
            <w:vAlign w:val="center"/>
          </w:tcPr>
          <w:p>
            <w:pPr>
              <w:jc w:val="center"/>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4</w:t>
            </w:r>
          </w:p>
        </w:tc>
        <w:tc>
          <w:tcPr>
            <w:tcW w:w="563"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sz w:val="24"/>
                <w:szCs w:val="24"/>
                <w:lang w:eastAsia="zh-CN"/>
              </w:rPr>
            </w:pPr>
            <w:r>
              <w:rPr>
                <w:rFonts w:hint="eastAsia" w:hAnsi="宋体" w:cs="宋体"/>
                <w:sz w:val="24"/>
                <w:szCs w:val="24"/>
                <w:lang w:eastAsia="zh-CN"/>
              </w:rPr>
              <w:t>台</w:t>
            </w:r>
          </w:p>
        </w:tc>
      </w:tr>
      <w:tr>
        <w:tblPrEx>
          <w:tblCellMar>
            <w:top w:w="0" w:type="dxa"/>
            <w:left w:w="108" w:type="dxa"/>
            <w:bottom w:w="0" w:type="dxa"/>
            <w:right w:w="108" w:type="dxa"/>
          </w:tblCellMar>
        </w:tblPrEx>
        <w:trPr>
          <w:trHeight w:val="943" w:hRule="atLeast"/>
        </w:trPr>
        <w:tc>
          <w:tcPr>
            <w:tcW w:w="602"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5</w:t>
            </w:r>
          </w:p>
        </w:tc>
        <w:tc>
          <w:tcPr>
            <w:tcW w:w="795"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color w:val="auto"/>
                <w:sz w:val="24"/>
                <w:szCs w:val="24"/>
                <w:highlight w:val="none"/>
                <w:lang w:eastAsia="zh-CN" w:bidi="ar"/>
              </w:rPr>
            </w:pPr>
            <w:r>
              <w:rPr>
                <w:rFonts w:hint="eastAsia" w:hAnsi="宋体" w:cs="宋体"/>
                <w:color w:val="auto"/>
                <w:sz w:val="24"/>
                <w:szCs w:val="24"/>
                <w:highlight w:val="none"/>
                <w:lang w:eastAsia="zh-CN" w:bidi="ar"/>
              </w:rPr>
              <w:t>智能大屏管理平台</w:t>
            </w:r>
          </w:p>
        </w:tc>
        <w:tc>
          <w:tcPr>
            <w:tcW w:w="6985" w:type="dxa"/>
            <w:tcBorders>
              <w:top w:val="single" w:color="auto" w:sz="6" w:space="0"/>
              <w:left w:val="nil"/>
              <w:bottom w:val="single" w:color="auto" w:sz="6" w:space="0"/>
              <w:right w:val="single" w:color="auto" w:sz="6" w:space="0"/>
            </w:tcBorders>
            <w:noWrap w:val="0"/>
            <w:vAlign w:val="center"/>
          </w:tcPr>
          <w:p>
            <w:pPr>
              <w:pStyle w:val="4"/>
              <w:numPr>
                <w:ilvl w:val="0"/>
                <w:numId w:val="0"/>
              </w:numPr>
              <w:ind w:left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支持大屏显控、平板操控、内容切换、中控管理等功能；</w:t>
            </w:r>
          </w:p>
          <w:p>
            <w:pPr>
              <w:pStyle w:val="4"/>
              <w:numPr>
                <w:ilvl w:val="0"/>
                <w:numId w:val="0"/>
              </w:numPr>
              <w:ind w:left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应支持创建多种用户角色，针对不同的用户角色可分配不同的组织权限、功能应用权限、信号源权限、屏幕墙操控管理权限，支持角色分组；</w:t>
            </w:r>
          </w:p>
          <w:p>
            <w:pPr>
              <w:pStyle w:val="4"/>
              <w:numPr>
                <w:ilvl w:val="0"/>
                <w:numId w:val="0"/>
              </w:numPr>
              <w:ind w:left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应支持多用户登录，用户数量无限制，多用户操作同步实现多人协同办公，操作同步显示；</w:t>
            </w:r>
          </w:p>
          <w:p>
            <w:pPr>
              <w:pStyle w:val="4"/>
              <w:numPr>
                <w:ilvl w:val="0"/>
                <w:numId w:val="0"/>
              </w:numPr>
              <w:ind w:left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应支持对屏幕创建大屏门户，可自定义门户名称、选择门户模板、屏幕类型以及门户使用方式（只控制本屏幕、可联动其他屏幕）、背景图片；</w:t>
            </w:r>
          </w:p>
          <w:p>
            <w:pPr>
              <w:pStyle w:val="4"/>
              <w:numPr>
                <w:ilvl w:val="0"/>
                <w:numId w:val="0"/>
              </w:numPr>
              <w:ind w:left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应提供门户菜单支持自定义配置功能，可在基于模板的基础上，隐藏显示菜单项 、 移动菜单顺序 、修改菜单名称、 编辑菜单类型（控制页面、场景、二级门户）；</w:t>
            </w:r>
          </w:p>
          <w:p>
            <w:pPr>
              <w:pStyle w:val="4"/>
              <w:numPr>
                <w:ilvl w:val="0"/>
                <w:numId w:val="0"/>
              </w:numPr>
              <w:ind w:left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应提供选择菜单内容的功能，当联动多个屏幕时，内容可以关联多个；</w:t>
            </w:r>
          </w:p>
          <w:p>
            <w:pPr>
              <w:pStyle w:val="4"/>
              <w:numPr>
                <w:ilvl w:val="0"/>
                <w:numId w:val="0"/>
              </w:numPr>
              <w:ind w:left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应支持设置二级门户，通过一级门户链接至二级门户，进行大屏内容的控制；</w:t>
            </w:r>
          </w:p>
          <w:p>
            <w:pPr>
              <w:pStyle w:val="4"/>
              <w:numPr>
                <w:ilvl w:val="0"/>
                <w:numId w:val="0"/>
              </w:numPr>
              <w:ind w:left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需提供大屏控制软件软件著作权；</w:t>
            </w:r>
          </w:p>
        </w:tc>
        <w:tc>
          <w:tcPr>
            <w:tcW w:w="618" w:type="dxa"/>
            <w:tcBorders>
              <w:top w:val="single" w:color="auto" w:sz="6" w:space="0"/>
              <w:left w:val="nil"/>
              <w:bottom w:val="single" w:color="auto" w:sz="6" w:space="0"/>
              <w:right w:val="single" w:color="auto" w:sz="6" w:space="0"/>
            </w:tcBorders>
            <w:noWrap w:val="0"/>
            <w:vAlign w:val="center"/>
          </w:tcPr>
          <w:p>
            <w:pPr>
              <w:jc w:val="center"/>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1</w:t>
            </w:r>
          </w:p>
        </w:tc>
        <w:tc>
          <w:tcPr>
            <w:tcW w:w="563"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sz w:val="24"/>
                <w:szCs w:val="24"/>
                <w:lang w:eastAsia="zh-CN"/>
              </w:rPr>
            </w:pPr>
            <w:r>
              <w:rPr>
                <w:rFonts w:hint="eastAsia" w:hAnsi="宋体" w:cs="宋体"/>
                <w:sz w:val="24"/>
                <w:szCs w:val="24"/>
                <w:lang w:eastAsia="zh-CN"/>
              </w:rPr>
              <w:t>套</w:t>
            </w:r>
          </w:p>
        </w:tc>
      </w:tr>
      <w:tr>
        <w:tblPrEx>
          <w:tblCellMar>
            <w:top w:w="0" w:type="dxa"/>
            <w:left w:w="108" w:type="dxa"/>
            <w:bottom w:w="0" w:type="dxa"/>
            <w:right w:w="108" w:type="dxa"/>
          </w:tblCellMar>
        </w:tblPrEx>
        <w:trPr>
          <w:trHeight w:val="943" w:hRule="atLeast"/>
        </w:trPr>
        <w:tc>
          <w:tcPr>
            <w:tcW w:w="602"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6</w:t>
            </w:r>
          </w:p>
        </w:tc>
        <w:tc>
          <w:tcPr>
            <w:tcW w:w="795"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color w:val="auto"/>
                <w:sz w:val="24"/>
                <w:szCs w:val="24"/>
                <w:highlight w:val="none"/>
                <w:lang w:eastAsia="zh-CN" w:bidi="ar"/>
              </w:rPr>
            </w:pPr>
            <w:r>
              <w:rPr>
                <w:rFonts w:hint="eastAsia" w:hAnsi="宋体" w:cs="宋体"/>
                <w:color w:val="auto"/>
                <w:sz w:val="24"/>
                <w:szCs w:val="24"/>
                <w:highlight w:val="none"/>
                <w:lang w:eastAsia="zh-CN" w:bidi="ar"/>
              </w:rPr>
              <w:t>配电柜</w:t>
            </w:r>
          </w:p>
        </w:tc>
        <w:tc>
          <w:tcPr>
            <w:tcW w:w="6985" w:type="dxa"/>
            <w:tcBorders>
              <w:top w:val="single" w:color="auto" w:sz="6" w:space="0"/>
              <w:left w:val="nil"/>
              <w:bottom w:val="single" w:color="auto" w:sz="6" w:space="0"/>
              <w:right w:val="single" w:color="auto" w:sz="6" w:space="0"/>
            </w:tcBorders>
            <w:noWrap w:val="0"/>
            <w:vAlign w:val="center"/>
          </w:tcPr>
          <w:p>
            <w:pPr>
              <w:pStyle w:val="4"/>
              <w:numPr>
                <w:ilvl w:val="0"/>
                <w:numId w:val="0"/>
              </w:numPr>
              <w:ind w:left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类型：≥20KW配电柜</w:t>
            </w:r>
          </w:p>
          <w:p>
            <w:pPr>
              <w:pStyle w:val="4"/>
              <w:numPr>
                <w:ilvl w:val="0"/>
                <w:numId w:val="0"/>
              </w:numPr>
              <w:ind w:left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控制：网络远程控制</w:t>
            </w:r>
          </w:p>
          <w:p>
            <w:pPr>
              <w:pStyle w:val="4"/>
              <w:numPr>
                <w:ilvl w:val="0"/>
                <w:numId w:val="0"/>
              </w:numPr>
              <w:ind w:left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输入电压：380V，三相五线</w:t>
            </w:r>
          </w:p>
          <w:p>
            <w:pPr>
              <w:pStyle w:val="4"/>
              <w:numPr>
                <w:ilvl w:val="0"/>
                <w:numId w:val="0"/>
              </w:numPr>
              <w:ind w:left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输出电压：220V</w:t>
            </w:r>
          </w:p>
          <w:p>
            <w:pPr>
              <w:pStyle w:val="4"/>
              <w:numPr>
                <w:ilvl w:val="0"/>
                <w:numId w:val="0"/>
              </w:numPr>
              <w:ind w:left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输出回路：≥6个单相回路</w:t>
            </w:r>
          </w:p>
        </w:tc>
        <w:tc>
          <w:tcPr>
            <w:tcW w:w="618" w:type="dxa"/>
            <w:tcBorders>
              <w:top w:val="single" w:color="auto" w:sz="6" w:space="0"/>
              <w:left w:val="nil"/>
              <w:bottom w:val="single" w:color="auto" w:sz="6" w:space="0"/>
              <w:right w:val="single" w:color="auto" w:sz="6" w:space="0"/>
            </w:tcBorders>
            <w:noWrap w:val="0"/>
            <w:vAlign w:val="center"/>
          </w:tcPr>
          <w:p>
            <w:pPr>
              <w:jc w:val="center"/>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1</w:t>
            </w:r>
          </w:p>
        </w:tc>
        <w:tc>
          <w:tcPr>
            <w:tcW w:w="563"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sz w:val="24"/>
                <w:szCs w:val="24"/>
                <w:lang w:eastAsia="zh-CN"/>
              </w:rPr>
            </w:pPr>
            <w:r>
              <w:rPr>
                <w:rFonts w:hint="eastAsia" w:hAnsi="宋体" w:cs="宋体"/>
                <w:sz w:val="24"/>
                <w:szCs w:val="24"/>
                <w:lang w:eastAsia="zh-CN"/>
              </w:rPr>
              <w:t>台</w:t>
            </w:r>
          </w:p>
        </w:tc>
      </w:tr>
      <w:tr>
        <w:tblPrEx>
          <w:tblCellMar>
            <w:top w:w="0" w:type="dxa"/>
            <w:left w:w="108" w:type="dxa"/>
            <w:bottom w:w="0" w:type="dxa"/>
            <w:right w:w="108" w:type="dxa"/>
          </w:tblCellMar>
        </w:tblPrEx>
        <w:trPr>
          <w:trHeight w:val="943" w:hRule="atLeast"/>
        </w:trPr>
        <w:tc>
          <w:tcPr>
            <w:tcW w:w="602"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7</w:t>
            </w:r>
          </w:p>
        </w:tc>
        <w:tc>
          <w:tcPr>
            <w:tcW w:w="795"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color w:val="auto"/>
                <w:sz w:val="24"/>
                <w:szCs w:val="24"/>
                <w:highlight w:val="none"/>
                <w:lang w:eastAsia="zh-CN" w:bidi="ar"/>
              </w:rPr>
            </w:pPr>
            <w:r>
              <w:rPr>
                <w:rFonts w:hint="eastAsia" w:hAnsi="宋体" w:cs="宋体"/>
                <w:color w:val="auto"/>
                <w:sz w:val="24"/>
                <w:szCs w:val="24"/>
                <w:highlight w:val="none"/>
                <w:lang w:eastAsia="zh-CN" w:bidi="ar"/>
              </w:rPr>
              <w:t>定制钢结构</w:t>
            </w:r>
          </w:p>
        </w:tc>
        <w:tc>
          <w:tcPr>
            <w:tcW w:w="6985" w:type="dxa"/>
            <w:tcBorders>
              <w:top w:val="single" w:color="auto" w:sz="6" w:space="0"/>
              <w:left w:val="nil"/>
              <w:bottom w:val="single" w:color="auto" w:sz="6" w:space="0"/>
              <w:right w:val="single" w:color="auto" w:sz="6" w:space="0"/>
            </w:tcBorders>
            <w:noWrap w:val="0"/>
            <w:vAlign w:val="center"/>
          </w:tcPr>
          <w:p>
            <w:pPr>
              <w:pStyle w:val="4"/>
              <w:numPr>
                <w:ilvl w:val="0"/>
                <w:numId w:val="0"/>
              </w:numPr>
              <w:ind w:left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采用有足够的强度及钢度，无缝隙，不受热胀冷缩型材，保证LED拼接的顺利安装：单元模块化设计，均为标准化产品，整体加工时间短，有效满足快速出货：其积木式安装，安装时间快捷，落地支架整体完成后，各</w:t>
            </w:r>
          </w:p>
          <w:p>
            <w:pPr>
              <w:pStyle w:val="4"/>
              <w:numPr>
                <w:ilvl w:val="0"/>
                <w:numId w:val="0"/>
              </w:numPr>
              <w:ind w:left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LED显示屏相关部分线条整齐、平直，无高低现象：可纵向和横向安装，进行灵活拼接及扩展。结构简单，安装方便，钢构配合装饰装修，可将大屏与周围环境完美结合。</w:t>
            </w:r>
          </w:p>
          <w:p>
            <w:pPr>
              <w:pStyle w:val="4"/>
              <w:numPr>
                <w:ilvl w:val="0"/>
                <w:numId w:val="0"/>
              </w:numPr>
              <w:ind w:left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钢结构在两边柱子和顶部承重梁上固定承重点，不破坏原有大楼承重框架，合理寻找显示屏的承重点，使LED</w:t>
            </w:r>
          </w:p>
          <w:p>
            <w:pPr>
              <w:pStyle w:val="4"/>
              <w:numPr>
                <w:ilvl w:val="0"/>
                <w:numId w:val="0"/>
              </w:numPr>
              <w:ind w:left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显示屏钢架的支撑力和拉力合理分散受力，减少钢架对整体大楼框架的承重受力</w:t>
            </w:r>
          </w:p>
        </w:tc>
        <w:tc>
          <w:tcPr>
            <w:tcW w:w="618"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22.11</w:t>
            </w:r>
          </w:p>
        </w:tc>
        <w:tc>
          <w:tcPr>
            <w:tcW w:w="563"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sz w:val="24"/>
                <w:szCs w:val="24"/>
                <w:lang w:eastAsia="zh-CN"/>
              </w:rPr>
            </w:pPr>
            <w:r>
              <w:rPr>
                <w:rFonts w:hint="eastAsia" w:ascii="宋体" w:hAnsi="宋体" w:eastAsia="宋体" w:cs="宋体"/>
                <w:sz w:val="24"/>
                <w:szCs w:val="24"/>
                <w:lang w:eastAsia="zh-CN"/>
              </w:rPr>
              <w:t>㎡</w:t>
            </w:r>
          </w:p>
        </w:tc>
      </w:tr>
      <w:tr>
        <w:tblPrEx>
          <w:tblCellMar>
            <w:top w:w="0" w:type="dxa"/>
            <w:left w:w="108" w:type="dxa"/>
            <w:bottom w:w="0" w:type="dxa"/>
            <w:right w:w="108" w:type="dxa"/>
          </w:tblCellMar>
        </w:tblPrEx>
        <w:trPr>
          <w:trHeight w:val="733" w:hRule="atLeast"/>
        </w:trPr>
        <w:tc>
          <w:tcPr>
            <w:tcW w:w="602"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8</w:t>
            </w:r>
          </w:p>
        </w:tc>
        <w:tc>
          <w:tcPr>
            <w:tcW w:w="795"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color w:val="auto"/>
                <w:sz w:val="24"/>
                <w:szCs w:val="24"/>
                <w:highlight w:val="none"/>
                <w:lang w:eastAsia="zh-CN" w:bidi="ar"/>
              </w:rPr>
            </w:pPr>
            <w:r>
              <w:rPr>
                <w:rFonts w:hint="eastAsia" w:hAnsi="宋体" w:cs="宋体"/>
                <w:color w:val="auto"/>
                <w:sz w:val="24"/>
                <w:szCs w:val="24"/>
                <w:highlight w:val="none"/>
                <w:lang w:eastAsia="zh-CN" w:bidi="ar"/>
              </w:rPr>
              <w:t>线材</w:t>
            </w:r>
          </w:p>
        </w:tc>
        <w:tc>
          <w:tcPr>
            <w:tcW w:w="6985" w:type="dxa"/>
            <w:tcBorders>
              <w:top w:val="single" w:color="auto" w:sz="6" w:space="0"/>
              <w:left w:val="nil"/>
              <w:bottom w:val="single" w:color="auto" w:sz="6" w:space="0"/>
              <w:right w:val="single" w:color="auto" w:sz="6" w:space="0"/>
            </w:tcBorders>
            <w:noWrap w:val="0"/>
            <w:vAlign w:val="center"/>
          </w:tcPr>
          <w:p>
            <w:pPr>
              <w:pStyle w:val="4"/>
              <w:numPr>
                <w:ilvl w:val="0"/>
                <w:numId w:val="0"/>
              </w:numPr>
              <w:ind w:left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电源线、网线、视频线等</w:t>
            </w:r>
          </w:p>
        </w:tc>
        <w:tc>
          <w:tcPr>
            <w:tcW w:w="618" w:type="dxa"/>
            <w:tcBorders>
              <w:top w:val="single" w:color="auto" w:sz="6" w:space="0"/>
              <w:left w:val="nil"/>
              <w:bottom w:val="single" w:color="auto" w:sz="6" w:space="0"/>
              <w:right w:val="single" w:color="auto" w:sz="6" w:space="0"/>
            </w:tcBorders>
            <w:noWrap w:val="0"/>
            <w:vAlign w:val="center"/>
          </w:tcPr>
          <w:p>
            <w:pPr>
              <w:jc w:val="center"/>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1</w:t>
            </w:r>
          </w:p>
        </w:tc>
        <w:tc>
          <w:tcPr>
            <w:tcW w:w="563" w:type="dxa"/>
            <w:tcBorders>
              <w:top w:val="single" w:color="auto" w:sz="6" w:space="0"/>
              <w:left w:val="nil"/>
              <w:bottom w:val="single" w:color="auto" w:sz="6" w:space="0"/>
              <w:right w:val="single" w:color="auto" w:sz="6" w:space="0"/>
            </w:tcBorders>
            <w:noWrap w:val="0"/>
            <w:vAlign w:val="center"/>
          </w:tcPr>
          <w:p>
            <w:pPr>
              <w:jc w:val="center"/>
              <w:rPr>
                <w:rFonts w:hint="eastAsia" w:ascii="宋体" w:hAnsi="宋体" w:eastAsia="宋体" w:cs="宋体"/>
                <w:sz w:val="24"/>
                <w:szCs w:val="24"/>
                <w:lang w:eastAsia="zh-CN"/>
              </w:rPr>
            </w:pPr>
            <w:r>
              <w:rPr>
                <w:rFonts w:hint="eastAsia" w:hAnsi="宋体" w:cs="宋体"/>
                <w:sz w:val="24"/>
                <w:szCs w:val="24"/>
                <w:lang w:eastAsia="zh-CN"/>
              </w:rPr>
              <w:t>套</w:t>
            </w:r>
          </w:p>
        </w:tc>
      </w:tr>
      <w:tr>
        <w:tblPrEx>
          <w:tblCellMar>
            <w:top w:w="0" w:type="dxa"/>
            <w:left w:w="108" w:type="dxa"/>
            <w:bottom w:w="0" w:type="dxa"/>
            <w:right w:w="108" w:type="dxa"/>
          </w:tblCellMar>
        </w:tblPrEx>
        <w:trPr>
          <w:trHeight w:val="943" w:hRule="atLeast"/>
        </w:trPr>
        <w:tc>
          <w:tcPr>
            <w:tcW w:w="602"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9</w:t>
            </w:r>
          </w:p>
        </w:tc>
        <w:tc>
          <w:tcPr>
            <w:tcW w:w="795"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color w:val="auto"/>
                <w:sz w:val="24"/>
                <w:szCs w:val="24"/>
                <w:highlight w:val="none"/>
                <w:lang w:eastAsia="zh-CN" w:bidi="ar"/>
              </w:rPr>
            </w:pPr>
            <w:r>
              <w:rPr>
                <w:rFonts w:hint="eastAsia" w:hAnsi="宋体" w:cs="宋体"/>
                <w:color w:val="auto"/>
                <w:sz w:val="24"/>
                <w:szCs w:val="24"/>
                <w:highlight w:val="none"/>
                <w:lang w:eastAsia="zh-CN" w:bidi="ar"/>
              </w:rPr>
              <w:t>交换机</w:t>
            </w:r>
          </w:p>
        </w:tc>
        <w:tc>
          <w:tcPr>
            <w:tcW w:w="6985" w:type="dxa"/>
            <w:tcBorders>
              <w:top w:val="single" w:color="auto" w:sz="6" w:space="0"/>
              <w:left w:val="nil"/>
              <w:bottom w:val="single" w:color="auto" w:sz="6" w:space="0"/>
              <w:right w:val="single" w:color="auto" w:sz="6" w:space="0"/>
            </w:tcBorders>
            <w:noWrap w:val="0"/>
            <w:vAlign w:val="center"/>
          </w:tcPr>
          <w:p>
            <w:pPr>
              <w:pStyle w:val="4"/>
              <w:numPr>
                <w:ilvl w:val="0"/>
                <w:numId w:val="0"/>
              </w:numPr>
              <w:ind w:left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≥8口百兆非网管交换机</w:t>
            </w:r>
          </w:p>
          <w:p>
            <w:pPr>
              <w:pStyle w:val="4"/>
              <w:numPr>
                <w:ilvl w:val="0"/>
                <w:numId w:val="0"/>
              </w:numPr>
              <w:ind w:left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交换容量≥1.6Gbps</w:t>
            </w:r>
          </w:p>
          <w:p>
            <w:pPr>
              <w:pStyle w:val="4"/>
              <w:numPr>
                <w:ilvl w:val="0"/>
                <w:numId w:val="0"/>
              </w:numPr>
              <w:ind w:left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包转发率≥1.2Mpps</w:t>
            </w:r>
          </w:p>
          <w:p>
            <w:pPr>
              <w:pStyle w:val="4"/>
              <w:numPr>
                <w:ilvl w:val="0"/>
                <w:numId w:val="0"/>
              </w:numPr>
              <w:ind w:left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支持220v交流</w:t>
            </w:r>
          </w:p>
        </w:tc>
        <w:tc>
          <w:tcPr>
            <w:tcW w:w="618" w:type="dxa"/>
            <w:tcBorders>
              <w:top w:val="single" w:color="auto" w:sz="6" w:space="0"/>
              <w:left w:val="nil"/>
              <w:bottom w:val="single" w:color="auto" w:sz="6" w:space="0"/>
              <w:right w:val="single" w:color="auto" w:sz="6" w:space="0"/>
            </w:tcBorders>
            <w:noWrap w:val="0"/>
            <w:vAlign w:val="center"/>
          </w:tcPr>
          <w:p>
            <w:pPr>
              <w:jc w:val="center"/>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1</w:t>
            </w:r>
          </w:p>
        </w:tc>
        <w:tc>
          <w:tcPr>
            <w:tcW w:w="563"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sz w:val="24"/>
                <w:szCs w:val="24"/>
                <w:lang w:eastAsia="zh-CN"/>
              </w:rPr>
            </w:pPr>
            <w:r>
              <w:rPr>
                <w:rFonts w:hint="eastAsia" w:hAnsi="宋体" w:cs="宋体"/>
                <w:sz w:val="24"/>
                <w:szCs w:val="24"/>
                <w:lang w:eastAsia="zh-CN"/>
              </w:rPr>
              <w:t>台</w:t>
            </w:r>
          </w:p>
        </w:tc>
      </w:tr>
      <w:tr>
        <w:tblPrEx>
          <w:tblCellMar>
            <w:top w:w="0" w:type="dxa"/>
            <w:left w:w="108" w:type="dxa"/>
            <w:bottom w:w="0" w:type="dxa"/>
            <w:right w:w="108" w:type="dxa"/>
          </w:tblCellMar>
        </w:tblPrEx>
        <w:trPr>
          <w:trHeight w:val="943" w:hRule="atLeast"/>
        </w:trPr>
        <w:tc>
          <w:tcPr>
            <w:tcW w:w="602"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10</w:t>
            </w:r>
          </w:p>
        </w:tc>
        <w:tc>
          <w:tcPr>
            <w:tcW w:w="795"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color w:val="auto"/>
                <w:sz w:val="24"/>
                <w:szCs w:val="24"/>
                <w:highlight w:val="none"/>
                <w:lang w:eastAsia="zh-CN" w:bidi="ar"/>
              </w:rPr>
            </w:pPr>
            <w:r>
              <w:rPr>
                <w:rFonts w:hint="eastAsia" w:hAnsi="宋体" w:cs="宋体"/>
                <w:color w:val="auto"/>
                <w:sz w:val="24"/>
                <w:szCs w:val="24"/>
                <w:highlight w:val="none"/>
                <w:lang w:eastAsia="zh-CN" w:bidi="ar"/>
              </w:rPr>
              <w:t>管理主机</w:t>
            </w:r>
          </w:p>
        </w:tc>
        <w:tc>
          <w:tcPr>
            <w:tcW w:w="6985" w:type="dxa"/>
            <w:tcBorders>
              <w:top w:val="single" w:color="auto" w:sz="6" w:space="0"/>
              <w:left w:val="nil"/>
              <w:bottom w:val="single" w:color="auto" w:sz="6" w:space="0"/>
              <w:right w:val="single" w:color="auto" w:sz="6" w:space="0"/>
            </w:tcBorders>
            <w:noWrap w:val="0"/>
            <w:vAlign w:val="center"/>
          </w:tcPr>
          <w:p>
            <w:pPr>
              <w:pStyle w:val="4"/>
              <w:numPr>
                <w:ilvl w:val="0"/>
                <w:numId w:val="0"/>
              </w:numPr>
              <w:ind w:left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CPU ：Intel I5-10400，≥6核≥2.9GHz</w:t>
            </w:r>
          </w:p>
          <w:p>
            <w:pPr>
              <w:pStyle w:val="4"/>
              <w:numPr>
                <w:ilvl w:val="0"/>
                <w:numId w:val="0"/>
              </w:numPr>
              <w:ind w:left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内存：DDR4 内存， 2400MHz 及以上频率，≥8GB</w:t>
            </w:r>
          </w:p>
          <w:p>
            <w:pPr>
              <w:pStyle w:val="4"/>
              <w:numPr>
                <w:ilvl w:val="0"/>
                <w:numId w:val="0"/>
              </w:numPr>
              <w:ind w:left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存储：≥256G SSD</w:t>
            </w:r>
          </w:p>
          <w:p>
            <w:pPr>
              <w:pStyle w:val="4"/>
              <w:numPr>
                <w:ilvl w:val="0"/>
                <w:numId w:val="0"/>
              </w:numPr>
              <w:ind w:left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硬盘接口：≥4个SATA 3.0 接口；≥1个M.2 接口</w:t>
            </w:r>
          </w:p>
          <w:p>
            <w:pPr>
              <w:pStyle w:val="4"/>
              <w:numPr>
                <w:ilvl w:val="0"/>
                <w:numId w:val="0"/>
              </w:numPr>
              <w:ind w:left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USB 接口：前置≥4个；后置≥6个；</w:t>
            </w:r>
          </w:p>
          <w:p>
            <w:pPr>
              <w:pStyle w:val="4"/>
              <w:numPr>
                <w:ilvl w:val="0"/>
                <w:numId w:val="0"/>
              </w:numPr>
              <w:ind w:left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显示接口：≥1个VGA 接口；≥1个HDMI 接口；</w:t>
            </w:r>
          </w:p>
          <w:p>
            <w:pPr>
              <w:pStyle w:val="4"/>
              <w:numPr>
                <w:ilvl w:val="0"/>
                <w:numId w:val="0"/>
              </w:numPr>
              <w:ind w:left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显卡：集成显卡</w:t>
            </w:r>
          </w:p>
          <w:p>
            <w:pPr>
              <w:pStyle w:val="4"/>
              <w:numPr>
                <w:ilvl w:val="0"/>
                <w:numId w:val="0"/>
              </w:numPr>
              <w:ind w:left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≥21.5 英寸 高清显示器，分辨率 ≥1920*1080；</w:t>
            </w:r>
          </w:p>
          <w:p>
            <w:pPr>
              <w:pStyle w:val="4"/>
              <w:numPr>
                <w:ilvl w:val="0"/>
                <w:numId w:val="0"/>
              </w:numPr>
              <w:ind w:left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含键鼠一套；</w:t>
            </w:r>
          </w:p>
          <w:p>
            <w:pPr>
              <w:pStyle w:val="4"/>
              <w:numPr>
                <w:ilvl w:val="0"/>
                <w:numId w:val="0"/>
              </w:numPr>
              <w:ind w:left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含操作系统；</w:t>
            </w:r>
          </w:p>
        </w:tc>
        <w:tc>
          <w:tcPr>
            <w:tcW w:w="618" w:type="dxa"/>
            <w:tcBorders>
              <w:top w:val="single" w:color="auto" w:sz="6" w:space="0"/>
              <w:left w:val="nil"/>
              <w:bottom w:val="single" w:color="auto" w:sz="6" w:space="0"/>
              <w:right w:val="single" w:color="auto" w:sz="6" w:space="0"/>
            </w:tcBorders>
            <w:noWrap w:val="0"/>
            <w:vAlign w:val="center"/>
          </w:tcPr>
          <w:p>
            <w:pPr>
              <w:jc w:val="center"/>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1</w:t>
            </w:r>
          </w:p>
        </w:tc>
        <w:tc>
          <w:tcPr>
            <w:tcW w:w="563"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sz w:val="24"/>
                <w:szCs w:val="24"/>
                <w:lang w:eastAsia="zh-CN"/>
              </w:rPr>
            </w:pPr>
            <w:r>
              <w:rPr>
                <w:rFonts w:hint="eastAsia" w:hAnsi="宋体" w:cs="宋体"/>
                <w:sz w:val="24"/>
                <w:szCs w:val="24"/>
                <w:lang w:eastAsia="zh-CN"/>
              </w:rPr>
              <w:t>台</w:t>
            </w:r>
          </w:p>
        </w:tc>
      </w:tr>
      <w:tr>
        <w:tblPrEx>
          <w:tblCellMar>
            <w:top w:w="0" w:type="dxa"/>
            <w:left w:w="108" w:type="dxa"/>
            <w:bottom w:w="0" w:type="dxa"/>
            <w:right w:w="108" w:type="dxa"/>
          </w:tblCellMar>
        </w:tblPrEx>
        <w:trPr>
          <w:trHeight w:val="478" w:hRule="atLeast"/>
        </w:trPr>
        <w:tc>
          <w:tcPr>
            <w:tcW w:w="9563" w:type="dxa"/>
            <w:gridSpan w:val="5"/>
            <w:tcBorders>
              <w:top w:val="single" w:color="auto" w:sz="6" w:space="0"/>
              <w:left w:val="single" w:color="auto" w:sz="6" w:space="0"/>
              <w:bottom w:val="single" w:color="auto" w:sz="6" w:space="0"/>
              <w:right w:val="single" w:color="auto" w:sz="6" w:space="0"/>
            </w:tcBorders>
            <w:noWrap w:val="0"/>
            <w:vAlign w:val="center"/>
          </w:tcPr>
          <w:p>
            <w:pPr>
              <w:jc w:val="center"/>
              <w:rPr>
                <w:rFonts w:hint="eastAsia" w:hAnsi="宋体" w:cs="宋体"/>
                <w:sz w:val="24"/>
                <w:szCs w:val="24"/>
                <w:lang w:eastAsia="zh-CN"/>
              </w:rPr>
            </w:pPr>
            <w:r>
              <w:rPr>
                <w:rFonts w:hint="eastAsia"/>
                <w:lang w:val="en-US" w:eastAsia="zh-CN"/>
              </w:rPr>
              <w:t>暂列金</w:t>
            </w:r>
          </w:p>
        </w:tc>
      </w:tr>
      <w:tr>
        <w:tblPrEx>
          <w:tblCellMar>
            <w:top w:w="0" w:type="dxa"/>
            <w:left w:w="108" w:type="dxa"/>
            <w:bottom w:w="0" w:type="dxa"/>
            <w:right w:w="108" w:type="dxa"/>
          </w:tblCellMar>
        </w:tblPrEx>
        <w:trPr>
          <w:trHeight w:val="943" w:hRule="atLeast"/>
        </w:trPr>
        <w:tc>
          <w:tcPr>
            <w:tcW w:w="602" w:type="dxa"/>
            <w:tcBorders>
              <w:top w:val="single" w:color="auto" w:sz="6" w:space="0"/>
              <w:left w:val="single" w:color="auto" w:sz="6" w:space="0"/>
              <w:bottom w:val="single" w:color="auto" w:sz="6" w:space="0"/>
              <w:right w:val="single" w:color="auto" w:sz="6" w:space="0"/>
            </w:tcBorders>
            <w:noWrap w:val="0"/>
            <w:vAlign w:val="center"/>
          </w:tcPr>
          <w:p>
            <w:pPr>
              <w:pStyle w:val="2"/>
              <w:rPr>
                <w:rFonts w:hint="default"/>
                <w:lang w:val="en-US" w:eastAsia="zh-CN"/>
              </w:rPr>
            </w:pPr>
            <w:r>
              <w:rPr>
                <w:rFonts w:hint="eastAsia"/>
                <w:lang w:val="en-US" w:eastAsia="zh-CN"/>
              </w:rPr>
              <w:t>1</w:t>
            </w:r>
          </w:p>
        </w:tc>
        <w:tc>
          <w:tcPr>
            <w:tcW w:w="795"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color w:val="auto"/>
                <w:sz w:val="24"/>
                <w:szCs w:val="24"/>
                <w:highlight w:val="none"/>
                <w:lang w:eastAsia="zh-CN" w:bidi="ar"/>
              </w:rPr>
            </w:pPr>
            <w:r>
              <w:rPr>
                <w:rFonts w:hint="eastAsia" w:hAnsi="宋体" w:cs="宋体"/>
                <w:color w:val="auto"/>
                <w:sz w:val="24"/>
                <w:szCs w:val="24"/>
                <w:highlight w:val="none"/>
                <w:lang w:eastAsia="zh-CN" w:bidi="ar"/>
              </w:rPr>
              <w:t>暂列金</w:t>
            </w:r>
          </w:p>
        </w:tc>
        <w:tc>
          <w:tcPr>
            <w:tcW w:w="6985"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40" w:lineRule="exact"/>
              <w:textAlignment w:val="auto"/>
              <w:rPr>
                <w:rFonts w:hint="eastAsia" w:ascii="宋体" w:hAnsi="宋体" w:eastAsia="宋体" w:cs="宋体"/>
                <w:color w:val="auto"/>
                <w:kern w:val="2"/>
                <w:sz w:val="24"/>
                <w:szCs w:val="24"/>
                <w:lang w:val="en-US" w:eastAsia="zh-CN" w:bidi="ar-SA"/>
              </w:rPr>
            </w:pPr>
            <w:r>
              <w:rPr>
                <w:rFonts w:hint="eastAsia"/>
                <w:lang w:val="en-US" w:eastAsia="zh-CN"/>
              </w:rPr>
              <w:t>暂定金额50000.00元，按50000.00元进行投标。</w:t>
            </w:r>
          </w:p>
        </w:tc>
        <w:tc>
          <w:tcPr>
            <w:tcW w:w="618" w:type="dxa"/>
            <w:tcBorders>
              <w:top w:val="single" w:color="auto" w:sz="6" w:space="0"/>
              <w:left w:val="nil"/>
              <w:bottom w:val="single" w:color="auto" w:sz="6" w:space="0"/>
              <w:right w:val="single" w:color="auto" w:sz="6" w:space="0"/>
            </w:tcBorders>
            <w:noWrap w:val="0"/>
            <w:vAlign w:val="center"/>
          </w:tcPr>
          <w:p>
            <w:pPr>
              <w:jc w:val="center"/>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1</w:t>
            </w:r>
          </w:p>
        </w:tc>
        <w:tc>
          <w:tcPr>
            <w:tcW w:w="563"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sz w:val="24"/>
                <w:szCs w:val="24"/>
                <w:lang w:eastAsia="zh-CN"/>
              </w:rPr>
            </w:pPr>
            <w:r>
              <w:rPr>
                <w:rFonts w:hint="eastAsia" w:hAnsi="宋体" w:cs="宋体"/>
                <w:sz w:val="24"/>
                <w:szCs w:val="24"/>
                <w:lang w:eastAsia="zh-CN"/>
              </w:rPr>
              <w:t>项</w:t>
            </w:r>
          </w:p>
        </w:tc>
      </w:tr>
    </w:tbl>
    <w:p>
      <w:pPr>
        <w:jc w:val="both"/>
        <w:outlineLvl w:val="0"/>
        <w:rPr>
          <w:rStyle w:val="43"/>
          <w:rFonts w:hint="eastAsia" w:ascii="楷体" w:hAnsi="楷体" w:eastAsia="楷体" w:cs="楷体"/>
          <w:b w:val="0"/>
          <w:bCs/>
          <w:sz w:val="28"/>
          <w:szCs w:val="18"/>
          <w:lang w:val="en-US" w:eastAsia="zh-CN"/>
        </w:rPr>
      </w:pPr>
      <w:r>
        <w:rPr>
          <w:rStyle w:val="43"/>
          <w:rFonts w:hint="eastAsia" w:ascii="楷体" w:hAnsi="楷体" w:eastAsia="楷体" w:cs="楷体"/>
          <w:b w:val="0"/>
          <w:bCs/>
          <w:sz w:val="28"/>
          <w:szCs w:val="18"/>
          <w:lang w:eastAsia="zh-CN"/>
        </w:rPr>
        <w:t>采购</w:t>
      </w:r>
      <w:r>
        <w:rPr>
          <w:rStyle w:val="43"/>
          <w:rFonts w:hint="eastAsia" w:ascii="楷体" w:hAnsi="楷体" w:eastAsia="楷体" w:cs="楷体"/>
          <w:b w:val="0"/>
          <w:bCs/>
          <w:sz w:val="28"/>
          <w:szCs w:val="18"/>
          <w:lang w:val="en-US" w:eastAsia="zh-CN"/>
        </w:rPr>
        <w:t>2包</w:t>
      </w:r>
    </w:p>
    <w:p>
      <w:pPr>
        <w:pStyle w:val="23"/>
        <w:spacing w:before="0" w:beforeAutospacing="0" w:after="0" w:afterAutospacing="0" w:line="360" w:lineRule="auto"/>
        <w:ind w:firstLine="630"/>
        <w:jc w:val="both"/>
        <w:textAlignment w:val="baseline"/>
        <w:rPr>
          <w:rFonts w:hint="eastAsia" w:eastAsia="宋体"/>
          <w:color w:val="auto"/>
          <w:highlight w:val="none"/>
          <w:shd w:val="clear" w:color="auto" w:fill="FFFFFF"/>
          <w:lang w:eastAsia="zh-CN"/>
        </w:rPr>
      </w:pPr>
      <w:r>
        <w:rPr>
          <w:rFonts w:hint="eastAsia"/>
          <w:color w:val="auto"/>
          <w:highlight w:val="none"/>
          <w:shd w:val="clear" w:color="auto" w:fill="FFFFFF"/>
        </w:rPr>
        <w:t>合同包预算金额：5010349.40元</w:t>
      </w:r>
      <w:r>
        <w:rPr>
          <w:rFonts w:hint="eastAsia"/>
          <w:color w:val="auto"/>
          <w:highlight w:val="none"/>
          <w:shd w:val="clear" w:color="auto" w:fill="FFFFFF"/>
          <w:lang w:eastAsia="zh-CN"/>
        </w:rPr>
        <w:t>（含暂列金</w:t>
      </w:r>
      <w:r>
        <w:rPr>
          <w:rFonts w:hint="eastAsia"/>
          <w:color w:val="auto"/>
          <w:highlight w:val="none"/>
          <w:shd w:val="clear" w:color="auto" w:fill="FFFFFF"/>
          <w:lang w:val="en-US" w:eastAsia="zh-CN"/>
        </w:rPr>
        <w:t>50000.00元</w:t>
      </w:r>
      <w:r>
        <w:rPr>
          <w:rFonts w:hint="eastAsia"/>
          <w:color w:val="auto"/>
          <w:highlight w:val="none"/>
          <w:shd w:val="clear" w:color="auto" w:fill="FFFFFF"/>
          <w:lang w:eastAsia="zh-CN"/>
        </w:rPr>
        <w:t>）</w:t>
      </w:r>
    </w:p>
    <w:tbl>
      <w:tblPr>
        <w:tblStyle w:val="24"/>
        <w:tblW w:w="9791" w:type="dxa"/>
        <w:tblInd w:w="-200" w:type="dxa"/>
        <w:tblLayout w:type="fixed"/>
        <w:tblCellMar>
          <w:top w:w="0" w:type="dxa"/>
          <w:left w:w="0" w:type="dxa"/>
          <w:bottom w:w="0" w:type="dxa"/>
          <w:right w:w="0" w:type="dxa"/>
        </w:tblCellMar>
      </w:tblPr>
      <w:tblGrid>
        <w:gridCol w:w="785"/>
        <w:gridCol w:w="1773"/>
        <w:gridCol w:w="2024"/>
        <w:gridCol w:w="1418"/>
        <w:gridCol w:w="1240"/>
        <w:gridCol w:w="1501"/>
        <w:gridCol w:w="1050"/>
      </w:tblGrid>
      <w:tr>
        <w:tblPrEx>
          <w:tblCellMar>
            <w:top w:w="0" w:type="dxa"/>
            <w:left w:w="0" w:type="dxa"/>
            <w:bottom w:w="0" w:type="dxa"/>
            <w:right w:w="0" w:type="dxa"/>
          </w:tblCellMar>
        </w:tblPrEx>
        <w:trPr>
          <w:trHeight w:val="728" w:hRule="atLeast"/>
          <w:tblHeader/>
        </w:trPr>
        <w:tc>
          <w:tcPr>
            <w:tcW w:w="78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360" w:lineRule="auto"/>
              <w:jc w:val="center"/>
              <w:textAlignment w:val="center"/>
              <w:rPr>
                <w:rFonts w:hint="eastAsia" w:ascii="宋体" w:hAnsi="宋体" w:cs="宋体"/>
                <w:b/>
                <w:bCs/>
                <w:color w:val="auto"/>
                <w:sz w:val="24"/>
                <w:szCs w:val="24"/>
                <w:highlight w:val="none"/>
              </w:rPr>
            </w:pPr>
            <w:r>
              <w:rPr>
                <w:rFonts w:hint="eastAsia" w:ascii="宋体" w:hAnsi="宋体" w:cs="宋体"/>
                <w:b/>
                <w:bCs/>
                <w:color w:val="auto"/>
                <w:kern w:val="0"/>
                <w:sz w:val="24"/>
                <w:szCs w:val="24"/>
                <w:highlight w:val="none"/>
                <w:lang w:bidi="ar"/>
              </w:rPr>
              <w:t>品目号</w:t>
            </w:r>
          </w:p>
        </w:tc>
        <w:tc>
          <w:tcPr>
            <w:tcW w:w="177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360" w:lineRule="auto"/>
              <w:jc w:val="center"/>
              <w:textAlignment w:val="center"/>
              <w:rPr>
                <w:rFonts w:hint="eastAsia" w:ascii="宋体" w:hAnsi="宋体" w:cs="宋体"/>
                <w:b/>
                <w:bCs/>
                <w:color w:val="auto"/>
                <w:sz w:val="24"/>
                <w:szCs w:val="24"/>
                <w:highlight w:val="none"/>
              </w:rPr>
            </w:pPr>
            <w:r>
              <w:rPr>
                <w:rFonts w:hint="eastAsia" w:ascii="宋体" w:hAnsi="宋体" w:cs="宋体"/>
                <w:b/>
                <w:bCs/>
                <w:color w:val="auto"/>
                <w:kern w:val="0"/>
                <w:sz w:val="24"/>
                <w:szCs w:val="24"/>
                <w:highlight w:val="none"/>
                <w:lang w:bidi="ar"/>
              </w:rPr>
              <w:t>品目名称</w:t>
            </w:r>
          </w:p>
        </w:tc>
        <w:tc>
          <w:tcPr>
            <w:tcW w:w="202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360" w:lineRule="auto"/>
              <w:jc w:val="center"/>
              <w:textAlignment w:val="center"/>
              <w:rPr>
                <w:rFonts w:hint="eastAsia" w:ascii="宋体" w:hAnsi="宋体" w:cs="宋体"/>
                <w:b/>
                <w:bCs/>
                <w:color w:val="auto"/>
                <w:sz w:val="24"/>
                <w:szCs w:val="24"/>
                <w:highlight w:val="none"/>
              </w:rPr>
            </w:pPr>
            <w:r>
              <w:rPr>
                <w:rFonts w:hint="eastAsia" w:ascii="宋体" w:hAnsi="宋体" w:cs="宋体"/>
                <w:b/>
                <w:bCs/>
                <w:color w:val="auto"/>
                <w:kern w:val="0"/>
                <w:sz w:val="24"/>
                <w:szCs w:val="24"/>
                <w:highlight w:val="none"/>
                <w:lang w:bidi="ar"/>
              </w:rPr>
              <w:t>采购标的</w:t>
            </w:r>
          </w:p>
        </w:tc>
        <w:tc>
          <w:tcPr>
            <w:tcW w:w="141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360" w:lineRule="auto"/>
              <w:jc w:val="center"/>
              <w:textAlignment w:val="center"/>
              <w:rPr>
                <w:rFonts w:hint="eastAsia" w:ascii="宋体" w:hAnsi="宋体" w:cs="宋体"/>
                <w:b/>
                <w:bCs/>
                <w:color w:val="auto"/>
                <w:kern w:val="0"/>
                <w:sz w:val="24"/>
                <w:szCs w:val="24"/>
                <w:highlight w:val="none"/>
                <w:lang w:bidi="ar"/>
              </w:rPr>
            </w:pPr>
            <w:r>
              <w:rPr>
                <w:rFonts w:hint="eastAsia" w:ascii="宋体" w:hAnsi="宋体" w:cs="宋体"/>
                <w:b/>
                <w:bCs/>
                <w:color w:val="auto"/>
                <w:kern w:val="0"/>
                <w:sz w:val="24"/>
                <w:szCs w:val="24"/>
                <w:highlight w:val="none"/>
                <w:lang w:bidi="ar"/>
              </w:rPr>
              <w:t>数量</w:t>
            </w:r>
          </w:p>
          <w:p>
            <w:pPr>
              <w:widowControl/>
              <w:wordWrap w:val="0"/>
              <w:spacing w:line="360" w:lineRule="auto"/>
              <w:jc w:val="center"/>
              <w:textAlignment w:val="center"/>
              <w:rPr>
                <w:rFonts w:hint="eastAsia" w:ascii="宋体" w:hAnsi="宋体" w:cs="宋体"/>
                <w:b/>
                <w:bCs/>
                <w:color w:val="auto"/>
                <w:sz w:val="24"/>
                <w:szCs w:val="24"/>
                <w:highlight w:val="none"/>
              </w:rPr>
            </w:pPr>
            <w:r>
              <w:rPr>
                <w:rFonts w:hint="eastAsia" w:ascii="宋体" w:hAnsi="宋体" w:cs="宋体"/>
                <w:b/>
                <w:bCs/>
                <w:color w:val="auto"/>
                <w:kern w:val="0"/>
                <w:sz w:val="24"/>
                <w:szCs w:val="24"/>
                <w:highlight w:val="none"/>
                <w:lang w:bidi="ar"/>
              </w:rPr>
              <w:t>（单位）</w:t>
            </w:r>
          </w:p>
        </w:tc>
        <w:tc>
          <w:tcPr>
            <w:tcW w:w="12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360" w:lineRule="auto"/>
              <w:jc w:val="center"/>
              <w:textAlignment w:val="center"/>
              <w:rPr>
                <w:rFonts w:hint="eastAsia" w:ascii="宋体" w:hAnsi="宋体" w:cs="宋体"/>
                <w:b/>
                <w:bCs/>
                <w:color w:val="auto"/>
                <w:sz w:val="24"/>
                <w:szCs w:val="24"/>
                <w:highlight w:val="none"/>
              </w:rPr>
            </w:pPr>
            <w:r>
              <w:rPr>
                <w:rFonts w:hint="eastAsia" w:ascii="宋体" w:hAnsi="宋体" w:cs="宋体"/>
                <w:b/>
                <w:bCs/>
                <w:color w:val="auto"/>
                <w:kern w:val="0"/>
                <w:sz w:val="24"/>
                <w:szCs w:val="24"/>
                <w:highlight w:val="none"/>
                <w:lang w:bidi="ar"/>
              </w:rPr>
              <w:t>技术规格、参数及要求</w:t>
            </w:r>
          </w:p>
        </w:tc>
        <w:tc>
          <w:tcPr>
            <w:tcW w:w="150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360" w:lineRule="auto"/>
              <w:jc w:val="center"/>
              <w:textAlignment w:val="center"/>
              <w:rPr>
                <w:rFonts w:hint="eastAsia" w:ascii="宋体" w:hAnsi="宋体" w:cs="宋体"/>
                <w:b/>
                <w:bCs/>
                <w:color w:val="auto"/>
                <w:sz w:val="24"/>
                <w:szCs w:val="24"/>
                <w:highlight w:val="none"/>
              </w:rPr>
            </w:pPr>
            <w:r>
              <w:rPr>
                <w:rFonts w:hint="eastAsia" w:ascii="宋体" w:hAnsi="宋体" w:cs="宋体"/>
                <w:b/>
                <w:bCs/>
                <w:color w:val="auto"/>
                <w:kern w:val="0"/>
                <w:sz w:val="24"/>
                <w:szCs w:val="24"/>
                <w:highlight w:val="none"/>
                <w:lang w:bidi="ar"/>
              </w:rPr>
              <w:t>品目预算(元)</w:t>
            </w:r>
          </w:p>
        </w:tc>
        <w:tc>
          <w:tcPr>
            <w:tcW w:w="10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360" w:lineRule="auto"/>
              <w:jc w:val="center"/>
              <w:textAlignment w:val="center"/>
              <w:rPr>
                <w:rFonts w:hint="eastAsia" w:ascii="宋体" w:hAnsi="宋体" w:cs="宋体"/>
                <w:b/>
                <w:bCs/>
                <w:color w:val="auto"/>
                <w:sz w:val="24"/>
                <w:szCs w:val="24"/>
                <w:highlight w:val="none"/>
              </w:rPr>
            </w:pPr>
            <w:r>
              <w:rPr>
                <w:rFonts w:hint="eastAsia" w:ascii="宋体" w:hAnsi="宋体" w:cs="宋体"/>
                <w:b/>
                <w:bCs/>
                <w:color w:val="auto"/>
                <w:kern w:val="0"/>
                <w:sz w:val="24"/>
                <w:szCs w:val="24"/>
                <w:highlight w:val="none"/>
                <w:lang w:bidi="ar"/>
              </w:rPr>
              <w:t>最高限价(元)</w:t>
            </w:r>
          </w:p>
        </w:tc>
      </w:tr>
      <w:tr>
        <w:tblPrEx>
          <w:tblCellMar>
            <w:top w:w="0" w:type="dxa"/>
            <w:left w:w="0" w:type="dxa"/>
            <w:bottom w:w="0" w:type="dxa"/>
            <w:right w:w="0" w:type="dxa"/>
          </w:tblCellMar>
        </w:tblPrEx>
        <w:trPr>
          <w:trHeight w:val="480" w:hRule="atLeast"/>
        </w:trPr>
        <w:tc>
          <w:tcPr>
            <w:tcW w:w="78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360" w:lineRule="auto"/>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1-1</w:t>
            </w:r>
          </w:p>
        </w:tc>
        <w:tc>
          <w:tcPr>
            <w:tcW w:w="177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360" w:lineRule="auto"/>
              <w:jc w:val="center"/>
              <w:textAlignment w:val="center"/>
              <w:rPr>
                <w:rFonts w:hint="eastAsia" w:ascii="宋体" w:hAnsi="宋体" w:cs="宋体"/>
                <w:color w:val="auto"/>
                <w:sz w:val="24"/>
                <w:szCs w:val="24"/>
                <w:highlight w:val="none"/>
              </w:rPr>
            </w:pPr>
            <w:r>
              <w:rPr>
                <w:rFonts w:hint="eastAsia" w:ascii="宋体" w:hAnsi="宋体" w:cs="宋体"/>
                <w:color w:val="auto"/>
                <w:sz w:val="24"/>
                <w:szCs w:val="24"/>
                <w:highlight w:val="none"/>
              </w:rPr>
              <w:t>本项目主要包括基础设施、前端系统等内容</w:t>
            </w:r>
          </w:p>
        </w:tc>
        <w:tc>
          <w:tcPr>
            <w:tcW w:w="202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360" w:lineRule="auto"/>
              <w:jc w:val="center"/>
              <w:textAlignment w:val="center"/>
              <w:rPr>
                <w:rFonts w:hint="eastAsia" w:ascii="宋体" w:hAnsi="宋体" w:cs="宋体"/>
                <w:color w:val="auto"/>
                <w:sz w:val="24"/>
                <w:szCs w:val="24"/>
                <w:highlight w:val="none"/>
              </w:rPr>
            </w:pPr>
            <w:r>
              <w:rPr>
                <w:rFonts w:hint="eastAsia" w:hAnsi="宋体" w:cs="宋体"/>
                <w:color w:val="auto"/>
                <w:kern w:val="0"/>
                <w:sz w:val="24"/>
                <w:szCs w:val="24"/>
                <w:highlight w:val="none"/>
                <w:lang w:eastAsia="zh-CN" w:bidi="ar"/>
              </w:rPr>
              <w:t>微卡摄像机及补光灯</w:t>
            </w:r>
            <w:r>
              <w:rPr>
                <w:rFonts w:hint="eastAsia" w:hAnsi="宋体" w:cs="宋体"/>
                <w:color w:val="auto"/>
                <w:kern w:val="0"/>
                <w:sz w:val="24"/>
                <w:szCs w:val="24"/>
                <w:highlight w:val="none"/>
                <w:lang w:val="en-US" w:eastAsia="zh-CN" w:bidi="ar"/>
              </w:rPr>
              <w:t>300套，立杆及辅材150套</w:t>
            </w:r>
            <w:r>
              <w:rPr>
                <w:rFonts w:hint="eastAsia" w:ascii="宋体" w:hAnsi="宋体" w:cs="宋体"/>
                <w:color w:val="auto"/>
                <w:kern w:val="0"/>
                <w:sz w:val="24"/>
                <w:szCs w:val="24"/>
                <w:highlight w:val="none"/>
                <w:lang w:bidi="ar"/>
              </w:rPr>
              <w:t>。</w:t>
            </w:r>
          </w:p>
        </w:tc>
        <w:tc>
          <w:tcPr>
            <w:tcW w:w="141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360" w:lineRule="auto"/>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1(批)</w:t>
            </w:r>
          </w:p>
        </w:tc>
        <w:tc>
          <w:tcPr>
            <w:tcW w:w="12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360" w:lineRule="auto"/>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详见采购文件</w:t>
            </w:r>
          </w:p>
        </w:tc>
        <w:tc>
          <w:tcPr>
            <w:tcW w:w="150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spacing w:line="360" w:lineRule="auto"/>
              <w:jc w:val="right"/>
              <w:textAlignment w:val="center"/>
              <w:rPr>
                <w:rFonts w:hint="eastAsia" w:ascii="宋体" w:hAnsi="宋体" w:cs="宋体"/>
                <w:color w:val="auto"/>
                <w:sz w:val="24"/>
                <w:szCs w:val="24"/>
                <w:highlight w:val="none"/>
              </w:rPr>
            </w:pPr>
            <w:r>
              <w:rPr>
                <w:rFonts w:hint="eastAsia"/>
                <w:color w:val="auto"/>
                <w:highlight w:val="none"/>
                <w:shd w:val="clear" w:color="auto" w:fill="FFFFFF"/>
              </w:rPr>
              <w:t>5010349.40</w:t>
            </w:r>
          </w:p>
        </w:tc>
        <w:tc>
          <w:tcPr>
            <w:tcW w:w="10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spacing w:line="360" w:lineRule="auto"/>
              <w:jc w:val="right"/>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w:t>
            </w:r>
          </w:p>
        </w:tc>
      </w:tr>
    </w:tbl>
    <w:p>
      <w:pPr>
        <w:pStyle w:val="23"/>
        <w:spacing w:before="0" w:beforeAutospacing="0" w:after="0" w:afterAutospacing="0" w:line="360" w:lineRule="auto"/>
        <w:ind w:firstLine="630"/>
        <w:jc w:val="both"/>
        <w:textAlignment w:val="baseline"/>
        <w:rPr>
          <w:rFonts w:hint="eastAsia"/>
          <w:color w:val="auto"/>
          <w:highlight w:val="none"/>
        </w:rPr>
      </w:pPr>
      <w:r>
        <w:rPr>
          <w:rFonts w:hint="eastAsia"/>
          <w:color w:val="auto"/>
          <w:highlight w:val="none"/>
          <w:shd w:val="clear" w:color="auto" w:fill="FFFFFF"/>
        </w:rPr>
        <w:t>本合同包不接受联合体投标</w:t>
      </w:r>
    </w:p>
    <w:p>
      <w:pPr>
        <w:pStyle w:val="23"/>
        <w:spacing w:before="0" w:beforeAutospacing="0" w:after="0" w:afterAutospacing="0" w:line="360" w:lineRule="auto"/>
        <w:ind w:firstLine="480" w:firstLineChars="200"/>
        <w:jc w:val="both"/>
        <w:textAlignment w:val="baseline"/>
        <w:rPr>
          <w:rFonts w:hint="eastAsia"/>
          <w:color w:val="auto"/>
          <w:highlight w:val="none"/>
          <w:shd w:val="clear" w:color="auto" w:fill="FFFFFF"/>
        </w:rPr>
      </w:pPr>
      <w:r>
        <w:rPr>
          <w:rFonts w:hint="eastAsia"/>
          <w:color w:val="auto"/>
          <w:highlight w:val="none"/>
          <w:shd w:val="clear" w:color="auto" w:fill="FFFFFF"/>
        </w:rPr>
        <w:t>合同履行期限：合同签订后</w:t>
      </w:r>
      <w:r>
        <w:rPr>
          <w:rFonts w:hint="eastAsia"/>
          <w:color w:val="auto"/>
          <w:highlight w:val="none"/>
          <w:shd w:val="clear" w:color="auto" w:fill="FFFFFF"/>
          <w:lang w:val="en-US" w:eastAsia="zh-CN"/>
        </w:rPr>
        <w:t>150</w:t>
      </w:r>
      <w:r>
        <w:rPr>
          <w:rFonts w:hint="eastAsia"/>
          <w:color w:val="auto"/>
          <w:highlight w:val="none"/>
          <w:shd w:val="clear" w:color="auto" w:fill="FFFFFF"/>
        </w:rPr>
        <w:t>天内</w:t>
      </w:r>
    </w:p>
    <w:p>
      <w:pPr>
        <w:pStyle w:val="23"/>
        <w:spacing w:before="0" w:beforeAutospacing="0" w:after="0" w:afterAutospacing="0" w:line="360" w:lineRule="auto"/>
        <w:ind w:firstLine="480" w:firstLineChars="200"/>
        <w:jc w:val="both"/>
        <w:textAlignment w:val="baseline"/>
        <w:rPr>
          <w:rFonts w:hint="eastAsia"/>
          <w:color w:val="auto"/>
          <w:highlight w:val="none"/>
          <w:shd w:val="clear" w:color="auto" w:fill="FFFFFF"/>
        </w:rPr>
      </w:pPr>
      <w:r>
        <w:rPr>
          <w:rFonts w:hint="eastAsia"/>
          <w:color w:val="auto"/>
          <w:highlight w:val="none"/>
          <w:shd w:val="clear" w:color="auto" w:fill="FFFFFF"/>
        </w:rPr>
        <w:t>采购内容及参数要求见附表</w:t>
      </w:r>
    </w:p>
    <w:tbl>
      <w:tblPr>
        <w:tblStyle w:val="24"/>
        <w:tblW w:w="9749" w:type="dxa"/>
        <w:tblInd w:w="-240" w:type="dxa"/>
        <w:tblLayout w:type="fixed"/>
        <w:tblCellMar>
          <w:top w:w="0" w:type="dxa"/>
          <w:left w:w="108" w:type="dxa"/>
          <w:bottom w:w="0" w:type="dxa"/>
          <w:right w:w="108" w:type="dxa"/>
        </w:tblCellMar>
      </w:tblPr>
      <w:tblGrid>
        <w:gridCol w:w="788"/>
        <w:gridCol w:w="795"/>
        <w:gridCol w:w="6985"/>
        <w:gridCol w:w="618"/>
        <w:gridCol w:w="563"/>
      </w:tblGrid>
      <w:tr>
        <w:tblPrEx>
          <w:tblCellMar>
            <w:top w:w="0" w:type="dxa"/>
            <w:left w:w="108" w:type="dxa"/>
            <w:bottom w:w="0" w:type="dxa"/>
            <w:right w:w="108" w:type="dxa"/>
          </w:tblCellMar>
        </w:tblPrEx>
        <w:trPr>
          <w:trHeight w:val="620" w:hRule="atLeast"/>
        </w:trPr>
        <w:tc>
          <w:tcPr>
            <w:tcW w:w="788"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lang w:bidi="ar"/>
              </w:rPr>
              <w:t>序号</w:t>
            </w:r>
          </w:p>
        </w:tc>
        <w:tc>
          <w:tcPr>
            <w:tcW w:w="795" w:type="dxa"/>
            <w:tcBorders>
              <w:top w:val="single" w:color="auto" w:sz="6" w:space="0"/>
              <w:left w:val="nil"/>
              <w:bottom w:val="single" w:color="auto" w:sz="6" w:space="0"/>
              <w:right w:val="single" w:color="auto" w:sz="6" w:space="0"/>
            </w:tcBorders>
            <w:shd w:val="clear" w:color="auto" w:fill="FFFFFF"/>
            <w:noWrap w:val="0"/>
            <w:vAlign w:val="center"/>
          </w:tcPr>
          <w:p>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lang w:bidi="ar"/>
              </w:rPr>
              <w:t>设备名称</w:t>
            </w:r>
          </w:p>
        </w:tc>
        <w:tc>
          <w:tcPr>
            <w:tcW w:w="6985" w:type="dxa"/>
            <w:tcBorders>
              <w:top w:val="single" w:color="auto" w:sz="6" w:space="0"/>
              <w:left w:val="nil"/>
              <w:bottom w:val="single" w:color="auto" w:sz="6" w:space="0"/>
              <w:right w:val="single" w:color="auto" w:sz="6" w:space="0"/>
            </w:tcBorders>
            <w:shd w:val="clear" w:color="auto" w:fill="FFFFFF"/>
            <w:noWrap w:val="0"/>
            <w:vAlign w:val="center"/>
          </w:tcPr>
          <w:p>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lang w:bidi="ar"/>
              </w:rPr>
              <w:t>技术参数</w:t>
            </w:r>
          </w:p>
        </w:tc>
        <w:tc>
          <w:tcPr>
            <w:tcW w:w="618" w:type="dxa"/>
            <w:tcBorders>
              <w:top w:val="single" w:color="auto" w:sz="6" w:space="0"/>
              <w:left w:val="nil"/>
              <w:bottom w:val="single" w:color="auto" w:sz="6" w:space="0"/>
              <w:right w:val="single" w:color="auto" w:sz="6" w:space="0"/>
            </w:tcBorders>
            <w:shd w:val="clear" w:color="auto" w:fill="FFFFFF"/>
            <w:noWrap w:val="0"/>
            <w:vAlign w:val="center"/>
          </w:tcPr>
          <w:p>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lang w:bidi="ar"/>
              </w:rPr>
              <w:t>数量</w:t>
            </w:r>
          </w:p>
        </w:tc>
        <w:tc>
          <w:tcPr>
            <w:tcW w:w="563" w:type="dxa"/>
            <w:tcBorders>
              <w:top w:val="single" w:color="auto" w:sz="6" w:space="0"/>
              <w:left w:val="nil"/>
              <w:bottom w:val="single" w:color="auto" w:sz="6" w:space="0"/>
              <w:right w:val="single" w:color="auto" w:sz="6" w:space="0"/>
            </w:tcBorders>
            <w:shd w:val="clear" w:color="auto" w:fill="FFFFFF"/>
            <w:noWrap w:val="0"/>
            <w:vAlign w:val="center"/>
          </w:tcPr>
          <w:p>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lang w:bidi="ar"/>
              </w:rPr>
              <w:t>单位</w:t>
            </w:r>
          </w:p>
        </w:tc>
      </w:tr>
      <w:tr>
        <w:tblPrEx>
          <w:tblCellMar>
            <w:top w:w="0" w:type="dxa"/>
            <w:left w:w="108" w:type="dxa"/>
            <w:bottom w:w="0" w:type="dxa"/>
            <w:right w:w="108" w:type="dxa"/>
          </w:tblCellMar>
        </w:tblPrEx>
        <w:trPr>
          <w:trHeight w:val="1525" w:hRule="atLeast"/>
        </w:trPr>
        <w:tc>
          <w:tcPr>
            <w:tcW w:w="788"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lang w:bidi="ar"/>
              </w:rPr>
              <w:t>1</w:t>
            </w:r>
          </w:p>
        </w:tc>
        <w:tc>
          <w:tcPr>
            <w:tcW w:w="795" w:type="dxa"/>
            <w:tcBorders>
              <w:top w:val="single" w:color="auto" w:sz="6" w:space="0"/>
              <w:left w:val="nil"/>
              <w:bottom w:val="single" w:color="auto" w:sz="6" w:space="0"/>
              <w:right w:val="single" w:color="auto" w:sz="6" w:space="0"/>
            </w:tcBorders>
            <w:noWrap w:val="0"/>
            <w:vAlign w:val="center"/>
          </w:tcPr>
          <w:p>
            <w:pPr>
              <w:jc w:val="center"/>
              <w:rPr>
                <w:rFonts w:hint="eastAsia" w:ascii="宋体" w:hAnsi="宋体" w:cs="宋体"/>
                <w:bCs/>
                <w:color w:val="auto"/>
                <w:sz w:val="24"/>
                <w:szCs w:val="24"/>
                <w:highlight w:val="none"/>
              </w:rPr>
            </w:pPr>
            <w:r>
              <w:rPr>
                <w:rFonts w:hint="eastAsia" w:ascii="宋体" w:hAnsi="宋体" w:cs="宋体"/>
                <w:color w:val="auto"/>
                <w:sz w:val="24"/>
                <w:szCs w:val="24"/>
                <w:highlight w:val="none"/>
              </w:rPr>
              <w:t>微卡摄像机</w:t>
            </w:r>
          </w:p>
        </w:tc>
        <w:tc>
          <w:tcPr>
            <w:tcW w:w="6985" w:type="dxa"/>
            <w:tcBorders>
              <w:top w:val="single" w:color="auto" w:sz="6" w:space="0"/>
              <w:left w:val="nil"/>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包含高清摄像机、高清镜头、室外防护罩、防雷模块、下挂灯、电源适配器等；</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传感器类型：≥1/1.8"CMOS；</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焦距：11-40mm;高清变焦镜头；</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支持车牌识别、子品牌识别、车身颜色识别、车型识别；</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★支持识别≥450种机动车品牌标志，白天识别准确率≥99%，夜晚识别准确率≥99%；</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★支持车辆子品牌识别功能，通过车头可识别≥7000种，通过车尾可识别≥3700种，全天识别准确率不低于99%；</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支持识别≥42种车型；需列出至少42种车辆类型；</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★支持识别≥13种车身颜色；需列出至少13种车辆颜色；</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像素：≥420W；</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感光器件：≥1/1.8"CMOS；</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照度：彩色不大于0.001 Lux；黑白不大于0.0001 Lux；</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视频压缩标准：H.264/H.265/MJPEG；</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宽动态能力≥120dB；</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支持设定以位置、车速、车型、行驶方向和车牌类型等为触发条件进行抓拍；</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感兴趣区域增强编码功能检查：支持≥24块感兴趣区域(ROI)增强编码功能，ROI区域压缩比在0～100范围内可设置；</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★支持GB 35114-2017标准A级、GB/T 28181-2016标准、GA/T 1400-2017标准；</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防护等级IP65；</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标“★”项需提供国家级或部级第三方检测鉴定机构出具的检测报告复印件并加盖生产商的红色印章；</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(该摄像机含支架)(该摄像机含支架)</w:t>
            </w:r>
          </w:p>
        </w:tc>
        <w:tc>
          <w:tcPr>
            <w:tcW w:w="618" w:type="dxa"/>
            <w:tcBorders>
              <w:top w:val="single" w:color="auto" w:sz="6" w:space="0"/>
              <w:left w:val="nil"/>
              <w:bottom w:val="single" w:color="auto" w:sz="6" w:space="0"/>
              <w:right w:val="single" w:color="auto" w:sz="6" w:space="0"/>
            </w:tcBorders>
            <w:noWrap w:val="0"/>
            <w:vAlign w:val="center"/>
          </w:tcPr>
          <w:p>
            <w:pPr>
              <w:jc w:val="center"/>
              <w:rPr>
                <w:rFonts w:hint="default" w:ascii="宋体" w:hAnsi="宋体" w:eastAsia="宋体" w:cs="宋体"/>
                <w:bCs/>
                <w:color w:val="auto"/>
                <w:sz w:val="24"/>
                <w:szCs w:val="24"/>
                <w:highlight w:val="none"/>
                <w:lang w:val="en-US" w:eastAsia="zh-CN"/>
              </w:rPr>
            </w:pPr>
            <w:r>
              <w:rPr>
                <w:rFonts w:hint="eastAsia" w:hAnsi="宋体" w:cs="宋体"/>
                <w:bCs/>
                <w:color w:val="auto"/>
                <w:sz w:val="24"/>
                <w:szCs w:val="24"/>
                <w:highlight w:val="none"/>
                <w:lang w:val="en-US" w:eastAsia="zh-CN" w:bidi="ar"/>
              </w:rPr>
              <w:t>300</w:t>
            </w:r>
          </w:p>
        </w:tc>
        <w:tc>
          <w:tcPr>
            <w:tcW w:w="563" w:type="dxa"/>
            <w:tcBorders>
              <w:top w:val="single" w:color="auto" w:sz="6" w:space="0"/>
              <w:left w:val="nil"/>
              <w:bottom w:val="single" w:color="auto" w:sz="6" w:space="0"/>
              <w:right w:val="single" w:color="auto" w:sz="6" w:space="0"/>
            </w:tcBorders>
            <w:noWrap w:val="0"/>
            <w:vAlign w:val="center"/>
          </w:tcPr>
          <w:p>
            <w:pPr>
              <w:jc w:val="center"/>
              <w:rPr>
                <w:rFonts w:hint="eastAsia" w:ascii="宋体" w:hAnsi="宋体" w:eastAsia="宋体" w:cs="宋体"/>
                <w:bCs/>
                <w:color w:val="auto"/>
                <w:sz w:val="24"/>
                <w:szCs w:val="24"/>
                <w:highlight w:val="none"/>
                <w:lang w:eastAsia="zh-CN"/>
              </w:rPr>
            </w:pPr>
            <w:r>
              <w:rPr>
                <w:rFonts w:hint="eastAsia" w:hAnsi="宋体" w:cs="宋体"/>
                <w:bCs/>
                <w:color w:val="auto"/>
                <w:sz w:val="24"/>
                <w:szCs w:val="24"/>
                <w:highlight w:val="none"/>
                <w:lang w:eastAsia="zh-CN"/>
              </w:rPr>
              <w:t>台</w:t>
            </w:r>
          </w:p>
        </w:tc>
      </w:tr>
      <w:tr>
        <w:tblPrEx>
          <w:tblCellMar>
            <w:top w:w="0" w:type="dxa"/>
            <w:left w:w="108" w:type="dxa"/>
            <w:bottom w:w="0" w:type="dxa"/>
            <w:right w:w="108" w:type="dxa"/>
          </w:tblCellMar>
        </w:tblPrEx>
        <w:trPr>
          <w:trHeight w:val="1525" w:hRule="atLeast"/>
        </w:trPr>
        <w:tc>
          <w:tcPr>
            <w:tcW w:w="788"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宋体" w:hAnsi="宋体" w:eastAsia="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2</w:t>
            </w:r>
          </w:p>
        </w:tc>
        <w:tc>
          <w:tcPr>
            <w:tcW w:w="795" w:type="dxa"/>
            <w:tcBorders>
              <w:top w:val="single" w:color="auto" w:sz="6" w:space="0"/>
              <w:left w:val="nil"/>
              <w:bottom w:val="single" w:color="auto" w:sz="6" w:space="0"/>
              <w:right w:val="single" w:color="auto" w:sz="6" w:space="0"/>
            </w:tcBorders>
            <w:noWrap w:val="0"/>
            <w:vAlign w:val="center"/>
          </w:tcPr>
          <w:p>
            <w:pPr>
              <w:jc w:val="center"/>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eastAsia="zh-CN"/>
              </w:rPr>
              <w:t>补光灯</w:t>
            </w:r>
          </w:p>
        </w:tc>
        <w:tc>
          <w:tcPr>
            <w:tcW w:w="6985" w:type="dxa"/>
            <w:tcBorders>
              <w:top w:val="single" w:color="auto" w:sz="6" w:space="0"/>
              <w:left w:val="nil"/>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LED灯珠数量：≥26颗；</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发光角度：≥40°；</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最佳补光距离：16米~25米；</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补光灯自带光敏控制，在低照度下自动开启，低照度阀值可设；</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防护等级：≥IP66；</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功率：最大60W；</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支持自闪、跟随、自动频闪模式；</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工作环境-40℃~85℃；</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频率0-250HZ可调；支持通过调整占空比1%~39%进行亮度调节；</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含支架；</w:t>
            </w:r>
          </w:p>
        </w:tc>
        <w:tc>
          <w:tcPr>
            <w:tcW w:w="618" w:type="dxa"/>
            <w:tcBorders>
              <w:top w:val="single" w:color="auto" w:sz="6" w:space="0"/>
              <w:left w:val="nil"/>
              <w:bottom w:val="single" w:color="auto" w:sz="6" w:space="0"/>
              <w:right w:val="single" w:color="auto" w:sz="6" w:space="0"/>
            </w:tcBorders>
            <w:noWrap w:val="0"/>
            <w:vAlign w:val="center"/>
          </w:tcPr>
          <w:p>
            <w:pPr>
              <w:jc w:val="center"/>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300</w:t>
            </w:r>
          </w:p>
        </w:tc>
        <w:tc>
          <w:tcPr>
            <w:tcW w:w="563"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bCs/>
                <w:color w:val="auto"/>
                <w:sz w:val="24"/>
                <w:szCs w:val="24"/>
                <w:highlight w:val="none"/>
                <w:lang w:eastAsia="zh-CN"/>
              </w:rPr>
            </w:pPr>
            <w:r>
              <w:rPr>
                <w:rFonts w:hint="eastAsia" w:hAnsi="宋体" w:cs="宋体"/>
                <w:bCs/>
                <w:color w:val="auto"/>
                <w:sz w:val="24"/>
                <w:szCs w:val="24"/>
                <w:highlight w:val="none"/>
                <w:lang w:eastAsia="zh-CN"/>
              </w:rPr>
              <w:t>个</w:t>
            </w:r>
          </w:p>
        </w:tc>
      </w:tr>
      <w:tr>
        <w:tblPrEx>
          <w:tblCellMar>
            <w:top w:w="0" w:type="dxa"/>
            <w:left w:w="108" w:type="dxa"/>
            <w:bottom w:w="0" w:type="dxa"/>
            <w:right w:w="108" w:type="dxa"/>
          </w:tblCellMar>
        </w:tblPrEx>
        <w:trPr>
          <w:trHeight w:val="1525" w:hRule="atLeast"/>
        </w:trPr>
        <w:tc>
          <w:tcPr>
            <w:tcW w:w="788"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3</w:t>
            </w:r>
          </w:p>
        </w:tc>
        <w:tc>
          <w:tcPr>
            <w:tcW w:w="795"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color w:val="auto"/>
                <w:sz w:val="24"/>
                <w:szCs w:val="24"/>
                <w:highlight w:val="none"/>
                <w:lang w:eastAsia="zh-CN"/>
              </w:rPr>
            </w:pPr>
            <w:r>
              <w:rPr>
                <w:rFonts w:hint="eastAsia" w:ascii="宋体" w:hAnsi="宋体" w:cs="宋体"/>
                <w:color w:val="auto"/>
                <w:sz w:val="24"/>
                <w:szCs w:val="24"/>
                <w:highlight w:val="none"/>
                <w:lang w:bidi="ar"/>
              </w:rPr>
              <w:t>6m立杆</w:t>
            </w:r>
          </w:p>
        </w:tc>
        <w:tc>
          <w:tcPr>
            <w:tcW w:w="6985" w:type="dxa"/>
            <w:tcBorders>
              <w:top w:val="single" w:color="auto" w:sz="6" w:space="0"/>
              <w:left w:val="nil"/>
              <w:bottom w:val="single" w:color="auto" w:sz="6" w:space="0"/>
              <w:right w:val="single" w:color="auto" w:sz="6"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40" w:lineRule="exact"/>
              <w:textAlignment w:val="auto"/>
              <w:rPr>
                <w:rFonts w:hint="eastAsia"/>
                <w:lang w:eastAsia="zh-CN"/>
              </w:rPr>
            </w:pPr>
            <w:r>
              <w:rPr>
                <w:rFonts w:hint="eastAsia"/>
                <w:lang w:val="en-US" w:eastAsia="zh-CN"/>
              </w:rPr>
              <w:t>1、</w:t>
            </w:r>
            <w:r>
              <w:rPr>
                <w:rFonts w:hint="eastAsia"/>
              </w:rPr>
              <w:t>国标热镀锌优质八棱金属杆，钢材材质均为Q235，6m，立杆大口径240mm，小口径180mm，壁厚6mm</w:t>
            </w:r>
            <w:r>
              <w:rPr>
                <w:rFonts w:hint="eastAsia"/>
                <w:lang w:eastAsia="zh-CN"/>
              </w:rPr>
              <w:t>。包含以下内容</w:t>
            </w:r>
          </w:p>
          <w:p>
            <w:pPr>
              <w:keepNext w:val="0"/>
              <w:keepLines w:val="0"/>
              <w:pageBreakBefore w:val="0"/>
              <w:numPr>
                <w:ilvl w:val="0"/>
                <w:numId w:val="0"/>
              </w:numPr>
              <w:kinsoku/>
              <w:wordWrap/>
              <w:overflowPunct/>
              <w:topLinePunct w:val="0"/>
              <w:autoSpaceDE/>
              <w:autoSpaceDN/>
              <w:bidi w:val="0"/>
              <w:adjustRightInd/>
              <w:snapToGrid/>
              <w:spacing w:line="340" w:lineRule="exact"/>
              <w:textAlignment w:val="auto"/>
              <w:rPr>
                <w:rFonts w:hint="eastAsia"/>
                <w:lang w:eastAsia="zh-CN"/>
              </w:rPr>
            </w:pPr>
            <w:r>
              <w:rPr>
                <w:rFonts w:hint="eastAsia"/>
                <w:lang w:val="en-US" w:eastAsia="zh-CN"/>
              </w:rPr>
              <w:t>2、</w:t>
            </w:r>
            <w:r>
              <w:rPr>
                <w:rFonts w:hint="eastAsia"/>
                <w:lang w:eastAsia="zh-CN"/>
              </w:rPr>
              <w:t>6m立杆横臂（国标热镀锌，6m横臂大口径170mm，小口径80mm，壁厚4mm）</w:t>
            </w:r>
          </w:p>
          <w:p>
            <w:pPr>
              <w:pStyle w:val="2"/>
              <w:keepNext w:val="0"/>
              <w:keepLines w:val="0"/>
              <w:pageBreakBefore w:val="0"/>
              <w:numPr>
                <w:ilvl w:val="0"/>
                <w:numId w:val="0"/>
              </w:numPr>
              <w:tabs>
                <w:tab w:val="left" w:pos="406"/>
              </w:tabs>
              <w:kinsoku/>
              <w:wordWrap/>
              <w:overflowPunct/>
              <w:topLinePunct w:val="0"/>
              <w:autoSpaceDE/>
              <w:autoSpaceDN/>
              <w:bidi w:val="0"/>
              <w:adjustRightInd/>
              <w:snapToGrid/>
              <w:spacing w:line="340" w:lineRule="exact"/>
              <w:ind w:leftChars="0"/>
              <w:textAlignment w:val="auto"/>
              <w:rPr>
                <w:rFonts w:hint="eastAsia" w:ascii="宋体" w:hAnsi="Times New Roman" w:eastAsia="宋体" w:cs="Times New Roman"/>
                <w:sz w:val="24"/>
                <w:szCs w:val="20"/>
                <w:lang w:val="en-US" w:eastAsia="zh-CN" w:bidi="ar-SA"/>
              </w:rPr>
            </w:pPr>
            <w:r>
              <w:rPr>
                <w:rFonts w:hint="eastAsia" w:ascii="宋体" w:hAnsi="Times New Roman" w:eastAsia="宋体" w:cs="Times New Roman"/>
                <w:sz w:val="24"/>
                <w:szCs w:val="20"/>
                <w:lang w:val="en-US" w:eastAsia="zh-CN" w:bidi="ar-SA"/>
              </w:rPr>
              <w:t>3、杆基坑（混凝土C25，开挖尺寸为1m*1m*1.5m）</w:t>
            </w:r>
          </w:p>
          <w:p>
            <w:pPr>
              <w:pStyle w:val="4"/>
              <w:keepNext w:val="0"/>
              <w:keepLines w:val="0"/>
              <w:pageBreakBefore w:val="0"/>
              <w:numPr>
                <w:ilvl w:val="0"/>
                <w:numId w:val="0"/>
              </w:numPr>
              <w:kinsoku/>
              <w:wordWrap/>
              <w:overflowPunct/>
              <w:topLinePunct w:val="0"/>
              <w:autoSpaceDE/>
              <w:autoSpaceDN/>
              <w:bidi w:val="0"/>
              <w:adjustRightInd/>
              <w:snapToGrid/>
              <w:spacing w:line="340" w:lineRule="exact"/>
              <w:ind w:leftChars="0"/>
              <w:textAlignment w:val="auto"/>
              <w:rPr>
                <w:rFonts w:hint="eastAsia" w:ascii="宋体" w:hAnsi="Times New Roman" w:eastAsia="宋体" w:cs="Times New Roman"/>
                <w:sz w:val="24"/>
                <w:szCs w:val="20"/>
                <w:lang w:val="en-US" w:eastAsia="zh-CN" w:bidi="ar-SA"/>
              </w:rPr>
            </w:pPr>
            <w:r>
              <w:rPr>
                <w:rFonts w:hint="eastAsia" w:ascii="宋体" w:hAnsi="Times New Roman" w:eastAsia="宋体" w:cs="Times New Roman"/>
                <w:sz w:val="24"/>
                <w:szCs w:val="20"/>
                <w:lang w:val="en-US" w:eastAsia="zh-CN" w:bidi="ar-SA"/>
              </w:rPr>
              <w:t>4、基坑路面恢复</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bCs/>
                <w:color w:val="auto"/>
                <w:sz w:val="24"/>
                <w:szCs w:val="24"/>
                <w:highlight w:val="none"/>
              </w:rPr>
            </w:pPr>
            <w:r>
              <w:rPr>
                <w:rFonts w:hint="eastAsia" w:ascii="宋体" w:hAnsi="Times New Roman" w:eastAsia="宋体" w:cs="Times New Roman"/>
                <w:sz w:val="24"/>
                <w:szCs w:val="20"/>
                <w:lang w:val="en-US" w:eastAsia="zh-CN" w:bidi="ar-SA"/>
              </w:rPr>
              <w:t>5、杆体反光条</w:t>
            </w:r>
          </w:p>
        </w:tc>
        <w:tc>
          <w:tcPr>
            <w:tcW w:w="618" w:type="dxa"/>
            <w:tcBorders>
              <w:top w:val="single" w:color="auto" w:sz="6" w:space="0"/>
              <w:left w:val="nil"/>
              <w:bottom w:val="single" w:color="auto" w:sz="6" w:space="0"/>
              <w:right w:val="single" w:color="auto" w:sz="6" w:space="0"/>
            </w:tcBorders>
            <w:noWrap w:val="0"/>
            <w:vAlign w:val="center"/>
          </w:tcPr>
          <w:p>
            <w:pPr>
              <w:jc w:val="center"/>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150</w:t>
            </w:r>
          </w:p>
        </w:tc>
        <w:tc>
          <w:tcPr>
            <w:tcW w:w="563"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bCs/>
                <w:color w:val="auto"/>
                <w:sz w:val="24"/>
                <w:szCs w:val="24"/>
                <w:highlight w:val="none"/>
                <w:lang w:eastAsia="zh-CN"/>
              </w:rPr>
            </w:pPr>
            <w:r>
              <w:rPr>
                <w:rFonts w:hint="eastAsia" w:hAnsi="宋体" w:cs="宋体"/>
                <w:bCs/>
                <w:color w:val="auto"/>
                <w:sz w:val="24"/>
                <w:szCs w:val="24"/>
                <w:highlight w:val="none"/>
                <w:lang w:eastAsia="zh-CN"/>
              </w:rPr>
              <w:t>套</w:t>
            </w:r>
          </w:p>
        </w:tc>
      </w:tr>
      <w:tr>
        <w:tblPrEx>
          <w:tblCellMar>
            <w:top w:w="0" w:type="dxa"/>
            <w:left w:w="108" w:type="dxa"/>
            <w:bottom w:w="0" w:type="dxa"/>
            <w:right w:w="108" w:type="dxa"/>
          </w:tblCellMar>
        </w:tblPrEx>
        <w:trPr>
          <w:trHeight w:val="1525" w:hRule="atLeast"/>
        </w:trPr>
        <w:tc>
          <w:tcPr>
            <w:tcW w:w="788"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lang w:val="en-US" w:eastAsia="zh-CN"/>
              </w:rPr>
            </w:pPr>
          </w:p>
          <w:p>
            <w:pPr>
              <w:pStyle w:val="2"/>
              <w:rPr>
                <w:rFonts w:hint="default"/>
                <w:lang w:val="en-US" w:eastAsia="zh-CN"/>
              </w:rPr>
            </w:pPr>
            <w:r>
              <w:rPr>
                <w:rFonts w:hint="eastAsia" w:hAnsi="宋体" w:cs="宋体"/>
                <w:bCs/>
                <w:color w:val="auto"/>
                <w:sz w:val="24"/>
                <w:szCs w:val="24"/>
                <w:highlight w:val="none"/>
                <w:lang w:val="en-US" w:eastAsia="zh-CN" w:bidi="ar"/>
              </w:rPr>
              <w:t>4</w:t>
            </w:r>
          </w:p>
        </w:tc>
        <w:tc>
          <w:tcPr>
            <w:tcW w:w="795" w:type="dxa"/>
            <w:tcBorders>
              <w:top w:val="single" w:color="auto" w:sz="6" w:space="0"/>
              <w:left w:val="nil"/>
              <w:bottom w:val="single" w:color="auto" w:sz="6" w:space="0"/>
              <w:right w:val="single" w:color="auto" w:sz="6" w:space="0"/>
            </w:tcBorders>
            <w:noWrap w:val="0"/>
            <w:vAlign w:val="center"/>
          </w:tcPr>
          <w:p>
            <w:pPr>
              <w:jc w:val="center"/>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智能运维箱</w:t>
            </w:r>
          </w:p>
        </w:tc>
        <w:tc>
          <w:tcPr>
            <w:tcW w:w="6985" w:type="dxa"/>
            <w:tcBorders>
              <w:top w:val="single" w:color="auto" w:sz="6" w:space="0"/>
              <w:left w:val="nil"/>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Times New Roman" w:eastAsia="宋体" w:cs="Times New Roman"/>
                <w:sz w:val="24"/>
                <w:szCs w:val="20"/>
                <w:lang w:val="en-US" w:eastAsia="zh-CN" w:bidi="ar-SA"/>
              </w:rPr>
            </w:pPr>
            <w:r>
              <w:rPr>
                <w:rFonts w:hint="eastAsia" w:ascii="宋体" w:hAnsi="Times New Roman" w:eastAsia="宋体" w:cs="Times New Roman"/>
                <w:sz w:val="24"/>
                <w:szCs w:val="20"/>
                <w:lang w:val="en-US" w:eastAsia="zh-CN" w:bidi="ar-SA"/>
              </w:rPr>
              <w:t>1、设备箱高*宽*深不低于500*400*200mm、箱体厚度不低于1.0mm，箱体内配置空开、防雷器、过欠压保护器，百兆网口不低于4个，电源插座不低于6路；</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Times New Roman" w:eastAsia="宋体" w:cs="Times New Roman"/>
                <w:sz w:val="24"/>
                <w:szCs w:val="20"/>
                <w:lang w:val="en-US" w:eastAsia="zh-CN" w:bidi="ar-SA"/>
              </w:rPr>
            </w:pPr>
            <w:r>
              <w:rPr>
                <w:rFonts w:hint="eastAsia" w:ascii="宋体" w:hAnsi="Times New Roman" w:eastAsia="宋体" w:cs="Times New Roman"/>
                <w:sz w:val="24"/>
                <w:szCs w:val="20"/>
                <w:lang w:val="en-US" w:eastAsia="zh-CN" w:bidi="ar-SA"/>
              </w:rPr>
              <w:t>2、设备箱自身不占用视频专网IP地址，故障信息通过4G回传，4G接口需与视频专网隔离；</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Times New Roman" w:eastAsia="宋体" w:cs="Times New Roman"/>
                <w:sz w:val="24"/>
                <w:szCs w:val="20"/>
                <w:lang w:val="en-US" w:eastAsia="zh-CN" w:bidi="ar-SA"/>
              </w:rPr>
            </w:pPr>
            <w:r>
              <w:rPr>
                <w:rFonts w:hint="eastAsia" w:ascii="宋体" w:hAnsi="Times New Roman" w:eastAsia="宋体" w:cs="Times New Roman"/>
                <w:sz w:val="24"/>
                <w:szCs w:val="20"/>
                <w:lang w:val="en-US" w:eastAsia="zh-CN" w:bidi="ar-SA"/>
              </w:rPr>
              <w:t>3、支持设备、网络、电力故障检测，故障信息告警方式支持网页弹窗、邮箱、短信、微信小程序等多种方式，断电断网情况下故障信息可正常回传；</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Times New Roman" w:eastAsia="宋体" w:cs="Times New Roman"/>
                <w:sz w:val="24"/>
                <w:szCs w:val="20"/>
                <w:lang w:val="en-US" w:eastAsia="zh-CN" w:bidi="ar-SA"/>
              </w:rPr>
            </w:pPr>
            <w:r>
              <w:rPr>
                <w:rFonts w:hint="eastAsia" w:ascii="宋体" w:hAnsi="Times New Roman" w:eastAsia="宋体" w:cs="Times New Roman"/>
                <w:sz w:val="24"/>
                <w:szCs w:val="20"/>
                <w:lang w:val="en-US" w:eastAsia="zh-CN" w:bidi="ar-SA"/>
              </w:rPr>
              <w:t>4、故障信息可通过微信小程序通知到运维人员，支持根据故障类型推送故障信息至不同工种的运维人员，小程序支持根据点位经纬度信息导航至故障点位，多个运维人员可抢同一故障通知单对故障单进行维护；</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Times New Roman" w:eastAsia="宋体" w:cs="Times New Roman"/>
                <w:sz w:val="24"/>
                <w:szCs w:val="20"/>
                <w:lang w:val="en-US" w:eastAsia="zh-CN" w:bidi="ar-SA"/>
              </w:rPr>
            </w:pPr>
            <w:r>
              <w:rPr>
                <w:rFonts w:hint="eastAsia" w:ascii="宋体" w:hAnsi="Times New Roman" w:eastAsia="宋体" w:cs="Times New Roman"/>
                <w:sz w:val="24"/>
                <w:szCs w:val="20"/>
                <w:lang w:val="en-US" w:eastAsia="zh-CN" w:bidi="ar-SA"/>
              </w:rPr>
              <w:t>5、支持远程电源管控、网络协议端口管控、物理网口管控、摄像机准入控制</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Times New Roman" w:eastAsia="宋体" w:cs="Times New Roman"/>
                <w:sz w:val="24"/>
                <w:szCs w:val="20"/>
                <w:lang w:val="en-US" w:eastAsia="zh-CN" w:bidi="ar-SA"/>
              </w:rPr>
            </w:pPr>
            <w:r>
              <w:rPr>
                <w:rFonts w:hint="eastAsia" w:ascii="宋体" w:hAnsi="Times New Roman" w:eastAsia="宋体" w:cs="Times New Roman"/>
                <w:sz w:val="24"/>
                <w:szCs w:val="20"/>
                <w:lang w:val="en-US" w:eastAsia="zh-CN" w:bidi="ar-SA"/>
              </w:rPr>
              <w:t>6、含5年4G流量卡。</w:t>
            </w:r>
          </w:p>
        </w:tc>
        <w:tc>
          <w:tcPr>
            <w:tcW w:w="618" w:type="dxa"/>
            <w:tcBorders>
              <w:top w:val="single" w:color="auto" w:sz="6" w:space="0"/>
              <w:left w:val="nil"/>
              <w:bottom w:val="single" w:color="auto" w:sz="6" w:space="0"/>
              <w:right w:val="single" w:color="auto" w:sz="6" w:space="0"/>
            </w:tcBorders>
            <w:noWrap w:val="0"/>
            <w:vAlign w:val="center"/>
          </w:tcPr>
          <w:p>
            <w:pPr>
              <w:jc w:val="center"/>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150</w:t>
            </w:r>
          </w:p>
        </w:tc>
        <w:tc>
          <w:tcPr>
            <w:tcW w:w="563"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bCs/>
                <w:color w:val="auto"/>
                <w:sz w:val="24"/>
                <w:szCs w:val="24"/>
                <w:highlight w:val="none"/>
                <w:lang w:eastAsia="zh-CN"/>
              </w:rPr>
            </w:pPr>
            <w:r>
              <w:rPr>
                <w:rFonts w:hint="eastAsia" w:hAnsi="宋体" w:cs="宋体"/>
                <w:bCs/>
                <w:color w:val="auto"/>
                <w:sz w:val="24"/>
                <w:szCs w:val="24"/>
                <w:highlight w:val="none"/>
                <w:lang w:eastAsia="zh-CN"/>
              </w:rPr>
              <w:t>套</w:t>
            </w:r>
          </w:p>
        </w:tc>
      </w:tr>
      <w:tr>
        <w:tblPrEx>
          <w:tblCellMar>
            <w:top w:w="0" w:type="dxa"/>
            <w:left w:w="108" w:type="dxa"/>
            <w:bottom w:w="0" w:type="dxa"/>
            <w:right w:w="108" w:type="dxa"/>
          </w:tblCellMar>
        </w:tblPrEx>
        <w:trPr>
          <w:trHeight w:val="1525" w:hRule="atLeast"/>
        </w:trPr>
        <w:tc>
          <w:tcPr>
            <w:tcW w:w="788" w:type="dxa"/>
            <w:tcBorders>
              <w:top w:val="single" w:color="auto" w:sz="6" w:space="0"/>
              <w:left w:val="single" w:color="auto" w:sz="6" w:space="0"/>
              <w:bottom w:val="single" w:color="auto" w:sz="6" w:space="0"/>
              <w:right w:val="single" w:color="auto" w:sz="6" w:space="0"/>
            </w:tcBorders>
            <w:noWrap w:val="0"/>
            <w:vAlign w:val="center"/>
          </w:tcPr>
          <w:p>
            <w:pPr>
              <w:pStyle w:val="2"/>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5</w:t>
            </w:r>
          </w:p>
        </w:tc>
        <w:tc>
          <w:tcPr>
            <w:tcW w:w="795" w:type="dxa"/>
            <w:tcBorders>
              <w:top w:val="single" w:color="auto" w:sz="6" w:space="0"/>
              <w:left w:val="nil"/>
              <w:bottom w:val="single" w:color="auto" w:sz="6" w:space="0"/>
              <w:right w:val="single" w:color="auto" w:sz="6" w:space="0"/>
            </w:tcBorders>
            <w:noWrap w:val="0"/>
            <w:vAlign w:val="center"/>
          </w:tcPr>
          <w:p>
            <w:pPr>
              <w:jc w:val="center"/>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标识标牌</w:t>
            </w:r>
          </w:p>
        </w:tc>
        <w:tc>
          <w:tcPr>
            <w:tcW w:w="6985" w:type="dxa"/>
            <w:tcBorders>
              <w:top w:val="single" w:color="auto" w:sz="6" w:space="0"/>
              <w:left w:val="nil"/>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Times New Roman" w:eastAsia="宋体" w:cs="Times New Roman"/>
                <w:sz w:val="24"/>
                <w:szCs w:val="20"/>
                <w:lang w:val="en-US" w:eastAsia="zh-CN" w:bidi="ar-SA"/>
              </w:rPr>
            </w:pPr>
            <w:r>
              <w:rPr>
                <w:rFonts w:hint="eastAsia" w:ascii="宋体" w:hAnsi="Times New Roman" w:eastAsia="宋体" w:cs="Times New Roman"/>
                <w:sz w:val="24"/>
                <w:szCs w:val="20"/>
                <w:lang w:val="en-US" w:eastAsia="zh-CN" w:bidi="ar-SA"/>
              </w:rPr>
              <w:t>外喷项目定制LOGO及文字，编号根据标准统一编制，采用金属贴牌固定于箱体上，设备接线图</w:t>
            </w:r>
          </w:p>
        </w:tc>
        <w:tc>
          <w:tcPr>
            <w:tcW w:w="618" w:type="dxa"/>
            <w:tcBorders>
              <w:top w:val="single" w:color="auto" w:sz="6" w:space="0"/>
              <w:left w:val="nil"/>
              <w:bottom w:val="single" w:color="auto" w:sz="6" w:space="0"/>
              <w:right w:val="single" w:color="auto" w:sz="6" w:space="0"/>
            </w:tcBorders>
            <w:noWrap w:val="0"/>
            <w:vAlign w:val="center"/>
          </w:tcPr>
          <w:p>
            <w:pPr>
              <w:jc w:val="center"/>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150</w:t>
            </w:r>
          </w:p>
        </w:tc>
        <w:tc>
          <w:tcPr>
            <w:tcW w:w="563"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bCs/>
                <w:color w:val="auto"/>
                <w:sz w:val="24"/>
                <w:szCs w:val="24"/>
                <w:highlight w:val="none"/>
                <w:lang w:eastAsia="zh-CN"/>
              </w:rPr>
            </w:pPr>
            <w:r>
              <w:rPr>
                <w:rFonts w:hint="eastAsia" w:hAnsi="宋体" w:cs="宋体"/>
                <w:bCs/>
                <w:color w:val="auto"/>
                <w:sz w:val="24"/>
                <w:szCs w:val="24"/>
                <w:highlight w:val="none"/>
                <w:lang w:eastAsia="zh-CN"/>
              </w:rPr>
              <w:t>套</w:t>
            </w:r>
          </w:p>
        </w:tc>
      </w:tr>
      <w:tr>
        <w:tblPrEx>
          <w:tblCellMar>
            <w:top w:w="0" w:type="dxa"/>
            <w:left w:w="108" w:type="dxa"/>
            <w:bottom w:w="0" w:type="dxa"/>
            <w:right w:w="108" w:type="dxa"/>
          </w:tblCellMar>
        </w:tblPrEx>
        <w:trPr>
          <w:trHeight w:val="1525" w:hRule="atLeast"/>
        </w:trPr>
        <w:tc>
          <w:tcPr>
            <w:tcW w:w="788" w:type="dxa"/>
            <w:tcBorders>
              <w:top w:val="single" w:color="auto" w:sz="6" w:space="0"/>
              <w:left w:val="single" w:color="auto" w:sz="6" w:space="0"/>
              <w:bottom w:val="single" w:color="auto" w:sz="6" w:space="0"/>
              <w:right w:val="single" w:color="auto" w:sz="6" w:space="0"/>
            </w:tcBorders>
            <w:noWrap w:val="0"/>
            <w:vAlign w:val="center"/>
          </w:tcPr>
          <w:p>
            <w:pPr>
              <w:pStyle w:val="2"/>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6</w:t>
            </w:r>
          </w:p>
        </w:tc>
        <w:tc>
          <w:tcPr>
            <w:tcW w:w="795" w:type="dxa"/>
            <w:tcBorders>
              <w:top w:val="single" w:color="auto" w:sz="6" w:space="0"/>
              <w:left w:val="nil"/>
              <w:bottom w:val="single" w:color="auto" w:sz="6" w:space="0"/>
              <w:right w:val="single" w:color="auto" w:sz="6" w:space="0"/>
            </w:tcBorders>
            <w:noWrap w:val="0"/>
            <w:vAlign w:val="center"/>
          </w:tcPr>
          <w:p>
            <w:pPr>
              <w:jc w:val="center"/>
              <w:rPr>
                <w:rFonts w:hint="eastAsia" w:ascii="宋体" w:hAnsi="宋体" w:cs="宋体"/>
                <w:color w:val="auto"/>
                <w:sz w:val="24"/>
                <w:szCs w:val="24"/>
                <w:highlight w:val="none"/>
                <w:lang w:bidi="ar"/>
              </w:rPr>
            </w:pPr>
            <w:r>
              <w:rPr>
                <w:rFonts w:hint="eastAsia" w:hAnsi="宋体" w:cs="宋体"/>
                <w:color w:val="auto"/>
                <w:sz w:val="24"/>
                <w:szCs w:val="24"/>
                <w:highlight w:val="none"/>
                <w:lang w:eastAsia="zh-CN" w:bidi="ar"/>
              </w:rPr>
              <w:t>防雷接地</w:t>
            </w:r>
          </w:p>
        </w:tc>
        <w:tc>
          <w:tcPr>
            <w:tcW w:w="6985" w:type="dxa"/>
            <w:tcBorders>
              <w:top w:val="single" w:color="auto" w:sz="6" w:space="0"/>
              <w:left w:val="nil"/>
              <w:bottom w:val="single" w:color="auto" w:sz="6" w:space="0"/>
              <w:right w:val="single" w:color="auto" w:sz="6"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40" w:lineRule="exact"/>
              <w:textAlignment w:val="auto"/>
              <w:rPr>
                <w:rFonts w:hint="eastAsia"/>
                <w:lang w:val="en-US" w:eastAsia="zh-CN"/>
              </w:rPr>
            </w:pPr>
            <w:r>
              <w:rPr>
                <w:rFonts w:hint="eastAsia"/>
                <w:lang w:val="en-US" w:eastAsia="zh-CN"/>
              </w:rPr>
              <w:t>1、接地极50*50*5mm角铁*1.5m+40*4mm扁铁*1.5m，降阻剂，</w:t>
            </w:r>
          </w:p>
          <w:p>
            <w:pPr>
              <w:pStyle w:val="2"/>
              <w:keepNext w:val="0"/>
              <w:keepLines w:val="0"/>
              <w:pageBreakBefore w:val="0"/>
              <w:numPr>
                <w:ilvl w:val="0"/>
                <w:numId w:val="0"/>
              </w:numPr>
              <w:kinsoku/>
              <w:wordWrap/>
              <w:overflowPunct/>
              <w:topLinePunct w:val="0"/>
              <w:autoSpaceDE/>
              <w:autoSpaceDN/>
              <w:bidi w:val="0"/>
              <w:adjustRightInd/>
              <w:snapToGrid/>
              <w:spacing w:line="340" w:lineRule="exact"/>
              <w:ind w:leftChars="0"/>
              <w:textAlignment w:val="auto"/>
              <w:rPr>
                <w:rFonts w:hint="eastAsia" w:ascii="宋体" w:hAnsi="Times New Roman" w:eastAsia="宋体" w:cs="Times New Roman"/>
                <w:sz w:val="24"/>
                <w:szCs w:val="20"/>
                <w:lang w:val="en-US" w:eastAsia="zh-CN" w:bidi="ar-SA"/>
              </w:rPr>
            </w:pPr>
            <w:r>
              <w:rPr>
                <w:rFonts w:hint="eastAsia" w:ascii="宋体" w:cs="Times New Roman"/>
                <w:sz w:val="24"/>
                <w:szCs w:val="20"/>
                <w:lang w:val="en-US" w:eastAsia="zh-CN" w:bidi="ar-SA"/>
              </w:rPr>
              <w:t>2、</w:t>
            </w:r>
            <w:r>
              <w:rPr>
                <w:rFonts w:hint="eastAsia" w:ascii="宋体" w:hAnsi="Times New Roman" w:eastAsia="宋体" w:cs="Times New Roman"/>
                <w:sz w:val="24"/>
                <w:szCs w:val="20"/>
                <w:lang w:val="en-US" w:eastAsia="zh-CN" w:bidi="ar-SA"/>
              </w:rPr>
              <w:t>接地镀锌钢管φ40,2mm，每个点6m，含固定不锈钢管抱箍</w:t>
            </w:r>
          </w:p>
          <w:p>
            <w:pPr>
              <w:pStyle w:val="4"/>
              <w:keepNext w:val="0"/>
              <w:keepLines w:val="0"/>
              <w:pageBreakBefore w:val="0"/>
              <w:numPr>
                <w:ilvl w:val="0"/>
                <w:numId w:val="0"/>
              </w:numPr>
              <w:kinsoku/>
              <w:wordWrap/>
              <w:overflowPunct/>
              <w:topLinePunct w:val="0"/>
              <w:autoSpaceDE/>
              <w:autoSpaceDN/>
              <w:bidi w:val="0"/>
              <w:adjustRightInd/>
              <w:snapToGrid/>
              <w:spacing w:line="340" w:lineRule="exact"/>
              <w:ind w:leftChars="0"/>
              <w:textAlignment w:val="auto"/>
              <w:rPr>
                <w:rFonts w:hint="default" w:ascii="宋体" w:hAnsi="Times New Roman" w:eastAsia="宋体" w:cs="Times New Roman"/>
                <w:sz w:val="24"/>
                <w:szCs w:val="20"/>
                <w:lang w:val="en-US" w:eastAsia="zh-CN" w:bidi="ar-SA"/>
              </w:rPr>
            </w:pPr>
            <w:r>
              <w:rPr>
                <w:rFonts w:hint="eastAsia" w:cs="Times New Roman"/>
                <w:sz w:val="24"/>
                <w:szCs w:val="20"/>
                <w:lang w:val="en-US" w:eastAsia="zh-CN" w:bidi="ar-SA"/>
              </w:rPr>
              <w:t>3、</w:t>
            </w:r>
            <w:r>
              <w:rPr>
                <w:rFonts w:hint="eastAsia" w:ascii="宋体" w:hAnsi="Times New Roman" w:eastAsia="宋体" w:cs="Times New Roman"/>
                <w:sz w:val="24"/>
                <w:szCs w:val="20"/>
                <w:lang w:val="en-US" w:eastAsia="zh-CN" w:bidi="ar-SA"/>
              </w:rPr>
              <w:t>接地线国标BVR 16mm²，长度4m</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Times New Roman" w:eastAsia="宋体" w:cs="Times New Roman"/>
                <w:sz w:val="24"/>
                <w:szCs w:val="20"/>
                <w:lang w:val="en-US" w:eastAsia="zh-CN" w:bidi="ar-SA"/>
              </w:rPr>
            </w:pPr>
            <w:r>
              <w:rPr>
                <w:rFonts w:hint="eastAsia" w:ascii="宋体" w:hAnsi="Times New Roman" w:eastAsia="宋体" w:cs="Times New Roman"/>
                <w:sz w:val="24"/>
                <w:szCs w:val="20"/>
                <w:lang w:val="en-US" w:eastAsia="zh-CN" w:bidi="ar-SA"/>
              </w:rPr>
              <w:t>4、接地线螺丝M10*30mm，带螺母</w:t>
            </w:r>
          </w:p>
        </w:tc>
        <w:tc>
          <w:tcPr>
            <w:tcW w:w="618"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bCs/>
                <w:color w:val="auto"/>
                <w:sz w:val="24"/>
                <w:szCs w:val="24"/>
                <w:highlight w:val="none"/>
                <w:lang w:val="en-US" w:eastAsia="zh-CN" w:bidi="ar"/>
              </w:rPr>
            </w:pPr>
            <w:r>
              <w:rPr>
                <w:rFonts w:hint="eastAsia" w:ascii="宋体" w:hAnsi="宋体" w:cs="宋体"/>
                <w:bCs/>
                <w:color w:val="auto"/>
                <w:sz w:val="24"/>
                <w:szCs w:val="24"/>
                <w:highlight w:val="none"/>
                <w:lang w:bidi="ar"/>
              </w:rPr>
              <w:t>1</w:t>
            </w:r>
            <w:r>
              <w:rPr>
                <w:rFonts w:hint="eastAsia" w:hAnsi="宋体" w:cs="宋体"/>
                <w:bCs/>
                <w:color w:val="auto"/>
                <w:sz w:val="24"/>
                <w:szCs w:val="24"/>
                <w:highlight w:val="none"/>
                <w:lang w:val="en-US" w:eastAsia="zh-CN" w:bidi="ar"/>
              </w:rPr>
              <w:t>50</w:t>
            </w:r>
          </w:p>
        </w:tc>
        <w:tc>
          <w:tcPr>
            <w:tcW w:w="563"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bCs/>
                <w:color w:val="auto"/>
                <w:sz w:val="24"/>
                <w:szCs w:val="24"/>
                <w:highlight w:val="none"/>
                <w:lang w:eastAsia="zh-CN"/>
              </w:rPr>
            </w:pPr>
            <w:r>
              <w:rPr>
                <w:rFonts w:hint="eastAsia" w:hAnsi="宋体" w:cs="宋体"/>
                <w:bCs/>
                <w:color w:val="auto"/>
                <w:sz w:val="24"/>
                <w:szCs w:val="24"/>
                <w:highlight w:val="none"/>
                <w:lang w:eastAsia="zh-CN" w:bidi="ar"/>
              </w:rPr>
              <w:t>套</w:t>
            </w:r>
          </w:p>
        </w:tc>
      </w:tr>
      <w:tr>
        <w:tblPrEx>
          <w:tblCellMar>
            <w:top w:w="0" w:type="dxa"/>
            <w:left w:w="108" w:type="dxa"/>
            <w:bottom w:w="0" w:type="dxa"/>
            <w:right w:w="108" w:type="dxa"/>
          </w:tblCellMar>
        </w:tblPrEx>
        <w:trPr>
          <w:trHeight w:val="1525" w:hRule="atLeast"/>
        </w:trPr>
        <w:tc>
          <w:tcPr>
            <w:tcW w:w="788" w:type="dxa"/>
            <w:tcBorders>
              <w:top w:val="single" w:color="auto" w:sz="6" w:space="0"/>
              <w:left w:val="single" w:color="auto" w:sz="6" w:space="0"/>
              <w:bottom w:val="single" w:color="auto" w:sz="6" w:space="0"/>
              <w:right w:val="single" w:color="auto" w:sz="6" w:space="0"/>
            </w:tcBorders>
            <w:noWrap w:val="0"/>
            <w:vAlign w:val="center"/>
          </w:tcPr>
          <w:p>
            <w:pPr>
              <w:pStyle w:val="2"/>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7</w:t>
            </w:r>
          </w:p>
        </w:tc>
        <w:tc>
          <w:tcPr>
            <w:tcW w:w="795"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color w:val="auto"/>
                <w:sz w:val="24"/>
                <w:szCs w:val="24"/>
                <w:highlight w:val="none"/>
                <w:lang w:eastAsia="zh-CN" w:bidi="ar"/>
              </w:rPr>
            </w:pPr>
            <w:r>
              <w:rPr>
                <w:rFonts w:hint="eastAsia" w:hAnsi="宋体" w:cs="宋体"/>
                <w:color w:val="auto"/>
                <w:sz w:val="24"/>
                <w:szCs w:val="24"/>
                <w:highlight w:val="none"/>
                <w:lang w:eastAsia="zh-CN" w:bidi="ar"/>
              </w:rPr>
              <w:t>辅材</w:t>
            </w:r>
          </w:p>
        </w:tc>
        <w:tc>
          <w:tcPr>
            <w:tcW w:w="6985"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40" w:lineRule="exact"/>
              <w:textAlignment w:val="auto"/>
              <w:rPr>
                <w:rFonts w:hint="eastAsia"/>
                <w:lang w:val="en-US" w:eastAsia="zh-CN"/>
              </w:rPr>
            </w:pPr>
            <w:r>
              <w:rPr>
                <w:rFonts w:hint="eastAsia"/>
                <w:lang w:val="en-US" w:eastAsia="zh-CN"/>
              </w:rPr>
              <w:t>1、终端电源线（国标RVV3*1.0mm²，每个摄像机11m，运维箱到摄像机）</w:t>
            </w:r>
          </w:p>
          <w:p>
            <w:pPr>
              <w:keepNext w:val="0"/>
              <w:keepLines w:val="0"/>
              <w:pageBreakBefore w:val="0"/>
              <w:widowControl/>
              <w:numPr>
                <w:ilvl w:val="0"/>
                <w:numId w:val="0"/>
              </w:numPr>
              <w:kinsoku/>
              <w:wordWrap/>
              <w:overflowPunct/>
              <w:topLinePunct w:val="0"/>
              <w:autoSpaceDE/>
              <w:autoSpaceDN/>
              <w:bidi w:val="0"/>
              <w:adjustRightInd/>
              <w:snapToGrid/>
              <w:spacing w:line="340" w:lineRule="exact"/>
              <w:textAlignment w:val="auto"/>
              <w:rPr>
                <w:rFonts w:hint="eastAsia"/>
                <w:lang w:val="en-US" w:eastAsia="zh-CN"/>
              </w:rPr>
            </w:pPr>
            <w:r>
              <w:rPr>
                <w:rFonts w:hint="eastAsia"/>
                <w:lang w:val="en-US" w:eastAsia="zh-CN"/>
              </w:rPr>
              <w:t>2、超五类非屏蔽双绞线,每个摄像机12m</w:t>
            </w:r>
          </w:p>
          <w:p>
            <w:pPr>
              <w:keepNext w:val="0"/>
              <w:keepLines w:val="0"/>
              <w:pageBreakBefore w:val="0"/>
              <w:widowControl/>
              <w:numPr>
                <w:ilvl w:val="0"/>
                <w:numId w:val="0"/>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3、</w:t>
            </w:r>
            <w:r>
              <w:rPr>
                <w:rFonts w:hint="default"/>
                <w:lang w:val="en-US" w:eastAsia="zh-CN"/>
              </w:rPr>
              <w:t xml:space="preserve">超五类跳线50cm，二合一防雷器到ONU设备 </w:t>
            </w:r>
          </w:p>
          <w:p>
            <w:pPr>
              <w:keepNext w:val="0"/>
              <w:keepLines w:val="0"/>
              <w:pageBreakBefore w:val="0"/>
              <w:widowControl/>
              <w:numPr>
                <w:ilvl w:val="0"/>
                <w:numId w:val="0"/>
              </w:numPr>
              <w:kinsoku/>
              <w:wordWrap/>
              <w:overflowPunct/>
              <w:topLinePunct w:val="0"/>
              <w:autoSpaceDE/>
              <w:autoSpaceDN/>
              <w:bidi w:val="0"/>
              <w:adjustRightInd/>
              <w:snapToGrid/>
              <w:spacing w:line="340" w:lineRule="exact"/>
              <w:textAlignment w:val="auto"/>
              <w:rPr>
                <w:rFonts w:hint="eastAsia"/>
                <w:lang w:val="en-US" w:eastAsia="zh-CN"/>
              </w:rPr>
            </w:pPr>
            <w:r>
              <w:rPr>
                <w:rFonts w:hint="eastAsia"/>
                <w:lang w:val="en-US" w:eastAsia="zh-CN"/>
              </w:rPr>
              <w:t>4、钢扎带（用于固定摄像机和补光灯的支架，规格12*400mm，  1196*2微卡补光灯，摄像机1398*2）</w:t>
            </w:r>
          </w:p>
          <w:p>
            <w:pPr>
              <w:keepNext w:val="0"/>
              <w:keepLines w:val="0"/>
              <w:pageBreakBefore w:val="0"/>
              <w:widowControl/>
              <w:numPr>
                <w:ilvl w:val="0"/>
                <w:numId w:val="0"/>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5、</w:t>
            </w:r>
            <w:r>
              <w:rPr>
                <w:rFonts w:hint="default"/>
                <w:lang w:val="en-US" w:eastAsia="zh-CN"/>
              </w:rPr>
              <w:t>金属软管国标φ32，80cm</w:t>
            </w:r>
          </w:p>
          <w:p>
            <w:pPr>
              <w:keepNext w:val="0"/>
              <w:keepLines w:val="0"/>
              <w:pageBreakBefore w:val="0"/>
              <w:widowControl/>
              <w:numPr>
                <w:ilvl w:val="0"/>
                <w:numId w:val="0"/>
              </w:numPr>
              <w:kinsoku/>
              <w:wordWrap/>
              <w:overflowPunct/>
              <w:topLinePunct w:val="0"/>
              <w:autoSpaceDE/>
              <w:autoSpaceDN/>
              <w:bidi w:val="0"/>
              <w:adjustRightInd/>
              <w:snapToGrid/>
              <w:spacing w:line="340" w:lineRule="exact"/>
              <w:textAlignment w:val="auto"/>
              <w:rPr>
                <w:rFonts w:hint="eastAsia"/>
                <w:lang w:val="en-US" w:eastAsia="zh-CN"/>
              </w:rPr>
            </w:pPr>
            <w:r>
              <w:rPr>
                <w:rFonts w:hint="eastAsia"/>
                <w:lang w:val="en-US" w:eastAsia="zh-CN"/>
              </w:rPr>
              <w:t>6、PE管国标φ40，5m</w:t>
            </w:r>
          </w:p>
          <w:p>
            <w:pPr>
              <w:keepNext w:val="0"/>
              <w:keepLines w:val="0"/>
              <w:pageBreakBefore w:val="0"/>
              <w:widowControl/>
              <w:numPr>
                <w:ilvl w:val="0"/>
                <w:numId w:val="0"/>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7、</w:t>
            </w:r>
            <w:r>
              <w:rPr>
                <w:rFonts w:hint="default"/>
                <w:lang w:val="en-US" w:eastAsia="zh-CN"/>
              </w:rPr>
              <w:t>五类水晶头</w:t>
            </w:r>
          </w:p>
          <w:p>
            <w:pPr>
              <w:keepNext w:val="0"/>
              <w:keepLines w:val="0"/>
              <w:pageBreakBefore w:val="0"/>
              <w:widowControl/>
              <w:numPr>
                <w:ilvl w:val="0"/>
                <w:numId w:val="0"/>
              </w:numPr>
              <w:kinsoku/>
              <w:wordWrap/>
              <w:overflowPunct/>
              <w:topLinePunct w:val="0"/>
              <w:autoSpaceDE/>
              <w:autoSpaceDN/>
              <w:bidi w:val="0"/>
              <w:adjustRightInd/>
              <w:snapToGrid/>
              <w:spacing w:line="340" w:lineRule="exact"/>
              <w:textAlignment w:val="auto"/>
              <w:rPr>
                <w:rFonts w:hint="eastAsia" w:ascii="宋体" w:hAnsi="Times New Roman" w:eastAsia="宋体" w:cs="Times New Roman"/>
                <w:sz w:val="24"/>
                <w:szCs w:val="20"/>
                <w:lang w:val="en-US" w:eastAsia="zh-CN" w:bidi="ar-SA"/>
              </w:rPr>
            </w:pPr>
            <w:r>
              <w:rPr>
                <w:rFonts w:hint="eastAsia"/>
                <w:lang w:val="en-US" w:eastAsia="zh-CN"/>
              </w:rPr>
              <w:t xml:space="preserve">8、杆子穿线钢丝10m、PE管穿线钢丝8m米和宽胶带（黄色，封堵PE管）、固定地龙的铁丝、租用基坑围挡,防水胶布、扎带、木龙骨等  </w:t>
            </w:r>
          </w:p>
        </w:tc>
        <w:tc>
          <w:tcPr>
            <w:tcW w:w="618" w:type="dxa"/>
            <w:tcBorders>
              <w:top w:val="single" w:color="auto" w:sz="6" w:space="0"/>
              <w:left w:val="nil"/>
              <w:bottom w:val="single" w:color="auto" w:sz="6" w:space="0"/>
              <w:right w:val="single" w:color="auto" w:sz="6" w:space="0"/>
            </w:tcBorders>
            <w:noWrap w:val="0"/>
            <w:vAlign w:val="center"/>
          </w:tcPr>
          <w:p>
            <w:pPr>
              <w:jc w:val="center"/>
              <w:rPr>
                <w:rFonts w:hint="default" w:ascii="宋体" w:hAnsi="宋体" w:cs="宋体"/>
                <w:bCs/>
                <w:color w:val="auto"/>
                <w:sz w:val="24"/>
                <w:szCs w:val="24"/>
                <w:highlight w:val="none"/>
                <w:lang w:val="en-US" w:bidi="ar"/>
              </w:rPr>
            </w:pPr>
            <w:r>
              <w:rPr>
                <w:rFonts w:hint="eastAsia" w:hAnsi="宋体" w:cs="宋体"/>
                <w:bCs/>
                <w:color w:val="auto"/>
                <w:sz w:val="24"/>
                <w:szCs w:val="24"/>
                <w:highlight w:val="none"/>
                <w:lang w:val="en-US" w:eastAsia="zh-CN" w:bidi="ar"/>
              </w:rPr>
              <w:t>150</w:t>
            </w:r>
          </w:p>
        </w:tc>
        <w:tc>
          <w:tcPr>
            <w:tcW w:w="563"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bCs/>
                <w:color w:val="auto"/>
                <w:sz w:val="24"/>
                <w:szCs w:val="24"/>
                <w:highlight w:val="none"/>
                <w:lang w:eastAsia="zh-CN" w:bidi="ar"/>
              </w:rPr>
            </w:pPr>
            <w:r>
              <w:rPr>
                <w:rFonts w:hint="eastAsia" w:hAnsi="宋体" w:cs="宋体"/>
                <w:bCs/>
                <w:color w:val="auto"/>
                <w:sz w:val="24"/>
                <w:szCs w:val="24"/>
                <w:highlight w:val="none"/>
                <w:lang w:eastAsia="zh-CN" w:bidi="ar"/>
              </w:rPr>
              <w:t>套</w:t>
            </w:r>
          </w:p>
        </w:tc>
      </w:tr>
      <w:tr>
        <w:tblPrEx>
          <w:tblCellMar>
            <w:top w:w="0" w:type="dxa"/>
            <w:left w:w="108" w:type="dxa"/>
            <w:bottom w:w="0" w:type="dxa"/>
            <w:right w:w="108" w:type="dxa"/>
          </w:tblCellMar>
        </w:tblPrEx>
        <w:trPr>
          <w:trHeight w:val="1525" w:hRule="atLeast"/>
        </w:trPr>
        <w:tc>
          <w:tcPr>
            <w:tcW w:w="788" w:type="dxa"/>
            <w:tcBorders>
              <w:top w:val="single" w:color="auto" w:sz="6" w:space="0"/>
              <w:left w:val="single" w:color="auto" w:sz="6" w:space="0"/>
              <w:bottom w:val="single" w:color="auto" w:sz="6" w:space="0"/>
              <w:right w:val="single" w:color="auto" w:sz="6" w:space="0"/>
            </w:tcBorders>
            <w:noWrap w:val="0"/>
            <w:vAlign w:val="center"/>
          </w:tcPr>
          <w:p>
            <w:pPr>
              <w:pStyle w:val="2"/>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8</w:t>
            </w:r>
          </w:p>
        </w:tc>
        <w:tc>
          <w:tcPr>
            <w:tcW w:w="795"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color w:val="auto"/>
                <w:sz w:val="24"/>
                <w:szCs w:val="24"/>
                <w:highlight w:val="none"/>
                <w:lang w:eastAsia="zh-CN" w:bidi="ar"/>
              </w:rPr>
            </w:pPr>
            <w:r>
              <w:rPr>
                <w:rFonts w:hint="eastAsia" w:hAnsi="宋体" w:cs="宋体"/>
                <w:color w:val="auto"/>
                <w:sz w:val="24"/>
                <w:szCs w:val="24"/>
                <w:highlight w:val="none"/>
                <w:lang w:eastAsia="zh-CN" w:bidi="ar"/>
              </w:rPr>
              <w:t>市电接引</w:t>
            </w:r>
          </w:p>
        </w:tc>
        <w:tc>
          <w:tcPr>
            <w:tcW w:w="6985"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40" w:lineRule="exact"/>
              <w:textAlignment w:val="auto"/>
              <w:rPr>
                <w:rFonts w:hint="eastAsia"/>
                <w:lang w:val="en-US" w:eastAsia="zh-CN"/>
              </w:rPr>
            </w:pPr>
            <w:r>
              <w:rPr>
                <w:rFonts w:hint="eastAsia" w:hAnsi="宋体" w:cs="宋体"/>
                <w:color w:val="auto"/>
                <w:kern w:val="2"/>
                <w:sz w:val="24"/>
                <w:szCs w:val="24"/>
                <w:lang w:val="en-US" w:eastAsia="zh-CN" w:bidi="ar-SA"/>
              </w:rPr>
              <w:t>1、</w:t>
            </w:r>
            <w:r>
              <w:rPr>
                <w:rFonts w:hint="eastAsia" w:ascii="宋体" w:hAnsi="宋体" w:eastAsia="宋体" w:cs="宋体"/>
                <w:color w:val="auto"/>
                <w:kern w:val="2"/>
                <w:sz w:val="24"/>
                <w:szCs w:val="24"/>
                <w:lang w:val="en-US" w:eastAsia="zh-CN" w:bidi="ar-SA"/>
              </w:rPr>
              <w:t>含线缆、空开、智能电表及辅助安装材料等</w:t>
            </w:r>
            <w:r>
              <w:rPr>
                <w:rFonts w:hint="eastAsia" w:hAnsi="宋体" w:cs="宋体"/>
                <w:color w:val="auto"/>
                <w:kern w:val="2"/>
                <w:sz w:val="24"/>
                <w:szCs w:val="24"/>
                <w:lang w:val="en-US" w:eastAsia="zh-CN" w:bidi="ar-SA"/>
              </w:rPr>
              <w:t>，</w:t>
            </w:r>
            <w:r>
              <w:rPr>
                <w:rFonts w:hint="eastAsia"/>
                <w:lang w:val="en-US" w:eastAsia="zh-CN"/>
              </w:rPr>
              <w:t>暂定金额30.00万，按30.00万进行投标。</w:t>
            </w:r>
          </w:p>
          <w:p>
            <w:pPr>
              <w:pStyle w:val="2"/>
              <w:numPr>
                <w:ilvl w:val="0"/>
                <w:numId w:val="0"/>
              </w:numPr>
              <w:ind w:leftChars="0"/>
              <w:rPr>
                <w:rFonts w:hint="eastAsia" w:ascii="宋体" w:hAnsi="Times New Roman" w:eastAsia="宋体" w:cs="Times New Roman"/>
                <w:sz w:val="24"/>
                <w:szCs w:val="20"/>
                <w:lang w:val="en-US" w:eastAsia="zh-CN" w:bidi="ar-SA"/>
              </w:rPr>
            </w:pPr>
            <w:r>
              <w:rPr>
                <w:rFonts w:hint="eastAsia" w:ascii="宋体" w:cs="Times New Roman"/>
                <w:sz w:val="24"/>
                <w:szCs w:val="20"/>
                <w:lang w:val="en-US" w:eastAsia="zh-CN" w:bidi="ar-SA"/>
              </w:rPr>
              <w:t>2、</w:t>
            </w:r>
            <w:r>
              <w:rPr>
                <w:rFonts w:hint="eastAsia" w:ascii="宋体" w:hAnsi="Times New Roman" w:eastAsia="宋体" w:cs="Times New Roman"/>
                <w:sz w:val="24"/>
                <w:szCs w:val="20"/>
                <w:lang w:val="en-US" w:eastAsia="zh-CN" w:bidi="ar-SA"/>
              </w:rPr>
              <w:t>以满足实际需要及采购人要求为准</w:t>
            </w:r>
          </w:p>
          <w:p>
            <w:pPr>
              <w:pStyle w:val="4"/>
              <w:numPr>
                <w:ilvl w:val="0"/>
                <w:numId w:val="0"/>
              </w:numPr>
              <w:ind w:left="0" w:leftChars="0" w:firstLine="0" w:firstLineChars="0"/>
              <w:rPr>
                <w:rFonts w:hint="eastAsia"/>
                <w:lang w:val="en-US" w:eastAsia="zh-CN"/>
              </w:rPr>
            </w:pPr>
            <w:r>
              <w:rPr>
                <w:rFonts w:hint="eastAsia" w:cs="Times New Roman"/>
                <w:sz w:val="24"/>
                <w:szCs w:val="20"/>
                <w:lang w:val="en-US" w:eastAsia="zh-CN" w:bidi="ar-SA"/>
              </w:rPr>
              <w:t>3、</w:t>
            </w:r>
            <w:r>
              <w:rPr>
                <w:rFonts w:hint="eastAsia" w:ascii="宋体" w:hAnsi="Times New Roman" w:eastAsia="宋体" w:cs="Times New Roman"/>
                <w:sz w:val="24"/>
                <w:szCs w:val="20"/>
                <w:lang w:val="en-US" w:eastAsia="zh-CN" w:bidi="ar-SA"/>
              </w:rPr>
              <w:t>最终结算价以审计或验收结论为准</w:t>
            </w:r>
          </w:p>
        </w:tc>
        <w:tc>
          <w:tcPr>
            <w:tcW w:w="618"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1</w:t>
            </w:r>
          </w:p>
        </w:tc>
        <w:tc>
          <w:tcPr>
            <w:tcW w:w="563"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bCs/>
                <w:color w:val="auto"/>
                <w:sz w:val="24"/>
                <w:szCs w:val="24"/>
                <w:highlight w:val="none"/>
                <w:lang w:eastAsia="zh-CN" w:bidi="ar"/>
              </w:rPr>
            </w:pPr>
            <w:r>
              <w:rPr>
                <w:rFonts w:hint="eastAsia" w:hAnsi="宋体" w:cs="宋体"/>
                <w:sz w:val="24"/>
                <w:szCs w:val="24"/>
                <w:lang w:eastAsia="zh-CN"/>
              </w:rPr>
              <w:t>项</w:t>
            </w:r>
          </w:p>
        </w:tc>
      </w:tr>
      <w:tr>
        <w:tblPrEx>
          <w:tblCellMar>
            <w:top w:w="0" w:type="dxa"/>
            <w:left w:w="108" w:type="dxa"/>
            <w:bottom w:w="0" w:type="dxa"/>
            <w:right w:w="108" w:type="dxa"/>
          </w:tblCellMar>
        </w:tblPrEx>
        <w:trPr>
          <w:trHeight w:val="960" w:hRule="atLeast"/>
        </w:trPr>
        <w:tc>
          <w:tcPr>
            <w:tcW w:w="9749" w:type="dxa"/>
            <w:gridSpan w:val="5"/>
            <w:tcBorders>
              <w:top w:val="single" w:color="auto" w:sz="6" w:space="0"/>
              <w:left w:val="single" w:color="auto" w:sz="6" w:space="0"/>
              <w:bottom w:val="single" w:color="auto" w:sz="6" w:space="0"/>
              <w:right w:val="single" w:color="auto" w:sz="6" w:space="0"/>
            </w:tcBorders>
            <w:noWrap w:val="0"/>
            <w:vAlign w:val="center"/>
          </w:tcPr>
          <w:p>
            <w:pPr>
              <w:jc w:val="center"/>
              <w:rPr>
                <w:rFonts w:hint="eastAsia" w:hAnsi="宋体" w:cs="宋体"/>
                <w:sz w:val="24"/>
                <w:szCs w:val="24"/>
                <w:lang w:eastAsia="zh-CN"/>
              </w:rPr>
            </w:pPr>
            <w:r>
              <w:rPr>
                <w:rFonts w:hint="eastAsia" w:hAnsi="宋体" w:cs="宋体"/>
                <w:sz w:val="24"/>
                <w:szCs w:val="24"/>
                <w:lang w:eastAsia="zh-CN"/>
              </w:rPr>
              <w:t>暂列金</w:t>
            </w:r>
          </w:p>
        </w:tc>
      </w:tr>
      <w:tr>
        <w:tblPrEx>
          <w:tblCellMar>
            <w:top w:w="0" w:type="dxa"/>
            <w:left w:w="108" w:type="dxa"/>
            <w:bottom w:w="0" w:type="dxa"/>
            <w:right w:w="108" w:type="dxa"/>
          </w:tblCellMar>
        </w:tblPrEx>
        <w:trPr>
          <w:trHeight w:val="1525" w:hRule="atLeast"/>
        </w:trPr>
        <w:tc>
          <w:tcPr>
            <w:tcW w:w="788" w:type="dxa"/>
            <w:tcBorders>
              <w:top w:val="single" w:color="auto" w:sz="6" w:space="0"/>
              <w:left w:val="single" w:color="auto" w:sz="6" w:space="0"/>
              <w:bottom w:val="single" w:color="auto" w:sz="6" w:space="0"/>
              <w:right w:val="single" w:color="auto" w:sz="6" w:space="0"/>
            </w:tcBorders>
            <w:noWrap w:val="0"/>
            <w:vAlign w:val="center"/>
          </w:tcPr>
          <w:p>
            <w:pPr>
              <w:pStyle w:val="2"/>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1</w:t>
            </w:r>
          </w:p>
        </w:tc>
        <w:tc>
          <w:tcPr>
            <w:tcW w:w="795"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color w:val="auto"/>
                <w:sz w:val="24"/>
                <w:szCs w:val="24"/>
                <w:highlight w:val="none"/>
                <w:lang w:eastAsia="zh-CN" w:bidi="ar"/>
              </w:rPr>
            </w:pPr>
            <w:r>
              <w:rPr>
                <w:rFonts w:hint="eastAsia" w:hAnsi="宋体" w:cs="宋体"/>
                <w:color w:val="auto"/>
                <w:sz w:val="24"/>
                <w:szCs w:val="24"/>
                <w:highlight w:val="none"/>
                <w:lang w:eastAsia="zh-CN" w:bidi="ar"/>
              </w:rPr>
              <w:t>暂列金</w:t>
            </w:r>
          </w:p>
        </w:tc>
        <w:tc>
          <w:tcPr>
            <w:tcW w:w="6985"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40" w:lineRule="exact"/>
              <w:textAlignment w:val="auto"/>
              <w:rPr>
                <w:rFonts w:hint="eastAsia"/>
                <w:lang w:val="en-US" w:eastAsia="zh-CN"/>
              </w:rPr>
            </w:pPr>
            <w:r>
              <w:rPr>
                <w:rFonts w:hint="eastAsia"/>
                <w:lang w:val="en-US" w:eastAsia="zh-CN"/>
              </w:rPr>
              <w:t>暂定金额50000.00元，，按50000.00元进行投标。</w:t>
            </w:r>
          </w:p>
          <w:p>
            <w:pPr>
              <w:pStyle w:val="4"/>
              <w:numPr>
                <w:ilvl w:val="0"/>
                <w:numId w:val="0"/>
              </w:numPr>
              <w:ind w:left="0" w:leftChars="0" w:firstLine="0" w:firstLineChars="0"/>
              <w:rPr>
                <w:rFonts w:hint="eastAsia" w:ascii="宋体" w:hAnsi="宋体" w:eastAsia="宋体" w:cs="宋体"/>
                <w:color w:val="auto"/>
                <w:kern w:val="2"/>
                <w:sz w:val="24"/>
                <w:szCs w:val="24"/>
                <w:lang w:val="en-US" w:eastAsia="zh-CN" w:bidi="ar-SA"/>
              </w:rPr>
            </w:pPr>
          </w:p>
        </w:tc>
        <w:tc>
          <w:tcPr>
            <w:tcW w:w="618" w:type="dxa"/>
            <w:tcBorders>
              <w:top w:val="single" w:color="auto" w:sz="6" w:space="0"/>
              <w:left w:val="nil"/>
              <w:bottom w:val="single" w:color="auto" w:sz="6" w:space="0"/>
              <w:right w:val="single" w:color="auto" w:sz="6" w:space="0"/>
            </w:tcBorders>
            <w:noWrap w:val="0"/>
            <w:vAlign w:val="center"/>
          </w:tcPr>
          <w:p>
            <w:pPr>
              <w:jc w:val="center"/>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1</w:t>
            </w:r>
          </w:p>
        </w:tc>
        <w:tc>
          <w:tcPr>
            <w:tcW w:w="563"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sz w:val="24"/>
                <w:szCs w:val="24"/>
                <w:lang w:eastAsia="zh-CN"/>
              </w:rPr>
            </w:pPr>
            <w:r>
              <w:rPr>
                <w:rFonts w:hint="eastAsia" w:hAnsi="宋体" w:cs="宋体"/>
                <w:sz w:val="24"/>
                <w:szCs w:val="24"/>
                <w:lang w:eastAsia="zh-CN"/>
              </w:rPr>
              <w:t>项</w:t>
            </w:r>
          </w:p>
        </w:tc>
      </w:tr>
    </w:tbl>
    <w:p>
      <w:pPr>
        <w:pStyle w:val="23"/>
        <w:spacing w:before="0" w:beforeAutospacing="0" w:after="0" w:afterAutospacing="0" w:line="360" w:lineRule="auto"/>
        <w:jc w:val="both"/>
        <w:textAlignment w:val="baseline"/>
        <w:rPr>
          <w:rFonts w:hint="eastAsia"/>
          <w:color w:val="auto"/>
          <w:highlight w:val="none"/>
          <w:shd w:val="clear" w:color="auto" w:fill="FFFFFF"/>
        </w:rPr>
      </w:pPr>
    </w:p>
    <w:p>
      <w:pPr>
        <w:pStyle w:val="23"/>
        <w:spacing w:before="0" w:beforeAutospacing="0" w:after="0" w:afterAutospacing="0" w:line="360" w:lineRule="auto"/>
        <w:jc w:val="both"/>
        <w:textAlignment w:val="baseline"/>
        <w:rPr>
          <w:rFonts w:hint="eastAsia"/>
          <w:color w:val="auto"/>
          <w:highlight w:val="none"/>
          <w:shd w:val="clear" w:color="auto" w:fill="FFFFFF"/>
        </w:rPr>
      </w:pPr>
    </w:p>
    <w:p>
      <w:pPr>
        <w:pStyle w:val="23"/>
        <w:spacing w:before="0" w:beforeAutospacing="0" w:after="0" w:afterAutospacing="0" w:line="360" w:lineRule="auto"/>
        <w:jc w:val="both"/>
        <w:textAlignment w:val="baseline"/>
        <w:rPr>
          <w:rFonts w:hint="eastAsia"/>
          <w:color w:val="auto"/>
          <w:highlight w:val="none"/>
          <w:shd w:val="clear" w:color="auto" w:fill="FFFFFF"/>
        </w:rPr>
      </w:pPr>
    </w:p>
    <w:p>
      <w:pPr>
        <w:pStyle w:val="23"/>
        <w:spacing w:before="0" w:beforeAutospacing="0" w:after="0" w:afterAutospacing="0" w:line="360" w:lineRule="auto"/>
        <w:jc w:val="both"/>
        <w:textAlignment w:val="baseline"/>
        <w:rPr>
          <w:rFonts w:hint="eastAsia"/>
          <w:color w:val="auto"/>
          <w:highlight w:val="none"/>
          <w:shd w:val="clear" w:color="auto" w:fill="FFFFFF"/>
        </w:rPr>
      </w:pPr>
    </w:p>
    <w:p>
      <w:pPr>
        <w:pStyle w:val="23"/>
        <w:spacing w:before="0" w:beforeAutospacing="0" w:after="0" w:afterAutospacing="0" w:line="360" w:lineRule="auto"/>
        <w:jc w:val="both"/>
        <w:textAlignment w:val="baseline"/>
        <w:rPr>
          <w:rFonts w:hint="eastAsia"/>
          <w:color w:val="auto"/>
          <w:highlight w:val="none"/>
          <w:shd w:val="clear" w:color="auto" w:fill="FFFFFF"/>
        </w:rPr>
      </w:pPr>
    </w:p>
    <w:p>
      <w:pPr>
        <w:jc w:val="both"/>
        <w:outlineLvl w:val="0"/>
        <w:rPr>
          <w:rStyle w:val="43"/>
          <w:rFonts w:hint="eastAsia" w:ascii="楷体" w:hAnsi="楷体" w:eastAsia="楷体" w:cs="楷体"/>
          <w:b w:val="0"/>
          <w:bCs/>
          <w:sz w:val="28"/>
          <w:szCs w:val="18"/>
          <w:lang w:val="en-US" w:eastAsia="zh-CN"/>
        </w:rPr>
      </w:pPr>
      <w:r>
        <w:rPr>
          <w:rStyle w:val="43"/>
          <w:rFonts w:hint="eastAsia" w:ascii="楷体" w:hAnsi="楷体" w:eastAsia="楷体" w:cs="楷体"/>
          <w:b w:val="0"/>
          <w:bCs/>
          <w:sz w:val="28"/>
          <w:szCs w:val="18"/>
          <w:lang w:eastAsia="zh-CN"/>
        </w:rPr>
        <w:t>采购</w:t>
      </w:r>
      <w:r>
        <w:rPr>
          <w:rStyle w:val="43"/>
          <w:rFonts w:hint="eastAsia" w:ascii="楷体" w:hAnsi="楷体" w:eastAsia="楷体" w:cs="楷体"/>
          <w:b w:val="0"/>
          <w:bCs/>
          <w:sz w:val="28"/>
          <w:szCs w:val="18"/>
          <w:lang w:val="en-US" w:eastAsia="zh-CN"/>
        </w:rPr>
        <w:t>3包</w:t>
      </w:r>
    </w:p>
    <w:p>
      <w:pPr>
        <w:pStyle w:val="23"/>
        <w:spacing w:before="0" w:beforeAutospacing="0" w:after="0" w:afterAutospacing="0" w:line="360" w:lineRule="auto"/>
        <w:ind w:firstLine="630"/>
        <w:jc w:val="both"/>
        <w:textAlignment w:val="baseline"/>
        <w:rPr>
          <w:rFonts w:hint="eastAsia"/>
          <w:color w:val="auto"/>
          <w:highlight w:val="none"/>
          <w:shd w:val="clear" w:color="auto" w:fill="FFFFFF"/>
        </w:rPr>
      </w:pPr>
      <w:r>
        <w:rPr>
          <w:rFonts w:hint="eastAsia"/>
          <w:color w:val="auto"/>
          <w:highlight w:val="none"/>
          <w:shd w:val="clear" w:color="auto" w:fill="FFFFFF"/>
        </w:rPr>
        <w:t>合同包预算金额：7050349.40元</w:t>
      </w:r>
      <w:r>
        <w:rPr>
          <w:rFonts w:hint="eastAsia"/>
          <w:color w:val="auto"/>
          <w:highlight w:val="none"/>
          <w:shd w:val="clear" w:color="auto" w:fill="FFFFFF"/>
          <w:lang w:eastAsia="zh-CN"/>
        </w:rPr>
        <w:t>（含暂列金</w:t>
      </w:r>
      <w:r>
        <w:rPr>
          <w:rFonts w:hint="eastAsia"/>
          <w:color w:val="auto"/>
          <w:highlight w:val="none"/>
          <w:shd w:val="clear" w:color="auto" w:fill="FFFFFF"/>
          <w:lang w:val="en-US" w:eastAsia="zh-CN"/>
        </w:rPr>
        <w:t>50000.00元</w:t>
      </w:r>
      <w:r>
        <w:rPr>
          <w:rFonts w:hint="eastAsia"/>
          <w:color w:val="auto"/>
          <w:highlight w:val="none"/>
          <w:shd w:val="clear" w:color="auto" w:fill="FFFFFF"/>
          <w:lang w:eastAsia="zh-CN"/>
        </w:rPr>
        <w:t>）</w:t>
      </w:r>
    </w:p>
    <w:tbl>
      <w:tblPr>
        <w:tblStyle w:val="24"/>
        <w:tblW w:w="9791" w:type="dxa"/>
        <w:tblInd w:w="-200" w:type="dxa"/>
        <w:tblLayout w:type="fixed"/>
        <w:tblCellMar>
          <w:top w:w="0" w:type="dxa"/>
          <w:left w:w="0" w:type="dxa"/>
          <w:bottom w:w="0" w:type="dxa"/>
          <w:right w:w="0" w:type="dxa"/>
        </w:tblCellMar>
      </w:tblPr>
      <w:tblGrid>
        <w:gridCol w:w="785"/>
        <w:gridCol w:w="1773"/>
        <w:gridCol w:w="2024"/>
        <w:gridCol w:w="1418"/>
        <w:gridCol w:w="1240"/>
        <w:gridCol w:w="1501"/>
        <w:gridCol w:w="1050"/>
      </w:tblGrid>
      <w:tr>
        <w:tblPrEx>
          <w:tblCellMar>
            <w:top w:w="0" w:type="dxa"/>
            <w:left w:w="0" w:type="dxa"/>
            <w:bottom w:w="0" w:type="dxa"/>
            <w:right w:w="0" w:type="dxa"/>
          </w:tblCellMar>
        </w:tblPrEx>
        <w:trPr>
          <w:trHeight w:val="728" w:hRule="atLeast"/>
          <w:tblHeader/>
        </w:trPr>
        <w:tc>
          <w:tcPr>
            <w:tcW w:w="78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360" w:lineRule="auto"/>
              <w:jc w:val="center"/>
              <w:textAlignment w:val="center"/>
              <w:rPr>
                <w:rFonts w:hint="eastAsia" w:ascii="宋体" w:hAnsi="宋体" w:cs="宋体"/>
                <w:b/>
                <w:bCs/>
                <w:color w:val="auto"/>
                <w:sz w:val="24"/>
                <w:szCs w:val="24"/>
                <w:highlight w:val="none"/>
              </w:rPr>
            </w:pPr>
            <w:r>
              <w:rPr>
                <w:rFonts w:hint="eastAsia" w:ascii="宋体" w:hAnsi="宋体" w:cs="宋体"/>
                <w:b/>
                <w:bCs/>
                <w:color w:val="auto"/>
                <w:kern w:val="0"/>
                <w:sz w:val="24"/>
                <w:szCs w:val="24"/>
                <w:highlight w:val="none"/>
                <w:lang w:bidi="ar"/>
              </w:rPr>
              <w:t>品目号</w:t>
            </w:r>
          </w:p>
        </w:tc>
        <w:tc>
          <w:tcPr>
            <w:tcW w:w="177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360" w:lineRule="auto"/>
              <w:jc w:val="center"/>
              <w:textAlignment w:val="center"/>
              <w:rPr>
                <w:rFonts w:hint="eastAsia" w:ascii="宋体" w:hAnsi="宋体" w:cs="宋体"/>
                <w:b/>
                <w:bCs/>
                <w:color w:val="auto"/>
                <w:sz w:val="24"/>
                <w:szCs w:val="24"/>
                <w:highlight w:val="none"/>
              </w:rPr>
            </w:pPr>
            <w:r>
              <w:rPr>
                <w:rFonts w:hint="eastAsia" w:ascii="宋体" w:hAnsi="宋体" w:cs="宋体"/>
                <w:b/>
                <w:bCs/>
                <w:color w:val="auto"/>
                <w:kern w:val="0"/>
                <w:sz w:val="24"/>
                <w:szCs w:val="24"/>
                <w:highlight w:val="none"/>
                <w:lang w:bidi="ar"/>
              </w:rPr>
              <w:t>品目名称</w:t>
            </w:r>
          </w:p>
        </w:tc>
        <w:tc>
          <w:tcPr>
            <w:tcW w:w="202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360" w:lineRule="auto"/>
              <w:jc w:val="center"/>
              <w:textAlignment w:val="center"/>
              <w:rPr>
                <w:rFonts w:hint="eastAsia" w:ascii="宋体" w:hAnsi="宋体" w:cs="宋体"/>
                <w:b/>
                <w:bCs/>
                <w:color w:val="auto"/>
                <w:sz w:val="24"/>
                <w:szCs w:val="24"/>
                <w:highlight w:val="none"/>
              </w:rPr>
            </w:pPr>
            <w:r>
              <w:rPr>
                <w:rFonts w:hint="eastAsia" w:ascii="宋体" w:hAnsi="宋体" w:cs="宋体"/>
                <w:b/>
                <w:bCs/>
                <w:color w:val="auto"/>
                <w:kern w:val="0"/>
                <w:sz w:val="24"/>
                <w:szCs w:val="24"/>
                <w:highlight w:val="none"/>
                <w:lang w:bidi="ar"/>
              </w:rPr>
              <w:t>采购标的</w:t>
            </w:r>
          </w:p>
        </w:tc>
        <w:tc>
          <w:tcPr>
            <w:tcW w:w="141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360" w:lineRule="auto"/>
              <w:jc w:val="center"/>
              <w:textAlignment w:val="center"/>
              <w:rPr>
                <w:rFonts w:hint="eastAsia" w:ascii="宋体" w:hAnsi="宋体" w:cs="宋体"/>
                <w:b/>
                <w:bCs/>
                <w:color w:val="auto"/>
                <w:kern w:val="0"/>
                <w:sz w:val="24"/>
                <w:szCs w:val="24"/>
                <w:highlight w:val="none"/>
                <w:lang w:bidi="ar"/>
              </w:rPr>
            </w:pPr>
            <w:r>
              <w:rPr>
                <w:rFonts w:hint="eastAsia" w:ascii="宋体" w:hAnsi="宋体" w:cs="宋体"/>
                <w:b/>
                <w:bCs/>
                <w:color w:val="auto"/>
                <w:kern w:val="0"/>
                <w:sz w:val="24"/>
                <w:szCs w:val="24"/>
                <w:highlight w:val="none"/>
                <w:lang w:bidi="ar"/>
              </w:rPr>
              <w:t>数量</w:t>
            </w:r>
          </w:p>
          <w:p>
            <w:pPr>
              <w:widowControl/>
              <w:wordWrap w:val="0"/>
              <w:spacing w:line="360" w:lineRule="auto"/>
              <w:jc w:val="center"/>
              <w:textAlignment w:val="center"/>
              <w:rPr>
                <w:rFonts w:hint="eastAsia" w:ascii="宋体" w:hAnsi="宋体" w:cs="宋体"/>
                <w:b/>
                <w:bCs/>
                <w:color w:val="auto"/>
                <w:sz w:val="24"/>
                <w:szCs w:val="24"/>
                <w:highlight w:val="none"/>
              </w:rPr>
            </w:pPr>
            <w:r>
              <w:rPr>
                <w:rFonts w:hint="eastAsia" w:ascii="宋体" w:hAnsi="宋体" w:cs="宋体"/>
                <w:b/>
                <w:bCs/>
                <w:color w:val="auto"/>
                <w:kern w:val="0"/>
                <w:sz w:val="24"/>
                <w:szCs w:val="24"/>
                <w:highlight w:val="none"/>
                <w:lang w:bidi="ar"/>
              </w:rPr>
              <w:t>（单位）</w:t>
            </w:r>
          </w:p>
        </w:tc>
        <w:tc>
          <w:tcPr>
            <w:tcW w:w="12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360" w:lineRule="auto"/>
              <w:jc w:val="center"/>
              <w:textAlignment w:val="center"/>
              <w:rPr>
                <w:rFonts w:hint="eastAsia" w:ascii="宋体" w:hAnsi="宋体" w:cs="宋体"/>
                <w:b/>
                <w:bCs/>
                <w:color w:val="auto"/>
                <w:sz w:val="24"/>
                <w:szCs w:val="24"/>
                <w:highlight w:val="none"/>
              </w:rPr>
            </w:pPr>
            <w:r>
              <w:rPr>
                <w:rFonts w:hint="eastAsia" w:ascii="宋体" w:hAnsi="宋体" w:cs="宋体"/>
                <w:b/>
                <w:bCs/>
                <w:color w:val="auto"/>
                <w:kern w:val="0"/>
                <w:sz w:val="24"/>
                <w:szCs w:val="24"/>
                <w:highlight w:val="none"/>
                <w:lang w:bidi="ar"/>
              </w:rPr>
              <w:t>技术规格、参数及要求</w:t>
            </w:r>
          </w:p>
        </w:tc>
        <w:tc>
          <w:tcPr>
            <w:tcW w:w="150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360" w:lineRule="auto"/>
              <w:jc w:val="center"/>
              <w:textAlignment w:val="center"/>
              <w:rPr>
                <w:rFonts w:hint="eastAsia" w:ascii="宋体" w:hAnsi="宋体" w:cs="宋体"/>
                <w:b/>
                <w:bCs/>
                <w:color w:val="auto"/>
                <w:sz w:val="24"/>
                <w:szCs w:val="24"/>
                <w:highlight w:val="none"/>
              </w:rPr>
            </w:pPr>
            <w:r>
              <w:rPr>
                <w:rFonts w:hint="eastAsia" w:ascii="宋体" w:hAnsi="宋体" w:cs="宋体"/>
                <w:b/>
                <w:bCs/>
                <w:color w:val="auto"/>
                <w:kern w:val="0"/>
                <w:sz w:val="24"/>
                <w:szCs w:val="24"/>
                <w:highlight w:val="none"/>
                <w:lang w:bidi="ar"/>
              </w:rPr>
              <w:t>品目预算(元)</w:t>
            </w:r>
          </w:p>
        </w:tc>
        <w:tc>
          <w:tcPr>
            <w:tcW w:w="10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360" w:lineRule="auto"/>
              <w:jc w:val="center"/>
              <w:textAlignment w:val="center"/>
              <w:rPr>
                <w:rFonts w:hint="eastAsia" w:ascii="宋体" w:hAnsi="宋体" w:cs="宋体"/>
                <w:b/>
                <w:bCs/>
                <w:color w:val="auto"/>
                <w:sz w:val="24"/>
                <w:szCs w:val="24"/>
                <w:highlight w:val="none"/>
              </w:rPr>
            </w:pPr>
            <w:r>
              <w:rPr>
                <w:rFonts w:hint="eastAsia" w:ascii="宋体" w:hAnsi="宋体" w:cs="宋体"/>
                <w:b/>
                <w:bCs/>
                <w:color w:val="auto"/>
                <w:kern w:val="0"/>
                <w:sz w:val="24"/>
                <w:szCs w:val="24"/>
                <w:highlight w:val="none"/>
                <w:lang w:bidi="ar"/>
              </w:rPr>
              <w:t>最高限价(元)</w:t>
            </w:r>
          </w:p>
        </w:tc>
      </w:tr>
      <w:tr>
        <w:tblPrEx>
          <w:tblCellMar>
            <w:top w:w="0" w:type="dxa"/>
            <w:left w:w="0" w:type="dxa"/>
            <w:bottom w:w="0" w:type="dxa"/>
            <w:right w:w="0" w:type="dxa"/>
          </w:tblCellMar>
        </w:tblPrEx>
        <w:trPr>
          <w:trHeight w:val="480" w:hRule="atLeast"/>
        </w:trPr>
        <w:tc>
          <w:tcPr>
            <w:tcW w:w="78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360" w:lineRule="auto"/>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1-1</w:t>
            </w:r>
          </w:p>
        </w:tc>
        <w:tc>
          <w:tcPr>
            <w:tcW w:w="177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360" w:lineRule="auto"/>
              <w:jc w:val="center"/>
              <w:textAlignment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主要包括基础设施、前端系统、重点人员管控系统等内容</w:t>
            </w:r>
          </w:p>
        </w:tc>
        <w:tc>
          <w:tcPr>
            <w:tcW w:w="202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360" w:lineRule="auto"/>
              <w:jc w:val="center"/>
              <w:textAlignment w:val="center"/>
              <w:rPr>
                <w:rFonts w:hint="eastAsia" w:ascii="宋体" w:hAnsi="宋体" w:cs="宋体"/>
                <w:color w:val="auto"/>
                <w:sz w:val="24"/>
                <w:szCs w:val="24"/>
                <w:highlight w:val="none"/>
              </w:rPr>
            </w:pPr>
            <w:r>
              <w:rPr>
                <w:rFonts w:hint="eastAsia" w:hAnsi="宋体" w:cs="宋体"/>
                <w:color w:val="auto"/>
                <w:kern w:val="0"/>
                <w:sz w:val="24"/>
                <w:szCs w:val="24"/>
                <w:highlight w:val="none"/>
                <w:lang w:eastAsia="zh-CN" w:bidi="ar"/>
              </w:rPr>
              <w:t>微卡摄像机及补光灯</w:t>
            </w:r>
            <w:r>
              <w:rPr>
                <w:rFonts w:hint="eastAsia" w:hAnsi="宋体" w:cs="宋体"/>
                <w:color w:val="auto"/>
                <w:kern w:val="0"/>
                <w:sz w:val="24"/>
                <w:szCs w:val="24"/>
                <w:highlight w:val="none"/>
                <w:lang w:val="en-US" w:eastAsia="zh-CN" w:bidi="ar"/>
              </w:rPr>
              <w:t>300套，立杆及辅材150套，重点人员管控系统一套</w:t>
            </w:r>
            <w:r>
              <w:rPr>
                <w:rFonts w:hint="eastAsia" w:ascii="宋体" w:hAnsi="宋体" w:cs="宋体"/>
                <w:color w:val="auto"/>
                <w:kern w:val="0"/>
                <w:sz w:val="24"/>
                <w:szCs w:val="24"/>
                <w:highlight w:val="none"/>
                <w:lang w:bidi="ar"/>
              </w:rPr>
              <w:t>。</w:t>
            </w:r>
          </w:p>
        </w:tc>
        <w:tc>
          <w:tcPr>
            <w:tcW w:w="141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360" w:lineRule="auto"/>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1(批)</w:t>
            </w:r>
          </w:p>
        </w:tc>
        <w:tc>
          <w:tcPr>
            <w:tcW w:w="12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360" w:lineRule="auto"/>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详见采购文件</w:t>
            </w:r>
          </w:p>
        </w:tc>
        <w:tc>
          <w:tcPr>
            <w:tcW w:w="150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spacing w:line="360" w:lineRule="auto"/>
              <w:jc w:val="right"/>
              <w:textAlignment w:val="center"/>
              <w:rPr>
                <w:rFonts w:hint="eastAsia" w:ascii="宋体" w:hAnsi="宋体" w:cs="宋体"/>
                <w:color w:val="auto"/>
                <w:sz w:val="24"/>
                <w:szCs w:val="24"/>
                <w:highlight w:val="none"/>
              </w:rPr>
            </w:pPr>
            <w:r>
              <w:rPr>
                <w:rFonts w:hint="eastAsia" w:ascii="宋体" w:hAnsi="宋体" w:cs="宋体"/>
                <w:color w:val="auto"/>
                <w:sz w:val="24"/>
                <w:szCs w:val="24"/>
                <w:highlight w:val="none"/>
              </w:rPr>
              <w:t>7050349.40</w:t>
            </w:r>
          </w:p>
        </w:tc>
        <w:tc>
          <w:tcPr>
            <w:tcW w:w="10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spacing w:line="360" w:lineRule="auto"/>
              <w:jc w:val="right"/>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w:t>
            </w:r>
          </w:p>
        </w:tc>
      </w:tr>
    </w:tbl>
    <w:p>
      <w:pPr>
        <w:pStyle w:val="23"/>
        <w:spacing w:before="0" w:beforeAutospacing="0" w:after="0" w:afterAutospacing="0" w:line="360" w:lineRule="auto"/>
        <w:ind w:firstLine="630"/>
        <w:jc w:val="both"/>
        <w:textAlignment w:val="baseline"/>
        <w:rPr>
          <w:rFonts w:hint="eastAsia"/>
          <w:color w:val="auto"/>
          <w:highlight w:val="none"/>
        </w:rPr>
      </w:pPr>
      <w:r>
        <w:rPr>
          <w:rFonts w:hint="eastAsia"/>
          <w:color w:val="auto"/>
          <w:highlight w:val="none"/>
          <w:shd w:val="clear" w:color="auto" w:fill="FFFFFF"/>
        </w:rPr>
        <w:t>本合同包不接受联合体投标</w:t>
      </w:r>
    </w:p>
    <w:p>
      <w:pPr>
        <w:pStyle w:val="23"/>
        <w:spacing w:before="0" w:beforeAutospacing="0" w:after="0" w:afterAutospacing="0" w:line="360" w:lineRule="auto"/>
        <w:ind w:firstLine="480" w:firstLineChars="200"/>
        <w:jc w:val="both"/>
        <w:textAlignment w:val="baseline"/>
        <w:rPr>
          <w:rFonts w:hint="eastAsia"/>
          <w:color w:val="auto"/>
          <w:highlight w:val="none"/>
          <w:shd w:val="clear" w:color="auto" w:fill="FFFFFF"/>
        </w:rPr>
      </w:pPr>
      <w:r>
        <w:rPr>
          <w:rFonts w:hint="eastAsia"/>
          <w:color w:val="auto"/>
          <w:highlight w:val="none"/>
          <w:shd w:val="clear" w:color="auto" w:fill="FFFFFF"/>
        </w:rPr>
        <w:t>合同履行期限：合同签订后</w:t>
      </w:r>
      <w:r>
        <w:rPr>
          <w:rFonts w:hint="eastAsia"/>
          <w:color w:val="auto"/>
          <w:highlight w:val="none"/>
          <w:shd w:val="clear" w:color="auto" w:fill="FFFFFF"/>
          <w:lang w:val="en-US" w:eastAsia="zh-CN"/>
        </w:rPr>
        <w:t>150</w:t>
      </w:r>
      <w:r>
        <w:rPr>
          <w:rFonts w:hint="eastAsia"/>
          <w:color w:val="auto"/>
          <w:highlight w:val="none"/>
          <w:shd w:val="clear" w:color="auto" w:fill="FFFFFF"/>
        </w:rPr>
        <w:t>天内</w:t>
      </w:r>
    </w:p>
    <w:p>
      <w:pPr>
        <w:pStyle w:val="23"/>
        <w:spacing w:before="0" w:beforeAutospacing="0" w:after="0" w:afterAutospacing="0" w:line="360" w:lineRule="auto"/>
        <w:ind w:firstLine="480" w:firstLineChars="200"/>
        <w:jc w:val="both"/>
        <w:textAlignment w:val="baseline"/>
        <w:rPr>
          <w:rFonts w:hint="eastAsia"/>
          <w:color w:val="auto"/>
          <w:highlight w:val="none"/>
          <w:shd w:val="clear" w:color="auto" w:fill="FFFFFF"/>
        </w:rPr>
      </w:pPr>
      <w:r>
        <w:rPr>
          <w:rFonts w:hint="eastAsia"/>
          <w:color w:val="auto"/>
          <w:highlight w:val="none"/>
          <w:shd w:val="clear" w:color="auto" w:fill="FFFFFF"/>
        </w:rPr>
        <w:t>采购内容及参数要求见附表</w:t>
      </w:r>
    </w:p>
    <w:tbl>
      <w:tblPr>
        <w:tblStyle w:val="24"/>
        <w:tblW w:w="9749" w:type="dxa"/>
        <w:tblInd w:w="-240" w:type="dxa"/>
        <w:tblLayout w:type="fixed"/>
        <w:tblCellMar>
          <w:top w:w="0" w:type="dxa"/>
          <w:left w:w="108" w:type="dxa"/>
          <w:bottom w:w="0" w:type="dxa"/>
          <w:right w:w="108" w:type="dxa"/>
        </w:tblCellMar>
      </w:tblPr>
      <w:tblGrid>
        <w:gridCol w:w="788"/>
        <w:gridCol w:w="795"/>
        <w:gridCol w:w="6985"/>
        <w:gridCol w:w="618"/>
        <w:gridCol w:w="563"/>
      </w:tblGrid>
      <w:tr>
        <w:tblPrEx>
          <w:tblCellMar>
            <w:top w:w="0" w:type="dxa"/>
            <w:left w:w="108" w:type="dxa"/>
            <w:bottom w:w="0" w:type="dxa"/>
            <w:right w:w="108" w:type="dxa"/>
          </w:tblCellMar>
        </w:tblPrEx>
        <w:trPr>
          <w:trHeight w:val="620" w:hRule="atLeast"/>
        </w:trPr>
        <w:tc>
          <w:tcPr>
            <w:tcW w:w="788"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lang w:bidi="ar"/>
              </w:rPr>
              <w:t>序号</w:t>
            </w:r>
          </w:p>
        </w:tc>
        <w:tc>
          <w:tcPr>
            <w:tcW w:w="795" w:type="dxa"/>
            <w:tcBorders>
              <w:top w:val="single" w:color="auto" w:sz="6" w:space="0"/>
              <w:left w:val="nil"/>
              <w:bottom w:val="single" w:color="auto" w:sz="6" w:space="0"/>
              <w:right w:val="single" w:color="auto" w:sz="6" w:space="0"/>
            </w:tcBorders>
            <w:shd w:val="clear" w:color="auto" w:fill="FFFFFF"/>
            <w:noWrap w:val="0"/>
            <w:vAlign w:val="center"/>
          </w:tcPr>
          <w:p>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lang w:bidi="ar"/>
              </w:rPr>
              <w:t>设备名称</w:t>
            </w:r>
          </w:p>
        </w:tc>
        <w:tc>
          <w:tcPr>
            <w:tcW w:w="6985" w:type="dxa"/>
            <w:tcBorders>
              <w:top w:val="single" w:color="auto" w:sz="6" w:space="0"/>
              <w:left w:val="nil"/>
              <w:bottom w:val="single" w:color="auto" w:sz="6" w:space="0"/>
              <w:right w:val="single" w:color="auto" w:sz="6" w:space="0"/>
            </w:tcBorders>
            <w:shd w:val="clear" w:color="auto" w:fill="FFFFFF"/>
            <w:noWrap w:val="0"/>
            <w:vAlign w:val="center"/>
          </w:tcPr>
          <w:p>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lang w:bidi="ar"/>
              </w:rPr>
              <w:t>技术参数</w:t>
            </w:r>
          </w:p>
        </w:tc>
        <w:tc>
          <w:tcPr>
            <w:tcW w:w="618" w:type="dxa"/>
            <w:tcBorders>
              <w:top w:val="single" w:color="auto" w:sz="6" w:space="0"/>
              <w:left w:val="nil"/>
              <w:bottom w:val="single" w:color="auto" w:sz="6" w:space="0"/>
              <w:right w:val="single" w:color="auto" w:sz="6" w:space="0"/>
            </w:tcBorders>
            <w:shd w:val="clear" w:color="auto" w:fill="FFFFFF"/>
            <w:noWrap w:val="0"/>
            <w:vAlign w:val="center"/>
          </w:tcPr>
          <w:p>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lang w:bidi="ar"/>
              </w:rPr>
              <w:t>数量</w:t>
            </w:r>
          </w:p>
        </w:tc>
        <w:tc>
          <w:tcPr>
            <w:tcW w:w="563" w:type="dxa"/>
            <w:tcBorders>
              <w:top w:val="single" w:color="auto" w:sz="6" w:space="0"/>
              <w:left w:val="nil"/>
              <w:bottom w:val="single" w:color="auto" w:sz="6" w:space="0"/>
              <w:right w:val="single" w:color="auto" w:sz="6" w:space="0"/>
            </w:tcBorders>
            <w:shd w:val="clear" w:color="auto" w:fill="FFFFFF"/>
            <w:noWrap w:val="0"/>
            <w:vAlign w:val="center"/>
          </w:tcPr>
          <w:p>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lang w:bidi="ar"/>
              </w:rPr>
              <w:t>单位</w:t>
            </w:r>
          </w:p>
        </w:tc>
      </w:tr>
      <w:tr>
        <w:tblPrEx>
          <w:tblCellMar>
            <w:top w:w="0" w:type="dxa"/>
            <w:left w:w="108" w:type="dxa"/>
            <w:bottom w:w="0" w:type="dxa"/>
            <w:right w:w="108" w:type="dxa"/>
          </w:tblCellMar>
        </w:tblPrEx>
        <w:trPr>
          <w:trHeight w:val="1525" w:hRule="atLeast"/>
        </w:trPr>
        <w:tc>
          <w:tcPr>
            <w:tcW w:w="788"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lang w:bidi="ar"/>
              </w:rPr>
              <w:t>1</w:t>
            </w:r>
          </w:p>
        </w:tc>
        <w:tc>
          <w:tcPr>
            <w:tcW w:w="795" w:type="dxa"/>
            <w:tcBorders>
              <w:top w:val="single" w:color="auto" w:sz="6" w:space="0"/>
              <w:left w:val="nil"/>
              <w:bottom w:val="single" w:color="auto" w:sz="6" w:space="0"/>
              <w:right w:val="single" w:color="auto" w:sz="6" w:space="0"/>
            </w:tcBorders>
            <w:noWrap w:val="0"/>
            <w:vAlign w:val="center"/>
          </w:tcPr>
          <w:p>
            <w:pPr>
              <w:jc w:val="center"/>
              <w:rPr>
                <w:rFonts w:hint="eastAsia" w:ascii="宋体" w:hAnsi="宋体" w:cs="宋体"/>
                <w:bCs/>
                <w:color w:val="auto"/>
                <w:sz w:val="24"/>
                <w:szCs w:val="24"/>
                <w:highlight w:val="none"/>
              </w:rPr>
            </w:pPr>
            <w:r>
              <w:rPr>
                <w:rFonts w:hint="eastAsia" w:ascii="宋体" w:hAnsi="宋体" w:cs="宋体"/>
                <w:color w:val="auto"/>
                <w:sz w:val="24"/>
                <w:szCs w:val="24"/>
                <w:highlight w:val="none"/>
              </w:rPr>
              <w:t>微卡摄像机</w:t>
            </w:r>
          </w:p>
        </w:tc>
        <w:tc>
          <w:tcPr>
            <w:tcW w:w="6985" w:type="dxa"/>
            <w:tcBorders>
              <w:top w:val="single" w:color="auto" w:sz="6" w:space="0"/>
              <w:left w:val="nil"/>
              <w:bottom w:val="single" w:color="auto" w:sz="6" w:space="0"/>
              <w:right w:val="single" w:color="auto" w:sz="6" w:space="0"/>
            </w:tcBorders>
            <w:noWrap w:val="0"/>
            <w:vAlign w:val="center"/>
          </w:tcPr>
          <w:p>
            <w:pPr>
              <w:rPr>
                <w:rFonts w:hint="eastAsia" w:ascii="宋体" w:hAnsi="宋体" w:cs="宋体"/>
                <w:bCs/>
                <w:color w:val="auto"/>
                <w:sz w:val="24"/>
                <w:szCs w:val="24"/>
                <w:highlight w:val="none"/>
              </w:rPr>
            </w:pPr>
            <w:r>
              <w:rPr>
                <w:rFonts w:hint="eastAsia" w:ascii="宋体" w:hAnsi="宋体" w:cs="宋体"/>
                <w:bCs/>
                <w:color w:val="auto"/>
                <w:sz w:val="24"/>
                <w:szCs w:val="24"/>
                <w:highlight w:val="none"/>
              </w:rPr>
              <w:t>包含高清摄像机、高清镜头、室外防护罩、防雷模块、下挂灯、电源适配器等；</w:t>
            </w:r>
          </w:p>
          <w:p>
            <w:pPr>
              <w:rPr>
                <w:rFonts w:hint="eastAsia" w:ascii="宋体" w:hAnsi="宋体" w:cs="宋体"/>
                <w:bCs/>
                <w:color w:val="auto"/>
                <w:sz w:val="24"/>
                <w:szCs w:val="24"/>
                <w:highlight w:val="none"/>
              </w:rPr>
            </w:pPr>
            <w:r>
              <w:rPr>
                <w:rFonts w:hint="eastAsia" w:ascii="宋体" w:hAnsi="宋体" w:cs="宋体"/>
                <w:bCs/>
                <w:color w:val="auto"/>
                <w:sz w:val="24"/>
                <w:szCs w:val="24"/>
                <w:highlight w:val="none"/>
              </w:rPr>
              <w:t>传感器类型：≥1/1.8"CMOS；</w:t>
            </w:r>
          </w:p>
          <w:p>
            <w:pPr>
              <w:rPr>
                <w:rFonts w:hint="eastAsia" w:ascii="宋体" w:hAnsi="宋体" w:cs="宋体"/>
                <w:bCs/>
                <w:color w:val="auto"/>
                <w:sz w:val="24"/>
                <w:szCs w:val="24"/>
                <w:highlight w:val="none"/>
              </w:rPr>
            </w:pPr>
            <w:r>
              <w:rPr>
                <w:rFonts w:hint="eastAsia" w:ascii="宋体" w:hAnsi="宋体" w:cs="宋体"/>
                <w:bCs/>
                <w:color w:val="auto"/>
                <w:sz w:val="24"/>
                <w:szCs w:val="24"/>
                <w:highlight w:val="none"/>
              </w:rPr>
              <w:t>焦距：11-40mm;高清变焦镜头；</w:t>
            </w:r>
          </w:p>
          <w:p>
            <w:pPr>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支持车牌识别、子品牌识别、车身颜色识别、车型识别；</w:t>
            </w:r>
          </w:p>
          <w:p>
            <w:pPr>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★支持识别≥450种机动车品牌标志，白天识别准确率≥99%，夜晚识别准确率≥99%；</w:t>
            </w:r>
          </w:p>
          <w:p>
            <w:pPr>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★支持车辆子品牌识别功能，通过车头可识别≥7000种，通过车尾可识别≥3700种，全天识别准确率不低于99%；</w:t>
            </w:r>
          </w:p>
          <w:p>
            <w:pPr>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支持识别≥42种车型；需列出至少42种车辆类型；</w:t>
            </w:r>
          </w:p>
          <w:p>
            <w:pPr>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★支持识别≥13种车身颜色；需列出至少13种车辆颜色；</w:t>
            </w:r>
          </w:p>
          <w:p>
            <w:pPr>
              <w:rPr>
                <w:rFonts w:hint="eastAsia" w:ascii="宋体" w:hAnsi="宋体" w:cs="宋体"/>
                <w:bCs/>
                <w:color w:val="auto"/>
                <w:sz w:val="24"/>
                <w:szCs w:val="24"/>
                <w:highlight w:val="none"/>
              </w:rPr>
            </w:pPr>
            <w:r>
              <w:rPr>
                <w:rFonts w:hint="eastAsia" w:ascii="宋体" w:hAnsi="宋体" w:cs="宋体"/>
                <w:bCs/>
                <w:color w:val="auto"/>
                <w:sz w:val="24"/>
                <w:szCs w:val="24"/>
                <w:highlight w:val="none"/>
              </w:rPr>
              <w:t>像素：≥420W；</w:t>
            </w:r>
          </w:p>
          <w:p>
            <w:pPr>
              <w:rPr>
                <w:rFonts w:hint="eastAsia" w:ascii="宋体" w:hAnsi="宋体" w:cs="宋体"/>
                <w:bCs/>
                <w:color w:val="auto"/>
                <w:sz w:val="24"/>
                <w:szCs w:val="24"/>
                <w:highlight w:val="none"/>
              </w:rPr>
            </w:pPr>
            <w:r>
              <w:rPr>
                <w:rFonts w:hint="eastAsia" w:ascii="宋体" w:hAnsi="宋体" w:cs="宋体"/>
                <w:bCs/>
                <w:color w:val="auto"/>
                <w:sz w:val="24"/>
                <w:szCs w:val="24"/>
                <w:highlight w:val="none"/>
              </w:rPr>
              <w:t>感光器件：≥1/1.8"CMOS；</w:t>
            </w:r>
          </w:p>
          <w:p>
            <w:pPr>
              <w:rPr>
                <w:rFonts w:hint="eastAsia" w:ascii="宋体" w:hAnsi="宋体" w:cs="宋体"/>
                <w:bCs/>
                <w:color w:val="auto"/>
                <w:sz w:val="24"/>
                <w:szCs w:val="24"/>
                <w:highlight w:val="none"/>
              </w:rPr>
            </w:pPr>
            <w:r>
              <w:rPr>
                <w:rFonts w:hint="eastAsia" w:ascii="宋体" w:hAnsi="宋体" w:cs="宋体"/>
                <w:bCs/>
                <w:color w:val="auto"/>
                <w:sz w:val="24"/>
                <w:szCs w:val="24"/>
                <w:highlight w:val="none"/>
              </w:rPr>
              <w:t>照度：彩色不大于0.001 Lux；黑白不大于0.0001 Lux；</w:t>
            </w:r>
          </w:p>
          <w:p>
            <w:pPr>
              <w:rPr>
                <w:rFonts w:hint="eastAsia" w:ascii="宋体" w:hAnsi="宋体" w:cs="宋体"/>
                <w:bCs/>
                <w:color w:val="auto"/>
                <w:sz w:val="24"/>
                <w:szCs w:val="24"/>
                <w:highlight w:val="none"/>
              </w:rPr>
            </w:pPr>
            <w:r>
              <w:rPr>
                <w:rFonts w:hint="eastAsia" w:ascii="宋体" w:hAnsi="宋体" w:cs="宋体"/>
                <w:bCs/>
                <w:color w:val="auto"/>
                <w:sz w:val="24"/>
                <w:szCs w:val="24"/>
                <w:highlight w:val="none"/>
              </w:rPr>
              <w:t>视频压缩标准：H.264/H.265/MJPEG；</w:t>
            </w:r>
          </w:p>
          <w:p>
            <w:pPr>
              <w:rPr>
                <w:rFonts w:hint="eastAsia" w:ascii="宋体" w:hAnsi="宋体" w:cs="宋体"/>
                <w:bCs/>
                <w:color w:val="auto"/>
                <w:sz w:val="24"/>
                <w:szCs w:val="24"/>
                <w:highlight w:val="none"/>
              </w:rPr>
            </w:pPr>
            <w:r>
              <w:rPr>
                <w:rFonts w:hint="eastAsia" w:ascii="宋体" w:hAnsi="宋体" w:cs="宋体"/>
                <w:bCs/>
                <w:color w:val="auto"/>
                <w:sz w:val="24"/>
                <w:szCs w:val="24"/>
                <w:highlight w:val="none"/>
              </w:rPr>
              <w:t>宽动态能力≥120dB；</w:t>
            </w:r>
          </w:p>
          <w:p>
            <w:pPr>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支持设定以位置、车速、车型、行驶方向和车牌类型等为触发条件进行抓拍；</w:t>
            </w:r>
          </w:p>
          <w:p>
            <w:pPr>
              <w:rPr>
                <w:rFonts w:hint="eastAsia" w:ascii="宋体" w:hAnsi="宋体" w:cs="宋体"/>
                <w:bCs/>
                <w:color w:val="auto"/>
                <w:sz w:val="24"/>
                <w:szCs w:val="24"/>
                <w:highlight w:val="none"/>
              </w:rPr>
            </w:pPr>
            <w:r>
              <w:rPr>
                <w:rFonts w:hint="eastAsia" w:ascii="宋体" w:hAnsi="宋体" w:cs="宋体"/>
                <w:bCs/>
                <w:color w:val="auto"/>
                <w:sz w:val="24"/>
                <w:szCs w:val="24"/>
                <w:highlight w:val="none"/>
              </w:rPr>
              <w:t>感兴趣区域增强编码功能检查：支持≥24块感兴趣区域(ROI)增强编码功能，ROI区域压缩比在0～100范围内可设置；</w:t>
            </w:r>
          </w:p>
          <w:p>
            <w:pPr>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★支持GB 35114-2017标准A级、GB/T 28181-2016标准、GA/T 1400-2017标准；</w:t>
            </w:r>
          </w:p>
          <w:p>
            <w:pPr>
              <w:rPr>
                <w:rFonts w:hint="eastAsia" w:ascii="宋体" w:hAnsi="宋体" w:cs="宋体"/>
                <w:bCs/>
                <w:color w:val="auto"/>
                <w:sz w:val="24"/>
                <w:szCs w:val="24"/>
                <w:highlight w:val="none"/>
              </w:rPr>
            </w:pPr>
            <w:r>
              <w:rPr>
                <w:rFonts w:hint="eastAsia" w:ascii="宋体" w:hAnsi="宋体" w:cs="宋体"/>
                <w:bCs/>
                <w:color w:val="auto"/>
                <w:sz w:val="24"/>
                <w:szCs w:val="24"/>
                <w:highlight w:val="none"/>
              </w:rPr>
              <w:t>防护等级IP65；</w:t>
            </w:r>
          </w:p>
          <w:p>
            <w:pPr>
              <w:rPr>
                <w:rFonts w:hint="eastAsia" w:ascii="宋体" w:hAnsi="宋体" w:cs="宋体"/>
                <w:bCs/>
                <w:color w:val="auto"/>
                <w:sz w:val="24"/>
                <w:szCs w:val="24"/>
                <w:highlight w:val="none"/>
              </w:rPr>
            </w:pPr>
            <w:r>
              <w:rPr>
                <w:rFonts w:hint="eastAsia" w:ascii="宋体" w:hAnsi="宋体" w:cs="宋体"/>
                <w:bCs/>
                <w:color w:val="auto"/>
                <w:sz w:val="24"/>
                <w:szCs w:val="24"/>
                <w:highlight w:val="none"/>
              </w:rPr>
              <w:t>标“★”项需提供国家级或部级第三方检测鉴定机构出具的检测报告复印件并加盖生产商的红色印章；</w:t>
            </w:r>
          </w:p>
          <w:p>
            <w:pPr>
              <w:rPr>
                <w:rFonts w:hint="eastAsia" w:ascii="宋体" w:hAnsi="宋体" w:cs="宋体"/>
                <w:bCs/>
                <w:color w:val="auto"/>
                <w:sz w:val="24"/>
                <w:szCs w:val="24"/>
                <w:highlight w:val="none"/>
              </w:rPr>
            </w:pPr>
            <w:r>
              <w:rPr>
                <w:rFonts w:hint="eastAsia" w:ascii="宋体" w:hAnsi="宋体" w:cs="宋体"/>
                <w:bCs/>
                <w:color w:val="auto"/>
                <w:sz w:val="24"/>
                <w:szCs w:val="24"/>
                <w:highlight w:val="none"/>
              </w:rPr>
              <w:t>(该摄像机含支架)</w:t>
            </w:r>
          </w:p>
        </w:tc>
        <w:tc>
          <w:tcPr>
            <w:tcW w:w="618" w:type="dxa"/>
            <w:tcBorders>
              <w:top w:val="single" w:color="auto" w:sz="6" w:space="0"/>
              <w:left w:val="nil"/>
              <w:bottom w:val="single" w:color="auto" w:sz="6" w:space="0"/>
              <w:right w:val="single" w:color="auto" w:sz="6" w:space="0"/>
            </w:tcBorders>
            <w:noWrap w:val="0"/>
            <w:vAlign w:val="center"/>
          </w:tcPr>
          <w:p>
            <w:pPr>
              <w:jc w:val="center"/>
              <w:rPr>
                <w:rFonts w:hint="default" w:ascii="宋体" w:hAnsi="宋体" w:eastAsia="宋体" w:cs="宋体"/>
                <w:bCs/>
                <w:color w:val="auto"/>
                <w:sz w:val="24"/>
                <w:szCs w:val="24"/>
                <w:highlight w:val="none"/>
                <w:lang w:val="en-US" w:eastAsia="zh-CN"/>
              </w:rPr>
            </w:pPr>
            <w:r>
              <w:rPr>
                <w:rFonts w:hint="eastAsia" w:hAnsi="宋体" w:cs="宋体"/>
                <w:bCs/>
                <w:color w:val="auto"/>
                <w:sz w:val="24"/>
                <w:szCs w:val="24"/>
                <w:highlight w:val="none"/>
                <w:lang w:val="en-US" w:eastAsia="zh-CN" w:bidi="ar"/>
              </w:rPr>
              <w:t>300</w:t>
            </w:r>
          </w:p>
        </w:tc>
        <w:tc>
          <w:tcPr>
            <w:tcW w:w="563" w:type="dxa"/>
            <w:tcBorders>
              <w:top w:val="single" w:color="auto" w:sz="6" w:space="0"/>
              <w:left w:val="nil"/>
              <w:bottom w:val="single" w:color="auto" w:sz="6" w:space="0"/>
              <w:right w:val="single" w:color="auto" w:sz="6" w:space="0"/>
            </w:tcBorders>
            <w:noWrap w:val="0"/>
            <w:vAlign w:val="center"/>
          </w:tcPr>
          <w:p>
            <w:pPr>
              <w:jc w:val="center"/>
              <w:rPr>
                <w:rFonts w:hint="eastAsia" w:ascii="宋体" w:hAnsi="宋体" w:eastAsia="宋体" w:cs="宋体"/>
                <w:bCs/>
                <w:color w:val="auto"/>
                <w:sz w:val="24"/>
                <w:szCs w:val="24"/>
                <w:highlight w:val="none"/>
                <w:lang w:eastAsia="zh-CN"/>
              </w:rPr>
            </w:pPr>
            <w:r>
              <w:rPr>
                <w:rFonts w:hint="eastAsia" w:hAnsi="宋体" w:cs="宋体"/>
                <w:bCs/>
                <w:color w:val="auto"/>
                <w:sz w:val="24"/>
                <w:szCs w:val="24"/>
                <w:highlight w:val="none"/>
                <w:lang w:eastAsia="zh-CN"/>
              </w:rPr>
              <w:t>台</w:t>
            </w:r>
          </w:p>
        </w:tc>
      </w:tr>
      <w:tr>
        <w:tblPrEx>
          <w:tblCellMar>
            <w:top w:w="0" w:type="dxa"/>
            <w:left w:w="108" w:type="dxa"/>
            <w:bottom w:w="0" w:type="dxa"/>
            <w:right w:w="108" w:type="dxa"/>
          </w:tblCellMar>
        </w:tblPrEx>
        <w:trPr>
          <w:trHeight w:val="1525" w:hRule="atLeast"/>
        </w:trPr>
        <w:tc>
          <w:tcPr>
            <w:tcW w:w="788"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宋体" w:hAnsi="宋体" w:eastAsia="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2</w:t>
            </w:r>
          </w:p>
        </w:tc>
        <w:tc>
          <w:tcPr>
            <w:tcW w:w="795" w:type="dxa"/>
            <w:tcBorders>
              <w:top w:val="single" w:color="auto" w:sz="6" w:space="0"/>
              <w:left w:val="nil"/>
              <w:bottom w:val="single" w:color="auto" w:sz="6" w:space="0"/>
              <w:right w:val="single" w:color="auto" w:sz="6" w:space="0"/>
            </w:tcBorders>
            <w:noWrap w:val="0"/>
            <w:vAlign w:val="center"/>
          </w:tcPr>
          <w:p>
            <w:pPr>
              <w:jc w:val="center"/>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eastAsia="zh-CN"/>
              </w:rPr>
              <w:t>补光灯</w:t>
            </w:r>
          </w:p>
        </w:tc>
        <w:tc>
          <w:tcPr>
            <w:tcW w:w="6985" w:type="dxa"/>
            <w:tcBorders>
              <w:top w:val="single" w:color="auto" w:sz="6" w:space="0"/>
              <w:left w:val="nil"/>
              <w:bottom w:val="single" w:color="auto" w:sz="6" w:space="0"/>
              <w:right w:val="single" w:color="auto" w:sz="6" w:space="0"/>
            </w:tcBorders>
            <w:noWrap w:val="0"/>
            <w:vAlign w:val="center"/>
          </w:tcPr>
          <w:p>
            <w:pPr>
              <w:rPr>
                <w:rFonts w:hint="eastAsia" w:ascii="宋体" w:hAnsi="宋体" w:cs="宋体"/>
                <w:bCs/>
                <w:color w:val="auto"/>
                <w:sz w:val="24"/>
                <w:szCs w:val="24"/>
                <w:highlight w:val="none"/>
              </w:rPr>
            </w:pPr>
            <w:r>
              <w:rPr>
                <w:rFonts w:hint="eastAsia" w:ascii="宋体" w:hAnsi="宋体" w:cs="宋体"/>
                <w:bCs/>
                <w:color w:val="auto"/>
                <w:sz w:val="24"/>
                <w:szCs w:val="24"/>
                <w:highlight w:val="none"/>
              </w:rPr>
              <w:t>LED灯珠数量：≥26颗；</w:t>
            </w:r>
          </w:p>
          <w:p>
            <w:pPr>
              <w:rPr>
                <w:rFonts w:hint="eastAsia" w:ascii="宋体" w:hAnsi="宋体" w:cs="宋体"/>
                <w:bCs/>
                <w:color w:val="auto"/>
                <w:sz w:val="24"/>
                <w:szCs w:val="24"/>
                <w:highlight w:val="none"/>
              </w:rPr>
            </w:pPr>
            <w:r>
              <w:rPr>
                <w:rFonts w:hint="eastAsia" w:ascii="宋体" w:hAnsi="宋体" w:cs="宋体"/>
                <w:bCs/>
                <w:color w:val="auto"/>
                <w:sz w:val="24"/>
                <w:szCs w:val="24"/>
                <w:highlight w:val="none"/>
              </w:rPr>
              <w:t>发光角度：≥40°；</w:t>
            </w:r>
          </w:p>
          <w:p>
            <w:pPr>
              <w:rPr>
                <w:rFonts w:hint="eastAsia" w:ascii="宋体" w:hAnsi="宋体" w:cs="宋体"/>
                <w:bCs/>
                <w:color w:val="auto"/>
                <w:sz w:val="24"/>
                <w:szCs w:val="24"/>
                <w:highlight w:val="none"/>
              </w:rPr>
            </w:pPr>
            <w:r>
              <w:rPr>
                <w:rFonts w:hint="eastAsia" w:ascii="宋体" w:hAnsi="宋体" w:cs="宋体"/>
                <w:bCs/>
                <w:color w:val="auto"/>
                <w:sz w:val="24"/>
                <w:szCs w:val="24"/>
                <w:highlight w:val="none"/>
              </w:rPr>
              <w:t>最佳补光距离：16米~25米；</w:t>
            </w:r>
          </w:p>
          <w:p>
            <w:pPr>
              <w:rPr>
                <w:rFonts w:hint="eastAsia" w:ascii="宋体" w:hAnsi="宋体" w:cs="宋体"/>
                <w:bCs/>
                <w:color w:val="auto"/>
                <w:sz w:val="24"/>
                <w:szCs w:val="24"/>
                <w:highlight w:val="none"/>
              </w:rPr>
            </w:pPr>
            <w:r>
              <w:rPr>
                <w:rFonts w:hint="eastAsia" w:ascii="宋体" w:hAnsi="宋体" w:cs="宋体"/>
                <w:bCs/>
                <w:color w:val="auto"/>
                <w:sz w:val="24"/>
                <w:szCs w:val="24"/>
                <w:highlight w:val="none"/>
              </w:rPr>
              <w:t>补光灯自带光敏控制，在低照度下自动开启，低照度阀值可设；</w:t>
            </w:r>
          </w:p>
          <w:p>
            <w:pPr>
              <w:rPr>
                <w:rFonts w:hint="eastAsia" w:ascii="宋体" w:hAnsi="宋体" w:cs="宋体"/>
                <w:bCs/>
                <w:color w:val="auto"/>
                <w:sz w:val="24"/>
                <w:szCs w:val="24"/>
                <w:highlight w:val="none"/>
              </w:rPr>
            </w:pPr>
            <w:r>
              <w:rPr>
                <w:rFonts w:hint="eastAsia" w:ascii="宋体" w:hAnsi="宋体" w:cs="宋体"/>
                <w:bCs/>
                <w:color w:val="auto"/>
                <w:sz w:val="24"/>
                <w:szCs w:val="24"/>
                <w:highlight w:val="none"/>
              </w:rPr>
              <w:t>防护等级：≥IP66；</w:t>
            </w:r>
          </w:p>
          <w:p>
            <w:pPr>
              <w:rPr>
                <w:rFonts w:hint="eastAsia" w:ascii="宋体" w:hAnsi="宋体" w:cs="宋体"/>
                <w:bCs/>
                <w:color w:val="auto"/>
                <w:sz w:val="24"/>
                <w:szCs w:val="24"/>
                <w:highlight w:val="none"/>
              </w:rPr>
            </w:pPr>
            <w:r>
              <w:rPr>
                <w:rFonts w:hint="eastAsia" w:ascii="宋体" w:hAnsi="宋体" w:cs="宋体"/>
                <w:bCs/>
                <w:color w:val="auto"/>
                <w:sz w:val="24"/>
                <w:szCs w:val="24"/>
                <w:highlight w:val="none"/>
              </w:rPr>
              <w:t>功率：最大60W；</w:t>
            </w:r>
          </w:p>
          <w:p>
            <w:pPr>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支持自闪、跟随、自动频闪模式；</w:t>
            </w:r>
          </w:p>
          <w:p>
            <w:pPr>
              <w:rPr>
                <w:rFonts w:hint="eastAsia" w:ascii="宋体" w:hAnsi="宋体" w:cs="宋体"/>
                <w:bCs/>
                <w:color w:val="auto"/>
                <w:sz w:val="24"/>
                <w:szCs w:val="24"/>
                <w:highlight w:val="none"/>
              </w:rPr>
            </w:pPr>
            <w:r>
              <w:rPr>
                <w:rFonts w:hint="eastAsia" w:ascii="宋体" w:hAnsi="宋体" w:cs="宋体"/>
                <w:bCs/>
                <w:color w:val="auto"/>
                <w:sz w:val="24"/>
                <w:szCs w:val="24"/>
                <w:highlight w:val="none"/>
              </w:rPr>
              <w:t>工作环境-40℃~85℃；</w:t>
            </w:r>
          </w:p>
          <w:p>
            <w:pPr>
              <w:rPr>
                <w:rFonts w:hint="eastAsia" w:ascii="宋体" w:hAnsi="宋体" w:cs="宋体"/>
                <w:bCs/>
                <w:color w:val="auto"/>
                <w:sz w:val="24"/>
                <w:szCs w:val="24"/>
                <w:highlight w:val="none"/>
              </w:rPr>
            </w:pPr>
            <w:r>
              <w:rPr>
                <w:rFonts w:hint="eastAsia" w:ascii="宋体" w:hAnsi="宋体" w:cs="宋体"/>
                <w:bCs/>
                <w:color w:val="auto"/>
                <w:sz w:val="24"/>
                <w:szCs w:val="24"/>
                <w:highlight w:val="none"/>
              </w:rPr>
              <w:t>频率0-250HZ可调；支持通过调整占空比1%~39%进行亮度调节；</w:t>
            </w:r>
          </w:p>
          <w:p>
            <w:pPr>
              <w:rPr>
                <w:rFonts w:hint="eastAsia" w:ascii="宋体" w:hAnsi="宋体" w:cs="宋体"/>
                <w:bCs/>
                <w:color w:val="auto"/>
                <w:sz w:val="24"/>
                <w:szCs w:val="24"/>
                <w:highlight w:val="none"/>
              </w:rPr>
            </w:pPr>
            <w:r>
              <w:rPr>
                <w:rFonts w:hint="eastAsia" w:ascii="宋体" w:hAnsi="宋体" w:cs="宋体"/>
                <w:bCs/>
                <w:color w:val="auto"/>
                <w:sz w:val="24"/>
                <w:szCs w:val="24"/>
                <w:highlight w:val="none"/>
              </w:rPr>
              <w:t>含支架；</w:t>
            </w:r>
          </w:p>
        </w:tc>
        <w:tc>
          <w:tcPr>
            <w:tcW w:w="618" w:type="dxa"/>
            <w:tcBorders>
              <w:top w:val="single" w:color="auto" w:sz="6" w:space="0"/>
              <w:left w:val="nil"/>
              <w:bottom w:val="single" w:color="auto" w:sz="6" w:space="0"/>
              <w:right w:val="single" w:color="auto" w:sz="6" w:space="0"/>
            </w:tcBorders>
            <w:noWrap w:val="0"/>
            <w:vAlign w:val="center"/>
          </w:tcPr>
          <w:p>
            <w:pPr>
              <w:jc w:val="center"/>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300</w:t>
            </w:r>
          </w:p>
        </w:tc>
        <w:tc>
          <w:tcPr>
            <w:tcW w:w="563"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bCs/>
                <w:color w:val="auto"/>
                <w:sz w:val="24"/>
                <w:szCs w:val="24"/>
                <w:highlight w:val="none"/>
                <w:lang w:eastAsia="zh-CN"/>
              </w:rPr>
            </w:pPr>
            <w:r>
              <w:rPr>
                <w:rFonts w:hint="eastAsia" w:hAnsi="宋体" w:cs="宋体"/>
                <w:bCs/>
                <w:color w:val="auto"/>
                <w:sz w:val="24"/>
                <w:szCs w:val="24"/>
                <w:highlight w:val="none"/>
                <w:lang w:eastAsia="zh-CN"/>
              </w:rPr>
              <w:t>个</w:t>
            </w:r>
          </w:p>
        </w:tc>
      </w:tr>
      <w:tr>
        <w:tblPrEx>
          <w:tblCellMar>
            <w:top w:w="0" w:type="dxa"/>
            <w:left w:w="108" w:type="dxa"/>
            <w:bottom w:w="0" w:type="dxa"/>
            <w:right w:w="108" w:type="dxa"/>
          </w:tblCellMar>
        </w:tblPrEx>
        <w:trPr>
          <w:trHeight w:val="1525" w:hRule="atLeast"/>
        </w:trPr>
        <w:tc>
          <w:tcPr>
            <w:tcW w:w="788"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3</w:t>
            </w:r>
          </w:p>
        </w:tc>
        <w:tc>
          <w:tcPr>
            <w:tcW w:w="795"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color w:val="auto"/>
                <w:sz w:val="24"/>
                <w:szCs w:val="24"/>
                <w:highlight w:val="none"/>
                <w:lang w:eastAsia="zh-CN"/>
              </w:rPr>
            </w:pPr>
            <w:r>
              <w:rPr>
                <w:rFonts w:hint="eastAsia" w:ascii="宋体" w:hAnsi="宋体" w:cs="宋体"/>
                <w:color w:val="auto"/>
                <w:sz w:val="24"/>
                <w:szCs w:val="24"/>
                <w:highlight w:val="none"/>
                <w:lang w:bidi="ar"/>
              </w:rPr>
              <w:t>6m立杆</w:t>
            </w:r>
          </w:p>
        </w:tc>
        <w:tc>
          <w:tcPr>
            <w:tcW w:w="6985" w:type="dxa"/>
            <w:tcBorders>
              <w:top w:val="single" w:color="auto" w:sz="6" w:space="0"/>
              <w:left w:val="nil"/>
              <w:bottom w:val="single" w:color="auto" w:sz="6" w:space="0"/>
              <w:right w:val="single" w:color="auto" w:sz="6" w:space="0"/>
            </w:tcBorders>
            <w:noWrap w:val="0"/>
            <w:vAlign w:val="center"/>
          </w:tcPr>
          <w:p>
            <w:pPr>
              <w:numPr>
                <w:ilvl w:val="0"/>
                <w:numId w:val="0"/>
              </w:numPr>
              <w:textAlignment w:val="center"/>
              <w:rPr>
                <w:rFonts w:hint="eastAsia"/>
                <w:lang w:eastAsia="zh-CN"/>
              </w:rPr>
            </w:pPr>
            <w:r>
              <w:rPr>
                <w:rFonts w:hint="eastAsia"/>
                <w:lang w:val="en-US" w:eastAsia="zh-CN"/>
              </w:rPr>
              <w:t>1、</w:t>
            </w:r>
            <w:r>
              <w:rPr>
                <w:rFonts w:hint="eastAsia"/>
              </w:rPr>
              <w:t>国标热镀锌优质八棱金属杆，钢材材质均为Q235，6m，立杆大口径240mm，小口径180mm，壁厚6mm</w:t>
            </w:r>
            <w:r>
              <w:rPr>
                <w:rFonts w:hint="eastAsia"/>
                <w:lang w:eastAsia="zh-CN"/>
              </w:rPr>
              <w:t>。包含以下内容</w:t>
            </w:r>
          </w:p>
          <w:p>
            <w:pPr>
              <w:numPr>
                <w:ilvl w:val="0"/>
                <w:numId w:val="0"/>
              </w:numPr>
              <w:textAlignment w:val="center"/>
              <w:rPr>
                <w:rFonts w:hint="eastAsia"/>
                <w:lang w:eastAsia="zh-CN"/>
              </w:rPr>
            </w:pPr>
            <w:r>
              <w:rPr>
                <w:rFonts w:hint="eastAsia"/>
                <w:lang w:val="en-US" w:eastAsia="zh-CN"/>
              </w:rPr>
              <w:t>2、</w:t>
            </w:r>
            <w:r>
              <w:rPr>
                <w:rFonts w:hint="eastAsia"/>
                <w:lang w:eastAsia="zh-CN"/>
              </w:rPr>
              <w:t>6m立杆横臂（国标热镀锌，6m横臂大口径170mm，小口径80mm，壁厚4mm）</w:t>
            </w:r>
          </w:p>
          <w:p>
            <w:pPr>
              <w:pStyle w:val="2"/>
              <w:numPr>
                <w:ilvl w:val="0"/>
                <w:numId w:val="0"/>
              </w:numPr>
              <w:tabs>
                <w:tab w:val="left" w:pos="406"/>
              </w:tabs>
              <w:ind w:leftChars="0"/>
              <w:rPr>
                <w:rFonts w:hint="eastAsia" w:ascii="宋体" w:hAnsi="Times New Roman" w:eastAsia="宋体" w:cs="Times New Roman"/>
                <w:sz w:val="24"/>
                <w:szCs w:val="20"/>
                <w:lang w:val="en-US" w:eastAsia="zh-CN" w:bidi="ar-SA"/>
              </w:rPr>
            </w:pPr>
            <w:r>
              <w:rPr>
                <w:rFonts w:hint="eastAsia" w:ascii="宋体" w:hAnsi="Times New Roman" w:eastAsia="宋体" w:cs="Times New Roman"/>
                <w:sz w:val="24"/>
                <w:szCs w:val="20"/>
                <w:lang w:val="en-US" w:eastAsia="zh-CN" w:bidi="ar-SA"/>
              </w:rPr>
              <w:t>3、杆基坑（混凝土C25，开挖尺寸为1m*1m*1.5m）</w:t>
            </w:r>
          </w:p>
          <w:p>
            <w:pPr>
              <w:pStyle w:val="4"/>
              <w:numPr>
                <w:ilvl w:val="0"/>
                <w:numId w:val="0"/>
              </w:numPr>
              <w:ind w:leftChars="0"/>
              <w:rPr>
                <w:rFonts w:hint="eastAsia" w:ascii="宋体" w:hAnsi="Times New Roman" w:eastAsia="宋体" w:cs="Times New Roman"/>
                <w:sz w:val="24"/>
                <w:szCs w:val="20"/>
                <w:lang w:val="en-US" w:eastAsia="zh-CN" w:bidi="ar-SA"/>
              </w:rPr>
            </w:pPr>
            <w:r>
              <w:rPr>
                <w:rFonts w:hint="eastAsia" w:ascii="宋体" w:hAnsi="Times New Roman" w:eastAsia="宋体" w:cs="Times New Roman"/>
                <w:sz w:val="24"/>
                <w:szCs w:val="20"/>
                <w:lang w:val="en-US" w:eastAsia="zh-CN" w:bidi="ar-SA"/>
              </w:rPr>
              <w:t>4、基坑路面恢复</w:t>
            </w:r>
          </w:p>
          <w:p>
            <w:pPr>
              <w:rPr>
                <w:rFonts w:hint="eastAsia" w:ascii="宋体" w:hAnsi="宋体" w:cs="宋体"/>
                <w:bCs/>
                <w:color w:val="auto"/>
                <w:sz w:val="24"/>
                <w:szCs w:val="24"/>
                <w:highlight w:val="none"/>
              </w:rPr>
            </w:pPr>
            <w:r>
              <w:rPr>
                <w:rFonts w:hint="eastAsia" w:ascii="宋体" w:hAnsi="Times New Roman" w:eastAsia="宋体" w:cs="Times New Roman"/>
                <w:sz w:val="24"/>
                <w:szCs w:val="20"/>
                <w:lang w:val="en-US" w:eastAsia="zh-CN" w:bidi="ar-SA"/>
              </w:rPr>
              <w:t>5、杆体反光条</w:t>
            </w:r>
          </w:p>
        </w:tc>
        <w:tc>
          <w:tcPr>
            <w:tcW w:w="618" w:type="dxa"/>
            <w:tcBorders>
              <w:top w:val="single" w:color="auto" w:sz="6" w:space="0"/>
              <w:left w:val="nil"/>
              <w:bottom w:val="single" w:color="auto" w:sz="6" w:space="0"/>
              <w:right w:val="single" w:color="auto" w:sz="6" w:space="0"/>
            </w:tcBorders>
            <w:noWrap w:val="0"/>
            <w:vAlign w:val="center"/>
          </w:tcPr>
          <w:p>
            <w:pPr>
              <w:jc w:val="center"/>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150</w:t>
            </w:r>
          </w:p>
        </w:tc>
        <w:tc>
          <w:tcPr>
            <w:tcW w:w="563"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bCs/>
                <w:color w:val="auto"/>
                <w:sz w:val="24"/>
                <w:szCs w:val="24"/>
                <w:highlight w:val="none"/>
                <w:lang w:eastAsia="zh-CN"/>
              </w:rPr>
            </w:pPr>
            <w:r>
              <w:rPr>
                <w:rFonts w:hint="eastAsia" w:hAnsi="宋体" w:cs="宋体"/>
                <w:bCs/>
                <w:color w:val="auto"/>
                <w:sz w:val="24"/>
                <w:szCs w:val="24"/>
                <w:highlight w:val="none"/>
                <w:lang w:eastAsia="zh-CN"/>
              </w:rPr>
              <w:t>套</w:t>
            </w:r>
          </w:p>
        </w:tc>
      </w:tr>
      <w:tr>
        <w:tblPrEx>
          <w:tblCellMar>
            <w:top w:w="0" w:type="dxa"/>
            <w:left w:w="108" w:type="dxa"/>
            <w:bottom w:w="0" w:type="dxa"/>
            <w:right w:w="108" w:type="dxa"/>
          </w:tblCellMar>
        </w:tblPrEx>
        <w:trPr>
          <w:trHeight w:val="1525" w:hRule="atLeast"/>
        </w:trPr>
        <w:tc>
          <w:tcPr>
            <w:tcW w:w="788"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lang w:val="en-US" w:eastAsia="zh-CN"/>
              </w:rPr>
            </w:pPr>
          </w:p>
          <w:p>
            <w:pPr>
              <w:pStyle w:val="2"/>
              <w:rPr>
                <w:rFonts w:hint="default"/>
                <w:lang w:val="en-US" w:eastAsia="zh-CN"/>
              </w:rPr>
            </w:pPr>
            <w:r>
              <w:rPr>
                <w:rFonts w:hint="eastAsia" w:hAnsi="宋体" w:cs="宋体"/>
                <w:bCs/>
                <w:color w:val="auto"/>
                <w:sz w:val="24"/>
                <w:szCs w:val="24"/>
                <w:highlight w:val="none"/>
                <w:lang w:val="en-US" w:eastAsia="zh-CN" w:bidi="ar"/>
              </w:rPr>
              <w:t>4</w:t>
            </w:r>
          </w:p>
        </w:tc>
        <w:tc>
          <w:tcPr>
            <w:tcW w:w="795" w:type="dxa"/>
            <w:tcBorders>
              <w:top w:val="single" w:color="auto" w:sz="6" w:space="0"/>
              <w:left w:val="nil"/>
              <w:bottom w:val="single" w:color="auto" w:sz="6" w:space="0"/>
              <w:right w:val="single" w:color="auto" w:sz="6" w:space="0"/>
            </w:tcBorders>
            <w:noWrap w:val="0"/>
            <w:vAlign w:val="center"/>
          </w:tcPr>
          <w:p>
            <w:pPr>
              <w:jc w:val="center"/>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智能运维箱</w:t>
            </w:r>
          </w:p>
        </w:tc>
        <w:tc>
          <w:tcPr>
            <w:tcW w:w="6985" w:type="dxa"/>
            <w:tcBorders>
              <w:top w:val="single" w:color="auto" w:sz="6" w:space="0"/>
              <w:left w:val="nil"/>
              <w:bottom w:val="single" w:color="auto" w:sz="6" w:space="0"/>
              <w:right w:val="single" w:color="auto" w:sz="6" w:space="0"/>
            </w:tcBorders>
            <w:noWrap w:val="0"/>
            <w:vAlign w:val="center"/>
          </w:tcPr>
          <w:p>
            <w:pPr>
              <w:rPr>
                <w:rFonts w:hint="eastAsia" w:ascii="宋体" w:hAnsi="Times New Roman" w:eastAsia="宋体" w:cs="Times New Roman"/>
                <w:sz w:val="24"/>
                <w:szCs w:val="20"/>
                <w:lang w:val="en-US" w:eastAsia="zh-CN" w:bidi="ar-SA"/>
              </w:rPr>
            </w:pPr>
            <w:r>
              <w:rPr>
                <w:rFonts w:hint="eastAsia" w:ascii="宋体" w:hAnsi="Times New Roman" w:eastAsia="宋体" w:cs="Times New Roman"/>
                <w:sz w:val="24"/>
                <w:szCs w:val="20"/>
                <w:lang w:val="en-US" w:eastAsia="zh-CN" w:bidi="ar-SA"/>
              </w:rPr>
              <w:t>1、设备箱高*宽*深不低于500*400*200mm、箱体厚度不低于1.0mm，箱体内配置空开、防雷器、过欠压保护器，百兆网口不低于4个，电源插座不低于6路；</w:t>
            </w:r>
          </w:p>
          <w:p>
            <w:pPr>
              <w:rPr>
                <w:rFonts w:hint="eastAsia" w:ascii="宋体" w:hAnsi="Times New Roman" w:eastAsia="宋体" w:cs="Times New Roman"/>
                <w:sz w:val="24"/>
                <w:szCs w:val="20"/>
                <w:lang w:val="en-US" w:eastAsia="zh-CN" w:bidi="ar-SA"/>
              </w:rPr>
            </w:pPr>
            <w:r>
              <w:rPr>
                <w:rFonts w:hint="eastAsia" w:ascii="宋体" w:hAnsi="Times New Roman" w:eastAsia="宋体" w:cs="Times New Roman"/>
                <w:sz w:val="24"/>
                <w:szCs w:val="20"/>
                <w:lang w:val="en-US" w:eastAsia="zh-CN" w:bidi="ar-SA"/>
              </w:rPr>
              <w:t>2、设备箱自身不占用视频专网IP地址，故障信息通过4G回传，4G接口需与视频专网隔离；</w:t>
            </w:r>
          </w:p>
          <w:p>
            <w:pPr>
              <w:rPr>
                <w:rFonts w:hint="eastAsia" w:ascii="宋体" w:hAnsi="Times New Roman" w:eastAsia="宋体" w:cs="Times New Roman"/>
                <w:sz w:val="24"/>
                <w:szCs w:val="20"/>
                <w:lang w:val="en-US" w:eastAsia="zh-CN" w:bidi="ar-SA"/>
              </w:rPr>
            </w:pPr>
            <w:r>
              <w:rPr>
                <w:rFonts w:hint="eastAsia" w:ascii="宋体" w:hAnsi="Times New Roman" w:eastAsia="宋体" w:cs="Times New Roman"/>
                <w:sz w:val="24"/>
                <w:szCs w:val="20"/>
                <w:lang w:val="en-US" w:eastAsia="zh-CN" w:bidi="ar-SA"/>
              </w:rPr>
              <w:t>3、支持设备、网络、电力故障检测，故障信息告警方式支持网页弹窗、邮箱、短信、微信小程序等多种方式，断电断网情况下故障信息可正常回传；</w:t>
            </w:r>
          </w:p>
          <w:p>
            <w:pPr>
              <w:rPr>
                <w:rFonts w:hint="eastAsia" w:ascii="宋体" w:hAnsi="Times New Roman" w:eastAsia="宋体" w:cs="Times New Roman"/>
                <w:sz w:val="24"/>
                <w:szCs w:val="20"/>
                <w:lang w:val="en-US" w:eastAsia="zh-CN" w:bidi="ar-SA"/>
              </w:rPr>
            </w:pPr>
            <w:r>
              <w:rPr>
                <w:rFonts w:hint="eastAsia" w:ascii="宋体" w:hAnsi="Times New Roman" w:eastAsia="宋体" w:cs="Times New Roman"/>
                <w:sz w:val="24"/>
                <w:szCs w:val="20"/>
                <w:lang w:val="en-US" w:eastAsia="zh-CN" w:bidi="ar-SA"/>
              </w:rPr>
              <w:t>4、故障信息可通过微信小程序通知到运维人员，支持根据故障类型推送故障信息至不同工种的运维人员，小程序支持根据点位经纬度信息导航至故障点位，多个运维人员可抢同一故障通知单对故障单进行维护；</w:t>
            </w:r>
          </w:p>
          <w:p>
            <w:pPr>
              <w:rPr>
                <w:rFonts w:hint="eastAsia" w:ascii="宋体" w:hAnsi="Times New Roman" w:eastAsia="宋体" w:cs="Times New Roman"/>
                <w:sz w:val="24"/>
                <w:szCs w:val="20"/>
                <w:lang w:val="en-US" w:eastAsia="zh-CN" w:bidi="ar-SA"/>
              </w:rPr>
            </w:pPr>
            <w:r>
              <w:rPr>
                <w:rFonts w:hint="eastAsia" w:ascii="宋体" w:hAnsi="Times New Roman" w:eastAsia="宋体" w:cs="Times New Roman"/>
                <w:sz w:val="24"/>
                <w:szCs w:val="20"/>
                <w:lang w:val="en-US" w:eastAsia="zh-CN" w:bidi="ar-SA"/>
              </w:rPr>
              <w:t>5、支持远程电源管控、网络协议端口管控、物理网口管控、摄像机准入控制</w:t>
            </w:r>
          </w:p>
          <w:p>
            <w:pPr>
              <w:rPr>
                <w:rFonts w:hint="eastAsia" w:ascii="宋体" w:hAnsi="Times New Roman" w:eastAsia="宋体" w:cs="Times New Roman"/>
                <w:sz w:val="24"/>
                <w:szCs w:val="20"/>
                <w:lang w:val="en-US" w:eastAsia="zh-CN" w:bidi="ar-SA"/>
              </w:rPr>
            </w:pPr>
            <w:r>
              <w:rPr>
                <w:rFonts w:hint="eastAsia" w:ascii="宋体" w:hAnsi="Times New Roman" w:eastAsia="宋体" w:cs="Times New Roman"/>
                <w:sz w:val="24"/>
                <w:szCs w:val="20"/>
                <w:lang w:val="en-US" w:eastAsia="zh-CN" w:bidi="ar-SA"/>
              </w:rPr>
              <w:t>6、含5年4G流量卡。</w:t>
            </w:r>
          </w:p>
        </w:tc>
        <w:tc>
          <w:tcPr>
            <w:tcW w:w="618" w:type="dxa"/>
            <w:tcBorders>
              <w:top w:val="single" w:color="auto" w:sz="6" w:space="0"/>
              <w:left w:val="nil"/>
              <w:bottom w:val="single" w:color="auto" w:sz="6" w:space="0"/>
              <w:right w:val="single" w:color="auto" w:sz="6" w:space="0"/>
            </w:tcBorders>
            <w:noWrap w:val="0"/>
            <w:vAlign w:val="center"/>
          </w:tcPr>
          <w:p>
            <w:pPr>
              <w:jc w:val="center"/>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150</w:t>
            </w:r>
          </w:p>
        </w:tc>
        <w:tc>
          <w:tcPr>
            <w:tcW w:w="563"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bCs/>
                <w:color w:val="auto"/>
                <w:sz w:val="24"/>
                <w:szCs w:val="24"/>
                <w:highlight w:val="none"/>
                <w:lang w:eastAsia="zh-CN"/>
              </w:rPr>
            </w:pPr>
            <w:r>
              <w:rPr>
                <w:rFonts w:hint="eastAsia" w:hAnsi="宋体" w:cs="宋体"/>
                <w:bCs/>
                <w:color w:val="auto"/>
                <w:sz w:val="24"/>
                <w:szCs w:val="24"/>
                <w:highlight w:val="none"/>
                <w:lang w:eastAsia="zh-CN"/>
              </w:rPr>
              <w:t>套</w:t>
            </w:r>
          </w:p>
        </w:tc>
      </w:tr>
      <w:tr>
        <w:tblPrEx>
          <w:tblCellMar>
            <w:top w:w="0" w:type="dxa"/>
            <w:left w:w="108" w:type="dxa"/>
            <w:bottom w:w="0" w:type="dxa"/>
            <w:right w:w="108" w:type="dxa"/>
          </w:tblCellMar>
        </w:tblPrEx>
        <w:trPr>
          <w:trHeight w:val="1525" w:hRule="atLeast"/>
        </w:trPr>
        <w:tc>
          <w:tcPr>
            <w:tcW w:w="788" w:type="dxa"/>
            <w:tcBorders>
              <w:top w:val="single" w:color="auto" w:sz="6" w:space="0"/>
              <w:left w:val="single" w:color="auto" w:sz="6" w:space="0"/>
              <w:bottom w:val="single" w:color="auto" w:sz="6" w:space="0"/>
              <w:right w:val="single" w:color="auto" w:sz="6" w:space="0"/>
            </w:tcBorders>
            <w:noWrap w:val="0"/>
            <w:vAlign w:val="center"/>
          </w:tcPr>
          <w:p>
            <w:pPr>
              <w:pStyle w:val="2"/>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5</w:t>
            </w:r>
          </w:p>
        </w:tc>
        <w:tc>
          <w:tcPr>
            <w:tcW w:w="795" w:type="dxa"/>
            <w:tcBorders>
              <w:top w:val="single" w:color="auto" w:sz="6" w:space="0"/>
              <w:left w:val="nil"/>
              <w:bottom w:val="single" w:color="auto" w:sz="6" w:space="0"/>
              <w:right w:val="single" w:color="auto" w:sz="6" w:space="0"/>
            </w:tcBorders>
            <w:noWrap w:val="0"/>
            <w:vAlign w:val="center"/>
          </w:tcPr>
          <w:p>
            <w:pPr>
              <w:jc w:val="center"/>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标识标牌</w:t>
            </w:r>
          </w:p>
        </w:tc>
        <w:tc>
          <w:tcPr>
            <w:tcW w:w="6985" w:type="dxa"/>
            <w:tcBorders>
              <w:top w:val="single" w:color="auto" w:sz="6" w:space="0"/>
              <w:left w:val="nil"/>
              <w:bottom w:val="single" w:color="auto" w:sz="6" w:space="0"/>
              <w:right w:val="single" w:color="auto" w:sz="6" w:space="0"/>
            </w:tcBorders>
            <w:noWrap w:val="0"/>
            <w:vAlign w:val="center"/>
          </w:tcPr>
          <w:p>
            <w:pPr>
              <w:rPr>
                <w:rFonts w:hint="eastAsia" w:ascii="宋体" w:hAnsi="Times New Roman" w:eastAsia="宋体" w:cs="Times New Roman"/>
                <w:sz w:val="24"/>
                <w:szCs w:val="20"/>
                <w:lang w:val="en-US" w:eastAsia="zh-CN" w:bidi="ar-SA"/>
              </w:rPr>
            </w:pPr>
            <w:r>
              <w:rPr>
                <w:rFonts w:hint="eastAsia" w:ascii="宋体" w:hAnsi="Times New Roman" w:eastAsia="宋体" w:cs="Times New Roman"/>
                <w:sz w:val="24"/>
                <w:szCs w:val="20"/>
                <w:lang w:val="en-US" w:eastAsia="zh-CN" w:bidi="ar-SA"/>
              </w:rPr>
              <w:t>外喷项目定制LOGO及文字，编号根据标准统一编制，采用金属贴牌固定于箱体上，设备接线图</w:t>
            </w:r>
          </w:p>
        </w:tc>
        <w:tc>
          <w:tcPr>
            <w:tcW w:w="618" w:type="dxa"/>
            <w:tcBorders>
              <w:top w:val="single" w:color="auto" w:sz="6" w:space="0"/>
              <w:left w:val="nil"/>
              <w:bottom w:val="single" w:color="auto" w:sz="6" w:space="0"/>
              <w:right w:val="single" w:color="auto" w:sz="6" w:space="0"/>
            </w:tcBorders>
            <w:noWrap w:val="0"/>
            <w:vAlign w:val="center"/>
          </w:tcPr>
          <w:p>
            <w:pPr>
              <w:jc w:val="center"/>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150</w:t>
            </w:r>
          </w:p>
        </w:tc>
        <w:tc>
          <w:tcPr>
            <w:tcW w:w="563"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bCs/>
                <w:color w:val="auto"/>
                <w:sz w:val="24"/>
                <w:szCs w:val="24"/>
                <w:highlight w:val="none"/>
                <w:lang w:eastAsia="zh-CN"/>
              </w:rPr>
            </w:pPr>
            <w:r>
              <w:rPr>
                <w:rFonts w:hint="eastAsia" w:hAnsi="宋体" w:cs="宋体"/>
                <w:bCs/>
                <w:color w:val="auto"/>
                <w:sz w:val="24"/>
                <w:szCs w:val="24"/>
                <w:highlight w:val="none"/>
                <w:lang w:eastAsia="zh-CN"/>
              </w:rPr>
              <w:t>套</w:t>
            </w:r>
          </w:p>
        </w:tc>
      </w:tr>
      <w:tr>
        <w:tblPrEx>
          <w:tblCellMar>
            <w:top w:w="0" w:type="dxa"/>
            <w:left w:w="108" w:type="dxa"/>
            <w:bottom w:w="0" w:type="dxa"/>
            <w:right w:w="108" w:type="dxa"/>
          </w:tblCellMar>
        </w:tblPrEx>
        <w:trPr>
          <w:trHeight w:val="1525" w:hRule="atLeast"/>
        </w:trPr>
        <w:tc>
          <w:tcPr>
            <w:tcW w:w="788" w:type="dxa"/>
            <w:tcBorders>
              <w:top w:val="single" w:color="auto" w:sz="6" w:space="0"/>
              <w:left w:val="single" w:color="auto" w:sz="6" w:space="0"/>
              <w:bottom w:val="single" w:color="auto" w:sz="6" w:space="0"/>
              <w:right w:val="single" w:color="auto" w:sz="6" w:space="0"/>
            </w:tcBorders>
            <w:noWrap w:val="0"/>
            <w:vAlign w:val="center"/>
          </w:tcPr>
          <w:p>
            <w:pPr>
              <w:pStyle w:val="2"/>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6</w:t>
            </w:r>
          </w:p>
        </w:tc>
        <w:tc>
          <w:tcPr>
            <w:tcW w:w="795" w:type="dxa"/>
            <w:tcBorders>
              <w:top w:val="single" w:color="auto" w:sz="6" w:space="0"/>
              <w:left w:val="nil"/>
              <w:bottom w:val="single" w:color="auto" w:sz="6" w:space="0"/>
              <w:right w:val="single" w:color="auto" w:sz="6" w:space="0"/>
            </w:tcBorders>
            <w:noWrap w:val="0"/>
            <w:vAlign w:val="center"/>
          </w:tcPr>
          <w:p>
            <w:pPr>
              <w:jc w:val="center"/>
              <w:rPr>
                <w:rFonts w:hint="eastAsia" w:ascii="宋体" w:hAnsi="宋体" w:cs="宋体"/>
                <w:color w:val="auto"/>
                <w:sz w:val="24"/>
                <w:szCs w:val="24"/>
                <w:highlight w:val="none"/>
                <w:lang w:bidi="ar"/>
              </w:rPr>
            </w:pPr>
            <w:r>
              <w:rPr>
                <w:rFonts w:hint="eastAsia" w:hAnsi="宋体" w:cs="宋体"/>
                <w:color w:val="auto"/>
                <w:sz w:val="24"/>
                <w:szCs w:val="24"/>
                <w:highlight w:val="none"/>
                <w:lang w:eastAsia="zh-CN" w:bidi="ar"/>
              </w:rPr>
              <w:t>防雷接地</w:t>
            </w:r>
          </w:p>
        </w:tc>
        <w:tc>
          <w:tcPr>
            <w:tcW w:w="6985" w:type="dxa"/>
            <w:tcBorders>
              <w:top w:val="single" w:color="auto" w:sz="6" w:space="0"/>
              <w:left w:val="nil"/>
              <w:bottom w:val="single" w:color="auto" w:sz="6" w:space="0"/>
              <w:right w:val="single" w:color="auto" w:sz="6" w:space="0"/>
            </w:tcBorders>
            <w:noWrap w:val="0"/>
            <w:vAlign w:val="center"/>
          </w:tcPr>
          <w:p>
            <w:pPr>
              <w:numPr>
                <w:ilvl w:val="0"/>
                <w:numId w:val="0"/>
              </w:numPr>
              <w:rPr>
                <w:rFonts w:hint="eastAsia"/>
                <w:lang w:val="en-US" w:eastAsia="zh-CN"/>
              </w:rPr>
            </w:pPr>
            <w:r>
              <w:rPr>
                <w:rFonts w:hint="eastAsia"/>
                <w:lang w:val="en-US" w:eastAsia="zh-CN"/>
              </w:rPr>
              <w:t>1、接地极50*50*5mm角铁*1.5m+40*4mm扁铁*1.5m，降阻剂，</w:t>
            </w:r>
          </w:p>
          <w:p>
            <w:pPr>
              <w:pStyle w:val="2"/>
              <w:numPr>
                <w:ilvl w:val="0"/>
                <w:numId w:val="0"/>
              </w:numPr>
              <w:ind w:leftChars="0"/>
              <w:rPr>
                <w:rFonts w:hint="eastAsia" w:ascii="宋体" w:hAnsi="Times New Roman" w:eastAsia="宋体" w:cs="Times New Roman"/>
                <w:sz w:val="24"/>
                <w:szCs w:val="20"/>
                <w:lang w:val="en-US" w:eastAsia="zh-CN" w:bidi="ar-SA"/>
              </w:rPr>
            </w:pPr>
            <w:r>
              <w:rPr>
                <w:rFonts w:hint="eastAsia" w:ascii="宋体" w:cs="Times New Roman"/>
                <w:sz w:val="24"/>
                <w:szCs w:val="20"/>
                <w:lang w:val="en-US" w:eastAsia="zh-CN" w:bidi="ar-SA"/>
              </w:rPr>
              <w:t>2、</w:t>
            </w:r>
            <w:r>
              <w:rPr>
                <w:rFonts w:hint="eastAsia" w:ascii="宋体" w:hAnsi="Times New Roman" w:eastAsia="宋体" w:cs="Times New Roman"/>
                <w:sz w:val="24"/>
                <w:szCs w:val="20"/>
                <w:lang w:val="en-US" w:eastAsia="zh-CN" w:bidi="ar-SA"/>
              </w:rPr>
              <w:t>接地镀锌钢管φ40,2mm，每个点6m，含固定不锈钢管抱箍</w:t>
            </w:r>
          </w:p>
          <w:p>
            <w:pPr>
              <w:pStyle w:val="4"/>
              <w:numPr>
                <w:ilvl w:val="0"/>
                <w:numId w:val="0"/>
              </w:numPr>
              <w:ind w:leftChars="0"/>
              <w:rPr>
                <w:rFonts w:hint="default" w:ascii="宋体" w:hAnsi="Times New Roman" w:eastAsia="宋体" w:cs="Times New Roman"/>
                <w:sz w:val="24"/>
                <w:szCs w:val="20"/>
                <w:lang w:val="en-US" w:eastAsia="zh-CN" w:bidi="ar-SA"/>
              </w:rPr>
            </w:pPr>
            <w:r>
              <w:rPr>
                <w:rFonts w:hint="eastAsia" w:cs="Times New Roman"/>
                <w:sz w:val="24"/>
                <w:szCs w:val="20"/>
                <w:lang w:val="en-US" w:eastAsia="zh-CN" w:bidi="ar-SA"/>
              </w:rPr>
              <w:t>3、</w:t>
            </w:r>
            <w:r>
              <w:rPr>
                <w:rFonts w:hint="eastAsia" w:ascii="宋体" w:hAnsi="Times New Roman" w:eastAsia="宋体" w:cs="Times New Roman"/>
                <w:sz w:val="24"/>
                <w:szCs w:val="20"/>
                <w:lang w:val="en-US" w:eastAsia="zh-CN" w:bidi="ar-SA"/>
              </w:rPr>
              <w:t>接地线国标BVR 16mm²，长度4m</w:t>
            </w:r>
          </w:p>
          <w:p>
            <w:pPr>
              <w:rPr>
                <w:rFonts w:hint="eastAsia" w:ascii="宋体" w:hAnsi="Times New Roman" w:eastAsia="宋体" w:cs="Times New Roman"/>
                <w:sz w:val="24"/>
                <w:szCs w:val="20"/>
                <w:lang w:val="en-US" w:eastAsia="zh-CN" w:bidi="ar-SA"/>
              </w:rPr>
            </w:pPr>
            <w:r>
              <w:rPr>
                <w:rFonts w:hint="eastAsia" w:ascii="宋体" w:hAnsi="Times New Roman" w:eastAsia="宋体" w:cs="Times New Roman"/>
                <w:sz w:val="24"/>
                <w:szCs w:val="20"/>
                <w:lang w:val="en-US" w:eastAsia="zh-CN" w:bidi="ar-SA"/>
              </w:rPr>
              <w:t>4、接地线螺丝M10*30mm，带螺母</w:t>
            </w:r>
          </w:p>
        </w:tc>
        <w:tc>
          <w:tcPr>
            <w:tcW w:w="618"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bCs/>
                <w:color w:val="auto"/>
                <w:sz w:val="24"/>
                <w:szCs w:val="24"/>
                <w:highlight w:val="none"/>
                <w:lang w:val="en-US" w:eastAsia="zh-CN" w:bidi="ar"/>
              </w:rPr>
            </w:pPr>
            <w:r>
              <w:rPr>
                <w:rFonts w:hint="eastAsia" w:ascii="宋体" w:hAnsi="宋体" w:cs="宋体"/>
                <w:bCs/>
                <w:color w:val="auto"/>
                <w:sz w:val="24"/>
                <w:szCs w:val="24"/>
                <w:highlight w:val="none"/>
                <w:lang w:bidi="ar"/>
              </w:rPr>
              <w:t>1</w:t>
            </w:r>
            <w:r>
              <w:rPr>
                <w:rFonts w:hint="eastAsia" w:hAnsi="宋体" w:cs="宋体"/>
                <w:bCs/>
                <w:color w:val="auto"/>
                <w:sz w:val="24"/>
                <w:szCs w:val="24"/>
                <w:highlight w:val="none"/>
                <w:lang w:val="en-US" w:eastAsia="zh-CN" w:bidi="ar"/>
              </w:rPr>
              <w:t>50</w:t>
            </w:r>
          </w:p>
        </w:tc>
        <w:tc>
          <w:tcPr>
            <w:tcW w:w="563"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bCs/>
                <w:color w:val="auto"/>
                <w:sz w:val="24"/>
                <w:szCs w:val="24"/>
                <w:highlight w:val="none"/>
                <w:lang w:eastAsia="zh-CN"/>
              </w:rPr>
            </w:pPr>
            <w:r>
              <w:rPr>
                <w:rFonts w:hint="eastAsia" w:hAnsi="宋体" w:cs="宋体"/>
                <w:bCs/>
                <w:color w:val="auto"/>
                <w:sz w:val="24"/>
                <w:szCs w:val="24"/>
                <w:highlight w:val="none"/>
                <w:lang w:eastAsia="zh-CN" w:bidi="ar"/>
              </w:rPr>
              <w:t>套</w:t>
            </w:r>
          </w:p>
        </w:tc>
      </w:tr>
      <w:tr>
        <w:tblPrEx>
          <w:tblCellMar>
            <w:top w:w="0" w:type="dxa"/>
            <w:left w:w="108" w:type="dxa"/>
            <w:bottom w:w="0" w:type="dxa"/>
            <w:right w:w="108" w:type="dxa"/>
          </w:tblCellMar>
        </w:tblPrEx>
        <w:trPr>
          <w:trHeight w:val="1525" w:hRule="atLeast"/>
        </w:trPr>
        <w:tc>
          <w:tcPr>
            <w:tcW w:w="788" w:type="dxa"/>
            <w:tcBorders>
              <w:top w:val="single" w:color="auto" w:sz="6" w:space="0"/>
              <w:left w:val="single" w:color="auto" w:sz="6" w:space="0"/>
              <w:bottom w:val="single" w:color="auto" w:sz="6" w:space="0"/>
              <w:right w:val="single" w:color="auto" w:sz="6" w:space="0"/>
            </w:tcBorders>
            <w:noWrap w:val="0"/>
            <w:vAlign w:val="center"/>
          </w:tcPr>
          <w:p>
            <w:pPr>
              <w:pStyle w:val="2"/>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7</w:t>
            </w:r>
          </w:p>
        </w:tc>
        <w:tc>
          <w:tcPr>
            <w:tcW w:w="795"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color w:val="auto"/>
                <w:sz w:val="24"/>
                <w:szCs w:val="24"/>
                <w:highlight w:val="none"/>
                <w:lang w:eastAsia="zh-CN" w:bidi="ar"/>
              </w:rPr>
            </w:pPr>
            <w:r>
              <w:rPr>
                <w:rFonts w:hint="eastAsia" w:hAnsi="宋体" w:cs="宋体"/>
                <w:color w:val="auto"/>
                <w:sz w:val="24"/>
                <w:szCs w:val="24"/>
                <w:highlight w:val="none"/>
                <w:lang w:eastAsia="zh-CN" w:bidi="ar"/>
              </w:rPr>
              <w:t>辅材</w:t>
            </w:r>
          </w:p>
        </w:tc>
        <w:tc>
          <w:tcPr>
            <w:tcW w:w="6985"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40" w:lineRule="exact"/>
              <w:textAlignment w:val="auto"/>
              <w:rPr>
                <w:rFonts w:hint="eastAsia"/>
                <w:lang w:val="en-US" w:eastAsia="zh-CN"/>
              </w:rPr>
            </w:pPr>
            <w:r>
              <w:rPr>
                <w:rFonts w:hint="eastAsia"/>
                <w:lang w:val="en-US" w:eastAsia="zh-CN"/>
              </w:rPr>
              <w:t>1、终端电源线（国标RVV3*1.0mm²，每个摄像机11m，运维箱到摄像机）</w:t>
            </w:r>
          </w:p>
          <w:p>
            <w:pPr>
              <w:keepNext w:val="0"/>
              <w:keepLines w:val="0"/>
              <w:pageBreakBefore w:val="0"/>
              <w:widowControl/>
              <w:numPr>
                <w:ilvl w:val="0"/>
                <w:numId w:val="0"/>
              </w:numPr>
              <w:kinsoku/>
              <w:wordWrap/>
              <w:overflowPunct/>
              <w:topLinePunct w:val="0"/>
              <w:autoSpaceDE/>
              <w:autoSpaceDN/>
              <w:bidi w:val="0"/>
              <w:adjustRightInd/>
              <w:snapToGrid/>
              <w:spacing w:line="340" w:lineRule="exact"/>
              <w:textAlignment w:val="auto"/>
              <w:rPr>
                <w:rFonts w:hint="eastAsia"/>
                <w:lang w:val="en-US" w:eastAsia="zh-CN"/>
              </w:rPr>
            </w:pPr>
            <w:r>
              <w:rPr>
                <w:rFonts w:hint="eastAsia"/>
                <w:lang w:val="en-US" w:eastAsia="zh-CN"/>
              </w:rPr>
              <w:t>2、超五类非屏蔽双绞线,每个摄像机12m</w:t>
            </w:r>
          </w:p>
          <w:p>
            <w:pPr>
              <w:keepNext w:val="0"/>
              <w:keepLines w:val="0"/>
              <w:pageBreakBefore w:val="0"/>
              <w:widowControl/>
              <w:numPr>
                <w:ilvl w:val="0"/>
                <w:numId w:val="0"/>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3、</w:t>
            </w:r>
            <w:r>
              <w:rPr>
                <w:rFonts w:hint="default"/>
                <w:lang w:val="en-US" w:eastAsia="zh-CN"/>
              </w:rPr>
              <w:t xml:space="preserve">超五类跳线50cm，二合一防雷器到ONU设备 </w:t>
            </w:r>
          </w:p>
          <w:p>
            <w:pPr>
              <w:keepNext w:val="0"/>
              <w:keepLines w:val="0"/>
              <w:pageBreakBefore w:val="0"/>
              <w:widowControl/>
              <w:numPr>
                <w:ilvl w:val="0"/>
                <w:numId w:val="0"/>
              </w:numPr>
              <w:kinsoku/>
              <w:wordWrap/>
              <w:overflowPunct/>
              <w:topLinePunct w:val="0"/>
              <w:autoSpaceDE/>
              <w:autoSpaceDN/>
              <w:bidi w:val="0"/>
              <w:adjustRightInd/>
              <w:snapToGrid/>
              <w:spacing w:line="340" w:lineRule="exact"/>
              <w:textAlignment w:val="auto"/>
              <w:rPr>
                <w:rFonts w:hint="eastAsia"/>
                <w:lang w:val="en-US" w:eastAsia="zh-CN"/>
              </w:rPr>
            </w:pPr>
            <w:r>
              <w:rPr>
                <w:rFonts w:hint="eastAsia"/>
                <w:lang w:val="en-US" w:eastAsia="zh-CN"/>
              </w:rPr>
              <w:t>4、钢扎带（用于固定摄像机和补光灯的支架，规格12*400mm，  1196*2微卡补光灯，摄像机1398*2）</w:t>
            </w:r>
          </w:p>
          <w:p>
            <w:pPr>
              <w:keepNext w:val="0"/>
              <w:keepLines w:val="0"/>
              <w:pageBreakBefore w:val="0"/>
              <w:widowControl/>
              <w:numPr>
                <w:ilvl w:val="0"/>
                <w:numId w:val="0"/>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5、</w:t>
            </w:r>
            <w:r>
              <w:rPr>
                <w:rFonts w:hint="default"/>
                <w:lang w:val="en-US" w:eastAsia="zh-CN"/>
              </w:rPr>
              <w:t>金属软管国标φ32，80cm</w:t>
            </w:r>
          </w:p>
          <w:p>
            <w:pPr>
              <w:keepNext w:val="0"/>
              <w:keepLines w:val="0"/>
              <w:pageBreakBefore w:val="0"/>
              <w:widowControl/>
              <w:numPr>
                <w:ilvl w:val="0"/>
                <w:numId w:val="0"/>
              </w:numPr>
              <w:kinsoku/>
              <w:wordWrap/>
              <w:overflowPunct/>
              <w:topLinePunct w:val="0"/>
              <w:autoSpaceDE/>
              <w:autoSpaceDN/>
              <w:bidi w:val="0"/>
              <w:adjustRightInd/>
              <w:snapToGrid/>
              <w:spacing w:line="340" w:lineRule="exact"/>
              <w:textAlignment w:val="auto"/>
              <w:rPr>
                <w:rFonts w:hint="eastAsia"/>
                <w:lang w:val="en-US" w:eastAsia="zh-CN"/>
              </w:rPr>
            </w:pPr>
            <w:r>
              <w:rPr>
                <w:rFonts w:hint="eastAsia"/>
                <w:lang w:val="en-US" w:eastAsia="zh-CN"/>
              </w:rPr>
              <w:t>6、PE管国标φ40，5m</w:t>
            </w:r>
          </w:p>
          <w:p>
            <w:pPr>
              <w:keepNext w:val="0"/>
              <w:keepLines w:val="0"/>
              <w:pageBreakBefore w:val="0"/>
              <w:widowControl/>
              <w:numPr>
                <w:ilvl w:val="0"/>
                <w:numId w:val="0"/>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7、</w:t>
            </w:r>
            <w:r>
              <w:rPr>
                <w:rFonts w:hint="default"/>
                <w:lang w:val="en-US" w:eastAsia="zh-CN"/>
              </w:rPr>
              <w:t>五类水晶头</w:t>
            </w:r>
          </w:p>
          <w:p>
            <w:pPr>
              <w:keepNext w:val="0"/>
              <w:keepLines w:val="0"/>
              <w:pageBreakBefore w:val="0"/>
              <w:widowControl/>
              <w:numPr>
                <w:ilvl w:val="0"/>
                <w:numId w:val="0"/>
              </w:numPr>
              <w:kinsoku/>
              <w:wordWrap/>
              <w:overflowPunct/>
              <w:topLinePunct w:val="0"/>
              <w:autoSpaceDE/>
              <w:autoSpaceDN/>
              <w:bidi w:val="0"/>
              <w:adjustRightInd/>
              <w:snapToGrid/>
              <w:spacing w:line="340" w:lineRule="exact"/>
              <w:textAlignment w:val="auto"/>
              <w:rPr>
                <w:rFonts w:hint="eastAsia" w:ascii="宋体" w:hAnsi="Times New Roman" w:eastAsia="宋体" w:cs="Times New Roman"/>
                <w:sz w:val="24"/>
                <w:szCs w:val="20"/>
                <w:lang w:val="en-US" w:eastAsia="zh-CN" w:bidi="ar-SA"/>
              </w:rPr>
            </w:pPr>
            <w:r>
              <w:rPr>
                <w:rFonts w:hint="eastAsia"/>
                <w:lang w:val="en-US" w:eastAsia="zh-CN"/>
              </w:rPr>
              <w:t xml:space="preserve">8、杆子穿线钢丝10m、PE管穿线钢丝8m米和宽胶带（黄色，封堵PE管）、固定地龙的铁丝、租用基坑围挡,防水胶布、扎带、木龙骨等  </w:t>
            </w:r>
          </w:p>
        </w:tc>
        <w:tc>
          <w:tcPr>
            <w:tcW w:w="618" w:type="dxa"/>
            <w:tcBorders>
              <w:top w:val="single" w:color="auto" w:sz="6" w:space="0"/>
              <w:left w:val="nil"/>
              <w:bottom w:val="single" w:color="auto" w:sz="6" w:space="0"/>
              <w:right w:val="single" w:color="auto" w:sz="6" w:space="0"/>
            </w:tcBorders>
            <w:noWrap w:val="0"/>
            <w:vAlign w:val="center"/>
          </w:tcPr>
          <w:p>
            <w:pPr>
              <w:jc w:val="center"/>
              <w:rPr>
                <w:rFonts w:hint="default" w:ascii="宋体" w:hAnsi="宋体" w:cs="宋体"/>
                <w:bCs/>
                <w:color w:val="auto"/>
                <w:sz w:val="24"/>
                <w:szCs w:val="24"/>
                <w:highlight w:val="none"/>
                <w:lang w:val="en-US" w:bidi="ar"/>
              </w:rPr>
            </w:pPr>
            <w:r>
              <w:rPr>
                <w:rFonts w:hint="eastAsia" w:hAnsi="宋体" w:cs="宋体"/>
                <w:bCs/>
                <w:color w:val="auto"/>
                <w:sz w:val="24"/>
                <w:szCs w:val="24"/>
                <w:highlight w:val="none"/>
                <w:lang w:val="en-US" w:eastAsia="zh-CN" w:bidi="ar"/>
              </w:rPr>
              <w:t>150</w:t>
            </w:r>
          </w:p>
        </w:tc>
        <w:tc>
          <w:tcPr>
            <w:tcW w:w="563"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bCs/>
                <w:color w:val="auto"/>
                <w:sz w:val="24"/>
                <w:szCs w:val="24"/>
                <w:highlight w:val="none"/>
                <w:lang w:eastAsia="zh-CN" w:bidi="ar"/>
              </w:rPr>
            </w:pPr>
            <w:r>
              <w:rPr>
                <w:rFonts w:hint="eastAsia" w:hAnsi="宋体" w:cs="宋体"/>
                <w:bCs/>
                <w:color w:val="auto"/>
                <w:sz w:val="24"/>
                <w:szCs w:val="24"/>
                <w:highlight w:val="none"/>
                <w:lang w:eastAsia="zh-CN" w:bidi="ar"/>
              </w:rPr>
              <w:t>套</w:t>
            </w:r>
          </w:p>
        </w:tc>
      </w:tr>
      <w:tr>
        <w:tblPrEx>
          <w:tblCellMar>
            <w:top w:w="0" w:type="dxa"/>
            <w:left w:w="108" w:type="dxa"/>
            <w:bottom w:w="0" w:type="dxa"/>
            <w:right w:w="108" w:type="dxa"/>
          </w:tblCellMar>
        </w:tblPrEx>
        <w:trPr>
          <w:trHeight w:val="1525" w:hRule="atLeast"/>
        </w:trPr>
        <w:tc>
          <w:tcPr>
            <w:tcW w:w="788" w:type="dxa"/>
            <w:tcBorders>
              <w:top w:val="single" w:color="auto" w:sz="6" w:space="0"/>
              <w:left w:val="single" w:color="auto" w:sz="6" w:space="0"/>
              <w:bottom w:val="single" w:color="auto" w:sz="6" w:space="0"/>
              <w:right w:val="single" w:color="auto" w:sz="6" w:space="0"/>
            </w:tcBorders>
            <w:noWrap w:val="0"/>
            <w:vAlign w:val="center"/>
          </w:tcPr>
          <w:p>
            <w:pPr>
              <w:pStyle w:val="2"/>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8</w:t>
            </w:r>
          </w:p>
        </w:tc>
        <w:tc>
          <w:tcPr>
            <w:tcW w:w="795"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color w:val="auto"/>
                <w:sz w:val="24"/>
                <w:szCs w:val="24"/>
                <w:highlight w:val="none"/>
                <w:lang w:eastAsia="zh-CN" w:bidi="ar"/>
              </w:rPr>
            </w:pPr>
            <w:r>
              <w:rPr>
                <w:rFonts w:hint="eastAsia" w:hAnsi="宋体" w:cs="宋体"/>
                <w:color w:val="000000" w:themeColor="text1"/>
                <w:sz w:val="24"/>
                <w:szCs w:val="24"/>
                <w:highlight w:val="none"/>
                <w:lang w:eastAsia="zh-CN" w:bidi="ar"/>
              </w:rPr>
              <w:t>重点人员管控系统</w:t>
            </w:r>
          </w:p>
        </w:tc>
        <w:tc>
          <w:tcPr>
            <w:tcW w:w="6985"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numPr>
                <w:ilvl w:val="0"/>
                <w:numId w:val="15"/>
              </w:numPr>
              <w:kinsoku/>
              <w:wordWrap/>
              <w:overflowPunct/>
              <w:topLinePunct w:val="0"/>
              <w:autoSpaceDE/>
              <w:autoSpaceDN/>
              <w:bidi w:val="0"/>
              <w:adjustRightInd/>
              <w:snapToGrid/>
              <w:spacing w:line="340" w:lineRule="exact"/>
              <w:textAlignment w:val="auto"/>
              <w:rPr>
                <w:rFonts w:hint="eastAsia"/>
                <w:lang w:val="en-US" w:eastAsia="zh-CN"/>
              </w:rPr>
            </w:pPr>
            <w:r>
              <w:rPr>
                <w:rFonts w:hint="eastAsia"/>
                <w:lang w:val="en-US" w:eastAsia="zh-CN"/>
              </w:rPr>
              <w:t>暂定金额200.00万，按200.00万进行投标。</w:t>
            </w:r>
          </w:p>
          <w:p>
            <w:pPr>
              <w:pStyle w:val="2"/>
              <w:numPr>
                <w:ilvl w:val="0"/>
                <w:numId w:val="15"/>
              </w:numPr>
              <w:ind w:left="0" w:leftChars="0" w:firstLine="0" w:firstLineChars="0"/>
              <w:rPr>
                <w:rFonts w:hint="eastAsia" w:ascii="宋体" w:hAnsi="Times New Roman" w:eastAsia="宋体" w:cs="Times New Roman"/>
                <w:sz w:val="24"/>
                <w:szCs w:val="20"/>
                <w:lang w:val="en-US" w:eastAsia="zh-CN" w:bidi="ar-SA"/>
              </w:rPr>
            </w:pPr>
            <w:r>
              <w:rPr>
                <w:rFonts w:hint="eastAsia" w:ascii="宋体" w:hAnsi="Times New Roman" w:eastAsia="宋体" w:cs="Times New Roman"/>
                <w:sz w:val="24"/>
                <w:szCs w:val="20"/>
                <w:lang w:val="en-US" w:eastAsia="zh-CN" w:bidi="ar-SA"/>
              </w:rPr>
              <w:t>以满足实际需要及采购人要求为准</w:t>
            </w:r>
          </w:p>
          <w:p>
            <w:pPr>
              <w:keepNext w:val="0"/>
              <w:keepLines w:val="0"/>
              <w:pageBreakBefore w:val="0"/>
              <w:widowControl/>
              <w:numPr>
                <w:ilvl w:val="0"/>
                <w:numId w:val="0"/>
              </w:numPr>
              <w:kinsoku/>
              <w:wordWrap/>
              <w:overflowPunct/>
              <w:topLinePunct w:val="0"/>
              <w:autoSpaceDE/>
              <w:autoSpaceDN/>
              <w:bidi w:val="0"/>
              <w:adjustRightInd/>
              <w:snapToGrid/>
              <w:spacing w:line="340" w:lineRule="exact"/>
              <w:textAlignment w:val="auto"/>
              <w:rPr>
                <w:rFonts w:hint="eastAsia"/>
                <w:lang w:val="en-US" w:eastAsia="zh-CN"/>
              </w:rPr>
            </w:pPr>
            <w:r>
              <w:rPr>
                <w:rFonts w:hint="eastAsia" w:cs="Times New Roman"/>
                <w:sz w:val="24"/>
                <w:szCs w:val="20"/>
                <w:lang w:val="en-US" w:eastAsia="zh-CN" w:bidi="ar-SA"/>
              </w:rPr>
              <w:t>3、</w:t>
            </w:r>
            <w:r>
              <w:rPr>
                <w:rFonts w:hint="eastAsia" w:ascii="宋体" w:hAnsi="Times New Roman" w:eastAsia="宋体" w:cs="Times New Roman"/>
                <w:sz w:val="24"/>
                <w:szCs w:val="20"/>
                <w:lang w:val="en-US" w:eastAsia="zh-CN" w:bidi="ar-SA"/>
              </w:rPr>
              <w:t>最终结算价以审计或验收结论为准</w:t>
            </w:r>
          </w:p>
        </w:tc>
        <w:tc>
          <w:tcPr>
            <w:tcW w:w="618" w:type="dxa"/>
            <w:tcBorders>
              <w:top w:val="single" w:color="auto" w:sz="6" w:space="0"/>
              <w:left w:val="nil"/>
              <w:bottom w:val="single" w:color="auto" w:sz="6" w:space="0"/>
              <w:right w:val="single" w:color="auto" w:sz="6" w:space="0"/>
            </w:tcBorders>
            <w:noWrap w:val="0"/>
            <w:vAlign w:val="center"/>
          </w:tcPr>
          <w:p>
            <w:pPr>
              <w:jc w:val="center"/>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1</w:t>
            </w:r>
          </w:p>
        </w:tc>
        <w:tc>
          <w:tcPr>
            <w:tcW w:w="563"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bCs/>
                <w:color w:val="auto"/>
                <w:sz w:val="24"/>
                <w:szCs w:val="24"/>
                <w:highlight w:val="none"/>
                <w:lang w:eastAsia="zh-CN" w:bidi="ar"/>
              </w:rPr>
            </w:pPr>
            <w:r>
              <w:rPr>
                <w:rFonts w:hint="eastAsia" w:hAnsi="宋体" w:cs="宋体"/>
                <w:bCs/>
                <w:color w:val="auto"/>
                <w:sz w:val="24"/>
                <w:szCs w:val="24"/>
                <w:highlight w:val="none"/>
                <w:lang w:eastAsia="zh-CN" w:bidi="ar"/>
              </w:rPr>
              <w:t>套</w:t>
            </w:r>
          </w:p>
        </w:tc>
      </w:tr>
      <w:tr>
        <w:tblPrEx>
          <w:tblCellMar>
            <w:top w:w="0" w:type="dxa"/>
            <w:left w:w="108" w:type="dxa"/>
            <w:bottom w:w="0" w:type="dxa"/>
            <w:right w:w="108" w:type="dxa"/>
          </w:tblCellMar>
        </w:tblPrEx>
        <w:trPr>
          <w:trHeight w:val="1525" w:hRule="atLeast"/>
        </w:trPr>
        <w:tc>
          <w:tcPr>
            <w:tcW w:w="788" w:type="dxa"/>
            <w:tcBorders>
              <w:top w:val="single" w:color="auto" w:sz="6" w:space="0"/>
              <w:left w:val="single" w:color="auto" w:sz="6" w:space="0"/>
              <w:bottom w:val="single" w:color="auto" w:sz="6" w:space="0"/>
              <w:right w:val="single" w:color="auto" w:sz="6" w:space="0"/>
            </w:tcBorders>
            <w:noWrap w:val="0"/>
            <w:vAlign w:val="center"/>
          </w:tcPr>
          <w:p>
            <w:pPr>
              <w:pStyle w:val="2"/>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9</w:t>
            </w:r>
          </w:p>
        </w:tc>
        <w:tc>
          <w:tcPr>
            <w:tcW w:w="795"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color w:val="auto"/>
                <w:sz w:val="24"/>
                <w:szCs w:val="24"/>
                <w:highlight w:val="none"/>
                <w:lang w:eastAsia="zh-CN" w:bidi="ar"/>
              </w:rPr>
            </w:pPr>
            <w:r>
              <w:rPr>
                <w:rFonts w:hint="eastAsia" w:hAnsi="宋体" w:cs="宋体"/>
                <w:color w:val="auto"/>
                <w:sz w:val="24"/>
                <w:szCs w:val="24"/>
                <w:highlight w:val="none"/>
                <w:lang w:eastAsia="zh-CN" w:bidi="ar"/>
              </w:rPr>
              <w:t>市电接引</w:t>
            </w:r>
          </w:p>
        </w:tc>
        <w:tc>
          <w:tcPr>
            <w:tcW w:w="6985"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40" w:lineRule="exact"/>
              <w:textAlignment w:val="auto"/>
              <w:rPr>
                <w:rFonts w:hint="eastAsia"/>
                <w:lang w:val="en-US" w:eastAsia="zh-CN"/>
              </w:rPr>
            </w:pPr>
            <w:r>
              <w:rPr>
                <w:rFonts w:hint="eastAsia" w:hAnsi="宋体" w:cs="宋体"/>
                <w:color w:val="auto"/>
                <w:kern w:val="2"/>
                <w:sz w:val="24"/>
                <w:szCs w:val="24"/>
                <w:lang w:val="en-US" w:eastAsia="zh-CN" w:bidi="ar-SA"/>
              </w:rPr>
              <w:t>1、</w:t>
            </w:r>
            <w:r>
              <w:rPr>
                <w:rFonts w:hint="eastAsia" w:ascii="宋体" w:hAnsi="宋体" w:eastAsia="宋体" w:cs="宋体"/>
                <w:color w:val="auto"/>
                <w:kern w:val="2"/>
                <w:sz w:val="24"/>
                <w:szCs w:val="24"/>
                <w:lang w:val="en-US" w:eastAsia="zh-CN" w:bidi="ar-SA"/>
              </w:rPr>
              <w:t>含线缆、空开、智能电表及辅助安装材料等</w:t>
            </w:r>
            <w:r>
              <w:rPr>
                <w:rFonts w:hint="eastAsia" w:hAnsi="宋体" w:cs="宋体"/>
                <w:color w:val="auto"/>
                <w:kern w:val="2"/>
                <w:sz w:val="24"/>
                <w:szCs w:val="24"/>
                <w:lang w:val="en-US" w:eastAsia="zh-CN" w:bidi="ar-SA"/>
              </w:rPr>
              <w:t>，</w:t>
            </w:r>
            <w:r>
              <w:rPr>
                <w:rFonts w:hint="eastAsia"/>
                <w:lang w:val="en-US" w:eastAsia="zh-CN"/>
              </w:rPr>
              <w:t>暂定金额30.00万，按30.00万进行投标。</w:t>
            </w:r>
          </w:p>
          <w:p>
            <w:pPr>
              <w:pStyle w:val="2"/>
              <w:numPr>
                <w:ilvl w:val="0"/>
                <w:numId w:val="0"/>
              </w:numPr>
              <w:ind w:leftChars="0"/>
              <w:rPr>
                <w:rFonts w:hint="eastAsia" w:ascii="宋体" w:hAnsi="Times New Roman" w:eastAsia="宋体" w:cs="Times New Roman"/>
                <w:sz w:val="24"/>
                <w:szCs w:val="20"/>
                <w:lang w:val="en-US" w:eastAsia="zh-CN" w:bidi="ar-SA"/>
              </w:rPr>
            </w:pPr>
            <w:r>
              <w:rPr>
                <w:rFonts w:hint="eastAsia" w:ascii="宋体" w:cs="Times New Roman"/>
                <w:sz w:val="24"/>
                <w:szCs w:val="20"/>
                <w:lang w:val="en-US" w:eastAsia="zh-CN" w:bidi="ar-SA"/>
              </w:rPr>
              <w:t>2、</w:t>
            </w:r>
            <w:r>
              <w:rPr>
                <w:rFonts w:hint="eastAsia" w:ascii="宋体" w:hAnsi="Times New Roman" w:eastAsia="宋体" w:cs="Times New Roman"/>
                <w:sz w:val="24"/>
                <w:szCs w:val="20"/>
                <w:lang w:val="en-US" w:eastAsia="zh-CN" w:bidi="ar-SA"/>
              </w:rPr>
              <w:t>以满足实际需要及采购人要求为准</w:t>
            </w:r>
          </w:p>
          <w:p>
            <w:pPr>
              <w:pStyle w:val="4"/>
              <w:numPr>
                <w:ilvl w:val="0"/>
                <w:numId w:val="0"/>
              </w:numPr>
              <w:ind w:left="0" w:leftChars="0" w:firstLine="0" w:firstLineChars="0"/>
              <w:rPr>
                <w:rFonts w:hint="eastAsia"/>
                <w:lang w:val="en-US" w:eastAsia="zh-CN"/>
              </w:rPr>
            </w:pPr>
            <w:r>
              <w:rPr>
                <w:rFonts w:hint="eastAsia" w:cs="Times New Roman"/>
                <w:sz w:val="24"/>
                <w:szCs w:val="20"/>
                <w:lang w:val="en-US" w:eastAsia="zh-CN" w:bidi="ar-SA"/>
              </w:rPr>
              <w:t>3、</w:t>
            </w:r>
            <w:r>
              <w:rPr>
                <w:rFonts w:hint="eastAsia" w:ascii="宋体" w:hAnsi="Times New Roman" w:eastAsia="宋体" w:cs="Times New Roman"/>
                <w:sz w:val="24"/>
                <w:szCs w:val="20"/>
                <w:lang w:val="en-US" w:eastAsia="zh-CN" w:bidi="ar-SA"/>
              </w:rPr>
              <w:t>最终结算价以审计或验收结论为准</w:t>
            </w:r>
          </w:p>
        </w:tc>
        <w:tc>
          <w:tcPr>
            <w:tcW w:w="618"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1</w:t>
            </w:r>
          </w:p>
        </w:tc>
        <w:tc>
          <w:tcPr>
            <w:tcW w:w="563"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bCs/>
                <w:color w:val="auto"/>
                <w:sz w:val="24"/>
                <w:szCs w:val="24"/>
                <w:highlight w:val="none"/>
                <w:lang w:eastAsia="zh-CN" w:bidi="ar"/>
              </w:rPr>
            </w:pPr>
            <w:r>
              <w:rPr>
                <w:rFonts w:hint="eastAsia" w:hAnsi="宋体" w:cs="宋体"/>
                <w:sz w:val="24"/>
                <w:szCs w:val="24"/>
                <w:lang w:eastAsia="zh-CN"/>
              </w:rPr>
              <w:t>项</w:t>
            </w:r>
          </w:p>
        </w:tc>
      </w:tr>
      <w:tr>
        <w:tblPrEx>
          <w:tblCellMar>
            <w:top w:w="0" w:type="dxa"/>
            <w:left w:w="108" w:type="dxa"/>
            <w:bottom w:w="0" w:type="dxa"/>
            <w:right w:w="108" w:type="dxa"/>
          </w:tblCellMar>
        </w:tblPrEx>
        <w:trPr>
          <w:trHeight w:val="843" w:hRule="atLeast"/>
        </w:trPr>
        <w:tc>
          <w:tcPr>
            <w:tcW w:w="9749" w:type="dxa"/>
            <w:gridSpan w:val="5"/>
            <w:tcBorders>
              <w:top w:val="single" w:color="auto" w:sz="6" w:space="0"/>
              <w:left w:val="single" w:color="auto" w:sz="6" w:space="0"/>
              <w:bottom w:val="single" w:color="auto" w:sz="6" w:space="0"/>
              <w:right w:val="single" w:color="auto" w:sz="6" w:space="0"/>
            </w:tcBorders>
            <w:noWrap w:val="0"/>
            <w:vAlign w:val="center"/>
          </w:tcPr>
          <w:p>
            <w:pPr>
              <w:jc w:val="center"/>
              <w:rPr>
                <w:rFonts w:hint="eastAsia" w:hAnsi="宋体" w:cs="宋体"/>
                <w:sz w:val="24"/>
                <w:szCs w:val="24"/>
                <w:lang w:eastAsia="zh-CN"/>
              </w:rPr>
            </w:pPr>
            <w:r>
              <w:rPr>
                <w:rFonts w:hint="eastAsia" w:hAnsi="宋体" w:cs="宋体"/>
                <w:sz w:val="24"/>
                <w:szCs w:val="24"/>
                <w:lang w:eastAsia="zh-CN"/>
              </w:rPr>
              <w:t>暂列金</w:t>
            </w:r>
          </w:p>
        </w:tc>
      </w:tr>
      <w:tr>
        <w:tblPrEx>
          <w:tblCellMar>
            <w:top w:w="0" w:type="dxa"/>
            <w:left w:w="108" w:type="dxa"/>
            <w:bottom w:w="0" w:type="dxa"/>
            <w:right w:w="108" w:type="dxa"/>
          </w:tblCellMar>
        </w:tblPrEx>
        <w:trPr>
          <w:trHeight w:val="1242" w:hRule="atLeast"/>
        </w:trPr>
        <w:tc>
          <w:tcPr>
            <w:tcW w:w="788" w:type="dxa"/>
            <w:tcBorders>
              <w:top w:val="single" w:color="auto" w:sz="6" w:space="0"/>
              <w:left w:val="single" w:color="auto" w:sz="6" w:space="0"/>
              <w:bottom w:val="single" w:color="auto" w:sz="6" w:space="0"/>
              <w:right w:val="single" w:color="auto" w:sz="6" w:space="0"/>
            </w:tcBorders>
            <w:noWrap w:val="0"/>
            <w:vAlign w:val="center"/>
          </w:tcPr>
          <w:p>
            <w:pPr>
              <w:pStyle w:val="2"/>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1</w:t>
            </w:r>
          </w:p>
        </w:tc>
        <w:tc>
          <w:tcPr>
            <w:tcW w:w="795"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color w:val="auto"/>
                <w:sz w:val="24"/>
                <w:szCs w:val="24"/>
                <w:highlight w:val="none"/>
                <w:lang w:eastAsia="zh-CN" w:bidi="ar"/>
              </w:rPr>
            </w:pPr>
            <w:r>
              <w:rPr>
                <w:rFonts w:hint="eastAsia" w:hAnsi="宋体" w:cs="宋体"/>
                <w:color w:val="auto"/>
                <w:sz w:val="24"/>
                <w:szCs w:val="24"/>
                <w:highlight w:val="none"/>
                <w:lang w:eastAsia="zh-CN" w:bidi="ar"/>
              </w:rPr>
              <w:t>暂列金</w:t>
            </w:r>
          </w:p>
        </w:tc>
        <w:tc>
          <w:tcPr>
            <w:tcW w:w="6985"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40" w:lineRule="exact"/>
              <w:textAlignment w:val="auto"/>
              <w:rPr>
                <w:rFonts w:hint="eastAsia"/>
                <w:lang w:val="en-US" w:eastAsia="zh-CN"/>
              </w:rPr>
            </w:pPr>
            <w:r>
              <w:rPr>
                <w:rFonts w:hint="eastAsia"/>
                <w:lang w:val="en-US" w:eastAsia="zh-CN"/>
              </w:rPr>
              <w:t>暂定金额50000.00元，按50000.00元进行投标。</w:t>
            </w:r>
          </w:p>
          <w:p>
            <w:pPr>
              <w:pStyle w:val="4"/>
              <w:numPr>
                <w:ilvl w:val="0"/>
                <w:numId w:val="0"/>
              </w:numPr>
              <w:ind w:left="0" w:leftChars="0" w:firstLine="0" w:firstLineChars="0"/>
              <w:rPr>
                <w:rFonts w:hint="eastAsia" w:ascii="宋体" w:hAnsi="宋体" w:eastAsia="宋体" w:cs="宋体"/>
                <w:color w:val="auto"/>
                <w:kern w:val="2"/>
                <w:sz w:val="24"/>
                <w:szCs w:val="24"/>
                <w:lang w:val="en-US" w:eastAsia="zh-CN" w:bidi="ar-SA"/>
              </w:rPr>
            </w:pPr>
          </w:p>
        </w:tc>
        <w:tc>
          <w:tcPr>
            <w:tcW w:w="618" w:type="dxa"/>
            <w:tcBorders>
              <w:top w:val="single" w:color="auto" w:sz="6" w:space="0"/>
              <w:left w:val="nil"/>
              <w:bottom w:val="single" w:color="auto" w:sz="6" w:space="0"/>
              <w:right w:val="single" w:color="auto" w:sz="6" w:space="0"/>
            </w:tcBorders>
            <w:noWrap w:val="0"/>
            <w:vAlign w:val="center"/>
          </w:tcPr>
          <w:p>
            <w:pPr>
              <w:jc w:val="center"/>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1</w:t>
            </w:r>
          </w:p>
        </w:tc>
        <w:tc>
          <w:tcPr>
            <w:tcW w:w="563"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sz w:val="24"/>
                <w:szCs w:val="24"/>
                <w:lang w:eastAsia="zh-CN"/>
              </w:rPr>
            </w:pPr>
            <w:r>
              <w:rPr>
                <w:rFonts w:hint="eastAsia" w:hAnsi="宋体" w:cs="宋体"/>
                <w:sz w:val="24"/>
                <w:szCs w:val="24"/>
                <w:lang w:eastAsia="zh-CN"/>
              </w:rPr>
              <w:t>项</w:t>
            </w:r>
          </w:p>
        </w:tc>
      </w:tr>
    </w:tbl>
    <w:p>
      <w:pPr>
        <w:pStyle w:val="27"/>
        <w:rPr>
          <w:rFonts w:hint="default"/>
          <w:lang w:val="en-US" w:eastAsia="zh-CN"/>
        </w:rPr>
      </w:pPr>
    </w:p>
    <w:p>
      <w:pPr>
        <w:jc w:val="center"/>
        <w:outlineLvl w:val="0"/>
        <w:rPr>
          <w:rStyle w:val="43"/>
          <w:rFonts w:hint="eastAsia" w:ascii="楷体" w:hAnsi="楷体" w:eastAsia="楷体" w:cs="楷体"/>
        </w:rPr>
      </w:pPr>
    </w:p>
    <w:p>
      <w:pPr>
        <w:jc w:val="center"/>
        <w:outlineLvl w:val="0"/>
        <w:rPr>
          <w:rStyle w:val="43"/>
          <w:rFonts w:hint="eastAsia" w:ascii="楷体" w:hAnsi="楷体" w:eastAsia="楷体" w:cs="楷体"/>
        </w:rPr>
      </w:pPr>
    </w:p>
    <w:p>
      <w:pPr>
        <w:jc w:val="both"/>
        <w:outlineLvl w:val="0"/>
        <w:rPr>
          <w:rStyle w:val="43"/>
          <w:rFonts w:hint="eastAsia" w:ascii="楷体" w:hAnsi="楷体" w:eastAsia="楷体" w:cs="楷体"/>
        </w:rPr>
      </w:pPr>
    </w:p>
    <w:p>
      <w:pPr>
        <w:pStyle w:val="2"/>
        <w:rPr>
          <w:rStyle w:val="43"/>
          <w:rFonts w:hint="eastAsia" w:ascii="楷体" w:hAnsi="楷体" w:eastAsia="楷体" w:cs="楷体"/>
        </w:rPr>
      </w:pPr>
    </w:p>
    <w:p>
      <w:pPr>
        <w:jc w:val="both"/>
        <w:outlineLvl w:val="0"/>
        <w:rPr>
          <w:rStyle w:val="43"/>
          <w:rFonts w:hint="eastAsia" w:ascii="楷体" w:hAnsi="楷体" w:eastAsia="楷体" w:cs="楷体"/>
          <w:b w:val="0"/>
          <w:bCs/>
          <w:sz w:val="28"/>
          <w:szCs w:val="18"/>
          <w:lang w:val="en-US" w:eastAsia="zh-CN"/>
        </w:rPr>
      </w:pPr>
      <w:r>
        <w:rPr>
          <w:rStyle w:val="43"/>
          <w:rFonts w:hint="eastAsia" w:ascii="楷体" w:hAnsi="楷体" w:eastAsia="楷体" w:cs="楷体"/>
          <w:b w:val="0"/>
          <w:bCs/>
          <w:sz w:val="28"/>
          <w:szCs w:val="18"/>
          <w:lang w:eastAsia="zh-CN"/>
        </w:rPr>
        <w:t>采购</w:t>
      </w:r>
      <w:r>
        <w:rPr>
          <w:rStyle w:val="43"/>
          <w:rFonts w:hint="eastAsia" w:ascii="楷体" w:hAnsi="楷体" w:eastAsia="楷体" w:cs="楷体"/>
          <w:b w:val="0"/>
          <w:bCs/>
          <w:sz w:val="28"/>
          <w:szCs w:val="18"/>
          <w:lang w:val="en-US" w:eastAsia="zh-CN"/>
        </w:rPr>
        <w:t>4包</w:t>
      </w:r>
    </w:p>
    <w:p>
      <w:pPr>
        <w:pStyle w:val="23"/>
        <w:spacing w:before="0" w:beforeAutospacing="0" w:after="0" w:afterAutospacing="0" w:line="360" w:lineRule="auto"/>
        <w:ind w:firstLine="630"/>
        <w:jc w:val="both"/>
        <w:textAlignment w:val="baseline"/>
        <w:rPr>
          <w:rFonts w:hint="eastAsia"/>
          <w:color w:val="auto"/>
          <w:highlight w:val="none"/>
          <w:shd w:val="clear" w:color="auto" w:fill="FFFFFF"/>
        </w:rPr>
      </w:pPr>
      <w:r>
        <w:rPr>
          <w:rFonts w:hint="eastAsia"/>
          <w:color w:val="auto"/>
          <w:highlight w:val="none"/>
          <w:shd w:val="clear" w:color="auto" w:fill="FFFFFF"/>
        </w:rPr>
        <w:t>合同包预算金额：17720978.60元</w:t>
      </w:r>
      <w:r>
        <w:rPr>
          <w:rFonts w:hint="eastAsia"/>
          <w:color w:val="auto"/>
          <w:highlight w:val="none"/>
          <w:shd w:val="clear" w:color="auto" w:fill="FFFFFF"/>
          <w:lang w:eastAsia="zh-CN"/>
        </w:rPr>
        <w:t>（含暂列金</w:t>
      </w:r>
      <w:r>
        <w:rPr>
          <w:rFonts w:hint="eastAsia"/>
          <w:color w:val="auto"/>
          <w:highlight w:val="none"/>
          <w:shd w:val="clear" w:color="auto" w:fill="FFFFFF"/>
          <w:lang w:val="en-US" w:eastAsia="zh-CN"/>
        </w:rPr>
        <w:t>50000.00元</w:t>
      </w:r>
      <w:r>
        <w:rPr>
          <w:rFonts w:hint="eastAsia"/>
          <w:color w:val="auto"/>
          <w:highlight w:val="none"/>
          <w:shd w:val="clear" w:color="auto" w:fill="FFFFFF"/>
          <w:lang w:eastAsia="zh-CN"/>
        </w:rPr>
        <w:t>）</w:t>
      </w:r>
    </w:p>
    <w:tbl>
      <w:tblPr>
        <w:tblStyle w:val="24"/>
        <w:tblW w:w="9791" w:type="dxa"/>
        <w:tblInd w:w="-200" w:type="dxa"/>
        <w:tblLayout w:type="fixed"/>
        <w:tblCellMar>
          <w:top w:w="0" w:type="dxa"/>
          <w:left w:w="0" w:type="dxa"/>
          <w:bottom w:w="0" w:type="dxa"/>
          <w:right w:w="0" w:type="dxa"/>
        </w:tblCellMar>
      </w:tblPr>
      <w:tblGrid>
        <w:gridCol w:w="785"/>
        <w:gridCol w:w="1773"/>
        <w:gridCol w:w="2024"/>
        <w:gridCol w:w="1418"/>
        <w:gridCol w:w="1240"/>
        <w:gridCol w:w="1582"/>
        <w:gridCol w:w="969"/>
      </w:tblGrid>
      <w:tr>
        <w:tblPrEx>
          <w:tblCellMar>
            <w:top w:w="0" w:type="dxa"/>
            <w:left w:w="0" w:type="dxa"/>
            <w:bottom w:w="0" w:type="dxa"/>
            <w:right w:w="0" w:type="dxa"/>
          </w:tblCellMar>
        </w:tblPrEx>
        <w:trPr>
          <w:trHeight w:val="728" w:hRule="atLeast"/>
          <w:tblHeader/>
        </w:trPr>
        <w:tc>
          <w:tcPr>
            <w:tcW w:w="78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360" w:lineRule="auto"/>
              <w:jc w:val="center"/>
              <w:textAlignment w:val="center"/>
              <w:rPr>
                <w:rFonts w:hint="eastAsia" w:ascii="宋体" w:hAnsi="宋体" w:cs="宋体"/>
                <w:b/>
                <w:bCs/>
                <w:color w:val="auto"/>
                <w:sz w:val="24"/>
                <w:szCs w:val="24"/>
                <w:highlight w:val="none"/>
              </w:rPr>
            </w:pPr>
            <w:r>
              <w:rPr>
                <w:rFonts w:hint="eastAsia" w:ascii="宋体" w:hAnsi="宋体" w:cs="宋体"/>
                <w:b/>
                <w:bCs/>
                <w:color w:val="auto"/>
                <w:kern w:val="0"/>
                <w:sz w:val="24"/>
                <w:szCs w:val="24"/>
                <w:highlight w:val="none"/>
                <w:lang w:bidi="ar"/>
              </w:rPr>
              <w:t>品目号</w:t>
            </w:r>
          </w:p>
        </w:tc>
        <w:tc>
          <w:tcPr>
            <w:tcW w:w="177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360" w:lineRule="auto"/>
              <w:jc w:val="center"/>
              <w:textAlignment w:val="center"/>
              <w:rPr>
                <w:rFonts w:hint="eastAsia" w:ascii="宋体" w:hAnsi="宋体" w:cs="宋体"/>
                <w:b/>
                <w:bCs/>
                <w:color w:val="auto"/>
                <w:sz w:val="24"/>
                <w:szCs w:val="24"/>
                <w:highlight w:val="none"/>
              </w:rPr>
            </w:pPr>
            <w:r>
              <w:rPr>
                <w:rFonts w:hint="eastAsia" w:ascii="宋体" w:hAnsi="宋体" w:cs="宋体"/>
                <w:b/>
                <w:bCs/>
                <w:color w:val="auto"/>
                <w:kern w:val="0"/>
                <w:sz w:val="24"/>
                <w:szCs w:val="24"/>
                <w:highlight w:val="none"/>
                <w:lang w:bidi="ar"/>
              </w:rPr>
              <w:t>品目名称</w:t>
            </w:r>
          </w:p>
        </w:tc>
        <w:tc>
          <w:tcPr>
            <w:tcW w:w="202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360" w:lineRule="auto"/>
              <w:jc w:val="center"/>
              <w:textAlignment w:val="center"/>
              <w:rPr>
                <w:rFonts w:hint="eastAsia" w:ascii="宋体" w:hAnsi="宋体" w:cs="宋体"/>
                <w:b/>
                <w:bCs/>
                <w:color w:val="auto"/>
                <w:sz w:val="24"/>
                <w:szCs w:val="24"/>
                <w:highlight w:val="none"/>
              </w:rPr>
            </w:pPr>
            <w:r>
              <w:rPr>
                <w:rFonts w:hint="eastAsia" w:ascii="宋体" w:hAnsi="宋体" w:cs="宋体"/>
                <w:b/>
                <w:bCs/>
                <w:color w:val="auto"/>
                <w:kern w:val="0"/>
                <w:sz w:val="24"/>
                <w:szCs w:val="24"/>
                <w:highlight w:val="none"/>
                <w:lang w:bidi="ar"/>
              </w:rPr>
              <w:t>采购标的</w:t>
            </w:r>
          </w:p>
        </w:tc>
        <w:tc>
          <w:tcPr>
            <w:tcW w:w="141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360" w:lineRule="auto"/>
              <w:jc w:val="center"/>
              <w:textAlignment w:val="center"/>
              <w:rPr>
                <w:rFonts w:hint="eastAsia" w:ascii="宋体" w:hAnsi="宋体" w:cs="宋体"/>
                <w:b/>
                <w:bCs/>
                <w:color w:val="auto"/>
                <w:kern w:val="0"/>
                <w:sz w:val="24"/>
                <w:szCs w:val="24"/>
                <w:highlight w:val="none"/>
                <w:lang w:bidi="ar"/>
              </w:rPr>
            </w:pPr>
            <w:r>
              <w:rPr>
                <w:rFonts w:hint="eastAsia" w:ascii="宋体" w:hAnsi="宋体" w:cs="宋体"/>
                <w:b/>
                <w:bCs/>
                <w:color w:val="auto"/>
                <w:kern w:val="0"/>
                <w:sz w:val="24"/>
                <w:szCs w:val="24"/>
                <w:highlight w:val="none"/>
                <w:lang w:bidi="ar"/>
              </w:rPr>
              <w:t>数量</w:t>
            </w:r>
          </w:p>
          <w:p>
            <w:pPr>
              <w:widowControl/>
              <w:wordWrap w:val="0"/>
              <w:spacing w:line="360" w:lineRule="auto"/>
              <w:jc w:val="center"/>
              <w:textAlignment w:val="center"/>
              <w:rPr>
                <w:rFonts w:hint="eastAsia" w:ascii="宋体" w:hAnsi="宋体" w:cs="宋体"/>
                <w:b/>
                <w:bCs/>
                <w:color w:val="auto"/>
                <w:sz w:val="24"/>
                <w:szCs w:val="24"/>
                <w:highlight w:val="none"/>
              </w:rPr>
            </w:pPr>
            <w:r>
              <w:rPr>
                <w:rFonts w:hint="eastAsia" w:ascii="宋体" w:hAnsi="宋体" w:cs="宋体"/>
                <w:b/>
                <w:bCs/>
                <w:color w:val="auto"/>
                <w:kern w:val="0"/>
                <w:sz w:val="24"/>
                <w:szCs w:val="24"/>
                <w:highlight w:val="none"/>
                <w:lang w:bidi="ar"/>
              </w:rPr>
              <w:t>（单位）</w:t>
            </w:r>
          </w:p>
        </w:tc>
        <w:tc>
          <w:tcPr>
            <w:tcW w:w="12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360" w:lineRule="auto"/>
              <w:jc w:val="center"/>
              <w:textAlignment w:val="center"/>
              <w:rPr>
                <w:rFonts w:hint="eastAsia" w:ascii="宋体" w:hAnsi="宋体" w:cs="宋体"/>
                <w:b/>
                <w:bCs/>
                <w:color w:val="auto"/>
                <w:sz w:val="24"/>
                <w:szCs w:val="24"/>
                <w:highlight w:val="none"/>
              </w:rPr>
            </w:pPr>
            <w:r>
              <w:rPr>
                <w:rFonts w:hint="eastAsia" w:ascii="宋体" w:hAnsi="宋体" w:cs="宋体"/>
                <w:b/>
                <w:bCs/>
                <w:color w:val="auto"/>
                <w:kern w:val="0"/>
                <w:sz w:val="24"/>
                <w:szCs w:val="24"/>
                <w:highlight w:val="none"/>
                <w:lang w:bidi="ar"/>
              </w:rPr>
              <w:t>技术规格、参数及要求</w:t>
            </w:r>
          </w:p>
        </w:tc>
        <w:tc>
          <w:tcPr>
            <w:tcW w:w="158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360" w:lineRule="auto"/>
              <w:jc w:val="center"/>
              <w:textAlignment w:val="center"/>
              <w:rPr>
                <w:rFonts w:hint="eastAsia" w:ascii="宋体" w:hAnsi="宋体" w:cs="宋体"/>
                <w:b/>
                <w:bCs/>
                <w:color w:val="auto"/>
                <w:sz w:val="24"/>
                <w:szCs w:val="24"/>
                <w:highlight w:val="none"/>
              </w:rPr>
            </w:pPr>
            <w:r>
              <w:rPr>
                <w:rFonts w:hint="eastAsia" w:ascii="宋体" w:hAnsi="宋体" w:cs="宋体"/>
                <w:b/>
                <w:bCs/>
                <w:color w:val="auto"/>
                <w:kern w:val="0"/>
                <w:sz w:val="24"/>
                <w:szCs w:val="24"/>
                <w:highlight w:val="none"/>
                <w:lang w:bidi="ar"/>
              </w:rPr>
              <w:t>品目预算(元)</w:t>
            </w:r>
          </w:p>
        </w:tc>
        <w:tc>
          <w:tcPr>
            <w:tcW w:w="96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360" w:lineRule="auto"/>
              <w:jc w:val="center"/>
              <w:textAlignment w:val="center"/>
              <w:rPr>
                <w:rFonts w:hint="eastAsia" w:ascii="宋体" w:hAnsi="宋体" w:cs="宋体"/>
                <w:b/>
                <w:bCs/>
                <w:color w:val="auto"/>
                <w:sz w:val="24"/>
                <w:szCs w:val="24"/>
                <w:highlight w:val="none"/>
              </w:rPr>
            </w:pPr>
            <w:r>
              <w:rPr>
                <w:rFonts w:hint="eastAsia" w:ascii="宋体" w:hAnsi="宋体" w:cs="宋体"/>
                <w:b/>
                <w:bCs/>
                <w:color w:val="auto"/>
                <w:kern w:val="0"/>
                <w:sz w:val="24"/>
                <w:szCs w:val="24"/>
                <w:highlight w:val="none"/>
                <w:lang w:bidi="ar"/>
              </w:rPr>
              <w:t>最高限价(元)</w:t>
            </w:r>
          </w:p>
        </w:tc>
      </w:tr>
      <w:tr>
        <w:tblPrEx>
          <w:tblCellMar>
            <w:top w:w="0" w:type="dxa"/>
            <w:left w:w="0" w:type="dxa"/>
            <w:bottom w:w="0" w:type="dxa"/>
            <w:right w:w="0" w:type="dxa"/>
          </w:tblCellMar>
        </w:tblPrEx>
        <w:trPr>
          <w:trHeight w:val="480" w:hRule="atLeast"/>
        </w:trPr>
        <w:tc>
          <w:tcPr>
            <w:tcW w:w="78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360" w:lineRule="auto"/>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1-1</w:t>
            </w:r>
          </w:p>
        </w:tc>
        <w:tc>
          <w:tcPr>
            <w:tcW w:w="177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主要包括基础设施、前端系统、网络传输、系统支撑运用、管理系统、数据中心等内容</w:t>
            </w:r>
          </w:p>
        </w:tc>
        <w:tc>
          <w:tcPr>
            <w:tcW w:w="202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hint="eastAsia" w:ascii="宋体" w:hAnsi="宋体" w:cs="宋体"/>
                <w:color w:val="auto"/>
                <w:sz w:val="24"/>
                <w:szCs w:val="24"/>
                <w:highlight w:val="none"/>
              </w:rPr>
            </w:pPr>
            <w:r>
              <w:rPr>
                <w:rFonts w:hint="eastAsia" w:hAnsi="宋体" w:cs="宋体"/>
                <w:color w:val="auto"/>
                <w:kern w:val="0"/>
                <w:sz w:val="24"/>
                <w:szCs w:val="24"/>
                <w:highlight w:val="none"/>
                <w:lang w:eastAsia="zh-CN" w:bidi="ar"/>
              </w:rPr>
              <w:t>微卡摄像机及补光灯</w:t>
            </w:r>
            <w:r>
              <w:rPr>
                <w:rFonts w:hint="eastAsia" w:hAnsi="宋体" w:cs="宋体"/>
                <w:color w:val="auto"/>
                <w:kern w:val="0"/>
                <w:sz w:val="24"/>
                <w:szCs w:val="24"/>
                <w:highlight w:val="none"/>
                <w:lang w:val="en-US" w:eastAsia="zh-CN" w:bidi="ar"/>
              </w:rPr>
              <w:t>100套，更换150个运维箱，大数据存储综合运维管理系统等</w:t>
            </w:r>
            <w:r>
              <w:rPr>
                <w:rFonts w:hint="eastAsia" w:ascii="宋体" w:hAnsi="宋体" w:cs="宋体"/>
                <w:color w:val="auto"/>
                <w:kern w:val="0"/>
                <w:sz w:val="24"/>
                <w:szCs w:val="24"/>
                <w:highlight w:val="none"/>
                <w:lang w:bidi="ar"/>
              </w:rPr>
              <w:t>。</w:t>
            </w:r>
          </w:p>
        </w:tc>
        <w:tc>
          <w:tcPr>
            <w:tcW w:w="141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360" w:lineRule="auto"/>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1(批)</w:t>
            </w:r>
          </w:p>
        </w:tc>
        <w:tc>
          <w:tcPr>
            <w:tcW w:w="12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360" w:lineRule="auto"/>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详见采购文件</w:t>
            </w:r>
          </w:p>
        </w:tc>
        <w:tc>
          <w:tcPr>
            <w:tcW w:w="158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spacing w:line="360" w:lineRule="auto"/>
              <w:jc w:val="right"/>
              <w:textAlignment w:val="center"/>
              <w:rPr>
                <w:rFonts w:hint="eastAsia" w:ascii="宋体" w:hAnsi="宋体" w:cs="宋体"/>
                <w:color w:val="auto"/>
                <w:sz w:val="24"/>
                <w:szCs w:val="24"/>
                <w:highlight w:val="none"/>
              </w:rPr>
            </w:pPr>
            <w:r>
              <w:rPr>
                <w:rFonts w:hint="eastAsia" w:ascii="楷体" w:hAnsi="楷体" w:eastAsia="楷体" w:cs="楷体"/>
                <w:szCs w:val="24"/>
              </w:rPr>
              <w:t>17720978.60</w:t>
            </w:r>
          </w:p>
        </w:tc>
        <w:tc>
          <w:tcPr>
            <w:tcW w:w="96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spacing w:line="360" w:lineRule="auto"/>
              <w:jc w:val="right"/>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w:t>
            </w:r>
          </w:p>
        </w:tc>
      </w:tr>
    </w:tbl>
    <w:p>
      <w:pPr>
        <w:pStyle w:val="23"/>
        <w:spacing w:before="0" w:beforeAutospacing="0" w:after="0" w:afterAutospacing="0" w:line="360" w:lineRule="auto"/>
        <w:ind w:firstLine="630"/>
        <w:jc w:val="both"/>
        <w:textAlignment w:val="baseline"/>
        <w:rPr>
          <w:rFonts w:hint="eastAsia"/>
          <w:color w:val="auto"/>
          <w:highlight w:val="none"/>
        </w:rPr>
      </w:pPr>
      <w:r>
        <w:rPr>
          <w:rFonts w:hint="eastAsia"/>
          <w:color w:val="auto"/>
          <w:highlight w:val="none"/>
          <w:shd w:val="clear" w:color="auto" w:fill="FFFFFF"/>
        </w:rPr>
        <w:t>本合同包不接受联合体投标</w:t>
      </w:r>
    </w:p>
    <w:p>
      <w:pPr>
        <w:pStyle w:val="23"/>
        <w:spacing w:before="0" w:beforeAutospacing="0" w:after="0" w:afterAutospacing="0" w:line="360" w:lineRule="auto"/>
        <w:ind w:firstLine="480" w:firstLineChars="200"/>
        <w:jc w:val="both"/>
        <w:textAlignment w:val="baseline"/>
        <w:rPr>
          <w:rFonts w:hint="eastAsia"/>
          <w:color w:val="auto"/>
          <w:highlight w:val="none"/>
          <w:shd w:val="clear" w:color="auto" w:fill="FFFFFF"/>
        </w:rPr>
      </w:pPr>
      <w:r>
        <w:rPr>
          <w:rFonts w:hint="eastAsia"/>
          <w:color w:val="auto"/>
          <w:highlight w:val="none"/>
          <w:shd w:val="clear" w:color="auto" w:fill="FFFFFF"/>
        </w:rPr>
        <w:t>合同履行期限：合同签订后</w:t>
      </w:r>
      <w:r>
        <w:rPr>
          <w:rFonts w:hint="eastAsia"/>
          <w:color w:val="auto"/>
          <w:highlight w:val="none"/>
          <w:shd w:val="clear" w:color="auto" w:fill="FFFFFF"/>
          <w:lang w:val="en-US" w:eastAsia="zh-CN"/>
        </w:rPr>
        <w:t>150</w:t>
      </w:r>
      <w:r>
        <w:rPr>
          <w:rFonts w:hint="eastAsia"/>
          <w:color w:val="auto"/>
          <w:highlight w:val="none"/>
          <w:shd w:val="clear" w:color="auto" w:fill="FFFFFF"/>
        </w:rPr>
        <w:t>天内</w:t>
      </w:r>
    </w:p>
    <w:p>
      <w:pPr>
        <w:pStyle w:val="23"/>
        <w:spacing w:before="0" w:beforeAutospacing="0" w:after="0" w:afterAutospacing="0" w:line="360" w:lineRule="auto"/>
        <w:ind w:firstLine="480" w:firstLineChars="200"/>
        <w:jc w:val="both"/>
        <w:textAlignment w:val="baseline"/>
        <w:rPr>
          <w:rFonts w:hint="eastAsia"/>
          <w:color w:val="auto"/>
          <w:highlight w:val="none"/>
          <w:shd w:val="clear" w:color="auto" w:fill="FFFFFF"/>
        </w:rPr>
      </w:pPr>
      <w:r>
        <w:rPr>
          <w:rFonts w:hint="eastAsia"/>
          <w:color w:val="auto"/>
          <w:highlight w:val="none"/>
          <w:shd w:val="clear" w:color="auto" w:fill="FFFFFF"/>
        </w:rPr>
        <w:t>采购内容及参数要求见附表</w:t>
      </w:r>
    </w:p>
    <w:tbl>
      <w:tblPr>
        <w:tblStyle w:val="24"/>
        <w:tblW w:w="9749" w:type="dxa"/>
        <w:tblInd w:w="-240" w:type="dxa"/>
        <w:tblLayout w:type="fixed"/>
        <w:tblCellMar>
          <w:top w:w="0" w:type="dxa"/>
          <w:left w:w="108" w:type="dxa"/>
          <w:bottom w:w="0" w:type="dxa"/>
          <w:right w:w="108" w:type="dxa"/>
        </w:tblCellMar>
      </w:tblPr>
      <w:tblGrid>
        <w:gridCol w:w="788"/>
        <w:gridCol w:w="795"/>
        <w:gridCol w:w="6985"/>
        <w:gridCol w:w="618"/>
        <w:gridCol w:w="563"/>
      </w:tblGrid>
      <w:tr>
        <w:tblPrEx>
          <w:tblCellMar>
            <w:top w:w="0" w:type="dxa"/>
            <w:left w:w="108" w:type="dxa"/>
            <w:bottom w:w="0" w:type="dxa"/>
            <w:right w:w="108" w:type="dxa"/>
          </w:tblCellMar>
        </w:tblPrEx>
        <w:trPr>
          <w:trHeight w:val="620" w:hRule="atLeast"/>
        </w:trPr>
        <w:tc>
          <w:tcPr>
            <w:tcW w:w="788"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lang w:bidi="ar"/>
              </w:rPr>
              <w:t>序号</w:t>
            </w:r>
          </w:p>
        </w:tc>
        <w:tc>
          <w:tcPr>
            <w:tcW w:w="795" w:type="dxa"/>
            <w:tcBorders>
              <w:top w:val="single" w:color="auto" w:sz="6" w:space="0"/>
              <w:left w:val="nil"/>
              <w:bottom w:val="single" w:color="auto" w:sz="6" w:space="0"/>
              <w:right w:val="single" w:color="auto" w:sz="6" w:space="0"/>
            </w:tcBorders>
            <w:shd w:val="clear" w:color="auto" w:fill="FFFFFF"/>
            <w:noWrap w:val="0"/>
            <w:vAlign w:val="center"/>
          </w:tcPr>
          <w:p>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lang w:bidi="ar"/>
              </w:rPr>
              <w:t>设备名称</w:t>
            </w:r>
          </w:p>
        </w:tc>
        <w:tc>
          <w:tcPr>
            <w:tcW w:w="6985" w:type="dxa"/>
            <w:tcBorders>
              <w:top w:val="single" w:color="auto" w:sz="6" w:space="0"/>
              <w:left w:val="nil"/>
              <w:bottom w:val="single" w:color="auto" w:sz="6" w:space="0"/>
              <w:right w:val="single" w:color="auto" w:sz="6" w:space="0"/>
            </w:tcBorders>
            <w:shd w:val="clear" w:color="auto" w:fill="FFFFFF"/>
            <w:noWrap w:val="0"/>
            <w:vAlign w:val="center"/>
          </w:tcPr>
          <w:p>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lang w:bidi="ar"/>
              </w:rPr>
              <w:t>技术参数</w:t>
            </w:r>
          </w:p>
        </w:tc>
        <w:tc>
          <w:tcPr>
            <w:tcW w:w="618" w:type="dxa"/>
            <w:tcBorders>
              <w:top w:val="single" w:color="auto" w:sz="6" w:space="0"/>
              <w:left w:val="nil"/>
              <w:bottom w:val="single" w:color="auto" w:sz="6" w:space="0"/>
              <w:right w:val="single" w:color="auto" w:sz="6" w:space="0"/>
            </w:tcBorders>
            <w:shd w:val="clear" w:color="auto" w:fill="FFFFFF"/>
            <w:noWrap w:val="0"/>
            <w:vAlign w:val="center"/>
          </w:tcPr>
          <w:p>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lang w:bidi="ar"/>
              </w:rPr>
              <w:t>数量</w:t>
            </w:r>
          </w:p>
        </w:tc>
        <w:tc>
          <w:tcPr>
            <w:tcW w:w="563" w:type="dxa"/>
            <w:tcBorders>
              <w:top w:val="single" w:color="auto" w:sz="6" w:space="0"/>
              <w:left w:val="nil"/>
              <w:bottom w:val="single" w:color="auto" w:sz="6" w:space="0"/>
              <w:right w:val="single" w:color="auto" w:sz="6" w:space="0"/>
            </w:tcBorders>
            <w:shd w:val="clear" w:color="auto" w:fill="FFFFFF"/>
            <w:noWrap w:val="0"/>
            <w:vAlign w:val="center"/>
          </w:tcPr>
          <w:p>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lang w:bidi="ar"/>
              </w:rPr>
              <w:t>单位</w:t>
            </w:r>
          </w:p>
        </w:tc>
      </w:tr>
      <w:tr>
        <w:tblPrEx>
          <w:tblCellMar>
            <w:top w:w="0" w:type="dxa"/>
            <w:left w:w="108" w:type="dxa"/>
            <w:bottom w:w="0" w:type="dxa"/>
            <w:right w:w="108" w:type="dxa"/>
          </w:tblCellMar>
        </w:tblPrEx>
        <w:trPr>
          <w:trHeight w:val="1998" w:hRule="atLeast"/>
        </w:trPr>
        <w:tc>
          <w:tcPr>
            <w:tcW w:w="788"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lang w:bidi="ar"/>
              </w:rPr>
              <w:t>1</w:t>
            </w:r>
          </w:p>
        </w:tc>
        <w:tc>
          <w:tcPr>
            <w:tcW w:w="795" w:type="dxa"/>
            <w:tcBorders>
              <w:top w:val="single" w:color="auto" w:sz="6" w:space="0"/>
              <w:left w:val="nil"/>
              <w:bottom w:val="single" w:color="auto" w:sz="6" w:space="0"/>
              <w:right w:val="single" w:color="auto" w:sz="6" w:space="0"/>
            </w:tcBorders>
            <w:noWrap w:val="0"/>
            <w:vAlign w:val="center"/>
          </w:tcPr>
          <w:p>
            <w:pPr>
              <w:jc w:val="center"/>
              <w:rPr>
                <w:rFonts w:hint="eastAsia" w:ascii="宋体" w:hAnsi="宋体" w:cs="宋体"/>
                <w:bCs/>
                <w:color w:val="auto"/>
                <w:sz w:val="24"/>
                <w:szCs w:val="24"/>
                <w:highlight w:val="none"/>
              </w:rPr>
            </w:pPr>
            <w:r>
              <w:rPr>
                <w:rFonts w:hint="eastAsia" w:ascii="宋体" w:hAnsi="宋体" w:cs="宋体"/>
                <w:color w:val="auto"/>
                <w:sz w:val="24"/>
                <w:szCs w:val="24"/>
                <w:highlight w:val="none"/>
              </w:rPr>
              <w:t>微卡摄像机</w:t>
            </w:r>
          </w:p>
        </w:tc>
        <w:tc>
          <w:tcPr>
            <w:tcW w:w="6985" w:type="dxa"/>
            <w:tcBorders>
              <w:top w:val="single" w:color="auto" w:sz="6" w:space="0"/>
              <w:left w:val="nil"/>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包含高清摄像机、高清镜头、室外防护罩、防雷模块、下挂灯、电源适配器等；</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传感器类型：≥1/1.8"CMOS；</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焦距：11-40mm;高清变焦镜头；</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支持车牌识别、子品牌识别、车身颜色识别、车型识别；</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★支持识别≥450种机动车品牌标志，白天识别准确率≥99%，夜晚识别准确率≥99%；</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★支持车辆子品牌识别功能，通过车头可识别≥7000种，通过车尾可识别≥3700种，全天识别准确率不低于99%；</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支持识别≥42种车型；需列出至少42种车辆类型；</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★支持识别≥13种车身颜色；需列出至少13种车辆颜色；</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像素：≥420W；</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感光器件：≥1/1.8"CMOS；</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照度：彩色不大于0.001 Lux；黑白不大于0.0001 Lux；</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视频压缩标准：H.264/H.265/MJPEG；</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宽动态能力≥120dB；</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支持设定以位置、车速、车型、行驶方向和车牌类型等为触发条件进行抓拍；</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感兴趣区域增强编码功能检查：支持≥24块感兴趣区域(ROI)增强编码功能，ROI区域压缩比在0～100范围内可设置；</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★支持GB 35114-2017标准A级、GB/T 28181-2016标准、GA/T 1400-2017标准；</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防护等级IP65；</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标“★”项需提供国家级或部级第三方检测鉴定机构出具的检测报告复印件并加盖生产商的红色印章；</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(该摄像机含电源及支架)</w:t>
            </w:r>
          </w:p>
        </w:tc>
        <w:tc>
          <w:tcPr>
            <w:tcW w:w="618" w:type="dxa"/>
            <w:tcBorders>
              <w:top w:val="single" w:color="auto" w:sz="6" w:space="0"/>
              <w:left w:val="nil"/>
              <w:bottom w:val="single" w:color="auto" w:sz="6" w:space="0"/>
              <w:right w:val="single" w:color="auto" w:sz="6" w:space="0"/>
            </w:tcBorders>
            <w:noWrap w:val="0"/>
            <w:vAlign w:val="center"/>
          </w:tcPr>
          <w:p>
            <w:pPr>
              <w:jc w:val="center"/>
              <w:rPr>
                <w:rFonts w:hint="default" w:ascii="宋体" w:hAnsi="宋体" w:eastAsia="宋体" w:cs="宋体"/>
                <w:bCs/>
                <w:color w:val="auto"/>
                <w:sz w:val="24"/>
                <w:szCs w:val="24"/>
                <w:highlight w:val="none"/>
                <w:lang w:val="en-US" w:eastAsia="zh-CN"/>
              </w:rPr>
            </w:pPr>
            <w:r>
              <w:rPr>
                <w:rFonts w:hint="eastAsia" w:hAnsi="宋体" w:cs="宋体"/>
                <w:bCs/>
                <w:color w:val="auto"/>
                <w:sz w:val="24"/>
                <w:szCs w:val="24"/>
                <w:highlight w:val="none"/>
                <w:lang w:val="en-US" w:eastAsia="zh-CN" w:bidi="ar"/>
              </w:rPr>
              <w:t>100</w:t>
            </w:r>
          </w:p>
        </w:tc>
        <w:tc>
          <w:tcPr>
            <w:tcW w:w="563" w:type="dxa"/>
            <w:tcBorders>
              <w:top w:val="single" w:color="auto" w:sz="6" w:space="0"/>
              <w:left w:val="nil"/>
              <w:bottom w:val="single" w:color="auto" w:sz="6" w:space="0"/>
              <w:right w:val="single" w:color="auto" w:sz="6" w:space="0"/>
            </w:tcBorders>
            <w:noWrap w:val="0"/>
            <w:vAlign w:val="center"/>
          </w:tcPr>
          <w:p>
            <w:pPr>
              <w:jc w:val="center"/>
              <w:rPr>
                <w:rFonts w:hint="eastAsia" w:ascii="宋体" w:hAnsi="宋体" w:eastAsia="宋体" w:cs="宋体"/>
                <w:bCs/>
                <w:color w:val="auto"/>
                <w:sz w:val="24"/>
                <w:szCs w:val="24"/>
                <w:highlight w:val="none"/>
                <w:lang w:eastAsia="zh-CN"/>
              </w:rPr>
            </w:pPr>
            <w:r>
              <w:rPr>
                <w:rFonts w:hint="eastAsia" w:hAnsi="宋体" w:cs="宋体"/>
                <w:bCs/>
                <w:color w:val="auto"/>
                <w:sz w:val="24"/>
                <w:szCs w:val="24"/>
                <w:highlight w:val="none"/>
                <w:lang w:eastAsia="zh-CN"/>
              </w:rPr>
              <w:t>台</w:t>
            </w:r>
          </w:p>
        </w:tc>
      </w:tr>
      <w:tr>
        <w:tblPrEx>
          <w:tblCellMar>
            <w:top w:w="0" w:type="dxa"/>
            <w:left w:w="108" w:type="dxa"/>
            <w:bottom w:w="0" w:type="dxa"/>
            <w:right w:w="108" w:type="dxa"/>
          </w:tblCellMar>
        </w:tblPrEx>
        <w:trPr>
          <w:trHeight w:val="3579" w:hRule="atLeast"/>
        </w:trPr>
        <w:tc>
          <w:tcPr>
            <w:tcW w:w="788"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宋体" w:hAnsi="宋体" w:eastAsia="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2</w:t>
            </w:r>
          </w:p>
        </w:tc>
        <w:tc>
          <w:tcPr>
            <w:tcW w:w="795" w:type="dxa"/>
            <w:tcBorders>
              <w:top w:val="single" w:color="auto" w:sz="6" w:space="0"/>
              <w:left w:val="nil"/>
              <w:bottom w:val="single" w:color="auto" w:sz="6" w:space="0"/>
              <w:right w:val="single" w:color="auto" w:sz="6" w:space="0"/>
            </w:tcBorders>
            <w:noWrap w:val="0"/>
            <w:vAlign w:val="center"/>
          </w:tcPr>
          <w:p>
            <w:pPr>
              <w:jc w:val="center"/>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eastAsia="zh-CN"/>
              </w:rPr>
              <w:t>补光灯</w:t>
            </w:r>
          </w:p>
        </w:tc>
        <w:tc>
          <w:tcPr>
            <w:tcW w:w="6985" w:type="dxa"/>
            <w:tcBorders>
              <w:top w:val="single" w:color="auto" w:sz="6" w:space="0"/>
              <w:left w:val="nil"/>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'LED灯珠数量：≥26颗；</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发光角度：≥40°；</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最佳补光距离：16米~25米；</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补光灯自带光敏控制，在低照度下自动开启，低照度阀值可设；</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防护等级：≥IP66；</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功率：最大60W；</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支持自闪、跟随、自动频闪模式；</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工作环境-40℃~85℃；</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频率0-250HZ可调；支持通过调整占空比1%~39%进行亮度调节；</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含支架；</w:t>
            </w:r>
          </w:p>
        </w:tc>
        <w:tc>
          <w:tcPr>
            <w:tcW w:w="618" w:type="dxa"/>
            <w:tcBorders>
              <w:top w:val="single" w:color="auto" w:sz="6" w:space="0"/>
              <w:left w:val="nil"/>
              <w:bottom w:val="single" w:color="auto" w:sz="6" w:space="0"/>
              <w:right w:val="single" w:color="auto" w:sz="6" w:space="0"/>
            </w:tcBorders>
            <w:noWrap w:val="0"/>
            <w:vAlign w:val="center"/>
          </w:tcPr>
          <w:p>
            <w:pPr>
              <w:jc w:val="center"/>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100</w:t>
            </w:r>
          </w:p>
        </w:tc>
        <w:tc>
          <w:tcPr>
            <w:tcW w:w="563"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bCs/>
                <w:color w:val="auto"/>
                <w:sz w:val="24"/>
                <w:szCs w:val="24"/>
                <w:highlight w:val="none"/>
                <w:lang w:eastAsia="zh-CN"/>
              </w:rPr>
            </w:pPr>
            <w:r>
              <w:rPr>
                <w:rFonts w:hint="eastAsia" w:hAnsi="宋体" w:cs="宋体"/>
                <w:bCs/>
                <w:color w:val="auto"/>
                <w:sz w:val="24"/>
                <w:szCs w:val="24"/>
                <w:highlight w:val="none"/>
                <w:lang w:eastAsia="zh-CN"/>
              </w:rPr>
              <w:t>个</w:t>
            </w:r>
          </w:p>
        </w:tc>
      </w:tr>
      <w:tr>
        <w:tblPrEx>
          <w:tblCellMar>
            <w:top w:w="0" w:type="dxa"/>
            <w:left w:w="108" w:type="dxa"/>
            <w:bottom w:w="0" w:type="dxa"/>
            <w:right w:w="108" w:type="dxa"/>
          </w:tblCellMar>
        </w:tblPrEx>
        <w:trPr>
          <w:trHeight w:val="5477" w:hRule="atLeast"/>
        </w:trPr>
        <w:tc>
          <w:tcPr>
            <w:tcW w:w="788" w:type="dxa"/>
            <w:tcBorders>
              <w:top w:val="single" w:color="auto" w:sz="6" w:space="0"/>
              <w:left w:val="single" w:color="auto" w:sz="6" w:space="0"/>
              <w:bottom w:val="single" w:color="auto" w:sz="4" w:space="0"/>
              <w:right w:val="single" w:color="auto" w:sz="6" w:space="0"/>
            </w:tcBorders>
            <w:noWrap w:val="0"/>
            <w:vAlign w:val="center"/>
          </w:tcPr>
          <w:p>
            <w:pPr>
              <w:jc w:val="center"/>
              <w:rPr>
                <w:rFonts w:hint="eastAsia"/>
                <w:lang w:val="en-US" w:eastAsia="zh-CN"/>
              </w:rPr>
            </w:pPr>
          </w:p>
          <w:p>
            <w:pPr>
              <w:pStyle w:val="2"/>
              <w:rPr>
                <w:rFonts w:hint="default"/>
                <w:lang w:val="en-US" w:eastAsia="zh-CN"/>
              </w:rPr>
            </w:pPr>
            <w:r>
              <w:rPr>
                <w:rFonts w:hint="eastAsia" w:hAnsi="宋体" w:cs="宋体"/>
                <w:bCs/>
                <w:color w:val="auto"/>
                <w:sz w:val="24"/>
                <w:szCs w:val="24"/>
                <w:highlight w:val="none"/>
                <w:lang w:val="en-US" w:eastAsia="zh-CN" w:bidi="ar"/>
              </w:rPr>
              <w:t>3</w:t>
            </w:r>
          </w:p>
        </w:tc>
        <w:tc>
          <w:tcPr>
            <w:tcW w:w="795" w:type="dxa"/>
            <w:tcBorders>
              <w:top w:val="single" w:color="auto" w:sz="6" w:space="0"/>
              <w:left w:val="nil"/>
              <w:bottom w:val="single" w:color="auto" w:sz="4" w:space="0"/>
              <w:right w:val="single" w:color="auto" w:sz="6" w:space="0"/>
            </w:tcBorders>
            <w:noWrap w:val="0"/>
            <w:vAlign w:val="center"/>
          </w:tcPr>
          <w:p>
            <w:pPr>
              <w:jc w:val="center"/>
              <w:rPr>
                <w:rFonts w:hint="eastAsia" w:ascii="宋体" w:hAnsi="宋体" w:cs="宋体"/>
                <w:color w:val="auto"/>
                <w:sz w:val="24"/>
                <w:szCs w:val="24"/>
                <w:highlight w:val="none"/>
                <w:lang w:bidi="ar"/>
              </w:rPr>
            </w:pPr>
            <w:r>
              <w:rPr>
                <w:rFonts w:hint="eastAsia" w:hAnsi="宋体" w:cs="宋体"/>
                <w:color w:val="auto"/>
                <w:sz w:val="24"/>
                <w:szCs w:val="24"/>
                <w:highlight w:val="none"/>
                <w:lang w:eastAsia="zh-CN" w:bidi="ar"/>
              </w:rPr>
              <w:t>更换</w:t>
            </w:r>
            <w:r>
              <w:rPr>
                <w:rFonts w:hint="eastAsia" w:ascii="宋体" w:hAnsi="宋体" w:cs="宋体"/>
                <w:color w:val="auto"/>
                <w:sz w:val="24"/>
                <w:szCs w:val="24"/>
                <w:highlight w:val="none"/>
                <w:lang w:bidi="ar"/>
              </w:rPr>
              <w:t>智能运维箱</w:t>
            </w:r>
          </w:p>
        </w:tc>
        <w:tc>
          <w:tcPr>
            <w:tcW w:w="6985" w:type="dxa"/>
            <w:tcBorders>
              <w:top w:val="single" w:color="auto" w:sz="6" w:space="0"/>
              <w:left w:val="nil"/>
              <w:bottom w:val="single" w:color="auto" w:sz="4"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Times New Roman" w:eastAsia="宋体" w:cs="Times New Roman"/>
                <w:sz w:val="24"/>
                <w:szCs w:val="20"/>
                <w:lang w:val="en-US" w:eastAsia="zh-CN" w:bidi="ar-SA"/>
              </w:rPr>
            </w:pPr>
            <w:r>
              <w:rPr>
                <w:rFonts w:hint="eastAsia" w:ascii="宋体" w:hAnsi="Times New Roman" w:eastAsia="宋体" w:cs="Times New Roman"/>
                <w:sz w:val="24"/>
                <w:szCs w:val="20"/>
                <w:lang w:val="en-US" w:eastAsia="zh-CN" w:bidi="ar-SA"/>
              </w:rPr>
              <w:t>1、设备箱高*宽*深不低于500*400*200mm、箱体厚度不低于1.0mm，箱体内配置空开、防雷器、过欠压保护器，百兆网口不低于4个，电源插座不低于6路；</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Times New Roman" w:eastAsia="宋体" w:cs="Times New Roman"/>
                <w:sz w:val="24"/>
                <w:szCs w:val="20"/>
                <w:lang w:val="en-US" w:eastAsia="zh-CN" w:bidi="ar-SA"/>
              </w:rPr>
            </w:pPr>
            <w:r>
              <w:rPr>
                <w:rFonts w:hint="eastAsia" w:ascii="宋体" w:hAnsi="Times New Roman" w:eastAsia="宋体" w:cs="Times New Roman"/>
                <w:sz w:val="24"/>
                <w:szCs w:val="20"/>
                <w:lang w:val="en-US" w:eastAsia="zh-CN" w:bidi="ar-SA"/>
              </w:rPr>
              <w:t>2、设备箱自身不占用视频专网IP地址，故障信息通过4G回传，4G接口需与视频专网隔离；</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Times New Roman" w:eastAsia="宋体" w:cs="Times New Roman"/>
                <w:sz w:val="24"/>
                <w:szCs w:val="20"/>
                <w:lang w:val="en-US" w:eastAsia="zh-CN" w:bidi="ar-SA"/>
              </w:rPr>
            </w:pPr>
            <w:r>
              <w:rPr>
                <w:rFonts w:hint="eastAsia" w:ascii="宋体" w:hAnsi="Times New Roman" w:eastAsia="宋体" w:cs="Times New Roman"/>
                <w:sz w:val="24"/>
                <w:szCs w:val="20"/>
                <w:lang w:val="en-US" w:eastAsia="zh-CN" w:bidi="ar-SA"/>
              </w:rPr>
              <w:t>3、支持设备、网络、电力故障检测，故障信息告警方式支持网页弹窗、邮箱、短信、微信小程序等多种方式，断电断网情况下故障信息可正常回传；</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Times New Roman" w:eastAsia="宋体" w:cs="Times New Roman"/>
                <w:sz w:val="24"/>
                <w:szCs w:val="20"/>
                <w:lang w:val="en-US" w:eastAsia="zh-CN" w:bidi="ar-SA"/>
              </w:rPr>
            </w:pPr>
            <w:r>
              <w:rPr>
                <w:rFonts w:hint="eastAsia" w:ascii="宋体" w:hAnsi="Times New Roman" w:eastAsia="宋体" w:cs="Times New Roman"/>
                <w:sz w:val="24"/>
                <w:szCs w:val="20"/>
                <w:lang w:val="en-US" w:eastAsia="zh-CN" w:bidi="ar-SA"/>
              </w:rPr>
              <w:t>4、故障信息可通过微信小程序通知到运维人员，支持根据故障类型推送故障信息至不同工种的运维人员，小程序支持根据点位经纬度信息导航至故障点位，多个运维人员可抢同一故障通知单对故障单进行维护；</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Times New Roman" w:eastAsia="宋体" w:cs="Times New Roman"/>
                <w:sz w:val="24"/>
                <w:szCs w:val="20"/>
                <w:lang w:val="en-US" w:eastAsia="zh-CN" w:bidi="ar-SA"/>
              </w:rPr>
            </w:pPr>
            <w:r>
              <w:rPr>
                <w:rFonts w:hint="eastAsia" w:ascii="宋体" w:hAnsi="Times New Roman" w:eastAsia="宋体" w:cs="Times New Roman"/>
                <w:sz w:val="24"/>
                <w:szCs w:val="20"/>
                <w:lang w:val="en-US" w:eastAsia="zh-CN" w:bidi="ar-SA"/>
              </w:rPr>
              <w:t>5、支持远程电源管控、网络协议端口管控、物理网口管控、摄像机准入控制</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Times New Roman" w:eastAsia="宋体" w:cs="Times New Roman"/>
                <w:sz w:val="24"/>
                <w:szCs w:val="20"/>
                <w:lang w:val="en-US" w:eastAsia="zh-CN" w:bidi="ar-SA"/>
              </w:rPr>
            </w:pPr>
            <w:r>
              <w:rPr>
                <w:rFonts w:hint="eastAsia" w:ascii="宋体" w:hAnsi="Times New Roman" w:eastAsia="宋体" w:cs="Times New Roman"/>
                <w:sz w:val="24"/>
                <w:szCs w:val="20"/>
                <w:lang w:val="en-US" w:eastAsia="zh-CN" w:bidi="ar-SA"/>
              </w:rPr>
              <w:t>6、含5年4G流量卡。</w:t>
            </w:r>
          </w:p>
        </w:tc>
        <w:tc>
          <w:tcPr>
            <w:tcW w:w="618" w:type="dxa"/>
            <w:tcBorders>
              <w:top w:val="single" w:color="auto" w:sz="6" w:space="0"/>
              <w:left w:val="nil"/>
              <w:bottom w:val="single" w:color="auto" w:sz="4" w:space="0"/>
              <w:right w:val="single" w:color="auto" w:sz="6" w:space="0"/>
            </w:tcBorders>
            <w:noWrap w:val="0"/>
            <w:vAlign w:val="center"/>
          </w:tcPr>
          <w:p>
            <w:pPr>
              <w:jc w:val="center"/>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150</w:t>
            </w:r>
          </w:p>
        </w:tc>
        <w:tc>
          <w:tcPr>
            <w:tcW w:w="563" w:type="dxa"/>
            <w:tcBorders>
              <w:top w:val="single" w:color="auto" w:sz="6" w:space="0"/>
              <w:left w:val="nil"/>
              <w:bottom w:val="single" w:color="auto" w:sz="4" w:space="0"/>
              <w:right w:val="single" w:color="auto" w:sz="6" w:space="0"/>
            </w:tcBorders>
            <w:noWrap w:val="0"/>
            <w:vAlign w:val="center"/>
          </w:tcPr>
          <w:p>
            <w:pPr>
              <w:jc w:val="center"/>
              <w:rPr>
                <w:rFonts w:hint="eastAsia" w:hAnsi="宋体" w:cs="宋体"/>
                <w:bCs/>
                <w:color w:val="auto"/>
                <w:sz w:val="24"/>
                <w:szCs w:val="24"/>
                <w:highlight w:val="none"/>
                <w:lang w:eastAsia="zh-CN"/>
              </w:rPr>
            </w:pPr>
            <w:r>
              <w:rPr>
                <w:rFonts w:hint="eastAsia" w:hAnsi="宋体" w:cs="宋体"/>
                <w:bCs/>
                <w:color w:val="auto"/>
                <w:sz w:val="24"/>
                <w:szCs w:val="24"/>
                <w:highlight w:val="none"/>
                <w:lang w:eastAsia="zh-CN"/>
              </w:rPr>
              <w:t>套</w:t>
            </w:r>
          </w:p>
        </w:tc>
      </w:tr>
      <w:tr>
        <w:tblPrEx>
          <w:tblCellMar>
            <w:top w:w="0" w:type="dxa"/>
            <w:left w:w="108" w:type="dxa"/>
            <w:bottom w:w="0" w:type="dxa"/>
            <w:right w:w="108" w:type="dxa"/>
          </w:tblCellMar>
        </w:tblPrEx>
        <w:trPr>
          <w:trHeight w:val="933" w:hRule="atLeast"/>
        </w:trPr>
        <w:tc>
          <w:tcPr>
            <w:tcW w:w="788" w:type="dxa"/>
            <w:tcBorders>
              <w:top w:val="single" w:color="auto" w:sz="4" w:space="0"/>
              <w:left w:val="single" w:color="auto" w:sz="4" w:space="0"/>
              <w:bottom w:val="single" w:color="auto" w:sz="4" w:space="0"/>
              <w:right w:val="single" w:color="auto" w:sz="4" w:space="0"/>
            </w:tcBorders>
            <w:noWrap w:val="0"/>
            <w:vAlign w:val="center"/>
          </w:tcPr>
          <w:p>
            <w:pPr>
              <w:pStyle w:val="2"/>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4</w:t>
            </w:r>
          </w:p>
        </w:tc>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标识标牌</w:t>
            </w:r>
          </w:p>
        </w:tc>
        <w:tc>
          <w:tcPr>
            <w:tcW w:w="6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Times New Roman" w:eastAsia="宋体" w:cs="Times New Roman"/>
                <w:sz w:val="24"/>
                <w:szCs w:val="20"/>
                <w:lang w:val="en-US" w:eastAsia="zh-CN" w:bidi="ar-SA"/>
              </w:rPr>
            </w:pPr>
            <w:r>
              <w:rPr>
                <w:rFonts w:hint="eastAsia" w:ascii="宋体" w:hAnsi="Times New Roman" w:eastAsia="宋体" w:cs="Times New Roman"/>
                <w:sz w:val="24"/>
                <w:szCs w:val="20"/>
                <w:lang w:val="en-US" w:eastAsia="zh-CN" w:bidi="ar-SA"/>
              </w:rPr>
              <w:t>外喷项目定制LOGO及文字，编号根据标准统一编制，采用金属贴牌固定于箱体上，设备接线图</w:t>
            </w:r>
          </w:p>
        </w:tc>
        <w:tc>
          <w:tcPr>
            <w:tcW w:w="6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150</w:t>
            </w:r>
          </w:p>
        </w:tc>
        <w:tc>
          <w:tcPr>
            <w:tcW w:w="5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cs="宋体"/>
                <w:bCs/>
                <w:color w:val="auto"/>
                <w:sz w:val="24"/>
                <w:szCs w:val="24"/>
                <w:highlight w:val="none"/>
                <w:lang w:eastAsia="zh-CN"/>
              </w:rPr>
            </w:pPr>
            <w:r>
              <w:rPr>
                <w:rFonts w:hint="eastAsia" w:hAnsi="宋体" w:cs="宋体"/>
                <w:bCs/>
                <w:color w:val="auto"/>
                <w:sz w:val="24"/>
                <w:szCs w:val="24"/>
                <w:highlight w:val="none"/>
                <w:lang w:eastAsia="zh-CN"/>
              </w:rPr>
              <w:t>套</w:t>
            </w:r>
          </w:p>
        </w:tc>
      </w:tr>
      <w:tr>
        <w:tblPrEx>
          <w:tblCellMar>
            <w:top w:w="0" w:type="dxa"/>
            <w:left w:w="108" w:type="dxa"/>
            <w:bottom w:w="0" w:type="dxa"/>
            <w:right w:w="108" w:type="dxa"/>
          </w:tblCellMar>
        </w:tblPrEx>
        <w:trPr>
          <w:trHeight w:val="1026" w:hRule="atLeast"/>
        </w:trPr>
        <w:tc>
          <w:tcPr>
            <w:tcW w:w="788" w:type="dxa"/>
            <w:tcBorders>
              <w:top w:val="single" w:color="auto" w:sz="4" w:space="0"/>
              <w:left w:val="single" w:color="auto" w:sz="4" w:space="0"/>
              <w:bottom w:val="single" w:color="auto" w:sz="4" w:space="0"/>
              <w:right w:val="single" w:color="auto" w:sz="4" w:space="0"/>
            </w:tcBorders>
            <w:noWrap w:val="0"/>
            <w:vAlign w:val="center"/>
          </w:tcPr>
          <w:p>
            <w:pPr>
              <w:pStyle w:val="2"/>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5</w:t>
            </w:r>
          </w:p>
        </w:tc>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highlight w:val="none"/>
                <w:lang w:bidi="ar"/>
              </w:rPr>
            </w:pPr>
            <w:r>
              <w:rPr>
                <w:rFonts w:hint="eastAsia" w:hAnsi="宋体" w:cs="宋体"/>
                <w:color w:val="auto"/>
                <w:sz w:val="24"/>
                <w:szCs w:val="24"/>
                <w:highlight w:val="none"/>
                <w:lang w:eastAsia="zh-CN" w:bidi="ar"/>
              </w:rPr>
              <w:t>市电接引</w:t>
            </w:r>
          </w:p>
        </w:tc>
        <w:tc>
          <w:tcPr>
            <w:tcW w:w="6985" w:type="dxa"/>
            <w:tcBorders>
              <w:top w:val="single" w:color="auto" w:sz="4" w:space="0"/>
              <w:left w:val="single" w:color="auto" w:sz="4" w:space="0"/>
              <w:bottom w:val="single" w:color="auto" w:sz="4" w:space="0"/>
              <w:right w:val="single" w:color="auto" w:sz="4" w:space="0"/>
            </w:tcBorders>
            <w:noWrap w:val="0"/>
            <w:vAlign w:val="center"/>
          </w:tcPr>
          <w:p>
            <w:pPr>
              <w:pStyle w:val="4"/>
              <w:numPr>
                <w:ilvl w:val="0"/>
                <w:numId w:val="0"/>
              </w:numPr>
              <w:ind w:left="0" w:leftChars="0" w:firstLine="0" w:firstLineChars="0"/>
              <w:rPr>
                <w:rFonts w:hint="eastAsia" w:ascii="宋体" w:hAnsi="Times New Roman" w:eastAsia="宋体" w:cs="Times New Roman"/>
                <w:sz w:val="24"/>
                <w:szCs w:val="20"/>
                <w:lang w:val="en-US" w:eastAsia="zh-CN" w:bidi="ar-SA"/>
              </w:rPr>
            </w:pPr>
            <w:r>
              <w:rPr>
                <w:rFonts w:hint="eastAsia" w:ascii="宋体" w:hAnsi="Times New Roman" w:eastAsia="宋体" w:cs="Times New Roman"/>
                <w:sz w:val="24"/>
                <w:szCs w:val="20"/>
                <w:lang w:val="en-US" w:eastAsia="zh-CN" w:bidi="ar-SA"/>
              </w:rPr>
              <w:t>1、含线缆、空开、智能电表及辅助安装材料等，暂定金额</w:t>
            </w:r>
            <w:r>
              <w:rPr>
                <w:rFonts w:hint="eastAsia" w:cs="Times New Roman"/>
                <w:sz w:val="24"/>
                <w:szCs w:val="20"/>
                <w:lang w:val="en-US" w:eastAsia="zh-CN" w:bidi="ar-SA"/>
              </w:rPr>
              <w:t>15</w:t>
            </w:r>
            <w:r>
              <w:rPr>
                <w:rFonts w:hint="eastAsia" w:ascii="宋体" w:hAnsi="Times New Roman" w:eastAsia="宋体" w:cs="Times New Roman"/>
                <w:sz w:val="24"/>
                <w:szCs w:val="20"/>
                <w:lang w:val="en-US" w:eastAsia="zh-CN" w:bidi="ar-SA"/>
              </w:rPr>
              <w:t>.00万，按</w:t>
            </w:r>
            <w:r>
              <w:rPr>
                <w:rFonts w:hint="eastAsia" w:cs="Times New Roman"/>
                <w:sz w:val="24"/>
                <w:szCs w:val="20"/>
                <w:lang w:val="en-US" w:eastAsia="zh-CN" w:bidi="ar-SA"/>
              </w:rPr>
              <w:t>15</w:t>
            </w:r>
            <w:r>
              <w:rPr>
                <w:rFonts w:hint="eastAsia" w:ascii="宋体" w:hAnsi="Times New Roman" w:eastAsia="宋体" w:cs="Times New Roman"/>
                <w:sz w:val="24"/>
                <w:szCs w:val="20"/>
                <w:lang w:val="en-US" w:eastAsia="zh-CN" w:bidi="ar-SA"/>
              </w:rPr>
              <w:t>.00万进行投标。</w:t>
            </w:r>
          </w:p>
          <w:p>
            <w:pPr>
              <w:pStyle w:val="4"/>
              <w:numPr>
                <w:ilvl w:val="0"/>
                <w:numId w:val="0"/>
              </w:numPr>
              <w:ind w:left="0" w:leftChars="0" w:firstLine="0" w:firstLineChars="0"/>
              <w:rPr>
                <w:rFonts w:hint="eastAsia" w:ascii="宋体" w:hAnsi="Times New Roman" w:eastAsia="宋体" w:cs="Times New Roman"/>
                <w:sz w:val="24"/>
                <w:szCs w:val="20"/>
                <w:lang w:val="en-US" w:eastAsia="zh-CN" w:bidi="ar-SA"/>
              </w:rPr>
            </w:pPr>
            <w:r>
              <w:rPr>
                <w:rFonts w:hint="eastAsia" w:ascii="宋体" w:hAnsi="Times New Roman" w:eastAsia="宋体" w:cs="Times New Roman"/>
                <w:sz w:val="24"/>
                <w:szCs w:val="20"/>
                <w:lang w:val="en-US" w:eastAsia="zh-CN" w:bidi="ar-SA"/>
              </w:rPr>
              <w:t>2、以满足实际需要及采购人要求为准</w:t>
            </w:r>
          </w:p>
          <w:p>
            <w:pPr>
              <w:pStyle w:val="4"/>
              <w:numPr>
                <w:ilvl w:val="0"/>
                <w:numId w:val="0"/>
              </w:numPr>
              <w:ind w:left="0" w:leftChars="0" w:firstLine="0" w:firstLineChars="0"/>
              <w:rPr>
                <w:rFonts w:hint="eastAsia" w:ascii="宋体" w:hAnsi="Times New Roman" w:eastAsia="宋体" w:cs="Times New Roman"/>
                <w:sz w:val="24"/>
                <w:szCs w:val="20"/>
                <w:lang w:val="en-US" w:eastAsia="zh-CN" w:bidi="ar-SA"/>
              </w:rPr>
            </w:pPr>
            <w:r>
              <w:rPr>
                <w:rFonts w:hint="eastAsia" w:ascii="宋体" w:hAnsi="Times New Roman" w:eastAsia="宋体" w:cs="Times New Roman"/>
                <w:sz w:val="24"/>
                <w:szCs w:val="20"/>
                <w:lang w:val="en-US" w:eastAsia="zh-CN" w:bidi="ar-SA"/>
              </w:rPr>
              <w:t>3、最终结算价以审计或验收结论为准</w:t>
            </w:r>
          </w:p>
        </w:tc>
        <w:tc>
          <w:tcPr>
            <w:tcW w:w="6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1</w:t>
            </w:r>
          </w:p>
        </w:tc>
        <w:tc>
          <w:tcPr>
            <w:tcW w:w="5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cs="宋体"/>
                <w:bCs/>
                <w:color w:val="auto"/>
                <w:sz w:val="24"/>
                <w:szCs w:val="24"/>
                <w:highlight w:val="none"/>
                <w:lang w:eastAsia="zh-CN"/>
              </w:rPr>
            </w:pPr>
            <w:r>
              <w:rPr>
                <w:rFonts w:hint="eastAsia" w:hAnsi="宋体" w:cs="宋体"/>
                <w:sz w:val="24"/>
                <w:szCs w:val="24"/>
                <w:lang w:eastAsia="zh-CN"/>
              </w:rPr>
              <w:t>项</w:t>
            </w:r>
          </w:p>
        </w:tc>
      </w:tr>
      <w:tr>
        <w:tblPrEx>
          <w:tblCellMar>
            <w:top w:w="0" w:type="dxa"/>
            <w:left w:w="108" w:type="dxa"/>
            <w:bottom w:w="0" w:type="dxa"/>
            <w:right w:w="108" w:type="dxa"/>
          </w:tblCellMar>
        </w:tblPrEx>
        <w:trPr>
          <w:trHeight w:val="887" w:hRule="atLeast"/>
        </w:trPr>
        <w:tc>
          <w:tcPr>
            <w:tcW w:w="9749" w:type="dxa"/>
            <w:gridSpan w:val="5"/>
            <w:tcBorders>
              <w:top w:val="single" w:color="auto" w:sz="4" w:space="0"/>
              <w:left w:val="nil"/>
              <w:bottom w:val="single" w:color="auto" w:sz="4" w:space="0"/>
              <w:right w:val="nil"/>
            </w:tcBorders>
            <w:noWrap w:val="0"/>
            <w:vAlign w:val="center"/>
          </w:tcPr>
          <w:p>
            <w:pPr>
              <w:jc w:val="left"/>
              <w:rPr>
                <w:rFonts w:hint="eastAsia" w:hAnsi="宋体" w:cs="宋体"/>
                <w:bCs/>
                <w:color w:val="auto"/>
                <w:sz w:val="24"/>
                <w:szCs w:val="24"/>
                <w:highlight w:val="none"/>
                <w:lang w:eastAsia="zh-CN"/>
              </w:rPr>
            </w:pPr>
            <w:r>
              <w:rPr>
                <w:rFonts w:hint="eastAsia" w:hAnsi="宋体" w:cs="宋体"/>
                <w:b/>
                <w:bCs w:val="0"/>
                <w:color w:val="auto"/>
                <w:sz w:val="28"/>
                <w:szCs w:val="28"/>
                <w:highlight w:val="none"/>
                <w:lang w:eastAsia="zh-CN"/>
              </w:rPr>
              <w:t>网络设备-公安视频专网</w:t>
            </w:r>
          </w:p>
        </w:tc>
      </w:tr>
      <w:tr>
        <w:tblPrEx>
          <w:tblCellMar>
            <w:top w:w="0" w:type="dxa"/>
            <w:left w:w="108" w:type="dxa"/>
            <w:bottom w:w="0" w:type="dxa"/>
            <w:right w:w="108" w:type="dxa"/>
          </w:tblCellMar>
        </w:tblPrEx>
        <w:trPr>
          <w:trHeight w:val="1525" w:hRule="atLeast"/>
        </w:trPr>
        <w:tc>
          <w:tcPr>
            <w:tcW w:w="788" w:type="dxa"/>
            <w:tcBorders>
              <w:top w:val="single" w:color="auto" w:sz="4" w:space="0"/>
              <w:left w:val="single" w:color="auto" w:sz="4" w:space="0"/>
              <w:bottom w:val="single" w:color="auto" w:sz="4" w:space="0"/>
              <w:right w:val="single" w:color="auto" w:sz="4" w:space="0"/>
            </w:tcBorders>
            <w:noWrap w:val="0"/>
            <w:vAlign w:val="center"/>
          </w:tcPr>
          <w:p>
            <w:pPr>
              <w:pStyle w:val="2"/>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1</w:t>
            </w:r>
          </w:p>
        </w:tc>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highlight w:val="none"/>
                <w:lang w:bidi="ar"/>
              </w:rPr>
            </w:pPr>
            <w:r>
              <w:rPr>
                <w:rFonts w:hint="eastAsia" w:hAnsi="宋体" w:cs="宋体"/>
                <w:color w:val="auto"/>
                <w:sz w:val="24"/>
                <w:szCs w:val="24"/>
                <w:highlight w:val="none"/>
                <w:lang w:eastAsia="zh-CN" w:bidi="ar"/>
              </w:rPr>
              <w:t>交换机</w:t>
            </w:r>
          </w:p>
        </w:tc>
        <w:tc>
          <w:tcPr>
            <w:tcW w:w="6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sz w:val="24"/>
                <w:szCs w:val="20"/>
                <w:lang w:val="en-US" w:eastAsia="zh-CN" w:bidi="ar-SA"/>
              </w:rPr>
            </w:pPr>
            <w:r>
              <w:rPr>
                <w:rFonts w:hint="eastAsia" w:ascii="宋体" w:hAnsi="Times New Roman" w:eastAsia="宋体" w:cs="Times New Roman"/>
                <w:sz w:val="24"/>
                <w:szCs w:val="20"/>
                <w:lang w:val="en-US" w:eastAsia="zh-CN" w:bidi="ar-SA"/>
              </w:rPr>
              <w:t>性能要求：交换容量≥76Tbps，转发性能≥8600Mpps；</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sz w:val="24"/>
                <w:szCs w:val="20"/>
                <w:lang w:val="en-US" w:eastAsia="zh-CN" w:bidi="ar-SA"/>
              </w:rPr>
            </w:pPr>
            <w:r>
              <w:rPr>
                <w:rFonts w:hint="eastAsia" w:ascii="宋体" w:hAnsi="Times New Roman" w:eastAsia="宋体" w:cs="Times New Roman"/>
                <w:sz w:val="24"/>
                <w:szCs w:val="20"/>
                <w:lang w:val="en-US" w:eastAsia="zh-CN" w:bidi="ar-SA"/>
              </w:rPr>
              <w:t>基本要求：业务槽位≥6个，支持主控冗余，主控为全宽板卡；</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sz w:val="24"/>
                <w:szCs w:val="20"/>
                <w:lang w:val="en-US" w:eastAsia="zh-CN" w:bidi="ar-SA"/>
              </w:rPr>
            </w:pPr>
            <w:r>
              <w:rPr>
                <w:rFonts w:hint="eastAsia" w:ascii="宋体" w:hAnsi="Times New Roman" w:eastAsia="宋体" w:cs="Times New Roman"/>
                <w:sz w:val="24"/>
                <w:szCs w:val="20"/>
                <w:lang w:val="en-US" w:eastAsia="zh-CN" w:bidi="ar-SA"/>
              </w:rPr>
              <w:t>扩展要求：以太网支持千兆电口，千兆光口，万兆光口、万兆电，25G端口、40G端口、100G端口；</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sz w:val="24"/>
                <w:szCs w:val="20"/>
                <w:lang w:val="en-US" w:eastAsia="zh-CN" w:bidi="ar-SA"/>
              </w:rPr>
            </w:pPr>
            <w:r>
              <w:rPr>
                <w:rFonts w:hint="eastAsia" w:ascii="宋体" w:hAnsi="Times New Roman" w:eastAsia="宋体" w:cs="Times New Roman"/>
                <w:sz w:val="24"/>
                <w:szCs w:val="20"/>
                <w:lang w:val="en-US" w:eastAsia="zh-CN" w:bidi="ar-SA"/>
              </w:rPr>
              <w:t>功能要求：支持安全业务插卡FW、IPS、NSM、ACG、LB、SSLVPN；</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sz w:val="24"/>
                <w:szCs w:val="20"/>
                <w:lang w:val="en-US" w:eastAsia="zh-CN" w:bidi="ar-SA"/>
              </w:rPr>
            </w:pPr>
            <w:r>
              <w:rPr>
                <w:rFonts w:hint="eastAsia" w:ascii="宋体" w:hAnsi="Times New Roman" w:eastAsia="宋体" w:cs="Times New Roman"/>
                <w:sz w:val="24"/>
                <w:szCs w:val="20"/>
                <w:lang w:val="en-US" w:eastAsia="zh-CN" w:bidi="ar-SA"/>
              </w:rPr>
              <w:t>支持GEPON OLT及10G EPON OLT接口提供证明材料；</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sz w:val="24"/>
                <w:szCs w:val="20"/>
                <w:lang w:val="en-US" w:eastAsia="zh-CN" w:bidi="ar-SA"/>
              </w:rPr>
            </w:pPr>
            <w:r>
              <w:rPr>
                <w:rFonts w:hint="eastAsia" w:ascii="宋体" w:hAnsi="Times New Roman" w:eastAsia="宋体" w:cs="Times New Roman"/>
                <w:sz w:val="24"/>
                <w:szCs w:val="20"/>
                <w:lang w:val="en-US" w:eastAsia="zh-CN" w:bidi="ar-SA"/>
              </w:rPr>
              <w:t>支持多虚一技术(N:1)，支持4框虚拟化技术，一虚多技术（1:N），支持多虚一技术和一虚多技术配合使用，实配虚拟化模块及线缆；</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sz w:val="24"/>
                <w:szCs w:val="20"/>
                <w:lang w:val="en-US" w:eastAsia="zh-CN" w:bidi="ar-SA"/>
              </w:rPr>
            </w:pPr>
            <w:r>
              <w:rPr>
                <w:rFonts w:hint="eastAsia" w:ascii="宋体" w:hAnsi="Times New Roman" w:eastAsia="宋体" w:cs="Times New Roman"/>
                <w:sz w:val="24"/>
                <w:szCs w:val="20"/>
                <w:lang w:val="en-US" w:eastAsia="zh-CN" w:bidi="ar-SA"/>
              </w:rPr>
              <w:t>支持普通模式和流量监测模式切换；</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sz w:val="24"/>
                <w:szCs w:val="20"/>
                <w:lang w:val="en-US" w:eastAsia="zh-CN" w:bidi="ar-SA"/>
              </w:rPr>
            </w:pPr>
            <w:r>
              <w:rPr>
                <w:rFonts w:hint="eastAsia" w:ascii="宋体" w:hAnsi="Times New Roman" w:eastAsia="宋体" w:cs="Times New Roman"/>
                <w:sz w:val="24"/>
                <w:szCs w:val="20"/>
                <w:lang w:val="en-US" w:eastAsia="zh-CN" w:bidi="ar-SA"/>
              </w:rPr>
              <w:t>支持主流的MAC in IP技术，如EVI/EVN/OTV等，实现跨三层网络的二层互联；</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sz w:val="24"/>
                <w:szCs w:val="20"/>
                <w:lang w:val="en-US" w:eastAsia="zh-CN" w:bidi="ar-SA"/>
              </w:rPr>
            </w:pPr>
            <w:r>
              <w:rPr>
                <w:rFonts w:hint="eastAsia" w:ascii="宋体" w:hAnsi="Times New Roman" w:eastAsia="宋体" w:cs="Times New Roman"/>
                <w:sz w:val="24"/>
                <w:szCs w:val="20"/>
                <w:lang w:val="en-US" w:eastAsia="zh-CN" w:bidi="ar-SA"/>
              </w:rPr>
              <w:t>支持交换机内置AC功能；</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sz w:val="24"/>
                <w:szCs w:val="20"/>
                <w:lang w:val="en-US" w:eastAsia="zh-CN" w:bidi="ar-SA"/>
              </w:rPr>
            </w:pPr>
            <w:r>
              <w:rPr>
                <w:rFonts w:hint="eastAsia" w:ascii="宋体" w:hAnsi="Times New Roman" w:eastAsia="宋体" w:cs="Times New Roman"/>
                <w:sz w:val="24"/>
                <w:szCs w:val="20"/>
                <w:lang w:val="en-US" w:eastAsia="zh-CN" w:bidi="ar-SA"/>
              </w:rPr>
              <w:t>支持双向ACL，ACL≥4K；支持端口ACL；支持VLAN ACL；</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sz w:val="24"/>
                <w:szCs w:val="20"/>
                <w:lang w:val="en-US" w:eastAsia="zh-CN" w:bidi="ar-SA"/>
              </w:rPr>
            </w:pPr>
            <w:r>
              <w:rPr>
                <w:rFonts w:hint="eastAsia" w:ascii="宋体" w:hAnsi="Times New Roman" w:eastAsia="宋体" w:cs="Times New Roman"/>
                <w:sz w:val="24"/>
                <w:szCs w:val="20"/>
                <w:lang w:val="en-US" w:eastAsia="zh-CN" w:bidi="ar-SA"/>
              </w:rPr>
              <w:t>支持VXLAN，能够实现VXLAN二三层互通，支持基于IPv6的VXLAN二三层互通；</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sz w:val="24"/>
                <w:szCs w:val="20"/>
                <w:lang w:val="en-US" w:eastAsia="zh-CN" w:bidi="ar-SA"/>
              </w:rPr>
            </w:pPr>
            <w:r>
              <w:rPr>
                <w:rFonts w:hint="eastAsia" w:ascii="宋体" w:hAnsi="Times New Roman" w:eastAsia="宋体" w:cs="Times New Roman"/>
                <w:sz w:val="24"/>
                <w:szCs w:val="20"/>
                <w:lang w:val="en-US" w:eastAsia="zh-CN" w:bidi="ar-SA"/>
              </w:rPr>
              <w:t>支持RIPng、OSPFv3、BGP4+、IS-ISv6协议；</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sz w:val="24"/>
                <w:szCs w:val="20"/>
                <w:lang w:val="en-US" w:eastAsia="zh-CN" w:bidi="ar-SA"/>
              </w:rPr>
            </w:pPr>
            <w:r>
              <w:rPr>
                <w:rFonts w:hint="eastAsia" w:ascii="宋体" w:hAnsi="Times New Roman" w:eastAsia="宋体" w:cs="Times New Roman"/>
                <w:sz w:val="24"/>
                <w:szCs w:val="20"/>
                <w:lang w:val="en-US" w:eastAsia="zh-CN" w:bidi="ar-SA"/>
              </w:rPr>
              <w:t>支持IPv6策略路由；支持DHCPv6功能、IPv6 portal功能、IPv6管理功能；</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sz w:val="24"/>
                <w:szCs w:val="20"/>
                <w:lang w:val="en-US" w:eastAsia="zh-CN" w:bidi="ar-SA"/>
              </w:rPr>
            </w:pPr>
            <w:r>
              <w:rPr>
                <w:rFonts w:hint="eastAsia" w:ascii="宋体" w:hAnsi="Times New Roman" w:eastAsia="宋体" w:cs="Times New Roman"/>
                <w:sz w:val="24"/>
                <w:szCs w:val="20"/>
                <w:lang w:val="en-US" w:eastAsia="zh-CN" w:bidi="ar-SA"/>
              </w:rPr>
              <w:t>支持基于IPv6的VRRP功能；</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sz w:val="24"/>
                <w:szCs w:val="20"/>
                <w:lang w:val="en-US" w:eastAsia="zh-CN" w:bidi="ar-SA"/>
              </w:rPr>
            </w:pPr>
            <w:r>
              <w:rPr>
                <w:rFonts w:hint="eastAsia" w:ascii="宋体" w:hAnsi="Times New Roman" w:eastAsia="宋体" w:cs="Times New Roman"/>
                <w:sz w:val="24"/>
                <w:szCs w:val="20"/>
                <w:lang w:val="en-US" w:eastAsia="zh-CN" w:bidi="ar-SA"/>
              </w:rPr>
              <w:t>配置要求：双主控，双电源，千兆电口≥24个，千兆SFP光口≥24个，万兆SFP+光口≥48，实配IPv6授权；配置不少于36个万兆多模光模块，不少于4个万兆单模光模块，不少于4个千兆多模光模块，不少于4个千兆单模光模块；</w:t>
            </w:r>
          </w:p>
        </w:tc>
        <w:tc>
          <w:tcPr>
            <w:tcW w:w="6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eastAsia="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2</w:t>
            </w:r>
          </w:p>
        </w:tc>
        <w:tc>
          <w:tcPr>
            <w:tcW w:w="5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cs="宋体"/>
                <w:bCs/>
                <w:color w:val="auto"/>
                <w:sz w:val="24"/>
                <w:szCs w:val="24"/>
                <w:highlight w:val="none"/>
                <w:lang w:eastAsia="zh-CN"/>
              </w:rPr>
            </w:pPr>
            <w:r>
              <w:rPr>
                <w:rFonts w:hint="eastAsia" w:hAnsi="宋体" w:cs="宋体"/>
                <w:bCs/>
                <w:color w:val="auto"/>
                <w:sz w:val="24"/>
                <w:szCs w:val="24"/>
                <w:highlight w:val="none"/>
                <w:lang w:eastAsia="zh-CN" w:bidi="ar"/>
              </w:rPr>
              <w:t>台</w:t>
            </w:r>
          </w:p>
        </w:tc>
      </w:tr>
      <w:tr>
        <w:tblPrEx>
          <w:tblCellMar>
            <w:top w:w="0" w:type="dxa"/>
            <w:left w:w="108" w:type="dxa"/>
            <w:bottom w:w="0" w:type="dxa"/>
            <w:right w:w="108" w:type="dxa"/>
          </w:tblCellMar>
        </w:tblPrEx>
        <w:trPr>
          <w:trHeight w:val="1525" w:hRule="atLeast"/>
        </w:trPr>
        <w:tc>
          <w:tcPr>
            <w:tcW w:w="788" w:type="dxa"/>
            <w:tcBorders>
              <w:top w:val="single" w:color="auto" w:sz="4" w:space="0"/>
              <w:left w:val="single" w:color="auto" w:sz="6" w:space="0"/>
              <w:bottom w:val="single" w:color="auto" w:sz="6" w:space="0"/>
              <w:right w:val="single" w:color="auto" w:sz="6" w:space="0"/>
            </w:tcBorders>
            <w:noWrap w:val="0"/>
            <w:vAlign w:val="center"/>
          </w:tcPr>
          <w:p>
            <w:pPr>
              <w:pStyle w:val="2"/>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2</w:t>
            </w:r>
          </w:p>
        </w:tc>
        <w:tc>
          <w:tcPr>
            <w:tcW w:w="795" w:type="dxa"/>
            <w:tcBorders>
              <w:top w:val="single" w:color="auto" w:sz="4" w:space="0"/>
              <w:left w:val="nil"/>
              <w:bottom w:val="single" w:color="auto" w:sz="6" w:space="0"/>
              <w:right w:val="single" w:color="auto" w:sz="6" w:space="0"/>
            </w:tcBorders>
            <w:noWrap w:val="0"/>
            <w:vAlign w:val="center"/>
          </w:tcPr>
          <w:p>
            <w:pPr>
              <w:jc w:val="center"/>
              <w:rPr>
                <w:rFonts w:hint="eastAsia" w:hAnsi="宋体" w:cs="宋体"/>
                <w:color w:val="auto"/>
                <w:sz w:val="24"/>
                <w:szCs w:val="24"/>
                <w:highlight w:val="none"/>
                <w:lang w:eastAsia="zh-CN" w:bidi="ar"/>
              </w:rPr>
            </w:pPr>
            <w:r>
              <w:rPr>
                <w:rFonts w:hint="eastAsia" w:hAnsi="宋体" w:cs="宋体"/>
                <w:color w:val="auto"/>
                <w:sz w:val="24"/>
                <w:szCs w:val="24"/>
                <w:highlight w:val="none"/>
                <w:lang w:eastAsia="zh-CN" w:bidi="ar"/>
              </w:rPr>
              <w:t>业务接入交换机（48口万兆光）</w:t>
            </w:r>
          </w:p>
        </w:tc>
        <w:tc>
          <w:tcPr>
            <w:tcW w:w="6985" w:type="dxa"/>
            <w:tcBorders>
              <w:top w:val="single" w:color="auto" w:sz="4" w:space="0"/>
              <w:left w:val="nil"/>
              <w:bottom w:val="single" w:color="auto" w:sz="6" w:space="0"/>
              <w:right w:val="single" w:color="auto" w:sz="6" w:space="0"/>
            </w:tcBorders>
            <w:noWrap w:val="0"/>
            <w:vAlign w:val="center"/>
          </w:tcPr>
          <w:p>
            <w:pPr>
              <w:keepNext w:val="0"/>
              <w:keepLines w:val="0"/>
              <w:pageBreakBefore w:val="0"/>
              <w:widowControl/>
              <w:numPr>
                <w:ilvl w:val="0"/>
                <w:numId w:val="14"/>
              </w:numPr>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val="en-US" w:eastAsia="zh-CN"/>
              </w:rPr>
              <w:t>终端电源线（国标RVV3*1.0mm²，每个摄像机11m，运维箱到摄像机）</w:t>
            </w:r>
          </w:p>
          <w:p>
            <w:pPr>
              <w:keepNext w:val="0"/>
              <w:keepLines w:val="0"/>
              <w:pageBreakBefore w:val="0"/>
              <w:widowControl/>
              <w:numPr>
                <w:ilvl w:val="0"/>
                <w:numId w:val="14"/>
              </w:numPr>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val="en-US" w:eastAsia="zh-CN"/>
              </w:rPr>
              <w:t>超五类非屏蔽双绞线,每个摄像机12m</w:t>
            </w:r>
          </w:p>
          <w:p>
            <w:pPr>
              <w:keepNext w:val="0"/>
              <w:keepLines w:val="0"/>
              <w:pageBreakBefore w:val="0"/>
              <w:widowControl/>
              <w:numPr>
                <w:ilvl w:val="0"/>
                <w:numId w:val="14"/>
              </w:numPr>
              <w:kinsoku/>
              <w:wordWrap/>
              <w:overflowPunct/>
              <w:topLinePunct w:val="0"/>
              <w:autoSpaceDE/>
              <w:autoSpaceDN/>
              <w:bidi w:val="0"/>
              <w:adjustRightInd/>
              <w:snapToGrid/>
              <w:spacing w:line="360" w:lineRule="exact"/>
              <w:textAlignment w:val="auto"/>
              <w:rPr>
                <w:rFonts w:hint="default"/>
                <w:lang w:val="en-US" w:eastAsia="zh-CN"/>
              </w:rPr>
            </w:pPr>
            <w:r>
              <w:rPr>
                <w:rFonts w:hint="default"/>
                <w:lang w:val="en-US" w:eastAsia="zh-CN"/>
              </w:rPr>
              <w:t xml:space="preserve">超五类跳线50cm，二合一防雷器到ONU设备 </w:t>
            </w:r>
          </w:p>
          <w:p>
            <w:pPr>
              <w:keepNext w:val="0"/>
              <w:keepLines w:val="0"/>
              <w:pageBreakBefore w:val="0"/>
              <w:widowControl/>
              <w:numPr>
                <w:ilvl w:val="0"/>
                <w:numId w:val="14"/>
              </w:numPr>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val="en-US" w:eastAsia="zh-CN"/>
              </w:rPr>
              <w:t>钢扎带（用于固定摄像机和补光灯的支架，规格12*400mm，  1196*2微卡补光灯，摄像机1398*2）</w:t>
            </w:r>
          </w:p>
          <w:p>
            <w:pPr>
              <w:keepNext w:val="0"/>
              <w:keepLines w:val="0"/>
              <w:pageBreakBefore w:val="0"/>
              <w:widowControl/>
              <w:numPr>
                <w:ilvl w:val="0"/>
                <w:numId w:val="14"/>
              </w:numPr>
              <w:kinsoku/>
              <w:wordWrap/>
              <w:overflowPunct/>
              <w:topLinePunct w:val="0"/>
              <w:autoSpaceDE/>
              <w:autoSpaceDN/>
              <w:bidi w:val="0"/>
              <w:adjustRightInd/>
              <w:snapToGrid/>
              <w:spacing w:line="360" w:lineRule="exact"/>
              <w:textAlignment w:val="auto"/>
              <w:rPr>
                <w:rFonts w:hint="default"/>
                <w:lang w:val="en-US" w:eastAsia="zh-CN"/>
              </w:rPr>
            </w:pPr>
            <w:r>
              <w:rPr>
                <w:rFonts w:hint="default"/>
                <w:lang w:val="en-US" w:eastAsia="zh-CN"/>
              </w:rPr>
              <w:t>金属软管国标φ32，80cm</w:t>
            </w:r>
          </w:p>
          <w:p>
            <w:pPr>
              <w:keepNext w:val="0"/>
              <w:keepLines w:val="0"/>
              <w:pageBreakBefore w:val="0"/>
              <w:widowControl/>
              <w:numPr>
                <w:ilvl w:val="0"/>
                <w:numId w:val="14"/>
              </w:numPr>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val="en-US" w:eastAsia="zh-CN"/>
              </w:rPr>
              <w:t>PE管国标φ40，5m</w:t>
            </w:r>
          </w:p>
          <w:p>
            <w:pPr>
              <w:keepNext w:val="0"/>
              <w:keepLines w:val="0"/>
              <w:pageBreakBefore w:val="0"/>
              <w:widowControl/>
              <w:numPr>
                <w:ilvl w:val="0"/>
                <w:numId w:val="14"/>
              </w:numPr>
              <w:kinsoku/>
              <w:wordWrap/>
              <w:overflowPunct/>
              <w:topLinePunct w:val="0"/>
              <w:autoSpaceDE/>
              <w:autoSpaceDN/>
              <w:bidi w:val="0"/>
              <w:adjustRightInd/>
              <w:snapToGrid/>
              <w:spacing w:line="360" w:lineRule="exact"/>
              <w:textAlignment w:val="auto"/>
              <w:rPr>
                <w:rFonts w:hint="default"/>
                <w:lang w:val="en-US" w:eastAsia="zh-CN"/>
              </w:rPr>
            </w:pPr>
            <w:r>
              <w:rPr>
                <w:rFonts w:hint="default"/>
                <w:lang w:val="en-US" w:eastAsia="zh-CN"/>
              </w:rPr>
              <w:t>五类水晶头</w:t>
            </w:r>
          </w:p>
          <w:p>
            <w:pPr>
              <w:keepNext w:val="0"/>
              <w:keepLines w:val="0"/>
              <w:pageBreakBefore w:val="0"/>
              <w:widowControl/>
              <w:numPr>
                <w:ilvl w:val="0"/>
                <w:numId w:val="14"/>
              </w:numPr>
              <w:kinsoku/>
              <w:wordWrap/>
              <w:overflowPunct/>
              <w:topLinePunct w:val="0"/>
              <w:autoSpaceDE/>
              <w:autoSpaceDN/>
              <w:bidi w:val="0"/>
              <w:adjustRightInd/>
              <w:snapToGrid/>
              <w:spacing w:line="360" w:lineRule="exact"/>
              <w:textAlignment w:val="auto"/>
              <w:rPr>
                <w:rFonts w:hint="eastAsia" w:ascii="宋体" w:hAnsi="Times New Roman" w:eastAsia="宋体" w:cs="Times New Roman"/>
                <w:sz w:val="24"/>
                <w:szCs w:val="20"/>
                <w:lang w:val="en-US" w:eastAsia="zh-CN" w:bidi="ar-SA"/>
              </w:rPr>
            </w:pPr>
            <w:r>
              <w:rPr>
                <w:rFonts w:hint="eastAsia"/>
                <w:lang w:val="en-US" w:eastAsia="zh-CN"/>
              </w:rPr>
              <w:t xml:space="preserve">杆子穿线钢丝10m、PE管穿线钢丝8m米和宽胶带（黄色，封堵PE管）、固定地龙的铁丝、租用基坑围挡,防水胶布、扎带、木龙骨等  </w:t>
            </w:r>
          </w:p>
        </w:tc>
        <w:tc>
          <w:tcPr>
            <w:tcW w:w="618" w:type="dxa"/>
            <w:tcBorders>
              <w:top w:val="single" w:color="auto" w:sz="4" w:space="0"/>
              <w:left w:val="nil"/>
              <w:bottom w:val="single" w:color="auto" w:sz="6" w:space="0"/>
              <w:right w:val="single" w:color="auto" w:sz="6" w:space="0"/>
            </w:tcBorders>
            <w:noWrap w:val="0"/>
            <w:vAlign w:val="center"/>
          </w:tcPr>
          <w:p>
            <w:pPr>
              <w:jc w:val="center"/>
              <w:rPr>
                <w:rFonts w:hint="eastAsia" w:ascii="宋体" w:hAnsi="宋体" w:eastAsia="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2</w:t>
            </w:r>
          </w:p>
        </w:tc>
        <w:tc>
          <w:tcPr>
            <w:tcW w:w="563" w:type="dxa"/>
            <w:tcBorders>
              <w:top w:val="single" w:color="auto" w:sz="4" w:space="0"/>
              <w:left w:val="nil"/>
              <w:bottom w:val="single" w:color="auto" w:sz="6" w:space="0"/>
              <w:right w:val="single" w:color="auto" w:sz="6" w:space="0"/>
            </w:tcBorders>
            <w:noWrap w:val="0"/>
            <w:vAlign w:val="center"/>
          </w:tcPr>
          <w:p>
            <w:pPr>
              <w:jc w:val="center"/>
              <w:rPr>
                <w:rFonts w:hint="eastAsia" w:hAnsi="宋体" w:cs="宋体"/>
                <w:bCs/>
                <w:color w:val="auto"/>
                <w:sz w:val="24"/>
                <w:szCs w:val="24"/>
                <w:highlight w:val="none"/>
                <w:lang w:eastAsia="zh-CN" w:bidi="ar"/>
              </w:rPr>
            </w:pPr>
            <w:r>
              <w:rPr>
                <w:rFonts w:hint="eastAsia" w:hAnsi="宋体" w:cs="宋体"/>
                <w:bCs/>
                <w:color w:val="auto"/>
                <w:sz w:val="24"/>
                <w:szCs w:val="24"/>
                <w:highlight w:val="none"/>
                <w:lang w:eastAsia="zh-CN" w:bidi="ar"/>
              </w:rPr>
              <w:t>台</w:t>
            </w:r>
          </w:p>
        </w:tc>
      </w:tr>
      <w:tr>
        <w:tblPrEx>
          <w:tblCellMar>
            <w:top w:w="0" w:type="dxa"/>
            <w:left w:w="108" w:type="dxa"/>
            <w:bottom w:w="0" w:type="dxa"/>
            <w:right w:w="108" w:type="dxa"/>
          </w:tblCellMar>
        </w:tblPrEx>
        <w:trPr>
          <w:trHeight w:val="1525" w:hRule="atLeast"/>
        </w:trPr>
        <w:tc>
          <w:tcPr>
            <w:tcW w:w="788" w:type="dxa"/>
            <w:tcBorders>
              <w:top w:val="single" w:color="auto" w:sz="6" w:space="0"/>
              <w:left w:val="single" w:color="auto" w:sz="6" w:space="0"/>
              <w:bottom w:val="single" w:color="auto" w:sz="6" w:space="0"/>
              <w:right w:val="single" w:color="auto" w:sz="6" w:space="0"/>
            </w:tcBorders>
            <w:noWrap w:val="0"/>
            <w:vAlign w:val="center"/>
          </w:tcPr>
          <w:p>
            <w:pPr>
              <w:pStyle w:val="2"/>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3</w:t>
            </w:r>
          </w:p>
        </w:tc>
        <w:tc>
          <w:tcPr>
            <w:tcW w:w="795"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color w:val="auto"/>
                <w:sz w:val="24"/>
                <w:szCs w:val="24"/>
                <w:highlight w:val="none"/>
                <w:lang w:eastAsia="zh-CN" w:bidi="ar"/>
              </w:rPr>
            </w:pPr>
            <w:r>
              <w:rPr>
                <w:rFonts w:hint="eastAsia" w:hAnsi="宋体" w:cs="宋体"/>
                <w:color w:val="auto"/>
                <w:sz w:val="24"/>
                <w:szCs w:val="24"/>
                <w:highlight w:val="none"/>
                <w:lang w:eastAsia="zh-CN" w:bidi="ar"/>
              </w:rPr>
              <w:t>业务接入交换机（24口万兆光）</w:t>
            </w:r>
          </w:p>
        </w:tc>
        <w:tc>
          <w:tcPr>
            <w:tcW w:w="6985"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val="en-US" w:eastAsia="zh-CN"/>
              </w:rPr>
              <w:t>性能要求：交换容量≥2.5Tbps，包转发率≥700Mpps；</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val="en-US" w:eastAsia="zh-CN"/>
              </w:rPr>
              <w:t>接口要求：万兆SFP+接口≥24，QSFP+接口≥2；</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val="en-US" w:eastAsia="zh-CN"/>
              </w:rPr>
              <w:t>电源风扇：实配模块化冗余电源，实配模块化冗余风扇；</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val="en-US" w:eastAsia="zh-CN"/>
              </w:rPr>
              <w:t>功能要求：</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val="en-US" w:eastAsia="zh-CN"/>
              </w:rPr>
              <w:t>（1）支持IPv4、IPv6静态路由、RIP V1/V2、OSPF、BGP等路由；支持IPv4和IPv6环境下的策略路由；</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val="en-US" w:eastAsia="zh-CN"/>
              </w:rPr>
              <w:t>（2）支持横向虚拟化；支持通过标准以太端口进行堆叠（万兆或千兆均支持），配置相应堆叠模块及线缆；</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val="en-US" w:eastAsia="zh-CN"/>
              </w:rPr>
              <w:t>管理要求：支持SNMP V1/V2/V3、RMON、SSHV2；支持OAM(802.1AG， 802.3AH)以太网运行、维护和管理标准。</w:t>
            </w:r>
          </w:p>
        </w:tc>
        <w:tc>
          <w:tcPr>
            <w:tcW w:w="618" w:type="dxa"/>
            <w:tcBorders>
              <w:top w:val="single" w:color="auto" w:sz="6" w:space="0"/>
              <w:left w:val="nil"/>
              <w:bottom w:val="single" w:color="auto" w:sz="6" w:space="0"/>
              <w:right w:val="single" w:color="auto" w:sz="6" w:space="0"/>
            </w:tcBorders>
            <w:noWrap w:val="0"/>
            <w:vAlign w:val="center"/>
          </w:tcPr>
          <w:p>
            <w:pPr>
              <w:jc w:val="center"/>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4</w:t>
            </w:r>
          </w:p>
        </w:tc>
        <w:tc>
          <w:tcPr>
            <w:tcW w:w="563"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bCs/>
                <w:color w:val="auto"/>
                <w:sz w:val="24"/>
                <w:szCs w:val="24"/>
                <w:highlight w:val="none"/>
                <w:lang w:eastAsia="zh-CN" w:bidi="ar"/>
              </w:rPr>
            </w:pPr>
            <w:r>
              <w:rPr>
                <w:rFonts w:hint="eastAsia" w:hAnsi="宋体" w:cs="宋体"/>
                <w:bCs/>
                <w:color w:val="auto"/>
                <w:sz w:val="24"/>
                <w:szCs w:val="24"/>
                <w:highlight w:val="none"/>
                <w:lang w:eastAsia="zh-CN" w:bidi="ar"/>
              </w:rPr>
              <w:t>台</w:t>
            </w:r>
          </w:p>
        </w:tc>
      </w:tr>
      <w:tr>
        <w:tblPrEx>
          <w:tblCellMar>
            <w:top w:w="0" w:type="dxa"/>
            <w:left w:w="108" w:type="dxa"/>
            <w:bottom w:w="0" w:type="dxa"/>
            <w:right w:w="108" w:type="dxa"/>
          </w:tblCellMar>
        </w:tblPrEx>
        <w:trPr>
          <w:trHeight w:val="3579" w:hRule="atLeast"/>
        </w:trPr>
        <w:tc>
          <w:tcPr>
            <w:tcW w:w="788" w:type="dxa"/>
            <w:tcBorders>
              <w:top w:val="single" w:color="auto" w:sz="6" w:space="0"/>
              <w:left w:val="single" w:color="auto" w:sz="6" w:space="0"/>
              <w:bottom w:val="single" w:color="auto" w:sz="6" w:space="0"/>
              <w:right w:val="single" w:color="auto" w:sz="6" w:space="0"/>
            </w:tcBorders>
            <w:noWrap w:val="0"/>
            <w:vAlign w:val="center"/>
          </w:tcPr>
          <w:p>
            <w:pPr>
              <w:pStyle w:val="2"/>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4</w:t>
            </w:r>
          </w:p>
        </w:tc>
        <w:tc>
          <w:tcPr>
            <w:tcW w:w="795"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color w:val="auto"/>
                <w:sz w:val="24"/>
                <w:szCs w:val="24"/>
                <w:highlight w:val="none"/>
                <w:lang w:eastAsia="zh-CN" w:bidi="ar"/>
              </w:rPr>
            </w:pPr>
            <w:r>
              <w:rPr>
                <w:rFonts w:hint="eastAsia" w:hAnsi="宋体" w:cs="宋体"/>
                <w:color w:val="auto"/>
                <w:sz w:val="24"/>
                <w:szCs w:val="24"/>
                <w:highlight w:val="none"/>
                <w:lang w:eastAsia="zh-CN" w:bidi="ar"/>
              </w:rPr>
              <w:t>内网管理交换机（24口千兆电）</w:t>
            </w:r>
          </w:p>
        </w:tc>
        <w:tc>
          <w:tcPr>
            <w:tcW w:w="6985"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val="en-US" w:eastAsia="zh-CN"/>
              </w:rPr>
              <w:t>性能要求：交换容量≥590Gbps，包转发率≥140Mpps；</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val="en-US" w:eastAsia="zh-CN"/>
              </w:rPr>
              <w:t>接口要求：千兆GE接口≥24，万兆SFP+接口≥4；</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val="en-US" w:eastAsia="zh-CN"/>
              </w:rPr>
              <w:t>电源：实配冗余模块化电源；</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val="en-US" w:eastAsia="zh-CN"/>
              </w:rPr>
              <w:t>功能要求：</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val="en-US" w:eastAsia="zh-CN"/>
              </w:rPr>
              <w:t>（1）支持通过标准以太端口进行堆叠（万兆或千兆均支持），配置相应堆叠模块及线缆；</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val="en-US" w:eastAsia="zh-CN"/>
              </w:rPr>
              <w:t>（2）支持IPv4/IPv6路由，支持IPv4/IPv6双栈；支持基于第二层、第三层和第四层的ACL。</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val="en-US" w:eastAsia="zh-CN"/>
              </w:rPr>
              <w:t>管理要求：支持SNMP V1/V2/V3、RMON、SSHV2；支持OAM(802.1AG， 802.3AH)以太网运行、维护和管理标准。</w:t>
            </w:r>
          </w:p>
        </w:tc>
        <w:tc>
          <w:tcPr>
            <w:tcW w:w="618" w:type="dxa"/>
            <w:tcBorders>
              <w:top w:val="single" w:color="auto" w:sz="6" w:space="0"/>
              <w:left w:val="nil"/>
              <w:bottom w:val="single" w:color="auto" w:sz="6" w:space="0"/>
              <w:right w:val="single" w:color="auto" w:sz="6" w:space="0"/>
            </w:tcBorders>
            <w:noWrap w:val="0"/>
            <w:vAlign w:val="center"/>
          </w:tcPr>
          <w:p>
            <w:pPr>
              <w:jc w:val="center"/>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2</w:t>
            </w:r>
          </w:p>
        </w:tc>
        <w:tc>
          <w:tcPr>
            <w:tcW w:w="563"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bCs/>
                <w:color w:val="auto"/>
                <w:sz w:val="24"/>
                <w:szCs w:val="24"/>
                <w:highlight w:val="none"/>
                <w:lang w:eastAsia="zh-CN" w:bidi="ar"/>
              </w:rPr>
            </w:pPr>
            <w:r>
              <w:rPr>
                <w:rFonts w:hint="eastAsia" w:hAnsi="宋体" w:cs="宋体"/>
                <w:bCs/>
                <w:color w:val="auto"/>
                <w:sz w:val="24"/>
                <w:szCs w:val="24"/>
                <w:highlight w:val="none"/>
                <w:lang w:eastAsia="zh-CN" w:bidi="ar"/>
              </w:rPr>
              <w:t>台</w:t>
            </w:r>
          </w:p>
        </w:tc>
      </w:tr>
      <w:tr>
        <w:tblPrEx>
          <w:tblCellMar>
            <w:top w:w="0" w:type="dxa"/>
            <w:left w:w="108" w:type="dxa"/>
            <w:bottom w:w="0" w:type="dxa"/>
            <w:right w:w="108" w:type="dxa"/>
          </w:tblCellMar>
        </w:tblPrEx>
        <w:trPr>
          <w:trHeight w:val="3485" w:hRule="atLeast"/>
        </w:trPr>
        <w:tc>
          <w:tcPr>
            <w:tcW w:w="788" w:type="dxa"/>
            <w:tcBorders>
              <w:top w:val="single" w:color="auto" w:sz="6" w:space="0"/>
              <w:left w:val="single" w:color="auto" w:sz="6" w:space="0"/>
              <w:bottom w:val="single" w:color="auto" w:sz="6" w:space="0"/>
              <w:right w:val="single" w:color="auto" w:sz="6" w:space="0"/>
            </w:tcBorders>
            <w:noWrap w:val="0"/>
            <w:vAlign w:val="center"/>
          </w:tcPr>
          <w:p>
            <w:pPr>
              <w:pStyle w:val="2"/>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5</w:t>
            </w:r>
          </w:p>
        </w:tc>
        <w:tc>
          <w:tcPr>
            <w:tcW w:w="795"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color w:val="auto"/>
                <w:sz w:val="24"/>
                <w:szCs w:val="24"/>
                <w:highlight w:val="none"/>
                <w:lang w:eastAsia="zh-CN" w:bidi="ar"/>
              </w:rPr>
            </w:pPr>
            <w:r>
              <w:rPr>
                <w:rFonts w:hint="eastAsia" w:hAnsi="宋体" w:cs="宋体"/>
                <w:color w:val="auto"/>
                <w:sz w:val="24"/>
                <w:szCs w:val="24"/>
                <w:highlight w:val="none"/>
                <w:lang w:eastAsia="zh-CN" w:bidi="ar"/>
              </w:rPr>
              <w:t>交换机（48口千兆电）</w:t>
            </w:r>
          </w:p>
        </w:tc>
        <w:tc>
          <w:tcPr>
            <w:tcW w:w="6985"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val="en-US" w:eastAsia="zh-CN"/>
              </w:rPr>
              <w:t>性能要求：交换容量≥590Gbps，包转发率≥140Mpps；</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val="en-US" w:eastAsia="zh-CN"/>
              </w:rPr>
              <w:t>接口要求：千兆GE接口≥48，万兆SFP+接口≥4；</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val="en-US" w:eastAsia="zh-CN"/>
              </w:rPr>
              <w:t>电源：实配冗余模块化电源；</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val="en-US" w:eastAsia="zh-CN"/>
              </w:rPr>
              <w:t>功能要求：</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val="en-US" w:eastAsia="zh-CN"/>
              </w:rPr>
              <w:t>（1）支持通过标准以太端口进行堆叠（万兆或千兆均支持），配置相应堆叠模块及线缆；</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val="en-US" w:eastAsia="zh-CN"/>
              </w:rPr>
              <w:t>（2）支持IPv4/IPv6路由，支持IPv4/IPv6双栈；支持基于第二层、第三层和第四层的ACL。</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val="en-US" w:eastAsia="zh-CN"/>
              </w:rPr>
              <w:t>管理要求：支持SNMP V1/V2/V3、RMON、SSHV2；支持OAM(802.1AG， 802.3AH)以太网运行、维护和管理标准。</w:t>
            </w:r>
          </w:p>
        </w:tc>
        <w:tc>
          <w:tcPr>
            <w:tcW w:w="618" w:type="dxa"/>
            <w:tcBorders>
              <w:top w:val="single" w:color="auto" w:sz="6" w:space="0"/>
              <w:left w:val="nil"/>
              <w:bottom w:val="single" w:color="auto" w:sz="6" w:space="0"/>
              <w:right w:val="single" w:color="auto" w:sz="6" w:space="0"/>
            </w:tcBorders>
            <w:noWrap w:val="0"/>
            <w:vAlign w:val="center"/>
          </w:tcPr>
          <w:p>
            <w:pPr>
              <w:jc w:val="center"/>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1</w:t>
            </w:r>
          </w:p>
        </w:tc>
        <w:tc>
          <w:tcPr>
            <w:tcW w:w="563"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bCs/>
                <w:color w:val="auto"/>
                <w:sz w:val="24"/>
                <w:szCs w:val="24"/>
                <w:highlight w:val="none"/>
                <w:lang w:eastAsia="zh-CN" w:bidi="ar"/>
              </w:rPr>
            </w:pPr>
            <w:r>
              <w:rPr>
                <w:rFonts w:hint="eastAsia" w:hAnsi="宋体" w:cs="宋体"/>
                <w:bCs/>
                <w:color w:val="auto"/>
                <w:sz w:val="24"/>
                <w:szCs w:val="24"/>
                <w:highlight w:val="none"/>
                <w:lang w:eastAsia="zh-CN" w:bidi="ar"/>
              </w:rPr>
              <w:t>台</w:t>
            </w:r>
          </w:p>
        </w:tc>
      </w:tr>
      <w:tr>
        <w:tblPrEx>
          <w:tblCellMar>
            <w:top w:w="0" w:type="dxa"/>
            <w:left w:w="108" w:type="dxa"/>
            <w:bottom w:w="0" w:type="dxa"/>
            <w:right w:w="108" w:type="dxa"/>
          </w:tblCellMar>
        </w:tblPrEx>
        <w:trPr>
          <w:trHeight w:val="1391" w:hRule="atLeast"/>
        </w:trPr>
        <w:tc>
          <w:tcPr>
            <w:tcW w:w="788" w:type="dxa"/>
            <w:tcBorders>
              <w:top w:val="single" w:color="auto" w:sz="6" w:space="0"/>
              <w:left w:val="single" w:color="auto" w:sz="6" w:space="0"/>
              <w:bottom w:val="single" w:color="auto" w:sz="4" w:space="0"/>
              <w:right w:val="single" w:color="auto" w:sz="6" w:space="0"/>
            </w:tcBorders>
            <w:noWrap w:val="0"/>
            <w:vAlign w:val="center"/>
          </w:tcPr>
          <w:p>
            <w:pPr>
              <w:pStyle w:val="2"/>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6</w:t>
            </w:r>
          </w:p>
        </w:tc>
        <w:tc>
          <w:tcPr>
            <w:tcW w:w="795" w:type="dxa"/>
            <w:tcBorders>
              <w:top w:val="single" w:color="auto" w:sz="6" w:space="0"/>
              <w:left w:val="nil"/>
              <w:bottom w:val="single" w:color="auto" w:sz="4" w:space="0"/>
              <w:right w:val="single" w:color="auto" w:sz="6" w:space="0"/>
            </w:tcBorders>
            <w:noWrap w:val="0"/>
            <w:vAlign w:val="center"/>
          </w:tcPr>
          <w:p>
            <w:pPr>
              <w:jc w:val="center"/>
              <w:rPr>
                <w:rFonts w:hint="eastAsia" w:hAnsi="宋体" w:cs="宋体"/>
                <w:color w:val="auto"/>
                <w:sz w:val="24"/>
                <w:szCs w:val="24"/>
                <w:highlight w:val="none"/>
                <w:lang w:eastAsia="zh-CN" w:bidi="ar"/>
              </w:rPr>
            </w:pPr>
            <w:r>
              <w:rPr>
                <w:rFonts w:hint="eastAsia" w:hAnsi="宋体" w:cs="宋体"/>
                <w:color w:val="auto"/>
                <w:sz w:val="24"/>
                <w:szCs w:val="24"/>
                <w:highlight w:val="none"/>
                <w:lang w:eastAsia="zh-CN" w:bidi="ar"/>
              </w:rPr>
              <w:t>光模块</w:t>
            </w:r>
          </w:p>
        </w:tc>
        <w:tc>
          <w:tcPr>
            <w:tcW w:w="6985" w:type="dxa"/>
            <w:tcBorders>
              <w:top w:val="single" w:color="auto" w:sz="6" w:space="0"/>
              <w:left w:val="nil"/>
              <w:bottom w:val="single" w:color="auto" w:sz="4" w:space="0"/>
              <w:right w:val="single" w:color="auto" w:sz="6"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val="en-US" w:eastAsia="zh-CN"/>
              </w:rPr>
              <w:t>SFP+ 万兆多模双纤(850nm,0.55km,LC)</w:t>
            </w:r>
          </w:p>
        </w:tc>
        <w:tc>
          <w:tcPr>
            <w:tcW w:w="618" w:type="dxa"/>
            <w:tcBorders>
              <w:top w:val="single" w:color="auto" w:sz="6" w:space="0"/>
              <w:left w:val="nil"/>
              <w:bottom w:val="single" w:color="auto" w:sz="4" w:space="0"/>
              <w:right w:val="single" w:color="auto" w:sz="6" w:space="0"/>
            </w:tcBorders>
            <w:noWrap w:val="0"/>
            <w:vAlign w:val="center"/>
          </w:tcPr>
          <w:p>
            <w:pPr>
              <w:jc w:val="center"/>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70</w:t>
            </w:r>
          </w:p>
        </w:tc>
        <w:tc>
          <w:tcPr>
            <w:tcW w:w="563" w:type="dxa"/>
            <w:tcBorders>
              <w:top w:val="single" w:color="auto" w:sz="6" w:space="0"/>
              <w:left w:val="nil"/>
              <w:bottom w:val="single" w:color="auto" w:sz="4" w:space="0"/>
              <w:right w:val="single" w:color="auto" w:sz="6" w:space="0"/>
            </w:tcBorders>
            <w:noWrap w:val="0"/>
            <w:vAlign w:val="center"/>
          </w:tcPr>
          <w:p>
            <w:pPr>
              <w:jc w:val="center"/>
              <w:rPr>
                <w:rFonts w:hint="eastAsia" w:hAnsi="宋体" w:cs="宋体"/>
                <w:bCs/>
                <w:color w:val="auto"/>
                <w:sz w:val="24"/>
                <w:szCs w:val="24"/>
                <w:highlight w:val="none"/>
                <w:lang w:eastAsia="zh-CN" w:bidi="ar"/>
              </w:rPr>
            </w:pPr>
            <w:r>
              <w:rPr>
                <w:rFonts w:hint="eastAsia" w:hAnsi="宋体" w:cs="宋体"/>
                <w:bCs/>
                <w:color w:val="auto"/>
                <w:sz w:val="24"/>
                <w:szCs w:val="24"/>
                <w:highlight w:val="none"/>
                <w:lang w:eastAsia="zh-CN" w:bidi="ar"/>
              </w:rPr>
              <w:t>块</w:t>
            </w:r>
          </w:p>
        </w:tc>
      </w:tr>
      <w:tr>
        <w:tblPrEx>
          <w:tblCellMar>
            <w:top w:w="0" w:type="dxa"/>
            <w:left w:w="108" w:type="dxa"/>
            <w:bottom w:w="0" w:type="dxa"/>
            <w:right w:w="108" w:type="dxa"/>
          </w:tblCellMar>
        </w:tblPrEx>
        <w:trPr>
          <w:trHeight w:val="1179" w:hRule="atLeast"/>
        </w:trPr>
        <w:tc>
          <w:tcPr>
            <w:tcW w:w="788" w:type="dxa"/>
            <w:tcBorders>
              <w:top w:val="single" w:color="auto" w:sz="4" w:space="0"/>
              <w:left w:val="single" w:color="auto" w:sz="4" w:space="0"/>
              <w:bottom w:val="single" w:color="auto" w:sz="4" w:space="0"/>
              <w:right w:val="single" w:color="auto" w:sz="4" w:space="0"/>
            </w:tcBorders>
            <w:noWrap w:val="0"/>
            <w:vAlign w:val="center"/>
          </w:tcPr>
          <w:p>
            <w:pPr>
              <w:pStyle w:val="2"/>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7</w:t>
            </w:r>
          </w:p>
        </w:tc>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cs="宋体"/>
                <w:color w:val="auto"/>
                <w:sz w:val="24"/>
                <w:szCs w:val="24"/>
                <w:highlight w:val="none"/>
                <w:lang w:eastAsia="zh-CN" w:bidi="ar"/>
              </w:rPr>
            </w:pPr>
            <w:r>
              <w:rPr>
                <w:rFonts w:hint="eastAsia" w:hAnsi="宋体" w:cs="宋体"/>
                <w:color w:val="auto"/>
                <w:sz w:val="24"/>
                <w:szCs w:val="24"/>
                <w:highlight w:val="none"/>
                <w:lang w:eastAsia="zh-CN" w:bidi="ar"/>
              </w:rPr>
              <w:t>光模块</w:t>
            </w:r>
          </w:p>
        </w:tc>
        <w:tc>
          <w:tcPr>
            <w:tcW w:w="6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val="en-US" w:eastAsia="zh-CN"/>
              </w:rPr>
              <w:t>SFP+ 万兆单模双纤(1310nm,20km,LC)</w:t>
            </w:r>
          </w:p>
        </w:tc>
        <w:tc>
          <w:tcPr>
            <w:tcW w:w="6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4</w:t>
            </w:r>
          </w:p>
        </w:tc>
        <w:tc>
          <w:tcPr>
            <w:tcW w:w="5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cs="宋体"/>
                <w:bCs/>
                <w:color w:val="auto"/>
                <w:sz w:val="24"/>
                <w:szCs w:val="24"/>
                <w:highlight w:val="none"/>
                <w:lang w:eastAsia="zh-CN" w:bidi="ar"/>
              </w:rPr>
            </w:pPr>
            <w:r>
              <w:rPr>
                <w:rFonts w:hint="eastAsia" w:hAnsi="宋体" w:cs="宋体"/>
                <w:bCs/>
                <w:color w:val="auto"/>
                <w:sz w:val="24"/>
                <w:szCs w:val="24"/>
                <w:highlight w:val="none"/>
                <w:lang w:eastAsia="zh-CN" w:bidi="ar"/>
              </w:rPr>
              <w:t>块</w:t>
            </w:r>
          </w:p>
        </w:tc>
      </w:tr>
      <w:tr>
        <w:tblPrEx>
          <w:tblCellMar>
            <w:top w:w="0" w:type="dxa"/>
            <w:left w:w="108" w:type="dxa"/>
            <w:bottom w:w="0" w:type="dxa"/>
            <w:right w:w="108" w:type="dxa"/>
          </w:tblCellMar>
        </w:tblPrEx>
        <w:trPr>
          <w:trHeight w:val="913" w:hRule="atLeast"/>
        </w:trPr>
        <w:tc>
          <w:tcPr>
            <w:tcW w:w="9749" w:type="dxa"/>
            <w:gridSpan w:val="5"/>
            <w:tcBorders>
              <w:top w:val="single" w:color="auto" w:sz="4" w:space="0"/>
              <w:left w:val="nil"/>
              <w:bottom w:val="single" w:color="auto" w:sz="4" w:space="0"/>
              <w:right w:val="nil"/>
            </w:tcBorders>
            <w:noWrap w:val="0"/>
            <w:vAlign w:val="center"/>
          </w:tcPr>
          <w:p>
            <w:pPr>
              <w:jc w:val="left"/>
              <w:rPr>
                <w:rFonts w:hint="eastAsia" w:hAnsi="宋体" w:cs="宋体"/>
                <w:bCs/>
                <w:color w:val="auto"/>
                <w:sz w:val="24"/>
                <w:szCs w:val="24"/>
                <w:highlight w:val="none"/>
                <w:lang w:eastAsia="zh-CN" w:bidi="ar"/>
              </w:rPr>
            </w:pPr>
            <w:r>
              <w:rPr>
                <w:rFonts w:hint="eastAsia" w:hAnsi="宋体" w:cs="宋体"/>
                <w:b/>
                <w:bCs w:val="0"/>
                <w:color w:val="auto"/>
                <w:sz w:val="28"/>
                <w:szCs w:val="28"/>
                <w:highlight w:val="none"/>
                <w:lang w:eastAsia="zh-CN" w:bidi="ar"/>
              </w:rPr>
              <w:t>系统支撑</w:t>
            </w:r>
          </w:p>
        </w:tc>
      </w:tr>
      <w:tr>
        <w:tblPrEx>
          <w:tblCellMar>
            <w:top w:w="0" w:type="dxa"/>
            <w:left w:w="108" w:type="dxa"/>
            <w:bottom w:w="0" w:type="dxa"/>
            <w:right w:w="108" w:type="dxa"/>
          </w:tblCellMar>
        </w:tblPrEx>
        <w:trPr>
          <w:trHeight w:val="566" w:hRule="atLeast"/>
        </w:trPr>
        <w:tc>
          <w:tcPr>
            <w:tcW w:w="9749"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cs="宋体"/>
                <w:bCs/>
                <w:color w:val="auto"/>
                <w:sz w:val="24"/>
                <w:szCs w:val="24"/>
                <w:highlight w:val="none"/>
                <w:lang w:eastAsia="zh-CN" w:bidi="ar"/>
              </w:rPr>
            </w:pPr>
            <w:r>
              <w:rPr>
                <w:rFonts w:hint="eastAsia" w:hAnsi="宋体" w:cs="宋体"/>
                <w:bCs/>
                <w:color w:val="auto"/>
                <w:sz w:val="24"/>
                <w:szCs w:val="24"/>
                <w:highlight w:val="none"/>
                <w:lang w:eastAsia="zh-CN" w:bidi="ar"/>
              </w:rPr>
              <w:t>一、计算资源</w:t>
            </w:r>
          </w:p>
        </w:tc>
      </w:tr>
      <w:tr>
        <w:tblPrEx>
          <w:tblCellMar>
            <w:top w:w="0" w:type="dxa"/>
            <w:left w:w="108" w:type="dxa"/>
            <w:bottom w:w="0" w:type="dxa"/>
            <w:right w:w="108" w:type="dxa"/>
          </w:tblCellMar>
        </w:tblPrEx>
        <w:trPr>
          <w:trHeight w:val="666" w:hRule="atLeast"/>
        </w:trPr>
        <w:tc>
          <w:tcPr>
            <w:tcW w:w="788" w:type="dxa"/>
            <w:tcBorders>
              <w:top w:val="single" w:color="auto" w:sz="4" w:space="0"/>
              <w:left w:val="single" w:color="auto" w:sz="4" w:space="0"/>
              <w:bottom w:val="single" w:color="auto" w:sz="4" w:space="0"/>
              <w:right w:val="single" w:color="auto" w:sz="4" w:space="0"/>
            </w:tcBorders>
            <w:noWrap w:val="0"/>
            <w:vAlign w:val="center"/>
          </w:tcPr>
          <w:p>
            <w:pPr>
              <w:pStyle w:val="2"/>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1</w:t>
            </w:r>
          </w:p>
        </w:tc>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cs="宋体"/>
                <w:color w:val="auto"/>
                <w:sz w:val="24"/>
                <w:szCs w:val="24"/>
                <w:highlight w:val="none"/>
                <w:lang w:eastAsia="zh-CN" w:bidi="ar"/>
              </w:rPr>
            </w:pPr>
            <w:r>
              <w:rPr>
                <w:rFonts w:hint="eastAsia" w:hAnsi="宋体" w:cs="宋体"/>
                <w:color w:val="auto"/>
                <w:sz w:val="24"/>
                <w:szCs w:val="24"/>
                <w:highlight w:val="none"/>
                <w:lang w:eastAsia="zh-CN" w:bidi="ar"/>
              </w:rPr>
              <w:t>服务器</w:t>
            </w:r>
          </w:p>
        </w:tc>
        <w:tc>
          <w:tcPr>
            <w:tcW w:w="6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val="en-US" w:eastAsia="zh-CN"/>
              </w:rPr>
              <w:t>CPU：≥2颗 X86架构处理器，单颗核数≥24核，单颗主频≥2.2GHz,</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val="en-US" w:eastAsia="zh-CN"/>
              </w:rPr>
              <w:t>内存：≥256G DDR4；</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val="en-US" w:eastAsia="zh-CN"/>
              </w:rPr>
              <w:t>系统盘：≥2块600G 10K SAS；</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val="en-US" w:eastAsia="zh-CN"/>
              </w:rPr>
              <w:t>缓存盘：≥1块480G SSD；</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val="en-US" w:eastAsia="zh-CN"/>
              </w:rPr>
              <w:t>直通盘：≥1块960G SSD；</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val="en-US" w:eastAsia="zh-CN"/>
              </w:rPr>
              <w:t>数据盘：≥2块4T 7.2K SATA；</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val="en-US" w:eastAsia="zh-CN"/>
              </w:rPr>
              <w:t>阵列卡：SAS_HBA卡，支持RAID0/1/10；</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val="en-US" w:eastAsia="zh-CN"/>
              </w:rPr>
              <w:t>网口：≥2个千兆网口，≥4个万兆网口（含光模块）；</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val="en-US" w:eastAsia="zh-CN"/>
              </w:rPr>
              <w:t>其他接口：1个RJ45管理接口，4个USB 接口；</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val="en-US" w:eastAsia="zh-CN"/>
              </w:rPr>
              <w:t>电源：1+1冗余电源；</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val="en-US" w:eastAsia="zh-CN"/>
              </w:rPr>
              <w:t>含操作系统；</w:t>
            </w:r>
          </w:p>
        </w:tc>
        <w:tc>
          <w:tcPr>
            <w:tcW w:w="6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10</w:t>
            </w:r>
          </w:p>
        </w:tc>
        <w:tc>
          <w:tcPr>
            <w:tcW w:w="5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cs="宋体"/>
                <w:bCs/>
                <w:color w:val="auto"/>
                <w:sz w:val="24"/>
                <w:szCs w:val="24"/>
                <w:highlight w:val="none"/>
                <w:lang w:eastAsia="zh-CN" w:bidi="ar"/>
              </w:rPr>
            </w:pPr>
            <w:r>
              <w:rPr>
                <w:rFonts w:hint="eastAsia" w:hAnsi="宋体" w:cs="宋体"/>
                <w:bCs/>
                <w:color w:val="auto"/>
                <w:sz w:val="24"/>
                <w:szCs w:val="24"/>
                <w:highlight w:val="none"/>
                <w:lang w:eastAsia="zh-CN" w:bidi="ar"/>
              </w:rPr>
              <w:t>台</w:t>
            </w:r>
          </w:p>
        </w:tc>
      </w:tr>
      <w:tr>
        <w:tblPrEx>
          <w:tblCellMar>
            <w:top w:w="0" w:type="dxa"/>
            <w:left w:w="108" w:type="dxa"/>
            <w:bottom w:w="0" w:type="dxa"/>
            <w:right w:w="108" w:type="dxa"/>
          </w:tblCellMar>
        </w:tblPrEx>
        <w:trPr>
          <w:trHeight w:val="666" w:hRule="atLeast"/>
        </w:trPr>
        <w:tc>
          <w:tcPr>
            <w:tcW w:w="788" w:type="dxa"/>
            <w:tcBorders>
              <w:top w:val="single" w:color="auto" w:sz="4" w:space="0"/>
              <w:left w:val="single" w:color="auto" w:sz="6" w:space="0"/>
              <w:bottom w:val="single" w:color="auto" w:sz="6" w:space="0"/>
              <w:right w:val="single" w:color="auto" w:sz="6" w:space="0"/>
            </w:tcBorders>
            <w:noWrap w:val="0"/>
            <w:vAlign w:val="center"/>
          </w:tcPr>
          <w:p>
            <w:pPr>
              <w:pStyle w:val="2"/>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2</w:t>
            </w:r>
          </w:p>
        </w:tc>
        <w:tc>
          <w:tcPr>
            <w:tcW w:w="795" w:type="dxa"/>
            <w:tcBorders>
              <w:top w:val="single" w:color="auto" w:sz="4" w:space="0"/>
              <w:left w:val="nil"/>
              <w:bottom w:val="single" w:color="auto" w:sz="6" w:space="0"/>
              <w:right w:val="single" w:color="auto" w:sz="6" w:space="0"/>
            </w:tcBorders>
            <w:noWrap w:val="0"/>
            <w:vAlign w:val="center"/>
          </w:tcPr>
          <w:p>
            <w:pPr>
              <w:jc w:val="center"/>
              <w:rPr>
                <w:rFonts w:hint="eastAsia" w:hAnsi="宋体" w:cs="宋体"/>
                <w:color w:val="auto"/>
                <w:sz w:val="24"/>
                <w:szCs w:val="24"/>
                <w:highlight w:val="none"/>
                <w:lang w:eastAsia="zh-CN" w:bidi="ar"/>
              </w:rPr>
            </w:pPr>
            <w:r>
              <w:rPr>
                <w:rFonts w:hint="eastAsia" w:hAnsi="宋体" w:cs="宋体"/>
                <w:color w:val="auto"/>
                <w:sz w:val="24"/>
                <w:szCs w:val="24"/>
                <w:highlight w:val="none"/>
                <w:lang w:eastAsia="zh-CN" w:bidi="ar"/>
              </w:rPr>
              <w:t>虚拟化软件</w:t>
            </w:r>
          </w:p>
        </w:tc>
        <w:tc>
          <w:tcPr>
            <w:tcW w:w="6985" w:type="dxa"/>
            <w:tcBorders>
              <w:top w:val="single" w:color="auto" w:sz="4" w:space="0"/>
              <w:left w:val="nil"/>
              <w:bottom w:val="single" w:color="auto" w:sz="6" w:space="0"/>
              <w:right w:val="single" w:color="auto" w:sz="6"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lang w:val="en-US" w:eastAsia="zh-CN"/>
              </w:rPr>
            </w:pPr>
            <w:r>
              <w:rPr>
                <w:rFonts w:hint="eastAsia"/>
                <w:lang w:val="en-US" w:eastAsia="zh-CN"/>
              </w:rPr>
              <w:t>数据存储接入磁盘容量，集群可使用的存储总量≥90TB；</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lang w:val="en-US" w:eastAsia="zh-CN"/>
              </w:rPr>
            </w:pPr>
            <w:r>
              <w:rPr>
                <w:rFonts w:hint="eastAsia"/>
                <w:lang w:val="en-US" w:eastAsia="zh-CN"/>
              </w:rPr>
              <w:t>支持接入≥24个物理CPU，实现对CPU资源的虚拟化管理；</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lang w:val="en-US" w:eastAsia="zh-CN"/>
              </w:rPr>
            </w:pPr>
            <w:r>
              <w:rPr>
                <w:rFonts w:hint="eastAsia"/>
                <w:lang w:val="en-US" w:eastAsia="zh-CN"/>
              </w:rPr>
              <w:t>支持接入≥12个物理GPU，实现对GPU资源的虚拟化管理；</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lang w:val="en-US" w:eastAsia="zh-CN"/>
              </w:rPr>
            </w:pPr>
            <w:r>
              <w:rPr>
                <w:rFonts w:hint="eastAsia"/>
                <w:lang w:val="en-US" w:eastAsia="zh-CN"/>
              </w:rPr>
              <w:t>支持OpenStack组件全容器化部署模式；支持虚拟化组件的滚动升级，业务不中断；</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lang w:val="en-US" w:eastAsia="zh-CN"/>
              </w:rPr>
            </w:pPr>
            <w:r>
              <w:rPr>
                <w:rFonts w:hint="eastAsia"/>
                <w:lang w:val="en-US" w:eastAsia="zh-CN"/>
              </w:rPr>
              <w:t>虚拟化平台的管理中心集成备份模块，无需单独安装备份软件实现虚拟机备份功能，备份后端支持对接对象、文件、块存储；</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lang w:val="en-US" w:eastAsia="zh-CN"/>
              </w:rPr>
            </w:pPr>
            <w:r>
              <w:rPr>
                <w:rFonts w:hint="eastAsia"/>
                <w:lang w:val="en-US" w:eastAsia="zh-CN"/>
              </w:rPr>
              <w:t>支持流媒体的弹性伸缩，当流媒体服务集群资源的使用率达到阈值时，针对流媒体服务，能够自动添加或移除，自动分担、平衡流媒体业务流量；需提供国家级或部级第三方检测鉴定机构出具的检测报告复印件并加盖生产商的红色印章；；</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lang w:val="en-US" w:eastAsia="zh-CN"/>
              </w:rPr>
            </w:pPr>
            <w:r>
              <w:rPr>
                <w:rFonts w:hint="eastAsia"/>
                <w:lang w:val="en-US" w:eastAsia="zh-CN"/>
              </w:rPr>
              <w:t>支持在线的虚拟机迁移，可以在不中断用户使用和不丢失服务的情况下，自动地实现虚拟机在集群之内的不同物理机或存储之间迁移，（视频）业务中断时间不超过5秒；</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lang w:val="en-US" w:eastAsia="zh-CN"/>
              </w:rPr>
            </w:pPr>
            <w:r>
              <w:rPr>
                <w:rFonts w:hint="eastAsia"/>
                <w:lang w:val="en-US" w:eastAsia="zh-CN"/>
              </w:rPr>
              <w:t>千兆网络环境下，规格为8vCPU（虚拟线程和物理线程的分配比是1:1）、8GB内存的虚拟机，可实时接入或转发前端≥200路码流4Mbps的视频；需提供国家级或部级第三方检测鉴定机构出具的检测报告复印件并加盖生产商的红色印章；</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lang w:val="en-US" w:eastAsia="zh-CN"/>
              </w:rPr>
            </w:pPr>
            <w:r>
              <w:rPr>
                <w:rFonts w:hint="eastAsia"/>
                <w:lang w:val="en-US" w:eastAsia="zh-CN"/>
              </w:rPr>
              <w:t>支持通过流式存储服务控制台进行创建、编辑、删除资源池；</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lang w:val="en-US" w:eastAsia="zh-CN"/>
              </w:rPr>
            </w:pPr>
            <w:r>
              <w:rPr>
                <w:rFonts w:hint="eastAsia"/>
                <w:lang w:val="en-US" w:eastAsia="zh-CN"/>
              </w:rPr>
              <w:t>支持资源池列表展示和资源池基础信息概览展示，基础信息包括：租户和租户下子账号所有资源池存储总量，存储用量；单个资源池存储总量，存储用量；</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lang w:val="en-US" w:eastAsia="zh-CN"/>
              </w:rPr>
            </w:pPr>
            <w:r>
              <w:rPr>
                <w:rFonts w:hint="eastAsia"/>
                <w:lang w:val="en-US" w:eastAsia="zh-CN"/>
              </w:rPr>
              <w:t>支持应用高可用，系统检测应用服务或组件的状态，当虚拟机应用发生故障时，自动进行切换，实现应用自愈；需提供国家级或部级第三方检测鉴定机构出具的检测报告复印件并加盖生产商的红色印章；</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lang w:val="en-US" w:eastAsia="zh-CN"/>
              </w:rPr>
            </w:pPr>
            <w:r>
              <w:rPr>
                <w:rFonts w:hint="eastAsia"/>
                <w:lang w:val="en-US" w:eastAsia="zh-CN"/>
              </w:rPr>
              <w:t>需支持原有视频图像信息综合应用平台服务器利旧；</w:t>
            </w:r>
          </w:p>
        </w:tc>
        <w:tc>
          <w:tcPr>
            <w:tcW w:w="618" w:type="dxa"/>
            <w:tcBorders>
              <w:top w:val="single" w:color="auto" w:sz="4" w:space="0"/>
              <w:left w:val="nil"/>
              <w:bottom w:val="single" w:color="auto" w:sz="6" w:space="0"/>
              <w:right w:val="single" w:color="auto" w:sz="6" w:space="0"/>
            </w:tcBorders>
            <w:noWrap w:val="0"/>
            <w:vAlign w:val="center"/>
          </w:tcPr>
          <w:p>
            <w:pPr>
              <w:jc w:val="center"/>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1</w:t>
            </w:r>
          </w:p>
        </w:tc>
        <w:tc>
          <w:tcPr>
            <w:tcW w:w="563" w:type="dxa"/>
            <w:tcBorders>
              <w:top w:val="single" w:color="auto" w:sz="4" w:space="0"/>
              <w:left w:val="nil"/>
              <w:bottom w:val="single" w:color="auto" w:sz="6" w:space="0"/>
              <w:right w:val="single" w:color="auto" w:sz="6" w:space="0"/>
            </w:tcBorders>
            <w:noWrap w:val="0"/>
            <w:vAlign w:val="center"/>
          </w:tcPr>
          <w:p>
            <w:pPr>
              <w:jc w:val="center"/>
              <w:rPr>
                <w:rFonts w:hint="eastAsia" w:hAnsi="宋体" w:cs="宋体"/>
                <w:bCs/>
                <w:color w:val="auto"/>
                <w:sz w:val="24"/>
                <w:szCs w:val="24"/>
                <w:highlight w:val="none"/>
                <w:lang w:eastAsia="zh-CN" w:bidi="ar"/>
              </w:rPr>
            </w:pPr>
            <w:r>
              <w:rPr>
                <w:rFonts w:hint="eastAsia" w:hAnsi="宋体" w:cs="宋体"/>
                <w:bCs/>
                <w:color w:val="auto"/>
                <w:sz w:val="24"/>
                <w:szCs w:val="24"/>
                <w:highlight w:val="none"/>
                <w:lang w:eastAsia="zh-CN" w:bidi="ar"/>
              </w:rPr>
              <w:t>套</w:t>
            </w:r>
          </w:p>
        </w:tc>
      </w:tr>
      <w:tr>
        <w:tblPrEx>
          <w:tblCellMar>
            <w:top w:w="0" w:type="dxa"/>
            <w:left w:w="108" w:type="dxa"/>
            <w:bottom w:w="0" w:type="dxa"/>
            <w:right w:w="108" w:type="dxa"/>
          </w:tblCellMar>
        </w:tblPrEx>
        <w:trPr>
          <w:trHeight w:val="3089" w:hRule="atLeast"/>
        </w:trPr>
        <w:tc>
          <w:tcPr>
            <w:tcW w:w="788" w:type="dxa"/>
            <w:tcBorders>
              <w:top w:val="single" w:color="auto" w:sz="6" w:space="0"/>
              <w:left w:val="single" w:color="auto" w:sz="6" w:space="0"/>
              <w:bottom w:val="single" w:color="auto" w:sz="6" w:space="0"/>
              <w:right w:val="single" w:color="auto" w:sz="6" w:space="0"/>
            </w:tcBorders>
            <w:noWrap w:val="0"/>
            <w:vAlign w:val="center"/>
          </w:tcPr>
          <w:p>
            <w:pPr>
              <w:pStyle w:val="2"/>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3</w:t>
            </w:r>
          </w:p>
        </w:tc>
        <w:tc>
          <w:tcPr>
            <w:tcW w:w="795"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color w:val="auto"/>
                <w:sz w:val="24"/>
                <w:szCs w:val="24"/>
                <w:highlight w:val="none"/>
                <w:lang w:eastAsia="zh-CN" w:bidi="ar"/>
              </w:rPr>
            </w:pPr>
            <w:r>
              <w:rPr>
                <w:rFonts w:hint="eastAsia" w:hAnsi="宋体" w:cs="宋体"/>
                <w:color w:val="auto"/>
                <w:sz w:val="24"/>
                <w:szCs w:val="24"/>
                <w:highlight w:val="none"/>
                <w:lang w:eastAsia="zh-CN" w:bidi="ar"/>
              </w:rPr>
              <w:t>解析服务器+注册库服务器</w:t>
            </w:r>
          </w:p>
        </w:tc>
        <w:tc>
          <w:tcPr>
            <w:tcW w:w="6985"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lang w:val="en-US" w:eastAsia="zh-CN"/>
              </w:rPr>
            </w:pPr>
            <w:r>
              <w:rPr>
                <w:rFonts w:hint="eastAsia"/>
                <w:lang w:val="en-US" w:eastAsia="zh-CN"/>
              </w:rPr>
              <w:t>CPU：≥2颗X86架构处理器，单颗核数≥24核，单颗主频≥2.2GHz；</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lang w:val="en-US" w:eastAsia="zh-CN"/>
              </w:rPr>
            </w:pPr>
            <w:r>
              <w:rPr>
                <w:rFonts w:hint="eastAsia"/>
                <w:lang w:val="en-US" w:eastAsia="zh-CN"/>
              </w:rPr>
              <w:t>GPU：≥8张T4卡</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lang w:val="en-US" w:eastAsia="zh-CN"/>
              </w:rPr>
            </w:pPr>
            <w:r>
              <w:rPr>
                <w:rFonts w:hint="eastAsia"/>
                <w:lang w:val="en-US" w:eastAsia="zh-CN"/>
              </w:rPr>
              <w:t>内存：≥256GB  DDR4 ，32个内存插槽</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lang w:val="en-US" w:eastAsia="zh-CN"/>
              </w:rPr>
            </w:pPr>
            <w:r>
              <w:rPr>
                <w:rFonts w:hint="eastAsia"/>
                <w:lang w:val="en-US" w:eastAsia="zh-CN"/>
              </w:rPr>
              <w:t>硬盘：≥240G SATA SSD ，最大支持12个3.5寸SAS/SATA HDD，支持热插拔</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lang w:val="en-US" w:eastAsia="zh-CN"/>
              </w:rPr>
            </w:pPr>
            <w:r>
              <w:rPr>
                <w:rFonts w:hint="eastAsia"/>
                <w:lang w:val="en-US" w:eastAsia="zh-CN"/>
              </w:rPr>
              <w:t>网口：≥2个千兆网口，≥2个万兆网口，≥1个RJ45管理口</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lang w:val="en-US" w:eastAsia="zh-CN"/>
              </w:rPr>
            </w:pPr>
            <w:r>
              <w:rPr>
                <w:rFonts w:hint="eastAsia"/>
                <w:lang w:val="en-US" w:eastAsia="zh-CN"/>
              </w:rPr>
              <w:t>其他接口：≥4个USB接口，≥1个VGA接口</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lang w:val="en-US" w:eastAsia="zh-CN"/>
              </w:rPr>
            </w:pPr>
            <w:r>
              <w:rPr>
                <w:rFonts w:hint="eastAsia"/>
                <w:lang w:val="en-US" w:eastAsia="zh-CN"/>
              </w:rPr>
              <w:t>电源：1+1冗余</w:t>
            </w:r>
          </w:p>
        </w:tc>
        <w:tc>
          <w:tcPr>
            <w:tcW w:w="618" w:type="dxa"/>
            <w:tcBorders>
              <w:top w:val="single" w:color="auto" w:sz="6" w:space="0"/>
              <w:left w:val="nil"/>
              <w:bottom w:val="single" w:color="auto" w:sz="6" w:space="0"/>
              <w:right w:val="single" w:color="auto" w:sz="6" w:space="0"/>
            </w:tcBorders>
            <w:noWrap w:val="0"/>
            <w:vAlign w:val="center"/>
          </w:tcPr>
          <w:p>
            <w:pPr>
              <w:jc w:val="center"/>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1</w:t>
            </w:r>
          </w:p>
        </w:tc>
        <w:tc>
          <w:tcPr>
            <w:tcW w:w="563"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bCs/>
                <w:color w:val="auto"/>
                <w:sz w:val="24"/>
                <w:szCs w:val="24"/>
                <w:highlight w:val="none"/>
                <w:lang w:eastAsia="zh-CN" w:bidi="ar"/>
              </w:rPr>
            </w:pPr>
            <w:r>
              <w:rPr>
                <w:rFonts w:hint="eastAsia" w:hAnsi="宋体" w:cs="宋体"/>
                <w:bCs/>
                <w:color w:val="auto"/>
                <w:sz w:val="24"/>
                <w:szCs w:val="24"/>
                <w:highlight w:val="none"/>
                <w:lang w:eastAsia="zh-CN" w:bidi="ar"/>
              </w:rPr>
              <w:t>台</w:t>
            </w:r>
          </w:p>
        </w:tc>
      </w:tr>
      <w:tr>
        <w:tblPrEx>
          <w:tblCellMar>
            <w:top w:w="0" w:type="dxa"/>
            <w:left w:w="108" w:type="dxa"/>
            <w:bottom w:w="0" w:type="dxa"/>
            <w:right w:w="108" w:type="dxa"/>
          </w:tblCellMar>
        </w:tblPrEx>
        <w:trPr>
          <w:trHeight w:val="2265" w:hRule="atLeast"/>
        </w:trPr>
        <w:tc>
          <w:tcPr>
            <w:tcW w:w="788" w:type="dxa"/>
            <w:tcBorders>
              <w:top w:val="single" w:color="auto" w:sz="6" w:space="0"/>
              <w:left w:val="single" w:color="auto" w:sz="6" w:space="0"/>
              <w:bottom w:val="single" w:color="auto" w:sz="6" w:space="0"/>
              <w:right w:val="single" w:color="auto" w:sz="6" w:space="0"/>
            </w:tcBorders>
            <w:noWrap w:val="0"/>
            <w:vAlign w:val="center"/>
          </w:tcPr>
          <w:p>
            <w:pPr>
              <w:pStyle w:val="2"/>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4</w:t>
            </w:r>
          </w:p>
        </w:tc>
        <w:tc>
          <w:tcPr>
            <w:tcW w:w="795"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color w:val="auto"/>
                <w:sz w:val="24"/>
                <w:szCs w:val="24"/>
                <w:highlight w:val="none"/>
                <w:lang w:eastAsia="zh-CN" w:bidi="ar"/>
              </w:rPr>
            </w:pPr>
            <w:r>
              <w:rPr>
                <w:rFonts w:hint="eastAsia" w:hAnsi="宋体" w:cs="宋体"/>
                <w:color w:val="auto"/>
                <w:sz w:val="24"/>
                <w:szCs w:val="24"/>
                <w:highlight w:val="none"/>
                <w:lang w:eastAsia="zh-CN" w:bidi="ar"/>
              </w:rPr>
              <w:t>聚类服务器</w:t>
            </w:r>
          </w:p>
        </w:tc>
        <w:tc>
          <w:tcPr>
            <w:tcW w:w="6985"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lang w:val="en-US" w:eastAsia="zh-CN"/>
              </w:rPr>
            </w:pPr>
            <w:r>
              <w:rPr>
                <w:rFonts w:hint="eastAsia"/>
                <w:lang w:val="en-US" w:eastAsia="zh-CN"/>
              </w:rPr>
              <w:t>CPU：≥2颗X86架构处理器，单颗核数≥24核，单颗主频≥2.2GHz；</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lang w:val="en-US" w:eastAsia="zh-CN"/>
              </w:rPr>
            </w:pPr>
            <w:r>
              <w:rPr>
                <w:rFonts w:hint="eastAsia"/>
                <w:lang w:val="en-US" w:eastAsia="zh-CN"/>
              </w:rPr>
              <w:t>GPU：≥4块T4卡；</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lang w:val="en-US" w:eastAsia="zh-CN"/>
              </w:rPr>
            </w:pPr>
            <w:r>
              <w:rPr>
                <w:rFonts w:hint="eastAsia"/>
                <w:lang w:val="en-US" w:eastAsia="zh-CN"/>
              </w:rPr>
              <w:t>内存：≥448G DDR4；</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lang w:val="en-US" w:eastAsia="zh-CN"/>
              </w:rPr>
            </w:pPr>
            <w:r>
              <w:rPr>
                <w:rFonts w:hint="eastAsia"/>
                <w:lang w:val="en-US" w:eastAsia="zh-CN"/>
              </w:rPr>
              <w:t>硬盘：≥1块240G SSD，≥4块960G SSD，≥1块4T SATA；</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lang w:val="en-US" w:eastAsia="zh-CN"/>
              </w:rPr>
            </w:pPr>
            <w:r>
              <w:rPr>
                <w:rFonts w:hint="eastAsia"/>
                <w:lang w:val="en-US" w:eastAsia="zh-CN"/>
              </w:rPr>
              <w:t>网口：≥2个千兆网口，≥4个USB接口,≥2个VGA接口；</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lang w:val="en-US" w:eastAsia="zh-CN"/>
              </w:rPr>
            </w:pPr>
            <w:r>
              <w:rPr>
                <w:rFonts w:hint="eastAsia"/>
                <w:lang w:val="en-US" w:eastAsia="zh-CN"/>
              </w:rPr>
              <w:t>电源：1+1冗余电源；</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lang w:val="en-US" w:eastAsia="zh-CN"/>
              </w:rPr>
            </w:pPr>
            <w:r>
              <w:rPr>
                <w:rFonts w:hint="eastAsia"/>
                <w:lang w:val="en-US" w:eastAsia="zh-CN"/>
              </w:rPr>
              <w:t>含操作系统；</w:t>
            </w:r>
          </w:p>
        </w:tc>
        <w:tc>
          <w:tcPr>
            <w:tcW w:w="618" w:type="dxa"/>
            <w:tcBorders>
              <w:top w:val="single" w:color="auto" w:sz="6" w:space="0"/>
              <w:left w:val="nil"/>
              <w:bottom w:val="single" w:color="auto" w:sz="6" w:space="0"/>
              <w:right w:val="single" w:color="auto" w:sz="6" w:space="0"/>
            </w:tcBorders>
            <w:noWrap w:val="0"/>
            <w:vAlign w:val="center"/>
          </w:tcPr>
          <w:p>
            <w:pPr>
              <w:jc w:val="center"/>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1</w:t>
            </w:r>
          </w:p>
        </w:tc>
        <w:tc>
          <w:tcPr>
            <w:tcW w:w="563"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bCs/>
                <w:color w:val="auto"/>
                <w:sz w:val="24"/>
                <w:szCs w:val="24"/>
                <w:highlight w:val="none"/>
                <w:lang w:eastAsia="zh-CN" w:bidi="ar"/>
              </w:rPr>
            </w:pPr>
            <w:r>
              <w:rPr>
                <w:rFonts w:hint="eastAsia" w:hAnsi="宋体" w:cs="宋体"/>
                <w:bCs/>
                <w:color w:val="auto"/>
                <w:sz w:val="24"/>
                <w:szCs w:val="24"/>
                <w:highlight w:val="none"/>
                <w:lang w:eastAsia="zh-CN" w:bidi="ar"/>
              </w:rPr>
              <w:t>台</w:t>
            </w:r>
          </w:p>
        </w:tc>
      </w:tr>
      <w:tr>
        <w:tblPrEx>
          <w:tblCellMar>
            <w:top w:w="0" w:type="dxa"/>
            <w:left w:w="108" w:type="dxa"/>
            <w:bottom w:w="0" w:type="dxa"/>
            <w:right w:w="108" w:type="dxa"/>
          </w:tblCellMar>
        </w:tblPrEx>
        <w:trPr>
          <w:trHeight w:val="601" w:hRule="atLeast"/>
        </w:trPr>
        <w:tc>
          <w:tcPr>
            <w:tcW w:w="9749" w:type="dxa"/>
            <w:gridSpan w:val="5"/>
            <w:tcBorders>
              <w:top w:val="single" w:color="auto" w:sz="6" w:space="0"/>
              <w:left w:val="single" w:color="auto" w:sz="6" w:space="0"/>
              <w:bottom w:val="single" w:color="auto" w:sz="6" w:space="0"/>
              <w:right w:val="single" w:color="auto" w:sz="6" w:space="0"/>
            </w:tcBorders>
            <w:noWrap w:val="0"/>
            <w:vAlign w:val="center"/>
          </w:tcPr>
          <w:p>
            <w:pPr>
              <w:jc w:val="center"/>
              <w:rPr>
                <w:rFonts w:hint="eastAsia" w:hAnsi="宋体" w:cs="宋体"/>
                <w:bCs/>
                <w:color w:val="auto"/>
                <w:sz w:val="24"/>
                <w:szCs w:val="24"/>
                <w:highlight w:val="none"/>
                <w:lang w:eastAsia="zh-CN" w:bidi="ar"/>
              </w:rPr>
            </w:pPr>
            <w:r>
              <w:rPr>
                <w:rFonts w:hint="eastAsia" w:hAnsi="宋体" w:cs="宋体"/>
                <w:bCs/>
                <w:color w:val="auto"/>
                <w:sz w:val="24"/>
                <w:szCs w:val="24"/>
                <w:highlight w:val="none"/>
                <w:lang w:eastAsia="zh-CN" w:bidi="ar"/>
              </w:rPr>
              <w:t>二、存储资源</w:t>
            </w:r>
          </w:p>
        </w:tc>
      </w:tr>
      <w:tr>
        <w:tblPrEx>
          <w:tblCellMar>
            <w:top w:w="0" w:type="dxa"/>
            <w:left w:w="108" w:type="dxa"/>
            <w:bottom w:w="0" w:type="dxa"/>
            <w:right w:w="108" w:type="dxa"/>
          </w:tblCellMar>
        </w:tblPrEx>
        <w:trPr>
          <w:trHeight w:val="2652" w:hRule="atLeast"/>
        </w:trPr>
        <w:tc>
          <w:tcPr>
            <w:tcW w:w="788" w:type="dxa"/>
            <w:tcBorders>
              <w:top w:val="single" w:color="auto" w:sz="6" w:space="0"/>
              <w:left w:val="single" w:color="auto" w:sz="6" w:space="0"/>
              <w:bottom w:val="single" w:color="auto" w:sz="6" w:space="0"/>
              <w:right w:val="single" w:color="auto" w:sz="6" w:space="0"/>
            </w:tcBorders>
            <w:noWrap w:val="0"/>
            <w:vAlign w:val="center"/>
          </w:tcPr>
          <w:p>
            <w:pPr>
              <w:pStyle w:val="2"/>
              <w:ind w:firstLine="240" w:firstLineChars="100"/>
              <w:rPr>
                <w:rFonts w:hint="eastAsia"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1</w:t>
            </w:r>
          </w:p>
        </w:tc>
        <w:tc>
          <w:tcPr>
            <w:tcW w:w="795"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color w:val="auto"/>
                <w:sz w:val="24"/>
                <w:szCs w:val="24"/>
                <w:highlight w:val="none"/>
                <w:lang w:eastAsia="zh-CN" w:bidi="ar"/>
              </w:rPr>
            </w:pPr>
            <w:r>
              <w:rPr>
                <w:rFonts w:hint="eastAsia" w:hAnsi="宋体" w:cs="宋体"/>
                <w:color w:val="auto"/>
                <w:sz w:val="24"/>
                <w:szCs w:val="24"/>
                <w:highlight w:val="none"/>
                <w:lang w:eastAsia="zh-CN" w:bidi="ar"/>
              </w:rPr>
              <w:t>大数据分布式存储计算节点服务器</w:t>
            </w:r>
          </w:p>
        </w:tc>
        <w:tc>
          <w:tcPr>
            <w:tcW w:w="6985"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val="en-US" w:eastAsia="zh-CN"/>
              </w:rPr>
              <w:t>CPU：≥2颗处理器，单颗核数≥16核，单颗主频≥2.2GHz,</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val="en-US" w:eastAsia="zh-CN"/>
              </w:rPr>
              <w:t>内存：≥256GB DDR4</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val="en-US" w:eastAsia="zh-CN"/>
              </w:rPr>
              <w:t>系统盘：≥240G M.2*1；</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val="en-US" w:eastAsia="zh-CN"/>
              </w:rPr>
              <w:t>缓存盘：≥240G SSD*1；</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val="en-US" w:eastAsia="zh-CN"/>
              </w:rPr>
              <w:t>索引盘：≥480G SSD*6；</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val="en-US" w:eastAsia="zh-CN"/>
              </w:rPr>
              <w:t>数据盘：≥2T 7.2K SATA *4</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val="en-US" w:eastAsia="zh-CN"/>
              </w:rPr>
              <w:t>网口：≥2个千兆电口, ≥2个万兆光口（含光模块）</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val="en-US" w:eastAsia="zh-CN"/>
              </w:rPr>
              <w:t>阵列卡：配置独立高性能RAID卡，缓存≥2G，可支持raid 0/1/5/10等模式</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lang w:val="en-US" w:eastAsia="zh-CN"/>
              </w:rPr>
            </w:pPr>
            <w:r>
              <w:rPr>
                <w:rFonts w:hint="eastAsia"/>
                <w:lang w:val="en-US" w:eastAsia="zh-CN"/>
              </w:rPr>
              <w:t>电源：1+1冗余电源</w:t>
            </w:r>
          </w:p>
        </w:tc>
        <w:tc>
          <w:tcPr>
            <w:tcW w:w="618"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3</w:t>
            </w:r>
          </w:p>
        </w:tc>
        <w:tc>
          <w:tcPr>
            <w:tcW w:w="563"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bCs/>
                <w:color w:val="auto"/>
                <w:sz w:val="24"/>
                <w:szCs w:val="24"/>
                <w:highlight w:val="none"/>
                <w:lang w:eastAsia="zh-CN" w:bidi="ar"/>
              </w:rPr>
            </w:pPr>
            <w:r>
              <w:rPr>
                <w:rFonts w:hint="eastAsia" w:hAnsi="宋体" w:cs="宋体"/>
                <w:bCs/>
                <w:color w:val="auto"/>
                <w:sz w:val="24"/>
                <w:szCs w:val="24"/>
                <w:highlight w:val="none"/>
                <w:lang w:eastAsia="zh-CN" w:bidi="ar"/>
              </w:rPr>
              <w:t>台</w:t>
            </w:r>
          </w:p>
        </w:tc>
      </w:tr>
      <w:tr>
        <w:tblPrEx>
          <w:tblCellMar>
            <w:top w:w="0" w:type="dxa"/>
            <w:left w:w="108" w:type="dxa"/>
            <w:bottom w:w="0" w:type="dxa"/>
            <w:right w:w="108" w:type="dxa"/>
          </w:tblCellMar>
        </w:tblPrEx>
        <w:trPr>
          <w:trHeight w:val="2652" w:hRule="atLeast"/>
        </w:trPr>
        <w:tc>
          <w:tcPr>
            <w:tcW w:w="788" w:type="dxa"/>
            <w:tcBorders>
              <w:top w:val="single" w:color="auto" w:sz="6" w:space="0"/>
              <w:left w:val="single" w:color="auto" w:sz="6" w:space="0"/>
              <w:bottom w:val="single" w:color="auto" w:sz="6" w:space="0"/>
              <w:right w:val="single" w:color="auto" w:sz="6" w:space="0"/>
            </w:tcBorders>
            <w:noWrap w:val="0"/>
            <w:vAlign w:val="center"/>
          </w:tcPr>
          <w:p>
            <w:pPr>
              <w:pStyle w:val="2"/>
              <w:ind w:firstLine="240" w:firstLineChars="100"/>
              <w:rPr>
                <w:rFonts w:hint="eastAsia"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2</w:t>
            </w:r>
          </w:p>
        </w:tc>
        <w:tc>
          <w:tcPr>
            <w:tcW w:w="795"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color w:val="auto"/>
                <w:sz w:val="24"/>
                <w:szCs w:val="24"/>
                <w:highlight w:val="none"/>
                <w:lang w:eastAsia="zh-CN" w:bidi="ar"/>
              </w:rPr>
            </w:pPr>
            <w:r>
              <w:rPr>
                <w:rFonts w:hint="eastAsia" w:hAnsi="宋体" w:cs="宋体"/>
                <w:color w:val="auto"/>
                <w:sz w:val="24"/>
                <w:szCs w:val="24"/>
                <w:highlight w:val="none"/>
                <w:lang w:eastAsia="zh-CN" w:bidi="ar"/>
              </w:rPr>
              <w:t>大数据分布式存储管理节点服务器</w:t>
            </w:r>
          </w:p>
        </w:tc>
        <w:tc>
          <w:tcPr>
            <w:tcW w:w="6985"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val="en-US" w:eastAsia="zh-CN"/>
              </w:rPr>
              <w:t>CPU：≥2颗处理器，单颗核数≥16核，单颗主频≥2.2GHz,</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val="en-US" w:eastAsia="zh-CN"/>
              </w:rPr>
              <w:t>内存：≥256GB DDR4</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val="en-US" w:eastAsia="zh-CN"/>
              </w:rPr>
              <w:t>系统盘：≥240G M.2*1；</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val="en-US" w:eastAsia="zh-CN"/>
              </w:rPr>
              <w:t>缓存盘：≥240G SSD*1；</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val="en-US" w:eastAsia="zh-CN"/>
              </w:rPr>
              <w:t>索引盘：≥480G SSD*6；</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val="en-US" w:eastAsia="zh-CN"/>
              </w:rPr>
              <w:t>数据盘：≥2T 7.2K SATA *4</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val="en-US" w:eastAsia="zh-CN"/>
              </w:rPr>
              <w:t>网口：≥2个千兆电口, ≥2个万兆光口（含光模块）</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val="en-US" w:eastAsia="zh-CN"/>
              </w:rPr>
              <w:t>阵列卡：配置独立高性能RAID卡，缓存≥2G，可支持raid 0/1/5/10等模式</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lang w:val="en-US" w:eastAsia="zh-CN"/>
              </w:rPr>
            </w:pPr>
            <w:r>
              <w:rPr>
                <w:rFonts w:hint="eastAsia"/>
                <w:lang w:val="en-US" w:eastAsia="zh-CN"/>
              </w:rPr>
              <w:t>电源：1+1冗余电源</w:t>
            </w:r>
          </w:p>
        </w:tc>
        <w:tc>
          <w:tcPr>
            <w:tcW w:w="618"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2</w:t>
            </w:r>
          </w:p>
        </w:tc>
        <w:tc>
          <w:tcPr>
            <w:tcW w:w="563"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bCs/>
                <w:color w:val="auto"/>
                <w:sz w:val="24"/>
                <w:szCs w:val="24"/>
                <w:highlight w:val="none"/>
                <w:lang w:eastAsia="zh-CN" w:bidi="ar"/>
              </w:rPr>
            </w:pPr>
            <w:r>
              <w:rPr>
                <w:rFonts w:hint="eastAsia" w:hAnsi="宋体" w:cs="宋体"/>
                <w:bCs/>
                <w:color w:val="auto"/>
                <w:sz w:val="24"/>
                <w:szCs w:val="24"/>
                <w:highlight w:val="none"/>
                <w:lang w:eastAsia="zh-CN" w:bidi="ar"/>
              </w:rPr>
              <w:t>台</w:t>
            </w:r>
          </w:p>
        </w:tc>
      </w:tr>
      <w:tr>
        <w:tblPrEx>
          <w:tblCellMar>
            <w:top w:w="0" w:type="dxa"/>
            <w:left w:w="108" w:type="dxa"/>
            <w:bottom w:w="0" w:type="dxa"/>
            <w:right w:w="108" w:type="dxa"/>
          </w:tblCellMar>
        </w:tblPrEx>
        <w:trPr>
          <w:trHeight w:val="2652" w:hRule="atLeast"/>
        </w:trPr>
        <w:tc>
          <w:tcPr>
            <w:tcW w:w="788" w:type="dxa"/>
            <w:tcBorders>
              <w:top w:val="single" w:color="auto" w:sz="6" w:space="0"/>
              <w:left w:val="single" w:color="auto" w:sz="6" w:space="0"/>
              <w:bottom w:val="single" w:color="auto" w:sz="6" w:space="0"/>
              <w:right w:val="single" w:color="auto" w:sz="6" w:space="0"/>
            </w:tcBorders>
            <w:noWrap w:val="0"/>
            <w:vAlign w:val="center"/>
          </w:tcPr>
          <w:p>
            <w:pPr>
              <w:pStyle w:val="2"/>
              <w:ind w:firstLine="240" w:firstLineChars="100"/>
              <w:rPr>
                <w:rFonts w:hint="eastAsia"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3</w:t>
            </w:r>
          </w:p>
        </w:tc>
        <w:tc>
          <w:tcPr>
            <w:tcW w:w="795"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color w:val="auto"/>
                <w:sz w:val="24"/>
                <w:szCs w:val="24"/>
                <w:highlight w:val="none"/>
                <w:lang w:eastAsia="zh-CN" w:bidi="ar"/>
              </w:rPr>
            </w:pPr>
            <w:r>
              <w:rPr>
                <w:rFonts w:hint="eastAsia" w:hAnsi="宋体" w:cs="宋体"/>
                <w:color w:val="auto"/>
                <w:sz w:val="24"/>
                <w:szCs w:val="24"/>
                <w:highlight w:val="none"/>
                <w:lang w:eastAsia="zh-CN" w:bidi="ar"/>
              </w:rPr>
              <w:t>大数据分布式计算处理软件</w:t>
            </w:r>
          </w:p>
        </w:tc>
        <w:tc>
          <w:tcPr>
            <w:tcW w:w="6985"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val="en-US" w:eastAsia="zh-CN"/>
              </w:rPr>
              <w:t>含≥5个软件授权节点；</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val="en-US" w:eastAsia="zh-CN"/>
              </w:rPr>
              <w:t>需提供统一元数据管理功能，由元数据中心统一管理数据接入与数据处理结果，并由元数据中心统一维护数据关联；</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val="en-US" w:eastAsia="zh-CN"/>
              </w:rPr>
              <w:t>需提供计算服务异常中止后自动拉起服务以及任务弹性调度功能，并监控组件资源使用情况；</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val="en-US" w:eastAsia="zh-CN"/>
              </w:rPr>
              <w:t>需支持通过第三方Kerberos身份认证，实现用户和服务的身份验证；需提供国家级或部级第三方检测鉴定机构出具的检测报告复印件并加盖生产商的红色印章；</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val="en-US" w:eastAsia="zh-CN"/>
              </w:rPr>
              <w:t>提供用户密码的访问控制以及数据权限控制功能；</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val="en-US" w:eastAsia="zh-CN"/>
              </w:rPr>
              <w:t>提供数据以键值形式进行存储的功能以及多级索引功能；</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val="en-US" w:eastAsia="zh-CN"/>
              </w:rPr>
              <w:t>提供多租户资源（包括计算资源和存储资源）隔离功能；</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val="en-US" w:eastAsia="zh-CN"/>
              </w:rPr>
              <w:t>提供可视化一站式大数据集群管理平台，并具备安装部署、节点管理、服务管理、告警管理、系统监控（监控概览、基础服务、租户服务、专题监控）、日志审计（操作审计、权限审计、日志管理）、租户管理、用户管理等管理功能；</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val="en-US" w:eastAsia="zh-CN"/>
              </w:rPr>
              <w:t>提供外部文件系统及大数据平台内部组件数据导入功能，导入性能单节点≥98M/s；需提供国家级或部级第三方检测鉴定机构出具的检测报告复印件并加盖生产商的红色印章；</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val="en-US" w:eastAsia="zh-CN"/>
              </w:rPr>
              <w:t>提供集群间历史数据迁移功能，能够利用数据抽取工具分批次将历史数据抽取到数据库中；</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lang w:val="en-US" w:eastAsia="zh-CN"/>
              </w:rPr>
            </w:pPr>
            <w:r>
              <w:rPr>
                <w:rFonts w:hint="eastAsia"/>
                <w:lang w:val="en-US" w:eastAsia="zh-CN"/>
              </w:rPr>
              <w:t>需提供大数据平台软件软件著作权；</w:t>
            </w:r>
          </w:p>
        </w:tc>
        <w:tc>
          <w:tcPr>
            <w:tcW w:w="618"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1</w:t>
            </w:r>
          </w:p>
        </w:tc>
        <w:tc>
          <w:tcPr>
            <w:tcW w:w="563"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bCs/>
                <w:color w:val="auto"/>
                <w:sz w:val="24"/>
                <w:szCs w:val="24"/>
                <w:highlight w:val="none"/>
                <w:lang w:eastAsia="zh-CN" w:bidi="ar"/>
              </w:rPr>
            </w:pPr>
            <w:r>
              <w:rPr>
                <w:rFonts w:hint="eastAsia" w:hAnsi="宋体" w:cs="宋体"/>
                <w:bCs/>
                <w:color w:val="auto"/>
                <w:sz w:val="24"/>
                <w:szCs w:val="24"/>
                <w:highlight w:val="none"/>
                <w:lang w:eastAsia="zh-CN" w:bidi="ar"/>
              </w:rPr>
              <w:t>套</w:t>
            </w:r>
          </w:p>
        </w:tc>
      </w:tr>
    </w:tbl>
    <w:p>
      <w:pPr>
        <w:jc w:val="both"/>
        <w:outlineLvl w:val="0"/>
        <w:rPr>
          <w:rStyle w:val="43"/>
          <w:rFonts w:hint="eastAsia" w:ascii="楷体" w:hAnsi="楷体" w:eastAsia="楷体" w:cs="楷体"/>
          <w:b w:val="0"/>
          <w:bCs/>
          <w:sz w:val="28"/>
          <w:szCs w:val="18"/>
          <w:lang w:eastAsia="zh-CN"/>
        </w:rPr>
      </w:pPr>
      <w:r>
        <w:rPr>
          <w:rStyle w:val="43"/>
          <w:rFonts w:hint="eastAsia" w:ascii="楷体" w:hAnsi="楷体" w:eastAsia="楷体" w:cs="楷体"/>
          <w:b w:val="0"/>
          <w:bCs/>
          <w:sz w:val="28"/>
          <w:szCs w:val="18"/>
          <w:lang w:eastAsia="zh-CN"/>
        </w:rPr>
        <w:t>应用支撑</w:t>
      </w:r>
    </w:p>
    <w:tbl>
      <w:tblPr>
        <w:tblStyle w:val="24"/>
        <w:tblW w:w="9749" w:type="dxa"/>
        <w:tblInd w:w="-240" w:type="dxa"/>
        <w:tblLayout w:type="fixed"/>
        <w:tblCellMar>
          <w:top w:w="0" w:type="dxa"/>
          <w:left w:w="108" w:type="dxa"/>
          <w:bottom w:w="0" w:type="dxa"/>
          <w:right w:w="108" w:type="dxa"/>
        </w:tblCellMar>
      </w:tblPr>
      <w:tblGrid>
        <w:gridCol w:w="788"/>
        <w:gridCol w:w="1293"/>
        <w:gridCol w:w="6487"/>
        <w:gridCol w:w="618"/>
        <w:gridCol w:w="563"/>
      </w:tblGrid>
      <w:tr>
        <w:tblPrEx>
          <w:tblCellMar>
            <w:top w:w="0" w:type="dxa"/>
            <w:left w:w="108" w:type="dxa"/>
            <w:bottom w:w="0" w:type="dxa"/>
            <w:right w:w="108" w:type="dxa"/>
          </w:tblCellMar>
        </w:tblPrEx>
        <w:trPr>
          <w:trHeight w:val="768" w:hRule="atLeast"/>
        </w:trPr>
        <w:tc>
          <w:tcPr>
            <w:tcW w:w="9749"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cs="宋体"/>
                <w:bCs/>
                <w:color w:val="auto"/>
                <w:sz w:val="24"/>
                <w:szCs w:val="24"/>
                <w:highlight w:val="none"/>
                <w:lang w:eastAsia="zh-CN" w:bidi="ar"/>
              </w:rPr>
            </w:pPr>
            <w:r>
              <w:rPr>
                <w:rFonts w:hint="eastAsia" w:hAnsi="宋体" w:cs="宋体"/>
                <w:bCs/>
                <w:color w:val="auto"/>
                <w:sz w:val="24"/>
                <w:szCs w:val="24"/>
                <w:highlight w:val="none"/>
                <w:lang w:eastAsia="zh-CN" w:bidi="ar"/>
              </w:rPr>
              <w:t>一、视频图像信息共享平台（升级）</w:t>
            </w:r>
          </w:p>
        </w:tc>
      </w:tr>
      <w:tr>
        <w:tblPrEx>
          <w:tblCellMar>
            <w:top w:w="0" w:type="dxa"/>
            <w:left w:w="108" w:type="dxa"/>
            <w:bottom w:w="0" w:type="dxa"/>
            <w:right w:w="108" w:type="dxa"/>
          </w:tblCellMar>
        </w:tblPrEx>
        <w:trPr>
          <w:trHeight w:val="523" w:hRule="atLeast"/>
        </w:trPr>
        <w:tc>
          <w:tcPr>
            <w:tcW w:w="788" w:type="dxa"/>
            <w:tcBorders>
              <w:top w:val="single" w:color="auto" w:sz="4" w:space="0"/>
              <w:left w:val="single" w:color="auto" w:sz="4" w:space="0"/>
              <w:bottom w:val="single" w:color="auto" w:sz="4" w:space="0"/>
              <w:right w:val="single" w:color="auto" w:sz="4" w:space="0"/>
            </w:tcBorders>
            <w:noWrap w:val="0"/>
            <w:vAlign w:val="center"/>
          </w:tcPr>
          <w:p>
            <w:pPr>
              <w:pStyle w:val="2"/>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1</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cs="宋体"/>
                <w:color w:val="auto"/>
                <w:sz w:val="24"/>
                <w:szCs w:val="24"/>
                <w:highlight w:val="none"/>
                <w:lang w:eastAsia="zh-CN" w:bidi="ar"/>
              </w:rPr>
            </w:pPr>
            <w:r>
              <w:rPr>
                <w:rFonts w:hint="eastAsia" w:hAnsi="宋体" w:cs="宋体"/>
                <w:color w:val="auto"/>
                <w:sz w:val="24"/>
                <w:szCs w:val="24"/>
                <w:highlight w:val="none"/>
                <w:lang w:eastAsia="zh-CN" w:bidi="ar"/>
              </w:rPr>
              <w:t>基础应用</w:t>
            </w:r>
          </w:p>
        </w:tc>
        <w:tc>
          <w:tcPr>
            <w:tcW w:w="64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lang w:val="en-US" w:eastAsia="zh-CN"/>
              </w:rPr>
            </w:pPr>
            <w:r>
              <w:rPr>
                <w:rFonts w:hint="eastAsia"/>
                <w:lang w:val="en-US" w:eastAsia="zh-CN"/>
              </w:rPr>
              <w:t>支持自定义菜单内容，支持平铺及分类等菜单展示模式；</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lang w:val="en-US" w:eastAsia="zh-CN"/>
              </w:rPr>
            </w:pPr>
            <w:r>
              <w:rPr>
                <w:rFonts w:hint="eastAsia"/>
                <w:lang w:val="en-US" w:eastAsia="zh-CN"/>
              </w:rPr>
              <w:t>支持用户名密码认证方式及 PKI 认证方式； 支持用户管理、部门管理、角色管理；</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lang w:val="en-US" w:eastAsia="zh-CN"/>
              </w:rPr>
            </w:pPr>
            <w:r>
              <w:rPr>
                <w:rFonts w:hint="eastAsia"/>
                <w:lang w:val="en-US" w:eastAsia="zh-CN"/>
              </w:rPr>
              <w:t>支持设置用户登录认证密码、认证方式、在线策略及登录地址绑定等； 支持区域目录管理及资源管理；</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lang w:val="en-US" w:eastAsia="zh-CN"/>
              </w:rPr>
            </w:pPr>
            <w:r>
              <w:rPr>
                <w:rFonts w:hint="eastAsia"/>
                <w:lang w:val="en-US" w:eastAsia="zh-CN"/>
              </w:rPr>
              <w:t>支持新增、修改、删除名单库，也可以对库内名单进行新增、修改、删除等动作以及 查看批量任务；</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lang w:val="en-US" w:eastAsia="zh-CN"/>
              </w:rPr>
            </w:pPr>
            <w:r>
              <w:rPr>
                <w:rFonts w:hint="eastAsia"/>
                <w:lang w:val="en-US" w:eastAsia="zh-CN"/>
              </w:rPr>
              <w:t>支持对车辆名单库、人脸名单库及库内名单进行管理； 支持操作日志、系统日志的存储和查询；</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lang w:val="en-US" w:eastAsia="zh-CN"/>
              </w:rPr>
            </w:pPr>
            <w:r>
              <w:rPr>
                <w:rFonts w:hint="eastAsia"/>
                <w:lang w:val="en-US" w:eastAsia="zh-CN"/>
              </w:rPr>
              <w:t>支持通过 NTP 服务对前端摄像机、平台服务器进行时间同步；</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lang w:val="en-US" w:eastAsia="zh-CN"/>
              </w:rPr>
            </w:pPr>
            <w:r>
              <w:rPr>
                <w:rFonts w:hint="eastAsia"/>
                <w:lang w:val="en-US" w:eastAsia="zh-CN"/>
              </w:rPr>
              <w:t>支持将创建的分组分享给其他用户并支持统计收藏夹被分享的用户数，支持查看其他用户共享的收藏夹分组，并支持查看分享人及分享时间；需提供国家级或部级第三方检测鉴定机构出具的检测报告复印件并加盖生产商的红色印章；</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lang w:val="en-US" w:eastAsia="zh-CN"/>
              </w:rPr>
            </w:pPr>
            <w:r>
              <w:rPr>
                <w:rFonts w:hint="eastAsia"/>
                <w:lang w:val="en-US" w:eastAsia="zh-CN"/>
              </w:rPr>
              <w:t>支持根据用户业务需求，在基础目录树上创建更有业务针对性的业务目录，支持自定义新建及修改业务目录的名称、关联资源类型及关联目录标识，并支持针对业务目录 进行修改、编辑、排序等管理；需提供国家级或部级第三方检测鉴定机构出具的检测报告复印件并加盖生产商的红色印章；</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lang w:val="en-US" w:eastAsia="zh-CN"/>
              </w:rPr>
            </w:pPr>
            <w:r>
              <w:rPr>
                <w:rFonts w:hint="eastAsia"/>
                <w:lang w:val="en-US" w:eastAsia="zh-CN"/>
              </w:rPr>
              <w:t>支持查看操作日志及系统日志中的调用链，以了解一次业务操中涉及到的所有组件之 间的调用关系，以及这些组件的异常状况及其相关日志；</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lang w:val="en-US" w:eastAsia="zh-CN"/>
              </w:rPr>
            </w:pPr>
            <w:r>
              <w:rPr>
                <w:rFonts w:hint="eastAsia"/>
                <w:lang w:val="en-US" w:eastAsia="zh-CN"/>
              </w:rPr>
              <w:t>需符合GB 35114-2017 A级标准；</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lang w:val="en-US" w:eastAsia="zh-CN"/>
              </w:rPr>
            </w:pPr>
            <w:r>
              <w:rPr>
                <w:rFonts w:hint="eastAsia"/>
                <w:lang w:val="en-US" w:eastAsia="zh-CN"/>
              </w:rPr>
              <w:t>平台支持通过GB/T 28181-2016标准与市级相关平台进行视频对接；</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lang w:val="en-US" w:eastAsia="zh-CN"/>
              </w:rPr>
            </w:pPr>
            <w:r>
              <w:rPr>
                <w:rFonts w:hint="eastAsia"/>
                <w:lang w:val="en-US" w:eastAsia="zh-CN"/>
              </w:rPr>
              <w:t>需支持基于原有视频图像信息综合应用平台的软件模块升级；</w:t>
            </w:r>
          </w:p>
        </w:tc>
        <w:tc>
          <w:tcPr>
            <w:tcW w:w="618" w:type="dxa"/>
            <w:vMerge w:val="restart"/>
            <w:tcBorders>
              <w:top w:val="single" w:color="auto" w:sz="4" w:space="0"/>
              <w:left w:val="single" w:color="auto" w:sz="4" w:space="0"/>
              <w:right w:val="single" w:color="auto" w:sz="4" w:space="0"/>
            </w:tcBorders>
            <w:noWrap w:val="0"/>
            <w:vAlign w:val="center"/>
          </w:tcPr>
          <w:p>
            <w:pPr>
              <w:jc w:val="center"/>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1</w:t>
            </w:r>
          </w:p>
        </w:tc>
        <w:tc>
          <w:tcPr>
            <w:tcW w:w="563" w:type="dxa"/>
            <w:vMerge w:val="restart"/>
            <w:tcBorders>
              <w:top w:val="single" w:color="auto" w:sz="4" w:space="0"/>
              <w:left w:val="single" w:color="auto" w:sz="4" w:space="0"/>
              <w:right w:val="single" w:color="auto" w:sz="4" w:space="0"/>
            </w:tcBorders>
            <w:noWrap w:val="0"/>
            <w:vAlign w:val="center"/>
          </w:tcPr>
          <w:p>
            <w:pPr>
              <w:jc w:val="center"/>
              <w:rPr>
                <w:rFonts w:hint="eastAsia" w:hAnsi="宋体" w:cs="宋体"/>
                <w:bCs/>
                <w:color w:val="auto"/>
                <w:sz w:val="24"/>
                <w:szCs w:val="24"/>
                <w:highlight w:val="none"/>
                <w:lang w:eastAsia="zh-CN" w:bidi="ar"/>
              </w:rPr>
            </w:pPr>
            <w:r>
              <w:rPr>
                <w:rFonts w:hint="eastAsia" w:hAnsi="宋体" w:cs="宋体"/>
                <w:bCs/>
                <w:color w:val="auto"/>
                <w:sz w:val="24"/>
                <w:szCs w:val="24"/>
                <w:highlight w:val="none"/>
                <w:lang w:eastAsia="zh-CN" w:bidi="ar"/>
              </w:rPr>
              <w:t>套</w:t>
            </w:r>
          </w:p>
        </w:tc>
      </w:tr>
      <w:tr>
        <w:tblPrEx>
          <w:tblCellMar>
            <w:top w:w="0" w:type="dxa"/>
            <w:left w:w="108" w:type="dxa"/>
            <w:bottom w:w="0" w:type="dxa"/>
            <w:right w:w="108" w:type="dxa"/>
          </w:tblCellMar>
        </w:tblPrEx>
        <w:trPr>
          <w:trHeight w:val="477" w:hRule="atLeast"/>
        </w:trPr>
        <w:tc>
          <w:tcPr>
            <w:tcW w:w="788" w:type="dxa"/>
            <w:tcBorders>
              <w:top w:val="single" w:color="auto" w:sz="4" w:space="0"/>
              <w:left w:val="single" w:color="auto" w:sz="4" w:space="0"/>
              <w:bottom w:val="single" w:color="auto" w:sz="4" w:space="0"/>
              <w:right w:val="single" w:color="auto" w:sz="4" w:space="0"/>
            </w:tcBorders>
            <w:noWrap w:val="0"/>
            <w:vAlign w:val="center"/>
          </w:tcPr>
          <w:p>
            <w:pPr>
              <w:pStyle w:val="2"/>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2</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cs="宋体"/>
                <w:color w:val="auto"/>
                <w:sz w:val="24"/>
                <w:szCs w:val="24"/>
                <w:highlight w:val="none"/>
                <w:lang w:eastAsia="zh-CN" w:bidi="ar"/>
              </w:rPr>
            </w:pPr>
            <w:r>
              <w:rPr>
                <w:rFonts w:hint="eastAsia" w:hAnsi="宋体" w:cs="宋体"/>
                <w:color w:val="auto"/>
                <w:sz w:val="24"/>
                <w:szCs w:val="24"/>
                <w:highlight w:val="none"/>
                <w:lang w:eastAsia="zh-CN" w:bidi="ar"/>
              </w:rPr>
              <w:t>本级监控通道数</w:t>
            </w:r>
          </w:p>
        </w:tc>
        <w:tc>
          <w:tcPr>
            <w:tcW w:w="64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lang w:val="en-US" w:eastAsia="zh-CN"/>
              </w:rPr>
            </w:pPr>
            <w:r>
              <w:rPr>
                <w:rFonts w:hint="eastAsia"/>
                <w:lang w:val="en-US" w:eastAsia="zh-CN"/>
              </w:rPr>
              <w:t>支持管理设备接入1500路；</w:t>
            </w:r>
          </w:p>
        </w:tc>
        <w:tc>
          <w:tcPr>
            <w:tcW w:w="618" w:type="dxa"/>
            <w:vMerge w:val="continue"/>
            <w:tcBorders>
              <w:left w:val="single" w:color="auto" w:sz="4" w:space="0"/>
              <w:right w:val="single" w:color="auto" w:sz="4" w:space="0"/>
            </w:tcBorders>
            <w:noWrap w:val="0"/>
            <w:vAlign w:val="center"/>
          </w:tcPr>
          <w:p>
            <w:pPr>
              <w:jc w:val="center"/>
              <w:rPr>
                <w:rFonts w:hint="default" w:hAnsi="宋体" w:cs="宋体"/>
                <w:bCs/>
                <w:color w:val="auto"/>
                <w:sz w:val="24"/>
                <w:szCs w:val="24"/>
                <w:highlight w:val="none"/>
                <w:lang w:val="en-US" w:eastAsia="zh-CN" w:bidi="ar"/>
              </w:rPr>
            </w:pPr>
          </w:p>
        </w:tc>
        <w:tc>
          <w:tcPr>
            <w:tcW w:w="563" w:type="dxa"/>
            <w:vMerge w:val="continue"/>
            <w:tcBorders>
              <w:left w:val="single" w:color="auto" w:sz="4" w:space="0"/>
              <w:right w:val="single" w:color="auto" w:sz="4" w:space="0"/>
            </w:tcBorders>
            <w:noWrap w:val="0"/>
            <w:vAlign w:val="center"/>
          </w:tcPr>
          <w:p>
            <w:pPr>
              <w:jc w:val="center"/>
              <w:rPr>
                <w:rFonts w:hint="eastAsia" w:hAnsi="宋体" w:cs="宋体"/>
                <w:bCs/>
                <w:color w:val="auto"/>
                <w:sz w:val="24"/>
                <w:szCs w:val="24"/>
                <w:highlight w:val="none"/>
                <w:lang w:eastAsia="zh-CN" w:bidi="ar"/>
              </w:rPr>
            </w:pPr>
          </w:p>
        </w:tc>
      </w:tr>
      <w:tr>
        <w:tblPrEx>
          <w:tblCellMar>
            <w:top w:w="0" w:type="dxa"/>
            <w:left w:w="108" w:type="dxa"/>
            <w:bottom w:w="0" w:type="dxa"/>
            <w:right w:w="108" w:type="dxa"/>
          </w:tblCellMar>
        </w:tblPrEx>
        <w:trPr>
          <w:trHeight w:val="469" w:hRule="atLeast"/>
        </w:trPr>
        <w:tc>
          <w:tcPr>
            <w:tcW w:w="788" w:type="dxa"/>
            <w:tcBorders>
              <w:top w:val="single" w:color="auto" w:sz="4" w:space="0"/>
              <w:left w:val="single" w:color="auto" w:sz="4" w:space="0"/>
              <w:bottom w:val="single" w:color="auto" w:sz="4" w:space="0"/>
              <w:right w:val="single" w:color="auto" w:sz="4" w:space="0"/>
            </w:tcBorders>
            <w:noWrap w:val="0"/>
            <w:vAlign w:val="center"/>
          </w:tcPr>
          <w:p>
            <w:pPr>
              <w:pStyle w:val="2"/>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3</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cs="宋体"/>
                <w:color w:val="auto"/>
                <w:sz w:val="24"/>
                <w:szCs w:val="24"/>
                <w:highlight w:val="none"/>
                <w:lang w:eastAsia="zh-CN" w:bidi="ar"/>
              </w:rPr>
            </w:pPr>
            <w:r>
              <w:rPr>
                <w:rFonts w:hint="eastAsia" w:hAnsi="宋体" w:cs="宋体"/>
                <w:color w:val="auto"/>
                <w:sz w:val="24"/>
                <w:szCs w:val="24"/>
                <w:highlight w:val="none"/>
                <w:lang w:eastAsia="zh-CN" w:bidi="ar"/>
              </w:rPr>
              <w:t>本级车道数</w:t>
            </w:r>
          </w:p>
        </w:tc>
        <w:tc>
          <w:tcPr>
            <w:tcW w:w="64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lang w:val="en-US" w:eastAsia="zh-CN"/>
              </w:rPr>
            </w:pPr>
            <w:r>
              <w:rPr>
                <w:rFonts w:hint="eastAsia"/>
                <w:lang w:val="en-US" w:eastAsia="zh-CN"/>
              </w:rPr>
              <w:t>支持管理车道数≥1000路；</w:t>
            </w:r>
          </w:p>
        </w:tc>
        <w:tc>
          <w:tcPr>
            <w:tcW w:w="618" w:type="dxa"/>
            <w:vMerge w:val="continue"/>
            <w:tcBorders>
              <w:left w:val="single" w:color="auto" w:sz="4" w:space="0"/>
              <w:right w:val="single" w:color="auto" w:sz="4" w:space="0"/>
            </w:tcBorders>
            <w:noWrap w:val="0"/>
            <w:vAlign w:val="center"/>
          </w:tcPr>
          <w:p>
            <w:pPr>
              <w:jc w:val="center"/>
              <w:rPr>
                <w:rFonts w:hint="default" w:hAnsi="宋体" w:cs="宋体"/>
                <w:bCs/>
                <w:color w:val="auto"/>
                <w:sz w:val="24"/>
                <w:szCs w:val="24"/>
                <w:highlight w:val="none"/>
                <w:lang w:val="en-US" w:eastAsia="zh-CN" w:bidi="ar"/>
              </w:rPr>
            </w:pPr>
          </w:p>
        </w:tc>
        <w:tc>
          <w:tcPr>
            <w:tcW w:w="563" w:type="dxa"/>
            <w:vMerge w:val="continue"/>
            <w:tcBorders>
              <w:left w:val="single" w:color="auto" w:sz="4" w:space="0"/>
              <w:right w:val="single" w:color="auto" w:sz="4" w:space="0"/>
            </w:tcBorders>
            <w:noWrap w:val="0"/>
            <w:vAlign w:val="center"/>
          </w:tcPr>
          <w:p>
            <w:pPr>
              <w:jc w:val="center"/>
              <w:rPr>
                <w:rFonts w:hint="eastAsia" w:hAnsi="宋体" w:cs="宋体"/>
                <w:bCs/>
                <w:color w:val="auto"/>
                <w:sz w:val="24"/>
                <w:szCs w:val="24"/>
                <w:highlight w:val="none"/>
                <w:lang w:eastAsia="zh-CN" w:bidi="ar"/>
              </w:rPr>
            </w:pPr>
          </w:p>
        </w:tc>
      </w:tr>
      <w:tr>
        <w:tblPrEx>
          <w:tblCellMar>
            <w:top w:w="0" w:type="dxa"/>
            <w:left w:w="108" w:type="dxa"/>
            <w:bottom w:w="0" w:type="dxa"/>
            <w:right w:w="108" w:type="dxa"/>
          </w:tblCellMar>
        </w:tblPrEx>
        <w:trPr>
          <w:trHeight w:val="666" w:hRule="atLeast"/>
        </w:trPr>
        <w:tc>
          <w:tcPr>
            <w:tcW w:w="788" w:type="dxa"/>
            <w:tcBorders>
              <w:top w:val="single" w:color="auto" w:sz="4" w:space="0"/>
              <w:left w:val="single" w:color="auto" w:sz="4" w:space="0"/>
              <w:bottom w:val="single" w:color="auto" w:sz="4" w:space="0"/>
              <w:right w:val="single" w:color="auto" w:sz="4" w:space="0"/>
            </w:tcBorders>
            <w:noWrap w:val="0"/>
            <w:vAlign w:val="center"/>
          </w:tcPr>
          <w:p>
            <w:pPr>
              <w:pStyle w:val="2"/>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4</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cs="宋体"/>
                <w:color w:val="auto"/>
                <w:sz w:val="24"/>
                <w:szCs w:val="24"/>
                <w:highlight w:val="none"/>
                <w:lang w:eastAsia="zh-CN" w:bidi="ar"/>
              </w:rPr>
            </w:pPr>
            <w:r>
              <w:rPr>
                <w:rFonts w:hint="eastAsia" w:hAnsi="宋体" w:cs="宋体"/>
                <w:color w:val="auto"/>
                <w:sz w:val="24"/>
                <w:szCs w:val="24"/>
                <w:highlight w:val="none"/>
                <w:lang w:eastAsia="zh-CN" w:bidi="ar"/>
              </w:rPr>
              <w:t>视频级联管理</w:t>
            </w:r>
          </w:p>
        </w:tc>
        <w:tc>
          <w:tcPr>
            <w:tcW w:w="64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val="en-US" w:eastAsia="zh-CN"/>
              </w:rPr>
              <w:t>基于标准协议与外域平台互联互通，支持视频通用标准协议（GB/T28181-2016）、以及行业视频标准协议；</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lang w:val="en-US" w:eastAsia="zh-CN"/>
              </w:rPr>
            </w:pPr>
            <w:r>
              <w:rPr>
                <w:rFonts w:hint="eastAsia"/>
                <w:lang w:val="en-US" w:eastAsia="zh-CN"/>
              </w:rPr>
              <w:t>支持域间注册与心跳、资源同步、实时预览、录像回放与控制、录像下载、语音广播、设备控制等；</w:t>
            </w:r>
          </w:p>
        </w:tc>
        <w:tc>
          <w:tcPr>
            <w:tcW w:w="618" w:type="dxa"/>
            <w:vMerge w:val="continue"/>
            <w:tcBorders>
              <w:left w:val="single" w:color="auto" w:sz="4" w:space="0"/>
              <w:right w:val="single" w:color="auto" w:sz="4" w:space="0"/>
            </w:tcBorders>
            <w:noWrap w:val="0"/>
            <w:vAlign w:val="center"/>
          </w:tcPr>
          <w:p>
            <w:pPr>
              <w:jc w:val="center"/>
              <w:rPr>
                <w:rFonts w:hint="default" w:hAnsi="宋体" w:cs="宋体"/>
                <w:bCs/>
                <w:color w:val="auto"/>
                <w:sz w:val="24"/>
                <w:szCs w:val="24"/>
                <w:highlight w:val="none"/>
                <w:lang w:val="en-US" w:eastAsia="zh-CN" w:bidi="ar"/>
              </w:rPr>
            </w:pPr>
          </w:p>
        </w:tc>
        <w:tc>
          <w:tcPr>
            <w:tcW w:w="563" w:type="dxa"/>
            <w:vMerge w:val="continue"/>
            <w:tcBorders>
              <w:left w:val="single" w:color="auto" w:sz="4" w:space="0"/>
              <w:right w:val="single" w:color="auto" w:sz="4" w:space="0"/>
            </w:tcBorders>
            <w:noWrap w:val="0"/>
            <w:vAlign w:val="center"/>
          </w:tcPr>
          <w:p>
            <w:pPr>
              <w:jc w:val="center"/>
              <w:rPr>
                <w:rFonts w:hint="eastAsia" w:hAnsi="宋体" w:cs="宋体"/>
                <w:bCs/>
                <w:color w:val="auto"/>
                <w:sz w:val="24"/>
                <w:szCs w:val="24"/>
                <w:highlight w:val="none"/>
                <w:lang w:eastAsia="zh-CN" w:bidi="ar"/>
              </w:rPr>
            </w:pPr>
          </w:p>
        </w:tc>
      </w:tr>
      <w:tr>
        <w:tblPrEx>
          <w:tblCellMar>
            <w:top w:w="0" w:type="dxa"/>
            <w:left w:w="108" w:type="dxa"/>
            <w:bottom w:w="0" w:type="dxa"/>
            <w:right w:w="108" w:type="dxa"/>
          </w:tblCellMar>
        </w:tblPrEx>
        <w:trPr>
          <w:trHeight w:val="666" w:hRule="atLeast"/>
        </w:trPr>
        <w:tc>
          <w:tcPr>
            <w:tcW w:w="788" w:type="dxa"/>
            <w:tcBorders>
              <w:top w:val="single" w:color="auto" w:sz="4" w:space="0"/>
              <w:left w:val="single" w:color="auto" w:sz="4" w:space="0"/>
              <w:bottom w:val="single" w:color="auto" w:sz="4" w:space="0"/>
              <w:right w:val="single" w:color="auto" w:sz="4" w:space="0"/>
            </w:tcBorders>
            <w:noWrap w:val="0"/>
            <w:vAlign w:val="center"/>
          </w:tcPr>
          <w:p>
            <w:pPr>
              <w:pStyle w:val="2"/>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5</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cs="宋体"/>
                <w:color w:val="auto"/>
                <w:sz w:val="24"/>
                <w:szCs w:val="24"/>
                <w:highlight w:val="none"/>
                <w:lang w:eastAsia="zh-CN" w:bidi="ar"/>
              </w:rPr>
            </w:pPr>
            <w:r>
              <w:rPr>
                <w:rFonts w:hint="eastAsia" w:hAnsi="宋体" w:cs="宋体"/>
                <w:color w:val="auto"/>
                <w:sz w:val="24"/>
                <w:szCs w:val="24"/>
                <w:highlight w:val="none"/>
                <w:lang w:eastAsia="zh-CN" w:bidi="ar"/>
              </w:rPr>
              <w:t>级联管通道数</w:t>
            </w:r>
          </w:p>
        </w:tc>
        <w:tc>
          <w:tcPr>
            <w:tcW w:w="64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lang w:val="en-US" w:eastAsia="zh-CN"/>
              </w:rPr>
            </w:pPr>
            <w:r>
              <w:rPr>
                <w:rFonts w:hint="eastAsia"/>
                <w:lang w:val="en-US" w:eastAsia="zh-CN"/>
              </w:rPr>
              <w:t>平台支持≥5000路级联视频管理；</w:t>
            </w:r>
          </w:p>
        </w:tc>
        <w:tc>
          <w:tcPr>
            <w:tcW w:w="618" w:type="dxa"/>
            <w:vMerge w:val="continue"/>
            <w:tcBorders>
              <w:left w:val="single" w:color="auto" w:sz="4" w:space="0"/>
              <w:right w:val="single" w:color="auto" w:sz="4" w:space="0"/>
            </w:tcBorders>
            <w:noWrap w:val="0"/>
            <w:vAlign w:val="center"/>
          </w:tcPr>
          <w:p>
            <w:pPr>
              <w:jc w:val="center"/>
              <w:rPr>
                <w:rFonts w:hint="default" w:hAnsi="宋体" w:cs="宋体"/>
                <w:bCs/>
                <w:color w:val="auto"/>
                <w:sz w:val="24"/>
                <w:szCs w:val="24"/>
                <w:highlight w:val="none"/>
                <w:lang w:val="en-US" w:eastAsia="zh-CN" w:bidi="ar"/>
              </w:rPr>
            </w:pPr>
          </w:p>
        </w:tc>
        <w:tc>
          <w:tcPr>
            <w:tcW w:w="563" w:type="dxa"/>
            <w:vMerge w:val="continue"/>
            <w:tcBorders>
              <w:left w:val="single" w:color="auto" w:sz="4" w:space="0"/>
              <w:right w:val="single" w:color="auto" w:sz="4" w:space="0"/>
            </w:tcBorders>
            <w:noWrap w:val="0"/>
            <w:vAlign w:val="center"/>
          </w:tcPr>
          <w:p>
            <w:pPr>
              <w:jc w:val="center"/>
              <w:rPr>
                <w:rFonts w:hint="eastAsia" w:hAnsi="宋体" w:cs="宋体"/>
                <w:bCs/>
                <w:color w:val="auto"/>
                <w:sz w:val="24"/>
                <w:szCs w:val="24"/>
                <w:highlight w:val="none"/>
                <w:lang w:eastAsia="zh-CN" w:bidi="ar"/>
              </w:rPr>
            </w:pPr>
          </w:p>
        </w:tc>
      </w:tr>
      <w:tr>
        <w:tblPrEx>
          <w:tblCellMar>
            <w:top w:w="0" w:type="dxa"/>
            <w:left w:w="108" w:type="dxa"/>
            <w:bottom w:w="0" w:type="dxa"/>
            <w:right w:w="108" w:type="dxa"/>
          </w:tblCellMar>
        </w:tblPrEx>
        <w:trPr>
          <w:trHeight w:val="666" w:hRule="atLeast"/>
        </w:trPr>
        <w:tc>
          <w:tcPr>
            <w:tcW w:w="788" w:type="dxa"/>
            <w:tcBorders>
              <w:top w:val="single" w:color="auto" w:sz="4" w:space="0"/>
              <w:left w:val="single" w:color="auto" w:sz="4" w:space="0"/>
              <w:bottom w:val="single" w:color="auto" w:sz="4" w:space="0"/>
              <w:right w:val="single" w:color="auto" w:sz="4" w:space="0"/>
            </w:tcBorders>
            <w:noWrap w:val="0"/>
            <w:vAlign w:val="center"/>
          </w:tcPr>
          <w:p>
            <w:pPr>
              <w:pStyle w:val="2"/>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6</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cs="宋体"/>
                <w:color w:val="auto"/>
                <w:sz w:val="24"/>
                <w:szCs w:val="24"/>
                <w:highlight w:val="none"/>
                <w:lang w:eastAsia="zh-CN" w:bidi="ar"/>
              </w:rPr>
            </w:pPr>
            <w:r>
              <w:rPr>
                <w:rFonts w:hint="eastAsia" w:hAnsi="宋体" w:cs="宋体"/>
                <w:color w:val="auto"/>
                <w:sz w:val="24"/>
                <w:szCs w:val="24"/>
                <w:highlight w:val="none"/>
                <w:lang w:eastAsia="zh-CN" w:bidi="ar"/>
              </w:rPr>
              <w:t>视频应用</w:t>
            </w:r>
          </w:p>
        </w:tc>
        <w:tc>
          <w:tcPr>
            <w:tcW w:w="64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lang w:val="en-US" w:eastAsia="zh-CN"/>
              </w:rPr>
            </w:pPr>
            <w:r>
              <w:rPr>
                <w:rFonts w:hint="eastAsia"/>
                <w:lang w:val="en-US" w:eastAsia="zh-CN"/>
              </w:rPr>
              <w:t>支持视频预览、抓图等功能；</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lang w:val="en-US" w:eastAsia="zh-CN"/>
              </w:rPr>
            </w:pPr>
            <w:r>
              <w:rPr>
                <w:rFonts w:hint="eastAsia"/>
                <w:lang w:val="en-US" w:eastAsia="zh-CN"/>
              </w:rPr>
              <w:t>支持云台变焦、光圈、预置点、巡航等功能； 支持录像计划配置服务； 支持录像查询、倍速回放、按帧回放等功能； 支持录像下载剪辑功能；</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lang w:val="en-US" w:eastAsia="zh-CN"/>
              </w:rPr>
            </w:pPr>
            <w:r>
              <w:rPr>
                <w:rFonts w:hint="eastAsia"/>
                <w:lang w:val="en-US" w:eastAsia="zh-CN"/>
              </w:rPr>
              <w:t>支持预案管理、执行 ； 支持收藏夹管理、分享 ；</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lang w:val="en-US" w:eastAsia="zh-CN"/>
              </w:rPr>
            </w:pPr>
            <w:r>
              <w:rPr>
                <w:rFonts w:hint="eastAsia"/>
                <w:lang w:val="en-US" w:eastAsia="zh-CN"/>
              </w:rPr>
              <w:t>支持针对窗口的分割、拼接等布局，及窗口上的监控点、预览轮巡、告警窗口、是否</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lang w:val="en-US" w:eastAsia="zh-CN"/>
              </w:rPr>
            </w:pPr>
            <w:r>
              <w:rPr>
                <w:rFonts w:hint="eastAsia"/>
                <w:lang w:val="en-US" w:eastAsia="zh-CN"/>
              </w:rPr>
              <w:t>自动启停及启停时间等进行配置形成电视墙场景；</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lang w:val="en-US" w:eastAsia="zh-CN"/>
              </w:rPr>
            </w:pPr>
            <w:r>
              <w:rPr>
                <w:rFonts w:hint="eastAsia"/>
                <w:lang w:val="en-US" w:eastAsia="zh-CN"/>
              </w:rPr>
              <w:t>支持录像分段回放功能，可以将录像文件等分成多个片段同时回访，通过分割点的图像差异，快速确定回放录像的关键时段；需提供国家级或部级第三方检测鉴定机构出具的检测报告复印件并加盖生产商的红色印章；</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textAlignment w:val="auto"/>
              <w:rPr>
                <w:rFonts w:hint="eastAsia"/>
                <w:lang w:val="en-US" w:eastAsia="zh-CN"/>
              </w:rPr>
            </w:pPr>
            <w:r>
              <w:rPr>
                <w:rFonts w:hint="eastAsia"/>
                <w:lang w:val="en-US" w:eastAsia="zh-CN"/>
              </w:rPr>
              <w:t>支持录像分段回放功能，可以将录像文件等分成多个片段同时回放，通过分割点的图 像差异，快速确定回放关键录像时段； 监控点取流链路诊断，支持图形化展示监控取流链路诊断结果，并显示错误信息以及 错误解决建议，同时支持展示设备最近告警信息及监控点最近告警信息；</w:t>
            </w:r>
          </w:p>
        </w:tc>
        <w:tc>
          <w:tcPr>
            <w:tcW w:w="618" w:type="dxa"/>
            <w:vMerge w:val="continue"/>
            <w:tcBorders>
              <w:left w:val="single" w:color="auto" w:sz="4" w:space="0"/>
              <w:right w:val="single" w:color="auto" w:sz="4" w:space="0"/>
            </w:tcBorders>
            <w:noWrap w:val="0"/>
            <w:vAlign w:val="center"/>
          </w:tcPr>
          <w:p>
            <w:pPr>
              <w:jc w:val="center"/>
              <w:rPr>
                <w:rFonts w:hint="default" w:hAnsi="宋体" w:cs="宋体"/>
                <w:bCs/>
                <w:color w:val="auto"/>
                <w:sz w:val="24"/>
                <w:szCs w:val="24"/>
                <w:highlight w:val="none"/>
                <w:lang w:val="en-US" w:eastAsia="zh-CN" w:bidi="ar"/>
              </w:rPr>
            </w:pPr>
          </w:p>
        </w:tc>
        <w:tc>
          <w:tcPr>
            <w:tcW w:w="563" w:type="dxa"/>
            <w:vMerge w:val="continue"/>
            <w:tcBorders>
              <w:left w:val="single" w:color="auto" w:sz="4" w:space="0"/>
              <w:right w:val="single" w:color="auto" w:sz="4" w:space="0"/>
            </w:tcBorders>
            <w:noWrap w:val="0"/>
            <w:vAlign w:val="center"/>
          </w:tcPr>
          <w:p>
            <w:pPr>
              <w:jc w:val="center"/>
              <w:rPr>
                <w:rFonts w:hint="eastAsia" w:hAnsi="宋体" w:cs="宋体"/>
                <w:bCs/>
                <w:color w:val="auto"/>
                <w:sz w:val="24"/>
                <w:szCs w:val="24"/>
                <w:highlight w:val="none"/>
                <w:lang w:eastAsia="zh-CN" w:bidi="ar"/>
              </w:rPr>
            </w:pPr>
          </w:p>
        </w:tc>
      </w:tr>
      <w:tr>
        <w:tblPrEx>
          <w:tblCellMar>
            <w:top w:w="0" w:type="dxa"/>
            <w:left w:w="108" w:type="dxa"/>
            <w:bottom w:w="0" w:type="dxa"/>
            <w:right w:w="108" w:type="dxa"/>
          </w:tblCellMar>
        </w:tblPrEx>
        <w:trPr>
          <w:trHeight w:val="666" w:hRule="atLeast"/>
        </w:trPr>
        <w:tc>
          <w:tcPr>
            <w:tcW w:w="788" w:type="dxa"/>
            <w:tcBorders>
              <w:top w:val="single" w:color="auto" w:sz="4" w:space="0"/>
              <w:left w:val="single" w:color="auto" w:sz="4" w:space="0"/>
              <w:bottom w:val="single" w:color="auto" w:sz="4" w:space="0"/>
              <w:right w:val="single" w:color="auto" w:sz="4" w:space="0"/>
            </w:tcBorders>
            <w:noWrap w:val="0"/>
            <w:vAlign w:val="center"/>
          </w:tcPr>
          <w:p>
            <w:pPr>
              <w:pStyle w:val="2"/>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7</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cs="宋体"/>
                <w:color w:val="auto"/>
                <w:sz w:val="24"/>
                <w:szCs w:val="24"/>
                <w:highlight w:val="none"/>
                <w:lang w:eastAsia="zh-CN" w:bidi="ar"/>
              </w:rPr>
            </w:pPr>
            <w:r>
              <w:rPr>
                <w:rFonts w:hint="eastAsia" w:hAnsi="宋体" w:cs="宋体"/>
                <w:color w:val="auto"/>
                <w:sz w:val="24"/>
                <w:szCs w:val="24"/>
                <w:highlight w:val="none"/>
                <w:lang w:eastAsia="zh-CN" w:bidi="ar"/>
              </w:rPr>
              <w:t>电子地图</w:t>
            </w:r>
          </w:p>
        </w:tc>
        <w:tc>
          <w:tcPr>
            <w:tcW w:w="64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lang w:val="en-US" w:eastAsia="zh-CN"/>
              </w:rPr>
            </w:pPr>
            <w:r>
              <w:rPr>
                <w:rFonts w:hint="eastAsia"/>
                <w:lang w:val="en-US" w:eastAsia="zh-CN"/>
              </w:rPr>
              <w:t>支持导入多图层地图数据；</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lang w:val="en-US" w:eastAsia="zh-CN"/>
              </w:rPr>
            </w:pPr>
            <w:r>
              <w:rPr>
                <w:rFonts w:hint="eastAsia"/>
                <w:lang w:val="en-US" w:eastAsia="zh-CN"/>
              </w:rPr>
              <w:t>支持监控点、卡口等资源在地图上的显示与隐藏；</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lang w:val="en-US" w:eastAsia="zh-CN"/>
              </w:rPr>
            </w:pPr>
            <w:r>
              <w:rPr>
                <w:rFonts w:hint="eastAsia"/>
                <w:lang w:val="en-US" w:eastAsia="zh-CN"/>
              </w:rPr>
              <w:t>支持资源类型进行关键字模糊匹配检索、全局搜索；</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lang w:val="en-US" w:eastAsia="zh-CN"/>
              </w:rPr>
            </w:pPr>
            <w:r>
              <w:rPr>
                <w:rFonts w:hint="eastAsia"/>
                <w:lang w:val="en-US" w:eastAsia="zh-CN"/>
              </w:rPr>
              <w:t>支持框选、圆选、线选、多边形选等多种方式进行地图空间查询；支持对结果按类型过滤，支持预览、回放、收藏、上墙、跳转查询等操作；</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lang w:val="en-US" w:eastAsia="zh-CN"/>
              </w:rPr>
            </w:pPr>
            <w:r>
              <w:rPr>
                <w:rFonts w:hint="eastAsia"/>
                <w:lang w:val="en-US" w:eastAsia="zh-CN"/>
              </w:rPr>
              <w:t>支持以指定位置为中心，自动搜索周边监控点并进行视频追踪；</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lang w:val="en-US" w:eastAsia="zh-CN"/>
              </w:rPr>
            </w:pPr>
            <w:r>
              <w:rPr>
                <w:rFonts w:hint="eastAsia"/>
                <w:lang w:val="en-US" w:eastAsia="zh-CN"/>
              </w:rPr>
              <w:t>支持根据时间段等创建轨迹分析任务，分析目标被检测到的点位、数量及轨迹，支持轨迹回放；</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lang w:val="en-US" w:eastAsia="zh-CN"/>
              </w:rPr>
            </w:pPr>
            <w:r>
              <w:rPr>
                <w:rFonts w:hint="eastAsia"/>
                <w:lang w:val="en-US" w:eastAsia="zh-CN"/>
              </w:rPr>
              <w:t>支持设定人脸等目标及碰撞规则，对选定时间段经过区域内设备的目标进行碰撞；</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lang w:val="en-US" w:eastAsia="zh-CN"/>
              </w:rPr>
            </w:pPr>
            <w:r>
              <w:rPr>
                <w:rFonts w:hint="eastAsia"/>
                <w:lang w:val="en-US" w:eastAsia="zh-CN"/>
              </w:rPr>
              <w:t>支持依据报警分类，在地图上显示告警设备位置及告警状态；</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textAlignment w:val="auto"/>
              <w:rPr>
                <w:rFonts w:hint="eastAsia"/>
                <w:lang w:val="en-US" w:eastAsia="zh-CN"/>
              </w:rPr>
            </w:pPr>
            <w:r>
              <w:rPr>
                <w:rFonts w:hint="eastAsia"/>
                <w:lang w:val="en-US" w:eastAsia="zh-CN"/>
              </w:rPr>
              <w:t>支持点位周边搜索，在地图上自由选择当前等点位周边点位，并支持对所选点位进行预览、回放、收藏、定位到资源树及查看属性；</w:t>
            </w:r>
          </w:p>
        </w:tc>
        <w:tc>
          <w:tcPr>
            <w:tcW w:w="618" w:type="dxa"/>
            <w:vMerge w:val="continue"/>
            <w:tcBorders>
              <w:left w:val="single" w:color="auto" w:sz="4" w:space="0"/>
              <w:right w:val="single" w:color="auto" w:sz="4" w:space="0"/>
            </w:tcBorders>
            <w:noWrap w:val="0"/>
            <w:vAlign w:val="center"/>
          </w:tcPr>
          <w:p>
            <w:pPr>
              <w:jc w:val="center"/>
              <w:rPr>
                <w:rFonts w:hint="default" w:hAnsi="宋体" w:cs="宋体"/>
                <w:bCs/>
                <w:color w:val="auto"/>
                <w:sz w:val="24"/>
                <w:szCs w:val="24"/>
                <w:highlight w:val="none"/>
                <w:lang w:val="en-US" w:eastAsia="zh-CN" w:bidi="ar"/>
              </w:rPr>
            </w:pPr>
          </w:p>
        </w:tc>
        <w:tc>
          <w:tcPr>
            <w:tcW w:w="563" w:type="dxa"/>
            <w:vMerge w:val="continue"/>
            <w:tcBorders>
              <w:left w:val="single" w:color="auto" w:sz="4" w:space="0"/>
              <w:right w:val="single" w:color="auto" w:sz="4" w:space="0"/>
            </w:tcBorders>
            <w:noWrap w:val="0"/>
            <w:vAlign w:val="center"/>
          </w:tcPr>
          <w:p>
            <w:pPr>
              <w:jc w:val="center"/>
              <w:rPr>
                <w:rFonts w:hint="eastAsia" w:hAnsi="宋体" w:cs="宋体"/>
                <w:bCs/>
                <w:color w:val="auto"/>
                <w:sz w:val="24"/>
                <w:szCs w:val="24"/>
                <w:highlight w:val="none"/>
                <w:lang w:eastAsia="zh-CN" w:bidi="ar"/>
              </w:rPr>
            </w:pPr>
          </w:p>
        </w:tc>
      </w:tr>
      <w:tr>
        <w:tblPrEx>
          <w:tblCellMar>
            <w:top w:w="0" w:type="dxa"/>
            <w:left w:w="108" w:type="dxa"/>
            <w:bottom w:w="0" w:type="dxa"/>
            <w:right w:w="108" w:type="dxa"/>
          </w:tblCellMar>
        </w:tblPrEx>
        <w:trPr>
          <w:trHeight w:val="666" w:hRule="atLeast"/>
        </w:trPr>
        <w:tc>
          <w:tcPr>
            <w:tcW w:w="788" w:type="dxa"/>
            <w:tcBorders>
              <w:top w:val="single" w:color="auto" w:sz="4" w:space="0"/>
              <w:left w:val="single" w:color="auto" w:sz="4" w:space="0"/>
              <w:bottom w:val="single" w:color="auto" w:sz="4" w:space="0"/>
              <w:right w:val="single" w:color="auto" w:sz="4" w:space="0"/>
            </w:tcBorders>
            <w:noWrap w:val="0"/>
            <w:vAlign w:val="center"/>
          </w:tcPr>
          <w:p>
            <w:pPr>
              <w:pStyle w:val="2"/>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8</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cs="宋体"/>
                <w:color w:val="auto"/>
                <w:sz w:val="24"/>
                <w:szCs w:val="24"/>
                <w:highlight w:val="none"/>
                <w:lang w:eastAsia="zh-CN" w:bidi="ar"/>
              </w:rPr>
            </w:pPr>
            <w:r>
              <w:rPr>
                <w:rFonts w:hint="eastAsia" w:hAnsi="宋体" w:cs="宋体"/>
                <w:color w:val="auto"/>
                <w:sz w:val="24"/>
                <w:szCs w:val="24"/>
                <w:highlight w:val="none"/>
                <w:lang w:eastAsia="zh-CN" w:bidi="ar"/>
              </w:rPr>
              <w:t>校时服务</w:t>
            </w:r>
          </w:p>
        </w:tc>
        <w:tc>
          <w:tcPr>
            <w:tcW w:w="64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lang w:val="en-US" w:eastAsia="zh-CN"/>
              </w:rPr>
            </w:pPr>
            <w:r>
              <w:rPr>
                <w:rFonts w:hint="eastAsia"/>
                <w:lang w:val="en-US" w:eastAsia="zh-CN"/>
              </w:rPr>
              <w:t>支持GPS、北斗、上级NTP校时</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lang w:val="en-US" w:eastAsia="zh-CN"/>
              </w:rPr>
            </w:pPr>
            <w:r>
              <w:rPr>
                <w:rFonts w:hint="eastAsia"/>
                <w:lang w:val="en-US" w:eastAsia="zh-CN"/>
              </w:rPr>
              <w:t>支持多网域校时</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lang w:val="en-US" w:eastAsia="zh-CN"/>
              </w:rPr>
            </w:pPr>
            <w:r>
              <w:rPr>
                <w:rFonts w:hint="eastAsia"/>
                <w:lang w:val="en-US" w:eastAsia="zh-CN"/>
              </w:rPr>
              <w:t>处理器：ARM处理器</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lang w:val="en-US" w:eastAsia="zh-CN"/>
              </w:rPr>
            </w:pPr>
            <w:r>
              <w:rPr>
                <w:rFonts w:hint="eastAsia"/>
                <w:lang w:val="en-US" w:eastAsia="zh-CN"/>
              </w:rPr>
              <w:t>同步精度：卫星同步精度纳秒级；NTP同步精度毫秒级；</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lang w:val="en-US" w:eastAsia="zh-CN"/>
              </w:rPr>
            </w:pPr>
            <w:r>
              <w:rPr>
                <w:rFonts w:hint="eastAsia"/>
                <w:lang w:val="en-US" w:eastAsia="zh-CN"/>
              </w:rPr>
              <w:t>存储：≥256M</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lang w:val="en-US" w:eastAsia="zh-CN"/>
              </w:rPr>
            </w:pPr>
            <w:r>
              <w:rPr>
                <w:rFonts w:hint="eastAsia"/>
                <w:lang w:val="en-US" w:eastAsia="zh-CN"/>
              </w:rPr>
              <w:t>授时容量：10000次/每秒</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lang w:val="en-US" w:eastAsia="zh-CN"/>
              </w:rPr>
            </w:pPr>
            <w:r>
              <w:rPr>
                <w:rFonts w:hint="eastAsia"/>
                <w:lang w:val="en-US" w:eastAsia="zh-CN"/>
              </w:rPr>
              <w:t>授时精度：≤5us；</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textAlignment w:val="auto"/>
              <w:rPr>
                <w:rFonts w:hint="eastAsia"/>
                <w:lang w:val="en-US" w:eastAsia="zh-CN"/>
              </w:rPr>
            </w:pPr>
            <w:r>
              <w:rPr>
                <w:rFonts w:hint="eastAsia"/>
                <w:lang w:val="en-US" w:eastAsia="zh-CN"/>
              </w:rPr>
              <w:t>需包含≥1套GPS/BD授时天线接收器（蘑菇头）、≥60米RG58成品馈线、≥1套安装套件、≥1套防雷包。</w:t>
            </w:r>
          </w:p>
        </w:tc>
        <w:tc>
          <w:tcPr>
            <w:tcW w:w="618" w:type="dxa"/>
            <w:vMerge w:val="continue"/>
            <w:tcBorders>
              <w:left w:val="single" w:color="auto" w:sz="4" w:space="0"/>
              <w:bottom w:val="single" w:color="auto" w:sz="4" w:space="0"/>
              <w:right w:val="single" w:color="auto" w:sz="4" w:space="0"/>
            </w:tcBorders>
            <w:noWrap w:val="0"/>
            <w:vAlign w:val="center"/>
          </w:tcPr>
          <w:p>
            <w:pPr>
              <w:jc w:val="center"/>
              <w:rPr>
                <w:rFonts w:hint="default" w:hAnsi="宋体" w:cs="宋体"/>
                <w:bCs/>
                <w:color w:val="auto"/>
                <w:sz w:val="24"/>
                <w:szCs w:val="24"/>
                <w:highlight w:val="none"/>
                <w:lang w:val="en-US" w:eastAsia="zh-CN" w:bidi="ar"/>
              </w:rPr>
            </w:pPr>
          </w:p>
        </w:tc>
        <w:tc>
          <w:tcPr>
            <w:tcW w:w="563" w:type="dxa"/>
            <w:vMerge w:val="continue"/>
            <w:tcBorders>
              <w:left w:val="single" w:color="auto" w:sz="4" w:space="0"/>
              <w:bottom w:val="single" w:color="auto" w:sz="4" w:space="0"/>
              <w:right w:val="single" w:color="auto" w:sz="4" w:space="0"/>
            </w:tcBorders>
            <w:noWrap w:val="0"/>
            <w:vAlign w:val="center"/>
          </w:tcPr>
          <w:p>
            <w:pPr>
              <w:jc w:val="center"/>
              <w:rPr>
                <w:rFonts w:hint="eastAsia" w:hAnsi="宋体" w:cs="宋体"/>
                <w:bCs/>
                <w:color w:val="auto"/>
                <w:sz w:val="24"/>
                <w:szCs w:val="24"/>
                <w:highlight w:val="none"/>
                <w:lang w:eastAsia="zh-CN" w:bidi="ar"/>
              </w:rPr>
            </w:pPr>
          </w:p>
        </w:tc>
      </w:tr>
      <w:tr>
        <w:tblPrEx>
          <w:tblCellMar>
            <w:top w:w="0" w:type="dxa"/>
            <w:left w:w="108" w:type="dxa"/>
            <w:bottom w:w="0" w:type="dxa"/>
            <w:right w:w="108" w:type="dxa"/>
          </w:tblCellMar>
        </w:tblPrEx>
        <w:trPr>
          <w:trHeight w:val="621" w:hRule="atLeast"/>
        </w:trPr>
        <w:tc>
          <w:tcPr>
            <w:tcW w:w="9749"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hAnsi="宋体" w:cs="宋体"/>
                <w:bCs/>
                <w:color w:val="auto"/>
                <w:sz w:val="24"/>
                <w:szCs w:val="24"/>
                <w:highlight w:val="none"/>
                <w:lang w:eastAsia="zh-CN" w:bidi="ar"/>
              </w:rPr>
            </w:pPr>
            <w:r>
              <w:rPr>
                <w:rFonts w:hint="eastAsia" w:hAnsi="宋体" w:cs="宋体"/>
                <w:bCs/>
                <w:color w:val="auto"/>
                <w:sz w:val="24"/>
                <w:szCs w:val="24"/>
                <w:highlight w:val="none"/>
                <w:lang w:eastAsia="zh-CN" w:bidi="ar"/>
              </w:rPr>
              <w:t>二、视频图像分析系统</w:t>
            </w:r>
          </w:p>
        </w:tc>
      </w:tr>
      <w:tr>
        <w:tblPrEx>
          <w:tblCellMar>
            <w:top w:w="0" w:type="dxa"/>
            <w:left w:w="108" w:type="dxa"/>
            <w:bottom w:w="0" w:type="dxa"/>
            <w:right w:w="108" w:type="dxa"/>
          </w:tblCellMar>
        </w:tblPrEx>
        <w:trPr>
          <w:trHeight w:val="1217" w:hRule="atLeast"/>
        </w:trPr>
        <w:tc>
          <w:tcPr>
            <w:tcW w:w="788" w:type="dxa"/>
            <w:tcBorders>
              <w:top w:val="single" w:color="auto" w:sz="4" w:space="0"/>
              <w:left w:val="single" w:color="auto" w:sz="4" w:space="0"/>
              <w:bottom w:val="single" w:color="auto" w:sz="4" w:space="0"/>
              <w:right w:val="single" w:color="auto" w:sz="4" w:space="0"/>
            </w:tcBorders>
            <w:noWrap w:val="0"/>
            <w:vAlign w:val="center"/>
          </w:tcPr>
          <w:p>
            <w:pPr>
              <w:pStyle w:val="2"/>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1</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hAnsi="宋体" w:cs="宋体"/>
                <w:color w:val="auto"/>
                <w:sz w:val="24"/>
                <w:szCs w:val="24"/>
                <w:highlight w:val="none"/>
                <w:lang w:eastAsia="zh-CN" w:bidi="ar"/>
              </w:rPr>
            </w:pPr>
            <w:r>
              <w:rPr>
                <w:rFonts w:hint="eastAsia" w:ascii="宋体" w:hAnsi="宋体" w:eastAsia="宋体" w:cs="宋体"/>
                <w:i w:val="0"/>
                <w:iCs w:val="0"/>
                <w:color w:val="000000"/>
                <w:kern w:val="0"/>
                <w:sz w:val="24"/>
                <w:szCs w:val="24"/>
                <w:u w:val="none"/>
                <w:lang w:val="en-US" w:eastAsia="zh-CN" w:bidi="ar"/>
              </w:rPr>
              <w:t>视频图像分析管理软件</w:t>
            </w:r>
          </w:p>
        </w:tc>
        <w:tc>
          <w:tcPr>
            <w:tcW w:w="64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sz w:val="24"/>
                <w:szCs w:val="24"/>
                <w:lang w:val="en-US" w:eastAsia="zh-CN"/>
              </w:rPr>
            </w:pPr>
            <w:r>
              <w:rPr>
                <w:rFonts w:hint="eastAsia" w:ascii="宋体" w:hAnsi="宋体" w:eastAsia="宋体" w:cs="宋体"/>
                <w:i w:val="0"/>
                <w:iCs w:val="0"/>
                <w:color w:val="000000"/>
                <w:kern w:val="0"/>
                <w:sz w:val="24"/>
                <w:szCs w:val="24"/>
                <w:u w:val="none"/>
                <w:lang w:val="en-US" w:eastAsia="zh-CN" w:bidi="ar"/>
              </w:rPr>
              <w:t>智能分析基础模块，支持加载不同的算法包，多节点集群管理，根据任务计划或指令进行多种智能分析算法的调度，按需分配计算资源；</w:t>
            </w:r>
          </w:p>
        </w:tc>
        <w:tc>
          <w:tcPr>
            <w:tcW w:w="618" w:type="dxa"/>
            <w:vMerge w:val="restart"/>
            <w:tcBorders>
              <w:top w:val="single" w:color="auto" w:sz="4" w:space="0"/>
              <w:left w:val="single" w:color="auto" w:sz="4" w:space="0"/>
              <w:right w:val="single" w:color="auto" w:sz="4" w:space="0"/>
            </w:tcBorders>
            <w:noWrap w:val="0"/>
            <w:vAlign w:val="center"/>
          </w:tcPr>
          <w:p>
            <w:pPr>
              <w:jc w:val="center"/>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1</w:t>
            </w:r>
          </w:p>
        </w:tc>
        <w:tc>
          <w:tcPr>
            <w:tcW w:w="563" w:type="dxa"/>
            <w:vMerge w:val="restart"/>
            <w:tcBorders>
              <w:top w:val="single" w:color="auto" w:sz="4" w:space="0"/>
              <w:left w:val="single" w:color="auto" w:sz="4" w:space="0"/>
              <w:right w:val="single" w:color="auto" w:sz="4" w:space="0"/>
            </w:tcBorders>
            <w:noWrap w:val="0"/>
            <w:vAlign w:val="center"/>
          </w:tcPr>
          <w:p>
            <w:pPr>
              <w:jc w:val="center"/>
              <w:rPr>
                <w:rFonts w:hint="eastAsia" w:hAnsi="宋体" w:cs="宋体"/>
                <w:bCs/>
                <w:color w:val="auto"/>
                <w:sz w:val="24"/>
                <w:szCs w:val="24"/>
                <w:highlight w:val="none"/>
                <w:lang w:eastAsia="zh-CN" w:bidi="ar"/>
              </w:rPr>
            </w:pPr>
            <w:r>
              <w:rPr>
                <w:rFonts w:hint="eastAsia" w:hAnsi="宋体" w:cs="宋体"/>
                <w:bCs/>
                <w:color w:val="auto"/>
                <w:sz w:val="24"/>
                <w:szCs w:val="24"/>
                <w:highlight w:val="none"/>
                <w:lang w:eastAsia="zh-CN" w:bidi="ar"/>
              </w:rPr>
              <w:t>套</w:t>
            </w:r>
          </w:p>
        </w:tc>
      </w:tr>
      <w:tr>
        <w:tblPrEx>
          <w:tblCellMar>
            <w:top w:w="0" w:type="dxa"/>
            <w:left w:w="108" w:type="dxa"/>
            <w:bottom w:w="0" w:type="dxa"/>
            <w:right w:w="108" w:type="dxa"/>
          </w:tblCellMar>
        </w:tblPrEx>
        <w:trPr>
          <w:trHeight w:val="666" w:hRule="atLeast"/>
        </w:trPr>
        <w:tc>
          <w:tcPr>
            <w:tcW w:w="788" w:type="dxa"/>
            <w:tcBorders>
              <w:top w:val="single" w:color="auto" w:sz="4" w:space="0"/>
              <w:left w:val="single" w:color="auto" w:sz="4" w:space="0"/>
              <w:bottom w:val="single" w:color="auto" w:sz="4" w:space="0"/>
              <w:right w:val="single" w:color="auto" w:sz="4" w:space="0"/>
            </w:tcBorders>
            <w:noWrap w:val="0"/>
            <w:vAlign w:val="center"/>
          </w:tcPr>
          <w:p>
            <w:pPr>
              <w:pStyle w:val="2"/>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2</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hAnsi="宋体" w:cs="宋体"/>
                <w:color w:val="auto"/>
                <w:sz w:val="24"/>
                <w:szCs w:val="24"/>
                <w:highlight w:val="none"/>
                <w:lang w:eastAsia="zh-CN" w:bidi="ar"/>
              </w:rPr>
            </w:pPr>
            <w:r>
              <w:rPr>
                <w:rFonts w:hint="eastAsia" w:ascii="宋体" w:hAnsi="宋体" w:eastAsia="宋体" w:cs="宋体"/>
                <w:i w:val="0"/>
                <w:iCs w:val="0"/>
                <w:color w:val="000000"/>
                <w:kern w:val="0"/>
                <w:sz w:val="24"/>
                <w:szCs w:val="24"/>
                <w:u w:val="none"/>
                <w:lang w:val="en-US" w:eastAsia="zh-CN" w:bidi="ar"/>
              </w:rPr>
              <w:t>人脸图片分析</w:t>
            </w:r>
          </w:p>
        </w:tc>
        <w:tc>
          <w:tcPr>
            <w:tcW w:w="648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sz w:val="24"/>
                <w:szCs w:val="24"/>
                <w:lang w:val="en-US" w:eastAsia="zh-CN"/>
              </w:rPr>
            </w:pPr>
            <w:r>
              <w:rPr>
                <w:rFonts w:hint="eastAsia" w:ascii="宋体" w:hAnsi="宋体" w:eastAsia="宋体" w:cs="宋体"/>
                <w:i w:val="0"/>
                <w:iCs w:val="0"/>
                <w:color w:val="000000"/>
                <w:kern w:val="0"/>
                <w:sz w:val="24"/>
                <w:szCs w:val="24"/>
                <w:u w:val="none"/>
                <w:lang w:val="en-US" w:eastAsia="zh-CN" w:bidi="ar"/>
              </w:rPr>
              <w:t>人脸图片结构化单元满足≥230路并发人脸抓拍设备接入及结构化分析。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支持对图片中人脸目标的检测与识别；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支持人脸属性识别，包括年龄、性别、戴眼镜、戴口罩；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支持人脸目标的特征提取；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支持对人脸图片部分被遮挡住情况下正确检测人脸；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支持不同表情条件下人脸检出；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支持对识别人脸年龄段；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支持不同光照条件下人脸检出</w:t>
            </w:r>
          </w:p>
        </w:tc>
        <w:tc>
          <w:tcPr>
            <w:tcW w:w="618" w:type="dxa"/>
            <w:vMerge w:val="continue"/>
            <w:tcBorders>
              <w:left w:val="single" w:color="auto" w:sz="4" w:space="0"/>
              <w:right w:val="single" w:color="auto" w:sz="4" w:space="0"/>
            </w:tcBorders>
            <w:noWrap w:val="0"/>
            <w:vAlign w:val="center"/>
          </w:tcPr>
          <w:p>
            <w:pPr>
              <w:jc w:val="center"/>
              <w:rPr>
                <w:rFonts w:hint="default" w:hAnsi="宋体" w:cs="宋体"/>
                <w:bCs/>
                <w:color w:val="auto"/>
                <w:sz w:val="24"/>
                <w:szCs w:val="24"/>
                <w:highlight w:val="none"/>
                <w:lang w:val="en-US" w:eastAsia="zh-CN" w:bidi="ar"/>
              </w:rPr>
            </w:pPr>
          </w:p>
        </w:tc>
        <w:tc>
          <w:tcPr>
            <w:tcW w:w="563" w:type="dxa"/>
            <w:vMerge w:val="continue"/>
            <w:tcBorders>
              <w:left w:val="single" w:color="auto" w:sz="4" w:space="0"/>
              <w:right w:val="single" w:color="auto" w:sz="4" w:space="0"/>
            </w:tcBorders>
            <w:noWrap w:val="0"/>
            <w:vAlign w:val="center"/>
          </w:tcPr>
          <w:p>
            <w:pPr>
              <w:jc w:val="center"/>
              <w:rPr>
                <w:rFonts w:hint="eastAsia" w:hAnsi="宋体" w:cs="宋体"/>
                <w:bCs/>
                <w:color w:val="auto"/>
                <w:sz w:val="24"/>
                <w:szCs w:val="24"/>
                <w:highlight w:val="none"/>
                <w:lang w:eastAsia="zh-CN" w:bidi="ar"/>
              </w:rPr>
            </w:pPr>
          </w:p>
        </w:tc>
      </w:tr>
      <w:tr>
        <w:tblPrEx>
          <w:tblCellMar>
            <w:top w:w="0" w:type="dxa"/>
            <w:left w:w="108" w:type="dxa"/>
            <w:bottom w:w="0" w:type="dxa"/>
            <w:right w:w="108" w:type="dxa"/>
          </w:tblCellMar>
        </w:tblPrEx>
        <w:trPr>
          <w:trHeight w:val="666" w:hRule="atLeast"/>
        </w:trPr>
        <w:tc>
          <w:tcPr>
            <w:tcW w:w="788" w:type="dxa"/>
            <w:tcBorders>
              <w:top w:val="single" w:color="auto" w:sz="4" w:space="0"/>
              <w:left w:val="single" w:color="auto" w:sz="4" w:space="0"/>
              <w:bottom w:val="single" w:color="auto" w:sz="4" w:space="0"/>
              <w:right w:val="single" w:color="auto" w:sz="4" w:space="0"/>
            </w:tcBorders>
            <w:noWrap w:val="0"/>
            <w:vAlign w:val="center"/>
          </w:tcPr>
          <w:p>
            <w:pPr>
              <w:pStyle w:val="2"/>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3</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hAnsi="宋体" w:cs="宋体"/>
                <w:color w:val="auto"/>
                <w:sz w:val="24"/>
                <w:szCs w:val="24"/>
                <w:highlight w:val="none"/>
                <w:lang w:val="en-US" w:eastAsia="zh-CN" w:bidi="ar"/>
              </w:rPr>
            </w:pPr>
            <w:r>
              <w:rPr>
                <w:rFonts w:hint="eastAsia" w:ascii="宋体" w:hAnsi="宋体" w:eastAsia="宋体" w:cs="宋体"/>
                <w:i w:val="0"/>
                <w:iCs w:val="0"/>
                <w:color w:val="000000"/>
                <w:kern w:val="0"/>
                <w:sz w:val="24"/>
                <w:szCs w:val="24"/>
                <w:u w:val="none"/>
                <w:lang w:val="en-US" w:eastAsia="zh-CN" w:bidi="ar"/>
              </w:rPr>
              <w:t>人体图片分析</w:t>
            </w:r>
          </w:p>
        </w:tc>
        <w:tc>
          <w:tcPr>
            <w:tcW w:w="648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top"/>
              <w:rPr>
                <w:rFonts w:hint="eastAsia"/>
                <w:sz w:val="24"/>
                <w:szCs w:val="24"/>
                <w:lang w:val="en-US" w:eastAsia="zh-CN"/>
              </w:rPr>
            </w:pPr>
            <w:r>
              <w:rPr>
                <w:rFonts w:hint="eastAsia" w:ascii="宋体" w:hAnsi="宋体" w:eastAsia="宋体" w:cs="宋体"/>
                <w:i w:val="0"/>
                <w:iCs w:val="0"/>
                <w:color w:val="000000"/>
                <w:kern w:val="0"/>
                <w:sz w:val="24"/>
                <w:szCs w:val="24"/>
                <w:u w:val="none"/>
                <w:lang w:val="en-US" w:eastAsia="zh-CN" w:bidi="ar"/>
              </w:rPr>
              <w:t>人体图片结构化单元满足≥170路并发人体抓拍设备接入及人体结构化分析。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支持对图片中人体目标的检测与识别；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支持服饰特征识别包含上下衣着颜色、戴眼镜、戴帽子、戴口罩等。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支持携带物特征识别包含是否戴眼镜、是否打伞、是否骑车、是否背包、是否拎东西等。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支持运动特征识别包含运动方向等</w:t>
            </w:r>
          </w:p>
        </w:tc>
        <w:tc>
          <w:tcPr>
            <w:tcW w:w="618" w:type="dxa"/>
            <w:vMerge w:val="continue"/>
            <w:tcBorders>
              <w:left w:val="single" w:color="auto" w:sz="4" w:space="0"/>
              <w:right w:val="single" w:color="auto" w:sz="4" w:space="0"/>
            </w:tcBorders>
            <w:noWrap w:val="0"/>
            <w:vAlign w:val="center"/>
          </w:tcPr>
          <w:p>
            <w:pPr>
              <w:jc w:val="center"/>
              <w:rPr>
                <w:rFonts w:hint="default" w:hAnsi="宋体" w:cs="宋体"/>
                <w:bCs/>
                <w:color w:val="auto"/>
                <w:sz w:val="24"/>
                <w:szCs w:val="24"/>
                <w:highlight w:val="none"/>
                <w:lang w:val="en-US" w:eastAsia="zh-CN" w:bidi="ar"/>
              </w:rPr>
            </w:pPr>
          </w:p>
        </w:tc>
        <w:tc>
          <w:tcPr>
            <w:tcW w:w="563" w:type="dxa"/>
            <w:vMerge w:val="continue"/>
            <w:tcBorders>
              <w:left w:val="single" w:color="auto" w:sz="4" w:space="0"/>
              <w:right w:val="single" w:color="auto" w:sz="4" w:space="0"/>
            </w:tcBorders>
            <w:noWrap w:val="0"/>
            <w:vAlign w:val="center"/>
          </w:tcPr>
          <w:p>
            <w:pPr>
              <w:jc w:val="center"/>
              <w:rPr>
                <w:rFonts w:hint="eastAsia" w:hAnsi="宋体" w:cs="宋体"/>
                <w:bCs/>
                <w:color w:val="auto"/>
                <w:sz w:val="24"/>
                <w:szCs w:val="24"/>
                <w:highlight w:val="none"/>
                <w:lang w:eastAsia="zh-CN" w:bidi="ar"/>
              </w:rPr>
            </w:pPr>
          </w:p>
        </w:tc>
      </w:tr>
      <w:tr>
        <w:tblPrEx>
          <w:tblCellMar>
            <w:top w:w="0" w:type="dxa"/>
            <w:left w:w="108" w:type="dxa"/>
            <w:bottom w:w="0" w:type="dxa"/>
            <w:right w:w="108" w:type="dxa"/>
          </w:tblCellMar>
        </w:tblPrEx>
        <w:trPr>
          <w:trHeight w:val="506" w:hRule="atLeast"/>
        </w:trPr>
        <w:tc>
          <w:tcPr>
            <w:tcW w:w="788" w:type="dxa"/>
            <w:tcBorders>
              <w:top w:val="single" w:color="auto" w:sz="4" w:space="0"/>
              <w:left w:val="single" w:color="auto" w:sz="4" w:space="0"/>
              <w:bottom w:val="single" w:color="auto" w:sz="4" w:space="0"/>
              <w:right w:val="single" w:color="auto" w:sz="4" w:space="0"/>
            </w:tcBorders>
            <w:noWrap w:val="0"/>
            <w:vAlign w:val="center"/>
          </w:tcPr>
          <w:p>
            <w:pPr>
              <w:pStyle w:val="2"/>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4</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hAnsi="宋体" w:cs="宋体"/>
                <w:color w:val="auto"/>
                <w:sz w:val="24"/>
                <w:szCs w:val="24"/>
                <w:highlight w:val="none"/>
                <w:lang w:eastAsia="zh-CN" w:bidi="ar"/>
              </w:rPr>
            </w:pPr>
            <w:r>
              <w:rPr>
                <w:rFonts w:hint="eastAsia" w:ascii="宋体" w:hAnsi="宋体" w:eastAsia="宋体" w:cs="宋体"/>
                <w:i w:val="0"/>
                <w:iCs w:val="0"/>
                <w:color w:val="000000"/>
                <w:kern w:val="0"/>
                <w:sz w:val="24"/>
                <w:szCs w:val="24"/>
                <w:u w:val="none"/>
                <w:lang w:val="en-US" w:eastAsia="zh-CN" w:bidi="ar"/>
              </w:rPr>
              <w:t>车辆图片分析</w:t>
            </w:r>
          </w:p>
        </w:tc>
        <w:tc>
          <w:tcPr>
            <w:tcW w:w="648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top"/>
              <w:rPr>
                <w:rFonts w:hint="eastAsia"/>
                <w:sz w:val="24"/>
                <w:szCs w:val="24"/>
                <w:lang w:val="en-US" w:eastAsia="zh-CN"/>
              </w:rPr>
            </w:pPr>
            <w:r>
              <w:rPr>
                <w:rFonts w:hint="eastAsia" w:ascii="宋体" w:hAnsi="宋体" w:eastAsia="宋体" w:cs="宋体"/>
                <w:i w:val="0"/>
                <w:iCs w:val="0"/>
                <w:color w:val="000000"/>
                <w:kern w:val="0"/>
                <w:sz w:val="24"/>
                <w:szCs w:val="24"/>
                <w:u w:val="none"/>
                <w:lang w:val="en-US" w:eastAsia="zh-CN" w:bidi="ar"/>
              </w:rPr>
              <w:t>车辆图片结构化单元满足≥300万张图片/天结构化分析。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负责系统接入的视频和图片的高性能计算和处理能力，提供机动车辆、非机动车辆视频图片的结构化分析与特征值提取能力。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支持对视频/图片中机动车、非机动车的检测与识别；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机动车属性识别：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支持车牌识别、车身颜色识别、车辆类型识别、车款识别、标志物识别、特种车辆识别、违章行为识别；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非机动车属性识别：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支持乘客的性别、头部特征、附属物品识别、上身衣服颜色、款式识别；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支持车辆驾驶室内人脸可见情况下的车辆和人脸关联；</w:t>
            </w:r>
          </w:p>
        </w:tc>
        <w:tc>
          <w:tcPr>
            <w:tcW w:w="618" w:type="dxa"/>
            <w:vMerge w:val="continue"/>
            <w:tcBorders>
              <w:left w:val="single" w:color="auto" w:sz="4" w:space="0"/>
              <w:right w:val="single" w:color="auto" w:sz="4" w:space="0"/>
            </w:tcBorders>
            <w:noWrap w:val="0"/>
            <w:vAlign w:val="center"/>
          </w:tcPr>
          <w:p>
            <w:pPr>
              <w:jc w:val="center"/>
              <w:rPr>
                <w:rFonts w:hint="default" w:hAnsi="宋体" w:cs="宋体"/>
                <w:bCs/>
                <w:color w:val="auto"/>
                <w:sz w:val="24"/>
                <w:szCs w:val="24"/>
                <w:highlight w:val="none"/>
                <w:lang w:val="en-US" w:eastAsia="zh-CN" w:bidi="ar"/>
              </w:rPr>
            </w:pPr>
          </w:p>
        </w:tc>
        <w:tc>
          <w:tcPr>
            <w:tcW w:w="563" w:type="dxa"/>
            <w:vMerge w:val="continue"/>
            <w:tcBorders>
              <w:left w:val="single" w:color="auto" w:sz="4" w:space="0"/>
              <w:right w:val="single" w:color="auto" w:sz="4" w:space="0"/>
            </w:tcBorders>
            <w:noWrap w:val="0"/>
            <w:vAlign w:val="center"/>
          </w:tcPr>
          <w:p>
            <w:pPr>
              <w:jc w:val="center"/>
              <w:rPr>
                <w:rFonts w:hint="eastAsia" w:hAnsi="宋体" w:cs="宋体"/>
                <w:bCs/>
                <w:color w:val="auto"/>
                <w:sz w:val="24"/>
                <w:szCs w:val="24"/>
                <w:highlight w:val="none"/>
                <w:lang w:eastAsia="zh-CN" w:bidi="ar"/>
              </w:rPr>
            </w:pPr>
          </w:p>
        </w:tc>
      </w:tr>
      <w:tr>
        <w:tblPrEx>
          <w:tblCellMar>
            <w:top w:w="0" w:type="dxa"/>
            <w:left w:w="108" w:type="dxa"/>
            <w:bottom w:w="0" w:type="dxa"/>
            <w:right w:w="108" w:type="dxa"/>
          </w:tblCellMar>
        </w:tblPrEx>
        <w:trPr>
          <w:trHeight w:val="666" w:hRule="atLeast"/>
        </w:trPr>
        <w:tc>
          <w:tcPr>
            <w:tcW w:w="788" w:type="dxa"/>
            <w:tcBorders>
              <w:top w:val="single" w:color="auto" w:sz="4" w:space="0"/>
              <w:left w:val="single" w:color="auto" w:sz="4" w:space="0"/>
              <w:bottom w:val="single" w:color="auto" w:sz="4" w:space="0"/>
              <w:right w:val="single" w:color="auto" w:sz="4" w:space="0"/>
            </w:tcBorders>
            <w:noWrap w:val="0"/>
            <w:vAlign w:val="center"/>
          </w:tcPr>
          <w:p>
            <w:pPr>
              <w:pStyle w:val="2"/>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5</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hAnsi="宋体" w:cs="宋体"/>
                <w:color w:val="auto"/>
                <w:sz w:val="24"/>
                <w:szCs w:val="24"/>
                <w:highlight w:val="none"/>
                <w:lang w:eastAsia="zh-CN" w:bidi="ar"/>
              </w:rPr>
            </w:pPr>
            <w:r>
              <w:rPr>
                <w:rFonts w:hint="eastAsia" w:ascii="宋体" w:hAnsi="宋体" w:eastAsia="宋体" w:cs="宋体"/>
                <w:i w:val="0"/>
                <w:iCs w:val="0"/>
                <w:color w:val="000000"/>
                <w:kern w:val="0"/>
                <w:sz w:val="24"/>
                <w:szCs w:val="24"/>
                <w:u w:val="none"/>
                <w:lang w:val="en-US" w:eastAsia="zh-CN" w:bidi="ar"/>
              </w:rPr>
              <w:t>视频结构化分析</w:t>
            </w:r>
          </w:p>
        </w:tc>
        <w:tc>
          <w:tcPr>
            <w:tcW w:w="648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top"/>
              <w:rPr>
                <w:rFonts w:hint="eastAsia"/>
                <w:sz w:val="24"/>
                <w:szCs w:val="24"/>
                <w:lang w:val="en-US" w:eastAsia="zh-CN"/>
              </w:rPr>
            </w:pPr>
            <w:r>
              <w:rPr>
                <w:rFonts w:hint="eastAsia" w:ascii="宋体" w:hAnsi="宋体" w:eastAsia="宋体" w:cs="宋体"/>
                <w:i w:val="0"/>
                <w:iCs w:val="0"/>
                <w:color w:val="000000"/>
                <w:kern w:val="0"/>
                <w:sz w:val="24"/>
                <w:szCs w:val="24"/>
                <w:u w:val="none"/>
                <w:lang w:val="en-US" w:eastAsia="zh-CN" w:bidi="ar"/>
              </w:rPr>
              <w:t>视频结构化单元满足≥30路并发视频结构化分析。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针对视频流中的各类要素进行解析及数据智能分析，能够实现支持人脸识别、人体识别、非机动车、车辆的识别，提取视频中人脸、人体、车辆等目标和结构化属性信息。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行人识别：支持识别性别、年龄段识别、头部特征识别、附属物品识别、上身衣服颜色，下身衣服颜色等。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车辆识别：支持车牌识别、车身颜色识别、车辆类型识别、车款识别、标志物识别、特种车辆识别、违章行为识别等。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非机动车识别：非机动车属性识别，支持非机动车细分类别、姿态识别、颜色识别等。</w:t>
            </w:r>
          </w:p>
        </w:tc>
        <w:tc>
          <w:tcPr>
            <w:tcW w:w="618" w:type="dxa"/>
            <w:vMerge w:val="continue"/>
            <w:tcBorders>
              <w:left w:val="single" w:color="auto" w:sz="4" w:space="0"/>
              <w:bottom w:val="single" w:color="auto" w:sz="4" w:space="0"/>
              <w:right w:val="single" w:color="auto" w:sz="4" w:space="0"/>
            </w:tcBorders>
            <w:noWrap w:val="0"/>
            <w:vAlign w:val="center"/>
          </w:tcPr>
          <w:p>
            <w:pPr>
              <w:jc w:val="center"/>
              <w:rPr>
                <w:rFonts w:hint="default" w:hAnsi="宋体" w:cs="宋体"/>
                <w:bCs/>
                <w:color w:val="auto"/>
                <w:sz w:val="24"/>
                <w:szCs w:val="24"/>
                <w:highlight w:val="none"/>
                <w:lang w:val="en-US" w:eastAsia="zh-CN" w:bidi="ar"/>
              </w:rPr>
            </w:pPr>
          </w:p>
        </w:tc>
        <w:tc>
          <w:tcPr>
            <w:tcW w:w="563" w:type="dxa"/>
            <w:vMerge w:val="continue"/>
            <w:tcBorders>
              <w:left w:val="single" w:color="auto" w:sz="4" w:space="0"/>
              <w:bottom w:val="single" w:color="auto" w:sz="4" w:space="0"/>
              <w:right w:val="single" w:color="auto" w:sz="4" w:space="0"/>
            </w:tcBorders>
            <w:noWrap w:val="0"/>
            <w:vAlign w:val="center"/>
          </w:tcPr>
          <w:p>
            <w:pPr>
              <w:jc w:val="center"/>
              <w:rPr>
                <w:rFonts w:hint="eastAsia" w:hAnsi="宋体" w:cs="宋体"/>
                <w:bCs/>
                <w:color w:val="auto"/>
                <w:sz w:val="24"/>
                <w:szCs w:val="24"/>
                <w:highlight w:val="none"/>
                <w:lang w:eastAsia="zh-CN" w:bidi="ar"/>
              </w:rPr>
            </w:pPr>
          </w:p>
        </w:tc>
      </w:tr>
      <w:tr>
        <w:tblPrEx>
          <w:tblCellMar>
            <w:top w:w="0" w:type="dxa"/>
            <w:left w:w="108" w:type="dxa"/>
            <w:bottom w:w="0" w:type="dxa"/>
            <w:right w:w="108" w:type="dxa"/>
          </w:tblCellMar>
        </w:tblPrEx>
        <w:trPr>
          <w:trHeight w:val="666" w:hRule="atLeast"/>
        </w:trPr>
        <w:tc>
          <w:tcPr>
            <w:tcW w:w="9749"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cs="宋体"/>
                <w:bCs/>
                <w:color w:val="auto"/>
                <w:sz w:val="24"/>
                <w:szCs w:val="24"/>
                <w:highlight w:val="none"/>
                <w:lang w:eastAsia="zh-CN" w:bidi="ar"/>
              </w:rPr>
            </w:pPr>
            <w:r>
              <w:rPr>
                <w:rFonts w:hint="eastAsia" w:hAnsi="宋体" w:cs="宋体"/>
                <w:bCs/>
                <w:color w:val="auto"/>
                <w:sz w:val="24"/>
                <w:szCs w:val="24"/>
                <w:highlight w:val="none"/>
                <w:lang w:eastAsia="zh-CN" w:bidi="ar"/>
              </w:rPr>
              <w:t>三、视频图像信息数据库</w:t>
            </w:r>
          </w:p>
        </w:tc>
      </w:tr>
      <w:tr>
        <w:tblPrEx>
          <w:tblCellMar>
            <w:top w:w="0" w:type="dxa"/>
            <w:left w:w="108" w:type="dxa"/>
            <w:bottom w:w="0" w:type="dxa"/>
            <w:right w:w="108" w:type="dxa"/>
          </w:tblCellMar>
        </w:tblPrEx>
        <w:trPr>
          <w:trHeight w:val="666" w:hRule="atLeast"/>
        </w:trPr>
        <w:tc>
          <w:tcPr>
            <w:tcW w:w="788" w:type="dxa"/>
            <w:tcBorders>
              <w:top w:val="single" w:color="auto" w:sz="4" w:space="0"/>
              <w:left w:val="single" w:color="auto" w:sz="4" w:space="0"/>
              <w:bottom w:val="single" w:color="auto" w:sz="4" w:space="0"/>
              <w:right w:val="single" w:color="auto" w:sz="4" w:space="0"/>
            </w:tcBorders>
            <w:noWrap w:val="0"/>
            <w:vAlign w:val="center"/>
          </w:tcPr>
          <w:p>
            <w:pPr>
              <w:pStyle w:val="2"/>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1</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hAnsi="宋体" w:cs="宋体"/>
                <w:color w:val="auto"/>
                <w:sz w:val="24"/>
                <w:szCs w:val="24"/>
                <w:highlight w:val="none"/>
                <w:lang w:eastAsia="zh-CN" w:bidi="ar"/>
              </w:rPr>
            </w:pPr>
            <w:r>
              <w:rPr>
                <w:rFonts w:hint="eastAsia" w:ascii="宋体" w:hAnsi="宋体" w:eastAsia="宋体" w:cs="宋体"/>
                <w:i w:val="0"/>
                <w:iCs w:val="0"/>
                <w:color w:val="000000"/>
                <w:kern w:val="0"/>
                <w:sz w:val="24"/>
                <w:szCs w:val="24"/>
                <w:u w:val="none"/>
                <w:lang w:val="en-US" w:eastAsia="zh-CN" w:bidi="ar"/>
              </w:rPr>
              <w:t>视频图像信息数据库</w:t>
            </w:r>
          </w:p>
        </w:tc>
        <w:tc>
          <w:tcPr>
            <w:tcW w:w="648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top"/>
              <w:rPr>
                <w:rFonts w:hint="eastAsia"/>
                <w:sz w:val="24"/>
                <w:szCs w:val="24"/>
                <w:lang w:val="en-US" w:eastAsia="zh-CN"/>
              </w:rPr>
            </w:pPr>
            <w:r>
              <w:rPr>
                <w:rFonts w:hint="eastAsia" w:ascii="宋体" w:hAnsi="宋体" w:eastAsia="宋体" w:cs="宋体"/>
                <w:i w:val="0"/>
                <w:iCs w:val="0"/>
                <w:color w:val="000000"/>
                <w:kern w:val="0"/>
                <w:sz w:val="24"/>
                <w:szCs w:val="24"/>
                <w:u w:val="none"/>
                <w:lang w:val="en-US" w:eastAsia="zh-CN" w:bidi="ar"/>
              </w:rPr>
              <w:t>符合GA/T 1400.3-2017《公安视频图像信息应用系统 第3部分：数据库技术要求》。具有设备注册保活、对象CRUD操作、布控与告警、订阅与通知、联网服务和存储管理等功能。采用分布式、多副本的存储策略，支持行式存储和列式存储，满足结构化、半结构化、非结构化的数据存储需求。实现各类视频图像信息资源的整合接入、汇聚、存储、数据分库，支持车辆汇聚库、人像汇聚库等专题库和警种业务库、主题库的建设，能自动实现对各类入库的视频图像信息对象进行统一标识编码。能通过订阅与通知机制实现与各订阅方的数据同步。支持向上下级联联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平台系统支持通过GA/T 1400-2017标准与市级相关平台进行数据对接；</w:t>
            </w:r>
          </w:p>
        </w:tc>
        <w:tc>
          <w:tcPr>
            <w:tcW w:w="618" w:type="dxa"/>
            <w:vMerge w:val="restart"/>
            <w:tcBorders>
              <w:top w:val="single" w:color="auto" w:sz="4" w:space="0"/>
              <w:left w:val="single" w:color="auto" w:sz="4" w:space="0"/>
              <w:right w:val="single" w:color="auto" w:sz="4" w:space="0"/>
            </w:tcBorders>
            <w:noWrap w:val="0"/>
            <w:vAlign w:val="center"/>
          </w:tcPr>
          <w:p>
            <w:pPr>
              <w:jc w:val="center"/>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1</w:t>
            </w:r>
          </w:p>
        </w:tc>
        <w:tc>
          <w:tcPr>
            <w:tcW w:w="563" w:type="dxa"/>
            <w:vMerge w:val="restart"/>
            <w:tcBorders>
              <w:top w:val="single" w:color="auto" w:sz="4" w:space="0"/>
              <w:left w:val="single" w:color="auto" w:sz="4" w:space="0"/>
              <w:right w:val="single" w:color="auto" w:sz="4" w:space="0"/>
            </w:tcBorders>
            <w:noWrap w:val="0"/>
            <w:vAlign w:val="center"/>
          </w:tcPr>
          <w:p>
            <w:pPr>
              <w:jc w:val="center"/>
              <w:rPr>
                <w:rFonts w:hint="eastAsia" w:hAnsi="宋体" w:cs="宋体"/>
                <w:bCs/>
                <w:color w:val="auto"/>
                <w:sz w:val="24"/>
                <w:szCs w:val="24"/>
                <w:highlight w:val="none"/>
                <w:lang w:eastAsia="zh-CN" w:bidi="ar"/>
              </w:rPr>
            </w:pPr>
            <w:r>
              <w:rPr>
                <w:rFonts w:hint="eastAsia" w:hAnsi="宋体" w:cs="宋体"/>
                <w:bCs/>
                <w:color w:val="auto"/>
                <w:sz w:val="24"/>
                <w:szCs w:val="24"/>
                <w:highlight w:val="none"/>
                <w:lang w:eastAsia="zh-CN" w:bidi="ar"/>
              </w:rPr>
              <w:t>套</w:t>
            </w:r>
          </w:p>
        </w:tc>
      </w:tr>
      <w:tr>
        <w:tblPrEx>
          <w:tblCellMar>
            <w:top w:w="0" w:type="dxa"/>
            <w:left w:w="108" w:type="dxa"/>
            <w:bottom w:w="0" w:type="dxa"/>
            <w:right w:w="108" w:type="dxa"/>
          </w:tblCellMar>
        </w:tblPrEx>
        <w:trPr>
          <w:trHeight w:val="666" w:hRule="atLeast"/>
        </w:trPr>
        <w:tc>
          <w:tcPr>
            <w:tcW w:w="788" w:type="dxa"/>
            <w:tcBorders>
              <w:top w:val="single" w:color="auto" w:sz="4" w:space="0"/>
              <w:left w:val="single" w:color="auto" w:sz="4" w:space="0"/>
              <w:bottom w:val="single" w:color="auto" w:sz="4" w:space="0"/>
              <w:right w:val="single" w:color="auto" w:sz="4" w:space="0"/>
            </w:tcBorders>
            <w:noWrap w:val="0"/>
            <w:vAlign w:val="center"/>
          </w:tcPr>
          <w:p>
            <w:pPr>
              <w:pStyle w:val="2"/>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2</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hAnsi="宋体" w:cs="宋体"/>
                <w:color w:val="auto"/>
                <w:sz w:val="24"/>
                <w:szCs w:val="24"/>
                <w:highlight w:val="none"/>
                <w:lang w:eastAsia="zh-CN" w:bidi="ar"/>
              </w:rPr>
            </w:pPr>
            <w:r>
              <w:rPr>
                <w:rFonts w:hint="eastAsia" w:ascii="宋体" w:hAnsi="宋体" w:eastAsia="宋体" w:cs="宋体"/>
                <w:i w:val="0"/>
                <w:iCs w:val="0"/>
                <w:color w:val="000000"/>
                <w:kern w:val="0"/>
                <w:sz w:val="24"/>
                <w:szCs w:val="24"/>
                <w:u w:val="none"/>
                <w:lang w:val="en-US" w:eastAsia="zh-CN" w:bidi="ar"/>
              </w:rPr>
              <w:t>视频图像信息数据库应用管理系统</w:t>
            </w:r>
          </w:p>
        </w:tc>
        <w:tc>
          <w:tcPr>
            <w:tcW w:w="648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top"/>
              <w:rPr>
                <w:rFonts w:hint="eastAsia"/>
                <w:sz w:val="24"/>
                <w:szCs w:val="24"/>
                <w:lang w:val="en-US" w:eastAsia="zh-CN"/>
              </w:rPr>
            </w:pPr>
            <w:r>
              <w:rPr>
                <w:rFonts w:hint="eastAsia" w:ascii="宋体" w:hAnsi="宋体" w:eastAsia="宋体" w:cs="宋体"/>
                <w:i w:val="0"/>
                <w:iCs w:val="0"/>
                <w:color w:val="000000"/>
                <w:kern w:val="0"/>
                <w:sz w:val="24"/>
                <w:szCs w:val="24"/>
                <w:u w:val="none"/>
                <w:lang w:val="en-US" w:eastAsia="zh-CN" w:bidi="ar"/>
              </w:rPr>
              <w:t>符合GA/T 1400.3-2017《公安视频图像信息应用系统 第3部分：数据库技术要求》，是对整个视图库以及各个接口矩阵模块进行统一管理的应用门户，具有用户管理、设备管理、运维管理、存储配置管理、日志管理和时钟同步等功能，提供数据查询与检索、布控及告警、订阅与通知等应用操作功能。具有对采集接口、数据服务接口、级联接口管理及统计分析功能，可对服务接口的登记申请及服务状态进行监控。具有向上级视图库注册、保活和注销等操作功能。具有对API接口的查询及在线测试功能。</w:t>
            </w:r>
          </w:p>
        </w:tc>
        <w:tc>
          <w:tcPr>
            <w:tcW w:w="618" w:type="dxa"/>
            <w:vMerge w:val="continue"/>
            <w:tcBorders>
              <w:left w:val="single" w:color="auto" w:sz="4" w:space="0"/>
              <w:right w:val="single" w:color="auto" w:sz="4" w:space="0"/>
            </w:tcBorders>
            <w:noWrap w:val="0"/>
            <w:vAlign w:val="center"/>
          </w:tcPr>
          <w:p>
            <w:pPr>
              <w:jc w:val="center"/>
              <w:rPr>
                <w:rFonts w:hint="default" w:hAnsi="宋体" w:cs="宋体"/>
                <w:bCs/>
                <w:color w:val="auto"/>
                <w:sz w:val="24"/>
                <w:szCs w:val="24"/>
                <w:highlight w:val="none"/>
                <w:lang w:val="en-US" w:eastAsia="zh-CN" w:bidi="ar"/>
              </w:rPr>
            </w:pPr>
          </w:p>
        </w:tc>
        <w:tc>
          <w:tcPr>
            <w:tcW w:w="563" w:type="dxa"/>
            <w:vMerge w:val="continue"/>
            <w:tcBorders>
              <w:left w:val="single" w:color="auto" w:sz="4" w:space="0"/>
              <w:right w:val="single" w:color="auto" w:sz="4" w:space="0"/>
            </w:tcBorders>
            <w:noWrap w:val="0"/>
            <w:vAlign w:val="center"/>
          </w:tcPr>
          <w:p>
            <w:pPr>
              <w:jc w:val="center"/>
              <w:rPr>
                <w:rFonts w:hint="eastAsia" w:hAnsi="宋体" w:cs="宋体"/>
                <w:bCs/>
                <w:color w:val="auto"/>
                <w:sz w:val="24"/>
                <w:szCs w:val="24"/>
                <w:highlight w:val="none"/>
                <w:lang w:eastAsia="zh-CN" w:bidi="ar"/>
              </w:rPr>
            </w:pPr>
          </w:p>
        </w:tc>
      </w:tr>
      <w:tr>
        <w:tblPrEx>
          <w:tblCellMar>
            <w:top w:w="0" w:type="dxa"/>
            <w:left w:w="108" w:type="dxa"/>
            <w:bottom w:w="0" w:type="dxa"/>
            <w:right w:w="108" w:type="dxa"/>
          </w:tblCellMar>
        </w:tblPrEx>
        <w:trPr>
          <w:trHeight w:val="666" w:hRule="atLeast"/>
        </w:trPr>
        <w:tc>
          <w:tcPr>
            <w:tcW w:w="788" w:type="dxa"/>
            <w:tcBorders>
              <w:top w:val="single" w:color="auto" w:sz="4" w:space="0"/>
              <w:left w:val="single" w:color="auto" w:sz="4" w:space="0"/>
              <w:bottom w:val="single" w:color="auto" w:sz="4" w:space="0"/>
              <w:right w:val="single" w:color="auto" w:sz="4" w:space="0"/>
            </w:tcBorders>
            <w:noWrap w:val="0"/>
            <w:vAlign w:val="center"/>
          </w:tcPr>
          <w:p>
            <w:pPr>
              <w:pStyle w:val="2"/>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3</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hAnsi="宋体" w:cs="宋体"/>
                <w:color w:val="auto"/>
                <w:sz w:val="24"/>
                <w:szCs w:val="24"/>
                <w:highlight w:val="none"/>
                <w:lang w:eastAsia="zh-CN" w:bidi="ar"/>
              </w:rPr>
            </w:pPr>
            <w:r>
              <w:rPr>
                <w:rFonts w:hint="eastAsia" w:ascii="宋体" w:hAnsi="宋体" w:eastAsia="宋体" w:cs="宋体"/>
                <w:i w:val="0"/>
                <w:iCs w:val="0"/>
                <w:color w:val="000000"/>
                <w:kern w:val="0"/>
                <w:sz w:val="24"/>
                <w:szCs w:val="24"/>
                <w:u w:val="none"/>
                <w:lang w:val="en-US" w:eastAsia="zh-CN" w:bidi="ar"/>
              </w:rPr>
              <w:t>采集接口软件</w:t>
            </w:r>
          </w:p>
        </w:tc>
        <w:tc>
          <w:tcPr>
            <w:tcW w:w="648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top"/>
              <w:rPr>
                <w:rFonts w:hint="eastAsia"/>
                <w:sz w:val="24"/>
                <w:szCs w:val="24"/>
                <w:lang w:val="en-US" w:eastAsia="zh-CN"/>
              </w:rPr>
            </w:pPr>
            <w:r>
              <w:rPr>
                <w:rFonts w:hint="eastAsia" w:ascii="宋体" w:hAnsi="宋体" w:eastAsia="宋体" w:cs="宋体"/>
                <w:i w:val="0"/>
                <w:iCs w:val="0"/>
                <w:color w:val="000000"/>
                <w:kern w:val="0"/>
                <w:sz w:val="24"/>
                <w:szCs w:val="24"/>
                <w:u w:val="none"/>
                <w:lang w:val="en-US" w:eastAsia="zh-CN" w:bidi="ar"/>
              </w:rPr>
              <w:t>符合GA/T 1400.4-2017《公安视频图像信息应用系统 第4部分：接口协议要求》的规定。具有并发支持采集设备/采集系统所采集视频图像信息的上传功能，包括：图片、视频片段、文件等视频图像基本对象，人员/人脸、机动车/非机动车、物品等视频图像语义属性信息。支持采集设备/采集系统注册、保活、注销、校时等功能，支持查询采集设备、更改采集设备口令、查询采集系统、查询视频卡口、查询车道等管理功能。</w:t>
            </w:r>
          </w:p>
        </w:tc>
        <w:tc>
          <w:tcPr>
            <w:tcW w:w="618" w:type="dxa"/>
            <w:vMerge w:val="continue"/>
            <w:tcBorders>
              <w:left w:val="single" w:color="auto" w:sz="4" w:space="0"/>
              <w:right w:val="single" w:color="auto" w:sz="4" w:space="0"/>
            </w:tcBorders>
            <w:noWrap w:val="0"/>
            <w:vAlign w:val="center"/>
          </w:tcPr>
          <w:p>
            <w:pPr>
              <w:jc w:val="center"/>
              <w:rPr>
                <w:rFonts w:hint="default" w:hAnsi="宋体" w:cs="宋体"/>
                <w:bCs/>
                <w:color w:val="auto"/>
                <w:sz w:val="24"/>
                <w:szCs w:val="24"/>
                <w:highlight w:val="none"/>
                <w:lang w:val="en-US" w:eastAsia="zh-CN" w:bidi="ar"/>
              </w:rPr>
            </w:pPr>
          </w:p>
        </w:tc>
        <w:tc>
          <w:tcPr>
            <w:tcW w:w="563" w:type="dxa"/>
            <w:vMerge w:val="continue"/>
            <w:tcBorders>
              <w:left w:val="single" w:color="auto" w:sz="4" w:space="0"/>
              <w:right w:val="single" w:color="auto" w:sz="4" w:space="0"/>
            </w:tcBorders>
            <w:noWrap w:val="0"/>
            <w:vAlign w:val="center"/>
          </w:tcPr>
          <w:p>
            <w:pPr>
              <w:jc w:val="center"/>
              <w:rPr>
                <w:rFonts w:hint="eastAsia" w:hAnsi="宋体" w:cs="宋体"/>
                <w:bCs/>
                <w:color w:val="auto"/>
                <w:sz w:val="24"/>
                <w:szCs w:val="24"/>
                <w:highlight w:val="none"/>
                <w:lang w:eastAsia="zh-CN" w:bidi="ar"/>
              </w:rPr>
            </w:pPr>
          </w:p>
        </w:tc>
      </w:tr>
      <w:tr>
        <w:tblPrEx>
          <w:tblCellMar>
            <w:top w:w="0" w:type="dxa"/>
            <w:left w:w="108" w:type="dxa"/>
            <w:bottom w:w="0" w:type="dxa"/>
            <w:right w:w="108" w:type="dxa"/>
          </w:tblCellMar>
        </w:tblPrEx>
        <w:trPr>
          <w:trHeight w:val="666" w:hRule="atLeast"/>
        </w:trPr>
        <w:tc>
          <w:tcPr>
            <w:tcW w:w="788" w:type="dxa"/>
            <w:tcBorders>
              <w:top w:val="single" w:color="auto" w:sz="4" w:space="0"/>
              <w:left w:val="single" w:color="auto" w:sz="4" w:space="0"/>
              <w:bottom w:val="single" w:color="auto" w:sz="4" w:space="0"/>
              <w:right w:val="single" w:color="auto" w:sz="4" w:space="0"/>
            </w:tcBorders>
            <w:noWrap w:val="0"/>
            <w:vAlign w:val="center"/>
          </w:tcPr>
          <w:p>
            <w:pPr>
              <w:pStyle w:val="2"/>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4</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hAnsi="宋体" w:cs="宋体"/>
                <w:color w:val="auto"/>
                <w:sz w:val="24"/>
                <w:szCs w:val="24"/>
                <w:highlight w:val="none"/>
                <w:lang w:eastAsia="zh-CN" w:bidi="ar"/>
              </w:rPr>
            </w:pPr>
            <w:r>
              <w:rPr>
                <w:rFonts w:hint="eastAsia" w:ascii="宋体" w:hAnsi="宋体" w:eastAsia="宋体" w:cs="宋体"/>
                <w:i w:val="0"/>
                <w:iCs w:val="0"/>
                <w:color w:val="000000"/>
                <w:kern w:val="0"/>
                <w:sz w:val="24"/>
                <w:szCs w:val="24"/>
                <w:u w:val="none"/>
                <w:lang w:val="en-US" w:eastAsia="zh-CN" w:bidi="ar"/>
              </w:rPr>
              <w:t>数据服务接口软件</w:t>
            </w:r>
          </w:p>
        </w:tc>
        <w:tc>
          <w:tcPr>
            <w:tcW w:w="648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top"/>
              <w:rPr>
                <w:rFonts w:hint="eastAsia"/>
                <w:sz w:val="24"/>
                <w:szCs w:val="24"/>
                <w:lang w:val="en-US" w:eastAsia="zh-CN"/>
              </w:rPr>
            </w:pPr>
            <w:r>
              <w:rPr>
                <w:rFonts w:hint="eastAsia" w:ascii="宋体" w:hAnsi="宋体" w:eastAsia="宋体" w:cs="宋体"/>
                <w:i w:val="0"/>
                <w:iCs w:val="0"/>
                <w:color w:val="000000"/>
                <w:kern w:val="0"/>
                <w:sz w:val="24"/>
                <w:szCs w:val="24"/>
                <w:u w:val="none"/>
                <w:lang w:val="en-US" w:eastAsia="zh-CN" w:bidi="ar"/>
              </w:rPr>
              <w:t>符合GA/T 1400.4-2017《公安视频图像信息应用系统 第4部分：接口协议要求》的规定。支持应用平台、分析系统、其他信息系统等向视图库进行基于视频图像信息对象等特征属性及其组合的查询；支持视频图像信息对象的创建、更新、删除；支持应用平台、其他信息系统等向视图库进行采集设备或采集系统等的查询、更新；支持应用平台、其他信息系统等与视图库之间进行视频图像信息对象的布控与告警；支持应用平台、其他信息系统等与视图库之间进行视频图像信息对象、采集设备或采集系统目录等的订阅与通知。</w:t>
            </w:r>
          </w:p>
        </w:tc>
        <w:tc>
          <w:tcPr>
            <w:tcW w:w="618" w:type="dxa"/>
            <w:vMerge w:val="continue"/>
            <w:tcBorders>
              <w:left w:val="single" w:color="auto" w:sz="4" w:space="0"/>
              <w:right w:val="single" w:color="auto" w:sz="4" w:space="0"/>
            </w:tcBorders>
            <w:noWrap w:val="0"/>
            <w:vAlign w:val="center"/>
          </w:tcPr>
          <w:p>
            <w:pPr>
              <w:jc w:val="center"/>
              <w:rPr>
                <w:rFonts w:hint="default" w:hAnsi="宋体" w:cs="宋体"/>
                <w:bCs/>
                <w:color w:val="auto"/>
                <w:sz w:val="24"/>
                <w:szCs w:val="24"/>
                <w:highlight w:val="none"/>
                <w:lang w:val="en-US" w:eastAsia="zh-CN" w:bidi="ar"/>
              </w:rPr>
            </w:pPr>
          </w:p>
        </w:tc>
        <w:tc>
          <w:tcPr>
            <w:tcW w:w="563" w:type="dxa"/>
            <w:vMerge w:val="continue"/>
            <w:tcBorders>
              <w:left w:val="single" w:color="auto" w:sz="4" w:space="0"/>
              <w:right w:val="single" w:color="auto" w:sz="4" w:space="0"/>
            </w:tcBorders>
            <w:noWrap w:val="0"/>
            <w:vAlign w:val="center"/>
          </w:tcPr>
          <w:p>
            <w:pPr>
              <w:jc w:val="center"/>
              <w:rPr>
                <w:rFonts w:hint="eastAsia" w:hAnsi="宋体" w:cs="宋体"/>
                <w:bCs/>
                <w:color w:val="auto"/>
                <w:sz w:val="24"/>
                <w:szCs w:val="24"/>
                <w:highlight w:val="none"/>
                <w:lang w:eastAsia="zh-CN" w:bidi="ar"/>
              </w:rPr>
            </w:pPr>
          </w:p>
        </w:tc>
      </w:tr>
      <w:tr>
        <w:tblPrEx>
          <w:tblCellMar>
            <w:top w:w="0" w:type="dxa"/>
            <w:left w:w="108" w:type="dxa"/>
            <w:bottom w:w="0" w:type="dxa"/>
            <w:right w:w="108" w:type="dxa"/>
          </w:tblCellMar>
        </w:tblPrEx>
        <w:trPr>
          <w:trHeight w:val="666" w:hRule="atLeast"/>
        </w:trPr>
        <w:tc>
          <w:tcPr>
            <w:tcW w:w="788" w:type="dxa"/>
            <w:tcBorders>
              <w:top w:val="single" w:color="auto" w:sz="4" w:space="0"/>
              <w:left w:val="single" w:color="auto" w:sz="4" w:space="0"/>
              <w:bottom w:val="single" w:color="auto" w:sz="4" w:space="0"/>
              <w:right w:val="single" w:color="auto" w:sz="4" w:space="0"/>
            </w:tcBorders>
            <w:noWrap w:val="0"/>
            <w:vAlign w:val="center"/>
          </w:tcPr>
          <w:p>
            <w:pPr>
              <w:pStyle w:val="2"/>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5</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hAnsi="宋体" w:cs="宋体"/>
                <w:color w:val="auto"/>
                <w:sz w:val="24"/>
                <w:szCs w:val="24"/>
                <w:highlight w:val="none"/>
                <w:lang w:eastAsia="zh-CN" w:bidi="ar"/>
              </w:rPr>
            </w:pPr>
            <w:r>
              <w:rPr>
                <w:rFonts w:hint="eastAsia" w:ascii="宋体" w:hAnsi="宋体" w:eastAsia="宋体" w:cs="宋体"/>
                <w:i w:val="0"/>
                <w:iCs w:val="0"/>
                <w:color w:val="000000"/>
                <w:kern w:val="0"/>
                <w:sz w:val="24"/>
                <w:szCs w:val="24"/>
                <w:u w:val="none"/>
                <w:lang w:val="en-US" w:eastAsia="zh-CN" w:bidi="ar"/>
              </w:rPr>
              <w:t>级联接口软件</w:t>
            </w:r>
          </w:p>
        </w:tc>
        <w:tc>
          <w:tcPr>
            <w:tcW w:w="648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top"/>
              <w:rPr>
                <w:rFonts w:hint="eastAsia"/>
                <w:sz w:val="24"/>
                <w:szCs w:val="24"/>
                <w:lang w:val="en-US" w:eastAsia="zh-CN"/>
              </w:rPr>
            </w:pPr>
            <w:r>
              <w:rPr>
                <w:rFonts w:hint="eastAsia" w:ascii="宋体" w:hAnsi="宋体" w:eastAsia="宋体" w:cs="宋体"/>
                <w:i w:val="0"/>
                <w:iCs w:val="0"/>
                <w:color w:val="000000"/>
                <w:kern w:val="0"/>
                <w:sz w:val="24"/>
                <w:szCs w:val="24"/>
                <w:u w:val="none"/>
                <w:lang w:val="en-US" w:eastAsia="zh-CN" w:bidi="ar"/>
              </w:rPr>
              <w:t>符合GA/T 1400.4-2017《公安视频图像信息应用系统 第4部分：接口协议要求》的规定。支持上级视图库向本级视图库进行基于视频图像信息对象、案事件等特征属性及其组合的查询；支持上级视图库向本级视图库进行对于采集设备或采集系统列表的查询；支持上级视图库与本级视图库之间进行视频图像信息对象等的布控与告警；支持上级视图库与本级视图库之间进行视频图像信息对象、采集设备或采集系统目录等的订阅与通知等。</w:t>
            </w:r>
          </w:p>
        </w:tc>
        <w:tc>
          <w:tcPr>
            <w:tcW w:w="618" w:type="dxa"/>
            <w:vMerge w:val="continue"/>
            <w:tcBorders>
              <w:left w:val="single" w:color="auto" w:sz="4" w:space="0"/>
              <w:bottom w:val="single" w:color="auto" w:sz="4" w:space="0"/>
              <w:right w:val="single" w:color="auto" w:sz="4" w:space="0"/>
            </w:tcBorders>
            <w:noWrap w:val="0"/>
            <w:vAlign w:val="center"/>
          </w:tcPr>
          <w:p>
            <w:pPr>
              <w:jc w:val="center"/>
              <w:rPr>
                <w:rFonts w:hint="default" w:hAnsi="宋体" w:cs="宋体"/>
                <w:bCs/>
                <w:color w:val="auto"/>
                <w:sz w:val="24"/>
                <w:szCs w:val="24"/>
                <w:highlight w:val="none"/>
                <w:lang w:val="en-US" w:eastAsia="zh-CN" w:bidi="ar"/>
              </w:rPr>
            </w:pPr>
          </w:p>
        </w:tc>
        <w:tc>
          <w:tcPr>
            <w:tcW w:w="563" w:type="dxa"/>
            <w:vMerge w:val="continue"/>
            <w:tcBorders>
              <w:left w:val="single" w:color="auto" w:sz="4" w:space="0"/>
              <w:bottom w:val="single" w:color="auto" w:sz="4" w:space="0"/>
              <w:right w:val="single" w:color="auto" w:sz="4" w:space="0"/>
            </w:tcBorders>
            <w:noWrap w:val="0"/>
            <w:vAlign w:val="center"/>
          </w:tcPr>
          <w:p>
            <w:pPr>
              <w:jc w:val="center"/>
              <w:rPr>
                <w:rFonts w:hint="eastAsia" w:hAnsi="宋体" w:cs="宋体"/>
                <w:bCs/>
                <w:color w:val="auto"/>
                <w:sz w:val="24"/>
                <w:szCs w:val="24"/>
                <w:highlight w:val="none"/>
                <w:lang w:eastAsia="zh-CN" w:bidi="ar"/>
              </w:rPr>
            </w:pPr>
          </w:p>
        </w:tc>
      </w:tr>
      <w:tr>
        <w:tblPrEx>
          <w:tblCellMar>
            <w:top w:w="0" w:type="dxa"/>
            <w:left w:w="108" w:type="dxa"/>
            <w:bottom w:w="0" w:type="dxa"/>
            <w:right w:w="108" w:type="dxa"/>
          </w:tblCellMar>
        </w:tblPrEx>
        <w:trPr>
          <w:trHeight w:val="666" w:hRule="atLeast"/>
        </w:trPr>
        <w:tc>
          <w:tcPr>
            <w:tcW w:w="9749"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cs="宋体"/>
                <w:bCs/>
                <w:color w:val="auto"/>
                <w:sz w:val="24"/>
                <w:szCs w:val="24"/>
                <w:highlight w:val="none"/>
                <w:lang w:eastAsia="zh-CN" w:bidi="ar"/>
              </w:rPr>
            </w:pPr>
            <w:r>
              <w:rPr>
                <w:rFonts w:hint="eastAsia" w:hAnsi="宋体" w:cs="宋体"/>
                <w:bCs/>
                <w:color w:val="auto"/>
                <w:sz w:val="24"/>
                <w:szCs w:val="24"/>
                <w:highlight w:val="none"/>
                <w:lang w:eastAsia="zh-CN" w:bidi="ar"/>
              </w:rPr>
              <w:t>四、110接处警可视化系统</w:t>
            </w:r>
          </w:p>
        </w:tc>
      </w:tr>
      <w:tr>
        <w:tblPrEx>
          <w:tblCellMar>
            <w:top w:w="0" w:type="dxa"/>
            <w:left w:w="108" w:type="dxa"/>
            <w:bottom w:w="0" w:type="dxa"/>
            <w:right w:w="108" w:type="dxa"/>
          </w:tblCellMar>
        </w:tblPrEx>
        <w:trPr>
          <w:trHeight w:val="1229" w:hRule="atLeast"/>
        </w:trPr>
        <w:tc>
          <w:tcPr>
            <w:tcW w:w="788" w:type="dxa"/>
            <w:tcBorders>
              <w:top w:val="single" w:color="auto" w:sz="4" w:space="0"/>
              <w:left w:val="single" w:color="auto" w:sz="4" w:space="0"/>
              <w:bottom w:val="single" w:color="auto" w:sz="4" w:space="0"/>
              <w:right w:val="single" w:color="auto" w:sz="4" w:space="0"/>
            </w:tcBorders>
            <w:noWrap w:val="0"/>
            <w:vAlign w:val="center"/>
          </w:tcPr>
          <w:p>
            <w:pPr>
              <w:pStyle w:val="2"/>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1</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cs="宋体"/>
                <w:color w:val="auto"/>
                <w:sz w:val="24"/>
                <w:szCs w:val="24"/>
                <w:highlight w:val="none"/>
                <w:lang w:eastAsia="zh-CN" w:bidi="ar"/>
              </w:rPr>
            </w:pPr>
            <w:r>
              <w:rPr>
                <w:rFonts w:hint="eastAsia" w:hAnsi="宋体" w:cs="宋体"/>
                <w:color w:val="auto"/>
                <w:sz w:val="24"/>
                <w:szCs w:val="24"/>
                <w:highlight w:val="none"/>
                <w:lang w:eastAsia="zh-CN" w:bidi="ar"/>
              </w:rPr>
              <w:t>可视化</w:t>
            </w:r>
            <w:r>
              <w:rPr>
                <w:rFonts w:hint="eastAsia" w:hAnsi="宋体" w:cs="宋体"/>
                <w:color w:val="auto"/>
                <w:sz w:val="24"/>
                <w:szCs w:val="24"/>
                <w:highlight w:val="none"/>
                <w:lang w:val="en-US" w:eastAsia="zh-CN" w:bidi="ar"/>
              </w:rPr>
              <w:t xml:space="preserve"> </w:t>
            </w:r>
            <w:r>
              <w:rPr>
                <w:rFonts w:hint="eastAsia" w:hAnsi="宋体" w:cs="宋体"/>
                <w:color w:val="auto"/>
                <w:sz w:val="24"/>
                <w:szCs w:val="24"/>
                <w:highlight w:val="none"/>
                <w:lang w:eastAsia="zh-CN" w:bidi="ar"/>
              </w:rPr>
              <w:t>系统</w:t>
            </w:r>
          </w:p>
        </w:tc>
        <w:tc>
          <w:tcPr>
            <w:tcW w:w="64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15"/>
              </w:numPr>
              <w:kinsoku/>
              <w:wordWrap/>
              <w:overflowPunct/>
              <w:topLinePunct w:val="0"/>
              <w:autoSpaceDE/>
              <w:autoSpaceDN/>
              <w:bidi w:val="0"/>
              <w:adjustRightInd/>
              <w:snapToGrid/>
              <w:spacing w:line="340" w:lineRule="exact"/>
              <w:textAlignment w:val="auto"/>
              <w:rPr>
                <w:rFonts w:hint="eastAsia"/>
                <w:lang w:val="en-US" w:eastAsia="zh-CN"/>
              </w:rPr>
            </w:pPr>
            <w:r>
              <w:rPr>
                <w:rFonts w:hint="eastAsia"/>
                <w:lang w:val="en-US" w:eastAsia="zh-CN"/>
              </w:rPr>
              <w:t>暂定金额50.00万，按50.00万进行投标。</w:t>
            </w:r>
          </w:p>
          <w:p>
            <w:pPr>
              <w:pStyle w:val="2"/>
              <w:numPr>
                <w:ilvl w:val="0"/>
                <w:numId w:val="15"/>
              </w:numPr>
              <w:ind w:left="0" w:leftChars="0" w:firstLine="0" w:firstLineChars="0"/>
              <w:rPr>
                <w:rFonts w:hint="eastAsia" w:ascii="宋体" w:hAnsi="Times New Roman" w:eastAsia="宋体" w:cs="Times New Roman"/>
                <w:sz w:val="24"/>
                <w:szCs w:val="20"/>
                <w:lang w:val="en-US" w:eastAsia="zh-CN" w:bidi="ar-SA"/>
              </w:rPr>
            </w:pPr>
            <w:r>
              <w:rPr>
                <w:rFonts w:hint="eastAsia" w:ascii="宋体" w:hAnsi="Times New Roman" w:eastAsia="宋体" w:cs="Times New Roman"/>
                <w:sz w:val="24"/>
                <w:szCs w:val="20"/>
                <w:lang w:val="en-US" w:eastAsia="zh-CN" w:bidi="ar-SA"/>
              </w:rPr>
              <w:t>以满足实际需要及采购人要求为准</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lang w:val="en-US" w:eastAsia="zh-CN"/>
              </w:rPr>
            </w:pPr>
            <w:r>
              <w:rPr>
                <w:rFonts w:hint="eastAsia" w:cs="Times New Roman"/>
                <w:sz w:val="24"/>
                <w:szCs w:val="20"/>
                <w:lang w:val="en-US" w:eastAsia="zh-CN" w:bidi="ar-SA"/>
              </w:rPr>
              <w:t>3、</w:t>
            </w:r>
            <w:r>
              <w:rPr>
                <w:rFonts w:hint="eastAsia" w:ascii="宋体" w:hAnsi="Times New Roman" w:eastAsia="宋体" w:cs="Times New Roman"/>
                <w:sz w:val="24"/>
                <w:szCs w:val="20"/>
                <w:lang w:val="en-US" w:eastAsia="zh-CN" w:bidi="ar-SA"/>
              </w:rPr>
              <w:t>最终结算价以审计或验收结论为准</w:t>
            </w:r>
          </w:p>
        </w:tc>
        <w:tc>
          <w:tcPr>
            <w:tcW w:w="6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1</w:t>
            </w:r>
          </w:p>
        </w:tc>
        <w:tc>
          <w:tcPr>
            <w:tcW w:w="5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cs="宋体"/>
                <w:bCs/>
                <w:color w:val="auto"/>
                <w:sz w:val="24"/>
                <w:szCs w:val="24"/>
                <w:highlight w:val="none"/>
                <w:lang w:eastAsia="zh-CN" w:bidi="ar"/>
              </w:rPr>
            </w:pPr>
            <w:r>
              <w:rPr>
                <w:rFonts w:hint="eastAsia" w:hAnsi="宋体" w:cs="宋体"/>
                <w:bCs/>
                <w:color w:val="auto"/>
                <w:sz w:val="24"/>
                <w:szCs w:val="24"/>
                <w:highlight w:val="none"/>
                <w:lang w:eastAsia="zh-CN" w:bidi="ar"/>
              </w:rPr>
              <w:t>套</w:t>
            </w:r>
          </w:p>
        </w:tc>
      </w:tr>
    </w:tbl>
    <w:p>
      <w:pPr>
        <w:pStyle w:val="2"/>
        <w:ind w:left="0" w:leftChars="0" w:firstLine="0" w:firstLineChars="0"/>
        <w:rPr>
          <w:rFonts w:hint="eastAsia"/>
          <w:lang w:eastAsia="zh-CN"/>
        </w:rPr>
      </w:pPr>
    </w:p>
    <w:p>
      <w:pPr>
        <w:jc w:val="left"/>
        <w:outlineLvl w:val="0"/>
        <w:rPr>
          <w:rStyle w:val="43"/>
          <w:rFonts w:hint="eastAsia" w:ascii="楷体" w:hAnsi="楷体" w:eastAsia="楷体" w:cs="楷体"/>
        </w:rPr>
      </w:pPr>
      <w:r>
        <w:rPr>
          <w:rStyle w:val="43"/>
          <w:rFonts w:hint="eastAsia" w:ascii="楷体" w:hAnsi="楷体" w:eastAsia="楷体" w:cs="楷体"/>
        </w:rPr>
        <w:t>应用层</w:t>
      </w:r>
    </w:p>
    <w:tbl>
      <w:tblPr>
        <w:tblStyle w:val="24"/>
        <w:tblW w:w="9749" w:type="dxa"/>
        <w:tblInd w:w="-240" w:type="dxa"/>
        <w:tblLayout w:type="fixed"/>
        <w:tblCellMar>
          <w:top w:w="0" w:type="dxa"/>
          <w:left w:w="108" w:type="dxa"/>
          <w:bottom w:w="0" w:type="dxa"/>
          <w:right w:w="108" w:type="dxa"/>
        </w:tblCellMar>
      </w:tblPr>
      <w:tblGrid>
        <w:gridCol w:w="788"/>
        <w:gridCol w:w="795"/>
        <w:gridCol w:w="6985"/>
        <w:gridCol w:w="618"/>
        <w:gridCol w:w="563"/>
      </w:tblGrid>
      <w:tr>
        <w:tblPrEx>
          <w:tblCellMar>
            <w:top w:w="0" w:type="dxa"/>
            <w:left w:w="108" w:type="dxa"/>
            <w:bottom w:w="0" w:type="dxa"/>
            <w:right w:w="108" w:type="dxa"/>
          </w:tblCellMar>
        </w:tblPrEx>
        <w:trPr>
          <w:trHeight w:val="620" w:hRule="atLeast"/>
        </w:trPr>
        <w:tc>
          <w:tcPr>
            <w:tcW w:w="788"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lang w:bidi="ar"/>
              </w:rPr>
              <w:t>序号</w:t>
            </w:r>
          </w:p>
        </w:tc>
        <w:tc>
          <w:tcPr>
            <w:tcW w:w="795" w:type="dxa"/>
            <w:tcBorders>
              <w:top w:val="single" w:color="auto" w:sz="6" w:space="0"/>
              <w:left w:val="nil"/>
              <w:bottom w:val="single" w:color="auto" w:sz="6" w:space="0"/>
              <w:right w:val="single" w:color="auto" w:sz="6" w:space="0"/>
            </w:tcBorders>
            <w:shd w:val="clear" w:color="auto" w:fill="FFFFFF"/>
            <w:noWrap w:val="0"/>
            <w:vAlign w:val="center"/>
          </w:tcPr>
          <w:p>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lang w:bidi="ar"/>
              </w:rPr>
              <w:t>设备名称</w:t>
            </w:r>
          </w:p>
        </w:tc>
        <w:tc>
          <w:tcPr>
            <w:tcW w:w="6985" w:type="dxa"/>
            <w:tcBorders>
              <w:top w:val="single" w:color="auto" w:sz="6" w:space="0"/>
              <w:left w:val="nil"/>
              <w:bottom w:val="single" w:color="auto" w:sz="6" w:space="0"/>
              <w:right w:val="single" w:color="auto" w:sz="6" w:space="0"/>
            </w:tcBorders>
            <w:shd w:val="clear" w:color="auto" w:fill="FFFFFF"/>
            <w:noWrap w:val="0"/>
            <w:vAlign w:val="center"/>
          </w:tcPr>
          <w:p>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lang w:bidi="ar"/>
              </w:rPr>
              <w:t>技术参数</w:t>
            </w:r>
          </w:p>
        </w:tc>
        <w:tc>
          <w:tcPr>
            <w:tcW w:w="618" w:type="dxa"/>
            <w:tcBorders>
              <w:top w:val="single" w:color="auto" w:sz="6" w:space="0"/>
              <w:left w:val="nil"/>
              <w:bottom w:val="single" w:color="auto" w:sz="6" w:space="0"/>
              <w:right w:val="single" w:color="auto" w:sz="6" w:space="0"/>
            </w:tcBorders>
            <w:shd w:val="clear" w:color="auto" w:fill="FFFFFF"/>
            <w:noWrap w:val="0"/>
            <w:vAlign w:val="center"/>
          </w:tcPr>
          <w:p>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lang w:bidi="ar"/>
              </w:rPr>
              <w:t>数量</w:t>
            </w:r>
          </w:p>
        </w:tc>
        <w:tc>
          <w:tcPr>
            <w:tcW w:w="563" w:type="dxa"/>
            <w:tcBorders>
              <w:top w:val="single" w:color="auto" w:sz="6" w:space="0"/>
              <w:left w:val="nil"/>
              <w:bottom w:val="single" w:color="auto" w:sz="6" w:space="0"/>
              <w:right w:val="single" w:color="auto" w:sz="6" w:space="0"/>
            </w:tcBorders>
            <w:shd w:val="clear" w:color="auto" w:fill="FFFFFF"/>
            <w:noWrap w:val="0"/>
            <w:vAlign w:val="center"/>
          </w:tcPr>
          <w:p>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lang w:bidi="ar"/>
              </w:rPr>
              <w:t>单位</w:t>
            </w:r>
          </w:p>
        </w:tc>
      </w:tr>
      <w:tr>
        <w:tblPrEx>
          <w:tblCellMar>
            <w:top w:w="0" w:type="dxa"/>
            <w:left w:w="108" w:type="dxa"/>
            <w:bottom w:w="0" w:type="dxa"/>
            <w:right w:w="108" w:type="dxa"/>
          </w:tblCellMar>
        </w:tblPrEx>
        <w:trPr>
          <w:trHeight w:val="593" w:hRule="atLeast"/>
        </w:trPr>
        <w:tc>
          <w:tcPr>
            <w:tcW w:w="9749" w:type="dxa"/>
            <w:gridSpan w:val="5"/>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一、视频图像信息综合应用平台（公安视频专网）</w:t>
            </w:r>
          </w:p>
        </w:tc>
      </w:tr>
      <w:tr>
        <w:tblPrEx>
          <w:tblCellMar>
            <w:top w:w="0" w:type="dxa"/>
            <w:left w:w="108" w:type="dxa"/>
            <w:bottom w:w="0" w:type="dxa"/>
            <w:right w:w="108" w:type="dxa"/>
          </w:tblCellMar>
        </w:tblPrEx>
        <w:trPr>
          <w:trHeight w:val="2478" w:hRule="atLeast"/>
        </w:trPr>
        <w:tc>
          <w:tcPr>
            <w:tcW w:w="7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1</w:t>
            </w:r>
          </w:p>
        </w:tc>
        <w:tc>
          <w:tcPr>
            <w:tcW w:w="795"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后台管理系统</w:t>
            </w:r>
          </w:p>
        </w:tc>
        <w:tc>
          <w:tcPr>
            <w:tcW w:w="6985"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支持用户自定义快捷入口；</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支持页面元素设置，支持上传页面logo图标、修改网站标题、设置并添加网站外部链接；</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支持用户名密码认证方式及PKI认证方式；</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支持用户管理、部门管理、角色管理；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支持设置用户登录认证密码、认证方式、在线策略及登录地址绑定等；</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支持设置用户权限信息；</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针对不同用户设置不同目录权限、资源权限、功能模块权限等。</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支持区域目录管理及资源管理；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支持国标目录、模板导入目录、自定义目录等目录类型；</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支持对车辆名单库、人脸名单库及库内名单进行管理；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支持新增、修改、删除名单库，也可以对库内名单进行新增、修改、删除等动作以及查看批量任务；</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支持操作日志、系统日志的存储和查询；</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支持通过NTP服务对前端摄像机、平台服务器进行时间同步；</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确保平台系统能够与市级相关平台进行数据对接；</w:t>
            </w:r>
          </w:p>
        </w:tc>
        <w:tc>
          <w:tcPr>
            <w:tcW w:w="618" w:type="dxa"/>
            <w:tcBorders>
              <w:top w:val="single" w:color="auto" w:sz="6" w:space="0"/>
              <w:left w:val="nil"/>
              <w:bottom w:val="single" w:color="auto" w:sz="6" w:space="0"/>
              <w:right w:val="single" w:color="auto" w:sz="6" w:space="0"/>
            </w:tcBorders>
            <w:noWrap w:val="0"/>
            <w:vAlign w:val="center"/>
          </w:tcPr>
          <w:p>
            <w:pPr>
              <w:jc w:val="center"/>
              <w:rPr>
                <w:rFonts w:hint="default" w:ascii="宋体" w:hAnsi="宋体" w:eastAsia="宋体" w:cs="宋体"/>
                <w:bCs/>
                <w:color w:val="auto"/>
                <w:sz w:val="24"/>
                <w:szCs w:val="24"/>
                <w:highlight w:val="none"/>
                <w:lang w:val="en-US" w:eastAsia="zh-CN"/>
              </w:rPr>
            </w:pPr>
            <w:r>
              <w:rPr>
                <w:rFonts w:hint="eastAsia" w:hAnsi="宋体" w:cs="宋体"/>
                <w:bCs/>
                <w:color w:val="auto"/>
                <w:sz w:val="24"/>
                <w:szCs w:val="24"/>
                <w:highlight w:val="none"/>
                <w:lang w:val="en-US" w:eastAsia="zh-CN"/>
              </w:rPr>
              <w:t>1</w:t>
            </w:r>
          </w:p>
        </w:tc>
        <w:tc>
          <w:tcPr>
            <w:tcW w:w="563" w:type="dxa"/>
            <w:tcBorders>
              <w:top w:val="single" w:color="auto" w:sz="6" w:space="0"/>
              <w:left w:val="nil"/>
              <w:bottom w:val="single" w:color="auto" w:sz="6" w:space="0"/>
              <w:right w:val="single" w:color="auto" w:sz="6" w:space="0"/>
            </w:tcBorders>
            <w:noWrap w:val="0"/>
            <w:vAlign w:val="center"/>
          </w:tcPr>
          <w:p>
            <w:pPr>
              <w:jc w:val="center"/>
              <w:rPr>
                <w:rFonts w:hint="eastAsia" w:ascii="宋体" w:hAnsi="宋体" w:eastAsia="宋体" w:cs="宋体"/>
                <w:bCs/>
                <w:color w:val="auto"/>
                <w:sz w:val="24"/>
                <w:szCs w:val="24"/>
                <w:highlight w:val="none"/>
                <w:lang w:eastAsia="zh-CN"/>
              </w:rPr>
            </w:pPr>
            <w:r>
              <w:rPr>
                <w:rFonts w:hint="eastAsia" w:hAnsi="宋体" w:cs="宋体"/>
                <w:bCs/>
                <w:color w:val="auto"/>
                <w:sz w:val="24"/>
                <w:szCs w:val="24"/>
                <w:highlight w:val="none"/>
                <w:lang w:eastAsia="zh-CN"/>
              </w:rPr>
              <w:t>套</w:t>
            </w:r>
          </w:p>
        </w:tc>
      </w:tr>
      <w:tr>
        <w:tblPrEx>
          <w:tblCellMar>
            <w:top w:w="0" w:type="dxa"/>
            <w:left w:w="108" w:type="dxa"/>
            <w:bottom w:w="0" w:type="dxa"/>
            <w:right w:w="108" w:type="dxa"/>
          </w:tblCellMar>
        </w:tblPrEx>
        <w:trPr>
          <w:trHeight w:val="2478" w:hRule="atLeast"/>
        </w:trPr>
        <w:tc>
          <w:tcPr>
            <w:tcW w:w="7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2</w:t>
            </w:r>
          </w:p>
        </w:tc>
        <w:tc>
          <w:tcPr>
            <w:tcW w:w="795"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视频基础应用</w:t>
            </w:r>
          </w:p>
        </w:tc>
        <w:tc>
          <w:tcPr>
            <w:tcW w:w="6985"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支持管理≥6500视频路数；</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视频预览：提供视频预览、抓图等功能；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云台控制：提供云台变焦、光圈、预置点、巡航等功能；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录像计划管理：提供录像计划配置服务；</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录像回放：提供录像查询、倍速回放、按帧回放等功能；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录像剪辑下载：提供录像下载剪辑功能；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截图跳转：支持在视频预览和回放是截图跳转，将截图带到以人搜人、以脸搜脸等模块，做进一步研判。</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一键搜图：支持对电脑桌面的视频、图片等目标进行截图，截图带到以人搜人、以脸搜脸等模块，做进一步研判。</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视频预案：支持创建公有预案及私有预案</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收藏夹：支持将创建的分组分享给其他用户，支持统计收藏夹被分享的用户数</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电视墙控制：支持针对窗口的分割、拼接等布局，及窗口上的监控点、预览轮巡、告警窗口、是否自动启停及启停时间等进行配置形成电视墙场景；</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需提供预览或回放的视频进行截图功能，通过自定义配置的跳转应用，将截取的图片带到以人搜人、以脸搜脸、图上寻踪等模块，实现基于截图目标的快捷搜索。需提供国家认可的第三方检测机构出具的检测报告作为证明材料；</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基于标准协议与外域平台互联互通，支持视频通用标准协议（GB/T28181-2011,GB/T28181-2016,DB33/T629-2011）、以及行业视频标准协议；</w:t>
            </w:r>
          </w:p>
        </w:tc>
        <w:tc>
          <w:tcPr>
            <w:tcW w:w="618" w:type="dxa"/>
            <w:tcBorders>
              <w:top w:val="single" w:color="auto" w:sz="6" w:space="0"/>
              <w:left w:val="nil"/>
              <w:bottom w:val="single" w:color="auto" w:sz="6" w:space="0"/>
              <w:right w:val="single" w:color="auto" w:sz="6" w:space="0"/>
            </w:tcBorders>
            <w:noWrap w:val="0"/>
            <w:vAlign w:val="center"/>
          </w:tcPr>
          <w:p>
            <w:pPr>
              <w:jc w:val="center"/>
              <w:rPr>
                <w:rFonts w:hint="default" w:hAnsi="宋体" w:cs="宋体"/>
                <w:bCs/>
                <w:color w:val="auto"/>
                <w:sz w:val="24"/>
                <w:szCs w:val="24"/>
                <w:highlight w:val="none"/>
                <w:lang w:val="en-US" w:eastAsia="zh-CN"/>
              </w:rPr>
            </w:pPr>
            <w:r>
              <w:rPr>
                <w:rFonts w:hint="eastAsia" w:hAnsi="宋体" w:cs="宋体"/>
                <w:bCs/>
                <w:color w:val="auto"/>
                <w:sz w:val="24"/>
                <w:szCs w:val="24"/>
                <w:highlight w:val="none"/>
                <w:lang w:val="en-US" w:eastAsia="zh-CN"/>
              </w:rPr>
              <w:t>1</w:t>
            </w:r>
          </w:p>
        </w:tc>
        <w:tc>
          <w:tcPr>
            <w:tcW w:w="563"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bCs/>
                <w:color w:val="auto"/>
                <w:sz w:val="24"/>
                <w:szCs w:val="24"/>
                <w:highlight w:val="none"/>
                <w:lang w:eastAsia="zh-CN"/>
              </w:rPr>
            </w:pPr>
            <w:r>
              <w:rPr>
                <w:rFonts w:hint="eastAsia" w:hAnsi="宋体" w:cs="宋体"/>
                <w:bCs/>
                <w:color w:val="auto"/>
                <w:sz w:val="24"/>
                <w:szCs w:val="24"/>
                <w:highlight w:val="none"/>
                <w:lang w:eastAsia="zh-CN"/>
              </w:rPr>
              <w:t>套</w:t>
            </w:r>
          </w:p>
        </w:tc>
      </w:tr>
      <w:tr>
        <w:tblPrEx>
          <w:tblCellMar>
            <w:top w:w="0" w:type="dxa"/>
            <w:left w:w="108" w:type="dxa"/>
            <w:bottom w:w="0" w:type="dxa"/>
            <w:right w:w="108" w:type="dxa"/>
          </w:tblCellMar>
        </w:tblPrEx>
        <w:trPr>
          <w:trHeight w:val="2478" w:hRule="atLeast"/>
        </w:trPr>
        <w:tc>
          <w:tcPr>
            <w:tcW w:w="7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3</w:t>
            </w:r>
          </w:p>
        </w:tc>
        <w:tc>
          <w:tcPr>
            <w:tcW w:w="795"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布控告警服务</w:t>
            </w:r>
          </w:p>
        </w:tc>
        <w:tc>
          <w:tcPr>
            <w:tcW w:w="6985"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需包括人脸名单布控、单张人脸图片布控、驾乘布控；支持车辆名单布控、车牌布控、车辆模型布控；支持电围布控、人证布控、WIFI探针布控、形体布控共6大数据10种类型的布控能力；需提供国家认可的第三方检测机构出具的检测报告作为证明材料；</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支持预警选择性推送、预警归属地推送、白名单预警、短信选择性联动，预警自定义订阅5类预警策略；</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需提供单人多脸布控功能，按需导入同个人员1-5张照片，支持布控信息中身份信息、布控有效期、关注级别、布控原因、处置类型（抓捕类、管控类、关注类）的配置；支持布控地点选择，支持目录选点、重点地点选点、地图选点三种选点方式；提供人脸预警推送、短信联动、预警归属推送等多种预警规则的配置；</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需支持通过输入车牌颜色、车牌号码对车辆进行布控，支持布控信息中布控有效期、关注级别、布控原因、处置类型（抓捕类、管控类、关注类）的配置；支持布控地点选择，支持目录选点、重点地点选点、地图选点三种选点方式；支持车辆预警推送、短信联动、预警归属推送等多种预警规则的配置；</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需支持通过输入一个或多个WIFI探针地址对终端WIFI探针进行布控，支持布控信息中布控有效期、关注级别、布控原因、处置类型（抓捕类、管控类、关注类）的配置；支持布控地点选择，支持目录选点、重点地点选点、地图选点三种选点方式；支持人证预警推送、短信联动、预警归属推送等多种预警规则的配置；</w:t>
            </w:r>
          </w:p>
        </w:tc>
        <w:tc>
          <w:tcPr>
            <w:tcW w:w="618" w:type="dxa"/>
            <w:tcBorders>
              <w:top w:val="single" w:color="auto" w:sz="6" w:space="0"/>
              <w:left w:val="nil"/>
              <w:bottom w:val="single" w:color="auto" w:sz="6" w:space="0"/>
              <w:right w:val="single" w:color="auto" w:sz="6" w:space="0"/>
            </w:tcBorders>
            <w:noWrap w:val="0"/>
            <w:vAlign w:val="center"/>
          </w:tcPr>
          <w:p>
            <w:pPr>
              <w:jc w:val="center"/>
              <w:rPr>
                <w:rFonts w:hint="default" w:hAnsi="宋体" w:cs="宋体"/>
                <w:bCs/>
                <w:color w:val="auto"/>
                <w:sz w:val="24"/>
                <w:szCs w:val="24"/>
                <w:highlight w:val="none"/>
                <w:lang w:val="en-US" w:eastAsia="zh-CN"/>
              </w:rPr>
            </w:pPr>
            <w:r>
              <w:rPr>
                <w:rFonts w:hint="eastAsia" w:hAnsi="宋体" w:cs="宋体"/>
                <w:bCs/>
                <w:color w:val="auto"/>
                <w:sz w:val="24"/>
                <w:szCs w:val="24"/>
                <w:highlight w:val="none"/>
                <w:lang w:val="en-US" w:eastAsia="zh-CN"/>
              </w:rPr>
              <w:t>1</w:t>
            </w:r>
          </w:p>
        </w:tc>
        <w:tc>
          <w:tcPr>
            <w:tcW w:w="563"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bCs/>
                <w:color w:val="auto"/>
                <w:sz w:val="24"/>
                <w:szCs w:val="24"/>
                <w:highlight w:val="none"/>
                <w:lang w:eastAsia="zh-CN"/>
              </w:rPr>
            </w:pPr>
            <w:r>
              <w:rPr>
                <w:rFonts w:hint="eastAsia" w:hAnsi="宋体" w:cs="宋体"/>
                <w:bCs/>
                <w:color w:val="auto"/>
                <w:sz w:val="24"/>
                <w:szCs w:val="24"/>
                <w:highlight w:val="none"/>
                <w:lang w:eastAsia="zh-CN"/>
              </w:rPr>
              <w:t>套</w:t>
            </w:r>
          </w:p>
        </w:tc>
      </w:tr>
      <w:tr>
        <w:tblPrEx>
          <w:tblCellMar>
            <w:top w:w="0" w:type="dxa"/>
            <w:left w:w="108" w:type="dxa"/>
            <w:bottom w:w="0" w:type="dxa"/>
            <w:right w:w="108" w:type="dxa"/>
          </w:tblCellMar>
        </w:tblPrEx>
        <w:trPr>
          <w:trHeight w:val="2478" w:hRule="atLeast"/>
        </w:trPr>
        <w:tc>
          <w:tcPr>
            <w:tcW w:w="7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4</w:t>
            </w:r>
          </w:p>
        </w:tc>
        <w:tc>
          <w:tcPr>
            <w:tcW w:w="795"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能力开放服务</w:t>
            </w:r>
          </w:p>
        </w:tc>
        <w:tc>
          <w:tcPr>
            <w:tcW w:w="6985"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提供人脸名单库管理服务和基于名单库的人员身份确认、名单库查重服务；</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人体数据服务能力开放：提供人体图像结构分析结果检索和以人搜人服务；</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车辆数据服务能力开放：提供车辆信息查询，车辆轨迹查询，车辆布控告警信息查询以及技战法、统计等接口；报警数据服务能力开放，支持从平台订阅人脸、车辆等布控报警数据，以及报警柱等设备报警数据；支持历史报警数据查询。提供对图片数据的智能识别和比对服务。</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基于提供的图像，能识别出目标信息。</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基于提供的两张认证照片，返回相似度。提供获取取流URL、设备控制、手动录像和抓图等服务；提供区域信息的维护和查询能力，包括批量添加区域和修改区域，获取根区域信息等；</w:t>
            </w:r>
          </w:p>
        </w:tc>
        <w:tc>
          <w:tcPr>
            <w:tcW w:w="618" w:type="dxa"/>
            <w:tcBorders>
              <w:top w:val="single" w:color="auto" w:sz="6" w:space="0"/>
              <w:left w:val="nil"/>
              <w:bottom w:val="single" w:color="auto" w:sz="6" w:space="0"/>
              <w:right w:val="single" w:color="auto" w:sz="6" w:space="0"/>
            </w:tcBorders>
            <w:noWrap w:val="0"/>
            <w:vAlign w:val="center"/>
          </w:tcPr>
          <w:p>
            <w:pPr>
              <w:jc w:val="center"/>
              <w:rPr>
                <w:rFonts w:hint="default" w:hAnsi="宋体" w:cs="宋体"/>
                <w:bCs/>
                <w:color w:val="auto"/>
                <w:sz w:val="24"/>
                <w:szCs w:val="24"/>
                <w:highlight w:val="none"/>
                <w:lang w:val="en-US" w:eastAsia="zh-CN"/>
              </w:rPr>
            </w:pPr>
            <w:r>
              <w:rPr>
                <w:rFonts w:hint="eastAsia" w:hAnsi="宋体" w:cs="宋体"/>
                <w:bCs/>
                <w:color w:val="auto"/>
                <w:sz w:val="24"/>
                <w:szCs w:val="24"/>
                <w:highlight w:val="none"/>
                <w:lang w:val="en-US" w:eastAsia="zh-CN"/>
              </w:rPr>
              <w:t>1</w:t>
            </w:r>
          </w:p>
        </w:tc>
        <w:tc>
          <w:tcPr>
            <w:tcW w:w="563"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bCs/>
                <w:color w:val="auto"/>
                <w:sz w:val="24"/>
                <w:szCs w:val="24"/>
                <w:highlight w:val="none"/>
                <w:lang w:eastAsia="zh-CN"/>
              </w:rPr>
            </w:pPr>
            <w:r>
              <w:rPr>
                <w:rFonts w:hint="eastAsia" w:hAnsi="宋体" w:cs="宋体"/>
                <w:bCs/>
                <w:color w:val="auto"/>
                <w:sz w:val="24"/>
                <w:szCs w:val="24"/>
                <w:highlight w:val="none"/>
                <w:lang w:eastAsia="zh-CN"/>
              </w:rPr>
              <w:t>套</w:t>
            </w:r>
          </w:p>
        </w:tc>
      </w:tr>
      <w:tr>
        <w:tblPrEx>
          <w:tblCellMar>
            <w:top w:w="0" w:type="dxa"/>
            <w:left w:w="108" w:type="dxa"/>
            <w:bottom w:w="0" w:type="dxa"/>
            <w:right w:w="108" w:type="dxa"/>
          </w:tblCellMar>
        </w:tblPrEx>
        <w:trPr>
          <w:trHeight w:val="2478" w:hRule="atLeast"/>
        </w:trPr>
        <w:tc>
          <w:tcPr>
            <w:tcW w:w="7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5</w:t>
            </w:r>
          </w:p>
        </w:tc>
        <w:tc>
          <w:tcPr>
            <w:tcW w:w="795"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人脸数据应用</w:t>
            </w:r>
          </w:p>
        </w:tc>
        <w:tc>
          <w:tcPr>
            <w:tcW w:w="6985"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支持根据人脸图片查询抓拍数据；支持根据人脸属性年龄段、性别等查询抓拍数据；抓拍数据结果支持跳转身份确认，视频回放，一键布控等；</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支持根据图片、身份信息及属性查询档案，点击查询结果可以查看档案详情；</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支持根据图片、身份信息查询名单信息，点击查询结果可以查看身份详情，详情中支持一键布控，查抓拍数据及查档案等；</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支持身份确认，上传一张图片与名单库进行比对查出相识度大于阈值的名单数据，点击详情，可以进行查抓拍，查档案及一键布控等；</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支持1V1，上传两张图片进行比对，显示两张图片中人脸的相识度值；</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支持统计布控名单库数，包含的总名单数，建模成功数，建模失败数；</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支持根据时间段按照小时、按天及按月统计各个时间点的人脸抓拍数，点击详情，可以查看每个相机在各个时间段的人脸数据；</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支持根据时间段统计各个时间点的预警数量；</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性能要求：1000亿数据规模下，根据条件过滤的结果，≥10个用户并发进行以图搜图，后台响应时间≤2秒；需</w:t>
            </w:r>
            <w:r>
              <w:rPr>
                <w:rFonts w:hint="eastAsia" w:hAnsi="宋体" w:cs="宋体"/>
                <w:bCs/>
                <w:color w:val="auto"/>
                <w:sz w:val="24"/>
                <w:szCs w:val="24"/>
                <w:highlight w:val="none"/>
                <w:lang w:eastAsia="zh-CN"/>
              </w:rPr>
              <w:t>提供国家级或部级第三方检测鉴定机构出具的检测报告复印件并加盖生产商的红色印章</w:t>
            </w:r>
            <w:r>
              <w:rPr>
                <w:rFonts w:hint="eastAsia" w:ascii="宋体" w:hAnsi="宋体" w:cs="宋体"/>
                <w:bCs/>
                <w:color w:val="auto"/>
                <w:sz w:val="24"/>
                <w:szCs w:val="24"/>
                <w:highlight w:val="none"/>
              </w:rPr>
              <w:t>；</w:t>
            </w:r>
          </w:p>
        </w:tc>
        <w:tc>
          <w:tcPr>
            <w:tcW w:w="618" w:type="dxa"/>
            <w:tcBorders>
              <w:top w:val="single" w:color="auto" w:sz="6" w:space="0"/>
              <w:left w:val="nil"/>
              <w:bottom w:val="single" w:color="auto" w:sz="6" w:space="0"/>
              <w:right w:val="single" w:color="auto" w:sz="6" w:space="0"/>
            </w:tcBorders>
            <w:noWrap w:val="0"/>
            <w:vAlign w:val="center"/>
          </w:tcPr>
          <w:p>
            <w:pPr>
              <w:jc w:val="center"/>
              <w:rPr>
                <w:rFonts w:hint="default" w:hAnsi="宋体" w:cs="宋体"/>
                <w:bCs/>
                <w:color w:val="auto"/>
                <w:sz w:val="24"/>
                <w:szCs w:val="24"/>
                <w:highlight w:val="none"/>
                <w:lang w:val="en-US" w:eastAsia="zh-CN"/>
              </w:rPr>
            </w:pPr>
            <w:r>
              <w:rPr>
                <w:rFonts w:hint="eastAsia" w:hAnsi="宋体" w:cs="宋体"/>
                <w:bCs/>
                <w:color w:val="auto"/>
                <w:sz w:val="24"/>
                <w:szCs w:val="24"/>
                <w:highlight w:val="none"/>
                <w:lang w:val="en-US" w:eastAsia="zh-CN"/>
              </w:rPr>
              <w:t>1</w:t>
            </w:r>
          </w:p>
        </w:tc>
        <w:tc>
          <w:tcPr>
            <w:tcW w:w="563" w:type="dxa"/>
            <w:tcBorders>
              <w:top w:val="single" w:color="auto" w:sz="6" w:space="0"/>
              <w:left w:val="nil"/>
              <w:bottom w:val="single" w:color="auto" w:sz="6" w:space="0"/>
              <w:right w:val="single" w:color="auto" w:sz="6" w:space="0"/>
            </w:tcBorders>
            <w:noWrap w:val="0"/>
            <w:vAlign w:val="center"/>
          </w:tcPr>
          <w:p>
            <w:pPr>
              <w:jc w:val="center"/>
              <w:rPr>
                <w:rFonts w:hint="eastAsia"/>
                <w:lang w:eastAsia="zh-CN"/>
              </w:rPr>
            </w:pPr>
            <w:r>
              <w:rPr>
                <w:rFonts w:hint="eastAsia"/>
                <w:lang w:eastAsia="zh-CN"/>
              </w:rPr>
              <w:t>套</w:t>
            </w:r>
          </w:p>
        </w:tc>
      </w:tr>
      <w:tr>
        <w:tblPrEx>
          <w:tblCellMar>
            <w:top w:w="0" w:type="dxa"/>
            <w:left w:w="108" w:type="dxa"/>
            <w:bottom w:w="0" w:type="dxa"/>
            <w:right w:w="108" w:type="dxa"/>
          </w:tblCellMar>
        </w:tblPrEx>
        <w:trPr>
          <w:trHeight w:val="2478" w:hRule="atLeast"/>
        </w:trPr>
        <w:tc>
          <w:tcPr>
            <w:tcW w:w="7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6</w:t>
            </w:r>
          </w:p>
        </w:tc>
        <w:tc>
          <w:tcPr>
            <w:tcW w:w="795"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人脸研判</w:t>
            </w:r>
          </w:p>
        </w:tc>
        <w:tc>
          <w:tcPr>
            <w:tcW w:w="6985"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同行人分析：</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支持在指定的时空范围内，找出同行次数大于设定的阈值的目标人员。</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人脸区域碰撞：</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支持在指定的多个时空范围内，找出在两个及以上区域范围内出现的目标人员。</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落脚点分析：</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支持在指定的时空范围内，找出目标可能落脚或者休息的地方。</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频繁过人分析：</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支持在指定的时空范围内，找出在同个区域范围内出现超过指定次数的目标人员。</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以车搜人：</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支持通过车牌号码，时间，地点等维度分析出哪些人开过这辆车</w:t>
            </w:r>
          </w:p>
        </w:tc>
        <w:tc>
          <w:tcPr>
            <w:tcW w:w="618" w:type="dxa"/>
            <w:tcBorders>
              <w:top w:val="single" w:color="auto" w:sz="6" w:space="0"/>
              <w:left w:val="nil"/>
              <w:bottom w:val="single" w:color="auto" w:sz="6" w:space="0"/>
              <w:right w:val="single" w:color="auto" w:sz="6" w:space="0"/>
            </w:tcBorders>
            <w:noWrap w:val="0"/>
            <w:vAlign w:val="center"/>
          </w:tcPr>
          <w:p>
            <w:pPr>
              <w:jc w:val="center"/>
              <w:rPr>
                <w:rFonts w:hint="default" w:hAnsi="宋体" w:cs="宋体"/>
                <w:bCs/>
                <w:color w:val="auto"/>
                <w:sz w:val="24"/>
                <w:szCs w:val="24"/>
                <w:highlight w:val="none"/>
                <w:lang w:val="en-US" w:eastAsia="zh-CN"/>
              </w:rPr>
            </w:pPr>
            <w:r>
              <w:rPr>
                <w:rFonts w:hint="eastAsia" w:hAnsi="宋体" w:cs="宋体"/>
                <w:bCs/>
                <w:color w:val="auto"/>
                <w:sz w:val="24"/>
                <w:szCs w:val="24"/>
                <w:highlight w:val="none"/>
                <w:lang w:val="en-US" w:eastAsia="zh-CN"/>
              </w:rPr>
              <w:t>1</w:t>
            </w:r>
          </w:p>
        </w:tc>
        <w:tc>
          <w:tcPr>
            <w:tcW w:w="563" w:type="dxa"/>
            <w:tcBorders>
              <w:top w:val="single" w:color="auto" w:sz="6" w:space="0"/>
              <w:left w:val="nil"/>
              <w:bottom w:val="single" w:color="auto" w:sz="6" w:space="0"/>
              <w:right w:val="single" w:color="auto" w:sz="6" w:space="0"/>
            </w:tcBorders>
            <w:noWrap w:val="0"/>
            <w:vAlign w:val="center"/>
          </w:tcPr>
          <w:p>
            <w:pPr>
              <w:jc w:val="center"/>
              <w:rPr>
                <w:rFonts w:hint="eastAsia"/>
                <w:lang w:eastAsia="zh-CN"/>
              </w:rPr>
            </w:pPr>
            <w:r>
              <w:rPr>
                <w:rFonts w:hint="eastAsia"/>
                <w:lang w:eastAsia="zh-CN"/>
              </w:rPr>
              <w:t>套</w:t>
            </w:r>
          </w:p>
        </w:tc>
      </w:tr>
      <w:tr>
        <w:tblPrEx>
          <w:tblCellMar>
            <w:top w:w="0" w:type="dxa"/>
            <w:left w:w="108" w:type="dxa"/>
            <w:bottom w:w="0" w:type="dxa"/>
            <w:right w:w="108" w:type="dxa"/>
          </w:tblCellMar>
        </w:tblPrEx>
        <w:trPr>
          <w:trHeight w:val="2478" w:hRule="atLeast"/>
        </w:trPr>
        <w:tc>
          <w:tcPr>
            <w:tcW w:w="7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7</w:t>
            </w:r>
          </w:p>
        </w:tc>
        <w:tc>
          <w:tcPr>
            <w:tcW w:w="795"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人员档案应用</w:t>
            </w:r>
          </w:p>
        </w:tc>
        <w:tc>
          <w:tcPr>
            <w:tcW w:w="6985"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基于库内的人脸进行聚类分析，并与其它物联数据进行关联，形成以人脸数据为主，其它物联数据为辅的人员档案；</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支持通过上传的人脸照片或者人体图片，分析图片中人脸目标或者人体目标，实现目标人员的人脸或者人体档案检索；</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支持通过姓名或者身份证号实现目标人员的精确查询；</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支持通过时间范围、地点范围、名单库范围等，实现目标人员的模糊查询；</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支持上传目标步态视频，选择抓拍时段和抓拍地点对档案内的人员进行查询，结果按步态的相似度降序排列；</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支持按照上衣颜色、下衣颜色、上衣类型、下衣类型、年龄段、发型、拎东西、戴口罩、戴帽子、骑车等特征，按抓拍时段和抓拍地点对档案进行查询；</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支持按时间倒序展示人员抓拍图片记录信息，提供抓拍人脸大图及关联的人体图片、抓拍地点、抓拍时间等信息；人员轨迹：</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支持按时间范围查询并在地图展示人员的活动轨迹。提供抓拍轨迹播放功能；</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通过聚类人脸抓拍的抓拍时间、地点，分析出人员的有效落脚点信息，支持按近30天内落脚次数降序展示落脚点信息；</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支持按照近一天、近一周、近一月等三个维度，统计人员24小时内抓拍分布规律；</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支持展示统计近30天与目标人员同行次数较多的档案，提供查看同行人档案详情、同行时抓拍的详情信息；</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支持展示统计近30天与目标人员同乘次数较多的档案，提供同乘时抓拍的详细信息、抓拍图片等详细信息；</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支持展示目标人员驾驶或者乘坐过的被抓拍次数较多的车辆车牌号，支持展示每次抓拍图片详细信息；</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支持按名单对人脸小图转存，从而达到某类档案持久化存储目的；</w:t>
            </w:r>
          </w:p>
        </w:tc>
        <w:tc>
          <w:tcPr>
            <w:tcW w:w="618" w:type="dxa"/>
            <w:tcBorders>
              <w:top w:val="single" w:color="auto" w:sz="6" w:space="0"/>
              <w:left w:val="nil"/>
              <w:bottom w:val="single" w:color="auto" w:sz="6" w:space="0"/>
              <w:right w:val="single" w:color="auto" w:sz="6" w:space="0"/>
            </w:tcBorders>
            <w:noWrap w:val="0"/>
            <w:vAlign w:val="center"/>
          </w:tcPr>
          <w:p>
            <w:pPr>
              <w:jc w:val="center"/>
              <w:rPr>
                <w:rFonts w:hint="default" w:hAnsi="宋体" w:cs="宋体"/>
                <w:bCs/>
                <w:color w:val="auto"/>
                <w:sz w:val="24"/>
                <w:szCs w:val="24"/>
                <w:highlight w:val="none"/>
                <w:lang w:val="en-US" w:eastAsia="zh-CN"/>
              </w:rPr>
            </w:pPr>
            <w:r>
              <w:rPr>
                <w:rFonts w:hint="eastAsia" w:hAnsi="宋体" w:cs="宋体"/>
                <w:bCs/>
                <w:color w:val="auto"/>
                <w:sz w:val="24"/>
                <w:szCs w:val="24"/>
                <w:highlight w:val="none"/>
                <w:lang w:val="en-US" w:eastAsia="zh-CN"/>
              </w:rPr>
              <w:t>1</w:t>
            </w:r>
          </w:p>
        </w:tc>
        <w:tc>
          <w:tcPr>
            <w:tcW w:w="563" w:type="dxa"/>
            <w:tcBorders>
              <w:top w:val="single" w:color="auto" w:sz="6" w:space="0"/>
              <w:left w:val="nil"/>
              <w:bottom w:val="single" w:color="auto" w:sz="6" w:space="0"/>
              <w:right w:val="single" w:color="auto" w:sz="6" w:space="0"/>
            </w:tcBorders>
            <w:noWrap w:val="0"/>
            <w:vAlign w:val="center"/>
          </w:tcPr>
          <w:p>
            <w:pPr>
              <w:jc w:val="center"/>
              <w:rPr>
                <w:rFonts w:hint="eastAsia"/>
                <w:lang w:eastAsia="zh-CN"/>
              </w:rPr>
            </w:pPr>
            <w:r>
              <w:rPr>
                <w:rFonts w:hint="eastAsia"/>
                <w:lang w:eastAsia="zh-CN"/>
              </w:rPr>
              <w:t>套</w:t>
            </w:r>
          </w:p>
        </w:tc>
      </w:tr>
      <w:tr>
        <w:tblPrEx>
          <w:tblCellMar>
            <w:top w:w="0" w:type="dxa"/>
            <w:left w:w="108" w:type="dxa"/>
            <w:bottom w:w="0" w:type="dxa"/>
            <w:right w:w="108" w:type="dxa"/>
          </w:tblCellMar>
        </w:tblPrEx>
        <w:trPr>
          <w:trHeight w:val="2478" w:hRule="atLeast"/>
        </w:trPr>
        <w:tc>
          <w:tcPr>
            <w:tcW w:w="7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8</w:t>
            </w:r>
          </w:p>
        </w:tc>
        <w:tc>
          <w:tcPr>
            <w:tcW w:w="795"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重点场所人员管控应用</w:t>
            </w:r>
          </w:p>
        </w:tc>
        <w:tc>
          <w:tcPr>
            <w:tcW w:w="6985"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支持展示当前防控圈人脸、车辆、探针个体告警的当天数量统计及总数统计，列表展示实时个体预警；支持根据报警类型、报警等级、姓名、证件号、车牌号、时间、防控圈、名单库等条件查询历史个体报警；</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支持根据报警类型、报警等级、姓名、证件号、车牌号、时间、防控圈、名单库等条件查询历史群体报警；支持对防控圈的添加、编辑、查看及删除等操作；</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支持根据防控圈和布控名称查询防控圈对应的布控，并支持跳转至综合布控告警服务页面；</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支持对不同的布控任务设置时间范围、预警数量从而形成群体预警；</w:t>
            </w:r>
          </w:p>
        </w:tc>
        <w:tc>
          <w:tcPr>
            <w:tcW w:w="618" w:type="dxa"/>
            <w:tcBorders>
              <w:top w:val="single" w:color="auto" w:sz="6" w:space="0"/>
              <w:left w:val="nil"/>
              <w:bottom w:val="single" w:color="auto" w:sz="6" w:space="0"/>
              <w:right w:val="single" w:color="auto" w:sz="6" w:space="0"/>
            </w:tcBorders>
            <w:noWrap w:val="0"/>
            <w:vAlign w:val="center"/>
          </w:tcPr>
          <w:p>
            <w:pPr>
              <w:jc w:val="center"/>
              <w:rPr>
                <w:rFonts w:hint="default" w:hAnsi="宋体" w:cs="宋体"/>
                <w:bCs/>
                <w:color w:val="auto"/>
                <w:sz w:val="24"/>
                <w:szCs w:val="24"/>
                <w:highlight w:val="none"/>
                <w:lang w:val="en-US" w:eastAsia="zh-CN"/>
              </w:rPr>
            </w:pPr>
            <w:r>
              <w:rPr>
                <w:rFonts w:hint="eastAsia" w:hAnsi="宋体" w:cs="宋体"/>
                <w:bCs/>
                <w:color w:val="auto"/>
                <w:sz w:val="24"/>
                <w:szCs w:val="24"/>
                <w:highlight w:val="none"/>
                <w:lang w:val="en-US" w:eastAsia="zh-CN"/>
              </w:rPr>
              <w:t>1</w:t>
            </w:r>
          </w:p>
        </w:tc>
        <w:tc>
          <w:tcPr>
            <w:tcW w:w="563" w:type="dxa"/>
            <w:tcBorders>
              <w:top w:val="single" w:color="auto" w:sz="6" w:space="0"/>
              <w:left w:val="nil"/>
              <w:bottom w:val="single" w:color="auto" w:sz="6" w:space="0"/>
              <w:right w:val="single" w:color="auto" w:sz="6" w:space="0"/>
            </w:tcBorders>
            <w:noWrap w:val="0"/>
            <w:vAlign w:val="center"/>
          </w:tcPr>
          <w:p>
            <w:pPr>
              <w:jc w:val="center"/>
              <w:rPr>
                <w:rFonts w:hint="eastAsia"/>
                <w:lang w:eastAsia="zh-CN"/>
              </w:rPr>
            </w:pPr>
            <w:r>
              <w:rPr>
                <w:rFonts w:hint="eastAsia"/>
                <w:lang w:eastAsia="zh-CN"/>
              </w:rPr>
              <w:t>套</w:t>
            </w:r>
          </w:p>
        </w:tc>
      </w:tr>
      <w:tr>
        <w:tblPrEx>
          <w:tblCellMar>
            <w:top w:w="0" w:type="dxa"/>
            <w:left w:w="108" w:type="dxa"/>
            <w:bottom w:w="0" w:type="dxa"/>
            <w:right w:w="108" w:type="dxa"/>
          </w:tblCellMar>
        </w:tblPrEx>
        <w:trPr>
          <w:trHeight w:val="2478" w:hRule="atLeast"/>
        </w:trPr>
        <w:tc>
          <w:tcPr>
            <w:tcW w:w="7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9</w:t>
            </w:r>
          </w:p>
        </w:tc>
        <w:tc>
          <w:tcPr>
            <w:tcW w:w="795"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目标追踪</w:t>
            </w:r>
          </w:p>
        </w:tc>
        <w:tc>
          <w:tcPr>
            <w:tcW w:w="6985"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支持人脸追踪，通过上传的人脸照片，通过人脸数据比对，实现对目标对象的追踪；</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支持人体追踪，通过上传的人体照片，通过人体数据比对，实现对目标对象的追踪；</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支持实时追踪，对实时的目标进行追踪，用以分析目标对象的实时轨迹；</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支持对目标对象的历史轨迹追踪和回溯。用以发现目标对象的历史去向或者源地址；</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追踪任务管理，新建追踪任务；支持用户配置追踪任务，设定任务参数，包括追踪目标、追踪范围、追踪方式、追踪开始时间、分析时长、自动追踪半径、最小相似度等。支持用户上传人脸/人体图片，系统识别后确定追踪目标；</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支持对追踪任务的查询、查看详情、删除等操作；</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支持对追踪结果的展示（追踪点位数、时间段、底图替换的变化、追踪范围、系统追踪/人工干预等、相似目标）、同时增加了追踪图片/视频导出；</w:t>
            </w:r>
          </w:p>
        </w:tc>
        <w:tc>
          <w:tcPr>
            <w:tcW w:w="618" w:type="dxa"/>
            <w:tcBorders>
              <w:top w:val="single" w:color="auto" w:sz="6" w:space="0"/>
              <w:left w:val="nil"/>
              <w:bottom w:val="single" w:color="auto" w:sz="6" w:space="0"/>
              <w:right w:val="single" w:color="auto" w:sz="6" w:space="0"/>
            </w:tcBorders>
            <w:noWrap w:val="0"/>
            <w:vAlign w:val="center"/>
          </w:tcPr>
          <w:p>
            <w:pPr>
              <w:jc w:val="center"/>
              <w:rPr>
                <w:rFonts w:hint="default" w:hAnsi="宋体" w:cs="宋体"/>
                <w:bCs/>
                <w:color w:val="auto"/>
                <w:sz w:val="24"/>
                <w:szCs w:val="24"/>
                <w:highlight w:val="none"/>
                <w:lang w:val="en-US" w:eastAsia="zh-CN"/>
              </w:rPr>
            </w:pPr>
            <w:r>
              <w:rPr>
                <w:rFonts w:hint="eastAsia" w:hAnsi="宋体" w:cs="宋体"/>
                <w:bCs/>
                <w:color w:val="auto"/>
                <w:sz w:val="24"/>
                <w:szCs w:val="24"/>
                <w:highlight w:val="none"/>
                <w:lang w:val="en-US" w:eastAsia="zh-CN"/>
              </w:rPr>
              <w:t>1</w:t>
            </w:r>
          </w:p>
        </w:tc>
        <w:tc>
          <w:tcPr>
            <w:tcW w:w="563" w:type="dxa"/>
            <w:tcBorders>
              <w:top w:val="single" w:color="auto" w:sz="6" w:space="0"/>
              <w:left w:val="nil"/>
              <w:bottom w:val="single" w:color="auto" w:sz="6" w:space="0"/>
              <w:right w:val="single" w:color="auto" w:sz="6" w:space="0"/>
            </w:tcBorders>
            <w:noWrap w:val="0"/>
            <w:vAlign w:val="center"/>
          </w:tcPr>
          <w:p>
            <w:pPr>
              <w:jc w:val="center"/>
              <w:rPr>
                <w:rFonts w:hint="eastAsia"/>
                <w:lang w:eastAsia="zh-CN"/>
              </w:rPr>
            </w:pPr>
            <w:r>
              <w:rPr>
                <w:rFonts w:hint="eastAsia"/>
                <w:lang w:eastAsia="zh-CN"/>
              </w:rPr>
              <w:t>套</w:t>
            </w:r>
          </w:p>
        </w:tc>
      </w:tr>
      <w:tr>
        <w:tblPrEx>
          <w:tblCellMar>
            <w:top w:w="0" w:type="dxa"/>
            <w:left w:w="108" w:type="dxa"/>
            <w:bottom w:w="0" w:type="dxa"/>
            <w:right w:w="108" w:type="dxa"/>
          </w:tblCellMar>
        </w:tblPrEx>
        <w:trPr>
          <w:trHeight w:val="2478" w:hRule="atLeast"/>
        </w:trPr>
        <w:tc>
          <w:tcPr>
            <w:tcW w:w="7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10</w:t>
            </w:r>
          </w:p>
        </w:tc>
        <w:tc>
          <w:tcPr>
            <w:tcW w:w="795"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车辆数据应用</w:t>
            </w:r>
          </w:p>
        </w:tc>
        <w:tc>
          <w:tcPr>
            <w:tcW w:w="6985"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支持根据颜色、类型等属性查询过车数据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支持根据车辆图片，检索出与其相似的车辆，支持结果按照车牌分组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支持按卡口、时间、归属地、车型、品牌等统计车流量数据、违法过车数据。统计数据支持以日报表，月报表的展示；</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性能要求：在1000亿数据规模下，根据条件过滤的结果，≥20个用户并发进行车辆检索，后台响应时间≤2秒；需</w:t>
            </w:r>
            <w:r>
              <w:rPr>
                <w:rFonts w:hint="eastAsia" w:hAnsi="宋体" w:cs="宋体"/>
                <w:bCs/>
                <w:color w:val="auto"/>
                <w:sz w:val="24"/>
                <w:szCs w:val="24"/>
                <w:highlight w:val="none"/>
                <w:lang w:eastAsia="zh-CN"/>
              </w:rPr>
              <w:t>提供国家级或部级第三方检测鉴定机构出具的检测报告复印件并加盖生产商的红色印章</w:t>
            </w:r>
            <w:r>
              <w:rPr>
                <w:rFonts w:hint="eastAsia" w:ascii="宋体" w:hAnsi="宋体" w:cs="宋体"/>
                <w:bCs/>
                <w:color w:val="auto"/>
                <w:sz w:val="24"/>
                <w:szCs w:val="24"/>
                <w:highlight w:val="none"/>
              </w:rPr>
              <w:t>；</w:t>
            </w:r>
          </w:p>
        </w:tc>
        <w:tc>
          <w:tcPr>
            <w:tcW w:w="618" w:type="dxa"/>
            <w:tcBorders>
              <w:top w:val="single" w:color="auto" w:sz="6" w:space="0"/>
              <w:left w:val="nil"/>
              <w:bottom w:val="single" w:color="auto" w:sz="6" w:space="0"/>
              <w:right w:val="single" w:color="auto" w:sz="6" w:space="0"/>
            </w:tcBorders>
            <w:noWrap w:val="0"/>
            <w:vAlign w:val="center"/>
          </w:tcPr>
          <w:p>
            <w:pPr>
              <w:jc w:val="center"/>
              <w:rPr>
                <w:rFonts w:hint="default" w:hAnsi="宋体" w:cs="宋体"/>
                <w:bCs/>
                <w:color w:val="auto"/>
                <w:sz w:val="24"/>
                <w:szCs w:val="24"/>
                <w:highlight w:val="none"/>
                <w:lang w:val="en-US" w:eastAsia="zh-CN"/>
              </w:rPr>
            </w:pPr>
            <w:r>
              <w:rPr>
                <w:rFonts w:hint="eastAsia" w:hAnsi="宋体" w:cs="宋体"/>
                <w:bCs/>
                <w:color w:val="auto"/>
                <w:sz w:val="24"/>
                <w:szCs w:val="24"/>
                <w:highlight w:val="none"/>
                <w:lang w:val="en-US" w:eastAsia="zh-CN"/>
              </w:rPr>
              <w:t>1</w:t>
            </w:r>
          </w:p>
        </w:tc>
        <w:tc>
          <w:tcPr>
            <w:tcW w:w="563" w:type="dxa"/>
            <w:tcBorders>
              <w:top w:val="single" w:color="auto" w:sz="6" w:space="0"/>
              <w:left w:val="nil"/>
              <w:bottom w:val="single" w:color="auto" w:sz="6" w:space="0"/>
              <w:right w:val="single" w:color="auto" w:sz="6" w:space="0"/>
            </w:tcBorders>
            <w:noWrap w:val="0"/>
            <w:vAlign w:val="center"/>
          </w:tcPr>
          <w:p>
            <w:pPr>
              <w:jc w:val="center"/>
              <w:rPr>
                <w:rFonts w:hint="eastAsia"/>
                <w:lang w:eastAsia="zh-CN"/>
              </w:rPr>
            </w:pPr>
            <w:r>
              <w:rPr>
                <w:rFonts w:hint="eastAsia"/>
                <w:lang w:eastAsia="zh-CN"/>
              </w:rPr>
              <w:t>套</w:t>
            </w:r>
          </w:p>
        </w:tc>
      </w:tr>
      <w:tr>
        <w:tblPrEx>
          <w:tblCellMar>
            <w:top w:w="0" w:type="dxa"/>
            <w:left w:w="108" w:type="dxa"/>
            <w:bottom w:w="0" w:type="dxa"/>
            <w:right w:w="108" w:type="dxa"/>
          </w:tblCellMar>
        </w:tblPrEx>
        <w:trPr>
          <w:trHeight w:val="2478" w:hRule="atLeast"/>
        </w:trPr>
        <w:tc>
          <w:tcPr>
            <w:tcW w:w="7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11</w:t>
            </w:r>
          </w:p>
        </w:tc>
        <w:tc>
          <w:tcPr>
            <w:tcW w:w="795"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车辆研判</w:t>
            </w:r>
          </w:p>
        </w:tc>
        <w:tc>
          <w:tcPr>
            <w:tcW w:w="6985"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车辆轨迹查询：</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支持查询某一车辆某一时间段的轨迹信息或者多辆车不同时间段的轨迹信息，分析结果地图展示，并可进行轨迹回放；</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车辆区域碰撞：</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支持以多个卡口为基点，接照某一时间点或车牌类型为条件，自动分析符合多个条件的车辆信息；</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支持列表和地图的形式展示分析结果，同时也支持车辆模型碰撞功能，获取在多个区域内模型相似的分析结果；</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轨迹查车：</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支持以指定顺序的卡口，行成一条轨迹，分析在一定时间段内，与指定轨迹相似度大于阈值的车辆列表，并且支持地图车辆轨迹展示；</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车辆初次入城分析：</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支持通过设定进入城区的一些关键路口为初次入城卡口，自动分析车辆是否为初次入城，并对初次入城的车辆进行标记和预警，后续也可检索初检初次入城车辆；</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支持通过在地图上画一个范围，通过时空分析出，这个圈内首次出现的车辆；</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车辆落脚点分析：</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支持根据车辆在城区卡口中出现的活动轨迹，用统计学的算法分析可疑车辆可能的落脚点。以列表的方式展示分析结果；可以切换视图分析出统计结果。</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频繁过车分析：</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支持分析某段时间的卡口或车辆的频繁过车，并展示详情；</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昼伏夜出分析：</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支持获取一段时间内白天出现次数少于N次，夜晚出现次数大于M次，或白天次数/夜晚次数小于K的车辆列表；</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行车规律分析：</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支持分析车辆在指定时段内的过车规律，以过车数量的方式在地图中呈现；</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同行车辆分析：</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支持以某一卡口或电子警察为基点，接照某一时间点或某一车牌号、车牌类型为条件，自动梳理前后时段通过的车辆。分析结果支持列表展示和地图展示；</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夜间面部遮挡分析：</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支持通过时段、遮阳选择等，展示夜间面部有遮挡的车辆情况，协助排查异常驾车；</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隐匿车分析：</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支持查询一段时间前活动比较频繁，一段时间后隐匿的车辆，用于筛选案发后隐匿的嫌疑车辆；</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以人搜车：</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支持根据上传人脸与车内抓拍人脸的相似度，分析出这个人开过或者乘坐过哪些车辆；</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相似车牌分析：</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支持通过分析出车牌号码一位或者两位不一样的车辆，再经过车辆品牌，颜色等过滤，方便查询出篡改1-2位号码的车牌；</w:t>
            </w:r>
          </w:p>
        </w:tc>
        <w:tc>
          <w:tcPr>
            <w:tcW w:w="618" w:type="dxa"/>
            <w:tcBorders>
              <w:top w:val="single" w:color="auto" w:sz="6" w:space="0"/>
              <w:left w:val="nil"/>
              <w:bottom w:val="single" w:color="auto" w:sz="6" w:space="0"/>
              <w:right w:val="single" w:color="auto" w:sz="6" w:space="0"/>
            </w:tcBorders>
            <w:noWrap w:val="0"/>
            <w:vAlign w:val="center"/>
          </w:tcPr>
          <w:p>
            <w:pPr>
              <w:jc w:val="center"/>
              <w:rPr>
                <w:rFonts w:hint="default" w:hAnsi="宋体" w:cs="宋体"/>
                <w:bCs/>
                <w:color w:val="auto"/>
                <w:sz w:val="24"/>
                <w:szCs w:val="24"/>
                <w:highlight w:val="none"/>
                <w:lang w:val="en-US" w:eastAsia="zh-CN"/>
              </w:rPr>
            </w:pPr>
            <w:r>
              <w:rPr>
                <w:rFonts w:hint="eastAsia" w:hAnsi="宋体" w:cs="宋体"/>
                <w:bCs/>
                <w:color w:val="auto"/>
                <w:sz w:val="24"/>
                <w:szCs w:val="24"/>
                <w:highlight w:val="none"/>
                <w:lang w:val="en-US" w:eastAsia="zh-CN"/>
              </w:rPr>
              <w:t>1</w:t>
            </w:r>
          </w:p>
        </w:tc>
        <w:tc>
          <w:tcPr>
            <w:tcW w:w="563" w:type="dxa"/>
            <w:tcBorders>
              <w:top w:val="single" w:color="auto" w:sz="6" w:space="0"/>
              <w:left w:val="nil"/>
              <w:bottom w:val="single" w:color="auto" w:sz="6" w:space="0"/>
              <w:right w:val="single" w:color="auto" w:sz="6" w:space="0"/>
            </w:tcBorders>
            <w:noWrap w:val="0"/>
            <w:vAlign w:val="center"/>
          </w:tcPr>
          <w:p>
            <w:pPr>
              <w:jc w:val="center"/>
              <w:rPr>
                <w:rFonts w:hint="eastAsia"/>
                <w:lang w:eastAsia="zh-CN"/>
              </w:rPr>
            </w:pPr>
            <w:r>
              <w:rPr>
                <w:rFonts w:hint="eastAsia"/>
                <w:lang w:eastAsia="zh-CN"/>
              </w:rPr>
              <w:t>套</w:t>
            </w:r>
          </w:p>
        </w:tc>
      </w:tr>
      <w:tr>
        <w:tblPrEx>
          <w:tblCellMar>
            <w:top w:w="0" w:type="dxa"/>
            <w:left w:w="108" w:type="dxa"/>
            <w:bottom w:w="0" w:type="dxa"/>
            <w:right w:w="108" w:type="dxa"/>
          </w:tblCellMar>
        </w:tblPrEx>
        <w:trPr>
          <w:trHeight w:val="2478" w:hRule="atLeast"/>
        </w:trPr>
        <w:tc>
          <w:tcPr>
            <w:tcW w:w="7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12</w:t>
            </w:r>
          </w:p>
        </w:tc>
        <w:tc>
          <w:tcPr>
            <w:tcW w:w="795"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人体基础应用</w:t>
            </w:r>
          </w:p>
        </w:tc>
        <w:tc>
          <w:tcPr>
            <w:tcW w:w="6985"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以人体属性搜索相似结构化数据，支持根据上移颜色、下装颜色、目标方向、性别、是否戴眼镜、发型、年龄段、目标大小、上衣类型、是否戴口罩、是否背包、是否骑车、目标速度、夏装类型、是否戴帽子、是否拎东西等属性查询匹配的人体信息；</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以人体图片搜索相似结构化数据，当上传图片存在人体目标时，支持在选定的点位范围所采集的海量数据中检索出在选定时间段内，符合最小相似度的人体目标；</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支持统计分析结构化数据量、分析任务量、数据密度等人体数据；</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性能要求：在1000亿数据规模下，根据条件过滤的结果，≥15个用户并发进行人体以图搜图，后台响应时间≤1秒；需</w:t>
            </w:r>
            <w:r>
              <w:rPr>
                <w:rFonts w:hint="eastAsia" w:hAnsi="宋体" w:cs="宋体"/>
                <w:bCs/>
                <w:color w:val="auto"/>
                <w:sz w:val="24"/>
                <w:szCs w:val="24"/>
                <w:highlight w:val="none"/>
                <w:lang w:eastAsia="zh-CN"/>
              </w:rPr>
              <w:t>提供国家级或部级第三方检测鉴定机构出具的检测报告复印件并加盖生产商的红色印章</w:t>
            </w:r>
            <w:r>
              <w:rPr>
                <w:rFonts w:hint="eastAsia" w:ascii="宋体" w:hAnsi="宋体" w:cs="宋体"/>
                <w:bCs/>
                <w:color w:val="auto"/>
                <w:sz w:val="24"/>
                <w:szCs w:val="24"/>
                <w:highlight w:val="none"/>
              </w:rPr>
              <w:t>；</w:t>
            </w:r>
          </w:p>
        </w:tc>
        <w:tc>
          <w:tcPr>
            <w:tcW w:w="618" w:type="dxa"/>
            <w:tcBorders>
              <w:top w:val="single" w:color="auto" w:sz="6" w:space="0"/>
              <w:left w:val="nil"/>
              <w:bottom w:val="single" w:color="auto" w:sz="6" w:space="0"/>
              <w:right w:val="single" w:color="auto" w:sz="6" w:space="0"/>
            </w:tcBorders>
            <w:noWrap w:val="0"/>
            <w:vAlign w:val="center"/>
          </w:tcPr>
          <w:p>
            <w:pPr>
              <w:jc w:val="center"/>
              <w:rPr>
                <w:rFonts w:hint="default" w:hAnsi="宋体" w:cs="宋体"/>
                <w:bCs/>
                <w:color w:val="auto"/>
                <w:sz w:val="24"/>
                <w:szCs w:val="24"/>
                <w:highlight w:val="none"/>
                <w:lang w:val="en-US" w:eastAsia="zh-CN"/>
              </w:rPr>
            </w:pPr>
            <w:r>
              <w:rPr>
                <w:rFonts w:hint="eastAsia" w:hAnsi="宋体" w:cs="宋体"/>
                <w:bCs/>
                <w:color w:val="auto"/>
                <w:sz w:val="24"/>
                <w:szCs w:val="24"/>
                <w:highlight w:val="none"/>
                <w:lang w:val="en-US" w:eastAsia="zh-CN"/>
              </w:rPr>
              <w:t>1</w:t>
            </w:r>
          </w:p>
        </w:tc>
        <w:tc>
          <w:tcPr>
            <w:tcW w:w="563" w:type="dxa"/>
            <w:tcBorders>
              <w:top w:val="single" w:color="auto" w:sz="6" w:space="0"/>
              <w:left w:val="nil"/>
              <w:bottom w:val="single" w:color="auto" w:sz="6" w:space="0"/>
              <w:right w:val="single" w:color="auto" w:sz="6" w:space="0"/>
            </w:tcBorders>
            <w:noWrap w:val="0"/>
            <w:vAlign w:val="center"/>
          </w:tcPr>
          <w:p>
            <w:pPr>
              <w:jc w:val="center"/>
              <w:rPr>
                <w:rFonts w:hint="eastAsia"/>
                <w:lang w:eastAsia="zh-CN"/>
              </w:rPr>
            </w:pPr>
            <w:r>
              <w:rPr>
                <w:rFonts w:hint="eastAsia"/>
                <w:lang w:eastAsia="zh-CN"/>
              </w:rPr>
              <w:t>套</w:t>
            </w:r>
          </w:p>
        </w:tc>
      </w:tr>
      <w:tr>
        <w:tblPrEx>
          <w:tblCellMar>
            <w:top w:w="0" w:type="dxa"/>
            <w:left w:w="108" w:type="dxa"/>
            <w:bottom w:w="0" w:type="dxa"/>
            <w:right w:w="108" w:type="dxa"/>
          </w:tblCellMar>
        </w:tblPrEx>
        <w:trPr>
          <w:trHeight w:val="1150" w:hRule="atLeast"/>
        </w:trPr>
        <w:tc>
          <w:tcPr>
            <w:tcW w:w="7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13</w:t>
            </w:r>
          </w:p>
        </w:tc>
        <w:tc>
          <w:tcPr>
            <w:tcW w:w="795"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聚类应用</w:t>
            </w:r>
          </w:p>
        </w:tc>
        <w:tc>
          <w:tcPr>
            <w:tcW w:w="6985"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基于人脸模型批量比对，对抓拍人脸实时标记身份ID，利用ID可实现大数据业务应用；</w:t>
            </w:r>
          </w:p>
        </w:tc>
        <w:tc>
          <w:tcPr>
            <w:tcW w:w="618" w:type="dxa"/>
            <w:tcBorders>
              <w:top w:val="single" w:color="auto" w:sz="6" w:space="0"/>
              <w:left w:val="nil"/>
              <w:bottom w:val="single" w:color="auto" w:sz="6" w:space="0"/>
              <w:right w:val="single" w:color="auto" w:sz="6" w:space="0"/>
            </w:tcBorders>
            <w:noWrap w:val="0"/>
            <w:vAlign w:val="center"/>
          </w:tcPr>
          <w:p>
            <w:pPr>
              <w:jc w:val="center"/>
              <w:rPr>
                <w:rFonts w:hint="default" w:hAnsi="宋体" w:cs="宋体"/>
                <w:bCs/>
                <w:color w:val="auto"/>
                <w:sz w:val="24"/>
                <w:szCs w:val="24"/>
                <w:highlight w:val="none"/>
                <w:lang w:val="en-US" w:eastAsia="zh-CN"/>
              </w:rPr>
            </w:pPr>
            <w:r>
              <w:rPr>
                <w:rFonts w:hint="eastAsia" w:hAnsi="宋体" w:cs="宋体"/>
                <w:bCs/>
                <w:color w:val="auto"/>
                <w:sz w:val="24"/>
                <w:szCs w:val="24"/>
                <w:highlight w:val="none"/>
                <w:lang w:val="en-US" w:eastAsia="zh-CN"/>
              </w:rPr>
              <w:t>1</w:t>
            </w:r>
          </w:p>
        </w:tc>
        <w:tc>
          <w:tcPr>
            <w:tcW w:w="563" w:type="dxa"/>
            <w:tcBorders>
              <w:top w:val="single" w:color="auto" w:sz="6" w:space="0"/>
              <w:left w:val="nil"/>
              <w:bottom w:val="single" w:color="auto" w:sz="6" w:space="0"/>
              <w:right w:val="single" w:color="auto" w:sz="6" w:space="0"/>
            </w:tcBorders>
            <w:noWrap w:val="0"/>
            <w:vAlign w:val="center"/>
          </w:tcPr>
          <w:p>
            <w:pPr>
              <w:jc w:val="center"/>
              <w:rPr>
                <w:rFonts w:hint="eastAsia"/>
                <w:lang w:eastAsia="zh-CN"/>
              </w:rPr>
            </w:pPr>
            <w:r>
              <w:rPr>
                <w:rFonts w:hint="eastAsia"/>
                <w:lang w:eastAsia="zh-CN"/>
              </w:rPr>
              <w:t>套</w:t>
            </w:r>
          </w:p>
        </w:tc>
      </w:tr>
      <w:tr>
        <w:tblPrEx>
          <w:tblCellMar>
            <w:top w:w="0" w:type="dxa"/>
            <w:left w:w="108" w:type="dxa"/>
            <w:bottom w:w="0" w:type="dxa"/>
            <w:right w:w="108" w:type="dxa"/>
          </w:tblCellMar>
        </w:tblPrEx>
        <w:trPr>
          <w:trHeight w:val="4765" w:hRule="atLeast"/>
        </w:trPr>
        <w:tc>
          <w:tcPr>
            <w:tcW w:w="7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14</w:t>
            </w:r>
          </w:p>
        </w:tc>
        <w:tc>
          <w:tcPr>
            <w:tcW w:w="795"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数据可视化平台</w:t>
            </w:r>
          </w:p>
        </w:tc>
        <w:tc>
          <w:tcPr>
            <w:tcW w:w="6985"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通过拖拉拽实现多种数据源接入，无需编程，支持多种图表组件，支撑多种数据类型的分析与展示，支持本地或者远程进行公开或者加密访问和查看可视化，支持多种图表通过数据字段传参与别的图表进行联动展示；</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支持图层控制画布内容；</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支持一键恢复图表组件的默认属性和默认数据。</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支持一键调色按照色相、饱和度、明度、对比度、不透明度进行可视化颜色调整；</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支持暂存架跨主题复制主题模块，快速配置可视化主题效果；</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支持根据用户的业务需求，进行个性化图表布置，呈现各类关键业务数据，数据图表实时呈现，动态刷新；</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支持主题编辑、预览、导出、分组、复制、分享、发布的操作；</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支持将主题分享生成url链接，并支持开启加密项，将主题链接进行加密分享；</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支持将主题发布至主题广场，同一个局域网的用户都可以访问并复制使用；</w:t>
            </w:r>
          </w:p>
        </w:tc>
        <w:tc>
          <w:tcPr>
            <w:tcW w:w="618" w:type="dxa"/>
            <w:tcBorders>
              <w:top w:val="single" w:color="auto" w:sz="6" w:space="0"/>
              <w:left w:val="nil"/>
              <w:bottom w:val="single" w:color="auto" w:sz="6" w:space="0"/>
              <w:right w:val="single" w:color="auto" w:sz="6" w:space="0"/>
            </w:tcBorders>
            <w:noWrap w:val="0"/>
            <w:vAlign w:val="center"/>
          </w:tcPr>
          <w:p>
            <w:pPr>
              <w:jc w:val="center"/>
              <w:rPr>
                <w:rFonts w:hint="default" w:hAnsi="宋体" w:cs="宋体"/>
                <w:bCs/>
                <w:color w:val="auto"/>
                <w:sz w:val="24"/>
                <w:szCs w:val="24"/>
                <w:highlight w:val="none"/>
                <w:lang w:val="en-US" w:eastAsia="zh-CN"/>
              </w:rPr>
            </w:pPr>
            <w:r>
              <w:rPr>
                <w:rFonts w:hint="eastAsia" w:hAnsi="宋体" w:cs="宋体"/>
                <w:bCs/>
                <w:color w:val="auto"/>
                <w:sz w:val="24"/>
                <w:szCs w:val="24"/>
                <w:highlight w:val="none"/>
                <w:lang w:val="en-US" w:eastAsia="zh-CN"/>
              </w:rPr>
              <w:t>1</w:t>
            </w:r>
          </w:p>
        </w:tc>
        <w:tc>
          <w:tcPr>
            <w:tcW w:w="563" w:type="dxa"/>
            <w:tcBorders>
              <w:top w:val="single" w:color="auto" w:sz="6" w:space="0"/>
              <w:left w:val="nil"/>
              <w:bottom w:val="single" w:color="auto" w:sz="6" w:space="0"/>
              <w:right w:val="single" w:color="auto" w:sz="6" w:space="0"/>
            </w:tcBorders>
            <w:noWrap w:val="0"/>
            <w:vAlign w:val="center"/>
          </w:tcPr>
          <w:p>
            <w:pPr>
              <w:jc w:val="center"/>
              <w:rPr>
                <w:rFonts w:hint="eastAsia"/>
                <w:lang w:eastAsia="zh-CN"/>
              </w:rPr>
            </w:pPr>
            <w:r>
              <w:rPr>
                <w:rFonts w:hint="eastAsia"/>
                <w:lang w:eastAsia="zh-CN"/>
              </w:rPr>
              <w:t>套</w:t>
            </w:r>
          </w:p>
        </w:tc>
      </w:tr>
      <w:tr>
        <w:tblPrEx>
          <w:tblCellMar>
            <w:top w:w="0" w:type="dxa"/>
            <w:left w:w="108" w:type="dxa"/>
            <w:bottom w:w="0" w:type="dxa"/>
            <w:right w:w="108" w:type="dxa"/>
          </w:tblCellMar>
        </w:tblPrEx>
        <w:trPr>
          <w:trHeight w:val="1266" w:hRule="atLeast"/>
        </w:trPr>
        <w:tc>
          <w:tcPr>
            <w:tcW w:w="7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15</w:t>
            </w:r>
          </w:p>
        </w:tc>
        <w:tc>
          <w:tcPr>
            <w:tcW w:w="795"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数据级联管理</w:t>
            </w:r>
          </w:p>
        </w:tc>
        <w:tc>
          <w:tcPr>
            <w:tcW w:w="6985"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支持人脸、人体、车辆等结构化数据、特征值、图片的实时级联；</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 xml:space="preserve">支持人脸、人体、车辆等结构化数据、特征值、图片的跨网摆渡；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支持无线终端数据、人证数据、告警数据的实时级联及跨网摆渡；</w:t>
            </w:r>
          </w:p>
        </w:tc>
        <w:tc>
          <w:tcPr>
            <w:tcW w:w="618" w:type="dxa"/>
            <w:tcBorders>
              <w:top w:val="single" w:color="auto" w:sz="6" w:space="0"/>
              <w:left w:val="nil"/>
              <w:bottom w:val="single" w:color="auto" w:sz="6" w:space="0"/>
              <w:right w:val="single" w:color="auto" w:sz="6" w:space="0"/>
            </w:tcBorders>
            <w:noWrap w:val="0"/>
            <w:vAlign w:val="center"/>
          </w:tcPr>
          <w:p>
            <w:pPr>
              <w:jc w:val="center"/>
              <w:rPr>
                <w:rFonts w:hint="default" w:hAnsi="宋体" w:cs="宋体"/>
                <w:bCs/>
                <w:color w:val="auto"/>
                <w:sz w:val="24"/>
                <w:szCs w:val="24"/>
                <w:highlight w:val="none"/>
                <w:lang w:val="en-US" w:eastAsia="zh-CN"/>
              </w:rPr>
            </w:pPr>
            <w:r>
              <w:rPr>
                <w:rFonts w:hint="eastAsia" w:hAnsi="宋体" w:cs="宋体"/>
                <w:bCs/>
                <w:color w:val="auto"/>
                <w:sz w:val="24"/>
                <w:szCs w:val="24"/>
                <w:highlight w:val="none"/>
                <w:lang w:val="en-US" w:eastAsia="zh-CN"/>
              </w:rPr>
              <w:t>1</w:t>
            </w:r>
          </w:p>
        </w:tc>
        <w:tc>
          <w:tcPr>
            <w:tcW w:w="563" w:type="dxa"/>
            <w:tcBorders>
              <w:top w:val="single" w:color="auto" w:sz="6" w:space="0"/>
              <w:left w:val="nil"/>
              <w:bottom w:val="single" w:color="auto" w:sz="6" w:space="0"/>
              <w:right w:val="single" w:color="auto" w:sz="6" w:space="0"/>
            </w:tcBorders>
            <w:noWrap w:val="0"/>
            <w:vAlign w:val="center"/>
          </w:tcPr>
          <w:p>
            <w:pPr>
              <w:jc w:val="center"/>
              <w:rPr>
                <w:rFonts w:hint="eastAsia"/>
                <w:lang w:eastAsia="zh-CN"/>
              </w:rPr>
            </w:pPr>
            <w:r>
              <w:rPr>
                <w:rFonts w:hint="eastAsia"/>
                <w:lang w:eastAsia="zh-CN"/>
              </w:rPr>
              <w:t>套</w:t>
            </w:r>
          </w:p>
        </w:tc>
      </w:tr>
      <w:tr>
        <w:tblPrEx>
          <w:tblCellMar>
            <w:top w:w="0" w:type="dxa"/>
            <w:left w:w="108" w:type="dxa"/>
            <w:bottom w:w="0" w:type="dxa"/>
            <w:right w:w="108" w:type="dxa"/>
          </w:tblCellMar>
        </w:tblPrEx>
        <w:trPr>
          <w:trHeight w:val="1573" w:hRule="atLeast"/>
        </w:trPr>
        <w:tc>
          <w:tcPr>
            <w:tcW w:w="7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16</w:t>
            </w:r>
          </w:p>
        </w:tc>
        <w:tc>
          <w:tcPr>
            <w:tcW w:w="795"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智能管理调度</w:t>
            </w:r>
          </w:p>
        </w:tc>
        <w:tc>
          <w:tcPr>
            <w:tcW w:w="6985"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提供计算资源、存储资源、算法资源的统一接入管理与调度能力，支持可视化的任务创建，前后端计算资源统一调度和自动化调度适配，通过标准化开放接口，赋能AI能力；提供资源、任务运行监控能力，通过人员聚类、任务调度策略，有效提升人员聚类精准度。</w:t>
            </w:r>
          </w:p>
        </w:tc>
        <w:tc>
          <w:tcPr>
            <w:tcW w:w="618" w:type="dxa"/>
            <w:tcBorders>
              <w:top w:val="single" w:color="auto" w:sz="6" w:space="0"/>
              <w:left w:val="nil"/>
              <w:bottom w:val="single" w:color="auto" w:sz="6" w:space="0"/>
              <w:right w:val="single" w:color="auto" w:sz="6" w:space="0"/>
            </w:tcBorders>
            <w:noWrap w:val="0"/>
            <w:vAlign w:val="center"/>
          </w:tcPr>
          <w:p>
            <w:pPr>
              <w:jc w:val="center"/>
              <w:rPr>
                <w:rFonts w:hint="default" w:hAnsi="宋体" w:cs="宋体"/>
                <w:bCs/>
                <w:color w:val="auto"/>
                <w:sz w:val="24"/>
                <w:szCs w:val="24"/>
                <w:highlight w:val="none"/>
                <w:lang w:val="en-US" w:eastAsia="zh-CN"/>
              </w:rPr>
            </w:pPr>
            <w:r>
              <w:rPr>
                <w:rFonts w:hint="eastAsia" w:hAnsi="宋体" w:cs="宋体"/>
                <w:bCs/>
                <w:color w:val="auto"/>
                <w:sz w:val="24"/>
                <w:szCs w:val="24"/>
                <w:highlight w:val="none"/>
                <w:lang w:val="en-US" w:eastAsia="zh-CN"/>
              </w:rPr>
              <w:t>1</w:t>
            </w:r>
          </w:p>
        </w:tc>
        <w:tc>
          <w:tcPr>
            <w:tcW w:w="563" w:type="dxa"/>
            <w:tcBorders>
              <w:top w:val="single" w:color="auto" w:sz="6" w:space="0"/>
              <w:left w:val="nil"/>
              <w:bottom w:val="single" w:color="auto" w:sz="6" w:space="0"/>
              <w:right w:val="single" w:color="auto" w:sz="6" w:space="0"/>
            </w:tcBorders>
            <w:noWrap w:val="0"/>
            <w:vAlign w:val="center"/>
          </w:tcPr>
          <w:p>
            <w:pPr>
              <w:jc w:val="center"/>
              <w:rPr>
                <w:rFonts w:hint="eastAsia"/>
                <w:lang w:eastAsia="zh-CN"/>
              </w:rPr>
            </w:pPr>
            <w:r>
              <w:rPr>
                <w:rFonts w:hint="eastAsia"/>
                <w:lang w:eastAsia="zh-CN"/>
              </w:rPr>
              <w:t>套</w:t>
            </w:r>
          </w:p>
        </w:tc>
      </w:tr>
      <w:tr>
        <w:tblPrEx>
          <w:tblCellMar>
            <w:top w:w="0" w:type="dxa"/>
            <w:left w:w="108" w:type="dxa"/>
            <w:bottom w:w="0" w:type="dxa"/>
            <w:right w:w="108" w:type="dxa"/>
          </w:tblCellMar>
        </w:tblPrEx>
        <w:trPr>
          <w:trHeight w:val="799" w:hRule="atLeast"/>
        </w:trPr>
        <w:tc>
          <w:tcPr>
            <w:tcW w:w="9749" w:type="dxa"/>
            <w:gridSpan w:val="5"/>
            <w:tcBorders>
              <w:top w:val="single" w:color="auto" w:sz="6" w:space="0"/>
              <w:left w:val="single" w:color="auto" w:sz="6" w:space="0"/>
              <w:bottom w:val="single" w:color="auto" w:sz="6" w:space="0"/>
              <w:right w:val="single" w:color="auto" w:sz="6" w:space="0"/>
            </w:tcBorders>
            <w:noWrap w:val="0"/>
            <w:vAlign w:val="center"/>
          </w:tcPr>
          <w:p>
            <w:pPr>
              <w:tabs>
                <w:tab w:val="left" w:pos="3698"/>
              </w:tabs>
              <w:jc w:val="left"/>
              <w:rPr>
                <w:rFonts w:hint="eastAsia"/>
                <w:lang w:eastAsia="zh-CN"/>
              </w:rPr>
            </w:pPr>
            <w:r>
              <w:rPr>
                <w:rFonts w:hint="eastAsia"/>
                <w:lang w:eastAsia="zh-CN"/>
              </w:rPr>
              <w:tab/>
            </w:r>
            <w:r>
              <w:rPr>
                <w:rFonts w:hint="eastAsia"/>
                <w:lang w:eastAsia="zh-CN"/>
              </w:rPr>
              <w:t>二、视频智能应用终端</w:t>
            </w:r>
          </w:p>
        </w:tc>
      </w:tr>
      <w:tr>
        <w:tblPrEx>
          <w:tblCellMar>
            <w:top w:w="0" w:type="dxa"/>
            <w:left w:w="108" w:type="dxa"/>
            <w:bottom w:w="0" w:type="dxa"/>
            <w:right w:w="108" w:type="dxa"/>
          </w:tblCellMar>
        </w:tblPrEx>
        <w:trPr>
          <w:trHeight w:val="2478" w:hRule="atLeast"/>
        </w:trPr>
        <w:tc>
          <w:tcPr>
            <w:tcW w:w="7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1</w:t>
            </w:r>
          </w:p>
        </w:tc>
        <w:tc>
          <w:tcPr>
            <w:tcW w:w="795"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视频工作站</w:t>
            </w:r>
          </w:p>
        </w:tc>
        <w:tc>
          <w:tcPr>
            <w:tcW w:w="6985"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CPU：i7 12700；</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内存：≥16GB；</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硬盘：≥512GB SATA SSD ，≥1TB SATA HDD；</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显示器：≥27英寸；</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显卡：RTX 3060，≥12G独显；</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操作系统：Windows 10，需含授权；</w:t>
            </w:r>
          </w:p>
        </w:tc>
        <w:tc>
          <w:tcPr>
            <w:tcW w:w="618" w:type="dxa"/>
            <w:tcBorders>
              <w:top w:val="single" w:color="auto" w:sz="6" w:space="0"/>
              <w:left w:val="nil"/>
              <w:bottom w:val="single" w:color="auto" w:sz="6" w:space="0"/>
              <w:right w:val="single" w:color="auto" w:sz="6" w:space="0"/>
            </w:tcBorders>
            <w:noWrap w:val="0"/>
            <w:vAlign w:val="center"/>
          </w:tcPr>
          <w:p>
            <w:pPr>
              <w:jc w:val="center"/>
              <w:rPr>
                <w:rFonts w:hint="default" w:hAnsi="宋体" w:cs="宋体"/>
                <w:bCs/>
                <w:color w:val="auto"/>
                <w:sz w:val="24"/>
                <w:szCs w:val="24"/>
                <w:highlight w:val="none"/>
                <w:lang w:val="en-US" w:eastAsia="zh-CN"/>
              </w:rPr>
            </w:pPr>
            <w:r>
              <w:rPr>
                <w:rFonts w:hint="eastAsia" w:hAnsi="宋体" w:cs="宋体"/>
                <w:bCs/>
                <w:color w:val="auto"/>
                <w:sz w:val="24"/>
                <w:szCs w:val="24"/>
                <w:highlight w:val="none"/>
                <w:lang w:val="en-US" w:eastAsia="zh-CN"/>
              </w:rPr>
              <w:t>2</w:t>
            </w:r>
          </w:p>
        </w:tc>
        <w:tc>
          <w:tcPr>
            <w:tcW w:w="563" w:type="dxa"/>
            <w:tcBorders>
              <w:top w:val="single" w:color="auto" w:sz="6" w:space="0"/>
              <w:left w:val="nil"/>
              <w:bottom w:val="single" w:color="auto" w:sz="6" w:space="0"/>
              <w:right w:val="single" w:color="auto" w:sz="6" w:space="0"/>
            </w:tcBorders>
            <w:noWrap w:val="0"/>
            <w:vAlign w:val="center"/>
          </w:tcPr>
          <w:p>
            <w:pPr>
              <w:jc w:val="center"/>
              <w:rPr>
                <w:rFonts w:hint="eastAsia"/>
                <w:lang w:eastAsia="zh-CN"/>
              </w:rPr>
            </w:pPr>
            <w:r>
              <w:rPr>
                <w:rFonts w:hint="eastAsia"/>
                <w:lang w:eastAsia="zh-CN"/>
              </w:rPr>
              <w:t>台</w:t>
            </w:r>
          </w:p>
        </w:tc>
      </w:tr>
      <w:tr>
        <w:tblPrEx>
          <w:tblCellMar>
            <w:top w:w="0" w:type="dxa"/>
            <w:left w:w="108" w:type="dxa"/>
            <w:bottom w:w="0" w:type="dxa"/>
            <w:right w:w="108" w:type="dxa"/>
          </w:tblCellMar>
        </w:tblPrEx>
        <w:trPr>
          <w:trHeight w:val="2478" w:hRule="atLeast"/>
        </w:trPr>
        <w:tc>
          <w:tcPr>
            <w:tcW w:w="7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2</w:t>
            </w:r>
          </w:p>
        </w:tc>
        <w:tc>
          <w:tcPr>
            <w:tcW w:w="795"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移动视频工作站</w:t>
            </w:r>
          </w:p>
        </w:tc>
        <w:tc>
          <w:tcPr>
            <w:tcW w:w="6985"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CPU：i7-11800H；</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内存：≥32GB,DDR4,3200MHz；</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硬盘：≥512GB NVMe_SSD；</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显示器：≥15.6英寸；</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显卡：RTX 3060，≥6G独显；</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操作系统：Windows 10，需含授权；</w:t>
            </w:r>
          </w:p>
        </w:tc>
        <w:tc>
          <w:tcPr>
            <w:tcW w:w="618" w:type="dxa"/>
            <w:tcBorders>
              <w:top w:val="single" w:color="auto" w:sz="6" w:space="0"/>
              <w:left w:val="nil"/>
              <w:bottom w:val="single" w:color="auto" w:sz="6" w:space="0"/>
              <w:right w:val="single" w:color="auto" w:sz="6" w:space="0"/>
            </w:tcBorders>
            <w:noWrap w:val="0"/>
            <w:vAlign w:val="center"/>
          </w:tcPr>
          <w:p>
            <w:pPr>
              <w:jc w:val="center"/>
              <w:rPr>
                <w:rFonts w:hint="default" w:hAnsi="宋体" w:cs="宋体"/>
                <w:bCs/>
                <w:color w:val="auto"/>
                <w:sz w:val="24"/>
                <w:szCs w:val="24"/>
                <w:highlight w:val="none"/>
                <w:lang w:val="en-US" w:eastAsia="zh-CN"/>
              </w:rPr>
            </w:pPr>
            <w:r>
              <w:rPr>
                <w:rFonts w:hint="eastAsia" w:hAnsi="宋体" w:cs="宋体"/>
                <w:bCs/>
                <w:color w:val="auto"/>
                <w:sz w:val="24"/>
                <w:szCs w:val="24"/>
                <w:highlight w:val="none"/>
                <w:lang w:val="en-US" w:eastAsia="zh-CN"/>
              </w:rPr>
              <w:t>2</w:t>
            </w:r>
          </w:p>
        </w:tc>
        <w:tc>
          <w:tcPr>
            <w:tcW w:w="563" w:type="dxa"/>
            <w:tcBorders>
              <w:top w:val="single" w:color="auto" w:sz="6" w:space="0"/>
              <w:left w:val="nil"/>
              <w:bottom w:val="single" w:color="auto" w:sz="6" w:space="0"/>
              <w:right w:val="single" w:color="auto" w:sz="6" w:space="0"/>
            </w:tcBorders>
            <w:noWrap w:val="0"/>
            <w:vAlign w:val="center"/>
          </w:tcPr>
          <w:p>
            <w:pPr>
              <w:jc w:val="center"/>
              <w:rPr>
                <w:rFonts w:hint="eastAsia"/>
                <w:lang w:eastAsia="zh-CN"/>
              </w:rPr>
            </w:pPr>
            <w:r>
              <w:rPr>
                <w:rFonts w:hint="eastAsia"/>
                <w:lang w:eastAsia="zh-CN"/>
              </w:rPr>
              <w:t>台</w:t>
            </w:r>
          </w:p>
        </w:tc>
      </w:tr>
    </w:tbl>
    <w:p>
      <w:pPr>
        <w:pStyle w:val="2"/>
        <w:ind w:left="0" w:leftChars="0" w:firstLine="0" w:firstLineChars="0"/>
        <w:rPr>
          <w:rFonts w:hint="eastAsia"/>
        </w:rPr>
      </w:pPr>
    </w:p>
    <w:p>
      <w:pPr>
        <w:pStyle w:val="2"/>
        <w:rPr>
          <w:rFonts w:hint="eastAsia"/>
          <w:b/>
          <w:bCs/>
          <w:sz w:val="28"/>
          <w:szCs w:val="28"/>
        </w:rPr>
      </w:pPr>
      <w:r>
        <w:rPr>
          <w:rFonts w:hint="eastAsia"/>
          <w:b/>
          <w:bCs/>
          <w:sz w:val="28"/>
          <w:szCs w:val="28"/>
        </w:rPr>
        <w:t>综合运维管理系统</w:t>
      </w:r>
    </w:p>
    <w:tbl>
      <w:tblPr>
        <w:tblStyle w:val="24"/>
        <w:tblW w:w="9749" w:type="dxa"/>
        <w:tblInd w:w="-240" w:type="dxa"/>
        <w:tblLayout w:type="fixed"/>
        <w:tblCellMar>
          <w:top w:w="0" w:type="dxa"/>
          <w:left w:w="108" w:type="dxa"/>
          <w:bottom w:w="0" w:type="dxa"/>
          <w:right w:w="108" w:type="dxa"/>
        </w:tblCellMar>
      </w:tblPr>
      <w:tblGrid>
        <w:gridCol w:w="788"/>
        <w:gridCol w:w="795"/>
        <w:gridCol w:w="6985"/>
        <w:gridCol w:w="618"/>
        <w:gridCol w:w="563"/>
      </w:tblGrid>
      <w:tr>
        <w:tblPrEx>
          <w:tblCellMar>
            <w:top w:w="0" w:type="dxa"/>
            <w:left w:w="108" w:type="dxa"/>
            <w:bottom w:w="0" w:type="dxa"/>
            <w:right w:w="108" w:type="dxa"/>
          </w:tblCellMar>
        </w:tblPrEx>
        <w:trPr>
          <w:trHeight w:val="620" w:hRule="atLeast"/>
        </w:trPr>
        <w:tc>
          <w:tcPr>
            <w:tcW w:w="788"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lang w:bidi="ar"/>
              </w:rPr>
              <w:t>序号</w:t>
            </w:r>
          </w:p>
        </w:tc>
        <w:tc>
          <w:tcPr>
            <w:tcW w:w="795" w:type="dxa"/>
            <w:tcBorders>
              <w:top w:val="single" w:color="auto" w:sz="6" w:space="0"/>
              <w:left w:val="nil"/>
              <w:bottom w:val="single" w:color="auto" w:sz="6" w:space="0"/>
              <w:right w:val="single" w:color="auto" w:sz="6" w:space="0"/>
            </w:tcBorders>
            <w:shd w:val="clear" w:color="auto" w:fill="FFFFFF"/>
            <w:noWrap w:val="0"/>
            <w:vAlign w:val="center"/>
          </w:tcPr>
          <w:p>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lang w:bidi="ar"/>
              </w:rPr>
              <w:t>设备名称</w:t>
            </w:r>
          </w:p>
        </w:tc>
        <w:tc>
          <w:tcPr>
            <w:tcW w:w="6985" w:type="dxa"/>
            <w:tcBorders>
              <w:top w:val="single" w:color="auto" w:sz="6" w:space="0"/>
              <w:left w:val="nil"/>
              <w:bottom w:val="single" w:color="auto" w:sz="6" w:space="0"/>
              <w:right w:val="single" w:color="auto" w:sz="6" w:space="0"/>
            </w:tcBorders>
            <w:shd w:val="clear" w:color="auto" w:fill="FFFFFF"/>
            <w:noWrap w:val="0"/>
            <w:vAlign w:val="center"/>
          </w:tcPr>
          <w:p>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lang w:bidi="ar"/>
              </w:rPr>
              <w:t>技术参数</w:t>
            </w:r>
          </w:p>
        </w:tc>
        <w:tc>
          <w:tcPr>
            <w:tcW w:w="618" w:type="dxa"/>
            <w:tcBorders>
              <w:top w:val="single" w:color="auto" w:sz="6" w:space="0"/>
              <w:left w:val="nil"/>
              <w:bottom w:val="single" w:color="auto" w:sz="6" w:space="0"/>
              <w:right w:val="single" w:color="auto" w:sz="6" w:space="0"/>
            </w:tcBorders>
            <w:shd w:val="clear" w:color="auto" w:fill="FFFFFF"/>
            <w:noWrap w:val="0"/>
            <w:vAlign w:val="center"/>
          </w:tcPr>
          <w:p>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lang w:bidi="ar"/>
              </w:rPr>
              <w:t>数量</w:t>
            </w:r>
          </w:p>
        </w:tc>
        <w:tc>
          <w:tcPr>
            <w:tcW w:w="563" w:type="dxa"/>
            <w:tcBorders>
              <w:top w:val="single" w:color="auto" w:sz="6" w:space="0"/>
              <w:left w:val="nil"/>
              <w:bottom w:val="single" w:color="auto" w:sz="6" w:space="0"/>
              <w:right w:val="single" w:color="auto" w:sz="6" w:space="0"/>
            </w:tcBorders>
            <w:shd w:val="clear" w:color="auto" w:fill="FFFFFF"/>
            <w:noWrap w:val="0"/>
            <w:vAlign w:val="center"/>
          </w:tcPr>
          <w:p>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lang w:bidi="ar"/>
              </w:rPr>
              <w:t>单位</w:t>
            </w:r>
          </w:p>
        </w:tc>
      </w:tr>
      <w:tr>
        <w:tblPrEx>
          <w:tblCellMar>
            <w:top w:w="0" w:type="dxa"/>
            <w:left w:w="108" w:type="dxa"/>
            <w:bottom w:w="0" w:type="dxa"/>
            <w:right w:w="108" w:type="dxa"/>
          </w:tblCellMar>
        </w:tblPrEx>
        <w:trPr>
          <w:trHeight w:val="593" w:hRule="atLeast"/>
        </w:trPr>
        <w:tc>
          <w:tcPr>
            <w:tcW w:w="9749" w:type="dxa"/>
            <w:gridSpan w:val="5"/>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一、视频图像信息联网应用运维管理平台</w:t>
            </w:r>
          </w:p>
        </w:tc>
      </w:tr>
      <w:tr>
        <w:tblPrEx>
          <w:tblCellMar>
            <w:top w:w="0" w:type="dxa"/>
            <w:left w:w="108" w:type="dxa"/>
            <w:bottom w:w="0" w:type="dxa"/>
            <w:right w:w="108" w:type="dxa"/>
          </w:tblCellMar>
        </w:tblPrEx>
        <w:trPr>
          <w:trHeight w:val="795" w:hRule="atLeast"/>
        </w:trPr>
        <w:tc>
          <w:tcPr>
            <w:tcW w:w="7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1</w:t>
            </w:r>
          </w:p>
        </w:tc>
        <w:tc>
          <w:tcPr>
            <w:tcW w:w="795" w:type="dxa"/>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运维基础服务</w:t>
            </w:r>
          </w:p>
        </w:tc>
        <w:tc>
          <w:tcPr>
            <w:tcW w:w="6985" w:type="dxa"/>
            <w:tcBorders>
              <w:top w:val="single" w:color="auto" w:sz="6" w:space="0"/>
              <w:left w:val="nil"/>
              <w:bottom w:val="single" w:color="auto" w:sz="6" w:space="0"/>
              <w:right w:val="single" w:color="auto" w:sz="6" w:space="0"/>
            </w:tcBorders>
            <w:noWrap w:val="0"/>
            <w:vAlign w:val="top"/>
          </w:tcPr>
          <w:p>
            <w:pPr>
              <w:keepNext w:val="0"/>
              <w:keepLines w:val="0"/>
              <w:widowControl/>
              <w:suppressLineNumbers w:val="0"/>
              <w:jc w:val="left"/>
              <w:textAlignment w:val="top"/>
              <w:rPr>
                <w:rFonts w:hint="default" w:ascii="宋体" w:hAnsi="宋体" w:cs="宋体"/>
                <w:bCs/>
                <w:color w:val="auto"/>
                <w:sz w:val="24"/>
                <w:szCs w:val="24"/>
                <w:highlight w:val="none"/>
                <w:lang w:val="en-US"/>
              </w:rPr>
            </w:pPr>
            <w:r>
              <w:rPr>
                <w:rFonts w:hint="eastAsia" w:ascii="宋体" w:hAnsi="宋体" w:eastAsia="宋体" w:cs="宋体"/>
                <w:i w:val="0"/>
                <w:iCs w:val="0"/>
                <w:color w:val="000000"/>
                <w:kern w:val="0"/>
                <w:sz w:val="24"/>
                <w:szCs w:val="24"/>
                <w:u w:val="none"/>
                <w:lang w:val="en-US" w:eastAsia="zh-CN" w:bidi="ar"/>
              </w:rPr>
              <w:t>支持视频设备、it设备、存储设备、编解码设备、一卡通设备等资源运行状态结果展现和基础配置功能；支持各类型设备告警阈值配置和告警情况的统一展现功能；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支持通过统一运维一键式部署整个云存储系统，一键升级、格式化系统；支持设备自动发现，支持无需登录设备，即可远程配置IP地址；支持单服务、服务集群一键升级，支持升级包的hash签名加密认证；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系统应支持从巡查计划名称、巡检计划执行时间、当前状态、巡检检查项、已完成情况、已耗时情况、资源明细项几方面展现系统内巡检计划的执行情况；</w:t>
            </w:r>
          </w:p>
        </w:tc>
        <w:tc>
          <w:tcPr>
            <w:tcW w:w="618" w:type="dxa"/>
            <w:vMerge w:val="restart"/>
            <w:tcBorders>
              <w:top w:val="single" w:color="auto" w:sz="6" w:space="0"/>
              <w:left w:val="nil"/>
              <w:right w:val="single" w:color="auto" w:sz="6" w:space="0"/>
            </w:tcBorders>
            <w:noWrap w:val="0"/>
            <w:vAlign w:val="center"/>
          </w:tcPr>
          <w:p>
            <w:pPr>
              <w:jc w:val="center"/>
              <w:rPr>
                <w:rFonts w:hint="default" w:ascii="宋体" w:hAnsi="宋体" w:eastAsia="宋体" w:cs="宋体"/>
                <w:bCs/>
                <w:color w:val="auto"/>
                <w:sz w:val="24"/>
                <w:szCs w:val="24"/>
                <w:highlight w:val="none"/>
                <w:lang w:val="en-US" w:eastAsia="zh-CN"/>
              </w:rPr>
            </w:pPr>
            <w:r>
              <w:rPr>
                <w:rFonts w:hint="eastAsia" w:hAnsi="宋体" w:cs="宋体"/>
                <w:bCs/>
                <w:color w:val="auto"/>
                <w:sz w:val="24"/>
                <w:szCs w:val="24"/>
                <w:highlight w:val="none"/>
                <w:lang w:val="en-US" w:eastAsia="zh-CN"/>
              </w:rPr>
              <w:t>1</w:t>
            </w:r>
          </w:p>
        </w:tc>
        <w:tc>
          <w:tcPr>
            <w:tcW w:w="563" w:type="dxa"/>
            <w:vMerge w:val="restart"/>
            <w:tcBorders>
              <w:top w:val="single" w:color="auto" w:sz="6" w:space="0"/>
              <w:left w:val="nil"/>
              <w:right w:val="single" w:color="auto" w:sz="6" w:space="0"/>
            </w:tcBorders>
            <w:noWrap w:val="0"/>
            <w:vAlign w:val="center"/>
          </w:tcPr>
          <w:p>
            <w:pPr>
              <w:jc w:val="center"/>
              <w:rPr>
                <w:rFonts w:hint="default" w:ascii="宋体" w:hAnsi="宋体" w:eastAsia="宋体" w:cs="宋体"/>
                <w:bCs/>
                <w:color w:val="auto"/>
                <w:sz w:val="24"/>
                <w:szCs w:val="24"/>
                <w:highlight w:val="none"/>
                <w:lang w:val="en-US" w:eastAsia="zh-CN"/>
              </w:rPr>
            </w:pPr>
            <w:r>
              <w:rPr>
                <w:rFonts w:hint="eastAsia" w:hAnsi="宋体" w:cs="宋体"/>
                <w:bCs/>
                <w:color w:val="auto"/>
                <w:sz w:val="24"/>
                <w:szCs w:val="24"/>
                <w:highlight w:val="none"/>
                <w:lang w:val="en-US" w:eastAsia="zh-CN"/>
              </w:rPr>
              <w:t>套</w:t>
            </w:r>
          </w:p>
        </w:tc>
      </w:tr>
      <w:tr>
        <w:tblPrEx>
          <w:tblCellMar>
            <w:top w:w="0" w:type="dxa"/>
            <w:left w:w="108" w:type="dxa"/>
            <w:bottom w:w="0" w:type="dxa"/>
            <w:right w:w="108" w:type="dxa"/>
          </w:tblCellMar>
        </w:tblPrEx>
        <w:trPr>
          <w:trHeight w:val="1391" w:hRule="atLeast"/>
        </w:trPr>
        <w:tc>
          <w:tcPr>
            <w:tcW w:w="7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2</w:t>
            </w:r>
          </w:p>
        </w:tc>
        <w:tc>
          <w:tcPr>
            <w:tcW w:w="795" w:type="dxa"/>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hAnsi="宋体" w:cs="宋体"/>
                <w:bCs/>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智能设备运维</w:t>
            </w:r>
          </w:p>
        </w:tc>
        <w:tc>
          <w:tcPr>
            <w:tcW w:w="6985" w:type="dxa"/>
            <w:tcBorders>
              <w:top w:val="single" w:color="auto" w:sz="6" w:space="0"/>
              <w:left w:val="nil"/>
              <w:bottom w:val="single" w:color="auto" w:sz="6" w:space="0"/>
              <w:right w:val="single" w:color="auto" w:sz="6" w:space="0"/>
            </w:tcBorders>
            <w:noWrap w:val="0"/>
            <w:vAlign w:val="top"/>
          </w:tcPr>
          <w:p>
            <w:pPr>
              <w:keepNext w:val="0"/>
              <w:keepLines w:val="0"/>
              <w:widowControl/>
              <w:suppressLineNumbers w:val="0"/>
              <w:jc w:val="left"/>
              <w:textAlignment w:val="top"/>
              <w:rPr>
                <w:rFonts w:hint="default" w:ascii="宋体" w:hAnsi="宋体" w:cs="宋体"/>
                <w:bCs/>
                <w:color w:val="auto"/>
                <w:sz w:val="24"/>
                <w:szCs w:val="24"/>
                <w:highlight w:val="none"/>
                <w:lang w:val="en-US"/>
              </w:rPr>
            </w:pPr>
            <w:r>
              <w:rPr>
                <w:rFonts w:hint="eastAsia" w:ascii="宋体" w:hAnsi="宋体" w:eastAsia="宋体" w:cs="宋体"/>
                <w:i w:val="0"/>
                <w:iCs w:val="0"/>
                <w:color w:val="000000"/>
                <w:kern w:val="0"/>
                <w:sz w:val="24"/>
                <w:szCs w:val="24"/>
                <w:u w:val="none"/>
                <w:lang w:val="en-US" w:eastAsia="zh-CN" w:bidi="ar"/>
              </w:rPr>
              <w:t>平台支持≥50智能设备运维；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支持云分析设备、大数据设备的运行状态统一采集，包括在线状态、集群运行情况、各模块运行情况等。</w:t>
            </w:r>
          </w:p>
        </w:tc>
        <w:tc>
          <w:tcPr>
            <w:tcW w:w="618" w:type="dxa"/>
            <w:vMerge w:val="continue"/>
            <w:tcBorders>
              <w:left w:val="nil"/>
              <w:right w:val="single" w:color="auto" w:sz="6" w:space="0"/>
            </w:tcBorders>
            <w:noWrap w:val="0"/>
            <w:vAlign w:val="center"/>
          </w:tcPr>
          <w:p>
            <w:pPr>
              <w:jc w:val="center"/>
              <w:rPr>
                <w:rFonts w:hint="default" w:ascii="宋体" w:hAnsi="宋体" w:eastAsia="宋体" w:cs="宋体"/>
                <w:bCs/>
                <w:color w:val="auto"/>
                <w:sz w:val="24"/>
                <w:szCs w:val="24"/>
                <w:highlight w:val="none"/>
                <w:lang w:val="en-US" w:eastAsia="zh-CN"/>
              </w:rPr>
            </w:pPr>
          </w:p>
        </w:tc>
        <w:tc>
          <w:tcPr>
            <w:tcW w:w="563" w:type="dxa"/>
            <w:vMerge w:val="continue"/>
            <w:tcBorders>
              <w:left w:val="nil"/>
              <w:right w:val="single" w:color="auto" w:sz="6" w:space="0"/>
            </w:tcBorders>
            <w:noWrap w:val="0"/>
            <w:vAlign w:val="center"/>
          </w:tcPr>
          <w:p>
            <w:pPr>
              <w:jc w:val="center"/>
              <w:rPr>
                <w:rFonts w:hint="default" w:ascii="宋体" w:hAnsi="宋体" w:eastAsia="宋体" w:cs="宋体"/>
                <w:bCs/>
                <w:color w:val="auto"/>
                <w:sz w:val="24"/>
                <w:szCs w:val="24"/>
                <w:highlight w:val="none"/>
                <w:lang w:val="en-US" w:eastAsia="zh-CN"/>
              </w:rPr>
            </w:pPr>
          </w:p>
        </w:tc>
      </w:tr>
      <w:tr>
        <w:tblPrEx>
          <w:tblCellMar>
            <w:top w:w="0" w:type="dxa"/>
            <w:left w:w="108" w:type="dxa"/>
            <w:bottom w:w="0" w:type="dxa"/>
            <w:right w:w="108" w:type="dxa"/>
          </w:tblCellMar>
        </w:tblPrEx>
        <w:trPr>
          <w:trHeight w:val="1391" w:hRule="atLeast"/>
        </w:trPr>
        <w:tc>
          <w:tcPr>
            <w:tcW w:w="7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3</w:t>
            </w:r>
          </w:p>
        </w:tc>
        <w:tc>
          <w:tcPr>
            <w:tcW w:w="795" w:type="dxa"/>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hAnsi="宋体" w:cs="宋体"/>
                <w:bCs/>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IT设备运维</w:t>
            </w:r>
          </w:p>
        </w:tc>
        <w:tc>
          <w:tcPr>
            <w:tcW w:w="6985" w:type="dxa"/>
            <w:tcBorders>
              <w:top w:val="single" w:color="auto" w:sz="6" w:space="0"/>
              <w:left w:val="nil"/>
              <w:bottom w:val="single" w:color="auto" w:sz="6" w:space="0"/>
              <w:right w:val="single" w:color="auto" w:sz="6" w:space="0"/>
            </w:tcBorders>
            <w:noWrap w:val="0"/>
            <w:vAlign w:val="top"/>
          </w:tcPr>
          <w:p>
            <w:pPr>
              <w:keepNext w:val="0"/>
              <w:keepLines w:val="0"/>
              <w:widowControl/>
              <w:suppressLineNumbers w:val="0"/>
              <w:jc w:val="left"/>
              <w:textAlignment w:val="top"/>
              <w:rPr>
                <w:rFonts w:hint="default" w:ascii="宋体" w:hAnsi="宋体" w:cs="宋体"/>
                <w:bCs/>
                <w:color w:val="auto"/>
                <w:sz w:val="24"/>
                <w:szCs w:val="24"/>
                <w:highlight w:val="none"/>
                <w:lang w:val="en-US"/>
              </w:rPr>
            </w:pPr>
            <w:r>
              <w:rPr>
                <w:rFonts w:hint="eastAsia" w:ascii="宋体" w:hAnsi="宋体" w:eastAsia="宋体" w:cs="宋体"/>
                <w:i w:val="0"/>
                <w:iCs w:val="0"/>
                <w:color w:val="000000"/>
                <w:kern w:val="0"/>
                <w:sz w:val="24"/>
                <w:szCs w:val="24"/>
                <w:u w:val="none"/>
                <w:lang w:val="en-US" w:eastAsia="zh-CN" w:bidi="ar"/>
              </w:rPr>
              <w:t>平台支持≥100智能设备运维；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支持网络交换机、服务器等通用IT设备运行情况的采集功能，采集内容包括：CPU、内存、磁盘、进程、上下行流量带宽占比等；</w:t>
            </w:r>
          </w:p>
        </w:tc>
        <w:tc>
          <w:tcPr>
            <w:tcW w:w="618" w:type="dxa"/>
            <w:vMerge w:val="continue"/>
            <w:tcBorders>
              <w:left w:val="nil"/>
              <w:right w:val="single" w:color="auto" w:sz="6" w:space="0"/>
            </w:tcBorders>
            <w:noWrap w:val="0"/>
            <w:vAlign w:val="center"/>
          </w:tcPr>
          <w:p>
            <w:pPr>
              <w:jc w:val="center"/>
              <w:rPr>
                <w:rFonts w:hint="default" w:ascii="宋体" w:hAnsi="宋体" w:eastAsia="宋体" w:cs="宋体"/>
                <w:bCs/>
                <w:color w:val="auto"/>
                <w:sz w:val="24"/>
                <w:szCs w:val="24"/>
                <w:highlight w:val="none"/>
                <w:lang w:val="en-US" w:eastAsia="zh-CN"/>
              </w:rPr>
            </w:pPr>
          </w:p>
        </w:tc>
        <w:tc>
          <w:tcPr>
            <w:tcW w:w="563" w:type="dxa"/>
            <w:vMerge w:val="continue"/>
            <w:tcBorders>
              <w:left w:val="nil"/>
              <w:right w:val="single" w:color="auto" w:sz="6" w:space="0"/>
            </w:tcBorders>
            <w:noWrap w:val="0"/>
            <w:vAlign w:val="center"/>
          </w:tcPr>
          <w:p>
            <w:pPr>
              <w:jc w:val="center"/>
              <w:rPr>
                <w:rFonts w:hint="default" w:ascii="宋体" w:hAnsi="宋体" w:eastAsia="宋体" w:cs="宋体"/>
                <w:bCs/>
                <w:color w:val="auto"/>
                <w:sz w:val="24"/>
                <w:szCs w:val="24"/>
                <w:highlight w:val="none"/>
                <w:lang w:val="en-US" w:eastAsia="zh-CN"/>
              </w:rPr>
            </w:pPr>
          </w:p>
        </w:tc>
      </w:tr>
      <w:tr>
        <w:tblPrEx>
          <w:tblCellMar>
            <w:top w:w="0" w:type="dxa"/>
            <w:left w:w="108" w:type="dxa"/>
            <w:bottom w:w="0" w:type="dxa"/>
            <w:right w:w="108" w:type="dxa"/>
          </w:tblCellMar>
        </w:tblPrEx>
        <w:trPr>
          <w:trHeight w:val="1391" w:hRule="atLeast"/>
        </w:trPr>
        <w:tc>
          <w:tcPr>
            <w:tcW w:w="7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4</w:t>
            </w:r>
          </w:p>
        </w:tc>
        <w:tc>
          <w:tcPr>
            <w:tcW w:w="795" w:type="dxa"/>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hAnsi="宋体" w:cs="宋体"/>
                <w:bCs/>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视频质量诊断</w:t>
            </w:r>
          </w:p>
        </w:tc>
        <w:tc>
          <w:tcPr>
            <w:tcW w:w="6985" w:type="dxa"/>
            <w:tcBorders>
              <w:top w:val="single" w:color="auto" w:sz="6" w:space="0"/>
              <w:left w:val="nil"/>
              <w:bottom w:val="single" w:color="auto" w:sz="6" w:space="0"/>
              <w:right w:val="single" w:color="auto" w:sz="6" w:space="0"/>
            </w:tcBorders>
            <w:noWrap w:val="0"/>
            <w:vAlign w:val="top"/>
          </w:tcPr>
          <w:p>
            <w:pPr>
              <w:keepNext w:val="0"/>
              <w:keepLines w:val="0"/>
              <w:widowControl/>
              <w:suppressLineNumbers w:val="0"/>
              <w:jc w:val="left"/>
              <w:textAlignment w:val="top"/>
              <w:rPr>
                <w:rFonts w:hint="default" w:ascii="宋体" w:hAnsi="宋体" w:cs="宋体"/>
                <w:bCs/>
                <w:color w:val="auto"/>
                <w:sz w:val="24"/>
                <w:szCs w:val="24"/>
                <w:highlight w:val="none"/>
                <w:lang w:val="en-US"/>
              </w:rPr>
            </w:pPr>
            <w:r>
              <w:rPr>
                <w:rFonts w:hint="eastAsia" w:ascii="宋体" w:hAnsi="宋体" w:eastAsia="宋体" w:cs="宋体"/>
                <w:i w:val="0"/>
                <w:iCs w:val="0"/>
                <w:color w:val="000000"/>
                <w:kern w:val="0"/>
                <w:sz w:val="24"/>
                <w:szCs w:val="24"/>
                <w:u w:val="none"/>
                <w:lang w:val="en-US" w:eastAsia="zh-CN" w:bidi="ar"/>
              </w:rPr>
              <w:t>平台支持≥10000路视频质量诊断；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支持常见摄像机故障的分析、判断和报警功能，检测内容包括信号丢失、图像模糊、对比度、图像过亮、图像偏色、噪声干扰、条纹干扰、视频抖动、视频遮挡等14种常见摄像机故障；支持诊断结果统计；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按照诊断项目(取流失败、解码失败、登录失败、视频信号丢失、视频图像模糊、噪声干扰、黑白图像、条纹干扰、图像偏色、视频剧变、场景变更、视频抖动、视频遮挡、对比度异常、亮度异常、图像过暗)进行监控点图像检测并可查看诊断图片；能够提供对码流时延（关键帧时延、视频流时延、信令时延）检测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支持H.265、H.264等不同编码格式的视频诊断；</w:t>
            </w:r>
          </w:p>
        </w:tc>
        <w:tc>
          <w:tcPr>
            <w:tcW w:w="618" w:type="dxa"/>
            <w:vMerge w:val="continue"/>
            <w:tcBorders>
              <w:left w:val="nil"/>
              <w:right w:val="single" w:color="auto" w:sz="6" w:space="0"/>
            </w:tcBorders>
            <w:noWrap w:val="0"/>
            <w:vAlign w:val="center"/>
          </w:tcPr>
          <w:p>
            <w:pPr>
              <w:jc w:val="center"/>
              <w:rPr>
                <w:rFonts w:hint="default" w:ascii="宋体" w:hAnsi="宋体" w:eastAsia="宋体" w:cs="宋体"/>
                <w:bCs/>
                <w:color w:val="auto"/>
                <w:sz w:val="24"/>
                <w:szCs w:val="24"/>
                <w:highlight w:val="none"/>
                <w:lang w:val="en-US" w:eastAsia="zh-CN"/>
              </w:rPr>
            </w:pPr>
          </w:p>
        </w:tc>
        <w:tc>
          <w:tcPr>
            <w:tcW w:w="563" w:type="dxa"/>
            <w:vMerge w:val="continue"/>
            <w:tcBorders>
              <w:left w:val="nil"/>
              <w:right w:val="single" w:color="auto" w:sz="6" w:space="0"/>
            </w:tcBorders>
            <w:noWrap w:val="0"/>
            <w:vAlign w:val="center"/>
          </w:tcPr>
          <w:p>
            <w:pPr>
              <w:jc w:val="center"/>
              <w:rPr>
                <w:rFonts w:hint="default" w:ascii="宋体" w:hAnsi="宋体" w:eastAsia="宋体" w:cs="宋体"/>
                <w:bCs/>
                <w:color w:val="auto"/>
                <w:sz w:val="24"/>
                <w:szCs w:val="24"/>
                <w:highlight w:val="none"/>
                <w:lang w:val="en-US" w:eastAsia="zh-CN"/>
              </w:rPr>
            </w:pPr>
          </w:p>
        </w:tc>
      </w:tr>
      <w:tr>
        <w:tblPrEx>
          <w:tblCellMar>
            <w:top w:w="0" w:type="dxa"/>
            <w:left w:w="108" w:type="dxa"/>
            <w:bottom w:w="0" w:type="dxa"/>
            <w:right w:w="108" w:type="dxa"/>
          </w:tblCellMar>
        </w:tblPrEx>
        <w:trPr>
          <w:trHeight w:val="1391" w:hRule="atLeast"/>
        </w:trPr>
        <w:tc>
          <w:tcPr>
            <w:tcW w:w="7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5</w:t>
            </w:r>
          </w:p>
        </w:tc>
        <w:tc>
          <w:tcPr>
            <w:tcW w:w="795" w:type="dxa"/>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hAnsi="宋体" w:cs="宋体"/>
                <w:bCs/>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视频设备运维</w:t>
            </w:r>
          </w:p>
        </w:tc>
        <w:tc>
          <w:tcPr>
            <w:tcW w:w="6985" w:type="dxa"/>
            <w:tcBorders>
              <w:top w:val="single" w:color="auto" w:sz="6" w:space="0"/>
              <w:left w:val="nil"/>
              <w:bottom w:val="single" w:color="auto" w:sz="6" w:space="0"/>
              <w:right w:val="single" w:color="auto" w:sz="6" w:space="0"/>
            </w:tcBorders>
            <w:noWrap w:val="0"/>
            <w:vAlign w:val="top"/>
          </w:tcPr>
          <w:p>
            <w:pPr>
              <w:keepNext w:val="0"/>
              <w:keepLines w:val="0"/>
              <w:widowControl/>
              <w:suppressLineNumbers w:val="0"/>
              <w:jc w:val="left"/>
              <w:textAlignment w:val="top"/>
              <w:rPr>
                <w:rFonts w:hint="default" w:ascii="宋体" w:hAnsi="宋体" w:cs="宋体"/>
                <w:bCs/>
                <w:color w:val="auto"/>
                <w:sz w:val="24"/>
                <w:szCs w:val="24"/>
                <w:highlight w:val="none"/>
                <w:lang w:val="en-US"/>
              </w:rPr>
            </w:pPr>
            <w:r>
              <w:rPr>
                <w:rFonts w:hint="eastAsia" w:ascii="宋体" w:hAnsi="宋体" w:eastAsia="宋体" w:cs="宋体"/>
                <w:i w:val="0"/>
                <w:iCs w:val="0"/>
                <w:color w:val="000000"/>
                <w:kern w:val="0"/>
                <w:sz w:val="24"/>
                <w:szCs w:val="24"/>
                <w:u w:val="none"/>
                <w:lang w:val="en-US" w:eastAsia="zh-CN" w:bidi="ar"/>
              </w:rPr>
              <w:t>平台支持≥1000路视频设备运维；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支持监控摄像机、编码设备、存储设备等物联设备运行状态的采集功能，采集指标项包括但不限于在线状态、录像情况、设备运行信息；支持设备使用情况、设备故障情况统计</w:t>
            </w:r>
          </w:p>
        </w:tc>
        <w:tc>
          <w:tcPr>
            <w:tcW w:w="618" w:type="dxa"/>
            <w:vMerge w:val="continue"/>
            <w:tcBorders>
              <w:left w:val="nil"/>
              <w:right w:val="single" w:color="auto" w:sz="6" w:space="0"/>
            </w:tcBorders>
            <w:noWrap w:val="0"/>
            <w:vAlign w:val="center"/>
          </w:tcPr>
          <w:p>
            <w:pPr>
              <w:jc w:val="center"/>
              <w:rPr>
                <w:rFonts w:hint="default" w:ascii="宋体" w:hAnsi="宋体" w:eastAsia="宋体" w:cs="宋体"/>
                <w:bCs/>
                <w:color w:val="auto"/>
                <w:sz w:val="24"/>
                <w:szCs w:val="24"/>
                <w:highlight w:val="none"/>
                <w:lang w:val="en-US" w:eastAsia="zh-CN"/>
              </w:rPr>
            </w:pPr>
          </w:p>
        </w:tc>
        <w:tc>
          <w:tcPr>
            <w:tcW w:w="563" w:type="dxa"/>
            <w:vMerge w:val="continue"/>
            <w:tcBorders>
              <w:left w:val="nil"/>
              <w:right w:val="single" w:color="auto" w:sz="6" w:space="0"/>
            </w:tcBorders>
            <w:noWrap w:val="0"/>
            <w:vAlign w:val="center"/>
          </w:tcPr>
          <w:p>
            <w:pPr>
              <w:jc w:val="center"/>
              <w:rPr>
                <w:rFonts w:hint="default" w:ascii="宋体" w:hAnsi="宋体" w:eastAsia="宋体" w:cs="宋体"/>
                <w:bCs/>
                <w:color w:val="auto"/>
                <w:sz w:val="24"/>
                <w:szCs w:val="24"/>
                <w:highlight w:val="none"/>
                <w:lang w:val="en-US" w:eastAsia="zh-CN"/>
              </w:rPr>
            </w:pPr>
          </w:p>
        </w:tc>
      </w:tr>
      <w:tr>
        <w:tblPrEx>
          <w:tblCellMar>
            <w:top w:w="0" w:type="dxa"/>
            <w:left w:w="108" w:type="dxa"/>
            <w:bottom w:w="0" w:type="dxa"/>
            <w:right w:w="108" w:type="dxa"/>
          </w:tblCellMar>
        </w:tblPrEx>
        <w:trPr>
          <w:trHeight w:val="1069" w:hRule="atLeast"/>
        </w:trPr>
        <w:tc>
          <w:tcPr>
            <w:tcW w:w="7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6</w:t>
            </w:r>
          </w:p>
        </w:tc>
        <w:tc>
          <w:tcPr>
            <w:tcW w:w="795" w:type="dxa"/>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hAnsi="宋体" w:cs="宋体"/>
                <w:bCs/>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工单管理</w:t>
            </w:r>
          </w:p>
        </w:tc>
        <w:tc>
          <w:tcPr>
            <w:tcW w:w="6985" w:type="dxa"/>
            <w:tcBorders>
              <w:top w:val="single" w:color="auto" w:sz="6" w:space="0"/>
              <w:left w:val="nil"/>
              <w:bottom w:val="single" w:color="auto" w:sz="6" w:space="0"/>
              <w:right w:val="single" w:color="auto" w:sz="6" w:space="0"/>
            </w:tcBorders>
            <w:noWrap w:val="0"/>
            <w:vAlign w:val="top"/>
          </w:tcPr>
          <w:p>
            <w:pPr>
              <w:keepNext w:val="0"/>
              <w:keepLines w:val="0"/>
              <w:widowControl/>
              <w:suppressLineNumbers w:val="0"/>
              <w:jc w:val="left"/>
              <w:textAlignment w:val="top"/>
              <w:rPr>
                <w:rFonts w:hint="default" w:ascii="宋体" w:hAnsi="宋体" w:cs="宋体"/>
                <w:bCs/>
                <w:color w:val="auto"/>
                <w:sz w:val="24"/>
                <w:szCs w:val="24"/>
                <w:highlight w:val="none"/>
                <w:lang w:val="en-US"/>
              </w:rPr>
            </w:pPr>
            <w:r>
              <w:rPr>
                <w:rFonts w:hint="eastAsia" w:ascii="宋体" w:hAnsi="宋体" w:eastAsia="宋体" w:cs="宋体"/>
                <w:i w:val="0"/>
                <w:iCs w:val="0"/>
                <w:color w:val="000000"/>
                <w:kern w:val="0"/>
                <w:sz w:val="24"/>
                <w:szCs w:val="24"/>
                <w:u w:val="none"/>
                <w:lang w:val="en-US" w:eastAsia="zh-CN" w:bidi="ar"/>
              </w:rPr>
              <w:t>支持派单、催单、自动催办、跟踪、结单等功能；支持历史维修故障查询；提供日常巡检单配置、下发功能；支持能够通过静态地图展现人员和设备位置的功能；支持工单处理情况统计</w:t>
            </w:r>
          </w:p>
        </w:tc>
        <w:tc>
          <w:tcPr>
            <w:tcW w:w="618" w:type="dxa"/>
            <w:vMerge w:val="continue"/>
            <w:tcBorders>
              <w:left w:val="nil"/>
              <w:right w:val="single" w:color="auto" w:sz="6" w:space="0"/>
            </w:tcBorders>
            <w:noWrap w:val="0"/>
            <w:vAlign w:val="center"/>
          </w:tcPr>
          <w:p>
            <w:pPr>
              <w:jc w:val="center"/>
              <w:rPr>
                <w:rFonts w:hint="default" w:ascii="宋体" w:hAnsi="宋体" w:eastAsia="宋体" w:cs="宋体"/>
                <w:bCs/>
                <w:color w:val="auto"/>
                <w:sz w:val="24"/>
                <w:szCs w:val="24"/>
                <w:highlight w:val="none"/>
                <w:lang w:val="en-US" w:eastAsia="zh-CN"/>
              </w:rPr>
            </w:pPr>
          </w:p>
        </w:tc>
        <w:tc>
          <w:tcPr>
            <w:tcW w:w="563" w:type="dxa"/>
            <w:vMerge w:val="continue"/>
            <w:tcBorders>
              <w:left w:val="nil"/>
              <w:right w:val="single" w:color="auto" w:sz="6" w:space="0"/>
            </w:tcBorders>
            <w:noWrap w:val="0"/>
            <w:vAlign w:val="center"/>
          </w:tcPr>
          <w:p>
            <w:pPr>
              <w:jc w:val="center"/>
              <w:rPr>
                <w:rFonts w:hint="default" w:ascii="宋体" w:hAnsi="宋体" w:eastAsia="宋体" w:cs="宋体"/>
                <w:bCs/>
                <w:color w:val="auto"/>
                <w:sz w:val="24"/>
                <w:szCs w:val="24"/>
                <w:highlight w:val="none"/>
                <w:lang w:val="en-US" w:eastAsia="zh-CN"/>
              </w:rPr>
            </w:pPr>
          </w:p>
        </w:tc>
      </w:tr>
      <w:tr>
        <w:tblPrEx>
          <w:tblCellMar>
            <w:top w:w="0" w:type="dxa"/>
            <w:left w:w="108" w:type="dxa"/>
            <w:bottom w:w="0" w:type="dxa"/>
            <w:right w:w="108" w:type="dxa"/>
          </w:tblCellMar>
        </w:tblPrEx>
        <w:trPr>
          <w:trHeight w:val="1391" w:hRule="atLeast"/>
        </w:trPr>
        <w:tc>
          <w:tcPr>
            <w:tcW w:w="7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7</w:t>
            </w:r>
          </w:p>
        </w:tc>
        <w:tc>
          <w:tcPr>
            <w:tcW w:w="795" w:type="dxa"/>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hAnsi="宋体" w:cs="宋体"/>
                <w:bCs/>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资产库管理</w:t>
            </w:r>
          </w:p>
        </w:tc>
        <w:tc>
          <w:tcPr>
            <w:tcW w:w="6985" w:type="dxa"/>
            <w:tcBorders>
              <w:top w:val="single" w:color="auto" w:sz="6" w:space="0"/>
              <w:left w:val="nil"/>
              <w:bottom w:val="single" w:color="auto" w:sz="6" w:space="0"/>
              <w:right w:val="single" w:color="auto" w:sz="6" w:space="0"/>
            </w:tcBorders>
            <w:noWrap w:val="0"/>
            <w:vAlign w:val="top"/>
          </w:tcPr>
          <w:p>
            <w:pPr>
              <w:keepNext w:val="0"/>
              <w:keepLines w:val="0"/>
              <w:widowControl/>
              <w:suppressLineNumbers w:val="0"/>
              <w:jc w:val="left"/>
              <w:textAlignment w:val="top"/>
              <w:rPr>
                <w:rFonts w:hint="default" w:ascii="宋体" w:hAnsi="宋体" w:cs="宋体"/>
                <w:bCs/>
                <w:color w:val="auto"/>
                <w:sz w:val="24"/>
                <w:szCs w:val="24"/>
                <w:highlight w:val="none"/>
                <w:lang w:val="en-US"/>
              </w:rPr>
            </w:pPr>
            <w:r>
              <w:rPr>
                <w:rFonts w:hint="eastAsia" w:ascii="宋体" w:hAnsi="宋体" w:eastAsia="宋体" w:cs="宋体"/>
                <w:i w:val="0"/>
                <w:iCs w:val="0"/>
                <w:color w:val="000000"/>
                <w:kern w:val="0"/>
                <w:sz w:val="24"/>
                <w:szCs w:val="24"/>
                <w:u w:val="none"/>
                <w:lang w:val="en-US" w:eastAsia="zh-CN" w:bidi="ar"/>
              </w:rPr>
              <w:t>档案管理：支持已补全和待补全分类展示，待补全显示的是该用户需补全的点位，方便用户进行补全操作；支持手动增加点位档案，进行相关信息的补全，支持填入数据的实时校验；支持按行政区域、设备编码、设备名称、MAC地址等进行数据的查询；支持通过excel批量导入/导出数据；支持点位数据的批量提交审核和批量删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档案查询：支持按行政区域、设备编码、设备名称等对属性信息进行组合查询，并以列表形式返回查询结果，查询结果支持导出；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档案审核：对录入的资产提供审核功能，可打回或通过审核，打回时必须填写原因；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档案级联：支持按照公安部协议，对资产进行选择性推送；</w:t>
            </w:r>
          </w:p>
        </w:tc>
        <w:tc>
          <w:tcPr>
            <w:tcW w:w="618" w:type="dxa"/>
            <w:vMerge w:val="continue"/>
            <w:tcBorders>
              <w:left w:val="nil"/>
              <w:right w:val="single" w:color="auto" w:sz="6" w:space="0"/>
            </w:tcBorders>
            <w:noWrap w:val="0"/>
            <w:vAlign w:val="center"/>
          </w:tcPr>
          <w:p>
            <w:pPr>
              <w:jc w:val="center"/>
              <w:rPr>
                <w:rFonts w:hint="default" w:ascii="宋体" w:hAnsi="宋体" w:eastAsia="宋体" w:cs="宋体"/>
                <w:bCs/>
                <w:color w:val="auto"/>
                <w:sz w:val="24"/>
                <w:szCs w:val="24"/>
                <w:highlight w:val="none"/>
                <w:lang w:val="en-US" w:eastAsia="zh-CN"/>
              </w:rPr>
            </w:pPr>
          </w:p>
        </w:tc>
        <w:tc>
          <w:tcPr>
            <w:tcW w:w="563" w:type="dxa"/>
            <w:vMerge w:val="continue"/>
            <w:tcBorders>
              <w:left w:val="nil"/>
              <w:right w:val="single" w:color="auto" w:sz="6" w:space="0"/>
            </w:tcBorders>
            <w:noWrap w:val="0"/>
            <w:vAlign w:val="center"/>
          </w:tcPr>
          <w:p>
            <w:pPr>
              <w:jc w:val="center"/>
              <w:rPr>
                <w:rFonts w:hint="default" w:ascii="宋体" w:hAnsi="宋体" w:eastAsia="宋体" w:cs="宋体"/>
                <w:bCs/>
                <w:color w:val="auto"/>
                <w:sz w:val="24"/>
                <w:szCs w:val="24"/>
                <w:highlight w:val="none"/>
                <w:lang w:val="en-US" w:eastAsia="zh-CN"/>
              </w:rPr>
            </w:pPr>
          </w:p>
        </w:tc>
      </w:tr>
      <w:tr>
        <w:tblPrEx>
          <w:tblCellMar>
            <w:top w:w="0" w:type="dxa"/>
            <w:left w:w="108" w:type="dxa"/>
            <w:bottom w:w="0" w:type="dxa"/>
            <w:right w:w="108" w:type="dxa"/>
          </w:tblCellMar>
        </w:tblPrEx>
        <w:trPr>
          <w:trHeight w:val="941" w:hRule="atLeast"/>
        </w:trPr>
        <w:tc>
          <w:tcPr>
            <w:tcW w:w="7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8</w:t>
            </w:r>
          </w:p>
        </w:tc>
        <w:tc>
          <w:tcPr>
            <w:tcW w:w="795" w:type="dxa"/>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hAnsi="宋体" w:cs="宋体"/>
                <w:bCs/>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资产库监测</w:t>
            </w:r>
          </w:p>
        </w:tc>
        <w:tc>
          <w:tcPr>
            <w:tcW w:w="6985" w:type="dxa"/>
            <w:tcBorders>
              <w:top w:val="single" w:color="auto" w:sz="6" w:space="0"/>
              <w:left w:val="nil"/>
              <w:bottom w:val="single" w:color="auto" w:sz="6" w:space="0"/>
              <w:right w:val="single" w:color="auto" w:sz="6" w:space="0"/>
            </w:tcBorders>
            <w:noWrap w:val="0"/>
            <w:vAlign w:val="top"/>
          </w:tcPr>
          <w:p>
            <w:pPr>
              <w:keepNext w:val="0"/>
              <w:keepLines w:val="0"/>
              <w:widowControl/>
              <w:suppressLineNumbers w:val="0"/>
              <w:jc w:val="left"/>
              <w:textAlignment w:val="top"/>
              <w:rPr>
                <w:rFonts w:hint="default" w:ascii="宋体" w:hAnsi="宋体" w:cs="宋体"/>
                <w:bCs/>
                <w:color w:val="auto"/>
                <w:sz w:val="24"/>
                <w:szCs w:val="24"/>
                <w:highlight w:val="none"/>
                <w:lang w:val="en-US"/>
              </w:rPr>
            </w:pPr>
            <w:r>
              <w:rPr>
                <w:rFonts w:hint="eastAsia" w:ascii="宋体" w:hAnsi="宋体" w:eastAsia="宋体" w:cs="宋体"/>
                <w:i w:val="0"/>
                <w:iCs w:val="0"/>
                <w:color w:val="000000"/>
                <w:kern w:val="0"/>
                <w:sz w:val="24"/>
                <w:szCs w:val="24"/>
                <w:u w:val="none"/>
                <w:lang w:val="en-US" w:eastAsia="zh-CN" w:bidi="ar"/>
              </w:rPr>
              <w:t>支持设备编码监测，设备名称监测，MAC地址监测，经纬度监测，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IP地址监测，支持异常档案数据的导出，支持对“数据异常反馈接口”接收的异常数据进行展示，并展示当前处理进展。</w:t>
            </w:r>
          </w:p>
        </w:tc>
        <w:tc>
          <w:tcPr>
            <w:tcW w:w="618" w:type="dxa"/>
            <w:vMerge w:val="continue"/>
            <w:tcBorders>
              <w:left w:val="nil"/>
              <w:right w:val="single" w:color="auto" w:sz="6" w:space="0"/>
            </w:tcBorders>
            <w:noWrap w:val="0"/>
            <w:vAlign w:val="center"/>
          </w:tcPr>
          <w:p>
            <w:pPr>
              <w:jc w:val="center"/>
              <w:rPr>
                <w:rFonts w:hint="default" w:ascii="宋体" w:hAnsi="宋体" w:eastAsia="宋体" w:cs="宋体"/>
                <w:bCs/>
                <w:color w:val="auto"/>
                <w:sz w:val="24"/>
                <w:szCs w:val="24"/>
                <w:highlight w:val="none"/>
                <w:lang w:val="en-US" w:eastAsia="zh-CN"/>
              </w:rPr>
            </w:pPr>
          </w:p>
        </w:tc>
        <w:tc>
          <w:tcPr>
            <w:tcW w:w="563" w:type="dxa"/>
            <w:vMerge w:val="continue"/>
            <w:tcBorders>
              <w:left w:val="nil"/>
              <w:right w:val="single" w:color="auto" w:sz="6" w:space="0"/>
            </w:tcBorders>
            <w:noWrap w:val="0"/>
            <w:vAlign w:val="center"/>
          </w:tcPr>
          <w:p>
            <w:pPr>
              <w:jc w:val="center"/>
              <w:rPr>
                <w:rFonts w:hint="default" w:ascii="宋体" w:hAnsi="宋体" w:eastAsia="宋体" w:cs="宋体"/>
                <w:bCs/>
                <w:color w:val="auto"/>
                <w:sz w:val="24"/>
                <w:szCs w:val="24"/>
                <w:highlight w:val="none"/>
                <w:lang w:val="en-US" w:eastAsia="zh-CN"/>
              </w:rPr>
            </w:pPr>
          </w:p>
        </w:tc>
      </w:tr>
      <w:tr>
        <w:tblPrEx>
          <w:tblCellMar>
            <w:top w:w="0" w:type="dxa"/>
            <w:left w:w="108" w:type="dxa"/>
            <w:bottom w:w="0" w:type="dxa"/>
            <w:right w:w="108" w:type="dxa"/>
          </w:tblCellMar>
        </w:tblPrEx>
        <w:trPr>
          <w:trHeight w:val="941" w:hRule="atLeast"/>
        </w:trPr>
        <w:tc>
          <w:tcPr>
            <w:tcW w:w="7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9</w:t>
            </w:r>
          </w:p>
        </w:tc>
        <w:tc>
          <w:tcPr>
            <w:tcW w:w="795" w:type="dxa"/>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hAnsi="宋体" w:cs="宋体"/>
                <w:bCs/>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建设成效展示</w:t>
            </w:r>
          </w:p>
        </w:tc>
        <w:tc>
          <w:tcPr>
            <w:tcW w:w="6985" w:type="dxa"/>
            <w:tcBorders>
              <w:top w:val="single" w:color="auto" w:sz="6" w:space="0"/>
              <w:left w:val="nil"/>
              <w:bottom w:val="single" w:color="auto" w:sz="6" w:space="0"/>
              <w:right w:val="single" w:color="auto" w:sz="6" w:space="0"/>
            </w:tcBorders>
            <w:noWrap w:val="0"/>
            <w:vAlign w:val="top"/>
          </w:tcPr>
          <w:p>
            <w:pPr>
              <w:keepNext w:val="0"/>
              <w:keepLines w:val="0"/>
              <w:widowControl/>
              <w:suppressLineNumbers w:val="0"/>
              <w:jc w:val="left"/>
              <w:textAlignment w:val="top"/>
              <w:rPr>
                <w:rFonts w:hint="default" w:ascii="宋体" w:hAnsi="宋体" w:cs="宋体"/>
                <w:bCs/>
                <w:color w:val="auto"/>
                <w:sz w:val="24"/>
                <w:szCs w:val="24"/>
                <w:highlight w:val="none"/>
                <w:lang w:val="en-US"/>
              </w:rPr>
            </w:pPr>
            <w:r>
              <w:rPr>
                <w:rFonts w:hint="eastAsia" w:ascii="宋体" w:hAnsi="宋体" w:eastAsia="宋体" w:cs="宋体"/>
                <w:i w:val="0"/>
                <w:iCs w:val="0"/>
                <w:color w:val="000000"/>
                <w:kern w:val="0"/>
                <w:sz w:val="24"/>
                <w:szCs w:val="24"/>
                <w:u w:val="none"/>
                <w:lang w:val="en-US" w:eastAsia="zh-CN" w:bidi="ar"/>
              </w:rPr>
              <w:t>支持从本月新增视频设备数、各场所视频设备数、平台使用情况、设备运行情况、视图库运行情况几方面全面展现建设成效的功能；</w:t>
            </w:r>
          </w:p>
        </w:tc>
        <w:tc>
          <w:tcPr>
            <w:tcW w:w="618" w:type="dxa"/>
            <w:vMerge w:val="continue"/>
            <w:tcBorders>
              <w:left w:val="nil"/>
              <w:bottom w:val="single" w:color="auto" w:sz="6" w:space="0"/>
              <w:right w:val="single" w:color="auto" w:sz="6" w:space="0"/>
            </w:tcBorders>
            <w:noWrap w:val="0"/>
            <w:vAlign w:val="center"/>
          </w:tcPr>
          <w:p>
            <w:pPr>
              <w:jc w:val="center"/>
              <w:rPr>
                <w:rFonts w:hint="default" w:ascii="宋体" w:hAnsi="宋体" w:eastAsia="宋体" w:cs="宋体"/>
                <w:bCs/>
                <w:color w:val="auto"/>
                <w:sz w:val="24"/>
                <w:szCs w:val="24"/>
                <w:highlight w:val="none"/>
                <w:lang w:val="en-US" w:eastAsia="zh-CN"/>
              </w:rPr>
            </w:pPr>
          </w:p>
        </w:tc>
        <w:tc>
          <w:tcPr>
            <w:tcW w:w="563" w:type="dxa"/>
            <w:vMerge w:val="continue"/>
            <w:tcBorders>
              <w:left w:val="nil"/>
              <w:bottom w:val="single" w:color="auto" w:sz="6" w:space="0"/>
              <w:right w:val="single" w:color="auto" w:sz="6" w:space="0"/>
            </w:tcBorders>
            <w:noWrap w:val="0"/>
            <w:vAlign w:val="center"/>
          </w:tcPr>
          <w:p>
            <w:pPr>
              <w:jc w:val="center"/>
              <w:rPr>
                <w:rFonts w:hint="default" w:ascii="宋体" w:hAnsi="宋体" w:eastAsia="宋体" w:cs="宋体"/>
                <w:bCs/>
                <w:color w:val="auto"/>
                <w:sz w:val="24"/>
                <w:szCs w:val="24"/>
                <w:highlight w:val="none"/>
                <w:lang w:val="en-US" w:eastAsia="zh-CN"/>
              </w:rPr>
            </w:pPr>
          </w:p>
        </w:tc>
      </w:tr>
      <w:tr>
        <w:tblPrEx>
          <w:tblCellMar>
            <w:top w:w="0" w:type="dxa"/>
            <w:left w:w="108" w:type="dxa"/>
            <w:bottom w:w="0" w:type="dxa"/>
            <w:right w:w="108" w:type="dxa"/>
          </w:tblCellMar>
        </w:tblPrEx>
        <w:trPr>
          <w:trHeight w:val="758" w:hRule="atLeast"/>
        </w:trPr>
        <w:tc>
          <w:tcPr>
            <w:tcW w:w="9749" w:type="dxa"/>
            <w:gridSpan w:val="5"/>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宋体" w:hAnsi="宋体" w:eastAsia="宋体" w:cs="宋体"/>
                <w:bCs/>
                <w:color w:val="auto"/>
                <w:sz w:val="24"/>
                <w:szCs w:val="24"/>
                <w:highlight w:val="none"/>
                <w:lang w:val="en-US" w:eastAsia="zh-CN"/>
              </w:rPr>
            </w:pPr>
            <w:r>
              <w:rPr>
                <w:rFonts w:hint="default" w:ascii="宋体" w:hAnsi="宋体" w:eastAsia="宋体" w:cs="宋体"/>
                <w:bCs/>
                <w:color w:val="auto"/>
                <w:sz w:val="24"/>
                <w:szCs w:val="24"/>
                <w:highlight w:val="none"/>
                <w:lang w:val="en-US" w:eastAsia="zh-CN"/>
              </w:rPr>
              <w:t>二、前端智能运维与安全接入管理平台</w:t>
            </w:r>
          </w:p>
        </w:tc>
      </w:tr>
      <w:tr>
        <w:tblPrEx>
          <w:tblCellMar>
            <w:top w:w="0" w:type="dxa"/>
            <w:left w:w="108" w:type="dxa"/>
            <w:bottom w:w="0" w:type="dxa"/>
            <w:right w:w="108" w:type="dxa"/>
          </w:tblCellMar>
        </w:tblPrEx>
        <w:trPr>
          <w:trHeight w:val="5610" w:hRule="atLeast"/>
        </w:trPr>
        <w:tc>
          <w:tcPr>
            <w:tcW w:w="7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1</w:t>
            </w:r>
          </w:p>
        </w:tc>
        <w:tc>
          <w:tcPr>
            <w:tcW w:w="795"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cs="宋体"/>
                <w:bCs/>
                <w:color w:val="auto"/>
                <w:sz w:val="24"/>
                <w:szCs w:val="24"/>
                <w:highlight w:val="none"/>
                <w:lang w:val="en-US" w:eastAsia="zh-CN"/>
              </w:rPr>
            </w:pPr>
            <w:r>
              <w:rPr>
                <w:rFonts w:hint="eastAsia" w:hAnsi="宋体" w:cs="宋体"/>
                <w:bCs/>
                <w:color w:val="auto"/>
                <w:sz w:val="24"/>
                <w:szCs w:val="24"/>
                <w:highlight w:val="none"/>
                <w:lang w:val="en-US" w:eastAsia="zh-CN"/>
              </w:rPr>
              <w:t>前端智能运维与安全接入管理平台</w:t>
            </w:r>
          </w:p>
        </w:tc>
        <w:tc>
          <w:tcPr>
            <w:tcW w:w="6985"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cs="宋体"/>
                <w:bCs/>
                <w:color w:val="auto"/>
                <w:sz w:val="24"/>
                <w:szCs w:val="24"/>
                <w:highlight w:val="none"/>
                <w:lang w:val="en-US"/>
              </w:rPr>
            </w:pPr>
            <w:r>
              <w:rPr>
                <w:rFonts w:hint="default" w:ascii="宋体" w:hAnsi="宋体" w:cs="宋体"/>
                <w:bCs/>
                <w:color w:val="auto"/>
                <w:sz w:val="24"/>
                <w:szCs w:val="24"/>
                <w:highlight w:val="none"/>
                <w:lang w:val="en-US"/>
              </w:rPr>
              <w:t>1、支持设备状态信息在地图上实时显示；</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cs="宋体"/>
                <w:bCs/>
                <w:color w:val="auto"/>
                <w:sz w:val="24"/>
                <w:szCs w:val="24"/>
                <w:highlight w:val="none"/>
                <w:lang w:val="en-US"/>
              </w:rPr>
            </w:pPr>
            <w:r>
              <w:rPr>
                <w:rFonts w:hint="default" w:ascii="宋体" w:hAnsi="宋体" w:cs="宋体"/>
                <w:bCs/>
                <w:color w:val="auto"/>
                <w:sz w:val="24"/>
                <w:szCs w:val="24"/>
                <w:highlight w:val="none"/>
                <w:lang w:val="en-US"/>
              </w:rPr>
              <w:t>2、可对前端摄像机告警信息进行管理，摄像机故障可分为电力故障、摄像头侧故障、网络侧故障；支持接收、显示智能设备箱箱门状态通知；</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cs="宋体"/>
                <w:bCs/>
                <w:color w:val="auto"/>
                <w:sz w:val="24"/>
                <w:szCs w:val="24"/>
                <w:highlight w:val="none"/>
                <w:lang w:val="en-US"/>
              </w:rPr>
            </w:pPr>
            <w:r>
              <w:rPr>
                <w:rFonts w:hint="default" w:ascii="宋体" w:hAnsi="宋体" w:cs="宋体"/>
                <w:bCs/>
                <w:color w:val="auto"/>
                <w:sz w:val="24"/>
                <w:szCs w:val="24"/>
                <w:highlight w:val="none"/>
                <w:lang w:val="en-US"/>
              </w:rPr>
              <w:t>3、运维平台支持弹窗告警、短信告警、邮件告警三种告警模式；</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cs="宋体"/>
                <w:bCs/>
                <w:color w:val="auto"/>
                <w:sz w:val="24"/>
                <w:szCs w:val="24"/>
                <w:highlight w:val="none"/>
                <w:lang w:val="en-US"/>
              </w:rPr>
            </w:pPr>
            <w:r>
              <w:rPr>
                <w:rFonts w:hint="default" w:ascii="宋体" w:hAnsi="宋体" w:cs="宋体"/>
                <w:bCs/>
                <w:color w:val="auto"/>
                <w:sz w:val="24"/>
                <w:szCs w:val="24"/>
                <w:highlight w:val="none"/>
                <w:lang w:val="en-US"/>
              </w:rPr>
              <w:t>4、运维人员可通过微信小程序/公众号进行故障接单，故障处理反馈，故障工单管理，以及运维人员的操作权限管理；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cs="宋体"/>
                <w:bCs/>
                <w:color w:val="auto"/>
                <w:sz w:val="24"/>
                <w:szCs w:val="24"/>
                <w:highlight w:val="none"/>
                <w:lang w:val="en-US"/>
              </w:rPr>
            </w:pPr>
            <w:r>
              <w:rPr>
                <w:rFonts w:hint="default" w:ascii="宋体" w:hAnsi="宋体" w:cs="宋体"/>
                <w:bCs/>
                <w:color w:val="auto"/>
                <w:sz w:val="24"/>
                <w:szCs w:val="24"/>
                <w:highlight w:val="none"/>
                <w:lang w:val="en-US"/>
              </w:rPr>
              <w:t>5、支持摄像机在线率考核分析，故障告警分析，支持可视化报表统计分析；</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cs="宋体"/>
                <w:bCs/>
                <w:color w:val="auto"/>
                <w:sz w:val="24"/>
                <w:szCs w:val="24"/>
                <w:highlight w:val="none"/>
                <w:lang w:val="en-US"/>
              </w:rPr>
            </w:pPr>
            <w:r>
              <w:rPr>
                <w:rFonts w:hint="default" w:ascii="宋体" w:hAnsi="宋体" w:cs="宋体"/>
                <w:bCs/>
                <w:color w:val="auto"/>
                <w:sz w:val="24"/>
                <w:szCs w:val="24"/>
                <w:highlight w:val="none"/>
                <w:lang w:val="en-US"/>
              </w:rPr>
              <w:t>6、支持视频专网通道中任意网络协议端口的远程开启与关闭；</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cs="宋体"/>
                <w:bCs/>
                <w:color w:val="auto"/>
                <w:sz w:val="24"/>
                <w:szCs w:val="24"/>
                <w:highlight w:val="none"/>
                <w:lang w:val="en-US"/>
              </w:rPr>
            </w:pPr>
            <w:r>
              <w:rPr>
                <w:rFonts w:hint="default" w:ascii="宋体" w:hAnsi="宋体" w:cs="宋体"/>
                <w:bCs/>
                <w:color w:val="auto"/>
                <w:sz w:val="24"/>
                <w:szCs w:val="24"/>
                <w:highlight w:val="none"/>
                <w:lang w:val="en-US"/>
              </w:rPr>
              <w:t>7、支持隔离/恢复任意物理端口，支持一键隔离/恢复整个点位网络；</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cs="宋体"/>
                <w:bCs/>
                <w:color w:val="auto"/>
                <w:sz w:val="24"/>
                <w:szCs w:val="24"/>
                <w:highlight w:val="none"/>
                <w:lang w:val="en-US"/>
              </w:rPr>
            </w:pPr>
            <w:r>
              <w:rPr>
                <w:rFonts w:hint="default" w:ascii="宋体" w:hAnsi="宋体" w:cs="宋体"/>
                <w:bCs/>
                <w:color w:val="auto"/>
                <w:sz w:val="24"/>
                <w:szCs w:val="24"/>
                <w:highlight w:val="none"/>
                <w:lang w:val="en-US"/>
              </w:rPr>
              <w:t>8、支持摄像机IP、MAC地址与物理端口唯一绑定准入认证功能；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cs="宋体"/>
                <w:bCs/>
                <w:color w:val="auto"/>
                <w:sz w:val="24"/>
                <w:szCs w:val="24"/>
                <w:highlight w:val="none"/>
                <w:lang w:val="en-US"/>
              </w:rPr>
            </w:pPr>
            <w:r>
              <w:rPr>
                <w:rFonts w:hint="default" w:ascii="宋体" w:hAnsi="宋体" w:cs="宋体"/>
                <w:bCs/>
                <w:color w:val="auto"/>
                <w:sz w:val="24"/>
                <w:szCs w:val="24"/>
                <w:highlight w:val="none"/>
                <w:lang w:val="en-US"/>
              </w:rPr>
              <w:t>9、支持远程电源控制功能，提供远程电源的开启，关闭与重启三种控制方法；</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cs="宋体"/>
                <w:bCs/>
                <w:color w:val="auto"/>
                <w:sz w:val="24"/>
                <w:szCs w:val="24"/>
                <w:highlight w:val="none"/>
                <w:lang w:val="en-US"/>
              </w:rPr>
            </w:pPr>
            <w:r>
              <w:rPr>
                <w:rFonts w:hint="default" w:ascii="宋体" w:hAnsi="宋体" w:cs="宋体"/>
                <w:bCs/>
                <w:color w:val="auto"/>
                <w:sz w:val="24"/>
                <w:szCs w:val="24"/>
                <w:highlight w:val="none"/>
                <w:lang w:val="en-US"/>
              </w:rPr>
              <w:t xml:space="preserve">10、支持对智能运维设备箱软件进行远程升级；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cs="宋体"/>
                <w:bCs/>
                <w:color w:val="auto"/>
                <w:sz w:val="24"/>
                <w:szCs w:val="24"/>
                <w:highlight w:val="none"/>
                <w:lang w:val="en-US"/>
              </w:rPr>
            </w:pPr>
            <w:r>
              <w:rPr>
                <w:rFonts w:hint="default" w:ascii="宋体" w:hAnsi="宋体" w:cs="宋体"/>
                <w:bCs/>
                <w:color w:val="auto"/>
                <w:sz w:val="24"/>
                <w:szCs w:val="24"/>
                <w:highlight w:val="none"/>
                <w:lang w:val="en-US"/>
              </w:rPr>
              <w:t>11、运维管理平台需符合《信息安全技术 网络安全等级保护基本要求》（GB/T 22239-2019）中第三级安全计算环境指标相关要求；</w:t>
            </w:r>
          </w:p>
        </w:tc>
        <w:tc>
          <w:tcPr>
            <w:tcW w:w="618" w:type="dxa"/>
            <w:tcBorders>
              <w:top w:val="single" w:color="auto" w:sz="6" w:space="0"/>
              <w:left w:val="nil"/>
              <w:bottom w:val="single" w:color="auto" w:sz="6" w:space="0"/>
              <w:right w:val="single" w:color="auto" w:sz="6" w:space="0"/>
            </w:tcBorders>
            <w:noWrap w:val="0"/>
            <w:vAlign w:val="center"/>
          </w:tcPr>
          <w:p>
            <w:pPr>
              <w:jc w:val="center"/>
              <w:rPr>
                <w:rFonts w:hint="default" w:ascii="宋体" w:hAnsi="宋体" w:eastAsia="宋体" w:cs="宋体"/>
                <w:bCs/>
                <w:color w:val="auto"/>
                <w:sz w:val="24"/>
                <w:szCs w:val="24"/>
                <w:highlight w:val="none"/>
                <w:lang w:val="en-US" w:eastAsia="zh-CN"/>
              </w:rPr>
            </w:pPr>
            <w:r>
              <w:rPr>
                <w:rFonts w:hint="eastAsia" w:hAnsi="宋体" w:cs="宋体"/>
                <w:bCs/>
                <w:color w:val="auto"/>
                <w:sz w:val="24"/>
                <w:szCs w:val="24"/>
                <w:highlight w:val="none"/>
                <w:lang w:val="en-US" w:eastAsia="zh-CN"/>
              </w:rPr>
              <w:t>1</w:t>
            </w:r>
          </w:p>
        </w:tc>
        <w:tc>
          <w:tcPr>
            <w:tcW w:w="563" w:type="dxa"/>
            <w:tcBorders>
              <w:top w:val="single" w:color="auto" w:sz="6" w:space="0"/>
              <w:left w:val="nil"/>
              <w:bottom w:val="single" w:color="auto" w:sz="6" w:space="0"/>
              <w:right w:val="single" w:color="auto" w:sz="6" w:space="0"/>
            </w:tcBorders>
            <w:noWrap w:val="0"/>
            <w:vAlign w:val="center"/>
          </w:tcPr>
          <w:p>
            <w:pPr>
              <w:jc w:val="center"/>
              <w:rPr>
                <w:rFonts w:hint="default" w:ascii="宋体" w:hAnsi="宋体" w:eastAsia="宋体" w:cs="宋体"/>
                <w:bCs/>
                <w:color w:val="auto"/>
                <w:sz w:val="24"/>
                <w:szCs w:val="24"/>
                <w:highlight w:val="none"/>
                <w:lang w:val="en-US" w:eastAsia="zh-CN"/>
              </w:rPr>
            </w:pPr>
            <w:r>
              <w:rPr>
                <w:rFonts w:hint="eastAsia" w:hAnsi="宋体" w:cs="宋体"/>
                <w:bCs/>
                <w:color w:val="auto"/>
                <w:sz w:val="24"/>
                <w:szCs w:val="24"/>
                <w:highlight w:val="none"/>
                <w:lang w:val="en-US" w:eastAsia="zh-CN"/>
              </w:rPr>
              <w:t>套</w:t>
            </w:r>
          </w:p>
        </w:tc>
      </w:tr>
      <w:tr>
        <w:tblPrEx>
          <w:tblCellMar>
            <w:top w:w="0" w:type="dxa"/>
            <w:left w:w="108" w:type="dxa"/>
            <w:bottom w:w="0" w:type="dxa"/>
            <w:right w:w="108" w:type="dxa"/>
          </w:tblCellMar>
        </w:tblPrEx>
        <w:trPr>
          <w:trHeight w:val="1743" w:hRule="atLeast"/>
        </w:trPr>
        <w:tc>
          <w:tcPr>
            <w:tcW w:w="7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2</w:t>
            </w:r>
          </w:p>
        </w:tc>
        <w:tc>
          <w:tcPr>
            <w:tcW w:w="795"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cs="宋体"/>
                <w:bCs/>
                <w:color w:val="auto"/>
                <w:sz w:val="24"/>
                <w:szCs w:val="24"/>
                <w:highlight w:val="none"/>
                <w:lang w:val="en-US" w:eastAsia="zh-CN"/>
              </w:rPr>
            </w:pPr>
            <w:r>
              <w:rPr>
                <w:rFonts w:hint="eastAsia" w:hAnsi="宋体" w:cs="宋体"/>
                <w:bCs/>
                <w:color w:val="auto"/>
                <w:sz w:val="24"/>
                <w:szCs w:val="24"/>
                <w:highlight w:val="none"/>
                <w:lang w:val="en-US" w:eastAsia="zh-CN"/>
              </w:rPr>
              <w:t>平台服务器</w:t>
            </w:r>
          </w:p>
        </w:tc>
        <w:tc>
          <w:tcPr>
            <w:tcW w:w="6985"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cs="宋体"/>
                <w:bCs/>
                <w:color w:val="auto"/>
                <w:sz w:val="24"/>
                <w:szCs w:val="24"/>
                <w:highlight w:val="none"/>
                <w:lang w:val="en-US"/>
              </w:rPr>
            </w:pPr>
            <w:r>
              <w:rPr>
                <w:rFonts w:hint="default" w:ascii="宋体" w:hAnsi="宋体" w:cs="宋体"/>
                <w:bCs/>
                <w:color w:val="auto"/>
                <w:sz w:val="24"/>
                <w:szCs w:val="24"/>
                <w:highlight w:val="none"/>
                <w:lang w:val="en-US"/>
              </w:rPr>
              <w:t>CPU：X86架构，≥2颗CPU，单颗10核、主频2.4GHz</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cs="宋体"/>
                <w:bCs/>
                <w:color w:val="auto"/>
                <w:sz w:val="24"/>
                <w:szCs w:val="24"/>
                <w:highlight w:val="none"/>
                <w:lang w:val="en-US"/>
              </w:rPr>
            </w:pPr>
            <w:r>
              <w:rPr>
                <w:rFonts w:hint="default" w:ascii="宋体" w:hAnsi="宋体" w:cs="宋体"/>
                <w:bCs/>
                <w:color w:val="auto"/>
                <w:sz w:val="24"/>
                <w:szCs w:val="24"/>
                <w:highlight w:val="none"/>
                <w:lang w:val="en-US"/>
              </w:rPr>
              <w:t>内存：≥32GB DDR4</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cs="宋体"/>
                <w:bCs/>
                <w:color w:val="auto"/>
                <w:sz w:val="24"/>
                <w:szCs w:val="24"/>
                <w:highlight w:val="none"/>
                <w:lang w:val="en-US"/>
              </w:rPr>
            </w:pPr>
            <w:r>
              <w:rPr>
                <w:rFonts w:hint="default" w:ascii="宋体" w:hAnsi="宋体" w:cs="宋体"/>
                <w:bCs/>
                <w:color w:val="auto"/>
                <w:sz w:val="24"/>
                <w:szCs w:val="24"/>
                <w:highlight w:val="none"/>
                <w:lang w:val="en-US"/>
              </w:rPr>
              <w:t>硬盘：≥2*1TB,1*480 SSD</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cs="宋体"/>
                <w:bCs/>
                <w:color w:val="auto"/>
                <w:sz w:val="24"/>
                <w:szCs w:val="24"/>
                <w:highlight w:val="none"/>
                <w:lang w:val="en-US"/>
              </w:rPr>
            </w:pPr>
            <w:r>
              <w:rPr>
                <w:rFonts w:hint="default" w:ascii="宋体" w:hAnsi="宋体" w:cs="宋体"/>
                <w:bCs/>
                <w:color w:val="auto"/>
                <w:sz w:val="24"/>
                <w:szCs w:val="24"/>
                <w:highlight w:val="none"/>
                <w:lang w:val="en-US"/>
              </w:rPr>
              <w:t>网卡：≥2个千兆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cs="宋体"/>
                <w:bCs/>
                <w:color w:val="auto"/>
                <w:sz w:val="24"/>
                <w:szCs w:val="24"/>
                <w:highlight w:val="none"/>
                <w:lang w:val="en-US"/>
              </w:rPr>
            </w:pPr>
            <w:r>
              <w:rPr>
                <w:rFonts w:hint="default" w:ascii="宋体" w:hAnsi="宋体" w:cs="宋体"/>
                <w:bCs/>
                <w:color w:val="auto"/>
                <w:sz w:val="24"/>
                <w:szCs w:val="24"/>
                <w:highlight w:val="none"/>
                <w:lang w:val="en-US"/>
              </w:rPr>
              <w:t>电源：1+1冗余电源</w:t>
            </w:r>
          </w:p>
        </w:tc>
        <w:tc>
          <w:tcPr>
            <w:tcW w:w="618" w:type="dxa"/>
            <w:tcBorders>
              <w:top w:val="single" w:color="auto" w:sz="6" w:space="0"/>
              <w:left w:val="nil"/>
              <w:bottom w:val="single" w:color="auto" w:sz="6" w:space="0"/>
              <w:right w:val="single" w:color="auto" w:sz="6" w:space="0"/>
            </w:tcBorders>
            <w:noWrap w:val="0"/>
            <w:vAlign w:val="center"/>
          </w:tcPr>
          <w:p>
            <w:pPr>
              <w:jc w:val="center"/>
              <w:rPr>
                <w:rFonts w:hint="default" w:ascii="宋体" w:hAnsi="宋体" w:eastAsia="宋体" w:cs="宋体"/>
                <w:bCs/>
                <w:color w:val="auto"/>
                <w:sz w:val="24"/>
                <w:szCs w:val="24"/>
                <w:highlight w:val="none"/>
                <w:lang w:val="en-US" w:eastAsia="zh-CN"/>
              </w:rPr>
            </w:pPr>
            <w:r>
              <w:rPr>
                <w:rFonts w:hint="eastAsia" w:hAnsi="宋体" w:cs="宋体"/>
                <w:bCs/>
                <w:color w:val="auto"/>
                <w:sz w:val="24"/>
                <w:szCs w:val="24"/>
                <w:highlight w:val="none"/>
                <w:lang w:val="en-US" w:eastAsia="zh-CN"/>
              </w:rPr>
              <w:t>1</w:t>
            </w:r>
          </w:p>
        </w:tc>
        <w:tc>
          <w:tcPr>
            <w:tcW w:w="563" w:type="dxa"/>
            <w:tcBorders>
              <w:top w:val="single" w:color="auto" w:sz="6" w:space="0"/>
              <w:left w:val="nil"/>
              <w:bottom w:val="single" w:color="auto" w:sz="6" w:space="0"/>
              <w:right w:val="single" w:color="auto" w:sz="6" w:space="0"/>
            </w:tcBorders>
            <w:noWrap w:val="0"/>
            <w:vAlign w:val="center"/>
          </w:tcPr>
          <w:p>
            <w:pPr>
              <w:jc w:val="center"/>
              <w:rPr>
                <w:rFonts w:hint="default" w:ascii="宋体" w:hAnsi="宋体" w:eastAsia="宋体" w:cs="宋体"/>
                <w:bCs/>
                <w:color w:val="auto"/>
                <w:sz w:val="24"/>
                <w:szCs w:val="24"/>
                <w:highlight w:val="none"/>
                <w:lang w:val="en-US" w:eastAsia="zh-CN"/>
              </w:rPr>
            </w:pPr>
            <w:r>
              <w:rPr>
                <w:rFonts w:hint="eastAsia" w:hAnsi="宋体" w:cs="宋体"/>
                <w:bCs/>
                <w:color w:val="auto"/>
                <w:sz w:val="24"/>
                <w:szCs w:val="24"/>
                <w:highlight w:val="none"/>
                <w:lang w:val="en-US" w:eastAsia="zh-CN"/>
              </w:rPr>
              <w:t>台</w:t>
            </w:r>
          </w:p>
        </w:tc>
      </w:tr>
    </w:tbl>
    <w:p>
      <w:pPr>
        <w:pStyle w:val="4"/>
        <w:ind w:left="0" w:leftChars="0" w:firstLine="0" w:firstLineChars="0"/>
        <w:rPr>
          <w:rFonts w:hint="eastAsia"/>
          <w:b/>
          <w:bCs/>
        </w:rPr>
      </w:pPr>
      <w:r>
        <w:rPr>
          <w:rFonts w:hint="eastAsia"/>
          <w:b/>
          <w:bCs/>
        </w:rPr>
        <w:t>数据中心</w:t>
      </w:r>
    </w:p>
    <w:tbl>
      <w:tblPr>
        <w:tblStyle w:val="24"/>
        <w:tblW w:w="9749" w:type="dxa"/>
        <w:tblInd w:w="-240" w:type="dxa"/>
        <w:tblLayout w:type="fixed"/>
        <w:tblCellMar>
          <w:top w:w="0" w:type="dxa"/>
          <w:left w:w="108" w:type="dxa"/>
          <w:bottom w:w="0" w:type="dxa"/>
          <w:right w:w="108" w:type="dxa"/>
        </w:tblCellMar>
      </w:tblPr>
      <w:tblGrid>
        <w:gridCol w:w="788"/>
        <w:gridCol w:w="795"/>
        <w:gridCol w:w="179"/>
        <w:gridCol w:w="243"/>
        <w:gridCol w:w="6563"/>
        <w:gridCol w:w="618"/>
        <w:gridCol w:w="563"/>
      </w:tblGrid>
      <w:tr>
        <w:tblPrEx>
          <w:tblCellMar>
            <w:top w:w="0" w:type="dxa"/>
            <w:left w:w="108" w:type="dxa"/>
            <w:bottom w:w="0" w:type="dxa"/>
            <w:right w:w="108" w:type="dxa"/>
          </w:tblCellMar>
        </w:tblPrEx>
        <w:trPr>
          <w:trHeight w:val="620" w:hRule="atLeast"/>
        </w:trPr>
        <w:tc>
          <w:tcPr>
            <w:tcW w:w="788"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lang w:bidi="ar"/>
              </w:rPr>
              <w:t>序号</w:t>
            </w:r>
          </w:p>
        </w:tc>
        <w:tc>
          <w:tcPr>
            <w:tcW w:w="795" w:type="dxa"/>
            <w:tcBorders>
              <w:top w:val="single" w:color="auto" w:sz="6" w:space="0"/>
              <w:left w:val="nil"/>
              <w:bottom w:val="single" w:color="auto" w:sz="6" w:space="0"/>
              <w:right w:val="single" w:color="auto" w:sz="6" w:space="0"/>
            </w:tcBorders>
            <w:shd w:val="clear" w:color="auto" w:fill="FFFFFF"/>
            <w:noWrap w:val="0"/>
            <w:vAlign w:val="center"/>
          </w:tcPr>
          <w:p>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lang w:bidi="ar"/>
              </w:rPr>
              <w:t>设备名称</w:t>
            </w:r>
          </w:p>
        </w:tc>
        <w:tc>
          <w:tcPr>
            <w:tcW w:w="6985" w:type="dxa"/>
            <w:gridSpan w:val="3"/>
            <w:tcBorders>
              <w:top w:val="single" w:color="auto" w:sz="6" w:space="0"/>
              <w:left w:val="nil"/>
              <w:bottom w:val="single" w:color="auto" w:sz="6" w:space="0"/>
              <w:right w:val="single" w:color="auto" w:sz="6" w:space="0"/>
            </w:tcBorders>
            <w:shd w:val="clear" w:color="auto" w:fill="FFFFFF"/>
            <w:noWrap w:val="0"/>
            <w:vAlign w:val="center"/>
          </w:tcPr>
          <w:p>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lang w:bidi="ar"/>
              </w:rPr>
              <w:t>技术参数</w:t>
            </w:r>
          </w:p>
        </w:tc>
        <w:tc>
          <w:tcPr>
            <w:tcW w:w="618" w:type="dxa"/>
            <w:tcBorders>
              <w:top w:val="single" w:color="auto" w:sz="6" w:space="0"/>
              <w:left w:val="nil"/>
              <w:bottom w:val="single" w:color="auto" w:sz="6" w:space="0"/>
              <w:right w:val="single" w:color="auto" w:sz="6" w:space="0"/>
            </w:tcBorders>
            <w:shd w:val="clear" w:color="auto" w:fill="FFFFFF"/>
            <w:noWrap w:val="0"/>
            <w:vAlign w:val="center"/>
          </w:tcPr>
          <w:p>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lang w:bidi="ar"/>
              </w:rPr>
              <w:t>数量</w:t>
            </w:r>
          </w:p>
        </w:tc>
        <w:tc>
          <w:tcPr>
            <w:tcW w:w="563" w:type="dxa"/>
            <w:tcBorders>
              <w:top w:val="single" w:color="auto" w:sz="6" w:space="0"/>
              <w:left w:val="nil"/>
              <w:bottom w:val="single" w:color="auto" w:sz="6" w:space="0"/>
              <w:right w:val="single" w:color="auto" w:sz="6" w:space="0"/>
            </w:tcBorders>
            <w:shd w:val="clear" w:color="auto" w:fill="FFFFFF"/>
            <w:noWrap w:val="0"/>
            <w:vAlign w:val="center"/>
          </w:tcPr>
          <w:p>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lang w:bidi="ar"/>
              </w:rPr>
              <w:t>单位</w:t>
            </w:r>
          </w:p>
        </w:tc>
      </w:tr>
      <w:tr>
        <w:tblPrEx>
          <w:tblCellMar>
            <w:top w:w="0" w:type="dxa"/>
            <w:left w:w="108" w:type="dxa"/>
            <w:bottom w:w="0" w:type="dxa"/>
            <w:right w:w="108" w:type="dxa"/>
          </w:tblCellMar>
        </w:tblPrEx>
        <w:trPr>
          <w:trHeight w:val="593" w:hRule="atLeast"/>
        </w:trPr>
        <w:tc>
          <w:tcPr>
            <w:tcW w:w="9749" w:type="dxa"/>
            <w:gridSpan w:val="7"/>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一、数据中心配电及UPS系统</w:t>
            </w:r>
          </w:p>
        </w:tc>
      </w:tr>
      <w:tr>
        <w:tblPrEx>
          <w:tblCellMar>
            <w:top w:w="0" w:type="dxa"/>
            <w:left w:w="108" w:type="dxa"/>
            <w:bottom w:w="0" w:type="dxa"/>
            <w:right w:w="108" w:type="dxa"/>
          </w:tblCellMar>
        </w:tblPrEx>
        <w:trPr>
          <w:trHeight w:val="593" w:hRule="atLeast"/>
        </w:trPr>
        <w:tc>
          <w:tcPr>
            <w:tcW w:w="9749" w:type="dxa"/>
            <w:gridSpan w:val="7"/>
            <w:tcBorders>
              <w:top w:val="single" w:color="auto" w:sz="6" w:space="0"/>
              <w:left w:val="single" w:color="auto" w:sz="6" w:space="0"/>
              <w:bottom w:val="single" w:color="auto" w:sz="6" w:space="0"/>
              <w:right w:val="single" w:color="auto" w:sz="6" w:space="0"/>
            </w:tcBorders>
            <w:noWrap w:val="0"/>
            <w:vAlign w:val="center"/>
          </w:tcPr>
          <w:p>
            <w:pPr>
              <w:jc w:val="left"/>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（一）、配电柜</w:t>
            </w:r>
          </w:p>
        </w:tc>
      </w:tr>
      <w:tr>
        <w:tblPrEx>
          <w:tblCellMar>
            <w:top w:w="0" w:type="dxa"/>
            <w:left w:w="108" w:type="dxa"/>
            <w:bottom w:w="0" w:type="dxa"/>
            <w:right w:w="108" w:type="dxa"/>
          </w:tblCellMar>
        </w:tblPrEx>
        <w:trPr>
          <w:trHeight w:val="2478" w:hRule="atLeast"/>
        </w:trPr>
        <w:tc>
          <w:tcPr>
            <w:tcW w:w="7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1</w:t>
            </w:r>
          </w:p>
        </w:tc>
        <w:tc>
          <w:tcPr>
            <w:tcW w:w="795"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UPS列头一体柜</w:t>
            </w:r>
          </w:p>
        </w:tc>
        <w:tc>
          <w:tcPr>
            <w:tcW w:w="6985" w:type="dxa"/>
            <w:gridSpan w:val="3"/>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功能：实现UPS输出电源到机柜PDU的分配,实现每个支路开关的状态，运行参数的监控；</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特点：LCD触摸屏显示，各配电链路可视，标配RS485及FE通讯接口。支持支路开关温度监测；</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参数：输入开关400A/3P,支路开关不少于63A/3P*4、32A/1P*42，采用LCD触摸屏，标配RS485及FE接口。支持MODBUS，通过RS485接口上报状态及告警信息；可监测输入电压、电流、有功功率、无功功率、功率因数、电能、谐波等；</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分回路电流、负载百分比、有功功率、视在功率、电能、支路温度及防雷状态等指标监测。可与UPS集成在一个柜内，节约占地面积。</w:t>
            </w:r>
          </w:p>
        </w:tc>
        <w:tc>
          <w:tcPr>
            <w:tcW w:w="618" w:type="dxa"/>
            <w:tcBorders>
              <w:top w:val="single" w:color="auto" w:sz="6" w:space="0"/>
              <w:left w:val="nil"/>
              <w:bottom w:val="single" w:color="auto" w:sz="6" w:space="0"/>
              <w:right w:val="single" w:color="auto" w:sz="6" w:space="0"/>
            </w:tcBorders>
            <w:noWrap w:val="0"/>
            <w:vAlign w:val="center"/>
          </w:tcPr>
          <w:p>
            <w:pPr>
              <w:jc w:val="center"/>
              <w:rPr>
                <w:rFonts w:hint="default" w:ascii="宋体" w:hAnsi="宋体" w:eastAsia="宋体" w:cs="宋体"/>
                <w:bCs/>
                <w:color w:val="auto"/>
                <w:sz w:val="24"/>
                <w:szCs w:val="24"/>
                <w:highlight w:val="none"/>
                <w:lang w:val="en-US" w:eastAsia="zh-CN"/>
              </w:rPr>
            </w:pPr>
            <w:r>
              <w:rPr>
                <w:rFonts w:hint="eastAsia" w:hAnsi="宋体" w:cs="宋体"/>
                <w:bCs/>
                <w:color w:val="auto"/>
                <w:sz w:val="24"/>
                <w:szCs w:val="24"/>
                <w:highlight w:val="none"/>
                <w:lang w:val="en-US" w:eastAsia="zh-CN"/>
              </w:rPr>
              <w:t>1</w:t>
            </w:r>
          </w:p>
        </w:tc>
        <w:tc>
          <w:tcPr>
            <w:tcW w:w="563" w:type="dxa"/>
            <w:tcBorders>
              <w:top w:val="single" w:color="auto" w:sz="6" w:space="0"/>
              <w:left w:val="nil"/>
              <w:bottom w:val="single" w:color="auto" w:sz="6" w:space="0"/>
              <w:right w:val="single" w:color="auto" w:sz="6" w:space="0"/>
            </w:tcBorders>
            <w:noWrap w:val="0"/>
            <w:vAlign w:val="center"/>
          </w:tcPr>
          <w:p>
            <w:pPr>
              <w:jc w:val="center"/>
              <w:rPr>
                <w:rFonts w:hint="eastAsia" w:ascii="宋体" w:hAnsi="宋体" w:eastAsia="宋体" w:cs="宋体"/>
                <w:bCs/>
                <w:color w:val="auto"/>
                <w:sz w:val="24"/>
                <w:szCs w:val="24"/>
                <w:highlight w:val="none"/>
                <w:lang w:eastAsia="zh-CN"/>
              </w:rPr>
            </w:pPr>
            <w:r>
              <w:rPr>
                <w:rFonts w:hint="eastAsia" w:hAnsi="宋体" w:cs="宋体"/>
                <w:bCs/>
                <w:color w:val="auto"/>
                <w:sz w:val="24"/>
                <w:szCs w:val="24"/>
                <w:highlight w:val="none"/>
                <w:lang w:eastAsia="zh-CN"/>
              </w:rPr>
              <w:t>套</w:t>
            </w:r>
          </w:p>
        </w:tc>
      </w:tr>
      <w:tr>
        <w:tblPrEx>
          <w:tblCellMar>
            <w:top w:w="0" w:type="dxa"/>
            <w:left w:w="108" w:type="dxa"/>
            <w:bottom w:w="0" w:type="dxa"/>
            <w:right w:w="108" w:type="dxa"/>
          </w:tblCellMar>
        </w:tblPrEx>
        <w:trPr>
          <w:trHeight w:val="813" w:hRule="atLeast"/>
        </w:trPr>
        <w:tc>
          <w:tcPr>
            <w:tcW w:w="9749" w:type="dxa"/>
            <w:gridSpan w:val="7"/>
            <w:tcBorders>
              <w:top w:val="single" w:color="auto" w:sz="6" w:space="0"/>
              <w:left w:val="single" w:color="auto" w:sz="6" w:space="0"/>
              <w:bottom w:val="single" w:color="auto" w:sz="6" w:space="0"/>
              <w:right w:val="single" w:color="auto" w:sz="6" w:space="0"/>
            </w:tcBorders>
            <w:noWrap w:val="0"/>
            <w:vAlign w:val="center"/>
          </w:tcPr>
          <w:p>
            <w:pPr>
              <w:jc w:val="left"/>
              <w:rPr>
                <w:rFonts w:hint="eastAsia" w:hAnsi="宋体" w:cs="宋体"/>
                <w:bCs/>
                <w:color w:val="auto"/>
                <w:sz w:val="24"/>
                <w:szCs w:val="24"/>
                <w:highlight w:val="none"/>
                <w:lang w:eastAsia="zh-CN"/>
              </w:rPr>
            </w:pPr>
            <w:r>
              <w:rPr>
                <w:rFonts w:hint="eastAsia" w:hAnsi="宋体" w:cs="宋体"/>
                <w:bCs/>
                <w:color w:val="auto"/>
                <w:sz w:val="24"/>
                <w:szCs w:val="24"/>
                <w:highlight w:val="none"/>
                <w:lang w:eastAsia="zh-CN"/>
              </w:rPr>
              <w:t>（二）、UPS系统</w:t>
            </w:r>
          </w:p>
        </w:tc>
      </w:tr>
      <w:tr>
        <w:tblPrEx>
          <w:tblCellMar>
            <w:top w:w="0" w:type="dxa"/>
            <w:left w:w="108" w:type="dxa"/>
            <w:bottom w:w="0" w:type="dxa"/>
            <w:right w:w="108" w:type="dxa"/>
          </w:tblCellMar>
        </w:tblPrEx>
        <w:trPr>
          <w:trHeight w:val="1113" w:hRule="atLeast"/>
        </w:trPr>
        <w:tc>
          <w:tcPr>
            <w:tcW w:w="7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1</w:t>
            </w:r>
          </w:p>
        </w:tc>
        <w:tc>
          <w:tcPr>
            <w:tcW w:w="795" w:type="dxa"/>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 xml:space="preserve">UPS主机 </w:t>
            </w:r>
          </w:p>
        </w:tc>
        <w:tc>
          <w:tcPr>
            <w:tcW w:w="6985" w:type="dxa"/>
            <w:gridSpan w:val="3"/>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1、机架式模块化UPS，最大可扩容至150KVA，三进三出；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2、输入功率因数 &gt;0.99；输入谐波（THDi) &lt;3%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3、输出功率因数 1。 </w:t>
            </w:r>
          </w:p>
        </w:tc>
        <w:tc>
          <w:tcPr>
            <w:tcW w:w="618" w:type="dxa"/>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563" w:type="dxa"/>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bCs/>
                <w:color w:val="auto"/>
                <w:sz w:val="24"/>
                <w:szCs w:val="24"/>
                <w:highlight w:val="none"/>
                <w:lang w:eastAsia="zh-CN"/>
              </w:rPr>
            </w:pPr>
            <w:r>
              <w:rPr>
                <w:rFonts w:hint="eastAsia" w:ascii="宋体" w:hAnsi="宋体" w:eastAsia="宋体" w:cs="宋体"/>
                <w:i w:val="0"/>
                <w:iCs w:val="0"/>
                <w:color w:val="000000"/>
                <w:kern w:val="0"/>
                <w:sz w:val="24"/>
                <w:szCs w:val="24"/>
                <w:u w:val="none"/>
                <w:lang w:val="en-US" w:eastAsia="zh-CN" w:bidi="ar"/>
              </w:rPr>
              <w:t xml:space="preserve"> 台 </w:t>
            </w:r>
          </w:p>
        </w:tc>
      </w:tr>
      <w:tr>
        <w:tblPrEx>
          <w:tblCellMar>
            <w:top w:w="0" w:type="dxa"/>
            <w:left w:w="108" w:type="dxa"/>
            <w:bottom w:w="0" w:type="dxa"/>
            <w:right w:w="108" w:type="dxa"/>
          </w:tblCellMar>
        </w:tblPrEx>
        <w:trPr>
          <w:trHeight w:val="738" w:hRule="atLeast"/>
        </w:trPr>
        <w:tc>
          <w:tcPr>
            <w:tcW w:w="7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2</w:t>
            </w:r>
          </w:p>
        </w:tc>
        <w:tc>
          <w:tcPr>
            <w:tcW w:w="795" w:type="dxa"/>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 xml:space="preserve"> 功率模块 </w:t>
            </w:r>
          </w:p>
        </w:tc>
        <w:tc>
          <w:tcPr>
            <w:tcW w:w="6985" w:type="dxa"/>
            <w:gridSpan w:val="3"/>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 xml:space="preserve"> 功率模块30kVA </w:t>
            </w:r>
          </w:p>
        </w:tc>
        <w:tc>
          <w:tcPr>
            <w:tcW w:w="618" w:type="dxa"/>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5</w:t>
            </w:r>
          </w:p>
        </w:tc>
        <w:tc>
          <w:tcPr>
            <w:tcW w:w="563" w:type="dxa"/>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bCs/>
                <w:color w:val="auto"/>
                <w:sz w:val="24"/>
                <w:szCs w:val="24"/>
                <w:highlight w:val="none"/>
                <w:lang w:eastAsia="zh-CN"/>
              </w:rPr>
            </w:pPr>
            <w:r>
              <w:rPr>
                <w:rFonts w:hint="eastAsia" w:ascii="宋体" w:hAnsi="宋体" w:eastAsia="宋体" w:cs="宋体"/>
                <w:i w:val="0"/>
                <w:iCs w:val="0"/>
                <w:color w:val="000000"/>
                <w:kern w:val="0"/>
                <w:sz w:val="24"/>
                <w:szCs w:val="24"/>
                <w:u w:val="none"/>
                <w:lang w:val="en-US" w:eastAsia="zh-CN" w:bidi="ar"/>
              </w:rPr>
              <w:t xml:space="preserve"> 台 </w:t>
            </w:r>
          </w:p>
        </w:tc>
      </w:tr>
      <w:tr>
        <w:tblPrEx>
          <w:tblCellMar>
            <w:top w:w="0" w:type="dxa"/>
            <w:left w:w="108" w:type="dxa"/>
            <w:bottom w:w="0" w:type="dxa"/>
            <w:right w:w="108" w:type="dxa"/>
          </w:tblCellMar>
        </w:tblPrEx>
        <w:trPr>
          <w:trHeight w:val="850" w:hRule="atLeast"/>
        </w:trPr>
        <w:tc>
          <w:tcPr>
            <w:tcW w:w="7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3</w:t>
            </w:r>
          </w:p>
        </w:tc>
        <w:tc>
          <w:tcPr>
            <w:tcW w:w="795" w:type="dxa"/>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 xml:space="preserve">UPS电池 </w:t>
            </w:r>
          </w:p>
        </w:tc>
        <w:tc>
          <w:tcPr>
            <w:tcW w:w="6985" w:type="dxa"/>
            <w:gridSpan w:val="3"/>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 xml:space="preserve"> 200AH ，延迟1小时 </w:t>
            </w:r>
          </w:p>
        </w:tc>
        <w:tc>
          <w:tcPr>
            <w:tcW w:w="618" w:type="dxa"/>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96</w:t>
            </w:r>
          </w:p>
        </w:tc>
        <w:tc>
          <w:tcPr>
            <w:tcW w:w="563" w:type="dxa"/>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bCs/>
                <w:color w:val="auto"/>
                <w:sz w:val="24"/>
                <w:szCs w:val="24"/>
                <w:highlight w:val="none"/>
                <w:lang w:eastAsia="zh-CN"/>
              </w:rPr>
            </w:pPr>
            <w:r>
              <w:rPr>
                <w:rFonts w:hint="eastAsia" w:ascii="宋体" w:hAnsi="宋体" w:eastAsia="宋体" w:cs="宋体"/>
                <w:i w:val="0"/>
                <w:iCs w:val="0"/>
                <w:color w:val="000000"/>
                <w:kern w:val="0"/>
                <w:sz w:val="24"/>
                <w:szCs w:val="24"/>
                <w:u w:val="none"/>
                <w:lang w:val="en-US" w:eastAsia="zh-CN" w:bidi="ar"/>
              </w:rPr>
              <w:t xml:space="preserve"> 块 </w:t>
            </w:r>
          </w:p>
        </w:tc>
      </w:tr>
      <w:tr>
        <w:tblPrEx>
          <w:tblCellMar>
            <w:top w:w="0" w:type="dxa"/>
            <w:left w:w="108" w:type="dxa"/>
            <w:bottom w:w="0" w:type="dxa"/>
            <w:right w:w="108" w:type="dxa"/>
          </w:tblCellMar>
        </w:tblPrEx>
        <w:trPr>
          <w:trHeight w:val="1334" w:hRule="atLeast"/>
        </w:trPr>
        <w:tc>
          <w:tcPr>
            <w:tcW w:w="7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4</w:t>
            </w:r>
          </w:p>
        </w:tc>
        <w:tc>
          <w:tcPr>
            <w:tcW w:w="795" w:type="dxa"/>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 xml:space="preserve"> 电池架 </w:t>
            </w:r>
          </w:p>
        </w:tc>
        <w:tc>
          <w:tcPr>
            <w:tcW w:w="6985" w:type="dxa"/>
            <w:gridSpan w:val="3"/>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jc w:val="left"/>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 xml:space="preserve"> 功能：放置后备电池组；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特点：安装简单，承载强度大，双边维护，简洁方便；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双边维护。 </w:t>
            </w:r>
          </w:p>
        </w:tc>
        <w:tc>
          <w:tcPr>
            <w:tcW w:w="618" w:type="dxa"/>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563" w:type="dxa"/>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bCs/>
                <w:color w:val="auto"/>
                <w:sz w:val="24"/>
                <w:szCs w:val="24"/>
                <w:highlight w:val="none"/>
                <w:lang w:eastAsia="zh-CN"/>
              </w:rPr>
            </w:pPr>
            <w:r>
              <w:rPr>
                <w:rFonts w:hint="eastAsia" w:ascii="宋体" w:hAnsi="宋体" w:eastAsia="宋体" w:cs="宋体"/>
                <w:i w:val="0"/>
                <w:iCs w:val="0"/>
                <w:color w:val="000000"/>
                <w:kern w:val="0"/>
                <w:sz w:val="24"/>
                <w:szCs w:val="24"/>
                <w:u w:val="none"/>
                <w:lang w:val="en-US" w:eastAsia="zh-CN" w:bidi="ar"/>
              </w:rPr>
              <w:t xml:space="preserve"> 套 </w:t>
            </w:r>
          </w:p>
        </w:tc>
      </w:tr>
      <w:tr>
        <w:tblPrEx>
          <w:tblCellMar>
            <w:top w:w="0" w:type="dxa"/>
            <w:left w:w="108" w:type="dxa"/>
            <w:bottom w:w="0" w:type="dxa"/>
            <w:right w:w="108" w:type="dxa"/>
          </w:tblCellMar>
        </w:tblPrEx>
        <w:trPr>
          <w:trHeight w:val="1334" w:hRule="atLeast"/>
        </w:trPr>
        <w:tc>
          <w:tcPr>
            <w:tcW w:w="7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5</w:t>
            </w:r>
          </w:p>
        </w:tc>
        <w:tc>
          <w:tcPr>
            <w:tcW w:w="795" w:type="dxa"/>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 xml:space="preserve">电池开关盒 </w:t>
            </w:r>
          </w:p>
        </w:tc>
        <w:tc>
          <w:tcPr>
            <w:tcW w:w="6985" w:type="dxa"/>
            <w:gridSpan w:val="3"/>
            <w:tcBorders>
              <w:top w:val="single" w:color="auto" w:sz="6" w:space="0"/>
              <w:left w:val="nil"/>
              <w:bottom w:val="single" w:color="auto" w:sz="6" w:space="0"/>
              <w:right w:val="single" w:color="auto" w:sz="6" w:space="0"/>
            </w:tcBorders>
            <w:noWrap w:val="0"/>
            <w:vAlign w:val="top"/>
          </w:tcPr>
          <w:p>
            <w:pPr>
              <w:keepNext w:val="0"/>
              <w:keepLines w:val="0"/>
              <w:widowControl/>
              <w:suppressLineNumbers w:val="0"/>
              <w:jc w:val="left"/>
              <w:textAlignment w:val="top"/>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 xml:space="preserve"> 功能：提供每组电池的分断功能，可进行远程脱口，放置火灾险情发生；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特点：带远程脱扣功能，可与UPS监控进行联动；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参数：125A/40P,直流开关，支持远程脱扣。 </w:t>
            </w:r>
          </w:p>
        </w:tc>
        <w:tc>
          <w:tcPr>
            <w:tcW w:w="618" w:type="dxa"/>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563" w:type="dxa"/>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bCs/>
                <w:color w:val="auto"/>
                <w:sz w:val="24"/>
                <w:szCs w:val="24"/>
                <w:highlight w:val="none"/>
                <w:lang w:eastAsia="zh-CN"/>
              </w:rPr>
            </w:pPr>
            <w:r>
              <w:rPr>
                <w:rFonts w:hint="eastAsia" w:ascii="宋体" w:hAnsi="宋体" w:eastAsia="宋体" w:cs="宋体"/>
                <w:i w:val="0"/>
                <w:iCs w:val="0"/>
                <w:color w:val="000000"/>
                <w:kern w:val="0"/>
                <w:sz w:val="24"/>
                <w:szCs w:val="24"/>
                <w:u w:val="none"/>
                <w:lang w:val="en-US" w:eastAsia="zh-CN" w:bidi="ar"/>
              </w:rPr>
              <w:t xml:space="preserve"> 个 </w:t>
            </w:r>
          </w:p>
        </w:tc>
      </w:tr>
      <w:tr>
        <w:tblPrEx>
          <w:tblCellMar>
            <w:top w:w="0" w:type="dxa"/>
            <w:left w:w="108" w:type="dxa"/>
            <w:bottom w:w="0" w:type="dxa"/>
            <w:right w:w="108" w:type="dxa"/>
          </w:tblCellMar>
        </w:tblPrEx>
        <w:trPr>
          <w:trHeight w:val="1334" w:hRule="atLeast"/>
        </w:trPr>
        <w:tc>
          <w:tcPr>
            <w:tcW w:w="7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6</w:t>
            </w:r>
          </w:p>
        </w:tc>
        <w:tc>
          <w:tcPr>
            <w:tcW w:w="795" w:type="dxa"/>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 xml:space="preserve">备电附件 </w:t>
            </w:r>
          </w:p>
        </w:tc>
        <w:tc>
          <w:tcPr>
            <w:tcW w:w="6985" w:type="dxa"/>
            <w:gridSpan w:val="3"/>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40" w:lineRule="exact"/>
              <w:textAlignment w:val="auto"/>
              <w:rPr>
                <w:rFonts w:hint="eastAsia"/>
                <w:lang w:val="en-US" w:eastAsia="zh-CN"/>
              </w:rPr>
            </w:pPr>
            <w:r>
              <w:rPr>
                <w:rFonts w:hint="eastAsia"/>
                <w:lang w:val="en-US" w:eastAsia="zh-CN"/>
              </w:rPr>
              <w:t>1、暂定金额19000.00元，按19000.00元进行投标。</w:t>
            </w:r>
          </w:p>
          <w:p>
            <w:pPr>
              <w:pStyle w:val="2"/>
              <w:numPr>
                <w:ilvl w:val="0"/>
                <w:numId w:val="0"/>
              </w:numPr>
              <w:ind w:leftChars="0"/>
              <w:rPr>
                <w:rFonts w:hint="eastAsia" w:ascii="宋体" w:hAnsi="Times New Roman" w:eastAsia="宋体" w:cs="Times New Roman"/>
                <w:sz w:val="24"/>
                <w:szCs w:val="20"/>
                <w:lang w:val="en-US" w:eastAsia="zh-CN" w:bidi="ar-SA"/>
              </w:rPr>
            </w:pPr>
            <w:r>
              <w:rPr>
                <w:rFonts w:hint="eastAsia" w:ascii="宋体" w:cs="Times New Roman"/>
                <w:sz w:val="24"/>
                <w:szCs w:val="20"/>
                <w:lang w:val="en-US" w:eastAsia="zh-CN" w:bidi="ar-SA"/>
              </w:rPr>
              <w:t>2、</w:t>
            </w:r>
            <w:r>
              <w:rPr>
                <w:rFonts w:hint="eastAsia" w:ascii="宋体" w:hAnsi="Times New Roman" w:eastAsia="宋体" w:cs="Times New Roman"/>
                <w:sz w:val="24"/>
                <w:szCs w:val="20"/>
                <w:lang w:val="en-US" w:eastAsia="zh-CN" w:bidi="ar-SA"/>
              </w:rPr>
              <w:t>以满足实际需要及采购人要求为准</w:t>
            </w:r>
          </w:p>
          <w:p>
            <w:pPr>
              <w:keepNext w:val="0"/>
              <w:keepLines w:val="0"/>
              <w:widowControl/>
              <w:suppressLineNumbers w:val="0"/>
              <w:jc w:val="left"/>
              <w:textAlignment w:val="center"/>
              <w:rPr>
                <w:rFonts w:hint="eastAsia" w:ascii="宋体" w:hAnsi="宋体" w:eastAsia="宋体" w:cs="宋体"/>
                <w:bCs/>
                <w:color w:val="auto"/>
                <w:sz w:val="24"/>
                <w:szCs w:val="24"/>
                <w:highlight w:val="none"/>
              </w:rPr>
            </w:pPr>
            <w:r>
              <w:rPr>
                <w:rFonts w:hint="eastAsia" w:cs="Times New Roman"/>
                <w:sz w:val="24"/>
                <w:szCs w:val="20"/>
                <w:lang w:val="en-US" w:eastAsia="zh-CN" w:bidi="ar-SA"/>
              </w:rPr>
              <w:t>3、</w:t>
            </w:r>
            <w:r>
              <w:rPr>
                <w:rFonts w:hint="eastAsia" w:ascii="宋体" w:hAnsi="Times New Roman" w:eastAsia="宋体" w:cs="Times New Roman"/>
                <w:sz w:val="24"/>
                <w:szCs w:val="20"/>
                <w:lang w:val="en-US" w:eastAsia="zh-CN" w:bidi="ar-SA"/>
              </w:rPr>
              <w:t>最终结算价以审计或验收结论为准</w:t>
            </w:r>
          </w:p>
        </w:tc>
        <w:tc>
          <w:tcPr>
            <w:tcW w:w="618" w:type="dxa"/>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563" w:type="dxa"/>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bCs/>
                <w:color w:val="auto"/>
                <w:sz w:val="24"/>
                <w:szCs w:val="24"/>
                <w:highlight w:val="none"/>
                <w:lang w:eastAsia="zh-CN"/>
              </w:rPr>
            </w:pPr>
            <w:r>
              <w:rPr>
                <w:rFonts w:hint="eastAsia" w:ascii="宋体" w:hAnsi="宋体" w:eastAsia="宋体" w:cs="宋体"/>
                <w:i w:val="0"/>
                <w:iCs w:val="0"/>
                <w:color w:val="000000"/>
                <w:kern w:val="0"/>
                <w:sz w:val="24"/>
                <w:szCs w:val="24"/>
                <w:u w:val="none"/>
                <w:lang w:val="en-US" w:eastAsia="zh-CN" w:bidi="ar"/>
              </w:rPr>
              <w:t xml:space="preserve"> 套 </w:t>
            </w:r>
          </w:p>
        </w:tc>
      </w:tr>
      <w:tr>
        <w:tblPrEx>
          <w:tblCellMar>
            <w:top w:w="0" w:type="dxa"/>
            <w:left w:w="108" w:type="dxa"/>
            <w:bottom w:w="0" w:type="dxa"/>
            <w:right w:w="108" w:type="dxa"/>
          </w:tblCellMar>
        </w:tblPrEx>
        <w:trPr>
          <w:trHeight w:val="779" w:hRule="atLeast"/>
        </w:trPr>
        <w:tc>
          <w:tcPr>
            <w:tcW w:w="9749" w:type="dxa"/>
            <w:gridSpan w:val="7"/>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（三）、电线及附件</w:t>
            </w:r>
          </w:p>
        </w:tc>
      </w:tr>
      <w:tr>
        <w:tblPrEx>
          <w:tblCellMar>
            <w:top w:w="0" w:type="dxa"/>
            <w:left w:w="108" w:type="dxa"/>
            <w:bottom w:w="0" w:type="dxa"/>
            <w:right w:w="108" w:type="dxa"/>
          </w:tblCellMar>
        </w:tblPrEx>
        <w:trPr>
          <w:trHeight w:val="626" w:hRule="atLeast"/>
        </w:trPr>
        <w:tc>
          <w:tcPr>
            <w:tcW w:w="7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1</w:t>
            </w:r>
          </w:p>
        </w:tc>
        <w:tc>
          <w:tcPr>
            <w:tcW w:w="974" w:type="dxa"/>
            <w:gridSpan w:val="2"/>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空调</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线缆 </w:t>
            </w:r>
          </w:p>
        </w:tc>
        <w:tc>
          <w:tcPr>
            <w:tcW w:w="6806" w:type="dxa"/>
            <w:gridSpan w:val="2"/>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ZR-YJV5*10m㎡ </w:t>
            </w:r>
          </w:p>
        </w:tc>
        <w:tc>
          <w:tcPr>
            <w:tcW w:w="618" w:type="dxa"/>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80</w:t>
            </w:r>
          </w:p>
        </w:tc>
        <w:tc>
          <w:tcPr>
            <w:tcW w:w="563" w:type="dxa"/>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米</w:t>
            </w:r>
          </w:p>
        </w:tc>
      </w:tr>
      <w:tr>
        <w:tblPrEx>
          <w:tblCellMar>
            <w:top w:w="0" w:type="dxa"/>
            <w:left w:w="108" w:type="dxa"/>
            <w:bottom w:w="0" w:type="dxa"/>
            <w:right w:w="108" w:type="dxa"/>
          </w:tblCellMar>
        </w:tblPrEx>
        <w:trPr>
          <w:trHeight w:val="669" w:hRule="atLeast"/>
        </w:trPr>
        <w:tc>
          <w:tcPr>
            <w:tcW w:w="7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2</w:t>
            </w:r>
          </w:p>
        </w:tc>
        <w:tc>
          <w:tcPr>
            <w:tcW w:w="974" w:type="dxa"/>
            <w:gridSpan w:val="2"/>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机柜线缆 </w:t>
            </w:r>
          </w:p>
        </w:tc>
        <w:tc>
          <w:tcPr>
            <w:tcW w:w="6806" w:type="dxa"/>
            <w:gridSpan w:val="2"/>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ZR-RVV3*6m㎡ </w:t>
            </w:r>
          </w:p>
        </w:tc>
        <w:tc>
          <w:tcPr>
            <w:tcW w:w="618" w:type="dxa"/>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800</w:t>
            </w:r>
          </w:p>
        </w:tc>
        <w:tc>
          <w:tcPr>
            <w:tcW w:w="563" w:type="dxa"/>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米</w:t>
            </w:r>
          </w:p>
        </w:tc>
      </w:tr>
      <w:tr>
        <w:tblPrEx>
          <w:tblCellMar>
            <w:top w:w="0" w:type="dxa"/>
            <w:left w:w="108" w:type="dxa"/>
            <w:bottom w:w="0" w:type="dxa"/>
            <w:right w:w="108" w:type="dxa"/>
          </w:tblCellMar>
        </w:tblPrEx>
        <w:trPr>
          <w:trHeight w:val="981" w:hRule="atLeast"/>
        </w:trPr>
        <w:tc>
          <w:tcPr>
            <w:tcW w:w="7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3</w:t>
            </w:r>
          </w:p>
        </w:tc>
        <w:tc>
          <w:tcPr>
            <w:tcW w:w="974" w:type="dxa"/>
            <w:gridSpan w:val="2"/>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UPS输出输入线缆 </w:t>
            </w:r>
          </w:p>
        </w:tc>
        <w:tc>
          <w:tcPr>
            <w:tcW w:w="6806" w:type="dxa"/>
            <w:gridSpan w:val="2"/>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ZR-YJV-4*95+1*50m㎡ </w:t>
            </w:r>
          </w:p>
        </w:tc>
        <w:tc>
          <w:tcPr>
            <w:tcW w:w="618" w:type="dxa"/>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80</w:t>
            </w:r>
          </w:p>
        </w:tc>
        <w:tc>
          <w:tcPr>
            <w:tcW w:w="563" w:type="dxa"/>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米</w:t>
            </w:r>
          </w:p>
        </w:tc>
      </w:tr>
      <w:tr>
        <w:tblPrEx>
          <w:tblCellMar>
            <w:top w:w="0" w:type="dxa"/>
            <w:left w:w="108" w:type="dxa"/>
            <w:bottom w:w="0" w:type="dxa"/>
            <w:right w:w="108" w:type="dxa"/>
          </w:tblCellMar>
        </w:tblPrEx>
        <w:trPr>
          <w:trHeight w:val="981" w:hRule="atLeast"/>
        </w:trPr>
        <w:tc>
          <w:tcPr>
            <w:tcW w:w="7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4</w:t>
            </w:r>
          </w:p>
        </w:tc>
        <w:tc>
          <w:tcPr>
            <w:tcW w:w="974" w:type="dxa"/>
            <w:gridSpan w:val="2"/>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UPS主机到电池线缆 </w:t>
            </w:r>
          </w:p>
        </w:tc>
        <w:tc>
          <w:tcPr>
            <w:tcW w:w="6806" w:type="dxa"/>
            <w:gridSpan w:val="2"/>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ZR-BVR95m㎡,三色 </w:t>
            </w:r>
          </w:p>
        </w:tc>
        <w:tc>
          <w:tcPr>
            <w:tcW w:w="618" w:type="dxa"/>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200</w:t>
            </w:r>
          </w:p>
        </w:tc>
        <w:tc>
          <w:tcPr>
            <w:tcW w:w="563" w:type="dxa"/>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米</w:t>
            </w:r>
          </w:p>
        </w:tc>
      </w:tr>
      <w:tr>
        <w:tblPrEx>
          <w:tblCellMar>
            <w:top w:w="0" w:type="dxa"/>
            <w:left w:w="108" w:type="dxa"/>
            <w:bottom w:w="0" w:type="dxa"/>
            <w:right w:w="108" w:type="dxa"/>
          </w:tblCellMar>
        </w:tblPrEx>
        <w:trPr>
          <w:trHeight w:val="700" w:hRule="atLeast"/>
        </w:trPr>
        <w:tc>
          <w:tcPr>
            <w:tcW w:w="7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5</w:t>
            </w:r>
          </w:p>
        </w:tc>
        <w:tc>
          <w:tcPr>
            <w:tcW w:w="974" w:type="dxa"/>
            <w:gridSpan w:val="2"/>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电线相关附件 </w:t>
            </w:r>
          </w:p>
        </w:tc>
        <w:tc>
          <w:tcPr>
            <w:tcW w:w="6806" w:type="dxa"/>
            <w:gridSpan w:val="2"/>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1、暂定金额1</w:t>
            </w:r>
            <w:r>
              <w:rPr>
                <w:rFonts w:hint="eastAsia"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00.00元，按1</w:t>
            </w:r>
            <w:r>
              <w:rPr>
                <w:rFonts w:hint="eastAsia"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00.00元进行投标。</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2、以满足实际需要及采购人要求为准</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3、最终结算价以审计或验收结论为准</w:t>
            </w:r>
          </w:p>
        </w:tc>
        <w:tc>
          <w:tcPr>
            <w:tcW w:w="618" w:type="dxa"/>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563" w:type="dxa"/>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r>
      <w:tr>
        <w:tblPrEx>
          <w:tblCellMar>
            <w:top w:w="0" w:type="dxa"/>
            <w:left w:w="108" w:type="dxa"/>
            <w:bottom w:w="0" w:type="dxa"/>
            <w:right w:w="108" w:type="dxa"/>
          </w:tblCellMar>
        </w:tblPrEx>
        <w:trPr>
          <w:trHeight w:val="865" w:hRule="atLeast"/>
        </w:trPr>
        <w:tc>
          <w:tcPr>
            <w:tcW w:w="9749" w:type="dxa"/>
            <w:gridSpan w:val="7"/>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二、机柜及冷通道系统</w:t>
            </w:r>
          </w:p>
        </w:tc>
      </w:tr>
      <w:tr>
        <w:tblPrEx>
          <w:tblCellMar>
            <w:top w:w="0" w:type="dxa"/>
            <w:left w:w="108" w:type="dxa"/>
            <w:bottom w:w="0" w:type="dxa"/>
            <w:right w:w="108" w:type="dxa"/>
          </w:tblCellMar>
        </w:tblPrEx>
        <w:trPr>
          <w:trHeight w:val="865" w:hRule="atLeast"/>
        </w:trPr>
        <w:tc>
          <w:tcPr>
            <w:tcW w:w="7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1</w:t>
            </w:r>
          </w:p>
        </w:tc>
        <w:tc>
          <w:tcPr>
            <w:tcW w:w="974" w:type="dxa"/>
            <w:gridSpan w:val="2"/>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机柜 </w:t>
            </w:r>
          </w:p>
        </w:tc>
        <w:tc>
          <w:tcPr>
            <w:tcW w:w="6806" w:type="dxa"/>
            <w:gridSpan w:val="2"/>
            <w:tcBorders>
              <w:top w:val="single" w:color="auto" w:sz="6" w:space="0"/>
              <w:left w:val="nil"/>
              <w:bottom w:val="single" w:color="auto" w:sz="6" w:space="0"/>
              <w:right w:val="single" w:color="auto" w:sz="6"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功能：承载负载设备；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特点：静载承重高，可放置更多高密度设备。抗震达到9烈度，抗震效果更好；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1、尺寸：600(W)*1200(D)*2000(H)，前后网孔门，前门单开，后门双开；                                  2、静态承载能力不小于1500kg；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3、PDU：每台机柜配置两条32APDU,每个PDU含20个GB10A和2个GB16A；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4、网孔门开孔率：70%；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5、柜体材质：采用1mm-2mm厚高强度A级优质碳素冷轧钢板和镀锌板。表面涂层可满足不低于GB/T4054-1983中规定外观等级的二级要求；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6、水平理线架：每台机柜2个1U理线架；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7、处置理线单元：每台机柜配置6个；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8、导轨：每台机柜配置2对50Kg承重导轨。 </w:t>
            </w:r>
          </w:p>
        </w:tc>
        <w:tc>
          <w:tcPr>
            <w:tcW w:w="618" w:type="dxa"/>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563" w:type="dxa"/>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r>
      <w:tr>
        <w:tblPrEx>
          <w:tblCellMar>
            <w:top w:w="0" w:type="dxa"/>
            <w:left w:w="108" w:type="dxa"/>
            <w:bottom w:w="0" w:type="dxa"/>
            <w:right w:w="108" w:type="dxa"/>
          </w:tblCellMar>
        </w:tblPrEx>
        <w:trPr>
          <w:trHeight w:val="865" w:hRule="atLeast"/>
        </w:trPr>
        <w:tc>
          <w:tcPr>
            <w:tcW w:w="7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2</w:t>
            </w:r>
          </w:p>
        </w:tc>
        <w:tc>
          <w:tcPr>
            <w:tcW w:w="974" w:type="dxa"/>
            <w:gridSpan w:val="2"/>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双排机柜冷通道相关组件及附件 </w:t>
            </w:r>
          </w:p>
        </w:tc>
        <w:tc>
          <w:tcPr>
            <w:tcW w:w="6806" w:type="dxa"/>
            <w:gridSpan w:val="2"/>
            <w:tcBorders>
              <w:top w:val="single" w:color="auto" w:sz="6" w:space="0"/>
              <w:left w:val="nil"/>
              <w:bottom w:val="single" w:color="auto" w:sz="6" w:space="0"/>
              <w:right w:val="single" w:color="auto" w:sz="6"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定制12台机柜密封组件，功能：与机柜及精密空调一起组成完整的密封通道，提高制冷效率，并可以与消防进行联动；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特点：选材风格以机柜、空调一致，整体美观。内部部署温湿度传感器、摄像头、烟感、漏水检测等，机房监测功能齐全，可与机房动环系统对接；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参数：通道组件由天窗、端门、走线槽等组成，与服务器机柜、配电柜、行级精密空调组成密闭通道系统；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当消防系统启动时，天窗自动打开，消防气体喷放到通道内，实现灭火要求；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通道门采用双开推拉门，开启后应不妨碍机房内的通道通行及设备搬运。通道门及天窗采用钢化玻璃材质，厚度5mm，透光率90％；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封闭冷通道采用优质冷轧钢板，外观与数据设备机柜协调。封闭冷通道各部件具有足够的机械强度；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机柜顶部设置双排走线槽，分隔板用以分隔强电、弱电，根据线缆数量的不同，可以前后挪动隔板调整位置。 </w:t>
            </w:r>
          </w:p>
        </w:tc>
        <w:tc>
          <w:tcPr>
            <w:tcW w:w="618" w:type="dxa"/>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563" w:type="dxa"/>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r>
      <w:tr>
        <w:tblPrEx>
          <w:tblCellMar>
            <w:top w:w="0" w:type="dxa"/>
            <w:left w:w="108" w:type="dxa"/>
            <w:bottom w:w="0" w:type="dxa"/>
            <w:right w:w="108" w:type="dxa"/>
          </w:tblCellMar>
        </w:tblPrEx>
        <w:trPr>
          <w:trHeight w:val="662" w:hRule="atLeast"/>
        </w:trPr>
        <w:tc>
          <w:tcPr>
            <w:tcW w:w="7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3</w:t>
            </w:r>
          </w:p>
        </w:tc>
        <w:tc>
          <w:tcPr>
            <w:tcW w:w="974" w:type="dxa"/>
            <w:gridSpan w:val="2"/>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 设备支架 </w:t>
            </w:r>
          </w:p>
        </w:tc>
        <w:tc>
          <w:tcPr>
            <w:tcW w:w="6806" w:type="dxa"/>
            <w:gridSpan w:val="2"/>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国标50角铁焊接，含UPS、配电柜，机柜，空调等 </w:t>
            </w:r>
          </w:p>
        </w:tc>
        <w:tc>
          <w:tcPr>
            <w:tcW w:w="618" w:type="dxa"/>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563" w:type="dxa"/>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r>
      <w:tr>
        <w:tblPrEx>
          <w:tblCellMar>
            <w:top w:w="0" w:type="dxa"/>
            <w:left w:w="108" w:type="dxa"/>
            <w:bottom w:w="0" w:type="dxa"/>
            <w:right w:w="108" w:type="dxa"/>
          </w:tblCellMar>
        </w:tblPrEx>
        <w:trPr>
          <w:trHeight w:val="410" w:hRule="atLeast"/>
        </w:trPr>
        <w:tc>
          <w:tcPr>
            <w:tcW w:w="9749" w:type="dxa"/>
            <w:gridSpan w:val="7"/>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三、防雷接地</w:t>
            </w:r>
          </w:p>
        </w:tc>
      </w:tr>
      <w:tr>
        <w:tblPrEx>
          <w:tblCellMar>
            <w:top w:w="0" w:type="dxa"/>
            <w:left w:w="108" w:type="dxa"/>
            <w:bottom w:w="0" w:type="dxa"/>
            <w:right w:w="108" w:type="dxa"/>
          </w:tblCellMar>
        </w:tblPrEx>
        <w:trPr>
          <w:trHeight w:val="591" w:hRule="atLeast"/>
        </w:trPr>
        <w:tc>
          <w:tcPr>
            <w:tcW w:w="7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1</w:t>
            </w:r>
          </w:p>
        </w:tc>
        <w:tc>
          <w:tcPr>
            <w:tcW w:w="974" w:type="dxa"/>
            <w:gridSpan w:val="2"/>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接地线及附件</w:t>
            </w:r>
          </w:p>
        </w:tc>
        <w:tc>
          <w:tcPr>
            <w:tcW w:w="6806" w:type="dxa"/>
            <w:gridSpan w:val="2"/>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BVR6mm2双色（机柜）</w:t>
            </w:r>
          </w:p>
        </w:tc>
        <w:tc>
          <w:tcPr>
            <w:tcW w:w="618" w:type="dxa"/>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80</w:t>
            </w:r>
          </w:p>
        </w:tc>
        <w:tc>
          <w:tcPr>
            <w:tcW w:w="563" w:type="dxa"/>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米</w:t>
            </w:r>
          </w:p>
        </w:tc>
      </w:tr>
      <w:tr>
        <w:tblPrEx>
          <w:tblCellMar>
            <w:top w:w="0" w:type="dxa"/>
            <w:left w:w="108" w:type="dxa"/>
            <w:bottom w:w="0" w:type="dxa"/>
            <w:right w:w="108" w:type="dxa"/>
          </w:tblCellMar>
        </w:tblPrEx>
        <w:trPr>
          <w:trHeight w:val="477" w:hRule="atLeast"/>
        </w:trPr>
        <w:tc>
          <w:tcPr>
            <w:tcW w:w="9749" w:type="dxa"/>
            <w:gridSpan w:val="7"/>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四、空调系统</w:t>
            </w:r>
          </w:p>
        </w:tc>
      </w:tr>
      <w:tr>
        <w:tblPrEx>
          <w:tblCellMar>
            <w:top w:w="0" w:type="dxa"/>
            <w:left w:w="108" w:type="dxa"/>
            <w:bottom w:w="0" w:type="dxa"/>
            <w:right w:w="108" w:type="dxa"/>
          </w:tblCellMar>
        </w:tblPrEx>
        <w:trPr>
          <w:trHeight w:val="865" w:hRule="atLeast"/>
        </w:trPr>
        <w:tc>
          <w:tcPr>
            <w:tcW w:w="7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1</w:t>
            </w:r>
          </w:p>
        </w:tc>
        <w:tc>
          <w:tcPr>
            <w:tcW w:w="974" w:type="dxa"/>
            <w:gridSpan w:val="2"/>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精密</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空调 </w:t>
            </w:r>
          </w:p>
        </w:tc>
        <w:tc>
          <w:tcPr>
            <w:tcW w:w="6806" w:type="dxa"/>
            <w:gridSpan w:val="2"/>
            <w:tcBorders>
              <w:top w:val="single" w:color="auto" w:sz="6" w:space="0"/>
              <w:left w:val="nil"/>
              <w:bottom w:val="single" w:color="auto" w:sz="6" w:space="0"/>
              <w:right w:val="single" w:color="auto" w:sz="6"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1、制冷量：不小于40KW；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2、风量：不小于8500m^3/h；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3、送风方式：前送后回；</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4、加热量：6KW；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5、加湿量：3Kg/H；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6、压缩机：直流变频压缩机，按需制冷；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7、风机：EC风机，可自动调节转速；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8、制冷剂：环保制冷剂R410A；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9、通讯：标配RS485接口，支持MODBUS通讯协议。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10.机架式空调。 </w:t>
            </w:r>
          </w:p>
        </w:tc>
        <w:tc>
          <w:tcPr>
            <w:tcW w:w="618" w:type="dxa"/>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563" w:type="dxa"/>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r>
      <w:tr>
        <w:tblPrEx>
          <w:tblCellMar>
            <w:top w:w="0" w:type="dxa"/>
            <w:left w:w="108" w:type="dxa"/>
            <w:bottom w:w="0" w:type="dxa"/>
            <w:right w:w="108" w:type="dxa"/>
          </w:tblCellMar>
        </w:tblPrEx>
        <w:trPr>
          <w:trHeight w:val="90" w:hRule="atLeast"/>
        </w:trPr>
        <w:tc>
          <w:tcPr>
            <w:tcW w:w="7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2</w:t>
            </w:r>
          </w:p>
        </w:tc>
        <w:tc>
          <w:tcPr>
            <w:tcW w:w="974" w:type="dxa"/>
            <w:gridSpan w:val="2"/>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空调安装附件</w:t>
            </w:r>
          </w:p>
        </w:tc>
        <w:tc>
          <w:tcPr>
            <w:tcW w:w="6806" w:type="dxa"/>
            <w:gridSpan w:val="2"/>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空调软化水装置、保温管、铜管等附件</w:t>
            </w:r>
          </w:p>
        </w:tc>
        <w:tc>
          <w:tcPr>
            <w:tcW w:w="618" w:type="dxa"/>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563" w:type="dxa"/>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r>
      <w:tr>
        <w:tblPrEx>
          <w:tblCellMar>
            <w:top w:w="0" w:type="dxa"/>
            <w:left w:w="108" w:type="dxa"/>
            <w:bottom w:w="0" w:type="dxa"/>
            <w:right w:w="108" w:type="dxa"/>
          </w:tblCellMar>
        </w:tblPrEx>
        <w:trPr>
          <w:trHeight w:val="383" w:hRule="atLeast"/>
        </w:trPr>
        <w:tc>
          <w:tcPr>
            <w:tcW w:w="9749" w:type="dxa"/>
            <w:gridSpan w:val="7"/>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五、综合布线系统</w:t>
            </w:r>
          </w:p>
        </w:tc>
      </w:tr>
      <w:tr>
        <w:tblPrEx>
          <w:tblCellMar>
            <w:top w:w="0" w:type="dxa"/>
            <w:left w:w="108" w:type="dxa"/>
            <w:bottom w:w="0" w:type="dxa"/>
            <w:right w:w="108" w:type="dxa"/>
          </w:tblCellMar>
        </w:tblPrEx>
        <w:trPr>
          <w:trHeight w:val="513" w:hRule="atLeast"/>
        </w:trPr>
        <w:tc>
          <w:tcPr>
            <w:tcW w:w="7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1</w:t>
            </w:r>
          </w:p>
        </w:tc>
        <w:tc>
          <w:tcPr>
            <w:tcW w:w="1217" w:type="dxa"/>
            <w:gridSpan w:val="3"/>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配线架</w:t>
            </w:r>
          </w:p>
        </w:tc>
        <w:tc>
          <w:tcPr>
            <w:tcW w:w="6563" w:type="dxa"/>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24口类非屏蔽</w:t>
            </w:r>
          </w:p>
        </w:tc>
        <w:tc>
          <w:tcPr>
            <w:tcW w:w="618" w:type="dxa"/>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w:t>
            </w:r>
          </w:p>
        </w:tc>
        <w:tc>
          <w:tcPr>
            <w:tcW w:w="563" w:type="dxa"/>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r>
      <w:tr>
        <w:tblPrEx>
          <w:tblCellMar>
            <w:top w:w="0" w:type="dxa"/>
            <w:left w:w="108" w:type="dxa"/>
            <w:bottom w:w="0" w:type="dxa"/>
            <w:right w:w="108" w:type="dxa"/>
          </w:tblCellMar>
        </w:tblPrEx>
        <w:trPr>
          <w:trHeight w:val="528" w:hRule="atLeast"/>
        </w:trPr>
        <w:tc>
          <w:tcPr>
            <w:tcW w:w="7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2</w:t>
            </w:r>
          </w:p>
        </w:tc>
        <w:tc>
          <w:tcPr>
            <w:tcW w:w="1217" w:type="dxa"/>
            <w:gridSpan w:val="3"/>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理线器</w:t>
            </w:r>
          </w:p>
        </w:tc>
        <w:tc>
          <w:tcPr>
            <w:tcW w:w="6563" w:type="dxa"/>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1U</w:t>
            </w:r>
          </w:p>
        </w:tc>
        <w:tc>
          <w:tcPr>
            <w:tcW w:w="618" w:type="dxa"/>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w:t>
            </w:r>
          </w:p>
        </w:tc>
        <w:tc>
          <w:tcPr>
            <w:tcW w:w="563" w:type="dxa"/>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r>
      <w:tr>
        <w:tblPrEx>
          <w:tblCellMar>
            <w:top w:w="0" w:type="dxa"/>
            <w:left w:w="108" w:type="dxa"/>
            <w:bottom w:w="0" w:type="dxa"/>
            <w:right w:w="108" w:type="dxa"/>
          </w:tblCellMar>
        </w:tblPrEx>
        <w:trPr>
          <w:trHeight w:val="528" w:hRule="atLeast"/>
        </w:trPr>
        <w:tc>
          <w:tcPr>
            <w:tcW w:w="7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3</w:t>
            </w:r>
          </w:p>
        </w:tc>
        <w:tc>
          <w:tcPr>
            <w:tcW w:w="1217" w:type="dxa"/>
            <w:gridSpan w:val="3"/>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6类非屏蔽网线</w:t>
            </w:r>
          </w:p>
        </w:tc>
        <w:tc>
          <w:tcPr>
            <w:tcW w:w="6563" w:type="dxa"/>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305米/箱</w:t>
            </w:r>
          </w:p>
        </w:tc>
        <w:tc>
          <w:tcPr>
            <w:tcW w:w="618" w:type="dxa"/>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563" w:type="dxa"/>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箱</w:t>
            </w:r>
          </w:p>
        </w:tc>
      </w:tr>
      <w:tr>
        <w:tblPrEx>
          <w:tblCellMar>
            <w:top w:w="0" w:type="dxa"/>
            <w:left w:w="108" w:type="dxa"/>
            <w:bottom w:w="0" w:type="dxa"/>
            <w:right w:w="108" w:type="dxa"/>
          </w:tblCellMar>
        </w:tblPrEx>
        <w:trPr>
          <w:trHeight w:val="528" w:hRule="atLeast"/>
        </w:trPr>
        <w:tc>
          <w:tcPr>
            <w:tcW w:w="7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4</w:t>
            </w:r>
          </w:p>
        </w:tc>
        <w:tc>
          <w:tcPr>
            <w:tcW w:w="1217" w:type="dxa"/>
            <w:gridSpan w:val="3"/>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光纤跳线</w:t>
            </w:r>
          </w:p>
        </w:tc>
        <w:tc>
          <w:tcPr>
            <w:tcW w:w="6563" w:type="dxa"/>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定制</w:t>
            </w:r>
          </w:p>
        </w:tc>
        <w:tc>
          <w:tcPr>
            <w:tcW w:w="618" w:type="dxa"/>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80</w:t>
            </w:r>
          </w:p>
        </w:tc>
        <w:tc>
          <w:tcPr>
            <w:tcW w:w="563" w:type="dxa"/>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条</w:t>
            </w:r>
          </w:p>
        </w:tc>
      </w:tr>
      <w:tr>
        <w:tblPrEx>
          <w:tblCellMar>
            <w:top w:w="0" w:type="dxa"/>
            <w:left w:w="108" w:type="dxa"/>
            <w:bottom w:w="0" w:type="dxa"/>
            <w:right w:w="108" w:type="dxa"/>
          </w:tblCellMar>
        </w:tblPrEx>
        <w:trPr>
          <w:trHeight w:val="528" w:hRule="atLeast"/>
        </w:trPr>
        <w:tc>
          <w:tcPr>
            <w:tcW w:w="7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5</w:t>
            </w:r>
          </w:p>
        </w:tc>
        <w:tc>
          <w:tcPr>
            <w:tcW w:w="1217" w:type="dxa"/>
            <w:gridSpan w:val="3"/>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6类非屏蔽数据跳线</w:t>
            </w:r>
          </w:p>
        </w:tc>
        <w:tc>
          <w:tcPr>
            <w:tcW w:w="6563" w:type="dxa"/>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六类非屏蔽RJ45跳线(3米)</w:t>
            </w:r>
          </w:p>
        </w:tc>
        <w:tc>
          <w:tcPr>
            <w:tcW w:w="618" w:type="dxa"/>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300</w:t>
            </w:r>
          </w:p>
        </w:tc>
        <w:tc>
          <w:tcPr>
            <w:tcW w:w="563" w:type="dxa"/>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条</w:t>
            </w:r>
          </w:p>
        </w:tc>
      </w:tr>
      <w:tr>
        <w:tblPrEx>
          <w:tblCellMar>
            <w:top w:w="0" w:type="dxa"/>
            <w:left w:w="108" w:type="dxa"/>
            <w:bottom w:w="0" w:type="dxa"/>
            <w:right w:w="108" w:type="dxa"/>
          </w:tblCellMar>
        </w:tblPrEx>
        <w:trPr>
          <w:trHeight w:val="528" w:hRule="atLeast"/>
        </w:trPr>
        <w:tc>
          <w:tcPr>
            <w:tcW w:w="7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6</w:t>
            </w:r>
          </w:p>
        </w:tc>
        <w:tc>
          <w:tcPr>
            <w:tcW w:w="1217" w:type="dxa"/>
            <w:gridSpan w:val="3"/>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综合布线附件</w:t>
            </w:r>
          </w:p>
        </w:tc>
        <w:tc>
          <w:tcPr>
            <w:tcW w:w="6563" w:type="dxa"/>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含水晶头、扎带等</w:t>
            </w:r>
          </w:p>
        </w:tc>
        <w:tc>
          <w:tcPr>
            <w:tcW w:w="618" w:type="dxa"/>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563" w:type="dxa"/>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r>
      <w:tr>
        <w:tblPrEx>
          <w:tblCellMar>
            <w:top w:w="0" w:type="dxa"/>
            <w:left w:w="108" w:type="dxa"/>
            <w:bottom w:w="0" w:type="dxa"/>
            <w:right w:w="108" w:type="dxa"/>
          </w:tblCellMar>
        </w:tblPrEx>
        <w:trPr>
          <w:trHeight w:val="528" w:hRule="atLeast"/>
        </w:trPr>
        <w:tc>
          <w:tcPr>
            <w:tcW w:w="9749" w:type="dxa"/>
            <w:gridSpan w:val="7"/>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hAnsi="宋体" w:cs="宋体"/>
                <w:i w:val="0"/>
                <w:iCs w:val="0"/>
                <w:color w:val="000000"/>
                <w:kern w:val="0"/>
                <w:sz w:val="24"/>
                <w:szCs w:val="24"/>
                <w:u w:val="none"/>
                <w:lang w:val="en-US" w:eastAsia="zh-CN" w:bidi="ar"/>
              </w:rPr>
              <w:t>暂列金</w:t>
            </w:r>
          </w:p>
        </w:tc>
      </w:tr>
      <w:tr>
        <w:tblPrEx>
          <w:tblCellMar>
            <w:top w:w="0" w:type="dxa"/>
            <w:left w:w="108" w:type="dxa"/>
            <w:bottom w:w="0" w:type="dxa"/>
            <w:right w:w="108" w:type="dxa"/>
          </w:tblCellMar>
        </w:tblPrEx>
        <w:trPr>
          <w:trHeight w:val="905" w:hRule="atLeast"/>
        </w:trPr>
        <w:tc>
          <w:tcPr>
            <w:tcW w:w="788" w:type="dxa"/>
            <w:tcBorders>
              <w:top w:val="single" w:color="auto" w:sz="6" w:space="0"/>
              <w:left w:val="single" w:color="auto" w:sz="6" w:space="0"/>
              <w:bottom w:val="single" w:color="auto" w:sz="6" w:space="0"/>
              <w:right w:val="single" w:color="auto" w:sz="6" w:space="0"/>
            </w:tcBorders>
            <w:noWrap w:val="0"/>
            <w:vAlign w:val="center"/>
          </w:tcPr>
          <w:p>
            <w:pPr>
              <w:pStyle w:val="2"/>
              <w:ind w:firstLine="240" w:firstLineChars="100"/>
              <w:rPr>
                <w:rFonts w:hint="eastAsia"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1</w:t>
            </w:r>
          </w:p>
        </w:tc>
        <w:tc>
          <w:tcPr>
            <w:tcW w:w="1217" w:type="dxa"/>
            <w:gridSpan w:val="3"/>
            <w:tcBorders>
              <w:top w:val="single" w:color="auto" w:sz="6" w:space="0"/>
              <w:left w:val="nil"/>
              <w:bottom w:val="single" w:color="auto" w:sz="6" w:space="0"/>
              <w:right w:val="single" w:color="auto" w:sz="6" w:space="0"/>
            </w:tcBorders>
            <w:noWrap w:val="0"/>
            <w:vAlign w:val="center"/>
          </w:tcPr>
          <w:p>
            <w:pPr>
              <w:jc w:val="center"/>
              <w:rPr>
                <w:rFonts w:hint="eastAsia" w:ascii="宋体" w:hAnsi="宋体" w:eastAsia="宋体" w:cs="宋体"/>
                <w:i w:val="0"/>
                <w:iCs w:val="0"/>
                <w:color w:val="000000"/>
                <w:kern w:val="0"/>
                <w:sz w:val="24"/>
                <w:szCs w:val="24"/>
                <w:u w:val="none"/>
                <w:lang w:val="en-US" w:eastAsia="zh-CN" w:bidi="ar"/>
              </w:rPr>
            </w:pPr>
            <w:r>
              <w:rPr>
                <w:rFonts w:hint="eastAsia" w:hAnsi="宋体" w:cs="宋体"/>
                <w:bCs/>
                <w:color w:val="auto"/>
                <w:sz w:val="24"/>
                <w:szCs w:val="24"/>
                <w:highlight w:val="none"/>
                <w:lang w:eastAsia="zh-CN" w:bidi="ar"/>
              </w:rPr>
              <w:t>暂列金</w:t>
            </w:r>
          </w:p>
        </w:tc>
        <w:tc>
          <w:tcPr>
            <w:tcW w:w="6563"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textAlignment w:val="auto"/>
              <w:rPr>
                <w:rFonts w:hint="eastAsia" w:ascii="宋体" w:hAnsi="宋体" w:eastAsia="宋体" w:cs="宋体"/>
                <w:i w:val="0"/>
                <w:iCs w:val="0"/>
                <w:color w:val="000000"/>
                <w:kern w:val="0"/>
                <w:sz w:val="24"/>
                <w:szCs w:val="24"/>
                <w:u w:val="none"/>
                <w:lang w:val="en-US" w:eastAsia="zh-CN" w:bidi="ar"/>
              </w:rPr>
            </w:pPr>
            <w:r>
              <w:rPr>
                <w:rFonts w:hint="eastAsia"/>
                <w:lang w:val="en-US" w:eastAsia="zh-CN"/>
              </w:rPr>
              <w:t>暂定金额50000.00元，按50000.00元进行投标。</w:t>
            </w:r>
          </w:p>
        </w:tc>
        <w:tc>
          <w:tcPr>
            <w:tcW w:w="618" w:type="dxa"/>
            <w:tcBorders>
              <w:top w:val="single" w:color="auto" w:sz="6" w:space="0"/>
              <w:left w:val="nil"/>
              <w:bottom w:val="single" w:color="auto" w:sz="6" w:space="0"/>
              <w:right w:val="single" w:color="auto" w:sz="6" w:space="0"/>
            </w:tcBorders>
            <w:noWrap w:val="0"/>
            <w:vAlign w:val="center"/>
          </w:tcPr>
          <w:p>
            <w:pPr>
              <w:jc w:val="center"/>
              <w:rPr>
                <w:rFonts w:hint="eastAsia" w:ascii="宋体" w:hAnsi="宋体" w:eastAsia="宋体" w:cs="宋体"/>
                <w:i w:val="0"/>
                <w:iCs w:val="0"/>
                <w:color w:val="000000"/>
                <w:kern w:val="0"/>
                <w:sz w:val="24"/>
                <w:szCs w:val="24"/>
                <w:u w:val="none"/>
                <w:lang w:val="en-US" w:eastAsia="zh-CN" w:bidi="ar"/>
              </w:rPr>
            </w:pPr>
            <w:r>
              <w:rPr>
                <w:rFonts w:hint="eastAsia" w:hAnsi="宋体" w:cs="宋体"/>
                <w:bCs/>
                <w:color w:val="auto"/>
                <w:sz w:val="24"/>
                <w:szCs w:val="24"/>
                <w:highlight w:val="none"/>
                <w:lang w:val="en-US" w:eastAsia="zh-CN" w:bidi="ar"/>
              </w:rPr>
              <w:t>1</w:t>
            </w:r>
          </w:p>
        </w:tc>
        <w:tc>
          <w:tcPr>
            <w:tcW w:w="563" w:type="dxa"/>
            <w:tcBorders>
              <w:top w:val="single" w:color="auto" w:sz="6" w:space="0"/>
              <w:left w:val="nil"/>
              <w:bottom w:val="single" w:color="auto" w:sz="6" w:space="0"/>
              <w:right w:val="single" w:color="auto" w:sz="6" w:space="0"/>
            </w:tcBorders>
            <w:noWrap w:val="0"/>
            <w:vAlign w:val="center"/>
          </w:tcPr>
          <w:p>
            <w:pPr>
              <w:jc w:val="center"/>
              <w:rPr>
                <w:rFonts w:hint="eastAsia" w:ascii="宋体" w:hAnsi="宋体" w:eastAsia="宋体" w:cs="宋体"/>
                <w:i w:val="0"/>
                <w:iCs w:val="0"/>
                <w:color w:val="000000"/>
                <w:kern w:val="0"/>
                <w:sz w:val="24"/>
                <w:szCs w:val="24"/>
                <w:u w:val="none"/>
                <w:lang w:val="en-US" w:eastAsia="zh-CN" w:bidi="ar"/>
              </w:rPr>
            </w:pPr>
            <w:r>
              <w:rPr>
                <w:rFonts w:hint="eastAsia" w:hAnsi="宋体" w:cs="宋体"/>
                <w:bCs/>
                <w:color w:val="auto"/>
                <w:sz w:val="24"/>
                <w:szCs w:val="24"/>
                <w:highlight w:val="none"/>
                <w:lang w:eastAsia="zh-CN" w:bidi="ar"/>
              </w:rPr>
              <w:t>项</w:t>
            </w:r>
          </w:p>
        </w:tc>
      </w:tr>
    </w:tbl>
    <w:p>
      <w:pPr>
        <w:jc w:val="both"/>
        <w:outlineLvl w:val="0"/>
        <w:rPr>
          <w:rStyle w:val="43"/>
          <w:rFonts w:hint="eastAsia" w:ascii="楷体" w:hAnsi="楷体" w:eastAsia="楷体" w:cs="楷体"/>
          <w:b w:val="0"/>
          <w:bCs/>
          <w:sz w:val="28"/>
          <w:szCs w:val="18"/>
          <w:lang w:val="en-US" w:eastAsia="zh-CN"/>
        </w:rPr>
      </w:pPr>
      <w:r>
        <w:rPr>
          <w:rStyle w:val="43"/>
          <w:rFonts w:hint="eastAsia" w:ascii="楷体" w:hAnsi="楷体" w:eastAsia="楷体" w:cs="楷体"/>
          <w:b w:val="0"/>
          <w:bCs/>
          <w:sz w:val="28"/>
          <w:szCs w:val="18"/>
          <w:lang w:eastAsia="zh-CN"/>
        </w:rPr>
        <w:t>采购</w:t>
      </w:r>
      <w:r>
        <w:rPr>
          <w:rStyle w:val="43"/>
          <w:rFonts w:hint="eastAsia" w:ascii="楷体" w:hAnsi="楷体" w:eastAsia="楷体" w:cs="楷体"/>
          <w:b w:val="0"/>
          <w:bCs/>
          <w:sz w:val="28"/>
          <w:szCs w:val="18"/>
          <w:lang w:val="en-US" w:eastAsia="zh-CN"/>
        </w:rPr>
        <w:t>5包</w:t>
      </w:r>
    </w:p>
    <w:p>
      <w:pPr>
        <w:pStyle w:val="23"/>
        <w:spacing w:before="0" w:beforeAutospacing="0" w:after="0" w:afterAutospacing="0" w:line="360" w:lineRule="auto"/>
        <w:ind w:firstLine="630"/>
        <w:jc w:val="both"/>
        <w:textAlignment w:val="baseline"/>
        <w:rPr>
          <w:rFonts w:hint="eastAsia"/>
          <w:color w:val="auto"/>
          <w:highlight w:val="none"/>
          <w:shd w:val="clear" w:color="auto" w:fill="FFFFFF"/>
        </w:rPr>
      </w:pPr>
      <w:r>
        <w:rPr>
          <w:rFonts w:hint="eastAsia"/>
          <w:color w:val="auto"/>
          <w:highlight w:val="none"/>
          <w:shd w:val="clear" w:color="auto" w:fill="FFFFFF"/>
        </w:rPr>
        <w:t>合同包预算金额：7751945.40元</w:t>
      </w:r>
      <w:r>
        <w:rPr>
          <w:rFonts w:hint="eastAsia"/>
          <w:color w:val="auto"/>
          <w:highlight w:val="none"/>
          <w:shd w:val="clear" w:color="auto" w:fill="FFFFFF"/>
          <w:lang w:eastAsia="zh-CN"/>
        </w:rPr>
        <w:t>（含暂列金</w:t>
      </w:r>
      <w:r>
        <w:rPr>
          <w:rFonts w:hint="eastAsia"/>
          <w:color w:val="auto"/>
          <w:highlight w:val="none"/>
          <w:shd w:val="clear" w:color="auto" w:fill="FFFFFF"/>
          <w:lang w:val="en-US" w:eastAsia="zh-CN"/>
        </w:rPr>
        <w:t>50000.00元</w:t>
      </w:r>
      <w:r>
        <w:rPr>
          <w:rFonts w:hint="eastAsia"/>
          <w:color w:val="auto"/>
          <w:highlight w:val="none"/>
          <w:shd w:val="clear" w:color="auto" w:fill="FFFFFF"/>
          <w:lang w:eastAsia="zh-CN"/>
        </w:rPr>
        <w:t>）</w:t>
      </w:r>
    </w:p>
    <w:tbl>
      <w:tblPr>
        <w:tblStyle w:val="24"/>
        <w:tblW w:w="9791" w:type="dxa"/>
        <w:tblInd w:w="-200" w:type="dxa"/>
        <w:tblLayout w:type="fixed"/>
        <w:tblCellMar>
          <w:top w:w="0" w:type="dxa"/>
          <w:left w:w="0" w:type="dxa"/>
          <w:bottom w:w="0" w:type="dxa"/>
          <w:right w:w="0" w:type="dxa"/>
        </w:tblCellMar>
      </w:tblPr>
      <w:tblGrid>
        <w:gridCol w:w="785"/>
        <w:gridCol w:w="1773"/>
        <w:gridCol w:w="2024"/>
        <w:gridCol w:w="1418"/>
        <w:gridCol w:w="1240"/>
        <w:gridCol w:w="1582"/>
        <w:gridCol w:w="969"/>
      </w:tblGrid>
      <w:tr>
        <w:tblPrEx>
          <w:tblCellMar>
            <w:top w:w="0" w:type="dxa"/>
            <w:left w:w="0" w:type="dxa"/>
            <w:bottom w:w="0" w:type="dxa"/>
            <w:right w:w="0" w:type="dxa"/>
          </w:tblCellMar>
        </w:tblPrEx>
        <w:trPr>
          <w:trHeight w:val="728" w:hRule="atLeast"/>
          <w:tblHeader/>
        </w:trPr>
        <w:tc>
          <w:tcPr>
            <w:tcW w:w="78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360" w:lineRule="auto"/>
              <w:jc w:val="center"/>
              <w:textAlignment w:val="center"/>
              <w:rPr>
                <w:rFonts w:hint="eastAsia" w:ascii="宋体" w:hAnsi="宋体" w:cs="宋体"/>
                <w:b/>
                <w:bCs/>
                <w:color w:val="auto"/>
                <w:sz w:val="24"/>
                <w:szCs w:val="24"/>
                <w:highlight w:val="none"/>
              </w:rPr>
            </w:pPr>
            <w:r>
              <w:rPr>
                <w:rFonts w:hint="eastAsia" w:ascii="宋体" w:hAnsi="宋体" w:cs="宋体"/>
                <w:b/>
                <w:bCs/>
                <w:color w:val="auto"/>
                <w:kern w:val="0"/>
                <w:sz w:val="24"/>
                <w:szCs w:val="24"/>
                <w:highlight w:val="none"/>
                <w:lang w:bidi="ar"/>
              </w:rPr>
              <w:t>品目号</w:t>
            </w:r>
          </w:p>
        </w:tc>
        <w:tc>
          <w:tcPr>
            <w:tcW w:w="177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360" w:lineRule="auto"/>
              <w:jc w:val="center"/>
              <w:textAlignment w:val="center"/>
              <w:rPr>
                <w:rFonts w:hint="eastAsia" w:ascii="宋体" w:hAnsi="宋体" w:cs="宋体"/>
                <w:b/>
                <w:bCs/>
                <w:color w:val="auto"/>
                <w:sz w:val="24"/>
                <w:szCs w:val="24"/>
                <w:highlight w:val="none"/>
              </w:rPr>
            </w:pPr>
            <w:r>
              <w:rPr>
                <w:rFonts w:hint="eastAsia" w:ascii="宋体" w:hAnsi="宋体" w:cs="宋体"/>
                <w:b/>
                <w:bCs/>
                <w:color w:val="auto"/>
                <w:kern w:val="0"/>
                <w:sz w:val="24"/>
                <w:szCs w:val="24"/>
                <w:highlight w:val="none"/>
                <w:lang w:bidi="ar"/>
              </w:rPr>
              <w:t>品目名称</w:t>
            </w:r>
          </w:p>
        </w:tc>
        <w:tc>
          <w:tcPr>
            <w:tcW w:w="202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360" w:lineRule="auto"/>
              <w:jc w:val="center"/>
              <w:textAlignment w:val="center"/>
              <w:rPr>
                <w:rFonts w:hint="eastAsia" w:ascii="宋体" w:hAnsi="宋体" w:cs="宋体"/>
                <w:b/>
                <w:bCs/>
                <w:color w:val="auto"/>
                <w:sz w:val="24"/>
                <w:szCs w:val="24"/>
                <w:highlight w:val="none"/>
              </w:rPr>
            </w:pPr>
            <w:r>
              <w:rPr>
                <w:rFonts w:hint="eastAsia" w:ascii="宋体" w:hAnsi="宋体" w:cs="宋体"/>
                <w:b/>
                <w:bCs/>
                <w:color w:val="auto"/>
                <w:kern w:val="0"/>
                <w:sz w:val="24"/>
                <w:szCs w:val="24"/>
                <w:highlight w:val="none"/>
                <w:lang w:bidi="ar"/>
              </w:rPr>
              <w:t>采购标的</w:t>
            </w:r>
          </w:p>
        </w:tc>
        <w:tc>
          <w:tcPr>
            <w:tcW w:w="141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360" w:lineRule="auto"/>
              <w:jc w:val="center"/>
              <w:textAlignment w:val="center"/>
              <w:rPr>
                <w:rFonts w:hint="eastAsia" w:ascii="宋体" w:hAnsi="宋体" w:cs="宋体"/>
                <w:b/>
                <w:bCs/>
                <w:color w:val="auto"/>
                <w:kern w:val="0"/>
                <w:sz w:val="24"/>
                <w:szCs w:val="24"/>
                <w:highlight w:val="none"/>
                <w:lang w:bidi="ar"/>
              </w:rPr>
            </w:pPr>
            <w:r>
              <w:rPr>
                <w:rFonts w:hint="eastAsia" w:ascii="宋体" w:hAnsi="宋体" w:cs="宋体"/>
                <w:b/>
                <w:bCs/>
                <w:color w:val="auto"/>
                <w:kern w:val="0"/>
                <w:sz w:val="24"/>
                <w:szCs w:val="24"/>
                <w:highlight w:val="none"/>
                <w:lang w:bidi="ar"/>
              </w:rPr>
              <w:t>数量</w:t>
            </w:r>
          </w:p>
          <w:p>
            <w:pPr>
              <w:widowControl/>
              <w:wordWrap w:val="0"/>
              <w:spacing w:line="360" w:lineRule="auto"/>
              <w:jc w:val="center"/>
              <w:textAlignment w:val="center"/>
              <w:rPr>
                <w:rFonts w:hint="eastAsia" w:ascii="宋体" w:hAnsi="宋体" w:cs="宋体"/>
                <w:b/>
                <w:bCs/>
                <w:color w:val="auto"/>
                <w:sz w:val="24"/>
                <w:szCs w:val="24"/>
                <w:highlight w:val="none"/>
              </w:rPr>
            </w:pPr>
            <w:r>
              <w:rPr>
                <w:rFonts w:hint="eastAsia" w:ascii="宋体" w:hAnsi="宋体" w:cs="宋体"/>
                <w:b/>
                <w:bCs/>
                <w:color w:val="auto"/>
                <w:kern w:val="0"/>
                <w:sz w:val="24"/>
                <w:szCs w:val="24"/>
                <w:highlight w:val="none"/>
                <w:lang w:bidi="ar"/>
              </w:rPr>
              <w:t>（单位）</w:t>
            </w:r>
          </w:p>
        </w:tc>
        <w:tc>
          <w:tcPr>
            <w:tcW w:w="12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360" w:lineRule="auto"/>
              <w:jc w:val="center"/>
              <w:textAlignment w:val="center"/>
              <w:rPr>
                <w:rFonts w:hint="eastAsia" w:ascii="宋体" w:hAnsi="宋体" w:cs="宋体"/>
                <w:b/>
                <w:bCs/>
                <w:color w:val="auto"/>
                <w:sz w:val="24"/>
                <w:szCs w:val="24"/>
                <w:highlight w:val="none"/>
              </w:rPr>
            </w:pPr>
            <w:r>
              <w:rPr>
                <w:rFonts w:hint="eastAsia" w:ascii="宋体" w:hAnsi="宋体" w:cs="宋体"/>
                <w:b/>
                <w:bCs/>
                <w:color w:val="auto"/>
                <w:kern w:val="0"/>
                <w:sz w:val="24"/>
                <w:szCs w:val="24"/>
                <w:highlight w:val="none"/>
                <w:lang w:bidi="ar"/>
              </w:rPr>
              <w:t>技术规格、参数及要求</w:t>
            </w:r>
          </w:p>
        </w:tc>
        <w:tc>
          <w:tcPr>
            <w:tcW w:w="158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360" w:lineRule="auto"/>
              <w:jc w:val="center"/>
              <w:textAlignment w:val="center"/>
              <w:rPr>
                <w:rFonts w:hint="eastAsia" w:ascii="宋体" w:hAnsi="宋体" w:cs="宋体"/>
                <w:b/>
                <w:bCs/>
                <w:color w:val="auto"/>
                <w:sz w:val="24"/>
                <w:szCs w:val="24"/>
                <w:highlight w:val="none"/>
              </w:rPr>
            </w:pPr>
            <w:r>
              <w:rPr>
                <w:rFonts w:hint="eastAsia" w:ascii="宋体" w:hAnsi="宋体" w:cs="宋体"/>
                <w:b/>
                <w:bCs/>
                <w:color w:val="auto"/>
                <w:kern w:val="0"/>
                <w:sz w:val="24"/>
                <w:szCs w:val="24"/>
                <w:highlight w:val="none"/>
                <w:lang w:bidi="ar"/>
              </w:rPr>
              <w:t>品目预算(元)</w:t>
            </w:r>
          </w:p>
        </w:tc>
        <w:tc>
          <w:tcPr>
            <w:tcW w:w="96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360" w:lineRule="auto"/>
              <w:jc w:val="center"/>
              <w:textAlignment w:val="center"/>
              <w:rPr>
                <w:rFonts w:hint="eastAsia" w:ascii="宋体" w:hAnsi="宋体" w:cs="宋体"/>
                <w:b/>
                <w:bCs/>
                <w:color w:val="auto"/>
                <w:sz w:val="24"/>
                <w:szCs w:val="24"/>
                <w:highlight w:val="none"/>
              </w:rPr>
            </w:pPr>
            <w:r>
              <w:rPr>
                <w:rFonts w:hint="eastAsia" w:ascii="宋体" w:hAnsi="宋体" w:cs="宋体"/>
                <w:b/>
                <w:bCs/>
                <w:color w:val="auto"/>
                <w:kern w:val="0"/>
                <w:sz w:val="24"/>
                <w:szCs w:val="24"/>
                <w:highlight w:val="none"/>
                <w:lang w:bidi="ar"/>
              </w:rPr>
              <w:t>最高限价(元)</w:t>
            </w:r>
          </w:p>
        </w:tc>
      </w:tr>
      <w:tr>
        <w:tblPrEx>
          <w:tblCellMar>
            <w:top w:w="0" w:type="dxa"/>
            <w:left w:w="0" w:type="dxa"/>
            <w:bottom w:w="0" w:type="dxa"/>
            <w:right w:w="0" w:type="dxa"/>
          </w:tblCellMar>
        </w:tblPrEx>
        <w:trPr>
          <w:trHeight w:val="480" w:hRule="atLeast"/>
        </w:trPr>
        <w:tc>
          <w:tcPr>
            <w:tcW w:w="78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360" w:lineRule="auto"/>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1-1</w:t>
            </w:r>
          </w:p>
        </w:tc>
        <w:tc>
          <w:tcPr>
            <w:tcW w:w="177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主要包括基础设施、前端系统、系统存储等内容</w:t>
            </w:r>
          </w:p>
        </w:tc>
        <w:tc>
          <w:tcPr>
            <w:tcW w:w="202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center"/>
              <w:rPr>
                <w:rFonts w:hint="eastAsia" w:ascii="宋体" w:hAnsi="宋体" w:cs="宋体"/>
                <w:color w:val="auto"/>
                <w:sz w:val="24"/>
                <w:szCs w:val="24"/>
                <w:highlight w:val="none"/>
              </w:rPr>
            </w:pPr>
            <w:r>
              <w:rPr>
                <w:rFonts w:hint="eastAsia" w:hAnsi="宋体" w:cs="宋体"/>
                <w:color w:val="auto"/>
                <w:kern w:val="0"/>
                <w:sz w:val="24"/>
                <w:szCs w:val="24"/>
                <w:highlight w:val="none"/>
                <w:lang w:eastAsia="zh-CN" w:bidi="ar"/>
              </w:rPr>
              <w:t>微卡摄像机及补光灯</w:t>
            </w:r>
            <w:r>
              <w:rPr>
                <w:rFonts w:hint="eastAsia" w:hAnsi="宋体" w:cs="宋体"/>
                <w:color w:val="auto"/>
                <w:kern w:val="0"/>
                <w:sz w:val="24"/>
                <w:szCs w:val="24"/>
                <w:highlight w:val="none"/>
                <w:lang w:val="en-US" w:eastAsia="zh-CN" w:bidi="ar"/>
              </w:rPr>
              <w:t>100套，更换150个运维箱，大数据存储综合运维管理系统等</w:t>
            </w:r>
            <w:r>
              <w:rPr>
                <w:rFonts w:hint="eastAsia" w:ascii="宋体" w:hAnsi="宋体" w:cs="宋体"/>
                <w:color w:val="auto"/>
                <w:kern w:val="0"/>
                <w:sz w:val="24"/>
                <w:szCs w:val="24"/>
                <w:highlight w:val="none"/>
                <w:lang w:bidi="ar"/>
              </w:rPr>
              <w:t>。</w:t>
            </w:r>
          </w:p>
        </w:tc>
        <w:tc>
          <w:tcPr>
            <w:tcW w:w="141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360" w:lineRule="auto"/>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1(批)</w:t>
            </w:r>
          </w:p>
        </w:tc>
        <w:tc>
          <w:tcPr>
            <w:tcW w:w="12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360" w:lineRule="auto"/>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详见采购文件</w:t>
            </w:r>
          </w:p>
        </w:tc>
        <w:tc>
          <w:tcPr>
            <w:tcW w:w="158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spacing w:line="360" w:lineRule="auto"/>
              <w:jc w:val="right"/>
              <w:textAlignment w:val="center"/>
              <w:rPr>
                <w:rFonts w:hint="eastAsia" w:ascii="宋体" w:hAnsi="宋体" w:cs="宋体"/>
                <w:color w:val="auto"/>
                <w:sz w:val="24"/>
                <w:szCs w:val="24"/>
                <w:highlight w:val="none"/>
              </w:rPr>
            </w:pPr>
            <w:r>
              <w:rPr>
                <w:rFonts w:hint="eastAsia" w:ascii="宋体" w:hAnsi="宋体" w:cs="宋体"/>
                <w:color w:val="auto"/>
                <w:sz w:val="24"/>
                <w:szCs w:val="24"/>
                <w:highlight w:val="none"/>
              </w:rPr>
              <w:t>7751945.40</w:t>
            </w:r>
          </w:p>
        </w:tc>
        <w:tc>
          <w:tcPr>
            <w:tcW w:w="96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spacing w:line="360" w:lineRule="auto"/>
              <w:jc w:val="right"/>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w:t>
            </w:r>
          </w:p>
        </w:tc>
      </w:tr>
    </w:tbl>
    <w:p>
      <w:pPr>
        <w:pStyle w:val="23"/>
        <w:spacing w:before="0" w:beforeAutospacing="0" w:after="0" w:afterAutospacing="0" w:line="360" w:lineRule="auto"/>
        <w:ind w:firstLine="630"/>
        <w:jc w:val="both"/>
        <w:textAlignment w:val="baseline"/>
        <w:rPr>
          <w:rFonts w:hint="eastAsia"/>
          <w:color w:val="auto"/>
          <w:highlight w:val="none"/>
        </w:rPr>
      </w:pPr>
      <w:r>
        <w:rPr>
          <w:rFonts w:hint="eastAsia"/>
          <w:color w:val="auto"/>
          <w:highlight w:val="none"/>
          <w:shd w:val="clear" w:color="auto" w:fill="FFFFFF"/>
        </w:rPr>
        <w:t>本合同包不接受联合体投标</w:t>
      </w:r>
    </w:p>
    <w:p>
      <w:pPr>
        <w:pStyle w:val="23"/>
        <w:spacing w:before="0" w:beforeAutospacing="0" w:after="0" w:afterAutospacing="0" w:line="360" w:lineRule="auto"/>
        <w:ind w:firstLine="480" w:firstLineChars="200"/>
        <w:jc w:val="both"/>
        <w:textAlignment w:val="baseline"/>
        <w:rPr>
          <w:rFonts w:hint="eastAsia"/>
          <w:color w:val="auto"/>
          <w:highlight w:val="none"/>
          <w:shd w:val="clear" w:color="auto" w:fill="FFFFFF"/>
        </w:rPr>
      </w:pPr>
      <w:r>
        <w:rPr>
          <w:rFonts w:hint="eastAsia"/>
          <w:color w:val="auto"/>
          <w:highlight w:val="none"/>
          <w:shd w:val="clear" w:color="auto" w:fill="FFFFFF"/>
        </w:rPr>
        <w:t>合同履行期限：合同签订后</w:t>
      </w:r>
      <w:r>
        <w:rPr>
          <w:rFonts w:hint="eastAsia"/>
          <w:color w:val="auto"/>
          <w:highlight w:val="none"/>
          <w:shd w:val="clear" w:color="auto" w:fill="FFFFFF"/>
          <w:lang w:val="en-US" w:eastAsia="zh-CN"/>
        </w:rPr>
        <w:t>150</w:t>
      </w:r>
      <w:r>
        <w:rPr>
          <w:rFonts w:hint="eastAsia"/>
          <w:color w:val="auto"/>
          <w:highlight w:val="none"/>
          <w:shd w:val="clear" w:color="auto" w:fill="FFFFFF"/>
        </w:rPr>
        <w:t>天内</w:t>
      </w:r>
    </w:p>
    <w:p>
      <w:pPr>
        <w:pStyle w:val="23"/>
        <w:spacing w:before="0" w:beforeAutospacing="0" w:after="0" w:afterAutospacing="0" w:line="360" w:lineRule="auto"/>
        <w:ind w:firstLine="480" w:firstLineChars="200"/>
        <w:jc w:val="both"/>
        <w:textAlignment w:val="baseline"/>
        <w:rPr>
          <w:rFonts w:hint="eastAsia"/>
          <w:color w:val="auto"/>
          <w:highlight w:val="none"/>
          <w:shd w:val="clear" w:color="auto" w:fill="FFFFFF"/>
        </w:rPr>
      </w:pPr>
      <w:r>
        <w:rPr>
          <w:rFonts w:hint="eastAsia"/>
          <w:color w:val="auto"/>
          <w:highlight w:val="none"/>
          <w:shd w:val="clear" w:color="auto" w:fill="FFFFFF"/>
        </w:rPr>
        <w:t>采购内容及参数要求见附表</w:t>
      </w:r>
    </w:p>
    <w:tbl>
      <w:tblPr>
        <w:tblStyle w:val="24"/>
        <w:tblW w:w="9749" w:type="dxa"/>
        <w:tblInd w:w="-240" w:type="dxa"/>
        <w:tblLayout w:type="fixed"/>
        <w:tblCellMar>
          <w:top w:w="0" w:type="dxa"/>
          <w:left w:w="108" w:type="dxa"/>
          <w:bottom w:w="0" w:type="dxa"/>
          <w:right w:w="108" w:type="dxa"/>
        </w:tblCellMar>
      </w:tblPr>
      <w:tblGrid>
        <w:gridCol w:w="788"/>
        <w:gridCol w:w="795"/>
        <w:gridCol w:w="6985"/>
        <w:gridCol w:w="618"/>
        <w:gridCol w:w="563"/>
      </w:tblGrid>
      <w:tr>
        <w:tblPrEx>
          <w:tblCellMar>
            <w:top w:w="0" w:type="dxa"/>
            <w:left w:w="108" w:type="dxa"/>
            <w:bottom w:w="0" w:type="dxa"/>
            <w:right w:w="108" w:type="dxa"/>
          </w:tblCellMar>
        </w:tblPrEx>
        <w:trPr>
          <w:trHeight w:val="620" w:hRule="atLeast"/>
        </w:trPr>
        <w:tc>
          <w:tcPr>
            <w:tcW w:w="788"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lang w:bidi="ar"/>
              </w:rPr>
              <w:t>序号</w:t>
            </w:r>
          </w:p>
        </w:tc>
        <w:tc>
          <w:tcPr>
            <w:tcW w:w="795" w:type="dxa"/>
            <w:tcBorders>
              <w:top w:val="single" w:color="auto" w:sz="6" w:space="0"/>
              <w:left w:val="nil"/>
              <w:bottom w:val="single" w:color="auto" w:sz="6" w:space="0"/>
              <w:right w:val="single" w:color="auto" w:sz="6" w:space="0"/>
            </w:tcBorders>
            <w:shd w:val="clear" w:color="auto" w:fill="FFFFFF"/>
            <w:noWrap w:val="0"/>
            <w:vAlign w:val="center"/>
          </w:tcPr>
          <w:p>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lang w:bidi="ar"/>
              </w:rPr>
              <w:t>设备名称</w:t>
            </w:r>
          </w:p>
        </w:tc>
        <w:tc>
          <w:tcPr>
            <w:tcW w:w="6985" w:type="dxa"/>
            <w:tcBorders>
              <w:top w:val="single" w:color="auto" w:sz="6" w:space="0"/>
              <w:left w:val="nil"/>
              <w:bottom w:val="single" w:color="auto" w:sz="6" w:space="0"/>
              <w:right w:val="single" w:color="auto" w:sz="6" w:space="0"/>
            </w:tcBorders>
            <w:shd w:val="clear" w:color="auto" w:fill="FFFFFF"/>
            <w:noWrap w:val="0"/>
            <w:vAlign w:val="center"/>
          </w:tcPr>
          <w:p>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lang w:bidi="ar"/>
              </w:rPr>
              <w:t>技术参数</w:t>
            </w:r>
          </w:p>
        </w:tc>
        <w:tc>
          <w:tcPr>
            <w:tcW w:w="618" w:type="dxa"/>
            <w:tcBorders>
              <w:top w:val="single" w:color="auto" w:sz="6" w:space="0"/>
              <w:left w:val="nil"/>
              <w:bottom w:val="single" w:color="auto" w:sz="6" w:space="0"/>
              <w:right w:val="single" w:color="auto" w:sz="6" w:space="0"/>
            </w:tcBorders>
            <w:shd w:val="clear" w:color="auto" w:fill="FFFFFF"/>
            <w:noWrap w:val="0"/>
            <w:vAlign w:val="center"/>
          </w:tcPr>
          <w:p>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lang w:bidi="ar"/>
              </w:rPr>
              <w:t>数量</w:t>
            </w:r>
          </w:p>
        </w:tc>
        <w:tc>
          <w:tcPr>
            <w:tcW w:w="563" w:type="dxa"/>
            <w:tcBorders>
              <w:top w:val="single" w:color="auto" w:sz="6" w:space="0"/>
              <w:left w:val="nil"/>
              <w:bottom w:val="single" w:color="auto" w:sz="6" w:space="0"/>
              <w:right w:val="single" w:color="auto" w:sz="6" w:space="0"/>
            </w:tcBorders>
            <w:shd w:val="clear" w:color="auto" w:fill="FFFFFF"/>
            <w:noWrap w:val="0"/>
            <w:vAlign w:val="center"/>
          </w:tcPr>
          <w:p>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lang w:bidi="ar"/>
              </w:rPr>
              <w:t>单位</w:t>
            </w:r>
          </w:p>
        </w:tc>
      </w:tr>
      <w:tr>
        <w:tblPrEx>
          <w:tblCellMar>
            <w:top w:w="0" w:type="dxa"/>
            <w:left w:w="108" w:type="dxa"/>
            <w:bottom w:w="0" w:type="dxa"/>
            <w:right w:w="108" w:type="dxa"/>
          </w:tblCellMar>
        </w:tblPrEx>
        <w:trPr>
          <w:trHeight w:val="1525" w:hRule="atLeast"/>
        </w:trPr>
        <w:tc>
          <w:tcPr>
            <w:tcW w:w="788"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lang w:bidi="ar"/>
              </w:rPr>
              <w:t>1</w:t>
            </w:r>
          </w:p>
        </w:tc>
        <w:tc>
          <w:tcPr>
            <w:tcW w:w="795" w:type="dxa"/>
            <w:tcBorders>
              <w:top w:val="single" w:color="auto" w:sz="6" w:space="0"/>
              <w:left w:val="nil"/>
              <w:bottom w:val="single" w:color="auto" w:sz="6" w:space="0"/>
              <w:right w:val="single" w:color="auto" w:sz="6" w:space="0"/>
            </w:tcBorders>
            <w:noWrap w:val="0"/>
            <w:vAlign w:val="center"/>
          </w:tcPr>
          <w:p>
            <w:pPr>
              <w:jc w:val="center"/>
              <w:rPr>
                <w:rFonts w:hint="eastAsia" w:ascii="宋体" w:hAnsi="宋体" w:cs="宋体"/>
                <w:bCs/>
                <w:color w:val="auto"/>
                <w:sz w:val="24"/>
                <w:szCs w:val="24"/>
                <w:highlight w:val="none"/>
              </w:rPr>
            </w:pPr>
            <w:r>
              <w:rPr>
                <w:rFonts w:hint="eastAsia" w:hAnsi="宋体" w:cs="宋体"/>
                <w:color w:val="auto"/>
                <w:sz w:val="24"/>
                <w:szCs w:val="24"/>
                <w:highlight w:val="none"/>
                <w:lang w:eastAsia="zh-CN"/>
              </w:rPr>
              <w:t>人脸人体抓拍摄像机</w:t>
            </w:r>
          </w:p>
        </w:tc>
        <w:tc>
          <w:tcPr>
            <w:tcW w:w="6985" w:type="dxa"/>
            <w:tcBorders>
              <w:top w:val="single" w:color="auto" w:sz="6" w:space="0"/>
              <w:left w:val="nil"/>
              <w:bottom w:val="single" w:color="auto" w:sz="6" w:space="0"/>
              <w:right w:val="single" w:color="auto" w:sz="6" w:space="0"/>
            </w:tcBorders>
            <w:noWrap w:val="0"/>
            <w:vAlign w:val="center"/>
          </w:tcPr>
          <w:p>
            <w:pPr>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支持输出＞2路视频图像；</w:t>
            </w:r>
          </w:p>
          <w:p>
            <w:pPr>
              <w:rPr>
                <w:rFonts w:hint="eastAsia" w:ascii="宋体" w:hAnsi="宋体" w:cs="宋体"/>
                <w:bCs/>
                <w:color w:val="auto"/>
                <w:sz w:val="24"/>
                <w:szCs w:val="24"/>
                <w:highlight w:val="none"/>
              </w:rPr>
            </w:pPr>
            <w:r>
              <w:rPr>
                <w:rFonts w:hint="eastAsia" w:ascii="宋体" w:hAnsi="宋体" w:cs="宋体"/>
                <w:bCs/>
                <w:color w:val="auto"/>
                <w:sz w:val="24"/>
                <w:szCs w:val="24"/>
                <w:highlight w:val="none"/>
              </w:rPr>
              <w:t>全部镜头CMOS靶面尺寸均≥1/1.8英寸；</w:t>
            </w:r>
          </w:p>
          <w:p>
            <w:pPr>
              <w:rPr>
                <w:rFonts w:hint="eastAsia" w:ascii="宋体" w:hAnsi="宋体" w:cs="宋体"/>
                <w:bCs/>
                <w:color w:val="auto"/>
                <w:sz w:val="24"/>
                <w:szCs w:val="24"/>
                <w:highlight w:val="none"/>
              </w:rPr>
            </w:pPr>
            <w:r>
              <w:rPr>
                <w:rFonts w:hint="eastAsia" w:ascii="宋体" w:hAnsi="宋体" w:cs="宋体"/>
                <w:bCs/>
                <w:color w:val="auto"/>
                <w:sz w:val="24"/>
                <w:szCs w:val="24"/>
                <w:highlight w:val="none"/>
              </w:rPr>
              <w:t>内置≥4个GPU芯片；</w:t>
            </w:r>
          </w:p>
          <w:p>
            <w:pPr>
              <w:rPr>
                <w:rFonts w:hint="eastAsia" w:ascii="宋体" w:hAnsi="宋体" w:cs="宋体"/>
                <w:bCs/>
                <w:color w:val="auto"/>
                <w:sz w:val="24"/>
                <w:szCs w:val="24"/>
                <w:highlight w:val="none"/>
              </w:rPr>
            </w:pPr>
            <w:r>
              <w:rPr>
                <w:rFonts w:hint="eastAsia" w:ascii="宋体" w:hAnsi="宋体" w:cs="宋体"/>
                <w:bCs/>
                <w:color w:val="auto"/>
                <w:sz w:val="24"/>
                <w:szCs w:val="24"/>
                <w:highlight w:val="none"/>
              </w:rPr>
              <w:t>细节和球机光学变倍≥4倍，细节通道最大焦距≥30mm，球机通道最大焦距≥50mm；全景通道焦距≥6mm；</w:t>
            </w:r>
          </w:p>
          <w:p>
            <w:pPr>
              <w:rPr>
                <w:rFonts w:hint="eastAsia" w:ascii="宋体" w:hAnsi="宋体" w:cs="宋体"/>
                <w:bCs/>
                <w:color w:val="auto"/>
                <w:sz w:val="24"/>
                <w:szCs w:val="24"/>
                <w:highlight w:val="none"/>
              </w:rPr>
            </w:pPr>
            <w:r>
              <w:rPr>
                <w:rFonts w:hint="eastAsia" w:ascii="宋体" w:hAnsi="宋体" w:cs="宋体"/>
                <w:bCs/>
                <w:color w:val="auto"/>
                <w:sz w:val="24"/>
                <w:szCs w:val="24"/>
                <w:highlight w:val="none"/>
              </w:rPr>
              <w:t>最低照度：彩色≤0.0002Lux，黑白≤0.0001Lux；</w:t>
            </w:r>
          </w:p>
          <w:p>
            <w:pPr>
              <w:rPr>
                <w:rFonts w:hint="eastAsia" w:ascii="宋体" w:hAnsi="宋体" w:cs="宋体"/>
                <w:bCs/>
                <w:color w:val="auto"/>
                <w:sz w:val="24"/>
                <w:szCs w:val="24"/>
                <w:highlight w:val="none"/>
              </w:rPr>
            </w:pPr>
            <w:r>
              <w:rPr>
                <w:rFonts w:hint="eastAsia" w:ascii="宋体" w:hAnsi="宋体" w:cs="宋体"/>
                <w:bCs/>
                <w:color w:val="auto"/>
                <w:sz w:val="24"/>
                <w:szCs w:val="24"/>
                <w:highlight w:val="none"/>
              </w:rPr>
              <w:t>补光灯：≥10颗补光灯，其中全景≥2颗补光灯，细节≥4颗补光灯，球机≥4颗补光灯；</w:t>
            </w:r>
          </w:p>
          <w:p>
            <w:pPr>
              <w:rPr>
                <w:rFonts w:hint="eastAsia" w:ascii="宋体" w:hAnsi="宋体" w:cs="宋体"/>
                <w:bCs/>
                <w:color w:val="auto"/>
                <w:sz w:val="24"/>
                <w:szCs w:val="24"/>
                <w:highlight w:val="none"/>
              </w:rPr>
            </w:pPr>
            <w:r>
              <w:rPr>
                <w:rFonts w:hint="eastAsia" w:ascii="宋体" w:hAnsi="宋体" w:cs="宋体"/>
                <w:bCs/>
                <w:color w:val="auto"/>
                <w:sz w:val="24"/>
                <w:szCs w:val="24"/>
                <w:highlight w:val="none"/>
              </w:rPr>
              <w:t>全景、细节和球机通道均支持分别或同时对行人、非机动车、机动车进行检测、跟踪、抓拍，并支持人脸、车牌、非机动车车牌抠图；</w:t>
            </w:r>
          </w:p>
          <w:p>
            <w:pPr>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★支持车牌人脸进行关联，支持非机动车牌与非机动车上的人脸进行关联；</w:t>
            </w:r>
          </w:p>
          <w:p>
            <w:pPr>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支持两种智能资源模式切换：联动抓拍模式、三路全结构化模式；</w:t>
            </w:r>
          </w:p>
          <w:p>
            <w:pPr>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支持人员自动检测并联动球机镜头进行快速锁定抓拍，提供满足人脸比对的图片，并进行人体人脸关联；</w:t>
            </w:r>
          </w:p>
          <w:p>
            <w:pPr>
              <w:rPr>
                <w:rFonts w:hint="eastAsia" w:ascii="宋体" w:hAnsi="宋体" w:cs="宋体"/>
                <w:bCs/>
                <w:color w:val="auto"/>
                <w:sz w:val="24"/>
                <w:szCs w:val="24"/>
                <w:highlight w:val="none"/>
              </w:rPr>
            </w:pPr>
            <w:r>
              <w:rPr>
                <w:rFonts w:hint="eastAsia" w:ascii="宋体" w:hAnsi="宋体" w:cs="宋体"/>
                <w:bCs/>
                <w:color w:val="auto"/>
                <w:sz w:val="24"/>
                <w:szCs w:val="24"/>
                <w:highlight w:val="none"/>
              </w:rPr>
              <w:t>★在摄像机全景通道检测到移动目标后（全景检测宽度≥14米），能够通过联动球机进行人脸、人体的抓拍和属性分析；</w:t>
            </w:r>
          </w:p>
          <w:p>
            <w:pPr>
              <w:rPr>
                <w:rFonts w:hint="eastAsia" w:ascii="宋体" w:hAnsi="宋体" w:cs="宋体"/>
                <w:bCs/>
                <w:color w:val="auto"/>
                <w:sz w:val="24"/>
                <w:szCs w:val="24"/>
                <w:highlight w:val="none"/>
              </w:rPr>
            </w:pPr>
            <w:r>
              <w:rPr>
                <w:rFonts w:hint="eastAsia" w:ascii="宋体" w:hAnsi="宋体" w:cs="宋体"/>
                <w:bCs/>
                <w:color w:val="auto"/>
                <w:sz w:val="24"/>
                <w:szCs w:val="24"/>
                <w:highlight w:val="none"/>
              </w:rPr>
              <w:t>全景和细节通道支持分辨率≥2560x1440；</w:t>
            </w:r>
          </w:p>
          <w:p>
            <w:pPr>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支持人体、车辆轨迹叠加；</w:t>
            </w:r>
          </w:p>
          <w:p>
            <w:pPr>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★支持GB 35114-2017标准A级、GB/T 28181-2016标准、GA/T 1400-2017标准；</w:t>
            </w:r>
          </w:p>
          <w:p>
            <w:pPr>
              <w:rPr>
                <w:rFonts w:hint="eastAsia" w:ascii="宋体" w:hAnsi="宋体" w:cs="宋体"/>
                <w:bCs/>
                <w:color w:val="auto"/>
                <w:sz w:val="24"/>
                <w:szCs w:val="24"/>
                <w:highlight w:val="none"/>
              </w:rPr>
            </w:pPr>
            <w:r>
              <w:rPr>
                <w:rFonts w:hint="eastAsia" w:ascii="宋体" w:hAnsi="宋体" w:cs="宋体"/>
                <w:bCs/>
                <w:color w:val="auto"/>
                <w:sz w:val="24"/>
                <w:szCs w:val="24"/>
                <w:highlight w:val="none"/>
              </w:rPr>
              <w:t>标“★”项需</w:t>
            </w:r>
            <w:r>
              <w:rPr>
                <w:rFonts w:hint="eastAsia" w:hAnsi="宋体" w:cs="宋体"/>
                <w:bCs/>
                <w:color w:val="auto"/>
                <w:sz w:val="24"/>
                <w:szCs w:val="24"/>
                <w:highlight w:val="none"/>
                <w:lang w:eastAsia="zh-CN"/>
              </w:rPr>
              <w:t>提供国家级或部级第三方检测鉴定机构出具的检测报告复印件并加盖生产商的红色印章</w:t>
            </w:r>
            <w:r>
              <w:rPr>
                <w:rFonts w:hint="eastAsia" w:ascii="宋体" w:hAnsi="宋体" w:cs="宋体"/>
                <w:bCs/>
                <w:color w:val="auto"/>
                <w:sz w:val="24"/>
                <w:szCs w:val="24"/>
                <w:highlight w:val="none"/>
              </w:rPr>
              <w:t>；</w:t>
            </w:r>
          </w:p>
          <w:p>
            <w:pPr>
              <w:rPr>
                <w:rFonts w:hint="eastAsia" w:ascii="宋体" w:hAnsi="宋体" w:cs="宋体"/>
                <w:bCs/>
                <w:color w:val="auto"/>
                <w:sz w:val="24"/>
                <w:szCs w:val="24"/>
                <w:highlight w:val="none"/>
              </w:rPr>
            </w:pPr>
            <w:r>
              <w:rPr>
                <w:rFonts w:hint="eastAsia" w:ascii="宋体" w:hAnsi="宋体" w:cs="宋体"/>
                <w:bCs/>
                <w:color w:val="auto"/>
                <w:sz w:val="24"/>
                <w:szCs w:val="24"/>
                <w:highlight w:val="none"/>
              </w:rPr>
              <w:t>(该摄像机含电源及支架)</w:t>
            </w:r>
          </w:p>
        </w:tc>
        <w:tc>
          <w:tcPr>
            <w:tcW w:w="618" w:type="dxa"/>
            <w:tcBorders>
              <w:top w:val="single" w:color="auto" w:sz="6" w:space="0"/>
              <w:left w:val="nil"/>
              <w:bottom w:val="single" w:color="auto" w:sz="6" w:space="0"/>
              <w:right w:val="single" w:color="auto" w:sz="6" w:space="0"/>
            </w:tcBorders>
            <w:noWrap w:val="0"/>
            <w:vAlign w:val="center"/>
          </w:tcPr>
          <w:p>
            <w:pPr>
              <w:jc w:val="center"/>
              <w:rPr>
                <w:rFonts w:hint="default" w:ascii="宋体" w:hAnsi="宋体" w:eastAsia="宋体" w:cs="宋体"/>
                <w:bCs/>
                <w:color w:val="auto"/>
                <w:sz w:val="24"/>
                <w:szCs w:val="24"/>
                <w:highlight w:val="none"/>
                <w:lang w:val="en-US" w:eastAsia="zh-CN"/>
              </w:rPr>
            </w:pPr>
            <w:r>
              <w:rPr>
                <w:rFonts w:hint="eastAsia" w:hAnsi="宋体" w:cs="宋体"/>
                <w:bCs/>
                <w:color w:val="auto"/>
                <w:sz w:val="24"/>
                <w:szCs w:val="24"/>
                <w:highlight w:val="none"/>
                <w:lang w:val="en-US" w:eastAsia="zh-CN" w:bidi="ar"/>
              </w:rPr>
              <w:t>100</w:t>
            </w:r>
          </w:p>
        </w:tc>
        <w:tc>
          <w:tcPr>
            <w:tcW w:w="563" w:type="dxa"/>
            <w:tcBorders>
              <w:top w:val="single" w:color="auto" w:sz="6" w:space="0"/>
              <w:left w:val="nil"/>
              <w:bottom w:val="single" w:color="auto" w:sz="6" w:space="0"/>
              <w:right w:val="single" w:color="auto" w:sz="6" w:space="0"/>
            </w:tcBorders>
            <w:noWrap w:val="0"/>
            <w:vAlign w:val="center"/>
          </w:tcPr>
          <w:p>
            <w:pPr>
              <w:jc w:val="center"/>
              <w:rPr>
                <w:rFonts w:hint="eastAsia" w:ascii="宋体" w:hAnsi="宋体" w:eastAsia="宋体" w:cs="宋体"/>
                <w:bCs/>
                <w:color w:val="auto"/>
                <w:sz w:val="24"/>
                <w:szCs w:val="24"/>
                <w:highlight w:val="none"/>
                <w:lang w:eastAsia="zh-CN"/>
              </w:rPr>
            </w:pPr>
            <w:r>
              <w:rPr>
                <w:rFonts w:hint="eastAsia" w:hAnsi="宋体" w:cs="宋体"/>
                <w:bCs/>
                <w:color w:val="auto"/>
                <w:sz w:val="24"/>
                <w:szCs w:val="24"/>
                <w:highlight w:val="none"/>
                <w:lang w:eastAsia="zh-CN"/>
              </w:rPr>
              <w:t>台</w:t>
            </w:r>
          </w:p>
        </w:tc>
      </w:tr>
      <w:tr>
        <w:tblPrEx>
          <w:tblCellMar>
            <w:top w:w="0" w:type="dxa"/>
            <w:left w:w="108" w:type="dxa"/>
            <w:bottom w:w="0" w:type="dxa"/>
            <w:right w:w="108" w:type="dxa"/>
          </w:tblCellMar>
        </w:tblPrEx>
        <w:trPr>
          <w:trHeight w:val="1525" w:hRule="atLeast"/>
        </w:trPr>
        <w:tc>
          <w:tcPr>
            <w:tcW w:w="788"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宋体" w:hAnsi="宋体" w:eastAsia="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2</w:t>
            </w:r>
          </w:p>
        </w:tc>
        <w:tc>
          <w:tcPr>
            <w:tcW w:w="795" w:type="dxa"/>
            <w:tcBorders>
              <w:top w:val="single" w:color="auto" w:sz="6" w:space="0"/>
              <w:left w:val="nil"/>
              <w:bottom w:val="single" w:color="auto" w:sz="6" w:space="0"/>
              <w:right w:val="single" w:color="auto" w:sz="6" w:space="0"/>
            </w:tcBorders>
            <w:noWrap w:val="0"/>
            <w:vAlign w:val="center"/>
          </w:tcPr>
          <w:p>
            <w:pPr>
              <w:jc w:val="center"/>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eastAsia="zh-CN"/>
              </w:rPr>
              <w:t>人脸抓拍摄像机</w:t>
            </w:r>
          </w:p>
        </w:tc>
        <w:tc>
          <w:tcPr>
            <w:tcW w:w="6985" w:type="dxa"/>
            <w:tcBorders>
              <w:top w:val="single" w:color="auto" w:sz="6" w:space="0"/>
              <w:left w:val="nil"/>
              <w:bottom w:val="single" w:color="auto" w:sz="6" w:space="0"/>
              <w:right w:val="single" w:color="auto" w:sz="6" w:space="0"/>
            </w:tcBorders>
            <w:noWrap w:val="0"/>
            <w:vAlign w:val="center"/>
          </w:tcPr>
          <w:p>
            <w:pPr>
              <w:rPr>
                <w:rFonts w:hint="eastAsia" w:ascii="宋体" w:hAnsi="宋体" w:cs="宋体"/>
                <w:bCs/>
                <w:color w:val="auto"/>
                <w:sz w:val="24"/>
                <w:szCs w:val="24"/>
                <w:highlight w:val="none"/>
              </w:rPr>
            </w:pPr>
            <w:r>
              <w:rPr>
                <w:rFonts w:hint="eastAsia" w:ascii="宋体" w:hAnsi="宋体" w:cs="宋体"/>
                <w:bCs/>
                <w:color w:val="auto"/>
                <w:sz w:val="24"/>
                <w:szCs w:val="24"/>
                <w:highlight w:val="none"/>
              </w:rPr>
              <w:t>设备支持上下双通道镜头，上通道内置电动变焦镜头，操作便易，变焦过程平稳；下通道定焦全彩镜头，满足低照度下的监控需求；</w:t>
            </w:r>
          </w:p>
          <w:p>
            <w:pPr>
              <w:rPr>
                <w:rFonts w:hint="eastAsia" w:ascii="宋体" w:hAnsi="宋体" w:cs="宋体"/>
                <w:bCs/>
                <w:color w:val="auto"/>
                <w:sz w:val="24"/>
                <w:szCs w:val="24"/>
                <w:highlight w:val="none"/>
              </w:rPr>
            </w:pPr>
            <w:r>
              <w:rPr>
                <w:rFonts w:hint="eastAsia" w:ascii="宋体" w:hAnsi="宋体" w:cs="宋体"/>
                <w:bCs/>
                <w:color w:val="auto"/>
                <w:sz w:val="24"/>
                <w:szCs w:val="24"/>
                <w:highlight w:val="none"/>
              </w:rPr>
              <w:t>传感器类型: 通道1：≥1/1.8" Progressive Scan CMOS；通道2：≥1/2.7" Progressive Scan CMOS；</w:t>
            </w:r>
          </w:p>
          <w:p>
            <w:pPr>
              <w:rPr>
                <w:rFonts w:hint="eastAsia" w:ascii="宋体" w:hAnsi="宋体" w:cs="宋体"/>
                <w:bCs/>
                <w:color w:val="auto"/>
                <w:sz w:val="24"/>
                <w:szCs w:val="24"/>
                <w:highlight w:val="none"/>
              </w:rPr>
            </w:pPr>
            <w:r>
              <w:rPr>
                <w:rFonts w:hint="eastAsia" w:ascii="宋体" w:hAnsi="宋体" w:cs="宋体"/>
                <w:bCs/>
                <w:color w:val="auto"/>
                <w:sz w:val="24"/>
                <w:szCs w:val="24"/>
                <w:highlight w:val="none"/>
              </w:rPr>
              <w:t>焦距：通道1：通道1：5~20 mm：通道2：4 mm;</w:t>
            </w:r>
          </w:p>
          <w:p>
            <w:pPr>
              <w:rPr>
                <w:rFonts w:hint="eastAsia" w:ascii="宋体" w:hAnsi="宋体" w:cs="宋体"/>
                <w:bCs/>
                <w:color w:val="auto"/>
                <w:sz w:val="24"/>
                <w:szCs w:val="24"/>
                <w:highlight w:val="none"/>
              </w:rPr>
            </w:pPr>
            <w:r>
              <w:rPr>
                <w:rFonts w:hint="eastAsia" w:ascii="宋体" w:hAnsi="宋体" w:cs="宋体"/>
                <w:bCs/>
                <w:color w:val="auto"/>
                <w:sz w:val="24"/>
                <w:szCs w:val="24"/>
                <w:highlight w:val="none"/>
              </w:rPr>
              <w:t>内置GPU芯片；</w:t>
            </w:r>
          </w:p>
          <w:p>
            <w:pPr>
              <w:rPr>
                <w:rFonts w:hint="eastAsia" w:ascii="宋体" w:hAnsi="宋体" w:cs="宋体"/>
                <w:bCs/>
                <w:color w:val="auto"/>
                <w:sz w:val="24"/>
                <w:szCs w:val="24"/>
                <w:highlight w:val="none"/>
              </w:rPr>
            </w:pPr>
            <w:r>
              <w:rPr>
                <w:rFonts w:hint="eastAsia" w:ascii="宋体" w:hAnsi="宋体" w:cs="宋体"/>
                <w:bCs/>
                <w:color w:val="auto"/>
                <w:sz w:val="24"/>
                <w:szCs w:val="24"/>
                <w:highlight w:val="none"/>
              </w:rPr>
              <w:t>像素：≥400万；</w:t>
            </w:r>
          </w:p>
          <w:p>
            <w:pPr>
              <w:rPr>
                <w:rFonts w:hint="eastAsia" w:ascii="宋体" w:hAnsi="宋体" w:cs="宋体"/>
                <w:bCs/>
                <w:color w:val="auto"/>
                <w:sz w:val="24"/>
                <w:szCs w:val="24"/>
                <w:highlight w:val="none"/>
              </w:rPr>
            </w:pPr>
            <w:r>
              <w:rPr>
                <w:rFonts w:hint="eastAsia" w:ascii="宋体" w:hAnsi="宋体" w:cs="宋体"/>
                <w:bCs/>
                <w:color w:val="auto"/>
                <w:sz w:val="24"/>
                <w:szCs w:val="24"/>
                <w:highlight w:val="none"/>
              </w:rPr>
              <w:t>需采用先进的黑光技术，最低照度彩色不大于0.0002 lx，黑白不大于0.0001 lx；</w:t>
            </w:r>
          </w:p>
          <w:p>
            <w:pPr>
              <w:rPr>
                <w:rFonts w:hint="eastAsia" w:ascii="宋体" w:hAnsi="宋体" w:cs="宋体"/>
                <w:bCs/>
                <w:color w:val="auto"/>
                <w:sz w:val="24"/>
                <w:szCs w:val="24"/>
                <w:highlight w:val="none"/>
              </w:rPr>
            </w:pPr>
            <w:r>
              <w:rPr>
                <w:rFonts w:hint="eastAsia" w:ascii="宋体" w:hAnsi="宋体" w:cs="宋体"/>
                <w:bCs/>
                <w:color w:val="auto"/>
                <w:sz w:val="24"/>
                <w:szCs w:val="24"/>
                <w:highlight w:val="none"/>
              </w:rPr>
              <w:t>★内置至少4颗混合补+A7:C8光灯，每颗灯由红外灯、白光灯组成，在开启白光灯或混合补光灯时，可输出彩色视频图像；</w:t>
            </w:r>
          </w:p>
          <w:p>
            <w:pPr>
              <w:rPr>
                <w:rFonts w:hint="eastAsia" w:ascii="宋体" w:hAnsi="宋体" w:cs="宋体"/>
                <w:bCs/>
                <w:color w:val="auto"/>
                <w:sz w:val="24"/>
                <w:szCs w:val="24"/>
                <w:highlight w:val="none"/>
              </w:rPr>
            </w:pPr>
            <w:r>
              <w:rPr>
                <w:rFonts w:hint="eastAsia" w:ascii="宋体" w:hAnsi="宋体" w:cs="宋体"/>
                <w:bCs/>
                <w:color w:val="auto"/>
                <w:sz w:val="24"/>
                <w:szCs w:val="24"/>
                <w:highlight w:val="none"/>
              </w:rPr>
              <w:t>宽动态能力≥120dB；</w:t>
            </w:r>
          </w:p>
          <w:p>
            <w:pPr>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支持数据感知功能，能够同时支持≥10路客户端和≥5路web端事件布防，并且设备在布防时间段内支持主动上传感知数据，断网重连后，报警信息与报警图片可继续上传；</w:t>
            </w:r>
          </w:p>
          <w:p>
            <w:pPr>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★支持检出两眼瞳距≥20像素点的人脸图片；</w:t>
            </w:r>
          </w:p>
          <w:p>
            <w:pPr>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支持人脸比对，比对准确率≥99%</w:t>
            </w:r>
          </w:p>
          <w:p>
            <w:pPr>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支持侧脸过滤功能，可过滤上下、左右角度达到预设值的人脸；</w:t>
            </w:r>
          </w:p>
          <w:p>
            <w:pPr>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支持人脸比对，比对准确率≥99%；</w:t>
            </w:r>
          </w:p>
          <w:p>
            <w:pPr>
              <w:rPr>
                <w:rFonts w:hint="eastAsia" w:ascii="宋体" w:hAnsi="宋体" w:cs="宋体"/>
                <w:bCs/>
                <w:color w:val="auto"/>
                <w:sz w:val="24"/>
                <w:szCs w:val="24"/>
                <w:highlight w:val="none"/>
              </w:rPr>
            </w:pPr>
            <w:r>
              <w:rPr>
                <w:rFonts w:hint="eastAsia" w:ascii="宋体" w:hAnsi="宋体" w:cs="宋体"/>
                <w:bCs/>
                <w:color w:val="auto"/>
                <w:sz w:val="24"/>
                <w:szCs w:val="24"/>
                <w:highlight w:val="none"/>
              </w:rPr>
              <w:t>★防护等级≥IP68、≥IK10；</w:t>
            </w:r>
          </w:p>
          <w:p>
            <w:pPr>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支持对镜头前盖玻璃加热，去除玻璃上的冰状和水状附着物；</w:t>
            </w:r>
          </w:p>
          <w:p>
            <w:pPr>
              <w:rPr>
                <w:rFonts w:hint="eastAsia" w:ascii="宋体" w:hAnsi="宋体" w:cs="宋体"/>
                <w:bCs/>
                <w:color w:val="auto"/>
                <w:sz w:val="24"/>
                <w:szCs w:val="24"/>
                <w:highlight w:val="none"/>
              </w:rPr>
            </w:pPr>
            <w:r>
              <w:rPr>
                <w:rFonts w:hint="eastAsia" w:ascii="宋体" w:hAnsi="宋体" w:cs="宋体"/>
                <w:bCs/>
                <w:color w:val="auto"/>
                <w:sz w:val="24"/>
                <w:szCs w:val="24"/>
                <w:highlight w:val="none"/>
              </w:rPr>
              <w:t>射频电磁场辐射抗扰度应符合GB/T 17626.3-2006中试验等级3的规定；</w:t>
            </w:r>
          </w:p>
          <w:p>
            <w:pPr>
              <w:rPr>
                <w:rFonts w:hint="eastAsia" w:ascii="宋体" w:hAnsi="宋体" w:cs="宋体"/>
                <w:bCs/>
                <w:color w:val="auto"/>
                <w:sz w:val="24"/>
                <w:szCs w:val="24"/>
                <w:highlight w:val="none"/>
              </w:rPr>
            </w:pPr>
            <w:r>
              <w:rPr>
                <w:rFonts w:hint="eastAsia" w:ascii="宋体" w:hAnsi="宋体" w:cs="宋体"/>
                <w:bCs/>
                <w:color w:val="auto"/>
                <w:sz w:val="24"/>
                <w:szCs w:val="24"/>
                <w:highlight w:val="none"/>
              </w:rPr>
              <w:t>传导骚扰极限值应符合GB/T 9254-2008中等级A的规定；</w:t>
            </w:r>
          </w:p>
          <w:p>
            <w:pPr>
              <w:rPr>
                <w:rFonts w:hint="eastAsia" w:ascii="宋体" w:hAnsi="宋体" w:cs="宋体"/>
                <w:bCs/>
                <w:color w:val="auto"/>
                <w:sz w:val="24"/>
                <w:szCs w:val="24"/>
                <w:highlight w:val="none"/>
              </w:rPr>
            </w:pPr>
            <w:r>
              <w:rPr>
                <w:rFonts w:hint="eastAsia" w:ascii="宋体" w:hAnsi="宋体" w:cs="宋体"/>
                <w:bCs/>
                <w:color w:val="auto"/>
                <w:sz w:val="24"/>
                <w:szCs w:val="24"/>
                <w:highlight w:val="none"/>
              </w:rPr>
              <w:t>辐射骚扰限值应符合GB/T 9254-2008中等级A的规定；</w:t>
            </w:r>
          </w:p>
          <w:p>
            <w:pPr>
              <w:rPr>
                <w:rFonts w:hint="eastAsia" w:ascii="宋体" w:hAnsi="宋体" w:cs="宋体"/>
                <w:bCs/>
                <w:color w:val="auto"/>
                <w:sz w:val="24"/>
                <w:szCs w:val="24"/>
                <w:highlight w:val="none"/>
              </w:rPr>
            </w:pPr>
            <w:r>
              <w:rPr>
                <w:rFonts w:hint="eastAsia" w:ascii="宋体" w:hAnsi="宋体" w:cs="宋体"/>
                <w:bCs/>
                <w:color w:val="auto"/>
                <w:sz w:val="24"/>
                <w:szCs w:val="24"/>
                <w:highlight w:val="none"/>
              </w:rPr>
              <w:t>★支持GB 35114-2017标准A级、GB/T 28181-2016标准、GA/T 1400-2017标准；</w:t>
            </w:r>
          </w:p>
          <w:p>
            <w:pPr>
              <w:rPr>
                <w:rFonts w:hint="eastAsia" w:ascii="宋体" w:hAnsi="宋体" w:cs="宋体"/>
                <w:bCs/>
                <w:color w:val="auto"/>
                <w:sz w:val="24"/>
                <w:szCs w:val="24"/>
                <w:highlight w:val="none"/>
              </w:rPr>
            </w:pPr>
            <w:r>
              <w:rPr>
                <w:rFonts w:hint="eastAsia" w:ascii="宋体" w:hAnsi="宋体" w:cs="宋体"/>
                <w:bCs/>
                <w:color w:val="auto"/>
                <w:sz w:val="24"/>
                <w:szCs w:val="24"/>
                <w:highlight w:val="none"/>
              </w:rPr>
              <w:t>标“★”项需</w:t>
            </w:r>
            <w:r>
              <w:rPr>
                <w:rFonts w:hint="eastAsia" w:hAnsi="宋体" w:cs="宋体"/>
                <w:bCs/>
                <w:color w:val="auto"/>
                <w:sz w:val="24"/>
                <w:szCs w:val="24"/>
                <w:highlight w:val="none"/>
                <w:lang w:eastAsia="zh-CN"/>
              </w:rPr>
              <w:t>提供国家级或部级第三方检测鉴定机构出具的检测报告复印件并加盖生产商的红色印章</w:t>
            </w:r>
            <w:r>
              <w:rPr>
                <w:rFonts w:hint="eastAsia" w:ascii="宋体" w:hAnsi="宋体" w:cs="宋体"/>
                <w:bCs/>
                <w:color w:val="auto"/>
                <w:sz w:val="24"/>
                <w:szCs w:val="24"/>
                <w:highlight w:val="none"/>
              </w:rPr>
              <w:t>；</w:t>
            </w:r>
          </w:p>
          <w:p>
            <w:pPr>
              <w:rPr>
                <w:rFonts w:hint="eastAsia" w:ascii="宋体" w:hAnsi="宋体" w:cs="宋体"/>
                <w:bCs/>
                <w:color w:val="auto"/>
                <w:sz w:val="24"/>
                <w:szCs w:val="24"/>
                <w:highlight w:val="none"/>
              </w:rPr>
            </w:pPr>
            <w:r>
              <w:rPr>
                <w:rFonts w:hint="eastAsia" w:ascii="宋体" w:hAnsi="宋体" w:cs="宋体"/>
                <w:bCs/>
                <w:color w:val="auto"/>
                <w:sz w:val="24"/>
                <w:szCs w:val="24"/>
                <w:highlight w:val="none"/>
              </w:rPr>
              <w:t>(该摄像机含电源及支架)</w:t>
            </w:r>
          </w:p>
        </w:tc>
        <w:tc>
          <w:tcPr>
            <w:tcW w:w="618" w:type="dxa"/>
            <w:tcBorders>
              <w:top w:val="single" w:color="auto" w:sz="6" w:space="0"/>
              <w:left w:val="nil"/>
              <w:bottom w:val="single" w:color="auto" w:sz="6" w:space="0"/>
              <w:right w:val="single" w:color="auto" w:sz="6" w:space="0"/>
            </w:tcBorders>
            <w:noWrap w:val="0"/>
            <w:vAlign w:val="center"/>
          </w:tcPr>
          <w:p>
            <w:pPr>
              <w:jc w:val="center"/>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100</w:t>
            </w:r>
          </w:p>
        </w:tc>
        <w:tc>
          <w:tcPr>
            <w:tcW w:w="563"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bCs/>
                <w:color w:val="auto"/>
                <w:sz w:val="24"/>
                <w:szCs w:val="24"/>
                <w:highlight w:val="none"/>
                <w:lang w:eastAsia="zh-CN"/>
              </w:rPr>
            </w:pPr>
            <w:r>
              <w:rPr>
                <w:rFonts w:hint="eastAsia" w:hAnsi="宋体" w:cs="宋体"/>
                <w:bCs/>
                <w:color w:val="auto"/>
                <w:sz w:val="24"/>
                <w:szCs w:val="24"/>
                <w:highlight w:val="none"/>
                <w:lang w:eastAsia="zh-CN"/>
              </w:rPr>
              <w:t>台</w:t>
            </w:r>
          </w:p>
        </w:tc>
      </w:tr>
      <w:tr>
        <w:tblPrEx>
          <w:tblCellMar>
            <w:top w:w="0" w:type="dxa"/>
            <w:left w:w="108" w:type="dxa"/>
            <w:bottom w:w="0" w:type="dxa"/>
            <w:right w:w="108" w:type="dxa"/>
          </w:tblCellMar>
        </w:tblPrEx>
        <w:trPr>
          <w:trHeight w:val="1525" w:hRule="atLeast"/>
        </w:trPr>
        <w:tc>
          <w:tcPr>
            <w:tcW w:w="788"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3</w:t>
            </w:r>
          </w:p>
        </w:tc>
        <w:tc>
          <w:tcPr>
            <w:tcW w:w="795"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color w:val="auto"/>
                <w:sz w:val="24"/>
                <w:szCs w:val="24"/>
                <w:highlight w:val="none"/>
                <w:lang w:eastAsia="zh-CN"/>
              </w:rPr>
            </w:pPr>
            <w:r>
              <w:rPr>
                <w:rFonts w:hint="eastAsia" w:hAnsi="宋体" w:cs="宋体"/>
                <w:color w:val="auto"/>
                <w:sz w:val="24"/>
                <w:szCs w:val="24"/>
                <w:highlight w:val="none"/>
                <w:lang w:val="en-US" w:eastAsia="zh-CN" w:bidi="ar"/>
              </w:rPr>
              <w:t>3.5</w:t>
            </w:r>
            <w:r>
              <w:rPr>
                <w:rFonts w:hint="eastAsia" w:ascii="宋体" w:hAnsi="宋体" w:cs="宋体"/>
                <w:color w:val="auto"/>
                <w:sz w:val="24"/>
                <w:szCs w:val="24"/>
                <w:highlight w:val="none"/>
                <w:lang w:bidi="ar"/>
              </w:rPr>
              <w:t>m立杆</w:t>
            </w:r>
          </w:p>
        </w:tc>
        <w:tc>
          <w:tcPr>
            <w:tcW w:w="6985" w:type="dxa"/>
            <w:tcBorders>
              <w:top w:val="single" w:color="auto" w:sz="6" w:space="0"/>
              <w:left w:val="nil"/>
              <w:bottom w:val="single" w:color="auto" w:sz="6" w:space="0"/>
              <w:right w:val="single" w:color="auto" w:sz="6" w:space="0"/>
            </w:tcBorders>
            <w:noWrap w:val="0"/>
            <w:vAlign w:val="center"/>
          </w:tcPr>
          <w:p>
            <w:pPr>
              <w:numPr>
                <w:ilvl w:val="0"/>
                <w:numId w:val="0"/>
              </w:numPr>
              <w:textAlignment w:val="center"/>
              <w:rPr>
                <w:rFonts w:hint="eastAsia"/>
                <w:lang w:eastAsia="zh-CN"/>
              </w:rPr>
            </w:pPr>
            <w:r>
              <w:rPr>
                <w:rFonts w:hint="eastAsia"/>
                <w:lang w:val="en-US" w:eastAsia="zh-CN"/>
              </w:rPr>
              <w:t>1、国标热镀锌优质金属圆杆，钢材材质均为Q235，3.5m，立柱Φ140*4mm*3.5m</w:t>
            </w:r>
          </w:p>
          <w:p>
            <w:pPr>
              <w:numPr>
                <w:ilvl w:val="0"/>
                <w:numId w:val="0"/>
              </w:numPr>
              <w:textAlignment w:val="center"/>
              <w:rPr>
                <w:rFonts w:hint="eastAsia"/>
                <w:lang w:eastAsia="zh-CN"/>
              </w:rPr>
            </w:pPr>
            <w:r>
              <w:rPr>
                <w:rFonts w:hint="eastAsia"/>
                <w:lang w:val="en-US" w:eastAsia="zh-CN"/>
              </w:rPr>
              <w:t>2、3.5</w:t>
            </w:r>
            <w:r>
              <w:rPr>
                <w:rFonts w:hint="eastAsia"/>
                <w:lang w:eastAsia="zh-CN"/>
              </w:rPr>
              <w:t>m立杆横臂（国标热镀锌，横臂Φ89*3mm*3m）</w:t>
            </w:r>
          </w:p>
          <w:p>
            <w:pPr>
              <w:pStyle w:val="2"/>
              <w:numPr>
                <w:ilvl w:val="0"/>
                <w:numId w:val="0"/>
              </w:numPr>
              <w:tabs>
                <w:tab w:val="left" w:pos="406"/>
              </w:tabs>
              <w:ind w:leftChars="0"/>
              <w:rPr>
                <w:rFonts w:hint="eastAsia" w:ascii="宋体" w:hAnsi="Times New Roman" w:eastAsia="宋体" w:cs="Times New Roman"/>
                <w:sz w:val="24"/>
                <w:szCs w:val="20"/>
                <w:lang w:val="en-US" w:eastAsia="zh-CN" w:bidi="ar-SA"/>
              </w:rPr>
            </w:pPr>
            <w:r>
              <w:rPr>
                <w:rFonts w:hint="eastAsia" w:ascii="宋体" w:hAnsi="Times New Roman" w:eastAsia="宋体" w:cs="Times New Roman"/>
                <w:sz w:val="24"/>
                <w:szCs w:val="20"/>
                <w:lang w:val="en-US" w:eastAsia="zh-CN" w:bidi="ar-SA"/>
              </w:rPr>
              <w:t>3、杆基坑（混凝土C25，开挖尺寸为0.8m*0.8m*1.2m）</w:t>
            </w:r>
          </w:p>
          <w:p>
            <w:pPr>
              <w:pStyle w:val="4"/>
              <w:numPr>
                <w:ilvl w:val="0"/>
                <w:numId w:val="0"/>
              </w:numPr>
              <w:ind w:leftChars="0"/>
              <w:rPr>
                <w:rFonts w:hint="eastAsia" w:ascii="宋体" w:hAnsi="Times New Roman" w:eastAsia="宋体" w:cs="Times New Roman"/>
                <w:sz w:val="24"/>
                <w:szCs w:val="20"/>
                <w:lang w:val="en-US" w:eastAsia="zh-CN" w:bidi="ar-SA"/>
              </w:rPr>
            </w:pPr>
            <w:r>
              <w:rPr>
                <w:rFonts w:hint="eastAsia" w:ascii="宋体" w:hAnsi="Times New Roman" w:eastAsia="宋体" w:cs="Times New Roman"/>
                <w:sz w:val="24"/>
                <w:szCs w:val="20"/>
                <w:lang w:val="en-US" w:eastAsia="zh-CN" w:bidi="ar-SA"/>
              </w:rPr>
              <w:t>4、基坑路面恢复</w:t>
            </w:r>
          </w:p>
          <w:p>
            <w:pPr>
              <w:rPr>
                <w:rFonts w:hint="eastAsia" w:ascii="宋体" w:hAnsi="宋体" w:cs="宋体"/>
                <w:bCs/>
                <w:color w:val="auto"/>
                <w:sz w:val="24"/>
                <w:szCs w:val="24"/>
                <w:highlight w:val="none"/>
              </w:rPr>
            </w:pPr>
            <w:r>
              <w:rPr>
                <w:rFonts w:hint="eastAsia" w:ascii="宋体" w:hAnsi="Times New Roman" w:eastAsia="宋体" w:cs="Times New Roman"/>
                <w:sz w:val="24"/>
                <w:szCs w:val="20"/>
                <w:lang w:val="en-US" w:eastAsia="zh-CN" w:bidi="ar-SA"/>
              </w:rPr>
              <w:t>5、杆体反光条</w:t>
            </w:r>
          </w:p>
        </w:tc>
        <w:tc>
          <w:tcPr>
            <w:tcW w:w="618" w:type="dxa"/>
            <w:tcBorders>
              <w:top w:val="single" w:color="auto" w:sz="6" w:space="0"/>
              <w:left w:val="nil"/>
              <w:bottom w:val="single" w:color="auto" w:sz="6" w:space="0"/>
              <w:right w:val="single" w:color="auto" w:sz="6" w:space="0"/>
            </w:tcBorders>
            <w:noWrap w:val="0"/>
            <w:vAlign w:val="center"/>
          </w:tcPr>
          <w:p>
            <w:pPr>
              <w:jc w:val="center"/>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200</w:t>
            </w:r>
          </w:p>
        </w:tc>
        <w:tc>
          <w:tcPr>
            <w:tcW w:w="563"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bCs/>
                <w:color w:val="auto"/>
                <w:sz w:val="24"/>
                <w:szCs w:val="24"/>
                <w:highlight w:val="none"/>
                <w:lang w:eastAsia="zh-CN"/>
              </w:rPr>
            </w:pPr>
            <w:r>
              <w:rPr>
                <w:rFonts w:hint="eastAsia" w:hAnsi="宋体" w:cs="宋体"/>
                <w:bCs/>
                <w:color w:val="auto"/>
                <w:sz w:val="24"/>
                <w:szCs w:val="24"/>
                <w:highlight w:val="none"/>
                <w:lang w:eastAsia="zh-CN"/>
              </w:rPr>
              <w:t>套</w:t>
            </w:r>
          </w:p>
        </w:tc>
      </w:tr>
      <w:tr>
        <w:tblPrEx>
          <w:tblCellMar>
            <w:top w:w="0" w:type="dxa"/>
            <w:left w:w="108" w:type="dxa"/>
            <w:bottom w:w="0" w:type="dxa"/>
            <w:right w:w="108" w:type="dxa"/>
          </w:tblCellMar>
        </w:tblPrEx>
        <w:trPr>
          <w:trHeight w:val="1525" w:hRule="atLeast"/>
        </w:trPr>
        <w:tc>
          <w:tcPr>
            <w:tcW w:w="788"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lang w:val="en-US" w:eastAsia="zh-CN"/>
              </w:rPr>
            </w:pPr>
          </w:p>
          <w:p>
            <w:pPr>
              <w:pStyle w:val="2"/>
              <w:rPr>
                <w:rFonts w:hint="default"/>
                <w:lang w:val="en-US" w:eastAsia="zh-CN"/>
              </w:rPr>
            </w:pPr>
            <w:r>
              <w:rPr>
                <w:rFonts w:hint="eastAsia" w:hAnsi="宋体" w:cs="宋体"/>
                <w:bCs/>
                <w:color w:val="auto"/>
                <w:sz w:val="24"/>
                <w:szCs w:val="24"/>
                <w:highlight w:val="none"/>
                <w:lang w:val="en-US" w:eastAsia="zh-CN" w:bidi="ar"/>
              </w:rPr>
              <w:t>4</w:t>
            </w:r>
          </w:p>
        </w:tc>
        <w:tc>
          <w:tcPr>
            <w:tcW w:w="795" w:type="dxa"/>
            <w:tcBorders>
              <w:top w:val="single" w:color="auto" w:sz="6" w:space="0"/>
              <w:left w:val="nil"/>
              <w:bottom w:val="single" w:color="auto" w:sz="6" w:space="0"/>
              <w:right w:val="single" w:color="auto" w:sz="6" w:space="0"/>
            </w:tcBorders>
            <w:noWrap w:val="0"/>
            <w:vAlign w:val="center"/>
          </w:tcPr>
          <w:p>
            <w:pPr>
              <w:jc w:val="center"/>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智能运维箱</w:t>
            </w:r>
          </w:p>
        </w:tc>
        <w:tc>
          <w:tcPr>
            <w:tcW w:w="6985" w:type="dxa"/>
            <w:tcBorders>
              <w:top w:val="single" w:color="auto" w:sz="6" w:space="0"/>
              <w:left w:val="nil"/>
              <w:bottom w:val="single" w:color="auto" w:sz="6" w:space="0"/>
              <w:right w:val="single" w:color="auto" w:sz="6" w:space="0"/>
            </w:tcBorders>
            <w:noWrap w:val="0"/>
            <w:vAlign w:val="center"/>
          </w:tcPr>
          <w:p>
            <w:pPr>
              <w:rPr>
                <w:rFonts w:hint="eastAsia" w:ascii="宋体" w:hAnsi="Times New Roman" w:eastAsia="宋体" w:cs="Times New Roman"/>
                <w:sz w:val="24"/>
                <w:szCs w:val="20"/>
                <w:lang w:val="en-US" w:eastAsia="zh-CN" w:bidi="ar-SA"/>
              </w:rPr>
            </w:pPr>
            <w:r>
              <w:rPr>
                <w:rFonts w:hint="eastAsia" w:ascii="宋体" w:hAnsi="Times New Roman" w:eastAsia="宋体" w:cs="Times New Roman"/>
                <w:sz w:val="24"/>
                <w:szCs w:val="20"/>
                <w:lang w:val="en-US" w:eastAsia="zh-CN" w:bidi="ar-SA"/>
              </w:rPr>
              <w:t>监控设备箱，高*宽*深不低于550mmx450mmx270mm；</w:t>
            </w:r>
          </w:p>
          <w:p>
            <w:pPr>
              <w:rPr>
                <w:rFonts w:hint="eastAsia" w:ascii="宋体" w:hAnsi="Times New Roman" w:eastAsia="宋体" w:cs="Times New Roman"/>
                <w:sz w:val="24"/>
                <w:szCs w:val="20"/>
                <w:lang w:val="en-US" w:eastAsia="zh-CN" w:bidi="ar-SA"/>
              </w:rPr>
            </w:pPr>
            <w:r>
              <w:rPr>
                <w:rFonts w:hint="eastAsia" w:ascii="宋体" w:hAnsi="Times New Roman" w:eastAsia="宋体" w:cs="Times New Roman"/>
                <w:sz w:val="24"/>
                <w:szCs w:val="20"/>
                <w:lang w:val="en-US" w:eastAsia="zh-CN" w:bidi="ar-SA"/>
              </w:rPr>
              <w:t>材质：3.0mm厚新型复合材料外壳；</w:t>
            </w:r>
          </w:p>
          <w:p>
            <w:pPr>
              <w:rPr>
                <w:rFonts w:hint="eastAsia" w:ascii="宋体" w:hAnsi="Times New Roman" w:eastAsia="宋体" w:cs="Times New Roman"/>
                <w:sz w:val="24"/>
                <w:szCs w:val="20"/>
                <w:lang w:val="en-US" w:eastAsia="zh-CN" w:bidi="ar-SA"/>
              </w:rPr>
            </w:pPr>
            <w:r>
              <w:rPr>
                <w:rFonts w:hint="eastAsia" w:ascii="宋体" w:hAnsi="Times New Roman" w:eastAsia="宋体" w:cs="Times New Roman"/>
                <w:sz w:val="24"/>
                <w:szCs w:val="20"/>
                <w:lang w:val="en-US" w:eastAsia="zh-CN" w:bidi="ar-SA"/>
              </w:rPr>
              <w:t>喷塑颜色：主体RAL7035，侧板RAL7031</w:t>
            </w:r>
          </w:p>
          <w:p>
            <w:pPr>
              <w:rPr>
                <w:rFonts w:hint="eastAsia" w:ascii="宋体" w:hAnsi="Times New Roman" w:eastAsia="宋体" w:cs="Times New Roman"/>
                <w:sz w:val="24"/>
                <w:szCs w:val="20"/>
                <w:lang w:val="en-US" w:eastAsia="zh-CN" w:bidi="ar-SA"/>
              </w:rPr>
            </w:pPr>
            <w:r>
              <w:rPr>
                <w:rFonts w:hint="eastAsia" w:ascii="宋体" w:hAnsi="Times New Roman" w:eastAsia="宋体" w:cs="Times New Roman"/>
                <w:sz w:val="24"/>
                <w:szCs w:val="20"/>
                <w:lang w:val="en-US" w:eastAsia="zh-CN" w:bidi="ar-SA"/>
              </w:rPr>
              <w:t>主要电气配件：2P 16A空开1个、40KA电源防雷器1个、220V轴流风机1个、24芯光纤熔接盘1个、智能温控器1个、5位排插1个、维修插座（模数化插座）1个。</w:t>
            </w:r>
          </w:p>
          <w:p>
            <w:pPr>
              <w:rPr>
                <w:rFonts w:hint="eastAsia" w:ascii="宋体" w:hAnsi="Times New Roman" w:eastAsia="宋体" w:cs="Times New Roman"/>
                <w:sz w:val="24"/>
                <w:szCs w:val="20"/>
                <w:lang w:val="en-US" w:eastAsia="zh-CN" w:bidi="ar-SA"/>
              </w:rPr>
            </w:pPr>
            <w:r>
              <w:rPr>
                <w:rFonts w:hint="eastAsia" w:ascii="宋体" w:hAnsi="Times New Roman" w:eastAsia="宋体" w:cs="Times New Roman"/>
                <w:sz w:val="24"/>
                <w:szCs w:val="20"/>
                <w:lang w:val="en-US" w:eastAsia="zh-CN" w:bidi="ar-SA"/>
              </w:rPr>
              <w:t>安装方式抱箍/墙装；</w:t>
            </w:r>
          </w:p>
        </w:tc>
        <w:tc>
          <w:tcPr>
            <w:tcW w:w="618" w:type="dxa"/>
            <w:tcBorders>
              <w:top w:val="single" w:color="auto" w:sz="6" w:space="0"/>
              <w:left w:val="nil"/>
              <w:bottom w:val="single" w:color="auto" w:sz="6" w:space="0"/>
              <w:right w:val="single" w:color="auto" w:sz="6" w:space="0"/>
            </w:tcBorders>
            <w:noWrap w:val="0"/>
            <w:vAlign w:val="center"/>
          </w:tcPr>
          <w:p>
            <w:pPr>
              <w:jc w:val="center"/>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200</w:t>
            </w:r>
          </w:p>
        </w:tc>
        <w:tc>
          <w:tcPr>
            <w:tcW w:w="563"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bCs/>
                <w:color w:val="auto"/>
                <w:sz w:val="24"/>
                <w:szCs w:val="24"/>
                <w:highlight w:val="none"/>
                <w:lang w:eastAsia="zh-CN"/>
              </w:rPr>
            </w:pPr>
            <w:r>
              <w:rPr>
                <w:rFonts w:hint="eastAsia" w:hAnsi="宋体" w:cs="宋体"/>
                <w:bCs/>
                <w:color w:val="auto"/>
                <w:sz w:val="24"/>
                <w:szCs w:val="24"/>
                <w:highlight w:val="none"/>
                <w:lang w:eastAsia="zh-CN"/>
              </w:rPr>
              <w:t>套</w:t>
            </w:r>
          </w:p>
        </w:tc>
      </w:tr>
      <w:tr>
        <w:tblPrEx>
          <w:tblCellMar>
            <w:top w:w="0" w:type="dxa"/>
            <w:left w:w="108" w:type="dxa"/>
            <w:bottom w:w="0" w:type="dxa"/>
            <w:right w:w="108" w:type="dxa"/>
          </w:tblCellMar>
        </w:tblPrEx>
        <w:trPr>
          <w:trHeight w:val="1117" w:hRule="atLeast"/>
        </w:trPr>
        <w:tc>
          <w:tcPr>
            <w:tcW w:w="788" w:type="dxa"/>
            <w:tcBorders>
              <w:top w:val="single" w:color="auto" w:sz="6" w:space="0"/>
              <w:left w:val="single" w:color="auto" w:sz="6" w:space="0"/>
              <w:bottom w:val="single" w:color="auto" w:sz="6" w:space="0"/>
              <w:right w:val="single" w:color="auto" w:sz="6" w:space="0"/>
            </w:tcBorders>
            <w:noWrap w:val="0"/>
            <w:vAlign w:val="center"/>
          </w:tcPr>
          <w:p>
            <w:pPr>
              <w:pStyle w:val="2"/>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5</w:t>
            </w:r>
          </w:p>
        </w:tc>
        <w:tc>
          <w:tcPr>
            <w:tcW w:w="795" w:type="dxa"/>
            <w:tcBorders>
              <w:top w:val="single" w:color="auto" w:sz="6" w:space="0"/>
              <w:left w:val="nil"/>
              <w:bottom w:val="single" w:color="auto" w:sz="6" w:space="0"/>
              <w:right w:val="single" w:color="auto" w:sz="6" w:space="0"/>
            </w:tcBorders>
            <w:noWrap w:val="0"/>
            <w:vAlign w:val="center"/>
          </w:tcPr>
          <w:p>
            <w:pPr>
              <w:jc w:val="center"/>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标识标牌</w:t>
            </w:r>
          </w:p>
        </w:tc>
        <w:tc>
          <w:tcPr>
            <w:tcW w:w="6985" w:type="dxa"/>
            <w:tcBorders>
              <w:top w:val="single" w:color="auto" w:sz="6" w:space="0"/>
              <w:left w:val="nil"/>
              <w:bottom w:val="single" w:color="auto" w:sz="6" w:space="0"/>
              <w:right w:val="single" w:color="auto" w:sz="6" w:space="0"/>
            </w:tcBorders>
            <w:noWrap w:val="0"/>
            <w:vAlign w:val="center"/>
          </w:tcPr>
          <w:p>
            <w:pPr>
              <w:rPr>
                <w:rFonts w:hint="eastAsia" w:ascii="宋体" w:hAnsi="Times New Roman" w:eastAsia="宋体" w:cs="Times New Roman"/>
                <w:sz w:val="24"/>
                <w:szCs w:val="20"/>
                <w:lang w:val="en-US" w:eastAsia="zh-CN" w:bidi="ar-SA"/>
              </w:rPr>
            </w:pPr>
            <w:r>
              <w:rPr>
                <w:rFonts w:hint="eastAsia" w:ascii="宋体" w:hAnsi="Times New Roman" w:eastAsia="宋体" w:cs="Times New Roman"/>
                <w:sz w:val="24"/>
                <w:szCs w:val="20"/>
                <w:lang w:val="en-US" w:eastAsia="zh-CN" w:bidi="ar-SA"/>
              </w:rPr>
              <w:t>外喷项目定制LOGO及文字，编号根据标准统一编制，采用金属贴牌固定于箱体上，设备接线图</w:t>
            </w:r>
          </w:p>
        </w:tc>
        <w:tc>
          <w:tcPr>
            <w:tcW w:w="618" w:type="dxa"/>
            <w:tcBorders>
              <w:top w:val="single" w:color="auto" w:sz="6" w:space="0"/>
              <w:left w:val="nil"/>
              <w:bottom w:val="single" w:color="auto" w:sz="6" w:space="0"/>
              <w:right w:val="single" w:color="auto" w:sz="6" w:space="0"/>
            </w:tcBorders>
            <w:noWrap w:val="0"/>
            <w:vAlign w:val="center"/>
          </w:tcPr>
          <w:p>
            <w:pPr>
              <w:jc w:val="center"/>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200</w:t>
            </w:r>
          </w:p>
        </w:tc>
        <w:tc>
          <w:tcPr>
            <w:tcW w:w="563"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bCs/>
                <w:color w:val="auto"/>
                <w:sz w:val="24"/>
                <w:szCs w:val="24"/>
                <w:highlight w:val="none"/>
                <w:lang w:eastAsia="zh-CN"/>
              </w:rPr>
            </w:pPr>
            <w:r>
              <w:rPr>
                <w:rFonts w:hint="eastAsia" w:hAnsi="宋体" w:cs="宋体"/>
                <w:bCs/>
                <w:color w:val="auto"/>
                <w:sz w:val="24"/>
                <w:szCs w:val="24"/>
                <w:highlight w:val="none"/>
                <w:lang w:eastAsia="zh-CN"/>
              </w:rPr>
              <w:t>套</w:t>
            </w:r>
          </w:p>
        </w:tc>
      </w:tr>
      <w:tr>
        <w:tblPrEx>
          <w:tblCellMar>
            <w:top w:w="0" w:type="dxa"/>
            <w:left w:w="108" w:type="dxa"/>
            <w:bottom w:w="0" w:type="dxa"/>
            <w:right w:w="108" w:type="dxa"/>
          </w:tblCellMar>
        </w:tblPrEx>
        <w:trPr>
          <w:trHeight w:val="1525" w:hRule="atLeast"/>
        </w:trPr>
        <w:tc>
          <w:tcPr>
            <w:tcW w:w="788" w:type="dxa"/>
            <w:tcBorders>
              <w:top w:val="single" w:color="auto" w:sz="6" w:space="0"/>
              <w:left w:val="single" w:color="auto" w:sz="6" w:space="0"/>
              <w:bottom w:val="single" w:color="auto" w:sz="6" w:space="0"/>
              <w:right w:val="single" w:color="auto" w:sz="6" w:space="0"/>
            </w:tcBorders>
            <w:noWrap w:val="0"/>
            <w:vAlign w:val="center"/>
          </w:tcPr>
          <w:p>
            <w:pPr>
              <w:pStyle w:val="2"/>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6</w:t>
            </w:r>
          </w:p>
        </w:tc>
        <w:tc>
          <w:tcPr>
            <w:tcW w:w="795" w:type="dxa"/>
            <w:tcBorders>
              <w:top w:val="single" w:color="auto" w:sz="6" w:space="0"/>
              <w:left w:val="nil"/>
              <w:bottom w:val="single" w:color="auto" w:sz="6" w:space="0"/>
              <w:right w:val="single" w:color="auto" w:sz="6" w:space="0"/>
            </w:tcBorders>
            <w:noWrap w:val="0"/>
            <w:vAlign w:val="center"/>
          </w:tcPr>
          <w:p>
            <w:pPr>
              <w:jc w:val="center"/>
              <w:rPr>
                <w:rFonts w:hint="eastAsia" w:ascii="宋体" w:hAnsi="宋体" w:cs="宋体"/>
                <w:color w:val="auto"/>
                <w:sz w:val="24"/>
                <w:szCs w:val="24"/>
                <w:highlight w:val="none"/>
                <w:lang w:bidi="ar"/>
              </w:rPr>
            </w:pPr>
            <w:r>
              <w:rPr>
                <w:rFonts w:hint="eastAsia" w:hAnsi="宋体" w:cs="宋体"/>
                <w:color w:val="auto"/>
                <w:sz w:val="24"/>
                <w:szCs w:val="24"/>
                <w:highlight w:val="none"/>
                <w:lang w:eastAsia="zh-CN" w:bidi="ar"/>
              </w:rPr>
              <w:t>防雷接地</w:t>
            </w:r>
          </w:p>
        </w:tc>
        <w:tc>
          <w:tcPr>
            <w:tcW w:w="6985" w:type="dxa"/>
            <w:tcBorders>
              <w:top w:val="single" w:color="auto" w:sz="6" w:space="0"/>
              <w:left w:val="nil"/>
              <w:bottom w:val="single" w:color="auto" w:sz="6" w:space="0"/>
              <w:right w:val="single" w:color="auto" w:sz="6" w:space="0"/>
            </w:tcBorders>
            <w:noWrap w:val="0"/>
            <w:vAlign w:val="center"/>
          </w:tcPr>
          <w:p>
            <w:pPr>
              <w:numPr>
                <w:ilvl w:val="0"/>
                <w:numId w:val="0"/>
              </w:numPr>
              <w:rPr>
                <w:rFonts w:hint="eastAsia"/>
                <w:lang w:val="en-US" w:eastAsia="zh-CN"/>
              </w:rPr>
            </w:pPr>
            <w:r>
              <w:rPr>
                <w:rFonts w:hint="eastAsia"/>
                <w:lang w:val="en-US" w:eastAsia="zh-CN"/>
              </w:rPr>
              <w:t>1、接地极50*50*5mm角铁*1.5m+40*4mm扁铁*1.5m，降阻剂，</w:t>
            </w:r>
          </w:p>
          <w:p>
            <w:pPr>
              <w:pStyle w:val="2"/>
              <w:numPr>
                <w:ilvl w:val="0"/>
                <w:numId w:val="0"/>
              </w:numPr>
              <w:ind w:leftChars="0"/>
              <w:rPr>
                <w:rFonts w:hint="eastAsia" w:ascii="宋体" w:hAnsi="Times New Roman" w:eastAsia="宋体" w:cs="Times New Roman"/>
                <w:sz w:val="24"/>
                <w:szCs w:val="20"/>
                <w:lang w:val="en-US" w:eastAsia="zh-CN" w:bidi="ar-SA"/>
              </w:rPr>
            </w:pPr>
            <w:r>
              <w:rPr>
                <w:rFonts w:hint="eastAsia" w:ascii="宋体" w:cs="Times New Roman"/>
                <w:sz w:val="24"/>
                <w:szCs w:val="20"/>
                <w:lang w:val="en-US" w:eastAsia="zh-CN" w:bidi="ar-SA"/>
              </w:rPr>
              <w:t>2、</w:t>
            </w:r>
            <w:r>
              <w:rPr>
                <w:rFonts w:hint="eastAsia" w:ascii="宋体" w:hAnsi="Times New Roman" w:eastAsia="宋体" w:cs="Times New Roman"/>
                <w:sz w:val="24"/>
                <w:szCs w:val="20"/>
                <w:lang w:val="en-US" w:eastAsia="zh-CN" w:bidi="ar-SA"/>
              </w:rPr>
              <w:t>接地镀锌钢管φ40,2mm，每个点6m，含固定不锈钢管抱箍</w:t>
            </w:r>
          </w:p>
          <w:p>
            <w:pPr>
              <w:pStyle w:val="4"/>
              <w:numPr>
                <w:ilvl w:val="0"/>
                <w:numId w:val="0"/>
              </w:numPr>
              <w:ind w:leftChars="0"/>
              <w:rPr>
                <w:rFonts w:hint="default" w:ascii="宋体" w:hAnsi="Times New Roman" w:eastAsia="宋体" w:cs="Times New Roman"/>
                <w:sz w:val="24"/>
                <w:szCs w:val="20"/>
                <w:lang w:val="en-US" w:eastAsia="zh-CN" w:bidi="ar-SA"/>
              </w:rPr>
            </w:pPr>
            <w:r>
              <w:rPr>
                <w:rFonts w:hint="eastAsia" w:cs="Times New Roman"/>
                <w:sz w:val="24"/>
                <w:szCs w:val="20"/>
                <w:lang w:val="en-US" w:eastAsia="zh-CN" w:bidi="ar-SA"/>
              </w:rPr>
              <w:t>3、</w:t>
            </w:r>
            <w:r>
              <w:rPr>
                <w:rFonts w:hint="eastAsia" w:ascii="宋体" w:hAnsi="Times New Roman" w:eastAsia="宋体" w:cs="Times New Roman"/>
                <w:sz w:val="24"/>
                <w:szCs w:val="20"/>
                <w:lang w:val="en-US" w:eastAsia="zh-CN" w:bidi="ar-SA"/>
              </w:rPr>
              <w:t>接地线国标BVR 16mm²，长度4m</w:t>
            </w:r>
          </w:p>
          <w:p>
            <w:pPr>
              <w:rPr>
                <w:rFonts w:hint="eastAsia" w:ascii="宋体" w:hAnsi="Times New Roman" w:eastAsia="宋体" w:cs="Times New Roman"/>
                <w:sz w:val="24"/>
                <w:szCs w:val="20"/>
                <w:lang w:val="en-US" w:eastAsia="zh-CN" w:bidi="ar-SA"/>
              </w:rPr>
            </w:pPr>
            <w:r>
              <w:rPr>
                <w:rFonts w:hint="eastAsia" w:ascii="宋体" w:hAnsi="Times New Roman" w:eastAsia="宋体" w:cs="Times New Roman"/>
                <w:sz w:val="24"/>
                <w:szCs w:val="20"/>
                <w:lang w:val="en-US" w:eastAsia="zh-CN" w:bidi="ar-SA"/>
              </w:rPr>
              <w:t>4、接地线螺丝M10*30mm，带螺母</w:t>
            </w:r>
          </w:p>
        </w:tc>
        <w:tc>
          <w:tcPr>
            <w:tcW w:w="618"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200</w:t>
            </w:r>
          </w:p>
        </w:tc>
        <w:tc>
          <w:tcPr>
            <w:tcW w:w="563"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bCs/>
                <w:color w:val="auto"/>
                <w:sz w:val="24"/>
                <w:szCs w:val="24"/>
                <w:highlight w:val="none"/>
                <w:lang w:eastAsia="zh-CN"/>
              </w:rPr>
            </w:pPr>
            <w:r>
              <w:rPr>
                <w:rFonts w:hint="eastAsia" w:hAnsi="宋体" w:cs="宋体"/>
                <w:bCs/>
                <w:color w:val="auto"/>
                <w:sz w:val="24"/>
                <w:szCs w:val="24"/>
                <w:highlight w:val="none"/>
                <w:lang w:eastAsia="zh-CN" w:bidi="ar"/>
              </w:rPr>
              <w:t>套</w:t>
            </w:r>
          </w:p>
        </w:tc>
      </w:tr>
      <w:tr>
        <w:tblPrEx>
          <w:tblCellMar>
            <w:top w:w="0" w:type="dxa"/>
            <w:left w:w="108" w:type="dxa"/>
            <w:bottom w:w="0" w:type="dxa"/>
            <w:right w:w="108" w:type="dxa"/>
          </w:tblCellMar>
        </w:tblPrEx>
        <w:trPr>
          <w:trHeight w:val="1525" w:hRule="atLeast"/>
        </w:trPr>
        <w:tc>
          <w:tcPr>
            <w:tcW w:w="788" w:type="dxa"/>
            <w:tcBorders>
              <w:top w:val="single" w:color="auto" w:sz="6" w:space="0"/>
              <w:left w:val="single" w:color="auto" w:sz="6" w:space="0"/>
              <w:bottom w:val="single" w:color="auto" w:sz="6" w:space="0"/>
              <w:right w:val="single" w:color="auto" w:sz="6" w:space="0"/>
            </w:tcBorders>
            <w:noWrap w:val="0"/>
            <w:vAlign w:val="center"/>
          </w:tcPr>
          <w:p>
            <w:pPr>
              <w:pStyle w:val="2"/>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7</w:t>
            </w:r>
          </w:p>
        </w:tc>
        <w:tc>
          <w:tcPr>
            <w:tcW w:w="795"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color w:val="auto"/>
                <w:sz w:val="24"/>
                <w:szCs w:val="24"/>
                <w:highlight w:val="none"/>
                <w:lang w:eastAsia="zh-CN" w:bidi="ar"/>
              </w:rPr>
            </w:pPr>
            <w:r>
              <w:rPr>
                <w:rFonts w:hint="eastAsia" w:hAnsi="宋体" w:cs="宋体"/>
                <w:color w:val="auto"/>
                <w:sz w:val="24"/>
                <w:szCs w:val="24"/>
                <w:highlight w:val="none"/>
                <w:lang w:eastAsia="zh-CN" w:bidi="ar"/>
              </w:rPr>
              <w:t>辅材</w:t>
            </w:r>
          </w:p>
        </w:tc>
        <w:tc>
          <w:tcPr>
            <w:tcW w:w="6985"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40" w:lineRule="exact"/>
              <w:textAlignment w:val="auto"/>
              <w:rPr>
                <w:rFonts w:hint="eastAsia"/>
                <w:lang w:val="en-US" w:eastAsia="zh-CN"/>
              </w:rPr>
            </w:pPr>
            <w:r>
              <w:rPr>
                <w:rFonts w:hint="eastAsia"/>
                <w:lang w:val="en-US" w:eastAsia="zh-CN"/>
              </w:rPr>
              <w:t>1、终端电源线（国标RVV3*1.0mm²，每个摄像机11m，运维箱到摄像机）</w:t>
            </w:r>
          </w:p>
          <w:p>
            <w:pPr>
              <w:keepNext w:val="0"/>
              <w:keepLines w:val="0"/>
              <w:pageBreakBefore w:val="0"/>
              <w:widowControl/>
              <w:numPr>
                <w:ilvl w:val="0"/>
                <w:numId w:val="0"/>
              </w:numPr>
              <w:kinsoku/>
              <w:wordWrap/>
              <w:overflowPunct/>
              <w:topLinePunct w:val="0"/>
              <w:autoSpaceDE/>
              <w:autoSpaceDN/>
              <w:bidi w:val="0"/>
              <w:adjustRightInd/>
              <w:snapToGrid/>
              <w:spacing w:line="340" w:lineRule="exact"/>
              <w:textAlignment w:val="auto"/>
              <w:rPr>
                <w:rFonts w:hint="eastAsia"/>
                <w:lang w:val="en-US" w:eastAsia="zh-CN"/>
              </w:rPr>
            </w:pPr>
            <w:r>
              <w:rPr>
                <w:rFonts w:hint="eastAsia"/>
                <w:lang w:val="en-US" w:eastAsia="zh-CN"/>
              </w:rPr>
              <w:t>2、超五类非屏蔽双绞线,每个摄像机12m</w:t>
            </w:r>
          </w:p>
          <w:p>
            <w:pPr>
              <w:keepNext w:val="0"/>
              <w:keepLines w:val="0"/>
              <w:pageBreakBefore w:val="0"/>
              <w:widowControl/>
              <w:numPr>
                <w:ilvl w:val="0"/>
                <w:numId w:val="0"/>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3、</w:t>
            </w:r>
            <w:r>
              <w:rPr>
                <w:rFonts w:hint="default"/>
                <w:lang w:val="en-US" w:eastAsia="zh-CN"/>
              </w:rPr>
              <w:t xml:space="preserve">超五类跳线50cm，二合一防雷器到ONU设备 </w:t>
            </w:r>
          </w:p>
          <w:p>
            <w:pPr>
              <w:keepNext w:val="0"/>
              <w:keepLines w:val="0"/>
              <w:pageBreakBefore w:val="0"/>
              <w:widowControl/>
              <w:numPr>
                <w:ilvl w:val="0"/>
                <w:numId w:val="0"/>
              </w:numPr>
              <w:kinsoku/>
              <w:wordWrap/>
              <w:overflowPunct/>
              <w:topLinePunct w:val="0"/>
              <w:autoSpaceDE/>
              <w:autoSpaceDN/>
              <w:bidi w:val="0"/>
              <w:adjustRightInd/>
              <w:snapToGrid/>
              <w:spacing w:line="340" w:lineRule="exact"/>
              <w:textAlignment w:val="auto"/>
              <w:rPr>
                <w:rFonts w:hint="eastAsia"/>
                <w:lang w:val="en-US" w:eastAsia="zh-CN"/>
              </w:rPr>
            </w:pPr>
            <w:r>
              <w:rPr>
                <w:rFonts w:hint="eastAsia"/>
                <w:lang w:val="en-US" w:eastAsia="zh-CN"/>
              </w:rPr>
              <w:t>4、钢扎带（用于固定摄像机和补光灯的支架，规格12*400mm，  1196*2微卡补光灯，摄像机1398*2）</w:t>
            </w:r>
          </w:p>
          <w:p>
            <w:pPr>
              <w:keepNext w:val="0"/>
              <w:keepLines w:val="0"/>
              <w:pageBreakBefore w:val="0"/>
              <w:widowControl/>
              <w:numPr>
                <w:ilvl w:val="0"/>
                <w:numId w:val="0"/>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5、</w:t>
            </w:r>
            <w:r>
              <w:rPr>
                <w:rFonts w:hint="default"/>
                <w:lang w:val="en-US" w:eastAsia="zh-CN"/>
              </w:rPr>
              <w:t>金属软管国标φ32，80cm</w:t>
            </w:r>
          </w:p>
          <w:p>
            <w:pPr>
              <w:keepNext w:val="0"/>
              <w:keepLines w:val="0"/>
              <w:pageBreakBefore w:val="0"/>
              <w:widowControl/>
              <w:numPr>
                <w:ilvl w:val="0"/>
                <w:numId w:val="0"/>
              </w:numPr>
              <w:kinsoku/>
              <w:wordWrap/>
              <w:overflowPunct/>
              <w:topLinePunct w:val="0"/>
              <w:autoSpaceDE/>
              <w:autoSpaceDN/>
              <w:bidi w:val="0"/>
              <w:adjustRightInd/>
              <w:snapToGrid/>
              <w:spacing w:line="340" w:lineRule="exact"/>
              <w:textAlignment w:val="auto"/>
              <w:rPr>
                <w:rFonts w:hint="eastAsia"/>
                <w:lang w:val="en-US" w:eastAsia="zh-CN"/>
              </w:rPr>
            </w:pPr>
            <w:r>
              <w:rPr>
                <w:rFonts w:hint="eastAsia"/>
                <w:lang w:val="en-US" w:eastAsia="zh-CN"/>
              </w:rPr>
              <w:t>6、PE管国标φ40，5m</w:t>
            </w:r>
          </w:p>
          <w:p>
            <w:pPr>
              <w:keepNext w:val="0"/>
              <w:keepLines w:val="0"/>
              <w:pageBreakBefore w:val="0"/>
              <w:widowControl/>
              <w:numPr>
                <w:ilvl w:val="0"/>
                <w:numId w:val="0"/>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lang w:val="en-US" w:eastAsia="zh-CN"/>
              </w:rPr>
              <w:t>7、</w:t>
            </w:r>
            <w:r>
              <w:rPr>
                <w:rFonts w:hint="default"/>
                <w:lang w:val="en-US" w:eastAsia="zh-CN"/>
              </w:rPr>
              <w:t>五类水晶头</w:t>
            </w:r>
          </w:p>
          <w:p>
            <w:pPr>
              <w:keepNext w:val="0"/>
              <w:keepLines w:val="0"/>
              <w:pageBreakBefore w:val="0"/>
              <w:widowControl/>
              <w:numPr>
                <w:ilvl w:val="0"/>
                <w:numId w:val="0"/>
              </w:numPr>
              <w:kinsoku/>
              <w:wordWrap/>
              <w:overflowPunct/>
              <w:topLinePunct w:val="0"/>
              <w:autoSpaceDE/>
              <w:autoSpaceDN/>
              <w:bidi w:val="0"/>
              <w:adjustRightInd/>
              <w:snapToGrid/>
              <w:spacing w:line="340" w:lineRule="exact"/>
              <w:textAlignment w:val="auto"/>
              <w:rPr>
                <w:rFonts w:hint="eastAsia" w:ascii="宋体" w:hAnsi="Times New Roman" w:eastAsia="宋体" w:cs="Times New Roman"/>
                <w:sz w:val="24"/>
                <w:szCs w:val="20"/>
                <w:lang w:val="en-US" w:eastAsia="zh-CN" w:bidi="ar-SA"/>
              </w:rPr>
            </w:pPr>
            <w:r>
              <w:rPr>
                <w:rFonts w:hint="eastAsia"/>
                <w:lang w:val="en-US" w:eastAsia="zh-CN"/>
              </w:rPr>
              <w:t xml:space="preserve">8、杆子穿线钢丝10m、PE管穿线钢丝8m米和宽胶带（黄色，封堵PE管）、固定地龙的铁丝、租用基坑围挡,防水胶布、扎带、木龙骨等  </w:t>
            </w:r>
          </w:p>
        </w:tc>
        <w:tc>
          <w:tcPr>
            <w:tcW w:w="618" w:type="dxa"/>
            <w:tcBorders>
              <w:top w:val="single" w:color="auto" w:sz="6" w:space="0"/>
              <w:left w:val="nil"/>
              <w:bottom w:val="single" w:color="auto" w:sz="6" w:space="0"/>
              <w:right w:val="single" w:color="auto" w:sz="6" w:space="0"/>
            </w:tcBorders>
            <w:noWrap w:val="0"/>
            <w:vAlign w:val="center"/>
          </w:tcPr>
          <w:p>
            <w:pPr>
              <w:jc w:val="center"/>
              <w:rPr>
                <w:rFonts w:hint="default" w:ascii="宋体" w:hAnsi="宋体" w:cs="宋体"/>
                <w:bCs/>
                <w:color w:val="auto"/>
                <w:sz w:val="24"/>
                <w:szCs w:val="24"/>
                <w:highlight w:val="none"/>
                <w:lang w:val="en-US" w:bidi="ar"/>
              </w:rPr>
            </w:pPr>
            <w:r>
              <w:rPr>
                <w:rFonts w:hint="eastAsia" w:hAnsi="宋体" w:cs="宋体"/>
                <w:bCs/>
                <w:color w:val="auto"/>
                <w:sz w:val="24"/>
                <w:szCs w:val="24"/>
                <w:highlight w:val="none"/>
                <w:lang w:val="en-US" w:eastAsia="zh-CN" w:bidi="ar"/>
              </w:rPr>
              <w:t>200</w:t>
            </w:r>
          </w:p>
        </w:tc>
        <w:tc>
          <w:tcPr>
            <w:tcW w:w="563"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bCs/>
                <w:color w:val="auto"/>
                <w:sz w:val="24"/>
                <w:szCs w:val="24"/>
                <w:highlight w:val="none"/>
                <w:lang w:eastAsia="zh-CN" w:bidi="ar"/>
              </w:rPr>
            </w:pPr>
            <w:r>
              <w:rPr>
                <w:rFonts w:hint="eastAsia" w:hAnsi="宋体" w:cs="宋体"/>
                <w:bCs/>
                <w:color w:val="auto"/>
                <w:sz w:val="24"/>
                <w:szCs w:val="24"/>
                <w:highlight w:val="none"/>
                <w:lang w:eastAsia="zh-CN" w:bidi="ar"/>
              </w:rPr>
              <w:t>套</w:t>
            </w:r>
          </w:p>
        </w:tc>
      </w:tr>
      <w:tr>
        <w:tblPrEx>
          <w:tblCellMar>
            <w:top w:w="0" w:type="dxa"/>
            <w:left w:w="108" w:type="dxa"/>
            <w:bottom w:w="0" w:type="dxa"/>
            <w:right w:w="108" w:type="dxa"/>
          </w:tblCellMar>
        </w:tblPrEx>
        <w:trPr>
          <w:trHeight w:val="734" w:hRule="atLeast"/>
        </w:trPr>
        <w:tc>
          <w:tcPr>
            <w:tcW w:w="788" w:type="dxa"/>
            <w:tcBorders>
              <w:top w:val="single" w:color="auto" w:sz="6" w:space="0"/>
              <w:left w:val="single" w:color="auto" w:sz="6" w:space="0"/>
              <w:bottom w:val="single" w:color="auto" w:sz="6" w:space="0"/>
              <w:right w:val="single" w:color="auto" w:sz="6" w:space="0"/>
            </w:tcBorders>
            <w:noWrap w:val="0"/>
            <w:vAlign w:val="center"/>
          </w:tcPr>
          <w:p>
            <w:pPr>
              <w:pStyle w:val="2"/>
              <w:ind w:firstLine="240" w:firstLineChars="100"/>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8</w:t>
            </w:r>
          </w:p>
        </w:tc>
        <w:tc>
          <w:tcPr>
            <w:tcW w:w="795"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color w:val="auto"/>
                <w:sz w:val="24"/>
                <w:szCs w:val="24"/>
                <w:highlight w:val="none"/>
                <w:lang w:eastAsia="zh-CN" w:bidi="ar"/>
              </w:rPr>
            </w:pPr>
            <w:r>
              <w:rPr>
                <w:rFonts w:hint="eastAsia" w:hAnsi="宋体" w:cs="宋体"/>
                <w:color w:val="auto"/>
                <w:sz w:val="24"/>
                <w:szCs w:val="24"/>
                <w:highlight w:val="none"/>
                <w:lang w:eastAsia="zh-CN" w:bidi="ar"/>
              </w:rPr>
              <w:t>市电接引</w:t>
            </w:r>
          </w:p>
        </w:tc>
        <w:tc>
          <w:tcPr>
            <w:tcW w:w="6985"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40" w:lineRule="exact"/>
              <w:textAlignment w:val="auto"/>
              <w:rPr>
                <w:rFonts w:hint="eastAsia"/>
                <w:lang w:val="en-US" w:eastAsia="zh-CN"/>
              </w:rPr>
            </w:pPr>
            <w:r>
              <w:rPr>
                <w:rFonts w:hint="eastAsia" w:hAnsi="宋体" w:cs="宋体"/>
                <w:color w:val="auto"/>
                <w:kern w:val="2"/>
                <w:sz w:val="24"/>
                <w:szCs w:val="24"/>
                <w:lang w:val="en-US" w:eastAsia="zh-CN" w:bidi="ar-SA"/>
              </w:rPr>
              <w:t>1、</w:t>
            </w:r>
            <w:r>
              <w:rPr>
                <w:rFonts w:hint="eastAsia" w:ascii="宋体" w:hAnsi="宋体" w:eastAsia="宋体" w:cs="宋体"/>
                <w:color w:val="auto"/>
                <w:kern w:val="2"/>
                <w:sz w:val="24"/>
                <w:szCs w:val="24"/>
                <w:lang w:val="en-US" w:eastAsia="zh-CN" w:bidi="ar-SA"/>
              </w:rPr>
              <w:t>含线缆、空开、智能电表及辅助安装材料等</w:t>
            </w:r>
            <w:r>
              <w:rPr>
                <w:rFonts w:hint="eastAsia"/>
                <w:lang w:val="en-US" w:eastAsia="zh-CN"/>
              </w:rPr>
              <w:t>暂定金额40.00万，按40.00万进行投标。</w:t>
            </w:r>
          </w:p>
          <w:p>
            <w:pPr>
              <w:pStyle w:val="2"/>
              <w:numPr>
                <w:ilvl w:val="0"/>
                <w:numId w:val="0"/>
              </w:numPr>
              <w:ind w:leftChars="0"/>
              <w:rPr>
                <w:rFonts w:hint="eastAsia" w:ascii="宋体" w:hAnsi="Times New Roman" w:eastAsia="宋体" w:cs="Times New Roman"/>
                <w:sz w:val="24"/>
                <w:szCs w:val="20"/>
                <w:lang w:val="en-US" w:eastAsia="zh-CN" w:bidi="ar-SA"/>
              </w:rPr>
            </w:pPr>
            <w:r>
              <w:rPr>
                <w:rFonts w:hint="eastAsia" w:ascii="宋体" w:cs="Times New Roman"/>
                <w:sz w:val="24"/>
                <w:szCs w:val="20"/>
                <w:lang w:val="en-US" w:eastAsia="zh-CN" w:bidi="ar-SA"/>
              </w:rPr>
              <w:t>2、</w:t>
            </w:r>
            <w:r>
              <w:rPr>
                <w:rFonts w:hint="eastAsia" w:ascii="宋体" w:hAnsi="Times New Roman" w:eastAsia="宋体" w:cs="Times New Roman"/>
                <w:sz w:val="24"/>
                <w:szCs w:val="20"/>
                <w:lang w:val="en-US" w:eastAsia="zh-CN" w:bidi="ar-SA"/>
              </w:rPr>
              <w:t>以满足实际需要及采购人要求为准</w:t>
            </w:r>
          </w:p>
          <w:p>
            <w:pPr>
              <w:pStyle w:val="4"/>
              <w:numPr>
                <w:ilvl w:val="0"/>
                <w:numId w:val="0"/>
              </w:numPr>
              <w:ind w:left="0" w:leftChars="0" w:firstLine="0" w:firstLineChars="0"/>
              <w:rPr>
                <w:rFonts w:hint="eastAsia"/>
                <w:lang w:val="en-US" w:eastAsia="zh-CN"/>
              </w:rPr>
            </w:pPr>
            <w:r>
              <w:rPr>
                <w:rFonts w:hint="eastAsia" w:cs="Times New Roman"/>
                <w:sz w:val="24"/>
                <w:szCs w:val="20"/>
                <w:lang w:val="en-US" w:eastAsia="zh-CN" w:bidi="ar-SA"/>
              </w:rPr>
              <w:t>3、</w:t>
            </w:r>
            <w:r>
              <w:rPr>
                <w:rFonts w:hint="eastAsia" w:ascii="宋体" w:hAnsi="Times New Roman" w:eastAsia="宋体" w:cs="Times New Roman"/>
                <w:sz w:val="24"/>
                <w:szCs w:val="20"/>
                <w:lang w:val="en-US" w:eastAsia="zh-CN" w:bidi="ar-SA"/>
              </w:rPr>
              <w:t>最终结算价以审计或验收结论为准</w:t>
            </w:r>
          </w:p>
        </w:tc>
        <w:tc>
          <w:tcPr>
            <w:tcW w:w="618"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1</w:t>
            </w:r>
          </w:p>
        </w:tc>
        <w:tc>
          <w:tcPr>
            <w:tcW w:w="563"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bCs/>
                <w:color w:val="auto"/>
                <w:sz w:val="24"/>
                <w:szCs w:val="24"/>
                <w:highlight w:val="none"/>
                <w:lang w:eastAsia="zh-CN" w:bidi="ar"/>
              </w:rPr>
            </w:pPr>
            <w:r>
              <w:rPr>
                <w:rFonts w:hint="eastAsia" w:hAnsi="宋体" w:cs="宋体"/>
                <w:sz w:val="24"/>
                <w:szCs w:val="24"/>
                <w:lang w:eastAsia="zh-CN"/>
              </w:rPr>
              <w:t>项</w:t>
            </w:r>
          </w:p>
        </w:tc>
      </w:tr>
      <w:tr>
        <w:tblPrEx>
          <w:tblCellMar>
            <w:top w:w="0" w:type="dxa"/>
            <w:left w:w="108" w:type="dxa"/>
            <w:bottom w:w="0" w:type="dxa"/>
            <w:right w:w="108" w:type="dxa"/>
          </w:tblCellMar>
        </w:tblPrEx>
        <w:trPr>
          <w:trHeight w:val="667" w:hRule="atLeast"/>
        </w:trPr>
        <w:tc>
          <w:tcPr>
            <w:tcW w:w="9749" w:type="dxa"/>
            <w:gridSpan w:val="5"/>
            <w:tcBorders>
              <w:top w:val="single" w:color="auto" w:sz="6" w:space="0"/>
              <w:left w:val="single" w:color="auto" w:sz="6" w:space="0"/>
              <w:bottom w:val="single" w:color="auto" w:sz="6" w:space="0"/>
              <w:right w:val="single" w:color="auto" w:sz="6" w:space="0"/>
            </w:tcBorders>
            <w:noWrap w:val="0"/>
            <w:vAlign w:val="center"/>
          </w:tcPr>
          <w:p>
            <w:pPr>
              <w:tabs>
                <w:tab w:val="left" w:pos="5704"/>
              </w:tabs>
              <w:jc w:val="center"/>
              <w:rPr>
                <w:rFonts w:hint="eastAsia" w:hAnsi="宋体" w:cs="宋体"/>
                <w:bCs/>
                <w:color w:val="auto"/>
                <w:sz w:val="24"/>
                <w:szCs w:val="24"/>
                <w:highlight w:val="none"/>
                <w:lang w:eastAsia="zh-CN" w:bidi="ar"/>
              </w:rPr>
            </w:pPr>
            <w:r>
              <w:rPr>
                <w:rFonts w:hint="eastAsia" w:hAnsi="宋体" w:cs="宋体"/>
                <w:bCs/>
                <w:color w:val="auto"/>
                <w:sz w:val="24"/>
                <w:szCs w:val="24"/>
                <w:highlight w:val="none"/>
                <w:lang w:eastAsia="zh-CN" w:bidi="ar"/>
              </w:rPr>
              <w:t>视频图片存储</w:t>
            </w:r>
          </w:p>
        </w:tc>
      </w:tr>
      <w:tr>
        <w:tblPrEx>
          <w:tblCellMar>
            <w:top w:w="0" w:type="dxa"/>
            <w:left w:w="108" w:type="dxa"/>
            <w:bottom w:w="0" w:type="dxa"/>
            <w:right w:w="108" w:type="dxa"/>
          </w:tblCellMar>
        </w:tblPrEx>
        <w:trPr>
          <w:trHeight w:val="1525" w:hRule="atLeast"/>
        </w:trPr>
        <w:tc>
          <w:tcPr>
            <w:tcW w:w="788" w:type="dxa"/>
            <w:tcBorders>
              <w:top w:val="single" w:color="auto" w:sz="6" w:space="0"/>
              <w:left w:val="single" w:color="auto" w:sz="6" w:space="0"/>
              <w:bottom w:val="single" w:color="auto" w:sz="6" w:space="0"/>
              <w:right w:val="single" w:color="auto" w:sz="6" w:space="0"/>
            </w:tcBorders>
            <w:noWrap w:val="0"/>
            <w:vAlign w:val="center"/>
          </w:tcPr>
          <w:p>
            <w:pPr>
              <w:pStyle w:val="2"/>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1</w:t>
            </w:r>
          </w:p>
        </w:tc>
        <w:tc>
          <w:tcPr>
            <w:tcW w:w="795"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color w:val="FF0000"/>
                <w:sz w:val="24"/>
                <w:szCs w:val="24"/>
                <w:highlight w:val="none"/>
                <w:lang w:eastAsia="zh-CN" w:bidi="ar"/>
              </w:rPr>
            </w:pPr>
            <w:r>
              <w:rPr>
                <w:rFonts w:hint="eastAsia" w:hAnsi="宋体" w:cs="宋体"/>
                <w:color w:val="auto"/>
                <w:sz w:val="24"/>
                <w:szCs w:val="24"/>
                <w:highlight w:val="none"/>
                <w:lang w:eastAsia="zh-CN" w:bidi="ar"/>
              </w:rPr>
              <w:t>视图云存储节点</w:t>
            </w:r>
          </w:p>
        </w:tc>
        <w:tc>
          <w:tcPr>
            <w:tcW w:w="6985"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lang w:val="en-US" w:eastAsia="zh-CN"/>
              </w:rPr>
            </w:pPr>
            <w:r>
              <w:rPr>
                <w:rFonts w:hint="eastAsia"/>
                <w:lang w:val="en-US" w:eastAsia="zh-CN"/>
              </w:rPr>
              <w:t>★需配置≥2颗64位多核处理器；≥16GB内存，内存支持扩展到≥256GB；内置SSD固态硬盘；配置≥4个千兆网口；配置≥6个风扇，支持风扇热插拔冗余温控调速风扇；需提供</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lang w:val="en-US" w:eastAsia="zh-CN"/>
              </w:rPr>
            </w:pPr>
            <w:r>
              <w:rPr>
                <w:rFonts w:hint="eastAsia"/>
                <w:lang w:val="en-US" w:eastAsia="zh-CN"/>
              </w:rPr>
              <w:t>需内置48块8T企业级硬盘；</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lang w:val="en-US" w:eastAsia="zh-CN"/>
              </w:rPr>
            </w:pPr>
            <w:r>
              <w:rPr>
                <w:rFonts w:hint="eastAsia"/>
                <w:lang w:val="en-US" w:eastAsia="zh-CN"/>
              </w:rPr>
              <w:t>★支持硬盘热插拔设备在读写数据时，热插拔设备内的任意块硬盘，设备正常运行不宕机，硬盘不损坏，数据不丢失，业务不中断；</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lang w:val="en-US" w:eastAsia="zh-CN"/>
              </w:rPr>
            </w:pPr>
            <w:r>
              <w:rPr>
                <w:rFonts w:hint="eastAsia"/>
                <w:lang w:val="en-US" w:eastAsia="zh-CN"/>
              </w:rPr>
              <w:t>需支持接入符合GB/T28181-2016、ONVIF、RTSP、PSIA标准的前端设备；</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lang w:val="en-US" w:eastAsia="zh-CN"/>
              </w:rPr>
            </w:pPr>
            <w:r>
              <w:rPr>
                <w:rFonts w:hint="eastAsia"/>
                <w:lang w:val="en-US" w:eastAsia="zh-CN"/>
              </w:rPr>
              <w:t>★需符合《公安视频图像信息应用系统》中的GA/T1400协议；</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lang w:val="en-US" w:eastAsia="zh-CN"/>
              </w:rPr>
            </w:pPr>
            <w:r>
              <w:rPr>
                <w:rFonts w:hint="eastAsia"/>
                <w:lang w:val="en-US" w:eastAsia="zh-CN"/>
              </w:rPr>
              <w:t>需支持一键部署云存储系统，包含组建集群、创建域、自动创建资源池等；</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lang w:val="en-US" w:eastAsia="zh-CN"/>
              </w:rPr>
            </w:pPr>
            <w:r>
              <w:rPr>
                <w:rFonts w:hint="eastAsia"/>
                <w:lang w:val="en-US" w:eastAsia="zh-CN"/>
              </w:rPr>
              <w:t>需提供多种类型数据混合存储功能，同时支持分布式流式存储，分布式对象存储、分布式文件存储、分布式块存储；</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lang w:val="en-US" w:eastAsia="zh-CN"/>
              </w:rPr>
            </w:pPr>
            <w:r>
              <w:rPr>
                <w:rFonts w:hint="eastAsia"/>
                <w:lang w:val="en-US" w:eastAsia="zh-CN"/>
              </w:rPr>
              <w:t>需支持按照设备可用容量实现负载均衡，各存储节点上存储的数据量在稳定状态下保持均衡，差距≤5%；</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lang w:val="en-US" w:eastAsia="zh-CN"/>
              </w:rPr>
            </w:pPr>
            <w:r>
              <w:rPr>
                <w:rFonts w:hint="eastAsia"/>
                <w:lang w:val="en-US" w:eastAsia="zh-CN"/>
              </w:rPr>
              <w:t>支持视频直存技术，兼容标准码流写入云存储设备，能够直接接入；</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lang w:val="en-US" w:eastAsia="zh-CN"/>
              </w:rPr>
            </w:pPr>
            <w:r>
              <w:rPr>
                <w:rFonts w:hint="eastAsia"/>
                <w:lang w:val="en-US" w:eastAsia="zh-CN"/>
              </w:rPr>
              <w:t>提供存储节点的硬件信息、云服务进程、服务软件版本、磁盘信息、系统容量进行实时监控的功能，并提供对存储节点的风扇、温度、块设备信息进行实时监控的功能；</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lang w:val="en-US" w:eastAsia="zh-CN"/>
              </w:rPr>
            </w:pPr>
            <w:r>
              <w:rPr>
                <w:rFonts w:hint="eastAsia"/>
                <w:lang w:val="en-US" w:eastAsia="zh-CN"/>
              </w:rPr>
              <w:t>标“★”项需提供国家级或部级第三方检测鉴定机构出具的检测报告复印件并加盖生产商的红色印章；</w:t>
            </w:r>
          </w:p>
        </w:tc>
        <w:tc>
          <w:tcPr>
            <w:tcW w:w="618" w:type="dxa"/>
            <w:tcBorders>
              <w:top w:val="single" w:color="auto" w:sz="6" w:space="0"/>
              <w:left w:val="nil"/>
              <w:bottom w:val="single" w:color="auto" w:sz="6" w:space="0"/>
              <w:right w:val="single" w:color="auto" w:sz="6" w:space="0"/>
            </w:tcBorders>
            <w:noWrap w:val="0"/>
            <w:vAlign w:val="center"/>
          </w:tcPr>
          <w:p>
            <w:pPr>
              <w:jc w:val="center"/>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16</w:t>
            </w:r>
          </w:p>
        </w:tc>
        <w:tc>
          <w:tcPr>
            <w:tcW w:w="563"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bCs/>
                <w:color w:val="auto"/>
                <w:sz w:val="24"/>
                <w:szCs w:val="24"/>
                <w:highlight w:val="none"/>
                <w:lang w:eastAsia="zh-CN" w:bidi="ar"/>
              </w:rPr>
            </w:pPr>
            <w:r>
              <w:rPr>
                <w:rFonts w:hint="eastAsia" w:hAnsi="宋体" w:cs="宋体"/>
                <w:bCs/>
                <w:color w:val="auto"/>
                <w:sz w:val="24"/>
                <w:szCs w:val="24"/>
                <w:highlight w:val="none"/>
                <w:lang w:eastAsia="zh-CN" w:bidi="ar"/>
              </w:rPr>
              <w:t>台</w:t>
            </w:r>
          </w:p>
        </w:tc>
      </w:tr>
      <w:tr>
        <w:tblPrEx>
          <w:tblCellMar>
            <w:top w:w="0" w:type="dxa"/>
            <w:left w:w="108" w:type="dxa"/>
            <w:bottom w:w="0" w:type="dxa"/>
            <w:right w:w="108" w:type="dxa"/>
          </w:tblCellMar>
        </w:tblPrEx>
        <w:trPr>
          <w:trHeight w:val="1525" w:hRule="atLeast"/>
        </w:trPr>
        <w:tc>
          <w:tcPr>
            <w:tcW w:w="788" w:type="dxa"/>
            <w:tcBorders>
              <w:top w:val="single" w:color="auto" w:sz="6" w:space="0"/>
              <w:left w:val="single" w:color="auto" w:sz="6" w:space="0"/>
              <w:bottom w:val="single" w:color="auto" w:sz="6" w:space="0"/>
              <w:right w:val="single" w:color="auto" w:sz="6" w:space="0"/>
            </w:tcBorders>
            <w:noWrap w:val="0"/>
            <w:vAlign w:val="center"/>
          </w:tcPr>
          <w:p>
            <w:pPr>
              <w:pStyle w:val="2"/>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2</w:t>
            </w:r>
          </w:p>
        </w:tc>
        <w:tc>
          <w:tcPr>
            <w:tcW w:w="795"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color w:val="auto"/>
                <w:sz w:val="24"/>
                <w:szCs w:val="24"/>
                <w:highlight w:val="none"/>
                <w:lang w:eastAsia="zh-CN" w:bidi="ar"/>
              </w:rPr>
            </w:pPr>
            <w:r>
              <w:rPr>
                <w:rFonts w:hint="eastAsia" w:hAnsi="宋体" w:cs="宋体"/>
                <w:color w:val="auto"/>
                <w:sz w:val="24"/>
                <w:szCs w:val="24"/>
                <w:highlight w:val="none"/>
                <w:lang w:eastAsia="zh-CN" w:bidi="ar"/>
              </w:rPr>
              <w:t>视频云存储软件</w:t>
            </w:r>
          </w:p>
        </w:tc>
        <w:tc>
          <w:tcPr>
            <w:tcW w:w="6985"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lang w:val="en-US" w:eastAsia="zh-CN"/>
              </w:rPr>
            </w:pPr>
            <w:r>
              <w:rPr>
                <w:rFonts w:hint="eastAsia"/>
                <w:lang w:val="en-US" w:eastAsia="zh-CN"/>
              </w:rPr>
              <w:t>云存储架构应同时需满足7类数据存储服务，12种存储协议，能够通过一套系统构建统一数据资源池；</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lang w:val="en-US" w:eastAsia="zh-CN"/>
              </w:rPr>
            </w:pPr>
            <w:r>
              <w:rPr>
                <w:rFonts w:hint="eastAsia"/>
                <w:lang w:val="en-US" w:eastAsia="zh-CN"/>
              </w:rPr>
              <w:t>云存储系统返回视频录像查询结果应≤1秒，且结果精度精确到毫秒；支持在1秒内启动回放解码;</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lang w:val="en-US" w:eastAsia="zh-CN"/>
              </w:rPr>
            </w:pPr>
            <w:r>
              <w:rPr>
                <w:rFonts w:hint="eastAsia"/>
                <w:lang w:val="en-US" w:eastAsia="zh-CN"/>
              </w:rPr>
              <w:t>提供按时间段倒序的方式回放视频数据以及录像回放过程中平滑拖动功能；</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lang w:val="en-US" w:eastAsia="zh-CN"/>
              </w:rPr>
            </w:pPr>
            <w:r>
              <w:rPr>
                <w:rFonts w:hint="eastAsia"/>
                <w:lang w:val="en-US" w:eastAsia="zh-CN"/>
              </w:rPr>
              <w:t>云存储提供纵向和横向扩展功能；可以通过直连x86服务器或者添加JBOD的方式构建存储资源池，满足任意节点均可提供对象访问、SAN访问、NAS访问等；</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lang w:val="en-US" w:eastAsia="zh-CN"/>
              </w:rPr>
            </w:pPr>
            <w:r>
              <w:rPr>
                <w:rFonts w:hint="eastAsia"/>
                <w:lang w:val="en-US" w:eastAsia="zh-CN"/>
              </w:rPr>
              <w:t>云存储系统支持对数据进行加密存储保护，加密算法兼容AES加密、SM4加密算法；需提供国家级或部级第三方检测鉴定机构出具的检测报告复印件并加盖生产商的红色印章；</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lang w:val="en-US" w:eastAsia="zh-CN"/>
              </w:rPr>
            </w:pPr>
            <w:r>
              <w:rPr>
                <w:rFonts w:hint="eastAsia"/>
                <w:lang w:val="en-US" w:eastAsia="zh-CN"/>
              </w:rPr>
              <w:t>在多节点系统中，任何一个存储节点出现故障，应不影响数据的正常存取；</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lang w:val="en-US" w:eastAsia="zh-CN"/>
              </w:rPr>
            </w:pPr>
            <w:r>
              <w:rPr>
                <w:rFonts w:hint="eastAsia"/>
                <w:lang w:val="en-US" w:eastAsia="zh-CN"/>
              </w:rPr>
              <w:t>支持以流直存模式进行录像、图片数据存储，针对实时视频流、抓拍图片，无需经过任何转发服务器/虚拟机即可实现数据流直存，视频与图片数据直存后可即存即取；需提供国家级或部级第三方检测鉴定机构出具的检测报告复印件并加盖生产商的红色印章；</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lang w:val="en-US" w:eastAsia="zh-CN"/>
              </w:rPr>
            </w:pPr>
            <w:r>
              <w:rPr>
                <w:rFonts w:hint="eastAsia"/>
                <w:lang w:val="en-US" w:eastAsia="zh-CN"/>
              </w:rPr>
              <w:t>系统提供数据压缩功能，通过H.264/H.265视频编码标准对视频数据进行压缩存储，压缩后数据可在线点播、AI分析，数据压缩比≥60%；可对图片数据进行压缩存储，压缩后图片数据可正常被浏览器访问，图片数据压缩比≥80%；</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lang w:val="en-US" w:eastAsia="zh-CN"/>
              </w:rPr>
            </w:pPr>
            <w:r>
              <w:rPr>
                <w:rFonts w:hint="eastAsia"/>
                <w:lang w:val="en-US" w:eastAsia="zh-CN"/>
              </w:rPr>
              <w:t>需提供在应用平台上配置图片写入到云存储系统的功能；</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lang w:val="en-US" w:eastAsia="zh-CN"/>
              </w:rPr>
            </w:pPr>
            <w:r>
              <w:rPr>
                <w:rFonts w:hint="eastAsia"/>
                <w:lang w:val="en-US" w:eastAsia="zh-CN"/>
              </w:rPr>
              <w:t>需能将抓拍图片直接在云存储系统上进行存储，无需配置任何存储转发服务器；</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lang w:val="en-US" w:eastAsia="zh-CN"/>
              </w:rPr>
            </w:pPr>
            <w:r>
              <w:rPr>
                <w:rFonts w:hint="eastAsia"/>
                <w:lang w:val="en-US" w:eastAsia="zh-CN"/>
              </w:rPr>
              <w:t>需支持采用RESTful协议直存图片到云存储系统中；并支持手动将图片存入云存储系统；以及图片写入后1s内回显及下载；同时支持4+1、8+2、12+3等多种纠删码容错方式向上升级容错方式；</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lang w:val="en-US" w:eastAsia="zh-CN"/>
              </w:rPr>
            </w:pPr>
            <w:r>
              <w:rPr>
                <w:rFonts w:hint="eastAsia"/>
                <w:lang w:val="en-US" w:eastAsia="zh-CN"/>
              </w:rPr>
              <w:t>需提供视频云存储软件著作权登记证书；</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lang w:val="en-US" w:eastAsia="zh-CN"/>
              </w:rPr>
            </w:pPr>
            <w:r>
              <w:rPr>
                <w:rFonts w:hint="eastAsia"/>
                <w:lang w:val="en-US" w:eastAsia="zh-CN"/>
              </w:rPr>
              <w:t>需提供公安部《信息系统安全等级保护》三级证书；</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lang w:val="en-US" w:eastAsia="zh-CN"/>
              </w:rPr>
            </w:pPr>
            <w:r>
              <w:rPr>
                <w:rFonts w:hint="eastAsia"/>
                <w:lang w:val="en-US" w:eastAsia="zh-CN"/>
              </w:rPr>
              <w:t>需支持与原视频云存储设备无缝对接；</w:t>
            </w:r>
          </w:p>
        </w:tc>
        <w:tc>
          <w:tcPr>
            <w:tcW w:w="618" w:type="dxa"/>
            <w:tcBorders>
              <w:top w:val="single" w:color="auto" w:sz="6" w:space="0"/>
              <w:left w:val="nil"/>
              <w:bottom w:val="single" w:color="auto" w:sz="6" w:space="0"/>
              <w:right w:val="single" w:color="auto" w:sz="6" w:space="0"/>
            </w:tcBorders>
            <w:noWrap w:val="0"/>
            <w:vAlign w:val="center"/>
          </w:tcPr>
          <w:p>
            <w:pPr>
              <w:jc w:val="center"/>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1</w:t>
            </w:r>
          </w:p>
        </w:tc>
        <w:tc>
          <w:tcPr>
            <w:tcW w:w="563"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bCs/>
                <w:color w:val="auto"/>
                <w:sz w:val="24"/>
                <w:szCs w:val="24"/>
                <w:highlight w:val="none"/>
                <w:lang w:eastAsia="zh-CN" w:bidi="ar"/>
              </w:rPr>
            </w:pPr>
            <w:r>
              <w:rPr>
                <w:rFonts w:hint="eastAsia" w:hAnsi="宋体" w:cs="宋体"/>
                <w:bCs/>
                <w:color w:val="auto"/>
                <w:sz w:val="24"/>
                <w:szCs w:val="24"/>
                <w:highlight w:val="none"/>
                <w:lang w:eastAsia="zh-CN" w:bidi="ar"/>
              </w:rPr>
              <w:t>套</w:t>
            </w:r>
          </w:p>
        </w:tc>
      </w:tr>
      <w:tr>
        <w:tblPrEx>
          <w:tblCellMar>
            <w:top w:w="0" w:type="dxa"/>
            <w:left w:w="108" w:type="dxa"/>
            <w:bottom w:w="0" w:type="dxa"/>
            <w:right w:w="108" w:type="dxa"/>
          </w:tblCellMar>
        </w:tblPrEx>
        <w:trPr>
          <w:trHeight w:val="1405" w:hRule="atLeast"/>
        </w:trPr>
        <w:tc>
          <w:tcPr>
            <w:tcW w:w="788" w:type="dxa"/>
            <w:tcBorders>
              <w:top w:val="single" w:color="auto" w:sz="6" w:space="0"/>
              <w:left w:val="single" w:color="auto" w:sz="6" w:space="0"/>
              <w:bottom w:val="single" w:color="auto" w:sz="6" w:space="0"/>
              <w:right w:val="single" w:color="auto" w:sz="6" w:space="0"/>
            </w:tcBorders>
            <w:noWrap w:val="0"/>
            <w:vAlign w:val="center"/>
          </w:tcPr>
          <w:p>
            <w:pPr>
              <w:pStyle w:val="2"/>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3</w:t>
            </w:r>
          </w:p>
        </w:tc>
        <w:tc>
          <w:tcPr>
            <w:tcW w:w="795"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color w:val="auto"/>
                <w:sz w:val="24"/>
                <w:szCs w:val="24"/>
                <w:highlight w:val="none"/>
                <w:lang w:eastAsia="zh-CN" w:bidi="ar"/>
              </w:rPr>
            </w:pPr>
            <w:r>
              <w:rPr>
                <w:rFonts w:hint="eastAsia" w:hAnsi="宋体" w:cs="宋体"/>
                <w:color w:val="auto"/>
                <w:sz w:val="24"/>
                <w:szCs w:val="24"/>
                <w:highlight w:val="none"/>
                <w:lang w:eastAsia="zh-CN" w:bidi="ar"/>
              </w:rPr>
              <w:t>存储虚拟化容量</w:t>
            </w:r>
          </w:p>
        </w:tc>
        <w:tc>
          <w:tcPr>
            <w:tcW w:w="6985"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lang w:val="en-US" w:eastAsia="zh-CN"/>
              </w:rPr>
            </w:pPr>
            <w:r>
              <w:rPr>
                <w:rFonts w:hint="eastAsia"/>
                <w:lang w:val="en-US" w:eastAsia="zh-CN"/>
              </w:rPr>
              <w:t>云存储管理容量：≥6144TB；</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lang w:val="en-US" w:eastAsia="zh-CN"/>
              </w:rPr>
            </w:pPr>
            <w:r>
              <w:rPr>
                <w:rFonts w:hint="eastAsia"/>
                <w:lang w:val="en-US" w:eastAsia="zh-CN"/>
              </w:rPr>
              <w:t>通过存储资源虚拟化功能，为应用提供池化存储资源服务；</w:t>
            </w:r>
          </w:p>
        </w:tc>
        <w:tc>
          <w:tcPr>
            <w:tcW w:w="618" w:type="dxa"/>
            <w:tcBorders>
              <w:top w:val="single" w:color="auto" w:sz="6" w:space="0"/>
              <w:left w:val="nil"/>
              <w:bottom w:val="single" w:color="auto" w:sz="6" w:space="0"/>
              <w:right w:val="single" w:color="auto" w:sz="6" w:space="0"/>
            </w:tcBorders>
            <w:noWrap w:val="0"/>
            <w:vAlign w:val="center"/>
          </w:tcPr>
          <w:p>
            <w:pPr>
              <w:jc w:val="center"/>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1</w:t>
            </w:r>
          </w:p>
        </w:tc>
        <w:tc>
          <w:tcPr>
            <w:tcW w:w="563"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bCs/>
                <w:color w:val="auto"/>
                <w:sz w:val="24"/>
                <w:szCs w:val="24"/>
                <w:highlight w:val="none"/>
                <w:lang w:eastAsia="zh-CN" w:bidi="ar"/>
              </w:rPr>
            </w:pPr>
            <w:r>
              <w:rPr>
                <w:rFonts w:hint="eastAsia" w:hAnsi="宋体" w:cs="宋体"/>
                <w:bCs/>
                <w:color w:val="auto"/>
                <w:sz w:val="24"/>
                <w:szCs w:val="24"/>
                <w:highlight w:val="none"/>
                <w:lang w:eastAsia="zh-CN" w:bidi="ar"/>
              </w:rPr>
              <w:t>套</w:t>
            </w:r>
          </w:p>
        </w:tc>
      </w:tr>
      <w:tr>
        <w:tblPrEx>
          <w:tblCellMar>
            <w:top w:w="0" w:type="dxa"/>
            <w:left w:w="108" w:type="dxa"/>
            <w:bottom w:w="0" w:type="dxa"/>
            <w:right w:w="108" w:type="dxa"/>
          </w:tblCellMar>
        </w:tblPrEx>
        <w:trPr>
          <w:trHeight w:val="1180" w:hRule="atLeast"/>
        </w:trPr>
        <w:tc>
          <w:tcPr>
            <w:tcW w:w="788" w:type="dxa"/>
            <w:tcBorders>
              <w:top w:val="single" w:color="auto" w:sz="6" w:space="0"/>
              <w:left w:val="single" w:color="auto" w:sz="6" w:space="0"/>
              <w:bottom w:val="single" w:color="auto" w:sz="6" w:space="0"/>
              <w:right w:val="single" w:color="auto" w:sz="6" w:space="0"/>
            </w:tcBorders>
            <w:noWrap w:val="0"/>
            <w:vAlign w:val="center"/>
          </w:tcPr>
          <w:p>
            <w:pPr>
              <w:pStyle w:val="2"/>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4</w:t>
            </w:r>
          </w:p>
        </w:tc>
        <w:tc>
          <w:tcPr>
            <w:tcW w:w="795"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color w:val="auto"/>
                <w:sz w:val="24"/>
                <w:szCs w:val="24"/>
                <w:highlight w:val="none"/>
                <w:lang w:eastAsia="zh-CN" w:bidi="ar"/>
              </w:rPr>
            </w:pPr>
            <w:r>
              <w:rPr>
                <w:rFonts w:hint="eastAsia" w:hAnsi="宋体" w:cs="宋体"/>
                <w:color w:val="auto"/>
                <w:sz w:val="24"/>
                <w:szCs w:val="24"/>
                <w:highlight w:val="none"/>
                <w:lang w:eastAsia="zh-CN" w:bidi="ar"/>
              </w:rPr>
              <w:t>图云加速模块</w:t>
            </w:r>
          </w:p>
        </w:tc>
        <w:tc>
          <w:tcPr>
            <w:tcW w:w="6985"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lang w:val="en-US" w:eastAsia="zh-CN"/>
              </w:rPr>
            </w:pPr>
            <w:r>
              <w:rPr>
                <w:rFonts w:hint="eastAsia"/>
                <w:lang w:val="en-US" w:eastAsia="zh-CN"/>
              </w:rPr>
              <w:t>支持图片即存即取功能；</w:t>
            </w:r>
          </w:p>
        </w:tc>
        <w:tc>
          <w:tcPr>
            <w:tcW w:w="618" w:type="dxa"/>
            <w:tcBorders>
              <w:top w:val="single" w:color="auto" w:sz="6" w:space="0"/>
              <w:left w:val="nil"/>
              <w:bottom w:val="single" w:color="auto" w:sz="6" w:space="0"/>
              <w:right w:val="single" w:color="auto" w:sz="6" w:space="0"/>
            </w:tcBorders>
            <w:noWrap w:val="0"/>
            <w:vAlign w:val="center"/>
          </w:tcPr>
          <w:p>
            <w:pPr>
              <w:jc w:val="center"/>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16</w:t>
            </w:r>
          </w:p>
        </w:tc>
        <w:tc>
          <w:tcPr>
            <w:tcW w:w="563"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bCs/>
                <w:color w:val="auto"/>
                <w:sz w:val="24"/>
                <w:szCs w:val="24"/>
                <w:highlight w:val="none"/>
                <w:lang w:eastAsia="zh-CN" w:bidi="ar"/>
              </w:rPr>
            </w:pPr>
            <w:r>
              <w:rPr>
                <w:rFonts w:hint="eastAsia" w:hAnsi="宋体" w:cs="宋体"/>
                <w:bCs/>
                <w:color w:val="auto"/>
                <w:sz w:val="24"/>
                <w:szCs w:val="24"/>
                <w:highlight w:val="none"/>
                <w:lang w:eastAsia="zh-CN" w:bidi="ar"/>
              </w:rPr>
              <w:t>套</w:t>
            </w:r>
          </w:p>
        </w:tc>
      </w:tr>
      <w:tr>
        <w:tblPrEx>
          <w:tblCellMar>
            <w:top w:w="0" w:type="dxa"/>
            <w:left w:w="108" w:type="dxa"/>
            <w:bottom w:w="0" w:type="dxa"/>
            <w:right w:w="108" w:type="dxa"/>
          </w:tblCellMar>
        </w:tblPrEx>
        <w:trPr>
          <w:trHeight w:val="1525" w:hRule="atLeast"/>
        </w:trPr>
        <w:tc>
          <w:tcPr>
            <w:tcW w:w="788" w:type="dxa"/>
            <w:tcBorders>
              <w:top w:val="single" w:color="auto" w:sz="6" w:space="0"/>
              <w:left w:val="single" w:color="auto" w:sz="6" w:space="0"/>
              <w:bottom w:val="single" w:color="auto" w:sz="6" w:space="0"/>
              <w:right w:val="single" w:color="auto" w:sz="6" w:space="0"/>
            </w:tcBorders>
            <w:noWrap w:val="0"/>
            <w:vAlign w:val="center"/>
          </w:tcPr>
          <w:p>
            <w:pPr>
              <w:pStyle w:val="2"/>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5</w:t>
            </w:r>
          </w:p>
        </w:tc>
        <w:tc>
          <w:tcPr>
            <w:tcW w:w="795"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color w:val="auto"/>
                <w:sz w:val="24"/>
                <w:szCs w:val="24"/>
                <w:highlight w:val="none"/>
                <w:lang w:eastAsia="zh-CN" w:bidi="ar"/>
              </w:rPr>
            </w:pPr>
            <w:r>
              <w:rPr>
                <w:rFonts w:hint="eastAsia" w:hAnsi="宋体" w:cs="宋体"/>
                <w:color w:val="auto"/>
                <w:sz w:val="24"/>
                <w:szCs w:val="24"/>
                <w:highlight w:val="none"/>
                <w:lang w:eastAsia="zh-CN" w:bidi="ar"/>
              </w:rPr>
              <w:t>视频云存储运维管理软件</w:t>
            </w:r>
          </w:p>
        </w:tc>
        <w:tc>
          <w:tcPr>
            <w:tcW w:w="6985"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lang w:val="en-US" w:eastAsia="zh-CN"/>
              </w:rPr>
            </w:pPr>
            <w:r>
              <w:rPr>
                <w:rFonts w:hint="eastAsia"/>
                <w:lang w:val="en-US" w:eastAsia="zh-CN"/>
              </w:rPr>
              <w:t>支持设备自动发现，支持无需登录设备，即可远程配置IP地址；</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lang w:val="en-US" w:eastAsia="zh-CN"/>
              </w:rPr>
            </w:pPr>
            <w:r>
              <w:rPr>
                <w:rFonts w:hint="eastAsia"/>
                <w:lang w:val="en-US" w:eastAsia="zh-CN"/>
              </w:rPr>
              <w:t>支持云存储系统可视化，视频按天统计写入量、图片和文件按天统计写入个数与容量、云存储系统容量（总容量、已用容量、剩余容量）、设备数量等信息；统计信息支持以RESTful协议对接；</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lang w:val="en-US" w:eastAsia="zh-CN"/>
              </w:rPr>
            </w:pPr>
            <w:r>
              <w:rPr>
                <w:rFonts w:hint="eastAsia"/>
                <w:lang w:val="en-US" w:eastAsia="zh-CN"/>
              </w:rPr>
              <w:t>支持对频繁上报的同一个告警信息进行分析过滤，经过告警分析规则的过滤后，支持在指定时间后再一次上报到运维平台；</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lang w:val="en-US" w:eastAsia="zh-CN"/>
              </w:rPr>
            </w:pPr>
            <w:r>
              <w:rPr>
                <w:rFonts w:hint="eastAsia"/>
                <w:lang w:val="en-US" w:eastAsia="zh-CN"/>
              </w:rPr>
              <w:t>支持通过运维系统对云存储系统、管理节点、存储节点、结构化服务器进行一键在线升级；升级可指定升级策略，升级自动执行，无需人工值守；</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lang w:val="en-US" w:eastAsia="zh-CN"/>
              </w:rPr>
            </w:pPr>
            <w:r>
              <w:rPr>
                <w:rFonts w:hint="eastAsia"/>
                <w:lang w:val="en-US" w:eastAsia="zh-CN"/>
              </w:rPr>
              <w:t>一键自动化巡检，提供统一巡检报告，支持多云资源概况统计及对多个云的监控和维护；</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lang w:val="en-US" w:eastAsia="zh-CN"/>
              </w:rPr>
            </w:pPr>
            <w:r>
              <w:rPr>
                <w:rFonts w:hint="eastAsia"/>
                <w:lang w:val="en-US" w:eastAsia="zh-CN"/>
              </w:rPr>
              <w:t>支持通过运维系统进行故障告警和预警功能；</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lang w:val="en-US" w:eastAsia="zh-CN"/>
              </w:rPr>
            </w:pPr>
            <w:r>
              <w:rPr>
                <w:rFonts w:hint="eastAsia"/>
                <w:lang w:val="en-US" w:eastAsia="zh-CN"/>
              </w:rPr>
              <w:t>支持监控点录像出现异常时及时告警，设备支持以分钟为精度对录像完整性监控，当录像连续丢失1分钟及以上时，自动判定该小时录像为异常；</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lang w:val="en-US" w:eastAsia="zh-CN"/>
              </w:rPr>
            </w:pPr>
            <w:r>
              <w:rPr>
                <w:rFonts w:hint="eastAsia"/>
                <w:lang w:val="en-US" w:eastAsia="zh-CN"/>
              </w:rPr>
              <w:t>支持查看单台接入服务器上接入的监控点位数,并支持根据系统的均衡情况手动调整每台接入服务器上的接入数；</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lang w:val="en-US" w:eastAsia="zh-CN"/>
              </w:rPr>
            </w:pPr>
            <w:r>
              <w:rPr>
                <w:rFonts w:hint="eastAsia"/>
                <w:lang w:val="en-US" w:eastAsia="zh-CN"/>
              </w:rPr>
              <w:t>支持对频繁上报的同一个告警信息进行分析过滤，经过告警分析规则的过滤后，支持在指定时间后再一次上报到运维平台；</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lang w:val="en-US" w:eastAsia="zh-CN"/>
              </w:rPr>
            </w:pPr>
            <w:r>
              <w:rPr>
                <w:rFonts w:hint="eastAsia"/>
                <w:lang w:val="en-US" w:eastAsia="zh-CN"/>
              </w:rPr>
              <w:t>支持针对指定设备的告警类型设置告警黑名单，对于指定设备存在于黑名单中的告警类型，不会进行告警上报；</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lang w:val="en-US" w:eastAsia="zh-CN"/>
              </w:rPr>
            </w:pPr>
            <w:r>
              <w:rPr>
                <w:rFonts w:hint="eastAsia"/>
                <w:lang w:val="en-US" w:eastAsia="zh-CN"/>
              </w:rPr>
              <w:t>支持通过运维系统进行故障告警和预警功能；</w:t>
            </w:r>
          </w:p>
        </w:tc>
        <w:tc>
          <w:tcPr>
            <w:tcW w:w="618" w:type="dxa"/>
            <w:tcBorders>
              <w:top w:val="single" w:color="auto" w:sz="6" w:space="0"/>
              <w:left w:val="nil"/>
              <w:bottom w:val="single" w:color="auto" w:sz="6" w:space="0"/>
              <w:right w:val="single" w:color="auto" w:sz="6" w:space="0"/>
            </w:tcBorders>
            <w:noWrap w:val="0"/>
            <w:vAlign w:val="center"/>
          </w:tcPr>
          <w:p>
            <w:pPr>
              <w:jc w:val="center"/>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1</w:t>
            </w:r>
          </w:p>
        </w:tc>
        <w:tc>
          <w:tcPr>
            <w:tcW w:w="563"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bCs/>
                <w:color w:val="auto"/>
                <w:sz w:val="24"/>
                <w:szCs w:val="24"/>
                <w:highlight w:val="none"/>
                <w:lang w:eastAsia="zh-CN" w:bidi="ar"/>
              </w:rPr>
            </w:pPr>
            <w:r>
              <w:rPr>
                <w:rFonts w:hint="eastAsia" w:hAnsi="宋体" w:cs="宋体"/>
                <w:bCs/>
                <w:color w:val="auto"/>
                <w:sz w:val="24"/>
                <w:szCs w:val="24"/>
                <w:highlight w:val="none"/>
                <w:lang w:eastAsia="zh-CN" w:bidi="ar"/>
              </w:rPr>
              <w:t>套</w:t>
            </w:r>
          </w:p>
        </w:tc>
      </w:tr>
      <w:tr>
        <w:tblPrEx>
          <w:tblCellMar>
            <w:top w:w="0" w:type="dxa"/>
            <w:left w:w="108" w:type="dxa"/>
            <w:bottom w:w="0" w:type="dxa"/>
            <w:right w:w="108" w:type="dxa"/>
          </w:tblCellMar>
        </w:tblPrEx>
        <w:trPr>
          <w:trHeight w:val="677" w:hRule="atLeast"/>
        </w:trPr>
        <w:tc>
          <w:tcPr>
            <w:tcW w:w="9749" w:type="dxa"/>
            <w:gridSpan w:val="5"/>
            <w:tcBorders>
              <w:top w:val="single" w:color="auto" w:sz="6" w:space="0"/>
              <w:left w:val="single" w:color="auto" w:sz="6" w:space="0"/>
              <w:bottom w:val="single" w:color="auto" w:sz="6" w:space="0"/>
              <w:right w:val="single" w:color="auto" w:sz="6" w:space="0"/>
            </w:tcBorders>
            <w:noWrap w:val="0"/>
            <w:vAlign w:val="center"/>
          </w:tcPr>
          <w:p>
            <w:pPr>
              <w:jc w:val="center"/>
              <w:rPr>
                <w:rFonts w:hint="eastAsia" w:hAnsi="宋体" w:cs="宋体"/>
                <w:bCs/>
                <w:color w:val="auto"/>
                <w:sz w:val="24"/>
                <w:szCs w:val="24"/>
                <w:highlight w:val="none"/>
                <w:lang w:eastAsia="zh-CN" w:bidi="ar"/>
              </w:rPr>
            </w:pPr>
            <w:r>
              <w:rPr>
                <w:rFonts w:hint="eastAsia" w:hAnsi="宋体" w:cs="宋体"/>
                <w:bCs/>
                <w:color w:val="auto"/>
                <w:sz w:val="24"/>
                <w:szCs w:val="24"/>
                <w:highlight w:val="none"/>
                <w:lang w:eastAsia="zh-CN" w:bidi="ar"/>
              </w:rPr>
              <w:t>暂列金</w:t>
            </w:r>
          </w:p>
        </w:tc>
      </w:tr>
      <w:tr>
        <w:tblPrEx>
          <w:tblCellMar>
            <w:top w:w="0" w:type="dxa"/>
            <w:left w:w="108" w:type="dxa"/>
            <w:bottom w:w="0" w:type="dxa"/>
            <w:right w:w="108" w:type="dxa"/>
          </w:tblCellMar>
        </w:tblPrEx>
        <w:trPr>
          <w:trHeight w:val="858" w:hRule="atLeast"/>
        </w:trPr>
        <w:tc>
          <w:tcPr>
            <w:tcW w:w="788" w:type="dxa"/>
            <w:tcBorders>
              <w:top w:val="single" w:color="auto" w:sz="6" w:space="0"/>
              <w:left w:val="single" w:color="auto" w:sz="6" w:space="0"/>
              <w:bottom w:val="single" w:color="auto" w:sz="6" w:space="0"/>
              <w:right w:val="single" w:color="auto" w:sz="6" w:space="0"/>
            </w:tcBorders>
            <w:noWrap w:val="0"/>
            <w:vAlign w:val="center"/>
          </w:tcPr>
          <w:p>
            <w:pPr>
              <w:pStyle w:val="2"/>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1</w:t>
            </w:r>
          </w:p>
        </w:tc>
        <w:tc>
          <w:tcPr>
            <w:tcW w:w="795"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color w:val="auto"/>
                <w:sz w:val="24"/>
                <w:szCs w:val="24"/>
                <w:highlight w:val="none"/>
                <w:lang w:eastAsia="zh-CN" w:bidi="ar"/>
              </w:rPr>
            </w:pPr>
            <w:r>
              <w:rPr>
                <w:rFonts w:hint="eastAsia" w:hAnsi="宋体" w:cs="宋体"/>
                <w:bCs/>
                <w:color w:val="auto"/>
                <w:sz w:val="24"/>
                <w:szCs w:val="24"/>
                <w:highlight w:val="none"/>
                <w:lang w:eastAsia="zh-CN" w:bidi="ar"/>
              </w:rPr>
              <w:t>暂列金</w:t>
            </w:r>
          </w:p>
        </w:tc>
        <w:tc>
          <w:tcPr>
            <w:tcW w:w="6985" w:type="dxa"/>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40" w:lineRule="exact"/>
              <w:textAlignment w:val="auto"/>
              <w:rPr>
                <w:rFonts w:hint="eastAsia"/>
                <w:lang w:val="en-US" w:eastAsia="zh-CN"/>
              </w:rPr>
            </w:pPr>
            <w:r>
              <w:rPr>
                <w:rFonts w:hint="eastAsia"/>
                <w:lang w:val="en-US" w:eastAsia="zh-CN"/>
              </w:rPr>
              <w:t>暂定金额50000.00元，按50000.00元进行投标。</w:t>
            </w:r>
          </w:p>
        </w:tc>
        <w:tc>
          <w:tcPr>
            <w:tcW w:w="618" w:type="dxa"/>
            <w:tcBorders>
              <w:top w:val="single" w:color="auto" w:sz="6" w:space="0"/>
              <w:left w:val="nil"/>
              <w:bottom w:val="single" w:color="auto" w:sz="6" w:space="0"/>
              <w:right w:val="single" w:color="auto" w:sz="6" w:space="0"/>
            </w:tcBorders>
            <w:noWrap w:val="0"/>
            <w:vAlign w:val="center"/>
          </w:tcPr>
          <w:p>
            <w:pPr>
              <w:jc w:val="center"/>
              <w:rPr>
                <w:rFonts w:hint="default" w:hAnsi="宋体" w:cs="宋体"/>
                <w:bCs/>
                <w:color w:val="auto"/>
                <w:sz w:val="24"/>
                <w:szCs w:val="24"/>
                <w:highlight w:val="none"/>
                <w:lang w:val="en-US" w:eastAsia="zh-CN" w:bidi="ar"/>
              </w:rPr>
            </w:pPr>
            <w:r>
              <w:rPr>
                <w:rFonts w:hint="eastAsia" w:hAnsi="宋体" w:cs="宋体"/>
                <w:bCs/>
                <w:color w:val="auto"/>
                <w:sz w:val="24"/>
                <w:szCs w:val="24"/>
                <w:highlight w:val="none"/>
                <w:lang w:val="en-US" w:eastAsia="zh-CN" w:bidi="ar"/>
              </w:rPr>
              <w:t>1</w:t>
            </w:r>
          </w:p>
        </w:tc>
        <w:tc>
          <w:tcPr>
            <w:tcW w:w="563" w:type="dxa"/>
            <w:tcBorders>
              <w:top w:val="single" w:color="auto" w:sz="6" w:space="0"/>
              <w:left w:val="nil"/>
              <w:bottom w:val="single" w:color="auto" w:sz="6" w:space="0"/>
              <w:right w:val="single" w:color="auto" w:sz="6" w:space="0"/>
            </w:tcBorders>
            <w:noWrap w:val="0"/>
            <w:vAlign w:val="center"/>
          </w:tcPr>
          <w:p>
            <w:pPr>
              <w:jc w:val="center"/>
              <w:rPr>
                <w:rFonts w:hint="eastAsia" w:hAnsi="宋体" w:cs="宋体"/>
                <w:bCs/>
                <w:color w:val="auto"/>
                <w:sz w:val="24"/>
                <w:szCs w:val="24"/>
                <w:highlight w:val="none"/>
                <w:lang w:eastAsia="zh-CN" w:bidi="ar"/>
              </w:rPr>
            </w:pPr>
            <w:r>
              <w:rPr>
                <w:rFonts w:hint="eastAsia" w:hAnsi="宋体" w:cs="宋体"/>
                <w:bCs/>
                <w:color w:val="auto"/>
                <w:sz w:val="24"/>
                <w:szCs w:val="24"/>
                <w:highlight w:val="none"/>
                <w:lang w:eastAsia="zh-CN" w:bidi="ar"/>
              </w:rPr>
              <w:t>项</w:t>
            </w:r>
          </w:p>
        </w:tc>
      </w:tr>
    </w:tbl>
    <w:p>
      <w:pPr>
        <w:pStyle w:val="4"/>
        <w:ind w:left="0" w:leftChars="0" w:firstLine="0" w:firstLineChars="0"/>
        <w:rPr>
          <w:rFonts w:hint="eastAsia"/>
        </w:rPr>
      </w:pPr>
    </w:p>
    <w:p>
      <w:pPr>
        <w:pStyle w:val="2"/>
        <w:ind w:left="0" w:leftChars="0" w:firstLine="0" w:firstLineChars="0"/>
        <w:rPr>
          <w:rFonts w:hint="eastAsia"/>
        </w:rPr>
      </w:pPr>
      <w:r>
        <w:rPr>
          <w:rFonts w:hint="eastAsia"/>
          <w:sz w:val="21"/>
          <w:szCs w:val="21"/>
          <w:lang w:eastAsia="zh-CN"/>
        </w:rPr>
        <w:t>注：本项目全部包别供应商所投货物技术参数允许出现正偏离及负偏离</w:t>
      </w:r>
    </w:p>
    <w:p>
      <w:pPr>
        <w:rPr>
          <w:rFonts w:hint="eastAsia"/>
        </w:rPr>
      </w:pPr>
    </w:p>
    <w:p>
      <w:pPr>
        <w:jc w:val="center"/>
        <w:outlineLvl w:val="0"/>
        <w:rPr>
          <w:rFonts w:ascii="楷体" w:hAnsi="楷体" w:eastAsia="楷体" w:cs="楷体"/>
        </w:rPr>
      </w:pPr>
      <w:r>
        <w:rPr>
          <w:rStyle w:val="43"/>
          <w:rFonts w:hint="eastAsia" w:ascii="楷体" w:hAnsi="楷体" w:eastAsia="楷体" w:cs="楷体"/>
        </w:rPr>
        <w:t>第五章 评审方法</w:t>
      </w:r>
      <w:bookmarkEnd w:id="64"/>
      <w:bookmarkEnd w:id="65"/>
      <w:bookmarkEnd w:id="66"/>
      <w:bookmarkEnd w:id="67"/>
      <w:bookmarkEnd w:id="68"/>
      <w:bookmarkEnd w:id="84"/>
    </w:p>
    <w:p>
      <w:pPr>
        <w:spacing w:line="360" w:lineRule="auto"/>
        <w:rPr>
          <w:rFonts w:ascii="楷体" w:hAnsi="楷体" w:eastAsia="楷体" w:cs="楷体"/>
          <w:b/>
          <w:sz w:val="28"/>
          <w:szCs w:val="28"/>
        </w:rPr>
      </w:pPr>
      <w:bookmarkStart w:id="85" w:name="_Toc363463332"/>
      <w:r>
        <w:rPr>
          <w:rFonts w:hint="eastAsia" w:ascii="楷体" w:hAnsi="楷体" w:eastAsia="楷体" w:cs="楷体"/>
          <w:b/>
          <w:sz w:val="28"/>
          <w:szCs w:val="28"/>
        </w:rPr>
        <w:t>一、评审方法</w:t>
      </w:r>
      <w:bookmarkEnd w:id="85"/>
    </w:p>
    <w:p>
      <w:pPr>
        <w:spacing w:line="360" w:lineRule="auto"/>
        <w:ind w:firstLine="480" w:firstLineChars="200"/>
        <w:rPr>
          <w:rFonts w:ascii="楷体" w:hAnsi="楷体" w:eastAsia="楷体" w:cs="楷体"/>
          <w:szCs w:val="24"/>
        </w:rPr>
      </w:pPr>
      <w:r>
        <w:rPr>
          <w:rFonts w:hint="eastAsia" w:ascii="楷体" w:hAnsi="楷体" w:eastAsia="楷体" w:cs="楷体"/>
          <w:szCs w:val="24"/>
        </w:rPr>
        <w:t>按照《中华人民共和国政府采购法》和《中华人民共和国政府采购法实施条例》及《政府采购货物和服务招标投标管理办法》（财政部令第87号）等相关法律法规，本次评审采用</w:t>
      </w:r>
      <w:r>
        <w:rPr>
          <w:rFonts w:hint="eastAsia" w:ascii="楷体" w:hAnsi="楷体" w:eastAsia="楷体" w:cs="楷体"/>
          <w:b/>
          <w:bCs/>
          <w:szCs w:val="24"/>
        </w:rPr>
        <w:t>综合评分法</w:t>
      </w:r>
      <w:r>
        <w:rPr>
          <w:rFonts w:hint="eastAsia" w:ascii="楷体" w:hAnsi="楷体" w:eastAsia="楷体" w:cs="楷体"/>
          <w:szCs w:val="24"/>
        </w:rPr>
        <w:t>，是指投标文件满足招标文件全部实质性要求，且按照评审因素的量化指标评审得分最高的投标人为中标候选人的评标方法。</w:t>
      </w:r>
      <w:r>
        <w:rPr>
          <w:rFonts w:hint="eastAsia" w:ascii="楷体" w:hAnsi="楷体" w:eastAsia="楷体" w:cs="楷体"/>
          <w:spacing w:val="4"/>
          <w:szCs w:val="24"/>
        </w:rPr>
        <w:t>（最低报价不是中标的唯一标准）</w:t>
      </w:r>
    </w:p>
    <w:p>
      <w:pPr>
        <w:spacing w:line="360" w:lineRule="auto"/>
        <w:rPr>
          <w:rFonts w:ascii="楷体" w:hAnsi="楷体" w:eastAsia="楷体" w:cs="楷体"/>
          <w:b/>
          <w:sz w:val="28"/>
          <w:szCs w:val="28"/>
        </w:rPr>
      </w:pPr>
      <w:bookmarkStart w:id="86" w:name="_Toc363463333"/>
      <w:r>
        <w:rPr>
          <w:rFonts w:hint="eastAsia" w:ascii="楷体" w:hAnsi="楷体" w:eastAsia="楷体" w:cs="楷体"/>
          <w:b/>
          <w:sz w:val="28"/>
          <w:szCs w:val="28"/>
        </w:rPr>
        <w:t>二、评标程序</w:t>
      </w:r>
      <w:bookmarkEnd w:id="86"/>
    </w:p>
    <w:p>
      <w:pPr>
        <w:spacing w:line="360" w:lineRule="auto"/>
        <w:ind w:firstLine="480" w:firstLineChars="200"/>
        <w:rPr>
          <w:rFonts w:ascii="楷体" w:hAnsi="楷体" w:eastAsia="楷体" w:cs="楷体"/>
          <w:szCs w:val="24"/>
        </w:rPr>
      </w:pPr>
      <w:r>
        <w:rPr>
          <w:rFonts w:hint="eastAsia" w:ascii="楷体" w:hAnsi="楷体" w:eastAsia="楷体" w:cs="楷体"/>
          <w:szCs w:val="24"/>
        </w:rPr>
        <w:t>按照初审（含资格性审查和符合性审查）、综合评估打分、推荐中标候选人名单的工作程序进行评审。在上一步评审中投标人被按无效投标处理的投标人，不进入下一步的评审。</w:t>
      </w:r>
    </w:p>
    <w:p>
      <w:pPr>
        <w:spacing w:line="360" w:lineRule="auto"/>
        <w:ind w:firstLine="498" w:firstLineChars="200"/>
        <w:rPr>
          <w:rFonts w:ascii="楷体" w:hAnsi="楷体" w:eastAsia="楷体" w:cs="楷体"/>
          <w:b/>
          <w:spacing w:val="4"/>
          <w:szCs w:val="24"/>
        </w:rPr>
      </w:pPr>
      <w:r>
        <w:rPr>
          <w:rFonts w:hint="eastAsia" w:ascii="楷体" w:hAnsi="楷体" w:eastAsia="楷体" w:cs="楷体"/>
          <w:b/>
          <w:spacing w:val="4"/>
          <w:szCs w:val="24"/>
        </w:rPr>
        <w:t>1、初审：</w:t>
      </w:r>
      <w:r>
        <w:rPr>
          <w:rFonts w:hint="eastAsia" w:ascii="楷体" w:hAnsi="楷体" w:eastAsia="楷体" w:cs="楷体"/>
          <w:szCs w:val="24"/>
        </w:rPr>
        <w:t>资格性审查和符合性审查</w:t>
      </w:r>
    </w:p>
    <w:p>
      <w:pPr>
        <w:spacing w:line="360" w:lineRule="auto"/>
        <w:ind w:firstLine="498" w:firstLineChars="200"/>
        <w:rPr>
          <w:rFonts w:ascii="楷体" w:hAnsi="楷体" w:eastAsia="楷体" w:cs="楷体"/>
          <w:b/>
          <w:spacing w:val="4"/>
          <w:szCs w:val="24"/>
        </w:rPr>
      </w:pPr>
      <w:r>
        <w:rPr>
          <w:rFonts w:hint="eastAsia" w:ascii="楷体" w:hAnsi="楷体" w:eastAsia="楷体" w:cs="楷体"/>
          <w:b/>
          <w:spacing w:val="4"/>
          <w:szCs w:val="24"/>
        </w:rPr>
        <w:t>1.1资格审查：</w:t>
      </w:r>
    </w:p>
    <w:tbl>
      <w:tblPr>
        <w:tblStyle w:val="24"/>
        <w:tblW w:w="8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7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05" w:type="dxa"/>
            <w:vAlign w:val="center"/>
          </w:tcPr>
          <w:p>
            <w:pPr>
              <w:spacing w:line="360" w:lineRule="auto"/>
              <w:jc w:val="center"/>
              <w:rPr>
                <w:rFonts w:ascii="楷体" w:hAnsi="楷体" w:eastAsia="楷体" w:cs="楷体"/>
                <w:b/>
                <w:bCs/>
                <w:color w:val="auto"/>
                <w:szCs w:val="24"/>
                <w:highlight w:val="none"/>
              </w:rPr>
            </w:pPr>
            <w:r>
              <w:rPr>
                <w:rFonts w:hint="eastAsia" w:ascii="楷体" w:hAnsi="楷体" w:eastAsia="楷体" w:cs="楷体"/>
                <w:b/>
                <w:bCs/>
                <w:color w:val="auto"/>
                <w:szCs w:val="24"/>
                <w:highlight w:val="none"/>
              </w:rPr>
              <w:t>序号</w:t>
            </w:r>
          </w:p>
        </w:tc>
        <w:tc>
          <w:tcPr>
            <w:tcW w:w="7907" w:type="dxa"/>
            <w:vAlign w:val="center"/>
          </w:tcPr>
          <w:p>
            <w:pPr>
              <w:spacing w:line="360" w:lineRule="auto"/>
              <w:jc w:val="center"/>
              <w:rPr>
                <w:rFonts w:ascii="楷体" w:hAnsi="楷体" w:eastAsia="楷体" w:cs="楷体"/>
                <w:b/>
                <w:bCs/>
                <w:szCs w:val="24"/>
                <w:highlight w:val="none"/>
              </w:rPr>
            </w:pPr>
            <w:r>
              <w:rPr>
                <w:rFonts w:hint="eastAsia" w:ascii="楷体" w:hAnsi="楷体" w:eastAsia="楷体" w:cs="楷体"/>
                <w:b/>
                <w:bCs/>
                <w:szCs w:val="24"/>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05" w:type="dxa"/>
            <w:vAlign w:val="center"/>
          </w:tcPr>
          <w:p>
            <w:pPr>
              <w:spacing w:line="360" w:lineRule="auto"/>
              <w:jc w:val="center"/>
              <w:rPr>
                <w:rFonts w:ascii="楷体" w:hAnsi="楷体" w:eastAsia="楷体" w:cs="楷体"/>
                <w:color w:val="auto"/>
                <w:szCs w:val="24"/>
                <w:highlight w:val="none"/>
              </w:rPr>
            </w:pPr>
            <w:r>
              <w:rPr>
                <w:rFonts w:hint="eastAsia" w:ascii="楷体" w:hAnsi="楷体" w:eastAsia="楷体" w:cs="楷体"/>
                <w:color w:val="auto"/>
                <w:szCs w:val="24"/>
                <w:highlight w:val="none"/>
              </w:rPr>
              <w:t>1</w:t>
            </w:r>
          </w:p>
        </w:tc>
        <w:tc>
          <w:tcPr>
            <w:tcW w:w="7907" w:type="dxa"/>
            <w:vAlign w:val="center"/>
          </w:tcPr>
          <w:p>
            <w:pPr>
              <w:spacing w:line="360" w:lineRule="auto"/>
              <w:jc w:val="left"/>
              <w:rPr>
                <w:rFonts w:ascii="楷体" w:hAnsi="楷体" w:eastAsia="楷体" w:cs="楷体"/>
                <w:szCs w:val="24"/>
                <w:highlight w:val="none"/>
              </w:rPr>
            </w:pPr>
            <w:r>
              <w:rPr>
                <w:rFonts w:hint="eastAsia" w:ascii="楷体" w:hAnsi="楷体" w:eastAsia="楷体" w:cs="楷体"/>
                <w:szCs w:val="24"/>
                <w:highlight w:val="none"/>
              </w:rPr>
              <w:t>投标人具备《中华人民共和国政府采购法》第二十二条规定的资格条件。须提供的证明材料有：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05" w:type="dxa"/>
            <w:vAlign w:val="center"/>
          </w:tcPr>
          <w:p>
            <w:pPr>
              <w:spacing w:line="360" w:lineRule="auto"/>
              <w:jc w:val="center"/>
              <w:rPr>
                <w:rFonts w:ascii="楷体" w:hAnsi="楷体" w:eastAsia="楷体" w:cs="楷体"/>
                <w:color w:val="auto"/>
                <w:szCs w:val="24"/>
                <w:highlight w:val="none"/>
              </w:rPr>
            </w:pPr>
            <w:r>
              <w:rPr>
                <w:rFonts w:hint="eastAsia" w:ascii="楷体" w:hAnsi="楷体" w:eastAsia="楷体" w:cs="楷体"/>
                <w:color w:val="auto"/>
                <w:szCs w:val="24"/>
                <w:highlight w:val="none"/>
              </w:rPr>
              <w:t>1.1</w:t>
            </w:r>
          </w:p>
        </w:tc>
        <w:tc>
          <w:tcPr>
            <w:tcW w:w="7907" w:type="dxa"/>
            <w:vAlign w:val="center"/>
          </w:tcPr>
          <w:p>
            <w:pPr>
              <w:spacing w:line="360" w:lineRule="auto"/>
              <w:jc w:val="left"/>
              <w:rPr>
                <w:rFonts w:hint="eastAsia" w:ascii="楷体" w:hAnsi="楷体" w:eastAsia="楷体" w:cs="楷体"/>
                <w:szCs w:val="24"/>
                <w:highlight w:val="none"/>
                <w:lang w:eastAsia="zh-CN"/>
              </w:rPr>
            </w:pPr>
            <w:r>
              <w:rPr>
                <w:rFonts w:hint="eastAsia" w:ascii="楷体" w:hAnsi="楷体" w:eastAsia="楷体" w:cs="楷体"/>
                <w:szCs w:val="24"/>
                <w:highlight w:val="none"/>
              </w:rPr>
              <w:t>提供有效合格的具有社会统一信用代码的营业执照</w:t>
            </w:r>
            <w:r>
              <w:rPr>
                <w:rFonts w:hint="eastAsia" w:ascii="楷体" w:hAnsi="楷体" w:eastAsia="楷体" w:cs="楷体"/>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705" w:type="dxa"/>
            <w:vAlign w:val="center"/>
          </w:tcPr>
          <w:p>
            <w:pPr>
              <w:spacing w:line="360" w:lineRule="auto"/>
              <w:jc w:val="center"/>
              <w:rPr>
                <w:rFonts w:hint="eastAsia" w:ascii="楷体" w:hAnsi="楷体" w:eastAsia="楷体" w:cs="楷体"/>
                <w:color w:val="auto"/>
                <w:szCs w:val="24"/>
                <w:highlight w:val="none"/>
              </w:rPr>
            </w:pPr>
          </w:p>
        </w:tc>
        <w:tc>
          <w:tcPr>
            <w:tcW w:w="7907" w:type="dxa"/>
            <w:vAlign w:val="center"/>
          </w:tcPr>
          <w:p>
            <w:pPr>
              <w:pStyle w:val="23"/>
              <w:numPr>
                <w:ilvl w:val="0"/>
                <w:numId w:val="0"/>
              </w:numPr>
              <w:spacing w:beforeAutospacing="0" w:afterAutospacing="0" w:line="480" w:lineRule="exact"/>
              <w:ind w:firstLine="240" w:firstLineChars="100"/>
              <w:jc w:val="both"/>
              <w:textAlignment w:val="baseline"/>
              <w:rPr>
                <w:rFonts w:hint="eastAsia" w:ascii="楷体" w:hAnsi="楷体" w:eastAsia="楷体" w:cs="楷体"/>
                <w:szCs w:val="24"/>
                <w:highlight w:val="none"/>
              </w:rPr>
            </w:pPr>
            <w:r>
              <w:rPr>
                <w:rFonts w:hint="eastAsia" w:ascii="楷体" w:hAnsi="楷体" w:eastAsia="楷体" w:cs="楷体"/>
                <w:highlight w:val="none"/>
              </w:rPr>
              <w:t>对列入“信用中国”网站(www.creditchina.gov.cn)“记录失信被执行人或重大税收违法案件当事人名单或企业经营异常名录”记录名单及中国政府采购网(www.ccgp.gov.cn)“政府采购严重违法失信行为信息记录”的投标人，</w:t>
            </w:r>
            <w:r>
              <w:rPr>
                <w:rFonts w:hint="eastAsia" w:ascii="楷体" w:hAnsi="楷体" w:eastAsia="楷体" w:cs="楷体"/>
                <w:highlight w:val="none"/>
                <w:lang w:eastAsia="zh-CN"/>
              </w:rPr>
              <w:t>禁止</w:t>
            </w:r>
            <w:r>
              <w:rPr>
                <w:rFonts w:hint="eastAsia" w:ascii="楷体" w:hAnsi="楷体" w:eastAsia="楷体" w:cs="楷体"/>
                <w:highlight w:val="none"/>
              </w:rPr>
              <w:t>参与政府采购活动（附投标截止日前的查询结果但以投标截止日当天查询结果为准）;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05" w:type="dxa"/>
            <w:vAlign w:val="center"/>
          </w:tcPr>
          <w:p>
            <w:pPr>
              <w:spacing w:line="360" w:lineRule="auto"/>
              <w:jc w:val="center"/>
              <w:rPr>
                <w:rFonts w:hint="eastAsia" w:ascii="楷体" w:hAnsi="楷体" w:eastAsia="楷体" w:cs="楷体"/>
                <w:color w:val="auto"/>
                <w:szCs w:val="24"/>
                <w:highlight w:val="none"/>
              </w:rPr>
            </w:pPr>
          </w:p>
        </w:tc>
        <w:tc>
          <w:tcPr>
            <w:tcW w:w="7907" w:type="dxa"/>
            <w:vAlign w:val="center"/>
          </w:tcPr>
          <w:p>
            <w:pPr>
              <w:pStyle w:val="23"/>
              <w:numPr>
                <w:ilvl w:val="0"/>
                <w:numId w:val="0"/>
              </w:numPr>
              <w:spacing w:beforeAutospacing="0" w:afterAutospacing="0" w:line="480" w:lineRule="exact"/>
              <w:jc w:val="both"/>
              <w:textAlignment w:val="baseline"/>
              <w:rPr>
                <w:rFonts w:hint="eastAsia" w:ascii="楷体" w:hAnsi="楷体" w:eastAsia="楷体" w:cs="楷体"/>
                <w:highlight w:val="none"/>
              </w:rPr>
            </w:pPr>
            <w:r>
              <w:rPr>
                <w:rFonts w:hint="eastAsia" w:ascii="楷体" w:hAnsi="楷体" w:eastAsia="楷体" w:cs="楷体"/>
                <w:highlight w:val="none"/>
              </w:rPr>
              <w:t>投标保证金交纳凭证（保证金交纳凭证复印件加盖公章）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705" w:type="dxa"/>
            <w:vAlign w:val="center"/>
          </w:tcPr>
          <w:p>
            <w:pPr>
              <w:spacing w:line="360" w:lineRule="auto"/>
              <w:jc w:val="center"/>
              <w:rPr>
                <w:rFonts w:ascii="楷体" w:hAnsi="楷体" w:eastAsia="楷体" w:cs="楷体"/>
                <w:color w:val="auto"/>
                <w:szCs w:val="24"/>
                <w:highlight w:val="none"/>
              </w:rPr>
            </w:pPr>
            <w:r>
              <w:rPr>
                <w:rFonts w:hint="eastAsia" w:ascii="楷体" w:hAnsi="楷体" w:eastAsia="楷体" w:cs="楷体"/>
                <w:color w:val="auto"/>
                <w:szCs w:val="24"/>
                <w:highlight w:val="none"/>
              </w:rPr>
              <w:t>1.2</w:t>
            </w:r>
          </w:p>
        </w:tc>
        <w:tc>
          <w:tcPr>
            <w:tcW w:w="7907" w:type="dxa"/>
            <w:vAlign w:val="center"/>
          </w:tcPr>
          <w:p>
            <w:pPr>
              <w:pStyle w:val="23"/>
              <w:spacing w:beforeAutospacing="0" w:afterAutospacing="0" w:line="480" w:lineRule="exact"/>
              <w:ind w:firstLine="240" w:firstLineChars="100"/>
              <w:jc w:val="both"/>
              <w:textAlignment w:val="baseline"/>
              <w:rPr>
                <w:rFonts w:ascii="楷体" w:hAnsi="楷体" w:eastAsia="楷体" w:cs="楷体"/>
                <w:szCs w:val="24"/>
                <w:highlight w:val="none"/>
              </w:rPr>
            </w:pPr>
            <w:r>
              <w:rPr>
                <w:rFonts w:hint="eastAsia" w:ascii="楷体" w:hAnsi="楷体" w:eastAsia="楷体" w:cs="楷体"/>
                <w:highlight w:val="none"/>
              </w:rPr>
              <w:t>财务状况报告：提供2021年度经审计的财务报告或开标日期前三个月内其基本存款账户开户银行出具的资信证明及基本存款账户开户许可证（基本账户信息表）；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705" w:type="dxa"/>
            <w:vAlign w:val="center"/>
          </w:tcPr>
          <w:p>
            <w:pPr>
              <w:spacing w:line="360" w:lineRule="auto"/>
              <w:jc w:val="center"/>
              <w:rPr>
                <w:rFonts w:ascii="楷体" w:hAnsi="楷体" w:eastAsia="楷体" w:cs="楷体"/>
                <w:color w:val="auto"/>
                <w:szCs w:val="24"/>
                <w:highlight w:val="none"/>
              </w:rPr>
            </w:pPr>
            <w:r>
              <w:rPr>
                <w:rFonts w:hint="eastAsia" w:ascii="楷体" w:hAnsi="楷体" w:eastAsia="楷体" w:cs="楷体"/>
                <w:color w:val="auto"/>
                <w:szCs w:val="24"/>
                <w:highlight w:val="none"/>
              </w:rPr>
              <w:t>1.3</w:t>
            </w:r>
          </w:p>
        </w:tc>
        <w:tc>
          <w:tcPr>
            <w:tcW w:w="7907" w:type="dxa"/>
            <w:vAlign w:val="center"/>
          </w:tcPr>
          <w:p>
            <w:pPr>
              <w:pStyle w:val="23"/>
              <w:spacing w:beforeAutospacing="0" w:afterAutospacing="0" w:line="360" w:lineRule="auto"/>
              <w:rPr>
                <w:rFonts w:ascii="楷体" w:hAnsi="楷体" w:eastAsia="楷体" w:cs="楷体"/>
                <w:highlight w:val="none"/>
              </w:rPr>
            </w:pPr>
            <w:r>
              <w:rPr>
                <w:rFonts w:hint="eastAsia" w:ascii="楷体" w:hAnsi="楷体" w:eastAsia="楷体" w:cs="楷体"/>
                <w:highlight w:val="none"/>
              </w:rPr>
              <w:t>税收缴纳证明：提供2022年1月至今已缴纳的连续陆个月的纳税证明，依法免税的单位应提供相关证明材料；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5" w:type="dxa"/>
            <w:vAlign w:val="center"/>
          </w:tcPr>
          <w:p>
            <w:pPr>
              <w:spacing w:line="360" w:lineRule="auto"/>
              <w:jc w:val="center"/>
              <w:rPr>
                <w:rFonts w:ascii="楷体" w:hAnsi="楷体" w:eastAsia="楷体" w:cs="楷体"/>
                <w:color w:val="auto"/>
                <w:szCs w:val="24"/>
                <w:highlight w:val="none"/>
              </w:rPr>
            </w:pPr>
            <w:r>
              <w:rPr>
                <w:rFonts w:hint="eastAsia" w:ascii="楷体" w:hAnsi="楷体" w:eastAsia="楷体" w:cs="楷体"/>
                <w:color w:val="auto"/>
                <w:szCs w:val="24"/>
                <w:highlight w:val="none"/>
              </w:rPr>
              <w:t>1.4</w:t>
            </w:r>
          </w:p>
        </w:tc>
        <w:tc>
          <w:tcPr>
            <w:tcW w:w="7907" w:type="dxa"/>
            <w:vAlign w:val="center"/>
          </w:tcPr>
          <w:p>
            <w:pPr>
              <w:pStyle w:val="23"/>
              <w:spacing w:beforeAutospacing="0" w:afterAutospacing="0" w:line="480" w:lineRule="exact"/>
              <w:ind w:firstLine="240" w:firstLineChars="100"/>
              <w:jc w:val="both"/>
              <w:textAlignment w:val="baseline"/>
              <w:rPr>
                <w:rFonts w:ascii="楷体" w:hAnsi="楷体" w:eastAsia="楷体" w:cs="楷体"/>
                <w:highlight w:val="none"/>
              </w:rPr>
            </w:pPr>
            <w:r>
              <w:rPr>
                <w:rFonts w:hint="eastAsia" w:ascii="楷体" w:hAnsi="楷体" w:eastAsia="楷体" w:cs="楷体"/>
                <w:highlight w:val="none"/>
              </w:rPr>
              <w:t>社会保障资金缴纳证明：提供2022年1月至今已缴存的连续陆个月的社会保障资金缴存单据或社保机构开具的社会保险参保缴费情况证明，依法不需要缴纳社会保障资金的单位应提供相关证明材料；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05" w:type="dxa"/>
            <w:vAlign w:val="center"/>
          </w:tcPr>
          <w:p>
            <w:pPr>
              <w:spacing w:line="360" w:lineRule="auto"/>
              <w:jc w:val="center"/>
              <w:rPr>
                <w:rFonts w:ascii="楷体" w:hAnsi="楷体" w:eastAsia="楷体" w:cs="楷体"/>
                <w:color w:val="auto"/>
                <w:szCs w:val="24"/>
                <w:highlight w:val="none"/>
              </w:rPr>
            </w:pPr>
            <w:r>
              <w:rPr>
                <w:rFonts w:hint="eastAsia" w:ascii="楷体" w:hAnsi="楷体" w:eastAsia="楷体" w:cs="楷体"/>
                <w:color w:val="auto"/>
                <w:szCs w:val="24"/>
                <w:highlight w:val="none"/>
              </w:rPr>
              <w:t>1.5</w:t>
            </w:r>
          </w:p>
        </w:tc>
        <w:tc>
          <w:tcPr>
            <w:tcW w:w="7907" w:type="dxa"/>
            <w:vAlign w:val="center"/>
          </w:tcPr>
          <w:p>
            <w:pPr>
              <w:tabs>
                <w:tab w:val="left" w:pos="0"/>
              </w:tabs>
              <w:suppressAutoHyphens/>
              <w:spacing w:line="360" w:lineRule="auto"/>
              <w:rPr>
                <w:rFonts w:ascii="楷体" w:hAnsi="楷体" w:eastAsia="楷体" w:cs="楷体"/>
                <w:color w:val="auto"/>
                <w:szCs w:val="24"/>
                <w:highlight w:val="none"/>
              </w:rPr>
            </w:pPr>
            <w:r>
              <w:rPr>
                <w:rFonts w:hint="eastAsia" w:ascii="楷体" w:hAnsi="楷体" w:eastAsia="楷体" w:cs="楷体"/>
                <w:color w:val="auto"/>
                <w:szCs w:val="24"/>
                <w:highlight w:val="none"/>
              </w:rPr>
              <w:t>具备履行合同所必须的设备和专业技术能力的书面声明;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05" w:type="dxa"/>
            <w:vAlign w:val="center"/>
          </w:tcPr>
          <w:p>
            <w:pPr>
              <w:spacing w:line="360" w:lineRule="auto"/>
              <w:jc w:val="center"/>
              <w:rPr>
                <w:rFonts w:ascii="楷体" w:hAnsi="楷体" w:eastAsia="楷体" w:cs="楷体"/>
                <w:color w:val="auto"/>
                <w:szCs w:val="24"/>
                <w:highlight w:val="none"/>
              </w:rPr>
            </w:pPr>
            <w:r>
              <w:rPr>
                <w:rFonts w:hint="eastAsia" w:ascii="楷体" w:hAnsi="楷体" w:eastAsia="楷体" w:cs="楷体"/>
                <w:color w:val="auto"/>
                <w:szCs w:val="24"/>
                <w:highlight w:val="none"/>
              </w:rPr>
              <w:t>1.6</w:t>
            </w:r>
          </w:p>
        </w:tc>
        <w:tc>
          <w:tcPr>
            <w:tcW w:w="7907" w:type="dxa"/>
            <w:vAlign w:val="center"/>
          </w:tcPr>
          <w:p>
            <w:pPr>
              <w:tabs>
                <w:tab w:val="left" w:pos="0"/>
              </w:tabs>
              <w:suppressAutoHyphens/>
              <w:spacing w:line="360" w:lineRule="auto"/>
              <w:rPr>
                <w:rFonts w:ascii="楷体" w:hAnsi="楷体" w:eastAsia="楷体" w:cs="楷体"/>
                <w:color w:val="auto"/>
                <w:szCs w:val="24"/>
                <w:highlight w:val="none"/>
              </w:rPr>
            </w:pPr>
            <w:r>
              <w:rPr>
                <w:rFonts w:hint="eastAsia" w:ascii="楷体" w:hAnsi="楷体" w:eastAsia="楷体" w:cs="楷体"/>
                <w:color w:val="auto"/>
                <w:szCs w:val="24"/>
                <w:highlight w:val="none"/>
              </w:rPr>
              <w:t>参加政府采购活动前三年内，在经营活动中没有重大违法记录的书面声明；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05" w:type="dxa"/>
            <w:vAlign w:val="center"/>
          </w:tcPr>
          <w:p>
            <w:pPr>
              <w:spacing w:line="360" w:lineRule="auto"/>
              <w:jc w:val="center"/>
              <w:rPr>
                <w:rFonts w:ascii="楷体" w:hAnsi="楷体" w:eastAsia="楷体" w:cs="楷体"/>
                <w:color w:val="auto"/>
                <w:szCs w:val="24"/>
                <w:highlight w:val="none"/>
              </w:rPr>
            </w:pPr>
            <w:r>
              <w:rPr>
                <w:rFonts w:hint="eastAsia" w:ascii="楷体" w:hAnsi="楷体" w:eastAsia="楷体" w:cs="楷体"/>
                <w:color w:val="auto"/>
                <w:szCs w:val="24"/>
                <w:highlight w:val="none"/>
              </w:rPr>
              <w:t>2</w:t>
            </w:r>
          </w:p>
        </w:tc>
        <w:tc>
          <w:tcPr>
            <w:tcW w:w="7907" w:type="dxa"/>
            <w:vAlign w:val="center"/>
          </w:tcPr>
          <w:p>
            <w:pPr>
              <w:tabs>
                <w:tab w:val="left" w:pos="0"/>
              </w:tabs>
              <w:suppressAutoHyphens/>
              <w:spacing w:line="360" w:lineRule="auto"/>
              <w:rPr>
                <w:rFonts w:ascii="楷体" w:hAnsi="楷体" w:eastAsia="楷体" w:cs="楷体"/>
                <w:szCs w:val="24"/>
                <w:highlight w:val="none"/>
              </w:rPr>
            </w:pPr>
            <w:r>
              <w:rPr>
                <w:rFonts w:hint="eastAsia" w:ascii="楷体" w:hAnsi="楷体" w:eastAsia="楷体" w:cs="楷体"/>
                <w:szCs w:val="24"/>
                <w:highlight w:val="none"/>
              </w:rPr>
              <w:t>特定资格条件，需要提供的资料有：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jc w:val="center"/>
        </w:trPr>
        <w:tc>
          <w:tcPr>
            <w:tcW w:w="705" w:type="dxa"/>
            <w:vAlign w:val="center"/>
          </w:tcPr>
          <w:p>
            <w:pPr>
              <w:spacing w:line="360" w:lineRule="auto"/>
              <w:jc w:val="center"/>
              <w:rPr>
                <w:rFonts w:ascii="楷体" w:hAnsi="楷体" w:eastAsia="楷体" w:cs="楷体"/>
                <w:color w:val="auto"/>
                <w:szCs w:val="24"/>
                <w:highlight w:val="none"/>
              </w:rPr>
            </w:pPr>
            <w:r>
              <w:rPr>
                <w:rFonts w:hint="eastAsia" w:ascii="楷体" w:hAnsi="楷体" w:eastAsia="楷体" w:cs="楷体"/>
                <w:color w:val="auto"/>
                <w:szCs w:val="24"/>
                <w:highlight w:val="none"/>
              </w:rPr>
              <w:t>2.1</w:t>
            </w:r>
          </w:p>
        </w:tc>
        <w:tc>
          <w:tcPr>
            <w:tcW w:w="7907" w:type="dxa"/>
            <w:vAlign w:val="center"/>
          </w:tcPr>
          <w:p>
            <w:pPr>
              <w:pStyle w:val="23"/>
              <w:spacing w:beforeAutospacing="0" w:afterAutospacing="0" w:line="480" w:lineRule="exact"/>
              <w:jc w:val="both"/>
              <w:textAlignment w:val="baseline"/>
              <w:rPr>
                <w:rFonts w:ascii="楷体" w:hAnsi="楷体" w:eastAsia="楷体" w:cs="楷体"/>
                <w:b/>
                <w:bCs/>
                <w:highlight w:val="none"/>
              </w:rPr>
            </w:pPr>
            <w:r>
              <w:rPr>
                <w:rFonts w:hint="eastAsia" w:ascii="楷体" w:hAnsi="楷体" w:eastAsia="楷体" w:cs="楷体"/>
                <w:b/>
                <w:bCs/>
                <w:highlight w:val="none"/>
              </w:rPr>
              <w:t>合同包（包1、包2、包3、包4、包5）特定资格要求如下:</w:t>
            </w:r>
          </w:p>
          <w:p>
            <w:pPr>
              <w:pStyle w:val="23"/>
              <w:spacing w:beforeAutospacing="0" w:afterAutospacing="0" w:line="480" w:lineRule="exact"/>
              <w:ind w:firstLine="480" w:firstLineChars="200"/>
              <w:jc w:val="both"/>
              <w:textAlignment w:val="baseline"/>
              <w:rPr>
                <w:rFonts w:ascii="楷体" w:hAnsi="楷体" w:eastAsia="楷体" w:cs="楷体"/>
                <w:szCs w:val="24"/>
                <w:highlight w:val="none"/>
              </w:rPr>
            </w:pPr>
            <w:r>
              <w:rPr>
                <w:rFonts w:hint="eastAsia" w:ascii="楷体" w:hAnsi="楷体" w:eastAsia="楷体" w:cs="楷体"/>
                <w:highlight w:val="none"/>
              </w:rPr>
              <w:t>拟派项目负责人须具备相关专业（系统集成、通信、电子工程、机电安装等专业）高级工程</w:t>
            </w:r>
            <w:r>
              <w:rPr>
                <w:rFonts w:hint="eastAsia" w:ascii="楷体" w:hAnsi="楷体" w:eastAsia="楷体" w:cs="楷体"/>
                <w:color w:val="auto"/>
                <w:highlight w:val="none"/>
              </w:rPr>
              <w:t>师及</w:t>
            </w:r>
            <w:r>
              <w:rPr>
                <w:rFonts w:hint="eastAsia" w:ascii="楷体" w:hAnsi="楷体" w:eastAsia="楷体" w:cs="楷体"/>
                <w:highlight w:val="none"/>
              </w:rPr>
              <w:t>以上技术职称</w:t>
            </w:r>
            <w:r>
              <w:rPr>
                <w:rFonts w:hint="eastAsia" w:ascii="楷体" w:hAnsi="楷体" w:eastAsia="楷体" w:cs="楷体"/>
                <w:color w:val="auto"/>
                <w:highlight w:val="none"/>
              </w:rPr>
              <w:t>资格证书</w:t>
            </w:r>
            <w:r>
              <w:rPr>
                <w:rFonts w:hint="eastAsia" w:ascii="楷体" w:hAnsi="楷体" w:eastAsia="楷体" w:cs="楷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05" w:type="dxa"/>
            <w:vAlign w:val="center"/>
          </w:tcPr>
          <w:p>
            <w:pPr>
              <w:spacing w:line="360" w:lineRule="auto"/>
              <w:jc w:val="center"/>
              <w:rPr>
                <w:rFonts w:ascii="楷体" w:hAnsi="楷体" w:eastAsia="楷体" w:cs="楷体"/>
                <w:color w:val="auto"/>
                <w:szCs w:val="24"/>
                <w:highlight w:val="none"/>
              </w:rPr>
            </w:pPr>
            <w:r>
              <w:rPr>
                <w:rFonts w:hint="eastAsia" w:ascii="楷体" w:hAnsi="楷体" w:eastAsia="楷体" w:cs="楷体"/>
                <w:color w:val="auto"/>
                <w:szCs w:val="24"/>
                <w:highlight w:val="none"/>
              </w:rPr>
              <w:t>2.2</w:t>
            </w:r>
          </w:p>
        </w:tc>
        <w:tc>
          <w:tcPr>
            <w:tcW w:w="7907" w:type="dxa"/>
            <w:vAlign w:val="center"/>
          </w:tcPr>
          <w:p>
            <w:pPr>
              <w:pStyle w:val="23"/>
              <w:spacing w:beforeAutospacing="0" w:afterAutospacing="0" w:line="480" w:lineRule="exact"/>
              <w:jc w:val="both"/>
              <w:textAlignment w:val="baseline"/>
              <w:rPr>
                <w:rFonts w:ascii="楷体" w:hAnsi="楷体" w:eastAsia="楷体" w:cs="楷体"/>
                <w:b/>
                <w:bCs/>
                <w:highlight w:val="none"/>
              </w:rPr>
            </w:pPr>
            <w:r>
              <w:rPr>
                <w:rFonts w:hint="eastAsia" w:ascii="楷体" w:hAnsi="楷体" w:eastAsia="楷体" w:cs="楷体"/>
                <w:b/>
                <w:bCs/>
                <w:highlight w:val="none"/>
              </w:rPr>
              <w:t>合同包（包6）特定资格要求如下:</w:t>
            </w:r>
          </w:p>
          <w:p>
            <w:pPr>
              <w:tabs>
                <w:tab w:val="left" w:pos="0"/>
              </w:tabs>
              <w:suppressAutoHyphens/>
              <w:spacing w:line="360" w:lineRule="auto"/>
              <w:rPr>
                <w:rFonts w:hint="eastAsia" w:ascii="楷体" w:hAnsi="楷体" w:eastAsia="楷体" w:cs="楷体"/>
                <w:szCs w:val="24"/>
                <w:highlight w:val="none"/>
                <w:lang w:eastAsia="zh-CN"/>
              </w:rPr>
            </w:pPr>
            <w:r>
              <w:rPr>
                <w:rFonts w:hint="eastAsia" w:ascii="楷体" w:hAnsi="楷体" w:eastAsia="楷体" w:cs="楷体"/>
                <w:highlight w:val="none"/>
              </w:rPr>
              <w:t>投标人需具备通信工程监理甲级或综合监理资格。拟派项目负责人</w:t>
            </w:r>
            <w:r>
              <w:rPr>
                <w:rFonts w:hint="eastAsia" w:ascii="楷体" w:hAnsi="楷体" w:eastAsia="楷体" w:cs="楷体"/>
                <w:highlight w:val="none"/>
                <w:lang w:eastAsia="zh-CN"/>
              </w:rPr>
              <w:t>具备通信工程或机电安装工程监理师资格证书,无在建项目且在本单位注册</w:t>
            </w:r>
          </w:p>
        </w:tc>
      </w:tr>
    </w:tbl>
    <w:p>
      <w:pPr>
        <w:spacing w:line="360" w:lineRule="auto"/>
        <w:ind w:firstLine="498" w:firstLineChars="200"/>
        <w:rPr>
          <w:rFonts w:ascii="楷体" w:hAnsi="楷体" w:eastAsia="楷体" w:cs="楷体"/>
          <w:b/>
          <w:spacing w:val="4"/>
          <w:szCs w:val="24"/>
        </w:rPr>
      </w:pPr>
      <w:r>
        <w:rPr>
          <w:rFonts w:hint="eastAsia" w:ascii="楷体" w:hAnsi="楷体" w:eastAsia="楷体" w:cs="楷体"/>
          <w:b/>
          <w:spacing w:val="4"/>
          <w:szCs w:val="24"/>
        </w:rPr>
        <w:t>1.2符合性审查：</w:t>
      </w:r>
    </w:p>
    <w:tbl>
      <w:tblPr>
        <w:tblStyle w:val="24"/>
        <w:tblW w:w="0" w:type="auto"/>
        <w:jc w:val="center"/>
        <w:tblLayout w:type="fixed"/>
        <w:tblCellMar>
          <w:top w:w="0" w:type="dxa"/>
          <w:left w:w="108" w:type="dxa"/>
          <w:bottom w:w="0" w:type="dxa"/>
          <w:right w:w="108" w:type="dxa"/>
        </w:tblCellMar>
      </w:tblPr>
      <w:tblGrid>
        <w:gridCol w:w="882"/>
        <w:gridCol w:w="2006"/>
        <w:gridCol w:w="5878"/>
      </w:tblGrid>
      <w:tr>
        <w:tblPrEx>
          <w:tblCellMar>
            <w:top w:w="0" w:type="dxa"/>
            <w:left w:w="108" w:type="dxa"/>
            <w:bottom w:w="0" w:type="dxa"/>
            <w:right w:w="108" w:type="dxa"/>
          </w:tblCellMar>
        </w:tblPrEx>
        <w:trPr>
          <w:trHeight w:val="700"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楷体" w:hAnsi="楷体" w:eastAsia="楷体" w:cs="楷体"/>
                <w:b/>
                <w:bCs/>
                <w:szCs w:val="24"/>
              </w:rPr>
            </w:pPr>
            <w:r>
              <w:rPr>
                <w:rFonts w:hint="eastAsia" w:ascii="楷体" w:hAnsi="楷体" w:eastAsia="楷体" w:cs="楷体"/>
                <w:b/>
                <w:bCs/>
                <w:szCs w:val="24"/>
              </w:rPr>
              <w:t>序号</w:t>
            </w:r>
          </w:p>
        </w:tc>
        <w:tc>
          <w:tcPr>
            <w:tcW w:w="2006" w:type="dxa"/>
            <w:tcBorders>
              <w:top w:val="single" w:color="auto" w:sz="4" w:space="0"/>
              <w:left w:val="nil"/>
              <w:bottom w:val="single" w:color="auto" w:sz="4" w:space="0"/>
              <w:right w:val="single" w:color="auto" w:sz="4" w:space="0"/>
            </w:tcBorders>
            <w:vAlign w:val="center"/>
          </w:tcPr>
          <w:p>
            <w:pPr>
              <w:spacing w:line="360" w:lineRule="auto"/>
              <w:jc w:val="center"/>
              <w:rPr>
                <w:rFonts w:ascii="楷体" w:hAnsi="楷体" w:eastAsia="楷体" w:cs="楷体"/>
                <w:b/>
                <w:bCs/>
                <w:szCs w:val="24"/>
              </w:rPr>
            </w:pPr>
            <w:r>
              <w:rPr>
                <w:rFonts w:hint="eastAsia" w:ascii="楷体" w:hAnsi="楷体" w:eastAsia="楷体" w:cs="楷体"/>
                <w:b/>
                <w:bCs/>
                <w:szCs w:val="24"/>
              </w:rPr>
              <w:t>审查内容</w:t>
            </w:r>
          </w:p>
        </w:tc>
        <w:tc>
          <w:tcPr>
            <w:tcW w:w="5878" w:type="dxa"/>
            <w:tcBorders>
              <w:top w:val="single" w:color="auto" w:sz="4" w:space="0"/>
              <w:left w:val="nil"/>
              <w:bottom w:val="single" w:color="auto" w:sz="4" w:space="0"/>
              <w:right w:val="single" w:color="auto" w:sz="4" w:space="0"/>
            </w:tcBorders>
            <w:vAlign w:val="center"/>
          </w:tcPr>
          <w:p>
            <w:pPr>
              <w:spacing w:line="360" w:lineRule="auto"/>
              <w:jc w:val="center"/>
              <w:rPr>
                <w:rFonts w:ascii="楷体" w:hAnsi="楷体" w:eastAsia="楷体" w:cs="楷体"/>
                <w:b/>
                <w:bCs/>
                <w:szCs w:val="24"/>
              </w:rPr>
            </w:pPr>
            <w:r>
              <w:rPr>
                <w:rFonts w:hint="eastAsia" w:ascii="楷体" w:hAnsi="楷体" w:eastAsia="楷体" w:cs="楷体"/>
                <w:b/>
                <w:bCs/>
                <w:szCs w:val="24"/>
              </w:rPr>
              <w:t>审查细则</w:t>
            </w:r>
          </w:p>
        </w:tc>
      </w:tr>
      <w:tr>
        <w:tblPrEx>
          <w:tblCellMar>
            <w:top w:w="0" w:type="dxa"/>
            <w:left w:w="108" w:type="dxa"/>
            <w:bottom w:w="0" w:type="dxa"/>
            <w:right w:w="108" w:type="dxa"/>
          </w:tblCellMar>
        </w:tblPrEx>
        <w:trPr>
          <w:trHeight w:val="700" w:hRule="atLeast"/>
          <w:jc w:val="center"/>
        </w:trPr>
        <w:tc>
          <w:tcPr>
            <w:tcW w:w="882"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ascii="楷体" w:hAnsi="楷体" w:eastAsia="楷体" w:cs="楷体"/>
                <w:szCs w:val="21"/>
              </w:rPr>
            </w:pPr>
            <w:r>
              <w:rPr>
                <w:rFonts w:hint="eastAsia" w:ascii="楷体" w:hAnsi="楷体" w:eastAsia="楷体" w:cs="楷体"/>
                <w:szCs w:val="21"/>
              </w:rPr>
              <w:t>符合性审查</w:t>
            </w:r>
          </w:p>
        </w:tc>
        <w:tc>
          <w:tcPr>
            <w:tcW w:w="20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楷体" w:hAnsi="楷体" w:eastAsia="楷体" w:cs="楷体"/>
                <w:color w:val="000000"/>
                <w:szCs w:val="21"/>
              </w:rPr>
            </w:pPr>
            <w:r>
              <w:rPr>
                <w:rFonts w:hint="eastAsia" w:ascii="楷体" w:hAnsi="楷体" w:eastAsia="楷体" w:cs="楷体"/>
                <w:color w:val="000000"/>
                <w:szCs w:val="21"/>
              </w:rPr>
              <w:t>投标文件完整性</w:t>
            </w:r>
          </w:p>
        </w:tc>
        <w:tc>
          <w:tcPr>
            <w:tcW w:w="58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楷体" w:hAnsi="楷体" w:eastAsia="楷体" w:cs="楷体"/>
                <w:szCs w:val="21"/>
              </w:rPr>
            </w:pPr>
            <w:r>
              <w:rPr>
                <w:rFonts w:hint="eastAsia" w:ascii="楷体" w:hAnsi="楷体" w:eastAsia="楷体" w:cs="楷体"/>
                <w:spacing w:val="4"/>
                <w:szCs w:val="24"/>
              </w:rPr>
              <w:t>投标文件构成是否有重大缺项，是否按照招标文件要求的格式编写投标文件；</w:t>
            </w:r>
          </w:p>
        </w:tc>
      </w:tr>
      <w:tr>
        <w:tblPrEx>
          <w:tblCellMar>
            <w:top w:w="0" w:type="dxa"/>
            <w:left w:w="108" w:type="dxa"/>
            <w:bottom w:w="0" w:type="dxa"/>
            <w:right w:w="108" w:type="dxa"/>
          </w:tblCellMar>
        </w:tblPrEx>
        <w:trPr>
          <w:trHeight w:val="700" w:hRule="atLeast"/>
          <w:jc w:val="center"/>
        </w:trPr>
        <w:tc>
          <w:tcPr>
            <w:tcW w:w="882" w:type="dxa"/>
            <w:vMerge w:val="continue"/>
            <w:tcBorders>
              <w:left w:val="single" w:color="auto" w:sz="4" w:space="0"/>
              <w:right w:val="single" w:color="auto" w:sz="4" w:space="0"/>
            </w:tcBorders>
            <w:vAlign w:val="center"/>
          </w:tcPr>
          <w:p>
            <w:pPr>
              <w:widowControl/>
              <w:spacing w:line="360" w:lineRule="auto"/>
              <w:jc w:val="left"/>
              <w:rPr>
                <w:rFonts w:ascii="楷体" w:hAnsi="楷体" w:eastAsia="楷体" w:cs="楷体"/>
                <w:szCs w:val="21"/>
              </w:rPr>
            </w:pPr>
          </w:p>
        </w:tc>
        <w:tc>
          <w:tcPr>
            <w:tcW w:w="20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楷体" w:hAnsi="楷体" w:eastAsia="楷体" w:cs="楷体"/>
                <w:color w:val="000000"/>
                <w:szCs w:val="21"/>
              </w:rPr>
            </w:pPr>
            <w:r>
              <w:rPr>
                <w:rFonts w:hint="eastAsia" w:ascii="楷体" w:hAnsi="楷体" w:eastAsia="楷体" w:cs="楷体"/>
                <w:color w:val="000000"/>
                <w:szCs w:val="21"/>
              </w:rPr>
              <w:t>投标文件报价</w:t>
            </w:r>
          </w:p>
        </w:tc>
        <w:tc>
          <w:tcPr>
            <w:tcW w:w="58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楷体" w:hAnsi="楷体" w:eastAsia="楷体" w:cs="楷体"/>
                <w:szCs w:val="21"/>
              </w:rPr>
            </w:pPr>
            <w:r>
              <w:rPr>
                <w:rFonts w:hint="eastAsia" w:ascii="楷体" w:hAnsi="楷体" w:eastAsia="楷体" w:cs="楷体"/>
                <w:szCs w:val="21"/>
              </w:rPr>
              <w:t>报价唯一，且没有低于成本价或高于采购预算的；</w:t>
            </w:r>
          </w:p>
        </w:tc>
      </w:tr>
      <w:tr>
        <w:tblPrEx>
          <w:tblCellMar>
            <w:top w:w="0" w:type="dxa"/>
            <w:left w:w="108" w:type="dxa"/>
            <w:bottom w:w="0" w:type="dxa"/>
            <w:right w:w="108" w:type="dxa"/>
          </w:tblCellMar>
        </w:tblPrEx>
        <w:trPr>
          <w:trHeight w:val="700" w:hRule="atLeast"/>
          <w:jc w:val="center"/>
        </w:trPr>
        <w:tc>
          <w:tcPr>
            <w:tcW w:w="882" w:type="dxa"/>
            <w:vMerge w:val="continue"/>
            <w:tcBorders>
              <w:left w:val="single" w:color="auto" w:sz="4" w:space="0"/>
              <w:right w:val="single" w:color="auto" w:sz="4" w:space="0"/>
            </w:tcBorders>
            <w:vAlign w:val="center"/>
          </w:tcPr>
          <w:p>
            <w:pPr>
              <w:widowControl/>
              <w:spacing w:line="360" w:lineRule="auto"/>
              <w:jc w:val="left"/>
              <w:rPr>
                <w:rFonts w:ascii="楷体" w:hAnsi="楷体" w:eastAsia="楷体" w:cs="楷体"/>
                <w:szCs w:val="21"/>
              </w:rPr>
            </w:pPr>
          </w:p>
        </w:tc>
        <w:tc>
          <w:tcPr>
            <w:tcW w:w="20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楷体" w:hAnsi="楷体" w:eastAsia="楷体" w:cs="楷体"/>
                <w:color w:val="000000"/>
                <w:szCs w:val="21"/>
              </w:rPr>
            </w:pPr>
            <w:r>
              <w:rPr>
                <w:rFonts w:hint="eastAsia" w:ascii="楷体" w:hAnsi="楷体" w:eastAsia="楷体" w:cs="楷体"/>
                <w:color w:val="000000"/>
                <w:szCs w:val="21"/>
              </w:rPr>
              <w:t>投标文件有效性</w:t>
            </w:r>
          </w:p>
        </w:tc>
        <w:tc>
          <w:tcPr>
            <w:tcW w:w="58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楷体" w:hAnsi="楷体" w:eastAsia="楷体" w:cs="楷体"/>
                <w:szCs w:val="21"/>
              </w:rPr>
            </w:pPr>
            <w:r>
              <w:rPr>
                <w:rFonts w:hint="eastAsia" w:ascii="楷体" w:hAnsi="楷体" w:eastAsia="楷体" w:cs="楷体"/>
                <w:szCs w:val="21"/>
              </w:rPr>
              <w:t>投标文件的签署、盖章是否符合招标文件要求，投标人递交的投标文件是否与本项目名称一致；</w:t>
            </w:r>
          </w:p>
        </w:tc>
      </w:tr>
      <w:tr>
        <w:tblPrEx>
          <w:tblCellMar>
            <w:top w:w="0" w:type="dxa"/>
            <w:left w:w="108" w:type="dxa"/>
            <w:bottom w:w="0" w:type="dxa"/>
            <w:right w:w="108" w:type="dxa"/>
          </w:tblCellMar>
        </w:tblPrEx>
        <w:trPr>
          <w:trHeight w:val="726" w:hRule="atLeast"/>
          <w:jc w:val="center"/>
        </w:trPr>
        <w:tc>
          <w:tcPr>
            <w:tcW w:w="882" w:type="dxa"/>
            <w:vMerge w:val="continue"/>
            <w:tcBorders>
              <w:left w:val="single" w:color="auto" w:sz="4" w:space="0"/>
              <w:right w:val="single" w:color="auto" w:sz="4" w:space="0"/>
            </w:tcBorders>
            <w:vAlign w:val="center"/>
          </w:tcPr>
          <w:p>
            <w:pPr>
              <w:widowControl/>
              <w:spacing w:line="360" w:lineRule="auto"/>
              <w:jc w:val="left"/>
              <w:rPr>
                <w:rFonts w:ascii="楷体" w:hAnsi="楷体" w:eastAsia="楷体" w:cs="楷体"/>
                <w:szCs w:val="21"/>
              </w:rPr>
            </w:pPr>
          </w:p>
        </w:tc>
        <w:tc>
          <w:tcPr>
            <w:tcW w:w="20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楷体" w:hAnsi="楷体" w:eastAsia="楷体" w:cs="楷体"/>
                <w:szCs w:val="21"/>
              </w:rPr>
            </w:pPr>
            <w:r>
              <w:rPr>
                <w:rFonts w:hint="eastAsia" w:ascii="楷体" w:hAnsi="楷体" w:eastAsia="楷体" w:cs="楷体"/>
                <w:szCs w:val="21"/>
              </w:rPr>
              <w:t>投标有效期(含授权有效期）</w:t>
            </w:r>
          </w:p>
        </w:tc>
        <w:tc>
          <w:tcPr>
            <w:tcW w:w="58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楷体" w:hAnsi="楷体" w:eastAsia="楷体" w:cs="楷体"/>
                <w:szCs w:val="21"/>
              </w:rPr>
            </w:pPr>
            <w:r>
              <w:rPr>
                <w:rFonts w:hint="eastAsia" w:ascii="楷体" w:hAnsi="楷体" w:eastAsia="楷体" w:cs="楷体"/>
                <w:szCs w:val="21"/>
              </w:rPr>
              <w:t>文件递交截止之日起90日历日；</w:t>
            </w:r>
          </w:p>
        </w:tc>
      </w:tr>
      <w:tr>
        <w:tblPrEx>
          <w:tblCellMar>
            <w:top w:w="0" w:type="dxa"/>
            <w:left w:w="108" w:type="dxa"/>
            <w:bottom w:w="0" w:type="dxa"/>
            <w:right w:w="108" w:type="dxa"/>
          </w:tblCellMar>
        </w:tblPrEx>
        <w:trPr>
          <w:trHeight w:val="649" w:hRule="atLeast"/>
          <w:jc w:val="center"/>
        </w:trPr>
        <w:tc>
          <w:tcPr>
            <w:tcW w:w="882" w:type="dxa"/>
            <w:vMerge w:val="continue"/>
            <w:tcBorders>
              <w:left w:val="single" w:color="auto" w:sz="4" w:space="0"/>
              <w:right w:val="single" w:color="auto" w:sz="4" w:space="0"/>
            </w:tcBorders>
            <w:vAlign w:val="center"/>
          </w:tcPr>
          <w:p>
            <w:pPr>
              <w:widowControl/>
              <w:spacing w:line="360" w:lineRule="auto"/>
              <w:jc w:val="left"/>
              <w:rPr>
                <w:rFonts w:ascii="楷体" w:hAnsi="楷体" w:eastAsia="楷体" w:cs="楷体"/>
                <w:szCs w:val="21"/>
              </w:rPr>
            </w:pPr>
          </w:p>
        </w:tc>
        <w:tc>
          <w:tcPr>
            <w:tcW w:w="20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楷体" w:hAnsi="楷体" w:eastAsia="楷体" w:cs="楷体"/>
                <w:szCs w:val="21"/>
              </w:rPr>
            </w:pPr>
            <w:r>
              <w:rPr>
                <w:rFonts w:hint="eastAsia" w:ascii="楷体" w:hAnsi="楷体" w:eastAsia="楷体" w:cs="楷体"/>
                <w:szCs w:val="21"/>
              </w:rPr>
              <w:t>投标文件响应性</w:t>
            </w:r>
          </w:p>
        </w:tc>
        <w:tc>
          <w:tcPr>
            <w:tcW w:w="58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楷体" w:hAnsi="楷体" w:eastAsia="楷体" w:cs="楷体"/>
                <w:szCs w:val="21"/>
              </w:rPr>
            </w:pPr>
            <w:r>
              <w:rPr>
                <w:rFonts w:hint="eastAsia" w:ascii="楷体" w:hAnsi="楷体" w:eastAsia="楷体" w:cs="楷体"/>
                <w:szCs w:val="21"/>
              </w:rPr>
              <w:t>建设期、质保期响应招标文件要求；</w:t>
            </w:r>
          </w:p>
        </w:tc>
      </w:tr>
      <w:tr>
        <w:tblPrEx>
          <w:tblCellMar>
            <w:top w:w="0" w:type="dxa"/>
            <w:left w:w="108" w:type="dxa"/>
            <w:bottom w:w="0" w:type="dxa"/>
            <w:right w:w="108" w:type="dxa"/>
          </w:tblCellMar>
        </w:tblPrEx>
        <w:trPr>
          <w:trHeight w:val="612" w:hRule="atLeast"/>
          <w:jc w:val="center"/>
        </w:trPr>
        <w:tc>
          <w:tcPr>
            <w:tcW w:w="882" w:type="dxa"/>
            <w:vMerge w:val="continue"/>
            <w:tcBorders>
              <w:left w:val="single" w:color="auto" w:sz="4" w:space="0"/>
              <w:right w:val="single" w:color="auto" w:sz="4" w:space="0"/>
            </w:tcBorders>
            <w:vAlign w:val="center"/>
          </w:tcPr>
          <w:p>
            <w:pPr>
              <w:widowControl/>
              <w:spacing w:line="360" w:lineRule="auto"/>
              <w:jc w:val="left"/>
              <w:rPr>
                <w:rFonts w:ascii="楷体" w:hAnsi="楷体" w:eastAsia="楷体" w:cs="楷体"/>
                <w:szCs w:val="21"/>
              </w:rPr>
            </w:pPr>
          </w:p>
        </w:tc>
        <w:tc>
          <w:tcPr>
            <w:tcW w:w="2006" w:type="dxa"/>
            <w:tcBorders>
              <w:top w:val="single" w:color="auto" w:sz="4" w:space="0"/>
              <w:left w:val="single" w:color="auto" w:sz="4" w:space="0"/>
              <w:bottom w:val="single" w:color="auto" w:sz="4" w:space="0"/>
              <w:right w:val="single" w:color="auto" w:sz="4" w:space="0"/>
            </w:tcBorders>
            <w:vAlign w:val="center"/>
          </w:tcPr>
          <w:p>
            <w:pPr>
              <w:pStyle w:val="23"/>
              <w:spacing w:line="266" w:lineRule="atLeast"/>
              <w:jc w:val="center"/>
              <w:rPr>
                <w:rFonts w:ascii="楷体" w:hAnsi="楷体" w:eastAsia="楷体" w:cs="楷体"/>
                <w:szCs w:val="21"/>
              </w:rPr>
            </w:pPr>
            <w:r>
              <w:rPr>
                <w:rFonts w:hint="eastAsia" w:ascii="楷体" w:hAnsi="楷体" w:eastAsia="楷体" w:cs="楷体"/>
                <w:szCs w:val="21"/>
              </w:rPr>
              <w:t>投标保证金</w:t>
            </w:r>
          </w:p>
        </w:tc>
        <w:tc>
          <w:tcPr>
            <w:tcW w:w="5878" w:type="dxa"/>
            <w:tcBorders>
              <w:top w:val="single" w:color="auto" w:sz="4" w:space="0"/>
              <w:left w:val="single" w:color="auto" w:sz="4" w:space="0"/>
              <w:bottom w:val="single" w:color="auto" w:sz="4" w:space="0"/>
              <w:right w:val="single" w:color="auto" w:sz="4" w:space="0"/>
            </w:tcBorders>
            <w:vAlign w:val="center"/>
          </w:tcPr>
          <w:p>
            <w:pPr>
              <w:pStyle w:val="23"/>
              <w:spacing w:line="266" w:lineRule="atLeast"/>
              <w:rPr>
                <w:rFonts w:ascii="楷体" w:hAnsi="楷体" w:eastAsia="楷体" w:cs="楷体"/>
                <w:szCs w:val="21"/>
              </w:rPr>
            </w:pPr>
            <w:r>
              <w:rPr>
                <w:rFonts w:hint="eastAsia" w:ascii="楷体" w:hAnsi="楷体" w:eastAsia="楷体" w:cs="楷体"/>
                <w:szCs w:val="21"/>
              </w:rPr>
              <w:t>投标保证金符合招标文件要求；</w:t>
            </w:r>
          </w:p>
        </w:tc>
      </w:tr>
      <w:tr>
        <w:tblPrEx>
          <w:tblCellMar>
            <w:top w:w="0" w:type="dxa"/>
            <w:left w:w="108" w:type="dxa"/>
            <w:bottom w:w="0" w:type="dxa"/>
            <w:right w:w="108" w:type="dxa"/>
          </w:tblCellMar>
        </w:tblPrEx>
        <w:trPr>
          <w:trHeight w:val="599" w:hRule="atLeast"/>
          <w:jc w:val="center"/>
        </w:trPr>
        <w:tc>
          <w:tcPr>
            <w:tcW w:w="882" w:type="dxa"/>
            <w:vMerge w:val="continue"/>
            <w:tcBorders>
              <w:left w:val="single" w:color="auto" w:sz="4" w:space="0"/>
              <w:bottom w:val="single" w:color="auto" w:sz="4" w:space="0"/>
              <w:right w:val="single" w:color="auto" w:sz="4" w:space="0"/>
            </w:tcBorders>
            <w:vAlign w:val="center"/>
          </w:tcPr>
          <w:p>
            <w:pPr>
              <w:widowControl/>
              <w:spacing w:line="360" w:lineRule="auto"/>
              <w:jc w:val="left"/>
              <w:rPr>
                <w:rFonts w:ascii="楷体" w:hAnsi="楷体" w:eastAsia="楷体" w:cs="楷体"/>
                <w:szCs w:val="21"/>
              </w:rPr>
            </w:pPr>
          </w:p>
        </w:tc>
        <w:tc>
          <w:tcPr>
            <w:tcW w:w="2006" w:type="dxa"/>
            <w:tcBorders>
              <w:top w:val="single" w:color="auto" w:sz="4" w:space="0"/>
              <w:left w:val="single" w:color="auto" w:sz="4" w:space="0"/>
              <w:bottom w:val="single" w:color="auto" w:sz="4" w:space="0"/>
              <w:right w:val="single" w:color="auto" w:sz="4" w:space="0"/>
            </w:tcBorders>
            <w:vAlign w:val="center"/>
          </w:tcPr>
          <w:p>
            <w:pPr>
              <w:pStyle w:val="23"/>
              <w:spacing w:line="266" w:lineRule="atLeast"/>
              <w:jc w:val="center"/>
              <w:rPr>
                <w:rFonts w:ascii="楷体" w:hAnsi="楷体" w:eastAsia="楷体" w:cs="楷体"/>
                <w:szCs w:val="21"/>
              </w:rPr>
            </w:pPr>
            <w:r>
              <w:rPr>
                <w:rFonts w:hint="eastAsia" w:ascii="楷体" w:hAnsi="楷体" w:eastAsia="楷体" w:cs="楷体"/>
                <w:szCs w:val="21"/>
              </w:rPr>
              <w:t>其他</w:t>
            </w:r>
          </w:p>
        </w:tc>
        <w:tc>
          <w:tcPr>
            <w:tcW w:w="5878" w:type="dxa"/>
            <w:tcBorders>
              <w:top w:val="single" w:color="auto" w:sz="4" w:space="0"/>
              <w:left w:val="single" w:color="auto" w:sz="4" w:space="0"/>
              <w:bottom w:val="single" w:color="auto" w:sz="4" w:space="0"/>
              <w:right w:val="single" w:color="auto" w:sz="4" w:space="0"/>
            </w:tcBorders>
            <w:vAlign w:val="center"/>
          </w:tcPr>
          <w:p>
            <w:pPr>
              <w:pStyle w:val="23"/>
              <w:spacing w:line="266" w:lineRule="atLeast"/>
              <w:rPr>
                <w:rFonts w:ascii="楷体" w:hAnsi="楷体" w:eastAsia="楷体" w:cs="楷体"/>
                <w:szCs w:val="21"/>
              </w:rPr>
            </w:pPr>
            <w:r>
              <w:rPr>
                <w:rFonts w:hint="eastAsia" w:ascii="楷体" w:hAnsi="楷体" w:eastAsia="楷体" w:cs="楷体"/>
                <w:szCs w:val="21"/>
              </w:rPr>
              <w:t>无招标文件中规定的无效情形。</w:t>
            </w:r>
          </w:p>
        </w:tc>
      </w:tr>
    </w:tbl>
    <w:p>
      <w:pPr>
        <w:numPr>
          <w:ilvl w:val="0"/>
          <w:numId w:val="17"/>
        </w:numPr>
        <w:spacing w:line="360" w:lineRule="auto"/>
        <w:ind w:firstLine="482" w:firstLineChars="200"/>
        <w:rPr>
          <w:rFonts w:ascii="楷体" w:hAnsi="楷体" w:eastAsia="楷体" w:cs="楷体"/>
          <w:b/>
          <w:szCs w:val="24"/>
        </w:rPr>
      </w:pPr>
      <w:r>
        <w:rPr>
          <w:rFonts w:hint="eastAsia" w:ascii="楷体" w:hAnsi="楷体" w:eastAsia="楷体" w:cs="楷体"/>
          <w:b/>
          <w:szCs w:val="24"/>
        </w:rPr>
        <w:t>综合评估打分：</w:t>
      </w:r>
    </w:p>
    <w:p>
      <w:pPr>
        <w:pStyle w:val="19"/>
        <w:spacing w:line="360" w:lineRule="auto"/>
        <w:ind w:firstLine="480" w:firstLineChars="200"/>
        <w:rPr>
          <w:rFonts w:ascii="楷体" w:hAnsi="楷体" w:eastAsia="楷体" w:cs="楷体"/>
        </w:rPr>
      </w:pPr>
      <w:r>
        <w:rPr>
          <w:rFonts w:hint="eastAsia" w:ascii="楷体" w:hAnsi="楷体" w:eastAsia="楷体" w:cs="楷体"/>
        </w:rPr>
        <w:t>2.1澄清有关问题：对于投标文件中含义不明确、同类问题表述不一致或者有明显文字和计算错误的内容，评标委员会应当以书面形式要求投标人作出必要的澄清、说明或者补正。</w:t>
      </w:r>
    </w:p>
    <w:p>
      <w:pPr>
        <w:spacing w:line="360" w:lineRule="auto"/>
        <w:ind w:firstLine="480" w:firstLineChars="200"/>
        <w:rPr>
          <w:rFonts w:ascii="楷体" w:hAnsi="楷体" w:eastAsia="楷体" w:cs="楷体"/>
          <w:b/>
          <w:szCs w:val="24"/>
        </w:rPr>
      </w:pPr>
      <w:r>
        <w:rPr>
          <w:rFonts w:hint="eastAsia" w:ascii="楷体" w:hAnsi="楷体" w:eastAsia="楷体" w:cs="楷体"/>
          <w:bCs/>
          <w:szCs w:val="24"/>
        </w:rPr>
        <w:t>2.2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82" w:firstLineChars="200"/>
        <w:rPr>
          <w:rFonts w:ascii="楷体" w:hAnsi="楷体" w:eastAsia="楷体" w:cs="楷体"/>
          <w:b/>
          <w:szCs w:val="24"/>
        </w:rPr>
      </w:pPr>
      <w:r>
        <w:rPr>
          <w:rFonts w:hint="eastAsia" w:ascii="楷体" w:hAnsi="楷体" w:eastAsia="楷体" w:cs="楷体"/>
          <w:b/>
          <w:szCs w:val="24"/>
        </w:rPr>
        <w:t>2.3评审细则(总分100分）</w:t>
      </w:r>
    </w:p>
    <w:tbl>
      <w:tblPr>
        <w:tblStyle w:val="24"/>
        <w:tblpPr w:leftFromText="180" w:rightFromText="180" w:vertAnchor="text" w:horzAnchor="page" w:tblpXSpec="center" w:tblpY="106"/>
        <w:tblOverlap w:val="never"/>
        <w:tblW w:w="9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780"/>
        <w:gridCol w:w="7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pStyle w:val="13"/>
              <w:jc w:val="center"/>
              <w:rPr>
                <w:rFonts w:ascii="楷体" w:hAnsi="楷体" w:eastAsia="楷体" w:cs="楷体"/>
                <w:color w:val="000000" w:themeColor="text1"/>
                <w:szCs w:val="21"/>
              </w:rPr>
            </w:pPr>
            <w:r>
              <w:rPr>
                <w:rFonts w:hint="eastAsia" w:ascii="楷体" w:hAnsi="楷体" w:eastAsia="楷体" w:cs="楷体"/>
                <w:color w:val="000000" w:themeColor="text1"/>
                <w:szCs w:val="21"/>
              </w:rPr>
              <w:t>评标内容</w:t>
            </w:r>
          </w:p>
        </w:tc>
        <w:tc>
          <w:tcPr>
            <w:tcW w:w="780" w:type="dxa"/>
            <w:tcBorders>
              <w:top w:val="single" w:color="auto" w:sz="4" w:space="0"/>
              <w:left w:val="single" w:color="auto" w:sz="4" w:space="0"/>
              <w:bottom w:val="single" w:color="auto" w:sz="4" w:space="0"/>
              <w:right w:val="single" w:color="auto" w:sz="4" w:space="0"/>
            </w:tcBorders>
            <w:vAlign w:val="center"/>
          </w:tcPr>
          <w:p>
            <w:pPr>
              <w:pStyle w:val="13"/>
              <w:jc w:val="center"/>
              <w:rPr>
                <w:rFonts w:ascii="楷体" w:hAnsi="楷体" w:eastAsia="楷体" w:cs="楷体"/>
                <w:color w:val="000000" w:themeColor="text1"/>
                <w:szCs w:val="21"/>
              </w:rPr>
            </w:pPr>
            <w:r>
              <w:rPr>
                <w:rFonts w:hint="eastAsia" w:ascii="楷体" w:hAnsi="楷体" w:eastAsia="楷体" w:cs="楷体"/>
                <w:color w:val="000000" w:themeColor="text1"/>
                <w:szCs w:val="21"/>
              </w:rPr>
              <w:t>分值</w:t>
            </w:r>
          </w:p>
        </w:tc>
        <w:tc>
          <w:tcPr>
            <w:tcW w:w="7673" w:type="dxa"/>
            <w:tcBorders>
              <w:top w:val="single" w:color="auto" w:sz="4" w:space="0"/>
              <w:left w:val="single" w:color="auto" w:sz="4" w:space="0"/>
              <w:bottom w:val="single" w:color="auto" w:sz="4" w:space="0"/>
              <w:right w:val="single" w:color="auto" w:sz="4" w:space="0"/>
            </w:tcBorders>
            <w:vAlign w:val="center"/>
          </w:tcPr>
          <w:p>
            <w:pPr>
              <w:pStyle w:val="13"/>
              <w:rPr>
                <w:rFonts w:ascii="楷体" w:hAnsi="楷体" w:eastAsia="楷体" w:cs="楷体"/>
                <w:color w:val="000000" w:themeColor="text1"/>
                <w:szCs w:val="21"/>
              </w:rPr>
            </w:pPr>
            <w:r>
              <w:rPr>
                <w:rFonts w:hint="eastAsia" w:ascii="楷体" w:hAnsi="楷体" w:eastAsia="楷体" w:cs="楷体"/>
                <w:color w:val="000000" w:themeColor="text1"/>
                <w:szCs w:val="21"/>
              </w:rPr>
              <w:t>评标原则与标准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pStyle w:val="13"/>
              <w:jc w:val="center"/>
              <w:rPr>
                <w:rFonts w:ascii="楷体" w:hAnsi="楷体" w:eastAsia="楷体" w:cs="楷体"/>
                <w:color w:val="000000" w:themeColor="text1"/>
                <w:szCs w:val="21"/>
              </w:rPr>
            </w:pPr>
            <w:r>
              <w:rPr>
                <w:rFonts w:hint="eastAsia" w:ascii="楷体" w:hAnsi="楷体" w:eastAsia="楷体" w:cs="楷体"/>
                <w:color w:val="000000" w:themeColor="text1"/>
                <w:szCs w:val="21"/>
              </w:rPr>
              <w:t>投标报价</w:t>
            </w:r>
          </w:p>
          <w:p>
            <w:pPr>
              <w:pStyle w:val="13"/>
              <w:jc w:val="center"/>
              <w:rPr>
                <w:rFonts w:ascii="楷体" w:hAnsi="楷体" w:eastAsia="楷体" w:cs="楷体"/>
                <w:color w:val="000000" w:themeColor="text1"/>
                <w:szCs w:val="21"/>
              </w:rPr>
            </w:pPr>
            <w:r>
              <w:rPr>
                <w:rFonts w:hint="eastAsia" w:ascii="楷体" w:hAnsi="楷体" w:eastAsia="楷体" w:cs="楷体"/>
                <w:color w:val="000000" w:themeColor="text1"/>
                <w:szCs w:val="21"/>
              </w:rPr>
              <w:t>（25分）</w:t>
            </w:r>
          </w:p>
        </w:tc>
        <w:tc>
          <w:tcPr>
            <w:tcW w:w="780" w:type="dxa"/>
            <w:tcBorders>
              <w:top w:val="single" w:color="auto" w:sz="4" w:space="0"/>
              <w:left w:val="single" w:color="auto" w:sz="4" w:space="0"/>
              <w:bottom w:val="single" w:color="auto" w:sz="4" w:space="0"/>
              <w:right w:val="single" w:color="auto" w:sz="4" w:space="0"/>
            </w:tcBorders>
            <w:vAlign w:val="center"/>
          </w:tcPr>
          <w:p>
            <w:pPr>
              <w:pStyle w:val="13"/>
              <w:jc w:val="center"/>
              <w:rPr>
                <w:rFonts w:ascii="楷体" w:hAnsi="楷体" w:eastAsia="楷体" w:cs="楷体"/>
                <w:color w:val="000000" w:themeColor="text1"/>
                <w:szCs w:val="21"/>
              </w:rPr>
            </w:pPr>
            <w:r>
              <w:rPr>
                <w:rFonts w:hint="eastAsia" w:ascii="楷体" w:hAnsi="楷体" w:eastAsia="楷体" w:cs="楷体"/>
                <w:color w:val="000000" w:themeColor="text1"/>
                <w:szCs w:val="21"/>
              </w:rPr>
              <w:t>报价</w:t>
            </w:r>
          </w:p>
          <w:p>
            <w:pPr>
              <w:pStyle w:val="13"/>
              <w:jc w:val="center"/>
              <w:rPr>
                <w:rFonts w:ascii="楷体" w:hAnsi="楷体" w:eastAsia="楷体" w:cs="楷体"/>
                <w:color w:val="000000" w:themeColor="text1"/>
                <w:szCs w:val="21"/>
              </w:rPr>
            </w:pPr>
            <w:r>
              <w:rPr>
                <w:rFonts w:hint="eastAsia" w:ascii="楷体" w:hAnsi="楷体" w:eastAsia="楷体" w:cs="楷体"/>
                <w:color w:val="000000" w:themeColor="text1"/>
                <w:szCs w:val="21"/>
              </w:rPr>
              <w:t>25分</w:t>
            </w:r>
          </w:p>
        </w:tc>
        <w:tc>
          <w:tcPr>
            <w:tcW w:w="767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left"/>
              <w:rPr>
                <w:rFonts w:ascii="楷体" w:hAnsi="楷体" w:eastAsia="楷体" w:cs="楷体"/>
                <w:color w:val="000000" w:themeColor="text1"/>
                <w:sz w:val="21"/>
                <w:szCs w:val="21"/>
              </w:rPr>
            </w:pPr>
            <w:r>
              <w:rPr>
                <w:rFonts w:hint="eastAsia" w:ascii="楷体" w:hAnsi="楷体" w:eastAsia="楷体" w:cs="楷体"/>
                <w:color w:val="000000" w:themeColor="text1"/>
                <w:sz w:val="21"/>
                <w:szCs w:val="21"/>
              </w:rPr>
              <w:t>满足招标文件要求且通过初步审查的有效供应商；其投标报价为有效投标报价，并对有效投标报价进行政策性扣减，并依据扣减后的价格（评审价格）进行价格评审。满足招标文件实质性要求且最终报价最低的投标人的价格为投标基准价，投标报价得分=（投标基准价/投标报价）×报价总分的公式计算得分。（得分精确到小数点后两位，第三位四舍五入）</w:t>
            </w:r>
          </w:p>
          <w:p>
            <w:pPr>
              <w:pStyle w:val="13"/>
              <w:ind w:firstLine="210" w:firstLineChars="100"/>
              <w:rPr>
                <w:rFonts w:ascii="楷体" w:hAnsi="楷体" w:eastAsia="楷体" w:cs="楷体"/>
                <w:color w:val="000000" w:themeColor="text1"/>
                <w:szCs w:val="21"/>
              </w:rPr>
            </w:pPr>
            <w:r>
              <w:rPr>
                <w:rFonts w:hint="eastAsia" w:ascii="楷体" w:hAnsi="楷体" w:eastAsia="楷体" w:cs="楷体"/>
                <w:color w:val="000000" w:themeColor="text1"/>
                <w:szCs w:val="21"/>
              </w:rPr>
              <w:t>符合招标文件规定的小微企业、监狱企业、残疾人福利企业优惠条件的投标人，价格给予10％的扣除，用扣除后的价格参与评审。</w:t>
            </w:r>
          </w:p>
          <w:p>
            <w:pPr>
              <w:pStyle w:val="13"/>
              <w:ind w:firstLine="210" w:firstLineChars="100"/>
              <w:rPr>
                <w:rFonts w:ascii="楷体" w:hAnsi="楷体" w:eastAsia="楷体" w:cs="楷体"/>
                <w:color w:val="000000" w:themeColor="text1"/>
                <w:szCs w:val="21"/>
              </w:rPr>
            </w:pPr>
            <w:r>
              <w:rPr>
                <w:rFonts w:hint="eastAsia" w:ascii="楷体" w:hAnsi="楷体" w:eastAsia="楷体" w:cs="楷体"/>
                <w:color w:val="000000" w:themeColor="text1"/>
                <w:szCs w:val="21"/>
              </w:rPr>
              <w:t>注：残疾人福利性单位属于小型、微型企业的，不重复享受政策。</w:t>
            </w:r>
          </w:p>
          <w:p>
            <w:pPr>
              <w:pStyle w:val="13"/>
              <w:ind w:firstLine="211" w:firstLineChars="100"/>
              <w:rPr>
                <w:rFonts w:ascii="楷体" w:hAnsi="楷体" w:eastAsia="楷体" w:cs="楷体"/>
                <w:color w:val="000000" w:themeColor="text1"/>
                <w:szCs w:val="21"/>
              </w:rPr>
            </w:pPr>
            <w:r>
              <w:rPr>
                <w:rFonts w:hint="eastAsia" w:ascii="楷体" w:hAnsi="楷体" w:eastAsia="楷体" w:cs="楷体"/>
                <w:b/>
                <w:bCs/>
                <w:color w:val="000000" w:themeColor="text1"/>
                <w:szCs w:val="21"/>
              </w:rPr>
              <w:t>经评审委员会一致认定，投标人的投标总报价低于公认市场成本或超过采购预算，其投标将被拒绝，按无效处理。投标报价不完整的，不进入投标基准价的计算，本项得0分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2" w:hRule="atLeast"/>
          <w:jc w:val="center"/>
        </w:trPr>
        <w:tc>
          <w:tcPr>
            <w:tcW w:w="1074" w:type="dxa"/>
            <w:vMerge w:val="restart"/>
            <w:tcBorders>
              <w:top w:val="single" w:color="auto" w:sz="4" w:space="0"/>
              <w:left w:val="single" w:color="auto" w:sz="4" w:space="0"/>
              <w:right w:val="single" w:color="auto" w:sz="4" w:space="0"/>
            </w:tcBorders>
            <w:vAlign w:val="center"/>
          </w:tcPr>
          <w:p>
            <w:pPr>
              <w:pStyle w:val="13"/>
              <w:jc w:val="center"/>
              <w:rPr>
                <w:rFonts w:ascii="楷体" w:hAnsi="楷体" w:eastAsia="楷体" w:cs="楷体"/>
                <w:color w:val="000000" w:themeColor="text1"/>
                <w:szCs w:val="21"/>
              </w:rPr>
            </w:pPr>
            <w:r>
              <w:rPr>
                <w:rFonts w:hint="eastAsia" w:ascii="楷体" w:hAnsi="楷体" w:eastAsia="楷体" w:cs="楷体"/>
                <w:color w:val="000000" w:themeColor="text1"/>
                <w:szCs w:val="21"/>
              </w:rPr>
              <w:t>技术部分</w:t>
            </w:r>
          </w:p>
          <w:p>
            <w:pPr>
              <w:pStyle w:val="13"/>
              <w:jc w:val="center"/>
              <w:rPr>
                <w:rFonts w:ascii="楷体" w:hAnsi="楷体" w:eastAsia="楷体" w:cs="楷体"/>
                <w:color w:val="000000" w:themeColor="text1"/>
                <w:szCs w:val="21"/>
              </w:rPr>
            </w:pPr>
            <w:r>
              <w:rPr>
                <w:rFonts w:hint="eastAsia" w:ascii="楷体" w:hAnsi="楷体" w:eastAsia="楷体" w:cs="楷体"/>
                <w:color w:val="000000" w:themeColor="text1"/>
                <w:szCs w:val="21"/>
              </w:rPr>
              <w:t>（</w:t>
            </w:r>
            <w:r>
              <w:rPr>
                <w:rFonts w:hint="eastAsia" w:ascii="楷体" w:hAnsi="楷体" w:eastAsia="楷体" w:cs="楷体"/>
                <w:color w:val="000000" w:themeColor="text1"/>
                <w:szCs w:val="21"/>
                <w:lang w:val="en-US" w:eastAsia="zh-CN"/>
              </w:rPr>
              <w:t>55</w:t>
            </w:r>
            <w:r>
              <w:rPr>
                <w:rFonts w:hint="eastAsia" w:ascii="楷体" w:hAnsi="楷体" w:eastAsia="楷体" w:cs="楷体"/>
                <w:color w:val="000000" w:themeColor="text1"/>
                <w:szCs w:val="21"/>
              </w:rPr>
              <w:t>分）</w:t>
            </w:r>
          </w:p>
        </w:tc>
        <w:tc>
          <w:tcPr>
            <w:tcW w:w="780" w:type="dxa"/>
            <w:tcBorders>
              <w:top w:val="single" w:color="auto" w:sz="4" w:space="0"/>
              <w:left w:val="single" w:color="auto" w:sz="4" w:space="0"/>
              <w:right w:val="single" w:color="auto" w:sz="4" w:space="0"/>
            </w:tcBorders>
            <w:vAlign w:val="center"/>
          </w:tcPr>
          <w:p>
            <w:pPr>
              <w:pStyle w:val="13"/>
              <w:jc w:val="center"/>
              <w:rPr>
                <w:rFonts w:ascii="楷体" w:hAnsi="楷体" w:eastAsia="楷体" w:cs="楷体"/>
                <w:color w:val="000000" w:themeColor="text1"/>
                <w:szCs w:val="21"/>
              </w:rPr>
            </w:pPr>
            <w:r>
              <w:rPr>
                <w:rFonts w:hint="eastAsia" w:ascii="楷体" w:hAnsi="楷体" w:eastAsia="楷体" w:cs="楷体"/>
                <w:color w:val="000000" w:themeColor="text1"/>
                <w:szCs w:val="21"/>
              </w:rPr>
              <w:t>技术指标响应程度</w:t>
            </w:r>
          </w:p>
          <w:p>
            <w:pPr>
              <w:pStyle w:val="13"/>
              <w:jc w:val="center"/>
              <w:rPr>
                <w:rFonts w:ascii="楷体" w:hAnsi="楷体" w:eastAsia="楷体" w:cs="楷体"/>
                <w:color w:val="000000" w:themeColor="text1"/>
                <w:szCs w:val="21"/>
              </w:rPr>
            </w:pPr>
            <w:r>
              <w:rPr>
                <w:rFonts w:hint="eastAsia" w:ascii="楷体" w:hAnsi="楷体" w:eastAsia="楷体" w:cs="楷体"/>
                <w:color w:val="000000" w:themeColor="text1"/>
                <w:szCs w:val="21"/>
              </w:rPr>
              <w:t>15分</w:t>
            </w:r>
          </w:p>
        </w:tc>
        <w:tc>
          <w:tcPr>
            <w:tcW w:w="7673" w:type="dxa"/>
            <w:tcBorders>
              <w:top w:val="single" w:color="auto" w:sz="4" w:space="0"/>
              <w:left w:val="single" w:color="auto" w:sz="4" w:space="0"/>
              <w:right w:val="single" w:color="auto" w:sz="4" w:space="0"/>
            </w:tcBorders>
            <w:vAlign w:val="center"/>
          </w:tcPr>
          <w:p>
            <w:pPr>
              <w:pStyle w:val="13"/>
              <w:rPr>
                <w:rFonts w:ascii="楷体" w:hAnsi="楷体" w:eastAsia="楷体" w:cs="楷体"/>
                <w:color w:val="000000" w:themeColor="text1"/>
                <w:szCs w:val="21"/>
              </w:rPr>
            </w:pPr>
            <w:r>
              <w:rPr>
                <w:rFonts w:hint="eastAsia" w:ascii="楷体" w:hAnsi="楷体" w:eastAsia="楷体" w:cs="楷体"/>
                <w:color w:val="000000" w:themeColor="text1"/>
                <w:szCs w:val="21"/>
              </w:rPr>
              <w:t xml:space="preserve">投标产品的技术参数、配置和功能需求。评审依据为生产厂家出具的、相应的功能证明材料（包括但不限于测试报告、官网功能截图等）及投标产品技术参数偏离表等； </w:t>
            </w:r>
          </w:p>
          <w:p>
            <w:pPr>
              <w:pStyle w:val="13"/>
              <w:rPr>
                <w:rFonts w:ascii="楷体" w:hAnsi="楷体" w:eastAsia="楷体" w:cs="楷体"/>
                <w:color w:val="000000" w:themeColor="text1"/>
                <w:szCs w:val="21"/>
              </w:rPr>
            </w:pPr>
            <w:r>
              <w:rPr>
                <w:rFonts w:hint="eastAsia" w:ascii="楷体" w:hAnsi="楷体" w:eastAsia="楷体" w:cs="楷体"/>
                <w:color w:val="000000" w:themeColor="text1"/>
                <w:szCs w:val="21"/>
              </w:rPr>
              <w:t>1、所投产品功能完全满足招标文件要求，技术参数清晰、明确，技术方案和设备功能描述详细，产品选型有充分的依据，配套设施完善，各类证明材料完整，根据供应商响应情况计11-15分；</w:t>
            </w:r>
          </w:p>
          <w:p>
            <w:pPr>
              <w:pStyle w:val="13"/>
              <w:rPr>
                <w:rFonts w:ascii="楷体" w:hAnsi="楷体" w:eastAsia="楷体" w:cs="楷体"/>
                <w:color w:val="000000" w:themeColor="text1"/>
                <w:szCs w:val="21"/>
              </w:rPr>
            </w:pPr>
            <w:r>
              <w:rPr>
                <w:rFonts w:hint="eastAsia" w:ascii="楷体" w:hAnsi="楷体" w:eastAsia="楷体" w:cs="楷体"/>
                <w:color w:val="000000" w:themeColor="text1"/>
                <w:szCs w:val="21"/>
              </w:rPr>
              <w:t>2、所投产品功能基本满足要求，技术参数较完善，技术方案和设备功能描述一般，各类证明材料较为完整，整体功能基本满足使用，根据供应商响应情况计6-10分；</w:t>
            </w:r>
          </w:p>
          <w:p>
            <w:pPr>
              <w:pStyle w:val="13"/>
              <w:rPr>
                <w:rFonts w:ascii="楷体" w:hAnsi="楷体" w:eastAsia="楷体" w:cs="楷体"/>
                <w:color w:val="000000" w:themeColor="text1"/>
                <w:szCs w:val="21"/>
              </w:rPr>
            </w:pPr>
            <w:r>
              <w:rPr>
                <w:rFonts w:hint="eastAsia" w:ascii="楷体" w:hAnsi="楷体" w:eastAsia="楷体" w:cs="楷体"/>
                <w:color w:val="000000" w:themeColor="text1"/>
                <w:szCs w:val="21"/>
              </w:rPr>
              <w:t>3、所投产品功能不能完全满足要求、技术参数技术资料不完整、技术参数不明确、产品选型和配套不合理、各类证明材料不完整，根据供应商响应情况计0-5分。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jc w:val="center"/>
        </w:trPr>
        <w:tc>
          <w:tcPr>
            <w:tcW w:w="1074" w:type="dxa"/>
            <w:vMerge w:val="continue"/>
            <w:tcBorders>
              <w:left w:val="single" w:color="auto" w:sz="4" w:space="0"/>
              <w:right w:val="single" w:color="auto" w:sz="4" w:space="0"/>
            </w:tcBorders>
            <w:vAlign w:val="center"/>
          </w:tcPr>
          <w:p>
            <w:pPr>
              <w:pStyle w:val="13"/>
              <w:jc w:val="center"/>
              <w:rPr>
                <w:rFonts w:ascii="楷体" w:hAnsi="楷体" w:eastAsia="楷体" w:cs="楷体"/>
                <w:color w:val="000000" w:themeColor="text1"/>
                <w:szCs w:val="21"/>
              </w:rPr>
            </w:pPr>
          </w:p>
        </w:tc>
        <w:tc>
          <w:tcPr>
            <w:tcW w:w="780" w:type="dxa"/>
            <w:tcBorders>
              <w:top w:val="single" w:color="auto" w:sz="4" w:space="0"/>
              <w:left w:val="single" w:color="auto" w:sz="4" w:space="0"/>
              <w:right w:val="single" w:color="auto" w:sz="4" w:space="0"/>
            </w:tcBorders>
            <w:vAlign w:val="center"/>
          </w:tcPr>
          <w:p>
            <w:pPr>
              <w:pStyle w:val="13"/>
              <w:jc w:val="center"/>
              <w:rPr>
                <w:rFonts w:ascii="楷体" w:hAnsi="楷体" w:eastAsia="楷体" w:cs="楷体"/>
                <w:color w:val="000000" w:themeColor="text1"/>
                <w:szCs w:val="21"/>
              </w:rPr>
            </w:pPr>
            <w:r>
              <w:rPr>
                <w:rFonts w:hint="eastAsia" w:ascii="楷体" w:hAnsi="楷体" w:eastAsia="楷体" w:cs="楷体"/>
                <w:color w:val="000000" w:themeColor="text1"/>
                <w:szCs w:val="21"/>
              </w:rPr>
              <w:t>实施</w:t>
            </w:r>
          </w:p>
          <w:p>
            <w:pPr>
              <w:pStyle w:val="13"/>
              <w:jc w:val="center"/>
              <w:rPr>
                <w:rFonts w:ascii="楷体" w:hAnsi="楷体" w:eastAsia="楷体" w:cs="楷体"/>
                <w:color w:val="000000" w:themeColor="text1"/>
                <w:szCs w:val="21"/>
              </w:rPr>
            </w:pPr>
            <w:r>
              <w:rPr>
                <w:rFonts w:hint="eastAsia" w:ascii="楷体" w:hAnsi="楷体" w:eastAsia="楷体" w:cs="楷体"/>
                <w:color w:val="000000" w:themeColor="text1"/>
                <w:szCs w:val="21"/>
              </w:rPr>
              <w:t>方案</w:t>
            </w:r>
          </w:p>
          <w:p>
            <w:pPr>
              <w:pStyle w:val="13"/>
              <w:jc w:val="center"/>
              <w:rPr>
                <w:rFonts w:ascii="楷体" w:hAnsi="楷体" w:eastAsia="楷体" w:cs="楷体"/>
                <w:color w:val="000000" w:themeColor="text1"/>
                <w:szCs w:val="21"/>
              </w:rPr>
            </w:pPr>
            <w:r>
              <w:rPr>
                <w:rFonts w:hint="eastAsia" w:ascii="楷体" w:hAnsi="楷体" w:eastAsia="楷体" w:cs="楷体"/>
                <w:color w:val="000000" w:themeColor="text1"/>
                <w:szCs w:val="21"/>
                <w:lang w:val="en-US" w:eastAsia="zh-CN"/>
              </w:rPr>
              <w:t>40</w:t>
            </w:r>
            <w:r>
              <w:rPr>
                <w:rFonts w:hint="eastAsia" w:ascii="楷体" w:hAnsi="楷体" w:eastAsia="楷体" w:cs="楷体"/>
                <w:color w:val="000000" w:themeColor="text1"/>
                <w:szCs w:val="21"/>
              </w:rPr>
              <w:t>分</w:t>
            </w:r>
          </w:p>
        </w:tc>
        <w:tc>
          <w:tcPr>
            <w:tcW w:w="7673" w:type="dxa"/>
            <w:tcBorders>
              <w:left w:val="single" w:color="auto" w:sz="4" w:space="0"/>
              <w:bottom w:val="single" w:color="auto" w:sz="4" w:space="0"/>
              <w:right w:val="single" w:color="auto" w:sz="4" w:space="0"/>
            </w:tcBorders>
            <w:vAlign w:val="center"/>
          </w:tcPr>
          <w:p>
            <w:pPr>
              <w:pStyle w:val="13"/>
              <w:rPr>
                <w:rFonts w:ascii="楷体" w:hAnsi="楷体" w:eastAsia="楷体" w:cs="楷体"/>
                <w:color w:val="000000" w:themeColor="text1"/>
                <w:szCs w:val="21"/>
              </w:rPr>
            </w:pPr>
            <w:r>
              <w:rPr>
                <w:rFonts w:hint="eastAsia" w:ascii="楷体" w:hAnsi="楷体" w:eastAsia="楷体" w:cs="楷体"/>
                <w:color w:val="000000" w:themeColor="text1"/>
                <w:szCs w:val="21"/>
              </w:rPr>
              <w:t>投标人针对项目需求提供完整的实施方案，由评标委员会赋分：</w:t>
            </w:r>
          </w:p>
          <w:p>
            <w:pPr>
              <w:pStyle w:val="13"/>
              <w:rPr>
                <w:rFonts w:ascii="楷体" w:hAnsi="楷体" w:eastAsia="楷体" w:cs="楷体"/>
                <w:color w:val="000000" w:themeColor="text1"/>
                <w:szCs w:val="21"/>
              </w:rPr>
            </w:pPr>
            <w:r>
              <w:rPr>
                <w:rFonts w:hint="eastAsia" w:ascii="楷体" w:hAnsi="楷体" w:eastAsia="楷体" w:cs="楷体"/>
                <w:color w:val="000000" w:themeColor="text1"/>
                <w:szCs w:val="21"/>
              </w:rPr>
              <w:t>1、项目整体建设方案。</w:t>
            </w:r>
          </w:p>
          <w:p>
            <w:pPr>
              <w:pStyle w:val="13"/>
              <w:rPr>
                <w:rFonts w:ascii="楷体" w:hAnsi="楷体" w:eastAsia="楷体" w:cs="楷体"/>
                <w:color w:val="000000" w:themeColor="text1"/>
                <w:szCs w:val="21"/>
              </w:rPr>
            </w:pPr>
            <w:r>
              <w:rPr>
                <w:rFonts w:hint="eastAsia" w:ascii="楷体" w:hAnsi="楷体" w:eastAsia="楷体" w:cs="楷体"/>
                <w:color w:val="000000" w:themeColor="text1"/>
                <w:szCs w:val="21"/>
              </w:rPr>
              <w:t>①建设方案满足采购人实际需求，描述条理清晰，根据响应情况得4-5分；</w:t>
            </w:r>
          </w:p>
          <w:p>
            <w:pPr>
              <w:pStyle w:val="13"/>
              <w:rPr>
                <w:rFonts w:ascii="楷体" w:hAnsi="楷体" w:eastAsia="楷体" w:cs="楷体"/>
                <w:color w:val="000000" w:themeColor="text1"/>
                <w:szCs w:val="21"/>
              </w:rPr>
            </w:pPr>
            <w:r>
              <w:rPr>
                <w:rFonts w:hint="eastAsia" w:ascii="楷体" w:hAnsi="楷体" w:eastAsia="楷体" w:cs="楷体"/>
                <w:color w:val="000000" w:themeColor="text1"/>
                <w:szCs w:val="21"/>
              </w:rPr>
              <w:t>②建设方案较完整，基本满足采购人实际需求，根据响应情况得2-3分；</w:t>
            </w:r>
          </w:p>
          <w:p>
            <w:pPr>
              <w:pStyle w:val="13"/>
              <w:rPr>
                <w:rFonts w:ascii="楷体" w:hAnsi="楷体" w:eastAsia="楷体" w:cs="楷体"/>
                <w:color w:val="000000" w:themeColor="text1"/>
                <w:szCs w:val="21"/>
              </w:rPr>
            </w:pPr>
            <w:r>
              <w:rPr>
                <w:rFonts w:hint="eastAsia" w:ascii="楷体" w:hAnsi="楷体" w:eastAsia="楷体" w:cs="楷体"/>
                <w:color w:val="000000" w:themeColor="text1"/>
                <w:szCs w:val="21"/>
              </w:rPr>
              <w:t>③建设方案基本完整，针对性不强，根据响应情况得0-1分。</w:t>
            </w:r>
          </w:p>
          <w:p>
            <w:pPr>
              <w:pStyle w:val="13"/>
              <w:rPr>
                <w:rFonts w:ascii="楷体" w:hAnsi="楷体" w:eastAsia="楷体" w:cs="楷体"/>
                <w:color w:val="000000" w:themeColor="text1"/>
                <w:szCs w:val="21"/>
              </w:rPr>
            </w:pPr>
            <w:r>
              <w:rPr>
                <w:rFonts w:hint="eastAsia" w:ascii="楷体" w:hAnsi="楷体" w:eastAsia="楷体" w:cs="楷体"/>
                <w:color w:val="000000" w:themeColor="text1"/>
                <w:szCs w:val="21"/>
              </w:rPr>
              <w:t>2、产品安装调试。</w:t>
            </w:r>
          </w:p>
          <w:p>
            <w:pPr>
              <w:pStyle w:val="13"/>
              <w:rPr>
                <w:rFonts w:ascii="楷体" w:hAnsi="楷体" w:eastAsia="楷体" w:cs="楷体"/>
                <w:color w:val="000000" w:themeColor="text1"/>
                <w:szCs w:val="21"/>
              </w:rPr>
            </w:pPr>
            <w:r>
              <w:rPr>
                <w:rFonts w:hint="eastAsia" w:ascii="楷体" w:hAnsi="楷体" w:eastAsia="楷体" w:cs="楷体"/>
                <w:color w:val="000000" w:themeColor="text1"/>
                <w:szCs w:val="21"/>
              </w:rPr>
              <w:t>①满足采购人实际需求，描述条理清晰，根据响应情况得4-5分；</w:t>
            </w:r>
          </w:p>
          <w:p>
            <w:pPr>
              <w:pStyle w:val="13"/>
              <w:rPr>
                <w:rFonts w:ascii="楷体" w:hAnsi="楷体" w:eastAsia="楷体" w:cs="楷体"/>
                <w:color w:val="000000" w:themeColor="text1"/>
                <w:szCs w:val="21"/>
              </w:rPr>
            </w:pPr>
            <w:r>
              <w:rPr>
                <w:rFonts w:hint="eastAsia" w:ascii="楷体" w:hAnsi="楷体" w:eastAsia="楷体" w:cs="楷体"/>
                <w:color w:val="000000" w:themeColor="text1"/>
                <w:szCs w:val="21"/>
              </w:rPr>
              <w:t>②较完整，基本满足采购人实际需求，根据响应情况得2-3分；</w:t>
            </w:r>
          </w:p>
          <w:p>
            <w:pPr>
              <w:pStyle w:val="13"/>
              <w:rPr>
                <w:rFonts w:ascii="楷体" w:hAnsi="楷体" w:eastAsia="楷体" w:cs="楷体"/>
                <w:color w:val="000000" w:themeColor="text1"/>
                <w:szCs w:val="21"/>
              </w:rPr>
            </w:pPr>
            <w:r>
              <w:rPr>
                <w:rFonts w:hint="eastAsia" w:ascii="楷体" w:hAnsi="楷体" w:eastAsia="楷体" w:cs="楷体"/>
                <w:color w:val="000000" w:themeColor="text1"/>
                <w:szCs w:val="21"/>
              </w:rPr>
              <w:t>③基本完整，针对性不强，根据响应情况得0-1分。</w:t>
            </w:r>
          </w:p>
          <w:p>
            <w:pPr>
              <w:pStyle w:val="13"/>
              <w:rPr>
                <w:rFonts w:ascii="楷体" w:hAnsi="楷体" w:eastAsia="楷体" w:cs="楷体"/>
                <w:color w:val="000000" w:themeColor="text1"/>
                <w:szCs w:val="21"/>
              </w:rPr>
            </w:pPr>
            <w:r>
              <w:rPr>
                <w:rFonts w:hint="eastAsia" w:ascii="楷体" w:hAnsi="楷体" w:eastAsia="楷体" w:cs="楷体"/>
                <w:color w:val="000000" w:themeColor="text1"/>
                <w:szCs w:val="21"/>
              </w:rPr>
              <w:t>3、安全文明施工。</w:t>
            </w:r>
          </w:p>
          <w:p>
            <w:pPr>
              <w:pStyle w:val="13"/>
              <w:rPr>
                <w:rFonts w:ascii="楷体" w:hAnsi="楷体" w:eastAsia="楷体" w:cs="楷体"/>
                <w:color w:val="000000" w:themeColor="text1"/>
                <w:szCs w:val="21"/>
              </w:rPr>
            </w:pPr>
            <w:r>
              <w:rPr>
                <w:rFonts w:hint="eastAsia" w:ascii="楷体" w:hAnsi="楷体" w:eastAsia="楷体" w:cs="楷体"/>
                <w:color w:val="000000" w:themeColor="text1"/>
                <w:szCs w:val="21"/>
              </w:rPr>
              <w:t>①满足采购人实际需求，描述条理清晰，根据响应情况得4-5分；</w:t>
            </w:r>
          </w:p>
          <w:p>
            <w:pPr>
              <w:pStyle w:val="13"/>
              <w:rPr>
                <w:rFonts w:ascii="楷体" w:hAnsi="楷体" w:eastAsia="楷体" w:cs="楷体"/>
                <w:color w:val="000000" w:themeColor="text1"/>
                <w:szCs w:val="21"/>
              </w:rPr>
            </w:pPr>
            <w:r>
              <w:rPr>
                <w:rFonts w:hint="eastAsia" w:ascii="楷体" w:hAnsi="楷体" w:eastAsia="楷体" w:cs="楷体"/>
                <w:color w:val="000000" w:themeColor="text1"/>
                <w:szCs w:val="21"/>
              </w:rPr>
              <w:t>②较完整，基本满足采购人实际需求，根据响应情况得2-3分；</w:t>
            </w:r>
          </w:p>
          <w:p>
            <w:pPr>
              <w:pStyle w:val="13"/>
              <w:rPr>
                <w:rFonts w:ascii="楷体" w:hAnsi="楷体" w:eastAsia="楷体" w:cs="楷体"/>
                <w:color w:val="000000" w:themeColor="text1"/>
                <w:szCs w:val="21"/>
              </w:rPr>
            </w:pPr>
            <w:r>
              <w:rPr>
                <w:rFonts w:hint="eastAsia" w:ascii="楷体" w:hAnsi="楷体" w:eastAsia="楷体" w:cs="楷体"/>
                <w:color w:val="000000" w:themeColor="text1"/>
                <w:szCs w:val="21"/>
              </w:rPr>
              <w:t>③基本完整，针对性不强，根据响应情况得0-1分。</w:t>
            </w:r>
          </w:p>
          <w:p>
            <w:pPr>
              <w:pStyle w:val="13"/>
              <w:rPr>
                <w:rFonts w:ascii="楷体" w:hAnsi="楷体" w:eastAsia="楷体" w:cs="楷体"/>
                <w:color w:val="000000" w:themeColor="text1"/>
                <w:szCs w:val="21"/>
              </w:rPr>
            </w:pPr>
            <w:r>
              <w:rPr>
                <w:rFonts w:hint="eastAsia" w:ascii="楷体" w:hAnsi="楷体" w:eastAsia="楷体" w:cs="楷体"/>
                <w:color w:val="000000" w:themeColor="text1"/>
                <w:szCs w:val="21"/>
              </w:rPr>
              <w:t>4、订货及供货组织安排。</w:t>
            </w:r>
          </w:p>
          <w:p>
            <w:pPr>
              <w:pStyle w:val="13"/>
              <w:rPr>
                <w:rFonts w:ascii="楷体" w:hAnsi="楷体" w:eastAsia="楷体" w:cs="楷体"/>
                <w:color w:val="000000" w:themeColor="text1"/>
                <w:szCs w:val="21"/>
              </w:rPr>
            </w:pPr>
            <w:r>
              <w:rPr>
                <w:rFonts w:hint="eastAsia" w:ascii="楷体" w:hAnsi="楷体" w:eastAsia="楷体" w:cs="楷体"/>
                <w:color w:val="000000" w:themeColor="text1"/>
                <w:szCs w:val="21"/>
              </w:rPr>
              <w:t>①满足采购人实际需求，描述条理清晰，根据响应情况得4-</w:t>
            </w:r>
            <w:r>
              <w:rPr>
                <w:rFonts w:hint="eastAsia" w:ascii="楷体" w:hAnsi="楷体" w:eastAsia="楷体" w:cs="楷体"/>
                <w:color w:val="000000" w:themeColor="text1"/>
                <w:szCs w:val="21"/>
                <w:lang w:val="en-US" w:eastAsia="zh-CN"/>
              </w:rPr>
              <w:t>6</w:t>
            </w:r>
            <w:r>
              <w:rPr>
                <w:rFonts w:hint="eastAsia" w:ascii="楷体" w:hAnsi="楷体" w:eastAsia="楷体" w:cs="楷体"/>
                <w:color w:val="000000" w:themeColor="text1"/>
                <w:szCs w:val="21"/>
              </w:rPr>
              <w:t>分；</w:t>
            </w:r>
          </w:p>
          <w:p>
            <w:pPr>
              <w:pStyle w:val="13"/>
              <w:rPr>
                <w:rFonts w:ascii="楷体" w:hAnsi="楷体" w:eastAsia="楷体" w:cs="楷体"/>
                <w:color w:val="000000" w:themeColor="text1"/>
                <w:szCs w:val="21"/>
              </w:rPr>
            </w:pPr>
            <w:r>
              <w:rPr>
                <w:rFonts w:hint="eastAsia" w:ascii="楷体" w:hAnsi="楷体" w:eastAsia="楷体" w:cs="楷体"/>
                <w:color w:val="000000" w:themeColor="text1"/>
                <w:szCs w:val="21"/>
              </w:rPr>
              <w:t>②较完整，基本满足采购人实际需求，根据响应情况得2-3分；</w:t>
            </w:r>
          </w:p>
          <w:p>
            <w:pPr>
              <w:pStyle w:val="13"/>
              <w:rPr>
                <w:rFonts w:ascii="楷体" w:hAnsi="楷体" w:eastAsia="楷体" w:cs="楷体"/>
                <w:color w:val="000000" w:themeColor="text1"/>
                <w:szCs w:val="21"/>
              </w:rPr>
            </w:pPr>
            <w:r>
              <w:rPr>
                <w:rFonts w:hint="eastAsia" w:ascii="楷体" w:hAnsi="楷体" w:eastAsia="楷体" w:cs="楷体"/>
                <w:color w:val="000000" w:themeColor="text1"/>
                <w:szCs w:val="21"/>
              </w:rPr>
              <w:t>③基本完整，针对性不强，根据响应情况得0-1分。</w:t>
            </w:r>
          </w:p>
          <w:p>
            <w:pPr>
              <w:pStyle w:val="13"/>
              <w:rPr>
                <w:rFonts w:ascii="楷体" w:hAnsi="楷体" w:eastAsia="楷体" w:cs="楷体"/>
                <w:color w:val="000000" w:themeColor="text1"/>
                <w:szCs w:val="21"/>
              </w:rPr>
            </w:pPr>
            <w:r>
              <w:rPr>
                <w:rFonts w:hint="eastAsia" w:ascii="楷体" w:hAnsi="楷体" w:eastAsia="楷体" w:cs="楷体"/>
                <w:color w:val="000000" w:themeColor="text1"/>
                <w:szCs w:val="21"/>
              </w:rPr>
              <w:t>5、针对本项目工程的特点难点分析及解决措施。</w:t>
            </w:r>
          </w:p>
          <w:p>
            <w:pPr>
              <w:pStyle w:val="13"/>
              <w:rPr>
                <w:rFonts w:ascii="楷体" w:hAnsi="楷体" w:eastAsia="楷体" w:cs="楷体"/>
                <w:color w:val="000000" w:themeColor="text1"/>
                <w:szCs w:val="21"/>
              </w:rPr>
            </w:pPr>
            <w:r>
              <w:rPr>
                <w:rFonts w:hint="eastAsia" w:ascii="楷体" w:hAnsi="楷体" w:eastAsia="楷体" w:cs="楷体"/>
                <w:color w:val="000000" w:themeColor="text1"/>
                <w:szCs w:val="21"/>
              </w:rPr>
              <w:t>①满足采购人实际需求，证明材料齐全，根据响应情况得4-</w:t>
            </w:r>
            <w:r>
              <w:rPr>
                <w:rFonts w:hint="eastAsia" w:ascii="楷体" w:hAnsi="楷体" w:eastAsia="楷体" w:cs="楷体"/>
                <w:color w:val="000000" w:themeColor="text1"/>
                <w:szCs w:val="21"/>
                <w:lang w:val="en-US" w:eastAsia="zh-CN"/>
              </w:rPr>
              <w:t>6</w:t>
            </w:r>
            <w:r>
              <w:rPr>
                <w:rFonts w:hint="eastAsia" w:ascii="楷体" w:hAnsi="楷体" w:eastAsia="楷体" w:cs="楷体"/>
                <w:color w:val="000000" w:themeColor="text1"/>
                <w:szCs w:val="21"/>
              </w:rPr>
              <w:t>分；</w:t>
            </w:r>
          </w:p>
          <w:p>
            <w:pPr>
              <w:pStyle w:val="13"/>
              <w:rPr>
                <w:rFonts w:ascii="楷体" w:hAnsi="楷体" w:eastAsia="楷体" w:cs="楷体"/>
                <w:color w:val="000000" w:themeColor="text1"/>
                <w:szCs w:val="21"/>
              </w:rPr>
            </w:pPr>
            <w:r>
              <w:rPr>
                <w:rFonts w:hint="eastAsia" w:ascii="楷体" w:hAnsi="楷体" w:eastAsia="楷体" w:cs="楷体"/>
                <w:color w:val="000000" w:themeColor="text1"/>
                <w:szCs w:val="21"/>
              </w:rPr>
              <w:t>②基本满足采购人实际需求，证明材料基本齐全，根据响应情况得2-3分；</w:t>
            </w:r>
          </w:p>
          <w:p>
            <w:pPr>
              <w:pStyle w:val="13"/>
              <w:rPr>
                <w:rFonts w:ascii="楷体" w:hAnsi="楷体" w:eastAsia="楷体" w:cs="楷体"/>
                <w:color w:val="000000" w:themeColor="text1"/>
                <w:szCs w:val="21"/>
              </w:rPr>
            </w:pPr>
            <w:r>
              <w:rPr>
                <w:rFonts w:hint="eastAsia" w:ascii="楷体" w:hAnsi="楷体" w:eastAsia="楷体" w:cs="楷体"/>
                <w:color w:val="000000" w:themeColor="text1"/>
                <w:szCs w:val="21"/>
              </w:rPr>
              <w:t>③针对性不强，证明材料不完整，根据响应情况得0-1分。</w:t>
            </w:r>
          </w:p>
          <w:p>
            <w:pPr>
              <w:pStyle w:val="13"/>
              <w:rPr>
                <w:rFonts w:ascii="楷体" w:hAnsi="楷体" w:eastAsia="楷体" w:cs="楷体"/>
                <w:color w:val="000000" w:themeColor="text1"/>
                <w:szCs w:val="21"/>
              </w:rPr>
            </w:pPr>
            <w:r>
              <w:rPr>
                <w:rFonts w:hint="eastAsia" w:ascii="楷体" w:hAnsi="楷体" w:eastAsia="楷体" w:cs="楷体"/>
                <w:color w:val="000000" w:themeColor="text1"/>
                <w:szCs w:val="21"/>
              </w:rPr>
              <w:t>6、项目实施进度计划。</w:t>
            </w:r>
          </w:p>
          <w:p>
            <w:pPr>
              <w:pStyle w:val="13"/>
              <w:rPr>
                <w:rFonts w:ascii="楷体" w:hAnsi="楷体" w:eastAsia="楷体" w:cs="楷体"/>
                <w:color w:val="000000" w:themeColor="text1"/>
                <w:szCs w:val="21"/>
              </w:rPr>
            </w:pPr>
            <w:r>
              <w:rPr>
                <w:rFonts w:hint="eastAsia" w:ascii="楷体" w:hAnsi="楷体" w:eastAsia="楷体" w:cs="楷体"/>
                <w:color w:val="000000" w:themeColor="text1"/>
                <w:szCs w:val="21"/>
              </w:rPr>
              <w:t>①满足采购人实际需求，描述条理清晰，根据响应情况得4-</w:t>
            </w:r>
            <w:r>
              <w:rPr>
                <w:rFonts w:hint="eastAsia" w:ascii="楷体" w:hAnsi="楷体" w:eastAsia="楷体" w:cs="楷体"/>
                <w:color w:val="000000" w:themeColor="text1"/>
                <w:szCs w:val="21"/>
                <w:lang w:val="en-US" w:eastAsia="zh-CN"/>
              </w:rPr>
              <w:t>5</w:t>
            </w:r>
            <w:r>
              <w:rPr>
                <w:rFonts w:hint="eastAsia" w:ascii="楷体" w:hAnsi="楷体" w:eastAsia="楷体" w:cs="楷体"/>
                <w:color w:val="000000" w:themeColor="text1"/>
                <w:szCs w:val="21"/>
              </w:rPr>
              <w:t>分；</w:t>
            </w:r>
          </w:p>
          <w:p>
            <w:pPr>
              <w:pStyle w:val="13"/>
              <w:rPr>
                <w:rFonts w:ascii="楷体" w:hAnsi="楷体" w:eastAsia="楷体" w:cs="楷体"/>
                <w:color w:val="000000" w:themeColor="text1"/>
                <w:szCs w:val="21"/>
              </w:rPr>
            </w:pPr>
            <w:r>
              <w:rPr>
                <w:rFonts w:hint="eastAsia" w:ascii="楷体" w:hAnsi="楷体" w:eastAsia="楷体" w:cs="楷体"/>
                <w:color w:val="000000" w:themeColor="text1"/>
                <w:szCs w:val="21"/>
              </w:rPr>
              <w:t>②较完整，基本满足采购人实际需求，根据响应情况得2-3分；</w:t>
            </w:r>
          </w:p>
          <w:p>
            <w:pPr>
              <w:pStyle w:val="13"/>
              <w:rPr>
                <w:rFonts w:ascii="楷体" w:hAnsi="楷体" w:eastAsia="楷体" w:cs="楷体"/>
                <w:color w:val="000000" w:themeColor="text1"/>
                <w:szCs w:val="21"/>
              </w:rPr>
            </w:pPr>
            <w:r>
              <w:rPr>
                <w:rFonts w:hint="eastAsia" w:ascii="楷体" w:hAnsi="楷体" w:eastAsia="楷体" w:cs="楷体"/>
                <w:color w:val="000000" w:themeColor="text1"/>
                <w:szCs w:val="21"/>
              </w:rPr>
              <w:t>③基本完整，针对性不强，根据响应情况得0-1分。</w:t>
            </w:r>
          </w:p>
          <w:p>
            <w:pPr>
              <w:pStyle w:val="13"/>
              <w:rPr>
                <w:rFonts w:ascii="楷体" w:hAnsi="楷体" w:eastAsia="楷体" w:cs="楷体"/>
                <w:color w:val="000000" w:themeColor="text1"/>
                <w:szCs w:val="21"/>
              </w:rPr>
            </w:pPr>
            <w:r>
              <w:rPr>
                <w:rFonts w:hint="eastAsia" w:ascii="楷体" w:hAnsi="楷体" w:eastAsia="楷体" w:cs="楷体"/>
                <w:color w:val="000000" w:themeColor="text1"/>
                <w:szCs w:val="21"/>
              </w:rPr>
              <w:t>7、交货验收方案。</w:t>
            </w:r>
          </w:p>
          <w:p>
            <w:pPr>
              <w:pStyle w:val="13"/>
              <w:rPr>
                <w:rFonts w:ascii="楷体" w:hAnsi="楷体" w:eastAsia="楷体" w:cs="楷体"/>
                <w:color w:val="000000" w:themeColor="text1"/>
                <w:szCs w:val="21"/>
              </w:rPr>
            </w:pPr>
            <w:r>
              <w:rPr>
                <w:rFonts w:hint="eastAsia" w:ascii="楷体" w:hAnsi="楷体" w:eastAsia="楷体" w:cs="楷体"/>
                <w:color w:val="000000" w:themeColor="text1"/>
                <w:szCs w:val="21"/>
              </w:rPr>
              <w:t>①满足采购人实际需求，描述条理清晰，根据响应情况得</w:t>
            </w:r>
            <w:r>
              <w:rPr>
                <w:rFonts w:hint="eastAsia" w:ascii="楷体" w:hAnsi="楷体" w:eastAsia="楷体" w:cs="楷体"/>
                <w:color w:val="000000" w:themeColor="text1"/>
                <w:szCs w:val="21"/>
                <w:lang w:val="en-US" w:eastAsia="zh-CN"/>
              </w:rPr>
              <w:t>4</w:t>
            </w:r>
            <w:r>
              <w:rPr>
                <w:rFonts w:hint="eastAsia" w:ascii="楷体" w:hAnsi="楷体" w:eastAsia="楷体" w:cs="楷体"/>
                <w:color w:val="000000" w:themeColor="text1"/>
                <w:szCs w:val="21"/>
              </w:rPr>
              <w:t>-</w:t>
            </w:r>
            <w:r>
              <w:rPr>
                <w:rFonts w:hint="eastAsia" w:ascii="楷体" w:hAnsi="楷体" w:eastAsia="楷体" w:cs="楷体"/>
                <w:color w:val="000000" w:themeColor="text1"/>
                <w:szCs w:val="21"/>
                <w:lang w:val="en-US" w:eastAsia="zh-CN"/>
              </w:rPr>
              <w:t>5</w:t>
            </w:r>
            <w:r>
              <w:rPr>
                <w:rFonts w:hint="eastAsia" w:ascii="楷体" w:hAnsi="楷体" w:eastAsia="楷体" w:cs="楷体"/>
                <w:color w:val="000000" w:themeColor="text1"/>
                <w:szCs w:val="21"/>
              </w:rPr>
              <w:t>分；</w:t>
            </w:r>
          </w:p>
          <w:p>
            <w:pPr>
              <w:pStyle w:val="13"/>
              <w:rPr>
                <w:rFonts w:ascii="楷体" w:hAnsi="楷体" w:eastAsia="楷体" w:cs="楷体"/>
                <w:color w:val="000000" w:themeColor="text1"/>
                <w:szCs w:val="21"/>
              </w:rPr>
            </w:pPr>
            <w:r>
              <w:rPr>
                <w:rFonts w:hint="eastAsia" w:ascii="楷体" w:hAnsi="楷体" w:eastAsia="楷体" w:cs="楷体"/>
                <w:color w:val="000000" w:themeColor="text1"/>
                <w:szCs w:val="21"/>
              </w:rPr>
              <w:t>②较完整，基本满足采购人实际需求，根据响应情况得2-3分；</w:t>
            </w:r>
          </w:p>
          <w:p>
            <w:pPr>
              <w:pStyle w:val="13"/>
              <w:rPr>
                <w:rFonts w:ascii="楷体" w:hAnsi="楷体" w:eastAsia="楷体" w:cs="楷体"/>
                <w:color w:val="000000" w:themeColor="text1"/>
                <w:szCs w:val="21"/>
              </w:rPr>
            </w:pPr>
            <w:r>
              <w:rPr>
                <w:rFonts w:hint="eastAsia" w:ascii="楷体" w:hAnsi="楷体" w:eastAsia="楷体" w:cs="楷体"/>
                <w:color w:val="000000" w:themeColor="text1"/>
                <w:szCs w:val="21"/>
              </w:rPr>
              <w:t>③基本完整，针对性不强，根据响应情况得0-1分。</w:t>
            </w:r>
          </w:p>
          <w:p>
            <w:pPr>
              <w:pStyle w:val="13"/>
              <w:rPr>
                <w:rFonts w:ascii="楷体" w:hAnsi="楷体" w:eastAsia="楷体" w:cs="楷体"/>
                <w:color w:val="000000" w:themeColor="text1"/>
                <w:szCs w:val="21"/>
              </w:rPr>
            </w:pPr>
            <w:r>
              <w:rPr>
                <w:rFonts w:hint="eastAsia" w:ascii="楷体" w:hAnsi="楷体" w:eastAsia="楷体" w:cs="楷体"/>
                <w:color w:val="000000" w:themeColor="text1"/>
                <w:szCs w:val="21"/>
              </w:rPr>
              <w:t>8、应急及疫情防控预案。</w:t>
            </w:r>
          </w:p>
          <w:p>
            <w:pPr>
              <w:pStyle w:val="13"/>
              <w:rPr>
                <w:rFonts w:ascii="楷体" w:hAnsi="楷体" w:eastAsia="楷体" w:cs="楷体"/>
                <w:color w:val="000000" w:themeColor="text1"/>
                <w:szCs w:val="21"/>
              </w:rPr>
            </w:pPr>
            <w:r>
              <w:rPr>
                <w:rFonts w:hint="eastAsia" w:ascii="楷体" w:hAnsi="楷体" w:eastAsia="楷体" w:cs="楷体"/>
                <w:color w:val="000000" w:themeColor="text1"/>
                <w:szCs w:val="21"/>
              </w:rPr>
              <w:t>①满足采购人实际需求，描述条理清晰，根据响应情况得2-3分；</w:t>
            </w:r>
          </w:p>
          <w:p>
            <w:pPr>
              <w:pStyle w:val="13"/>
              <w:rPr>
                <w:rFonts w:ascii="楷体" w:hAnsi="楷体" w:eastAsia="楷体" w:cs="楷体"/>
                <w:color w:val="000000" w:themeColor="text1"/>
                <w:szCs w:val="21"/>
              </w:rPr>
            </w:pPr>
            <w:r>
              <w:rPr>
                <w:rFonts w:hint="eastAsia" w:ascii="楷体" w:hAnsi="楷体" w:eastAsia="楷体" w:cs="楷体"/>
                <w:color w:val="000000" w:themeColor="text1"/>
                <w:szCs w:val="21"/>
              </w:rPr>
              <w:t>②较完整，基本满足采购人实际需求，根据响应情况得0-1分。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1074" w:type="dxa"/>
            <w:vMerge w:val="restart"/>
            <w:tcBorders>
              <w:left w:val="single" w:color="auto" w:sz="4" w:space="0"/>
              <w:right w:val="single" w:color="auto" w:sz="4" w:space="0"/>
            </w:tcBorders>
            <w:vAlign w:val="center"/>
          </w:tcPr>
          <w:p>
            <w:pPr>
              <w:pStyle w:val="13"/>
              <w:jc w:val="center"/>
              <w:rPr>
                <w:rFonts w:ascii="楷体" w:hAnsi="楷体" w:eastAsia="楷体" w:cs="楷体"/>
                <w:color w:val="000000" w:themeColor="text1"/>
                <w:szCs w:val="21"/>
              </w:rPr>
            </w:pPr>
            <w:r>
              <w:rPr>
                <w:rFonts w:hint="eastAsia" w:ascii="楷体" w:hAnsi="楷体" w:eastAsia="楷体" w:cs="楷体"/>
                <w:color w:val="000000" w:themeColor="text1"/>
                <w:szCs w:val="21"/>
              </w:rPr>
              <w:t>商务部分</w:t>
            </w:r>
          </w:p>
          <w:p>
            <w:pPr>
              <w:pStyle w:val="13"/>
              <w:jc w:val="center"/>
              <w:rPr>
                <w:rFonts w:ascii="楷体" w:hAnsi="楷体" w:eastAsia="楷体" w:cs="楷体"/>
                <w:color w:val="000000" w:themeColor="text1"/>
                <w:szCs w:val="21"/>
              </w:rPr>
            </w:pPr>
            <w:r>
              <w:rPr>
                <w:rFonts w:hint="eastAsia" w:ascii="楷体" w:hAnsi="楷体" w:eastAsia="楷体" w:cs="楷体"/>
                <w:color w:val="000000" w:themeColor="text1"/>
                <w:szCs w:val="21"/>
              </w:rPr>
              <w:t>(2</w:t>
            </w:r>
            <w:r>
              <w:rPr>
                <w:rFonts w:hint="eastAsia" w:ascii="楷体" w:hAnsi="楷体" w:eastAsia="楷体" w:cs="楷体"/>
                <w:color w:val="000000" w:themeColor="text1"/>
                <w:szCs w:val="21"/>
                <w:lang w:val="en-US" w:eastAsia="zh-CN"/>
              </w:rPr>
              <w:t>0</w:t>
            </w:r>
            <w:r>
              <w:rPr>
                <w:rFonts w:hint="eastAsia" w:ascii="楷体" w:hAnsi="楷体" w:eastAsia="楷体" w:cs="楷体"/>
                <w:color w:val="000000" w:themeColor="text1"/>
                <w:szCs w:val="21"/>
              </w:rPr>
              <w:t>分）</w:t>
            </w:r>
          </w:p>
        </w:tc>
        <w:tc>
          <w:tcPr>
            <w:tcW w:w="780" w:type="dxa"/>
            <w:tcBorders>
              <w:top w:val="single" w:color="auto" w:sz="4" w:space="0"/>
              <w:left w:val="single" w:color="auto" w:sz="4" w:space="0"/>
              <w:right w:val="single" w:color="auto" w:sz="4" w:space="0"/>
            </w:tcBorders>
            <w:vAlign w:val="center"/>
          </w:tcPr>
          <w:p>
            <w:pPr>
              <w:pStyle w:val="13"/>
              <w:jc w:val="center"/>
              <w:rPr>
                <w:rFonts w:ascii="楷体" w:hAnsi="楷体" w:eastAsia="楷体" w:cs="楷体"/>
                <w:color w:val="000000" w:themeColor="text1"/>
                <w:szCs w:val="21"/>
              </w:rPr>
            </w:pPr>
            <w:r>
              <w:rPr>
                <w:rFonts w:hint="eastAsia" w:ascii="楷体" w:hAnsi="楷体" w:eastAsia="楷体" w:cs="楷体"/>
                <w:color w:val="000000" w:themeColor="text1"/>
                <w:szCs w:val="21"/>
              </w:rPr>
              <w:t>企业实力</w:t>
            </w:r>
          </w:p>
          <w:p>
            <w:pPr>
              <w:pStyle w:val="13"/>
              <w:jc w:val="center"/>
              <w:rPr>
                <w:rFonts w:ascii="楷体" w:hAnsi="楷体" w:eastAsia="楷体" w:cs="楷体"/>
                <w:color w:val="000000" w:themeColor="text1"/>
                <w:szCs w:val="21"/>
              </w:rPr>
            </w:pPr>
            <w:r>
              <w:rPr>
                <w:rFonts w:hint="eastAsia" w:ascii="楷体" w:hAnsi="楷体" w:eastAsia="楷体" w:cs="楷体"/>
                <w:color w:val="000000" w:themeColor="text1"/>
                <w:szCs w:val="21"/>
                <w:lang w:val="en-US" w:eastAsia="zh-CN"/>
              </w:rPr>
              <w:t>2</w:t>
            </w:r>
            <w:r>
              <w:rPr>
                <w:rFonts w:hint="eastAsia" w:ascii="楷体" w:hAnsi="楷体" w:eastAsia="楷体" w:cs="楷体"/>
                <w:color w:val="000000" w:themeColor="text1"/>
                <w:szCs w:val="21"/>
              </w:rPr>
              <w:t>分</w:t>
            </w:r>
          </w:p>
        </w:tc>
        <w:tc>
          <w:tcPr>
            <w:tcW w:w="7673" w:type="dxa"/>
            <w:tcBorders>
              <w:top w:val="single" w:color="auto" w:sz="4" w:space="0"/>
              <w:left w:val="single" w:color="auto" w:sz="4" w:space="0"/>
              <w:bottom w:val="single" w:color="auto" w:sz="4" w:space="0"/>
              <w:right w:val="single" w:color="auto" w:sz="4" w:space="0"/>
            </w:tcBorders>
            <w:vAlign w:val="center"/>
          </w:tcPr>
          <w:p>
            <w:pPr>
              <w:pStyle w:val="13"/>
              <w:rPr>
                <w:rFonts w:ascii="楷体" w:hAnsi="楷体" w:eastAsia="楷体" w:cs="楷体"/>
                <w:color w:val="000000" w:themeColor="text1"/>
                <w:szCs w:val="21"/>
              </w:rPr>
            </w:pPr>
            <w:r>
              <w:rPr>
                <w:rFonts w:hint="eastAsia" w:ascii="楷体" w:hAnsi="楷体" w:eastAsia="楷体" w:cs="楷体"/>
                <w:color w:val="000000" w:themeColor="text1"/>
                <w:szCs w:val="21"/>
              </w:rPr>
              <w:t>1、需具备通信工程总承包二级及以上资格或</w:t>
            </w:r>
            <w:r>
              <w:rPr>
                <w:rFonts w:ascii="楷体" w:hAnsi="楷体" w:eastAsia="楷体" w:cs="楷体"/>
                <w:color w:val="000000" w:themeColor="text1"/>
                <w:szCs w:val="21"/>
              </w:rPr>
              <w:t>电子与智能化专业</w:t>
            </w:r>
            <w:r>
              <w:rPr>
                <w:rFonts w:hint="eastAsia" w:ascii="楷体" w:hAnsi="楷体" w:eastAsia="楷体" w:cs="楷体"/>
                <w:color w:val="000000" w:themeColor="text1"/>
                <w:szCs w:val="21"/>
              </w:rPr>
              <w:t>承包一级资格得2分；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6" w:hRule="atLeast"/>
          <w:jc w:val="center"/>
        </w:trPr>
        <w:tc>
          <w:tcPr>
            <w:tcW w:w="1074" w:type="dxa"/>
            <w:vMerge w:val="continue"/>
            <w:tcBorders>
              <w:left w:val="single" w:color="auto" w:sz="4" w:space="0"/>
              <w:right w:val="single" w:color="auto" w:sz="4" w:space="0"/>
            </w:tcBorders>
            <w:vAlign w:val="center"/>
          </w:tcPr>
          <w:p>
            <w:pPr>
              <w:pStyle w:val="13"/>
              <w:jc w:val="center"/>
              <w:rPr>
                <w:rFonts w:ascii="楷体" w:hAnsi="楷体" w:eastAsia="楷体" w:cs="楷体"/>
                <w:color w:val="000000" w:themeColor="text1"/>
                <w:szCs w:val="21"/>
              </w:rPr>
            </w:pPr>
          </w:p>
        </w:tc>
        <w:tc>
          <w:tcPr>
            <w:tcW w:w="780" w:type="dxa"/>
            <w:tcBorders>
              <w:top w:val="single" w:color="auto" w:sz="4" w:space="0"/>
              <w:left w:val="single" w:color="auto" w:sz="4" w:space="0"/>
              <w:right w:val="single" w:color="auto" w:sz="4" w:space="0"/>
            </w:tcBorders>
            <w:vAlign w:val="center"/>
          </w:tcPr>
          <w:p>
            <w:pPr>
              <w:pStyle w:val="13"/>
              <w:jc w:val="center"/>
              <w:rPr>
                <w:rFonts w:ascii="楷体" w:hAnsi="楷体" w:eastAsia="楷体" w:cs="楷体"/>
                <w:color w:val="000000" w:themeColor="text1"/>
                <w:szCs w:val="21"/>
              </w:rPr>
            </w:pPr>
            <w:r>
              <w:rPr>
                <w:rFonts w:hint="eastAsia" w:ascii="楷体" w:hAnsi="楷体" w:eastAsia="楷体" w:cs="楷体"/>
                <w:color w:val="000000" w:themeColor="text1"/>
                <w:szCs w:val="21"/>
              </w:rPr>
              <w:t>服务水平</w:t>
            </w:r>
          </w:p>
          <w:p>
            <w:pPr>
              <w:pStyle w:val="13"/>
              <w:jc w:val="center"/>
              <w:rPr>
                <w:rFonts w:ascii="楷体" w:hAnsi="楷体" w:eastAsia="楷体" w:cs="楷体"/>
                <w:color w:val="000000" w:themeColor="text1"/>
                <w:szCs w:val="21"/>
              </w:rPr>
            </w:pPr>
            <w:r>
              <w:rPr>
                <w:rFonts w:hint="eastAsia" w:ascii="楷体" w:hAnsi="楷体" w:eastAsia="楷体" w:cs="楷体"/>
                <w:color w:val="000000" w:themeColor="text1"/>
                <w:szCs w:val="21"/>
              </w:rPr>
              <w:t>6分</w:t>
            </w:r>
          </w:p>
        </w:tc>
        <w:tc>
          <w:tcPr>
            <w:tcW w:w="7673" w:type="dxa"/>
            <w:tcBorders>
              <w:top w:val="single" w:color="auto" w:sz="4" w:space="0"/>
              <w:left w:val="single" w:color="auto" w:sz="4" w:space="0"/>
              <w:bottom w:val="single" w:color="auto" w:sz="4" w:space="0"/>
              <w:right w:val="single" w:color="auto" w:sz="4" w:space="0"/>
            </w:tcBorders>
            <w:vAlign w:val="center"/>
          </w:tcPr>
          <w:p>
            <w:pPr>
              <w:pStyle w:val="13"/>
              <w:rPr>
                <w:rFonts w:ascii="楷体" w:hAnsi="楷体" w:eastAsia="楷体" w:cs="楷体"/>
                <w:color w:val="000000" w:themeColor="text1"/>
                <w:szCs w:val="21"/>
              </w:rPr>
            </w:pPr>
            <w:r>
              <w:rPr>
                <w:rFonts w:hint="eastAsia" w:ascii="楷体" w:hAnsi="楷体" w:eastAsia="楷体" w:cs="楷体"/>
                <w:color w:val="000000" w:themeColor="text1"/>
                <w:szCs w:val="21"/>
              </w:rPr>
              <w:t>针对项目及招标人的服务需求和项目具体内容并结合自身情况提供切实可行的服务方案。根据服务流程、服务内容等方面提供完整、可行的服务计划、措施、人员及服务承诺等说明。由评标委员会赋分：</w:t>
            </w:r>
          </w:p>
          <w:p>
            <w:pPr>
              <w:pStyle w:val="13"/>
              <w:rPr>
                <w:rFonts w:ascii="楷体" w:hAnsi="楷体" w:eastAsia="楷体" w:cs="楷体"/>
                <w:color w:val="000000" w:themeColor="text1"/>
                <w:szCs w:val="21"/>
              </w:rPr>
            </w:pPr>
            <w:r>
              <w:rPr>
                <w:rFonts w:hint="eastAsia" w:ascii="楷体" w:hAnsi="楷体" w:eastAsia="楷体" w:cs="楷体"/>
                <w:color w:val="000000" w:themeColor="text1"/>
                <w:szCs w:val="21"/>
              </w:rPr>
              <w:t xml:space="preserve">①方案完整、可行，满足采购人实际需求，描述条理清晰，有较高的针对性，根据响应情况得5-6分； </w:t>
            </w:r>
          </w:p>
          <w:p>
            <w:pPr>
              <w:pStyle w:val="13"/>
              <w:rPr>
                <w:rFonts w:ascii="楷体" w:hAnsi="楷体" w:eastAsia="楷体" w:cs="楷体"/>
                <w:color w:val="000000" w:themeColor="text1"/>
                <w:szCs w:val="21"/>
              </w:rPr>
            </w:pPr>
            <w:r>
              <w:rPr>
                <w:rFonts w:hint="eastAsia" w:ascii="楷体" w:hAnsi="楷体" w:eastAsia="楷体" w:cs="楷体"/>
                <w:color w:val="000000" w:themeColor="text1"/>
                <w:szCs w:val="21"/>
              </w:rPr>
              <w:t xml:space="preserve">②方案较完整、基本满足采购人实际需求，根据响应情况得3-4分； </w:t>
            </w:r>
          </w:p>
          <w:p>
            <w:pPr>
              <w:pStyle w:val="13"/>
              <w:rPr>
                <w:rFonts w:ascii="楷体" w:hAnsi="楷体" w:eastAsia="楷体" w:cs="楷体"/>
                <w:color w:val="000000" w:themeColor="text1"/>
                <w:szCs w:val="21"/>
              </w:rPr>
            </w:pPr>
            <w:r>
              <w:rPr>
                <w:rFonts w:hint="eastAsia" w:ascii="楷体" w:hAnsi="楷体" w:eastAsia="楷体" w:cs="楷体"/>
                <w:color w:val="000000" w:themeColor="text1"/>
                <w:szCs w:val="21"/>
              </w:rPr>
              <w:t>③方案基本完整，针对性不强，根据响应情况得1-2分。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jc w:val="center"/>
        </w:trPr>
        <w:tc>
          <w:tcPr>
            <w:tcW w:w="1074" w:type="dxa"/>
            <w:vMerge w:val="continue"/>
            <w:tcBorders>
              <w:left w:val="single" w:color="auto" w:sz="4" w:space="0"/>
              <w:right w:val="single" w:color="auto" w:sz="4" w:space="0"/>
            </w:tcBorders>
            <w:vAlign w:val="center"/>
          </w:tcPr>
          <w:p>
            <w:pPr>
              <w:pStyle w:val="13"/>
              <w:jc w:val="center"/>
              <w:rPr>
                <w:rFonts w:ascii="楷体" w:hAnsi="楷体" w:eastAsia="楷体" w:cs="楷体"/>
                <w:color w:val="000000" w:themeColor="text1"/>
                <w:szCs w:val="21"/>
              </w:rPr>
            </w:pPr>
          </w:p>
        </w:tc>
        <w:tc>
          <w:tcPr>
            <w:tcW w:w="780" w:type="dxa"/>
            <w:tcBorders>
              <w:top w:val="single" w:color="auto" w:sz="4" w:space="0"/>
              <w:left w:val="single" w:color="auto" w:sz="4" w:space="0"/>
              <w:right w:val="single" w:color="auto" w:sz="4" w:space="0"/>
            </w:tcBorders>
            <w:vAlign w:val="center"/>
          </w:tcPr>
          <w:p>
            <w:pPr>
              <w:pStyle w:val="13"/>
              <w:jc w:val="center"/>
              <w:rPr>
                <w:rFonts w:ascii="楷体" w:hAnsi="楷体" w:eastAsia="楷体" w:cs="楷体"/>
                <w:color w:val="000000" w:themeColor="text1"/>
                <w:szCs w:val="21"/>
              </w:rPr>
            </w:pPr>
            <w:r>
              <w:rPr>
                <w:rFonts w:hint="eastAsia" w:ascii="楷体" w:hAnsi="楷体" w:eastAsia="楷体" w:cs="楷体"/>
                <w:color w:val="000000" w:themeColor="text1"/>
                <w:szCs w:val="21"/>
              </w:rPr>
              <w:t>技术培训</w:t>
            </w:r>
          </w:p>
          <w:p>
            <w:pPr>
              <w:pStyle w:val="13"/>
              <w:jc w:val="center"/>
              <w:rPr>
                <w:rFonts w:ascii="楷体" w:hAnsi="楷体" w:eastAsia="楷体" w:cs="楷体"/>
                <w:color w:val="000000" w:themeColor="text1"/>
                <w:szCs w:val="21"/>
                <w:highlight w:val="yellow"/>
              </w:rPr>
            </w:pPr>
            <w:r>
              <w:rPr>
                <w:rFonts w:hint="eastAsia" w:ascii="楷体" w:hAnsi="楷体" w:eastAsia="楷体" w:cs="楷体"/>
                <w:color w:val="000000" w:themeColor="text1"/>
                <w:szCs w:val="21"/>
              </w:rPr>
              <w:t>6分</w:t>
            </w:r>
          </w:p>
        </w:tc>
        <w:tc>
          <w:tcPr>
            <w:tcW w:w="7673" w:type="dxa"/>
            <w:tcBorders>
              <w:top w:val="single" w:color="auto" w:sz="4" w:space="0"/>
              <w:left w:val="single" w:color="auto" w:sz="4" w:space="0"/>
              <w:bottom w:val="single" w:color="auto" w:sz="4" w:space="0"/>
              <w:right w:val="single" w:color="auto" w:sz="4" w:space="0"/>
            </w:tcBorders>
            <w:vAlign w:val="center"/>
          </w:tcPr>
          <w:p>
            <w:pPr>
              <w:pStyle w:val="13"/>
              <w:rPr>
                <w:rFonts w:ascii="楷体" w:hAnsi="楷体" w:eastAsia="楷体" w:cs="楷体"/>
                <w:color w:val="000000" w:themeColor="text1"/>
                <w:szCs w:val="21"/>
              </w:rPr>
            </w:pPr>
            <w:r>
              <w:rPr>
                <w:rFonts w:hint="eastAsia" w:ascii="楷体" w:hAnsi="楷体" w:eastAsia="楷体" w:cs="楷体"/>
                <w:color w:val="000000" w:themeColor="text1"/>
                <w:szCs w:val="21"/>
              </w:rPr>
              <w:t>针对本项目及招标人实际需求提供详细具体可行的培训计划，负责为使用单位培训操作维护人员，并有完整的培训方案，列出详细的培训内容、培训方式等说明。由评标委员会赋分：</w:t>
            </w:r>
          </w:p>
          <w:p>
            <w:pPr>
              <w:pStyle w:val="13"/>
              <w:rPr>
                <w:rFonts w:ascii="楷体" w:hAnsi="楷体" w:eastAsia="楷体" w:cs="楷体"/>
                <w:color w:val="000000" w:themeColor="text1"/>
                <w:szCs w:val="21"/>
              </w:rPr>
            </w:pPr>
            <w:r>
              <w:rPr>
                <w:rFonts w:hint="eastAsia" w:ascii="楷体" w:hAnsi="楷体" w:eastAsia="楷体" w:cs="楷体"/>
                <w:color w:val="000000" w:themeColor="text1"/>
                <w:szCs w:val="21"/>
              </w:rPr>
              <w:t xml:space="preserve">①方案完整、可行，满足采购人实际需求，描述条理清晰，有较高的针对性，根据响应情况得5-6分； </w:t>
            </w:r>
          </w:p>
          <w:p>
            <w:pPr>
              <w:pStyle w:val="13"/>
              <w:rPr>
                <w:rFonts w:ascii="楷体" w:hAnsi="楷体" w:eastAsia="楷体" w:cs="楷体"/>
                <w:color w:val="000000" w:themeColor="text1"/>
                <w:szCs w:val="21"/>
              </w:rPr>
            </w:pPr>
            <w:r>
              <w:rPr>
                <w:rFonts w:hint="eastAsia" w:ascii="楷体" w:hAnsi="楷体" w:eastAsia="楷体" w:cs="楷体"/>
                <w:color w:val="000000" w:themeColor="text1"/>
                <w:szCs w:val="21"/>
              </w:rPr>
              <w:t xml:space="preserve">②方案较完整、基本满足采购人实际需求，根据响应情况得3-4分； </w:t>
            </w:r>
          </w:p>
          <w:p>
            <w:pPr>
              <w:pStyle w:val="13"/>
              <w:rPr>
                <w:rFonts w:ascii="楷体" w:hAnsi="楷体" w:eastAsia="楷体" w:cs="楷体"/>
                <w:color w:val="000000" w:themeColor="text1"/>
                <w:szCs w:val="21"/>
                <w:highlight w:val="yellow"/>
              </w:rPr>
            </w:pPr>
            <w:r>
              <w:rPr>
                <w:rFonts w:hint="eastAsia" w:ascii="楷体" w:hAnsi="楷体" w:eastAsia="楷体" w:cs="楷体"/>
                <w:color w:val="000000" w:themeColor="text1"/>
                <w:szCs w:val="21"/>
              </w:rPr>
              <w:t>③方案基本完整，针对性不强，根据响应情况得1-2分。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1" w:hRule="atLeast"/>
          <w:jc w:val="center"/>
        </w:trPr>
        <w:tc>
          <w:tcPr>
            <w:tcW w:w="1074" w:type="dxa"/>
            <w:vMerge w:val="continue"/>
            <w:tcBorders>
              <w:left w:val="single" w:color="auto" w:sz="4" w:space="0"/>
              <w:right w:val="single" w:color="auto" w:sz="4" w:space="0"/>
            </w:tcBorders>
            <w:vAlign w:val="center"/>
          </w:tcPr>
          <w:p>
            <w:pPr>
              <w:pStyle w:val="13"/>
              <w:jc w:val="center"/>
              <w:rPr>
                <w:rFonts w:ascii="楷体" w:hAnsi="楷体" w:eastAsia="楷体" w:cs="楷体"/>
                <w:color w:val="000000" w:themeColor="text1"/>
                <w:szCs w:val="21"/>
              </w:rPr>
            </w:pPr>
          </w:p>
        </w:tc>
        <w:tc>
          <w:tcPr>
            <w:tcW w:w="780" w:type="dxa"/>
            <w:tcBorders>
              <w:left w:val="single" w:color="auto" w:sz="4" w:space="0"/>
              <w:right w:val="single" w:color="auto" w:sz="4" w:space="0"/>
            </w:tcBorders>
            <w:vAlign w:val="center"/>
          </w:tcPr>
          <w:p>
            <w:pPr>
              <w:pStyle w:val="13"/>
              <w:jc w:val="center"/>
              <w:rPr>
                <w:rFonts w:ascii="楷体" w:hAnsi="楷体" w:eastAsia="楷体" w:cs="楷体"/>
                <w:color w:val="000000" w:themeColor="text1"/>
                <w:szCs w:val="21"/>
              </w:rPr>
            </w:pPr>
            <w:r>
              <w:rPr>
                <w:rFonts w:hint="eastAsia" w:ascii="楷体" w:hAnsi="楷体" w:eastAsia="楷体" w:cs="楷体"/>
                <w:color w:val="000000" w:themeColor="text1"/>
                <w:szCs w:val="21"/>
              </w:rPr>
              <w:t>售后服务</w:t>
            </w:r>
          </w:p>
          <w:p>
            <w:pPr>
              <w:pStyle w:val="13"/>
              <w:jc w:val="center"/>
              <w:rPr>
                <w:rFonts w:ascii="楷体" w:hAnsi="楷体" w:eastAsia="楷体" w:cs="楷体"/>
                <w:color w:val="000000" w:themeColor="text1"/>
                <w:szCs w:val="21"/>
              </w:rPr>
            </w:pPr>
            <w:r>
              <w:rPr>
                <w:rFonts w:hint="eastAsia" w:ascii="楷体" w:hAnsi="楷体" w:eastAsia="楷体" w:cs="楷体"/>
                <w:color w:val="000000" w:themeColor="text1"/>
                <w:szCs w:val="21"/>
              </w:rPr>
              <w:t>保障</w:t>
            </w:r>
          </w:p>
          <w:p>
            <w:pPr>
              <w:pStyle w:val="13"/>
              <w:jc w:val="center"/>
              <w:rPr>
                <w:rFonts w:ascii="楷体" w:hAnsi="楷体" w:eastAsia="楷体" w:cs="楷体"/>
                <w:color w:val="000000" w:themeColor="text1"/>
                <w:szCs w:val="21"/>
              </w:rPr>
            </w:pPr>
            <w:r>
              <w:rPr>
                <w:rFonts w:hint="eastAsia" w:ascii="楷体" w:hAnsi="楷体" w:eastAsia="楷体" w:cs="楷体"/>
                <w:color w:val="000000" w:themeColor="text1"/>
                <w:szCs w:val="21"/>
              </w:rPr>
              <w:t>6分</w:t>
            </w:r>
          </w:p>
        </w:tc>
        <w:tc>
          <w:tcPr>
            <w:tcW w:w="7673" w:type="dxa"/>
            <w:tcBorders>
              <w:top w:val="single" w:color="auto" w:sz="4" w:space="0"/>
              <w:left w:val="single" w:color="auto" w:sz="4" w:space="0"/>
              <w:bottom w:val="single" w:color="auto" w:sz="4" w:space="0"/>
              <w:right w:val="single" w:color="auto" w:sz="4" w:space="0"/>
            </w:tcBorders>
            <w:vAlign w:val="center"/>
          </w:tcPr>
          <w:p>
            <w:pPr>
              <w:pStyle w:val="13"/>
              <w:rPr>
                <w:rFonts w:ascii="楷体" w:hAnsi="楷体" w:eastAsia="楷体" w:cs="楷体"/>
                <w:color w:val="000000" w:themeColor="text1"/>
                <w:szCs w:val="21"/>
              </w:rPr>
            </w:pPr>
          </w:p>
          <w:p>
            <w:pPr>
              <w:pStyle w:val="13"/>
              <w:rPr>
                <w:rFonts w:ascii="楷体" w:hAnsi="楷体" w:eastAsia="楷体" w:cs="楷体"/>
                <w:color w:val="000000" w:themeColor="text1"/>
                <w:szCs w:val="21"/>
              </w:rPr>
            </w:pPr>
            <w:r>
              <w:rPr>
                <w:rFonts w:hint="eastAsia" w:ascii="楷体" w:hAnsi="楷体" w:eastAsia="楷体" w:cs="楷体"/>
                <w:color w:val="000000" w:themeColor="text1"/>
                <w:szCs w:val="21"/>
              </w:rPr>
              <w:t>投标人提供全面、合理、细致、可行、完整、准确的项目售后服务方案：</w:t>
            </w:r>
          </w:p>
          <w:p>
            <w:pPr>
              <w:pStyle w:val="13"/>
              <w:rPr>
                <w:rFonts w:ascii="楷体" w:hAnsi="楷体" w:eastAsia="楷体" w:cs="楷体"/>
                <w:color w:val="000000" w:themeColor="text1"/>
                <w:szCs w:val="21"/>
              </w:rPr>
            </w:pPr>
            <w:r>
              <w:rPr>
                <w:rFonts w:hint="eastAsia" w:ascii="楷体" w:hAnsi="楷体" w:eastAsia="楷体" w:cs="楷体"/>
                <w:color w:val="000000" w:themeColor="text1"/>
                <w:szCs w:val="21"/>
              </w:rPr>
              <w:t>1、后期维护和技术支持服务方案，包括售后免费服务期限、响应时间、服务方式、定期回访时间安排等内容进行评审，服务方案完整、详细、合理，具有针对性，符合采购需求得3分；服务方案较完整、较详细、较合理，针对性一般，基本符合采购需求得1分；服务方案不明确、不详细、不合理，无针对性不得分。</w:t>
            </w:r>
          </w:p>
          <w:p>
            <w:pPr>
              <w:pStyle w:val="13"/>
              <w:rPr>
                <w:rFonts w:ascii="楷体" w:hAnsi="楷体" w:eastAsia="楷体" w:cs="楷体"/>
                <w:color w:val="000000" w:themeColor="text1"/>
                <w:szCs w:val="21"/>
              </w:rPr>
            </w:pPr>
            <w:r>
              <w:rPr>
                <w:rFonts w:hint="eastAsia" w:ascii="楷体" w:hAnsi="楷体" w:eastAsia="楷体" w:cs="楷体"/>
                <w:color w:val="000000" w:themeColor="text1"/>
                <w:szCs w:val="21"/>
              </w:rPr>
              <w:t>2、售后服务问题能及时处理，根据各投标人的响应时效，视响应情况横向赋分1-3分；</w:t>
            </w:r>
          </w:p>
        </w:tc>
      </w:tr>
    </w:tbl>
    <w:p/>
    <w:p/>
    <w:p>
      <w:pPr>
        <w:numPr>
          <w:ilvl w:val="0"/>
          <w:numId w:val="17"/>
        </w:numPr>
        <w:spacing w:line="360" w:lineRule="auto"/>
        <w:ind w:firstLine="482" w:firstLineChars="200"/>
        <w:rPr>
          <w:rFonts w:ascii="楷体" w:hAnsi="楷体" w:eastAsia="楷体" w:cs="楷体"/>
          <w:szCs w:val="24"/>
        </w:rPr>
      </w:pPr>
      <w:r>
        <w:rPr>
          <w:rFonts w:hint="eastAsia" w:ascii="楷体" w:hAnsi="楷体" w:eastAsia="楷体" w:cs="楷体"/>
          <w:b/>
          <w:szCs w:val="24"/>
        </w:rPr>
        <w:t>推荐中标候选人名单：</w:t>
      </w:r>
      <w:r>
        <w:rPr>
          <w:rFonts w:hint="eastAsia" w:ascii="楷体" w:hAnsi="楷体" w:eastAsia="楷体" w:cs="楷体"/>
          <w:szCs w:val="24"/>
        </w:rPr>
        <w:t>评标结果按评审后得分由高到低顺序排列。得分相同的，按投标报价由低到高顺序排列。得分且投标报价相同的并列。</w:t>
      </w:r>
    </w:p>
    <w:p>
      <w:pPr>
        <w:spacing w:line="360" w:lineRule="auto"/>
        <w:ind w:firstLine="562" w:firstLineChars="200"/>
        <w:jc w:val="left"/>
        <w:rPr>
          <w:rFonts w:ascii="楷体" w:hAnsi="楷体" w:eastAsia="楷体" w:cs="楷体"/>
          <w:b/>
          <w:sz w:val="28"/>
          <w:szCs w:val="28"/>
        </w:rPr>
      </w:pPr>
      <w:r>
        <w:rPr>
          <w:rFonts w:hint="eastAsia" w:ascii="楷体" w:hAnsi="楷体" w:eastAsia="楷体" w:cs="楷体"/>
          <w:b/>
          <w:sz w:val="28"/>
          <w:szCs w:val="28"/>
        </w:rPr>
        <w:t>三、需要落实的政府采购政策</w:t>
      </w:r>
    </w:p>
    <w:p>
      <w:pPr>
        <w:spacing w:line="360" w:lineRule="auto"/>
        <w:ind w:firstLine="480" w:firstLineChars="200"/>
        <w:jc w:val="left"/>
        <w:rPr>
          <w:rFonts w:ascii="楷体" w:hAnsi="楷体" w:eastAsia="楷体" w:cs="楷体"/>
          <w:szCs w:val="24"/>
        </w:rPr>
      </w:pPr>
      <w:r>
        <w:rPr>
          <w:rFonts w:hint="eastAsia" w:ascii="楷体" w:hAnsi="楷体" w:eastAsia="楷体" w:cs="楷体"/>
          <w:szCs w:val="24"/>
        </w:rPr>
        <w:t>根据《陕西省财政厅关于政府采购有关问题的通知》（陕财办采资（2016）53号）对政府采购相关政策落实如下：</w:t>
      </w:r>
    </w:p>
    <w:p>
      <w:pPr>
        <w:spacing w:line="360" w:lineRule="auto"/>
        <w:ind w:firstLine="480" w:firstLineChars="200"/>
        <w:jc w:val="left"/>
        <w:rPr>
          <w:rFonts w:ascii="楷体" w:hAnsi="楷体" w:eastAsia="楷体" w:cs="楷体"/>
          <w:bCs/>
          <w:szCs w:val="24"/>
          <w:lang w:val="zh-CN"/>
        </w:rPr>
      </w:pPr>
      <w:r>
        <w:rPr>
          <w:rFonts w:hint="eastAsia" w:ascii="楷体" w:hAnsi="楷体" w:eastAsia="楷体" w:cs="楷体"/>
          <w:bCs/>
          <w:szCs w:val="24"/>
        </w:rPr>
        <w:t>1、</w:t>
      </w:r>
      <w:r>
        <w:rPr>
          <w:rFonts w:hint="eastAsia" w:ascii="楷体" w:hAnsi="楷体" w:eastAsia="楷体" w:cs="楷体"/>
          <w:bCs/>
          <w:szCs w:val="24"/>
          <w:lang w:val="zh-CN"/>
        </w:rPr>
        <w:t>财政部、工业和信息化部《关于印发&lt;政府采购促进中小企业发展管理办法&gt;的通知》(财库〔2020〕46号)</w:t>
      </w:r>
    </w:p>
    <w:p>
      <w:pPr>
        <w:spacing w:line="360" w:lineRule="auto"/>
        <w:ind w:firstLine="480" w:firstLineChars="200"/>
        <w:jc w:val="left"/>
        <w:rPr>
          <w:rFonts w:ascii="楷体" w:hAnsi="楷体" w:eastAsia="楷体" w:cs="楷体"/>
          <w:bCs/>
          <w:szCs w:val="24"/>
          <w:lang w:val="zh-CN"/>
        </w:rPr>
      </w:pPr>
      <w:r>
        <w:rPr>
          <w:rFonts w:hint="eastAsia" w:ascii="楷体" w:hAnsi="楷体" w:eastAsia="楷体" w:cs="楷体"/>
          <w:bCs/>
          <w:szCs w:val="24"/>
          <w:lang w:val="zh-CN"/>
        </w:rPr>
        <w:t>根据《关于进一步加大政府采购支持中小企业力度的通知》（财库【2022】19号）规定，符合本办法规定的参加政府采购活动的中小企业应当提供《中小企业声明函》（附件</w:t>
      </w:r>
      <w:r>
        <w:rPr>
          <w:rFonts w:hint="eastAsia" w:ascii="楷体" w:hAnsi="楷体" w:eastAsia="楷体" w:cs="楷体"/>
          <w:bCs/>
          <w:szCs w:val="24"/>
        </w:rPr>
        <w:t>6</w:t>
      </w:r>
      <w:r>
        <w:rPr>
          <w:rFonts w:hint="eastAsia" w:ascii="楷体" w:hAnsi="楷体" w:eastAsia="楷体" w:cs="楷体"/>
          <w:bCs/>
          <w:szCs w:val="24"/>
          <w:lang w:val="zh-CN"/>
        </w:rPr>
        <w:t>），</w:t>
      </w:r>
      <w:r>
        <w:rPr>
          <w:rFonts w:hint="eastAsia" w:ascii="楷体" w:hAnsi="楷体" w:eastAsia="楷体" w:cs="楷体"/>
          <w:bCs/>
          <w:szCs w:val="24"/>
        </w:rPr>
        <w:t>否则不得享受相关中小企业扶持政策</w:t>
      </w:r>
      <w:r>
        <w:rPr>
          <w:rFonts w:hint="eastAsia" w:ascii="楷体" w:hAnsi="楷体" w:eastAsia="楷体" w:cs="楷体"/>
          <w:bCs/>
          <w:szCs w:val="24"/>
          <w:lang w:val="zh-CN"/>
        </w:rPr>
        <w:t>。投标人提供的《中小企业声明函》必须真实，否则，按照有关规定予以处理。</w:t>
      </w:r>
    </w:p>
    <w:p>
      <w:pPr>
        <w:spacing w:line="360" w:lineRule="auto"/>
        <w:ind w:firstLine="480" w:firstLineChars="200"/>
        <w:jc w:val="left"/>
        <w:rPr>
          <w:rFonts w:ascii="楷体" w:hAnsi="楷体" w:eastAsia="楷体" w:cs="楷体"/>
          <w:bCs/>
          <w:szCs w:val="24"/>
          <w:lang w:val="zh-CN"/>
        </w:rPr>
      </w:pPr>
      <w:r>
        <w:rPr>
          <w:rFonts w:hint="eastAsia" w:ascii="楷体" w:hAnsi="楷体" w:eastAsia="楷体" w:cs="楷体"/>
          <w:bCs/>
          <w:szCs w:val="24"/>
          <w:lang w:val="zh-CN"/>
        </w:rPr>
        <w:t>评标委员会根据《政府采购促进中小企业发展管理办法》的相关规定，对小微企业报价给予</w:t>
      </w:r>
      <w:r>
        <w:rPr>
          <w:rFonts w:hint="eastAsia" w:ascii="楷体" w:hAnsi="楷体" w:eastAsia="楷体" w:cs="楷体"/>
          <w:bCs/>
          <w:szCs w:val="24"/>
        </w:rPr>
        <w:t>10</w:t>
      </w:r>
      <w:r>
        <w:rPr>
          <w:rFonts w:hint="eastAsia" w:ascii="楷体" w:hAnsi="楷体" w:eastAsia="楷体" w:cs="楷体"/>
          <w:bCs/>
          <w:szCs w:val="24"/>
          <w:lang w:val="zh-CN"/>
        </w:rPr>
        <w:t>%的扣除，用扣除后的价格参与评审。</w:t>
      </w:r>
    </w:p>
    <w:p>
      <w:pPr>
        <w:spacing w:line="360" w:lineRule="auto"/>
        <w:ind w:firstLine="480" w:firstLineChars="200"/>
        <w:jc w:val="left"/>
        <w:rPr>
          <w:rFonts w:ascii="楷体" w:hAnsi="楷体" w:eastAsia="楷体" w:cs="楷体"/>
          <w:bCs/>
          <w:szCs w:val="24"/>
          <w:lang w:val="zh-CN"/>
        </w:rPr>
      </w:pPr>
      <w:r>
        <w:rPr>
          <w:rFonts w:hint="eastAsia" w:ascii="楷体" w:hAnsi="楷体" w:eastAsia="楷体" w:cs="楷体"/>
          <w:bCs/>
          <w:szCs w:val="24"/>
          <w:lang w:val="zh-CN"/>
        </w:rPr>
        <w:t xml:space="preserve">（2）《财政部 司法部关于政府采购支持监狱企业发展有关问题的通知》—财库[2014]68号 </w:t>
      </w:r>
    </w:p>
    <w:p>
      <w:pPr>
        <w:spacing w:line="360" w:lineRule="auto"/>
        <w:ind w:firstLine="480" w:firstLineChars="200"/>
        <w:jc w:val="left"/>
        <w:rPr>
          <w:rFonts w:ascii="楷体" w:hAnsi="楷体" w:eastAsia="楷体" w:cs="楷体"/>
          <w:bCs/>
          <w:szCs w:val="24"/>
          <w:lang w:val="zh-CN"/>
        </w:rPr>
      </w:pPr>
      <w:r>
        <w:rPr>
          <w:rFonts w:hint="eastAsia" w:ascii="楷体" w:hAnsi="楷体" w:eastAsia="楷体" w:cs="楷体"/>
          <w:bCs/>
          <w:szCs w:val="24"/>
          <w:lang w:val="zh-CN"/>
        </w:rPr>
        <w:t>根据《关于政府采购支持监狱企业发展有关问题的通知》（财库（2014）68号）规定，在政府采购活动中，监狱企业视同小型、微型企业，享受政府采购促进中小企业发展的政府采购政策。监狱企业参加政府采购活动时，应当提供由省级以上监狱管理局、戒毒管理局（含新疆生产建设兵团）出具的属于监狱企业的证明文件。</w:t>
      </w:r>
    </w:p>
    <w:p>
      <w:pPr>
        <w:spacing w:line="360" w:lineRule="auto"/>
        <w:ind w:left="480" w:leftChars="200"/>
        <w:jc w:val="left"/>
        <w:rPr>
          <w:rFonts w:ascii="楷体" w:hAnsi="楷体" w:eastAsia="楷体" w:cs="楷体"/>
          <w:bCs/>
          <w:szCs w:val="24"/>
          <w:lang w:val="zh-CN"/>
        </w:rPr>
      </w:pPr>
      <w:r>
        <w:rPr>
          <w:rFonts w:hint="eastAsia" w:ascii="楷体" w:hAnsi="楷体" w:eastAsia="楷体" w:cs="楷体"/>
          <w:bCs/>
          <w:szCs w:val="24"/>
          <w:lang w:val="zh-CN"/>
        </w:rPr>
        <w:t>评标委员会对监狱企业的价格给予6%的扣除，用扣除后的价格参与评审。</w:t>
      </w:r>
    </w:p>
    <w:p>
      <w:pPr>
        <w:spacing w:line="360" w:lineRule="auto"/>
        <w:ind w:firstLine="480" w:firstLineChars="200"/>
        <w:jc w:val="left"/>
        <w:rPr>
          <w:rFonts w:ascii="楷体" w:hAnsi="楷体" w:eastAsia="楷体" w:cs="楷体"/>
          <w:bCs/>
          <w:szCs w:val="24"/>
          <w:lang w:val="zh-CN"/>
        </w:rPr>
      </w:pPr>
      <w:r>
        <w:rPr>
          <w:rFonts w:hint="eastAsia" w:ascii="楷体" w:hAnsi="楷体" w:eastAsia="楷体" w:cs="楷体"/>
          <w:bCs/>
          <w:szCs w:val="24"/>
        </w:rPr>
        <w:t>3、</w:t>
      </w:r>
      <w:r>
        <w:rPr>
          <w:rFonts w:hint="eastAsia" w:ascii="楷体" w:hAnsi="楷体" w:eastAsia="楷体" w:cs="楷体"/>
          <w:bCs/>
          <w:szCs w:val="24"/>
          <w:lang w:val="zh-CN"/>
        </w:rPr>
        <w:t>《财政部民政部中国残疾人联合会关于促进残疾人就业政府采购政策的通知》—财库[2017]141号</w:t>
      </w:r>
    </w:p>
    <w:p>
      <w:pPr>
        <w:spacing w:line="360" w:lineRule="auto"/>
        <w:ind w:firstLine="480" w:firstLineChars="200"/>
        <w:jc w:val="left"/>
        <w:rPr>
          <w:rFonts w:ascii="楷体" w:hAnsi="楷体" w:eastAsia="楷体" w:cs="楷体"/>
          <w:bCs/>
          <w:szCs w:val="24"/>
          <w:lang w:val="zh-CN"/>
        </w:rPr>
      </w:pPr>
      <w:r>
        <w:rPr>
          <w:rFonts w:hint="eastAsia" w:ascii="楷体" w:hAnsi="楷体" w:eastAsia="楷体" w:cs="楷体"/>
          <w:bCs/>
          <w:szCs w:val="24"/>
          <w:lang w:val="zh-CN"/>
        </w:rPr>
        <w:t>根据《财政部民政部中国残疾人联合会关于促进残疾人就业政府采购政策的通知》（财库[2017]141号）规定，在政府采购活动中，残疾人福利性单位视同小型、微型企业，享受预留份额、评审中价格扣除等促进中小企业发展的政府采购政策。</w:t>
      </w:r>
    </w:p>
    <w:p>
      <w:pPr>
        <w:spacing w:line="360" w:lineRule="auto"/>
        <w:ind w:firstLine="480" w:firstLineChars="200"/>
        <w:jc w:val="left"/>
        <w:rPr>
          <w:rFonts w:ascii="楷体" w:hAnsi="楷体" w:eastAsia="楷体" w:cs="楷体"/>
          <w:bCs/>
          <w:szCs w:val="24"/>
          <w:lang w:val="zh-CN"/>
        </w:rPr>
      </w:pPr>
      <w:r>
        <w:rPr>
          <w:rFonts w:hint="eastAsia" w:ascii="楷体" w:hAnsi="楷体" w:eastAsia="楷体" w:cs="楷体"/>
          <w:bCs/>
          <w:szCs w:val="24"/>
          <w:lang w:val="zh-CN"/>
        </w:rPr>
        <w:t>符合条件的残疾人福利性单位在参加政府采购活动时，应当提供本通知规定的《残疾人福利性单位声明函》（见附件</w:t>
      </w:r>
      <w:r>
        <w:rPr>
          <w:rFonts w:hint="eastAsia" w:ascii="楷体" w:hAnsi="楷体" w:eastAsia="楷体" w:cs="楷体"/>
          <w:bCs/>
          <w:szCs w:val="24"/>
        </w:rPr>
        <w:t>7</w:t>
      </w:r>
      <w:r>
        <w:rPr>
          <w:rFonts w:hint="eastAsia" w:ascii="楷体" w:hAnsi="楷体" w:eastAsia="楷体" w:cs="楷体"/>
          <w:bCs/>
          <w:szCs w:val="24"/>
          <w:lang w:val="zh-CN"/>
        </w:rPr>
        <w:t>），并对声明的真实性负责。</w:t>
      </w:r>
    </w:p>
    <w:p>
      <w:pPr>
        <w:spacing w:line="360" w:lineRule="auto"/>
        <w:ind w:firstLine="480" w:firstLineChars="200"/>
        <w:jc w:val="left"/>
        <w:rPr>
          <w:rFonts w:ascii="楷体" w:hAnsi="楷体" w:eastAsia="楷体" w:cs="楷体"/>
          <w:bCs/>
          <w:szCs w:val="24"/>
          <w:lang w:val="zh-CN"/>
        </w:rPr>
      </w:pPr>
      <w:r>
        <w:rPr>
          <w:rFonts w:hint="eastAsia" w:ascii="楷体" w:hAnsi="楷体" w:eastAsia="楷体" w:cs="楷体"/>
          <w:bCs/>
          <w:szCs w:val="24"/>
          <w:lang w:val="zh-CN"/>
        </w:rPr>
        <w:t>评标委员会对投标投标人提供的残疾人福利性单位的证明文件进行核实后，根据相关规定，对残疾人福利性单位的价格给予6%的扣除，用扣除后的价格参与评审。</w:t>
      </w:r>
    </w:p>
    <w:p>
      <w:pPr>
        <w:spacing w:line="360" w:lineRule="auto"/>
        <w:ind w:firstLine="480" w:firstLineChars="200"/>
        <w:jc w:val="left"/>
        <w:rPr>
          <w:rFonts w:ascii="楷体" w:hAnsi="楷体" w:eastAsia="楷体" w:cs="楷体"/>
          <w:bCs/>
          <w:szCs w:val="24"/>
          <w:lang w:val="zh-CN"/>
        </w:rPr>
      </w:pPr>
      <w:r>
        <w:rPr>
          <w:rFonts w:hint="eastAsia" w:ascii="楷体" w:hAnsi="楷体" w:eastAsia="楷体" w:cs="楷体"/>
          <w:bCs/>
          <w:szCs w:val="24"/>
          <w:lang w:val="zh-CN"/>
        </w:rPr>
        <w:t>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spacing w:line="360" w:lineRule="auto"/>
        <w:ind w:firstLine="480" w:firstLineChars="200"/>
        <w:jc w:val="left"/>
        <w:rPr>
          <w:rFonts w:ascii="楷体" w:hAnsi="楷体" w:eastAsia="楷体" w:cs="楷体"/>
          <w:bCs/>
          <w:szCs w:val="24"/>
          <w:lang w:val="zh-CN"/>
        </w:rPr>
      </w:pPr>
      <w:r>
        <w:rPr>
          <w:rFonts w:hint="eastAsia" w:ascii="楷体" w:hAnsi="楷体" w:eastAsia="楷体" w:cs="楷体"/>
          <w:bCs/>
          <w:szCs w:val="24"/>
        </w:rPr>
        <w:t>4、</w:t>
      </w:r>
      <w:r>
        <w:rPr>
          <w:rFonts w:hint="eastAsia" w:ascii="楷体" w:hAnsi="楷体" w:eastAsia="楷体" w:cs="楷体"/>
          <w:bCs/>
          <w:szCs w:val="24"/>
          <w:lang w:val="zh-CN"/>
        </w:rPr>
        <w:t>《国务院办公厅关于建立政府强制采购节能产品制度的通知》--国办发[2007]51号</w:t>
      </w:r>
    </w:p>
    <w:p>
      <w:pPr>
        <w:spacing w:line="360" w:lineRule="auto"/>
        <w:ind w:firstLine="480" w:firstLineChars="200"/>
        <w:jc w:val="left"/>
        <w:rPr>
          <w:rFonts w:ascii="楷体" w:hAnsi="楷体" w:eastAsia="楷体" w:cs="楷体"/>
          <w:bCs/>
          <w:szCs w:val="24"/>
          <w:lang w:val="zh-CN"/>
        </w:rPr>
      </w:pPr>
      <w:r>
        <w:rPr>
          <w:rFonts w:hint="eastAsia" w:ascii="楷体" w:hAnsi="楷体" w:eastAsia="楷体" w:cs="楷体"/>
          <w:bCs/>
          <w:szCs w:val="24"/>
          <w:lang w:val="zh-CN"/>
        </w:rPr>
        <w:t>各级政府机构使用财政性资金进行政府采购活动时，在技术、服务等指标满足采购需求的前提下，要优先采购节能产品，对部分节能效果、性能等达到要求的产品，实行强制采购。</w:t>
      </w:r>
    </w:p>
    <w:p>
      <w:pPr>
        <w:spacing w:line="360" w:lineRule="auto"/>
        <w:ind w:firstLine="480" w:firstLineChars="200"/>
        <w:jc w:val="left"/>
        <w:rPr>
          <w:rFonts w:ascii="楷体" w:hAnsi="楷体" w:eastAsia="楷体" w:cs="楷体"/>
          <w:bCs/>
          <w:szCs w:val="24"/>
        </w:rPr>
      </w:pPr>
      <w:r>
        <w:rPr>
          <w:rFonts w:hint="eastAsia" w:ascii="楷体" w:hAnsi="楷体" w:eastAsia="楷体" w:cs="楷体"/>
          <w:bCs/>
          <w:szCs w:val="24"/>
        </w:rPr>
        <w:t>5、《节能产品政府采购实施意见》--财库[2004]185号</w:t>
      </w:r>
    </w:p>
    <w:p>
      <w:pPr>
        <w:spacing w:line="360" w:lineRule="auto"/>
        <w:ind w:firstLine="480" w:firstLineChars="200"/>
        <w:jc w:val="left"/>
        <w:rPr>
          <w:rFonts w:ascii="楷体" w:hAnsi="楷体" w:eastAsia="楷体" w:cs="楷体"/>
          <w:bCs/>
          <w:szCs w:val="24"/>
        </w:rPr>
      </w:pPr>
      <w:r>
        <w:rPr>
          <w:rFonts w:hint="eastAsia" w:ascii="楷体" w:hAnsi="楷体" w:eastAsia="楷体" w:cs="楷体"/>
          <w:bCs/>
          <w:szCs w:val="24"/>
        </w:rPr>
        <w:t>根据《节能产品政府采购实施意见》--（财库[2004]185号）规定，产品属于品目清单范围中实施政府强制采购的，需提供依据国家确定的认证机构出具的、处于有效期之内的节能产品认证证书，属于品目清单范围中实施政府优先采购的，依据提供的品目清单和认证证书实施政府优先采购。</w:t>
      </w:r>
    </w:p>
    <w:p>
      <w:pPr>
        <w:spacing w:line="360" w:lineRule="auto"/>
        <w:ind w:firstLine="480" w:firstLineChars="200"/>
        <w:jc w:val="left"/>
        <w:rPr>
          <w:rFonts w:ascii="楷体" w:hAnsi="楷体" w:eastAsia="楷体" w:cs="楷体"/>
          <w:bCs/>
          <w:szCs w:val="24"/>
        </w:rPr>
      </w:pPr>
      <w:r>
        <w:rPr>
          <w:rFonts w:hint="eastAsia" w:ascii="楷体" w:hAnsi="楷体" w:eastAsia="楷体" w:cs="楷体"/>
          <w:bCs/>
          <w:szCs w:val="24"/>
        </w:rPr>
        <w:t>在投标时投标投标人应提供有效证明材料（证明材料须加盖投标投标人红色公章）。（注：节能产品是指由财政部、国家发改委颁布的“节能产品政府采购清单”中的有效期内的产品）。</w:t>
      </w:r>
    </w:p>
    <w:p>
      <w:pPr>
        <w:spacing w:line="360" w:lineRule="auto"/>
        <w:ind w:firstLine="480" w:firstLineChars="200"/>
        <w:jc w:val="left"/>
        <w:rPr>
          <w:rFonts w:ascii="楷体" w:hAnsi="楷体" w:eastAsia="楷体" w:cs="楷体"/>
          <w:bCs/>
          <w:szCs w:val="24"/>
        </w:rPr>
      </w:pPr>
      <w:r>
        <w:rPr>
          <w:rFonts w:hint="eastAsia" w:ascii="楷体" w:hAnsi="楷体" w:eastAsia="楷体" w:cs="楷体"/>
          <w:bCs/>
          <w:szCs w:val="24"/>
        </w:rPr>
        <w:t>6、《环境标志产品政府采购实施的意见》—财库[2006]90号</w:t>
      </w:r>
    </w:p>
    <w:p>
      <w:pPr>
        <w:spacing w:line="360" w:lineRule="auto"/>
        <w:ind w:firstLine="480" w:firstLineChars="200"/>
        <w:jc w:val="left"/>
        <w:rPr>
          <w:rFonts w:ascii="楷体" w:hAnsi="楷体" w:eastAsia="楷体" w:cs="楷体"/>
          <w:bCs/>
          <w:szCs w:val="24"/>
        </w:rPr>
      </w:pPr>
      <w:r>
        <w:rPr>
          <w:rFonts w:hint="eastAsia" w:ascii="楷体" w:hAnsi="楷体" w:eastAsia="楷体" w:cs="楷体"/>
          <w:bCs/>
          <w:szCs w:val="24"/>
        </w:rPr>
        <w:t>根据《环境标志产品政府采购实施的意见》--财库[2006]90号规定，产品属于品目清单范围中实施政府强制采购的，需提供依据国家确定的认证机构出具的、处于有效期之内的环境标志产品认证证书，属于品目清单范围中实施政府优先采购的，依据提供的品目清单和认证证书实施政府优先采购。</w:t>
      </w:r>
    </w:p>
    <w:p>
      <w:pPr>
        <w:spacing w:line="360" w:lineRule="auto"/>
        <w:ind w:firstLine="480" w:firstLineChars="200"/>
        <w:jc w:val="left"/>
        <w:rPr>
          <w:rFonts w:ascii="楷体" w:hAnsi="楷体" w:eastAsia="楷体" w:cs="楷体"/>
          <w:bCs/>
          <w:szCs w:val="24"/>
          <w:lang w:val="zh-CN"/>
        </w:rPr>
      </w:pPr>
      <w:r>
        <w:rPr>
          <w:rFonts w:hint="eastAsia" w:ascii="楷体" w:hAnsi="楷体" w:eastAsia="楷体" w:cs="楷体"/>
          <w:bCs/>
          <w:szCs w:val="24"/>
        </w:rPr>
        <w:t>在投标时投标人应提供有效证明材料（证明材料须加盖投标投标人红色公章）。（注：环境标志产品是指由财政部、国家环境保护总局颁布的“环境标志产品政府采购清单”中的有效期内的产品）。</w:t>
      </w:r>
    </w:p>
    <w:p>
      <w:pPr>
        <w:spacing w:line="360" w:lineRule="auto"/>
        <w:ind w:left="480" w:leftChars="200"/>
        <w:jc w:val="left"/>
        <w:rPr>
          <w:rFonts w:ascii="楷体" w:hAnsi="楷体" w:eastAsia="楷体" w:cs="楷体"/>
          <w:bCs/>
          <w:szCs w:val="24"/>
          <w:lang w:val="zh-CN"/>
        </w:rPr>
      </w:pPr>
      <w:r>
        <w:rPr>
          <w:rFonts w:hint="eastAsia" w:ascii="楷体" w:hAnsi="楷体" w:eastAsia="楷体" w:cs="楷体"/>
          <w:bCs/>
          <w:szCs w:val="24"/>
        </w:rPr>
        <w:t>7、</w:t>
      </w:r>
      <w:r>
        <w:rPr>
          <w:rFonts w:hint="eastAsia" w:ascii="楷体" w:hAnsi="楷体" w:eastAsia="楷体" w:cs="楷体"/>
          <w:bCs/>
          <w:szCs w:val="24"/>
          <w:lang w:val="zh-CN"/>
        </w:rPr>
        <w:t>《关于运用政府采购政策支持脱贫攻坚的通知》--（财库【2019】27号）</w:t>
      </w:r>
    </w:p>
    <w:p>
      <w:pPr>
        <w:spacing w:line="360" w:lineRule="auto"/>
        <w:ind w:firstLine="480" w:firstLineChars="200"/>
        <w:jc w:val="left"/>
        <w:rPr>
          <w:rFonts w:ascii="楷体" w:hAnsi="楷体" w:eastAsia="楷体" w:cs="楷体"/>
          <w:bCs/>
          <w:szCs w:val="24"/>
          <w:lang w:val="zh-CN"/>
        </w:rPr>
      </w:pPr>
      <w:r>
        <w:rPr>
          <w:rFonts w:hint="eastAsia" w:ascii="楷体" w:hAnsi="楷体" w:eastAsia="楷体" w:cs="楷体"/>
          <w:bCs/>
          <w:szCs w:val="24"/>
        </w:rPr>
        <w:t>7.1</w:t>
      </w:r>
      <w:r>
        <w:rPr>
          <w:rFonts w:hint="eastAsia" w:ascii="楷体" w:hAnsi="楷体" w:eastAsia="楷体" w:cs="楷体"/>
          <w:bCs/>
          <w:szCs w:val="24"/>
          <w:lang w:val="zh-CN"/>
        </w:rPr>
        <w:t>鼓励采用优先采购、预留采购份额方式采购贫困地区农副产品</w:t>
      </w:r>
    </w:p>
    <w:p>
      <w:pPr>
        <w:spacing w:line="360" w:lineRule="auto"/>
        <w:ind w:firstLine="480" w:firstLineChars="200"/>
        <w:jc w:val="left"/>
        <w:rPr>
          <w:rFonts w:ascii="楷体" w:hAnsi="楷体" w:eastAsia="楷体" w:cs="楷体"/>
          <w:bCs/>
          <w:szCs w:val="24"/>
          <w:lang w:val="zh-CN"/>
        </w:rPr>
      </w:pPr>
      <w:r>
        <w:rPr>
          <w:rFonts w:hint="eastAsia" w:ascii="楷体" w:hAnsi="楷体" w:eastAsia="楷体" w:cs="楷体"/>
          <w:bCs/>
          <w:szCs w:val="24"/>
          <w:lang w:val="zh-CN"/>
        </w:rPr>
        <w:t>各级预算单位采购农副产品的，同等条件下应优先采购贫困地区农副产品。各主管预算单位要做好统筹协调，确定并预留本部门各预算单位食堂采购农副产品总额的一定比例定向采购贫困地区农副产品。各级预算单位要按照积极稳妥的原则确定预留比例，购买贫困地区农副产品时要遵循就近、经济的原则，在确保完成既定预留比例的基础上，鼓励更多采购贫困地区农副产品，注重扶贫实际效果。</w:t>
      </w:r>
    </w:p>
    <w:p>
      <w:pPr>
        <w:spacing w:line="360" w:lineRule="auto"/>
        <w:ind w:firstLine="480" w:firstLineChars="200"/>
        <w:jc w:val="left"/>
        <w:rPr>
          <w:rFonts w:ascii="楷体" w:hAnsi="楷体" w:eastAsia="楷体" w:cs="楷体"/>
          <w:bCs/>
          <w:szCs w:val="24"/>
          <w:lang w:val="zh-CN"/>
        </w:rPr>
      </w:pPr>
      <w:r>
        <w:rPr>
          <w:rFonts w:hint="eastAsia" w:ascii="楷体" w:hAnsi="楷体" w:eastAsia="楷体" w:cs="楷体"/>
          <w:bCs/>
          <w:szCs w:val="24"/>
          <w:lang w:val="zh-CN"/>
        </w:rPr>
        <w:t>贫困地区农副产品是指832个国家级贫困县域内注册的企业、农民专业合作社、家庭农场等出产的农副产品。</w:t>
      </w:r>
    </w:p>
    <w:p>
      <w:pPr>
        <w:spacing w:line="360" w:lineRule="auto"/>
        <w:ind w:firstLine="480" w:firstLineChars="200"/>
        <w:jc w:val="left"/>
        <w:rPr>
          <w:rFonts w:ascii="楷体" w:hAnsi="楷体" w:eastAsia="楷体" w:cs="楷体"/>
          <w:bCs/>
          <w:szCs w:val="24"/>
          <w:lang w:val="zh-CN"/>
        </w:rPr>
      </w:pPr>
      <w:r>
        <w:rPr>
          <w:rFonts w:hint="eastAsia" w:ascii="楷体" w:hAnsi="楷体" w:eastAsia="楷体" w:cs="楷体"/>
          <w:bCs/>
          <w:szCs w:val="24"/>
        </w:rPr>
        <w:t>7.2</w:t>
      </w:r>
      <w:r>
        <w:rPr>
          <w:rFonts w:hint="eastAsia" w:ascii="楷体" w:hAnsi="楷体" w:eastAsia="楷体" w:cs="楷体"/>
          <w:bCs/>
          <w:szCs w:val="24"/>
          <w:lang w:val="zh-CN"/>
        </w:rPr>
        <w:t>鼓励优先采购聘用建档立卡贫困人员物业公司提供的物业服务</w:t>
      </w:r>
    </w:p>
    <w:p>
      <w:pPr>
        <w:spacing w:line="360" w:lineRule="auto"/>
        <w:ind w:firstLine="480" w:firstLineChars="200"/>
        <w:jc w:val="left"/>
        <w:rPr>
          <w:rFonts w:ascii="楷体" w:hAnsi="楷体" w:eastAsia="楷体" w:cs="楷体"/>
          <w:bCs/>
          <w:szCs w:val="24"/>
          <w:lang w:val="zh-CN"/>
        </w:rPr>
      </w:pPr>
      <w:r>
        <w:rPr>
          <w:rFonts w:hint="eastAsia" w:ascii="楷体" w:hAnsi="楷体" w:eastAsia="楷体" w:cs="楷体"/>
          <w:bCs/>
          <w:szCs w:val="24"/>
          <w:lang w:val="zh-CN"/>
        </w:rPr>
        <w:t>各级预算单位使用财政性资金采购物业服务的，有条件的应当优先采购注册地在832个国家级贫困县域内，且聘用建档立卡贫困人员物业公司提供的物业服务。对注册地在832个国家级贫困县域内，且聘用建档立卡贫困人员达到公司员工（含服务外包用工）30%以上的物业公司，各级预算单位可根据符合条件的物业公司数量等具体情况，按规定履行有关变更采购方式报批程序后，采用竞争性谈判、竞争性磋商、单一来源等非公开招标采购方式，采购有关物业公司提供的物业服务。</w:t>
      </w:r>
    </w:p>
    <w:bookmarkEnd w:id="33"/>
    <w:bookmarkEnd w:id="69"/>
    <w:bookmarkEnd w:id="70"/>
    <w:bookmarkEnd w:id="71"/>
    <w:bookmarkEnd w:id="72"/>
    <w:bookmarkEnd w:id="73"/>
    <w:bookmarkEnd w:id="74"/>
    <w:bookmarkEnd w:id="75"/>
    <w:p>
      <w:pPr>
        <w:pStyle w:val="6"/>
        <w:keepNext w:val="0"/>
        <w:keepLines/>
        <w:pageBreakBefore/>
        <w:spacing w:line="360" w:lineRule="auto"/>
        <w:jc w:val="center"/>
        <w:rPr>
          <w:rFonts w:ascii="楷体" w:hAnsi="楷体" w:eastAsia="楷体" w:cs="楷体"/>
          <w:bCs/>
          <w:sz w:val="36"/>
          <w:szCs w:val="36"/>
        </w:rPr>
      </w:pPr>
      <w:bookmarkStart w:id="87" w:name="_Toc23662"/>
      <w:bookmarkStart w:id="88" w:name="_Toc30527"/>
      <w:bookmarkStart w:id="89" w:name="_Toc1059"/>
      <w:bookmarkStart w:id="90" w:name="_Toc363474025"/>
      <w:bookmarkStart w:id="91" w:name="_Toc403077646"/>
      <w:bookmarkStart w:id="92" w:name="_Toc24142"/>
      <w:bookmarkStart w:id="93" w:name="_Toc5084"/>
      <w:bookmarkStart w:id="94" w:name="_Toc21651"/>
      <w:r>
        <w:rPr>
          <w:rFonts w:hint="eastAsia" w:ascii="楷体" w:hAnsi="楷体" w:eastAsia="楷体" w:cs="楷体"/>
          <w:bCs/>
          <w:sz w:val="36"/>
          <w:szCs w:val="36"/>
        </w:rPr>
        <w:t>第六章 投标文件格式</w:t>
      </w:r>
      <w:bookmarkEnd w:id="87"/>
      <w:bookmarkEnd w:id="88"/>
      <w:bookmarkEnd w:id="89"/>
    </w:p>
    <w:p>
      <w:pPr>
        <w:jc w:val="center"/>
        <w:rPr>
          <w:rFonts w:ascii="楷体" w:hAnsi="楷体" w:eastAsia="楷体" w:cs="楷体"/>
        </w:rPr>
      </w:pPr>
    </w:p>
    <w:p>
      <w:pPr>
        <w:spacing w:line="360" w:lineRule="auto"/>
        <w:jc w:val="center"/>
        <w:rPr>
          <w:rFonts w:ascii="楷体" w:hAnsi="楷体" w:eastAsia="楷体" w:cs="楷体"/>
          <w:b/>
          <w:sz w:val="32"/>
          <w:szCs w:val="32"/>
        </w:rPr>
      </w:pPr>
      <w:r>
        <w:rPr>
          <w:rFonts w:hint="eastAsia" w:ascii="楷体" w:hAnsi="楷体" w:eastAsia="楷体" w:cs="楷体"/>
          <w:b/>
          <w:sz w:val="32"/>
          <w:szCs w:val="32"/>
        </w:rPr>
        <w:t>投标文件编制说明</w:t>
      </w:r>
    </w:p>
    <w:p>
      <w:pPr>
        <w:spacing w:line="360" w:lineRule="auto"/>
        <w:rPr>
          <w:rFonts w:ascii="楷体" w:hAnsi="楷体" w:eastAsia="楷体" w:cs="楷体"/>
          <w:szCs w:val="24"/>
        </w:rPr>
      </w:pPr>
    </w:p>
    <w:p>
      <w:pPr>
        <w:spacing w:line="360" w:lineRule="auto"/>
        <w:ind w:left="120" w:leftChars="50" w:firstLine="491" w:firstLineChars="205"/>
        <w:rPr>
          <w:rFonts w:ascii="楷体" w:hAnsi="楷体" w:eastAsia="楷体" w:cs="楷体"/>
          <w:szCs w:val="24"/>
        </w:rPr>
      </w:pPr>
      <w:r>
        <w:rPr>
          <w:rFonts w:hint="eastAsia" w:ascii="楷体" w:hAnsi="楷体" w:eastAsia="楷体" w:cs="楷体"/>
          <w:szCs w:val="24"/>
        </w:rPr>
        <w:t>1、招标文件中提供的投标文件格式，起到样式作用，编制投标文件前，请详细阅读招标文件，理解文件中的每一项要求。</w:t>
      </w:r>
    </w:p>
    <w:p>
      <w:pPr>
        <w:spacing w:line="360" w:lineRule="auto"/>
        <w:ind w:left="120" w:leftChars="50" w:firstLine="491" w:firstLineChars="205"/>
        <w:rPr>
          <w:rFonts w:ascii="楷体" w:hAnsi="楷体" w:eastAsia="楷体" w:cs="楷体"/>
          <w:b/>
          <w:bCs/>
          <w:sz w:val="32"/>
          <w:szCs w:val="32"/>
        </w:rPr>
        <w:sectPr>
          <w:headerReference r:id="rId11" w:type="default"/>
          <w:footerReference r:id="rId12" w:type="default"/>
          <w:pgSz w:w="11906" w:h="16838"/>
          <w:pgMar w:top="1440" w:right="1803" w:bottom="1440" w:left="1803" w:header="851" w:footer="992" w:gutter="0"/>
          <w:cols w:space="720" w:num="1"/>
          <w:docGrid w:type="lines" w:linePitch="312" w:charSpace="0"/>
        </w:sectPr>
      </w:pPr>
      <w:r>
        <w:rPr>
          <w:rFonts w:hint="eastAsia" w:ascii="楷体" w:hAnsi="楷体" w:eastAsia="楷体" w:cs="楷体"/>
          <w:szCs w:val="24"/>
        </w:rPr>
        <w:t>2、投标文件的编制应按照样本格式提供的内容，做出逐一明确的答复；投标人认为有必要，还可以做其它补充说明。</w:t>
      </w:r>
      <w:bookmarkEnd w:id="90"/>
      <w:bookmarkEnd w:id="91"/>
      <w:bookmarkEnd w:id="92"/>
      <w:bookmarkEnd w:id="93"/>
      <w:bookmarkEnd w:id="94"/>
    </w:p>
    <w:p>
      <w:pPr>
        <w:rPr>
          <w:rFonts w:ascii="楷体" w:hAnsi="楷体" w:eastAsia="楷体" w:cs="楷体"/>
          <w:b/>
          <w:bCs/>
          <w:sz w:val="32"/>
          <w:szCs w:val="32"/>
        </w:rPr>
      </w:pPr>
      <w:r>
        <w:rPr>
          <w:rFonts w:hint="eastAsia" w:ascii="楷体" w:hAnsi="楷体" w:eastAsia="楷体" w:cs="楷体"/>
          <w:b/>
          <w:bCs/>
          <w:sz w:val="32"/>
          <w:szCs w:val="32"/>
        </w:rPr>
        <w:t xml:space="preserve">项目编号： </w:t>
      </w:r>
    </w:p>
    <w:p>
      <w:pPr>
        <w:ind w:firstLine="4343" w:firstLineChars="1352"/>
        <w:rPr>
          <w:rFonts w:ascii="楷体" w:hAnsi="楷体" w:eastAsia="楷体" w:cs="楷体"/>
          <w:b/>
          <w:sz w:val="32"/>
          <w:szCs w:val="32"/>
        </w:rPr>
      </w:pPr>
      <w:r>
        <w:rPr>
          <w:rFonts w:hint="eastAsia" w:ascii="楷体" w:hAnsi="楷体" w:eastAsia="楷体" w:cs="楷体"/>
          <w:b/>
          <w:bCs/>
          <w:sz w:val="32"/>
          <w:szCs w:val="32"/>
        </w:rPr>
        <w:t xml:space="preserve">          </w:t>
      </w:r>
      <w:r>
        <w:rPr>
          <w:rFonts w:hint="eastAsia" w:ascii="楷体" w:hAnsi="楷体" w:eastAsia="楷体" w:cs="楷体"/>
          <w:b/>
          <w:sz w:val="32"/>
          <w:szCs w:val="32"/>
        </w:rPr>
        <w:t>（正本/副本）</w:t>
      </w:r>
    </w:p>
    <w:p>
      <w:pPr>
        <w:jc w:val="center"/>
        <w:rPr>
          <w:rFonts w:ascii="楷体" w:hAnsi="楷体" w:eastAsia="楷体" w:cs="楷体"/>
          <w:b/>
          <w:sz w:val="32"/>
          <w:szCs w:val="32"/>
        </w:rPr>
      </w:pPr>
    </w:p>
    <w:p>
      <w:pPr>
        <w:jc w:val="center"/>
        <w:rPr>
          <w:rFonts w:ascii="楷体" w:hAnsi="楷体" w:eastAsia="楷体" w:cs="楷体"/>
          <w:b/>
          <w:sz w:val="44"/>
          <w:szCs w:val="44"/>
        </w:rPr>
      </w:pPr>
    </w:p>
    <w:p>
      <w:pPr>
        <w:pStyle w:val="3"/>
        <w:jc w:val="center"/>
        <w:rPr>
          <w:rFonts w:hint="eastAsia" w:ascii="楷体" w:hAnsi="楷体" w:eastAsia="楷体" w:cs="楷体"/>
          <w:b/>
          <w:sz w:val="56"/>
          <w:szCs w:val="56"/>
          <w:lang w:eastAsia="zh-CN"/>
        </w:rPr>
      </w:pPr>
      <w:r>
        <w:rPr>
          <w:rFonts w:hint="eastAsia" w:ascii="楷体" w:hAnsi="楷体" w:eastAsia="楷体" w:cs="楷体"/>
          <w:b/>
          <w:sz w:val="56"/>
          <w:szCs w:val="56"/>
          <w:lang w:eastAsia="zh-CN"/>
        </w:rPr>
        <w:t>勉县公安局勉县“雪亮工程”建设第一期采购（设备采购、含监理）</w:t>
      </w:r>
    </w:p>
    <w:p>
      <w:pPr>
        <w:jc w:val="center"/>
        <w:rPr>
          <w:rFonts w:hint="eastAsia" w:ascii="楷体" w:hAnsi="楷体" w:eastAsia="楷体" w:cs="楷体"/>
          <w:b/>
          <w:kern w:val="2"/>
          <w:sz w:val="72"/>
          <w:szCs w:val="72"/>
          <w:lang w:eastAsia="zh-CN"/>
        </w:rPr>
      </w:pPr>
      <w:r>
        <w:rPr>
          <w:rFonts w:hint="eastAsia" w:ascii="楷体" w:hAnsi="楷体" w:eastAsia="楷体" w:cs="楷体"/>
          <w:b/>
          <w:kern w:val="2"/>
          <w:sz w:val="72"/>
          <w:szCs w:val="72"/>
          <w:lang w:eastAsia="zh-CN"/>
        </w:rPr>
        <w:t>（包</w:t>
      </w:r>
      <w:r>
        <w:rPr>
          <w:rFonts w:hint="eastAsia" w:ascii="楷体" w:hAnsi="楷体" w:eastAsia="楷体" w:cs="楷体"/>
          <w:b/>
          <w:kern w:val="2"/>
          <w:sz w:val="72"/>
          <w:szCs w:val="72"/>
          <w:u w:val="single"/>
          <w:lang w:val="en-US" w:eastAsia="zh-CN"/>
        </w:rPr>
        <w:t xml:space="preserve">  </w:t>
      </w:r>
      <w:r>
        <w:rPr>
          <w:rFonts w:hint="eastAsia" w:ascii="楷体" w:hAnsi="楷体" w:eastAsia="楷体" w:cs="楷体"/>
          <w:b/>
          <w:kern w:val="2"/>
          <w:sz w:val="72"/>
          <w:szCs w:val="72"/>
          <w:lang w:eastAsia="zh-CN"/>
        </w:rPr>
        <w:t>）</w:t>
      </w:r>
    </w:p>
    <w:p>
      <w:pPr>
        <w:jc w:val="center"/>
        <w:rPr>
          <w:rFonts w:ascii="楷体" w:hAnsi="楷体" w:eastAsia="楷体" w:cs="楷体"/>
          <w:b/>
          <w:kern w:val="2"/>
          <w:sz w:val="72"/>
          <w:szCs w:val="72"/>
        </w:rPr>
      </w:pPr>
      <w:r>
        <w:rPr>
          <w:rFonts w:hint="eastAsia" w:ascii="楷体" w:hAnsi="楷体" w:eastAsia="楷体" w:cs="楷体"/>
          <w:b/>
          <w:kern w:val="2"/>
          <w:sz w:val="72"/>
          <w:szCs w:val="72"/>
        </w:rPr>
        <w:t>投标文件</w:t>
      </w:r>
    </w:p>
    <w:p>
      <w:pPr>
        <w:jc w:val="center"/>
        <w:rPr>
          <w:rFonts w:ascii="楷体" w:hAnsi="楷体" w:eastAsia="楷体" w:cs="楷体"/>
          <w:b/>
          <w:sz w:val="36"/>
          <w:szCs w:val="36"/>
        </w:rPr>
      </w:pPr>
    </w:p>
    <w:p>
      <w:pPr>
        <w:jc w:val="center"/>
        <w:rPr>
          <w:rFonts w:ascii="楷体" w:hAnsi="楷体" w:eastAsia="楷体" w:cs="楷体"/>
          <w:b/>
          <w:sz w:val="36"/>
          <w:szCs w:val="36"/>
        </w:rPr>
      </w:pPr>
    </w:p>
    <w:p>
      <w:pPr>
        <w:jc w:val="center"/>
        <w:rPr>
          <w:rFonts w:ascii="楷体" w:hAnsi="楷体" w:eastAsia="楷体" w:cs="楷体"/>
          <w:b/>
          <w:sz w:val="36"/>
          <w:szCs w:val="36"/>
        </w:rPr>
      </w:pPr>
    </w:p>
    <w:p>
      <w:pPr>
        <w:pStyle w:val="3"/>
        <w:rPr>
          <w:rFonts w:ascii="楷体" w:hAnsi="楷体" w:eastAsia="楷体" w:cs="楷体"/>
        </w:rPr>
      </w:pPr>
    </w:p>
    <w:p>
      <w:pPr>
        <w:pStyle w:val="22"/>
        <w:rPr>
          <w:rFonts w:ascii="楷体" w:hAnsi="楷体" w:eastAsia="楷体" w:cs="楷体"/>
        </w:rPr>
      </w:pPr>
    </w:p>
    <w:p>
      <w:pPr>
        <w:tabs>
          <w:tab w:val="center" w:pos="5346"/>
        </w:tabs>
        <w:spacing w:line="480" w:lineRule="auto"/>
        <w:ind w:left="1603" w:leftChars="534" w:hanging="321" w:hangingChars="100"/>
        <w:rPr>
          <w:rFonts w:ascii="楷体" w:hAnsi="楷体" w:eastAsia="楷体" w:cs="楷体"/>
          <w:b/>
          <w:sz w:val="32"/>
          <w:szCs w:val="32"/>
        </w:rPr>
      </w:pPr>
      <w:r>
        <w:rPr>
          <w:rFonts w:hint="eastAsia" w:ascii="楷体" w:hAnsi="楷体" w:eastAsia="楷体" w:cs="楷体"/>
          <w:b/>
          <w:sz w:val="32"/>
          <w:szCs w:val="32"/>
        </w:rPr>
        <w:t>投标人名称（公章）：</w:t>
      </w:r>
    </w:p>
    <w:p>
      <w:pPr>
        <w:tabs>
          <w:tab w:val="center" w:pos="5346"/>
        </w:tabs>
        <w:spacing w:line="480" w:lineRule="auto"/>
        <w:ind w:left="1603" w:leftChars="534" w:hanging="321" w:hangingChars="100"/>
        <w:rPr>
          <w:rFonts w:ascii="楷体" w:hAnsi="楷体" w:eastAsia="楷体" w:cs="楷体"/>
          <w:b/>
          <w:sz w:val="32"/>
          <w:szCs w:val="32"/>
        </w:rPr>
      </w:pPr>
      <w:r>
        <w:rPr>
          <w:rFonts w:hint="eastAsia" w:ascii="楷体" w:hAnsi="楷体" w:eastAsia="楷体" w:cs="楷体"/>
          <w:b/>
          <w:sz w:val="32"/>
          <w:szCs w:val="32"/>
        </w:rPr>
        <w:t>法定代表人</w:t>
      </w:r>
      <w:r>
        <w:rPr>
          <w:rFonts w:hint="eastAsia" w:ascii="楷体" w:hAnsi="楷体" w:eastAsia="楷体" w:cs="楷体"/>
          <w:b/>
          <w:sz w:val="32"/>
          <w:szCs w:val="32"/>
          <w:lang w:eastAsia="zh-CN"/>
        </w:rPr>
        <w:t>或</w:t>
      </w:r>
      <w:r>
        <w:rPr>
          <w:rFonts w:hint="eastAsia" w:ascii="楷体" w:hAnsi="楷体" w:eastAsia="楷体" w:cs="楷体"/>
          <w:b/>
          <w:sz w:val="32"/>
          <w:szCs w:val="32"/>
        </w:rPr>
        <w:t>被授权人（签字</w:t>
      </w:r>
      <w:r>
        <w:rPr>
          <w:rFonts w:hint="eastAsia" w:ascii="楷体" w:hAnsi="楷体" w:eastAsia="楷体" w:cs="楷体"/>
          <w:b/>
          <w:sz w:val="32"/>
          <w:szCs w:val="32"/>
          <w:lang w:eastAsia="zh-CN"/>
        </w:rPr>
        <w:t>或</w:t>
      </w:r>
      <w:r>
        <w:rPr>
          <w:rFonts w:hint="eastAsia" w:ascii="楷体" w:hAnsi="楷体" w:eastAsia="楷体" w:cs="楷体"/>
          <w:b/>
          <w:sz w:val="32"/>
          <w:szCs w:val="32"/>
        </w:rPr>
        <w:t>盖章）：</w:t>
      </w:r>
    </w:p>
    <w:p>
      <w:pPr>
        <w:tabs>
          <w:tab w:val="center" w:pos="5346"/>
        </w:tabs>
        <w:spacing w:line="480" w:lineRule="auto"/>
        <w:ind w:left="1603" w:leftChars="534" w:hanging="321" w:hangingChars="100"/>
        <w:rPr>
          <w:rFonts w:ascii="楷体" w:hAnsi="楷体" w:eastAsia="楷体" w:cs="楷体"/>
          <w:b/>
          <w:sz w:val="32"/>
          <w:szCs w:val="32"/>
        </w:rPr>
      </w:pPr>
      <w:r>
        <w:rPr>
          <w:rFonts w:hint="eastAsia" w:ascii="楷体" w:hAnsi="楷体" w:eastAsia="楷体" w:cs="楷体"/>
          <w:b/>
          <w:sz w:val="32"/>
          <w:szCs w:val="32"/>
        </w:rPr>
        <w:t>时间：2022年</w:t>
      </w:r>
      <w:r>
        <w:rPr>
          <w:rFonts w:hint="eastAsia" w:ascii="楷体" w:hAnsi="楷体" w:eastAsia="楷体" w:cs="楷体"/>
          <w:b/>
          <w:sz w:val="32"/>
          <w:szCs w:val="32"/>
          <w:u w:val="single"/>
        </w:rPr>
        <w:t xml:space="preserve">   </w:t>
      </w:r>
      <w:r>
        <w:rPr>
          <w:rFonts w:hint="eastAsia" w:ascii="楷体" w:hAnsi="楷体" w:eastAsia="楷体" w:cs="楷体"/>
          <w:b/>
          <w:sz w:val="32"/>
          <w:szCs w:val="32"/>
        </w:rPr>
        <w:t>月</w:t>
      </w:r>
      <w:r>
        <w:rPr>
          <w:rFonts w:hint="eastAsia" w:ascii="楷体" w:hAnsi="楷体" w:eastAsia="楷体" w:cs="楷体"/>
          <w:b/>
          <w:sz w:val="32"/>
          <w:szCs w:val="32"/>
          <w:u w:val="single"/>
        </w:rPr>
        <w:t xml:space="preserve">   </w:t>
      </w:r>
      <w:r>
        <w:rPr>
          <w:rFonts w:hint="eastAsia" w:ascii="楷体" w:hAnsi="楷体" w:eastAsia="楷体" w:cs="楷体"/>
          <w:b/>
          <w:sz w:val="32"/>
          <w:szCs w:val="32"/>
        </w:rPr>
        <w:t>日</w:t>
      </w:r>
    </w:p>
    <w:p>
      <w:pPr>
        <w:jc w:val="center"/>
        <w:rPr>
          <w:rFonts w:ascii="楷体" w:hAnsi="楷体" w:eastAsia="楷体" w:cs="楷体"/>
          <w:b/>
          <w:sz w:val="44"/>
        </w:rPr>
      </w:pPr>
      <w:r>
        <w:rPr>
          <w:rFonts w:hint="eastAsia" w:ascii="楷体" w:hAnsi="楷体" w:eastAsia="楷体" w:cs="楷体"/>
          <w:bCs/>
          <w:sz w:val="44"/>
        </w:rPr>
        <w:br w:type="page"/>
      </w:r>
      <w:bookmarkStart w:id="95" w:name="_Toc344572156"/>
      <w:r>
        <w:rPr>
          <w:rFonts w:hint="eastAsia" w:ascii="楷体" w:hAnsi="楷体" w:eastAsia="楷体" w:cs="楷体"/>
          <w:b/>
          <w:sz w:val="44"/>
        </w:rPr>
        <w:t>目  录</w:t>
      </w:r>
    </w:p>
    <w:p>
      <w:pPr>
        <w:jc w:val="center"/>
        <w:rPr>
          <w:rFonts w:ascii="楷体" w:hAnsi="楷体" w:eastAsia="楷体" w:cs="楷体"/>
          <w:b/>
          <w:sz w:val="44"/>
        </w:rPr>
      </w:pPr>
    </w:p>
    <w:p>
      <w:pPr>
        <w:pStyle w:val="10"/>
        <w:ind w:firstLine="0" w:firstLineChars="0"/>
        <w:jc w:val="center"/>
        <w:rPr>
          <w:rFonts w:ascii="楷体" w:hAnsi="楷体" w:eastAsia="楷体" w:cs="楷体"/>
          <w:sz w:val="28"/>
          <w:szCs w:val="28"/>
        </w:rPr>
      </w:pPr>
      <w:r>
        <w:rPr>
          <w:rFonts w:hint="eastAsia" w:ascii="楷体" w:hAnsi="楷体" w:eastAsia="楷体" w:cs="楷体"/>
          <w:sz w:val="28"/>
          <w:szCs w:val="28"/>
        </w:rPr>
        <w:t>（格式自拟）</w:t>
      </w:r>
    </w:p>
    <w:p>
      <w:pPr>
        <w:pStyle w:val="10"/>
        <w:rPr>
          <w:rFonts w:ascii="楷体" w:hAnsi="楷体" w:eastAsia="楷体" w:cs="楷体"/>
        </w:rPr>
      </w:pPr>
    </w:p>
    <w:p>
      <w:pPr>
        <w:pStyle w:val="10"/>
        <w:rPr>
          <w:rFonts w:ascii="楷体" w:hAnsi="楷体" w:eastAsia="楷体" w:cs="楷体"/>
        </w:rPr>
      </w:pPr>
    </w:p>
    <w:p>
      <w:pPr>
        <w:pStyle w:val="10"/>
        <w:rPr>
          <w:rFonts w:ascii="楷体" w:hAnsi="楷体" w:eastAsia="楷体" w:cs="楷体"/>
        </w:rPr>
      </w:pPr>
    </w:p>
    <w:p>
      <w:pPr>
        <w:pStyle w:val="10"/>
        <w:rPr>
          <w:rFonts w:ascii="楷体" w:hAnsi="楷体" w:eastAsia="楷体" w:cs="楷体"/>
        </w:rPr>
      </w:pPr>
    </w:p>
    <w:p>
      <w:pPr>
        <w:pStyle w:val="10"/>
        <w:rPr>
          <w:rFonts w:ascii="楷体" w:hAnsi="楷体" w:eastAsia="楷体" w:cs="楷体"/>
        </w:rPr>
      </w:pPr>
    </w:p>
    <w:p>
      <w:pPr>
        <w:pStyle w:val="10"/>
        <w:rPr>
          <w:rFonts w:ascii="楷体" w:hAnsi="楷体" w:eastAsia="楷体" w:cs="楷体"/>
        </w:rPr>
      </w:pPr>
    </w:p>
    <w:p>
      <w:pPr>
        <w:pStyle w:val="10"/>
        <w:rPr>
          <w:rFonts w:ascii="楷体" w:hAnsi="楷体" w:eastAsia="楷体" w:cs="楷体"/>
        </w:rPr>
      </w:pPr>
    </w:p>
    <w:p>
      <w:pPr>
        <w:pStyle w:val="10"/>
        <w:rPr>
          <w:rFonts w:ascii="楷体" w:hAnsi="楷体" w:eastAsia="楷体" w:cs="楷体"/>
        </w:rPr>
      </w:pPr>
    </w:p>
    <w:p>
      <w:pPr>
        <w:pStyle w:val="10"/>
        <w:rPr>
          <w:rFonts w:ascii="楷体" w:hAnsi="楷体" w:eastAsia="楷体" w:cs="楷体"/>
        </w:rPr>
      </w:pPr>
    </w:p>
    <w:p>
      <w:pPr>
        <w:pStyle w:val="10"/>
        <w:rPr>
          <w:rFonts w:ascii="楷体" w:hAnsi="楷体" w:eastAsia="楷体" w:cs="楷体"/>
        </w:rPr>
      </w:pPr>
    </w:p>
    <w:bookmarkEnd w:id="95"/>
    <w:p>
      <w:pPr>
        <w:spacing w:line="360" w:lineRule="auto"/>
        <w:jc w:val="center"/>
        <w:rPr>
          <w:rFonts w:ascii="楷体" w:hAnsi="楷体" w:eastAsia="楷体" w:cs="楷体"/>
          <w:sz w:val="32"/>
          <w:szCs w:val="32"/>
        </w:rPr>
      </w:pPr>
      <w:bookmarkStart w:id="96" w:name="_Toc204524343"/>
      <w:r>
        <w:rPr>
          <w:rFonts w:hint="eastAsia" w:ascii="楷体" w:hAnsi="楷体" w:eastAsia="楷体" w:cs="楷体"/>
          <w:sz w:val="32"/>
          <w:szCs w:val="32"/>
        </w:rPr>
        <w:br w:type="page"/>
      </w:r>
      <w:r>
        <w:rPr>
          <w:rFonts w:hint="eastAsia" w:ascii="楷体" w:hAnsi="楷体" w:eastAsia="楷体" w:cs="楷体"/>
          <w:b/>
          <w:bCs/>
          <w:sz w:val="32"/>
          <w:szCs w:val="32"/>
        </w:rPr>
        <w:t>一、投标函</w:t>
      </w:r>
    </w:p>
    <w:p>
      <w:pPr>
        <w:spacing w:line="360" w:lineRule="auto"/>
        <w:jc w:val="left"/>
        <w:rPr>
          <w:rFonts w:ascii="楷体" w:hAnsi="楷体" w:eastAsia="楷体" w:cs="楷体"/>
          <w:b/>
        </w:rPr>
      </w:pPr>
      <w:bookmarkStart w:id="97" w:name="_Toc363474028"/>
      <w:bookmarkStart w:id="98" w:name="_Toc403077649"/>
      <w:r>
        <w:rPr>
          <w:rFonts w:hint="eastAsia" w:ascii="楷体" w:hAnsi="楷体" w:eastAsia="楷体" w:cs="楷体"/>
          <w:b/>
        </w:rPr>
        <w:t>致：勉县公安局</w:t>
      </w:r>
    </w:p>
    <w:p>
      <w:pPr>
        <w:spacing w:line="360" w:lineRule="auto"/>
        <w:ind w:firstLine="496" w:firstLineChars="200"/>
        <w:rPr>
          <w:rFonts w:ascii="楷体" w:hAnsi="楷体" w:eastAsia="楷体" w:cs="楷体"/>
          <w:spacing w:val="4"/>
          <w:szCs w:val="24"/>
        </w:rPr>
      </w:pPr>
      <w:r>
        <w:rPr>
          <w:rFonts w:hint="eastAsia" w:ascii="楷体" w:hAnsi="楷体" w:eastAsia="楷体" w:cs="楷体"/>
          <w:spacing w:val="4"/>
          <w:szCs w:val="24"/>
        </w:rPr>
        <w:t>根据贵方项目名称、标段：</w:t>
      </w:r>
      <w:r>
        <w:rPr>
          <w:rFonts w:hint="eastAsia" w:ascii="楷体" w:hAnsi="楷体" w:eastAsia="楷体" w:cs="楷体"/>
          <w:spacing w:val="4"/>
          <w:szCs w:val="24"/>
          <w:u w:val="single"/>
        </w:rPr>
        <w:t xml:space="preserve">                  </w:t>
      </w:r>
      <w:r>
        <w:rPr>
          <w:rFonts w:hint="eastAsia" w:ascii="楷体" w:hAnsi="楷体" w:eastAsia="楷体" w:cs="楷体"/>
          <w:spacing w:val="4"/>
          <w:szCs w:val="24"/>
        </w:rPr>
        <w:t>(项目编号：</w:t>
      </w:r>
      <w:r>
        <w:rPr>
          <w:rFonts w:hint="eastAsia" w:ascii="楷体" w:hAnsi="楷体" w:eastAsia="楷体" w:cs="楷体"/>
          <w:spacing w:val="4"/>
          <w:szCs w:val="24"/>
          <w:u w:val="single"/>
        </w:rPr>
        <w:t xml:space="preserve">            </w:t>
      </w:r>
      <w:r>
        <w:rPr>
          <w:rFonts w:hint="eastAsia" w:ascii="楷体" w:hAnsi="楷体" w:eastAsia="楷体" w:cs="楷体"/>
          <w:spacing w:val="4"/>
          <w:szCs w:val="24"/>
        </w:rPr>
        <w:t>）的招标文件，签字代表</w:t>
      </w:r>
      <w:r>
        <w:rPr>
          <w:rFonts w:hint="eastAsia" w:ascii="楷体" w:hAnsi="楷体" w:eastAsia="楷体" w:cs="楷体"/>
          <w:spacing w:val="4"/>
          <w:szCs w:val="24"/>
          <w:u w:val="single"/>
        </w:rPr>
        <w:t>（全名、职务</w:t>
      </w:r>
      <w:r>
        <w:rPr>
          <w:rFonts w:hint="eastAsia" w:ascii="楷体" w:hAnsi="楷体" w:eastAsia="楷体" w:cs="楷体"/>
          <w:spacing w:val="4"/>
          <w:szCs w:val="24"/>
        </w:rPr>
        <w:t>）经正式授权并代表投标人</w:t>
      </w:r>
      <w:r>
        <w:rPr>
          <w:rFonts w:hint="eastAsia" w:ascii="楷体" w:hAnsi="楷体" w:eastAsia="楷体" w:cs="楷体"/>
          <w:spacing w:val="4"/>
          <w:szCs w:val="24"/>
          <w:u w:val="single"/>
        </w:rPr>
        <w:t xml:space="preserve">  (投标人名称)</w:t>
      </w:r>
      <w:r>
        <w:rPr>
          <w:rFonts w:hint="eastAsia" w:ascii="楷体" w:hAnsi="楷体" w:eastAsia="楷体" w:cs="楷体"/>
          <w:spacing w:val="4"/>
          <w:szCs w:val="24"/>
        </w:rPr>
        <w:t>提交投标文件正本</w:t>
      </w:r>
      <w:r>
        <w:rPr>
          <w:rFonts w:hint="eastAsia" w:ascii="楷体" w:hAnsi="楷体" w:eastAsia="楷体" w:cs="楷体"/>
          <w:spacing w:val="4"/>
          <w:szCs w:val="24"/>
          <w:u w:val="single"/>
        </w:rPr>
        <w:t xml:space="preserve">    </w:t>
      </w:r>
      <w:r>
        <w:rPr>
          <w:rFonts w:hint="eastAsia" w:ascii="楷体" w:hAnsi="楷体" w:eastAsia="楷体" w:cs="楷体"/>
          <w:spacing w:val="4"/>
          <w:szCs w:val="24"/>
        </w:rPr>
        <w:t>份、副本</w:t>
      </w:r>
      <w:r>
        <w:rPr>
          <w:rFonts w:hint="eastAsia" w:ascii="楷体" w:hAnsi="楷体" w:eastAsia="楷体" w:cs="楷体"/>
          <w:spacing w:val="4"/>
          <w:szCs w:val="24"/>
          <w:u w:val="single"/>
        </w:rPr>
        <w:t xml:space="preserve">    </w:t>
      </w:r>
      <w:r>
        <w:rPr>
          <w:rFonts w:hint="eastAsia" w:ascii="楷体" w:hAnsi="楷体" w:eastAsia="楷体" w:cs="楷体"/>
          <w:spacing w:val="4"/>
          <w:szCs w:val="24"/>
        </w:rPr>
        <w:t>份。</w:t>
      </w:r>
    </w:p>
    <w:p>
      <w:pPr>
        <w:spacing w:line="360" w:lineRule="auto"/>
        <w:jc w:val="left"/>
        <w:rPr>
          <w:rFonts w:ascii="楷体" w:hAnsi="楷体" w:eastAsia="楷体" w:cs="楷体"/>
          <w:spacing w:val="4"/>
          <w:szCs w:val="24"/>
        </w:rPr>
      </w:pPr>
      <w:r>
        <w:rPr>
          <w:rFonts w:hint="eastAsia" w:ascii="楷体" w:hAnsi="楷体" w:eastAsia="楷体" w:cs="楷体"/>
          <w:spacing w:val="4"/>
          <w:szCs w:val="24"/>
        </w:rPr>
        <w:t>我方承诺如下：</w:t>
      </w:r>
    </w:p>
    <w:p>
      <w:pPr>
        <w:tabs>
          <w:tab w:val="left" w:pos="2160"/>
        </w:tabs>
        <w:spacing w:line="360" w:lineRule="auto"/>
        <w:ind w:firstLine="496" w:firstLineChars="200"/>
        <w:jc w:val="left"/>
        <w:rPr>
          <w:rFonts w:ascii="楷体" w:hAnsi="楷体" w:eastAsia="楷体" w:cs="楷体"/>
          <w:spacing w:val="4"/>
          <w:szCs w:val="24"/>
        </w:rPr>
      </w:pPr>
      <w:r>
        <w:rPr>
          <w:rFonts w:hint="eastAsia" w:ascii="楷体" w:hAnsi="楷体" w:eastAsia="楷体" w:cs="楷体"/>
          <w:spacing w:val="4"/>
          <w:szCs w:val="24"/>
        </w:rPr>
        <w:t>1.如果中标，我们根据招标文件的规定，履行合同的责任和义务并将投标文件有效期延长至合同履行完毕。</w:t>
      </w:r>
    </w:p>
    <w:p>
      <w:pPr>
        <w:tabs>
          <w:tab w:val="left" w:pos="2160"/>
        </w:tabs>
        <w:spacing w:line="360" w:lineRule="auto"/>
        <w:ind w:firstLine="496" w:firstLineChars="200"/>
        <w:jc w:val="left"/>
        <w:rPr>
          <w:rFonts w:ascii="楷体" w:hAnsi="楷体" w:eastAsia="楷体" w:cs="楷体"/>
          <w:spacing w:val="4"/>
          <w:szCs w:val="24"/>
        </w:rPr>
      </w:pPr>
      <w:r>
        <w:rPr>
          <w:rFonts w:hint="eastAsia" w:ascii="楷体" w:hAnsi="楷体" w:eastAsia="楷体" w:cs="楷体"/>
          <w:spacing w:val="4"/>
          <w:szCs w:val="24"/>
        </w:rPr>
        <w:t>2.我们已详细阅读和审核全部招标文件（含修改部分）及有关附件，我们知道必须放弃提出含糊不清或误解的问题的权利。</w:t>
      </w:r>
    </w:p>
    <w:p>
      <w:pPr>
        <w:tabs>
          <w:tab w:val="left" w:pos="2160"/>
        </w:tabs>
        <w:spacing w:line="360" w:lineRule="auto"/>
        <w:ind w:firstLine="496" w:firstLineChars="200"/>
        <w:jc w:val="left"/>
        <w:rPr>
          <w:rFonts w:ascii="楷体" w:hAnsi="楷体" w:eastAsia="楷体" w:cs="楷体"/>
          <w:spacing w:val="4"/>
          <w:szCs w:val="24"/>
        </w:rPr>
      </w:pPr>
      <w:r>
        <w:rPr>
          <w:rFonts w:hint="eastAsia" w:ascii="楷体" w:hAnsi="楷体" w:eastAsia="楷体" w:cs="楷体"/>
          <w:spacing w:val="4"/>
          <w:szCs w:val="24"/>
        </w:rPr>
        <w:t>3.我们同意在投标有效期内（自投标之日起</w:t>
      </w:r>
      <w:r>
        <w:rPr>
          <w:rFonts w:hint="eastAsia" w:ascii="楷体" w:hAnsi="楷体" w:eastAsia="楷体" w:cs="楷体"/>
          <w:spacing w:val="4"/>
          <w:szCs w:val="24"/>
          <w:u w:val="single"/>
        </w:rPr>
        <w:t xml:space="preserve">     </w:t>
      </w:r>
      <w:r>
        <w:rPr>
          <w:rFonts w:hint="eastAsia" w:ascii="楷体" w:hAnsi="楷体" w:eastAsia="楷体" w:cs="楷体"/>
          <w:spacing w:val="4"/>
          <w:szCs w:val="24"/>
        </w:rPr>
        <w:t>天内），本投标函对我方具有约束力。</w:t>
      </w:r>
    </w:p>
    <w:p>
      <w:pPr>
        <w:tabs>
          <w:tab w:val="left" w:pos="2160"/>
        </w:tabs>
        <w:spacing w:line="360" w:lineRule="auto"/>
        <w:ind w:firstLine="496" w:firstLineChars="200"/>
        <w:jc w:val="left"/>
        <w:rPr>
          <w:rFonts w:ascii="楷体" w:hAnsi="楷体" w:eastAsia="楷体" w:cs="楷体"/>
          <w:spacing w:val="4"/>
          <w:szCs w:val="24"/>
        </w:rPr>
      </w:pPr>
      <w:r>
        <w:rPr>
          <w:rFonts w:hint="eastAsia" w:ascii="楷体" w:hAnsi="楷体" w:eastAsia="楷体" w:cs="楷体"/>
          <w:spacing w:val="4"/>
          <w:szCs w:val="24"/>
        </w:rPr>
        <w:t>4.我方完全理解最低报价不是中标的唯一条件，并尊重评标委员会的评审结论和采购人的定标结果。</w:t>
      </w:r>
    </w:p>
    <w:p>
      <w:pPr>
        <w:tabs>
          <w:tab w:val="left" w:pos="2160"/>
        </w:tabs>
        <w:spacing w:line="360" w:lineRule="auto"/>
        <w:ind w:firstLine="496" w:firstLineChars="200"/>
        <w:jc w:val="left"/>
        <w:rPr>
          <w:rFonts w:ascii="楷体" w:hAnsi="楷体" w:eastAsia="楷体" w:cs="楷体"/>
          <w:spacing w:val="4"/>
          <w:szCs w:val="24"/>
        </w:rPr>
      </w:pPr>
      <w:r>
        <w:rPr>
          <w:rFonts w:hint="eastAsia" w:ascii="楷体" w:hAnsi="楷体" w:eastAsia="楷体" w:cs="楷体"/>
          <w:spacing w:val="4"/>
          <w:szCs w:val="24"/>
        </w:rPr>
        <w:t>5.我方愿意向贵方提供任何与本次招标有关的数据、情况、样品（如涉及）和技术资料，若贵方需要，我方愿意提供我方做出的一切承诺的证明材料。</w:t>
      </w:r>
    </w:p>
    <w:p>
      <w:pPr>
        <w:tabs>
          <w:tab w:val="left" w:pos="2160"/>
        </w:tabs>
        <w:spacing w:line="360" w:lineRule="auto"/>
        <w:ind w:firstLine="496" w:firstLineChars="200"/>
        <w:jc w:val="left"/>
        <w:rPr>
          <w:rFonts w:ascii="楷体" w:hAnsi="楷体" w:eastAsia="楷体" w:cs="楷体"/>
          <w:spacing w:val="4"/>
          <w:szCs w:val="24"/>
        </w:rPr>
      </w:pPr>
      <w:r>
        <w:rPr>
          <w:rFonts w:hint="eastAsia" w:ascii="楷体" w:hAnsi="楷体" w:eastAsia="楷体" w:cs="楷体"/>
          <w:spacing w:val="4"/>
          <w:szCs w:val="24"/>
        </w:rPr>
        <w:t>6.我们同意按招标文件规定，遵守贵公司有关规定和收费标准。</w:t>
      </w:r>
    </w:p>
    <w:p>
      <w:pPr>
        <w:tabs>
          <w:tab w:val="left" w:pos="2160"/>
        </w:tabs>
        <w:spacing w:line="360" w:lineRule="auto"/>
        <w:ind w:firstLine="496" w:firstLineChars="200"/>
        <w:jc w:val="left"/>
        <w:rPr>
          <w:rFonts w:ascii="楷体" w:hAnsi="楷体" w:eastAsia="楷体" w:cs="楷体"/>
          <w:spacing w:val="4"/>
          <w:szCs w:val="24"/>
        </w:rPr>
      </w:pPr>
      <w:r>
        <w:rPr>
          <w:rFonts w:hint="eastAsia" w:ascii="楷体" w:hAnsi="楷体" w:eastAsia="楷体" w:cs="楷体"/>
          <w:spacing w:val="4"/>
          <w:szCs w:val="24"/>
        </w:rPr>
        <w:t>7.与本投标有关的一切正式往来通讯为：</w:t>
      </w:r>
    </w:p>
    <w:p>
      <w:pPr>
        <w:tabs>
          <w:tab w:val="left" w:pos="2160"/>
        </w:tabs>
        <w:spacing w:line="360" w:lineRule="auto"/>
        <w:ind w:firstLine="496" w:firstLineChars="200"/>
        <w:jc w:val="left"/>
        <w:rPr>
          <w:rFonts w:ascii="楷体" w:hAnsi="楷体" w:eastAsia="楷体" w:cs="楷体"/>
          <w:spacing w:val="4"/>
          <w:szCs w:val="24"/>
        </w:rPr>
      </w:pPr>
    </w:p>
    <w:p>
      <w:pPr>
        <w:spacing w:line="360" w:lineRule="auto"/>
        <w:ind w:firstLine="424" w:firstLineChars="171"/>
        <w:jc w:val="left"/>
        <w:rPr>
          <w:rFonts w:ascii="楷体" w:hAnsi="楷体" w:eastAsia="楷体" w:cs="楷体"/>
          <w:spacing w:val="4"/>
          <w:szCs w:val="24"/>
          <w:u w:val="single"/>
        </w:rPr>
      </w:pPr>
      <w:r>
        <w:rPr>
          <w:rFonts w:hint="eastAsia" w:ascii="楷体" w:hAnsi="楷体" w:eastAsia="楷体" w:cs="楷体"/>
          <w:spacing w:val="4"/>
          <w:szCs w:val="24"/>
        </w:rPr>
        <w:t>联系地址：</w:t>
      </w:r>
      <w:r>
        <w:rPr>
          <w:rFonts w:hint="eastAsia" w:ascii="楷体" w:hAnsi="楷体" w:eastAsia="楷体" w:cs="楷体"/>
          <w:spacing w:val="4"/>
          <w:szCs w:val="24"/>
          <w:u w:val="single"/>
        </w:rPr>
        <w:t xml:space="preserve">                             </w:t>
      </w:r>
    </w:p>
    <w:p>
      <w:pPr>
        <w:spacing w:line="360" w:lineRule="auto"/>
        <w:ind w:firstLine="424" w:firstLineChars="171"/>
        <w:jc w:val="left"/>
        <w:rPr>
          <w:rFonts w:ascii="楷体" w:hAnsi="楷体" w:eastAsia="楷体" w:cs="楷体"/>
          <w:spacing w:val="4"/>
          <w:szCs w:val="24"/>
          <w:u w:val="single"/>
        </w:rPr>
      </w:pPr>
      <w:r>
        <w:rPr>
          <w:rFonts w:hint="eastAsia" w:ascii="楷体" w:hAnsi="楷体" w:eastAsia="楷体" w:cs="楷体"/>
          <w:spacing w:val="4"/>
          <w:szCs w:val="24"/>
        </w:rPr>
        <w:t>邮政编码：</w:t>
      </w:r>
      <w:r>
        <w:rPr>
          <w:rFonts w:hint="eastAsia" w:ascii="楷体" w:hAnsi="楷体" w:eastAsia="楷体" w:cs="楷体"/>
          <w:spacing w:val="4"/>
          <w:szCs w:val="24"/>
          <w:u w:val="single"/>
        </w:rPr>
        <w:t xml:space="preserve">                             </w:t>
      </w:r>
    </w:p>
    <w:p>
      <w:pPr>
        <w:spacing w:line="360" w:lineRule="auto"/>
        <w:ind w:firstLine="424" w:firstLineChars="171"/>
        <w:jc w:val="left"/>
        <w:rPr>
          <w:rFonts w:ascii="楷体" w:hAnsi="楷体" w:eastAsia="楷体" w:cs="楷体"/>
          <w:spacing w:val="4"/>
          <w:szCs w:val="24"/>
          <w:u w:val="single"/>
        </w:rPr>
      </w:pPr>
      <w:r>
        <w:rPr>
          <w:rFonts w:hint="eastAsia" w:ascii="楷体" w:hAnsi="楷体" w:eastAsia="楷体" w:cs="楷体"/>
          <w:spacing w:val="4"/>
          <w:szCs w:val="24"/>
        </w:rPr>
        <w:t>电    话：</w:t>
      </w:r>
      <w:r>
        <w:rPr>
          <w:rFonts w:hint="eastAsia" w:ascii="楷体" w:hAnsi="楷体" w:eastAsia="楷体" w:cs="楷体"/>
          <w:spacing w:val="4"/>
          <w:szCs w:val="24"/>
          <w:u w:val="single"/>
        </w:rPr>
        <w:t xml:space="preserve">                             </w:t>
      </w:r>
    </w:p>
    <w:p>
      <w:pPr>
        <w:spacing w:line="360" w:lineRule="auto"/>
        <w:ind w:firstLine="424" w:firstLineChars="171"/>
        <w:jc w:val="left"/>
        <w:rPr>
          <w:rFonts w:ascii="楷体" w:hAnsi="楷体" w:eastAsia="楷体" w:cs="楷体"/>
          <w:spacing w:val="4"/>
          <w:szCs w:val="24"/>
          <w:u w:val="single"/>
        </w:rPr>
      </w:pPr>
      <w:r>
        <w:rPr>
          <w:rFonts w:hint="eastAsia" w:ascii="楷体" w:hAnsi="楷体" w:eastAsia="楷体" w:cs="楷体"/>
          <w:spacing w:val="4"/>
          <w:szCs w:val="24"/>
        </w:rPr>
        <w:t>传    真：</w:t>
      </w:r>
      <w:r>
        <w:rPr>
          <w:rFonts w:hint="eastAsia" w:ascii="楷体" w:hAnsi="楷体" w:eastAsia="楷体" w:cs="楷体"/>
          <w:spacing w:val="4"/>
          <w:szCs w:val="24"/>
          <w:u w:val="single"/>
        </w:rPr>
        <w:t xml:space="preserve">                             </w:t>
      </w:r>
    </w:p>
    <w:p>
      <w:pPr>
        <w:spacing w:line="360" w:lineRule="auto"/>
        <w:ind w:firstLine="424" w:firstLineChars="171"/>
        <w:jc w:val="left"/>
        <w:rPr>
          <w:rFonts w:ascii="楷体" w:hAnsi="楷体" w:eastAsia="楷体" w:cs="楷体"/>
          <w:spacing w:val="4"/>
          <w:szCs w:val="24"/>
          <w:u w:val="single"/>
        </w:rPr>
      </w:pPr>
      <w:r>
        <w:rPr>
          <w:rFonts w:hint="eastAsia" w:ascii="楷体" w:hAnsi="楷体" w:eastAsia="楷体" w:cs="楷体"/>
          <w:spacing w:val="4"/>
          <w:szCs w:val="24"/>
        </w:rPr>
        <w:t>投标人名称（公章）：</w:t>
      </w:r>
      <w:r>
        <w:rPr>
          <w:rFonts w:hint="eastAsia" w:ascii="楷体" w:hAnsi="楷体" w:eastAsia="楷体" w:cs="楷体"/>
          <w:spacing w:val="4"/>
          <w:szCs w:val="24"/>
          <w:u w:val="single"/>
        </w:rPr>
        <w:t xml:space="preserve">                    </w:t>
      </w:r>
    </w:p>
    <w:p>
      <w:pPr>
        <w:spacing w:line="360" w:lineRule="auto"/>
        <w:ind w:firstLine="424" w:firstLineChars="171"/>
        <w:jc w:val="left"/>
        <w:rPr>
          <w:rFonts w:ascii="楷体" w:hAnsi="楷体" w:eastAsia="楷体" w:cs="楷体"/>
          <w:spacing w:val="4"/>
          <w:szCs w:val="24"/>
          <w:u w:val="single"/>
        </w:rPr>
      </w:pPr>
      <w:r>
        <w:rPr>
          <w:rFonts w:hint="eastAsia" w:ascii="楷体" w:hAnsi="楷体" w:eastAsia="楷体" w:cs="楷体"/>
          <w:spacing w:val="4"/>
          <w:szCs w:val="24"/>
        </w:rPr>
        <w:t>法定代表人（签字</w:t>
      </w:r>
      <w:r>
        <w:rPr>
          <w:rFonts w:hint="eastAsia" w:ascii="楷体" w:hAnsi="楷体" w:eastAsia="楷体" w:cs="楷体"/>
          <w:spacing w:val="4"/>
          <w:szCs w:val="24"/>
          <w:lang w:eastAsia="zh-CN"/>
        </w:rPr>
        <w:t>并</w:t>
      </w:r>
      <w:r>
        <w:rPr>
          <w:rFonts w:hint="eastAsia" w:ascii="楷体" w:hAnsi="楷体" w:eastAsia="楷体" w:cs="楷体"/>
          <w:spacing w:val="4"/>
          <w:szCs w:val="24"/>
        </w:rPr>
        <w:t>盖章）：</w:t>
      </w:r>
      <w:r>
        <w:rPr>
          <w:rFonts w:hint="eastAsia" w:ascii="楷体" w:hAnsi="楷体" w:eastAsia="楷体" w:cs="楷体"/>
          <w:spacing w:val="4"/>
          <w:szCs w:val="24"/>
          <w:u w:val="single"/>
        </w:rPr>
        <w:t xml:space="preserve">              </w:t>
      </w:r>
    </w:p>
    <w:p>
      <w:pPr>
        <w:spacing w:line="360" w:lineRule="auto"/>
        <w:ind w:firstLine="424" w:firstLineChars="171"/>
        <w:jc w:val="left"/>
        <w:rPr>
          <w:rFonts w:ascii="楷体" w:hAnsi="楷体" w:eastAsia="楷体" w:cs="楷体"/>
          <w:spacing w:val="4"/>
          <w:szCs w:val="24"/>
          <w:u w:val="single"/>
        </w:rPr>
      </w:pPr>
      <w:r>
        <w:rPr>
          <w:rFonts w:hint="eastAsia" w:ascii="楷体" w:hAnsi="楷体" w:eastAsia="楷体" w:cs="楷体"/>
          <w:spacing w:val="4"/>
          <w:szCs w:val="24"/>
        </w:rPr>
        <w:t xml:space="preserve">日    期： </w:t>
      </w:r>
      <w:r>
        <w:rPr>
          <w:rFonts w:hint="eastAsia" w:ascii="楷体" w:hAnsi="楷体" w:eastAsia="楷体" w:cs="楷体"/>
          <w:spacing w:val="4"/>
          <w:szCs w:val="24"/>
          <w:u w:val="single"/>
        </w:rPr>
        <w:t xml:space="preserve">                            </w:t>
      </w:r>
    </w:p>
    <w:p>
      <w:pPr>
        <w:spacing w:line="360" w:lineRule="auto"/>
        <w:jc w:val="center"/>
        <w:rPr>
          <w:rFonts w:ascii="楷体" w:hAnsi="楷体" w:eastAsia="楷体" w:cs="楷体"/>
          <w:sz w:val="32"/>
          <w:szCs w:val="32"/>
        </w:rPr>
      </w:pPr>
      <w:r>
        <w:rPr>
          <w:rFonts w:hint="eastAsia" w:ascii="楷体" w:hAnsi="楷体" w:eastAsia="楷体" w:cs="楷体"/>
          <w:spacing w:val="4"/>
          <w:szCs w:val="24"/>
          <w:u w:val="single"/>
        </w:rPr>
        <w:br w:type="page"/>
      </w:r>
      <w:r>
        <w:rPr>
          <w:rFonts w:hint="eastAsia" w:ascii="楷体" w:hAnsi="楷体" w:eastAsia="楷体" w:cs="楷体"/>
          <w:b/>
          <w:bCs/>
          <w:kern w:val="2"/>
          <w:sz w:val="32"/>
          <w:szCs w:val="32"/>
        </w:rPr>
        <w:t>二、法定代表人授权委托书</w:t>
      </w:r>
      <w:bookmarkEnd w:id="97"/>
      <w:bookmarkEnd w:id="98"/>
    </w:p>
    <w:p>
      <w:pPr>
        <w:spacing w:line="360" w:lineRule="auto"/>
        <w:jc w:val="center"/>
        <w:rPr>
          <w:rFonts w:ascii="楷体" w:hAnsi="楷体" w:eastAsia="楷体" w:cs="楷体"/>
          <w:b/>
          <w:bCs/>
          <w:sz w:val="30"/>
          <w:szCs w:val="30"/>
        </w:rPr>
      </w:pPr>
      <w:bookmarkStart w:id="99" w:name="_Toc324414285"/>
      <w:bookmarkStart w:id="100" w:name="_Toc283035204"/>
      <w:bookmarkStart w:id="101" w:name="_Toc282530019"/>
      <w:bookmarkStart w:id="102" w:name="_Toc363474029"/>
      <w:bookmarkStart w:id="103" w:name="_Toc283035117"/>
      <w:bookmarkStart w:id="104" w:name="_Toc4146"/>
      <w:bookmarkStart w:id="105" w:name="_Toc283035600"/>
      <w:bookmarkStart w:id="106" w:name="_Toc403077650"/>
      <w:bookmarkStart w:id="107" w:name="_Toc19169"/>
      <w:r>
        <w:rPr>
          <w:rFonts w:hint="eastAsia" w:ascii="楷体" w:hAnsi="楷体" w:eastAsia="楷体" w:cs="楷体"/>
          <w:b/>
          <w:bCs/>
          <w:sz w:val="30"/>
          <w:szCs w:val="30"/>
        </w:rPr>
        <w:t>2.1法定代表人身份证明书</w:t>
      </w:r>
    </w:p>
    <w:tbl>
      <w:tblPr>
        <w:tblStyle w:val="24"/>
        <w:tblpPr w:leftFromText="180" w:rightFromText="180" w:vertAnchor="text" w:horzAnchor="page" w:tblpX="1336" w:tblpY="126"/>
        <w:tblOverlap w:val="never"/>
        <w:tblW w:w="9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2317"/>
        <w:gridCol w:w="1843"/>
        <w:gridCol w:w="1253"/>
        <w:gridCol w:w="2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20" w:type="dxa"/>
            <w:gridSpan w:val="5"/>
          </w:tcPr>
          <w:p>
            <w:pPr>
              <w:tabs>
                <w:tab w:val="right" w:leader="dot" w:pos="9022"/>
              </w:tabs>
              <w:autoSpaceDE w:val="0"/>
              <w:autoSpaceDN w:val="0"/>
              <w:adjustRightInd w:val="0"/>
              <w:spacing w:line="560" w:lineRule="exact"/>
              <w:jc w:val="left"/>
              <w:rPr>
                <w:rFonts w:ascii="楷体" w:hAnsi="楷体" w:eastAsia="楷体" w:cs="楷体"/>
                <w:bCs/>
                <w:caps/>
                <w:szCs w:val="24"/>
              </w:rPr>
            </w:pPr>
            <w:r>
              <w:rPr>
                <w:rFonts w:hint="eastAsia" w:ascii="楷体" w:hAnsi="楷体" w:eastAsia="楷体" w:cs="楷体"/>
                <w:bCs/>
                <w:caps/>
                <w:szCs w:val="24"/>
              </w:rPr>
              <w:t>致：勉县公安局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0" w:type="dxa"/>
            <w:vAlign w:val="center"/>
          </w:tcPr>
          <w:p>
            <w:pPr>
              <w:tabs>
                <w:tab w:val="right" w:leader="dot" w:pos="9022"/>
              </w:tabs>
              <w:autoSpaceDE w:val="0"/>
              <w:autoSpaceDN w:val="0"/>
              <w:adjustRightInd w:val="0"/>
              <w:spacing w:line="560" w:lineRule="exact"/>
              <w:jc w:val="center"/>
              <w:rPr>
                <w:rFonts w:ascii="楷体" w:hAnsi="楷体" w:eastAsia="楷体" w:cs="楷体"/>
                <w:bCs/>
                <w:caps/>
                <w:szCs w:val="24"/>
              </w:rPr>
            </w:pPr>
            <w:r>
              <w:rPr>
                <w:rFonts w:hint="eastAsia" w:ascii="楷体" w:hAnsi="楷体" w:eastAsia="楷体" w:cs="楷体"/>
                <w:bCs/>
                <w:caps/>
                <w:szCs w:val="24"/>
              </w:rPr>
              <w:t xml:space="preserve">项目名称 </w:t>
            </w:r>
          </w:p>
        </w:tc>
        <w:tc>
          <w:tcPr>
            <w:tcW w:w="7900" w:type="dxa"/>
            <w:gridSpan w:val="4"/>
          </w:tcPr>
          <w:p>
            <w:pPr>
              <w:tabs>
                <w:tab w:val="right" w:leader="dot" w:pos="9022"/>
              </w:tabs>
              <w:autoSpaceDE w:val="0"/>
              <w:autoSpaceDN w:val="0"/>
              <w:adjustRightInd w:val="0"/>
              <w:spacing w:line="560" w:lineRule="exact"/>
              <w:jc w:val="left"/>
              <w:rPr>
                <w:rFonts w:ascii="楷体" w:hAnsi="楷体" w:eastAsia="楷体" w:cs="楷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0" w:type="dxa"/>
            <w:vAlign w:val="center"/>
          </w:tcPr>
          <w:p>
            <w:pPr>
              <w:tabs>
                <w:tab w:val="right" w:leader="dot" w:pos="9022"/>
              </w:tabs>
              <w:autoSpaceDE w:val="0"/>
              <w:autoSpaceDN w:val="0"/>
              <w:adjustRightInd w:val="0"/>
              <w:spacing w:line="560" w:lineRule="exact"/>
              <w:jc w:val="center"/>
              <w:rPr>
                <w:rFonts w:ascii="楷体" w:hAnsi="楷体" w:eastAsia="楷体" w:cs="楷体"/>
                <w:bCs/>
                <w:caps/>
                <w:szCs w:val="24"/>
              </w:rPr>
            </w:pPr>
            <w:r>
              <w:rPr>
                <w:rFonts w:hint="eastAsia" w:ascii="楷体" w:hAnsi="楷体" w:eastAsia="楷体" w:cs="楷体"/>
                <w:bCs/>
                <w:caps/>
                <w:szCs w:val="24"/>
              </w:rPr>
              <w:t>文件编号</w:t>
            </w:r>
          </w:p>
        </w:tc>
        <w:tc>
          <w:tcPr>
            <w:tcW w:w="7900" w:type="dxa"/>
            <w:gridSpan w:val="4"/>
          </w:tcPr>
          <w:p>
            <w:pPr>
              <w:tabs>
                <w:tab w:val="right" w:leader="dot" w:pos="9022"/>
              </w:tabs>
              <w:autoSpaceDE w:val="0"/>
              <w:autoSpaceDN w:val="0"/>
              <w:adjustRightInd w:val="0"/>
              <w:spacing w:line="560" w:lineRule="exact"/>
              <w:jc w:val="left"/>
              <w:rPr>
                <w:rFonts w:ascii="楷体" w:hAnsi="楷体" w:eastAsia="楷体" w:cs="楷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1520" w:type="dxa"/>
            <w:vAlign w:val="center"/>
          </w:tcPr>
          <w:p>
            <w:pPr>
              <w:tabs>
                <w:tab w:val="right" w:leader="dot" w:pos="9022"/>
              </w:tabs>
              <w:autoSpaceDE w:val="0"/>
              <w:autoSpaceDN w:val="0"/>
              <w:adjustRightInd w:val="0"/>
              <w:spacing w:line="560" w:lineRule="exact"/>
              <w:jc w:val="center"/>
              <w:rPr>
                <w:rFonts w:ascii="楷体" w:hAnsi="楷体" w:eastAsia="楷体" w:cs="楷体"/>
                <w:bCs/>
                <w:caps/>
                <w:szCs w:val="24"/>
              </w:rPr>
            </w:pPr>
            <w:r>
              <w:rPr>
                <w:rFonts w:hint="eastAsia" w:ascii="楷体" w:hAnsi="楷体" w:eastAsia="楷体" w:cs="楷体"/>
                <w:bCs/>
                <w:caps/>
                <w:szCs w:val="24"/>
              </w:rPr>
              <w:t>权   限</w:t>
            </w:r>
          </w:p>
        </w:tc>
        <w:tc>
          <w:tcPr>
            <w:tcW w:w="7900" w:type="dxa"/>
            <w:gridSpan w:val="4"/>
            <w:vAlign w:val="center"/>
          </w:tcPr>
          <w:p>
            <w:pPr>
              <w:tabs>
                <w:tab w:val="right" w:leader="dot" w:pos="9022"/>
              </w:tabs>
              <w:autoSpaceDE w:val="0"/>
              <w:autoSpaceDN w:val="0"/>
              <w:adjustRightInd w:val="0"/>
              <w:spacing w:line="560" w:lineRule="exact"/>
              <w:jc w:val="left"/>
              <w:rPr>
                <w:rFonts w:ascii="楷体" w:hAnsi="楷体" w:eastAsia="楷体" w:cs="楷体"/>
                <w:bCs/>
                <w:caps/>
                <w:szCs w:val="24"/>
              </w:rPr>
            </w:pPr>
            <w:r>
              <w:rPr>
                <w:rFonts w:hint="eastAsia" w:ascii="楷体" w:hAnsi="楷体" w:eastAsia="楷体" w:cs="楷体"/>
                <w:bCs/>
                <w:caps/>
                <w:szCs w:val="24"/>
              </w:rPr>
              <w:t>办理本次招标采购项目的投标、联系、洽谈、签约、执行等具体事务，签署全部有关文件、文书、协议及合同。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0" w:type="dxa"/>
            <w:vAlign w:val="center"/>
          </w:tcPr>
          <w:p>
            <w:pPr>
              <w:tabs>
                <w:tab w:val="right" w:leader="dot" w:pos="9022"/>
              </w:tabs>
              <w:autoSpaceDE w:val="0"/>
              <w:autoSpaceDN w:val="0"/>
              <w:adjustRightInd w:val="0"/>
              <w:spacing w:line="560" w:lineRule="exact"/>
              <w:jc w:val="center"/>
              <w:rPr>
                <w:rFonts w:ascii="楷体" w:hAnsi="楷体" w:eastAsia="楷体" w:cs="楷体"/>
                <w:bCs/>
                <w:caps/>
                <w:szCs w:val="24"/>
              </w:rPr>
            </w:pPr>
            <w:r>
              <w:rPr>
                <w:rFonts w:hint="eastAsia" w:ascii="楷体" w:hAnsi="楷体" w:eastAsia="楷体" w:cs="楷体"/>
                <w:bCs/>
                <w:caps/>
                <w:szCs w:val="24"/>
              </w:rPr>
              <w:t>有效期</w:t>
            </w:r>
          </w:p>
        </w:tc>
        <w:tc>
          <w:tcPr>
            <w:tcW w:w="7900" w:type="dxa"/>
            <w:gridSpan w:val="4"/>
            <w:vAlign w:val="center"/>
          </w:tcPr>
          <w:p>
            <w:pPr>
              <w:tabs>
                <w:tab w:val="right" w:leader="dot" w:pos="9022"/>
              </w:tabs>
              <w:autoSpaceDE w:val="0"/>
              <w:autoSpaceDN w:val="0"/>
              <w:adjustRightInd w:val="0"/>
              <w:spacing w:line="560" w:lineRule="exact"/>
              <w:jc w:val="left"/>
              <w:rPr>
                <w:rFonts w:ascii="楷体" w:hAnsi="楷体" w:eastAsia="楷体" w:cs="楷体"/>
                <w:bCs/>
                <w:caps/>
                <w:szCs w:val="24"/>
              </w:rPr>
            </w:pPr>
            <w:r>
              <w:rPr>
                <w:rFonts w:hint="eastAsia" w:ascii="楷体" w:hAnsi="楷体" w:eastAsia="楷体" w:cs="楷体"/>
                <w:szCs w:val="24"/>
              </w:rPr>
              <w:t>自提交投标文件的截止之日起90个日历日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0" w:type="dxa"/>
            <w:vMerge w:val="restart"/>
            <w:vAlign w:val="center"/>
          </w:tcPr>
          <w:p>
            <w:pPr>
              <w:tabs>
                <w:tab w:val="right" w:leader="dot" w:pos="9022"/>
              </w:tabs>
              <w:autoSpaceDE w:val="0"/>
              <w:autoSpaceDN w:val="0"/>
              <w:adjustRightInd w:val="0"/>
              <w:spacing w:line="560" w:lineRule="exact"/>
              <w:ind w:firstLine="240" w:firstLineChars="100"/>
              <w:rPr>
                <w:rFonts w:ascii="楷体" w:hAnsi="楷体" w:eastAsia="楷体" w:cs="楷体"/>
                <w:bCs/>
                <w:caps/>
                <w:szCs w:val="24"/>
              </w:rPr>
            </w:pPr>
            <w:r>
              <w:rPr>
                <w:rFonts w:hint="eastAsia" w:ascii="楷体" w:hAnsi="楷体" w:eastAsia="楷体" w:cs="楷体"/>
                <w:bCs/>
                <w:caps/>
                <w:szCs w:val="24"/>
              </w:rPr>
              <w:t>企业</w:t>
            </w:r>
          </w:p>
          <w:p>
            <w:pPr>
              <w:tabs>
                <w:tab w:val="right" w:leader="dot" w:pos="9022"/>
              </w:tabs>
              <w:autoSpaceDE w:val="0"/>
              <w:autoSpaceDN w:val="0"/>
              <w:adjustRightInd w:val="0"/>
              <w:spacing w:line="560" w:lineRule="exact"/>
              <w:ind w:firstLine="240" w:firstLineChars="100"/>
              <w:rPr>
                <w:rFonts w:ascii="楷体" w:hAnsi="楷体" w:eastAsia="楷体" w:cs="楷体"/>
                <w:bCs/>
                <w:caps/>
                <w:szCs w:val="24"/>
              </w:rPr>
            </w:pPr>
            <w:r>
              <w:rPr>
                <w:rFonts w:hint="eastAsia" w:ascii="楷体" w:hAnsi="楷体" w:eastAsia="楷体" w:cs="楷体"/>
                <w:bCs/>
                <w:caps/>
                <w:szCs w:val="24"/>
              </w:rPr>
              <w:t>信息</w:t>
            </w:r>
          </w:p>
        </w:tc>
        <w:tc>
          <w:tcPr>
            <w:tcW w:w="2317" w:type="dxa"/>
          </w:tcPr>
          <w:p>
            <w:pPr>
              <w:tabs>
                <w:tab w:val="right" w:leader="dot" w:pos="9022"/>
              </w:tabs>
              <w:autoSpaceDE w:val="0"/>
              <w:autoSpaceDN w:val="0"/>
              <w:adjustRightInd w:val="0"/>
              <w:spacing w:line="560" w:lineRule="exact"/>
              <w:jc w:val="left"/>
              <w:rPr>
                <w:rFonts w:ascii="楷体" w:hAnsi="楷体" w:eastAsia="楷体" w:cs="楷体"/>
                <w:bCs/>
                <w:caps/>
                <w:szCs w:val="24"/>
              </w:rPr>
            </w:pPr>
            <w:r>
              <w:rPr>
                <w:rFonts w:hint="eastAsia" w:ascii="楷体" w:hAnsi="楷体" w:eastAsia="楷体" w:cs="楷体"/>
                <w:bCs/>
                <w:caps/>
                <w:szCs w:val="24"/>
              </w:rPr>
              <w:t xml:space="preserve">企 业 名 称 </w:t>
            </w:r>
          </w:p>
        </w:tc>
        <w:tc>
          <w:tcPr>
            <w:tcW w:w="5583" w:type="dxa"/>
            <w:gridSpan w:val="3"/>
          </w:tcPr>
          <w:p>
            <w:pPr>
              <w:tabs>
                <w:tab w:val="right" w:leader="dot" w:pos="9022"/>
              </w:tabs>
              <w:autoSpaceDE w:val="0"/>
              <w:autoSpaceDN w:val="0"/>
              <w:adjustRightInd w:val="0"/>
              <w:spacing w:line="560" w:lineRule="exact"/>
              <w:jc w:val="left"/>
              <w:rPr>
                <w:rFonts w:ascii="楷体" w:hAnsi="楷体" w:eastAsia="楷体" w:cs="楷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0" w:type="dxa"/>
            <w:vMerge w:val="continue"/>
            <w:vAlign w:val="center"/>
          </w:tcPr>
          <w:p>
            <w:pPr>
              <w:tabs>
                <w:tab w:val="right" w:leader="dot" w:pos="9022"/>
              </w:tabs>
              <w:autoSpaceDE w:val="0"/>
              <w:autoSpaceDN w:val="0"/>
              <w:adjustRightInd w:val="0"/>
              <w:spacing w:line="560" w:lineRule="exact"/>
              <w:jc w:val="center"/>
              <w:rPr>
                <w:rFonts w:ascii="楷体" w:hAnsi="楷体" w:eastAsia="楷体" w:cs="楷体"/>
                <w:bCs/>
                <w:caps/>
                <w:szCs w:val="24"/>
              </w:rPr>
            </w:pPr>
          </w:p>
        </w:tc>
        <w:tc>
          <w:tcPr>
            <w:tcW w:w="2317" w:type="dxa"/>
          </w:tcPr>
          <w:p>
            <w:pPr>
              <w:tabs>
                <w:tab w:val="right" w:leader="dot" w:pos="9022"/>
              </w:tabs>
              <w:autoSpaceDE w:val="0"/>
              <w:autoSpaceDN w:val="0"/>
              <w:adjustRightInd w:val="0"/>
              <w:spacing w:line="560" w:lineRule="exact"/>
              <w:jc w:val="left"/>
              <w:rPr>
                <w:rFonts w:ascii="楷体" w:hAnsi="楷体" w:eastAsia="楷体" w:cs="楷体"/>
                <w:bCs/>
                <w:caps/>
                <w:szCs w:val="24"/>
              </w:rPr>
            </w:pPr>
            <w:r>
              <w:rPr>
                <w:rFonts w:hint="eastAsia" w:ascii="楷体" w:hAnsi="楷体" w:eastAsia="楷体" w:cs="楷体"/>
                <w:bCs/>
                <w:caps/>
                <w:szCs w:val="24"/>
              </w:rPr>
              <w:t>法 定 地 址</w:t>
            </w:r>
          </w:p>
        </w:tc>
        <w:tc>
          <w:tcPr>
            <w:tcW w:w="5583" w:type="dxa"/>
            <w:gridSpan w:val="3"/>
          </w:tcPr>
          <w:p>
            <w:pPr>
              <w:tabs>
                <w:tab w:val="right" w:leader="dot" w:pos="9022"/>
              </w:tabs>
              <w:autoSpaceDE w:val="0"/>
              <w:autoSpaceDN w:val="0"/>
              <w:adjustRightInd w:val="0"/>
              <w:spacing w:line="560" w:lineRule="exact"/>
              <w:jc w:val="left"/>
              <w:rPr>
                <w:rFonts w:ascii="楷体" w:hAnsi="楷体" w:eastAsia="楷体" w:cs="楷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0" w:type="dxa"/>
            <w:vMerge w:val="continue"/>
            <w:vAlign w:val="center"/>
          </w:tcPr>
          <w:p>
            <w:pPr>
              <w:tabs>
                <w:tab w:val="right" w:leader="dot" w:pos="9022"/>
              </w:tabs>
              <w:autoSpaceDE w:val="0"/>
              <w:autoSpaceDN w:val="0"/>
              <w:adjustRightInd w:val="0"/>
              <w:spacing w:line="560" w:lineRule="exact"/>
              <w:jc w:val="center"/>
              <w:rPr>
                <w:rFonts w:ascii="楷体" w:hAnsi="楷体" w:eastAsia="楷体" w:cs="楷体"/>
                <w:bCs/>
                <w:caps/>
                <w:szCs w:val="24"/>
              </w:rPr>
            </w:pPr>
          </w:p>
        </w:tc>
        <w:tc>
          <w:tcPr>
            <w:tcW w:w="2317" w:type="dxa"/>
          </w:tcPr>
          <w:p>
            <w:pPr>
              <w:tabs>
                <w:tab w:val="right" w:leader="dot" w:pos="9022"/>
              </w:tabs>
              <w:autoSpaceDE w:val="0"/>
              <w:autoSpaceDN w:val="0"/>
              <w:adjustRightInd w:val="0"/>
              <w:spacing w:line="560" w:lineRule="exact"/>
              <w:jc w:val="left"/>
              <w:rPr>
                <w:rFonts w:ascii="楷体" w:hAnsi="楷体" w:eastAsia="楷体" w:cs="楷体"/>
                <w:bCs/>
                <w:caps/>
                <w:szCs w:val="24"/>
              </w:rPr>
            </w:pPr>
            <w:r>
              <w:rPr>
                <w:rFonts w:hint="eastAsia" w:ascii="楷体" w:hAnsi="楷体" w:eastAsia="楷体" w:cs="楷体"/>
                <w:bCs/>
                <w:caps/>
                <w:szCs w:val="24"/>
              </w:rPr>
              <w:t>营业执照注册证号</w:t>
            </w:r>
          </w:p>
        </w:tc>
        <w:tc>
          <w:tcPr>
            <w:tcW w:w="5583" w:type="dxa"/>
            <w:gridSpan w:val="3"/>
          </w:tcPr>
          <w:p>
            <w:pPr>
              <w:tabs>
                <w:tab w:val="right" w:leader="dot" w:pos="9022"/>
              </w:tabs>
              <w:autoSpaceDE w:val="0"/>
              <w:autoSpaceDN w:val="0"/>
              <w:adjustRightInd w:val="0"/>
              <w:spacing w:line="560" w:lineRule="exact"/>
              <w:jc w:val="left"/>
              <w:rPr>
                <w:rFonts w:ascii="楷体" w:hAnsi="楷体" w:eastAsia="楷体" w:cs="楷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0" w:type="dxa"/>
            <w:vMerge w:val="continue"/>
            <w:vAlign w:val="center"/>
          </w:tcPr>
          <w:p>
            <w:pPr>
              <w:tabs>
                <w:tab w:val="right" w:leader="dot" w:pos="9022"/>
              </w:tabs>
              <w:autoSpaceDE w:val="0"/>
              <w:autoSpaceDN w:val="0"/>
              <w:adjustRightInd w:val="0"/>
              <w:spacing w:line="560" w:lineRule="exact"/>
              <w:jc w:val="center"/>
              <w:rPr>
                <w:rFonts w:ascii="楷体" w:hAnsi="楷体" w:eastAsia="楷体" w:cs="楷体"/>
                <w:bCs/>
                <w:caps/>
                <w:szCs w:val="24"/>
              </w:rPr>
            </w:pPr>
          </w:p>
        </w:tc>
        <w:tc>
          <w:tcPr>
            <w:tcW w:w="2317" w:type="dxa"/>
          </w:tcPr>
          <w:p>
            <w:pPr>
              <w:tabs>
                <w:tab w:val="right" w:leader="dot" w:pos="9022"/>
              </w:tabs>
              <w:spacing w:line="560" w:lineRule="exact"/>
              <w:rPr>
                <w:rFonts w:ascii="楷体" w:hAnsi="楷体" w:eastAsia="楷体" w:cs="楷体"/>
                <w:bCs/>
                <w:caps/>
                <w:szCs w:val="24"/>
              </w:rPr>
            </w:pPr>
            <w:r>
              <w:rPr>
                <w:rFonts w:hint="eastAsia" w:ascii="楷体" w:hAnsi="楷体" w:eastAsia="楷体" w:cs="楷体"/>
                <w:bCs/>
                <w:caps/>
                <w:szCs w:val="24"/>
              </w:rPr>
              <w:t>工商登记机关</w:t>
            </w:r>
          </w:p>
        </w:tc>
        <w:tc>
          <w:tcPr>
            <w:tcW w:w="5583" w:type="dxa"/>
            <w:gridSpan w:val="3"/>
          </w:tcPr>
          <w:p>
            <w:pPr>
              <w:tabs>
                <w:tab w:val="right" w:leader="dot" w:pos="9022"/>
              </w:tabs>
              <w:autoSpaceDE w:val="0"/>
              <w:autoSpaceDN w:val="0"/>
              <w:adjustRightInd w:val="0"/>
              <w:spacing w:line="560" w:lineRule="exact"/>
              <w:jc w:val="left"/>
              <w:rPr>
                <w:rFonts w:ascii="楷体" w:hAnsi="楷体" w:eastAsia="楷体" w:cs="楷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0" w:type="dxa"/>
            <w:vMerge w:val="continue"/>
            <w:vAlign w:val="center"/>
          </w:tcPr>
          <w:p>
            <w:pPr>
              <w:tabs>
                <w:tab w:val="right" w:leader="dot" w:pos="9022"/>
              </w:tabs>
              <w:autoSpaceDE w:val="0"/>
              <w:autoSpaceDN w:val="0"/>
              <w:adjustRightInd w:val="0"/>
              <w:spacing w:line="560" w:lineRule="exact"/>
              <w:jc w:val="center"/>
              <w:rPr>
                <w:rFonts w:ascii="楷体" w:hAnsi="楷体" w:eastAsia="楷体" w:cs="楷体"/>
                <w:bCs/>
                <w:caps/>
                <w:szCs w:val="24"/>
              </w:rPr>
            </w:pPr>
          </w:p>
        </w:tc>
        <w:tc>
          <w:tcPr>
            <w:tcW w:w="2317" w:type="dxa"/>
          </w:tcPr>
          <w:p>
            <w:pPr>
              <w:tabs>
                <w:tab w:val="right" w:leader="dot" w:pos="9022"/>
              </w:tabs>
              <w:spacing w:line="560" w:lineRule="exact"/>
              <w:rPr>
                <w:rFonts w:ascii="楷体" w:hAnsi="楷体" w:eastAsia="楷体" w:cs="楷体"/>
                <w:bCs/>
                <w:caps/>
                <w:szCs w:val="24"/>
              </w:rPr>
            </w:pPr>
            <w:r>
              <w:rPr>
                <w:rFonts w:hint="eastAsia" w:ascii="楷体" w:hAnsi="楷体" w:eastAsia="楷体" w:cs="楷体"/>
                <w:bCs/>
                <w:caps/>
                <w:szCs w:val="24"/>
              </w:rPr>
              <w:t>网        址</w:t>
            </w:r>
          </w:p>
        </w:tc>
        <w:tc>
          <w:tcPr>
            <w:tcW w:w="5583" w:type="dxa"/>
            <w:gridSpan w:val="3"/>
          </w:tcPr>
          <w:p>
            <w:pPr>
              <w:tabs>
                <w:tab w:val="right" w:leader="dot" w:pos="9022"/>
              </w:tabs>
              <w:autoSpaceDE w:val="0"/>
              <w:autoSpaceDN w:val="0"/>
              <w:adjustRightInd w:val="0"/>
              <w:spacing w:line="560" w:lineRule="exact"/>
              <w:jc w:val="left"/>
              <w:rPr>
                <w:rFonts w:ascii="楷体" w:hAnsi="楷体" w:eastAsia="楷体" w:cs="楷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0" w:type="dxa"/>
            <w:vMerge w:val="restart"/>
            <w:vAlign w:val="center"/>
          </w:tcPr>
          <w:p>
            <w:pPr>
              <w:tabs>
                <w:tab w:val="right" w:leader="dot" w:pos="9022"/>
              </w:tabs>
              <w:autoSpaceDE w:val="0"/>
              <w:autoSpaceDN w:val="0"/>
              <w:adjustRightInd w:val="0"/>
              <w:spacing w:line="560" w:lineRule="exact"/>
              <w:jc w:val="center"/>
              <w:rPr>
                <w:rFonts w:ascii="楷体" w:hAnsi="楷体" w:eastAsia="楷体" w:cs="楷体"/>
                <w:bCs/>
                <w:caps/>
                <w:szCs w:val="24"/>
              </w:rPr>
            </w:pPr>
            <w:r>
              <w:rPr>
                <w:rFonts w:hint="eastAsia" w:ascii="楷体" w:hAnsi="楷体" w:eastAsia="楷体" w:cs="楷体"/>
                <w:bCs/>
                <w:caps/>
                <w:szCs w:val="24"/>
              </w:rPr>
              <w:t>法定代</w:t>
            </w:r>
          </w:p>
          <w:p>
            <w:pPr>
              <w:tabs>
                <w:tab w:val="right" w:leader="dot" w:pos="9022"/>
              </w:tabs>
              <w:autoSpaceDE w:val="0"/>
              <w:autoSpaceDN w:val="0"/>
              <w:adjustRightInd w:val="0"/>
              <w:spacing w:line="560" w:lineRule="exact"/>
              <w:jc w:val="center"/>
              <w:rPr>
                <w:rFonts w:ascii="楷体" w:hAnsi="楷体" w:eastAsia="楷体" w:cs="楷体"/>
                <w:bCs/>
                <w:caps/>
                <w:szCs w:val="24"/>
              </w:rPr>
            </w:pPr>
            <w:r>
              <w:rPr>
                <w:rFonts w:hint="eastAsia" w:ascii="楷体" w:hAnsi="楷体" w:eastAsia="楷体" w:cs="楷体"/>
                <w:bCs/>
                <w:caps/>
                <w:szCs w:val="24"/>
              </w:rPr>
              <w:t>表人</w:t>
            </w:r>
          </w:p>
        </w:tc>
        <w:tc>
          <w:tcPr>
            <w:tcW w:w="2317" w:type="dxa"/>
          </w:tcPr>
          <w:p>
            <w:pPr>
              <w:tabs>
                <w:tab w:val="right" w:leader="dot" w:pos="9022"/>
              </w:tabs>
              <w:autoSpaceDE w:val="0"/>
              <w:autoSpaceDN w:val="0"/>
              <w:adjustRightInd w:val="0"/>
              <w:spacing w:line="560" w:lineRule="exact"/>
              <w:ind w:firstLine="240" w:firstLineChars="100"/>
              <w:jc w:val="left"/>
              <w:rPr>
                <w:rFonts w:ascii="楷体" w:hAnsi="楷体" w:eastAsia="楷体" w:cs="楷体"/>
                <w:bCs/>
                <w:caps/>
                <w:szCs w:val="24"/>
              </w:rPr>
            </w:pPr>
            <w:r>
              <w:rPr>
                <w:rFonts w:hint="eastAsia" w:ascii="楷体" w:hAnsi="楷体" w:eastAsia="楷体" w:cs="楷体"/>
                <w:bCs/>
                <w:caps/>
                <w:szCs w:val="24"/>
              </w:rPr>
              <w:t>姓    名</w:t>
            </w:r>
          </w:p>
        </w:tc>
        <w:tc>
          <w:tcPr>
            <w:tcW w:w="1843" w:type="dxa"/>
          </w:tcPr>
          <w:p>
            <w:pPr>
              <w:tabs>
                <w:tab w:val="right" w:leader="dot" w:pos="9022"/>
              </w:tabs>
              <w:autoSpaceDE w:val="0"/>
              <w:autoSpaceDN w:val="0"/>
              <w:adjustRightInd w:val="0"/>
              <w:spacing w:line="560" w:lineRule="exact"/>
              <w:jc w:val="left"/>
              <w:rPr>
                <w:rFonts w:ascii="楷体" w:hAnsi="楷体" w:eastAsia="楷体" w:cs="楷体"/>
                <w:bCs/>
                <w:caps/>
                <w:szCs w:val="24"/>
              </w:rPr>
            </w:pPr>
          </w:p>
        </w:tc>
        <w:tc>
          <w:tcPr>
            <w:tcW w:w="1253" w:type="dxa"/>
          </w:tcPr>
          <w:p>
            <w:pPr>
              <w:tabs>
                <w:tab w:val="right" w:leader="dot" w:pos="9022"/>
              </w:tabs>
              <w:autoSpaceDE w:val="0"/>
              <w:autoSpaceDN w:val="0"/>
              <w:adjustRightInd w:val="0"/>
              <w:spacing w:line="560" w:lineRule="exact"/>
              <w:jc w:val="left"/>
              <w:rPr>
                <w:rFonts w:ascii="楷体" w:hAnsi="楷体" w:eastAsia="楷体" w:cs="楷体"/>
                <w:bCs/>
                <w:caps/>
                <w:szCs w:val="24"/>
              </w:rPr>
            </w:pPr>
            <w:r>
              <w:rPr>
                <w:rFonts w:hint="eastAsia" w:ascii="楷体" w:hAnsi="楷体" w:eastAsia="楷体" w:cs="楷体"/>
                <w:bCs/>
                <w:caps/>
                <w:szCs w:val="24"/>
              </w:rPr>
              <w:t>性    别</w:t>
            </w:r>
          </w:p>
        </w:tc>
        <w:tc>
          <w:tcPr>
            <w:tcW w:w="2487" w:type="dxa"/>
          </w:tcPr>
          <w:p>
            <w:pPr>
              <w:tabs>
                <w:tab w:val="right" w:leader="dot" w:pos="9022"/>
              </w:tabs>
              <w:autoSpaceDE w:val="0"/>
              <w:autoSpaceDN w:val="0"/>
              <w:adjustRightInd w:val="0"/>
              <w:spacing w:line="560" w:lineRule="exact"/>
              <w:jc w:val="left"/>
              <w:rPr>
                <w:rFonts w:ascii="楷体" w:hAnsi="楷体" w:eastAsia="楷体" w:cs="楷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0" w:type="dxa"/>
            <w:vMerge w:val="continue"/>
            <w:vAlign w:val="center"/>
          </w:tcPr>
          <w:p>
            <w:pPr>
              <w:tabs>
                <w:tab w:val="right" w:leader="dot" w:pos="9022"/>
              </w:tabs>
              <w:autoSpaceDE w:val="0"/>
              <w:autoSpaceDN w:val="0"/>
              <w:adjustRightInd w:val="0"/>
              <w:spacing w:line="560" w:lineRule="exact"/>
              <w:jc w:val="center"/>
              <w:rPr>
                <w:rFonts w:ascii="楷体" w:hAnsi="楷体" w:eastAsia="楷体" w:cs="楷体"/>
                <w:bCs/>
                <w:caps/>
                <w:szCs w:val="24"/>
              </w:rPr>
            </w:pPr>
          </w:p>
        </w:tc>
        <w:tc>
          <w:tcPr>
            <w:tcW w:w="2317" w:type="dxa"/>
          </w:tcPr>
          <w:p>
            <w:pPr>
              <w:tabs>
                <w:tab w:val="right" w:leader="dot" w:pos="9022"/>
              </w:tabs>
              <w:autoSpaceDE w:val="0"/>
              <w:autoSpaceDN w:val="0"/>
              <w:adjustRightInd w:val="0"/>
              <w:spacing w:line="560" w:lineRule="exact"/>
              <w:ind w:firstLine="240" w:firstLineChars="100"/>
              <w:jc w:val="left"/>
              <w:rPr>
                <w:rFonts w:ascii="楷体" w:hAnsi="楷体" w:eastAsia="楷体" w:cs="楷体"/>
                <w:bCs/>
                <w:caps/>
                <w:szCs w:val="24"/>
              </w:rPr>
            </w:pPr>
            <w:r>
              <w:rPr>
                <w:rFonts w:hint="eastAsia" w:ascii="楷体" w:hAnsi="楷体" w:eastAsia="楷体" w:cs="楷体"/>
                <w:bCs/>
                <w:caps/>
                <w:szCs w:val="24"/>
              </w:rPr>
              <w:t>职    务</w:t>
            </w:r>
          </w:p>
        </w:tc>
        <w:tc>
          <w:tcPr>
            <w:tcW w:w="1843" w:type="dxa"/>
          </w:tcPr>
          <w:p>
            <w:pPr>
              <w:tabs>
                <w:tab w:val="right" w:leader="dot" w:pos="9022"/>
              </w:tabs>
              <w:autoSpaceDE w:val="0"/>
              <w:autoSpaceDN w:val="0"/>
              <w:adjustRightInd w:val="0"/>
              <w:spacing w:line="560" w:lineRule="exact"/>
              <w:jc w:val="left"/>
              <w:rPr>
                <w:rFonts w:ascii="楷体" w:hAnsi="楷体" w:eastAsia="楷体" w:cs="楷体"/>
                <w:bCs/>
                <w:caps/>
                <w:szCs w:val="24"/>
              </w:rPr>
            </w:pPr>
          </w:p>
        </w:tc>
        <w:tc>
          <w:tcPr>
            <w:tcW w:w="1253" w:type="dxa"/>
          </w:tcPr>
          <w:p>
            <w:pPr>
              <w:tabs>
                <w:tab w:val="right" w:leader="dot" w:pos="9022"/>
              </w:tabs>
              <w:autoSpaceDE w:val="0"/>
              <w:autoSpaceDN w:val="0"/>
              <w:adjustRightInd w:val="0"/>
              <w:spacing w:line="560" w:lineRule="exact"/>
              <w:jc w:val="left"/>
              <w:rPr>
                <w:rFonts w:ascii="楷体" w:hAnsi="楷体" w:eastAsia="楷体" w:cs="楷体"/>
                <w:bCs/>
                <w:caps/>
                <w:szCs w:val="24"/>
              </w:rPr>
            </w:pPr>
            <w:r>
              <w:rPr>
                <w:rFonts w:hint="eastAsia" w:ascii="楷体" w:hAnsi="楷体" w:eastAsia="楷体" w:cs="楷体"/>
                <w:bCs/>
                <w:caps/>
                <w:szCs w:val="24"/>
              </w:rPr>
              <w:t>联系电话</w:t>
            </w:r>
          </w:p>
        </w:tc>
        <w:tc>
          <w:tcPr>
            <w:tcW w:w="2487" w:type="dxa"/>
          </w:tcPr>
          <w:p>
            <w:pPr>
              <w:tabs>
                <w:tab w:val="right" w:leader="dot" w:pos="9022"/>
              </w:tabs>
              <w:autoSpaceDE w:val="0"/>
              <w:autoSpaceDN w:val="0"/>
              <w:adjustRightInd w:val="0"/>
              <w:spacing w:line="560" w:lineRule="exact"/>
              <w:jc w:val="left"/>
              <w:rPr>
                <w:rFonts w:ascii="楷体" w:hAnsi="楷体" w:eastAsia="楷体" w:cs="楷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0" w:type="dxa"/>
            <w:vMerge w:val="continue"/>
            <w:vAlign w:val="center"/>
          </w:tcPr>
          <w:p>
            <w:pPr>
              <w:tabs>
                <w:tab w:val="right" w:leader="dot" w:pos="9022"/>
              </w:tabs>
              <w:autoSpaceDE w:val="0"/>
              <w:autoSpaceDN w:val="0"/>
              <w:adjustRightInd w:val="0"/>
              <w:spacing w:line="560" w:lineRule="exact"/>
              <w:jc w:val="center"/>
              <w:rPr>
                <w:rFonts w:ascii="楷体" w:hAnsi="楷体" w:eastAsia="楷体" w:cs="楷体"/>
                <w:bCs/>
                <w:caps/>
                <w:szCs w:val="24"/>
              </w:rPr>
            </w:pPr>
          </w:p>
        </w:tc>
        <w:tc>
          <w:tcPr>
            <w:tcW w:w="2317" w:type="dxa"/>
          </w:tcPr>
          <w:p>
            <w:pPr>
              <w:tabs>
                <w:tab w:val="right" w:leader="dot" w:pos="9022"/>
              </w:tabs>
              <w:autoSpaceDE w:val="0"/>
              <w:autoSpaceDN w:val="0"/>
              <w:adjustRightInd w:val="0"/>
              <w:spacing w:line="560" w:lineRule="exact"/>
              <w:ind w:firstLine="240" w:firstLineChars="100"/>
              <w:jc w:val="left"/>
              <w:rPr>
                <w:rFonts w:ascii="楷体" w:hAnsi="楷体" w:eastAsia="楷体" w:cs="楷体"/>
                <w:bCs/>
                <w:caps/>
                <w:szCs w:val="24"/>
              </w:rPr>
            </w:pPr>
            <w:r>
              <w:rPr>
                <w:rFonts w:hint="eastAsia" w:ascii="楷体" w:hAnsi="楷体" w:eastAsia="楷体" w:cs="楷体"/>
                <w:bCs/>
                <w:caps/>
                <w:szCs w:val="24"/>
              </w:rPr>
              <w:t>传    真</w:t>
            </w:r>
          </w:p>
        </w:tc>
        <w:tc>
          <w:tcPr>
            <w:tcW w:w="5583" w:type="dxa"/>
            <w:gridSpan w:val="3"/>
          </w:tcPr>
          <w:p>
            <w:pPr>
              <w:tabs>
                <w:tab w:val="right" w:leader="dot" w:pos="9022"/>
              </w:tabs>
              <w:autoSpaceDE w:val="0"/>
              <w:autoSpaceDN w:val="0"/>
              <w:adjustRightInd w:val="0"/>
              <w:spacing w:line="560" w:lineRule="exact"/>
              <w:jc w:val="left"/>
              <w:rPr>
                <w:rFonts w:ascii="楷体" w:hAnsi="楷体" w:eastAsia="楷体" w:cs="楷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0" w:type="dxa"/>
            <w:vMerge w:val="continue"/>
            <w:vAlign w:val="center"/>
          </w:tcPr>
          <w:p>
            <w:pPr>
              <w:tabs>
                <w:tab w:val="right" w:leader="dot" w:pos="9022"/>
              </w:tabs>
              <w:autoSpaceDE w:val="0"/>
              <w:autoSpaceDN w:val="0"/>
              <w:adjustRightInd w:val="0"/>
              <w:spacing w:line="560" w:lineRule="exact"/>
              <w:jc w:val="center"/>
              <w:rPr>
                <w:rFonts w:ascii="楷体" w:hAnsi="楷体" w:eastAsia="楷体" w:cs="楷体"/>
                <w:bCs/>
                <w:caps/>
                <w:szCs w:val="24"/>
              </w:rPr>
            </w:pPr>
          </w:p>
        </w:tc>
        <w:tc>
          <w:tcPr>
            <w:tcW w:w="2317" w:type="dxa"/>
          </w:tcPr>
          <w:p>
            <w:pPr>
              <w:tabs>
                <w:tab w:val="right" w:leader="dot" w:pos="9022"/>
              </w:tabs>
              <w:autoSpaceDE w:val="0"/>
              <w:autoSpaceDN w:val="0"/>
              <w:adjustRightInd w:val="0"/>
              <w:spacing w:line="560" w:lineRule="exact"/>
              <w:ind w:firstLine="240" w:firstLineChars="100"/>
              <w:jc w:val="left"/>
              <w:rPr>
                <w:rFonts w:ascii="楷体" w:hAnsi="楷体" w:eastAsia="楷体" w:cs="楷体"/>
                <w:bCs/>
                <w:caps/>
                <w:szCs w:val="24"/>
              </w:rPr>
            </w:pPr>
            <w:r>
              <w:rPr>
                <w:rFonts w:hint="eastAsia" w:ascii="楷体" w:hAnsi="楷体" w:eastAsia="楷体" w:cs="楷体"/>
                <w:bCs/>
                <w:caps/>
                <w:szCs w:val="24"/>
              </w:rPr>
              <w:t>通讯地址</w:t>
            </w:r>
          </w:p>
        </w:tc>
        <w:tc>
          <w:tcPr>
            <w:tcW w:w="5583" w:type="dxa"/>
            <w:gridSpan w:val="3"/>
          </w:tcPr>
          <w:p>
            <w:pPr>
              <w:tabs>
                <w:tab w:val="right" w:leader="dot" w:pos="9022"/>
              </w:tabs>
              <w:autoSpaceDE w:val="0"/>
              <w:autoSpaceDN w:val="0"/>
              <w:adjustRightInd w:val="0"/>
              <w:spacing w:line="560" w:lineRule="exact"/>
              <w:jc w:val="left"/>
              <w:rPr>
                <w:rFonts w:ascii="楷体" w:hAnsi="楷体" w:eastAsia="楷体" w:cs="楷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trPr>
        <w:tc>
          <w:tcPr>
            <w:tcW w:w="9420" w:type="dxa"/>
            <w:gridSpan w:val="5"/>
          </w:tcPr>
          <w:p>
            <w:pPr>
              <w:tabs>
                <w:tab w:val="right" w:leader="dot" w:pos="9022"/>
              </w:tabs>
              <w:autoSpaceDE w:val="0"/>
              <w:autoSpaceDN w:val="0"/>
              <w:adjustRightInd w:val="0"/>
              <w:spacing w:line="560" w:lineRule="exact"/>
              <w:jc w:val="center"/>
              <w:rPr>
                <w:rFonts w:ascii="楷体" w:hAnsi="楷体" w:eastAsia="楷体" w:cs="楷体"/>
                <w:bCs/>
                <w:caps/>
                <w:szCs w:val="24"/>
              </w:rPr>
            </w:pPr>
            <w:r>
              <w:rPr>
                <w:rFonts w:hint="eastAsia" w:ascii="楷体" w:hAnsi="楷体" w:eastAsia="楷体" w:cs="楷体"/>
                <w:bCs/>
                <w:caps/>
                <w:szCs w:val="24"/>
              </w:rPr>
              <w:t>法定代表人身份证复印件</w:t>
            </w:r>
          </w:p>
          <w:p>
            <w:pPr>
              <w:tabs>
                <w:tab w:val="right" w:leader="dot" w:pos="9022"/>
              </w:tabs>
              <w:autoSpaceDE w:val="0"/>
              <w:autoSpaceDN w:val="0"/>
              <w:adjustRightInd w:val="0"/>
              <w:spacing w:line="560" w:lineRule="exact"/>
              <w:jc w:val="center"/>
              <w:rPr>
                <w:rFonts w:ascii="楷体" w:hAnsi="楷体" w:eastAsia="楷体" w:cs="楷体"/>
                <w:spacing w:val="-4"/>
                <w:szCs w:val="24"/>
              </w:rPr>
            </w:pPr>
          </w:p>
          <w:p>
            <w:pPr>
              <w:tabs>
                <w:tab w:val="right" w:leader="dot" w:pos="9022"/>
              </w:tabs>
              <w:autoSpaceDE w:val="0"/>
              <w:autoSpaceDN w:val="0"/>
              <w:adjustRightInd w:val="0"/>
              <w:spacing w:line="560" w:lineRule="exact"/>
              <w:jc w:val="center"/>
              <w:rPr>
                <w:rFonts w:ascii="楷体" w:hAnsi="楷体" w:eastAsia="楷体" w:cs="楷体"/>
                <w:bCs/>
                <w:caps/>
                <w:szCs w:val="24"/>
              </w:rPr>
            </w:pPr>
            <w:r>
              <w:rPr>
                <w:rFonts w:hint="eastAsia" w:ascii="楷体" w:hAnsi="楷体" w:eastAsia="楷体" w:cs="楷体"/>
                <w:spacing w:val="-4"/>
                <w:szCs w:val="24"/>
              </w:rPr>
              <w:t>二代身份证正、反两面都需复印</w:t>
            </w:r>
          </w:p>
          <w:p>
            <w:pPr>
              <w:tabs>
                <w:tab w:val="right" w:leader="dot" w:pos="9022"/>
              </w:tabs>
              <w:autoSpaceDE w:val="0"/>
              <w:autoSpaceDN w:val="0"/>
              <w:adjustRightInd w:val="0"/>
              <w:spacing w:line="560" w:lineRule="exact"/>
              <w:jc w:val="center"/>
              <w:rPr>
                <w:rFonts w:ascii="楷体" w:hAnsi="楷体" w:eastAsia="楷体" w:cs="楷体"/>
                <w:bCs/>
                <w:caps/>
                <w:szCs w:val="24"/>
              </w:rPr>
            </w:pPr>
            <w:r>
              <w:rPr>
                <w:rFonts w:hint="eastAsia" w:ascii="楷体" w:hAnsi="楷体" w:eastAsia="楷体" w:cs="楷体"/>
                <w:bCs/>
                <w:caps/>
                <w:szCs w:val="24"/>
              </w:rPr>
              <w:t>（粘贴处）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420" w:type="dxa"/>
            <w:gridSpan w:val="5"/>
          </w:tcPr>
          <w:p>
            <w:pPr>
              <w:tabs>
                <w:tab w:val="right" w:leader="dot" w:pos="9022"/>
              </w:tabs>
              <w:autoSpaceDE w:val="0"/>
              <w:autoSpaceDN w:val="0"/>
              <w:adjustRightInd w:val="0"/>
              <w:spacing w:line="560" w:lineRule="exact"/>
              <w:jc w:val="left"/>
              <w:rPr>
                <w:rFonts w:ascii="楷体" w:hAnsi="楷体" w:eastAsia="楷体" w:cs="楷体"/>
                <w:bCs/>
                <w:caps/>
                <w:szCs w:val="24"/>
              </w:rPr>
            </w:pPr>
            <w:r>
              <w:rPr>
                <w:rFonts w:hint="eastAsia" w:ascii="楷体" w:hAnsi="楷体" w:eastAsia="楷体" w:cs="楷体"/>
                <w:bCs/>
                <w:caps/>
                <w:szCs w:val="24"/>
              </w:rPr>
              <w:t>法定代表人签字</w:t>
            </w:r>
            <w:r>
              <w:rPr>
                <w:rFonts w:hint="eastAsia" w:ascii="楷体" w:hAnsi="楷体" w:eastAsia="楷体" w:cs="楷体"/>
                <w:bCs/>
                <w:caps/>
                <w:szCs w:val="24"/>
                <w:lang w:eastAsia="zh-CN"/>
              </w:rPr>
              <w:t>并</w:t>
            </w:r>
            <w:r>
              <w:rPr>
                <w:rFonts w:hint="eastAsia" w:ascii="楷体" w:hAnsi="楷体" w:eastAsia="楷体" w:cs="楷体"/>
                <w:bCs/>
                <w:caps/>
                <w:szCs w:val="24"/>
              </w:rPr>
              <w:t>盖章：</w:t>
            </w:r>
          </w:p>
        </w:tc>
      </w:tr>
    </w:tbl>
    <w:p>
      <w:pPr>
        <w:spacing w:line="360" w:lineRule="auto"/>
        <w:rPr>
          <w:rFonts w:ascii="楷体" w:hAnsi="楷体" w:eastAsia="楷体" w:cs="楷体"/>
          <w:spacing w:val="4"/>
          <w:szCs w:val="24"/>
        </w:rPr>
      </w:pPr>
      <w:r>
        <w:rPr>
          <w:rFonts w:hint="eastAsia" w:ascii="楷体" w:hAnsi="楷体" w:eastAsia="楷体" w:cs="楷体"/>
          <w:spacing w:val="4"/>
          <w:szCs w:val="24"/>
        </w:rPr>
        <w:t xml:space="preserve">投标人名称（公章）: </w:t>
      </w:r>
      <w:r>
        <w:rPr>
          <w:rFonts w:hint="eastAsia" w:ascii="楷体" w:hAnsi="楷体" w:eastAsia="楷体" w:cs="楷体"/>
          <w:spacing w:val="4"/>
          <w:szCs w:val="24"/>
          <w:u w:val="single"/>
        </w:rPr>
        <w:t xml:space="preserve">          </w:t>
      </w:r>
      <w:r>
        <w:rPr>
          <w:rFonts w:hint="eastAsia" w:ascii="楷体" w:hAnsi="楷体" w:eastAsia="楷体" w:cs="楷体"/>
          <w:spacing w:val="4"/>
          <w:szCs w:val="24"/>
        </w:rPr>
        <w:t xml:space="preserve">                            </w:t>
      </w:r>
    </w:p>
    <w:p>
      <w:pPr>
        <w:spacing w:line="360" w:lineRule="auto"/>
        <w:rPr>
          <w:rFonts w:ascii="楷体" w:hAnsi="楷体" w:eastAsia="楷体" w:cs="楷体"/>
          <w:spacing w:val="4"/>
          <w:szCs w:val="24"/>
        </w:rPr>
      </w:pPr>
      <w:r>
        <w:rPr>
          <w:rFonts w:hint="eastAsia" w:ascii="楷体" w:hAnsi="楷体" w:eastAsia="楷体" w:cs="楷体"/>
          <w:spacing w:val="4"/>
          <w:szCs w:val="24"/>
        </w:rPr>
        <w:t xml:space="preserve">日 期： </w:t>
      </w:r>
      <w:r>
        <w:rPr>
          <w:rFonts w:hint="eastAsia" w:ascii="楷体" w:hAnsi="楷体" w:eastAsia="楷体" w:cs="楷体"/>
          <w:spacing w:val="4"/>
          <w:szCs w:val="24"/>
          <w:u w:val="single"/>
        </w:rPr>
        <w:t xml:space="preserve">           </w:t>
      </w:r>
      <w:r>
        <w:rPr>
          <w:rFonts w:hint="eastAsia" w:ascii="楷体" w:hAnsi="楷体" w:eastAsia="楷体" w:cs="楷体"/>
          <w:spacing w:val="4"/>
          <w:szCs w:val="24"/>
        </w:rPr>
        <w:t xml:space="preserve">                        </w:t>
      </w:r>
    </w:p>
    <w:p>
      <w:pPr>
        <w:spacing w:line="360" w:lineRule="auto"/>
        <w:jc w:val="center"/>
        <w:rPr>
          <w:rFonts w:ascii="楷体" w:hAnsi="楷体" w:eastAsia="楷体" w:cs="楷体"/>
          <w:b/>
          <w:spacing w:val="4"/>
          <w:sz w:val="30"/>
          <w:szCs w:val="30"/>
        </w:rPr>
      </w:pPr>
      <w:r>
        <w:rPr>
          <w:rFonts w:hint="eastAsia" w:ascii="楷体" w:hAnsi="楷体" w:eastAsia="楷体" w:cs="楷体"/>
        </w:rPr>
        <w:br w:type="page"/>
      </w:r>
      <w:r>
        <w:rPr>
          <w:rFonts w:hint="eastAsia" w:ascii="楷体" w:hAnsi="楷体" w:eastAsia="楷体" w:cs="楷体"/>
          <w:b/>
          <w:spacing w:val="4"/>
          <w:sz w:val="30"/>
          <w:szCs w:val="30"/>
        </w:rPr>
        <w:t>2.2授权委托书</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355"/>
        <w:gridCol w:w="1134"/>
        <w:gridCol w:w="708"/>
        <w:gridCol w:w="851"/>
        <w:gridCol w:w="1559"/>
        <w:gridCol w:w="2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195" w:type="dxa"/>
            <w:gridSpan w:val="7"/>
          </w:tcPr>
          <w:p>
            <w:pPr>
              <w:tabs>
                <w:tab w:val="right" w:leader="dot" w:pos="9022"/>
              </w:tabs>
              <w:autoSpaceDE w:val="0"/>
              <w:autoSpaceDN w:val="0"/>
              <w:adjustRightInd w:val="0"/>
              <w:spacing w:line="560" w:lineRule="exact"/>
              <w:jc w:val="left"/>
              <w:rPr>
                <w:rFonts w:ascii="楷体" w:hAnsi="楷体" w:eastAsia="楷体" w:cs="楷体"/>
                <w:bCs/>
                <w:caps/>
                <w:szCs w:val="24"/>
              </w:rPr>
            </w:pPr>
            <w:r>
              <w:rPr>
                <w:rFonts w:hint="eastAsia" w:ascii="楷体" w:hAnsi="楷体" w:eastAsia="楷体" w:cs="楷体"/>
                <w:bCs/>
                <w:caps/>
                <w:szCs w:val="24"/>
              </w:rPr>
              <w:t>致：勉县公安局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pPr>
              <w:tabs>
                <w:tab w:val="right" w:leader="dot" w:pos="9022"/>
              </w:tabs>
              <w:autoSpaceDE w:val="0"/>
              <w:autoSpaceDN w:val="0"/>
              <w:adjustRightInd w:val="0"/>
              <w:spacing w:line="560" w:lineRule="exact"/>
              <w:jc w:val="center"/>
              <w:rPr>
                <w:rFonts w:ascii="楷体" w:hAnsi="楷体" w:eastAsia="楷体" w:cs="楷体"/>
                <w:bCs/>
                <w:caps/>
                <w:szCs w:val="24"/>
              </w:rPr>
            </w:pPr>
            <w:r>
              <w:rPr>
                <w:rFonts w:hint="eastAsia" w:ascii="楷体" w:hAnsi="楷体" w:eastAsia="楷体" w:cs="楷体"/>
                <w:bCs/>
                <w:caps/>
                <w:szCs w:val="24"/>
              </w:rPr>
              <w:t>被授</w:t>
            </w:r>
          </w:p>
          <w:p>
            <w:pPr>
              <w:tabs>
                <w:tab w:val="right" w:leader="dot" w:pos="9022"/>
              </w:tabs>
              <w:autoSpaceDE w:val="0"/>
              <w:autoSpaceDN w:val="0"/>
              <w:adjustRightInd w:val="0"/>
              <w:spacing w:line="560" w:lineRule="exact"/>
              <w:jc w:val="center"/>
              <w:rPr>
                <w:rFonts w:ascii="楷体" w:hAnsi="楷体" w:eastAsia="楷体" w:cs="楷体"/>
                <w:bCs/>
                <w:caps/>
                <w:szCs w:val="24"/>
              </w:rPr>
            </w:pPr>
            <w:r>
              <w:rPr>
                <w:rFonts w:hint="eastAsia" w:ascii="楷体" w:hAnsi="楷体" w:eastAsia="楷体" w:cs="楷体"/>
                <w:bCs/>
                <w:caps/>
                <w:szCs w:val="24"/>
              </w:rPr>
              <w:t>权项</w:t>
            </w:r>
          </w:p>
          <w:p>
            <w:pPr>
              <w:tabs>
                <w:tab w:val="right" w:leader="dot" w:pos="9022"/>
              </w:tabs>
              <w:autoSpaceDE w:val="0"/>
              <w:autoSpaceDN w:val="0"/>
              <w:adjustRightInd w:val="0"/>
              <w:spacing w:line="560" w:lineRule="exact"/>
              <w:jc w:val="center"/>
              <w:rPr>
                <w:rFonts w:ascii="楷体" w:hAnsi="楷体" w:eastAsia="楷体" w:cs="楷体"/>
                <w:bCs/>
                <w:caps/>
                <w:szCs w:val="24"/>
              </w:rPr>
            </w:pPr>
            <w:r>
              <w:rPr>
                <w:rFonts w:hint="eastAsia" w:ascii="楷体" w:hAnsi="楷体" w:eastAsia="楷体" w:cs="楷体"/>
                <w:bCs/>
                <w:caps/>
                <w:szCs w:val="24"/>
              </w:rPr>
              <w:t>目与</w:t>
            </w:r>
          </w:p>
          <w:p>
            <w:pPr>
              <w:tabs>
                <w:tab w:val="right" w:leader="dot" w:pos="9022"/>
              </w:tabs>
              <w:autoSpaceDE w:val="0"/>
              <w:autoSpaceDN w:val="0"/>
              <w:adjustRightInd w:val="0"/>
              <w:spacing w:line="560" w:lineRule="exact"/>
              <w:jc w:val="center"/>
              <w:rPr>
                <w:rFonts w:ascii="楷体" w:hAnsi="楷体" w:eastAsia="楷体" w:cs="楷体"/>
                <w:bCs/>
                <w:caps/>
                <w:szCs w:val="24"/>
              </w:rPr>
            </w:pPr>
            <w:r>
              <w:rPr>
                <w:rFonts w:hint="eastAsia" w:ascii="楷体" w:hAnsi="楷体" w:eastAsia="楷体" w:cs="楷体"/>
                <w:bCs/>
                <w:caps/>
                <w:szCs w:val="24"/>
              </w:rPr>
              <w:t>内容</w:t>
            </w:r>
          </w:p>
        </w:tc>
        <w:tc>
          <w:tcPr>
            <w:tcW w:w="1355" w:type="dxa"/>
          </w:tcPr>
          <w:p>
            <w:pPr>
              <w:tabs>
                <w:tab w:val="right" w:leader="dot" w:pos="9022"/>
              </w:tabs>
              <w:autoSpaceDE w:val="0"/>
              <w:autoSpaceDN w:val="0"/>
              <w:adjustRightInd w:val="0"/>
              <w:spacing w:line="560" w:lineRule="exact"/>
              <w:jc w:val="left"/>
              <w:rPr>
                <w:rFonts w:ascii="楷体" w:hAnsi="楷体" w:eastAsia="楷体" w:cs="楷体"/>
                <w:bCs/>
                <w:caps/>
                <w:szCs w:val="24"/>
              </w:rPr>
            </w:pPr>
            <w:r>
              <w:rPr>
                <w:rFonts w:hint="eastAsia" w:ascii="楷体" w:hAnsi="楷体" w:eastAsia="楷体" w:cs="楷体"/>
                <w:bCs/>
                <w:caps/>
                <w:szCs w:val="24"/>
              </w:rPr>
              <w:t xml:space="preserve">项目名称 </w:t>
            </w:r>
          </w:p>
        </w:tc>
        <w:tc>
          <w:tcPr>
            <w:tcW w:w="7138" w:type="dxa"/>
            <w:gridSpan w:val="5"/>
          </w:tcPr>
          <w:p>
            <w:pPr>
              <w:tabs>
                <w:tab w:val="right" w:leader="dot" w:pos="9022"/>
              </w:tabs>
              <w:autoSpaceDE w:val="0"/>
              <w:autoSpaceDN w:val="0"/>
              <w:adjustRightInd w:val="0"/>
              <w:spacing w:line="560" w:lineRule="exact"/>
              <w:jc w:val="left"/>
              <w:rPr>
                <w:rFonts w:ascii="楷体" w:hAnsi="楷体" w:eastAsia="楷体" w:cs="楷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pPr>
              <w:tabs>
                <w:tab w:val="right" w:leader="dot" w:pos="9022"/>
              </w:tabs>
              <w:autoSpaceDE w:val="0"/>
              <w:autoSpaceDN w:val="0"/>
              <w:adjustRightInd w:val="0"/>
              <w:spacing w:line="560" w:lineRule="exact"/>
              <w:jc w:val="left"/>
              <w:rPr>
                <w:rFonts w:ascii="楷体" w:hAnsi="楷体" w:eastAsia="楷体" w:cs="楷体"/>
                <w:bCs/>
                <w:caps/>
                <w:szCs w:val="24"/>
              </w:rPr>
            </w:pPr>
          </w:p>
        </w:tc>
        <w:tc>
          <w:tcPr>
            <w:tcW w:w="1355" w:type="dxa"/>
          </w:tcPr>
          <w:p>
            <w:pPr>
              <w:tabs>
                <w:tab w:val="right" w:leader="dot" w:pos="9022"/>
              </w:tabs>
              <w:autoSpaceDE w:val="0"/>
              <w:autoSpaceDN w:val="0"/>
              <w:adjustRightInd w:val="0"/>
              <w:spacing w:line="560" w:lineRule="exact"/>
              <w:jc w:val="left"/>
              <w:rPr>
                <w:rFonts w:ascii="楷体" w:hAnsi="楷体" w:eastAsia="楷体" w:cs="楷体"/>
                <w:bCs/>
                <w:caps/>
                <w:szCs w:val="24"/>
              </w:rPr>
            </w:pPr>
            <w:r>
              <w:rPr>
                <w:rFonts w:hint="eastAsia" w:ascii="楷体" w:hAnsi="楷体" w:eastAsia="楷体" w:cs="楷体"/>
                <w:bCs/>
                <w:caps/>
                <w:szCs w:val="24"/>
              </w:rPr>
              <w:t>文件编号</w:t>
            </w:r>
          </w:p>
        </w:tc>
        <w:tc>
          <w:tcPr>
            <w:tcW w:w="7138" w:type="dxa"/>
            <w:gridSpan w:val="5"/>
          </w:tcPr>
          <w:p>
            <w:pPr>
              <w:tabs>
                <w:tab w:val="right" w:leader="dot" w:pos="9022"/>
              </w:tabs>
              <w:autoSpaceDE w:val="0"/>
              <w:autoSpaceDN w:val="0"/>
              <w:adjustRightInd w:val="0"/>
              <w:spacing w:line="560" w:lineRule="exact"/>
              <w:ind w:firstLine="1200" w:firstLineChars="500"/>
              <w:jc w:val="left"/>
              <w:rPr>
                <w:rFonts w:ascii="楷体" w:hAnsi="楷体" w:eastAsia="楷体" w:cs="楷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702" w:type="dxa"/>
            <w:vMerge w:val="continue"/>
          </w:tcPr>
          <w:p>
            <w:pPr>
              <w:tabs>
                <w:tab w:val="right" w:leader="dot" w:pos="9022"/>
              </w:tabs>
              <w:autoSpaceDE w:val="0"/>
              <w:autoSpaceDN w:val="0"/>
              <w:adjustRightInd w:val="0"/>
              <w:spacing w:line="560" w:lineRule="exact"/>
              <w:jc w:val="left"/>
              <w:rPr>
                <w:rFonts w:ascii="楷体" w:hAnsi="楷体" w:eastAsia="楷体" w:cs="楷体"/>
                <w:bCs/>
                <w:caps/>
                <w:szCs w:val="24"/>
              </w:rPr>
            </w:pPr>
          </w:p>
        </w:tc>
        <w:tc>
          <w:tcPr>
            <w:tcW w:w="1355" w:type="dxa"/>
            <w:vAlign w:val="center"/>
          </w:tcPr>
          <w:p>
            <w:pPr>
              <w:tabs>
                <w:tab w:val="right" w:leader="dot" w:pos="9022"/>
              </w:tabs>
              <w:autoSpaceDE w:val="0"/>
              <w:autoSpaceDN w:val="0"/>
              <w:adjustRightInd w:val="0"/>
              <w:spacing w:line="560" w:lineRule="exact"/>
              <w:jc w:val="center"/>
              <w:rPr>
                <w:rFonts w:ascii="楷体" w:hAnsi="楷体" w:eastAsia="楷体" w:cs="楷体"/>
                <w:bCs/>
                <w:caps/>
                <w:szCs w:val="24"/>
              </w:rPr>
            </w:pPr>
            <w:r>
              <w:rPr>
                <w:rFonts w:hint="eastAsia" w:ascii="楷体" w:hAnsi="楷体" w:eastAsia="楷体" w:cs="楷体"/>
                <w:bCs/>
                <w:caps/>
                <w:szCs w:val="24"/>
              </w:rPr>
              <w:t>授权范围</w:t>
            </w:r>
          </w:p>
        </w:tc>
        <w:tc>
          <w:tcPr>
            <w:tcW w:w="7138" w:type="dxa"/>
            <w:gridSpan w:val="5"/>
          </w:tcPr>
          <w:p>
            <w:pPr>
              <w:tabs>
                <w:tab w:val="right" w:leader="dot" w:pos="9022"/>
              </w:tabs>
              <w:autoSpaceDE w:val="0"/>
              <w:autoSpaceDN w:val="0"/>
              <w:adjustRightInd w:val="0"/>
              <w:spacing w:line="560" w:lineRule="exact"/>
              <w:jc w:val="left"/>
              <w:rPr>
                <w:rFonts w:ascii="楷体" w:hAnsi="楷体" w:eastAsia="楷体" w:cs="楷体"/>
                <w:bCs/>
                <w:caps/>
                <w:szCs w:val="24"/>
              </w:rPr>
            </w:pPr>
            <w:r>
              <w:rPr>
                <w:rFonts w:hint="eastAsia" w:ascii="楷体" w:hAnsi="楷体" w:eastAsia="楷体" w:cs="楷体"/>
                <w:bCs/>
                <w:caps/>
                <w:szCs w:val="24"/>
              </w:rPr>
              <w:t>全权办理本次招标采购项目的投标、联系、洽谈、签约、执行等具体事务，签署全部有关文件、文书、协议及合同。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pPr>
              <w:tabs>
                <w:tab w:val="right" w:leader="dot" w:pos="9022"/>
              </w:tabs>
              <w:autoSpaceDE w:val="0"/>
              <w:autoSpaceDN w:val="0"/>
              <w:adjustRightInd w:val="0"/>
              <w:spacing w:line="560" w:lineRule="exact"/>
              <w:jc w:val="left"/>
              <w:rPr>
                <w:rFonts w:ascii="楷体" w:hAnsi="楷体" w:eastAsia="楷体" w:cs="楷体"/>
                <w:bCs/>
                <w:caps/>
                <w:szCs w:val="24"/>
              </w:rPr>
            </w:pPr>
          </w:p>
        </w:tc>
        <w:tc>
          <w:tcPr>
            <w:tcW w:w="1355" w:type="dxa"/>
          </w:tcPr>
          <w:p>
            <w:pPr>
              <w:tabs>
                <w:tab w:val="right" w:leader="dot" w:pos="9022"/>
              </w:tabs>
              <w:autoSpaceDE w:val="0"/>
              <w:autoSpaceDN w:val="0"/>
              <w:adjustRightInd w:val="0"/>
              <w:spacing w:line="560" w:lineRule="exact"/>
              <w:jc w:val="left"/>
              <w:rPr>
                <w:rFonts w:ascii="楷体" w:hAnsi="楷体" w:eastAsia="楷体" w:cs="楷体"/>
                <w:bCs/>
                <w:caps/>
                <w:szCs w:val="24"/>
              </w:rPr>
            </w:pPr>
            <w:r>
              <w:rPr>
                <w:rFonts w:hint="eastAsia" w:ascii="楷体" w:hAnsi="楷体" w:eastAsia="楷体" w:cs="楷体"/>
                <w:bCs/>
                <w:caps/>
                <w:szCs w:val="24"/>
              </w:rPr>
              <w:t>法律责任</w:t>
            </w:r>
          </w:p>
        </w:tc>
        <w:tc>
          <w:tcPr>
            <w:tcW w:w="7138" w:type="dxa"/>
            <w:gridSpan w:val="5"/>
          </w:tcPr>
          <w:p>
            <w:pPr>
              <w:tabs>
                <w:tab w:val="right" w:leader="dot" w:pos="9022"/>
              </w:tabs>
              <w:autoSpaceDE w:val="0"/>
              <w:autoSpaceDN w:val="0"/>
              <w:adjustRightInd w:val="0"/>
              <w:spacing w:line="560" w:lineRule="exact"/>
              <w:jc w:val="left"/>
              <w:rPr>
                <w:rFonts w:ascii="楷体" w:hAnsi="楷体" w:eastAsia="楷体" w:cs="楷体"/>
                <w:bCs/>
                <w:caps/>
                <w:szCs w:val="24"/>
              </w:rPr>
            </w:pPr>
            <w:r>
              <w:rPr>
                <w:rFonts w:hint="eastAsia" w:ascii="楷体" w:hAnsi="楷体" w:eastAsia="楷体" w:cs="楷体"/>
                <w:bCs/>
                <w:caps/>
                <w:szCs w:val="24"/>
              </w:rPr>
              <w:t>本公司对被授权人在本项目中的签名承担全部法律责任。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pPr>
              <w:tabs>
                <w:tab w:val="right" w:leader="dot" w:pos="9022"/>
              </w:tabs>
              <w:autoSpaceDE w:val="0"/>
              <w:autoSpaceDN w:val="0"/>
              <w:adjustRightInd w:val="0"/>
              <w:spacing w:line="560" w:lineRule="exact"/>
              <w:jc w:val="left"/>
              <w:rPr>
                <w:rFonts w:ascii="楷体" w:hAnsi="楷体" w:eastAsia="楷体" w:cs="楷体"/>
                <w:bCs/>
                <w:caps/>
                <w:szCs w:val="24"/>
              </w:rPr>
            </w:pPr>
          </w:p>
        </w:tc>
        <w:tc>
          <w:tcPr>
            <w:tcW w:w="1355" w:type="dxa"/>
            <w:vAlign w:val="center"/>
          </w:tcPr>
          <w:p>
            <w:pPr>
              <w:tabs>
                <w:tab w:val="right" w:leader="dot" w:pos="9022"/>
              </w:tabs>
              <w:autoSpaceDE w:val="0"/>
              <w:autoSpaceDN w:val="0"/>
              <w:adjustRightInd w:val="0"/>
              <w:spacing w:line="560" w:lineRule="exact"/>
              <w:rPr>
                <w:rFonts w:ascii="楷体" w:hAnsi="楷体" w:eastAsia="楷体" w:cs="楷体"/>
                <w:bCs/>
                <w:caps/>
                <w:szCs w:val="24"/>
              </w:rPr>
            </w:pPr>
            <w:r>
              <w:rPr>
                <w:rFonts w:hint="eastAsia" w:ascii="楷体" w:hAnsi="楷体" w:eastAsia="楷体" w:cs="楷体"/>
                <w:bCs/>
                <w:caps/>
                <w:szCs w:val="24"/>
              </w:rPr>
              <w:t>授权期限</w:t>
            </w:r>
          </w:p>
        </w:tc>
        <w:tc>
          <w:tcPr>
            <w:tcW w:w="7138" w:type="dxa"/>
            <w:gridSpan w:val="5"/>
            <w:vAlign w:val="center"/>
          </w:tcPr>
          <w:p>
            <w:pPr>
              <w:tabs>
                <w:tab w:val="right" w:leader="dot" w:pos="9022"/>
              </w:tabs>
              <w:autoSpaceDE w:val="0"/>
              <w:autoSpaceDN w:val="0"/>
              <w:adjustRightInd w:val="0"/>
              <w:spacing w:line="560" w:lineRule="exact"/>
              <w:rPr>
                <w:rFonts w:ascii="楷体" w:hAnsi="楷体" w:eastAsia="楷体" w:cs="楷体"/>
                <w:bCs/>
                <w:caps/>
                <w:szCs w:val="24"/>
              </w:rPr>
            </w:pPr>
            <w:r>
              <w:rPr>
                <w:rFonts w:hint="eastAsia" w:ascii="楷体" w:hAnsi="楷体" w:eastAsia="楷体" w:cs="楷体"/>
                <w:bCs/>
                <w:caps/>
                <w:szCs w:val="24"/>
              </w:rPr>
              <w:t>本授权书</w:t>
            </w:r>
            <w:r>
              <w:rPr>
                <w:rFonts w:hint="eastAsia" w:ascii="楷体" w:hAnsi="楷体" w:eastAsia="楷体" w:cs="楷体"/>
                <w:szCs w:val="24"/>
              </w:rPr>
              <w:t>自提交投标文件的截止之日起90个日历日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pPr>
              <w:tabs>
                <w:tab w:val="right" w:leader="dot" w:pos="9022"/>
              </w:tabs>
              <w:autoSpaceDE w:val="0"/>
              <w:autoSpaceDN w:val="0"/>
              <w:adjustRightInd w:val="0"/>
              <w:spacing w:line="560" w:lineRule="exact"/>
              <w:jc w:val="center"/>
              <w:rPr>
                <w:rFonts w:ascii="楷体" w:hAnsi="楷体" w:eastAsia="楷体" w:cs="楷体"/>
                <w:bCs/>
                <w:caps/>
                <w:szCs w:val="24"/>
              </w:rPr>
            </w:pPr>
            <w:r>
              <w:rPr>
                <w:rFonts w:hint="eastAsia" w:ascii="楷体" w:hAnsi="楷体" w:eastAsia="楷体" w:cs="楷体"/>
                <w:bCs/>
                <w:caps/>
                <w:szCs w:val="24"/>
              </w:rPr>
              <w:t>企业信息</w:t>
            </w:r>
          </w:p>
        </w:tc>
        <w:tc>
          <w:tcPr>
            <w:tcW w:w="2489" w:type="dxa"/>
            <w:gridSpan w:val="2"/>
          </w:tcPr>
          <w:p>
            <w:pPr>
              <w:tabs>
                <w:tab w:val="right" w:leader="dot" w:pos="9022"/>
              </w:tabs>
              <w:autoSpaceDE w:val="0"/>
              <w:autoSpaceDN w:val="0"/>
              <w:adjustRightInd w:val="0"/>
              <w:spacing w:line="560" w:lineRule="exact"/>
              <w:rPr>
                <w:rFonts w:ascii="楷体" w:hAnsi="楷体" w:eastAsia="楷体" w:cs="楷体"/>
                <w:bCs/>
                <w:caps/>
                <w:szCs w:val="24"/>
              </w:rPr>
            </w:pPr>
            <w:r>
              <w:rPr>
                <w:rFonts w:hint="eastAsia" w:ascii="楷体" w:hAnsi="楷体" w:eastAsia="楷体" w:cs="楷体"/>
                <w:bCs/>
                <w:caps/>
                <w:szCs w:val="24"/>
              </w:rPr>
              <w:t xml:space="preserve">企 业 名 称 </w:t>
            </w:r>
          </w:p>
        </w:tc>
        <w:tc>
          <w:tcPr>
            <w:tcW w:w="6004" w:type="dxa"/>
            <w:gridSpan w:val="4"/>
            <w:vAlign w:val="center"/>
          </w:tcPr>
          <w:p>
            <w:pPr>
              <w:tabs>
                <w:tab w:val="right" w:leader="dot" w:pos="9022"/>
              </w:tabs>
              <w:autoSpaceDE w:val="0"/>
              <w:autoSpaceDN w:val="0"/>
              <w:adjustRightInd w:val="0"/>
              <w:spacing w:line="560" w:lineRule="exact"/>
              <w:rPr>
                <w:rFonts w:ascii="楷体" w:hAnsi="楷体" w:eastAsia="楷体" w:cs="楷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pPr>
              <w:tabs>
                <w:tab w:val="right" w:leader="dot" w:pos="9022"/>
              </w:tabs>
              <w:autoSpaceDE w:val="0"/>
              <w:autoSpaceDN w:val="0"/>
              <w:adjustRightInd w:val="0"/>
              <w:spacing w:line="560" w:lineRule="exact"/>
              <w:jc w:val="left"/>
              <w:rPr>
                <w:rFonts w:ascii="楷体" w:hAnsi="楷体" w:eastAsia="楷体" w:cs="楷体"/>
                <w:bCs/>
                <w:caps/>
                <w:szCs w:val="24"/>
              </w:rPr>
            </w:pPr>
          </w:p>
        </w:tc>
        <w:tc>
          <w:tcPr>
            <w:tcW w:w="2489" w:type="dxa"/>
            <w:gridSpan w:val="2"/>
          </w:tcPr>
          <w:p>
            <w:pPr>
              <w:tabs>
                <w:tab w:val="right" w:leader="dot" w:pos="9022"/>
              </w:tabs>
              <w:autoSpaceDE w:val="0"/>
              <w:autoSpaceDN w:val="0"/>
              <w:adjustRightInd w:val="0"/>
              <w:spacing w:line="560" w:lineRule="exact"/>
              <w:rPr>
                <w:rFonts w:ascii="楷体" w:hAnsi="楷体" w:eastAsia="楷体" w:cs="楷体"/>
                <w:bCs/>
                <w:caps/>
                <w:szCs w:val="24"/>
              </w:rPr>
            </w:pPr>
            <w:r>
              <w:rPr>
                <w:rFonts w:hint="eastAsia" w:ascii="楷体" w:hAnsi="楷体" w:eastAsia="楷体" w:cs="楷体"/>
                <w:bCs/>
                <w:caps/>
                <w:szCs w:val="24"/>
              </w:rPr>
              <w:t>法 定 地 址</w:t>
            </w:r>
          </w:p>
        </w:tc>
        <w:tc>
          <w:tcPr>
            <w:tcW w:w="6004" w:type="dxa"/>
            <w:gridSpan w:val="4"/>
            <w:vAlign w:val="center"/>
          </w:tcPr>
          <w:p>
            <w:pPr>
              <w:tabs>
                <w:tab w:val="right" w:leader="dot" w:pos="9022"/>
              </w:tabs>
              <w:autoSpaceDE w:val="0"/>
              <w:autoSpaceDN w:val="0"/>
              <w:adjustRightInd w:val="0"/>
              <w:spacing w:line="560" w:lineRule="exact"/>
              <w:rPr>
                <w:rFonts w:ascii="楷体" w:hAnsi="楷体" w:eastAsia="楷体" w:cs="楷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pPr>
              <w:tabs>
                <w:tab w:val="right" w:leader="dot" w:pos="9022"/>
              </w:tabs>
              <w:autoSpaceDE w:val="0"/>
              <w:autoSpaceDN w:val="0"/>
              <w:adjustRightInd w:val="0"/>
              <w:spacing w:line="560" w:lineRule="exact"/>
              <w:jc w:val="left"/>
              <w:rPr>
                <w:rFonts w:ascii="楷体" w:hAnsi="楷体" w:eastAsia="楷体" w:cs="楷体"/>
                <w:bCs/>
                <w:caps/>
                <w:szCs w:val="24"/>
              </w:rPr>
            </w:pPr>
          </w:p>
        </w:tc>
        <w:tc>
          <w:tcPr>
            <w:tcW w:w="2489" w:type="dxa"/>
            <w:gridSpan w:val="2"/>
          </w:tcPr>
          <w:p>
            <w:pPr>
              <w:tabs>
                <w:tab w:val="right" w:leader="dot" w:pos="9022"/>
              </w:tabs>
              <w:autoSpaceDE w:val="0"/>
              <w:autoSpaceDN w:val="0"/>
              <w:adjustRightInd w:val="0"/>
              <w:spacing w:line="560" w:lineRule="exact"/>
              <w:rPr>
                <w:rFonts w:ascii="楷体" w:hAnsi="楷体" w:eastAsia="楷体" w:cs="楷体"/>
                <w:bCs/>
                <w:caps/>
                <w:szCs w:val="24"/>
              </w:rPr>
            </w:pPr>
            <w:r>
              <w:rPr>
                <w:rFonts w:hint="eastAsia" w:ascii="楷体" w:hAnsi="楷体" w:eastAsia="楷体" w:cs="楷体"/>
                <w:bCs/>
                <w:caps/>
                <w:szCs w:val="24"/>
              </w:rPr>
              <w:t>营业执照注册证号</w:t>
            </w:r>
          </w:p>
        </w:tc>
        <w:tc>
          <w:tcPr>
            <w:tcW w:w="6004" w:type="dxa"/>
            <w:gridSpan w:val="4"/>
            <w:vAlign w:val="center"/>
          </w:tcPr>
          <w:p>
            <w:pPr>
              <w:tabs>
                <w:tab w:val="right" w:leader="dot" w:pos="9022"/>
              </w:tabs>
              <w:autoSpaceDE w:val="0"/>
              <w:autoSpaceDN w:val="0"/>
              <w:adjustRightInd w:val="0"/>
              <w:spacing w:line="560" w:lineRule="exact"/>
              <w:rPr>
                <w:rFonts w:ascii="楷体" w:hAnsi="楷体" w:eastAsia="楷体" w:cs="楷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pPr>
              <w:tabs>
                <w:tab w:val="right" w:leader="dot" w:pos="9022"/>
              </w:tabs>
              <w:autoSpaceDE w:val="0"/>
              <w:autoSpaceDN w:val="0"/>
              <w:adjustRightInd w:val="0"/>
              <w:spacing w:line="560" w:lineRule="exact"/>
              <w:rPr>
                <w:rFonts w:ascii="楷体" w:hAnsi="楷体" w:eastAsia="楷体" w:cs="楷体"/>
                <w:bCs/>
                <w:caps/>
                <w:szCs w:val="24"/>
              </w:rPr>
            </w:pPr>
            <w:r>
              <w:rPr>
                <w:rFonts w:hint="eastAsia" w:ascii="楷体" w:hAnsi="楷体" w:eastAsia="楷体" w:cs="楷体"/>
                <w:bCs/>
                <w:caps/>
                <w:szCs w:val="24"/>
              </w:rPr>
              <w:t>法定代表人</w:t>
            </w:r>
          </w:p>
        </w:tc>
        <w:tc>
          <w:tcPr>
            <w:tcW w:w="1355" w:type="dxa"/>
            <w:vAlign w:val="center"/>
          </w:tcPr>
          <w:p>
            <w:pPr>
              <w:tabs>
                <w:tab w:val="right" w:leader="dot" w:pos="9022"/>
              </w:tabs>
              <w:autoSpaceDE w:val="0"/>
              <w:autoSpaceDN w:val="0"/>
              <w:adjustRightInd w:val="0"/>
              <w:spacing w:line="560" w:lineRule="exact"/>
              <w:jc w:val="center"/>
              <w:rPr>
                <w:rFonts w:ascii="楷体" w:hAnsi="楷体" w:eastAsia="楷体" w:cs="楷体"/>
                <w:bCs/>
                <w:caps/>
                <w:szCs w:val="24"/>
              </w:rPr>
            </w:pPr>
            <w:r>
              <w:rPr>
                <w:rFonts w:hint="eastAsia" w:ascii="楷体" w:hAnsi="楷体" w:eastAsia="楷体" w:cs="楷体"/>
                <w:bCs/>
                <w:caps/>
                <w:szCs w:val="24"/>
              </w:rPr>
              <w:t>姓名</w:t>
            </w:r>
          </w:p>
        </w:tc>
        <w:tc>
          <w:tcPr>
            <w:tcW w:w="2693" w:type="dxa"/>
            <w:gridSpan w:val="3"/>
            <w:vAlign w:val="center"/>
          </w:tcPr>
          <w:p>
            <w:pPr>
              <w:tabs>
                <w:tab w:val="right" w:leader="dot" w:pos="9022"/>
              </w:tabs>
              <w:autoSpaceDE w:val="0"/>
              <w:autoSpaceDN w:val="0"/>
              <w:adjustRightInd w:val="0"/>
              <w:spacing w:line="560" w:lineRule="exact"/>
              <w:jc w:val="center"/>
              <w:rPr>
                <w:rFonts w:ascii="楷体" w:hAnsi="楷体" w:eastAsia="楷体" w:cs="楷体"/>
                <w:bCs/>
                <w:caps/>
                <w:szCs w:val="24"/>
              </w:rPr>
            </w:pPr>
          </w:p>
        </w:tc>
        <w:tc>
          <w:tcPr>
            <w:tcW w:w="1559" w:type="dxa"/>
            <w:vAlign w:val="center"/>
          </w:tcPr>
          <w:p>
            <w:pPr>
              <w:tabs>
                <w:tab w:val="right" w:leader="dot" w:pos="9022"/>
              </w:tabs>
              <w:autoSpaceDE w:val="0"/>
              <w:autoSpaceDN w:val="0"/>
              <w:adjustRightInd w:val="0"/>
              <w:spacing w:line="560" w:lineRule="exact"/>
              <w:jc w:val="center"/>
              <w:rPr>
                <w:rFonts w:ascii="楷体" w:hAnsi="楷体" w:eastAsia="楷体" w:cs="楷体"/>
                <w:bCs/>
                <w:caps/>
                <w:szCs w:val="24"/>
              </w:rPr>
            </w:pPr>
            <w:r>
              <w:rPr>
                <w:rFonts w:hint="eastAsia" w:ascii="楷体" w:hAnsi="楷体" w:eastAsia="楷体" w:cs="楷体"/>
                <w:bCs/>
                <w:caps/>
                <w:szCs w:val="24"/>
              </w:rPr>
              <w:t>性    别</w:t>
            </w:r>
          </w:p>
        </w:tc>
        <w:tc>
          <w:tcPr>
            <w:tcW w:w="2886" w:type="dxa"/>
            <w:vAlign w:val="center"/>
          </w:tcPr>
          <w:p>
            <w:pPr>
              <w:tabs>
                <w:tab w:val="right" w:leader="dot" w:pos="9022"/>
              </w:tabs>
              <w:autoSpaceDE w:val="0"/>
              <w:autoSpaceDN w:val="0"/>
              <w:adjustRightInd w:val="0"/>
              <w:spacing w:line="560" w:lineRule="exact"/>
              <w:jc w:val="center"/>
              <w:rPr>
                <w:rFonts w:ascii="楷体" w:hAnsi="楷体" w:eastAsia="楷体" w:cs="楷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vAlign w:val="center"/>
          </w:tcPr>
          <w:p>
            <w:pPr>
              <w:tabs>
                <w:tab w:val="right" w:leader="dot" w:pos="9022"/>
              </w:tabs>
              <w:autoSpaceDE w:val="0"/>
              <w:autoSpaceDN w:val="0"/>
              <w:adjustRightInd w:val="0"/>
              <w:spacing w:line="560" w:lineRule="exact"/>
              <w:jc w:val="left"/>
              <w:rPr>
                <w:rFonts w:ascii="楷体" w:hAnsi="楷体" w:eastAsia="楷体" w:cs="楷体"/>
                <w:bCs/>
                <w:caps/>
                <w:szCs w:val="24"/>
              </w:rPr>
            </w:pPr>
          </w:p>
        </w:tc>
        <w:tc>
          <w:tcPr>
            <w:tcW w:w="1355" w:type="dxa"/>
            <w:vAlign w:val="center"/>
          </w:tcPr>
          <w:p>
            <w:pPr>
              <w:tabs>
                <w:tab w:val="right" w:leader="dot" w:pos="9022"/>
              </w:tabs>
              <w:autoSpaceDE w:val="0"/>
              <w:autoSpaceDN w:val="0"/>
              <w:adjustRightInd w:val="0"/>
              <w:spacing w:line="560" w:lineRule="exact"/>
              <w:jc w:val="center"/>
              <w:rPr>
                <w:rFonts w:ascii="楷体" w:hAnsi="楷体" w:eastAsia="楷体" w:cs="楷体"/>
                <w:bCs/>
                <w:caps/>
                <w:szCs w:val="24"/>
              </w:rPr>
            </w:pPr>
            <w:r>
              <w:rPr>
                <w:rFonts w:hint="eastAsia" w:ascii="楷体" w:hAnsi="楷体" w:eastAsia="楷体" w:cs="楷体"/>
                <w:bCs/>
                <w:caps/>
                <w:szCs w:val="24"/>
              </w:rPr>
              <w:t>职务</w:t>
            </w:r>
          </w:p>
        </w:tc>
        <w:tc>
          <w:tcPr>
            <w:tcW w:w="2693" w:type="dxa"/>
            <w:gridSpan w:val="3"/>
            <w:vAlign w:val="center"/>
          </w:tcPr>
          <w:p>
            <w:pPr>
              <w:tabs>
                <w:tab w:val="right" w:leader="dot" w:pos="9022"/>
              </w:tabs>
              <w:autoSpaceDE w:val="0"/>
              <w:autoSpaceDN w:val="0"/>
              <w:adjustRightInd w:val="0"/>
              <w:spacing w:line="560" w:lineRule="exact"/>
              <w:jc w:val="center"/>
              <w:rPr>
                <w:rFonts w:ascii="楷体" w:hAnsi="楷体" w:eastAsia="楷体" w:cs="楷体"/>
                <w:bCs/>
                <w:caps/>
                <w:szCs w:val="24"/>
              </w:rPr>
            </w:pPr>
          </w:p>
        </w:tc>
        <w:tc>
          <w:tcPr>
            <w:tcW w:w="1559" w:type="dxa"/>
            <w:vAlign w:val="center"/>
          </w:tcPr>
          <w:p>
            <w:pPr>
              <w:tabs>
                <w:tab w:val="right" w:leader="dot" w:pos="9022"/>
              </w:tabs>
              <w:autoSpaceDE w:val="0"/>
              <w:autoSpaceDN w:val="0"/>
              <w:adjustRightInd w:val="0"/>
              <w:spacing w:line="560" w:lineRule="exact"/>
              <w:jc w:val="center"/>
              <w:rPr>
                <w:rFonts w:ascii="楷体" w:hAnsi="楷体" w:eastAsia="楷体" w:cs="楷体"/>
                <w:bCs/>
                <w:caps/>
                <w:szCs w:val="24"/>
              </w:rPr>
            </w:pPr>
            <w:r>
              <w:rPr>
                <w:rFonts w:hint="eastAsia" w:ascii="楷体" w:hAnsi="楷体" w:eastAsia="楷体" w:cs="楷体"/>
                <w:bCs/>
                <w:caps/>
                <w:szCs w:val="24"/>
              </w:rPr>
              <w:t>手机号码</w:t>
            </w:r>
          </w:p>
        </w:tc>
        <w:tc>
          <w:tcPr>
            <w:tcW w:w="2886" w:type="dxa"/>
            <w:vAlign w:val="center"/>
          </w:tcPr>
          <w:p>
            <w:pPr>
              <w:tabs>
                <w:tab w:val="right" w:leader="dot" w:pos="9022"/>
              </w:tabs>
              <w:autoSpaceDE w:val="0"/>
              <w:autoSpaceDN w:val="0"/>
              <w:adjustRightInd w:val="0"/>
              <w:spacing w:line="560" w:lineRule="exact"/>
              <w:rPr>
                <w:rFonts w:ascii="楷体" w:hAnsi="楷体" w:eastAsia="楷体" w:cs="楷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pPr>
              <w:tabs>
                <w:tab w:val="right" w:leader="dot" w:pos="9022"/>
              </w:tabs>
              <w:autoSpaceDE w:val="0"/>
              <w:autoSpaceDN w:val="0"/>
              <w:adjustRightInd w:val="0"/>
              <w:spacing w:line="560" w:lineRule="exact"/>
              <w:jc w:val="center"/>
              <w:rPr>
                <w:rFonts w:ascii="楷体" w:hAnsi="楷体" w:eastAsia="楷体" w:cs="楷体"/>
                <w:bCs/>
                <w:caps/>
                <w:szCs w:val="24"/>
              </w:rPr>
            </w:pPr>
            <w:r>
              <w:rPr>
                <w:rFonts w:hint="eastAsia" w:ascii="楷体" w:hAnsi="楷体" w:eastAsia="楷体" w:cs="楷体"/>
                <w:bCs/>
                <w:caps/>
                <w:szCs w:val="24"/>
              </w:rPr>
              <w:t>被授权人</w:t>
            </w:r>
          </w:p>
        </w:tc>
        <w:tc>
          <w:tcPr>
            <w:tcW w:w="1355" w:type="dxa"/>
            <w:vAlign w:val="center"/>
          </w:tcPr>
          <w:p>
            <w:pPr>
              <w:tabs>
                <w:tab w:val="right" w:leader="dot" w:pos="9022"/>
              </w:tabs>
              <w:autoSpaceDE w:val="0"/>
              <w:autoSpaceDN w:val="0"/>
              <w:adjustRightInd w:val="0"/>
              <w:spacing w:line="560" w:lineRule="exact"/>
              <w:jc w:val="center"/>
              <w:rPr>
                <w:rFonts w:ascii="楷体" w:hAnsi="楷体" w:eastAsia="楷体" w:cs="楷体"/>
                <w:bCs/>
                <w:caps/>
                <w:szCs w:val="24"/>
              </w:rPr>
            </w:pPr>
            <w:r>
              <w:rPr>
                <w:rFonts w:hint="eastAsia" w:ascii="楷体" w:hAnsi="楷体" w:eastAsia="楷体" w:cs="楷体"/>
                <w:bCs/>
                <w:caps/>
                <w:szCs w:val="24"/>
              </w:rPr>
              <w:t>姓名</w:t>
            </w:r>
          </w:p>
        </w:tc>
        <w:tc>
          <w:tcPr>
            <w:tcW w:w="2693" w:type="dxa"/>
            <w:gridSpan w:val="3"/>
            <w:vAlign w:val="center"/>
          </w:tcPr>
          <w:p>
            <w:pPr>
              <w:tabs>
                <w:tab w:val="right" w:leader="dot" w:pos="9022"/>
              </w:tabs>
              <w:autoSpaceDE w:val="0"/>
              <w:autoSpaceDN w:val="0"/>
              <w:adjustRightInd w:val="0"/>
              <w:spacing w:line="560" w:lineRule="exact"/>
              <w:jc w:val="center"/>
              <w:rPr>
                <w:rFonts w:ascii="楷体" w:hAnsi="楷体" w:eastAsia="楷体" w:cs="楷体"/>
                <w:bCs/>
                <w:caps/>
                <w:szCs w:val="24"/>
              </w:rPr>
            </w:pPr>
          </w:p>
        </w:tc>
        <w:tc>
          <w:tcPr>
            <w:tcW w:w="1559" w:type="dxa"/>
            <w:vAlign w:val="center"/>
          </w:tcPr>
          <w:p>
            <w:pPr>
              <w:tabs>
                <w:tab w:val="right" w:leader="dot" w:pos="9022"/>
              </w:tabs>
              <w:autoSpaceDE w:val="0"/>
              <w:autoSpaceDN w:val="0"/>
              <w:adjustRightInd w:val="0"/>
              <w:spacing w:line="560" w:lineRule="exact"/>
              <w:jc w:val="center"/>
              <w:rPr>
                <w:rFonts w:ascii="楷体" w:hAnsi="楷体" w:eastAsia="楷体" w:cs="楷体"/>
                <w:bCs/>
                <w:caps/>
                <w:szCs w:val="24"/>
              </w:rPr>
            </w:pPr>
            <w:r>
              <w:rPr>
                <w:rFonts w:hint="eastAsia" w:ascii="楷体" w:hAnsi="楷体" w:eastAsia="楷体" w:cs="楷体"/>
                <w:bCs/>
                <w:caps/>
                <w:szCs w:val="24"/>
              </w:rPr>
              <w:t>性    别</w:t>
            </w:r>
          </w:p>
        </w:tc>
        <w:tc>
          <w:tcPr>
            <w:tcW w:w="2886" w:type="dxa"/>
            <w:vAlign w:val="center"/>
          </w:tcPr>
          <w:p>
            <w:pPr>
              <w:tabs>
                <w:tab w:val="right" w:leader="dot" w:pos="9022"/>
              </w:tabs>
              <w:autoSpaceDE w:val="0"/>
              <w:autoSpaceDN w:val="0"/>
              <w:adjustRightInd w:val="0"/>
              <w:spacing w:line="560" w:lineRule="exact"/>
              <w:jc w:val="center"/>
              <w:rPr>
                <w:rFonts w:ascii="楷体" w:hAnsi="楷体" w:eastAsia="楷体" w:cs="楷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pPr>
              <w:tabs>
                <w:tab w:val="right" w:leader="dot" w:pos="9022"/>
              </w:tabs>
              <w:autoSpaceDE w:val="0"/>
              <w:autoSpaceDN w:val="0"/>
              <w:adjustRightInd w:val="0"/>
              <w:spacing w:line="560" w:lineRule="exact"/>
              <w:jc w:val="left"/>
              <w:rPr>
                <w:rFonts w:ascii="楷体" w:hAnsi="楷体" w:eastAsia="楷体" w:cs="楷体"/>
                <w:bCs/>
                <w:caps/>
                <w:szCs w:val="24"/>
              </w:rPr>
            </w:pPr>
          </w:p>
        </w:tc>
        <w:tc>
          <w:tcPr>
            <w:tcW w:w="1355" w:type="dxa"/>
            <w:vAlign w:val="center"/>
          </w:tcPr>
          <w:p>
            <w:pPr>
              <w:tabs>
                <w:tab w:val="right" w:leader="dot" w:pos="9022"/>
              </w:tabs>
              <w:autoSpaceDE w:val="0"/>
              <w:autoSpaceDN w:val="0"/>
              <w:adjustRightInd w:val="0"/>
              <w:spacing w:line="560" w:lineRule="exact"/>
              <w:jc w:val="center"/>
              <w:rPr>
                <w:rFonts w:ascii="楷体" w:hAnsi="楷体" w:eastAsia="楷体" w:cs="楷体"/>
                <w:bCs/>
                <w:caps/>
                <w:szCs w:val="24"/>
              </w:rPr>
            </w:pPr>
            <w:r>
              <w:rPr>
                <w:rFonts w:hint="eastAsia" w:ascii="楷体" w:hAnsi="楷体" w:eastAsia="楷体" w:cs="楷体"/>
                <w:bCs/>
                <w:caps/>
                <w:szCs w:val="24"/>
              </w:rPr>
              <w:t>职务</w:t>
            </w:r>
          </w:p>
        </w:tc>
        <w:tc>
          <w:tcPr>
            <w:tcW w:w="2693" w:type="dxa"/>
            <w:gridSpan w:val="3"/>
            <w:vAlign w:val="center"/>
          </w:tcPr>
          <w:p>
            <w:pPr>
              <w:tabs>
                <w:tab w:val="right" w:leader="dot" w:pos="9022"/>
              </w:tabs>
              <w:autoSpaceDE w:val="0"/>
              <w:autoSpaceDN w:val="0"/>
              <w:adjustRightInd w:val="0"/>
              <w:spacing w:line="560" w:lineRule="exact"/>
              <w:jc w:val="center"/>
              <w:rPr>
                <w:rFonts w:ascii="楷体" w:hAnsi="楷体" w:eastAsia="楷体" w:cs="楷体"/>
                <w:bCs/>
                <w:caps/>
                <w:szCs w:val="24"/>
              </w:rPr>
            </w:pPr>
          </w:p>
        </w:tc>
        <w:tc>
          <w:tcPr>
            <w:tcW w:w="1559" w:type="dxa"/>
            <w:vAlign w:val="center"/>
          </w:tcPr>
          <w:p>
            <w:pPr>
              <w:tabs>
                <w:tab w:val="right" w:leader="dot" w:pos="9022"/>
              </w:tabs>
              <w:autoSpaceDE w:val="0"/>
              <w:autoSpaceDN w:val="0"/>
              <w:adjustRightInd w:val="0"/>
              <w:spacing w:line="560" w:lineRule="exact"/>
              <w:jc w:val="center"/>
              <w:rPr>
                <w:rFonts w:ascii="楷体" w:hAnsi="楷体" w:eastAsia="楷体" w:cs="楷体"/>
                <w:bCs/>
                <w:caps/>
                <w:szCs w:val="24"/>
              </w:rPr>
            </w:pPr>
            <w:r>
              <w:rPr>
                <w:rFonts w:hint="eastAsia" w:ascii="楷体" w:hAnsi="楷体" w:eastAsia="楷体" w:cs="楷体"/>
                <w:bCs/>
                <w:caps/>
                <w:szCs w:val="24"/>
              </w:rPr>
              <w:t>手机号码</w:t>
            </w:r>
          </w:p>
        </w:tc>
        <w:tc>
          <w:tcPr>
            <w:tcW w:w="2886" w:type="dxa"/>
          </w:tcPr>
          <w:p>
            <w:pPr>
              <w:tabs>
                <w:tab w:val="right" w:leader="dot" w:pos="9022"/>
              </w:tabs>
              <w:autoSpaceDE w:val="0"/>
              <w:autoSpaceDN w:val="0"/>
              <w:adjustRightInd w:val="0"/>
              <w:spacing w:line="560" w:lineRule="exact"/>
              <w:rPr>
                <w:rFonts w:ascii="楷体" w:hAnsi="楷体" w:eastAsia="楷体" w:cs="楷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702" w:type="dxa"/>
          </w:tcPr>
          <w:p>
            <w:pPr>
              <w:tabs>
                <w:tab w:val="right" w:leader="dot" w:pos="9022"/>
              </w:tabs>
              <w:autoSpaceDE w:val="0"/>
              <w:autoSpaceDN w:val="0"/>
              <w:adjustRightInd w:val="0"/>
              <w:spacing w:line="560" w:lineRule="exact"/>
              <w:jc w:val="left"/>
              <w:rPr>
                <w:rFonts w:ascii="楷体" w:hAnsi="楷体" w:eastAsia="楷体" w:cs="楷体"/>
                <w:bCs/>
                <w:caps/>
                <w:szCs w:val="24"/>
              </w:rPr>
            </w:pPr>
            <w:r>
              <w:rPr>
                <w:rFonts w:hint="eastAsia" w:ascii="楷体" w:hAnsi="楷体" w:eastAsia="楷体" w:cs="楷体"/>
                <w:bCs/>
                <w:caps/>
                <w:szCs w:val="24"/>
              </w:rPr>
              <w:t>通讯地址</w:t>
            </w:r>
          </w:p>
        </w:tc>
        <w:tc>
          <w:tcPr>
            <w:tcW w:w="8493" w:type="dxa"/>
            <w:gridSpan w:val="6"/>
          </w:tcPr>
          <w:p>
            <w:pPr>
              <w:tabs>
                <w:tab w:val="right" w:leader="dot" w:pos="9022"/>
              </w:tabs>
              <w:autoSpaceDE w:val="0"/>
              <w:autoSpaceDN w:val="0"/>
              <w:adjustRightInd w:val="0"/>
              <w:spacing w:line="560" w:lineRule="exact"/>
              <w:jc w:val="left"/>
              <w:rPr>
                <w:rFonts w:ascii="楷体" w:hAnsi="楷体" w:eastAsia="楷体" w:cs="楷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5" w:hRule="atLeast"/>
          <w:jc w:val="center"/>
        </w:trPr>
        <w:tc>
          <w:tcPr>
            <w:tcW w:w="4899" w:type="dxa"/>
            <w:gridSpan w:val="4"/>
            <w:vAlign w:val="center"/>
          </w:tcPr>
          <w:p>
            <w:pPr>
              <w:tabs>
                <w:tab w:val="right" w:leader="dot" w:pos="9022"/>
              </w:tabs>
              <w:autoSpaceDE w:val="0"/>
              <w:autoSpaceDN w:val="0"/>
              <w:adjustRightInd w:val="0"/>
              <w:spacing w:line="560" w:lineRule="exact"/>
              <w:jc w:val="center"/>
              <w:rPr>
                <w:rFonts w:ascii="楷体" w:hAnsi="楷体" w:eastAsia="楷体" w:cs="楷体"/>
                <w:bCs/>
                <w:caps/>
                <w:szCs w:val="24"/>
              </w:rPr>
            </w:pPr>
            <w:r>
              <w:rPr>
                <w:rFonts w:hint="eastAsia" w:ascii="楷体" w:hAnsi="楷体" w:eastAsia="楷体" w:cs="楷体"/>
                <w:bCs/>
                <w:caps/>
                <w:szCs w:val="24"/>
              </w:rPr>
              <w:t>法定代表人身份证复印件</w:t>
            </w:r>
          </w:p>
          <w:p>
            <w:pPr>
              <w:tabs>
                <w:tab w:val="right" w:leader="dot" w:pos="9022"/>
              </w:tabs>
              <w:autoSpaceDE w:val="0"/>
              <w:autoSpaceDN w:val="0"/>
              <w:adjustRightInd w:val="0"/>
              <w:spacing w:line="560" w:lineRule="exact"/>
              <w:jc w:val="left"/>
              <w:rPr>
                <w:rFonts w:ascii="楷体" w:hAnsi="楷体" w:eastAsia="楷体" w:cs="楷体"/>
                <w:bCs/>
                <w:caps/>
                <w:szCs w:val="24"/>
              </w:rPr>
            </w:pPr>
          </w:p>
          <w:p>
            <w:pPr>
              <w:tabs>
                <w:tab w:val="right" w:leader="dot" w:pos="9022"/>
              </w:tabs>
              <w:autoSpaceDE w:val="0"/>
              <w:autoSpaceDN w:val="0"/>
              <w:adjustRightInd w:val="0"/>
              <w:spacing w:line="560" w:lineRule="exact"/>
              <w:jc w:val="center"/>
              <w:rPr>
                <w:rFonts w:ascii="楷体" w:hAnsi="楷体" w:eastAsia="楷体" w:cs="楷体"/>
                <w:bCs/>
                <w:caps/>
                <w:szCs w:val="24"/>
              </w:rPr>
            </w:pPr>
            <w:r>
              <w:rPr>
                <w:rFonts w:hint="eastAsia" w:ascii="楷体" w:hAnsi="楷体" w:eastAsia="楷体" w:cs="楷体"/>
                <w:bCs/>
                <w:caps/>
                <w:szCs w:val="24"/>
              </w:rPr>
              <w:t>二代身份证正、反两面都需复印</w:t>
            </w:r>
          </w:p>
          <w:p>
            <w:pPr>
              <w:tabs>
                <w:tab w:val="right" w:leader="dot" w:pos="9022"/>
              </w:tabs>
              <w:autoSpaceDE w:val="0"/>
              <w:autoSpaceDN w:val="0"/>
              <w:adjustRightInd w:val="0"/>
              <w:spacing w:line="560" w:lineRule="exact"/>
              <w:jc w:val="center"/>
              <w:rPr>
                <w:rFonts w:ascii="楷体" w:hAnsi="楷体" w:eastAsia="楷体" w:cs="楷体"/>
                <w:bCs/>
                <w:caps/>
                <w:szCs w:val="24"/>
              </w:rPr>
            </w:pPr>
            <w:r>
              <w:rPr>
                <w:rFonts w:hint="eastAsia" w:ascii="楷体" w:hAnsi="楷体" w:eastAsia="楷体" w:cs="楷体"/>
                <w:bCs/>
                <w:caps/>
                <w:szCs w:val="24"/>
              </w:rPr>
              <w:t>（粘贴处）</w:t>
            </w:r>
          </w:p>
          <w:p>
            <w:pPr>
              <w:tabs>
                <w:tab w:val="right" w:leader="dot" w:pos="9022"/>
              </w:tabs>
              <w:autoSpaceDE w:val="0"/>
              <w:autoSpaceDN w:val="0"/>
              <w:adjustRightInd w:val="0"/>
              <w:spacing w:line="560" w:lineRule="exact"/>
              <w:jc w:val="left"/>
              <w:rPr>
                <w:rFonts w:ascii="楷体" w:hAnsi="楷体" w:eastAsia="楷体" w:cs="楷体"/>
                <w:bCs/>
                <w:caps/>
                <w:szCs w:val="24"/>
              </w:rPr>
            </w:pPr>
          </w:p>
        </w:tc>
        <w:tc>
          <w:tcPr>
            <w:tcW w:w="5296" w:type="dxa"/>
            <w:gridSpan w:val="3"/>
            <w:vAlign w:val="center"/>
          </w:tcPr>
          <w:p>
            <w:pPr>
              <w:tabs>
                <w:tab w:val="right" w:leader="dot" w:pos="9022"/>
              </w:tabs>
              <w:autoSpaceDE w:val="0"/>
              <w:autoSpaceDN w:val="0"/>
              <w:adjustRightInd w:val="0"/>
              <w:spacing w:line="560" w:lineRule="exact"/>
              <w:jc w:val="center"/>
              <w:rPr>
                <w:rFonts w:ascii="楷体" w:hAnsi="楷体" w:eastAsia="楷体" w:cs="楷体"/>
                <w:bCs/>
                <w:caps/>
                <w:szCs w:val="24"/>
              </w:rPr>
            </w:pPr>
            <w:r>
              <w:rPr>
                <w:rFonts w:hint="eastAsia" w:ascii="楷体" w:hAnsi="楷体" w:eastAsia="楷体" w:cs="楷体"/>
                <w:bCs/>
                <w:caps/>
                <w:szCs w:val="24"/>
              </w:rPr>
              <w:t>被授权人身份证复印件</w:t>
            </w:r>
          </w:p>
          <w:p>
            <w:pPr>
              <w:tabs>
                <w:tab w:val="right" w:leader="dot" w:pos="9022"/>
              </w:tabs>
              <w:autoSpaceDE w:val="0"/>
              <w:autoSpaceDN w:val="0"/>
              <w:adjustRightInd w:val="0"/>
              <w:spacing w:line="560" w:lineRule="exact"/>
              <w:jc w:val="left"/>
              <w:rPr>
                <w:rFonts w:ascii="楷体" w:hAnsi="楷体" w:eastAsia="楷体" w:cs="楷体"/>
                <w:bCs/>
                <w:caps/>
                <w:szCs w:val="24"/>
              </w:rPr>
            </w:pPr>
          </w:p>
          <w:p>
            <w:pPr>
              <w:tabs>
                <w:tab w:val="right" w:leader="dot" w:pos="9022"/>
              </w:tabs>
              <w:autoSpaceDE w:val="0"/>
              <w:autoSpaceDN w:val="0"/>
              <w:adjustRightInd w:val="0"/>
              <w:spacing w:line="560" w:lineRule="exact"/>
              <w:jc w:val="center"/>
              <w:rPr>
                <w:rFonts w:ascii="楷体" w:hAnsi="楷体" w:eastAsia="楷体" w:cs="楷体"/>
                <w:bCs/>
                <w:caps/>
                <w:szCs w:val="24"/>
              </w:rPr>
            </w:pPr>
            <w:r>
              <w:rPr>
                <w:rFonts w:hint="eastAsia" w:ascii="楷体" w:hAnsi="楷体" w:eastAsia="楷体" w:cs="楷体"/>
                <w:bCs/>
                <w:caps/>
                <w:szCs w:val="24"/>
              </w:rPr>
              <w:t>二代身份证正、反两面都需复印</w:t>
            </w:r>
          </w:p>
          <w:p>
            <w:pPr>
              <w:tabs>
                <w:tab w:val="right" w:leader="dot" w:pos="9022"/>
              </w:tabs>
              <w:autoSpaceDE w:val="0"/>
              <w:autoSpaceDN w:val="0"/>
              <w:adjustRightInd w:val="0"/>
              <w:spacing w:line="560" w:lineRule="exact"/>
              <w:jc w:val="center"/>
              <w:rPr>
                <w:rFonts w:ascii="楷体" w:hAnsi="楷体" w:eastAsia="楷体" w:cs="楷体"/>
                <w:bCs/>
                <w:caps/>
                <w:szCs w:val="24"/>
              </w:rPr>
            </w:pPr>
            <w:r>
              <w:rPr>
                <w:rFonts w:hint="eastAsia" w:ascii="楷体" w:hAnsi="楷体" w:eastAsia="楷体" w:cs="楷体"/>
                <w:bCs/>
                <w:caps/>
                <w:szCs w:val="24"/>
              </w:rPr>
              <w:t>（粘贴处）</w:t>
            </w:r>
          </w:p>
          <w:p>
            <w:pPr>
              <w:tabs>
                <w:tab w:val="right" w:leader="dot" w:pos="9022"/>
              </w:tabs>
              <w:autoSpaceDE w:val="0"/>
              <w:autoSpaceDN w:val="0"/>
              <w:adjustRightInd w:val="0"/>
              <w:spacing w:line="560" w:lineRule="exact"/>
              <w:jc w:val="left"/>
              <w:rPr>
                <w:rFonts w:ascii="楷体" w:hAnsi="楷体" w:eastAsia="楷体" w:cs="楷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4899" w:type="dxa"/>
            <w:gridSpan w:val="4"/>
            <w:tcBorders>
              <w:bottom w:val="single" w:color="auto" w:sz="4" w:space="0"/>
            </w:tcBorders>
            <w:vAlign w:val="center"/>
          </w:tcPr>
          <w:p>
            <w:pPr>
              <w:tabs>
                <w:tab w:val="right" w:leader="dot" w:pos="9022"/>
              </w:tabs>
              <w:autoSpaceDE w:val="0"/>
              <w:autoSpaceDN w:val="0"/>
              <w:adjustRightInd w:val="0"/>
              <w:spacing w:line="560" w:lineRule="exact"/>
              <w:jc w:val="left"/>
              <w:rPr>
                <w:rFonts w:ascii="楷体" w:hAnsi="楷体" w:eastAsia="楷体" w:cs="楷体"/>
                <w:bCs/>
                <w:caps/>
                <w:szCs w:val="24"/>
              </w:rPr>
            </w:pPr>
            <w:r>
              <w:rPr>
                <w:rFonts w:hint="eastAsia" w:ascii="楷体" w:hAnsi="楷体" w:eastAsia="楷体" w:cs="楷体"/>
                <w:bCs/>
                <w:caps/>
                <w:szCs w:val="24"/>
              </w:rPr>
              <w:t>法定代表人签字或盖章：</w:t>
            </w:r>
          </w:p>
        </w:tc>
        <w:tc>
          <w:tcPr>
            <w:tcW w:w="5296" w:type="dxa"/>
            <w:gridSpan w:val="3"/>
            <w:tcBorders>
              <w:bottom w:val="single" w:color="auto" w:sz="4" w:space="0"/>
            </w:tcBorders>
            <w:vAlign w:val="center"/>
          </w:tcPr>
          <w:p>
            <w:pPr>
              <w:tabs>
                <w:tab w:val="right" w:leader="dot" w:pos="9022"/>
              </w:tabs>
              <w:autoSpaceDE w:val="0"/>
              <w:autoSpaceDN w:val="0"/>
              <w:adjustRightInd w:val="0"/>
              <w:spacing w:line="560" w:lineRule="exact"/>
              <w:jc w:val="left"/>
              <w:rPr>
                <w:rFonts w:ascii="楷体" w:hAnsi="楷体" w:eastAsia="楷体" w:cs="楷体"/>
                <w:bCs/>
                <w:caps/>
                <w:szCs w:val="24"/>
              </w:rPr>
            </w:pPr>
            <w:r>
              <w:rPr>
                <w:rFonts w:hint="eastAsia" w:ascii="楷体" w:hAnsi="楷体" w:eastAsia="楷体" w:cs="楷体"/>
                <w:bCs/>
                <w:caps/>
                <w:szCs w:val="24"/>
              </w:rPr>
              <w:t>被授权人签字或盖章：</w:t>
            </w:r>
          </w:p>
        </w:tc>
      </w:tr>
    </w:tbl>
    <w:p>
      <w:pPr>
        <w:spacing w:line="360" w:lineRule="auto"/>
        <w:rPr>
          <w:rFonts w:ascii="楷体" w:hAnsi="楷体" w:eastAsia="楷体" w:cs="楷体"/>
          <w:spacing w:val="4"/>
          <w:szCs w:val="24"/>
        </w:rPr>
      </w:pPr>
      <w:r>
        <w:rPr>
          <w:rFonts w:hint="eastAsia" w:ascii="楷体" w:hAnsi="楷体" w:eastAsia="楷体" w:cs="楷体"/>
        </w:rPr>
        <w:t>投标人</w:t>
      </w:r>
      <w:r>
        <w:rPr>
          <w:rFonts w:hint="eastAsia" w:ascii="楷体" w:hAnsi="楷体" w:eastAsia="楷体" w:cs="楷体"/>
          <w:szCs w:val="24"/>
        </w:rPr>
        <w:t xml:space="preserve">名称（公章）： </w:t>
      </w:r>
      <w:r>
        <w:rPr>
          <w:rFonts w:hint="eastAsia" w:ascii="楷体" w:hAnsi="楷体" w:eastAsia="楷体" w:cs="楷体"/>
          <w:szCs w:val="24"/>
          <w:u w:val="single"/>
        </w:rPr>
        <w:t xml:space="preserve">              </w:t>
      </w:r>
      <w:r>
        <w:rPr>
          <w:rFonts w:hint="eastAsia" w:ascii="楷体" w:hAnsi="楷体" w:eastAsia="楷体" w:cs="楷体"/>
          <w:szCs w:val="24"/>
        </w:rPr>
        <w:t xml:space="preserve">             </w:t>
      </w:r>
    </w:p>
    <w:p>
      <w:pPr>
        <w:spacing w:line="360" w:lineRule="auto"/>
        <w:rPr>
          <w:rFonts w:ascii="楷体" w:hAnsi="楷体" w:eastAsia="楷体" w:cs="楷体"/>
          <w:spacing w:val="4"/>
          <w:szCs w:val="24"/>
        </w:rPr>
      </w:pPr>
      <w:r>
        <w:rPr>
          <w:rFonts w:hint="eastAsia" w:ascii="楷体" w:hAnsi="楷体" w:eastAsia="楷体" w:cs="楷体"/>
          <w:spacing w:val="4"/>
          <w:szCs w:val="24"/>
        </w:rPr>
        <w:t>日期：</w:t>
      </w:r>
      <w:r>
        <w:rPr>
          <w:rFonts w:hint="eastAsia" w:ascii="楷体" w:hAnsi="楷体" w:eastAsia="楷体" w:cs="楷体"/>
          <w:spacing w:val="4"/>
          <w:szCs w:val="24"/>
          <w:u w:val="single"/>
        </w:rPr>
        <w:t xml:space="preserve">               </w:t>
      </w:r>
      <w:r>
        <w:rPr>
          <w:rFonts w:hint="eastAsia" w:ascii="楷体" w:hAnsi="楷体" w:eastAsia="楷体" w:cs="楷体"/>
          <w:spacing w:val="4"/>
          <w:szCs w:val="24"/>
        </w:rPr>
        <w:t xml:space="preserve">                         </w:t>
      </w:r>
    </w:p>
    <w:bookmarkEnd w:id="99"/>
    <w:bookmarkEnd w:id="100"/>
    <w:bookmarkEnd w:id="101"/>
    <w:bookmarkEnd w:id="102"/>
    <w:bookmarkEnd w:id="103"/>
    <w:bookmarkEnd w:id="104"/>
    <w:bookmarkEnd w:id="105"/>
    <w:bookmarkEnd w:id="106"/>
    <w:bookmarkEnd w:id="107"/>
    <w:p>
      <w:pPr>
        <w:spacing w:line="360" w:lineRule="auto"/>
        <w:jc w:val="center"/>
        <w:rPr>
          <w:rFonts w:ascii="楷体" w:hAnsi="楷体" w:eastAsia="楷体" w:cs="楷体"/>
          <w:sz w:val="32"/>
          <w:szCs w:val="32"/>
        </w:rPr>
      </w:pPr>
      <w:bookmarkStart w:id="108" w:name="_Toc403077651"/>
      <w:bookmarkStart w:id="109" w:name="_Toc363474030"/>
      <w:r>
        <w:rPr>
          <w:rFonts w:hint="eastAsia" w:ascii="楷体" w:hAnsi="楷体" w:eastAsia="楷体" w:cs="楷体"/>
          <w:b/>
          <w:sz w:val="28"/>
          <w:szCs w:val="28"/>
          <w:u w:val="single"/>
        </w:rPr>
        <w:br w:type="page"/>
      </w:r>
      <w:bookmarkEnd w:id="96"/>
      <w:bookmarkEnd w:id="108"/>
      <w:bookmarkEnd w:id="109"/>
      <w:r>
        <w:rPr>
          <w:rFonts w:hint="eastAsia" w:ascii="楷体" w:hAnsi="楷体" w:eastAsia="楷体" w:cs="楷体"/>
          <w:b/>
          <w:bCs/>
          <w:sz w:val="32"/>
          <w:szCs w:val="32"/>
        </w:rPr>
        <w:t>三、投标报价表</w:t>
      </w:r>
    </w:p>
    <w:p>
      <w:pPr>
        <w:spacing w:line="360" w:lineRule="auto"/>
        <w:jc w:val="center"/>
        <w:rPr>
          <w:rFonts w:ascii="楷体" w:hAnsi="楷体" w:eastAsia="楷体" w:cs="楷体"/>
          <w:b/>
          <w:sz w:val="30"/>
          <w:szCs w:val="30"/>
        </w:rPr>
      </w:pPr>
      <w:r>
        <w:rPr>
          <w:rFonts w:hint="eastAsia" w:ascii="楷体" w:hAnsi="楷体" w:eastAsia="楷体" w:cs="楷体"/>
          <w:b/>
          <w:sz w:val="30"/>
          <w:szCs w:val="30"/>
        </w:rPr>
        <w:t>3.1开标一览表</w:t>
      </w:r>
    </w:p>
    <w:p>
      <w:pPr>
        <w:spacing w:line="360" w:lineRule="auto"/>
        <w:jc w:val="left"/>
        <w:rPr>
          <w:rFonts w:ascii="楷体" w:hAnsi="楷体" w:eastAsia="楷体" w:cs="楷体"/>
          <w:b/>
        </w:rPr>
      </w:pPr>
      <w:r>
        <w:rPr>
          <w:rFonts w:hint="eastAsia" w:ascii="楷体" w:hAnsi="楷体" w:eastAsia="楷体" w:cs="楷体"/>
          <w:b/>
        </w:rPr>
        <w:t>项目名称、        标段：</w:t>
      </w:r>
    </w:p>
    <w:p>
      <w:pPr>
        <w:tabs>
          <w:tab w:val="left" w:pos="7200"/>
          <w:tab w:val="left" w:pos="8504"/>
        </w:tabs>
        <w:spacing w:line="360" w:lineRule="auto"/>
        <w:rPr>
          <w:rFonts w:ascii="楷体" w:hAnsi="楷体" w:eastAsia="楷体" w:cs="楷体"/>
          <w:b/>
        </w:rPr>
      </w:pPr>
      <w:r>
        <w:rPr>
          <w:rFonts w:hint="eastAsia" w:ascii="楷体" w:hAnsi="楷体" w:eastAsia="楷体" w:cs="楷体"/>
          <w:b/>
        </w:rPr>
        <w:t>项目编号：</w:t>
      </w:r>
    </w:p>
    <w:p>
      <w:pPr>
        <w:tabs>
          <w:tab w:val="left" w:pos="7200"/>
          <w:tab w:val="left" w:pos="8504"/>
        </w:tabs>
        <w:spacing w:line="360" w:lineRule="auto"/>
        <w:rPr>
          <w:rFonts w:ascii="楷体" w:hAnsi="楷体" w:eastAsia="楷体" w:cs="楷体"/>
        </w:rPr>
      </w:pPr>
      <w:r>
        <w:rPr>
          <w:rFonts w:hint="eastAsia" w:ascii="楷体" w:hAnsi="楷体" w:eastAsia="楷体" w:cs="楷体"/>
        </w:rPr>
        <w:tab/>
      </w:r>
      <w:r>
        <w:rPr>
          <w:rFonts w:hint="eastAsia" w:ascii="楷体" w:hAnsi="楷体" w:eastAsia="楷体" w:cs="楷体"/>
        </w:rPr>
        <w:t>单位：（元）</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9"/>
        <w:gridCol w:w="2319"/>
        <w:gridCol w:w="2226"/>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2989" w:type="dxa"/>
            <w:vAlign w:val="center"/>
          </w:tcPr>
          <w:p>
            <w:pPr>
              <w:spacing w:line="360" w:lineRule="auto"/>
              <w:jc w:val="center"/>
              <w:rPr>
                <w:rFonts w:ascii="楷体" w:hAnsi="楷体" w:eastAsia="楷体" w:cs="楷体"/>
                <w:b/>
                <w:bCs/>
                <w:szCs w:val="24"/>
              </w:rPr>
            </w:pPr>
            <w:r>
              <w:rPr>
                <w:rFonts w:hint="eastAsia" w:ascii="楷体" w:hAnsi="楷体" w:eastAsia="楷体" w:cs="楷体"/>
                <w:b/>
                <w:bCs/>
                <w:szCs w:val="24"/>
              </w:rPr>
              <w:t>投标总报价</w:t>
            </w:r>
          </w:p>
        </w:tc>
        <w:tc>
          <w:tcPr>
            <w:tcW w:w="2319" w:type="dxa"/>
            <w:vAlign w:val="center"/>
          </w:tcPr>
          <w:p>
            <w:pPr>
              <w:spacing w:line="360" w:lineRule="auto"/>
              <w:jc w:val="center"/>
              <w:rPr>
                <w:rFonts w:ascii="楷体" w:hAnsi="楷体" w:eastAsia="楷体" w:cs="楷体"/>
                <w:b/>
                <w:bCs/>
                <w:szCs w:val="24"/>
              </w:rPr>
            </w:pPr>
            <w:r>
              <w:rPr>
                <w:rFonts w:hint="eastAsia" w:ascii="楷体" w:hAnsi="楷体" w:eastAsia="楷体" w:cs="楷体"/>
                <w:b/>
                <w:bCs/>
                <w:szCs w:val="24"/>
              </w:rPr>
              <w:t>建设期</w:t>
            </w:r>
          </w:p>
        </w:tc>
        <w:tc>
          <w:tcPr>
            <w:tcW w:w="2226" w:type="dxa"/>
            <w:vAlign w:val="center"/>
          </w:tcPr>
          <w:p>
            <w:pPr>
              <w:spacing w:line="360" w:lineRule="auto"/>
              <w:jc w:val="center"/>
              <w:rPr>
                <w:rFonts w:ascii="楷体" w:hAnsi="楷体" w:eastAsia="楷体" w:cs="楷体"/>
                <w:b/>
                <w:bCs/>
                <w:szCs w:val="24"/>
              </w:rPr>
            </w:pPr>
            <w:r>
              <w:rPr>
                <w:rFonts w:hint="eastAsia" w:ascii="楷体" w:hAnsi="楷体" w:eastAsia="楷体" w:cs="楷体"/>
                <w:b/>
                <w:bCs/>
                <w:szCs w:val="24"/>
              </w:rPr>
              <w:t>质保期</w:t>
            </w:r>
          </w:p>
        </w:tc>
        <w:tc>
          <w:tcPr>
            <w:tcW w:w="1267" w:type="dxa"/>
            <w:vAlign w:val="center"/>
          </w:tcPr>
          <w:p>
            <w:pPr>
              <w:spacing w:line="360" w:lineRule="auto"/>
              <w:jc w:val="center"/>
              <w:rPr>
                <w:rFonts w:ascii="楷体" w:hAnsi="楷体" w:eastAsia="楷体" w:cs="楷体"/>
                <w:b/>
                <w:bCs/>
                <w:szCs w:val="24"/>
              </w:rPr>
            </w:pPr>
            <w:r>
              <w:rPr>
                <w:rFonts w:hint="eastAsia" w:ascii="楷体" w:hAnsi="楷体" w:eastAsia="楷体" w:cs="楷体"/>
                <w:b/>
                <w:bCs/>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2989" w:type="dxa"/>
            <w:vAlign w:val="center"/>
          </w:tcPr>
          <w:p>
            <w:pPr>
              <w:spacing w:line="360" w:lineRule="auto"/>
              <w:jc w:val="center"/>
              <w:rPr>
                <w:rFonts w:ascii="楷体" w:hAnsi="楷体" w:eastAsia="楷体" w:cs="楷体"/>
                <w:szCs w:val="24"/>
              </w:rPr>
            </w:pPr>
          </w:p>
        </w:tc>
        <w:tc>
          <w:tcPr>
            <w:tcW w:w="2319" w:type="dxa"/>
            <w:vAlign w:val="center"/>
          </w:tcPr>
          <w:p>
            <w:pPr>
              <w:spacing w:line="360" w:lineRule="auto"/>
              <w:jc w:val="center"/>
              <w:rPr>
                <w:rFonts w:ascii="楷体" w:hAnsi="楷体" w:eastAsia="楷体" w:cs="楷体"/>
                <w:szCs w:val="24"/>
              </w:rPr>
            </w:pPr>
          </w:p>
        </w:tc>
        <w:tc>
          <w:tcPr>
            <w:tcW w:w="2226" w:type="dxa"/>
          </w:tcPr>
          <w:p>
            <w:pPr>
              <w:spacing w:line="360" w:lineRule="auto"/>
              <w:rPr>
                <w:rFonts w:ascii="楷体" w:hAnsi="楷体" w:eastAsia="楷体" w:cs="楷体"/>
                <w:szCs w:val="24"/>
              </w:rPr>
            </w:pPr>
          </w:p>
        </w:tc>
        <w:tc>
          <w:tcPr>
            <w:tcW w:w="1267" w:type="dxa"/>
            <w:vAlign w:val="center"/>
          </w:tcPr>
          <w:p>
            <w:pPr>
              <w:spacing w:line="360" w:lineRule="auto"/>
              <w:jc w:val="center"/>
              <w:rPr>
                <w:rFonts w:ascii="楷体" w:hAnsi="楷体" w:eastAsia="楷体" w:cs="楷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8801" w:type="dxa"/>
            <w:gridSpan w:val="4"/>
            <w:vAlign w:val="center"/>
          </w:tcPr>
          <w:p>
            <w:pPr>
              <w:spacing w:line="360" w:lineRule="auto"/>
              <w:rPr>
                <w:rFonts w:ascii="楷体" w:hAnsi="楷体" w:eastAsia="楷体" w:cs="楷体"/>
                <w:szCs w:val="24"/>
              </w:rPr>
            </w:pPr>
            <w:r>
              <w:rPr>
                <w:rFonts w:hint="eastAsia" w:ascii="楷体" w:hAnsi="楷体" w:eastAsia="楷体" w:cs="楷体"/>
                <w:szCs w:val="24"/>
              </w:rPr>
              <w:t>投标总报价（大写）：                              （小写：￥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8801" w:type="dxa"/>
            <w:gridSpan w:val="4"/>
            <w:vAlign w:val="center"/>
          </w:tcPr>
          <w:p>
            <w:pPr>
              <w:spacing w:line="360" w:lineRule="auto"/>
              <w:rPr>
                <w:rFonts w:ascii="楷体" w:hAnsi="楷体" w:eastAsia="楷体" w:cs="楷体"/>
              </w:rPr>
            </w:pPr>
            <w:r>
              <w:rPr>
                <w:rFonts w:hint="eastAsia" w:ascii="楷体" w:hAnsi="楷体" w:eastAsia="楷体" w:cs="楷体"/>
              </w:rPr>
              <w:t>备注：表内报价内容以元为单位，保留小数点后两位。</w:t>
            </w:r>
          </w:p>
        </w:tc>
      </w:tr>
    </w:tbl>
    <w:p>
      <w:pPr>
        <w:spacing w:line="360" w:lineRule="exact"/>
        <w:rPr>
          <w:rFonts w:ascii="楷体" w:hAnsi="楷体" w:eastAsia="楷体" w:cs="楷体"/>
          <w:iCs/>
          <w:color w:val="000000"/>
        </w:rPr>
      </w:pPr>
      <w:r>
        <w:rPr>
          <w:rFonts w:hint="eastAsia" w:ascii="楷体" w:hAnsi="楷体" w:eastAsia="楷体" w:cs="楷体"/>
          <w:iCs/>
          <w:color w:val="000000"/>
        </w:rPr>
        <w:t>注：1、报价应是最终用户验收合格后的总价，包括服务价、人工费、软件费、培训费、设备费、资料费、运输、保险、税费等招标文件规定的其它费用；</w:t>
      </w:r>
    </w:p>
    <w:p>
      <w:pPr>
        <w:spacing w:line="360" w:lineRule="exact"/>
        <w:ind w:firstLine="470" w:firstLineChars="196"/>
        <w:jc w:val="left"/>
        <w:outlineLvl w:val="1"/>
        <w:rPr>
          <w:rFonts w:ascii="楷体" w:hAnsi="楷体" w:eastAsia="楷体" w:cs="楷体"/>
          <w:iCs/>
          <w:color w:val="000000"/>
        </w:rPr>
      </w:pPr>
      <w:bookmarkStart w:id="110" w:name="_Toc1201"/>
      <w:r>
        <w:rPr>
          <w:rFonts w:hint="eastAsia" w:ascii="楷体" w:hAnsi="楷体" w:eastAsia="楷体" w:cs="楷体"/>
          <w:iCs/>
          <w:color w:val="000000"/>
        </w:rPr>
        <w:t>2、</w:t>
      </w:r>
      <w:bookmarkEnd w:id="110"/>
      <w:r>
        <w:rPr>
          <w:rFonts w:hint="eastAsia" w:ascii="楷体" w:hAnsi="楷体" w:eastAsia="楷体" w:cs="楷体"/>
          <w:iCs/>
          <w:color w:val="000000"/>
        </w:rPr>
        <w:t xml:space="preserve">“开标一览表” 应按投标总价以包为单位填写； </w:t>
      </w:r>
    </w:p>
    <w:p>
      <w:pPr>
        <w:spacing w:line="360" w:lineRule="exact"/>
        <w:ind w:firstLine="360" w:firstLineChars="150"/>
        <w:rPr>
          <w:rFonts w:ascii="楷体" w:hAnsi="楷体" w:eastAsia="楷体" w:cs="楷体"/>
          <w:iCs/>
          <w:color w:val="000000"/>
        </w:rPr>
      </w:pPr>
      <w:r>
        <w:rPr>
          <w:rFonts w:hint="eastAsia" w:ascii="楷体" w:hAnsi="楷体" w:eastAsia="楷体" w:cs="楷体"/>
          <w:iCs/>
          <w:color w:val="000000"/>
        </w:rPr>
        <w:t xml:space="preserve"> 3、此表中任何信息与投标文件其他处不一致的，以用于唱标的“开标一览表”为准；</w:t>
      </w:r>
    </w:p>
    <w:p>
      <w:pPr>
        <w:spacing w:line="360" w:lineRule="auto"/>
        <w:rPr>
          <w:rFonts w:ascii="楷体" w:hAnsi="楷体" w:eastAsia="楷体" w:cs="楷体"/>
          <w:szCs w:val="24"/>
        </w:rPr>
      </w:pPr>
      <w:r>
        <w:rPr>
          <w:rFonts w:hint="eastAsia" w:ascii="楷体" w:hAnsi="楷体" w:eastAsia="楷体" w:cs="楷体"/>
          <w:szCs w:val="24"/>
        </w:rPr>
        <w:t>投标人名称（公章）:</w:t>
      </w:r>
      <w:r>
        <w:rPr>
          <w:rFonts w:hint="eastAsia" w:ascii="楷体" w:hAnsi="楷体" w:eastAsia="楷体" w:cs="楷体"/>
          <w:szCs w:val="24"/>
          <w:u w:val="single"/>
        </w:rPr>
        <w:t xml:space="preserve">          </w:t>
      </w:r>
      <w:r>
        <w:rPr>
          <w:rFonts w:hint="eastAsia" w:ascii="楷体" w:hAnsi="楷体" w:eastAsia="楷体" w:cs="楷体"/>
          <w:szCs w:val="24"/>
        </w:rPr>
        <w:t xml:space="preserve">             </w:t>
      </w:r>
    </w:p>
    <w:p>
      <w:pPr>
        <w:spacing w:line="360" w:lineRule="auto"/>
        <w:rPr>
          <w:rFonts w:ascii="楷体" w:hAnsi="楷体" w:eastAsia="楷体" w:cs="楷体"/>
          <w:szCs w:val="24"/>
          <w:u w:val="single"/>
        </w:rPr>
      </w:pPr>
      <w:r>
        <w:rPr>
          <w:rFonts w:hint="eastAsia" w:ascii="楷体" w:hAnsi="楷体" w:eastAsia="楷体" w:cs="楷体"/>
          <w:szCs w:val="24"/>
        </w:rPr>
        <w:t>法定代表人/被授权人（签字</w:t>
      </w:r>
      <w:r>
        <w:rPr>
          <w:rFonts w:hint="eastAsia" w:ascii="楷体" w:hAnsi="楷体" w:eastAsia="楷体" w:cs="楷体"/>
          <w:szCs w:val="24"/>
          <w:lang w:eastAsia="zh-CN"/>
        </w:rPr>
        <w:t>并</w:t>
      </w:r>
      <w:r>
        <w:rPr>
          <w:rFonts w:hint="eastAsia" w:ascii="楷体" w:hAnsi="楷体" w:eastAsia="楷体" w:cs="楷体"/>
          <w:szCs w:val="24"/>
        </w:rPr>
        <w:t>盖章）：</w:t>
      </w:r>
      <w:r>
        <w:rPr>
          <w:rFonts w:hint="eastAsia" w:ascii="楷体" w:hAnsi="楷体" w:eastAsia="楷体" w:cs="楷体"/>
          <w:szCs w:val="24"/>
          <w:u w:val="single"/>
        </w:rPr>
        <w:t xml:space="preserve">          </w:t>
      </w:r>
    </w:p>
    <w:p>
      <w:pPr>
        <w:spacing w:line="360" w:lineRule="auto"/>
        <w:rPr>
          <w:rFonts w:ascii="楷体" w:hAnsi="楷体" w:eastAsia="楷体" w:cs="楷体"/>
          <w:szCs w:val="24"/>
        </w:rPr>
      </w:pPr>
      <w:r>
        <w:rPr>
          <w:rFonts w:hint="eastAsia" w:ascii="楷体" w:hAnsi="楷体" w:eastAsia="楷体" w:cs="楷体"/>
          <w:szCs w:val="24"/>
        </w:rPr>
        <w:t xml:space="preserve">日    期：                                   </w:t>
      </w:r>
    </w:p>
    <w:p>
      <w:pPr>
        <w:spacing w:beforeLines="50" w:afterLines="50" w:line="480" w:lineRule="auto"/>
        <w:ind w:firstLine="480" w:firstLineChars="200"/>
        <w:rPr>
          <w:rFonts w:ascii="楷体" w:hAnsi="楷体" w:eastAsia="楷体" w:cs="楷体"/>
          <w:szCs w:val="24"/>
        </w:rPr>
      </w:pPr>
    </w:p>
    <w:p>
      <w:pPr>
        <w:pStyle w:val="3"/>
        <w:rPr>
          <w:rFonts w:ascii="楷体" w:hAnsi="楷体" w:eastAsia="楷体" w:cs="楷体"/>
          <w:szCs w:val="24"/>
        </w:rPr>
      </w:pPr>
    </w:p>
    <w:p>
      <w:pPr>
        <w:rPr>
          <w:rFonts w:ascii="楷体" w:hAnsi="楷体" w:eastAsia="楷体" w:cs="楷体"/>
          <w:szCs w:val="24"/>
        </w:rPr>
      </w:pPr>
    </w:p>
    <w:p>
      <w:pPr>
        <w:pStyle w:val="3"/>
      </w:pPr>
    </w:p>
    <w:p>
      <w:pPr>
        <w:pStyle w:val="3"/>
      </w:pPr>
    </w:p>
    <w:p/>
    <w:p>
      <w:pPr>
        <w:spacing w:line="360" w:lineRule="auto"/>
        <w:rPr>
          <w:rFonts w:ascii="楷体" w:hAnsi="楷体" w:eastAsia="楷体" w:cs="楷体"/>
          <w:b/>
          <w:bCs/>
          <w:sz w:val="32"/>
          <w:szCs w:val="32"/>
        </w:rPr>
      </w:pPr>
    </w:p>
    <w:p>
      <w:pPr>
        <w:spacing w:line="360" w:lineRule="auto"/>
        <w:jc w:val="center"/>
        <w:rPr>
          <w:rFonts w:ascii="楷体" w:hAnsi="楷体" w:eastAsia="楷体" w:cs="楷体"/>
          <w:b/>
          <w:bCs/>
          <w:sz w:val="32"/>
          <w:szCs w:val="32"/>
        </w:rPr>
      </w:pPr>
      <w:r>
        <w:rPr>
          <w:rFonts w:hint="eastAsia" w:ascii="楷体" w:hAnsi="楷体" w:eastAsia="楷体" w:cs="楷体"/>
          <w:b/>
          <w:bCs/>
          <w:sz w:val="32"/>
          <w:szCs w:val="32"/>
        </w:rPr>
        <w:t>3.2分项报价表</w:t>
      </w:r>
    </w:p>
    <w:p>
      <w:pPr>
        <w:spacing w:line="360" w:lineRule="auto"/>
        <w:jc w:val="left"/>
        <w:rPr>
          <w:rFonts w:ascii="楷体" w:hAnsi="楷体" w:eastAsia="楷体" w:cs="楷体"/>
          <w:b/>
        </w:rPr>
      </w:pPr>
      <w:r>
        <w:rPr>
          <w:rFonts w:hint="eastAsia" w:ascii="楷体" w:hAnsi="楷体" w:eastAsia="楷体" w:cs="楷体"/>
          <w:b/>
        </w:rPr>
        <w:t>项目名称、                                  标段：</w:t>
      </w:r>
    </w:p>
    <w:p>
      <w:pPr>
        <w:pStyle w:val="3"/>
        <w:spacing w:line="360" w:lineRule="auto"/>
        <w:rPr>
          <w:rFonts w:ascii="楷体" w:hAnsi="楷体" w:eastAsia="楷体" w:cs="楷体"/>
          <w:b/>
          <w:kern w:val="0"/>
          <w:sz w:val="24"/>
          <w:szCs w:val="22"/>
        </w:rPr>
      </w:pPr>
      <w:r>
        <w:rPr>
          <w:rFonts w:hint="eastAsia" w:ascii="楷体" w:hAnsi="楷体" w:eastAsia="楷体" w:cs="楷体"/>
          <w:b/>
          <w:kern w:val="0"/>
          <w:sz w:val="24"/>
          <w:szCs w:val="22"/>
        </w:rPr>
        <w:t>项目编号：</w:t>
      </w:r>
    </w:p>
    <w:tbl>
      <w:tblPr>
        <w:tblStyle w:val="24"/>
        <w:tblW w:w="8844" w:type="dxa"/>
        <w:jc w:val="center"/>
        <w:tblLayout w:type="fixed"/>
        <w:tblCellMar>
          <w:top w:w="0" w:type="dxa"/>
          <w:left w:w="28" w:type="dxa"/>
          <w:bottom w:w="0" w:type="dxa"/>
          <w:right w:w="28" w:type="dxa"/>
        </w:tblCellMar>
      </w:tblPr>
      <w:tblGrid>
        <w:gridCol w:w="871"/>
        <w:gridCol w:w="1020"/>
        <w:gridCol w:w="1425"/>
        <w:gridCol w:w="2019"/>
        <w:gridCol w:w="1171"/>
        <w:gridCol w:w="1167"/>
        <w:gridCol w:w="1171"/>
      </w:tblGrid>
      <w:tr>
        <w:tblPrEx>
          <w:tblCellMar>
            <w:top w:w="0" w:type="dxa"/>
            <w:left w:w="28" w:type="dxa"/>
            <w:bottom w:w="0" w:type="dxa"/>
            <w:right w:w="28" w:type="dxa"/>
          </w:tblCellMar>
        </w:tblPrEx>
        <w:trPr>
          <w:trHeight w:val="931" w:hRule="exact"/>
          <w:jc w:val="center"/>
        </w:trPr>
        <w:tc>
          <w:tcPr>
            <w:tcW w:w="871" w:type="dxa"/>
            <w:vMerge w:val="restart"/>
            <w:tcBorders>
              <w:top w:val="single" w:color="auto" w:sz="6" w:space="0"/>
              <w:left w:val="single" w:color="auto" w:sz="6" w:space="0"/>
              <w:right w:val="single" w:color="auto" w:sz="4" w:space="0"/>
            </w:tcBorders>
            <w:vAlign w:val="center"/>
          </w:tcPr>
          <w:p>
            <w:pPr>
              <w:spacing w:line="360" w:lineRule="auto"/>
              <w:jc w:val="center"/>
              <w:rPr>
                <w:rFonts w:ascii="楷体" w:hAnsi="楷体" w:eastAsia="楷体" w:cs="楷体"/>
                <w:b/>
                <w:szCs w:val="24"/>
              </w:rPr>
            </w:pPr>
            <w:r>
              <w:rPr>
                <w:rFonts w:hint="eastAsia" w:ascii="楷体" w:hAnsi="楷体" w:eastAsia="楷体" w:cs="楷体"/>
                <w:b/>
              </w:rPr>
              <w:t xml:space="preserve">                           </w:t>
            </w:r>
            <w:r>
              <w:rPr>
                <w:rFonts w:hint="eastAsia" w:ascii="楷体" w:hAnsi="楷体" w:eastAsia="楷体" w:cs="楷体"/>
                <w:b/>
                <w:szCs w:val="24"/>
              </w:rPr>
              <w:t>产品</w:t>
            </w:r>
          </w:p>
          <w:p>
            <w:pPr>
              <w:spacing w:line="360" w:lineRule="auto"/>
              <w:jc w:val="center"/>
              <w:rPr>
                <w:rFonts w:ascii="楷体" w:hAnsi="楷体" w:eastAsia="楷体" w:cs="楷体"/>
                <w:b/>
              </w:rPr>
            </w:pPr>
            <w:r>
              <w:rPr>
                <w:rFonts w:hint="eastAsia" w:ascii="楷体" w:hAnsi="楷体" w:eastAsia="楷体" w:cs="楷体"/>
                <w:b/>
                <w:szCs w:val="24"/>
              </w:rPr>
              <w:t>费用</w:t>
            </w:r>
          </w:p>
        </w:tc>
        <w:tc>
          <w:tcPr>
            <w:tcW w:w="1020" w:type="dxa"/>
            <w:tcBorders>
              <w:top w:val="single" w:color="auto" w:sz="6" w:space="0"/>
              <w:left w:val="single" w:color="auto" w:sz="4" w:space="0"/>
              <w:bottom w:val="single" w:color="auto" w:sz="6" w:space="0"/>
            </w:tcBorders>
            <w:vAlign w:val="center"/>
          </w:tcPr>
          <w:p>
            <w:pPr>
              <w:spacing w:line="360" w:lineRule="auto"/>
              <w:jc w:val="center"/>
              <w:rPr>
                <w:rFonts w:ascii="楷体" w:hAnsi="楷体" w:eastAsia="楷体" w:cs="楷体"/>
                <w:b/>
              </w:rPr>
            </w:pPr>
            <w:r>
              <w:rPr>
                <w:rFonts w:hint="eastAsia" w:ascii="楷体" w:hAnsi="楷体" w:eastAsia="楷体" w:cs="楷体"/>
                <w:b/>
              </w:rPr>
              <w:t>序号</w:t>
            </w:r>
          </w:p>
        </w:tc>
        <w:tc>
          <w:tcPr>
            <w:tcW w:w="142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楷体" w:hAnsi="楷体" w:eastAsia="楷体" w:cs="楷体"/>
                <w:b/>
              </w:rPr>
            </w:pPr>
            <w:r>
              <w:rPr>
                <w:rFonts w:hint="eastAsia" w:ascii="楷体" w:hAnsi="楷体" w:eastAsia="楷体" w:cs="楷体"/>
                <w:b/>
              </w:rPr>
              <w:t>名称</w:t>
            </w:r>
          </w:p>
        </w:tc>
        <w:tc>
          <w:tcPr>
            <w:tcW w:w="201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楷体" w:hAnsi="楷体" w:eastAsia="楷体" w:cs="楷体"/>
                <w:b/>
              </w:rPr>
            </w:pPr>
            <w:r>
              <w:rPr>
                <w:rFonts w:hint="eastAsia" w:ascii="楷体" w:hAnsi="楷体" w:eastAsia="楷体" w:cs="楷体"/>
                <w:b/>
              </w:rPr>
              <w:t>品牌</w:t>
            </w:r>
            <w:r>
              <w:rPr>
                <w:rFonts w:hint="eastAsia" w:ascii="楷体" w:hAnsi="楷体" w:eastAsia="楷体" w:cs="楷体"/>
                <w:b/>
                <w:lang w:eastAsia="zh-CN"/>
              </w:rPr>
              <w:t>或</w:t>
            </w:r>
            <w:r>
              <w:rPr>
                <w:rFonts w:hint="eastAsia" w:ascii="楷体" w:hAnsi="楷体" w:eastAsia="楷体" w:cs="楷体"/>
                <w:b/>
              </w:rPr>
              <w:t>型号</w:t>
            </w:r>
          </w:p>
        </w:tc>
        <w:tc>
          <w:tcPr>
            <w:tcW w:w="117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楷体" w:hAnsi="楷体" w:eastAsia="楷体" w:cs="楷体"/>
                <w:b/>
              </w:rPr>
            </w:pPr>
            <w:r>
              <w:rPr>
                <w:rFonts w:hint="eastAsia" w:ascii="楷体" w:hAnsi="楷体" w:eastAsia="楷体" w:cs="楷体"/>
                <w:b/>
              </w:rPr>
              <w:t>数量</w:t>
            </w:r>
          </w:p>
        </w:tc>
        <w:tc>
          <w:tcPr>
            <w:tcW w:w="116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楷体" w:hAnsi="楷体" w:eastAsia="楷体" w:cs="楷体"/>
                <w:b/>
              </w:rPr>
            </w:pPr>
            <w:r>
              <w:rPr>
                <w:rFonts w:hint="eastAsia" w:ascii="楷体" w:hAnsi="楷体" w:eastAsia="楷体" w:cs="楷体"/>
                <w:b/>
              </w:rPr>
              <w:t>单价</w:t>
            </w:r>
          </w:p>
          <w:p>
            <w:pPr>
              <w:spacing w:line="360" w:lineRule="auto"/>
              <w:jc w:val="center"/>
              <w:rPr>
                <w:rFonts w:ascii="楷体" w:hAnsi="楷体" w:eastAsia="楷体" w:cs="楷体"/>
                <w:b/>
                <w:bCs/>
              </w:rPr>
            </w:pPr>
            <w:r>
              <w:rPr>
                <w:rFonts w:hint="eastAsia" w:ascii="楷体" w:hAnsi="楷体" w:eastAsia="楷体" w:cs="楷体"/>
                <w:b/>
              </w:rPr>
              <w:t>（元）</w:t>
            </w:r>
          </w:p>
        </w:tc>
        <w:tc>
          <w:tcPr>
            <w:tcW w:w="117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楷体" w:hAnsi="楷体" w:eastAsia="楷体" w:cs="楷体"/>
                <w:b/>
                <w:bCs/>
              </w:rPr>
            </w:pPr>
            <w:r>
              <w:rPr>
                <w:rFonts w:hint="eastAsia" w:ascii="楷体" w:hAnsi="楷体" w:eastAsia="楷体" w:cs="楷体"/>
                <w:b/>
                <w:bCs/>
              </w:rPr>
              <w:t>总价</w:t>
            </w:r>
          </w:p>
          <w:p>
            <w:pPr>
              <w:spacing w:line="360" w:lineRule="auto"/>
              <w:jc w:val="center"/>
              <w:rPr>
                <w:rFonts w:ascii="楷体" w:hAnsi="楷体" w:eastAsia="楷体" w:cs="楷体"/>
                <w:b/>
                <w:bCs/>
              </w:rPr>
            </w:pPr>
            <w:r>
              <w:rPr>
                <w:rFonts w:hint="eastAsia" w:ascii="楷体" w:hAnsi="楷体" w:eastAsia="楷体" w:cs="楷体"/>
                <w:b/>
                <w:bCs/>
              </w:rPr>
              <w:t>（元）</w:t>
            </w:r>
          </w:p>
        </w:tc>
      </w:tr>
      <w:tr>
        <w:tblPrEx>
          <w:tblCellMar>
            <w:top w:w="0" w:type="dxa"/>
            <w:left w:w="28" w:type="dxa"/>
            <w:bottom w:w="0" w:type="dxa"/>
            <w:right w:w="28" w:type="dxa"/>
          </w:tblCellMar>
        </w:tblPrEx>
        <w:trPr>
          <w:trHeight w:val="851" w:hRule="exact"/>
          <w:jc w:val="center"/>
        </w:trPr>
        <w:tc>
          <w:tcPr>
            <w:tcW w:w="871" w:type="dxa"/>
            <w:vMerge w:val="continue"/>
            <w:tcBorders>
              <w:left w:val="single" w:color="auto" w:sz="6" w:space="0"/>
              <w:right w:val="single" w:color="auto" w:sz="4" w:space="0"/>
            </w:tcBorders>
            <w:vAlign w:val="center"/>
          </w:tcPr>
          <w:p>
            <w:pPr>
              <w:spacing w:line="360" w:lineRule="auto"/>
              <w:jc w:val="center"/>
              <w:rPr>
                <w:rFonts w:ascii="楷体" w:hAnsi="楷体" w:eastAsia="楷体" w:cs="楷体"/>
              </w:rPr>
            </w:pPr>
          </w:p>
        </w:tc>
        <w:tc>
          <w:tcPr>
            <w:tcW w:w="1020" w:type="dxa"/>
            <w:tcBorders>
              <w:top w:val="single" w:color="auto" w:sz="6" w:space="0"/>
              <w:left w:val="single" w:color="auto" w:sz="4" w:space="0"/>
              <w:bottom w:val="single" w:color="auto" w:sz="4" w:space="0"/>
            </w:tcBorders>
            <w:vAlign w:val="center"/>
          </w:tcPr>
          <w:p>
            <w:pPr>
              <w:spacing w:line="360" w:lineRule="auto"/>
              <w:jc w:val="center"/>
              <w:rPr>
                <w:rFonts w:ascii="楷体" w:hAnsi="楷体" w:eastAsia="楷体" w:cs="楷体"/>
              </w:rPr>
            </w:pPr>
            <w:r>
              <w:rPr>
                <w:rFonts w:hint="eastAsia" w:ascii="楷体" w:hAnsi="楷体" w:eastAsia="楷体" w:cs="楷体"/>
              </w:rPr>
              <w:t>1</w:t>
            </w:r>
          </w:p>
        </w:tc>
        <w:tc>
          <w:tcPr>
            <w:tcW w:w="1425" w:type="dxa"/>
            <w:tcBorders>
              <w:top w:val="single" w:color="auto" w:sz="6" w:space="0"/>
              <w:left w:val="single" w:color="auto" w:sz="6" w:space="0"/>
              <w:bottom w:val="single" w:color="auto" w:sz="4" w:space="0"/>
              <w:right w:val="single" w:color="auto" w:sz="6" w:space="0"/>
            </w:tcBorders>
            <w:vAlign w:val="center"/>
          </w:tcPr>
          <w:p>
            <w:pPr>
              <w:spacing w:line="360" w:lineRule="auto"/>
              <w:jc w:val="center"/>
              <w:rPr>
                <w:rFonts w:ascii="楷体" w:hAnsi="楷体" w:eastAsia="楷体" w:cs="楷体"/>
              </w:rPr>
            </w:pPr>
          </w:p>
        </w:tc>
        <w:tc>
          <w:tcPr>
            <w:tcW w:w="2019" w:type="dxa"/>
            <w:tcBorders>
              <w:top w:val="single" w:color="auto" w:sz="6" w:space="0"/>
              <w:left w:val="single" w:color="auto" w:sz="6" w:space="0"/>
              <w:bottom w:val="single" w:color="auto" w:sz="4" w:space="0"/>
              <w:right w:val="single" w:color="auto" w:sz="6" w:space="0"/>
            </w:tcBorders>
            <w:vAlign w:val="center"/>
          </w:tcPr>
          <w:p>
            <w:pPr>
              <w:spacing w:line="360" w:lineRule="auto"/>
              <w:jc w:val="center"/>
              <w:rPr>
                <w:rFonts w:ascii="楷体" w:hAnsi="楷体" w:eastAsia="楷体" w:cs="楷体"/>
              </w:rPr>
            </w:pPr>
          </w:p>
        </w:tc>
        <w:tc>
          <w:tcPr>
            <w:tcW w:w="1171" w:type="dxa"/>
            <w:tcBorders>
              <w:top w:val="single" w:color="auto" w:sz="6" w:space="0"/>
              <w:left w:val="single" w:color="auto" w:sz="6" w:space="0"/>
              <w:bottom w:val="single" w:color="auto" w:sz="4" w:space="0"/>
              <w:right w:val="single" w:color="auto" w:sz="6" w:space="0"/>
            </w:tcBorders>
            <w:vAlign w:val="center"/>
          </w:tcPr>
          <w:p>
            <w:pPr>
              <w:spacing w:line="360" w:lineRule="auto"/>
              <w:jc w:val="center"/>
              <w:rPr>
                <w:rFonts w:ascii="楷体" w:hAnsi="楷体" w:eastAsia="楷体" w:cs="楷体"/>
              </w:rPr>
            </w:pPr>
          </w:p>
        </w:tc>
        <w:tc>
          <w:tcPr>
            <w:tcW w:w="1167" w:type="dxa"/>
            <w:tcBorders>
              <w:top w:val="single" w:color="auto" w:sz="6" w:space="0"/>
              <w:left w:val="single" w:color="auto" w:sz="6" w:space="0"/>
              <w:bottom w:val="single" w:color="auto" w:sz="4" w:space="0"/>
              <w:right w:val="single" w:color="auto" w:sz="6" w:space="0"/>
            </w:tcBorders>
            <w:vAlign w:val="center"/>
          </w:tcPr>
          <w:p>
            <w:pPr>
              <w:spacing w:line="360" w:lineRule="auto"/>
              <w:jc w:val="center"/>
              <w:rPr>
                <w:rFonts w:ascii="楷体" w:hAnsi="楷体" w:eastAsia="楷体" w:cs="楷体"/>
              </w:rPr>
            </w:pPr>
          </w:p>
        </w:tc>
        <w:tc>
          <w:tcPr>
            <w:tcW w:w="1171" w:type="dxa"/>
            <w:tcBorders>
              <w:top w:val="single" w:color="auto" w:sz="6" w:space="0"/>
              <w:left w:val="single" w:color="auto" w:sz="6" w:space="0"/>
              <w:bottom w:val="single" w:color="auto" w:sz="4" w:space="0"/>
              <w:right w:val="single" w:color="auto" w:sz="6" w:space="0"/>
            </w:tcBorders>
            <w:vAlign w:val="center"/>
          </w:tcPr>
          <w:p>
            <w:pPr>
              <w:spacing w:line="360" w:lineRule="auto"/>
              <w:jc w:val="center"/>
              <w:rPr>
                <w:rFonts w:ascii="楷体" w:hAnsi="楷体" w:eastAsia="楷体" w:cs="楷体"/>
              </w:rPr>
            </w:pPr>
          </w:p>
        </w:tc>
      </w:tr>
      <w:tr>
        <w:tblPrEx>
          <w:tblCellMar>
            <w:top w:w="0" w:type="dxa"/>
            <w:left w:w="28" w:type="dxa"/>
            <w:bottom w:w="0" w:type="dxa"/>
            <w:right w:w="28" w:type="dxa"/>
          </w:tblCellMar>
        </w:tblPrEx>
        <w:trPr>
          <w:trHeight w:val="851" w:hRule="exact"/>
          <w:jc w:val="center"/>
        </w:trPr>
        <w:tc>
          <w:tcPr>
            <w:tcW w:w="871" w:type="dxa"/>
            <w:vMerge w:val="continue"/>
            <w:tcBorders>
              <w:left w:val="single" w:color="auto" w:sz="6" w:space="0"/>
              <w:right w:val="single" w:color="auto" w:sz="4" w:space="0"/>
            </w:tcBorders>
            <w:vAlign w:val="center"/>
          </w:tcPr>
          <w:p>
            <w:pPr>
              <w:spacing w:line="360" w:lineRule="auto"/>
              <w:jc w:val="center"/>
              <w:rPr>
                <w:rFonts w:ascii="楷体" w:hAnsi="楷体" w:eastAsia="楷体" w:cs="楷体"/>
              </w:rPr>
            </w:pPr>
          </w:p>
        </w:tc>
        <w:tc>
          <w:tcPr>
            <w:tcW w:w="1020" w:type="dxa"/>
            <w:tcBorders>
              <w:top w:val="single" w:color="auto" w:sz="4" w:space="0"/>
              <w:left w:val="single" w:color="auto" w:sz="4" w:space="0"/>
              <w:bottom w:val="single" w:color="auto" w:sz="6" w:space="0"/>
            </w:tcBorders>
            <w:vAlign w:val="center"/>
          </w:tcPr>
          <w:p>
            <w:pPr>
              <w:spacing w:line="360" w:lineRule="auto"/>
              <w:jc w:val="center"/>
              <w:rPr>
                <w:rFonts w:ascii="楷体" w:hAnsi="楷体" w:eastAsia="楷体" w:cs="楷体"/>
              </w:rPr>
            </w:pPr>
            <w:r>
              <w:rPr>
                <w:rFonts w:hint="eastAsia" w:ascii="楷体" w:hAnsi="楷体" w:eastAsia="楷体" w:cs="楷体"/>
              </w:rPr>
              <w:t>2</w:t>
            </w:r>
          </w:p>
        </w:tc>
        <w:tc>
          <w:tcPr>
            <w:tcW w:w="1425" w:type="dxa"/>
            <w:tcBorders>
              <w:top w:val="single" w:color="auto" w:sz="4" w:space="0"/>
              <w:left w:val="single" w:color="auto" w:sz="6" w:space="0"/>
              <w:bottom w:val="single" w:color="auto" w:sz="6" w:space="0"/>
              <w:right w:val="single" w:color="auto" w:sz="6" w:space="0"/>
            </w:tcBorders>
            <w:vAlign w:val="center"/>
          </w:tcPr>
          <w:p>
            <w:pPr>
              <w:spacing w:line="360" w:lineRule="auto"/>
              <w:jc w:val="center"/>
              <w:rPr>
                <w:rFonts w:ascii="楷体" w:hAnsi="楷体" w:eastAsia="楷体" w:cs="楷体"/>
              </w:rPr>
            </w:pPr>
          </w:p>
        </w:tc>
        <w:tc>
          <w:tcPr>
            <w:tcW w:w="2019" w:type="dxa"/>
            <w:tcBorders>
              <w:top w:val="single" w:color="auto" w:sz="4" w:space="0"/>
              <w:left w:val="single" w:color="auto" w:sz="6" w:space="0"/>
              <w:bottom w:val="single" w:color="auto" w:sz="6" w:space="0"/>
              <w:right w:val="single" w:color="auto" w:sz="6" w:space="0"/>
            </w:tcBorders>
            <w:vAlign w:val="center"/>
          </w:tcPr>
          <w:p>
            <w:pPr>
              <w:spacing w:line="360" w:lineRule="auto"/>
              <w:jc w:val="center"/>
              <w:rPr>
                <w:rFonts w:ascii="楷体" w:hAnsi="楷体" w:eastAsia="楷体" w:cs="楷体"/>
              </w:rPr>
            </w:pPr>
          </w:p>
        </w:tc>
        <w:tc>
          <w:tcPr>
            <w:tcW w:w="1171" w:type="dxa"/>
            <w:tcBorders>
              <w:top w:val="single" w:color="auto" w:sz="4" w:space="0"/>
              <w:left w:val="single" w:color="auto" w:sz="6" w:space="0"/>
              <w:bottom w:val="single" w:color="auto" w:sz="6" w:space="0"/>
              <w:right w:val="single" w:color="auto" w:sz="6" w:space="0"/>
            </w:tcBorders>
            <w:vAlign w:val="center"/>
          </w:tcPr>
          <w:p>
            <w:pPr>
              <w:spacing w:line="360" w:lineRule="auto"/>
              <w:jc w:val="center"/>
              <w:rPr>
                <w:rFonts w:ascii="楷体" w:hAnsi="楷体" w:eastAsia="楷体" w:cs="楷体"/>
              </w:rPr>
            </w:pPr>
          </w:p>
        </w:tc>
        <w:tc>
          <w:tcPr>
            <w:tcW w:w="1167" w:type="dxa"/>
            <w:tcBorders>
              <w:top w:val="single" w:color="auto" w:sz="4" w:space="0"/>
              <w:left w:val="single" w:color="auto" w:sz="6" w:space="0"/>
              <w:bottom w:val="single" w:color="auto" w:sz="6" w:space="0"/>
              <w:right w:val="single" w:color="auto" w:sz="6" w:space="0"/>
            </w:tcBorders>
            <w:vAlign w:val="center"/>
          </w:tcPr>
          <w:p>
            <w:pPr>
              <w:spacing w:line="360" w:lineRule="auto"/>
              <w:jc w:val="center"/>
              <w:rPr>
                <w:rFonts w:ascii="楷体" w:hAnsi="楷体" w:eastAsia="楷体" w:cs="楷体"/>
              </w:rPr>
            </w:pPr>
          </w:p>
        </w:tc>
        <w:tc>
          <w:tcPr>
            <w:tcW w:w="1171" w:type="dxa"/>
            <w:tcBorders>
              <w:top w:val="single" w:color="auto" w:sz="4" w:space="0"/>
              <w:left w:val="single" w:color="auto" w:sz="6" w:space="0"/>
              <w:bottom w:val="single" w:color="auto" w:sz="6" w:space="0"/>
              <w:right w:val="single" w:color="auto" w:sz="6" w:space="0"/>
            </w:tcBorders>
            <w:vAlign w:val="center"/>
          </w:tcPr>
          <w:p>
            <w:pPr>
              <w:spacing w:line="360" w:lineRule="auto"/>
              <w:jc w:val="center"/>
              <w:rPr>
                <w:rFonts w:ascii="楷体" w:hAnsi="楷体" w:eastAsia="楷体" w:cs="楷体"/>
              </w:rPr>
            </w:pPr>
          </w:p>
        </w:tc>
      </w:tr>
      <w:tr>
        <w:tblPrEx>
          <w:tblCellMar>
            <w:top w:w="0" w:type="dxa"/>
            <w:left w:w="28" w:type="dxa"/>
            <w:bottom w:w="0" w:type="dxa"/>
            <w:right w:w="28" w:type="dxa"/>
          </w:tblCellMar>
        </w:tblPrEx>
        <w:trPr>
          <w:trHeight w:val="851" w:hRule="exact"/>
          <w:jc w:val="center"/>
        </w:trPr>
        <w:tc>
          <w:tcPr>
            <w:tcW w:w="871" w:type="dxa"/>
            <w:vMerge w:val="continue"/>
            <w:tcBorders>
              <w:left w:val="single" w:color="auto" w:sz="6" w:space="0"/>
              <w:right w:val="single" w:color="auto" w:sz="4" w:space="0"/>
            </w:tcBorders>
            <w:vAlign w:val="center"/>
          </w:tcPr>
          <w:p>
            <w:pPr>
              <w:spacing w:line="360" w:lineRule="auto"/>
              <w:jc w:val="center"/>
              <w:rPr>
                <w:rFonts w:ascii="楷体" w:hAnsi="楷体" w:eastAsia="楷体" w:cs="楷体"/>
              </w:rPr>
            </w:pPr>
          </w:p>
        </w:tc>
        <w:tc>
          <w:tcPr>
            <w:tcW w:w="1020" w:type="dxa"/>
            <w:tcBorders>
              <w:top w:val="single" w:color="auto" w:sz="4" w:space="0"/>
              <w:left w:val="single" w:color="auto" w:sz="4" w:space="0"/>
              <w:bottom w:val="single" w:color="auto" w:sz="6" w:space="0"/>
            </w:tcBorders>
            <w:vAlign w:val="center"/>
          </w:tcPr>
          <w:p>
            <w:pPr>
              <w:spacing w:line="360" w:lineRule="auto"/>
              <w:jc w:val="center"/>
              <w:rPr>
                <w:rFonts w:ascii="楷体" w:hAnsi="楷体" w:eastAsia="楷体" w:cs="楷体"/>
              </w:rPr>
            </w:pPr>
            <w:r>
              <w:rPr>
                <w:rFonts w:hint="eastAsia" w:ascii="楷体" w:hAnsi="楷体" w:eastAsia="楷体" w:cs="楷体"/>
              </w:rPr>
              <w:t>3</w:t>
            </w:r>
          </w:p>
        </w:tc>
        <w:tc>
          <w:tcPr>
            <w:tcW w:w="1425" w:type="dxa"/>
            <w:tcBorders>
              <w:top w:val="single" w:color="auto" w:sz="4" w:space="0"/>
              <w:left w:val="single" w:color="auto" w:sz="6" w:space="0"/>
              <w:bottom w:val="single" w:color="auto" w:sz="6" w:space="0"/>
              <w:right w:val="single" w:color="auto" w:sz="6" w:space="0"/>
            </w:tcBorders>
            <w:vAlign w:val="center"/>
          </w:tcPr>
          <w:p>
            <w:pPr>
              <w:spacing w:line="360" w:lineRule="auto"/>
              <w:jc w:val="center"/>
              <w:rPr>
                <w:rFonts w:ascii="楷体" w:hAnsi="楷体" w:eastAsia="楷体" w:cs="楷体"/>
              </w:rPr>
            </w:pPr>
          </w:p>
        </w:tc>
        <w:tc>
          <w:tcPr>
            <w:tcW w:w="2019" w:type="dxa"/>
            <w:tcBorders>
              <w:top w:val="single" w:color="auto" w:sz="4" w:space="0"/>
              <w:left w:val="single" w:color="auto" w:sz="6" w:space="0"/>
              <w:bottom w:val="single" w:color="auto" w:sz="6" w:space="0"/>
              <w:right w:val="single" w:color="auto" w:sz="6" w:space="0"/>
            </w:tcBorders>
            <w:vAlign w:val="center"/>
          </w:tcPr>
          <w:p>
            <w:pPr>
              <w:spacing w:line="360" w:lineRule="auto"/>
              <w:jc w:val="center"/>
              <w:rPr>
                <w:rFonts w:ascii="楷体" w:hAnsi="楷体" w:eastAsia="楷体" w:cs="楷体"/>
              </w:rPr>
            </w:pPr>
          </w:p>
        </w:tc>
        <w:tc>
          <w:tcPr>
            <w:tcW w:w="1171" w:type="dxa"/>
            <w:tcBorders>
              <w:top w:val="single" w:color="auto" w:sz="4" w:space="0"/>
              <w:left w:val="single" w:color="auto" w:sz="6" w:space="0"/>
              <w:bottom w:val="single" w:color="auto" w:sz="6" w:space="0"/>
              <w:right w:val="single" w:color="auto" w:sz="6" w:space="0"/>
            </w:tcBorders>
            <w:vAlign w:val="center"/>
          </w:tcPr>
          <w:p>
            <w:pPr>
              <w:spacing w:line="360" w:lineRule="auto"/>
              <w:jc w:val="center"/>
              <w:rPr>
                <w:rFonts w:ascii="楷体" w:hAnsi="楷体" w:eastAsia="楷体" w:cs="楷体"/>
              </w:rPr>
            </w:pPr>
          </w:p>
        </w:tc>
        <w:tc>
          <w:tcPr>
            <w:tcW w:w="1167" w:type="dxa"/>
            <w:tcBorders>
              <w:top w:val="single" w:color="auto" w:sz="4" w:space="0"/>
              <w:left w:val="single" w:color="auto" w:sz="6" w:space="0"/>
              <w:bottom w:val="single" w:color="auto" w:sz="6" w:space="0"/>
              <w:right w:val="single" w:color="auto" w:sz="6" w:space="0"/>
            </w:tcBorders>
            <w:vAlign w:val="center"/>
          </w:tcPr>
          <w:p>
            <w:pPr>
              <w:spacing w:line="360" w:lineRule="auto"/>
              <w:jc w:val="center"/>
              <w:rPr>
                <w:rFonts w:ascii="楷体" w:hAnsi="楷体" w:eastAsia="楷体" w:cs="楷体"/>
              </w:rPr>
            </w:pPr>
          </w:p>
        </w:tc>
        <w:tc>
          <w:tcPr>
            <w:tcW w:w="1171" w:type="dxa"/>
            <w:tcBorders>
              <w:top w:val="single" w:color="auto" w:sz="4" w:space="0"/>
              <w:left w:val="single" w:color="auto" w:sz="6" w:space="0"/>
              <w:bottom w:val="single" w:color="auto" w:sz="6" w:space="0"/>
              <w:right w:val="single" w:color="auto" w:sz="6" w:space="0"/>
            </w:tcBorders>
            <w:vAlign w:val="center"/>
          </w:tcPr>
          <w:p>
            <w:pPr>
              <w:spacing w:line="360" w:lineRule="auto"/>
              <w:jc w:val="center"/>
              <w:rPr>
                <w:rFonts w:ascii="楷体" w:hAnsi="楷体" w:eastAsia="楷体" w:cs="楷体"/>
              </w:rPr>
            </w:pPr>
          </w:p>
        </w:tc>
      </w:tr>
      <w:tr>
        <w:tblPrEx>
          <w:tblCellMar>
            <w:top w:w="0" w:type="dxa"/>
            <w:left w:w="28" w:type="dxa"/>
            <w:bottom w:w="0" w:type="dxa"/>
            <w:right w:w="28" w:type="dxa"/>
          </w:tblCellMar>
        </w:tblPrEx>
        <w:trPr>
          <w:trHeight w:val="851" w:hRule="exact"/>
          <w:jc w:val="center"/>
        </w:trPr>
        <w:tc>
          <w:tcPr>
            <w:tcW w:w="3316" w:type="dxa"/>
            <w:gridSpan w:val="3"/>
            <w:tcBorders>
              <w:top w:val="single" w:color="auto" w:sz="4" w:space="0"/>
              <w:left w:val="single" w:color="auto" w:sz="6" w:space="0"/>
              <w:bottom w:val="single" w:color="auto" w:sz="6" w:space="0"/>
              <w:right w:val="single" w:color="auto" w:sz="6" w:space="0"/>
            </w:tcBorders>
            <w:vAlign w:val="center"/>
          </w:tcPr>
          <w:p>
            <w:pPr>
              <w:spacing w:line="360" w:lineRule="auto"/>
              <w:jc w:val="center"/>
              <w:rPr>
                <w:rFonts w:ascii="楷体" w:hAnsi="楷体" w:eastAsia="楷体" w:cs="楷体"/>
                <w:szCs w:val="24"/>
              </w:rPr>
            </w:pPr>
            <w:r>
              <w:rPr>
                <w:rFonts w:hint="eastAsia" w:ascii="楷体" w:hAnsi="楷体" w:eastAsia="楷体" w:cs="楷体"/>
              </w:rPr>
              <w:t>其他费用</w:t>
            </w:r>
          </w:p>
        </w:tc>
        <w:tc>
          <w:tcPr>
            <w:tcW w:w="5528" w:type="dxa"/>
            <w:gridSpan w:val="4"/>
            <w:tcBorders>
              <w:top w:val="single" w:color="auto" w:sz="4" w:space="0"/>
              <w:left w:val="single" w:color="auto" w:sz="6" w:space="0"/>
              <w:bottom w:val="single" w:color="auto" w:sz="6" w:space="0"/>
              <w:right w:val="single" w:color="auto" w:sz="6" w:space="0"/>
            </w:tcBorders>
            <w:vAlign w:val="center"/>
          </w:tcPr>
          <w:p>
            <w:pPr>
              <w:spacing w:line="360" w:lineRule="auto"/>
              <w:jc w:val="center"/>
              <w:rPr>
                <w:rFonts w:ascii="楷体" w:hAnsi="楷体" w:eastAsia="楷体" w:cs="楷体"/>
              </w:rPr>
            </w:pPr>
            <w:r>
              <w:rPr>
                <w:rFonts w:hint="eastAsia" w:ascii="楷体" w:hAnsi="楷体" w:eastAsia="楷体" w:cs="楷体"/>
                <w:szCs w:val="24"/>
              </w:rPr>
              <w:t>……</w:t>
            </w:r>
          </w:p>
        </w:tc>
      </w:tr>
      <w:tr>
        <w:tblPrEx>
          <w:tblCellMar>
            <w:top w:w="0" w:type="dxa"/>
            <w:left w:w="28" w:type="dxa"/>
            <w:bottom w:w="0" w:type="dxa"/>
            <w:right w:w="28" w:type="dxa"/>
          </w:tblCellMar>
        </w:tblPrEx>
        <w:trPr>
          <w:trHeight w:val="851" w:hRule="exact"/>
          <w:jc w:val="center"/>
        </w:trPr>
        <w:tc>
          <w:tcPr>
            <w:tcW w:w="3316" w:type="dxa"/>
            <w:gridSpan w:val="3"/>
            <w:tcBorders>
              <w:top w:val="single" w:color="auto" w:sz="4" w:space="0"/>
              <w:left w:val="single" w:color="auto" w:sz="6" w:space="0"/>
              <w:bottom w:val="single" w:color="auto" w:sz="6" w:space="0"/>
              <w:right w:val="single" w:color="auto" w:sz="6" w:space="0"/>
            </w:tcBorders>
            <w:vAlign w:val="center"/>
          </w:tcPr>
          <w:p>
            <w:pPr>
              <w:spacing w:line="360" w:lineRule="auto"/>
              <w:jc w:val="center"/>
              <w:rPr>
                <w:rFonts w:ascii="楷体" w:hAnsi="楷体" w:eastAsia="楷体" w:cs="楷体"/>
              </w:rPr>
            </w:pPr>
            <w:r>
              <w:rPr>
                <w:rFonts w:hint="eastAsia" w:ascii="楷体" w:hAnsi="楷体" w:eastAsia="楷体" w:cs="楷体"/>
                <w:szCs w:val="24"/>
              </w:rPr>
              <w:t>……</w:t>
            </w:r>
          </w:p>
        </w:tc>
        <w:tc>
          <w:tcPr>
            <w:tcW w:w="5528" w:type="dxa"/>
            <w:gridSpan w:val="4"/>
            <w:tcBorders>
              <w:top w:val="single" w:color="auto" w:sz="4" w:space="0"/>
              <w:left w:val="single" w:color="auto" w:sz="6" w:space="0"/>
              <w:bottom w:val="single" w:color="auto" w:sz="6" w:space="0"/>
              <w:right w:val="single" w:color="auto" w:sz="6" w:space="0"/>
            </w:tcBorders>
            <w:vAlign w:val="center"/>
          </w:tcPr>
          <w:p>
            <w:pPr>
              <w:spacing w:line="360" w:lineRule="auto"/>
              <w:jc w:val="center"/>
              <w:rPr>
                <w:rFonts w:ascii="楷体" w:hAnsi="楷体" w:eastAsia="楷体" w:cs="楷体"/>
              </w:rPr>
            </w:pPr>
          </w:p>
        </w:tc>
      </w:tr>
      <w:tr>
        <w:tblPrEx>
          <w:tblCellMar>
            <w:top w:w="0" w:type="dxa"/>
            <w:left w:w="28" w:type="dxa"/>
            <w:bottom w:w="0" w:type="dxa"/>
            <w:right w:w="28" w:type="dxa"/>
          </w:tblCellMar>
        </w:tblPrEx>
        <w:trPr>
          <w:trHeight w:val="851" w:hRule="exact"/>
          <w:jc w:val="center"/>
        </w:trPr>
        <w:tc>
          <w:tcPr>
            <w:tcW w:w="1891" w:type="dxa"/>
            <w:gridSpan w:val="2"/>
            <w:tcBorders>
              <w:top w:val="single" w:color="auto" w:sz="4" w:space="0"/>
              <w:left w:val="single" w:color="auto" w:sz="6" w:space="0"/>
              <w:bottom w:val="single" w:color="auto" w:sz="6" w:space="0"/>
            </w:tcBorders>
            <w:vAlign w:val="center"/>
          </w:tcPr>
          <w:p>
            <w:pPr>
              <w:spacing w:line="360" w:lineRule="auto"/>
              <w:jc w:val="center"/>
              <w:rPr>
                <w:rFonts w:ascii="楷体" w:hAnsi="楷体" w:eastAsia="楷体" w:cs="楷体"/>
                <w:szCs w:val="24"/>
              </w:rPr>
            </w:pPr>
            <w:r>
              <w:rPr>
                <w:rFonts w:hint="eastAsia" w:ascii="楷体" w:hAnsi="楷体" w:eastAsia="楷体" w:cs="楷体"/>
                <w:szCs w:val="24"/>
              </w:rPr>
              <w:t>投标总报价</w:t>
            </w:r>
          </w:p>
        </w:tc>
        <w:tc>
          <w:tcPr>
            <w:tcW w:w="6953" w:type="dxa"/>
            <w:gridSpan w:val="5"/>
            <w:tcBorders>
              <w:top w:val="single" w:color="auto" w:sz="4" w:space="0"/>
              <w:left w:val="single" w:color="auto" w:sz="6" w:space="0"/>
              <w:bottom w:val="single" w:color="auto" w:sz="6" w:space="0"/>
              <w:right w:val="single" w:color="auto" w:sz="6" w:space="0"/>
            </w:tcBorders>
            <w:vAlign w:val="center"/>
          </w:tcPr>
          <w:p>
            <w:pPr>
              <w:spacing w:line="360" w:lineRule="auto"/>
              <w:rPr>
                <w:rFonts w:ascii="楷体" w:hAnsi="楷体" w:eastAsia="楷体" w:cs="楷体"/>
                <w:szCs w:val="24"/>
              </w:rPr>
            </w:pPr>
            <w:r>
              <w:rPr>
                <w:rFonts w:hint="eastAsia" w:ascii="楷体" w:hAnsi="楷体" w:eastAsia="楷体" w:cs="楷体"/>
                <w:szCs w:val="24"/>
              </w:rPr>
              <w:t>大写：                           小写：</w:t>
            </w:r>
          </w:p>
        </w:tc>
      </w:tr>
      <w:tr>
        <w:tblPrEx>
          <w:tblCellMar>
            <w:top w:w="0" w:type="dxa"/>
            <w:left w:w="28" w:type="dxa"/>
            <w:bottom w:w="0" w:type="dxa"/>
            <w:right w:w="28" w:type="dxa"/>
          </w:tblCellMar>
        </w:tblPrEx>
        <w:trPr>
          <w:trHeight w:val="851" w:hRule="exact"/>
          <w:jc w:val="center"/>
        </w:trPr>
        <w:tc>
          <w:tcPr>
            <w:tcW w:w="1891" w:type="dxa"/>
            <w:gridSpan w:val="2"/>
            <w:tcBorders>
              <w:top w:val="single" w:color="auto" w:sz="4" w:space="0"/>
              <w:left w:val="single" w:color="auto" w:sz="6" w:space="0"/>
              <w:bottom w:val="single" w:color="auto" w:sz="6" w:space="0"/>
            </w:tcBorders>
            <w:vAlign w:val="center"/>
          </w:tcPr>
          <w:p>
            <w:pPr>
              <w:spacing w:line="360" w:lineRule="auto"/>
              <w:jc w:val="center"/>
              <w:rPr>
                <w:rFonts w:ascii="楷体" w:hAnsi="楷体" w:eastAsia="楷体" w:cs="楷体"/>
                <w:szCs w:val="24"/>
              </w:rPr>
            </w:pPr>
            <w:r>
              <w:rPr>
                <w:rFonts w:hint="eastAsia" w:ascii="楷体" w:hAnsi="楷体" w:eastAsia="楷体" w:cs="楷体"/>
                <w:szCs w:val="24"/>
              </w:rPr>
              <w:t>备注</w:t>
            </w:r>
          </w:p>
        </w:tc>
        <w:tc>
          <w:tcPr>
            <w:tcW w:w="6953" w:type="dxa"/>
            <w:gridSpan w:val="5"/>
            <w:tcBorders>
              <w:top w:val="single" w:color="auto" w:sz="4" w:space="0"/>
              <w:left w:val="single" w:color="auto" w:sz="6" w:space="0"/>
              <w:bottom w:val="single" w:color="auto" w:sz="6" w:space="0"/>
              <w:right w:val="single" w:color="auto" w:sz="6" w:space="0"/>
            </w:tcBorders>
            <w:vAlign w:val="center"/>
          </w:tcPr>
          <w:p>
            <w:pPr>
              <w:spacing w:line="360" w:lineRule="auto"/>
              <w:rPr>
                <w:rFonts w:ascii="楷体" w:hAnsi="楷体" w:eastAsia="楷体" w:cs="楷体"/>
                <w:szCs w:val="24"/>
              </w:rPr>
            </w:pPr>
            <w:r>
              <w:rPr>
                <w:rFonts w:hint="eastAsia" w:ascii="楷体" w:hAnsi="楷体" w:eastAsia="楷体" w:cs="楷体"/>
                <w:spacing w:val="-6"/>
                <w:szCs w:val="24"/>
              </w:rPr>
              <w:t>保留小数点后两位。</w:t>
            </w:r>
          </w:p>
        </w:tc>
      </w:tr>
    </w:tbl>
    <w:p>
      <w:pPr>
        <w:spacing w:line="360" w:lineRule="auto"/>
        <w:rPr>
          <w:rFonts w:ascii="楷体" w:hAnsi="楷体" w:eastAsia="楷体" w:cs="楷体"/>
        </w:rPr>
      </w:pPr>
    </w:p>
    <w:p>
      <w:pPr>
        <w:spacing w:line="360" w:lineRule="auto"/>
        <w:ind w:firstLine="482" w:firstLineChars="200"/>
        <w:rPr>
          <w:rFonts w:ascii="楷体" w:hAnsi="楷体" w:eastAsia="楷体" w:cs="楷体"/>
          <w:b/>
          <w:bCs/>
        </w:rPr>
      </w:pPr>
      <w:r>
        <w:rPr>
          <w:rFonts w:hint="eastAsia" w:ascii="楷体" w:hAnsi="楷体" w:eastAsia="楷体" w:cs="楷体"/>
          <w:b/>
        </w:rPr>
        <w:t>注：1</w:t>
      </w:r>
      <w:r>
        <w:rPr>
          <w:rFonts w:hint="eastAsia" w:ascii="楷体" w:hAnsi="楷体" w:eastAsia="楷体" w:cs="楷体"/>
          <w:b/>
          <w:bCs/>
        </w:rPr>
        <w:t>.投标人可适当调整该表格式，但不得减少信息内容。</w:t>
      </w:r>
    </w:p>
    <w:p>
      <w:pPr>
        <w:spacing w:line="360" w:lineRule="auto"/>
        <w:ind w:firstLine="482" w:firstLineChars="200"/>
        <w:rPr>
          <w:rFonts w:ascii="楷体" w:hAnsi="楷体" w:eastAsia="楷体" w:cs="楷体"/>
          <w:b/>
          <w:bCs/>
        </w:rPr>
      </w:pPr>
      <w:r>
        <w:rPr>
          <w:rFonts w:hint="eastAsia" w:ascii="楷体" w:hAnsi="楷体" w:eastAsia="楷体" w:cs="楷体"/>
          <w:b/>
          <w:bCs/>
        </w:rPr>
        <w:t>2.如有多种品规，每种品规均需注明投标报价。</w:t>
      </w:r>
    </w:p>
    <w:p>
      <w:pPr>
        <w:pStyle w:val="2"/>
        <w:spacing w:line="360" w:lineRule="auto"/>
        <w:ind w:firstLine="482" w:firstLineChars="200"/>
        <w:rPr>
          <w:rFonts w:ascii="楷体" w:hAnsi="楷体" w:eastAsia="楷体" w:cs="楷体"/>
          <w:b/>
          <w:bCs/>
          <w:sz w:val="24"/>
          <w:szCs w:val="22"/>
        </w:rPr>
      </w:pPr>
      <w:r>
        <w:rPr>
          <w:rFonts w:hint="eastAsia" w:ascii="楷体" w:hAnsi="楷体" w:eastAsia="楷体" w:cs="楷体"/>
          <w:b/>
          <w:bCs/>
          <w:sz w:val="24"/>
          <w:szCs w:val="22"/>
        </w:rPr>
        <w:t>3.如不提供分项报价，将视为无效响应。</w:t>
      </w:r>
    </w:p>
    <w:p>
      <w:pPr>
        <w:spacing w:line="360" w:lineRule="auto"/>
        <w:rPr>
          <w:rFonts w:ascii="楷体" w:hAnsi="楷体" w:eastAsia="楷体" w:cs="楷体"/>
        </w:rPr>
      </w:pPr>
    </w:p>
    <w:p>
      <w:pPr>
        <w:spacing w:line="360" w:lineRule="auto"/>
        <w:jc w:val="left"/>
        <w:rPr>
          <w:rFonts w:ascii="楷体" w:hAnsi="楷体" w:eastAsia="楷体" w:cs="楷体"/>
        </w:rPr>
      </w:pPr>
    </w:p>
    <w:p>
      <w:pPr>
        <w:spacing w:line="360" w:lineRule="auto"/>
        <w:jc w:val="left"/>
        <w:rPr>
          <w:rFonts w:ascii="楷体" w:hAnsi="楷体" w:eastAsia="楷体" w:cs="楷体"/>
        </w:rPr>
      </w:pPr>
      <w:r>
        <w:rPr>
          <w:rFonts w:hint="eastAsia" w:ascii="楷体" w:hAnsi="楷体" w:eastAsia="楷体" w:cs="楷体"/>
        </w:rPr>
        <w:t>投标人名称（公章）：</w:t>
      </w:r>
    </w:p>
    <w:p>
      <w:pPr>
        <w:spacing w:line="360" w:lineRule="auto"/>
        <w:jc w:val="left"/>
        <w:rPr>
          <w:rFonts w:ascii="楷体" w:hAnsi="楷体" w:eastAsia="楷体" w:cs="楷体"/>
        </w:rPr>
      </w:pPr>
      <w:r>
        <w:rPr>
          <w:rFonts w:hint="eastAsia" w:ascii="楷体" w:hAnsi="楷体" w:eastAsia="楷体" w:cs="楷体"/>
        </w:rPr>
        <w:t>法定代表人/被授权人（</w:t>
      </w:r>
      <w:r>
        <w:rPr>
          <w:rFonts w:hint="eastAsia" w:ascii="楷体" w:hAnsi="楷体" w:eastAsia="楷体" w:cs="楷体"/>
          <w:spacing w:val="4"/>
          <w:szCs w:val="24"/>
        </w:rPr>
        <w:t>签字或盖章</w:t>
      </w:r>
      <w:r>
        <w:rPr>
          <w:rFonts w:hint="eastAsia" w:ascii="楷体" w:hAnsi="楷体" w:eastAsia="楷体" w:cs="楷体"/>
        </w:rPr>
        <w:t>）：</w:t>
      </w:r>
    </w:p>
    <w:p>
      <w:pPr>
        <w:spacing w:line="360" w:lineRule="auto"/>
        <w:rPr>
          <w:rFonts w:ascii="楷体" w:hAnsi="楷体" w:eastAsia="楷体" w:cs="楷体"/>
        </w:rPr>
      </w:pPr>
      <w:r>
        <w:rPr>
          <w:rFonts w:hint="eastAsia" w:ascii="楷体" w:hAnsi="楷体" w:eastAsia="楷体" w:cs="楷体"/>
        </w:rPr>
        <w:t>日    期：</w:t>
      </w:r>
    </w:p>
    <w:p>
      <w:pPr>
        <w:spacing w:line="360" w:lineRule="auto"/>
        <w:rPr>
          <w:rFonts w:ascii="楷体" w:hAnsi="楷体" w:eastAsia="楷体" w:cs="楷体"/>
        </w:rPr>
      </w:pPr>
    </w:p>
    <w:p>
      <w:pPr>
        <w:numPr>
          <w:ilvl w:val="0"/>
          <w:numId w:val="18"/>
        </w:numPr>
        <w:spacing w:line="360" w:lineRule="auto"/>
        <w:jc w:val="center"/>
        <w:rPr>
          <w:rFonts w:ascii="楷体" w:hAnsi="楷体" w:eastAsia="楷体" w:cs="楷体"/>
          <w:b/>
          <w:bCs/>
          <w:sz w:val="32"/>
          <w:szCs w:val="32"/>
        </w:rPr>
      </w:pPr>
      <w:r>
        <w:rPr>
          <w:rFonts w:hint="eastAsia" w:ascii="楷体" w:hAnsi="楷体" w:eastAsia="楷体" w:cs="楷体"/>
          <w:b/>
          <w:sz w:val="32"/>
          <w:szCs w:val="32"/>
        </w:rPr>
        <w:br w:type="page"/>
      </w:r>
      <w:bookmarkStart w:id="111" w:name="_Toc8488"/>
      <w:bookmarkStart w:id="112" w:name="_Toc29779"/>
      <w:bookmarkStart w:id="113" w:name="_Toc8570"/>
      <w:r>
        <w:rPr>
          <w:rFonts w:hint="eastAsia" w:ascii="楷体" w:hAnsi="楷体" w:eastAsia="楷体" w:cs="楷体"/>
          <w:b/>
          <w:bCs/>
          <w:sz w:val="32"/>
          <w:szCs w:val="32"/>
        </w:rPr>
        <w:t>投标保证金</w:t>
      </w:r>
      <w:bookmarkEnd w:id="111"/>
      <w:bookmarkEnd w:id="112"/>
      <w:bookmarkEnd w:id="113"/>
    </w:p>
    <w:p>
      <w:pPr>
        <w:spacing w:line="360" w:lineRule="auto"/>
        <w:ind w:firstLine="482" w:firstLineChars="200"/>
        <w:rPr>
          <w:rFonts w:ascii="楷体" w:hAnsi="楷体" w:eastAsia="楷体" w:cs="楷体"/>
          <w:b/>
          <w:szCs w:val="24"/>
        </w:rPr>
      </w:pPr>
      <w:r>
        <w:rPr>
          <w:rFonts w:hint="eastAsia" w:ascii="楷体" w:hAnsi="楷体" w:eastAsia="楷体" w:cs="楷体"/>
          <w:b/>
          <w:szCs w:val="24"/>
        </w:rPr>
        <w:t>提供保证金付款凭证复印件。</w:t>
      </w:r>
    </w:p>
    <w:p>
      <w:pPr>
        <w:spacing w:line="360" w:lineRule="auto"/>
        <w:jc w:val="center"/>
        <w:rPr>
          <w:rFonts w:ascii="楷体" w:hAnsi="楷体" w:eastAsia="楷体" w:cs="楷体"/>
          <w:b/>
          <w:sz w:val="32"/>
          <w:szCs w:val="32"/>
        </w:rPr>
      </w:pPr>
      <w:r>
        <w:rPr>
          <w:rFonts w:hint="eastAsia" w:ascii="楷体" w:hAnsi="楷体" w:eastAsia="楷体" w:cs="楷体"/>
          <w:b/>
          <w:sz w:val="32"/>
          <w:szCs w:val="32"/>
        </w:rPr>
        <w:br w:type="page"/>
      </w:r>
      <w:r>
        <w:rPr>
          <w:rFonts w:hint="eastAsia" w:ascii="楷体" w:hAnsi="楷体" w:eastAsia="楷体" w:cs="楷体"/>
          <w:b/>
          <w:sz w:val="32"/>
          <w:szCs w:val="32"/>
        </w:rPr>
        <w:t>五、商务部分</w:t>
      </w:r>
    </w:p>
    <w:p>
      <w:pPr>
        <w:spacing w:line="360" w:lineRule="auto"/>
        <w:ind w:firstLine="482" w:firstLineChars="200"/>
        <w:rPr>
          <w:rFonts w:ascii="楷体" w:hAnsi="楷体" w:eastAsia="楷体" w:cs="楷体"/>
          <w:b/>
          <w:szCs w:val="24"/>
        </w:rPr>
      </w:pPr>
      <w:r>
        <w:rPr>
          <w:rFonts w:hint="eastAsia" w:ascii="楷体" w:hAnsi="楷体" w:eastAsia="楷体" w:cs="楷体"/>
          <w:b/>
          <w:szCs w:val="24"/>
        </w:rPr>
        <w:t>投标人应按照招标文件的要求编制商务要求，并封装至投标文件中。主要内容须包括以下几点，如果实质上没有响应招标文件要求，将按无效投标处理。</w:t>
      </w:r>
    </w:p>
    <w:p>
      <w:pPr>
        <w:spacing w:line="360" w:lineRule="auto"/>
        <w:rPr>
          <w:rFonts w:ascii="楷体" w:hAnsi="楷体" w:eastAsia="楷体" w:cs="楷体"/>
          <w:szCs w:val="24"/>
        </w:rPr>
      </w:pPr>
      <w:r>
        <w:rPr>
          <w:rFonts w:hint="eastAsia" w:ascii="楷体" w:hAnsi="楷体" w:eastAsia="楷体" w:cs="楷体"/>
          <w:b/>
          <w:bCs/>
          <w:szCs w:val="24"/>
        </w:rPr>
        <w:t>（一）资格审查文件</w:t>
      </w:r>
      <w:r>
        <w:rPr>
          <w:rFonts w:hint="eastAsia" w:ascii="楷体" w:hAnsi="楷体" w:eastAsia="楷体" w:cs="楷体"/>
          <w:szCs w:val="24"/>
        </w:rPr>
        <w:t>（以下相关资料按文件要求提供，须清晰可见）</w:t>
      </w:r>
    </w:p>
    <w:p>
      <w:pPr>
        <w:spacing w:line="360" w:lineRule="auto"/>
        <w:rPr>
          <w:rFonts w:ascii="楷体" w:hAnsi="楷体" w:eastAsia="楷体" w:cs="楷体"/>
          <w:szCs w:val="24"/>
        </w:rPr>
      </w:pPr>
      <w:r>
        <w:rPr>
          <w:rFonts w:hint="eastAsia" w:ascii="楷体" w:hAnsi="楷体" w:eastAsia="楷体" w:cs="楷体"/>
          <w:szCs w:val="24"/>
        </w:rPr>
        <w:t>1、投标人具备《中华人民共和国政府采购法》第二十二条规定之资格条件。须提供的证明材料有：</w:t>
      </w:r>
    </w:p>
    <w:p>
      <w:pPr>
        <w:pStyle w:val="23"/>
        <w:spacing w:beforeAutospacing="0" w:afterAutospacing="0" w:line="360" w:lineRule="auto"/>
        <w:rPr>
          <w:rFonts w:hint="eastAsia" w:ascii="楷体" w:hAnsi="楷体" w:eastAsia="楷体" w:cs="楷体"/>
        </w:rPr>
      </w:pPr>
      <w:r>
        <w:rPr>
          <w:rFonts w:hint="eastAsia" w:ascii="楷体" w:hAnsi="楷体" w:eastAsia="楷体" w:cs="楷体"/>
        </w:rPr>
        <w:t>1.1提供有效合格的具有社会统一信用代码的营业执照，</w:t>
      </w:r>
    </w:p>
    <w:p>
      <w:pPr>
        <w:pStyle w:val="23"/>
        <w:spacing w:beforeAutospacing="0" w:afterAutospacing="0" w:line="360" w:lineRule="auto"/>
        <w:rPr>
          <w:rFonts w:ascii="楷体" w:hAnsi="楷体" w:eastAsia="楷体" w:cs="楷体"/>
          <w:color w:val="0000FF"/>
        </w:rPr>
      </w:pPr>
      <w:r>
        <w:rPr>
          <w:rFonts w:hint="eastAsia" w:ascii="楷体" w:hAnsi="楷体" w:eastAsia="楷体" w:cs="楷体"/>
          <w:lang w:val="en-US" w:eastAsia="zh-CN"/>
        </w:rPr>
        <w:t>1.2</w:t>
      </w:r>
      <w:r>
        <w:rPr>
          <w:rFonts w:hint="eastAsia" w:ascii="楷体" w:hAnsi="楷体" w:eastAsia="楷体" w:cs="楷体"/>
        </w:rPr>
        <w:t>对列入“信用中国”网站(www.creditchina.gov.cn)“记录失信被执行人或重大税收违法案件当事人名单或企业经营异常名录”记录名单及中国政府采购网(www.ccgp.gov.cn)“政府采购严重违法失信行为信息记录”的投标人，</w:t>
      </w:r>
      <w:r>
        <w:rPr>
          <w:rFonts w:hint="eastAsia" w:ascii="楷体" w:hAnsi="楷体" w:eastAsia="楷体" w:cs="楷体"/>
          <w:lang w:eastAsia="zh-CN"/>
        </w:rPr>
        <w:t>禁止</w:t>
      </w:r>
      <w:r>
        <w:rPr>
          <w:rFonts w:hint="eastAsia" w:ascii="楷体" w:hAnsi="楷体" w:eastAsia="楷体" w:cs="楷体"/>
        </w:rPr>
        <w:t>参与政府采购活动（附投标截止日前的查询结果但以投标截止日当天查询结果为准）;</w:t>
      </w:r>
    </w:p>
    <w:p>
      <w:pPr>
        <w:pStyle w:val="23"/>
        <w:spacing w:beforeAutospacing="0" w:afterAutospacing="0" w:line="360" w:lineRule="auto"/>
        <w:rPr>
          <w:rFonts w:hint="eastAsia" w:ascii="楷体" w:hAnsi="楷体" w:eastAsia="楷体" w:cs="楷体"/>
          <w:lang w:val="en-US" w:eastAsia="zh-CN"/>
        </w:rPr>
      </w:pPr>
      <w:r>
        <w:rPr>
          <w:rFonts w:hint="eastAsia" w:ascii="楷体" w:hAnsi="楷体" w:eastAsia="楷体" w:cs="楷体"/>
        </w:rPr>
        <w:t>1.</w:t>
      </w:r>
      <w:r>
        <w:rPr>
          <w:rFonts w:hint="eastAsia" w:ascii="楷体" w:hAnsi="楷体" w:eastAsia="楷体" w:cs="楷体"/>
          <w:lang w:val="en-US" w:eastAsia="zh-CN"/>
        </w:rPr>
        <w:t>3</w:t>
      </w:r>
      <w:r>
        <w:rPr>
          <w:rFonts w:hint="eastAsia" w:ascii="楷体" w:hAnsi="楷体" w:eastAsia="楷体" w:cs="楷体"/>
        </w:rPr>
        <w:t>投标保证金交纳凭证（保证金交纳凭证复印件加盖公章）</w:t>
      </w:r>
      <w:r>
        <w:rPr>
          <w:rFonts w:hint="eastAsia" w:ascii="楷体" w:hAnsi="楷体" w:eastAsia="楷体" w:cs="楷体"/>
          <w:lang w:eastAsia="zh-CN"/>
        </w:rPr>
        <w:t>；</w:t>
      </w:r>
    </w:p>
    <w:p>
      <w:pPr>
        <w:pStyle w:val="23"/>
        <w:spacing w:beforeAutospacing="0" w:afterAutospacing="0" w:line="360" w:lineRule="auto"/>
        <w:rPr>
          <w:rFonts w:ascii="楷体" w:hAnsi="楷体" w:eastAsia="楷体" w:cs="楷体"/>
        </w:rPr>
      </w:pPr>
      <w:r>
        <w:rPr>
          <w:rFonts w:hint="eastAsia" w:ascii="楷体" w:hAnsi="楷体" w:eastAsia="楷体" w:cs="楷体"/>
          <w:lang w:val="en-US" w:eastAsia="zh-CN"/>
        </w:rPr>
        <w:t>1.4</w:t>
      </w:r>
      <w:r>
        <w:rPr>
          <w:rFonts w:hint="eastAsia" w:ascii="楷体" w:hAnsi="楷体" w:eastAsia="楷体" w:cs="楷体"/>
        </w:rPr>
        <w:t>财务状况报告：提供2021年度经审计的财务报告或开标日期前三个月内其基本存款账户开户银行出具的资信证明及基本存款账户开户许可证（基本账户信息表）；</w:t>
      </w:r>
    </w:p>
    <w:p>
      <w:pPr>
        <w:pStyle w:val="23"/>
        <w:spacing w:beforeAutospacing="0" w:afterAutospacing="0" w:line="360" w:lineRule="auto"/>
        <w:rPr>
          <w:rFonts w:ascii="楷体" w:hAnsi="楷体" w:eastAsia="楷体" w:cs="楷体"/>
        </w:rPr>
      </w:pPr>
      <w:r>
        <w:rPr>
          <w:rFonts w:hint="eastAsia" w:ascii="楷体" w:hAnsi="楷体" w:eastAsia="楷体" w:cs="楷体"/>
        </w:rPr>
        <w:t>1.</w:t>
      </w:r>
      <w:r>
        <w:rPr>
          <w:rFonts w:hint="eastAsia" w:ascii="楷体" w:hAnsi="楷体" w:eastAsia="楷体" w:cs="楷体"/>
          <w:lang w:val="en-US" w:eastAsia="zh-CN"/>
        </w:rPr>
        <w:t>5</w:t>
      </w:r>
      <w:r>
        <w:rPr>
          <w:rFonts w:hint="eastAsia" w:ascii="楷体" w:hAnsi="楷体" w:eastAsia="楷体" w:cs="楷体"/>
        </w:rPr>
        <w:t>税收缴纳证明：提供2022年1月至今已缴纳的连续陆个月的纳税证明，依法免税的单位应提供相关证明材料；</w:t>
      </w:r>
    </w:p>
    <w:p>
      <w:pPr>
        <w:pStyle w:val="23"/>
        <w:spacing w:beforeAutospacing="0" w:afterAutospacing="0" w:line="360" w:lineRule="auto"/>
        <w:rPr>
          <w:rFonts w:ascii="楷体" w:hAnsi="楷体" w:eastAsia="楷体" w:cs="楷体"/>
        </w:rPr>
      </w:pPr>
      <w:r>
        <w:rPr>
          <w:rFonts w:hint="eastAsia" w:ascii="楷体" w:hAnsi="楷体" w:eastAsia="楷体" w:cs="楷体"/>
        </w:rPr>
        <w:t>1.</w:t>
      </w:r>
      <w:r>
        <w:rPr>
          <w:rFonts w:hint="eastAsia" w:ascii="楷体" w:hAnsi="楷体" w:eastAsia="楷体" w:cs="楷体"/>
          <w:lang w:val="en-US" w:eastAsia="zh-CN"/>
        </w:rPr>
        <w:t>6</w:t>
      </w:r>
      <w:r>
        <w:rPr>
          <w:rFonts w:hint="eastAsia" w:ascii="楷体" w:hAnsi="楷体" w:eastAsia="楷体" w:cs="楷体"/>
        </w:rPr>
        <w:t>社会保障资金缴纳证明：提供2022年1月至今已缴存的连续陆个月的社会保障资金缴存单据或社保机构开具的社会保险参保缴费情况证明，依法不需要缴纳社会保障资金的单位应提供相关证明材料；</w:t>
      </w:r>
    </w:p>
    <w:p>
      <w:pPr>
        <w:pStyle w:val="23"/>
        <w:spacing w:beforeAutospacing="0" w:afterAutospacing="0" w:line="360" w:lineRule="auto"/>
        <w:rPr>
          <w:rFonts w:ascii="楷体" w:hAnsi="楷体" w:eastAsia="楷体" w:cs="楷体"/>
        </w:rPr>
      </w:pPr>
      <w:r>
        <w:rPr>
          <w:rFonts w:hint="eastAsia" w:ascii="楷体" w:hAnsi="楷体" w:eastAsia="楷体" w:cs="楷体"/>
        </w:rPr>
        <w:t>1.</w:t>
      </w:r>
      <w:r>
        <w:rPr>
          <w:rFonts w:hint="eastAsia" w:ascii="楷体" w:hAnsi="楷体" w:eastAsia="楷体" w:cs="楷体"/>
          <w:lang w:val="en-US" w:eastAsia="zh-CN"/>
        </w:rPr>
        <w:t>7</w:t>
      </w:r>
      <w:r>
        <w:rPr>
          <w:rFonts w:hint="eastAsia" w:ascii="楷体" w:hAnsi="楷体" w:eastAsia="楷体" w:cs="楷体"/>
        </w:rPr>
        <w:t>具备履行合同所必须的设备和专业技术能力的书面声明;</w:t>
      </w:r>
    </w:p>
    <w:p>
      <w:pPr>
        <w:pStyle w:val="23"/>
        <w:spacing w:beforeAutospacing="0" w:afterAutospacing="0" w:line="360" w:lineRule="auto"/>
        <w:rPr>
          <w:rFonts w:hint="eastAsia" w:ascii="楷体" w:hAnsi="楷体" w:eastAsia="楷体" w:cs="楷体"/>
        </w:rPr>
      </w:pPr>
      <w:r>
        <w:rPr>
          <w:rFonts w:hint="eastAsia" w:ascii="楷体" w:hAnsi="楷体" w:eastAsia="楷体" w:cs="楷体"/>
        </w:rPr>
        <w:t>1.</w:t>
      </w:r>
      <w:r>
        <w:rPr>
          <w:rFonts w:hint="eastAsia" w:ascii="楷体" w:hAnsi="楷体" w:eastAsia="楷体" w:cs="楷体"/>
          <w:lang w:val="en-US" w:eastAsia="zh-CN"/>
        </w:rPr>
        <w:t>8</w:t>
      </w:r>
      <w:r>
        <w:rPr>
          <w:rFonts w:hint="eastAsia" w:ascii="楷体" w:hAnsi="楷体" w:eastAsia="楷体" w:cs="楷体"/>
        </w:rPr>
        <w:t>参加政府采购活动前三年内，在经营活动中没有重大违法记录的书面声明；</w:t>
      </w:r>
    </w:p>
    <w:p>
      <w:pPr>
        <w:pStyle w:val="23"/>
        <w:spacing w:beforeAutospacing="0" w:afterAutospacing="0" w:line="360" w:lineRule="auto"/>
        <w:rPr>
          <w:rFonts w:ascii="楷体" w:hAnsi="楷体" w:eastAsia="楷体" w:cs="楷体"/>
        </w:rPr>
      </w:pPr>
      <w:r>
        <w:rPr>
          <w:rFonts w:hint="eastAsia" w:ascii="楷体" w:hAnsi="楷体" w:eastAsia="楷体" w:cs="楷体"/>
        </w:rPr>
        <w:t>（见附件2）；</w:t>
      </w:r>
    </w:p>
    <w:p>
      <w:pPr>
        <w:pStyle w:val="23"/>
        <w:spacing w:beforeAutospacing="0" w:afterAutospacing="0" w:line="360" w:lineRule="auto"/>
        <w:rPr>
          <w:rFonts w:ascii="楷体" w:hAnsi="楷体" w:eastAsia="楷体" w:cs="楷体"/>
        </w:rPr>
      </w:pPr>
      <w:r>
        <w:rPr>
          <w:rFonts w:hint="eastAsia" w:ascii="楷体" w:hAnsi="楷体" w:eastAsia="楷体" w:cs="楷体"/>
        </w:rPr>
        <w:t>2.特定资格条件</w:t>
      </w:r>
    </w:p>
    <w:p>
      <w:pPr>
        <w:pStyle w:val="23"/>
        <w:spacing w:beforeAutospacing="0" w:afterAutospacing="0" w:line="480" w:lineRule="exact"/>
        <w:jc w:val="both"/>
        <w:textAlignment w:val="baseline"/>
        <w:rPr>
          <w:rFonts w:ascii="楷体" w:hAnsi="楷体" w:eastAsia="楷体" w:cs="楷体"/>
          <w:b/>
          <w:bCs/>
        </w:rPr>
      </w:pPr>
      <w:r>
        <w:rPr>
          <w:rFonts w:hint="eastAsia" w:ascii="楷体" w:hAnsi="楷体" w:eastAsia="楷体" w:cs="楷体"/>
        </w:rPr>
        <w:t>2.1</w:t>
      </w:r>
      <w:r>
        <w:rPr>
          <w:rFonts w:hint="eastAsia" w:ascii="楷体" w:hAnsi="楷体" w:eastAsia="楷体" w:cs="楷体"/>
          <w:b/>
          <w:bCs/>
        </w:rPr>
        <w:t>合同包（包1、包2、包3、包4、包5）特定资格要求如下:</w:t>
      </w:r>
    </w:p>
    <w:p>
      <w:pPr>
        <w:pStyle w:val="23"/>
        <w:spacing w:beforeAutospacing="0" w:afterAutospacing="0" w:line="480" w:lineRule="exact"/>
        <w:ind w:firstLine="480" w:firstLineChars="200"/>
        <w:jc w:val="both"/>
        <w:textAlignment w:val="baseline"/>
        <w:rPr>
          <w:rFonts w:ascii="楷体" w:hAnsi="楷体" w:eastAsia="楷体" w:cs="楷体"/>
          <w:color w:val="0000FF"/>
        </w:rPr>
      </w:pPr>
      <w:r>
        <w:rPr>
          <w:rFonts w:hint="eastAsia" w:ascii="楷体" w:hAnsi="楷体" w:eastAsia="楷体" w:cs="楷体"/>
        </w:rPr>
        <w:t>拟派项目负责人须具备相关专业（系统集成、通信、电子工程、机电安装等专业）高级工程</w:t>
      </w:r>
      <w:r>
        <w:rPr>
          <w:rFonts w:hint="eastAsia" w:ascii="楷体" w:hAnsi="楷体" w:eastAsia="楷体" w:cs="楷体"/>
          <w:color w:val="auto"/>
        </w:rPr>
        <w:t>师</w:t>
      </w:r>
      <w:r>
        <w:rPr>
          <w:rFonts w:hint="eastAsia" w:ascii="楷体" w:hAnsi="楷体" w:eastAsia="楷体" w:cs="楷体"/>
          <w:color w:val="auto"/>
          <w:highlight w:val="none"/>
        </w:rPr>
        <w:t>及</w:t>
      </w:r>
      <w:r>
        <w:rPr>
          <w:rFonts w:hint="eastAsia" w:ascii="楷体" w:hAnsi="楷体" w:eastAsia="楷体" w:cs="楷体"/>
          <w:highlight w:val="none"/>
        </w:rPr>
        <w:t>以上技术职称</w:t>
      </w:r>
      <w:r>
        <w:rPr>
          <w:rFonts w:hint="eastAsia" w:ascii="楷体" w:hAnsi="楷体" w:eastAsia="楷体" w:cs="楷体"/>
          <w:color w:val="auto"/>
          <w:highlight w:val="none"/>
        </w:rPr>
        <w:t>资格证书</w:t>
      </w:r>
      <w:r>
        <w:rPr>
          <w:rFonts w:hint="eastAsia" w:ascii="楷体" w:hAnsi="楷体" w:eastAsia="楷体" w:cs="楷体"/>
          <w:highlight w:val="none"/>
        </w:rPr>
        <w:t>。</w:t>
      </w:r>
    </w:p>
    <w:p>
      <w:pPr>
        <w:adjustRightInd w:val="0"/>
        <w:snapToGrid w:val="0"/>
        <w:spacing w:line="360" w:lineRule="auto"/>
        <w:rPr>
          <w:rFonts w:hint="eastAsia" w:ascii="楷体" w:hAnsi="楷体" w:eastAsia="楷体" w:cs="楷体"/>
          <w:b/>
          <w:bCs/>
          <w:sz w:val="32"/>
          <w:szCs w:val="32"/>
        </w:rPr>
      </w:pPr>
    </w:p>
    <w:p>
      <w:pPr>
        <w:adjustRightInd w:val="0"/>
        <w:snapToGrid w:val="0"/>
        <w:spacing w:line="360" w:lineRule="auto"/>
        <w:rPr>
          <w:rFonts w:ascii="楷体" w:hAnsi="楷体" w:eastAsia="楷体" w:cs="楷体"/>
          <w:b/>
          <w:bCs/>
          <w:sz w:val="32"/>
          <w:szCs w:val="32"/>
        </w:rPr>
      </w:pPr>
      <w:r>
        <w:rPr>
          <w:rFonts w:hint="eastAsia" w:ascii="楷体" w:hAnsi="楷体" w:eastAsia="楷体" w:cs="楷体"/>
          <w:b/>
          <w:bCs/>
          <w:sz w:val="32"/>
          <w:szCs w:val="32"/>
        </w:rPr>
        <w:t>附件1：</w:t>
      </w:r>
    </w:p>
    <w:p>
      <w:pPr>
        <w:adjustRightInd w:val="0"/>
        <w:snapToGrid w:val="0"/>
        <w:spacing w:line="360" w:lineRule="auto"/>
        <w:jc w:val="center"/>
        <w:rPr>
          <w:rFonts w:ascii="楷体" w:hAnsi="楷体" w:eastAsia="楷体" w:cs="楷体"/>
          <w:b/>
          <w:bCs/>
          <w:sz w:val="32"/>
          <w:szCs w:val="32"/>
        </w:rPr>
      </w:pPr>
      <w:r>
        <w:rPr>
          <w:rFonts w:hint="eastAsia" w:ascii="楷体" w:hAnsi="楷体" w:eastAsia="楷体" w:cs="楷体"/>
          <w:b/>
          <w:bCs/>
          <w:sz w:val="32"/>
          <w:szCs w:val="32"/>
        </w:rPr>
        <w:t>具备履行合同所必须的设备和专业技术能力</w:t>
      </w:r>
    </w:p>
    <w:p>
      <w:pPr>
        <w:adjustRightInd w:val="0"/>
        <w:snapToGrid w:val="0"/>
        <w:spacing w:line="360" w:lineRule="auto"/>
        <w:jc w:val="center"/>
        <w:rPr>
          <w:rFonts w:ascii="楷体" w:hAnsi="楷体" w:eastAsia="楷体" w:cs="楷体"/>
          <w:b/>
          <w:bCs/>
          <w:sz w:val="32"/>
          <w:szCs w:val="32"/>
        </w:rPr>
      </w:pPr>
      <w:r>
        <w:rPr>
          <w:rFonts w:hint="eastAsia" w:ascii="楷体" w:hAnsi="楷体" w:eastAsia="楷体" w:cs="楷体"/>
          <w:b/>
          <w:bCs/>
          <w:sz w:val="32"/>
          <w:szCs w:val="32"/>
        </w:rPr>
        <w:t>的书面声明</w:t>
      </w:r>
    </w:p>
    <w:p>
      <w:pPr>
        <w:spacing w:line="720" w:lineRule="auto"/>
        <w:jc w:val="left"/>
        <w:rPr>
          <w:rFonts w:ascii="楷体" w:hAnsi="楷体" w:eastAsia="楷体" w:cs="楷体"/>
          <w:b/>
          <w:bCs/>
          <w:szCs w:val="22"/>
        </w:rPr>
      </w:pPr>
      <w:r>
        <w:rPr>
          <w:rFonts w:hint="eastAsia" w:ascii="楷体" w:hAnsi="楷体" w:eastAsia="楷体" w:cs="楷体"/>
          <w:b/>
          <w:bCs/>
          <w:szCs w:val="22"/>
        </w:rPr>
        <w:t>致：勉县公安局</w:t>
      </w:r>
    </w:p>
    <w:p>
      <w:pPr>
        <w:spacing w:line="720" w:lineRule="auto"/>
        <w:ind w:firstLine="480" w:firstLineChars="200"/>
        <w:jc w:val="left"/>
        <w:rPr>
          <w:rFonts w:ascii="楷体" w:hAnsi="楷体" w:eastAsia="楷体" w:cs="楷体"/>
          <w:szCs w:val="22"/>
        </w:rPr>
      </w:pPr>
      <w:r>
        <w:rPr>
          <w:rFonts w:hint="eastAsia" w:ascii="楷体" w:hAnsi="楷体" w:eastAsia="楷体" w:cs="楷体"/>
          <w:szCs w:val="22"/>
        </w:rPr>
        <w:t>作为参加贵公司组织的招标项目的投标人，本公司郑重申告并承诺：我公司（</w:t>
      </w:r>
      <w:r>
        <w:rPr>
          <w:rFonts w:hint="eastAsia" w:ascii="楷体" w:hAnsi="楷体" w:eastAsia="楷体" w:cs="楷体"/>
          <w:szCs w:val="22"/>
          <w:u w:val="single"/>
        </w:rPr>
        <w:t>具备/不具备</w:t>
      </w:r>
      <w:r>
        <w:rPr>
          <w:rFonts w:hint="eastAsia" w:ascii="楷体" w:hAnsi="楷体" w:eastAsia="楷体" w:cs="楷体"/>
          <w:szCs w:val="22"/>
        </w:rPr>
        <w:t>）履行合同所必须的设备和专业技术能力的书面声明，如有隐瞒或违反，同意接受主业及行政主管部门处理和处罚决定。</w:t>
      </w:r>
    </w:p>
    <w:p>
      <w:pPr>
        <w:spacing w:line="720" w:lineRule="auto"/>
        <w:ind w:firstLine="480" w:firstLineChars="200"/>
        <w:jc w:val="left"/>
        <w:rPr>
          <w:rFonts w:ascii="楷体" w:hAnsi="楷体" w:eastAsia="楷体" w:cs="楷体"/>
          <w:szCs w:val="22"/>
        </w:rPr>
      </w:pPr>
    </w:p>
    <w:p>
      <w:pPr>
        <w:spacing w:line="360" w:lineRule="auto"/>
        <w:jc w:val="left"/>
        <w:rPr>
          <w:rFonts w:ascii="楷体" w:hAnsi="楷体" w:eastAsia="楷体" w:cs="楷体"/>
        </w:rPr>
      </w:pPr>
    </w:p>
    <w:p>
      <w:pPr>
        <w:spacing w:line="360" w:lineRule="auto"/>
        <w:jc w:val="left"/>
        <w:rPr>
          <w:rFonts w:ascii="楷体" w:hAnsi="楷体" w:eastAsia="楷体" w:cs="楷体"/>
        </w:rPr>
      </w:pPr>
    </w:p>
    <w:p>
      <w:pPr>
        <w:spacing w:line="360" w:lineRule="auto"/>
        <w:jc w:val="left"/>
        <w:rPr>
          <w:rFonts w:ascii="楷体" w:hAnsi="楷体" w:eastAsia="楷体" w:cs="楷体"/>
        </w:rPr>
      </w:pPr>
      <w:r>
        <w:rPr>
          <w:rFonts w:hint="eastAsia" w:ascii="楷体" w:hAnsi="楷体" w:eastAsia="楷体" w:cs="楷体"/>
        </w:rPr>
        <w:t>投标人名称（公章）：</w:t>
      </w:r>
    </w:p>
    <w:p>
      <w:pPr>
        <w:spacing w:line="360" w:lineRule="auto"/>
        <w:jc w:val="left"/>
        <w:rPr>
          <w:rFonts w:ascii="楷体" w:hAnsi="楷体" w:eastAsia="楷体" w:cs="楷体"/>
          <w:b/>
        </w:rPr>
      </w:pPr>
      <w:r>
        <w:rPr>
          <w:rFonts w:hint="eastAsia" w:ascii="楷体" w:hAnsi="楷体" w:eastAsia="楷体" w:cs="楷体"/>
        </w:rPr>
        <w:t>法定代表人（</w:t>
      </w:r>
      <w:r>
        <w:rPr>
          <w:rFonts w:hint="eastAsia" w:ascii="楷体" w:hAnsi="楷体" w:eastAsia="楷体" w:cs="楷体"/>
          <w:spacing w:val="4"/>
          <w:szCs w:val="24"/>
        </w:rPr>
        <w:t>签字或盖章</w:t>
      </w:r>
      <w:r>
        <w:rPr>
          <w:rFonts w:hint="eastAsia" w:ascii="楷体" w:hAnsi="楷体" w:eastAsia="楷体" w:cs="楷体"/>
        </w:rPr>
        <w:t>）</w:t>
      </w:r>
      <w:r>
        <w:rPr>
          <w:rFonts w:hint="eastAsia" w:ascii="楷体" w:hAnsi="楷体" w:eastAsia="楷体" w:cs="楷体"/>
          <w:b/>
        </w:rPr>
        <w:t>：</w:t>
      </w:r>
      <w:r>
        <w:rPr>
          <w:rFonts w:hint="eastAsia" w:ascii="楷体" w:hAnsi="楷体" w:eastAsia="楷体" w:cs="楷体"/>
          <w:b/>
          <w:u w:val="single"/>
        </w:rPr>
        <w:t xml:space="preserve">                </w:t>
      </w:r>
    </w:p>
    <w:p>
      <w:pPr>
        <w:spacing w:line="360" w:lineRule="auto"/>
        <w:rPr>
          <w:rFonts w:ascii="楷体" w:hAnsi="楷体" w:eastAsia="楷体" w:cs="楷体"/>
        </w:rPr>
      </w:pPr>
      <w:r>
        <w:rPr>
          <w:rFonts w:hint="eastAsia" w:ascii="楷体" w:hAnsi="楷体" w:eastAsia="楷体" w:cs="楷体"/>
        </w:rPr>
        <w:t>日    期：</w:t>
      </w:r>
    </w:p>
    <w:p>
      <w:pPr>
        <w:adjustRightInd w:val="0"/>
        <w:snapToGrid w:val="0"/>
        <w:spacing w:line="360" w:lineRule="auto"/>
        <w:jc w:val="left"/>
        <w:rPr>
          <w:rFonts w:ascii="楷体" w:hAnsi="楷体" w:eastAsia="楷体" w:cs="楷体"/>
        </w:rPr>
      </w:pPr>
    </w:p>
    <w:p>
      <w:pPr>
        <w:pStyle w:val="44"/>
        <w:ind w:firstLine="0" w:firstLineChars="0"/>
        <w:rPr>
          <w:rFonts w:ascii="楷体" w:hAnsi="楷体" w:eastAsia="楷体" w:cs="楷体"/>
          <w:b/>
          <w:bCs/>
        </w:rPr>
      </w:pPr>
      <w:r>
        <w:rPr>
          <w:rFonts w:hint="eastAsia" w:ascii="楷体" w:hAnsi="楷体" w:eastAsia="楷体" w:cs="楷体"/>
          <w:b/>
          <w:bCs/>
        </w:rPr>
        <w:t>备注：投标人须根据自身实际情况作出真实声明。</w:t>
      </w:r>
    </w:p>
    <w:p>
      <w:pPr>
        <w:spacing w:line="360" w:lineRule="auto"/>
        <w:rPr>
          <w:rFonts w:ascii="楷体" w:hAnsi="楷体" w:eastAsia="楷体" w:cs="楷体"/>
          <w:b/>
          <w:bCs/>
          <w:sz w:val="32"/>
          <w:szCs w:val="32"/>
        </w:rPr>
      </w:pPr>
      <w:r>
        <w:rPr>
          <w:rFonts w:hint="eastAsia" w:ascii="楷体" w:hAnsi="楷体" w:eastAsia="楷体" w:cs="楷体"/>
          <w:b/>
          <w:bCs/>
          <w:sz w:val="32"/>
          <w:szCs w:val="32"/>
        </w:rPr>
        <w:br w:type="page"/>
      </w:r>
      <w:r>
        <w:rPr>
          <w:rFonts w:hint="eastAsia" w:ascii="楷体" w:hAnsi="楷体" w:eastAsia="楷体" w:cs="楷体"/>
          <w:b/>
          <w:bCs/>
          <w:sz w:val="32"/>
          <w:szCs w:val="32"/>
        </w:rPr>
        <w:t>附件2：</w:t>
      </w:r>
    </w:p>
    <w:p>
      <w:pPr>
        <w:spacing w:line="360" w:lineRule="auto"/>
        <w:jc w:val="center"/>
        <w:rPr>
          <w:rFonts w:ascii="楷体" w:hAnsi="楷体" w:eastAsia="楷体" w:cs="楷体"/>
          <w:b/>
          <w:bCs/>
          <w:sz w:val="32"/>
          <w:szCs w:val="32"/>
        </w:rPr>
      </w:pPr>
      <w:r>
        <w:rPr>
          <w:rFonts w:hint="eastAsia" w:ascii="楷体" w:hAnsi="楷体" w:eastAsia="楷体" w:cs="楷体"/>
          <w:b/>
          <w:bCs/>
          <w:sz w:val="32"/>
          <w:szCs w:val="32"/>
        </w:rPr>
        <w:t>参加政府采购活动前三年内，在经营活动中</w:t>
      </w:r>
    </w:p>
    <w:p>
      <w:pPr>
        <w:spacing w:line="360" w:lineRule="auto"/>
        <w:jc w:val="center"/>
        <w:rPr>
          <w:rFonts w:ascii="楷体" w:hAnsi="楷体" w:eastAsia="楷体" w:cs="楷体"/>
          <w:b/>
          <w:bCs/>
          <w:sz w:val="32"/>
          <w:szCs w:val="32"/>
        </w:rPr>
      </w:pPr>
      <w:r>
        <w:rPr>
          <w:rFonts w:hint="eastAsia" w:ascii="楷体" w:hAnsi="楷体" w:eastAsia="楷体" w:cs="楷体"/>
          <w:b/>
          <w:bCs/>
          <w:sz w:val="32"/>
          <w:szCs w:val="32"/>
        </w:rPr>
        <w:t>没有重大违法记录书面声明</w:t>
      </w:r>
    </w:p>
    <w:p>
      <w:pPr>
        <w:spacing w:line="720" w:lineRule="auto"/>
        <w:jc w:val="left"/>
        <w:rPr>
          <w:rFonts w:ascii="楷体" w:hAnsi="楷体" w:eastAsia="楷体" w:cs="楷体"/>
          <w:b/>
        </w:rPr>
      </w:pPr>
      <w:r>
        <w:rPr>
          <w:rFonts w:hint="eastAsia" w:ascii="楷体" w:hAnsi="楷体" w:eastAsia="楷体" w:cs="楷体"/>
          <w:b/>
        </w:rPr>
        <w:t>致：</w:t>
      </w:r>
      <w:r>
        <w:rPr>
          <w:rFonts w:hint="eastAsia" w:ascii="楷体" w:hAnsi="楷体" w:eastAsia="楷体" w:cs="楷体"/>
          <w:b/>
          <w:bCs/>
          <w:szCs w:val="22"/>
        </w:rPr>
        <w:t>勉县公安局</w:t>
      </w:r>
    </w:p>
    <w:p>
      <w:pPr>
        <w:spacing w:line="720" w:lineRule="auto"/>
        <w:ind w:firstLine="480" w:firstLineChars="200"/>
        <w:jc w:val="left"/>
        <w:rPr>
          <w:rFonts w:ascii="楷体" w:hAnsi="楷体" w:eastAsia="楷体" w:cs="楷体"/>
          <w:szCs w:val="22"/>
        </w:rPr>
      </w:pPr>
      <w:r>
        <w:rPr>
          <w:rFonts w:hint="eastAsia" w:ascii="楷体" w:hAnsi="楷体" w:eastAsia="楷体" w:cs="楷体"/>
          <w:szCs w:val="22"/>
        </w:rPr>
        <w:t>作为参加贵公司组织的招标项目的投标人，本公司郑重声明：近三年未受到有关行政主管部门的行政处理、无不良行为，产生的重大违法记录为</w:t>
      </w:r>
      <w:r>
        <w:rPr>
          <w:rFonts w:hint="eastAsia" w:ascii="楷体" w:hAnsi="楷体" w:eastAsia="楷体" w:cs="楷体"/>
          <w:szCs w:val="22"/>
          <w:u w:val="single"/>
        </w:rPr>
        <w:t xml:space="preserve">    </w:t>
      </w:r>
      <w:r>
        <w:rPr>
          <w:rFonts w:hint="eastAsia" w:ascii="楷体" w:hAnsi="楷体" w:eastAsia="楷体" w:cs="楷体"/>
          <w:szCs w:val="22"/>
        </w:rPr>
        <w:t>（没有填“零”）次。如有隐瞒或违反，同意接受主业及行政主管部门处理和处罚决定。</w:t>
      </w:r>
    </w:p>
    <w:p>
      <w:pPr>
        <w:spacing w:line="360" w:lineRule="auto"/>
        <w:ind w:firstLine="480" w:firstLineChars="200"/>
        <w:jc w:val="left"/>
        <w:rPr>
          <w:rFonts w:ascii="楷体" w:hAnsi="楷体" w:eastAsia="楷体" w:cs="楷体"/>
        </w:rPr>
      </w:pPr>
    </w:p>
    <w:p>
      <w:pPr>
        <w:spacing w:line="360" w:lineRule="auto"/>
        <w:ind w:firstLine="480" w:firstLineChars="200"/>
        <w:jc w:val="left"/>
        <w:rPr>
          <w:rFonts w:ascii="楷体" w:hAnsi="楷体" w:eastAsia="楷体" w:cs="楷体"/>
        </w:rPr>
      </w:pPr>
    </w:p>
    <w:p>
      <w:pPr>
        <w:spacing w:line="360" w:lineRule="auto"/>
        <w:jc w:val="left"/>
        <w:rPr>
          <w:rFonts w:ascii="楷体" w:hAnsi="楷体" w:eastAsia="楷体" w:cs="楷体"/>
        </w:rPr>
      </w:pPr>
      <w:r>
        <w:rPr>
          <w:rFonts w:hint="eastAsia" w:ascii="楷体" w:hAnsi="楷体" w:eastAsia="楷体" w:cs="楷体"/>
        </w:rPr>
        <w:t>投标人名称（公章）：</w:t>
      </w:r>
    </w:p>
    <w:p>
      <w:pPr>
        <w:spacing w:line="360" w:lineRule="auto"/>
        <w:jc w:val="left"/>
        <w:rPr>
          <w:rFonts w:ascii="楷体" w:hAnsi="楷体" w:eastAsia="楷体" w:cs="楷体"/>
          <w:b/>
        </w:rPr>
      </w:pPr>
      <w:r>
        <w:rPr>
          <w:rFonts w:hint="eastAsia" w:ascii="楷体" w:hAnsi="楷体" w:eastAsia="楷体" w:cs="楷体"/>
        </w:rPr>
        <w:t>法定代表人（</w:t>
      </w:r>
      <w:r>
        <w:rPr>
          <w:rFonts w:hint="eastAsia" w:ascii="楷体" w:hAnsi="楷体" w:eastAsia="楷体" w:cs="楷体"/>
          <w:spacing w:val="4"/>
          <w:szCs w:val="24"/>
        </w:rPr>
        <w:t>签字或盖章</w:t>
      </w:r>
      <w:r>
        <w:rPr>
          <w:rFonts w:hint="eastAsia" w:ascii="楷体" w:hAnsi="楷体" w:eastAsia="楷体" w:cs="楷体"/>
        </w:rPr>
        <w:t>）</w:t>
      </w:r>
      <w:r>
        <w:rPr>
          <w:rFonts w:hint="eastAsia" w:ascii="楷体" w:hAnsi="楷体" w:eastAsia="楷体" w:cs="楷体"/>
          <w:b/>
        </w:rPr>
        <w:t>：</w:t>
      </w:r>
    </w:p>
    <w:p>
      <w:pPr>
        <w:spacing w:line="360" w:lineRule="auto"/>
        <w:rPr>
          <w:rFonts w:ascii="楷体" w:hAnsi="楷体" w:eastAsia="楷体" w:cs="楷体"/>
        </w:rPr>
      </w:pPr>
      <w:r>
        <w:rPr>
          <w:rFonts w:hint="eastAsia" w:ascii="楷体" w:hAnsi="楷体" w:eastAsia="楷体" w:cs="楷体"/>
        </w:rPr>
        <w:t>日    期：</w:t>
      </w:r>
    </w:p>
    <w:p>
      <w:pPr>
        <w:adjustRightInd w:val="0"/>
        <w:snapToGrid w:val="0"/>
        <w:spacing w:line="360" w:lineRule="auto"/>
        <w:jc w:val="left"/>
        <w:rPr>
          <w:rFonts w:ascii="楷体" w:hAnsi="楷体" w:eastAsia="楷体" w:cs="楷体"/>
          <w:szCs w:val="24"/>
        </w:rPr>
      </w:pPr>
    </w:p>
    <w:p>
      <w:pPr>
        <w:adjustRightInd w:val="0"/>
        <w:snapToGrid w:val="0"/>
        <w:spacing w:line="360" w:lineRule="auto"/>
        <w:jc w:val="left"/>
        <w:rPr>
          <w:rFonts w:ascii="楷体" w:hAnsi="楷体" w:eastAsia="楷体" w:cs="楷体"/>
          <w:szCs w:val="24"/>
        </w:rPr>
      </w:pPr>
    </w:p>
    <w:p>
      <w:pPr>
        <w:pStyle w:val="44"/>
        <w:spacing w:line="360" w:lineRule="auto"/>
        <w:ind w:firstLine="0" w:firstLineChars="0"/>
        <w:rPr>
          <w:rFonts w:ascii="楷体" w:hAnsi="楷体" w:eastAsia="楷体" w:cs="楷体"/>
          <w:b/>
          <w:bCs/>
        </w:rPr>
      </w:pPr>
      <w:r>
        <w:rPr>
          <w:rFonts w:hint="eastAsia" w:ascii="楷体" w:hAnsi="楷体" w:eastAsia="楷体" w:cs="楷体"/>
          <w:b/>
          <w:bCs/>
        </w:rPr>
        <w:t>备注：1.投标人须根据自身实际情况作出真实声明。2.重大违法记录，是指</w:t>
      </w:r>
      <w:r>
        <w:fldChar w:fldCharType="begin"/>
      </w:r>
      <w:r>
        <w:instrText xml:space="preserve"> HYPERLINK "http://search.xinmin.cn/?q=供应商" \t "_blank" </w:instrText>
      </w:r>
      <w:r>
        <w:fldChar w:fldCharType="separate"/>
      </w:r>
      <w:r>
        <w:rPr>
          <w:rFonts w:hint="eastAsia" w:ascii="楷体" w:hAnsi="楷体" w:eastAsia="楷体" w:cs="楷体"/>
          <w:b/>
          <w:bCs/>
        </w:rPr>
        <w:t>供应商</w:t>
      </w:r>
      <w:r>
        <w:rPr>
          <w:rFonts w:hint="eastAsia" w:ascii="楷体" w:hAnsi="楷体" w:eastAsia="楷体" w:cs="楷体"/>
          <w:b/>
          <w:bCs/>
        </w:rPr>
        <w:fldChar w:fldCharType="end"/>
      </w:r>
      <w:r>
        <w:rPr>
          <w:rFonts w:hint="eastAsia" w:ascii="楷体" w:hAnsi="楷体" w:eastAsia="楷体" w:cs="楷体"/>
          <w:b/>
          <w:bCs/>
        </w:rPr>
        <w:t>因违法经营受到刑事处罚或者责令停产停业、吊销许可证或者执照、较大数额罚款等行政处罚。</w:t>
      </w:r>
    </w:p>
    <w:p>
      <w:pPr>
        <w:adjustRightInd w:val="0"/>
        <w:snapToGrid w:val="0"/>
        <w:spacing w:line="360" w:lineRule="auto"/>
        <w:jc w:val="left"/>
        <w:rPr>
          <w:rFonts w:ascii="楷体" w:hAnsi="楷体" w:eastAsia="楷体" w:cs="楷体"/>
        </w:rPr>
      </w:pPr>
      <w:r>
        <w:rPr>
          <w:rFonts w:hint="eastAsia" w:ascii="楷体" w:hAnsi="楷体" w:eastAsia="楷体" w:cs="楷体"/>
          <w:szCs w:val="24"/>
        </w:rPr>
        <w:br w:type="page"/>
      </w:r>
      <w:r>
        <w:rPr>
          <w:rFonts w:hint="eastAsia" w:ascii="楷体" w:hAnsi="楷体" w:eastAsia="楷体" w:cs="楷体"/>
          <w:b/>
          <w:bCs/>
          <w:szCs w:val="24"/>
        </w:rPr>
        <w:t>（二）投标人资格声明</w:t>
      </w:r>
    </w:p>
    <w:p>
      <w:pPr>
        <w:spacing w:line="360" w:lineRule="auto"/>
        <w:jc w:val="center"/>
        <w:rPr>
          <w:rFonts w:ascii="楷体" w:hAnsi="楷体" w:eastAsia="楷体" w:cs="楷体"/>
          <w:b/>
          <w:sz w:val="30"/>
          <w:szCs w:val="30"/>
        </w:rPr>
      </w:pPr>
      <w:r>
        <w:rPr>
          <w:rFonts w:hint="eastAsia" w:ascii="楷体" w:hAnsi="楷体" w:eastAsia="楷体" w:cs="楷体"/>
          <w:b/>
          <w:sz w:val="30"/>
          <w:szCs w:val="30"/>
        </w:rPr>
        <w:t>1.投标人资格声明</w:t>
      </w:r>
    </w:p>
    <w:p>
      <w:pPr>
        <w:spacing w:line="360" w:lineRule="auto"/>
        <w:jc w:val="left"/>
        <w:rPr>
          <w:rFonts w:ascii="楷体" w:hAnsi="楷体" w:eastAsia="楷体" w:cs="楷体"/>
          <w:szCs w:val="24"/>
        </w:rPr>
      </w:pPr>
      <w:r>
        <w:rPr>
          <w:rFonts w:hint="eastAsia" w:ascii="楷体" w:hAnsi="楷体" w:eastAsia="楷体" w:cs="楷体"/>
          <w:szCs w:val="24"/>
        </w:rPr>
        <w:t>1.名称及其它情况</w:t>
      </w:r>
    </w:p>
    <w:p>
      <w:pPr>
        <w:spacing w:line="360" w:lineRule="auto"/>
        <w:jc w:val="left"/>
        <w:rPr>
          <w:rFonts w:ascii="楷体" w:hAnsi="楷体" w:eastAsia="楷体" w:cs="楷体"/>
          <w:szCs w:val="24"/>
        </w:rPr>
      </w:pPr>
      <w:r>
        <w:rPr>
          <w:rFonts w:hint="eastAsia" w:ascii="楷体" w:hAnsi="楷体" w:eastAsia="楷体" w:cs="楷体"/>
          <w:szCs w:val="24"/>
        </w:rPr>
        <w:t xml:space="preserve">  投标人名称：</w:t>
      </w:r>
      <w:r>
        <w:rPr>
          <w:rFonts w:hint="eastAsia" w:ascii="楷体" w:hAnsi="楷体" w:eastAsia="楷体" w:cs="楷体"/>
          <w:szCs w:val="24"/>
          <w:u w:val="single"/>
        </w:rPr>
        <w:tab/>
      </w:r>
      <w:r>
        <w:rPr>
          <w:rFonts w:hint="eastAsia" w:ascii="楷体" w:hAnsi="楷体" w:eastAsia="楷体" w:cs="楷体"/>
          <w:szCs w:val="24"/>
          <w:u w:val="single"/>
        </w:rPr>
        <w:tab/>
      </w:r>
      <w:r>
        <w:rPr>
          <w:rFonts w:hint="eastAsia" w:ascii="楷体" w:hAnsi="楷体" w:eastAsia="楷体" w:cs="楷体"/>
          <w:szCs w:val="24"/>
          <w:u w:val="single"/>
        </w:rPr>
        <w:tab/>
      </w:r>
      <w:r>
        <w:rPr>
          <w:rFonts w:hint="eastAsia" w:ascii="楷体" w:hAnsi="楷体" w:eastAsia="楷体" w:cs="楷体"/>
          <w:szCs w:val="24"/>
          <w:u w:val="single"/>
        </w:rPr>
        <w:t xml:space="preserve">                  </w:t>
      </w:r>
      <w:r>
        <w:rPr>
          <w:rFonts w:hint="eastAsia" w:ascii="楷体" w:hAnsi="楷体" w:eastAsia="楷体" w:cs="楷体"/>
          <w:szCs w:val="24"/>
          <w:u w:val="single"/>
        </w:rPr>
        <w:tab/>
      </w:r>
      <w:r>
        <w:rPr>
          <w:rFonts w:hint="eastAsia" w:ascii="楷体" w:hAnsi="楷体" w:eastAsia="楷体" w:cs="楷体"/>
          <w:szCs w:val="24"/>
          <w:u w:val="single"/>
        </w:rPr>
        <w:tab/>
      </w:r>
    </w:p>
    <w:p>
      <w:pPr>
        <w:spacing w:line="360" w:lineRule="auto"/>
        <w:jc w:val="left"/>
        <w:rPr>
          <w:rFonts w:ascii="楷体" w:hAnsi="楷体" w:eastAsia="楷体" w:cs="楷体"/>
          <w:szCs w:val="24"/>
          <w:u w:val="single"/>
        </w:rPr>
      </w:pPr>
      <w:r>
        <w:rPr>
          <w:rFonts w:hint="eastAsia" w:ascii="楷体" w:hAnsi="楷体" w:eastAsia="楷体" w:cs="楷体"/>
          <w:szCs w:val="24"/>
        </w:rPr>
        <w:t xml:space="preserve">  地   址：</w:t>
      </w:r>
      <w:r>
        <w:rPr>
          <w:rFonts w:hint="eastAsia" w:ascii="楷体" w:hAnsi="楷体" w:eastAsia="楷体" w:cs="楷体"/>
          <w:szCs w:val="24"/>
          <w:u w:val="single"/>
        </w:rPr>
        <w:tab/>
      </w:r>
      <w:r>
        <w:rPr>
          <w:rFonts w:hint="eastAsia" w:ascii="楷体" w:hAnsi="楷体" w:eastAsia="楷体" w:cs="楷体"/>
          <w:szCs w:val="24"/>
          <w:u w:val="single"/>
        </w:rPr>
        <w:tab/>
      </w:r>
      <w:r>
        <w:rPr>
          <w:rFonts w:hint="eastAsia" w:ascii="楷体" w:hAnsi="楷体" w:eastAsia="楷体" w:cs="楷体"/>
          <w:szCs w:val="24"/>
          <w:u w:val="single"/>
        </w:rPr>
        <w:tab/>
      </w:r>
      <w:r>
        <w:rPr>
          <w:rFonts w:hint="eastAsia" w:ascii="楷体" w:hAnsi="楷体" w:eastAsia="楷体" w:cs="楷体"/>
          <w:szCs w:val="24"/>
          <w:u w:val="single"/>
        </w:rPr>
        <w:t xml:space="preserve">                  </w:t>
      </w:r>
      <w:r>
        <w:rPr>
          <w:rFonts w:hint="eastAsia" w:ascii="楷体" w:hAnsi="楷体" w:eastAsia="楷体" w:cs="楷体"/>
          <w:szCs w:val="24"/>
          <w:u w:val="single"/>
        </w:rPr>
        <w:tab/>
      </w:r>
      <w:r>
        <w:rPr>
          <w:rFonts w:hint="eastAsia" w:ascii="楷体" w:hAnsi="楷体" w:eastAsia="楷体" w:cs="楷体"/>
          <w:szCs w:val="24"/>
          <w:u w:val="single"/>
        </w:rPr>
        <w:t xml:space="preserve">    </w:t>
      </w:r>
      <w:r>
        <w:rPr>
          <w:rFonts w:hint="eastAsia" w:ascii="楷体" w:hAnsi="楷体" w:eastAsia="楷体" w:cs="楷体"/>
          <w:szCs w:val="24"/>
          <w:u w:val="single"/>
        </w:rPr>
        <w:tab/>
      </w:r>
    </w:p>
    <w:p>
      <w:pPr>
        <w:spacing w:line="360" w:lineRule="auto"/>
        <w:ind w:firstLine="240" w:firstLineChars="100"/>
        <w:jc w:val="left"/>
        <w:rPr>
          <w:rFonts w:ascii="楷体" w:hAnsi="楷体" w:eastAsia="楷体" w:cs="楷体"/>
          <w:szCs w:val="24"/>
        </w:rPr>
      </w:pPr>
      <w:r>
        <w:rPr>
          <w:rFonts w:hint="eastAsia" w:ascii="楷体" w:hAnsi="楷体" w:eastAsia="楷体" w:cs="楷体"/>
          <w:szCs w:val="24"/>
        </w:rPr>
        <w:t>电  话：</w:t>
      </w:r>
      <w:r>
        <w:rPr>
          <w:rFonts w:hint="eastAsia" w:ascii="楷体" w:hAnsi="楷体" w:eastAsia="楷体" w:cs="楷体"/>
          <w:szCs w:val="24"/>
          <w:u w:val="single"/>
        </w:rPr>
        <w:tab/>
      </w:r>
      <w:r>
        <w:rPr>
          <w:rFonts w:hint="eastAsia" w:ascii="楷体" w:hAnsi="楷体" w:eastAsia="楷体" w:cs="楷体"/>
          <w:szCs w:val="24"/>
          <w:u w:val="single"/>
        </w:rPr>
        <w:tab/>
      </w:r>
      <w:r>
        <w:rPr>
          <w:rFonts w:hint="eastAsia" w:ascii="楷体" w:hAnsi="楷体" w:eastAsia="楷体" w:cs="楷体"/>
          <w:szCs w:val="24"/>
          <w:u w:val="single"/>
        </w:rPr>
        <w:tab/>
      </w:r>
      <w:r>
        <w:rPr>
          <w:rFonts w:hint="eastAsia" w:ascii="楷体" w:hAnsi="楷体" w:eastAsia="楷体" w:cs="楷体"/>
          <w:szCs w:val="24"/>
          <w:u w:val="single"/>
        </w:rPr>
        <w:t xml:space="preserve">                         </w:t>
      </w:r>
      <w:r>
        <w:rPr>
          <w:rFonts w:hint="eastAsia" w:ascii="楷体" w:hAnsi="楷体" w:eastAsia="楷体" w:cs="楷体"/>
          <w:szCs w:val="24"/>
          <w:u w:val="single"/>
        </w:rPr>
        <w:tab/>
      </w:r>
      <w:r>
        <w:rPr>
          <w:rFonts w:hint="eastAsia" w:ascii="楷体" w:hAnsi="楷体" w:eastAsia="楷体" w:cs="楷体"/>
          <w:szCs w:val="24"/>
          <w:u w:val="single"/>
        </w:rPr>
        <w:tab/>
      </w:r>
    </w:p>
    <w:p>
      <w:pPr>
        <w:spacing w:line="360" w:lineRule="auto"/>
        <w:jc w:val="left"/>
        <w:rPr>
          <w:rFonts w:ascii="楷体" w:hAnsi="楷体" w:eastAsia="楷体" w:cs="楷体"/>
          <w:szCs w:val="24"/>
        </w:rPr>
      </w:pPr>
      <w:r>
        <w:rPr>
          <w:rFonts w:hint="eastAsia" w:ascii="楷体" w:hAnsi="楷体" w:eastAsia="楷体" w:cs="楷体"/>
          <w:szCs w:val="24"/>
        </w:rPr>
        <w:t xml:space="preserve">  成立和注册日期：</w:t>
      </w:r>
      <w:r>
        <w:rPr>
          <w:rFonts w:hint="eastAsia" w:ascii="楷体" w:hAnsi="楷体" w:eastAsia="楷体" w:cs="楷体"/>
          <w:szCs w:val="24"/>
          <w:u w:val="single"/>
        </w:rPr>
        <w:tab/>
      </w:r>
      <w:r>
        <w:rPr>
          <w:rFonts w:hint="eastAsia" w:ascii="楷体" w:hAnsi="楷体" w:eastAsia="楷体" w:cs="楷体"/>
          <w:szCs w:val="24"/>
          <w:u w:val="single"/>
        </w:rPr>
        <w:tab/>
      </w:r>
      <w:r>
        <w:rPr>
          <w:rFonts w:hint="eastAsia" w:ascii="楷体" w:hAnsi="楷体" w:eastAsia="楷体" w:cs="楷体"/>
          <w:szCs w:val="24"/>
          <w:u w:val="single"/>
        </w:rPr>
        <w:tab/>
      </w:r>
      <w:r>
        <w:rPr>
          <w:rFonts w:hint="eastAsia" w:ascii="楷体" w:hAnsi="楷体" w:eastAsia="楷体" w:cs="楷体"/>
          <w:szCs w:val="24"/>
          <w:u w:val="single"/>
        </w:rPr>
        <w:t xml:space="preserve">                  </w:t>
      </w:r>
      <w:r>
        <w:rPr>
          <w:rFonts w:hint="eastAsia" w:ascii="楷体" w:hAnsi="楷体" w:eastAsia="楷体" w:cs="楷体"/>
          <w:szCs w:val="24"/>
          <w:u w:val="single"/>
        </w:rPr>
        <w:tab/>
      </w:r>
    </w:p>
    <w:p>
      <w:pPr>
        <w:spacing w:line="360" w:lineRule="auto"/>
        <w:jc w:val="left"/>
        <w:rPr>
          <w:rFonts w:ascii="楷体" w:hAnsi="楷体" w:eastAsia="楷体" w:cs="楷体"/>
          <w:szCs w:val="24"/>
        </w:rPr>
      </w:pPr>
      <w:r>
        <w:rPr>
          <w:rFonts w:hint="eastAsia" w:ascii="楷体" w:hAnsi="楷体" w:eastAsia="楷体" w:cs="楷体"/>
          <w:szCs w:val="24"/>
        </w:rPr>
        <w:t xml:space="preserve">  主管部门：</w:t>
      </w:r>
      <w:r>
        <w:rPr>
          <w:rFonts w:hint="eastAsia" w:ascii="楷体" w:hAnsi="楷体" w:eastAsia="楷体" w:cs="楷体"/>
          <w:szCs w:val="24"/>
          <w:u w:val="single"/>
        </w:rPr>
        <w:tab/>
      </w:r>
      <w:r>
        <w:rPr>
          <w:rFonts w:hint="eastAsia" w:ascii="楷体" w:hAnsi="楷体" w:eastAsia="楷体" w:cs="楷体"/>
          <w:szCs w:val="24"/>
          <w:u w:val="single"/>
        </w:rPr>
        <w:tab/>
      </w:r>
      <w:r>
        <w:rPr>
          <w:rFonts w:hint="eastAsia" w:ascii="楷体" w:hAnsi="楷体" w:eastAsia="楷体" w:cs="楷体"/>
          <w:szCs w:val="24"/>
          <w:u w:val="single"/>
        </w:rPr>
        <w:tab/>
      </w:r>
      <w:r>
        <w:rPr>
          <w:rFonts w:hint="eastAsia" w:ascii="楷体" w:hAnsi="楷体" w:eastAsia="楷体" w:cs="楷体"/>
          <w:szCs w:val="24"/>
          <w:u w:val="single"/>
        </w:rPr>
        <w:t xml:space="preserve">                     </w:t>
      </w:r>
      <w:r>
        <w:rPr>
          <w:rFonts w:hint="eastAsia" w:ascii="楷体" w:hAnsi="楷体" w:eastAsia="楷体" w:cs="楷体"/>
          <w:szCs w:val="24"/>
          <w:u w:val="single"/>
        </w:rPr>
        <w:tab/>
      </w:r>
      <w:r>
        <w:rPr>
          <w:rFonts w:hint="eastAsia" w:ascii="楷体" w:hAnsi="楷体" w:eastAsia="楷体" w:cs="楷体"/>
          <w:szCs w:val="24"/>
          <w:u w:val="single"/>
        </w:rPr>
        <w:tab/>
      </w:r>
    </w:p>
    <w:p>
      <w:pPr>
        <w:spacing w:line="360" w:lineRule="auto"/>
        <w:jc w:val="left"/>
        <w:rPr>
          <w:rFonts w:ascii="楷体" w:hAnsi="楷体" w:eastAsia="楷体" w:cs="楷体"/>
          <w:szCs w:val="24"/>
        </w:rPr>
      </w:pPr>
      <w:r>
        <w:rPr>
          <w:rFonts w:hint="eastAsia" w:ascii="楷体" w:hAnsi="楷体" w:eastAsia="楷体" w:cs="楷体"/>
          <w:szCs w:val="24"/>
        </w:rPr>
        <w:t xml:space="preserve">  公司性质：</w:t>
      </w:r>
      <w:r>
        <w:rPr>
          <w:rFonts w:hint="eastAsia" w:ascii="楷体" w:hAnsi="楷体" w:eastAsia="楷体" w:cs="楷体"/>
          <w:szCs w:val="24"/>
          <w:u w:val="single"/>
        </w:rPr>
        <w:tab/>
      </w:r>
      <w:r>
        <w:rPr>
          <w:rFonts w:hint="eastAsia" w:ascii="楷体" w:hAnsi="楷体" w:eastAsia="楷体" w:cs="楷体"/>
          <w:szCs w:val="24"/>
          <w:u w:val="single"/>
        </w:rPr>
        <w:tab/>
      </w:r>
      <w:r>
        <w:rPr>
          <w:rFonts w:hint="eastAsia" w:ascii="楷体" w:hAnsi="楷体" w:eastAsia="楷体" w:cs="楷体"/>
          <w:szCs w:val="24"/>
          <w:u w:val="single"/>
        </w:rPr>
        <w:tab/>
      </w:r>
      <w:r>
        <w:rPr>
          <w:rFonts w:hint="eastAsia" w:ascii="楷体" w:hAnsi="楷体" w:eastAsia="楷体" w:cs="楷体"/>
          <w:szCs w:val="24"/>
          <w:u w:val="single"/>
        </w:rPr>
        <w:t xml:space="preserve">                  </w:t>
      </w:r>
      <w:r>
        <w:rPr>
          <w:rFonts w:hint="eastAsia" w:ascii="楷体" w:hAnsi="楷体" w:eastAsia="楷体" w:cs="楷体"/>
          <w:szCs w:val="24"/>
          <w:u w:val="single"/>
        </w:rPr>
        <w:tab/>
      </w:r>
      <w:r>
        <w:rPr>
          <w:rFonts w:hint="eastAsia" w:ascii="楷体" w:hAnsi="楷体" w:eastAsia="楷体" w:cs="楷体"/>
          <w:szCs w:val="24"/>
          <w:u w:val="single"/>
        </w:rPr>
        <w:t xml:space="preserve">     </w:t>
      </w:r>
      <w:r>
        <w:rPr>
          <w:rFonts w:hint="eastAsia" w:ascii="楷体" w:hAnsi="楷体" w:eastAsia="楷体" w:cs="楷体"/>
          <w:szCs w:val="24"/>
          <w:u w:val="single"/>
        </w:rPr>
        <w:tab/>
      </w:r>
    </w:p>
    <w:p>
      <w:pPr>
        <w:spacing w:line="360" w:lineRule="auto"/>
        <w:jc w:val="left"/>
        <w:rPr>
          <w:rFonts w:ascii="楷体" w:hAnsi="楷体" w:eastAsia="楷体" w:cs="楷体"/>
          <w:szCs w:val="24"/>
        </w:rPr>
      </w:pPr>
      <w:r>
        <w:rPr>
          <w:rFonts w:hint="eastAsia" w:ascii="楷体" w:hAnsi="楷体" w:eastAsia="楷体" w:cs="楷体"/>
          <w:szCs w:val="24"/>
        </w:rPr>
        <w:t xml:space="preserve">  职工总人数：</w:t>
      </w:r>
      <w:r>
        <w:rPr>
          <w:rFonts w:hint="eastAsia" w:ascii="楷体" w:hAnsi="楷体" w:eastAsia="楷体" w:cs="楷体"/>
          <w:szCs w:val="24"/>
          <w:u w:val="single"/>
        </w:rPr>
        <w:tab/>
      </w:r>
      <w:r>
        <w:rPr>
          <w:rFonts w:hint="eastAsia" w:ascii="楷体" w:hAnsi="楷体" w:eastAsia="楷体" w:cs="楷体"/>
          <w:szCs w:val="24"/>
          <w:u w:val="single"/>
        </w:rPr>
        <w:tab/>
      </w:r>
      <w:r>
        <w:rPr>
          <w:rFonts w:hint="eastAsia" w:ascii="楷体" w:hAnsi="楷体" w:eastAsia="楷体" w:cs="楷体"/>
          <w:szCs w:val="24"/>
          <w:u w:val="single"/>
        </w:rPr>
        <w:tab/>
      </w:r>
      <w:r>
        <w:rPr>
          <w:rFonts w:hint="eastAsia" w:ascii="楷体" w:hAnsi="楷体" w:eastAsia="楷体" w:cs="楷体"/>
          <w:szCs w:val="24"/>
          <w:u w:val="single"/>
        </w:rPr>
        <w:t xml:space="preserve">                  </w:t>
      </w:r>
      <w:r>
        <w:rPr>
          <w:rFonts w:hint="eastAsia" w:ascii="楷体" w:hAnsi="楷体" w:eastAsia="楷体" w:cs="楷体"/>
          <w:szCs w:val="24"/>
          <w:u w:val="single"/>
        </w:rPr>
        <w:tab/>
      </w:r>
      <w:r>
        <w:rPr>
          <w:rFonts w:hint="eastAsia" w:ascii="楷体" w:hAnsi="楷体" w:eastAsia="楷体" w:cs="楷体"/>
          <w:szCs w:val="24"/>
          <w:u w:val="single"/>
        </w:rPr>
        <w:tab/>
      </w:r>
    </w:p>
    <w:p>
      <w:pPr>
        <w:spacing w:line="360" w:lineRule="auto"/>
        <w:jc w:val="left"/>
        <w:rPr>
          <w:rFonts w:ascii="楷体" w:hAnsi="楷体" w:eastAsia="楷体" w:cs="楷体"/>
          <w:szCs w:val="24"/>
        </w:rPr>
      </w:pPr>
      <w:r>
        <w:rPr>
          <w:rFonts w:hint="eastAsia" w:ascii="楷体" w:hAnsi="楷体" w:eastAsia="楷体" w:cs="楷体"/>
          <w:szCs w:val="24"/>
        </w:rPr>
        <w:t xml:space="preserve">  工程技术及管理人员数分别为：</w:t>
      </w:r>
    </w:p>
    <w:p>
      <w:pPr>
        <w:spacing w:line="360" w:lineRule="auto"/>
        <w:jc w:val="left"/>
        <w:rPr>
          <w:rFonts w:ascii="楷体" w:hAnsi="楷体" w:eastAsia="楷体" w:cs="楷体"/>
          <w:szCs w:val="24"/>
        </w:rPr>
      </w:pPr>
      <w:r>
        <w:rPr>
          <w:rFonts w:hint="eastAsia" w:ascii="楷体" w:hAnsi="楷体" w:eastAsia="楷体" w:cs="楷体"/>
          <w:szCs w:val="24"/>
        </w:rPr>
        <w:t>3.投标人最近三年法律纠纷情况</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2280"/>
        <w:gridCol w:w="1826"/>
        <w:gridCol w:w="2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center"/>
          </w:tcPr>
          <w:p>
            <w:pPr>
              <w:spacing w:line="360" w:lineRule="auto"/>
              <w:jc w:val="center"/>
              <w:rPr>
                <w:rFonts w:ascii="楷体" w:hAnsi="楷体" w:eastAsia="楷体" w:cs="楷体"/>
                <w:szCs w:val="24"/>
              </w:rPr>
            </w:pPr>
            <w:r>
              <w:rPr>
                <w:rFonts w:hint="eastAsia" w:ascii="楷体" w:hAnsi="楷体" w:eastAsia="楷体" w:cs="楷体"/>
                <w:szCs w:val="24"/>
              </w:rPr>
              <w:t>时间</w:t>
            </w:r>
          </w:p>
        </w:tc>
        <w:tc>
          <w:tcPr>
            <w:tcW w:w="2280" w:type="dxa"/>
            <w:vAlign w:val="center"/>
          </w:tcPr>
          <w:p>
            <w:pPr>
              <w:spacing w:line="360" w:lineRule="auto"/>
              <w:jc w:val="center"/>
              <w:rPr>
                <w:rFonts w:ascii="楷体" w:hAnsi="楷体" w:eastAsia="楷体" w:cs="楷体"/>
                <w:szCs w:val="24"/>
              </w:rPr>
            </w:pPr>
            <w:r>
              <w:rPr>
                <w:rFonts w:hint="eastAsia" w:ascii="楷体" w:hAnsi="楷体" w:eastAsia="楷体" w:cs="楷体"/>
                <w:szCs w:val="24"/>
              </w:rPr>
              <w:t>案由</w:t>
            </w:r>
          </w:p>
        </w:tc>
        <w:tc>
          <w:tcPr>
            <w:tcW w:w="1826" w:type="dxa"/>
            <w:vAlign w:val="center"/>
          </w:tcPr>
          <w:p>
            <w:pPr>
              <w:spacing w:line="360" w:lineRule="auto"/>
              <w:jc w:val="center"/>
              <w:rPr>
                <w:rFonts w:ascii="楷体" w:hAnsi="楷体" w:eastAsia="楷体" w:cs="楷体"/>
                <w:szCs w:val="24"/>
              </w:rPr>
            </w:pPr>
            <w:r>
              <w:rPr>
                <w:rFonts w:hint="eastAsia" w:ascii="楷体" w:hAnsi="楷体" w:eastAsia="楷体" w:cs="楷体"/>
                <w:szCs w:val="24"/>
              </w:rPr>
              <w:t>涉及金额</w:t>
            </w:r>
          </w:p>
        </w:tc>
        <w:tc>
          <w:tcPr>
            <w:tcW w:w="2812" w:type="dxa"/>
            <w:vAlign w:val="center"/>
          </w:tcPr>
          <w:p>
            <w:pPr>
              <w:spacing w:line="360" w:lineRule="auto"/>
              <w:jc w:val="center"/>
              <w:rPr>
                <w:rFonts w:ascii="楷体" w:hAnsi="楷体" w:eastAsia="楷体" w:cs="楷体"/>
                <w:szCs w:val="24"/>
              </w:rPr>
            </w:pPr>
            <w:r>
              <w:rPr>
                <w:rFonts w:hint="eastAsia" w:ascii="楷体" w:hAnsi="楷体" w:eastAsia="楷体" w:cs="楷体"/>
                <w:szCs w:val="24"/>
              </w:rPr>
              <w:t>目前办理情况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line="360" w:lineRule="auto"/>
              <w:jc w:val="left"/>
              <w:rPr>
                <w:rFonts w:ascii="楷体" w:hAnsi="楷体" w:eastAsia="楷体" w:cs="楷体"/>
                <w:szCs w:val="24"/>
              </w:rPr>
            </w:pPr>
          </w:p>
        </w:tc>
        <w:tc>
          <w:tcPr>
            <w:tcW w:w="2280" w:type="dxa"/>
          </w:tcPr>
          <w:p>
            <w:pPr>
              <w:spacing w:line="360" w:lineRule="auto"/>
              <w:jc w:val="left"/>
              <w:rPr>
                <w:rFonts w:ascii="楷体" w:hAnsi="楷体" w:eastAsia="楷体" w:cs="楷体"/>
                <w:szCs w:val="24"/>
              </w:rPr>
            </w:pPr>
          </w:p>
        </w:tc>
        <w:tc>
          <w:tcPr>
            <w:tcW w:w="1826" w:type="dxa"/>
          </w:tcPr>
          <w:p>
            <w:pPr>
              <w:spacing w:line="360" w:lineRule="auto"/>
              <w:jc w:val="left"/>
              <w:rPr>
                <w:rFonts w:ascii="楷体" w:hAnsi="楷体" w:eastAsia="楷体" w:cs="楷体"/>
                <w:szCs w:val="24"/>
              </w:rPr>
            </w:pPr>
          </w:p>
        </w:tc>
        <w:tc>
          <w:tcPr>
            <w:tcW w:w="2812" w:type="dxa"/>
          </w:tcPr>
          <w:p>
            <w:pPr>
              <w:spacing w:line="360" w:lineRule="auto"/>
              <w:jc w:val="left"/>
              <w:rPr>
                <w:rFonts w:ascii="楷体" w:hAnsi="楷体" w:eastAsia="楷体" w:cs="楷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line="360" w:lineRule="auto"/>
              <w:jc w:val="left"/>
              <w:rPr>
                <w:rFonts w:ascii="楷体" w:hAnsi="楷体" w:eastAsia="楷体" w:cs="楷体"/>
                <w:szCs w:val="24"/>
              </w:rPr>
            </w:pPr>
          </w:p>
        </w:tc>
        <w:tc>
          <w:tcPr>
            <w:tcW w:w="2280" w:type="dxa"/>
          </w:tcPr>
          <w:p>
            <w:pPr>
              <w:spacing w:line="360" w:lineRule="auto"/>
              <w:jc w:val="left"/>
              <w:rPr>
                <w:rFonts w:ascii="楷体" w:hAnsi="楷体" w:eastAsia="楷体" w:cs="楷体"/>
                <w:szCs w:val="24"/>
              </w:rPr>
            </w:pPr>
          </w:p>
        </w:tc>
        <w:tc>
          <w:tcPr>
            <w:tcW w:w="1826" w:type="dxa"/>
          </w:tcPr>
          <w:p>
            <w:pPr>
              <w:spacing w:line="360" w:lineRule="auto"/>
              <w:jc w:val="left"/>
              <w:rPr>
                <w:rFonts w:ascii="楷体" w:hAnsi="楷体" w:eastAsia="楷体" w:cs="楷体"/>
                <w:szCs w:val="24"/>
              </w:rPr>
            </w:pPr>
          </w:p>
        </w:tc>
        <w:tc>
          <w:tcPr>
            <w:tcW w:w="2812" w:type="dxa"/>
          </w:tcPr>
          <w:p>
            <w:pPr>
              <w:spacing w:line="360" w:lineRule="auto"/>
              <w:jc w:val="left"/>
              <w:rPr>
                <w:rFonts w:ascii="楷体" w:hAnsi="楷体" w:eastAsia="楷体" w:cs="楷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9" w:type="dxa"/>
          </w:tcPr>
          <w:p>
            <w:pPr>
              <w:spacing w:line="360" w:lineRule="auto"/>
              <w:jc w:val="left"/>
              <w:rPr>
                <w:rFonts w:ascii="楷体" w:hAnsi="楷体" w:eastAsia="楷体" w:cs="楷体"/>
                <w:szCs w:val="24"/>
              </w:rPr>
            </w:pPr>
          </w:p>
        </w:tc>
        <w:tc>
          <w:tcPr>
            <w:tcW w:w="2280" w:type="dxa"/>
          </w:tcPr>
          <w:p>
            <w:pPr>
              <w:spacing w:line="360" w:lineRule="auto"/>
              <w:jc w:val="left"/>
              <w:rPr>
                <w:rFonts w:ascii="楷体" w:hAnsi="楷体" w:eastAsia="楷体" w:cs="楷体"/>
                <w:szCs w:val="24"/>
              </w:rPr>
            </w:pPr>
          </w:p>
        </w:tc>
        <w:tc>
          <w:tcPr>
            <w:tcW w:w="1826" w:type="dxa"/>
          </w:tcPr>
          <w:p>
            <w:pPr>
              <w:spacing w:line="360" w:lineRule="auto"/>
              <w:jc w:val="left"/>
              <w:rPr>
                <w:rFonts w:ascii="楷体" w:hAnsi="楷体" w:eastAsia="楷体" w:cs="楷体"/>
                <w:szCs w:val="24"/>
              </w:rPr>
            </w:pPr>
          </w:p>
        </w:tc>
        <w:tc>
          <w:tcPr>
            <w:tcW w:w="2812" w:type="dxa"/>
          </w:tcPr>
          <w:p>
            <w:pPr>
              <w:spacing w:line="360" w:lineRule="auto"/>
              <w:jc w:val="left"/>
              <w:rPr>
                <w:rFonts w:ascii="楷体" w:hAnsi="楷体" w:eastAsia="楷体" w:cs="楷体"/>
                <w:szCs w:val="24"/>
              </w:rPr>
            </w:pPr>
          </w:p>
        </w:tc>
      </w:tr>
    </w:tbl>
    <w:p>
      <w:pPr>
        <w:numPr>
          <w:ilvl w:val="0"/>
          <w:numId w:val="19"/>
        </w:numPr>
        <w:spacing w:line="360" w:lineRule="auto"/>
        <w:jc w:val="left"/>
        <w:rPr>
          <w:rFonts w:ascii="楷体" w:hAnsi="楷体" w:eastAsia="楷体" w:cs="楷体"/>
          <w:szCs w:val="24"/>
        </w:rPr>
      </w:pPr>
      <w:r>
        <w:rPr>
          <w:rFonts w:hint="eastAsia" w:ascii="楷体" w:hAnsi="楷体" w:eastAsia="楷体" w:cs="楷体"/>
          <w:szCs w:val="24"/>
        </w:rPr>
        <w:t>有关银行的名称和地址：</w:t>
      </w:r>
      <w:r>
        <w:rPr>
          <w:rFonts w:hint="eastAsia" w:ascii="楷体" w:hAnsi="楷体" w:eastAsia="楷体" w:cs="楷体"/>
          <w:szCs w:val="24"/>
          <w:u w:val="single"/>
        </w:rPr>
        <w:tab/>
      </w:r>
      <w:r>
        <w:rPr>
          <w:rFonts w:hint="eastAsia" w:ascii="楷体" w:hAnsi="楷体" w:eastAsia="楷体" w:cs="楷体"/>
          <w:szCs w:val="24"/>
          <w:u w:val="single"/>
        </w:rPr>
        <w:tab/>
      </w:r>
      <w:r>
        <w:rPr>
          <w:rFonts w:hint="eastAsia" w:ascii="楷体" w:hAnsi="楷体" w:eastAsia="楷体" w:cs="楷体"/>
          <w:szCs w:val="24"/>
          <w:u w:val="single"/>
        </w:rPr>
        <w:t xml:space="preserve">                 </w:t>
      </w:r>
      <w:r>
        <w:rPr>
          <w:rFonts w:hint="eastAsia" w:ascii="楷体" w:hAnsi="楷体" w:eastAsia="楷体" w:cs="楷体"/>
          <w:szCs w:val="24"/>
          <w:u w:val="single"/>
        </w:rPr>
        <w:tab/>
      </w:r>
      <w:r>
        <w:rPr>
          <w:rFonts w:hint="eastAsia" w:ascii="楷体" w:hAnsi="楷体" w:eastAsia="楷体" w:cs="楷体"/>
          <w:szCs w:val="24"/>
          <w:u w:val="single"/>
        </w:rPr>
        <w:t xml:space="preserve">                  </w:t>
      </w:r>
    </w:p>
    <w:p>
      <w:pPr>
        <w:spacing w:line="360" w:lineRule="auto"/>
        <w:jc w:val="left"/>
        <w:rPr>
          <w:rFonts w:ascii="楷体" w:hAnsi="楷体" w:eastAsia="楷体" w:cs="楷体"/>
          <w:szCs w:val="24"/>
        </w:rPr>
      </w:pPr>
      <w:r>
        <w:rPr>
          <w:rFonts w:hint="eastAsia" w:ascii="楷体" w:hAnsi="楷体" w:eastAsia="楷体" w:cs="楷体"/>
          <w:szCs w:val="24"/>
        </w:rPr>
        <w:t>5.其他情况：</w:t>
      </w:r>
      <w:r>
        <w:rPr>
          <w:rFonts w:hint="eastAsia" w:ascii="楷体" w:hAnsi="楷体" w:eastAsia="楷体" w:cs="楷体"/>
          <w:szCs w:val="24"/>
          <w:u w:val="single"/>
        </w:rPr>
        <w:t xml:space="preserve">                                     </w:t>
      </w:r>
    </w:p>
    <w:p>
      <w:pPr>
        <w:spacing w:line="360" w:lineRule="auto"/>
        <w:ind w:firstLine="360" w:firstLineChars="150"/>
        <w:jc w:val="left"/>
        <w:rPr>
          <w:rFonts w:ascii="楷体" w:hAnsi="楷体" w:eastAsia="楷体" w:cs="楷体"/>
          <w:szCs w:val="24"/>
        </w:rPr>
      </w:pPr>
      <w:r>
        <w:rPr>
          <w:rFonts w:hint="eastAsia" w:ascii="楷体" w:hAnsi="楷体" w:eastAsia="楷体" w:cs="楷体"/>
          <w:szCs w:val="24"/>
        </w:rPr>
        <w:t>我们保证上述声明是真实的、正确的，并提供了全部能提供的资料和数据；如贵方要求我们同意出示进一步证明文件。</w:t>
      </w:r>
    </w:p>
    <w:p>
      <w:pPr>
        <w:spacing w:line="360" w:lineRule="auto"/>
        <w:jc w:val="left"/>
        <w:rPr>
          <w:rFonts w:ascii="楷体" w:hAnsi="楷体" w:eastAsia="楷体" w:cs="楷体"/>
          <w:szCs w:val="24"/>
          <w:u w:val="single"/>
        </w:rPr>
      </w:pPr>
      <w:r>
        <w:rPr>
          <w:rFonts w:hint="eastAsia" w:ascii="楷体" w:hAnsi="楷体" w:eastAsia="楷体" w:cs="楷体"/>
          <w:szCs w:val="24"/>
        </w:rPr>
        <w:t>授权代表签字：</w:t>
      </w:r>
      <w:r>
        <w:rPr>
          <w:rFonts w:hint="eastAsia" w:ascii="楷体" w:hAnsi="楷体" w:eastAsia="楷体" w:cs="楷体"/>
          <w:szCs w:val="24"/>
          <w:u w:val="single"/>
        </w:rPr>
        <w:tab/>
      </w:r>
      <w:r>
        <w:rPr>
          <w:rFonts w:hint="eastAsia" w:ascii="楷体" w:hAnsi="楷体" w:eastAsia="楷体" w:cs="楷体"/>
          <w:szCs w:val="24"/>
          <w:u w:val="single"/>
        </w:rPr>
        <w:tab/>
      </w:r>
      <w:r>
        <w:rPr>
          <w:rFonts w:hint="eastAsia" w:ascii="楷体" w:hAnsi="楷体" w:eastAsia="楷体" w:cs="楷体"/>
          <w:szCs w:val="24"/>
          <w:u w:val="single"/>
        </w:rPr>
        <w:tab/>
      </w:r>
      <w:r>
        <w:rPr>
          <w:rFonts w:hint="eastAsia" w:ascii="楷体" w:hAnsi="楷体" w:eastAsia="楷体" w:cs="楷体"/>
          <w:szCs w:val="24"/>
          <w:u w:val="single"/>
        </w:rPr>
        <w:t xml:space="preserve">                  </w:t>
      </w:r>
      <w:r>
        <w:rPr>
          <w:rFonts w:hint="eastAsia" w:ascii="楷体" w:hAnsi="楷体" w:eastAsia="楷体" w:cs="楷体"/>
          <w:szCs w:val="24"/>
          <w:u w:val="single"/>
        </w:rPr>
        <w:tab/>
      </w:r>
      <w:r>
        <w:rPr>
          <w:rFonts w:hint="eastAsia" w:ascii="楷体" w:hAnsi="楷体" w:eastAsia="楷体" w:cs="楷体"/>
          <w:szCs w:val="24"/>
          <w:u w:val="single"/>
        </w:rPr>
        <w:tab/>
      </w:r>
      <w:r>
        <w:rPr>
          <w:rFonts w:hint="eastAsia" w:ascii="楷体" w:hAnsi="楷体" w:eastAsia="楷体" w:cs="楷体"/>
          <w:szCs w:val="24"/>
          <w:u w:val="single"/>
        </w:rPr>
        <w:t xml:space="preserve">  </w:t>
      </w:r>
    </w:p>
    <w:p>
      <w:pPr>
        <w:spacing w:line="360" w:lineRule="auto"/>
        <w:jc w:val="left"/>
        <w:rPr>
          <w:rFonts w:ascii="楷体" w:hAnsi="楷体" w:eastAsia="楷体" w:cs="楷体"/>
          <w:szCs w:val="24"/>
          <w:u w:val="single"/>
        </w:rPr>
      </w:pPr>
      <w:r>
        <w:rPr>
          <w:rFonts w:hint="eastAsia" w:ascii="楷体" w:hAnsi="楷体" w:eastAsia="楷体" w:cs="楷体"/>
          <w:szCs w:val="24"/>
        </w:rPr>
        <w:t>授权代表的职务：</w:t>
      </w:r>
      <w:r>
        <w:rPr>
          <w:rFonts w:hint="eastAsia" w:ascii="楷体" w:hAnsi="楷体" w:eastAsia="楷体" w:cs="楷体"/>
          <w:szCs w:val="24"/>
          <w:u w:val="single"/>
        </w:rPr>
        <w:tab/>
      </w:r>
      <w:r>
        <w:rPr>
          <w:rFonts w:hint="eastAsia" w:ascii="楷体" w:hAnsi="楷体" w:eastAsia="楷体" w:cs="楷体"/>
          <w:szCs w:val="24"/>
          <w:u w:val="single"/>
        </w:rPr>
        <w:tab/>
      </w:r>
      <w:r>
        <w:rPr>
          <w:rFonts w:hint="eastAsia" w:ascii="楷体" w:hAnsi="楷体" w:eastAsia="楷体" w:cs="楷体"/>
          <w:szCs w:val="24"/>
          <w:u w:val="single"/>
        </w:rPr>
        <w:tab/>
      </w:r>
      <w:r>
        <w:rPr>
          <w:rFonts w:hint="eastAsia" w:ascii="楷体" w:hAnsi="楷体" w:eastAsia="楷体" w:cs="楷体"/>
          <w:szCs w:val="24"/>
          <w:u w:val="single"/>
        </w:rPr>
        <w:t xml:space="preserve">                  </w:t>
      </w:r>
      <w:r>
        <w:rPr>
          <w:rFonts w:hint="eastAsia" w:ascii="楷体" w:hAnsi="楷体" w:eastAsia="楷体" w:cs="楷体"/>
          <w:szCs w:val="24"/>
          <w:u w:val="single"/>
        </w:rPr>
        <w:tab/>
      </w:r>
      <w:r>
        <w:rPr>
          <w:rFonts w:hint="eastAsia" w:ascii="楷体" w:hAnsi="楷体" w:eastAsia="楷体" w:cs="楷体"/>
          <w:szCs w:val="24"/>
          <w:u w:val="single"/>
        </w:rPr>
        <w:tab/>
      </w:r>
      <w:r>
        <w:rPr>
          <w:rFonts w:hint="eastAsia" w:ascii="楷体" w:hAnsi="楷体" w:eastAsia="楷体" w:cs="楷体"/>
          <w:szCs w:val="24"/>
          <w:u w:val="single"/>
        </w:rPr>
        <w:t xml:space="preserve">  </w:t>
      </w:r>
    </w:p>
    <w:p>
      <w:pPr>
        <w:spacing w:line="360" w:lineRule="auto"/>
        <w:jc w:val="left"/>
        <w:rPr>
          <w:rFonts w:ascii="楷体" w:hAnsi="楷体" w:eastAsia="楷体" w:cs="楷体"/>
          <w:szCs w:val="24"/>
        </w:rPr>
      </w:pPr>
      <w:r>
        <w:rPr>
          <w:rFonts w:hint="eastAsia" w:ascii="楷体" w:hAnsi="楷体" w:eastAsia="楷体" w:cs="楷体"/>
          <w:szCs w:val="24"/>
        </w:rPr>
        <w:t>电话号和传真号：</w:t>
      </w:r>
      <w:r>
        <w:rPr>
          <w:rFonts w:hint="eastAsia" w:ascii="楷体" w:hAnsi="楷体" w:eastAsia="楷体" w:cs="楷体"/>
          <w:szCs w:val="24"/>
          <w:u w:val="single"/>
        </w:rPr>
        <w:tab/>
      </w:r>
      <w:r>
        <w:rPr>
          <w:rFonts w:hint="eastAsia" w:ascii="楷体" w:hAnsi="楷体" w:eastAsia="楷体" w:cs="楷体"/>
          <w:szCs w:val="24"/>
          <w:u w:val="single"/>
        </w:rPr>
        <w:tab/>
      </w:r>
      <w:r>
        <w:rPr>
          <w:rFonts w:hint="eastAsia" w:ascii="楷体" w:hAnsi="楷体" w:eastAsia="楷体" w:cs="楷体"/>
          <w:szCs w:val="24"/>
          <w:u w:val="single"/>
        </w:rPr>
        <w:tab/>
      </w:r>
      <w:r>
        <w:rPr>
          <w:rFonts w:hint="eastAsia" w:ascii="楷体" w:hAnsi="楷体" w:eastAsia="楷体" w:cs="楷体"/>
          <w:szCs w:val="24"/>
          <w:u w:val="single"/>
        </w:rPr>
        <w:t xml:space="preserve">                  </w:t>
      </w:r>
      <w:r>
        <w:rPr>
          <w:rFonts w:hint="eastAsia" w:ascii="楷体" w:hAnsi="楷体" w:eastAsia="楷体" w:cs="楷体"/>
          <w:szCs w:val="24"/>
          <w:u w:val="single"/>
        </w:rPr>
        <w:tab/>
      </w:r>
      <w:r>
        <w:rPr>
          <w:rFonts w:hint="eastAsia" w:ascii="楷体" w:hAnsi="楷体" w:eastAsia="楷体" w:cs="楷体"/>
          <w:szCs w:val="24"/>
          <w:u w:val="single"/>
        </w:rPr>
        <w:tab/>
      </w:r>
      <w:r>
        <w:rPr>
          <w:rFonts w:hint="eastAsia" w:ascii="楷体" w:hAnsi="楷体" w:eastAsia="楷体" w:cs="楷体"/>
          <w:szCs w:val="24"/>
          <w:u w:val="single"/>
        </w:rPr>
        <w:t xml:space="preserve">  </w:t>
      </w:r>
    </w:p>
    <w:p>
      <w:pPr>
        <w:spacing w:line="360" w:lineRule="auto"/>
        <w:rPr>
          <w:rFonts w:ascii="楷体" w:hAnsi="楷体" w:eastAsia="楷体" w:cs="楷体"/>
          <w:szCs w:val="24"/>
        </w:rPr>
      </w:pPr>
      <w:r>
        <w:rPr>
          <w:rFonts w:hint="eastAsia" w:ascii="楷体" w:hAnsi="楷体" w:eastAsia="楷体" w:cs="楷体"/>
          <w:szCs w:val="24"/>
        </w:rPr>
        <w:t xml:space="preserve">                                             </w:t>
      </w:r>
    </w:p>
    <w:p>
      <w:pPr>
        <w:spacing w:line="360" w:lineRule="auto"/>
        <w:rPr>
          <w:rFonts w:ascii="楷体" w:hAnsi="楷体" w:eastAsia="楷体" w:cs="楷体"/>
          <w:szCs w:val="24"/>
        </w:rPr>
      </w:pPr>
    </w:p>
    <w:p>
      <w:pPr>
        <w:spacing w:line="360" w:lineRule="auto"/>
        <w:jc w:val="left"/>
        <w:rPr>
          <w:rFonts w:ascii="楷体" w:hAnsi="楷体" w:eastAsia="楷体" w:cs="楷体"/>
        </w:rPr>
      </w:pPr>
      <w:r>
        <w:rPr>
          <w:rFonts w:hint="eastAsia" w:ascii="楷体" w:hAnsi="楷体" w:eastAsia="楷体" w:cs="楷体"/>
        </w:rPr>
        <w:t xml:space="preserve">投标人名称（公章）：          </w:t>
      </w:r>
    </w:p>
    <w:p>
      <w:pPr>
        <w:spacing w:line="360" w:lineRule="auto"/>
        <w:jc w:val="left"/>
        <w:rPr>
          <w:rFonts w:ascii="楷体" w:hAnsi="楷体" w:eastAsia="楷体" w:cs="楷体"/>
        </w:rPr>
      </w:pPr>
      <w:r>
        <w:rPr>
          <w:rFonts w:hint="eastAsia" w:ascii="楷体" w:hAnsi="楷体" w:eastAsia="楷体" w:cs="楷体"/>
        </w:rPr>
        <w:t>法定代表人/被授权人</w:t>
      </w:r>
      <w:r>
        <w:rPr>
          <w:rFonts w:hint="eastAsia" w:ascii="楷体" w:hAnsi="楷体" w:eastAsia="楷体" w:cs="楷体"/>
          <w:spacing w:val="4"/>
          <w:szCs w:val="24"/>
        </w:rPr>
        <w:t>（签字或盖章）</w:t>
      </w:r>
      <w:r>
        <w:rPr>
          <w:rFonts w:hint="eastAsia" w:ascii="楷体" w:hAnsi="楷体" w:eastAsia="楷体" w:cs="楷体"/>
        </w:rPr>
        <w:t>：</w:t>
      </w:r>
    </w:p>
    <w:p>
      <w:pPr>
        <w:pStyle w:val="19"/>
        <w:rPr>
          <w:rFonts w:eastAsia="楷体"/>
        </w:rPr>
      </w:pPr>
      <w:r>
        <w:rPr>
          <w:rFonts w:hint="eastAsia" w:ascii="楷体" w:hAnsi="楷体" w:eastAsia="楷体" w:cs="楷体"/>
        </w:rPr>
        <w:t>日    期：</w:t>
      </w:r>
    </w:p>
    <w:p>
      <w:pPr>
        <w:widowControl/>
        <w:spacing w:beforeLines="50" w:afterLines="50" w:line="600" w:lineRule="exact"/>
        <w:jc w:val="center"/>
        <w:rPr>
          <w:rFonts w:ascii="仿宋_GB2312" w:hAnsi="宋体" w:eastAsia="仿宋_GB2312"/>
          <w:b/>
          <w:sz w:val="28"/>
          <w:szCs w:val="28"/>
        </w:rPr>
      </w:pPr>
      <w:r>
        <w:rPr>
          <w:rFonts w:hint="eastAsia" w:ascii="仿宋_GB2312" w:hAnsi="宋体" w:eastAsia="仿宋_GB2312"/>
          <w:b/>
          <w:sz w:val="30"/>
          <w:szCs w:val="30"/>
        </w:rPr>
        <w:br w:type="page"/>
      </w:r>
      <w:r>
        <w:rPr>
          <w:rFonts w:hint="eastAsia" w:ascii="楷体" w:hAnsi="楷体" w:eastAsia="楷体" w:cs="楷体"/>
          <w:b/>
          <w:sz w:val="30"/>
          <w:szCs w:val="30"/>
        </w:rPr>
        <w:t>2.投标人企业关联关系声明函</w:t>
      </w:r>
    </w:p>
    <w:p>
      <w:pPr>
        <w:adjustRightInd w:val="0"/>
        <w:snapToGrid w:val="0"/>
        <w:spacing w:line="360" w:lineRule="auto"/>
        <w:ind w:right="120" w:rightChars="50" w:firstLine="544" w:firstLineChars="227"/>
        <w:jc w:val="left"/>
        <w:rPr>
          <w:rFonts w:ascii="仿宋_GB2312" w:hAnsi="仿宋_GB2312" w:eastAsia="仿宋_GB2312" w:cs="仿宋_GB2312"/>
          <w:szCs w:val="21"/>
        </w:rPr>
      </w:pPr>
    </w:p>
    <w:p>
      <w:pPr>
        <w:adjustRightInd w:val="0"/>
        <w:snapToGrid w:val="0"/>
        <w:spacing w:line="360" w:lineRule="auto"/>
        <w:jc w:val="left"/>
        <w:rPr>
          <w:rFonts w:ascii="楷体" w:hAnsi="楷体" w:eastAsia="楷体" w:cs="楷体"/>
        </w:rPr>
      </w:pPr>
      <w:r>
        <w:rPr>
          <w:rFonts w:hint="eastAsia" w:ascii="楷体" w:hAnsi="楷体" w:eastAsia="楷体" w:cs="楷体"/>
        </w:rPr>
        <w:t>说明：投标人应当如实披露与本单位存在下列关联关系的单位名称：</w:t>
      </w:r>
    </w:p>
    <w:p>
      <w:pPr>
        <w:pStyle w:val="3"/>
        <w:spacing w:line="360" w:lineRule="auto"/>
        <w:rPr>
          <w:rFonts w:ascii="楷体" w:hAnsi="楷体" w:eastAsia="楷体" w:cs="楷体"/>
          <w:sz w:val="24"/>
          <w:szCs w:val="24"/>
        </w:rPr>
      </w:pPr>
    </w:p>
    <w:p>
      <w:pPr>
        <w:adjustRightInd w:val="0"/>
        <w:snapToGrid w:val="0"/>
        <w:spacing w:line="360" w:lineRule="auto"/>
        <w:jc w:val="left"/>
        <w:rPr>
          <w:rFonts w:ascii="楷体" w:hAnsi="楷体" w:eastAsia="楷体" w:cs="楷体"/>
        </w:rPr>
      </w:pPr>
      <w:bookmarkStart w:id="114" w:name="_Toc31070_WPSOffice_Level2"/>
      <w:bookmarkStart w:id="115" w:name="_Toc2074_WPSOffice_Level2"/>
      <w:r>
        <w:rPr>
          <w:rFonts w:hint="eastAsia" w:ascii="楷体" w:hAnsi="楷体" w:eastAsia="楷体" w:cs="楷体"/>
        </w:rPr>
        <w:t>（1）与投标人单位法定代表人为同一人的其他单位</w:t>
      </w:r>
      <w:bookmarkEnd w:id="114"/>
      <w:bookmarkEnd w:id="115"/>
      <w:r>
        <w:rPr>
          <w:rFonts w:hint="eastAsia" w:ascii="楷体" w:hAnsi="楷体" w:eastAsia="楷体" w:cs="楷体"/>
        </w:rPr>
        <w:t>：</w:t>
      </w:r>
      <w:r>
        <w:rPr>
          <w:rFonts w:hint="eastAsia" w:ascii="楷体" w:hAnsi="楷体" w:eastAsia="楷体" w:cs="楷体"/>
          <w:u w:val="single"/>
        </w:rPr>
        <w:t xml:space="preserve">                     </w:t>
      </w:r>
      <w:r>
        <w:rPr>
          <w:rFonts w:hint="eastAsia" w:ascii="楷体" w:hAnsi="楷体" w:eastAsia="楷体" w:cs="楷体"/>
        </w:rPr>
        <w:t>。</w:t>
      </w:r>
    </w:p>
    <w:p>
      <w:pPr>
        <w:adjustRightInd w:val="0"/>
        <w:snapToGrid w:val="0"/>
        <w:spacing w:line="360" w:lineRule="auto"/>
        <w:jc w:val="left"/>
        <w:rPr>
          <w:rFonts w:ascii="楷体" w:hAnsi="楷体" w:eastAsia="楷体" w:cs="楷体"/>
        </w:rPr>
      </w:pPr>
      <w:bookmarkStart w:id="116" w:name="_Toc889_WPSOffice_Level2"/>
      <w:bookmarkStart w:id="117" w:name="_Toc27053_WPSOffice_Level2"/>
      <w:r>
        <w:rPr>
          <w:rFonts w:hint="eastAsia" w:ascii="楷体" w:hAnsi="楷体" w:eastAsia="楷体" w:cs="楷体"/>
        </w:rPr>
        <w:t>（2）与投标人存在直接控股、管理关系的其他单位</w:t>
      </w:r>
      <w:bookmarkEnd w:id="116"/>
      <w:bookmarkEnd w:id="117"/>
      <w:r>
        <w:rPr>
          <w:rFonts w:hint="eastAsia" w:ascii="楷体" w:hAnsi="楷体" w:eastAsia="楷体" w:cs="楷体"/>
        </w:rPr>
        <w:t>：</w:t>
      </w:r>
      <w:r>
        <w:rPr>
          <w:rFonts w:hint="eastAsia" w:ascii="楷体" w:hAnsi="楷体" w:eastAsia="楷体" w:cs="楷体"/>
          <w:u w:val="single"/>
        </w:rPr>
        <w:t xml:space="preserve">                     </w:t>
      </w:r>
      <w:r>
        <w:rPr>
          <w:rFonts w:hint="eastAsia" w:ascii="楷体" w:hAnsi="楷体" w:eastAsia="楷体" w:cs="楷体"/>
        </w:rPr>
        <w:t>。</w:t>
      </w:r>
    </w:p>
    <w:p>
      <w:pPr>
        <w:adjustRightInd w:val="0"/>
        <w:snapToGrid w:val="0"/>
        <w:spacing w:line="360" w:lineRule="auto"/>
        <w:ind w:right="120" w:rightChars="50" w:firstLine="544" w:firstLineChars="227"/>
        <w:jc w:val="left"/>
        <w:rPr>
          <w:rFonts w:ascii="楷体" w:hAnsi="楷体" w:eastAsia="楷体" w:cs="楷体"/>
        </w:rPr>
      </w:pPr>
    </w:p>
    <w:p>
      <w:pPr>
        <w:adjustRightInd w:val="0"/>
        <w:snapToGrid w:val="0"/>
        <w:spacing w:line="360" w:lineRule="auto"/>
        <w:ind w:right="120" w:rightChars="50"/>
        <w:jc w:val="left"/>
        <w:rPr>
          <w:rFonts w:ascii="楷体" w:hAnsi="楷体" w:eastAsia="楷体" w:cs="楷体"/>
        </w:rPr>
      </w:pPr>
      <w:r>
        <w:rPr>
          <w:rFonts w:hint="eastAsia" w:ascii="楷体" w:hAnsi="楷体" w:eastAsia="楷体" w:cs="楷体"/>
        </w:rPr>
        <w:t>注：若无此情形，写“无”即可</w:t>
      </w:r>
    </w:p>
    <w:p>
      <w:pPr>
        <w:pStyle w:val="3"/>
        <w:rPr>
          <w:rFonts w:ascii="楷体" w:hAnsi="楷体" w:eastAsia="楷体" w:cs="楷体"/>
          <w:sz w:val="24"/>
          <w:szCs w:val="24"/>
        </w:rPr>
      </w:pPr>
    </w:p>
    <w:p>
      <w:pPr>
        <w:spacing w:line="360" w:lineRule="auto"/>
        <w:jc w:val="left"/>
        <w:rPr>
          <w:rFonts w:ascii="楷体" w:hAnsi="楷体" w:eastAsia="楷体" w:cs="楷体"/>
        </w:rPr>
      </w:pPr>
    </w:p>
    <w:p>
      <w:pPr>
        <w:spacing w:line="360" w:lineRule="auto"/>
        <w:jc w:val="left"/>
        <w:rPr>
          <w:rFonts w:ascii="楷体" w:hAnsi="楷体" w:eastAsia="楷体" w:cs="楷体"/>
        </w:rPr>
      </w:pPr>
      <w:r>
        <w:rPr>
          <w:rFonts w:hint="eastAsia" w:ascii="楷体" w:hAnsi="楷体" w:eastAsia="楷体" w:cs="楷体"/>
        </w:rPr>
        <w:t>投标人名称（公章）：</w:t>
      </w:r>
    </w:p>
    <w:p>
      <w:pPr>
        <w:spacing w:line="360" w:lineRule="auto"/>
        <w:jc w:val="left"/>
        <w:rPr>
          <w:rFonts w:ascii="楷体" w:hAnsi="楷体" w:eastAsia="楷体" w:cs="楷体"/>
          <w:b/>
        </w:rPr>
      </w:pPr>
      <w:r>
        <w:rPr>
          <w:rFonts w:hint="eastAsia" w:ascii="楷体" w:hAnsi="楷体" w:eastAsia="楷体" w:cs="楷体"/>
        </w:rPr>
        <w:t>法定代表人（</w:t>
      </w:r>
      <w:r>
        <w:rPr>
          <w:rFonts w:hint="eastAsia" w:ascii="楷体" w:hAnsi="楷体" w:eastAsia="楷体" w:cs="楷体"/>
          <w:spacing w:val="4"/>
          <w:szCs w:val="24"/>
        </w:rPr>
        <w:t>签字或盖章</w:t>
      </w:r>
      <w:r>
        <w:rPr>
          <w:rFonts w:hint="eastAsia" w:ascii="楷体" w:hAnsi="楷体" w:eastAsia="楷体" w:cs="楷体"/>
        </w:rPr>
        <w:t>）</w:t>
      </w:r>
      <w:r>
        <w:rPr>
          <w:rFonts w:hint="eastAsia" w:ascii="楷体" w:hAnsi="楷体" w:eastAsia="楷体" w:cs="楷体"/>
          <w:b/>
        </w:rPr>
        <w:t>：</w:t>
      </w:r>
    </w:p>
    <w:p>
      <w:pPr>
        <w:spacing w:line="360" w:lineRule="auto"/>
        <w:rPr>
          <w:rFonts w:ascii="楷体" w:hAnsi="楷体" w:eastAsia="楷体" w:cs="楷体"/>
        </w:rPr>
      </w:pPr>
      <w:r>
        <w:rPr>
          <w:rFonts w:hint="eastAsia" w:ascii="楷体" w:hAnsi="楷体" w:eastAsia="楷体" w:cs="楷体"/>
        </w:rPr>
        <w:t>日    期：</w:t>
      </w:r>
    </w:p>
    <w:p>
      <w:pPr>
        <w:adjustRightInd w:val="0"/>
        <w:snapToGrid w:val="0"/>
        <w:spacing w:line="360" w:lineRule="auto"/>
        <w:jc w:val="left"/>
        <w:rPr>
          <w:rFonts w:ascii="楷体" w:hAnsi="楷体" w:eastAsia="楷体" w:cs="楷体"/>
          <w:szCs w:val="24"/>
        </w:rPr>
      </w:pPr>
      <w:r>
        <w:rPr>
          <w:rFonts w:hint="eastAsia" w:ascii="楷体" w:hAnsi="楷体" w:eastAsia="楷体" w:cs="楷体"/>
          <w:b/>
          <w:bCs/>
          <w:szCs w:val="24"/>
        </w:rPr>
        <w:br w:type="page"/>
      </w:r>
      <w:r>
        <w:rPr>
          <w:rFonts w:hint="eastAsia" w:ascii="楷体" w:hAnsi="楷体" w:eastAsia="楷体" w:cs="楷体"/>
          <w:b/>
          <w:bCs/>
          <w:szCs w:val="24"/>
        </w:rPr>
        <w:t>（三）对第三章“合同条款前附表”项目实施地点、建设期、质保期、履约保证金、质量保证、考核、违约责任等合同条款逐条响应；（格式自拟）</w:t>
      </w:r>
    </w:p>
    <w:p>
      <w:pPr>
        <w:adjustRightInd w:val="0"/>
        <w:snapToGrid w:val="0"/>
        <w:spacing w:line="360" w:lineRule="auto"/>
        <w:jc w:val="left"/>
        <w:rPr>
          <w:rFonts w:ascii="楷体" w:hAnsi="楷体" w:eastAsia="楷体" w:cs="楷体"/>
          <w:szCs w:val="24"/>
        </w:rPr>
      </w:pPr>
      <w:r>
        <w:rPr>
          <w:rFonts w:hint="eastAsia" w:ascii="楷体" w:hAnsi="楷体" w:eastAsia="楷体" w:cs="楷体"/>
          <w:szCs w:val="24"/>
        </w:rPr>
        <w:br w:type="page"/>
      </w:r>
      <w:r>
        <w:rPr>
          <w:rFonts w:hint="eastAsia" w:ascii="楷体" w:hAnsi="楷体" w:eastAsia="楷体" w:cs="楷体"/>
          <w:b/>
          <w:bCs/>
          <w:szCs w:val="24"/>
        </w:rPr>
        <w:t>（四）投标人业绩情况</w:t>
      </w:r>
    </w:p>
    <w:p>
      <w:pPr>
        <w:spacing w:line="360" w:lineRule="auto"/>
        <w:jc w:val="center"/>
        <w:rPr>
          <w:rFonts w:ascii="楷体" w:hAnsi="楷体" w:eastAsia="楷体" w:cs="楷体"/>
          <w:b/>
          <w:bCs/>
          <w:sz w:val="30"/>
          <w:szCs w:val="30"/>
        </w:rPr>
      </w:pPr>
      <w:r>
        <w:rPr>
          <w:rFonts w:hint="eastAsia" w:ascii="楷体" w:hAnsi="楷体" w:eastAsia="楷体" w:cs="楷体"/>
          <w:b/>
          <w:bCs/>
          <w:sz w:val="30"/>
          <w:szCs w:val="30"/>
        </w:rPr>
        <w:t>投标人业绩情况</w:t>
      </w:r>
    </w:p>
    <w:p>
      <w:pPr>
        <w:spacing w:line="360" w:lineRule="auto"/>
        <w:jc w:val="left"/>
        <w:rPr>
          <w:rFonts w:ascii="楷体" w:hAnsi="楷体" w:eastAsia="楷体" w:cs="楷体"/>
          <w:b/>
        </w:rPr>
      </w:pPr>
      <w:r>
        <w:rPr>
          <w:rFonts w:hint="eastAsia" w:ascii="楷体" w:hAnsi="楷体" w:eastAsia="楷体" w:cs="楷体"/>
          <w:b/>
        </w:rPr>
        <w:t>项目名称：</w:t>
      </w:r>
    </w:p>
    <w:p>
      <w:pPr>
        <w:pStyle w:val="3"/>
        <w:spacing w:line="360" w:lineRule="auto"/>
        <w:rPr>
          <w:rFonts w:ascii="楷体" w:hAnsi="楷体" w:eastAsia="楷体" w:cs="楷体"/>
          <w:b/>
          <w:szCs w:val="24"/>
        </w:rPr>
      </w:pPr>
      <w:r>
        <w:rPr>
          <w:rFonts w:hint="eastAsia" w:ascii="楷体" w:hAnsi="楷体" w:eastAsia="楷体" w:cs="楷体"/>
          <w:b/>
          <w:kern w:val="0"/>
          <w:sz w:val="24"/>
          <w:szCs w:val="22"/>
        </w:rPr>
        <w:t>项目编号：</w:t>
      </w:r>
      <w:r>
        <w:rPr>
          <w:rFonts w:hint="eastAsia" w:ascii="楷体" w:hAnsi="楷体" w:eastAsia="楷体" w:cs="楷体"/>
          <w:b/>
          <w:szCs w:val="24"/>
        </w:rPr>
        <w:t xml:space="preserve"> </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916"/>
        <w:gridCol w:w="1491"/>
        <w:gridCol w:w="1365"/>
        <w:gridCol w:w="1204"/>
        <w:gridCol w:w="1303"/>
        <w:gridCol w:w="119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1085" w:hRule="exact"/>
          <w:jc w:val="center"/>
        </w:trPr>
        <w:tc>
          <w:tcPr>
            <w:tcW w:w="916" w:type="dxa"/>
            <w:tcBorders>
              <w:top w:val="single" w:color="auto" w:sz="4" w:space="0"/>
            </w:tcBorders>
            <w:vAlign w:val="center"/>
          </w:tcPr>
          <w:p>
            <w:pPr>
              <w:spacing w:line="360" w:lineRule="auto"/>
              <w:ind w:firstLine="120" w:firstLineChars="50"/>
              <w:rPr>
                <w:rFonts w:ascii="楷体" w:hAnsi="楷体" w:eastAsia="楷体" w:cs="楷体"/>
                <w:szCs w:val="24"/>
              </w:rPr>
            </w:pPr>
            <w:r>
              <w:rPr>
                <w:rFonts w:hint="eastAsia" w:ascii="楷体" w:hAnsi="楷体" w:eastAsia="楷体" w:cs="楷体"/>
                <w:szCs w:val="24"/>
              </w:rPr>
              <w:t>年份</w:t>
            </w:r>
          </w:p>
        </w:tc>
        <w:tc>
          <w:tcPr>
            <w:tcW w:w="1491" w:type="dxa"/>
            <w:vAlign w:val="center"/>
          </w:tcPr>
          <w:p>
            <w:pPr>
              <w:spacing w:line="360" w:lineRule="auto"/>
              <w:jc w:val="center"/>
              <w:rPr>
                <w:rFonts w:ascii="楷体" w:hAnsi="楷体" w:eastAsia="楷体" w:cs="楷体"/>
                <w:szCs w:val="24"/>
              </w:rPr>
            </w:pPr>
            <w:r>
              <w:rPr>
                <w:rFonts w:hint="eastAsia" w:ascii="楷体" w:hAnsi="楷体" w:eastAsia="楷体" w:cs="楷体"/>
                <w:szCs w:val="24"/>
              </w:rPr>
              <w:t>用户名称</w:t>
            </w:r>
          </w:p>
        </w:tc>
        <w:tc>
          <w:tcPr>
            <w:tcW w:w="1365" w:type="dxa"/>
            <w:vAlign w:val="center"/>
          </w:tcPr>
          <w:p>
            <w:pPr>
              <w:spacing w:line="360" w:lineRule="auto"/>
              <w:jc w:val="center"/>
              <w:rPr>
                <w:rFonts w:ascii="楷体" w:hAnsi="楷体" w:eastAsia="楷体" w:cs="楷体"/>
                <w:szCs w:val="24"/>
              </w:rPr>
            </w:pPr>
            <w:r>
              <w:rPr>
                <w:rFonts w:hint="eastAsia" w:ascii="楷体" w:hAnsi="楷体" w:eastAsia="楷体" w:cs="楷体"/>
                <w:szCs w:val="24"/>
              </w:rPr>
              <w:t>项目名称</w:t>
            </w:r>
          </w:p>
        </w:tc>
        <w:tc>
          <w:tcPr>
            <w:tcW w:w="1204" w:type="dxa"/>
            <w:vAlign w:val="center"/>
          </w:tcPr>
          <w:p>
            <w:pPr>
              <w:spacing w:line="360" w:lineRule="auto"/>
              <w:jc w:val="center"/>
              <w:rPr>
                <w:rFonts w:ascii="楷体" w:hAnsi="楷体" w:eastAsia="楷体" w:cs="楷体"/>
                <w:szCs w:val="24"/>
              </w:rPr>
            </w:pPr>
            <w:r>
              <w:rPr>
                <w:rFonts w:hint="eastAsia" w:ascii="楷体" w:hAnsi="楷体" w:eastAsia="楷体" w:cs="楷体"/>
                <w:szCs w:val="24"/>
              </w:rPr>
              <w:t>完成时间</w:t>
            </w:r>
          </w:p>
        </w:tc>
        <w:tc>
          <w:tcPr>
            <w:tcW w:w="1303" w:type="dxa"/>
            <w:vAlign w:val="center"/>
          </w:tcPr>
          <w:p>
            <w:pPr>
              <w:spacing w:line="360" w:lineRule="auto"/>
              <w:ind w:firstLine="120" w:firstLineChars="50"/>
              <w:rPr>
                <w:rFonts w:ascii="楷体" w:hAnsi="楷体" w:eastAsia="楷体" w:cs="楷体"/>
                <w:szCs w:val="24"/>
              </w:rPr>
            </w:pPr>
            <w:r>
              <w:rPr>
                <w:rFonts w:hint="eastAsia" w:ascii="楷体" w:hAnsi="楷体" w:eastAsia="楷体" w:cs="楷体"/>
                <w:szCs w:val="24"/>
              </w:rPr>
              <w:t>合同金额</w:t>
            </w:r>
          </w:p>
        </w:tc>
        <w:tc>
          <w:tcPr>
            <w:tcW w:w="1194" w:type="dxa"/>
            <w:tcBorders>
              <w:left w:val="single" w:color="auto" w:sz="4" w:space="0"/>
            </w:tcBorders>
            <w:vAlign w:val="center"/>
          </w:tcPr>
          <w:p>
            <w:pPr>
              <w:spacing w:line="360" w:lineRule="auto"/>
              <w:rPr>
                <w:rFonts w:ascii="楷体" w:hAnsi="楷体" w:eastAsia="楷体" w:cs="楷体"/>
                <w:szCs w:val="24"/>
              </w:rPr>
            </w:pPr>
            <w:r>
              <w:rPr>
                <w:rFonts w:hint="eastAsia" w:ascii="楷体" w:hAnsi="楷体" w:eastAsia="楷体" w:cs="楷体"/>
                <w:szCs w:val="24"/>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1142" w:hRule="exact"/>
          <w:jc w:val="center"/>
        </w:trPr>
        <w:tc>
          <w:tcPr>
            <w:tcW w:w="916" w:type="dxa"/>
            <w:vAlign w:val="center"/>
          </w:tcPr>
          <w:p>
            <w:pPr>
              <w:spacing w:line="360" w:lineRule="auto"/>
              <w:jc w:val="center"/>
              <w:rPr>
                <w:rFonts w:ascii="楷体" w:hAnsi="楷体" w:eastAsia="楷体" w:cs="楷体"/>
                <w:szCs w:val="24"/>
              </w:rPr>
            </w:pPr>
          </w:p>
        </w:tc>
        <w:tc>
          <w:tcPr>
            <w:tcW w:w="1491" w:type="dxa"/>
            <w:vAlign w:val="center"/>
          </w:tcPr>
          <w:p>
            <w:pPr>
              <w:spacing w:line="360" w:lineRule="auto"/>
              <w:jc w:val="center"/>
              <w:rPr>
                <w:rFonts w:ascii="楷体" w:hAnsi="楷体" w:eastAsia="楷体" w:cs="楷体"/>
                <w:szCs w:val="24"/>
              </w:rPr>
            </w:pPr>
          </w:p>
        </w:tc>
        <w:tc>
          <w:tcPr>
            <w:tcW w:w="1365" w:type="dxa"/>
            <w:vAlign w:val="center"/>
          </w:tcPr>
          <w:p>
            <w:pPr>
              <w:spacing w:line="360" w:lineRule="auto"/>
              <w:jc w:val="center"/>
              <w:rPr>
                <w:rFonts w:ascii="楷体" w:hAnsi="楷体" w:eastAsia="楷体" w:cs="楷体"/>
                <w:szCs w:val="24"/>
              </w:rPr>
            </w:pPr>
          </w:p>
        </w:tc>
        <w:tc>
          <w:tcPr>
            <w:tcW w:w="1204" w:type="dxa"/>
            <w:vAlign w:val="center"/>
          </w:tcPr>
          <w:p>
            <w:pPr>
              <w:spacing w:line="360" w:lineRule="auto"/>
              <w:jc w:val="center"/>
              <w:rPr>
                <w:rFonts w:ascii="楷体" w:hAnsi="楷体" w:eastAsia="楷体" w:cs="楷体"/>
                <w:szCs w:val="24"/>
              </w:rPr>
            </w:pPr>
          </w:p>
        </w:tc>
        <w:tc>
          <w:tcPr>
            <w:tcW w:w="1303" w:type="dxa"/>
            <w:vAlign w:val="center"/>
          </w:tcPr>
          <w:p>
            <w:pPr>
              <w:spacing w:line="360" w:lineRule="auto"/>
              <w:jc w:val="center"/>
              <w:rPr>
                <w:rFonts w:ascii="楷体" w:hAnsi="楷体" w:eastAsia="楷体" w:cs="楷体"/>
                <w:szCs w:val="24"/>
              </w:rPr>
            </w:pPr>
          </w:p>
        </w:tc>
        <w:tc>
          <w:tcPr>
            <w:tcW w:w="1194" w:type="dxa"/>
            <w:tcBorders>
              <w:left w:val="single" w:color="auto" w:sz="4" w:space="0"/>
            </w:tcBorders>
            <w:vAlign w:val="center"/>
          </w:tcPr>
          <w:p>
            <w:pPr>
              <w:spacing w:line="360" w:lineRule="auto"/>
              <w:jc w:val="center"/>
              <w:rPr>
                <w:rFonts w:ascii="楷体" w:hAnsi="楷体" w:eastAsia="楷体" w:cs="楷体"/>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1141" w:hRule="exact"/>
          <w:jc w:val="center"/>
        </w:trPr>
        <w:tc>
          <w:tcPr>
            <w:tcW w:w="916" w:type="dxa"/>
            <w:vAlign w:val="center"/>
          </w:tcPr>
          <w:p>
            <w:pPr>
              <w:spacing w:line="360" w:lineRule="auto"/>
              <w:jc w:val="center"/>
              <w:rPr>
                <w:rFonts w:ascii="楷体" w:hAnsi="楷体" w:eastAsia="楷体" w:cs="楷体"/>
                <w:szCs w:val="24"/>
              </w:rPr>
            </w:pPr>
          </w:p>
        </w:tc>
        <w:tc>
          <w:tcPr>
            <w:tcW w:w="1491" w:type="dxa"/>
            <w:vAlign w:val="center"/>
          </w:tcPr>
          <w:p>
            <w:pPr>
              <w:spacing w:line="360" w:lineRule="auto"/>
              <w:jc w:val="center"/>
              <w:rPr>
                <w:rFonts w:ascii="楷体" w:hAnsi="楷体" w:eastAsia="楷体" w:cs="楷体"/>
                <w:szCs w:val="24"/>
              </w:rPr>
            </w:pPr>
          </w:p>
        </w:tc>
        <w:tc>
          <w:tcPr>
            <w:tcW w:w="1365" w:type="dxa"/>
            <w:vAlign w:val="center"/>
          </w:tcPr>
          <w:p>
            <w:pPr>
              <w:spacing w:line="360" w:lineRule="auto"/>
              <w:jc w:val="center"/>
              <w:rPr>
                <w:rFonts w:ascii="楷体" w:hAnsi="楷体" w:eastAsia="楷体" w:cs="楷体"/>
                <w:szCs w:val="24"/>
              </w:rPr>
            </w:pPr>
          </w:p>
        </w:tc>
        <w:tc>
          <w:tcPr>
            <w:tcW w:w="1204" w:type="dxa"/>
            <w:vAlign w:val="center"/>
          </w:tcPr>
          <w:p>
            <w:pPr>
              <w:spacing w:line="360" w:lineRule="auto"/>
              <w:jc w:val="center"/>
              <w:rPr>
                <w:rFonts w:ascii="楷体" w:hAnsi="楷体" w:eastAsia="楷体" w:cs="楷体"/>
                <w:szCs w:val="24"/>
              </w:rPr>
            </w:pPr>
          </w:p>
        </w:tc>
        <w:tc>
          <w:tcPr>
            <w:tcW w:w="1303" w:type="dxa"/>
            <w:vAlign w:val="center"/>
          </w:tcPr>
          <w:p>
            <w:pPr>
              <w:spacing w:line="360" w:lineRule="auto"/>
              <w:jc w:val="center"/>
              <w:rPr>
                <w:rFonts w:ascii="楷体" w:hAnsi="楷体" w:eastAsia="楷体" w:cs="楷体"/>
                <w:szCs w:val="24"/>
              </w:rPr>
            </w:pPr>
          </w:p>
        </w:tc>
        <w:tc>
          <w:tcPr>
            <w:tcW w:w="1194" w:type="dxa"/>
            <w:tcBorders>
              <w:left w:val="single" w:color="auto" w:sz="4" w:space="0"/>
            </w:tcBorders>
            <w:vAlign w:val="center"/>
          </w:tcPr>
          <w:p>
            <w:pPr>
              <w:spacing w:line="360" w:lineRule="auto"/>
              <w:jc w:val="center"/>
              <w:rPr>
                <w:rFonts w:ascii="楷体" w:hAnsi="楷体" w:eastAsia="楷体" w:cs="楷体"/>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1129" w:hRule="exact"/>
          <w:jc w:val="center"/>
        </w:trPr>
        <w:tc>
          <w:tcPr>
            <w:tcW w:w="916" w:type="dxa"/>
            <w:vAlign w:val="center"/>
          </w:tcPr>
          <w:p>
            <w:pPr>
              <w:spacing w:line="360" w:lineRule="auto"/>
              <w:jc w:val="center"/>
              <w:rPr>
                <w:rFonts w:ascii="楷体" w:hAnsi="楷体" w:eastAsia="楷体" w:cs="楷体"/>
                <w:szCs w:val="24"/>
              </w:rPr>
            </w:pPr>
          </w:p>
        </w:tc>
        <w:tc>
          <w:tcPr>
            <w:tcW w:w="1491" w:type="dxa"/>
            <w:vAlign w:val="center"/>
          </w:tcPr>
          <w:p>
            <w:pPr>
              <w:spacing w:line="360" w:lineRule="auto"/>
              <w:jc w:val="center"/>
              <w:rPr>
                <w:rFonts w:ascii="楷体" w:hAnsi="楷体" w:eastAsia="楷体" w:cs="楷体"/>
                <w:szCs w:val="24"/>
              </w:rPr>
            </w:pPr>
          </w:p>
        </w:tc>
        <w:tc>
          <w:tcPr>
            <w:tcW w:w="1365" w:type="dxa"/>
            <w:vAlign w:val="center"/>
          </w:tcPr>
          <w:p>
            <w:pPr>
              <w:spacing w:line="360" w:lineRule="auto"/>
              <w:jc w:val="center"/>
              <w:rPr>
                <w:rFonts w:ascii="楷体" w:hAnsi="楷体" w:eastAsia="楷体" w:cs="楷体"/>
                <w:szCs w:val="24"/>
              </w:rPr>
            </w:pPr>
          </w:p>
        </w:tc>
        <w:tc>
          <w:tcPr>
            <w:tcW w:w="1204" w:type="dxa"/>
            <w:vAlign w:val="center"/>
          </w:tcPr>
          <w:p>
            <w:pPr>
              <w:spacing w:line="360" w:lineRule="auto"/>
              <w:jc w:val="center"/>
              <w:rPr>
                <w:rFonts w:ascii="楷体" w:hAnsi="楷体" w:eastAsia="楷体" w:cs="楷体"/>
                <w:szCs w:val="24"/>
              </w:rPr>
            </w:pPr>
          </w:p>
        </w:tc>
        <w:tc>
          <w:tcPr>
            <w:tcW w:w="1303" w:type="dxa"/>
            <w:vAlign w:val="center"/>
          </w:tcPr>
          <w:p>
            <w:pPr>
              <w:spacing w:line="360" w:lineRule="auto"/>
              <w:jc w:val="center"/>
              <w:rPr>
                <w:rFonts w:ascii="楷体" w:hAnsi="楷体" w:eastAsia="楷体" w:cs="楷体"/>
                <w:szCs w:val="24"/>
              </w:rPr>
            </w:pPr>
          </w:p>
        </w:tc>
        <w:tc>
          <w:tcPr>
            <w:tcW w:w="1194" w:type="dxa"/>
            <w:tcBorders>
              <w:left w:val="single" w:color="auto" w:sz="4" w:space="0"/>
            </w:tcBorders>
            <w:vAlign w:val="center"/>
          </w:tcPr>
          <w:p>
            <w:pPr>
              <w:spacing w:line="360" w:lineRule="auto"/>
              <w:jc w:val="center"/>
              <w:rPr>
                <w:rFonts w:ascii="楷体" w:hAnsi="楷体" w:eastAsia="楷体" w:cs="楷体"/>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1134" w:hRule="exact"/>
          <w:jc w:val="center"/>
        </w:trPr>
        <w:tc>
          <w:tcPr>
            <w:tcW w:w="916" w:type="dxa"/>
            <w:vAlign w:val="center"/>
          </w:tcPr>
          <w:p>
            <w:pPr>
              <w:spacing w:line="360" w:lineRule="auto"/>
              <w:jc w:val="center"/>
              <w:rPr>
                <w:rFonts w:ascii="楷体" w:hAnsi="楷体" w:eastAsia="楷体" w:cs="楷体"/>
                <w:szCs w:val="24"/>
              </w:rPr>
            </w:pPr>
          </w:p>
        </w:tc>
        <w:tc>
          <w:tcPr>
            <w:tcW w:w="1491" w:type="dxa"/>
            <w:vAlign w:val="center"/>
          </w:tcPr>
          <w:p>
            <w:pPr>
              <w:spacing w:line="360" w:lineRule="auto"/>
              <w:jc w:val="center"/>
              <w:rPr>
                <w:rFonts w:ascii="楷体" w:hAnsi="楷体" w:eastAsia="楷体" w:cs="楷体"/>
                <w:szCs w:val="24"/>
              </w:rPr>
            </w:pPr>
          </w:p>
        </w:tc>
        <w:tc>
          <w:tcPr>
            <w:tcW w:w="1365" w:type="dxa"/>
            <w:vAlign w:val="center"/>
          </w:tcPr>
          <w:p>
            <w:pPr>
              <w:spacing w:line="360" w:lineRule="auto"/>
              <w:jc w:val="center"/>
              <w:rPr>
                <w:rFonts w:ascii="楷体" w:hAnsi="楷体" w:eastAsia="楷体" w:cs="楷体"/>
                <w:szCs w:val="24"/>
              </w:rPr>
            </w:pPr>
          </w:p>
        </w:tc>
        <w:tc>
          <w:tcPr>
            <w:tcW w:w="1204" w:type="dxa"/>
            <w:vAlign w:val="center"/>
          </w:tcPr>
          <w:p>
            <w:pPr>
              <w:spacing w:line="360" w:lineRule="auto"/>
              <w:jc w:val="center"/>
              <w:rPr>
                <w:rFonts w:ascii="楷体" w:hAnsi="楷体" w:eastAsia="楷体" w:cs="楷体"/>
                <w:szCs w:val="24"/>
              </w:rPr>
            </w:pPr>
          </w:p>
        </w:tc>
        <w:tc>
          <w:tcPr>
            <w:tcW w:w="1303" w:type="dxa"/>
            <w:vAlign w:val="center"/>
          </w:tcPr>
          <w:p>
            <w:pPr>
              <w:spacing w:line="360" w:lineRule="auto"/>
              <w:jc w:val="center"/>
              <w:rPr>
                <w:rFonts w:ascii="楷体" w:hAnsi="楷体" w:eastAsia="楷体" w:cs="楷体"/>
                <w:szCs w:val="24"/>
              </w:rPr>
            </w:pPr>
          </w:p>
        </w:tc>
        <w:tc>
          <w:tcPr>
            <w:tcW w:w="1194" w:type="dxa"/>
            <w:tcBorders>
              <w:left w:val="single" w:color="auto" w:sz="4" w:space="0"/>
            </w:tcBorders>
            <w:vAlign w:val="center"/>
          </w:tcPr>
          <w:p>
            <w:pPr>
              <w:spacing w:line="360" w:lineRule="auto"/>
              <w:jc w:val="center"/>
              <w:rPr>
                <w:rFonts w:ascii="楷体" w:hAnsi="楷体" w:eastAsia="楷体" w:cs="楷体"/>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1121" w:hRule="exact"/>
          <w:jc w:val="center"/>
        </w:trPr>
        <w:tc>
          <w:tcPr>
            <w:tcW w:w="916" w:type="dxa"/>
            <w:vAlign w:val="center"/>
          </w:tcPr>
          <w:p>
            <w:pPr>
              <w:spacing w:line="360" w:lineRule="auto"/>
              <w:jc w:val="center"/>
              <w:rPr>
                <w:rFonts w:ascii="楷体" w:hAnsi="楷体" w:eastAsia="楷体" w:cs="楷体"/>
                <w:szCs w:val="24"/>
              </w:rPr>
            </w:pPr>
          </w:p>
        </w:tc>
        <w:tc>
          <w:tcPr>
            <w:tcW w:w="1491" w:type="dxa"/>
            <w:vAlign w:val="center"/>
          </w:tcPr>
          <w:p>
            <w:pPr>
              <w:spacing w:line="360" w:lineRule="auto"/>
              <w:jc w:val="center"/>
              <w:rPr>
                <w:rFonts w:ascii="楷体" w:hAnsi="楷体" w:eastAsia="楷体" w:cs="楷体"/>
                <w:szCs w:val="24"/>
              </w:rPr>
            </w:pPr>
          </w:p>
        </w:tc>
        <w:tc>
          <w:tcPr>
            <w:tcW w:w="1365" w:type="dxa"/>
            <w:vAlign w:val="center"/>
          </w:tcPr>
          <w:p>
            <w:pPr>
              <w:spacing w:line="360" w:lineRule="auto"/>
              <w:jc w:val="center"/>
              <w:rPr>
                <w:rFonts w:ascii="楷体" w:hAnsi="楷体" w:eastAsia="楷体" w:cs="楷体"/>
                <w:szCs w:val="24"/>
              </w:rPr>
            </w:pPr>
          </w:p>
        </w:tc>
        <w:tc>
          <w:tcPr>
            <w:tcW w:w="1204" w:type="dxa"/>
            <w:vAlign w:val="center"/>
          </w:tcPr>
          <w:p>
            <w:pPr>
              <w:spacing w:line="360" w:lineRule="auto"/>
              <w:jc w:val="center"/>
              <w:rPr>
                <w:rFonts w:ascii="楷体" w:hAnsi="楷体" w:eastAsia="楷体" w:cs="楷体"/>
                <w:szCs w:val="24"/>
              </w:rPr>
            </w:pPr>
          </w:p>
        </w:tc>
        <w:tc>
          <w:tcPr>
            <w:tcW w:w="1303" w:type="dxa"/>
            <w:vAlign w:val="center"/>
          </w:tcPr>
          <w:p>
            <w:pPr>
              <w:spacing w:line="360" w:lineRule="auto"/>
              <w:jc w:val="center"/>
              <w:rPr>
                <w:rFonts w:ascii="楷体" w:hAnsi="楷体" w:eastAsia="楷体" w:cs="楷体"/>
                <w:szCs w:val="24"/>
              </w:rPr>
            </w:pPr>
          </w:p>
        </w:tc>
        <w:tc>
          <w:tcPr>
            <w:tcW w:w="1194" w:type="dxa"/>
            <w:tcBorders>
              <w:left w:val="single" w:color="auto" w:sz="4" w:space="0"/>
            </w:tcBorders>
            <w:vAlign w:val="center"/>
          </w:tcPr>
          <w:p>
            <w:pPr>
              <w:spacing w:line="360" w:lineRule="auto"/>
              <w:jc w:val="center"/>
              <w:rPr>
                <w:rFonts w:ascii="楷体" w:hAnsi="楷体" w:eastAsia="楷体" w:cs="楷体"/>
                <w:szCs w:val="24"/>
              </w:rPr>
            </w:pPr>
          </w:p>
        </w:tc>
      </w:tr>
    </w:tbl>
    <w:p>
      <w:pPr>
        <w:spacing w:line="360" w:lineRule="auto"/>
        <w:rPr>
          <w:rFonts w:ascii="楷体" w:hAnsi="楷体" w:eastAsia="楷体" w:cs="楷体"/>
          <w:b/>
          <w:szCs w:val="24"/>
        </w:rPr>
      </w:pPr>
      <w:r>
        <w:rPr>
          <w:rFonts w:hint="eastAsia" w:ascii="楷体" w:hAnsi="楷体" w:eastAsia="楷体" w:cs="楷体"/>
          <w:b/>
          <w:szCs w:val="24"/>
        </w:rPr>
        <w:t>注：1.本表后附业绩证明资料加盖投标人公章，签订时间及金额以合同中的内容为准。</w:t>
      </w:r>
    </w:p>
    <w:p>
      <w:pPr>
        <w:spacing w:line="360" w:lineRule="auto"/>
        <w:rPr>
          <w:rFonts w:ascii="楷体" w:hAnsi="楷体" w:eastAsia="楷体" w:cs="楷体"/>
          <w:b/>
          <w:szCs w:val="24"/>
        </w:rPr>
      </w:pPr>
      <w:r>
        <w:rPr>
          <w:rFonts w:hint="eastAsia" w:ascii="楷体" w:hAnsi="楷体" w:eastAsia="楷体" w:cs="楷体"/>
          <w:b/>
          <w:szCs w:val="24"/>
        </w:rPr>
        <w:t>2.投标人应如实列出以上情况，如有隐瞒，一经查实将导致其投标文件被拒绝。</w:t>
      </w:r>
    </w:p>
    <w:p>
      <w:pPr>
        <w:spacing w:line="360" w:lineRule="auto"/>
        <w:rPr>
          <w:rFonts w:ascii="楷体" w:hAnsi="楷体" w:eastAsia="楷体" w:cs="楷体"/>
          <w:b/>
          <w:szCs w:val="24"/>
        </w:rPr>
      </w:pPr>
      <w:r>
        <w:rPr>
          <w:rFonts w:hint="eastAsia" w:ascii="楷体" w:hAnsi="楷体" w:eastAsia="楷体" w:cs="楷体"/>
          <w:b/>
          <w:szCs w:val="24"/>
        </w:rPr>
        <w:t>3.未按上述要求提供、填写的，评审时不予以考虑。</w:t>
      </w:r>
    </w:p>
    <w:p>
      <w:pPr>
        <w:spacing w:line="360" w:lineRule="auto"/>
        <w:rPr>
          <w:rFonts w:ascii="楷体" w:hAnsi="楷体" w:eastAsia="楷体" w:cs="楷体"/>
          <w:b/>
          <w:szCs w:val="24"/>
        </w:rPr>
      </w:pPr>
    </w:p>
    <w:p>
      <w:pPr>
        <w:spacing w:line="360" w:lineRule="auto"/>
        <w:rPr>
          <w:rFonts w:ascii="楷体" w:hAnsi="楷体" w:eastAsia="楷体" w:cs="楷体"/>
        </w:rPr>
      </w:pPr>
    </w:p>
    <w:p>
      <w:pPr>
        <w:spacing w:line="360" w:lineRule="auto"/>
        <w:rPr>
          <w:rFonts w:ascii="楷体" w:hAnsi="楷体" w:eastAsia="楷体" w:cs="楷体"/>
        </w:rPr>
      </w:pPr>
      <w:r>
        <w:rPr>
          <w:rFonts w:hint="eastAsia" w:ascii="楷体" w:hAnsi="楷体" w:eastAsia="楷体" w:cs="楷体"/>
        </w:rPr>
        <w:t xml:space="preserve">投标人名称（公章）：          </w:t>
      </w:r>
    </w:p>
    <w:p>
      <w:pPr>
        <w:spacing w:line="360" w:lineRule="auto"/>
        <w:jc w:val="left"/>
        <w:rPr>
          <w:rFonts w:ascii="楷体" w:hAnsi="楷体" w:eastAsia="楷体" w:cs="楷体"/>
        </w:rPr>
      </w:pPr>
      <w:r>
        <w:rPr>
          <w:rFonts w:hint="eastAsia" w:ascii="楷体" w:hAnsi="楷体" w:eastAsia="楷体" w:cs="楷体"/>
        </w:rPr>
        <w:t>法定代表人/被授权人</w:t>
      </w:r>
      <w:r>
        <w:rPr>
          <w:rFonts w:hint="eastAsia" w:ascii="楷体" w:hAnsi="楷体" w:eastAsia="楷体" w:cs="楷体"/>
          <w:spacing w:val="4"/>
          <w:szCs w:val="24"/>
        </w:rPr>
        <w:t>（签字或盖章）</w:t>
      </w:r>
      <w:r>
        <w:rPr>
          <w:rFonts w:hint="eastAsia" w:ascii="楷体" w:hAnsi="楷体" w:eastAsia="楷体" w:cs="楷体"/>
        </w:rPr>
        <w:t>：</w:t>
      </w:r>
    </w:p>
    <w:p>
      <w:pPr>
        <w:spacing w:line="360" w:lineRule="auto"/>
        <w:rPr>
          <w:rFonts w:ascii="楷体" w:hAnsi="楷体" w:eastAsia="楷体" w:cs="楷体"/>
          <w:szCs w:val="24"/>
        </w:rPr>
      </w:pPr>
      <w:r>
        <w:rPr>
          <w:rFonts w:hint="eastAsia" w:ascii="楷体" w:hAnsi="楷体" w:eastAsia="楷体" w:cs="楷体"/>
          <w:szCs w:val="24"/>
        </w:rPr>
        <w:t>日    期：</w:t>
      </w:r>
    </w:p>
    <w:p>
      <w:pPr>
        <w:adjustRightInd w:val="0"/>
        <w:snapToGrid w:val="0"/>
        <w:spacing w:line="360" w:lineRule="auto"/>
        <w:jc w:val="left"/>
        <w:rPr>
          <w:rFonts w:ascii="楷体" w:hAnsi="楷体" w:eastAsia="楷体" w:cs="楷体"/>
          <w:szCs w:val="24"/>
        </w:rPr>
      </w:pPr>
      <w:r>
        <w:rPr>
          <w:rFonts w:hint="eastAsia" w:ascii="楷体" w:hAnsi="楷体" w:eastAsia="楷体" w:cs="楷体"/>
          <w:szCs w:val="24"/>
        </w:rPr>
        <w:br w:type="page"/>
      </w:r>
      <w:r>
        <w:rPr>
          <w:rFonts w:hint="eastAsia" w:ascii="楷体" w:hAnsi="楷体" w:eastAsia="楷体" w:cs="楷体"/>
          <w:b/>
          <w:bCs/>
          <w:szCs w:val="24"/>
        </w:rPr>
        <w:t>（五）其他可以证明投标人实力的文件（如果有，格式自拟）。</w:t>
      </w:r>
    </w:p>
    <w:p>
      <w:pPr>
        <w:spacing w:line="360" w:lineRule="auto"/>
        <w:jc w:val="center"/>
        <w:rPr>
          <w:rFonts w:ascii="楷体" w:hAnsi="楷体" w:eastAsia="楷体" w:cs="楷体"/>
          <w:b/>
          <w:sz w:val="32"/>
          <w:szCs w:val="32"/>
        </w:rPr>
      </w:pPr>
      <w:r>
        <w:rPr>
          <w:rFonts w:hint="eastAsia" w:ascii="楷体" w:hAnsi="楷体" w:eastAsia="楷体" w:cs="楷体"/>
          <w:b/>
          <w:bCs/>
          <w:szCs w:val="24"/>
        </w:rPr>
        <w:br w:type="page"/>
      </w:r>
      <w:r>
        <w:rPr>
          <w:rFonts w:hint="eastAsia" w:ascii="楷体" w:hAnsi="楷体" w:eastAsia="楷体" w:cs="楷体"/>
          <w:b/>
          <w:sz w:val="32"/>
          <w:szCs w:val="32"/>
        </w:rPr>
        <w:t>六、技术部分</w:t>
      </w:r>
    </w:p>
    <w:p>
      <w:pPr>
        <w:pStyle w:val="3"/>
        <w:spacing w:line="360" w:lineRule="auto"/>
        <w:jc w:val="center"/>
        <w:rPr>
          <w:rFonts w:ascii="楷体" w:hAnsi="楷体" w:eastAsia="楷体" w:cs="楷体"/>
          <w:b/>
          <w:bCs/>
          <w:sz w:val="28"/>
        </w:rPr>
      </w:pPr>
      <w:r>
        <w:rPr>
          <w:rFonts w:hint="eastAsia" w:ascii="楷体" w:hAnsi="楷体" w:eastAsia="楷体" w:cs="楷体"/>
          <w:b/>
          <w:bCs/>
          <w:sz w:val="28"/>
        </w:rPr>
        <w:t>（格式自拟）</w:t>
      </w:r>
    </w:p>
    <w:p>
      <w:pPr>
        <w:spacing w:line="360" w:lineRule="auto"/>
        <w:ind w:firstLine="480" w:firstLineChars="200"/>
        <w:rPr>
          <w:rFonts w:ascii="楷体" w:hAnsi="楷体" w:eastAsia="楷体" w:cs="楷体"/>
          <w:bCs/>
          <w:szCs w:val="24"/>
        </w:rPr>
      </w:pPr>
      <w:r>
        <w:rPr>
          <w:rFonts w:hint="eastAsia" w:ascii="楷体" w:hAnsi="楷体" w:eastAsia="楷体" w:cs="楷体"/>
          <w:bCs/>
          <w:szCs w:val="24"/>
        </w:rPr>
        <w:t>1.投标人按照招标文件“第四章 采购内容及技术要求”及招标文件“第五章 评审方法中”中的评审细则表编制对应的技术要求，并封装至投标文件中。</w:t>
      </w:r>
    </w:p>
    <w:p>
      <w:pPr>
        <w:pStyle w:val="10"/>
        <w:spacing w:line="360" w:lineRule="auto"/>
        <w:ind w:firstLine="480"/>
        <w:rPr>
          <w:rFonts w:ascii="楷体" w:hAnsi="楷体" w:eastAsia="楷体" w:cs="楷体"/>
          <w:bCs/>
          <w:sz w:val="24"/>
        </w:rPr>
      </w:pPr>
      <w:bookmarkStart w:id="118" w:name="OLE_LINK19"/>
      <w:bookmarkStart w:id="119" w:name="_Toc363474033"/>
      <w:bookmarkStart w:id="120" w:name="_Toc426457714"/>
      <w:bookmarkStart w:id="121" w:name="_Toc403077656"/>
      <w:r>
        <w:rPr>
          <w:rFonts w:hint="eastAsia" w:ascii="楷体" w:hAnsi="楷体" w:eastAsia="楷体" w:cs="楷体"/>
          <w:bCs/>
          <w:sz w:val="24"/>
        </w:rPr>
        <w:t>2.投标人需要说明的其他问题。</w:t>
      </w:r>
    </w:p>
    <w:p>
      <w:pPr>
        <w:spacing w:line="360" w:lineRule="auto"/>
        <w:ind w:firstLine="480" w:firstLineChars="200"/>
        <w:jc w:val="left"/>
        <w:rPr>
          <w:rFonts w:ascii="楷体" w:hAnsi="楷体" w:eastAsia="楷体" w:cs="楷体"/>
          <w:bCs/>
          <w:kern w:val="2"/>
          <w:szCs w:val="24"/>
        </w:rPr>
      </w:pPr>
      <w:r>
        <w:rPr>
          <w:rFonts w:hint="eastAsia" w:ascii="楷体" w:hAnsi="楷体" w:eastAsia="楷体" w:cs="楷体"/>
          <w:bCs/>
          <w:kern w:val="2"/>
          <w:szCs w:val="24"/>
        </w:rPr>
        <w:t>3.完成附件3、附件4、附件5。</w:t>
      </w:r>
    </w:p>
    <w:bookmarkEnd w:id="118"/>
    <w:p>
      <w:pPr>
        <w:spacing w:line="360" w:lineRule="auto"/>
        <w:rPr>
          <w:rFonts w:ascii="楷体" w:hAnsi="楷体" w:eastAsia="楷体" w:cs="楷体"/>
        </w:rPr>
      </w:pPr>
    </w:p>
    <w:p>
      <w:pPr>
        <w:spacing w:line="360" w:lineRule="auto"/>
        <w:jc w:val="left"/>
        <w:rPr>
          <w:rFonts w:ascii="楷体" w:hAnsi="楷体" w:eastAsia="楷体" w:cs="楷体"/>
          <w:b/>
          <w:sz w:val="30"/>
          <w:szCs w:val="30"/>
        </w:rPr>
      </w:pPr>
      <w:r>
        <w:rPr>
          <w:rFonts w:hint="eastAsia" w:ascii="楷体" w:hAnsi="楷体" w:eastAsia="楷体" w:cs="楷体"/>
          <w:sz w:val="30"/>
          <w:szCs w:val="30"/>
        </w:rPr>
        <w:br w:type="page"/>
      </w:r>
      <w:bookmarkEnd w:id="119"/>
      <w:bookmarkEnd w:id="120"/>
      <w:bookmarkEnd w:id="121"/>
      <w:r>
        <w:rPr>
          <w:rFonts w:hint="eastAsia" w:ascii="楷体" w:hAnsi="楷体" w:eastAsia="楷体" w:cs="楷体"/>
          <w:b/>
          <w:bCs/>
          <w:sz w:val="28"/>
          <w:szCs w:val="28"/>
        </w:rPr>
        <w:t>附件3：</w:t>
      </w:r>
    </w:p>
    <w:p>
      <w:pPr>
        <w:spacing w:line="360" w:lineRule="auto"/>
        <w:jc w:val="center"/>
        <w:rPr>
          <w:rFonts w:ascii="楷体" w:hAnsi="楷体" w:eastAsia="楷体" w:cs="楷体"/>
          <w:b/>
          <w:bCs/>
          <w:sz w:val="30"/>
          <w:szCs w:val="30"/>
        </w:rPr>
      </w:pPr>
      <w:r>
        <w:rPr>
          <w:rFonts w:hint="eastAsia" w:ascii="楷体" w:hAnsi="楷体" w:eastAsia="楷体" w:cs="楷体"/>
          <w:b/>
          <w:bCs/>
          <w:sz w:val="30"/>
          <w:szCs w:val="30"/>
        </w:rPr>
        <w:t>技术规格响应表</w:t>
      </w:r>
    </w:p>
    <w:p>
      <w:pPr>
        <w:spacing w:line="360" w:lineRule="auto"/>
        <w:jc w:val="left"/>
        <w:rPr>
          <w:rFonts w:ascii="楷体" w:hAnsi="楷体" w:eastAsia="楷体" w:cs="楷体"/>
          <w:b/>
        </w:rPr>
      </w:pPr>
      <w:r>
        <w:rPr>
          <w:rFonts w:hint="eastAsia" w:ascii="楷体" w:hAnsi="楷体" w:eastAsia="楷体" w:cs="楷体"/>
          <w:b/>
        </w:rPr>
        <w:t xml:space="preserve">  项目名称、标段：</w:t>
      </w:r>
    </w:p>
    <w:p>
      <w:pPr>
        <w:pStyle w:val="3"/>
        <w:spacing w:line="360" w:lineRule="auto"/>
        <w:ind w:firstLine="241" w:firstLineChars="100"/>
        <w:rPr>
          <w:rFonts w:ascii="楷体" w:hAnsi="楷体" w:eastAsia="楷体" w:cs="楷体"/>
        </w:rPr>
      </w:pPr>
      <w:r>
        <w:rPr>
          <w:rFonts w:hint="eastAsia" w:ascii="楷体" w:hAnsi="楷体" w:eastAsia="楷体" w:cs="楷体"/>
          <w:b/>
          <w:kern w:val="0"/>
          <w:sz w:val="24"/>
          <w:szCs w:val="22"/>
        </w:rPr>
        <w:t>项目编号：</w:t>
      </w:r>
      <w:r>
        <w:rPr>
          <w:rFonts w:hint="eastAsia" w:ascii="楷体" w:hAnsi="楷体" w:eastAsia="楷体" w:cs="楷体"/>
          <w:b/>
          <w:szCs w:val="24"/>
        </w:rPr>
        <w:t xml:space="preserve">     </w:t>
      </w:r>
      <w:r>
        <w:rPr>
          <w:rFonts w:hint="eastAsia" w:ascii="楷体" w:hAnsi="楷体" w:eastAsia="楷体" w:cs="楷体"/>
          <w:szCs w:val="24"/>
        </w:rPr>
        <w:t xml:space="preserve">                                    </w:t>
      </w:r>
    </w:p>
    <w:tbl>
      <w:tblPr>
        <w:tblStyle w:val="24"/>
        <w:tblW w:w="0" w:type="auto"/>
        <w:jc w:val="center"/>
        <w:tblLayout w:type="fixed"/>
        <w:tblCellMar>
          <w:top w:w="0" w:type="dxa"/>
          <w:left w:w="28" w:type="dxa"/>
          <w:bottom w:w="0" w:type="dxa"/>
          <w:right w:w="28" w:type="dxa"/>
        </w:tblCellMar>
      </w:tblPr>
      <w:tblGrid>
        <w:gridCol w:w="737"/>
        <w:gridCol w:w="1276"/>
        <w:gridCol w:w="2268"/>
        <w:gridCol w:w="2439"/>
        <w:gridCol w:w="1263"/>
        <w:gridCol w:w="861"/>
      </w:tblGrid>
      <w:tr>
        <w:tblPrEx>
          <w:tblCellMar>
            <w:top w:w="0" w:type="dxa"/>
            <w:left w:w="28" w:type="dxa"/>
            <w:bottom w:w="0" w:type="dxa"/>
            <w:right w:w="28" w:type="dxa"/>
          </w:tblCellMar>
        </w:tblPrEx>
        <w:trPr>
          <w:trHeight w:val="851"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楷体" w:hAnsi="楷体" w:eastAsia="楷体" w:cs="楷体"/>
                <w:b/>
                <w:kern w:val="2"/>
                <w:sz w:val="21"/>
                <w:szCs w:val="21"/>
              </w:rPr>
            </w:pPr>
            <w:r>
              <w:rPr>
                <w:rFonts w:hint="eastAsia" w:ascii="楷体" w:hAnsi="楷体" w:eastAsia="楷体" w:cs="楷体"/>
                <w:b/>
                <w:szCs w:val="24"/>
              </w:rPr>
              <w:t>序号</w:t>
            </w: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楷体" w:hAnsi="楷体" w:eastAsia="楷体" w:cs="楷体"/>
                <w:b/>
                <w:kern w:val="2"/>
                <w:sz w:val="21"/>
                <w:szCs w:val="21"/>
              </w:rPr>
            </w:pPr>
            <w:r>
              <w:rPr>
                <w:rFonts w:hint="eastAsia" w:ascii="楷体" w:hAnsi="楷体" w:eastAsia="楷体" w:cs="楷体"/>
                <w:b/>
                <w:szCs w:val="24"/>
              </w:rPr>
              <w:t>名称</w:t>
            </w:r>
          </w:p>
        </w:tc>
        <w:tc>
          <w:tcPr>
            <w:tcW w:w="2268" w:type="dxa"/>
            <w:tcBorders>
              <w:top w:val="single" w:color="auto" w:sz="4" w:space="0"/>
              <w:left w:val="nil"/>
              <w:bottom w:val="single" w:color="auto" w:sz="4" w:space="0"/>
              <w:right w:val="single" w:color="auto" w:sz="4" w:space="0"/>
            </w:tcBorders>
            <w:vAlign w:val="center"/>
          </w:tcPr>
          <w:p>
            <w:pPr>
              <w:spacing w:line="360" w:lineRule="auto"/>
              <w:jc w:val="center"/>
              <w:rPr>
                <w:rFonts w:ascii="楷体" w:hAnsi="楷体" w:eastAsia="楷体" w:cs="楷体"/>
                <w:b/>
                <w:kern w:val="2"/>
                <w:sz w:val="21"/>
                <w:szCs w:val="21"/>
              </w:rPr>
            </w:pPr>
            <w:r>
              <w:rPr>
                <w:rFonts w:hint="eastAsia" w:ascii="楷体" w:hAnsi="楷体" w:eastAsia="楷体" w:cs="楷体"/>
                <w:b/>
                <w:szCs w:val="24"/>
              </w:rPr>
              <w:t>招标技术要求</w:t>
            </w:r>
          </w:p>
        </w:tc>
        <w:tc>
          <w:tcPr>
            <w:tcW w:w="2439" w:type="dxa"/>
            <w:tcBorders>
              <w:top w:val="single" w:color="auto" w:sz="4" w:space="0"/>
              <w:left w:val="nil"/>
              <w:bottom w:val="single" w:color="auto" w:sz="4" w:space="0"/>
              <w:right w:val="single" w:color="auto" w:sz="4" w:space="0"/>
            </w:tcBorders>
            <w:vAlign w:val="center"/>
          </w:tcPr>
          <w:p>
            <w:pPr>
              <w:spacing w:line="360" w:lineRule="auto"/>
              <w:jc w:val="center"/>
              <w:rPr>
                <w:rFonts w:ascii="楷体" w:hAnsi="楷体" w:eastAsia="楷体" w:cs="楷体"/>
                <w:b/>
                <w:kern w:val="2"/>
                <w:sz w:val="21"/>
                <w:szCs w:val="21"/>
              </w:rPr>
            </w:pPr>
            <w:r>
              <w:rPr>
                <w:rFonts w:hint="eastAsia" w:ascii="楷体" w:hAnsi="楷体" w:eastAsia="楷体" w:cs="楷体"/>
                <w:b/>
                <w:szCs w:val="24"/>
              </w:rPr>
              <w:t>投标技术响应</w:t>
            </w:r>
          </w:p>
        </w:tc>
        <w:tc>
          <w:tcPr>
            <w:tcW w:w="1263" w:type="dxa"/>
            <w:tcBorders>
              <w:top w:val="single" w:color="auto" w:sz="4" w:space="0"/>
              <w:left w:val="nil"/>
              <w:bottom w:val="single" w:color="auto" w:sz="4" w:space="0"/>
              <w:right w:val="single" w:color="auto" w:sz="4" w:space="0"/>
            </w:tcBorders>
            <w:vAlign w:val="center"/>
          </w:tcPr>
          <w:p>
            <w:pPr>
              <w:spacing w:line="360" w:lineRule="auto"/>
              <w:jc w:val="center"/>
              <w:rPr>
                <w:rFonts w:ascii="楷体" w:hAnsi="楷体" w:eastAsia="楷体" w:cs="楷体"/>
                <w:b/>
                <w:kern w:val="2"/>
                <w:sz w:val="21"/>
                <w:szCs w:val="21"/>
              </w:rPr>
            </w:pPr>
            <w:r>
              <w:rPr>
                <w:rFonts w:hint="eastAsia" w:ascii="楷体" w:hAnsi="楷体" w:eastAsia="楷体" w:cs="楷体"/>
                <w:b/>
                <w:szCs w:val="24"/>
              </w:rPr>
              <w:t>偏离说明</w:t>
            </w:r>
          </w:p>
        </w:tc>
        <w:tc>
          <w:tcPr>
            <w:tcW w:w="861" w:type="dxa"/>
            <w:tcBorders>
              <w:top w:val="single" w:color="auto" w:sz="4" w:space="0"/>
              <w:left w:val="nil"/>
              <w:bottom w:val="single" w:color="auto" w:sz="4" w:space="0"/>
              <w:right w:val="single" w:color="auto" w:sz="4" w:space="0"/>
            </w:tcBorders>
            <w:vAlign w:val="center"/>
          </w:tcPr>
          <w:p>
            <w:pPr>
              <w:spacing w:line="360" w:lineRule="auto"/>
              <w:jc w:val="center"/>
              <w:rPr>
                <w:rFonts w:ascii="楷体" w:hAnsi="楷体" w:eastAsia="楷体" w:cs="楷体"/>
                <w:b/>
                <w:kern w:val="2"/>
                <w:sz w:val="21"/>
                <w:szCs w:val="21"/>
              </w:rPr>
            </w:pPr>
            <w:r>
              <w:rPr>
                <w:rFonts w:hint="eastAsia" w:ascii="楷体" w:hAnsi="楷体" w:eastAsia="楷体" w:cs="楷体"/>
                <w:b/>
                <w:szCs w:val="24"/>
              </w:rPr>
              <w:t>备注</w:t>
            </w:r>
          </w:p>
        </w:tc>
      </w:tr>
      <w:tr>
        <w:tblPrEx>
          <w:tblCellMar>
            <w:top w:w="0" w:type="dxa"/>
            <w:left w:w="28" w:type="dxa"/>
            <w:bottom w:w="0" w:type="dxa"/>
            <w:right w:w="28" w:type="dxa"/>
          </w:tblCellMar>
        </w:tblPrEx>
        <w:trPr>
          <w:trHeight w:val="851" w:hRule="exact"/>
          <w:jc w:val="center"/>
        </w:trPr>
        <w:tc>
          <w:tcPr>
            <w:tcW w:w="737" w:type="dxa"/>
            <w:tcBorders>
              <w:top w:val="single" w:color="auto" w:sz="4" w:space="0"/>
              <w:left w:val="single" w:color="auto" w:sz="4" w:space="0"/>
              <w:bottom w:val="single" w:color="auto" w:sz="4" w:space="0"/>
              <w:right w:val="single" w:color="auto" w:sz="4" w:space="0"/>
            </w:tcBorders>
          </w:tcPr>
          <w:p>
            <w:pPr>
              <w:spacing w:line="360" w:lineRule="auto"/>
              <w:rPr>
                <w:rFonts w:ascii="楷体" w:hAnsi="楷体" w:eastAsia="楷体" w:cs="楷体"/>
                <w:kern w:val="2"/>
                <w:sz w:val="21"/>
                <w:szCs w:val="21"/>
              </w:rPr>
            </w:pPr>
          </w:p>
        </w:tc>
        <w:tc>
          <w:tcPr>
            <w:tcW w:w="1276" w:type="dxa"/>
            <w:tcBorders>
              <w:top w:val="single" w:color="auto" w:sz="4" w:space="0"/>
              <w:left w:val="nil"/>
              <w:bottom w:val="single" w:color="auto" w:sz="4" w:space="0"/>
              <w:right w:val="single" w:color="auto" w:sz="4" w:space="0"/>
            </w:tcBorders>
          </w:tcPr>
          <w:p>
            <w:pPr>
              <w:spacing w:line="360" w:lineRule="auto"/>
              <w:rPr>
                <w:rFonts w:ascii="楷体" w:hAnsi="楷体" w:eastAsia="楷体" w:cs="楷体"/>
                <w:kern w:val="2"/>
                <w:sz w:val="21"/>
                <w:szCs w:val="21"/>
              </w:rPr>
            </w:pPr>
          </w:p>
        </w:tc>
        <w:tc>
          <w:tcPr>
            <w:tcW w:w="2268" w:type="dxa"/>
            <w:tcBorders>
              <w:top w:val="single" w:color="auto" w:sz="4" w:space="0"/>
              <w:left w:val="nil"/>
              <w:bottom w:val="single" w:color="auto" w:sz="4" w:space="0"/>
              <w:right w:val="single" w:color="auto" w:sz="4" w:space="0"/>
            </w:tcBorders>
          </w:tcPr>
          <w:p>
            <w:pPr>
              <w:spacing w:line="360" w:lineRule="auto"/>
              <w:rPr>
                <w:rFonts w:ascii="楷体" w:hAnsi="楷体" w:eastAsia="楷体" w:cs="楷体"/>
                <w:kern w:val="2"/>
                <w:sz w:val="21"/>
                <w:szCs w:val="21"/>
              </w:rPr>
            </w:pPr>
          </w:p>
        </w:tc>
        <w:tc>
          <w:tcPr>
            <w:tcW w:w="2439" w:type="dxa"/>
            <w:tcBorders>
              <w:top w:val="single" w:color="auto" w:sz="4" w:space="0"/>
              <w:left w:val="nil"/>
              <w:bottom w:val="single" w:color="auto" w:sz="4" w:space="0"/>
              <w:right w:val="single" w:color="auto" w:sz="4" w:space="0"/>
            </w:tcBorders>
          </w:tcPr>
          <w:p>
            <w:pPr>
              <w:spacing w:line="360" w:lineRule="auto"/>
              <w:rPr>
                <w:rFonts w:ascii="楷体" w:hAnsi="楷体" w:eastAsia="楷体" w:cs="楷体"/>
                <w:kern w:val="2"/>
                <w:sz w:val="21"/>
                <w:szCs w:val="21"/>
              </w:rPr>
            </w:pPr>
          </w:p>
        </w:tc>
        <w:tc>
          <w:tcPr>
            <w:tcW w:w="1263" w:type="dxa"/>
            <w:tcBorders>
              <w:top w:val="single" w:color="auto" w:sz="4" w:space="0"/>
              <w:left w:val="nil"/>
              <w:bottom w:val="single" w:color="auto" w:sz="4" w:space="0"/>
              <w:right w:val="single" w:color="auto" w:sz="4" w:space="0"/>
            </w:tcBorders>
          </w:tcPr>
          <w:p>
            <w:pPr>
              <w:spacing w:line="360" w:lineRule="auto"/>
              <w:rPr>
                <w:rFonts w:ascii="楷体" w:hAnsi="楷体" w:eastAsia="楷体" w:cs="楷体"/>
                <w:kern w:val="2"/>
                <w:sz w:val="21"/>
                <w:szCs w:val="21"/>
              </w:rPr>
            </w:pPr>
          </w:p>
        </w:tc>
        <w:tc>
          <w:tcPr>
            <w:tcW w:w="861" w:type="dxa"/>
            <w:tcBorders>
              <w:top w:val="single" w:color="auto" w:sz="4" w:space="0"/>
              <w:left w:val="nil"/>
              <w:bottom w:val="single" w:color="auto" w:sz="4" w:space="0"/>
              <w:right w:val="single" w:color="auto" w:sz="4" w:space="0"/>
            </w:tcBorders>
          </w:tcPr>
          <w:p>
            <w:pPr>
              <w:spacing w:line="360" w:lineRule="auto"/>
              <w:rPr>
                <w:rFonts w:ascii="楷体" w:hAnsi="楷体" w:eastAsia="楷体" w:cs="楷体"/>
                <w:kern w:val="2"/>
                <w:sz w:val="21"/>
                <w:szCs w:val="21"/>
              </w:rPr>
            </w:pPr>
          </w:p>
        </w:tc>
      </w:tr>
      <w:tr>
        <w:tblPrEx>
          <w:tblCellMar>
            <w:top w:w="0" w:type="dxa"/>
            <w:left w:w="28" w:type="dxa"/>
            <w:bottom w:w="0" w:type="dxa"/>
            <w:right w:w="28" w:type="dxa"/>
          </w:tblCellMar>
        </w:tblPrEx>
        <w:trPr>
          <w:trHeight w:val="851" w:hRule="exact"/>
          <w:jc w:val="center"/>
        </w:trPr>
        <w:tc>
          <w:tcPr>
            <w:tcW w:w="737" w:type="dxa"/>
            <w:tcBorders>
              <w:top w:val="single" w:color="auto" w:sz="4" w:space="0"/>
              <w:left w:val="single" w:color="auto" w:sz="4" w:space="0"/>
              <w:bottom w:val="single" w:color="auto" w:sz="4" w:space="0"/>
              <w:right w:val="single" w:color="auto" w:sz="4" w:space="0"/>
            </w:tcBorders>
          </w:tcPr>
          <w:p>
            <w:pPr>
              <w:spacing w:line="360" w:lineRule="auto"/>
              <w:rPr>
                <w:rFonts w:ascii="楷体" w:hAnsi="楷体" w:eastAsia="楷体" w:cs="楷体"/>
                <w:kern w:val="2"/>
                <w:sz w:val="21"/>
                <w:szCs w:val="21"/>
              </w:rPr>
            </w:pPr>
          </w:p>
        </w:tc>
        <w:tc>
          <w:tcPr>
            <w:tcW w:w="1276" w:type="dxa"/>
            <w:tcBorders>
              <w:top w:val="single" w:color="auto" w:sz="4" w:space="0"/>
              <w:left w:val="nil"/>
              <w:bottom w:val="single" w:color="auto" w:sz="4" w:space="0"/>
              <w:right w:val="single" w:color="auto" w:sz="4" w:space="0"/>
            </w:tcBorders>
          </w:tcPr>
          <w:p>
            <w:pPr>
              <w:spacing w:line="360" w:lineRule="auto"/>
              <w:rPr>
                <w:rFonts w:ascii="楷体" w:hAnsi="楷体" w:eastAsia="楷体" w:cs="楷体"/>
                <w:kern w:val="2"/>
                <w:sz w:val="21"/>
                <w:szCs w:val="21"/>
              </w:rPr>
            </w:pPr>
          </w:p>
        </w:tc>
        <w:tc>
          <w:tcPr>
            <w:tcW w:w="2268" w:type="dxa"/>
            <w:tcBorders>
              <w:top w:val="single" w:color="auto" w:sz="4" w:space="0"/>
              <w:left w:val="nil"/>
              <w:bottom w:val="single" w:color="auto" w:sz="4" w:space="0"/>
              <w:right w:val="single" w:color="auto" w:sz="4" w:space="0"/>
            </w:tcBorders>
          </w:tcPr>
          <w:p>
            <w:pPr>
              <w:spacing w:line="360" w:lineRule="auto"/>
              <w:rPr>
                <w:rFonts w:ascii="楷体" w:hAnsi="楷体" w:eastAsia="楷体" w:cs="楷体"/>
                <w:kern w:val="2"/>
                <w:sz w:val="21"/>
                <w:szCs w:val="21"/>
              </w:rPr>
            </w:pPr>
          </w:p>
        </w:tc>
        <w:tc>
          <w:tcPr>
            <w:tcW w:w="2439" w:type="dxa"/>
            <w:tcBorders>
              <w:top w:val="single" w:color="auto" w:sz="4" w:space="0"/>
              <w:left w:val="nil"/>
              <w:bottom w:val="single" w:color="auto" w:sz="4" w:space="0"/>
              <w:right w:val="single" w:color="auto" w:sz="4" w:space="0"/>
            </w:tcBorders>
          </w:tcPr>
          <w:p>
            <w:pPr>
              <w:spacing w:line="360" w:lineRule="auto"/>
              <w:rPr>
                <w:rFonts w:ascii="楷体" w:hAnsi="楷体" w:eastAsia="楷体" w:cs="楷体"/>
                <w:kern w:val="2"/>
                <w:sz w:val="21"/>
                <w:szCs w:val="21"/>
              </w:rPr>
            </w:pPr>
          </w:p>
        </w:tc>
        <w:tc>
          <w:tcPr>
            <w:tcW w:w="1263" w:type="dxa"/>
            <w:tcBorders>
              <w:top w:val="single" w:color="auto" w:sz="4" w:space="0"/>
              <w:left w:val="nil"/>
              <w:bottom w:val="single" w:color="auto" w:sz="4" w:space="0"/>
              <w:right w:val="single" w:color="auto" w:sz="4" w:space="0"/>
            </w:tcBorders>
          </w:tcPr>
          <w:p>
            <w:pPr>
              <w:spacing w:line="360" w:lineRule="auto"/>
              <w:rPr>
                <w:rFonts w:ascii="楷体" w:hAnsi="楷体" w:eastAsia="楷体" w:cs="楷体"/>
                <w:kern w:val="2"/>
                <w:sz w:val="21"/>
                <w:szCs w:val="21"/>
              </w:rPr>
            </w:pPr>
          </w:p>
        </w:tc>
        <w:tc>
          <w:tcPr>
            <w:tcW w:w="861" w:type="dxa"/>
            <w:tcBorders>
              <w:top w:val="single" w:color="auto" w:sz="4" w:space="0"/>
              <w:left w:val="nil"/>
              <w:bottom w:val="single" w:color="auto" w:sz="4" w:space="0"/>
              <w:right w:val="single" w:color="auto" w:sz="4" w:space="0"/>
            </w:tcBorders>
          </w:tcPr>
          <w:p>
            <w:pPr>
              <w:spacing w:line="360" w:lineRule="auto"/>
              <w:rPr>
                <w:rFonts w:ascii="楷体" w:hAnsi="楷体" w:eastAsia="楷体" w:cs="楷体"/>
                <w:kern w:val="2"/>
                <w:sz w:val="21"/>
                <w:szCs w:val="21"/>
              </w:rPr>
            </w:pPr>
          </w:p>
        </w:tc>
      </w:tr>
      <w:tr>
        <w:tblPrEx>
          <w:tblCellMar>
            <w:top w:w="0" w:type="dxa"/>
            <w:left w:w="28" w:type="dxa"/>
            <w:bottom w:w="0" w:type="dxa"/>
            <w:right w:w="28" w:type="dxa"/>
          </w:tblCellMar>
        </w:tblPrEx>
        <w:trPr>
          <w:trHeight w:val="851" w:hRule="exact"/>
          <w:jc w:val="center"/>
        </w:trPr>
        <w:tc>
          <w:tcPr>
            <w:tcW w:w="737" w:type="dxa"/>
            <w:tcBorders>
              <w:top w:val="single" w:color="auto" w:sz="4" w:space="0"/>
              <w:left w:val="single" w:color="auto" w:sz="4" w:space="0"/>
              <w:bottom w:val="single" w:color="auto" w:sz="4" w:space="0"/>
              <w:right w:val="single" w:color="auto" w:sz="4" w:space="0"/>
            </w:tcBorders>
          </w:tcPr>
          <w:p>
            <w:pPr>
              <w:spacing w:line="360" w:lineRule="auto"/>
              <w:rPr>
                <w:rFonts w:ascii="楷体" w:hAnsi="楷体" w:eastAsia="楷体" w:cs="楷体"/>
                <w:kern w:val="2"/>
                <w:sz w:val="21"/>
                <w:szCs w:val="21"/>
              </w:rPr>
            </w:pPr>
          </w:p>
        </w:tc>
        <w:tc>
          <w:tcPr>
            <w:tcW w:w="1276" w:type="dxa"/>
            <w:tcBorders>
              <w:top w:val="single" w:color="auto" w:sz="4" w:space="0"/>
              <w:left w:val="nil"/>
              <w:bottom w:val="single" w:color="auto" w:sz="4" w:space="0"/>
              <w:right w:val="single" w:color="auto" w:sz="4" w:space="0"/>
            </w:tcBorders>
          </w:tcPr>
          <w:p>
            <w:pPr>
              <w:spacing w:line="360" w:lineRule="auto"/>
              <w:rPr>
                <w:rFonts w:ascii="楷体" w:hAnsi="楷体" w:eastAsia="楷体" w:cs="楷体"/>
                <w:kern w:val="2"/>
                <w:sz w:val="21"/>
                <w:szCs w:val="21"/>
              </w:rPr>
            </w:pPr>
          </w:p>
        </w:tc>
        <w:tc>
          <w:tcPr>
            <w:tcW w:w="2268" w:type="dxa"/>
            <w:tcBorders>
              <w:top w:val="single" w:color="auto" w:sz="4" w:space="0"/>
              <w:left w:val="nil"/>
              <w:bottom w:val="single" w:color="auto" w:sz="4" w:space="0"/>
              <w:right w:val="single" w:color="auto" w:sz="4" w:space="0"/>
            </w:tcBorders>
          </w:tcPr>
          <w:p>
            <w:pPr>
              <w:spacing w:line="360" w:lineRule="auto"/>
              <w:rPr>
                <w:rFonts w:ascii="楷体" w:hAnsi="楷体" w:eastAsia="楷体" w:cs="楷体"/>
                <w:kern w:val="2"/>
                <w:sz w:val="21"/>
                <w:szCs w:val="21"/>
              </w:rPr>
            </w:pPr>
          </w:p>
        </w:tc>
        <w:tc>
          <w:tcPr>
            <w:tcW w:w="2439" w:type="dxa"/>
            <w:tcBorders>
              <w:top w:val="single" w:color="auto" w:sz="4" w:space="0"/>
              <w:left w:val="nil"/>
              <w:bottom w:val="single" w:color="auto" w:sz="4" w:space="0"/>
              <w:right w:val="single" w:color="auto" w:sz="4" w:space="0"/>
            </w:tcBorders>
          </w:tcPr>
          <w:p>
            <w:pPr>
              <w:spacing w:line="360" w:lineRule="auto"/>
              <w:rPr>
                <w:rFonts w:ascii="楷体" w:hAnsi="楷体" w:eastAsia="楷体" w:cs="楷体"/>
                <w:kern w:val="2"/>
                <w:sz w:val="21"/>
                <w:szCs w:val="21"/>
              </w:rPr>
            </w:pPr>
          </w:p>
        </w:tc>
        <w:tc>
          <w:tcPr>
            <w:tcW w:w="1263" w:type="dxa"/>
            <w:tcBorders>
              <w:top w:val="single" w:color="auto" w:sz="4" w:space="0"/>
              <w:left w:val="nil"/>
              <w:bottom w:val="single" w:color="auto" w:sz="4" w:space="0"/>
              <w:right w:val="single" w:color="auto" w:sz="4" w:space="0"/>
            </w:tcBorders>
          </w:tcPr>
          <w:p>
            <w:pPr>
              <w:spacing w:line="360" w:lineRule="auto"/>
              <w:rPr>
                <w:rFonts w:ascii="楷体" w:hAnsi="楷体" w:eastAsia="楷体" w:cs="楷体"/>
                <w:kern w:val="2"/>
                <w:sz w:val="21"/>
                <w:szCs w:val="21"/>
              </w:rPr>
            </w:pPr>
          </w:p>
        </w:tc>
        <w:tc>
          <w:tcPr>
            <w:tcW w:w="861" w:type="dxa"/>
            <w:tcBorders>
              <w:top w:val="single" w:color="auto" w:sz="4" w:space="0"/>
              <w:left w:val="nil"/>
              <w:bottom w:val="single" w:color="auto" w:sz="4" w:space="0"/>
              <w:right w:val="single" w:color="auto" w:sz="4" w:space="0"/>
            </w:tcBorders>
          </w:tcPr>
          <w:p>
            <w:pPr>
              <w:spacing w:line="360" w:lineRule="auto"/>
              <w:rPr>
                <w:rFonts w:ascii="楷体" w:hAnsi="楷体" w:eastAsia="楷体" w:cs="楷体"/>
                <w:kern w:val="2"/>
                <w:sz w:val="21"/>
                <w:szCs w:val="21"/>
              </w:rPr>
            </w:pPr>
          </w:p>
        </w:tc>
      </w:tr>
      <w:tr>
        <w:tblPrEx>
          <w:tblCellMar>
            <w:top w:w="0" w:type="dxa"/>
            <w:left w:w="28" w:type="dxa"/>
            <w:bottom w:w="0" w:type="dxa"/>
            <w:right w:w="28" w:type="dxa"/>
          </w:tblCellMar>
        </w:tblPrEx>
        <w:trPr>
          <w:trHeight w:val="851" w:hRule="exact"/>
          <w:jc w:val="center"/>
        </w:trPr>
        <w:tc>
          <w:tcPr>
            <w:tcW w:w="737" w:type="dxa"/>
            <w:tcBorders>
              <w:top w:val="single" w:color="auto" w:sz="4" w:space="0"/>
              <w:left w:val="single" w:color="auto" w:sz="4" w:space="0"/>
              <w:bottom w:val="single" w:color="auto" w:sz="4" w:space="0"/>
              <w:right w:val="single" w:color="auto" w:sz="4" w:space="0"/>
            </w:tcBorders>
          </w:tcPr>
          <w:p>
            <w:pPr>
              <w:spacing w:line="360" w:lineRule="auto"/>
              <w:rPr>
                <w:rFonts w:ascii="楷体" w:hAnsi="楷体" w:eastAsia="楷体" w:cs="楷体"/>
                <w:kern w:val="2"/>
                <w:sz w:val="21"/>
                <w:szCs w:val="21"/>
              </w:rPr>
            </w:pPr>
          </w:p>
        </w:tc>
        <w:tc>
          <w:tcPr>
            <w:tcW w:w="1276" w:type="dxa"/>
            <w:tcBorders>
              <w:top w:val="single" w:color="auto" w:sz="4" w:space="0"/>
              <w:left w:val="nil"/>
              <w:bottom w:val="single" w:color="auto" w:sz="4" w:space="0"/>
              <w:right w:val="single" w:color="auto" w:sz="4" w:space="0"/>
            </w:tcBorders>
          </w:tcPr>
          <w:p>
            <w:pPr>
              <w:spacing w:line="360" w:lineRule="auto"/>
              <w:rPr>
                <w:rFonts w:ascii="楷体" w:hAnsi="楷体" w:eastAsia="楷体" w:cs="楷体"/>
                <w:kern w:val="2"/>
                <w:sz w:val="21"/>
                <w:szCs w:val="21"/>
              </w:rPr>
            </w:pPr>
          </w:p>
        </w:tc>
        <w:tc>
          <w:tcPr>
            <w:tcW w:w="2268" w:type="dxa"/>
            <w:tcBorders>
              <w:top w:val="single" w:color="auto" w:sz="4" w:space="0"/>
              <w:left w:val="nil"/>
              <w:bottom w:val="single" w:color="auto" w:sz="4" w:space="0"/>
              <w:right w:val="single" w:color="auto" w:sz="4" w:space="0"/>
            </w:tcBorders>
          </w:tcPr>
          <w:p>
            <w:pPr>
              <w:spacing w:line="360" w:lineRule="auto"/>
              <w:rPr>
                <w:rFonts w:ascii="楷体" w:hAnsi="楷体" w:eastAsia="楷体" w:cs="楷体"/>
                <w:kern w:val="2"/>
                <w:sz w:val="21"/>
                <w:szCs w:val="21"/>
              </w:rPr>
            </w:pPr>
          </w:p>
        </w:tc>
        <w:tc>
          <w:tcPr>
            <w:tcW w:w="2439" w:type="dxa"/>
            <w:tcBorders>
              <w:top w:val="single" w:color="auto" w:sz="4" w:space="0"/>
              <w:left w:val="nil"/>
              <w:bottom w:val="single" w:color="auto" w:sz="4" w:space="0"/>
              <w:right w:val="single" w:color="auto" w:sz="4" w:space="0"/>
            </w:tcBorders>
          </w:tcPr>
          <w:p>
            <w:pPr>
              <w:spacing w:line="360" w:lineRule="auto"/>
              <w:rPr>
                <w:rFonts w:ascii="楷体" w:hAnsi="楷体" w:eastAsia="楷体" w:cs="楷体"/>
                <w:kern w:val="2"/>
                <w:sz w:val="21"/>
                <w:szCs w:val="21"/>
              </w:rPr>
            </w:pPr>
          </w:p>
        </w:tc>
        <w:tc>
          <w:tcPr>
            <w:tcW w:w="1263" w:type="dxa"/>
            <w:tcBorders>
              <w:top w:val="single" w:color="auto" w:sz="4" w:space="0"/>
              <w:left w:val="nil"/>
              <w:bottom w:val="single" w:color="auto" w:sz="4" w:space="0"/>
              <w:right w:val="single" w:color="auto" w:sz="4" w:space="0"/>
            </w:tcBorders>
          </w:tcPr>
          <w:p>
            <w:pPr>
              <w:spacing w:line="360" w:lineRule="auto"/>
              <w:rPr>
                <w:rFonts w:ascii="楷体" w:hAnsi="楷体" w:eastAsia="楷体" w:cs="楷体"/>
                <w:kern w:val="2"/>
                <w:sz w:val="21"/>
                <w:szCs w:val="21"/>
              </w:rPr>
            </w:pPr>
          </w:p>
        </w:tc>
        <w:tc>
          <w:tcPr>
            <w:tcW w:w="861" w:type="dxa"/>
            <w:tcBorders>
              <w:top w:val="single" w:color="auto" w:sz="4" w:space="0"/>
              <w:left w:val="nil"/>
              <w:bottom w:val="single" w:color="auto" w:sz="4" w:space="0"/>
              <w:right w:val="single" w:color="auto" w:sz="4" w:space="0"/>
            </w:tcBorders>
          </w:tcPr>
          <w:p>
            <w:pPr>
              <w:spacing w:line="360" w:lineRule="auto"/>
              <w:rPr>
                <w:rFonts w:ascii="楷体" w:hAnsi="楷体" w:eastAsia="楷体" w:cs="楷体"/>
                <w:kern w:val="2"/>
                <w:sz w:val="21"/>
                <w:szCs w:val="21"/>
              </w:rPr>
            </w:pPr>
          </w:p>
        </w:tc>
      </w:tr>
      <w:tr>
        <w:tblPrEx>
          <w:tblCellMar>
            <w:top w:w="0" w:type="dxa"/>
            <w:left w:w="28" w:type="dxa"/>
            <w:bottom w:w="0" w:type="dxa"/>
            <w:right w:w="28" w:type="dxa"/>
          </w:tblCellMar>
        </w:tblPrEx>
        <w:trPr>
          <w:trHeight w:val="851" w:hRule="exact"/>
          <w:jc w:val="center"/>
        </w:trPr>
        <w:tc>
          <w:tcPr>
            <w:tcW w:w="737" w:type="dxa"/>
            <w:tcBorders>
              <w:top w:val="single" w:color="auto" w:sz="4" w:space="0"/>
              <w:left w:val="single" w:color="auto" w:sz="4" w:space="0"/>
              <w:bottom w:val="single" w:color="auto" w:sz="4" w:space="0"/>
              <w:right w:val="single" w:color="auto" w:sz="4" w:space="0"/>
            </w:tcBorders>
          </w:tcPr>
          <w:p>
            <w:pPr>
              <w:spacing w:line="360" w:lineRule="auto"/>
              <w:rPr>
                <w:rFonts w:ascii="楷体" w:hAnsi="楷体" w:eastAsia="楷体" w:cs="楷体"/>
                <w:kern w:val="2"/>
                <w:sz w:val="21"/>
                <w:szCs w:val="21"/>
              </w:rPr>
            </w:pPr>
          </w:p>
        </w:tc>
        <w:tc>
          <w:tcPr>
            <w:tcW w:w="1276" w:type="dxa"/>
            <w:tcBorders>
              <w:top w:val="single" w:color="auto" w:sz="4" w:space="0"/>
              <w:left w:val="nil"/>
              <w:bottom w:val="single" w:color="auto" w:sz="4" w:space="0"/>
              <w:right w:val="single" w:color="auto" w:sz="4" w:space="0"/>
            </w:tcBorders>
          </w:tcPr>
          <w:p>
            <w:pPr>
              <w:spacing w:line="360" w:lineRule="auto"/>
              <w:rPr>
                <w:rFonts w:ascii="楷体" w:hAnsi="楷体" w:eastAsia="楷体" w:cs="楷体"/>
                <w:kern w:val="2"/>
                <w:sz w:val="21"/>
                <w:szCs w:val="21"/>
              </w:rPr>
            </w:pPr>
          </w:p>
        </w:tc>
        <w:tc>
          <w:tcPr>
            <w:tcW w:w="2268" w:type="dxa"/>
            <w:tcBorders>
              <w:top w:val="single" w:color="auto" w:sz="4" w:space="0"/>
              <w:left w:val="nil"/>
              <w:bottom w:val="single" w:color="auto" w:sz="4" w:space="0"/>
              <w:right w:val="single" w:color="auto" w:sz="4" w:space="0"/>
            </w:tcBorders>
          </w:tcPr>
          <w:p>
            <w:pPr>
              <w:spacing w:line="360" w:lineRule="auto"/>
              <w:rPr>
                <w:rFonts w:ascii="楷体" w:hAnsi="楷体" w:eastAsia="楷体" w:cs="楷体"/>
                <w:kern w:val="2"/>
                <w:sz w:val="21"/>
                <w:szCs w:val="21"/>
              </w:rPr>
            </w:pPr>
          </w:p>
        </w:tc>
        <w:tc>
          <w:tcPr>
            <w:tcW w:w="2439" w:type="dxa"/>
            <w:tcBorders>
              <w:top w:val="single" w:color="auto" w:sz="4" w:space="0"/>
              <w:left w:val="nil"/>
              <w:bottom w:val="single" w:color="auto" w:sz="4" w:space="0"/>
              <w:right w:val="single" w:color="auto" w:sz="4" w:space="0"/>
            </w:tcBorders>
          </w:tcPr>
          <w:p>
            <w:pPr>
              <w:spacing w:line="360" w:lineRule="auto"/>
              <w:rPr>
                <w:rFonts w:ascii="楷体" w:hAnsi="楷体" w:eastAsia="楷体" w:cs="楷体"/>
                <w:kern w:val="2"/>
                <w:sz w:val="21"/>
                <w:szCs w:val="21"/>
              </w:rPr>
            </w:pPr>
          </w:p>
        </w:tc>
        <w:tc>
          <w:tcPr>
            <w:tcW w:w="1263" w:type="dxa"/>
            <w:tcBorders>
              <w:top w:val="single" w:color="auto" w:sz="4" w:space="0"/>
              <w:left w:val="nil"/>
              <w:bottom w:val="single" w:color="auto" w:sz="4" w:space="0"/>
              <w:right w:val="single" w:color="auto" w:sz="4" w:space="0"/>
            </w:tcBorders>
          </w:tcPr>
          <w:p>
            <w:pPr>
              <w:spacing w:line="360" w:lineRule="auto"/>
              <w:rPr>
                <w:rFonts w:ascii="楷体" w:hAnsi="楷体" w:eastAsia="楷体" w:cs="楷体"/>
                <w:kern w:val="2"/>
                <w:sz w:val="21"/>
                <w:szCs w:val="21"/>
              </w:rPr>
            </w:pPr>
          </w:p>
        </w:tc>
        <w:tc>
          <w:tcPr>
            <w:tcW w:w="861" w:type="dxa"/>
            <w:tcBorders>
              <w:top w:val="single" w:color="auto" w:sz="4" w:space="0"/>
              <w:left w:val="nil"/>
              <w:bottom w:val="single" w:color="auto" w:sz="4" w:space="0"/>
              <w:right w:val="single" w:color="auto" w:sz="4" w:space="0"/>
            </w:tcBorders>
          </w:tcPr>
          <w:p>
            <w:pPr>
              <w:spacing w:line="360" w:lineRule="auto"/>
              <w:rPr>
                <w:rFonts w:ascii="楷体" w:hAnsi="楷体" w:eastAsia="楷体" w:cs="楷体"/>
                <w:kern w:val="2"/>
                <w:sz w:val="21"/>
                <w:szCs w:val="21"/>
              </w:rPr>
            </w:pPr>
          </w:p>
        </w:tc>
      </w:tr>
      <w:tr>
        <w:tblPrEx>
          <w:tblCellMar>
            <w:top w:w="0" w:type="dxa"/>
            <w:left w:w="28" w:type="dxa"/>
            <w:bottom w:w="0" w:type="dxa"/>
            <w:right w:w="28" w:type="dxa"/>
          </w:tblCellMar>
        </w:tblPrEx>
        <w:trPr>
          <w:trHeight w:val="851" w:hRule="exact"/>
          <w:jc w:val="center"/>
        </w:trPr>
        <w:tc>
          <w:tcPr>
            <w:tcW w:w="737" w:type="dxa"/>
            <w:tcBorders>
              <w:top w:val="single" w:color="auto" w:sz="4" w:space="0"/>
              <w:left w:val="single" w:color="auto" w:sz="4" w:space="0"/>
              <w:bottom w:val="single" w:color="auto" w:sz="4" w:space="0"/>
              <w:right w:val="single" w:color="auto" w:sz="4" w:space="0"/>
            </w:tcBorders>
          </w:tcPr>
          <w:p>
            <w:pPr>
              <w:spacing w:line="360" w:lineRule="auto"/>
              <w:rPr>
                <w:rFonts w:ascii="楷体" w:hAnsi="楷体" w:eastAsia="楷体" w:cs="楷体"/>
                <w:kern w:val="2"/>
                <w:sz w:val="21"/>
                <w:szCs w:val="21"/>
              </w:rPr>
            </w:pPr>
          </w:p>
        </w:tc>
        <w:tc>
          <w:tcPr>
            <w:tcW w:w="1276" w:type="dxa"/>
            <w:tcBorders>
              <w:top w:val="single" w:color="auto" w:sz="4" w:space="0"/>
              <w:left w:val="nil"/>
              <w:bottom w:val="single" w:color="auto" w:sz="4" w:space="0"/>
              <w:right w:val="single" w:color="auto" w:sz="4" w:space="0"/>
            </w:tcBorders>
          </w:tcPr>
          <w:p>
            <w:pPr>
              <w:spacing w:line="360" w:lineRule="auto"/>
              <w:rPr>
                <w:rFonts w:ascii="楷体" w:hAnsi="楷体" w:eastAsia="楷体" w:cs="楷体"/>
                <w:kern w:val="2"/>
                <w:sz w:val="21"/>
                <w:szCs w:val="21"/>
              </w:rPr>
            </w:pPr>
          </w:p>
        </w:tc>
        <w:tc>
          <w:tcPr>
            <w:tcW w:w="2268" w:type="dxa"/>
            <w:tcBorders>
              <w:top w:val="single" w:color="auto" w:sz="4" w:space="0"/>
              <w:left w:val="nil"/>
              <w:bottom w:val="single" w:color="auto" w:sz="4" w:space="0"/>
              <w:right w:val="single" w:color="auto" w:sz="4" w:space="0"/>
            </w:tcBorders>
          </w:tcPr>
          <w:p>
            <w:pPr>
              <w:spacing w:line="360" w:lineRule="auto"/>
              <w:rPr>
                <w:rFonts w:ascii="楷体" w:hAnsi="楷体" w:eastAsia="楷体" w:cs="楷体"/>
                <w:kern w:val="2"/>
                <w:sz w:val="21"/>
                <w:szCs w:val="21"/>
              </w:rPr>
            </w:pPr>
          </w:p>
        </w:tc>
        <w:tc>
          <w:tcPr>
            <w:tcW w:w="2439" w:type="dxa"/>
            <w:tcBorders>
              <w:top w:val="single" w:color="auto" w:sz="4" w:space="0"/>
              <w:left w:val="nil"/>
              <w:bottom w:val="single" w:color="auto" w:sz="4" w:space="0"/>
              <w:right w:val="single" w:color="auto" w:sz="4" w:space="0"/>
            </w:tcBorders>
          </w:tcPr>
          <w:p>
            <w:pPr>
              <w:spacing w:line="360" w:lineRule="auto"/>
              <w:rPr>
                <w:rFonts w:ascii="楷体" w:hAnsi="楷体" w:eastAsia="楷体" w:cs="楷体"/>
                <w:kern w:val="2"/>
                <w:sz w:val="21"/>
                <w:szCs w:val="21"/>
              </w:rPr>
            </w:pPr>
          </w:p>
        </w:tc>
        <w:tc>
          <w:tcPr>
            <w:tcW w:w="1263" w:type="dxa"/>
            <w:tcBorders>
              <w:top w:val="single" w:color="auto" w:sz="4" w:space="0"/>
              <w:left w:val="nil"/>
              <w:bottom w:val="single" w:color="auto" w:sz="4" w:space="0"/>
              <w:right w:val="single" w:color="auto" w:sz="4" w:space="0"/>
            </w:tcBorders>
          </w:tcPr>
          <w:p>
            <w:pPr>
              <w:spacing w:line="360" w:lineRule="auto"/>
              <w:rPr>
                <w:rFonts w:ascii="楷体" w:hAnsi="楷体" w:eastAsia="楷体" w:cs="楷体"/>
                <w:kern w:val="2"/>
                <w:sz w:val="21"/>
                <w:szCs w:val="21"/>
              </w:rPr>
            </w:pPr>
          </w:p>
        </w:tc>
        <w:tc>
          <w:tcPr>
            <w:tcW w:w="861" w:type="dxa"/>
            <w:tcBorders>
              <w:top w:val="single" w:color="auto" w:sz="4" w:space="0"/>
              <w:left w:val="nil"/>
              <w:bottom w:val="single" w:color="auto" w:sz="4" w:space="0"/>
              <w:right w:val="single" w:color="auto" w:sz="4" w:space="0"/>
            </w:tcBorders>
          </w:tcPr>
          <w:p>
            <w:pPr>
              <w:spacing w:line="360" w:lineRule="auto"/>
              <w:rPr>
                <w:rFonts w:ascii="楷体" w:hAnsi="楷体" w:eastAsia="楷体" w:cs="楷体"/>
                <w:kern w:val="2"/>
                <w:sz w:val="21"/>
                <w:szCs w:val="21"/>
              </w:rPr>
            </w:pPr>
          </w:p>
        </w:tc>
      </w:tr>
    </w:tbl>
    <w:p>
      <w:pPr>
        <w:widowControl/>
        <w:spacing w:line="360" w:lineRule="auto"/>
        <w:ind w:left="723" w:hanging="723" w:hangingChars="300"/>
        <w:jc w:val="left"/>
        <w:rPr>
          <w:rFonts w:ascii="楷体" w:hAnsi="楷体" w:eastAsia="楷体" w:cs="楷体"/>
          <w:b/>
          <w:szCs w:val="22"/>
        </w:rPr>
      </w:pPr>
      <w:r>
        <w:rPr>
          <w:rFonts w:hint="eastAsia" w:ascii="楷体" w:hAnsi="楷体" w:eastAsia="楷体" w:cs="楷体"/>
          <w:b/>
          <w:szCs w:val="22"/>
        </w:rPr>
        <w:t>注:1.本表须逐如实填写，不得空缺；如空缺将视为没有实质性响应招标文件。</w:t>
      </w:r>
    </w:p>
    <w:p>
      <w:pPr>
        <w:widowControl/>
        <w:spacing w:line="360" w:lineRule="auto"/>
        <w:ind w:left="723" w:hanging="723" w:hangingChars="300"/>
        <w:jc w:val="left"/>
        <w:rPr>
          <w:rFonts w:ascii="楷体" w:hAnsi="楷体" w:eastAsia="楷体" w:cs="楷体"/>
          <w:b/>
          <w:szCs w:val="22"/>
        </w:rPr>
      </w:pPr>
      <w:r>
        <w:rPr>
          <w:rFonts w:hint="eastAsia" w:ascii="楷体" w:hAnsi="楷体" w:eastAsia="楷体" w:cs="楷体"/>
          <w:b/>
          <w:szCs w:val="22"/>
        </w:rPr>
        <w:t>偏离说明填写：优于、满足或低于。</w:t>
      </w:r>
    </w:p>
    <w:p>
      <w:pPr>
        <w:widowControl/>
        <w:spacing w:line="360" w:lineRule="auto"/>
        <w:jc w:val="left"/>
        <w:rPr>
          <w:rFonts w:ascii="楷体" w:hAnsi="楷体" w:eastAsia="楷体" w:cs="楷体"/>
          <w:b/>
          <w:szCs w:val="22"/>
        </w:rPr>
      </w:pPr>
      <w:r>
        <w:rPr>
          <w:rFonts w:hint="eastAsia" w:ascii="楷体" w:hAnsi="楷体" w:eastAsia="楷体" w:cs="楷体"/>
          <w:b/>
          <w:szCs w:val="22"/>
        </w:rPr>
        <w:t>2.投标人必须据实填写，不得虚假响应，否则将取消其投标或中标资格，并按有关规定进行处罚。</w:t>
      </w:r>
    </w:p>
    <w:p>
      <w:pPr>
        <w:pStyle w:val="19"/>
        <w:rPr>
          <w:rFonts w:eastAsia="楷体"/>
        </w:rPr>
      </w:pPr>
    </w:p>
    <w:p>
      <w:pPr>
        <w:spacing w:line="360" w:lineRule="auto"/>
        <w:rPr>
          <w:rFonts w:ascii="楷体" w:hAnsi="楷体" w:eastAsia="楷体" w:cs="楷体"/>
          <w:kern w:val="2"/>
          <w:sz w:val="21"/>
          <w:szCs w:val="21"/>
        </w:rPr>
      </w:pPr>
    </w:p>
    <w:p>
      <w:pPr>
        <w:spacing w:line="360" w:lineRule="auto"/>
        <w:rPr>
          <w:rFonts w:ascii="楷体" w:hAnsi="楷体" w:eastAsia="楷体" w:cs="楷体"/>
        </w:rPr>
      </w:pPr>
      <w:r>
        <w:rPr>
          <w:rFonts w:hint="eastAsia" w:ascii="楷体" w:hAnsi="楷体" w:eastAsia="楷体" w:cs="楷体"/>
        </w:rPr>
        <w:t xml:space="preserve">投标人名称（公章）：          </w:t>
      </w:r>
    </w:p>
    <w:p>
      <w:pPr>
        <w:spacing w:line="360" w:lineRule="auto"/>
        <w:jc w:val="left"/>
        <w:rPr>
          <w:rFonts w:ascii="楷体" w:hAnsi="楷体" w:eastAsia="楷体" w:cs="楷体"/>
        </w:rPr>
      </w:pPr>
      <w:r>
        <w:rPr>
          <w:rFonts w:hint="eastAsia" w:ascii="楷体" w:hAnsi="楷体" w:eastAsia="楷体" w:cs="楷体"/>
        </w:rPr>
        <w:t>法定代表人/被授权人</w:t>
      </w:r>
      <w:r>
        <w:rPr>
          <w:rFonts w:hint="eastAsia" w:ascii="楷体" w:hAnsi="楷体" w:eastAsia="楷体" w:cs="楷体"/>
          <w:spacing w:val="4"/>
          <w:szCs w:val="24"/>
        </w:rPr>
        <w:t>（签字或盖章）</w:t>
      </w:r>
      <w:r>
        <w:rPr>
          <w:rFonts w:hint="eastAsia" w:ascii="楷体" w:hAnsi="楷体" w:eastAsia="楷体" w:cs="楷体"/>
        </w:rPr>
        <w:t>：</w:t>
      </w:r>
    </w:p>
    <w:p>
      <w:pPr>
        <w:spacing w:line="360" w:lineRule="auto"/>
        <w:rPr>
          <w:rFonts w:ascii="楷体" w:hAnsi="楷体" w:eastAsia="楷体" w:cs="楷体"/>
        </w:rPr>
      </w:pPr>
      <w:r>
        <w:rPr>
          <w:rFonts w:hint="eastAsia" w:ascii="楷体" w:hAnsi="楷体" w:eastAsia="楷体" w:cs="楷体"/>
          <w:szCs w:val="24"/>
        </w:rPr>
        <w:t>日    期：</w:t>
      </w:r>
    </w:p>
    <w:p>
      <w:pPr>
        <w:spacing w:line="360" w:lineRule="auto"/>
        <w:rPr>
          <w:rFonts w:ascii="楷体" w:hAnsi="楷体" w:eastAsia="楷体" w:cs="楷体"/>
          <w:b/>
          <w:bCs/>
          <w:sz w:val="30"/>
          <w:szCs w:val="30"/>
        </w:rPr>
      </w:pPr>
      <w:r>
        <w:rPr>
          <w:rFonts w:hint="eastAsia" w:ascii="楷体" w:hAnsi="楷体" w:eastAsia="楷体" w:cs="楷体"/>
          <w:szCs w:val="24"/>
        </w:rPr>
        <w:br w:type="page"/>
      </w:r>
      <w:r>
        <w:rPr>
          <w:rFonts w:hint="eastAsia" w:ascii="楷体" w:hAnsi="楷体" w:eastAsia="楷体" w:cs="楷体"/>
          <w:b/>
          <w:bCs/>
          <w:sz w:val="30"/>
          <w:szCs w:val="30"/>
        </w:rPr>
        <w:t>附件4：</w:t>
      </w:r>
    </w:p>
    <w:p>
      <w:pPr>
        <w:spacing w:line="360" w:lineRule="auto"/>
        <w:jc w:val="center"/>
        <w:rPr>
          <w:rFonts w:ascii="楷体" w:hAnsi="楷体" w:eastAsia="楷体" w:cs="楷体"/>
          <w:b/>
          <w:bCs/>
          <w:sz w:val="30"/>
          <w:szCs w:val="30"/>
        </w:rPr>
      </w:pPr>
      <w:r>
        <w:rPr>
          <w:rFonts w:hint="eastAsia" w:ascii="楷体" w:hAnsi="楷体" w:eastAsia="楷体" w:cs="楷体"/>
          <w:b/>
          <w:bCs/>
          <w:sz w:val="30"/>
          <w:szCs w:val="30"/>
        </w:rPr>
        <w:t>本项目拟投入人员汇总表</w:t>
      </w:r>
    </w:p>
    <w:p>
      <w:pPr>
        <w:spacing w:line="360" w:lineRule="auto"/>
        <w:jc w:val="left"/>
        <w:rPr>
          <w:rFonts w:ascii="楷体" w:hAnsi="楷体" w:eastAsia="楷体" w:cs="楷体"/>
          <w:b/>
        </w:rPr>
      </w:pPr>
      <w:r>
        <w:rPr>
          <w:rFonts w:hint="eastAsia" w:ascii="楷体" w:hAnsi="楷体" w:eastAsia="楷体" w:cs="楷体"/>
          <w:b/>
        </w:rPr>
        <w:t>项目名称、标段：</w:t>
      </w:r>
    </w:p>
    <w:p>
      <w:pPr>
        <w:pStyle w:val="3"/>
      </w:pPr>
      <w:r>
        <w:rPr>
          <w:rFonts w:hint="eastAsia" w:ascii="楷体" w:hAnsi="楷体" w:eastAsia="楷体" w:cs="楷体"/>
          <w:b/>
          <w:kern w:val="0"/>
          <w:sz w:val="24"/>
          <w:szCs w:val="22"/>
        </w:rPr>
        <w:t>项目编号：</w:t>
      </w:r>
      <w:r>
        <w:rPr>
          <w:rFonts w:hint="eastAsia" w:ascii="楷体" w:hAnsi="楷体" w:eastAsia="楷体" w:cs="楷体"/>
          <w:b/>
          <w:szCs w:val="24"/>
        </w:rPr>
        <w:t xml:space="preserve">     </w:t>
      </w:r>
      <w:r>
        <w:rPr>
          <w:rFonts w:hint="eastAsia" w:ascii="楷体" w:hAnsi="楷体" w:eastAsia="楷体" w:cs="楷体"/>
          <w:szCs w:val="24"/>
        </w:rPr>
        <w:t xml:space="preserve">  </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8"/>
        <w:gridCol w:w="1169"/>
        <w:gridCol w:w="821"/>
        <w:gridCol w:w="1979"/>
        <w:gridCol w:w="1559"/>
        <w:gridCol w:w="2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338" w:type="dxa"/>
            <w:vAlign w:val="center"/>
          </w:tcPr>
          <w:p>
            <w:pPr>
              <w:spacing w:line="400" w:lineRule="exact"/>
              <w:jc w:val="center"/>
              <w:rPr>
                <w:rFonts w:ascii="楷体" w:hAnsi="楷体" w:eastAsia="楷体" w:cs="楷体"/>
                <w:color w:val="000000"/>
                <w:sz w:val="28"/>
                <w:szCs w:val="28"/>
              </w:rPr>
            </w:pPr>
            <w:r>
              <w:rPr>
                <w:rFonts w:hint="eastAsia" w:ascii="楷体" w:hAnsi="楷体" w:eastAsia="楷体" w:cs="楷体"/>
                <w:color w:val="000000"/>
                <w:sz w:val="28"/>
                <w:szCs w:val="28"/>
              </w:rPr>
              <w:t>类别</w:t>
            </w:r>
          </w:p>
        </w:tc>
        <w:tc>
          <w:tcPr>
            <w:tcW w:w="1169" w:type="dxa"/>
            <w:vAlign w:val="center"/>
          </w:tcPr>
          <w:p>
            <w:pPr>
              <w:spacing w:line="400" w:lineRule="exact"/>
              <w:jc w:val="center"/>
              <w:rPr>
                <w:rFonts w:ascii="楷体" w:hAnsi="楷体" w:eastAsia="楷体" w:cs="楷体"/>
                <w:color w:val="000000"/>
                <w:sz w:val="28"/>
                <w:szCs w:val="28"/>
              </w:rPr>
            </w:pPr>
            <w:r>
              <w:rPr>
                <w:rFonts w:hint="eastAsia" w:ascii="楷体" w:hAnsi="楷体" w:eastAsia="楷体" w:cs="楷体"/>
                <w:color w:val="000000"/>
                <w:sz w:val="28"/>
                <w:szCs w:val="28"/>
              </w:rPr>
              <w:t>职务</w:t>
            </w:r>
          </w:p>
        </w:tc>
        <w:tc>
          <w:tcPr>
            <w:tcW w:w="821" w:type="dxa"/>
            <w:vAlign w:val="center"/>
          </w:tcPr>
          <w:p>
            <w:pPr>
              <w:spacing w:line="400" w:lineRule="exact"/>
              <w:jc w:val="center"/>
              <w:rPr>
                <w:rFonts w:ascii="楷体" w:hAnsi="楷体" w:eastAsia="楷体" w:cs="楷体"/>
                <w:color w:val="000000"/>
                <w:sz w:val="28"/>
                <w:szCs w:val="28"/>
              </w:rPr>
            </w:pPr>
            <w:r>
              <w:rPr>
                <w:rFonts w:hint="eastAsia" w:ascii="楷体" w:hAnsi="楷体" w:eastAsia="楷体" w:cs="楷体"/>
                <w:color w:val="000000"/>
                <w:sz w:val="28"/>
                <w:szCs w:val="28"/>
              </w:rPr>
              <w:t>姓名</w:t>
            </w:r>
          </w:p>
        </w:tc>
        <w:tc>
          <w:tcPr>
            <w:tcW w:w="1979" w:type="dxa"/>
            <w:vAlign w:val="center"/>
          </w:tcPr>
          <w:p>
            <w:pPr>
              <w:spacing w:line="400" w:lineRule="exact"/>
              <w:jc w:val="center"/>
              <w:rPr>
                <w:rFonts w:ascii="楷体" w:hAnsi="楷体" w:eastAsia="楷体" w:cs="楷体"/>
                <w:color w:val="000000"/>
                <w:sz w:val="28"/>
                <w:szCs w:val="28"/>
              </w:rPr>
            </w:pPr>
            <w:r>
              <w:rPr>
                <w:rFonts w:hint="eastAsia" w:ascii="楷体" w:hAnsi="楷体" w:eastAsia="楷体" w:cs="楷体"/>
                <w:color w:val="000000"/>
                <w:sz w:val="28"/>
                <w:szCs w:val="28"/>
              </w:rPr>
              <w:t>身份证号码</w:t>
            </w:r>
          </w:p>
        </w:tc>
        <w:tc>
          <w:tcPr>
            <w:tcW w:w="1559" w:type="dxa"/>
            <w:vAlign w:val="center"/>
          </w:tcPr>
          <w:p>
            <w:pPr>
              <w:spacing w:line="400" w:lineRule="exact"/>
              <w:jc w:val="center"/>
              <w:rPr>
                <w:rFonts w:ascii="楷体" w:hAnsi="楷体" w:eastAsia="楷体" w:cs="楷体"/>
                <w:color w:val="000000"/>
                <w:sz w:val="28"/>
                <w:szCs w:val="28"/>
              </w:rPr>
            </w:pPr>
            <w:r>
              <w:rPr>
                <w:rFonts w:hint="eastAsia" w:ascii="楷体" w:hAnsi="楷体" w:eastAsia="楷体" w:cs="楷体"/>
                <w:color w:val="000000"/>
                <w:sz w:val="28"/>
                <w:szCs w:val="28"/>
              </w:rPr>
              <w:t>联系方式</w:t>
            </w:r>
          </w:p>
        </w:tc>
        <w:tc>
          <w:tcPr>
            <w:tcW w:w="2187" w:type="dxa"/>
            <w:vAlign w:val="center"/>
          </w:tcPr>
          <w:p>
            <w:pPr>
              <w:spacing w:line="400" w:lineRule="exact"/>
              <w:jc w:val="center"/>
              <w:rPr>
                <w:rFonts w:ascii="楷体" w:hAnsi="楷体" w:eastAsia="楷体" w:cs="楷体"/>
                <w:color w:val="000000"/>
                <w:sz w:val="28"/>
                <w:szCs w:val="28"/>
              </w:rPr>
            </w:pPr>
            <w:bookmarkStart w:id="122" w:name="OLE_LINK11"/>
            <w:r>
              <w:rPr>
                <w:rFonts w:hint="eastAsia" w:ascii="楷体" w:hAnsi="楷体" w:eastAsia="楷体" w:cs="楷体"/>
                <w:color w:val="000000"/>
                <w:sz w:val="28"/>
                <w:szCs w:val="28"/>
              </w:rPr>
              <w:t>技术职称</w:t>
            </w:r>
            <w:bookmarkEnd w:id="1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338" w:type="dxa"/>
            <w:vMerge w:val="restart"/>
            <w:vAlign w:val="center"/>
          </w:tcPr>
          <w:p>
            <w:pPr>
              <w:spacing w:line="400" w:lineRule="exact"/>
              <w:jc w:val="center"/>
              <w:rPr>
                <w:rFonts w:ascii="楷体" w:hAnsi="楷体" w:eastAsia="楷体" w:cs="楷体"/>
                <w:color w:val="000000"/>
                <w:sz w:val="28"/>
                <w:szCs w:val="28"/>
              </w:rPr>
            </w:pPr>
            <w:r>
              <w:rPr>
                <w:rFonts w:hint="eastAsia" w:ascii="楷体" w:hAnsi="楷体" w:eastAsia="楷体" w:cs="楷体"/>
                <w:color w:val="000000"/>
                <w:sz w:val="28"/>
                <w:szCs w:val="28"/>
              </w:rPr>
              <w:t>管</w:t>
            </w:r>
          </w:p>
          <w:p>
            <w:pPr>
              <w:spacing w:line="400" w:lineRule="exact"/>
              <w:jc w:val="center"/>
              <w:rPr>
                <w:rFonts w:ascii="楷体" w:hAnsi="楷体" w:eastAsia="楷体" w:cs="楷体"/>
                <w:color w:val="000000"/>
                <w:sz w:val="28"/>
                <w:szCs w:val="28"/>
              </w:rPr>
            </w:pPr>
            <w:r>
              <w:rPr>
                <w:rFonts w:hint="eastAsia" w:ascii="楷体" w:hAnsi="楷体" w:eastAsia="楷体" w:cs="楷体"/>
                <w:color w:val="000000"/>
                <w:sz w:val="28"/>
                <w:szCs w:val="28"/>
              </w:rPr>
              <w:t>理</w:t>
            </w:r>
          </w:p>
          <w:p>
            <w:pPr>
              <w:spacing w:line="400" w:lineRule="exact"/>
              <w:jc w:val="center"/>
              <w:rPr>
                <w:rFonts w:ascii="楷体" w:hAnsi="楷体" w:eastAsia="楷体" w:cs="楷体"/>
                <w:color w:val="000000"/>
                <w:sz w:val="28"/>
                <w:szCs w:val="28"/>
              </w:rPr>
            </w:pPr>
            <w:r>
              <w:rPr>
                <w:rFonts w:hint="eastAsia" w:ascii="楷体" w:hAnsi="楷体" w:eastAsia="楷体" w:cs="楷体"/>
                <w:color w:val="000000"/>
                <w:sz w:val="28"/>
                <w:szCs w:val="28"/>
              </w:rPr>
              <w:t>人</w:t>
            </w:r>
          </w:p>
          <w:p>
            <w:pPr>
              <w:spacing w:line="400" w:lineRule="exact"/>
              <w:jc w:val="center"/>
              <w:rPr>
                <w:rFonts w:ascii="楷体" w:hAnsi="楷体" w:eastAsia="楷体" w:cs="楷体"/>
                <w:color w:val="000000"/>
                <w:sz w:val="28"/>
                <w:szCs w:val="28"/>
              </w:rPr>
            </w:pPr>
            <w:r>
              <w:rPr>
                <w:rFonts w:hint="eastAsia" w:ascii="楷体" w:hAnsi="楷体" w:eastAsia="楷体" w:cs="楷体"/>
                <w:color w:val="000000"/>
                <w:sz w:val="28"/>
                <w:szCs w:val="28"/>
              </w:rPr>
              <w:t>员</w:t>
            </w:r>
          </w:p>
        </w:tc>
        <w:tc>
          <w:tcPr>
            <w:tcW w:w="1169" w:type="dxa"/>
            <w:vAlign w:val="center"/>
          </w:tcPr>
          <w:p>
            <w:pPr>
              <w:spacing w:line="400" w:lineRule="exact"/>
              <w:rPr>
                <w:rFonts w:ascii="楷体" w:hAnsi="楷体" w:eastAsia="楷体" w:cs="楷体"/>
                <w:color w:val="000000"/>
                <w:sz w:val="28"/>
                <w:szCs w:val="28"/>
              </w:rPr>
            </w:pPr>
            <w:r>
              <w:rPr>
                <w:rFonts w:hint="eastAsia" w:ascii="楷体" w:hAnsi="楷体" w:eastAsia="楷体" w:cs="楷体"/>
                <w:color w:val="000000"/>
                <w:sz w:val="28"/>
                <w:szCs w:val="28"/>
              </w:rPr>
              <w:t>....</w:t>
            </w:r>
          </w:p>
        </w:tc>
        <w:tc>
          <w:tcPr>
            <w:tcW w:w="821" w:type="dxa"/>
            <w:vAlign w:val="center"/>
          </w:tcPr>
          <w:p>
            <w:pPr>
              <w:spacing w:line="400" w:lineRule="exact"/>
              <w:rPr>
                <w:rFonts w:ascii="楷体" w:hAnsi="楷体" w:eastAsia="楷体" w:cs="楷体"/>
                <w:color w:val="000000"/>
                <w:sz w:val="28"/>
                <w:szCs w:val="28"/>
              </w:rPr>
            </w:pPr>
          </w:p>
        </w:tc>
        <w:tc>
          <w:tcPr>
            <w:tcW w:w="1979" w:type="dxa"/>
            <w:vAlign w:val="center"/>
          </w:tcPr>
          <w:p>
            <w:pPr>
              <w:spacing w:line="400" w:lineRule="exact"/>
              <w:rPr>
                <w:rFonts w:ascii="楷体" w:hAnsi="楷体" w:eastAsia="楷体" w:cs="楷体"/>
                <w:color w:val="000000"/>
                <w:sz w:val="28"/>
                <w:szCs w:val="28"/>
              </w:rPr>
            </w:pPr>
          </w:p>
        </w:tc>
        <w:tc>
          <w:tcPr>
            <w:tcW w:w="1559" w:type="dxa"/>
            <w:vAlign w:val="center"/>
          </w:tcPr>
          <w:p>
            <w:pPr>
              <w:spacing w:line="400" w:lineRule="exact"/>
              <w:rPr>
                <w:rFonts w:ascii="楷体" w:hAnsi="楷体" w:eastAsia="楷体" w:cs="楷体"/>
                <w:color w:val="000000"/>
                <w:sz w:val="28"/>
                <w:szCs w:val="28"/>
              </w:rPr>
            </w:pPr>
          </w:p>
        </w:tc>
        <w:tc>
          <w:tcPr>
            <w:tcW w:w="2187" w:type="dxa"/>
            <w:vAlign w:val="center"/>
          </w:tcPr>
          <w:p>
            <w:pPr>
              <w:spacing w:line="400" w:lineRule="exact"/>
              <w:rPr>
                <w:rFonts w:ascii="楷体" w:hAnsi="楷体" w:eastAsia="楷体" w:cs="楷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jc w:val="center"/>
        </w:trPr>
        <w:tc>
          <w:tcPr>
            <w:tcW w:w="1338" w:type="dxa"/>
            <w:vMerge w:val="continue"/>
            <w:vAlign w:val="center"/>
          </w:tcPr>
          <w:p>
            <w:pPr>
              <w:spacing w:line="400" w:lineRule="exact"/>
              <w:jc w:val="center"/>
              <w:rPr>
                <w:rFonts w:ascii="楷体" w:hAnsi="楷体" w:eastAsia="楷体" w:cs="楷体"/>
                <w:color w:val="000000"/>
                <w:sz w:val="28"/>
                <w:szCs w:val="28"/>
              </w:rPr>
            </w:pPr>
          </w:p>
        </w:tc>
        <w:tc>
          <w:tcPr>
            <w:tcW w:w="1169" w:type="dxa"/>
            <w:vAlign w:val="center"/>
          </w:tcPr>
          <w:p>
            <w:pPr>
              <w:spacing w:line="400" w:lineRule="exact"/>
              <w:rPr>
                <w:rFonts w:ascii="楷体" w:hAnsi="楷体" w:eastAsia="楷体" w:cs="楷体"/>
                <w:color w:val="000000"/>
                <w:sz w:val="28"/>
                <w:szCs w:val="28"/>
              </w:rPr>
            </w:pPr>
          </w:p>
        </w:tc>
        <w:tc>
          <w:tcPr>
            <w:tcW w:w="821" w:type="dxa"/>
            <w:vAlign w:val="center"/>
          </w:tcPr>
          <w:p>
            <w:pPr>
              <w:spacing w:line="400" w:lineRule="exact"/>
              <w:rPr>
                <w:rFonts w:ascii="楷体" w:hAnsi="楷体" w:eastAsia="楷体" w:cs="楷体"/>
                <w:color w:val="000000"/>
                <w:sz w:val="28"/>
                <w:szCs w:val="28"/>
              </w:rPr>
            </w:pPr>
          </w:p>
        </w:tc>
        <w:tc>
          <w:tcPr>
            <w:tcW w:w="1979" w:type="dxa"/>
            <w:vAlign w:val="center"/>
          </w:tcPr>
          <w:p>
            <w:pPr>
              <w:spacing w:line="400" w:lineRule="exact"/>
              <w:rPr>
                <w:rFonts w:ascii="楷体" w:hAnsi="楷体" w:eastAsia="楷体" w:cs="楷体"/>
                <w:color w:val="000000"/>
                <w:sz w:val="28"/>
                <w:szCs w:val="28"/>
              </w:rPr>
            </w:pPr>
          </w:p>
        </w:tc>
        <w:tc>
          <w:tcPr>
            <w:tcW w:w="1559" w:type="dxa"/>
            <w:vAlign w:val="center"/>
          </w:tcPr>
          <w:p>
            <w:pPr>
              <w:spacing w:line="400" w:lineRule="exact"/>
              <w:rPr>
                <w:rFonts w:ascii="楷体" w:hAnsi="楷体" w:eastAsia="楷体" w:cs="楷体"/>
                <w:color w:val="000000"/>
                <w:sz w:val="28"/>
                <w:szCs w:val="28"/>
              </w:rPr>
            </w:pPr>
          </w:p>
        </w:tc>
        <w:tc>
          <w:tcPr>
            <w:tcW w:w="2187" w:type="dxa"/>
            <w:vAlign w:val="center"/>
          </w:tcPr>
          <w:p>
            <w:pPr>
              <w:spacing w:line="400" w:lineRule="exact"/>
              <w:rPr>
                <w:rFonts w:ascii="楷体" w:hAnsi="楷体" w:eastAsia="楷体" w:cs="楷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jc w:val="center"/>
        </w:trPr>
        <w:tc>
          <w:tcPr>
            <w:tcW w:w="1338" w:type="dxa"/>
            <w:vMerge w:val="continue"/>
            <w:vAlign w:val="center"/>
          </w:tcPr>
          <w:p>
            <w:pPr>
              <w:spacing w:line="400" w:lineRule="exact"/>
              <w:jc w:val="center"/>
              <w:rPr>
                <w:rFonts w:ascii="楷体" w:hAnsi="楷体" w:eastAsia="楷体" w:cs="楷体"/>
                <w:color w:val="000000"/>
                <w:sz w:val="28"/>
                <w:szCs w:val="28"/>
              </w:rPr>
            </w:pPr>
          </w:p>
        </w:tc>
        <w:tc>
          <w:tcPr>
            <w:tcW w:w="1169" w:type="dxa"/>
            <w:vAlign w:val="center"/>
          </w:tcPr>
          <w:p>
            <w:pPr>
              <w:spacing w:line="400" w:lineRule="exact"/>
              <w:rPr>
                <w:rFonts w:ascii="楷体" w:hAnsi="楷体" w:eastAsia="楷体" w:cs="楷体"/>
                <w:color w:val="000000"/>
                <w:sz w:val="28"/>
                <w:szCs w:val="28"/>
              </w:rPr>
            </w:pPr>
          </w:p>
        </w:tc>
        <w:tc>
          <w:tcPr>
            <w:tcW w:w="821" w:type="dxa"/>
            <w:vAlign w:val="center"/>
          </w:tcPr>
          <w:p>
            <w:pPr>
              <w:spacing w:line="400" w:lineRule="exact"/>
              <w:rPr>
                <w:rFonts w:ascii="楷体" w:hAnsi="楷体" w:eastAsia="楷体" w:cs="楷体"/>
                <w:color w:val="000000"/>
                <w:sz w:val="28"/>
                <w:szCs w:val="28"/>
              </w:rPr>
            </w:pPr>
          </w:p>
        </w:tc>
        <w:tc>
          <w:tcPr>
            <w:tcW w:w="1979" w:type="dxa"/>
            <w:vAlign w:val="center"/>
          </w:tcPr>
          <w:p>
            <w:pPr>
              <w:spacing w:line="400" w:lineRule="exact"/>
              <w:rPr>
                <w:rFonts w:ascii="楷体" w:hAnsi="楷体" w:eastAsia="楷体" w:cs="楷体"/>
                <w:color w:val="000000"/>
                <w:sz w:val="28"/>
                <w:szCs w:val="28"/>
              </w:rPr>
            </w:pPr>
          </w:p>
        </w:tc>
        <w:tc>
          <w:tcPr>
            <w:tcW w:w="1559" w:type="dxa"/>
            <w:vAlign w:val="center"/>
          </w:tcPr>
          <w:p>
            <w:pPr>
              <w:spacing w:line="400" w:lineRule="exact"/>
              <w:rPr>
                <w:rFonts w:ascii="楷体" w:hAnsi="楷体" w:eastAsia="楷体" w:cs="楷体"/>
                <w:color w:val="000000"/>
                <w:sz w:val="28"/>
                <w:szCs w:val="28"/>
              </w:rPr>
            </w:pPr>
          </w:p>
        </w:tc>
        <w:tc>
          <w:tcPr>
            <w:tcW w:w="2187" w:type="dxa"/>
            <w:vAlign w:val="center"/>
          </w:tcPr>
          <w:p>
            <w:pPr>
              <w:spacing w:line="400" w:lineRule="exact"/>
              <w:rPr>
                <w:rFonts w:ascii="楷体" w:hAnsi="楷体" w:eastAsia="楷体" w:cs="楷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jc w:val="center"/>
        </w:trPr>
        <w:tc>
          <w:tcPr>
            <w:tcW w:w="1338" w:type="dxa"/>
            <w:vMerge w:val="restart"/>
            <w:vAlign w:val="center"/>
          </w:tcPr>
          <w:p>
            <w:pPr>
              <w:spacing w:line="400" w:lineRule="exact"/>
              <w:jc w:val="center"/>
              <w:rPr>
                <w:rFonts w:ascii="楷体" w:hAnsi="楷体" w:eastAsia="楷体" w:cs="楷体"/>
                <w:color w:val="000000"/>
                <w:sz w:val="28"/>
                <w:szCs w:val="28"/>
              </w:rPr>
            </w:pPr>
            <w:r>
              <w:rPr>
                <w:rFonts w:hint="eastAsia" w:ascii="楷体" w:hAnsi="楷体" w:eastAsia="楷体" w:cs="楷体"/>
                <w:color w:val="000000"/>
                <w:sz w:val="28"/>
                <w:szCs w:val="28"/>
              </w:rPr>
              <w:t>服</w:t>
            </w:r>
          </w:p>
          <w:p>
            <w:pPr>
              <w:spacing w:line="400" w:lineRule="exact"/>
              <w:jc w:val="center"/>
              <w:rPr>
                <w:rFonts w:ascii="楷体" w:hAnsi="楷体" w:eastAsia="楷体" w:cs="楷体"/>
                <w:color w:val="000000"/>
                <w:sz w:val="28"/>
                <w:szCs w:val="28"/>
              </w:rPr>
            </w:pPr>
            <w:r>
              <w:rPr>
                <w:rFonts w:hint="eastAsia" w:ascii="楷体" w:hAnsi="楷体" w:eastAsia="楷体" w:cs="楷体"/>
                <w:color w:val="000000"/>
                <w:sz w:val="28"/>
                <w:szCs w:val="28"/>
              </w:rPr>
              <w:t>务</w:t>
            </w:r>
          </w:p>
          <w:p>
            <w:pPr>
              <w:spacing w:line="400" w:lineRule="exact"/>
              <w:jc w:val="center"/>
              <w:rPr>
                <w:rFonts w:ascii="楷体" w:hAnsi="楷体" w:eastAsia="楷体" w:cs="楷体"/>
                <w:color w:val="000000"/>
                <w:sz w:val="28"/>
                <w:szCs w:val="28"/>
              </w:rPr>
            </w:pPr>
            <w:r>
              <w:rPr>
                <w:rFonts w:hint="eastAsia" w:ascii="楷体" w:hAnsi="楷体" w:eastAsia="楷体" w:cs="楷体"/>
                <w:color w:val="000000"/>
                <w:sz w:val="28"/>
                <w:szCs w:val="28"/>
              </w:rPr>
              <w:t>人</w:t>
            </w:r>
          </w:p>
          <w:p>
            <w:pPr>
              <w:spacing w:line="400" w:lineRule="exact"/>
              <w:jc w:val="center"/>
              <w:rPr>
                <w:rFonts w:ascii="楷体" w:hAnsi="楷体" w:eastAsia="楷体" w:cs="楷体"/>
                <w:color w:val="000000"/>
                <w:sz w:val="28"/>
                <w:szCs w:val="28"/>
              </w:rPr>
            </w:pPr>
            <w:r>
              <w:rPr>
                <w:rFonts w:hint="eastAsia" w:ascii="楷体" w:hAnsi="楷体" w:eastAsia="楷体" w:cs="楷体"/>
                <w:color w:val="000000"/>
                <w:sz w:val="28"/>
                <w:szCs w:val="28"/>
              </w:rPr>
              <w:t>员</w:t>
            </w:r>
          </w:p>
        </w:tc>
        <w:tc>
          <w:tcPr>
            <w:tcW w:w="1169" w:type="dxa"/>
            <w:vAlign w:val="center"/>
          </w:tcPr>
          <w:p>
            <w:pPr>
              <w:spacing w:line="400" w:lineRule="exact"/>
              <w:rPr>
                <w:rFonts w:ascii="楷体" w:hAnsi="楷体" w:eastAsia="楷体" w:cs="楷体"/>
                <w:color w:val="000000"/>
                <w:sz w:val="28"/>
                <w:szCs w:val="28"/>
              </w:rPr>
            </w:pPr>
            <w:r>
              <w:rPr>
                <w:rFonts w:hint="eastAsia" w:ascii="楷体" w:hAnsi="楷体" w:eastAsia="楷体" w:cs="楷体"/>
                <w:color w:val="000000"/>
                <w:sz w:val="28"/>
                <w:szCs w:val="28"/>
              </w:rPr>
              <w:t>.....</w:t>
            </w:r>
          </w:p>
        </w:tc>
        <w:tc>
          <w:tcPr>
            <w:tcW w:w="821" w:type="dxa"/>
            <w:vAlign w:val="center"/>
          </w:tcPr>
          <w:p>
            <w:pPr>
              <w:spacing w:line="400" w:lineRule="exact"/>
              <w:rPr>
                <w:rFonts w:ascii="楷体" w:hAnsi="楷体" w:eastAsia="楷体" w:cs="楷体"/>
                <w:color w:val="000000"/>
                <w:sz w:val="28"/>
                <w:szCs w:val="28"/>
              </w:rPr>
            </w:pPr>
          </w:p>
        </w:tc>
        <w:tc>
          <w:tcPr>
            <w:tcW w:w="1979" w:type="dxa"/>
            <w:vAlign w:val="center"/>
          </w:tcPr>
          <w:p>
            <w:pPr>
              <w:spacing w:line="400" w:lineRule="exact"/>
              <w:rPr>
                <w:rFonts w:ascii="楷体" w:hAnsi="楷体" w:eastAsia="楷体" w:cs="楷体"/>
                <w:color w:val="000000"/>
                <w:sz w:val="28"/>
                <w:szCs w:val="28"/>
              </w:rPr>
            </w:pPr>
          </w:p>
        </w:tc>
        <w:tc>
          <w:tcPr>
            <w:tcW w:w="1559" w:type="dxa"/>
            <w:vAlign w:val="center"/>
          </w:tcPr>
          <w:p>
            <w:pPr>
              <w:spacing w:line="400" w:lineRule="exact"/>
              <w:rPr>
                <w:rFonts w:ascii="楷体" w:hAnsi="楷体" w:eastAsia="楷体" w:cs="楷体"/>
                <w:color w:val="000000"/>
                <w:sz w:val="28"/>
                <w:szCs w:val="28"/>
              </w:rPr>
            </w:pPr>
          </w:p>
        </w:tc>
        <w:tc>
          <w:tcPr>
            <w:tcW w:w="2187" w:type="dxa"/>
            <w:vAlign w:val="center"/>
          </w:tcPr>
          <w:p>
            <w:pPr>
              <w:spacing w:line="400" w:lineRule="exact"/>
              <w:rPr>
                <w:rFonts w:ascii="楷体" w:hAnsi="楷体" w:eastAsia="楷体" w:cs="楷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jc w:val="center"/>
        </w:trPr>
        <w:tc>
          <w:tcPr>
            <w:tcW w:w="1338" w:type="dxa"/>
            <w:vMerge w:val="continue"/>
            <w:vAlign w:val="center"/>
          </w:tcPr>
          <w:p>
            <w:pPr>
              <w:spacing w:line="400" w:lineRule="exact"/>
              <w:jc w:val="center"/>
              <w:rPr>
                <w:rFonts w:ascii="楷体" w:hAnsi="楷体" w:eastAsia="楷体" w:cs="楷体"/>
                <w:color w:val="000000"/>
                <w:sz w:val="28"/>
                <w:szCs w:val="28"/>
              </w:rPr>
            </w:pPr>
          </w:p>
        </w:tc>
        <w:tc>
          <w:tcPr>
            <w:tcW w:w="1169" w:type="dxa"/>
            <w:vAlign w:val="center"/>
          </w:tcPr>
          <w:p>
            <w:pPr>
              <w:spacing w:line="400" w:lineRule="exact"/>
              <w:rPr>
                <w:rFonts w:ascii="楷体" w:hAnsi="楷体" w:eastAsia="楷体" w:cs="楷体"/>
                <w:color w:val="000000"/>
                <w:sz w:val="28"/>
                <w:szCs w:val="28"/>
              </w:rPr>
            </w:pPr>
          </w:p>
        </w:tc>
        <w:tc>
          <w:tcPr>
            <w:tcW w:w="821" w:type="dxa"/>
            <w:vAlign w:val="center"/>
          </w:tcPr>
          <w:p>
            <w:pPr>
              <w:spacing w:line="400" w:lineRule="exact"/>
              <w:rPr>
                <w:rFonts w:ascii="楷体" w:hAnsi="楷体" w:eastAsia="楷体" w:cs="楷体"/>
                <w:color w:val="000000"/>
                <w:sz w:val="28"/>
                <w:szCs w:val="28"/>
              </w:rPr>
            </w:pPr>
          </w:p>
        </w:tc>
        <w:tc>
          <w:tcPr>
            <w:tcW w:w="1979" w:type="dxa"/>
            <w:vAlign w:val="center"/>
          </w:tcPr>
          <w:p>
            <w:pPr>
              <w:spacing w:line="400" w:lineRule="exact"/>
              <w:rPr>
                <w:rFonts w:ascii="楷体" w:hAnsi="楷体" w:eastAsia="楷体" w:cs="楷体"/>
                <w:color w:val="000000"/>
                <w:sz w:val="28"/>
                <w:szCs w:val="28"/>
              </w:rPr>
            </w:pPr>
          </w:p>
        </w:tc>
        <w:tc>
          <w:tcPr>
            <w:tcW w:w="1559" w:type="dxa"/>
            <w:vAlign w:val="center"/>
          </w:tcPr>
          <w:p>
            <w:pPr>
              <w:spacing w:line="400" w:lineRule="exact"/>
              <w:rPr>
                <w:rFonts w:ascii="楷体" w:hAnsi="楷体" w:eastAsia="楷体" w:cs="楷体"/>
                <w:color w:val="000000"/>
                <w:sz w:val="28"/>
                <w:szCs w:val="28"/>
              </w:rPr>
            </w:pPr>
          </w:p>
        </w:tc>
        <w:tc>
          <w:tcPr>
            <w:tcW w:w="2187" w:type="dxa"/>
            <w:vAlign w:val="center"/>
          </w:tcPr>
          <w:p>
            <w:pPr>
              <w:spacing w:line="400" w:lineRule="exact"/>
              <w:rPr>
                <w:rFonts w:ascii="楷体" w:hAnsi="楷体" w:eastAsia="楷体" w:cs="楷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1338" w:type="dxa"/>
            <w:vMerge w:val="continue"/>
            <w:vAlign w:val="center"/>
          </w:tcPr>
          <w:p>
            <w:pPr>
              <w:spacing w:line="400" w:lineRule="exact"/>
              <w:jc w:val="center"/>
              <w:rPr>
                <w:rFonts w:ascii="楷体" w:hAnsi="楷体" w:eastAsia="楷体" w:cs="楷体"/>
                <w:color w:val="000000"/>
                <w:sz w:val="28"/>
                <w:szCs w:val="28"/>
              </w:rPr>
            </w:pPr>
          </w:p>
        </w:tc>
        <w:tc>
          <w:tcPr>
            <w:tcW w:w="1169" w:type="dxa"/>
            <w:vAlign w:val="center"/>
          </w:tcPr>
          <w:p>
            <w:pPr>
              <w:spacing w:line="400" w:lineRule="exact"/>
              <w:rPr>
                <w:rFonts w:ascii="楷体" w:hAnsi="楷体" w:eastAsia="楷体" w:cs="楷体"/>
                <w:color w:val="000000"/>
                <w:sz w:val="28"/>
                <w:szCs w:val="28"/>
              </w:rPr>
            </w:pPr>
          </w:p>
        </w:tc>
        <w:tc>
          <w:tcPr>
            <w:tcW w:w="821" w:type="dxa"/>
            <w:vAlign w:val="center"/>
          </w:tcPr>
          <w:p>
            <w:pPr>
              <w:spacing w:line="400" w:lineRule="exact"/>
              <w:rPr>
                <w:rFonts w:ascii="楷体" w:hAnsi="楷体" w:eastAsia="楷体" w:cs="楷体"/>
                <w:color w:val="000000"/>
                <w:sz w:val="28"/>
                <w:szCs w:val="28"/>
              </w:rPr>
            </w:pPr>
          </w:p>
        </w:tc>
        <w:tc>
          <w:tcPr>
            <w:tcW w:w="1979" w:type="dxa"/>
            <w:vAlign w:val="center"/>
          </w:tcPr>
          <w:p>
            <w:pPr>
              <w:spacing w:line="400" w:lineRule="exact"/>
              <w:rPr>
                <w:rFonts w:ascii="楷体" w:hAnsi="楷体" w:eastAsia="楷体" w:cs="楷体"/>
                <w:color w:val="000000"/>
                <w:sz w:val="28"/>
                <w:szCs w:val="28"/>
              </w:rPr>
            </w:pPr>
          </w:p>
        </w:tc>
        <w:tc>
          <w:tcPr>
            <w:tcW w:w="1559" w:type="dxa"/>
            <w:vAlign w:val="center"/>
          </w:tcPr>
          <w:p>
            <w:pPr>
              <w:spacing w:line="400" w:lineRule="exact"/>
              <w:rPr>
                <w:rFonts w:ascii="楷体" w:hAnsi="楷体" w:eastAsia="楷体" w:cs="楷体"/>
                <w:color w:val="000000"/>
                <w:sz w:val="28"/>
                <w:szCs w:val="28"/>
              </w:rPr>
            </w:pPr>
          </w:p>
        </w:tc>
        <w:tc>
          <w:tcPr>
            <w:tcW w:w="2187" w:type="dxa"/>
            <w:vAlign w:val="center"/>
          </w:tcPr>
          <w:p>
            <w:pPr>
              <w:spacing w:line="400" w:lineRule="exact"/>
              <w:rPr>
                <w:rFonts w:ascii="楷体" w:hAnsi="楷体" w:eastAsia="楷体" w:cs="楷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jc w:val="center"/>
        </w:trPr>
        <w:tc>
          <w:tcPr>
            <w:tcW w:w="1338" w:type="dxa"/>
            <w:vMerge w:val="restart"/>
            <w:vAlign w:val="center"/>
          </w:tcPr>
          <w:p>
            <w:pPr>
              <w:spacing w:line="400" w:lineRule="exact"/>
              <w:jc w:val="center"/>
              <w:rPr>
                <w:rFonts w:ascii="楷体" w:hAnsi="楷体" w:eastAsia="楷体" w:cs="楷体"/>
                <w:color w:val="000000"/>
                <w:sz w:val="28"/>
                <w:szCs w:val="28"/>
              </w:rPr>
            </w:pPr>
            <w:r>
              <w:rPr>
                <w:rFonts w:hint="eastAsia" w:ascii="楷体" w:hAnsi="楷体" w:eastAsia="楷体" w:cs="楷体"/>
                <w:color w:val="000000"/>
                <w:sz w:val="28"/>
                <w:szCs w:val="28"/>
              </w:rPr>
              <w:t>售后</w:t>
            </w:r>
          </w:p>
          <w:p>
            <w:pPr>
              <w:spacing w:line="400" w:lineRule="exact"/>
              <w:jc w:val="center"/>
              <w:rPr>
                <w:rFonts w:ascii="楷体" w:hAnsi="楷体" w:eastAsia="楷体" w:cs="楷体"/>
                <w:color w:val="000000"/>
                <w:sz w:val="28"/>
                <w:szCs w:val="28"/>
              </w:rPr>
            </w:pPr>
            <w:r>
              <w:rPr>
                <w:rFonts w:hint="eastAsia" w:ascii="楷体" w:hAnsi="楷体" w:eastAsia="楷体" w:cs="楷体"/>
                <w:color w:val="000000"/>
                <w:sz w:val="28"/>
                <w:szCs w:val="28"/>
              </w:rPr>
              <w:t>服务</w:t>
            </w:r>
          </w:p>
          <w:p>
            <w:pPr>
              <w:spacing w:line="400" w:lineRule="exact"/>
              <w:jc w:val="center"/>
              <w:rPr>
                <w:rFonts w:ascii="楷体" w:hAnsi="楷体" w:eastAsia="楷体" w:cs="楷体"/>
                <w:color w:val="000000"/>
                <w:sz w:val="28"/>
                <w:szCs w:val="28"/>
              </w:rPr>
            </w:pPr>
            <w:r>
              <w:rPr>
                <w:rFonts w:hint="eastAsia" w:ascii="楷体" w:hAnsi="楷体" w:eastAsia="楷体" w:cs="楷体"/>
                <w:color w:val="000000"/>
                <w:sz w:val="28"/>
                <w:szCs w:val="28"/>
              </w:rPr>
              <w:t>人员</w:t>
            </w:r>
          </w:p>
        </w:tc>
        <w:tc>
          <w:tcPr>
            <w:tcW w:w="1169" w:type="dxa"/>
            <w:vAlign w:val="center"/>
          </w:tcPr>
          <w:p>
            <w:pPr>
              <w:spacing w:line="400" w:lineRule="exact"/>
              <w:rPr>
                <w:rFonts w:ascii="楷体" w:hAnsi="楷体" w:eastAsia="楷体" w:cs="楷体"/>
                <w:color w:val="000000"/>
                <w:sz w:val="28"/>
                <w:szCs w:val="28"/>
              </w:rPr>
            </w:pPr>
            <w:r>
              <w:rPr>
                <w:rFonts w:hint="eastAsia" w:ascii="楷体" w:hAnsi="楷体" w:eastAsia="楷体" w:cs="楷体"/>
                <w:color w:val="000000"/>
                <w:sz w:val="28"/>
                <w:szCs w:val="28"/>
              </w:rPr>
              <w:t>.....</w:t>
            </w:r>
          </w:p>
        </w:tc>
        <w:tc>
          <w:tcPr>
            <w:tcW w:w="821" w:type="dxa"/>
            <w:vAlign w:val="center"/>
          </w:tcPr>
          <w:p>
            <w:pPr>
              <w:spacing w:line="400" w:lineRule="exact"/>
              <w:rPr>
                <w:rFonts w:ascii="楷体" w:hAnsi="楷体" w:eastAsia="楷体" w:cs="楷体"/>
                <w:color w:val="000000"/>
                <w:sz w:val="28"/>
                <w:szCs w:val="28"/>
              </w:rPr>
            </w:pPr>
          </w:p>
        </w:tc>
        <w:tc>
          <w:tcPr>
            <w:tcW w:w="1979" w:type="dxa"/>
            <w:vAlign w:val="center"/>
          </w:tcPr>
          <w:p>
            <w:pPr>
              <w:spacing w:line="400" w:lineRule="exact"/>
              <w:rPr>
                <w:rFonts w:ascii="楷体" w:hAnsi="楷体" w:eastAsia="楷体" w:cs="楷体"/>
                <w:color w:val="000000"/>
                <w:sz w:val="28"/>
                <w:szCs w:val="28"/>
              </w:rPr>
            </w:pPr>
          </w:p>
        </w:tc>
        <w:tc>
          <w:tcPr>
            <w:tcW w:w="1559" w:type="dxa"/>
            <w:vAlign w:val="center"/>
          </w:tcPr>
          <w:p>
            <w:pPr>
              <w:spacing w:line="400" w:lineRule="exact"/>
              <w:rPr>
                <w:rFonts w:ascii="楷体" w:hAnsi="楷体" w:eastAsia="楷体" w:cs="楷体"/>
                <w:color w:val="000000"/>
                <w:sz w:val="28"/>
                <w:szCs w:val="28"/>
              </w:rPr>
            </w:pPr>
          </w:p>
        </w:tc>
        <w:tc>
          <w:tcPr>
            <w:tcW w:w="2187" w:type="dxa"/>
            <w:vAlign w:val="center"/>
          </w:tcPr>
          <w:p>
            <w:pPr>
              <w:spacing w:line="400" w:lineRule="exact"/>
              <w:rPr>
                <w:rFonts w:ascii="楷体" w:hAnsi="楷体" w:eastAsia="楷体" w:cs="楷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338" w:type="dxa"/>
            <w:vMerge w:val="continue"/>
            <w:vAlign w:val="center"/>
          </w:tcPr>
          <w:p>
            <w:pPr>
              <w:spacing w:line="400" w:lineRule="exact"/>
              <w:rPr>
                <w:rFonts w:ascii="楷体" w:hAnsi="楷体" w:eastAsia="楷体" w:cs="楷体"/>
                <w:color w:val="000000"/>
                <w:sz w:val="28"/>
                <w:szCs w:val="28"/>
              </w:rPr>
            </w:pPr>
          </w:p>
        </w:tc>
        <w:tc>
          <w:tcPr>
            <w:tcW w:w="1169" w:type="dxa"/>
            <w:vAlign w:val="center"/>
          </w:tcPr>
          <w:p>
            <w:pPr>
              <w:spacing w:line="400" w:lineRule="exact"/>
              <w:rPr>
                <w:rFonts w:ascii="楷体" w:hAnsi="楷体" w:eastAsia="楷体" w:cs="楷体"/>
                <w:color w:val="000000"/>
                <w:sz w:val="28"/>
                <w:szCs w:val="28"/>
              </w:rPr>
            </w:pPr>
          </w:p>
        </w:tc>
        <w:tc>
          <w:tcPr>
            <w:tcW w:w="821" w:type="dxa"/>
            <w:vAlign w:val="center"/>
          </w:tcPr>
          <w:p>
            <w:pPr>
              <w:spacing w:line="400" w:lineRule="exact"/>
              <w:rPr>
                <w:rFonts w:ascii="楷体" w:hAnsi="楷体" w:eastAsia="楷体" w:cs="楷体"/>
                <w:b/>
                <w:bCs/>
                <w:color w:val="000000"/>
                <w:sz w:val="28"/>
                <w:szCs w:val="28"/>
              </w:rPr>
            </w:pPr>
          </w:p>
        </w:tc>
        <w:tc>
          <w:tcPr>
            <w:tcW w:w="1979" w:type="dxa"/>
            <w:vAlign w:val="center"/>
          </w:tcPr>
          <w:p>
            <w:pPr>
              <w:spacing w:line="400" w:lineRule="exact"/>
              <w:rPr>
                <w:rFonts w:ascii="楷体" w:hAnsi="楷体" w:eastAsia="楷体" w:cs="楷体"/>
                <w:b/>
                <w:bCs/>
                <w:color w:val="000000"/>
                <w:sz w:val="28"/>
                <w:szCs w:val="28"/>
              </w:rPr>
            </w:pPr>
          </w:p>
        </w:tc>
        <w:tc>
          <w:tcPr>
            <w:tcW w:w="1559" w:type="dxa"/>
            <w:vAlign w:val="center"/>
          </w:tcPr>
          <w:p>
            <w:pPr>
              <w:spacing w:line="400" w:lineRule="exact"/>
              <w:rPr>
                <w:rFonts w:ascii="楷体" w:hAnsi="楷体" w:eastAsia="楷体" w:cs="楷体"/>
                <w:b/>
                <w:bCs/>
                <w:color w:val="000000"/>
                <w:sz w:val="28"/>
                <w:szCs w:val="28"/>
              </w:rPr>
            </w:pPr>
          </w:p>
        </w:tc>
        <w:tc>
          <w:tcPr>
            <w:tcW w:w="2187" w:type="dxa"/>
            <w:vAlign w:val="center"/>
          </w:tcPr>
          <w:p>
            <w:pPr>
              <w:spacing w:line="400" w:lineRule="exact"/>
              <w:rPr>
                <w:rFonts w:ascii="楷体" w:hAnsi="楷体" w:eastAsia="楷体" w:cs="楷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1338" w:type="dxa"/>
            <w:vMerge w:val="continue"/>
            <w:vAlign w:val="center"/>
          </w:tcPr>
          <w:p>
            <w:pPr>
              <w:spacing w:line="400" w:lineRule="exact"/>
              <w:rPr>
                <w:rFonts w:ascii="楷体" w:hAnsi="楷体" w:eastAsia="楷体" w:cs="楷体"/>
                <w:color w:val="000000"/>
                <w:sz w:val="28"/>
                <w:szCs w:val="28"/>
              </w:rPr>
            </w:pPr>
          </w:p>
        </w:tc>
        <w:tc>
          <w:tcPr>
            <w:tcW w:w="1169" w:type="dxa"/>
            <w:vAlign w:val="center"/>
          </w:tcPr>
          <w:p>
            <w:pPr>
              <w:spacing w:line="400" w:lineRule="exact"/>
              <w:rPr>
                <w:rFonts w:ascii="楷体" w:hAnsi="楷体" w:eastAsia="楷体" w:cs="楷体"/>
                <w:color w:val="000000"/>
                <w:sz w:val="28"/>
                <w:szCs w:val="28"/>
              </w:rPr>
            </w:pPr>
          </w:p>
        </w:tc>
        <w:tc>
          <w:tcPr>
            <w:tcW w:w="821" w:type="dxa"/>
            <w:vAlign w:val="center"/>
          </w:tcPr>
          <w:p>
            <w:pPr>
              <w:spacing w:line="400" w:lineRule="exact"/>
              <w:rPr>
                <w:rFonts w:ascii="楷体" w:hAnsi="楷体" w:eastAsia="楷体" w:cs="楷体"/>
                <w:b/>
                <w:bCs/>
                <w:color w:val="000000"/>
                <w:sz w:val="28"/>
                <w:szCs w:val="28"/>
              </w:rPr>
            </w:pPr>
          </w:p>
        </w:tc>
        <w:tc>
          <w:tcPr>
            <w:tcW w:w="1979" w:type="dxa"/>
            <w:vAlign w:val="center"/>
          </w:tcPr>
          <w:p>
            <w:pPr>
              <w:spacing w:line="400" w:lineRule="exact"/>
              <w:rPr>
                <w:rFonts w:ascii="楷体" w:hAnsi="楷体" w:eastAsia="楷体" w:cs="楷体"/>
                <w:b/>
                <w:bCs/>
                <w:color w:val="000000"/>
                <w:sz w:val="28"/>
                <w:szCs w:val="28"/>
              </w:rPr>
            </w:pPr>
          </w:p>
        </w:tc>
        <w:tc>
          <w:tcPr>
            <w:tcW w:w="1559" w:type="dxa"/>
            <w:vAlign w:val="center"/>
          </w:tcPr>
          <w:p>
            <w:pPr>
              <w:spacing w:line="400" w:lineRule="exact"/>
              <w:rPr>
                <w:rFonts w:ascii="楷体" w:hAnsi="楷体" w:eastAsia="楷体" w:cs="楷体"/>
                <w:b/>
                <w:bCs/>
                <w:color w:val="000000"/>
                <w:sz w:val="28"/>
                <w:szCs w:val="28"/>
              </w:rPr>
            </w:pPr>
          </w:p>
        </w:tc>
        <w:tc>
          <w:tcPr>
            <w:tcW w:w="2187" w:type="dxa"/>
            <w:vAlign w:val="center"/>
          </w:tcPr>
          <w:p>
            <w:pPr>
              <w:spacing w:line="400" w:lineRule="exact"/>
              <w:rPr>
                <w:rFonts w:ascii="楷体" w:hAnsi="楷体" w:eastAsia="楷体" w:cs="楷体"/>
                <w:b/>
                <w:bCs/>
                <w:color w:val="000000"/>
                <w:sz w:val="28"/>
                <w:szCs w:val="28"/>
              </w:rPr>
            </w:pPr>
          </w:p>
        </w:tc>
      </w:tr>
    </w:tbl>
    <w:p>
      <w:pPr>
        <w:spacing w:line="360" w:lineRule="auto"/>
        <w:jc w:val="left"/>
        <w:rPr>
          <w:rFonts w:ascii="楷体" w:hAnsi="楷体" w:eastAsia="楷体" w:cs="楷体"/>
        </w:rPr>
      </w:pPr>
      <w:r>
        <w:rPr>
          <w:rFonts w:hint="eastAsia" w:ascii="楷体" w:hAnsi="楷体" w:eastAsia="楷体" w:cs="楷体"/>
          <w:szCs w:val="24"/>
        </w:rPr>
        <w:t>注：1.在填写时，如本表不适合投标人实际情况，可根据本表格式自行划表填写。</w:t>
      </w:r>
    </w:p>
    <w:p>
      <w:pPr>
        <w:spacing w:line="360" w:lineRule="auto"/>
        <w:ind w:firstLine="480" w:firstLineChars="200"/>
        <w:jc w:val="left"/>
        <w:rPr>
          <w:rFonts w:ascii="楷体" w:hAnsi="楷体" w:eastAsia="楷体" w:cs="楷体"/>
        </w:rPr>
      </w:pPr>
      <w:r>
        <w:rPr>
          <w:rFonts w:hint="eastAsia" w:ascii="楷体" w:hAnsi="楷体" w:eastAsia="楷体" w:cs="楷体"/>
          <w:szCs w:val="24"/>
        </w:rPr>
        <w:t>2.附人员相关证明材料。</w:t>
      </w:r>
    </w:p>
    <w:p>
      <w:pPr>
        <w:spacing w:line="360" w:lineRule="auto"/>
        <w:jc w:val="left"/>
        <w:rPr>
          <w:rFonts w:ascii="楷体" w:hAnsi="楷体" w:eastAsia="楷体" w:cs="楷体"/>
          <w:szCs w:val="24"/>
        </w:rPr>
      </w:pPr>
    </w:p>
    <w:p>
      <w:pPr>
        <w:pStyle w:val="10"/>
        <w:spacing w:line="360" w:lineRule="auto"/>
        <w:ind w:left="2880"/>
        <w:rPr>
          <w:rFonts w:ascii="楷体" w:hAnsi="楷体" w:eastAsia="楷体" w:cs="楷体"/>
        </w:rPr>
      </w:pPr>
    </w:p>
    <w:p>
      <w:pPr>
        <w:spacing w:line="360" w:lineRule="auto"/>
        <w:jc w:val="left"/>
        <w:rPr>
          <w:rFonts w:ascii="楷体" w:hAnsi="楷体" w:eastAsia="楷体" w:cs="楷体"/>
        </w:rPr>
      </w:pPr>
      <w:r>
        <w:rPr>
          <w:rFonts w:hint="eastAsia" w:ascii="楷体" w:hAnsi="楷体" w:eastAsia="楷体" w:cs="楷体"/>
        </w:rPr>
        <w:t>投标人名称（公章）：</w:t>
      </w:r>
    </w:p>
    <w:p>
      <w:pPr>
        <w:spacing w:line="360" w:lineRule="auto"/>
        <w:jc w:val="left"/>
        <w:rPr>
          <w:rFonts w:ascii="楷体" w:hAnsi="楷体" w:eastAsia="楷体" w:cs="楷体"/>
        </w:rPr>
      </w:pPr>
      <w:r>
        <w:rPr>
          <w:rFonts w:hint="eastAsia" w:ascii="楷体" w:hAnsi="楷体" w:eastAsia="楷体" w:cs="楷体"/>
        </w:rPr>
        <w:t>法定代表人/被授权人</w:t>
      </w:r>
      <w:r>
        <w:rPr>
          <w:rFonts w:hint="eastAsia" w:ascii="楷体" w:hAnsi="楷体" w:eastAsia="楷体" w:cs="楷体"/>
          <w:spacing w:val="4"/>
          <w:szCs w:val="24"/>
        </w:rPr>
        <w:t>（签字或盖章）</w:t>
      </w:r>
      <w:r>
        <w:rPr>
          <w:rFonts w:hint="eastAsia" w:ascii="楷体" w:hAnsi="楷体" w:eastAsia="楷体" w:cs="楷体"/>
        </w:rPr>
        <w:t>：</w:t>
      </w:r>
    </w:p>
    <w:p>
      <w:pPr>
        <w:spacing w:line="360" w:lineRule="auto"/>
        <w:rPr>
          <w:rFonts w:ascii="楷体" w:hAnsi="楷体" w:eastAsia="楷体" w:cs="楷体"/>
        </w:rPr>
      </w:pPr>
      <w:r>
        <w:rPr>
          <w:rFonts w:hint="eastAsia" w:ascii="楷体" w:hAnsi="楷体" w:eastAsia="楷体" w:cs="楷体"/>
          <w:szCs w:val="24"/>
        </w:rPr>
        <w:t>日    期：</w:t>
      </w:r>
    </w:p>
    <w:p>
      <w:pPr>
        <w:spacing w:line="360" w:lineRule="auto"/>
        <w:rPr>
          <w:rFonts w:ascii="楷体" w:hAnsi="楷体" w:eastAsia="楷体" w:cs="楷体"/>
          <w:b/>
          <w:bCs/>
          <w:sz w:val="30"/>
          <w:szCs w:val="30"/>
        </w:rPr>
      </w:pPr>
      <w:r>
        <w:rPr>
          <w:rFonts w:hint="eastAsia" w:ascii="楷体" w:hAnsi="楷体" w:eastAsia="楷体" w:cs="楷体"/>
          <w:b/>
          <w:bCs/>
          <w:sz w:val="30"/>
          <w:szCs w:val="30"/>
        </w:rPr>
        <w:br w:type="page"/>
      </w:r>
      <w:r>
        <w:rPr>
          <w:rFonts w:hint="eastAsia" w:ascii="楷体" w:hAnsi="楷体" w:eastAsia="楷体" w:cs="楷体"/>
          <w:b/>
          <w:bCs/>
          <w:sz w:val="30"/>
          <w:szCs w:val="30"/>
        </w:rPr>
        <w:t>附件5：</w:t>
      </w:r>
    </w:p>
    <w:p>
      <w:pPr>
        <w:spacing w:line="360" w:lineRule="auto"/>
        <w:jc w:val="center"/>
        <w:rPr>
          <w:rFonts w:ascii="楷体" w:hAnsi="楷体" w:eastAsia="楷体" w:cs="楷体"/>
          <w:b/>
          <w:bCs/>
          <w:sz w:val="30"/>
          <w:szCs w:val="30"/>
        </w:rPr>
      </w:pPr>
      <w:r>
        <w:rPr>
          <w:rFonts w:hint="eastAsia" w:ascii="楷体" w:hAnsi="楷体" w:eastAsia="楷体" w:cs="楷体"/>
          <w:b/>
          <w:bCs/>
          <w:sz w:val="30"/>
          <w:szCs w:val="30"/>
        </w:rPr>
        <w:t>项目负责人/项目经理简历表</w:t>
      </w:r>
    </w:p>
    <w:tbl>
      <w:tblPr>
        <w:tblStyle w:val="24"/>
        <w:tblW w:w="0" w:type="auto"/>
        <w:tblInd w:w="0" w:type="dxa"/>
        <w:tblLayout w:type="fixed"/>
        <w:tblCellMar>
          <w:top w:w="0" w:type="dxa"/>
          <w:left w:w="108" w:type="dxa"/>
          <w:bottom w:w="0" w:type="dxa"/>
          <w:right w:w="108" w:type="dxa"/>
        </w:tblCellMar>
      </w:tblPr>
      <w:tblGrid>
        <w:gridCol w:w="1413"/>
        <w:gridCol w:w="252"/>
        <w:gridCol w:w="1485"/>
        <w:gridCol w:w="1436"/>
        <w:gridCol w:w="1211"/>
        <w:gridCol w:w="41"/>
        <w:gridCol w:w="1608"/>
        <w:gridCol w:w="7"/>
        <w:gridCol w:w="1063"/>
      </w:tblGrid>
      <w:tr>
        <w:tblPrEx>
          <w:tblCellMar>
            <w:top w:w="0" w:type="dxa"/>
            <w:left w:w="108" w:type="dxa"/>
            <w:bottom w:w="0" w:type="dxa"/>
            <w:right w:w="108" w:type="dxa"/>
          </w:tblCellMar>
        </w:tblPrEx>
        <w:trPr>
          <w:trHeight w:val="521" w:hRule="atLeast"/>
        </w:trPr>
        <w:tc>
          <w:tcPr>
            <w:tcW w:w="166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楷体" w:hAnsi="楷体" w:eastAsia="楷体" w:cs="楷体"/>
                <w:szCs w:val="24"/>
              </w:rPr>
            </w:pPr>
            <w:r>
              <w:rPr>
                <w:rFonts w:hint="eastAsia" w:ascii="楷体" w:hAnsi="楷体" w:eastAsia="楷体" w:cs="楷体"/>
                <w:szCs w:val="24"/>
              </w:rPr>
              <w:t>姓  名</w:t>
            </w:r>
          </w:p>
        </w:tc>
        <w:tc>
          <w:tcPr>
            <w:tcW w:w="1485" w:type="dxa"/>
            <w:tcBorders>
              <w:top w:val="single" w:color="auto" w:sz="4" w:space="0"/>
              <w:left w:val="nil"/>
              <w:bottom w:val="single" w:color="auto" w:sz="4" w:space="0"/>
              <w:right w:val="single" w:color="auto" w:sz="4" w:space="0"/>
            </w:tcBorders>
            <w:vAlign w:val="center"/>
          </w:tcPr>
          <w:p>
            <w:pPr>
              <w:spacing w:line="360" w:lineRule="auto"/>
              <w:jc w:val="center"/>
              <w:rPr>
                <w:rFonts w:ascii="楷体" w:hAnsi="楷体" w:eastAsia="楷体" w:cs="楷体"/>
                <w:szCs w:val="24"/>
              </w:rPr>
            </w:pPr>
          </w:p>
        </w:tc>
        <w:tc>
          <w:tcPr>
            <w:tcW w:w="1436" w:type="dxa"/>
            <w:tcBorders>
              <w:top w:val="single" w:color="auto" w:sz="4" w:space="0"/>
              <w:left w:val="nil"/>
              <w:bottom w:val="single" w:color="auto" w:sz="4" w:space="0"/>
              <w:right w:val="single" w:color="auto" w:sz="4" w:space="0"/>
            </w:tcBorders>
            <w:vAlign w:val="center"/>
          </w:tcPr>
          <w:p>
            <w:pPr>
              <w:spacing w:line="360" w:lineRule="auto"/>
              <w:jc w:val="center"/>
              <w:rPr>
                <w:rFonts w:ascii="楷体" w:hAnsi="楷体" w:eastAsia="楷体" w:cs="楷体"/>
                <w:szCs w:val="24"/>
              </w:rPr>
            </w:pPr>
            <w:r>
              <w:rPr>
                <w:rFonts w:hint="eastAsia" w:ascii="楷体" w:hAnsi="楷体" w:eastAsia="楷体" w:cs="楷体"/>
                <w:szCs w:val="24"/>
              </w:rPr>
              <w:t>性 别</w:t>
            </w:r>
          </w:p>
        </w:tc>
        <w:tc>
          <w:tcPr>
            <w:tcW w:w="1252"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楷体" w:hAnsi="楷体" w:eastAsia="楷体" w:cs="楷体"/>
                <w:szCs w:val="24"/>
              </w:rPr>
            </w:pPr>
          </w:p>
        </w:tc>
        <w:tc>
          <w:tcPr>
            <w:tcW w:w="1608" w:type="dxa"/>
            <w:tcBorders>
              <w:top w:val="single" w:color="auto" w:sz="4" w:space="0"/>
              <w:left w:val="nil"/>
              <w:bottom w:val="single" w:color="auto" w:sz="4" w:space="0"/>
              <w:right w:val="single" w:color="auto" w:sz="4" w:space="0"/>
            </w:tcBorders>
            <w:vAlign w:val="center"/>
          </w:tcPr>
          <w:p>
            <w:pPr>
              <w:spacing w:line="360" w:lineRule="auto"/>
              <w:jc w:val="center"/>
              <w:rPr>
                <w:rFonts w:ascii="楷体" w:hAnsi="楷体" w:eastAsia="楷体" w:cs="楷体"/>
                <w:szCs w:val="24"/>
              </w:rPr>
            </w:pPr>
            <w:r>
              <w:rPr>
                <w:rFonts w:hint="eastAsia" w:ascii="楷体" w:hAnsi="楷体" w:eastAsia="楷体" w:cs="楷体"/>
                <w:szCs w:val="24"/>
              </w:rPr>
              <w:t>年 龄</w:t>
            </w:r>
          </w:p>
        </w:tc>
        <w:tc>
          <w:tcPr>
            <w:tcW w:w="1070"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楷体" w:hAnsi="楷体" w:eastAsia="楷体" w:cs="楷体"/>
                <w:szCs w:val="24"/>
              </w:rPr>
            </w:pPr>
          </w:p>
        </w:tc>
      </w:tr>
      <w:tr>
        <w:tblPrEx>
          <w:tblCellMar>
            <w:top w:w="0" w:type="dxa"/>
            <w:left w:w="108" w:type="dxa"/>
            <w:bottom w:w="0" w:type="dxa"/>
            <w:right w:w="108" w:type="dxa"/>
          </w:tblCellMar>
        </w:tblPrEx>
        <w:trPr>
          <w:trHeight w:val="522" w:hRule="atLeast"/>
        </w:trPr>
        <w:tc>
          <w:tcPr>
            <w:tcW w:w="166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楷体" w:hAnsi="楷体" w:eastAsia="楷体" w:cs="楷体"/>
                <w:szCs w:val="24"/>
              </w:rPr>
            </w:pPr>
            <w:r>
              <w:rPr>
                <w:rFonts w:hint="eastAsia" w:ascii="楷体" w:hAnsi="楷体" w:eastAsia="楷体" w:cs="楷体"/>
                <w:szCs w:val="24"/>
              </w:rPr>
              <w:t>职 称</w:t>
            </w:r>
          </w:p>
        </w:tc>
        <w:tc>
          <w:tcPr>
            <w:tcW w:w="1485" w:type="dxa"/>
            <w:tcBorders>
              <w:top w:val="single" w:color="auto" w:sz="4" w:space="0"/>
              <w:left w:val="nil"/>
              <w:bottom w:val="single" w:color="auto" w:sz="4" w:space="0"/>
              <w:right w:val="single" w:color="auto" w:sz="4" w:space="0"/>
            </w:tcBorders>
            <w:vAlign w:val="center"/>
          </w:tcPr>
          <w:p>
            <w:pPr>
              <w:spacing w:line="360" w:lineRule="auto"/>
              <w:jc w:val="center"/>
              <w:rPr>
                <w:rFonts w:ascii="楷体" w:hAnsi="楷体" w:eastAsia="楷体" w:cs="楷体"/>
                <w:szCs w:val="24"/>
              </w:rPr>
            </w:pPr>
          </w:p>
        </w:tc>
        <w:tc>
          <w:tcPr>
            <w:tcW w:w="1436" w:type="dxa"/>
            <w:tcBorders>
              <w:top w:val="single" w:color="auto" w:sz="4" w:space="0"/>
              <w:left w:val="nil"/>
              <w:bottom w:val="single" w:color="auto" w:sz="4" w:space="0"/>
              <w:right w:val="single" w:color="auto" w:sz="4" w:space="0"/>
            </w:tcBorders>
            <w:vAlign w:val="center"/>
          </w:tcPr>
          <w:p>
            <w:pPr>
              <w:spacing w:line="360" w:lineRule="auto"/>
              <w:jc w:val="center"/>
              <w:rPr>
                <w:rFonts w:ascii="楷体" w:hAnsi="楷体" w:eastAsia="楷体" w:cs="楷体"/>
                <w:szCs w:val="24"/>
              </w:rPr>
            </w:pPr>
            <w:r>
              <w:rPr>
                <w:rFonts w:hint="eastAsia" w:ascii="楷体" w:hAnsi="楷体" w:eastAsia="楷体" w:cs="楷体"/>
                <w:szCs w:val="24"/>
              </w:rPr>
              <w:t>身份证号</w:t>
            </w:r>
          </w:p>
        </w:tc>
        <w:tc>
          <w:tcPr>
            <w:tcW w:w="1252"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楷体" w:hAnsi="楷体" w:eastAsia="楷体" w:cs="楷体"/>
                <w:szCs w:val="24"/>
              </w:rPr>
            </w:pPr>
          </w:p>
        </w:tc>
        <w:tc>
          <w:tcPr>
            <w:tcW w:w="1608" w:type="dxa"/>
            <w:tcBorders>
              <w:top w:val="single" w:color="auto" w:sz="4" w:space="0"/>
              <w:left w:val="nil"/>
              <w:bottom w:val="single" w:color="auto" w:sz="4" w:space="0"/>
              <w:right w:val="single" w:color="auto" w:sz="4" w:space="0"/>
            </w:tcBorders>
            <w:vAlign w:val="center"/>
          </w:tcPr>
          <w:p>
            <w:pPr>
              <w:spacing w:line="360" w:lineRule="auto"/>
              <w:jc w:val="center"/>
              <w:rPr>
                <w:rFonts w:ascii="楷体" w:hAnsi="楷体" w:eastAsia="楷体" w:cs="楷体"/>
                <w:szCs w:val="24"/>
              </w:rPr>
            </w:pPr>
            <w:r>
              <w:rPr>
                <w:rFonts w:hint="eastAsia" w:ascii="楷体" w:hAnsi="楷体" w:eastAsia="楷体" w:cs="楷体"/>
                <w:szCs w:val="24"/>
              </w:rPr>
              <w:t>专业/年限</w:t>
            </w:r>
          </w:p>
        </w:tc>
        <w:tc>
          <w:tcPr>
            <w:tcW w:w="1070"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楷体" w:hAnsi="楷体" w:eastAsia="楷体" w:cs="楷体"/>
                <w:szCs w:val="24"/>
              </w:rPr>
            </w:pPr>
          </w:p>
        </w:tc>
      </w:tr>
      <w:tr>
        <w:tblPrEx>
          <w:tblCellMar>
            <w:top w:w="0" w:type="dxa"/>
            <w:left w:w="108" w:type="dxa"/>
            <w:bottom w:w="0" w:type="dxa"/>
            <w:right w:w="108" w:type="dxa"/>
          </w:tblCellMar>
        </w:tblPrEx>
        <w:trPr>
          <w:trHeight w:val="521" w:hRule="atLeast"/>
        </w:trPr>
        <w:tc>
          <w:tcPr>
            <w:tcW w:w="166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楷体" w:hAnsi="楷体" w:eastAsia="楷体" w:cs="楷体"/>
                <w:szCs w:val="24"/>
              </w:rPr>
            </w:pPr>
            <w:r>
              <w:rPr>
                <w:rFonts w:hint="eastAsia" w:ascii="楷体" w:hAnsi="楷体" w:eastAsia="楷体" w:cs="楷体"/>
                <w:szCs w:val="24"/>
              </w:rPr>
              <w:t>毕业时间</w:t>
            </w:r>
          </w:p>
        </w:tc>
        <w:tc>
          <w:tcPr>
            <w:tcW w:w="1485" w:type="dxa"/>
            <w:tcBorders>
              <w:top w:val="single" w:color="auto" w:sz="4" w:space="0"/>
              <w:left w:val="nil"/>
              <w:bottom w:val="single" w:color="auto" w:sz="4" w:space="0"/>
              <w:right w:val="single" w:color="auto" w:sz="4" w:space="0"/>
            </w:tcBorders>
            <w:vAlign w:val="center"/>
          </w:tcPr>
          <w:p>
            <w:pPr>
              <w:spacing w:line="360" w:lineRule="auto"/>
              <w:jc w:val="center"/>
              <w:rPr>
                <w:rFonts w:ascii="楷体" w:hAnsi="楷体" w:eastAsia="楷体" w:cs="楷体"/>
                <w:szCs w:val="24"/>
              </w:rPr>
            </w:pPr>
          </w:p>
        </w:tc>
        <w:tc>
          <w:tcPr>
            <w:tcW w:w="1436" w:type="dxa"/>
            <w:tcBorders>
              <w:top w:val="single" w:color="auto" w:sz="4" w:space="0"/>
              <w:left w:val="nil"/>
              <w:bottom w:val="single" w:color="auto" w:sz="4" w:space="0"/>
              <w:right w:val="single" w:color="auto" w:sz="4" w:space="0"/>
            </w:tcBorders>
            <w:vAlign w:val="center"/>
          </w:tcPr>
          <w:p>
            <w:pPr>
              <w:spacing w:line="360" w:lineRule="auto"/>
              <w:jc w:val="center"/>
              <w:rPr>
                <w:rFonts w:ascii="楷体" w:hAnsi="楷体" w:eastAsia="楷体" w:cs="楷体"/>
                <w:szCs w:val="24"/>
              </w:rPr>
            </w:pPr>
            <w:r>
              <w:rPr>
                <w:rFonts w:hint="eastAsia" w:ascii="楷体" w:hAnsi="楷体" w:eastAsia="楷体" w:cs="楷体"/>
                <w:szCs w:val="24"/>
              </w:rPr>
              <w:t>毕业学校</w:t>
            </w:r>
          </w:p>
        </w:tc>
        <w:tc>
          <w:tcPr>
            <w:tcW w:w="1252"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楷体" w:hAnsi="楷体" w:eastAsia="楷体" w:cs="楷体"/>
                <w:szCs w:val="24"/>
              </w:rPr>
            </w:pPr>
          </w:p>
        </w:tc>
        <w:tc>
          <w:tcPr>
            <w:tcW w:w="1608" w:type="dxa"/>
            <w:tcBorders>
              <w:top w:val="single" w:color="auto" w:sz="4" w:space="0"/>
              <w:left w:val="nil"/>
              <w:bottom w:val="single" w:color="auto" w:sz="4" w:space="0"/>
              <w:right w:val="single" w:color="auto" w:sz="4" w:space="0"/>
            </w:tcBorders>
            <w:vAlign w:val="center"/>
          </w:tcPr>
          <w:p>
            <w:pPr>
              <w:spacing w:line="360" w:lineRule="auto"/>
              <w:jc w:val="center"/>
              <w:rPr>
                <w:rFonts w:ascii="楷体" w:hAnsi="楷体" w:eastAsia="楷体" w:cs="楷体"/>
                <w:szCs w:val="24"/>
              </w:rPr>
            </w:pPr>
            <w:r>
              <w:rPr>
                <w:rFonts w:hint="eastAsia" w:ascii="楷体" w:hAnsi="楷体" w:eastAsia="楷体" w:cs="楷体"/>
                <w:szCs w:val="24"/>
              </w:rPr>
              <w:t>学历/专业</w:t>
            </w:r>
          </w:p>
        </w:tc>
        <w:tc>
          <w:tcPr>
            <w:tcW w:w="1070"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楷体" w:hAnsi="楷体" w:eastAsia="楷体" w:cs="楷体"/>
                <w:szCs w:val="24"/>
              </w:rPr>
            </w:pPr>
          </w:p>
        </w:tc>
      </w:tr>
      <w:tr>
        <w:tblPrEx>
          <w:tblCellMar>
            <w:top w:w="0" w:type="dxa"/>
            <w:left w:w="108" w:type="dxa"/>
            <w:bottom w:w="0" w:type="dxa"/>
            <w:right w:w="108" w:type="dxa"/>
          </w:tblCellMar>
        </w:tblPrEx>
        <w:trPr>
          <w:trHeight w:val="521" w:hRule="atLeast"/>
        </w:trPr>
        <w:tc>
          <w:tcPr>
            <w:tcW w:w="166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楷体" w:hAnsi="楷体" w:eastAsia="楷体" w:cs="楷体"/>
                <w:szCs w:val="24"/>
              </w:rPr>
            </w:pPr>
            <w:r>
              <w:rPr>
                <w:rFonts w:hint="eastAsia" w:ascii="楷体" w:hAnsi="楷体" w:eastAsia="楷体" w:cs="楷体"/>
                <w:szCs w:val="24"/>
              </w:rPr>
              <w:t>资格证书</w:t>
            </w:r>
          </w:p>
        </w:tc>
        <w:tc>
          <w:tcPr>
            <w:tcW w:w="1485" w:type="dxa"/>
            <w:tcBorders>
              <w:top w:val="single" w:color="auto" w:sz="4" w:space="0"/>
              <w:left w:val="nil"/>
              <w:bottom w:val="single" w:color="auto" w:sz="4" w:space="0"/>
              <w:right w:val="single" w:color="auto" w:sz="4" w:space="0"/>
            </w:tcBorders>
            <w:vAlign w:val="center"/>
          </w:tcPr>
          <w:p>
            <w:pPr>
              <w:spacing w:line="360" w:lineRule="auto"/>
              <w:jc w:val="center"/>
              <w:rPr>
                <w:rFonts w:ascii="楷体" w:hAnsi="楷体" w:eastAsia="楷体" w:cs="楷体"/>
                <w:szCs w:val="24"/>
              </w:rPr>
            </w:pPr>
          </w:p>
        </w:tc>
        <w:tc>
          <w:tcPr>
            <w:tcW w:w="1436" w:type="dxa"/>
            <w:tcBorders>
              <w:top w:val="single" w:color="auto" w:sz="4" w:space="0"/>
              <w:left w:val="nil"/>
              <w:bottom w:val="single" w:color="auto" w:sz="4" w:space="0"/>
              <w:right w:val="single" w:color="auto" w:sz="4" w:space="0"/>
            </w:tcBorders>
            <w:vAlign w:val="center"/>
          </w:tcPr>
          <w:p>
            <w:pPr>
              <w:spacing w:line="360" w:lineRule="auto"/>
              <w:jc w:val="center"/>
              <w:rPr>
                <w:rFonts w:ascii="楷体" w:hAnsi="楷体" w:eastAsia="楷体" w:cs="楷体"/>
                <w:szCs w:val="24"/>
              </w:rPr>
            </w:pPr>
            <w:r>
              <w:rPr>
                <w:rFonts w:hint="eastAsia" w:ascii="楷体" w:hAnsi="楷体" w:eastAsia="楷体" w:cs="楷体"/>
                <w:szCs w:val="24"/>
              </w:rPr>
              <w:t>注册时间</w:t>
            </w:r>
          </w:p>
        </w:tc>
        <w:tc>
          <w:tcPr>
            <w:tcW w:w="1252"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楷体" w:hAnsi="楷体" w:eastAsia="楷体" w:cs="楷体"/>
                <w:szCs w:val="24"/>
              </w:rPr>
            </w:pPr>
          </w:p>
        </w:tc>
        <w:tc>
          <w:tcPr>
            <w:tcW w:w="1608" w:type="dxa"/>
            <w:tcBorders>
              <w:top w:val="single" w:color="auto" w:sz="4" w:space="0"/>
              <w:left w:val="nil"/>
              <w:bottom w:val="single" w:color="auto" w:sz="4" w:space="0"/>
              <w:right w:val="single" w:color="auto" w:sz="4" w:space="0"/>
            </w:tcBorders>
            <w:vAlign w:val="center"/>
          </w:tcPr>
          <w:p>
            <w:pPr>
              <w:spacing w:line="360" w:lineRule="auto"/>
              <w:jc w:val="center"/>
              <w:rPr>
                <w:rFonts w:ascii="楷体" w:hAnsi="楷体" w:eastAsia="楷体" w:cs="楷体"/>
                <w:szCs w:val="24"/>
              </w:rPr>
            </w:pPr>
            <w:r>
              <w:rPr>
                <w:rFonts w:hint="eastAsia" w:ascii="楷体" w:hAnsi="楷体" w:eastAsia="楷体" w:cs="楷体"/>
                <w:szCs w:val="24"/>
              </w:rPr>
              <w:t>从业时间</w:t>
            </w:r>
          </w:p>
        </w:tc>
        <w:tc>
          <w:tcPr>
            <w:tcW w:w="1070"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楷体" w:hAnsi="楷体" w:eastAsia="楷体" w:cs="楷体"/>
                <w:szCs w:val="24"/>
              </w:rPr>
            </w:pPr>
          </w:p>
        </w:tc>
      </w:tr>
      <w:tr>
        <w:tblPrEx>
          <w:tblCellMar>
            <w:top w:w="0" w:type="dxa"/>
            <w:left w:w="108" w:type="dxa"/>
            <w:bottom w:w="0" w:type="dxa"/>
            <w:right w:w="108" w:type="dxa"/>
          </w:tblCellMar>
        </w:tblPrEx>
        <w:trPr>
          <w:trHeight w:val="522" w:hRule="atLeast"/>
        </w:trPr>
        <w:tc>
          <w:tcPr>
            <w:tcW w:w="315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楷体" w:hAnsi="楷体" w:eastAsia="楷体" w:cs="楷体"/>
                <w:szCs w:val="24"/>
              </w:rPr>
            </w:pPr>
            <w:r>
              <w:rPr>
                <w:rFonts w:hint="eastAsia" w:ascii="楷体" w:hAnsi="楷体" w:eastAsia="楷体" w:cs="楷体"/>
                <w:szCs w:val="24"/>
              </w:rPr>
              <w:t>是否属投标人固定雇员</w:t>
            </w:r>
          </w:p>
        </w:tc>
        <w:tc>
          <w:tcPr>
            <w:tcW w:w="1436" w:type="dxa"/>
            <w:tcBorders>
              <w:top w:val="single" w:color="auto" w:sz="4" w:space="0"/>
              <w:left w:val="nil"/>
              <w:bottom w:val="single" w:color="auto" w:sz="4" w:space="0"/>
              <w:right w:val="single" w:color="auto" w:sz="4" w:space="0"/>
            </w:tcBorders>
            <w:vAlign w:val="center"/>
          </w:tcPr>
          <w:p>
            <w:pPr>
              <w:spacing w:line="360" w:lineRule="auto"/>
              <w:jc w:val="center"/>
              <w:rPr>
                <w:rFonts w:ascii="楷体" w:hAnsi="楷体" w:eastAsia="楷体" w:cs="楷体"/>
                <w:szCs w:val="24"/>
              </w:rPr>
            </w:pPr>
          </w:p>
        </w:tc>
        <w:tc>
          <w:tcPr>
            <w:tcW w:w="2860"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楷体" w:hAnsi="楷体" w:eastAsia="楷体" w:cs="楷体"/>
                <w:szCs w:val="24"/>
              </w:rPr>
            </w:pPr>
            <w:r>
              <w:rPr>
                <w:rFonts w:hint="eastAsia" w:ascii="楷体" w:hAnsi="楷体" w:eastAsia="楷体" w:cs="楷体"/>
                <w:szCs w:val="24"/>
              </w:rPr>
              <w:t>为投标人服务时间</w:t>
            </w:r>
          </w:p>
        </w:tc>
        <w:tc>
          <w:tcPr>
            <w:tcW w:w="1070"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楷体" w:hAnsi="楷体" w:eastAsia="楷体" w:cs="楷体"/>
                <w:szCs w:val="24"/>
              </w:rPr>
            </w:pPr>
          </w:p>
        </w:tc>
      </w:tr>
      <w:tr>
        <w:tblPrEx>
          <w:tblCellMar>
            <w:top w:w="0" w:type="dxa"/>
            <w:left w:w="108" w:type="dxa"/>
            <w:bottom w:w="0" w:type="dxa"/>
            <w:right w:w="108" w:type="dxa"/>
          </w:tblCellMar>
        </w:tblPrEx>
        <w:trPr>
          <w:trHeight w:val="521" w:hRule="atLeast"/>
        </w:trPr>
        <w:tc>
          <w:tcPr>
            <w:tcW w:w="315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楷体" w:hAnsi="楷体" w:eastAsia="楷体" w:cs="楷体"/>
                <w:szCs w:val="24"/>
              </w:rPr>
            </w:pPr>
            <w:r>
              <w:rPr>
                <w:rFonts w:hint="eastAsia" w:ascii="楷体" w:hAnsi="楷体" w:eastAsia="楷体" w:cs="楷体"/>
                <w:szCs w:val="24"/>
              </w:rPr>
              <w:t>拟在本项目担任职务</w:t>
            </w:r>
          </w:p>
        </w:tc>
        <w:tc>
          <w:tcPr>
            <w:tcW w:w="5366" w:type="dxa"/>
            <w:gridSpan w:val="6"/>
            <w:tcBorders>
              <w:top w:val="single" w:color="auto" w:sz="4" w:space="0"/>
              <w:left w:val="nil"/>
              <w:bottom w:val="single" w:color="auto" w:sz="4" w:space="0"/>
              <w:right w:val="single" w:color="auto" w:sz="4" w:space="0"/>
            </w:tcBorders>
            <w:vAlign w:val="center"/>
          </w:tcPr>
          <w:p>
            <w:pPr>
              <w:spacing w:line="360" w:lineRule="auto"/>
              <w:jc w:val="center"/>
              <w:rPr>
                <w:rFonts w:ascii="楷体" w:hAnsi="楷体" w:eastAsia="楷体" w:cs="楷体"/>
                <w:szCs w:val="24"/>
              </w:rPr>
            </w:pPr>
          </w:p>
        </w:tc>
      </w:tr>
      <w:tr>
        <w:tblPrEx>
          <w:tblCellMar>
            <w:top w:w="0" w:type="dxa"/>
            <w:left w:w="108" w:type="dxa"/>
            <w:bottom w:w="0" w:type="dxa"/>
            <w:right w:w="108" w:type="dxa"/>
          </w:tblCellMar>
        </w:tblPrEx>
        <w:trPr>
          <w:trHeight w:val="546" w:hRule="atLeast"/>
        </w:trPr>
        <w:tc>
          <w:tcPr>
            <w:tcW w:w="8516" w:type="dxa"/>
            <w:gridSpan w:val="9"/>
            <w:tcBorders>
              <w:top w:val="single" w:color="auto" w:sz="4" w:space="0"/>
              <w:left w:val="single" w:color="auto" w:sz="4" w:space="0"/>
              <w:bottom w:val="single" w:color="auto" w:sz="4" w:space="0"/>
              <w:right w:val="single" w:color="auto" w:sz="4" w:space="0"/>
            </w:tcBorders>
            <w:vAlign w:val="center"/>
          </w:tcPr>
          <w:p>
            <w:pPr>
              <w:pStyle w:val="45"/>
              <w:spacing w:line="360" w:lineRule="auto"/>
              <w:ind w:left="0" w:leftChars="0"/>
              <w:rPr>
                <w:rFonts w:ascii="楷体" w:hAnsi="楷体" w:eastAsia="楷体" w:cs="楷体"/>
              </w:rPr>
            </w:pPr>
            <w:r>
              <w:rPr>
                <w:rFonts w:hint="eastAsia" w:ascii="楷体" w:hAnsi="楷体" w:eastAsia="楷体" w:cs="楷体"/>
              </w:rPr>
              <w:t>工作经历</w:t>
            </w:r>
          </w:p>
        </w:tc>
      </w:tr>
      <w:tr>
        <w:tblPrEx>
          <w:tblCellMar>
            <w:top w:w="0" w:type="dxa"/>
            <w:left w:w="108" w:type="dxa"/>
            <w:bottom w:w="0" w:type="dxa"/>
            <w:right w:w="108" w:type="dxa"/>
          </w:tblCellMar>
        </w:tblPrEx>
        <w:trPr>
          <w:trHeight w:val="546" w:hRule="atLeast"/>
        </w:trPr>
        <w:tc>
          <w:tcPr>
            <w:tcW w:w="1413" w:type="dxa"/>
            <w:tcBorders>
              <w:top w:val="single" w:color="auto" w:sz="4" w:space="0"/>
              <w:left w:val="single" w:color="auto" w:sz="4" w:space="0"/>
              <w:bottom w:val="single" w:color="auto" w:sz="4" w:space="0"/>
              <w:right w:val="single" w:color="auto" w:sz="4" w:space="0"/>
            </w:tcBorders>
            <w:vAlign w:val="center"/>
          </w:tcPr>
          <w:p>
            <w:pPr>
              <w:pStyle w:val="45"/>
              <w:spacing w:line="360" w:lineRule="auto"/>
              <w:ind w:left="0" w:leftChars="0"/>
              <w:rPr>
                <w:rFonts w:ascii="楷体" w:hAnsi="楷体" w:eastAsia="楷体" w:cs="楷体"/>
              </w:rPr>
            </w:pPr>
            <w:r>
              <w:rPr>
                <w:rFonts w:hint="eastAsia" w:ascii="楷体" w:hAnsi="楷体" w:eastAsia="楷体" w:cs="楷体"/>
              </w:rPr>
              <w:t>时  间</w:t>
            </w:r>
          </w:p>
        </w:tc>
        <w:tc>
          <w:tcPr>
            <w:tcW w:w="3173" w:type="dxa"/>
            <w:gridSpan w:val="3"/>
            <w:tcBorders>
              <w:top w:val="single" w:color="auto" w:sz="4" w:space="0"/>
              <w:left w:val="nil"/>
              <w:bottom w:val="single" w:color="auto" w:sz="4" w:space="0"/>
              <w:right w:val="single" w:color="auto" w:sz="4" w:space="0"/>
            </w:tcBorders>
            <w:vAlign w:val="center"/>
          </w:tcPr>
          <w:p>
            <w:pPr>
              <w:pStyle w:val="45"/>
              <w:spacing w:line="360" w:lineRule="auto"/>
              <w:ind w:left="0" w:leftChars="0"/>
              <w:rPr>
                <w:rFonts w:ascii="楷体" w:hAnsi="楷体" w:eastAsia="楷体" w:cs="楷体"/>
                <w:sz w:val="21"/>
                <w:szCs w:val="21"/>
              </w:rPr>
            </w:pPr>
            <w:r>
              <w:rPr>
                <w:rFonts w:hint="eastAsia" w:ascii="楷体" w:hAnsi="楷体" w:eastAsia="楷体" w:cs="楷体"/>
              </w:rPr>
              <w:t>参加过的项目名称</w:t>
            </w:r>
          </w:p>
          <w:p>
            <w:pPr>
              <w:pStyle w:val="45"/>
              <w:spacing w:line="360" w:lineRule="auto"/>
              <w:ind w:left="0" w:leftChars="0"/>
              <w:rPr>
                <w:rFonts w:ascii="楷体" w:hAnsi="楷体" w:eastAsia="楷体" w:cs="楷体"/>
              </w:rPr>
            </w:pPr>
            <w:r>
              <w:rPr>
                <w:rFonts w:hint="eastAsia" w:ascii="楷体" w:hAnsi="楷体" w:eastAsia="楷体" w:cs="楷体"/>
              </w:rPr>
              <w:t>及当时所在单位</w:t>
            </w:r>
          </w:p>
        </w:tc>
        <w:tc>
          <w:tcPr>
            <w:tcW w:w="1211" w:type="dxa"/>
            <w:tcBorders>
              <w:top w:val="single" w:color="auto" w:sz="4" w:space="0"/>
              <w:left w:val="nil"/>
              <w:bottom w:val="single" w:color="auto" w:sz="4" w:space="0"/>
              <w:right w:val="single" w:color="auto" w:sz="4" w:space="0"/>
            </w:tcBorders>
            <w:vAlign w:val="center"/>
          </w:tcPr>
          <w:p>
            <w:pPr>
              <w:pStyle w:val="45"/>
              <w:spacing w:line="360" w:lineRule="auto"/>
              <w:ind w:left="0" w:leftChars="0"/>
              <w:rPr>
                <w:rFonts w:ascii="楷体" w:hAnsi="楷体" w:eastAsia="楷体" w:cs="楷体"/>
              </w:rPr>
            </w:pPr>
            <w:r>
              <w:rPr>
                <w:rFonts w:hint="eastAsia" w:ascii="楷体" w:hAnsi="楷体" w:eastAsia="楷体" w:cs="楷体"/>
              </w:rPr>
              <w:t>担任何职</w:t>
            </w:r>
          </w:p>
        </w:tc>
        <w:tc>
          <w:tcPr>
            <w:tcW w:w="1656" w:type="dxa"/>
            <w:gridSpan w:val="3"/>
            <w:tcBorders>
              <w:top w:val="single" w:color="auto" w:sz="4" w:space="0"/>
              <w:left w:val="nil"/>
              <w:bottom w:val="single" w:color="auto" w:sz="4" w:space="0"/>
              <w:right w:val="single" w:color="auto" w:sz="4" w:space="0"/>
            </w:tcBorders>
            <w:vAlign w:val="center"/>
          </w:tcPr>
          <w:p>
            <w:pPr>
              <w:pStyle w:val="45"/>
              <w:spacing w:line="360" w:lineRule="auto"/>
              <w:ind w:left="0" w:leftChars="0"/>
              <w:rPr>
                <w:rFonts w:ascii="楷体" w:hAnsi="楷体" w:eastAsia="楷体" w:cs="楷体"/>
              </w:rPr>
            </w:pPr>
            <w:r>
              <w:rPr>
                <w:rFonts w:hint="eastAsia" w:ascii="楷体" w:hAnsi="楷体" w:eastAsia="楷体" w:cs="楷体"/>
              </w:rPr>
              <w:t>主要工作内容</w:t>
            </w:r>
          </w:p>
        </w:tc>
        <w:tc>
          <w:tcPr>
            <w:tcW w:w="1063" w:type="dxa"/>
            <w:tcBorders>
              <w:top w:val="single" w:color="auto" w:sz="4" w:space="0"/>
              <w:left w:val="nil"/>
              <w:bottom w:val="single" w:color="auto" w:sz="4" w:space="0"/>
              <w:right w:val="single" w:color="auto" w:sz="4" w:space="0"/>
            </w:tcBorders>
            <w:vAlign w:val="center"/>
          </w:tcPr>
          <w:p>
            <w:pPr>
              <w:pStyle w:val="45"/>
              <w:spacing w:line="360" w:lineRule="auto"/>
              <w:ind w:left="0" w:leftChars="0"/>
              <w:rPr>
                <w:rFonts w:ascii="楷体" w:hAnsi="楷体" w:eastAsia="楷体" w:cs="楷体"/>
              </w:rPr>
            </w:pPr>
            <w:r>
              <w:rPr>
                <w:rFonts w:hint="eastAsia" w:ascii="楷体" w:hAnsi="楷体" w:eastAsia="楷体" w:cs="楷体"/>
              </w:rPr>
              <w:t>备 注</w:t>
            </w:r>
          </w:p>
        </w:tc>
      </w:tr>
      <w:tr>
        <w:tblPrEx>
          <w:tblCellMar>
            <w:top w:w="0" w:type="dxa"/>
            <w:left w:w="108" w:type="dxa"/>
            <w:bottom w:w="0" w:type="dxa"/>
            <w:right w:w="108" w:type="dxa"/>
          </w:tblCellMar>
        </w:tblPrEx>
        <w:trPr>
          <w:trHeight w:val="546" w:hRule="atLeast"/>
        </w:trPr>
        <w:tc>
          <w:tcPr>
            <w:tcW w:w="1413" w:type="dxa"/>
            <w:tcBorders>
              <w:top w:val="single" w:color="auto" w:sz="4" w:space="0"/>
              <w:left w:val="single" w:color="auto" w:sz="4" w:space="0"/>
              <w:bottom w:val="single" w:color="auto" w:sz="4" w:space="0"/>
              <w:right w:val="single" w:color="auto" w:sz="4" w:space="0"/>
            </w:tcBorders>
            <w:vAlign w:val="center"/>
          </w:tcPr>
          <w:p>
            <w:pPr>
              <w:pStyle w:val="45"/>
              <w:spacing w:line="360" w:lineRule="auto"/>
              <w:ind w:left="0" w:leftChars="0"/>
              <w:jc w:val="both"/>
              <w:rPr>
                <w:rFonts w:ascii="楷体" w:hAnsi="楷体" w:eastAsia="楷体" w:cs="楷体"/>
              </w:rPr>
            </w:pPr>
          </w:p>
        </w:tc>
        <w:tc>
          <w:tcPr>
            <w:tcW w:w="3173" w:type="dxa"/>
            <w:gridSpan w:val="3"/>
            <w:tcBorders>
              <w:top w:val="single" w:color="auto" w:sz="4" w:space="0"/>
              <w:left w:val="nil"/>
              <w:bottom w:val="single" w:color="auto" w:sz="4" w:space="0"/>
              <w:right w:val="single" w:color="auto" w:sz="4" w:space="0"/>
            </w:tcBorders>
            <w:vAlign w:val="center"/>
          </w:tcPr>
          <w:p>
            <w:pPr>
              <w:pStyle w:val="45"/>
              <w:spacing w:line="360" w:lineRule="auto"/>
              <w:ind w:left="0" w:leftChars="0"/>
              <w:jc w:val="both"/>
              <w:rPr>
                <w:rFonts w:ascii="楷体" w:hAnsi="楷体" w:eastAsia="楷体" w:cs="楷体"/>
              </w:rPr>
            </w:pPr>
          </w:p>
        </w:tc>
        <w:tc>
          <w:tcPr>
            <w:tcW w:w="1211" w:type="dxa"/>
            <w:tcBorders>
              <w:top w:val="single" w:color="auto" w:sz="4" w:space="0"/>
              <w:left w:val="nil"/>
              <w:bottom w:val="single" w:color="auto" w:sz="4" w:space="0"/>
              <w:right w:val="single" w:color="auto" w:sz="4" w:space="0"/>
            </w:tcBorders>
            <w:vAlign w:val="center"/>
          </w:tcPr>
          <w:p>
            <w:pPr>
              <w:pStyle w:val="45"/>
              <w:spacing w:line="360" w:lineRule="auto"/>
              <w:ind w:left="0" w:leftChars="0"/>
              <w:jc w:val="both"/>
              <w:rPr>
                <w:rFonts w:ascii="楷体" w:hAnsi="楷体" w:eastAsia="楷体" w:cs="楷体"/>
              </w:rPr>
            </w:pPr>
          </w:p>
        </w:tc>
        <w:tc>
          <w:tcPr>
            <w:tcW w:w="1656" w:type="dxa"/>
            <w:gridSpan w:val="3"/>
            <w:tcBorders>
              <w:top w:val="single" w:color="auto" w:sz="4" w:space="0"/>
              <w:left w:val="nil"/>
              <w:bottom w:val="single" w:color="auto" w:sz="4" w:space="0"/>
              <w:right w:val="single" w:color="auto" w:sz="4" w:space="0"/>
            </w:tcBorders>
            <w:vAlign w:val="center"/>
          </w:tcPr>
          <w:p>
            <w:pPr>
              <w:pStyle w:val="45"/>
              <w:spacing w:line="360" w:lineRule="auto"/>
              <w:ind w:left="0" w:leftChars="0"/>
              <w:jc w:val="both"/>
              <w:rPr>
                <w:rFonts w:ascii="楷体" w:hAnsi="楷体" w:eastAsia="楷体" w:cs="楷体"/>
              </w:rPr>
            </w:pPr>
          </w:p>
        </w:tc>
        <w:tc>
          <w:tcPr>
            <w:tcW w:w="1063" w:type="dxa"/>
            <w:tcBorders>
              <w:top w:val="single" w:color="auto" w:sz="4" w:space="0"/>
              <w:left w:val="nil"/>
              <w:bottom w:val="single" w:color="auto" w:sz="4" w:space="0"/>
              <w:right w:val="single" w:color="auto" w:sz="4" w:space="0"/>
            </w:tcBorders>
            <w:vAlign w:val="center"/>
          </w:tcPr>
          <w:p>
            <w:pPr>
              <w:pStyle w:val="45"/>
              <w:spacing w:line="360" w:lineRule="auto"/>
              <w:ind w:left="0" w:leftChars="0"/>
              <w:jc w:val="both"/>
              <w:rPr>
                <w:rFonts w:ascii="楷体" w:hAnsi="楷体" w:eastAsia="楷体" w:cs="楷体"/>
              </w:rPr>
            </w:pPr>
          </w:p>
        </w:tc>
      </w:tr>
      <w:tr>
        <w:tblPrEx>
          <w:tblCellMar>
            <w:top w:w="0" w:type="dxa"/>
            <w:left w:w="108" w:type="dxa"/>
            <w:bottom w:w="0" w:type="dxa"/>
            <w:right w:w="108" w:type="dxa"/>
          </w:tblCellMar>
        </w:tblPrEx>
        <w:trPr>
          <w:trHeight w:val="547" w:hRule="atLeast"/>
        </w:trPr>
        <w:tc>
          <w:tcPr>
            <w:tcW w:w="1413" w:type="dxa"/>
            <w:tcBorders>
              <w:top w:val="single" w:color="auto" w:sz="4" w:space="0"/>
              <w:left w:val="single" w:color="auto" w:sz="4" w:space="0"/>
              <w:bottom w:val="single" w:color="auto" w:sz="4" w:space="0"/>
              <w:right w:val="single" w:color="auto" w:sz="4" w:space="0"/>
            </w:tcBorders>
            <w:vAlign w:val="center"/>
          </w:tcPr>
          <w:p>
            <w:pPr>
              <w:pStyle w:val="45"/>
              <w:spacing w:line="360" w:lineRule="auto"/>
              <w:ind w:left="0" w:leftChars="0"/>
              <w:jc w:val="both"/>
              <w:rPr>
                <w:rFonts w:ascii="楷体" w:hAnsi="楷体" w:eastAsia="楷体" w:cs="楷体"/>
              </w:rPr>
            </w:pPr>
          </w:p>
        </w:tc>
        <w:tc>
          <w:tcPr>
            <w:tcW w:w="3173" w:type="dxa"/>
            <w:gridSpan w:val="3"/>
            <w:tcBorders>
              <w:top w:val="single" w:color="auto" w:sz="4" w:space="0"/>
              <w:left w:val="nil"/>
              <w:bottom w:val="single" w:color="auto" w:sz="4" w:space="0"/>
              <w:right w:val="single" w:color="auto" w:sz="4" w:space="0"/>
            </w:tcBorders>
            <w:vAlign w:val="center"/>
          </w:tcPr>
          <w:p>
            <w:pPr>
              <w:pStyle w:val="45"/>
              <w:spacing w:line="360" w:lineRule="auto"/>
              <w:ind w:left="0" w:leftChars="0"/>
              <w:jc w:val="both"/>
              <w:rPr>
                <w:rFonts w:ascii="楷体" w:hAnsi="楷体" w:eastAsia="楷体" w:cs="楷体"/>
              </w:rPr>
            </w:pPr>
          </w:p>
        </w:tc>
        <w:tc>
          <w:tcPr>
            <w:tcW w:w="1211" w:type="dxa"/>
            <w:tcBorders>
              <w:top w:val="single" w:color="auto" w:sz="4" w:space="0"/>
              <w:left w:val="nil"/>
              <w:bottom w:val="single" w:color="auto" w:sz="4" w:space="0"/>
              <w:right w:val="single" w:color="auto" w:sz="4" w:space="0"/>
            </w:tcBorders>
            <w:vAlign w:val="center"/>
          </w:tcPr>
          <w:p>
            <w:pPr>
              <w:pStyle w:val="45"/>
              <w:spacing w:line="360" w:lineRule="auto"/>
              <w:ind w:left="0" w:leftChars="0"/>
              <w:jc w:val="both"/>
              <w:rPr>
                <w:rFonts w:ascii="楷体" w:hAnsi="楷体" w:eastAsia="楷体" w:cs="楷体"/>
              </w:rPr>
            </w:pPr>
          </w:p>
        </w:tc>
        <w:tc>
          <w:tcPr>
            <w:tcW w:w="1656" w:type="dxa"/>
            <w:gridSpan w:val="3"/>
            <w:tcBorders>
              <w:top w:val="single" w:color="auto" w:sz="4" w:space="0"/>
              <w:left w:val="nil"/>
              <w:bottom w:val="single" w:color="auto" w:sz="4" w:space="0"/>
              <w:right w:val="single" w:color="auto" w:sz="4" w:space="0"/>
            </w:tcBorders>
            <w:vAlign w:val="center"/>
          </w:tcPr>
          <w:p>
            <w:pPr>
              <w:pStyle w:val="45"/>
              <w:spacing w:line="360" w:lineRule="auto"/>
              <w:ind w:left="0" w:leftChars="0"/>
              <w:jc w:val="both"/>
              <w:rPr>
                <w:rFonts w:ascii="楷体" w:hAnsi="楷体" w:eastAsia="楷体" w:cs="楷体"/>
              </w:rPr>
            </w:pPr>
          </w:p>
        </w:tc>
        <w:tc>
          <w:tcPr>
            <w:tcW w:w="1063" w:type="dxa"/>
            <w:tcBorders>
              <w:top w:val="single" w:color="auto" w:sz="4" w:space="0"/>
              <w:left w:val="nil"/>
              <w:bottom w:val="single" w:color="auto" w:sz="4" w:space="0"/>
              <w:right w:val="single" w:color="auto" w:sz="4" w:space="0"/>
            </w:tcBorders>
            <w:vAlign w:val="center"/>
          </w:tcPr>
          <w:p>
            <w:pPr>
              <w:pStyle w:val="45"/>
              <w:spacing w:line="360" w:lineRule="auto"/>
              <w:ind w:left="0" w:leftChars="0"/>
              <w:jc w:val="both"/>
              <w:rPr>
                <w:rFonts w:ascii="楷体" w:hAnsi="楷体" w:eastAsia="楷体" w:cs="楷体"/>
              </w:rPr>
            </w:pPr>
          </w:p>
        </w:tc>
      </w:tr>
      <w:tr>
        <w:tblPrEx>
          <w:tblCellMar>
            <w:top w:w="0" w:type="dxa"/>
            <w:left w:w="108" w:type="dxa"/>
            <w:bottom w:w="0" w:type="dxa"/>
            <w:right w:w="108" w:type="dxa"/>
          </w:tblCellMar>
        </w:tblPrEx>
        <w:trPr>
          <w:trHeight w:val="546" w:hRule="atLeast"/>
        </w:trPr>
        <w:tc>
          <w:tcPr>
            <w:tcW w:w="1413" w:type="dxa"/>
            <w:tcBorders>
              <w:top w:val="single" w:color="auto" w:sz="4" w:space="0"/>
              <w:left w:val="single" w:color="auto" w:sz="4" w:space="0"/>
              <w:bottom w:val="single" w:color="auto" w:sz="4" w:space="0"/>
              <w:right w:val="single" w:color="auto" w:sz="4" w:space="0"/>
            </w:tcBorders>
            <w:vAlign w:val="center"/>
          </w:tcPr>
          <w:p>
            <w:pPr>
              <w:pStyle w:val="45"/>
              <w:spacing w:line="360" w:lineRule="auto"/>
              <w:ind w:left="0" w:leftChars="0"/>
              <w:jc w:val="both"/>
              <w:rPr>
                <w:rFonts w:ascii="楷体" w:hAnsi="楷体" w:eastAsia="楷体" w:cs="楷体"/>
              </w:rPr>
            </w:pPr>
          </w:p>
        </w:tc>
        <w:tc>
          <w:tcPr>
            <w:tcW w:w="3173" w:type="dxa"/>
            <w:gridSpan w:val="3"/>
            <w:tcBorders>
              <w:top w:val="single" w:color="auto" w:sz="4" w:space="0"/>
              <w:left w:val="nil"/>
              <w:bottom w:val="single" w:color="auto" w:sz="4" w:space="0"/>
              <w:right w:val="single" w:color="auto" w:sz="4" w:space="0"/>
            </w:tcBorders>
            <w:vAlign w:val="center"/>
          </w:tcPr>
          <w:p>
            <w:pPr>
              <w:pStyle w:val="45"/>
              <w:spacing w:line="360" w:lineRule="auto"/>
              <w:ind w:left="0" w:leftChars="0"/>
              <w:jc w:val="both"/>
              <w:rPr>
                <w:rFonts w:ascii="楷体" w:hAnsi="楷体" w:eastAsia="楷体" w:cs="楷体"/>
              </w:rPr>
            </w:pPr>
          </w:p>
        </w:tc>
        <w:tc>
          <w:tcPr>
            <w:tcW w:w="1211" w:type="dxa"/>
            <w:tcBorders>
              <w:top w:val="single" w:color="auto" w:sz="4" w:space="0"/>
              <w:left w:val="nil"/>
              <w:bottom w:val="single" w:color="auto" w:sz="4" w:space="0"/>
              <w:right w:val="single" w:color="auto" w:sz="4" w:space="0"/>
            </w:tcBorders>
            <w:vAlign w:val="center"/>
          </w:tcPr>
          <w:p>
            <w:pPr>
              <w:pStyle w:val="45"/>
              <w:spacing w:line="360" w:lineRule="auto"/>
              <w:ind w:left="0" w:leftChars="0"/>
              <w:jc w:val="both"/>
              <w:rPr>
                <w:rFonts w:ascii="楷体" w:hAnsi="楷体" w:eastAsia="楷体" w:cs="楷体"/>
              </w:rPr>
            </w:pPr>
          </w:p>
        </w:tc>
        <w:tc>
          <w:tcPr>
            <w:tcW w:w="1656" w:type="dxa"/>
            <w:gridSpan w:val="3"/>
            <w:tcBorders>
              <w:top w:val="single" w:color="auto" w:sz="4" w:space="0"/>
              <w:left w:val="nil"/>
              <w:bottom w:val="single" w:color="auto" w:sz="4" w:space="0"/>
              <w:right w:val="single" w:color="auto" w:sz="4" w:space="0"/>
            </w:tcBorders>
            <w:vAlign w:val="center"/>
          </w:tcPr>
          <w:p>
            <w:pPr>
              <w:pStyle w:val="45"/>
              <w:spacing w:line="360" w:lineRule="auto"/>
              <w:ind w:left="0" w:leftChars="0"/>
              <w:jc w:val="both"/>
              <w:rPr>
                <w:rFonts w:ascii="楷体" w:hAnsi="楷体" w:eastAsia="楷体" w:cs="楷体"/>
              </w:rPr>
            </w:pPr>
          </w:p>
        </w:tc>
        <w:tc>
          <w:tcPr>
            <w:tcW w:w="1063" w:type="dxa"/>
            <w:tcBorders>
              <w:top w:val="single" w:color="auto" w:sz="4" w:space="0"/>
              <w:left w:val="nil"/>
              <w:bottom w:val="single" w:color="auto" w:sz="4" w:space="0"/>
              <w:right w:val="single" w:color="auto" w:sz="4" w:space="0"/>
            </w:tcBorders>
            <w:vAlign w:val="center"/>
          </w:tcPr>
          <w:p>
            <w:pPr>
              <w:pStyle w:val="45"/>
              <w:spacing w:line="360" w:lineRule="auto"/>
              <w:ind w:left="0" w:leftChars="0"/>
              <w:jc w:val="both"/>
              <w:rPr>
                <w:rFonts w:ascii="楷体" w:hAnsi="楷体" w:eastAsia="楷体" w:cs="楷体"/>
              </w:rPr>
            </w:pPr>
          </w:p>
        </w:tc>
      </w:tr>
      <w:tr>
        <w:tblPrEx>
          <w:tblCellMar>
            <w:top w:w="0" w:type="dxa"/>
            <w:left w:w="108" w:type="dxa"/>
            <w:bottom w:w="0" w:type="dxa"/>
            <w:right w:w="108" w:type="dxa"/>
          </w:tblCellMar>
        </w:tblPrEx>
        <w:trPr>
          <w:trHeight w:val="546" w:hRule="atLeast"/>
        </w:trPr>
        <w:tc>
          <w:tcPr>
            <w:tcW w:w="1413" w:type="dxa"/>
            <w:tcBorders>
              <w:top w:val="single" w:color="auto" w:sz="4" w:space="0"/>
              <w:left w:val="single" w:color="auto" w:sz="4" w:space="0"/>
              <w:bottom w:val="single" w:color="auto" w:sz="4" w:space="0"/>
              <w:right w:val="single" w:color="auto" w:sz="4" w:space="0"/>
            </w:tcBorders>
            <w:vAlign w:val="center"/>
          </w:tcPr>
          <w:p>
            <w:pPr>
              <w:pStyle w:val="45"/>
              <w:spacing w:line="360" w:lineRule="auto"/>
              <w:ind w:left="0" w:leftChars="0"/>
              <w:jc w:val="both"/>
              <w:rPr>
                <w:rFonts w:ascii="楷体" w:hAnsi="楷体" w:eastAsia="楷体" w:cs="楷体"/>
              </w:rPr>
            </w:pPr>
          </w:p>
        </w:tc>
        <w:tc>
          <w:tcPr>
            <w:tcW w:w="3173" w:type="dxa"/>
            <w:gridSpan w:val="3"/>
            <w:tcBorders>
              <w:top w:val="single" w:color="auto" w:sz="4" w:space="0"/>
              <w:left w:val="nil"/>
              <w:bottom w:val="single" w:color="auto" w:sz="4" w:space="0"/>
              <w:right w:val="single" w:color="auto" w:sz="4" w:space="0"/>
            </w:tcBorders>
            <w:vAlign w:val="center"/>
          </w:tcPr>
          <w:p>
            <w:pPr>
              <w:pStyle w:val="45"/>
              <w:spacing w:line="360" w:lineRule="auto"/>
              <w:ind w:left="0" w:leftChars="0"/>
              <w:jc w:val="both"/>
              <w:rPr>
                <w:rFonts w:ascii="楷体" w:hAnsi="楷体" w:eastAsia="楷体" w:cs="楷体"/>
              </w:rPr>
            </w:pPr>
          </w:p>
        </w:tc>
        <w:tc>
          <w:tcPr>
            <w:tcW w:w="1211" w:type="dxa"/>
            <w:tcBorders>
              <w:top w:val="single" w:color="auto" w:sz="4" w:space="0"/>
              <w:left w:val="nil"/>
              <w:bottom w:val="single" w:color="auto" w:sz="4" w:space="0"/>
              <w:right w:val="single" w:color="auto" w:sz="4" w:space="0"/>
            </w:tcBorders>
            <w:vAlign w:val="center"/>
          </w:tcPr>
          <w:p>
            <w:pPr>
              <w:pStyle w:val="45"/>
              <w:spacing w:line="360" w:lineRule="auto"/>
              <w:ind w:left="0" w:leftChars="0"/>
              <w:jc w:val="both"/>
              <w:rPr>
                <w:rFonts w:ascii="楷体" w:hAnsi="楷体" w:eastAsia="楷体" w:cs="楷体"/>
              </w:rPr>
            </w:pPr>
          </w:p>
        </w:tc>
        <w:tc>
          <w:tcPr>
            <w:tcW w:w="1656" w:type="dxa"/>
            <w:gridSpan w:val="3"/>
            <w:tcBorders>
              <w:top w:val="single" w:color="auto" w:sz="4" w:space="0"/>
              <w:left w:val="nil"/>
              <w:bottom w:val="single" w:color="auto" w:sz="4" w:space="0"/>
              <w:right w:val="single" w:color="auto" w:sz="4" w:space="0"/>
            </w:tcBorders>
            <w:vAlign w:val="center"/>
          </w:tcPr>
          <w:p>
            <w:pPr>
              <w:pStyle w:val="45"/>
              <w:spacing w:line="360" w:lineRule="auto"/>
              <w:ind w:left="0" w:leftChars="0"/>
              <w:jc w:val="both"/>
              <w:rPr>
                <w:rFonts w:ascii="楷体" w:hAnsi="楷体" w:eastAsia="楷体" w:cs="楷体"/>
              </w:rPr>
            </w:pPr>
          </w:p>
        </w:tc>
        <w:tc>
          <w:tcPr>
            <w:tcW w:w="1063" w:type="dxa"/>
            <w:tcBorders>
              <w:top w:val="single" w:color="auto" w:sz="4" w:space="0"/>
              <w:left w:val="nil"/>
              <w:bottom w:val="single" w:color="auto" w:sz="4" w:space="0"/>
              <w:right w:val="single" w:color="auto" w:sz="4" w:space="0"/>
            </w:tcBorders>
            <w:vAlign w:val="center"/>
          </w:tcPr>
          <w:p>
            <w:pPr>
              <w:pStyle w:val="45"/>
              <w:spacing w:line="360" w:lineRule="auto"/>
              <w:ind w:left="0" w:leftChars="0"/>
              <w:jc w:val="both"/>
              <w:rPr>
                <w:rFonts w:ascii="楷体" w:hAnsi="楷体" w:eastAsia="楷体" w:cs="楷体"/>
              </w:rPr>
            </w:pPr>
          </w:p>
        </w:tc>
      </w:tr>
      <w:tr>
        <w:tblPrEx>
          <w:tblCellMar>
            <w:top w:w="0" w:type="dxa"/>
            <w:left w:w="108" w:type="dxa"/>
            <w:bottom w:w="0" w:type="dxa"/>
            <w:right w:w="108" w:type="dxa"/>
          </w:tblCellMar>
        </w:tblPrEx>
        <w:trPr>
          <w:trHeight w:val="546" w:hRule="atLeast"/>
        </w:trPr>
        <w:tc>
          <w:tcPr>
            <w:tcW w:w="1413" w:type="dxa"/>
            <w:tcBorders>
              <w:top w:val="single" w:color="auto" w:sz="4" w:space="0"/>
              <w:left w:val="single" w:color="auto" w:sz="4" w:space="0"/>
              <w:bottom w:val="single" w:color="auto" w:sz="4" w:space="0"/>
              <w:right w:val="single" w:color="auto" w:sz="4" w:space="0"/>
            </w:tcBorders>
            <w:vAlign w:val="center"/>
          </w:tcPr>
          <w:p>
            <w:pPr>
              <w:pStyle w:val="45"/>
              <w:spacing w:line="360" w:lineRule="auto"/>
              <w:ind w:left="0" w:leftChars="0" w:firstLine="480" w:firstLineChars="200"/>
              <w:jc w:val="both"/>
              <w:rPr>
                <w:rFonts w:ascii="楷体" w:hAnsi="楷体" w:eastAsia="楷体" w:cs="楷体"/>
              </w:rPr>
            </w:pPr>
          </w:p>
        </w:tc>
        <w:tc>
          <w:tcPr>
            <w:tcW w:w="3173" w:type="dxa"/>
            <w:gridSpan w:val="3"/>
            <w:tcBorders>
              <w:top w:val="single" w:color="auto" w:sz="4" w:space="0"/>
              <w:left w:val="nil"/>
              <w:bottom w:val="single" w:color="auto" w:sz="4" w:space="0"/>
              <w:right w:val="single" w:color="auto" w:sz="4" w:space="0"/>
            </w:tcBorders>
            <w:vAlign w:val="center"/>
          </w:tcPr>
          <w:p>
            <w:pPr>
              <w:pStyle w:val="45"/>
              <w:spacing w:line="360" w:lineRule="auto"/>
              <w:ind w:left="0" w:leftChars="0" w:firstLine="480" w:firstLineChars="200"/>
              <w:jc w:val="both"/>
              <w:rPr>
                <w:rFonts w:ascii="楷体" w:hAnsi="楷体" w:eastAsia="楷体" w:cs="楷体"/>
              </w:rPr>
            </w:pPr>
          </w:p>
        </w:tc>
        <w:tc>
          <w:tcPr>
            <w:tcW w:w="1211" w:type="dxa"/>
            <w:tcBorders>
              <w:top w:val="single" w:color="auto" w:sz="4" w:space="0"/>
              <w:left w:val="nil"/>
              <w:bottom w:val="single" w:color="auto" w:sz="4" w:space="0"/>
              <w:right w:val="single" w:color="auto" w:sz="4" w:space="0"/>
            </w:tcBorders>
            <w:vAlign w:val="center"/>
          </w:tcPr>
          <w:p>
            <w:pPr>
              <w:pStyle w:val="45"/>
              <w:spacing w:line="360" w:lineRule="auto"/>
              <w:ind w:left="0" w:leftChars="0" w:firstLine="480" w:firstLineChars="200"/>
              <w:jc w:val="both"/>
              <w:rPr>
                <w:rFonts w:ascii="楷体" w:hAnsi="楷体" w:eastAsia="楷体" w:cs="楷体"/>
              </w:rPr>
            </w:pPr>
          </w:p>
        </w:tc>
        <w:tc>
          <w:tcPr>
            <w:tcW w:w="1656" w:type="dxa"/>
            <w:gridSpan w:val="3"/>
            <w:tcBorders>
              <w:top w:val="single" w:color="auto" w:sz="4" w:space="0"/>
              <w:left w:val="nil"/>
              <w:bottom w:val="single" w:color="auto" w:sz="4" w:space="0"/>
              <w:right w:val="single" w:color="auto" w:sz="4" w:space="0"/>
            </w:tcBorders>
            <w:vAlign w:val="center"/>
          </w:tcPr>
          <w:p>
            <w:pPr>
              <w:pStyle w:val="45"/>
              <w:spacing w:line="360" w:lineRule="auto"/>
              <w:ind w:left="0" w:leftChars="0" w:firstLine="480" w:firstLineChars="200"/>
              <w:jc w:val="both"/>
              <w:rPr>
                <w:rFonts w:ascii="楷体" w:hAnsi="楷体" w:eastAsia="楷体" w:cs="楷体"/>
              </w:rPr>
            </w:pPr>
          </w:p>
        </w:tc>
        <w:tc>
          <w:tcPr>
            <w:tcW w:w="1063" w:type="dxa"/>
            <w:tcBorders>
              <w:top w:val="single" w:color="auto" w:sz="4" w:space="0"/>
              <w:left w:val="nil"/>
              <w:bottom w:val="single" w:color="auto" w:sz="4" w:space="0"/>
              <w:right w:val="single" w:color="auto" w:sz="4" w:space="0"/>
            </w:tcBorders>
            <w:vAlign w:val="center"/>
          </w:tcPr>
          <w:p>
            <w:pPr>
              <w:pStyle w:val="45"/>
              <w:spacing w:line="360" w:lineRule="auto"/>
              <w:ind w:left="0" w:leftChars="0" w:firstLine="480" w:firstLineChars="200"/>
              <w:jc w:val="both"/>
              <w:rPr>
                <w:rFonts w:ascii="楷体" w:hAnsi="楷体" w:eastAsia="楷体" w:cs="楷体"/>
              </w:rPr>
            </w:pPr>
          </w:p>
        </w:tc>
      </w:tr>
      <w:tr>
        <w:tblPrEx>
          <w:tblCellMar>
            <w:top w:w="0" w:type="dxa"/>
            <w:left w:w="108" w:type="dxa"/>
            <w:bottom w:w="0" w:type="dxa"/>
            <w:right w:w="108" w:type="dxa"/>
          </w:tblCellMar>
        </w:tblPrEx>
        <w:trPr>
          <w:trHeight w:val="546" w:hRule="atLeast"/>
        </w:trPr>
        <w:tc>
          <w:tcPr>
            <w:tcW w:w="1413" w:type="dxa"/>
            <w:tcBorders>
              <w:top w:val="single" w:color="auto" w:sz="4" w:space="0"/>
              <w:left w:val="single" w:color="auto" w:sz="4" w:space="0"/>
              <w:bottom w:val="single" w:color="auto" w:sz="4" w:space="0"/>
              <w:right w:val="single" w:color="auto" w:sz="4" w:space="0"/>
            </w:tcBorders>
            <w:vAlign w:val="center"/>
          </w:tcPr>
          <w:p>
            <w:pPr>
              <w:pStyle w:val="45"/>
              <w:spacing w:line="360" w:lineRule="auto"/>
              <w:ind w:left="0" w:leftChars="0" w:firstLine="480" w:firstLineChars="200"/>
              <w:jc w:val="both"/>
              <w:rPr>
                <w:rFonts w:ascii="楷体" w:hAnsi="楷体" w:eastAsia="楷体" w:cs="楷体"/>
              </w:rPr>
            </w:pPr>
          </w:p>
        </w:tc>
        <w:tc>
          <w:tcPr>
            <w:tcW w:w="3173" w:type="dxa"/>
            <w:gridSpan w:val="3"/>
            <w:tcBorders>
              <w:top w:val="single" w:color="auto" w:sz="4" w:space="0"/>
              <w:left w:val="nil"/>
              <w:bottom w:val="single" w:color="auto" w:sz="4" w:space="0"/>
              <w:right w:val="single" w:color="auto" w:sz="4" w:space="0"/>
            </w:tcBorders>
            <w:vAlign w:val="center"/>
          </w:tcPr>
          <w:p>
            <w:pPr>
              <w:pStyle w:val="45"/>
              <w:spacing w:line="360" w:lineRule="auto"/>
              <w:ind w:left="0" w:leftChars="0" w:firstLine="480" w:firstLineChars="200"/>
              <w:jc w:val="both"/>
              <w:rPr>
                <w:rFonts w:ascii="楷体" w:hAnsi="楷体" w:eastAsia="楷体" w:cs="楷体"/>
              </w:rPr>
            </w:pPr>
          </w:p>
        </w:tc>
        <w:tc>
          <w:tcPr>
            <w:tcW w:w="1211" w:type="dxa"/>
            <w:tcBorders>
              <w:top w:val="single" w:color="auto" w:sz="4" w:space="0"/>
              <w:left w:val="nil"/>
              <w:bottom w:val="single" w:color="auto" w:sz="4" w:space="0"/>
              <w:right w:val="single" w:color="auto" w:sz="4" w:space="0"/>
            </w:tcBorders>
            <w:vAlign w:val="center"/>
          </w:tcPr>
          <w:p>
            <w:pPr>
              <w:pStyle w:val="45"/>
              <w:spacing w:line="360" w:lineRule="auto"/>
              <w:ind w:left="0" w:leftChars="0" w:firstLine="480" w:firstLineChars="200"/>
              <w:jc w:val="both"/>
              <w:rPr>
                <w:rFonts w:ascii="楷体" w:hAnsi="楷体" w:eastAsia="楷体" w:cs="楷体"/>
              </w:rPr>
            </w:pPr>
          </w:p>
        </w:tc>
        <w:tc>
          <w:tcPr>
            <w:tcW w:w="1656" w:type="dxa"/>
            <w:gridSpan w:val="3"/>
            <w:tcBorders>
              <w:top w:val="single" w:color="auto" w:sz="4" w:space="0"/>
              <w:left w:val="nil"/>
              <w:bottom w:val="single" w:color="auto" w:sz="4" w:space="0"/>
              <w:right w:val="single" w:color="auto" w:sz="4" w:space="0"/>
            </w:tcBorders>
            <w:vAlign w:val="center"/>
          </w:tcPr>
          <w:p>
            <w:pPr>
              <w:pStyle w:val="45"/>
              <w:spacing w:line="360" w:lineRule="auto"/>
              <w:ind w:left="0" w:leftChars="0" w:firstLine="480" w:firstLineChars="200"/>
              <w:jc w:val="both"/>
              <w:rPr>
                <w:rFonts w:ascii="楷体" w:hAnsi="楷体" w:eastAsia="楷体" w:cs="楷体"/>
              </w:rPr>
            </w:pPr>
          </w:p>
        </w:tc>
        <w:tc>
          <w:tcPr>
            <w:tcW w:w="1063" w:type="dxa"/>
            <w:tcBorders>
              <w:top w:val="single" w:color="auto" w:sz="4" w:space="0"/>
              <w:left w:val="nil"/>
              <w:bottom w:val="single" w:color="auto" w:sz="4" w:space="0"/>
              <w:right w:val="single" w:color="auto" w:sz="4" w:space="0"/>
            </w:tcBorders>
            <w:vAlign w:val="center"/>
          </w:tcPr>
          <w:p>
            <w:pPr>
              <w:pStyle w:val="45"/>
              <w:spacing w:line="360" w:lineRule="auto"/>
              <w:ind w:left="0" w:leftChars="0" w:firstLine="480" w:firstLineChars="200"/>
              <w:jc w:val="both"/>
              <w:rPr>
                <w:rFonts w:ascii="楷体" w:hAnsi="楷体" w:eastAsia="楷体" w:cs="楷体"/>
              </w:rPr>
            </w:pPr>
          </w:p>
        </w:tc>
      </w:tr>
    </w:tbl>
    <w:p>
      <w:pPr>
        <w:pStyle w:val="46"/>
        <w:spacing w:beforeLines="0" w:line="360" w:lineRule="auto"/>
        <w:ind w:left="0" w:firstLine="0" w:firstLineChars="0"/>
        <w:rPr>
          <w:rFonts w:ascii="楷体" w:hAnsi="楷体" w:eastAsia="楷体" w:cs="楷体"/>
          <w:color w:val="auto"/>
        </w:rPr>
      </w:pPr>
      <w:r>
        <w:rPr>
          <w:rFonts w:hint="eastAsia" w:ascii="楷体" w:hAnsi="楷体" w:eastAsia="楷体" w:cs="楷体"/>
          <w:b/>
          <w:color w:val="auto"/>
        </w:rPr>
        <w:t>注：附人员相关证明材料。</w:t>
      </w:r>
    </w:p>
    <w:p>
      <w:pPr>
        <w:spacing w:line="360" w:lineRule="auto"/>
        <w:jc w:val="left"/>
        <w:rPr>
          <w:rFonts w:ascii="楷体" w:hAnsi="楷体" w:eastAsia="楷体" w:cs="楷体"/>
        </w:rPr>
      </w:pPr>
    </w:p>
    <w:p>
      <w:pPr>
        <w:spacing w:line="360" w:lineRule="auto"/>
        <w:jc w:val="left"/>
        <w:rPr>
          <w:rFonts w:ascii="楷体" w:hAnsi="楷体" w:eastAsia="楷体" w:cs="楷体"/>
        </w:rPr>
      </w:pPr>
    </w:p>
    <w:p>
      <w:pPr>
        <w:spacing w:line="360" w:lineRule="auto"/>
        <w:jc w:val="left"/>
        <w:rPr>
          <w:rFonts w:ascii="楷体" w:hAnsi="楷体" w:eastAsia="楷体" w:cs="楷体"/>
        </w:rPr>
      </w:pPr>
      <w:r>
        <w:rPr>
          <w:rFonts w:hint="eastAsia" w:ascii="楷体" w:hAnsi="楷体" w:eastAsia="楷体" w:cs="楷体"/>
        </w:rPr>
        <w:t xml:space="preserve">投标人名称（公章）  ：          </w:t>
      </w:r>
    </w:p>
    <w:p>
      <w:pPr>
        <w:spacing w:line="360" w:lineRule="auto"/>
        <w:jc w:val="left"/>
        <w:rPr>
          <w:rFonts w:ascii="楷体" w:hAnsi="楷体" w:eastAsia="楷体" w:cs="楷体"/>
        </w:rPr>
      </w:pPr>
      <w:r>
        <w:rPr>
          <w:rFonts w:hint="eastAsia" w:ascii="楷体" w:hAnsi="楷体" w:eastAsia="楷体" w:cs="楷体"/>
        </w:rPr>
        <w:t>法定代表人/被授权人</w:t>
      </w:r>
      <w:r>
        <w:rPr>
          <w:rFonts w:hint="eastAsia" w:ascii="楷体" w:hAnsi="楷体" w:eastAsia="楷体" w:cs="楷体"/>
          <w:spacing w:val="4"/>
          <w:szCs w:val="24"/>
        </w:rPr>
        <w:t>（签字或盖章）</w:t>
      </w:r>
      <w:r>
        <w:rPr>
          <w:rFonts w:hint="eastAsia" w:ascii="楷体" w:hAnsi="楷体" w:eastAsia="楷体" w:cs="楷体"/>
        </w:rPr>
        <w:t>：</w:t>
      </w:r>
    </w:p>
    <w:p>
      <w:pPr>
        <w:spacing w:line="360" w:lineRule="auto"/>
        <w:rPr>
          <w:rFonts w:ascii="楷体" w:hAnsi="楷体" w:eastAsia="楷体" w:cs="楷体"/>
        </w:rPr>
      </w:pPr>
      <w:r>
        <w:rPr>
          <w:rFonts w:hint="eastAsia" w:ascii="楷体" w:hAnsi="楷体" w:eastAsia="楷体" w:cs="楷体"/>
          <w:szCs w:val="24"/>
        </w:rPr>
        <w:t>日    期：</w:t>
      </w:r>
    </w:p>
    <w:p>
      <w:pPr>
        <w:numPr>
          <w:ilvl w:val="0"/>
          <w:numId w:val="18"/>
        </w:numPr>
        <w:spacing w:line="360" w:lineRule="auto"/>
        <w:jc w:val="center"/>
        <w:rPr>
          <w:rFonts w:ascii="楷体" w:hAnsi="楷体" w:eastAsia="楷体" w:cs="楷体"/>
          <w:b/>
          <w:bCs/>
          <w:kern w:val="2"/>
          <w:sz w:val="32"/>
          <w:szCs w:val="32"/>
        </w:rPr>
      </w:pPr>
      <w:r>
        <w:rPr>
          <w:rFonts w:hint="eastAsia" w:ascii="楷体" w:hAnsi="楷体" w:eastAsia="楷体" w:cs="楷体"/>
          <w:szCs w:val="24"/>
        </w:rPr>
        <w:br w:type="page"/>
      </w:r>
      <w:r>
        <w:rPr>
          <w:rFonts w:hint="eastAsia" w:ascii="楷体" w:hAnsi="楷体" w:eastAsia="楷体" w:cs="楷体"/>
          <w:b/>
          <w:bCs/>
          <w:kern w:val="2"/>
          <w:sz w:val="32"/>
          <w:szCs w:val="32"/>
        </w:rPr>
        <w:t>陕西省政府采购投标人拒绝政府采购领域商业贿赂</w:t>
      </w:r>
    </w:p>
    <w:p>
      <w:pPr>
        <w:spacing w:line="360" w:lineRule="auto"/>
        <w:ind w:firstLine="3534" w:firstLineChars="1100"/>
        <w:rPr>
          <w:rFonts w:ascii="楷体" w:hAnsi="楷体" w:eastAsia="楷体" w:cs="楷体"/>
        </w:rPr>
      </w:pPr>
      <w:r>
        <w:rPr>
          <w:rFonts w:hint="eastAsia" w:ascii="楷体" w:hAnsi="楷体" w:eastAsia="楷体" w:cs="楷体"/>
          <w:b/>
          <w:bCs/>
          <w:kern w:val="2"/>
          <w:sz w:val="32"/>
          <w:szCs w:val="32"/>
        </w:rPr>
        <w:t>承诺书</w:t>
      </w:r>
    </w:p>
    <w:p>
      <w:pPr>
        <w:widowControl/>
        <w:spacing w:line="360" w:lineRule="auto"/>
        <w:ind w:firstLine="470" w:firstLineChars="196"/>
        <w:jc w:val="left"/>
        <w:rPr>
          <w:rFonts w:ascii="楷体" w:hAnsi="楷体" w:eastAsia="楷体" w:cs="楷体"/>
        </w:rPr>
      </w:pPr>
    </w:p>
    <w:p>
      <w:pPr>
        <w:widowControl/>
        <w:spacing w:line="360" w:lineRule="auto"/>
        <w:ind w:firstLine="480" w:firstLineChars="200"/>
        <w:rPr>
          <w:rFonts w:ascii="楷体" w:hAnsi="楷体" w:eastAsia="楷体" w:cs="楷体"/>
        </w:rPr>
      </w:pPr>
      <w:r>
        <w:rPr>
          <w:rFonts w:hint="eastAsia" w:ascii="楷体" w:hAnsi="楷体" w:eastAsia="楷体" w:cs="楷体"/>
        </w:rPr>
        <w:t>为响应党中央、国务院关于治理政府采购领域商业贿赂行为的号召，我公司在此庄严承诺：</w:t>
      </w:r>
    </w:p>
    <w:p>
      <w:pPr>
        <w:widowControl/>
        <w:spacing w:line="360" w:lineRule="auto"/>
        <w:ind w:firstLine="480" w:firstLineChars="200"/>
        <w:rPr>
          <w:rFonts w:ascii="楷体" w:hAnsi="楷体" w:eastAsia="楷体" w:cs="楷体"/>
        </w:rPr>
      </w:pPr>
      <w:r>
        <w:rPr>
          <w:rFonts w:hint="eastAsia" w:ascii="楷体" w:hAnsi="楷体" w:eastAsia="楷体" w:cs="楷体"/>
        </w:rPr>
        <w:t xml:space="preserve">    1.在参与政府采购活动中遵纪守法、诚信经营、公平竞标。</w:t>
      </w:r>
    </w:p>
    <w:p>
      <w:pPr>
        <w:widowControl/>
        <w:spacing w:line="360" w:lineRule="auto"/>
        <w:ind w:firstLine="480" w:firstLineChars="200"/>
        <w:rPr>
          <w:rFonts w:ascii="楷体" w:hAnsi="楷体" w:eastAsia="楷体" w:cs="楷体"/>
        </w:rPr>
      </w:pPr>
      <w:r>
        <w:rPr>
          <w:rFonts w:hint="eastAsia" w:ascii="楷体" w:hAnsi="楷体" w:eastAsia="楷体" w:cs="楷体"/>
        </w:rPr>
        <w:t>2.不向政府采购人、招标代理机构和政府采购评审专家进行任何形式的商业贿赂以谋取交易机会。</w:t>
      </w:r>
    </w:p>
    <w:p>
      <w:pPr>
        <w:widowControl/>
        <w:spacing w:line="360" w:lineRule="auto"/>
        <w:ind w:firstLine="480" w:firstLineChars="200"/>
        <w:rPr>
          <w:rFonts w:ascii="楷体" w:hAnsi="楷体" w:eastAsia="楷体" w:cs="楷体"/>
        </w:rPr>
      </w:pPr>
      <w:r>
        <w:rPr>
          <w:rFonts w:hint="eastAsia" w:ascii="楷体" w:hAnsi="楷体" w:eastAsia="楷体" w:cs="楷体"/>
        </w:rPr>
        <w:t>3.不向政府招标代理机构和采购人提供虚假资格文件或采用虚假应标方式参与政府采购市场竞争并谋取中标、成交。</w:t>
      </w:r>
    </w:p>
    <w:p>
      <w:pPr>
        <w:widowControl/>
        <w:spacing w:line="360" w:lineRule="auto"/>
        <w:ind w:firstLine="480" w:firstLineChars="200"/>
        <w:rPr>
          <w:rFonts w:ascii="楷体" w:hAnsi="楷体" w:eastAsia="楷体" w:cs="楷体"/>
        </w:rPr>
      </w:pPr>
      <w:r>
        <w:rPr>
          <w:rFonts w:hint="eastAsia" w:ascii="楷体" w:hAnsi="楷体" w:eastAsia="楷体" w:cs="楷体"/>
        </w:rPr>
        <w:t>4.不采取“围标、陪标”等商业欺诈手段获得政府采购定单。</w:t>
      </w:r>
    </w:p>
    <w:p>
      <w:pPr>
        <w:widowControl/>
        <w:spacing w:line="360" w:lineRule="auto"/>
        <w:ind w:firstLine="480" w:firstLineChars="200"/>
        <w:rPr>
          <w:rFonts w:ascii="楷体" w:hAnsi="楷体" w:eastAsia="楷体" w:cs="楷体"/>
        </w:rPr>
      </w:pPr>
      <w:r>
        <w:rPr>
          <w:rFonts w:hint="eastAsia" w:ascii="楷体" w:hAnsi="楷体" w:eastAsia="楷体" w:cs="楷体"/>
        </w:rPr>
        <w:t>5.不采取不正当手段诋毁、排挤其他投标人。</w:t>
      </w:r>
    </w:p>
    <w:p>
      <w:pPr>
        <w:widowControl/>
        <w:spacing w:line="360" w:lineRule="auto"/>
        <w:ind w:firstLine="480" w:firstLineChars="200"/>
        <w:rPr>
          <w:rFonts w:ascii="楷体" w:hAnsi="楷体" w:eastAsia="楷体" w:cs="楷体"/>
        </w:rPr>
      </w:pPr>
      <w:r>
        <w:rPr>
          <w:rFonts w:hint="eastAsia" w:ascii="楷体" w:hAnsi="楷体" w:eastAsia="楷体" w:cs="楷体"/>
        </w:rPr>
        <w:t>6.不在提供商品和服务时“偷梁换柱、以次充好”损害采购人的合法权益。</w:t>
      </w:r>
    </w:p>
    <w:p>
      <w:pPr>
        <w:widowControl/>
        <w:spacing w:line="360" w:lineRule="auto"/>
        <w:ind w:firstLine="480" w:firstLineChars="200"/>
        <w:rPr>
          <w:rFonts w:ascii="楷体" w:hAnsi="楷体" w:eastAsia="楷体" w:cs="楷体"/>
          <w:szCs w:val="24"/>
        </w:rPr>
      </w:pPr>
      <w:r>
        <w:rPr>
          <w:rFonts w:hint="eastAsia" w:ascii="楷体" w:hAnsi="楷体" w:eastAsia="楷体" w:cs="楷体"/>
        </w:rPr>
        <w:t>7.不与采购人、招标代理机构政府采购评审专家或其它投标人恶意串通，进行质疑和</w:t>
      </w:r>
      <w:r>
        <w:rPr>
          <w:rFonts w:hint="eastAsia" w:ascii="楷体" w:hAnsi="楷体" w:eastAsia="楷体" w:cs="楷体"/>
          <w:szCs w:val="24"/>
        </w:rPr>
        <w:t>投诉，维护政府采购市场秩序。</w:t>
      </w:r>
    </w:p>
    <w:p>
      <w:pPr>
        <w:widowControl/>
        <w:spacing w:line="360" w:lineRule="auto"/>
        <w:ind w:firstLine="480" w:firstLineChars="200"/>
        <w:rPr>
          <w:rFonts w:ascii="楷体" w:hAnsi="楷体" w:eastAsia="楷体" w:cs="楷体"/>
          <w:szCs w:val="24"/>
        </w:rPr>
      </w:pPr>
      <w:r>
        <w:rPr>
          <w:rFonts w:hint="eastAsia" w:ascii="楷体" w:hAnsi="楷体" w:eastAsia="楷体" w:cs="楷体"/>
          <w:szCs w:val="24"/>
        </w:rPr>
        <w:t>8.尊重和接受政府采购监督管理部门的监督和政府招标代理机构招标采购要求，承担因违约行为给采购人造成的损失。</w:t>
      </w:r>
    </w:p>
    <w:p>
      <w:pPr>
        <w:widowControl/>
        <w:spacing w:line="360" w:lineRule="auto"/>
        <w:ind w:firstLine="480" w:firstLineChars="200"/>
        <w:rPr>
          <w:rFonts w:ascii="楷体" w:hAnsi="楷体" w:eastAsia="楷体" w:cs="楷体"/>
          <w:szCs w:val="24"/>
        </w:rPr>
      </w:pPr>
      <w:r>
        <w:rPr>
          <w:rFonts w:hint="eastAsia" w:ascii="楷体" w:hAnsi="楷体" w:eastAsia="楷体" w:cs="楷体"/>
          <w:szCs w:val="24"/>
        </w:rPr>
        <w:t>9.不发生其他有悖于政府采购公开、公平、公正和诚信原则的行为。</w:t>
      </w:r>
    </w:p>
    <w:p>
      <w:pPr>
        <w:pStyle w:val="3"/>
      </w:pPr>
    </w:p>
    <w:p>
      <w:pPr>
        <w:widowControl/>
        <w:spacing w:line="360" w:lineRule="auto"/>
        <w:ind w:firstLine="480" w:firstLineChars="200"/>
        <w:jc w:val="left"/>
        <w:rPr>
          <w:rFonts w:ascii="楷体" w:hAnsi="楷体" w:eastAsia="楷体" w:cs="楷体"/>
        </w:rPr>
      </w:pPr>
      <w:r>
        <w:rPr>
          <w:rFonts w:hint="eastAsia" w:ascii="楷体" w:hAnsi="楷体" w:eastAsia="楷体" w:cs="楷体"/>
        </w:rPr>
        <w:t xml:space="preserve">承诺单位（公章）： </w:t>
      </w:r>
    </w:p>
    <w:p>
      <w:pPr>
        <w:widowControl/>
        <w:spacing w:line="360" w:lineRule="auto"/>
        <w:ind w:firstLine="480" w:firstLineChars="200"/>
        <w:jc w:val="left"/>
        <w:rPr>
          <w:rFonts w:ascii="楷体" w:hAnsi="楷体" w:eastAsia="楷体" w:cs="楷体"/>
        </w:rPr>
      </w:pPr>
      <w:r>
        <w:rPr>
          <w:rFonts w:hint="eastAsia" w:ascii="楷体" w:hAnsi="楷体" w:eastAsia="楷体" w:cs="楷体"/>
        </w:rPr>
        <w:t xml:space="preserve">    法定代表人（签字或盖章）：</w:t>
      </w:r>
    </w:p>
    <w:p>
      <w:pPr>
        <w:widowControl/>
        <w:spacing w:line="360" w:lineRule="auto"/>
        <w:ind w:firstLine="480" w:firstLineChars="200"/>
        <w:jc w:val="left"/>
        <w:rPr>
          <w:rFonts w:ascii="楷体" w:hAnsi="楷体" w:eastAsia="楷体" w:cs="楷体"/>
        </w:rPr>
      </w:pPr>
      <w:r>
        <w:rPr>
          <w:rFonts w:hint="eastAsia" w:ascii="楷体" w:hAnsi="楷体" w:eastAsia="楷体" w:cs="楷体"/>
        </w:rPr>
        <w:t xml:space="preserve">    地    址：       </w:t>
      </w:r>
    </w:p>
    <w:p>
      <w:pPr>
        <w:widowControl/>
        <w:spacing w:line="360" w:lineRule="auto"/>
        <w:ind w:firstLine="960" w:firstLineChars="400"/>
        <w:jc w:val="left"/>
        <w:rPr>
          <w:rFonts w:ascii="楷体" w:hAnsi="楷体" w:eastAsia="楷体" w:cs="楷体"/>
        </w:rPr>
      </w:pPr>
      <w:r>
        <w:rPr>
          <w:rFonts w:hint="eastAsia" w:ascii="楷体" w:hAnsi="楷体" w:eastAsia="楷体" w:cs="楷体"/>
        </w:rPr>
        <w:t xml:space="preserve">邮    编：                                      </w:t>
      </w:r>
    </w:p>
    <w:p>
      <w:pPr>
        <w:widowControl/>
        <w:spacing w:line="360" w:lineRule="auto"/>
        <w:ind w:firstLine="960" w:firstLineChars="400"/>
        <w:jc w:val="left"/>
        <w:rPr>
          <w:rFonts w:ascii="楷体" w:hAnsi="楷体" w:eastAsia="楷体" w:cs="楷体"/>
        </w:rPr>
      </w:pPr>
      <w:r>
        <w:rPr>
          <w:rFonts w:hint="eastAsia" w:ascii="楷体" w:hAnsi="楷体" w:eastAsia="楷体" w:cs="楷体"/>
        </w:rPr>
        <w:t xml:space="preserve">电    话：                    </w:t>
      </w:r>
    </w:p>
    <w:p>
      <w:pPr>
        <w:spacing w:line="360" w:lineRule="auto"/>
        <w:rPr>
          <w:rFonts w:ascii="楷体" w:hAnsi="楷体" w:eastAsia="楷体" w:cs="楷体"/>
        </w:rPr>
      </w:pPr>
      <w:r>
        <w:rPr>
          <w:rFonts w:hint="eastAsia" w:ascii="楷体" w:hAnsi="楷体" w:eastAsia="楷体" w:cs="楷体"/>
        </w:rPr>
        <w:t xml:space="preserve">    </w:t>
      </w:r>
      <w:r>
        <w:rPr>
          <w:rFonts w:hint="eastAsia" w:ascii="楷体" w:hAnsi="楷体" w:eastAsia="楷体" w:cs="楷体"/>
          <w:lang w:val="en-US" w:eastAsia="zh-CN"/>
        </w:rPr>
        <w:t xml:space="preserve">    </w:t>
      </w:r>
      <w:r>
        <w:rPr>
          <w:rFonts w:hint="eastAsia" w:ascii="楷体" w:hAnsi="楷体" w:eastAsia="楷体" w:cs="楷体"/>
        </w:rPr>
        <w:t>日    期：</w:t>
      </w:r>
    </w:p>
    <w:p>
      <w:pPr>
        <w:spacing w:line="360" w:lineRule="auto"/>
        <w:jc w:val="center"/>
        <w:rPr>
          <w:rFonts w:ascii="楷体" w:hAnsi="楷体" w:eastAsia="楷体" w:cs="楷体"/>
          <w:b/>
          <w:bCs/>
          <w:sz w:val="30"/>
          <w:szCs w:val="30"/>
        </w:rPr>
      </w:pPr>
      <w:r>
        <w:rPr>
          <w:rFonts w:hint="eastAsia" w:ascii="楷体" w:hAnsi="楷体" w:eastAsia="楷体" w:cs="楷体"/>
          <w:b/>
          <w:bCs/>
          <w:sz w:val="30"/>
          <w:szCs w:val="30"/>
        </w:rPr>
        <w:br w:type="page"/>
      </w:r>
      <w:bookmarkStart w:id="123" w:name="OLE_LINK14"/>
      <w:bookmarkStart w:id="124" w:name="OLE_LINK13"/>
      <w:r>
        <w:rPr>
          <w:rFonts w:hint="eastAsia" w:ascii="楷体" w:hAnsi="楷体" w:eastAsia="楷体" w:cs="楷体"/>
          <w:b/>
          <w:bCs/>
          <w:sz w:val="30"/>
          <w:szCs w:val="30"/>
        </w:rPr>
        <w:t>七、落实政府采购政策须提供的资料及投标人认为有必要提供的其它资料</w:t>
      </w:r>
    </w:p>
    <w:p>
      <w:pPr>
        <w:spacing w:line="360" w:lineRule="auto"/>
        <w:jc w:val="left"/>
        <w:rPr>
          <w:rFonts w:ascii="楷体" w:hAnsi="楷体" w:eastAsia="楷体" w:cs="楷体"/>
          <w:b/>
          <w:bCs/>
          <w:sz w:val="30"/>
          <w:szCs w:val="30"/>
        </w:rPr>
      </w:pPr>
      <w:r>
        <w:rPr>
          <w:rFonts w:hint="eastAsia" w:ascii="楷体" w:hAnsi="楷体" w:eastAsia="楷体" w:cs="楷体"/>
          <w:b/>
          <w:bCs/>
          <w:sz w:val="30"/>
          <w:szCs w:val="30"/>
        </w:rPr>
        <w:br w:type="page"/>
      </w:r>
      <w:r>
        <w:rPr>
          <w:rFonts w:hint="eastAsia" w:ascii="楷体" w:hAnsi="楷体" w:eastAsia="楷体" w:cs="楷体"/>
          <w:b/>
          <w:bCs/>
          <w:sz w:val="30"/>
          <w:szCs w:val="30"/>
        </w:rPr>
        <w:t>附件6：（如有）</w:t>
      </w:r>
    </w:p>
    <w:p>
      <w:pPr>
        <w:jc w:val="center"/>
        <w:rPr>
          <w:rFonts w:ascii="楷体" w:hAnsi="楷体" w:eastAsia="楷体" w:cs="楷体"/>
          <w:b/>
          <w:bCs/>
          <w:sz w:val="28"/>
          <w:szCs w:val="28"/>
        </w:rPr>
      </w:pPr>
      <w:r>
        <w:rPr>
          <w:rFonts w:hint="eastAsia" w:ascii="楷体" w:hAnsi="楷体" w:eastAsia="楷体" w:cs="楷体"/>
          <w:b/>
          <w:bCs/>
          <w:sz w:val="28"/>
          <w:szCs w:val="28"/>
        </w:rPr>
        <w:t>中小企业声明函（货物）</w:t>
      </w:r>
    </w:p>
    <w:p>
      <w:pPr>
        <w:spacing w:line="360" w:lineRule="auto"/>
        <w:ind w:firstLine="480" w:firstLineChars="200"/>
        <w:rPr>
          <w:rFonts w:ascii="楷体" w:hAnsi="楷体" w:eastAsia="楷体" w:cs="楷体"/>
          <w:szCs w:val="24"/>
        </w:rPr>
      </w:pPr>
      <w:r>
        <w:rPr>
          <w:rFonts w:hint="eastAsia" w:ascii="楷体" w:hAnsi="楷体" w:eastAsia="楷体" w:cs="楷体"/>
          <w:szCs w:val="24"/>
        </w:rPr>
        <w:t>本公司（联合体）郑重声明，根据《政府采购促进中小企业发展管理办法》（财库﹝2020﹞46 号）的规定，本公司（联合体）参加</w:t>
      </w:r>
      <w:r>
        <w:rPr>
          <w:rFonts w:hint="eastAsia" w:ascii="楷体" w:hAnsi="楷体" w:eastAsia="楷体" w:cs="楷体"/>
          <w:szCs w:val="24"/>
          <w:u w:val="single"/>
        </w:rPr>
        <w:t>（单位名称）</w:t>
      </w:r>
      <w:r>
        <w:rPr>
          <w:rFonts w:hint="eastAsia" w:ascii="楷体" w:hAnsi="楷体" w:eastAsia="楷体" w:cs="楷体"/>
          <w:szCs w:val="24"/>
        </w:rPr>
        <w:t>的</w:t>
      </w:r>
      <w:r>
        <w:rPr>
          <w:rFonts w:hint="eastAsia" w:ascii="楷体" w:hAnsi="楷体" w:eastAsia="楷体" w:cs="楷体"/>
          <w:szCs w:val="24"/>
          <w:u w:val="single"/>
        </w:rPr>
        <w:t>（项目名称、标段）</w:t>
      </w:r>
      <w:r>
        <w:rPr>
          <w:rFonts w:hint="eastAsia" w:ascii="楷体" w:hAnsi="楷体" w:eastAsia="楷体" w:cs="楷体"/>
          <w:szCs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楷体" w:hAnsi="楷体" w:eastAsia="楷体" w:cs="楷体"/>
          <w:szCs w:val="24"/>
        </w:rPr>
      </w:pPr>
      <w:r>
        <w:rPr>
          <w:rFonts w:hint="eastAsia" w:ascii="楷体" w:hAnsi="楷体" w:eastAsia="楷体" w:cs="楷体"/>
          <w:szCs w:val="24"/>
        </w:rPr>
        <w:t>1.</w:t>
      </w:r>
      <w:r>
        <w:rPr>
          <w:rFonts w:hint="eastAsia" w:ascii="楷体" w:hAnsi="楷体" w:eastAsia="楷体" w:cs="楷体"/>
          <w:szCs w:val="24"/>
          <w:u w:val="single"/>
        </w:rPr>
        <w:t xml:space="preserve"> （标的名称） </w:t>
      </w:r>
      <w:r>
        <w:rPr>
          <w:rFonts w:hint="eastAsia" w:ascii="楷体" w:hAnsi="楷体" w:eastAsia="楷体" w:cs="楷体"/>
          <w:szCs w:val="24"/>
        </w:rPr>
        <w:t>，属于</w:t>
      </w:r>
      <w:r>
        <w:rPr>
          <w:rFonts w:hint="eastAsia" w:ascii="楷体" w:hAnsi="楷体" w:eastAsia="楷体" w:cs="楷体"/>
          <w:szCs w:val="24"/>
          <w:u w:val="single"/>
        </w:rPr>
        <w:t xml:space="preserve"> （采购文件中明确的所属行业） </w:t>
      </w:r>
      <w:r>
        <w:rPr>
          <w:rFonts w:hint="eastAsia" w:ascii="楷体" w:hAnsi="楷体" w:eastAsia="楷体" w:cs="楷体"/>
          <w:szCs w:val="24"/>
        </w:rPr>
        <w:t>行业；制造商为</w:t>
      </w:r>
      <w:r>
        <w:rPr>
          <w:rFonts w:hint="eastAsia" w:ascii="楷体" w:hAnsi="楷体" w:eastAsia="楷体" w:cs="楷体"/>
          <w:szCs w:val="24"/>
          <w:u w:val="single"/>
        </w:rPr>
        <w:t>（企业名称）</w:t>
      </w:r>
      <w:r>
        <w:rPr>
          <w:rFonts w:hint="eastAsia" w:ascii="楷体" w:hAnsi="楷体" w:eastAsia="楷体" w:cs="楷体"/>
          <w:szCs w:val="24"/>
        </w:rPr>
        <w:t>，从业人员</w:t>
      </w:r>
      <w:r>
        <w:rPr>
          <w:rFonts w:hint="eastAsia" w:ascii="楷体" w:hAnsi="楷体" w:eastAsia="楷体" w:cs="楷体"/>
          <w:szCs w:val="24"/>
          <w:u w:val="single"/>
        </w:rPr>
        <w:t xml:space="preserve"> </w:t>
      </w:r>
      <w:r>
        <w:rPr>
          <w:rFonts w:hint="eastAsia" w:ascii="楷体" w:hAnsi="楷体" w:eastAsia="楷体" w:cs="楷体"/>
          <w:szCs w:val="24"/>
          <w:u w:val="single"/>
        </w:rPr>
        <w:tab/>
      </w:r>
      <w:r>
        <w:rPr>
          <w:rFonts w:hint="eastAsia" w:ascii="楷体" w:hAnsi="楷体" w:eastAsia="楷体" w:cs="楷体"/>
          <w:szCs w:val="24"/>
          <w:u w:val="single"/>
        </w:rPr>
        <w:t xml:space="preserve"> </w:t>
      </w:r>
      <w:r>
        <w:rPr>
          <w:rFonts w:hint="eastAsia" w:ascii="楷体" w:hAnsi="楷体" w:eastAsia="楷体" w:cs="楷体"/>
          <w:szCs w:val="24"/>
          <w:u w:val="single"/>
        </w:rPr>
        <w:tab/>
      </w:r>
      <w:r>
        <w:rPr>
          <w:rFonts w:hint="eastAsia" w:ascii="楷体" w:hAnsi="楷体" w:eastAsia="楷体" w:cs="楷体"/>
          <w:szCs w:val="24"/>
        </w:rPr>
        <w:t>人，营业收入为</w:t>
      </w:r>
      <w:r>
        <w:rPr>
          <w:rFonts w:hint="eastAsia" w:ascii="楷体" w:hAnsi="楷体" w:eastAsia="楷体" w:cs="楷体"/>
          <w:szCs w:val="24"/>
          <w:u w:val="single"/>
        </w:rPr>
        <w:t xml:space="preserve"> </w:t>
      </w:r>
      <w:r>
        <w:rPr>
          <w:rFonts w:hint="eastAsia" w:ascii="楷体" w:hAnsi="楷体" w:eastAsia="楷体" w:cs="楷体"/>
          <w:szCs w:val="24"/>
          <w:u w:val="single"/>
        </w:rPr>
        <w:tab/>
      </w:r>
      <w:r>
        <w:rPr>
          <w:rFonts w:hint="eastAsia" w:ascii="楷体" w:hAnsi="楷体" w:eastAsia="楷体" w:cs="楷体"/>
          <w:szCs w:val="24"/>
          <w:u w:val="single"/>
        </w:rPr>
        <w:t xml:space="preserve"> </w:t>
      </w:r>
      <w:r>
        <w:rPr>
          <w:rFonts w:hint="eastAsia" w:ascii="楷体" w:hAnsi="楷体" w:eastAsia="楷体" w:cs="楷体"/>
          <w:szCs w:val="24"/>
          <w:u w:val="single"/>
        </w:rPr>
        <w:tab/>
      </w:r>
      <w:r>
        <w:rPr>
          <w:rFonts w:hint="eastAsia" w:ascii="楷体" w:hAnsi="楷体" w:eastAsia="楷体" w:cs="楷体"/>
          <w:szCs w:val="24"/>
        </w:rPr>
        <w:t>万元，资产总额为</w:t>
      </w:r>
      <w:r>
        <w:rPr>
          <w:rFonts w:hint="eastAsia" w:ascii="楷体" w:hAnsi="楷体" w:eastAsia="楷体" w:cs="楷体"/>
          <w:szCs w:val="24"/>
          <w:u w:val="single"/>
        </w:rPr>
        <w:t xml:space="preserve"> </w:t>
      </w:r>
      <w:r>
        <w:rPr>
          <w:rFonts w:hint="eastAsia" w:ascii="楷体" w:hAnsi="楷体" w:eastAsia="楷体" w:cs="楷体"/>
          <w:szCs w:val="24"/>
          <w:u w:val="single"/>
        </w:rPr>
        <w:tab/>
      </w:r>
      <w:r>
        <w:rPr>
          <w:rFonts w:hint="eastAsia" w:ascii="楷体" w:hAnsi="楷体" w:eastAsia="楷体" w:cs="楷体"/>
          <w:szCs w:val="24"/>
          <w:u w:val="single"/>
        </w:rPr>
        <w:t xml:space="preserve"> </w:t>
      </w:r>
      <w:r>
        <w:rPr>
          <w:rFonts w:hint="eastAsia" w:ascii="楷体" w:hAnsi="楷体" w:eastAsia="楷体" w:cs="楷体"/>
          <w:szCs w:val="24"/>
          <w:u w:val="single"/>
        </w:rPr>
        <w:tab/>
      </w:r>
      <w:r>
        <w:rPr>
          <w:rFonts w:hint="eastAsia" w:ascii="楷体" w:hAnsi="楷体" w:eastAsia="楷体" w:cs="楷体"/>
          <w:szCs w:val="24"/>
        </w:rPr>
        <w:t>万元</w:t>
      </w:r>
      <w:r>
        <w:rPr>
          <w:rFonts w:hint="eastAsia" w:ascii="楷体" w:hAnsi="楷体" w:eastAsia="楷体" w:cs="楷体"/>
          <w:szCs w:val="24"/>
          <w:vertAlign w:val="superscript"/>
        </w:rPr>
        <w:t>1</w:t>
      </w:r>
      <w:r>
        <w:rPr>
          <w:rFonts w:hint="eastAsia" w:ascii="楷体" w:hAnsi="楷体" w:eastAsia="楷体" w:cs="楷体"/>
          <w:szCs w:val="24"/>
        </w:rPr>
        <w:t>，属于</w:t>
      </w:r>
      <w:r>
        <w:rPr>
          <w:rFonts w:hint="eastAsia" w:ascii="楷体" w:hAnsi="楷体" w:eastAsia="楷体" w:cs="楷体"/>
          <w:szCs w:val="24"/>
          <w:u w:val="single"/>
        </w:rPr>
        <w:t>（中型企业、小型企业、微型企业）</w:t>
      </w:r>
      <w:r>
        <w:rPr>
          <w:rFonts w:hint="eastAsia" w:ascii="楷体" w:hAnsi="楷体" w:eastAsia="楷体" w:cs="楷体"/>
          <w:szCs w:val="24"/>
        </w:rPr>
        <w:t>；</w:t>
      </w:r>
    </w:p>
    <w:p>
      <w:pPr>
        <w:spacing w:line="360" w:lineRule="auto"/>
        <w:ind w:firstLine="480" w:firstLineChars="200"/>
        <w:rPr>
          <w:rFonts w:ascii="楷体" w:hAnsi="楷体" w:eastAsia="楷体" w:cs="楷体"/>
          <w:szCs w:val="24"/>
        </w:rPr>
      </w:pPr>
      <w:r>
        <w:rPr>
          <w:rFonts w:hint="eastAsia" w:ascii="楷体" w:hAnsi="楷体" w:eastAsia="楷体" w:cs="楷体"/>
          <w:szCs w:val="24"/>
        </w:rPr>
        <w:t>2.</w:t>
      </w:r>
      <w:r>
        <w:rPr>
          <w:rFonts w:hint="eastAsia" w:ascii="楷体" w:hAnsi="楷体" w:eastAsia="楷体" w:cs="楷体"/>
          <w:szCs w:val="24"/>
          <w:u w:val="single"/>
        </w:rPr>
        <w:t xml:space="preserve"> （标的名称） </w:t>
      </w:r>
      <w:r>
        <w:rPr>
          <w:rFonts w:hint="eastAsia" w:ascii="楷体" w:hAnsi="楷体" w:eastAsia="楷体" w:cs="楷体"/>
          <w:szCs w:val="24"/>
        </w:rPr>
        <w:t>，属于</w:t>
      </w:r>
      <w:r>
        <w:rPr>
          <w:rFonts w:hint="eastAsia" w:ascii="楷体" w:hAnsi="楷体" w:eastAsia="楷体" w:cs="楷体"/>
          <w:szCs w:val="24"/>
          <w:u w:val="single"/>
        </w:rPr>
        <w:t xml:space="preserve"> （采购文件中明确的所属行业） </w:t>
      </w:r>
      <w:r>
        <w:rPr>
          <w:rFonts w:hint="eastAsia" w:ascii="楷体" w:hAnsi="楷体" w:eastAsia="楷体" w:cs="楷体"/>
          <w:szCs w:val="24"/>
        </w:rPr>
        <w:t>行业；制造商为</w:t>
      </w:r>
      <w:r>
        <w:rPr>
          <w:rFonts w:hint="eastAsia" w:ascii="楷体" w:hAnsi="楷体" w:eastAsia="楷体" w:cs="楷体"/>
          <w:szCs w:val="24"/>
          <w:u w:val="single"/>
        </w:rPr>
        <w:t>（企业名称）</w:t>
      </w:r>
      <w:r>
        <w:rPr>
          <w:rFonts w:hint="eastAsia" w:ascii="楷体" w:hAnsi="楷体" w:eastAsia="楷体" w:cs="楷体"/>
          <w:szCs w:val="24"/>
        </w:rPr>
        <w:t>，从业人员</w:t>
      </w:r>
      <w:r>
        <w:rPr>
          <w:rFonts w:hint="eastAsia" w:ascii="楷体" w:hAnsi="楷体" w:eastAsia="楷体" w:cs="楷体"/>
          <w:szCs w:val="24"/>
          <w:u w:val="single"/>
        </w:rPr>
        <w:t xml:space="preserve"> </w:t>
      </w:r>
      <w:r>
        <w:rPr>
          <w:rFonts w:hint="eastAsia" w:ascii="楷体" w:hAnsi="楷体" w:eastAsia="楷体" w:cs="楷体"/>
          <w:szCs w:val="24"/>
          <w:u w:val="single"/>
        </w:rPr>
        <w:tab/>
      </w:r>
      <w:r>
        <w:rPr>
          <w:rFonts w:hint="eastAsia" w:ascii="楷体" w:hAnsi="楷体" w:eastAsia="楷体" w:cs="楷体"/>
          <w:szCs w:val="24"/>
          <w:u w:val="single"/>
        </w:rPr>
        <w:t xml:space="preserve"> </w:t>
      </w:r>
      <w:r>
        <w:rPr>
          <w:rFonts w:hint="eastAsia" w:ascii="楷体" w:hAnsi="楷体" w:eastAsia="楷体" w:cs="楷体"/>
          <w:szCs w:val="24"/>
          <w:u w:val="single"/>
        </w:rPr>
        <w:tab/>
      </w:r>
      <w:r>
        <w:rPr>
          <w:rFonts w:hint="eastAsia" w:ascii="楷体" w:hAnsi="楷体" w:eastAsia="楷体" w:cs="楷体"/>
          <w:szCs w:val="24"/>
        </w:rPr>
        <w:t>人，营业收入为</w:t>
      </w:r>
      <w:r>
        <w:rPr>
          <w:rFonts w:hint="eastAsia" w:ascii="楷体" w:hAnsi="楷体" w:eastAsia="楷体" w:cs="楷体"/>
          <w:szCs w:val="24"/>
          <w:u w:val="single"/>
        </w:rPr>
        <w:t xml:space="preserve"> </w:t>
      </w:r>
      <w:r>
        <w:rPr>
          <w:rFonts w:hint="eastAsia" w:ascii="楷体" w:hAnsi="楷体" w:eastAsia="楷体" w:cs="楷体"/>
          <w:szCs w:val="24"/>
          <w:u w:val="single"/>
        </w:rPr>
        <w:tab/>
      </w:r>
      <w:r>
        <w:rPr>
          <w:rFonts w:hint="eastAsia" w:ascii="楷体" w:hAnsi="楷体" w:eastAsia="楷体" w:cs="楷体"/>
          <w:szCs w:val="24"/>
          <w:u w:val="single"/>
        </w:rPr>
        <w:t xml:space="preserve"> </w:t>
      </w:r>
      <w:r>
        <w:rPr>
          <w:rFonts w:hint="eastAsia" w:ascii="楷体" w:hAnsi="楷体" w:eastAsia="楷体" w:cs="楷体"/>
          <w:szCs w:val="24"/>
          <w:u w:val="single"/>
        </w:rPr>
        <w:tab/>
      </w:r>
      <w:r>
        <w:rPr>
          <w:rFonts w:hint="eastAsia" w:ascii="楷体" w:hAnsi="楷体" w:eastAsia="楷体" w:cs="楷体"/>
          <w:szCs w:val="24"/>
        </w:rPr>
        <w:t>万元，资产总额为</w:t>
      </w:r>
      <w:r>
        <w:rPr>
          <w:rFonts w:hint="eastAsia" w:ascii="楷体" w:hAnsi="楷体" w:eastAsia="楷体" w:cs="楷体"/>
          <w:szCs w:val="24"/>
          <w:u w:val="single"/>
        </w:rPr>
        <w:t xml:space="preserve"> </w:t>
      </w:r>
      <w:r>
        <w:rPr>
          <w:rFonts w:hint="eastAsia" w:ascii="楷体" w:hAnsi="楷体" w:eastAsia="楷体" w:cs="楷体"/>
          <w:szCs w:val="24"/>
          <w:u w:val="single"/>
        </w:rPr>
        <w:tab/>
      </w:r>
      <w:r>
        <w:rPr>
          <w:rFonts w:hint="eastAsia" w:ascii="楷体" w:hAnsi="楷体" w:eastAsia="楷体" w:cs="楷体"/>
          <w:szCs w:val="24"/>
          <w:u w:val="single"/>
        </w:rPr>
        <w:t xml:space="preserve"> </w:t>
      </w:r>
      <w:r>
        <w:rPr>
          <w:rFonts w:hint="eastAsia" w:ascii="楷体" w:hAnsi="楷体" w:eastAsia="楷体" w:cs="楷体"/>
          <w:szCs w:val="24"/>
          <w:u w:val="single"/>
        </w:rPr>
        <w:tab/>
      </w:r>
      <w:r>
        <w:rPr>
          <w:rFonts w:hint="eastAsia" w:ascii="楷体" w:hAnsi="楷体" w:eastAsia="楷体" w:cs="楷体"/>
          <w:szCs w:val="24"/>
        </w:rPr>
        <w:t>万元，属于</w:t>
      </w:r>
      <w:r>
        <w:rPr>
          <w:rFonts w:hint="eastAsia" w:ascii="楷体" w:hAnsi="楷体" w:eastAsia="楷体" w:cs="楷体"/>
          <w:szCs w:val="24"/>
          <w:u w:val="single"/>
        </w:rPr>
        <w:t>（中型企业、小型企业、微型企业）</w:t>
      </w:r>
      <w:r>
        <w:rPr>
          <w:rFonts w:hint="eastAsia" w:ascii="楷体" w:hAnsi="楷体" w:eastAsia="楷体" w:cs="楷体"/>
          <w:szCs w:val="24"/>
        </w:rPr>
        <w:t>；</w:t>
      </w:r>
    </w:p>
    <w:p>
      <w:pPr>
        <w:spacing w:line="360" w:lineRule="auto"/>
        <w:ind w:firstLine="720" w:firstLineChars="300"/>
        <w:rPr>
          <w:rFonts w:ascii="楷体" w:hAnsi="楷体" w:eastAsia="楷体" w:cs="楷体"/>
          <w:szCs w:val="24"/>
        </w:rPr>
      </w:pPr>
      <w:r>
        <w:rPr>
          <w:rFonts w:hint="eastAsia" w:ascii="楷体" w:hAnsi="楷体" w:eastAsia="楷体" w:cs="楷体"/>
          <w:szCs w:val="24"/>
        </w:rPr>
        <w:t>……</w:t>
      </w:r>
    </w:p>
    <w:p>
      <w:pPr>
        <w:spacing w:line="360" w:lineRule="auto"/>
        <w:ind w:firstLine="480" w:firstLineChars="200"/>
        <w:rPr>
          <w:rFonts w:ascii="楷体" w:hAnsi="楷体" w:eastAsia="楷体" w:cs="楷体"/>
          <w:szCs w:val="24"/>
        </w:rPr>
      </w:pPr>
      <w:r>
        <w:rPr>
          <w:rFonts w:hint="eastAsia" w:ascii="楷体" w:hAnsi="楷体" w:eastAsia="楷体" w:cs="楷体"/>
          <w:szCs w:val="24"/>
        </w:rPr>
        <w:t>以上企业，不属于大企业的分支机构，不存在控股股东为大企业的情形，也不存在与大企业的负责人为同一人的情形。</w:t>
      </w:r>
    </w:p>
    <w:p>
      <w:pPr>
        <w:spacing w:line="360" w:lineRule="auto"/>
        <w:ind w:firstLine="480" w:firstLineChars="200"/>
        <w:rPr>
          <w:rFonts w:ascii="楷体" w:hAnsi="楷体" w:eastAsia="楷体" w:cs="楷体"/>
          <w:szCs w:val="24"/>
        </w:rPr>
      </w:pPr>
      <w:r>
        <w:rPr>
          <w:rFonts w:hint="eastAsia" w:ascii="楷体" w:hAnsi="楷体" w:eastAsia="楷体" w:cs="楷体"/>
          <w:szCs w:val="24"/>
        </w:rPr>
        <w:t>本企业对上述声明内容的真实性负责。如有虚假，将依法承担相应责任。</w:t>
      </w:r>
    </w:p>
    <w:p>
      <w:pPr>
        <w:spacing w:line="360" w:lineRule="auto"/>
        <w:ind w:firstLine="3960" w:firstLineChars="1650"/>
        <w:jc w:val="left"/>
        <w:rPr>
          <w:rFonts w:ascii="楷体" w:hAnsi="楷体" w:eastAsia="楷体" w:cs="楷体"/>
          <w:szCs w:val="24"/>
        </w:rPr>
      </w:pPr>
    </w:p>
    <w:p>
      <w:pPr>
        <w:spacing w:line="360" w:lineRule="auto"/>
        <w:ind w:firstLine="3960" w:firstLineChars="1650"/>
        <w:jc w:val="left"/>
        <w:rPr>
          <w:rFonts w:ascii="楷体" w:hAnsi="楷体" w:eastAsia="楷体" w:cs="楷体"/>
          <w:szCs w:val="24"/>
        </w:rPr>
      </w:pPr>
    </w:p>
    <w:p>
      <w:pPr>
        <w:spacing w:line="360" w:lineRule="auto"/>
        <w:ind w:firstLine="3960" w:firstLineChars="1650"/>
        <w:jc w:val="left"/>
        <w:rPr>
          <w:rFonts w:ascii="楷体" w:hAnsi="楷体" w:eastAsia="楷体" w:cs="楷体"/>
          <w:szCs w:val="24"/>
        </w:rPr>
      </w:pPr>
      <w:r>
        <w:rPr>
          <w:rFonts w:hint="eastAsia" w:ascii="楷体" w:hAnsi="楷体" w:eastAsia="楷体" w:cs="楷体"/>
          <w:szCs w:val="24"/>
        </w:rPr>
        <w:t>企业名称（盖章）：</w:t>
      </w:r>
    </w:p>
    <w:p>
      <w:pPr>
        <w:spacing w:line="360" w:lineRule="auto"/>
        <w:ind w:firstLine="3960" w:firstLineChars="1650"/>
        <w:jc w:val="left"/>
        <w:rPr>
          <w:rFonts w:ascii="楷体" w:hAnsi="楷体" w:eastAsia="楷体" w:cs="楷体"/>
          <w:szCs w:val="24"/>
        </w:rPr>
      </w:pPr>
      <w:r>
        <w:rPr>
          <w:rFonts w:hint="eastAsia" w:ascii="楷体" w:hAnsi="楷体" w:eastAsia="楷体" w:cs="楷体"/>
          <w:szCs w:val="24"/>
        </w:rPr>
        <w:t>日期：</w:t>
      </w:r>
    </w:p>
    <w:p>
      <w:pPr>
        <w:adjustRightInd w:val="0"/>
        <w:snapToGrid w:val="0"/>
        <w:spacing w:line="360" w:lineRule="auto"/>
        <w:ind w:firstLine="550" w:firstLineChars="250"/>
        <w:rPr>
          <w:rFonts w:ascii="楷体" w:hAnsi="楷体" w:eastAsia="楷体"/>
          <w:sz w:val="22"/>
        </w:rPr>
      </w:pPr>
    </w:p>
    <w:p>
      <w:pPr>
        <w:adjustRightInd w:val="0"/>
        <w:snapToGrid w:val="0"/>
        <w:spacing w:line="360" w:lineRule="auto"/>
        <w:ind w:firstLine="550" w:firstLineChars="250"/>
        <w:rPr>
          <w:rFonts w:ascii="楷体" w:hAnsi="楷体" w:eastAsia="楷体"/>
          <w:sz w:val="22"/>
        </w:rPr>
      </w:pPr>
      <w:r>
        <w:rPr>
          <w:rFonts w:hint="eastAsia" w:ascii="楷体" w:hAnsi="楷体" w:eastAsia="楷体"/>
          <w:sz w:val="22"/>
        </w:rPr>
        <w:t xml:space="preserve">说明：                                  </w:t>
      </w:r>
    </w:p>
    <w:p>
      <w:pPr>
        <w:adjustRightInd w:val="0"/>
        <w:snapToGrid w:val="0"/>
        <w:spacing w:line="360" w:lineRule="auto"/>
        <w:ind w:firstLine="550" w:firstLineChars="250"/>
        <w:rPr>
          <w:rFonts w:ascii="楷体" w:hAnsi="楷体" w:eastAsia="楷体"/>
          <w:sz w:val="22"/>
        </w:rPr>
      </w:pPr>
      <w:r>
        <w:rPr>
          <w:rFonts w:hint="eastAsia" w:ascii="楷体" w:hAnsi="楷体" w:eastAsia="楷体"/>
          <w:sz w:val="22"/>
          <w:vertAlign w:val="superscript"/>
        </w:rPr>
        <w:t>1</w:t>
      </w:r>
      <w:r>
        <w:rPr>
          <w:rFonts w:hint="eastAsia" w:ascii="楷体" w:hAnsi="楷体" w:eastAsia="楷体"/>
          <w:sz w:val="22"/>
        </w:rPr>
        <w:t>从业人员、营业收入、资产总额填报上一年度数据，无上一年度数据的新成立企业可不填报。</w:t>
      </w:r>
    </w:p>
    <w:p>
      <w:pPr>
        <w:adjustRightInd w:val="0"/>
        <w:snapToGrid w:val="0"/>
        <w:spacing w:line="360" w:lineRule="auto"/>
        <w:ind w:firstLine="550" w:firstLineChars="250"/>
        <w:rPr>
          <w:rFonts w:ascii="楷体" w:hAnsi="楷体" w:eastAsia="楷体"/>
          <w:sz w:val="22"/>
        </w:rPr>
      </w:pPr>
      <w:r>
        <w:rPr>
          <w:rFonts w:hint="eastAsia" w:ascii="楷体" w:hAnsi="楷体" w:eastAsia="楷体"/>
          <w:sz w:val="22"/>
        </w:rPr>
        <w:t>如不是该类企业则不需提供相关声明，若提供虚假材料谋取中标、成交的，将按照《政府采购法》第七十七条规定对供应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line="360" w:lineRule="auto"/>
        <w:jc w:val="left"/>
        <w:rPr>
          <w:rFonts w:ascii="楷体" w:hAnsi="楷体" w:eastAsia="楷体" w:cs="楷体"/>
          <w:b/>
          <w:bCs/>
          <w:szCs w:val="24"/>
        </w:rPr>
      </w:pPr>
      <w:r>
        <w:rPr>
          <w:rFonts w:hint="eastAsia" w:ascii="楷体" w:hAnsi="楷体" w:eastAsia="楷体" w:cs="楷体"/>
          <w:b/>
          <w:bCs/>
          <w:kern w:val="2"/>
          <w:sz w:val="30"/>
          <w:szCs w:val="30"/>
        </w:rPr>
        <w:t>附件7：（如有）</w:t>
      </w:r>
    </w:p>
    <w:bookmarkEnd w:id="123"/>
    <w:bookmarkEnd w:id="124"/>
    <w:p>
      <w:pPr>
        <w:autoSpaceDE w:val="0"/>
        <w:autoSpaceDN w:val="0"/>
        <w:adjustRightInd w:val="0"/>
        <w:spacing w:line="360" w:lineRule="auto"/>
        <w:jc w:val="center"/>
        <w:rPr>
          <w:rFonts w:ascii="楷体" w:hAnsi="楷体" w:eastAsia="楷体" w:cs="楷体"/>
          <w:b/>
          <w:sz w:val="30"/>
          <w:szCs w:val="30"/>
          <w:lang w:val="zh-CN"/>
        </w:rPr>
      </w:pPr>
      <w:r>
        <w:rPr>
          <w:rFonts w:hint="eastAsia" w:ascii="楷体" w:hAnsi="楷体" w:eastAsia="楷体" w:cs="楷体"/>
          <w:b/>
          <w:sz w:val="30"/>
          <w:szCs w:val="30"/>
          <w:lang w:val="zh-CN"/>
        </w:rPr>
        <w:t>残疾人福利性单位声明函</w:t>
      </w:r>
    </w:p>
    <w:p>
      <w:pPr>
        <w:autoSpaceDE w:val="0"/>
        <w:autoSpaceDN w:val="0"/>
        <w:adjustRightInd w:val="0"/>
        <w:spacing w:line="360" w:lineRule="auto"/>
        <w:ind w:firstLine="480" w:firstLineChars="200"/>
        <w:jc w:val="left"/>
        <w:rPr>
          <w:rFonts w:ascii="楷体" w:hAnsi="楷体" w:eastAsia="楷体" w:cs="楷体"/>
          <w:bCs/>
          <w:szCs w:val="24"/>
          <w:lang w:val="zh-CN"/>
        </w:rPr>
      </w:pPr>
    </w:p>
    <w:p>
      <w:pPr>
        <w:autoSpaceDE w:val="0"/>
        <w:autoSpaceDN w:val="0"/>
        <w:adjustRightInd w:val="0"/>
        <w:spacing w:line="360" w:lineRule="auto"/>
        <w:ind w:firstLine="480" w:firstLineChars="200"/>
        <w:jc w:val="left"/>
        <w:rPr>
          <w:rFonts w:ascii="楷体" w:hAnsi="楷体" w:eastAsia="楷体" w:cs="楷体"/>
          <w:bCs/>
          <w:szCs w:val="24"/>
          <w:lang w:val="zh-CN"/>
        </w:rPr>
      </w:pPr>
      <w:r>
        <w:rPr>
          <w:rFonts w:hint="eastAsia" w:ascii="楷体" w:hAnsi="楷体" w:eastAsia="楷体" w:cs="楷体"/>
          <w:bCs/>
          <w:szCs w:val="24"/>
          <w:lang w:val="zh-CN"/>
        </w:rPr>
        <w:t>本单位郑重声明，根据《财政部 民政部 中国残疾人联合会关于促进残疾人就业政府采购政策的通知》（财库〔2017〕 141号）的规定，本单位为符合条件的残疾人福利性单位，且本单位参加</w:t>
      </w:r>
      <w:r>
        <w:rPr>
          <w:rFonts w:hint="eastAsia" w:ascii="楷体" w:hAnsi="楷体" w:eastAsia="楷体" w:cs="楷体"/>
          <w:bCs/>
          <w:szCs w:val="24"/>
          <w:u w:val="single"/>
        </w:rPr>
        <w:t xml:space="preserve">           </w:t>
      </w:r>
      <w:r>
        <w:rPr>
          <w:rFonts w:hint="eastAsia" w:ascii="楷体" w:hAnsi="楷体" w:eastAsia="楷体" w:cs="楷体"/>
          <w:bCs/>
          <w:szCs w:val="24"/>
          <w:lang w:val="zh-CN"/>
        </w:rPr>
        <w:t>单位的</w:t>
      </w:r>
      <w:r>
        <w:rPr>
          <w:rFonts w:hint="eastAsia" w:ascii="楷体" w:hAnsi="楷体" w:eastAsia="楷体" w:cs="楷体"/>
          <w:bCs/>
          <w:szCs w:val="24"/>
          <w:u w:val="single"/>
        </w:rPr>
        <w:t xml:space="preserve">           </w:t>
      </w:r>
      <w:r>
        <w:rPr>
          <w:rFonts w:hint="eastAsia" w:ascii="楷体" w:hAnsi="楷体" w:eastAsia="楷体" w:cs="楷体"/>
          <w:bCs/>
          <w:szCs w:val="24"/>
          <w:lang w:val="zh-CN"/>
        </w:rPr>
        <w:t>项目采购活动提供本单位制造的货物（由本单位承担工程/提供服务），或者提供其他残疾人福利性单位制造的货物（不包括使用非残疾人福利性单位注册商标的货物）。</w:t>
      </w:r>
    </w:p>
    <w:p>
      <w:pPr>
        <w:autoSpaceDE w:val="0"/>
        <w:autoSpaceDN w:val="0"/>
        <w:adjustRightInd w:val="0"/>
        <w:spacing w:line="360" w:lineRule="auto"/>
        <w:ind w:firstLine="480" w:firstLineChars="200"/>
        <w:jc w:val="left"/>
        <w:rPr>
          <w:rFonts w:ascii="楷体" w:hAnsi="楷体" w:eastAsia="楷体" w:cs="楷体"/>
          <w:bCs/>
          <w:szCs w:val="24"/>
          <w:lang w:val="zh-CN"/>
        </w:rPr>
      </w:pPr>
      <w:r>
        <w:rPr>
          <w:rFonts w:hint="eastAsia" w:ascii="楷体" w:hAnsi="楷体" w:eastAsia="楷体" w:cs="楷体"/>
          <w:bCs/>
          <w:szCs w:val="24"/>
          <w:lang w:val="zh-CN"/>
        </w:rPr>
        <w:t>本单位对上述声明的真实性负责。如有虚假，将依法承担相应责任。</w:t>
      </w:r>
    </w:p>
    <w:p>
      <w:pPr>
        <w:autoSpaceDE w:val="0"/>
        <w:autoSpaceDN w:val="0"/>
        <w:adjustRightInd w:val="0"/>
        <w:spacing w:line="360" w:lineRule="auto"/>
        <w:ind w:firstLine="480" w:firstLineChars="200"/>
        <w:jc w:val="left"/>
        <w:rPr>
          <w:rFonts w:ascii="楷体" w:hAnsi="楷体" w:eastAsia="楷体" w:cs="楷体"/>
          <w:bCs/>
          <w:szCs w:val="24"/>
          <w:lang w:val="zh-CN"/>
        </w:rPr>
      </w:pPr>
    </w:p>
    <w:p>
      <w:pPr>
        <w:autoSpaceDE w:val="0"/>
        <w:autoSpaceDN w:val="0"/>
        <w:adjustRightInd w:val="0"/>
        <w:spacing w:line="360" w:lineRule="auto"/>
        <w:ind w:firstLine="480" w:firstLineChars="200"/>
        <w:jc w:val="left"/>
        <w:rPr>
          <w:rFonts w:ascii="楷体" w:hAnsi="楷体" w:eastAsia="楷体" w:cs="楷体"/>
          <w:bCs/>
          <w:szCs w:val="24"/>
          <w:lang w:val="zh-CN"/>
        </w:rPr>
      </w:pPr>
    </w:p>
    <w:p>
      <w:pPr>
        <w:autoSpaceDE w:val="0"/>
        <w:autoSpaceDN w:val="0"/>
        <w:adjustRightInd w:val="0"/>
        <w:spacing w:line="360" w:lineRule="auto"/>
        <w:ind w:firstLine="3840" w:firstLineChars="1600"/>
        <w:jc w:val="left"/>
        <w:rPr>
          <w:rFonts w:ascii="楷体" w:hAnsi="楷体" w:eastAsia="楷体" w:cs="楷体"/>
          <w:bCs/>
          <w:szCs w:val="24"/>
          <w:lang w:val="zh-CN"/>
        </w:rPr>
      </w:pPr>
      <w:r>
        <w:rPr>
          <w:rFonts w:hint="eastAsia" w:ascii="楷体" w:hAnsi="楷体" w:eastAsia="楷体" w:cs="楷体"/>
          <w:bCs/>
          <w:szCs w:val="24"/>
          <w:lang w:val="zh-CN"/>
        </w:rPr>
        <w:t>单位名称（盖章）：</w:t>
      </w:r>
    </w:p>
    <w:p>
      <w:pPr>
        <w:autoSpaceDE w:val="0"/>
        <w:autoSpaceDN w:val="0"/>
        <w:adjustRightInd w:val="0"/>
        <w:spacing w:line="360" w:lineRule="auto"/>
        <w:ind w:firstLine="3840" w:firstLineChars="1600"/>
        <w:jc w:val="left"/>
        <w:rPr>
          <w:rFonts w:ascii="楷体" w:hAnsi="楷体" w:eastAsia="楷体" w:cs="楷体"/>
          <w:bCs/>
          <w:szCs w:val="24"/>
          <w:lang w:val="zh-CN"/>
        </w:rPr>
      </w:pPr>
      <w:r>
        <w:rPr>
          <w:rFonts w:hint="eastAsia" w:ascii="楷体" w:hAnsi="楷体" w:eastAsia="楷体" w:cs="楷体"/>
          <w:bCs/>
          <w:szCs w:val="24"/>
          <w:lang w:val="zh-CN"/>
        </w:rPr>
        <w:t>日  期：</w:t>
      </w:r>
    </w:p>
    <w:p>
      <w:pPr>
        <w:adjustRightInd w:val="0"/>
        <w:snapToGrid w:val="0"/>
        <w:spacing w:line="360" w:lineRule="auto"/>
        <w:jc w:val="left"/>
        <w:rPr>
          <w:rFonts w:ascii="楷体" w:hAnsi="楷体" w:eastAsia="楷体" w:cs="楷体"/>
        </w:rPr>
      </w:pPr>
    </w:p>
    <w:p>
      <w:pPr>
        <w:tabs>
          <w:tab w:val="left" w:pos="1620"/>
          <w:tab w:val="left" w:pos="1800"/>
        </w:tabs>
        <w:spacing w:line="360" w:lineRule="auto"/>
        <w:ind w:right="617" w:rightChars="257"/>
        <w:jc w:val="left"/>
        <w:rPr>
          <w:rFonts w:ascii="楷体" w:hAnsi="楷体" w:eastAsia="楷体" w:cs="楷体"/>
        </w:rPr>
      </w:pPr>
    </w:p>
    <w:p>
      <w:pPr>
        <w:tabs>
          <w:tab w:val="left" w:pos="1620"/>
          <w:tab w:val="left" w:pos="1800"/>
        </w:tabs>
        <w:spacing w:line="360" w:lineRule="auto"/>
        <w:ind w:right="617" w:rightChars="257"/>
        <w:jc w:val="left"/>
        <w:rPr>
          <w:rFonts w:ascii="楷体" w:hAnsi="楷体" w:eastAsia="楷体" w:cs="楷体"/>
        </w:rPr>
      </w:pPr>
    </w:p>
    <w:p>
      <w:pPr>
        <w:pStyle w:val="3"/>
        <w:spacing w:line="360" w:lineRule="auto"/>
        <w:jc w:val="left"/>
        <w:rPr>
          <w:rFonts w:ascii="楷体" w:hAnsi="楷体" w:eastAsia="楷体" w:cs="楷体"/>
        </w:rPr>
      </w:pPr>
    </w:p>
    <w:p>
      <w:pPr>
        <w:pStyle w:val="3"/>
        <w:spacing w:line="360" w:lineRule="auto"/>
        <w:jc w:val="left"/>
        <w:rPr>
          <w:rFonts w:ascii="楷体" w:hAnsi="楷体" w:eastAsia="楷体" w:cs="楷体"/>
        </w:rPr>
      </w:pPr>
    </w:p>
    <w:p>
      <w:pPr>
        <w:autoSpaceDE w:val="0"/>
        <w:autoSpaceDN w:val="0"/>
        <w:adjustRightInd w:val="0"/>
        <w:spacing w:line="360" w:lineRule="auto"/>
        <w:jc w:val="left"/>
        <w:rPr>
          <w:rFonts w:ascii="楷体" w:hAnsi="楷体" w:eastAsia="楷体" w:cs="楷体"/>
          <w:bCs/>
          <w:szCs w:val="24"/>
          <w:lang w:val="zh-CN"/>
        </w:rPr>
      </w:pPr>
      <w:r>
        <w:rPr>
          <w:rFonts w:hint="eastAsia" w:ascii="楷体" w:hAnsi="楷体" w:eastAsia="楷体" w:cs="楷体"/>
          <w:bCs/>
          <w:szCs w:val="24"/>
          <w:lang w:val="zh-CN"/>
        </w:rPr>
        <w:t>注：</w:t>
      </w:r>
      <w:r>
        <w:rPr>
          <w:rFonts w:hint="eastAsia" w:ascii="楷体" w:hAnsi="楷体" w:eastAsia="楷体" w:cs="楷体"/>
          <w:bCs/>
          <w:szCs w:val="24"/>
        </w:rPr>
        <w:t>1.</w:t>
      </w:r>
      <w:r>
        <w:rPr>
          <w:rFonts w:hint="eastAsia" w:ascii="楷体" w:hAnsi="楷体" w:eastAsia="楷体" w:cs="楷体"/>
          <w:bCs/>
          <w:szCs w:val="24"/>
          <w:lang w:val="zh-CN"/>
        </w:rPr>
        <w:t>投标人应仔细阅读《财政部 民政部 中国残疾人联合会关于促进残疾人就业政府采购政策的通知》，并如实填写本表，符合条件的投标人未按上述要求提供、填写的，评审时不予以考虑。</w:t>
      </w:r>
    </w:p>
    <w:p>
      <w:pPr>
        <w:autoSpaceDE w:val="0"/>
        <w:autoSpaceDN w:val="0"/>
        <w:adjustRightInd w:val="0"/>
        <w:spacing w:line="360" w:lineRule="auto"/>
        <w:jc w:val="left"/>
        <w:rPr>
          <w:rFonts w:ascii="楷体" w:hAnsi="楷体" w:eastAsia="楷体" w:cs="楷体"/>
          <w:b/>
          <w:szCs w:val="24"/>
          <w:lang w:val="zh-CN"/>
        </w:rPr>
      </w:pPr>
      <w:r>
        <w:rPr>
          <w:rFonts w:hint="eastAsia" w:ascii="楷体" w:hAnsi="楷体" w:eastAsia="楷体"/>
          <w:szCs w:val="21"/>
        </w:rPr>
        <w:t>2.如不是该类企业则不需提供相关声明，若提供虚假材料谋取中标、成交的，将按照《政府采购法》第七十七条规定对供应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3"/>
        <w:spacing w:line="360" w:lineRule="auto"/>
        <w:jc w:val="left"/>
        <w:rPr>
          <w:rFonts w:ascii="楷体" w:hAnsi="楷体" w:eastAsia="楷体" w:cs="楷体"/>
        </w:rPr>
      </w:pPr>
    </w:p>
    <w:p/>
    <w:p/>
    <w:p>
      <w:pPr>
        <w:pStyle w:val="3"/>
        <w:spacing w:line="360" w:lineRule="auto"/>
        <w:jc w:val="left"/>
        <w:rPr>
          <w:rFonts w:ascii="楷体" w:hAnsi="楷体" w:eastAsia="楷体" w:cs="楷体"/>
          <w:b/>
          <w:bCs/>
          <w:sz w:val="30"/>
          <w:szCs w:val="30"/>
        </w:rPr>
      </w:pPr>
      <w:r>
        <w:rPr>
          <w:rFonts w:hint="eastAsia" w:ascii="楷体" w:hAnsi="楷体" w:eastAsia="楷体" w:cs="楷体"/>
          <w:b/>
          <w:bCs/>
          <w:sz w:val="30"/>
          <w:szCs w:val="30"/>
        </w:rPr>
        <w:t>附件8：（如有）</w:t>
      </w:r>
    </w:p>
    <w:p>
      <w:pPr>
        <w:pStyle w:val="3"/>
        <w:spacing w:line="360" w:lineRule="auto"/>
        <w:jc w:val="center"/>
        <w:rPr>
          <w:rFonts w:ascii="楷体" w:hAnsi="楷体" w:eastAsia="楷体" w:cs="楷体"/>
          <w:b/>
          <w:bCs/>
          <w:sz w:val="30"/>
          <w:szCs w:val="30"/>
        </w:rPr>
      </w:pPr>
      <w:r>
        <w:rPr>
          <w:rFonts w:hint="eastAsia" w:ascii="楷体" w:hAnsi="楷体" w:eastAsia="楷体" w:cs="楷体"/>
          <w:b/>
          <w:bCs/>
          <w:sz w:val="30"/>
          <w:szCs w:val="30"/>
        </w:rPr>
        <w:t>监狱企业证明文件</w:t>
      </w:r>
    </w:p>
    <w:p>
      <w:pPr>
        <w:spacing w:line="360" w:lineRule="auto"/>
        <w:ind w:firstLine="480" w:firstLineChars="200"/>
        <w:jc w:val="left"/>
        <w:rPr>
          <w:rFonts w:ascii="楷体" w:hAnsi="楷体" w:eastAsia="楷体" w:cs="楷体"/>
        </w:rPr>
      </w:pPr>
      <w:r>
        <w:rPr>
          <w:rFonts w:hint="eastAsia" w:ascii="楷体" w:hAnsi="楷体" w:eastAsia="楷体" w:cs="楷体"/>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60" w:lineRule="auto"/>
        <w:ind w:firstLine="480" w:firstLineChars="200"/>
        <w:jc w:val="left"/>
        <w:rPr>
          <w:rFonts w:ascii="楷体" w:hAnsi="楷体" w:eastAsia="楷体" w:cs="楷体"/>
          <w:b/>
          <w:bCs/>
          <w:sz w:val="28"/>
          <w:szCs w:val="28"/>
        </w:rPr>
      </w:pPr>
      <w:r>
        <w:rPr>
          <w:rFonts w:hint="eastAsia" w:ascii="楷体" w:hAnsi="楷体" w:eastAsia="楷体" w:cs="楷体"/>
        </w:rPr>
        <w:t>监狱企业参加政府采购活动时，应当提供由省级以上监狱管理局、戒毒管理局（含新疆生产建设兵团）出具的属于监狱企业的证明文件。</w:t>
      </w:r>
    </w:p>
    <w:p>
      <w:pPr>
        <w:spacing w:beforeLines="50" w:afterLines="100"/>
        <w:jc w:val="left"/>
        <w:rPr>
          <w:rFonts w:ascii="楷体" w:hAnsi="楷体" w:eastAsia="楷体" w:cs="楷体"/>
          <w:b/>
          <w:bCs/>
          <w:sz w:val="28"/>
          <w:szCs w:val="28"/>
        </w:rPr>
      </w:pPr>
    </w:p>
    <w:p>
      <w:pPr>
        <w:spacing w:beforeLines="50" w:afterLines="100"/>
        <w:jc w:val="left"/>
        <w:rPr>
          <w:rFonts w:ascii="楷体" w:hAnsi="楷体" w:eastAsia="楷体" w:cs="楷体"/>
          <w:b/>
          <w:bCs/>
          <w:sz w:val="28"/>
          <w:szCs w:val="28"/>
        </w:rPr>
      </w:pPr>
    </w:p>
    <w:p>
      <w:pPr>
        <w:spacing w:beforeLines="50" w:afterLines="100"/>
        <w:jc w:val="left"/>
        <w:rPr>
          <w:rFonts w:ascii="楷体" w:hAnsi="楷体" w:eastAsia="楷体" w:cs="楷体"/>
          <w:b/>
          <w:bCs/>
          <w:sz w:val="28"/>
          <w:szCs w:val="28"/>
        </w:rPr>
      </w:pPr>
    </w:p>
    <w:p>
      <w:pPr>
        <w:spacing w:beforeLines="50" w:afterLines="100"/>
        <w:jc w:val="left"/>
        <w:rPr>
          <w:rFonts w:ascii="楷体" w:hAnsi="楷体" w:eastAsia="楷体" w:cs="楷体"/>
          <w:b/>
          <w:bCs/>
          <w:sz w:val="28"/>
          <w:szCs w:val="28"/>
        </w:rPr>
      </w:pPr>
    </w:p>
    <w:p>
      <w:pPr>
        <w:spacing w:beforeLines="50" w:afterLines="100"/>
        <w:jc w:val="left"/>
        <w:rPr>
          <w:rFonts w:ascii="楷体" w:hAnsi="楷体" w:eastAsia="楷体" w:cs="楷体"/>
          <w:b/>
          <w:bCs/>
          <w:sz w:val="28"/>
          <w:szCs w:val="28"/>
        </w:rPr>
      </w:pPr>
    </w:p>
    <w:p>
      <w:pPr>
        <w:adjustRightInd w:val="0"/>
        <w:snapToGrid w:val="0"/>
        <w:spacing w:line="360" w:lineRule="auto"/>
        <w:rPr>
          <w:rFonts w:ascii="楷体" w:hAnsi="楷体" w:eastAsia="楷体"/>
          <w:szCs w:val="21"/>
        </w:rPr>
      </w:pPr>
      <w:r>
        <w:rPr>
          <w:rFonts w:hint="eastAsia" w:ascii="楷体" w:hAnsi="楷体" w:eastAsia="楷体"/>
          <w:szCs w:val="21"/>
        </w:rPr>
        <w:t>说明：</w:t>
      </w:r>
    </w:p>
    <w:p>
      <w:pPr>
        <w:adjustRightInd w:val="0"/>
        <w:snapToGrid w:val="0"/>
        <w:spacing w:line="360" w:lineRule="auto"/>
        <w:ind w:firstLine="525"/>
        <w:rPr>
          <w:rFonts w:ascii="楷体" w:hAnsi="楷体" w:eastAsia="楷体"/>
          <w:bCs/>
          <w:szCs w:val="21"/>
        </w:rPr>
      </w:pPr>
      <w:r>
        <w:rPr>
          <w:rFonts w:hint="eastAsia" w:ascii="楷体" w:hAnsi="楷体" w:eastAsia="楷体"/>
          <w:bCs/>
          <w:szCs w:val="21"/>
        </w:rPr>
        <w:t>1.无格式要求，由出具监狱企业证明的单位自行拟定；</w:t>
      </w:r>
    </w:p>
    <w:p>
      <w:pPr>
        <w:adjustRightInd w:val="0"/>
        <w:snapToGrid w:val="0"/>
        <w:spacing w:line="360" w:lineRule="auto"/>
        <w:ind w:firstLine="525"/>
        <w:rPr>
          <w:rFonts w:ascii="黑体" w:hAnsi="宋体" w:eastAsia="黑体"/>
          <w:sz w:val="28"/>
          <w:szCs w:val="28"/>
        </w:rPr>
      </w:pPr>
      <w:r>
        <w:rPr>
          <w:rFonts w:hint="eastAsia" w:ascii="楷体" w:hAnsi="楷体" w:eastAsia="楷体"/>
          <w:szCs w:val="21"/>
        </w:rPr>
        <w:t>2.如不是该类企业则不需提供相关声明，若提供虚假材料谋取中标、成交的，将按照《政府采购法》第七十七条规定对供应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line="360" w:lineRule="auto"/>
        <w:rPr>
          <w:rFonts w:ascii="楷体" w:hAnsi="楷体" w:eastAsia="楷体" w:cs="楷体"/>
          <w:b/>
          <w:sz w:val="30"/>
          <w:szCs w:val="30"/>
        </w:rPr>
      </w:pPr>
    </w:p>
    <w:p>
      <w:pPr>
        <w:spacing w:line="360" w:lineRule="auto"/>
        <w:rPr>
          <w:rFonts w:ascii="楷体" w:hAnsi="楷体" w:eastAsia="楷体" w:cs="楷体"/>
          <w:b/>
          <w:sz w:val="30"/>
          <w:szCs w:val="30"/>
        </w:rPr>
      </w:pPr>
      <w:r>
        <w:rPr>
          <w:rFonts w:hint="eastAsia" w:ascii="楷体" w:hAnsi="楷体" w:eastAsia="楷体" w:cs="楷体"/>
          <w:b/>
          <w:sz w:val="30"/>
          <w:szCs w:val="30"/>
        </w:rPr>
        <w:t>附件9：</w:t>
      </w:r>
    </w:p>
    <w:p>
      <w:pPr>
        <w:spacing w:line="360" w:lineRule="auto"/>
        <w:rPr>
          <w:rFonts w:ascii="楷体" w:hAnsi="楷体" w:eastAsia="楷体" w:cs="楷体"/>
          <w:sz w:val="30"/>
          <w:szCs w:val="30"/>
        </w:rPr>
      </w:pPr>
      <w:r>
        <w:rPr>
          <w:rFonts w:hint="eastAsia" w:ascii="楷体" w:hAnsi="楷体" w:eastAsia="楷体" w:cs="楷体"/>
          <w:sz w:val="30"/>
          <w:szCs w:val="30"/>
        </w:rPr>
        <w:t>封袋/封箱正面标识式样</w:t>
      </w:r>
    </w:p>
    <w:p>
      <w:pPr>
        <w:spacing w:line="460" w:lineRule="exact"/>
        <w:rPr>
          <w:rFonts w:ascii="楷体" w:hAnsi="楷体" w:eastAsia="楷体" w:cs="楷体"/>
          <w:b/>
          <w:szCs w:val="24"/>
        </w:rPr>
      </w:pPr>
      <w:r>
        <w:rPr>
          <w:rFonts w:hint="eastAsia" w:ascii="楷体" w:hAnsi="楷体" w:eastAsia="楷体" w:cs="楷体"/>
          <w:b/>
          <w:szCs w:val="24"/>
        </w:rPr>
        <w:t>格式A：招标文件封袋/封箱正面标识式样</w:t>
      </w:r>
    </w:p>
    <w:p>
      <w:pPr>
        <w:spacing w:line="460" w:lineRule="exact"/>
        <w:ind w:firstLine="482" w:firstLineChars="200"/>
        <w:rPr>
          <w:rFonts w:ascii="楷体" w:hAnsi="楷体" w:eastAsia="楷体" w:cs="楷体"/>
          <w:b/>
        </w:rPr>
      </w:pPr>
      <w:r>
        <w:rPr>
          <w:rFonts w:ascii="楷体" w:hAnsi="楷体" w:eastAsia="楷体" w:cs="楷体"/>
          <w:b/>
          <w:lang w:val="zh-CN"/>
        </w:rPr>
        <w:pict>
          <v:shape id="_x0000_s1026" o:spid="_x0000_s1026" o:spt="202" type="#_x0000_t202" style="position:absolute;left:0pt;margin-left:1.5pt;margin-top:9pt;height:233.65pt;width:415.8pt;z-index:251659264;mso-width-relative:page;mso-height-relative:page;" coordsize="21600,21600" o:gfxdata="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J1bDM2AAAAAgBAAAPAAAAAAAAAAEAIAAA&#10;ACIAAABkcnMvZG93bnJldi54bWxQSwECFAAUAAAACACHTuJAE3s32gwCAAA3BAAADgAAAAAAAAAB&#10;ACAAAAAnAQAAZHJzL2Uyb0RvYy54bWxQSwUGAAAAAAYABgBZAQAApQUAAAAA&#10;">
            <v:path/>
            <v:fill focussize="0,0"/>
            <v:stroke joinstyle="miter"/>
            <v:imagedata o:title=""/>
            <o:lock v:ext="edit"/>
            <v:textbox>
              <w:txbxContent>
                <w:p>
                  <w:pPr>
                    <w:rPr>
                      <w:rFonts w:ascii="楷体" w:hAnsi="楷体" w:eastAsia="楷体"/>
                      <w:color w:val="FF0000"/>
                      <w:sz w:val="28"/>
                      <w:szCs w:val="28"/>
                    </w:rPr>
                  </w:pPr>
                  <w:r>
                    <w:rPr>
                      <w:rFonts w:hint="eastAsia" w:ascii="楷体" w:hAnsi="楷体" w:eastAsia="楷体"/>
                      <w:sz w:val="28"/>
                      <w:szCs w:val="28"/>
                    </w:rPr>
                    <w:t>致：勉县公安局     项目编号：</w:t>
                  </w:r>
                </w:p>
                <w:p>
                  <w:pPr>
                    <w:rPr>
                      <w:color w:val="FF0000"/>
                      <w:sz w:val="28"/>
                      <w:szCs w:val="28"/>
                    </w:rPr>
                  </w:pPr>
                  <w:r>
                    <w:rPr>
                      <w:rFonts w:hint="eastAsia" w:ascii="楷体" w:hAnsi="楷体" w:eastAsia="楷体"/>
                      <w:sz w:val="28"/>
                      <w:szCs w:val="28"/>
                    </w:rPr>
                    <w:t>项目名称、标段：</w:t>
                  </w:r>
                </w:p>
                <w:p>
                  <w:pPr>
                    <w:jc w:val="center"/>
                    <w:rPr>
                      <w:rFonts w:ascii="楷体" w:hAnsi="楷体" w:eastAsia="楷体"/>
                      <w:b/>
                      <w:sz w:val="44"/>
                      <w:szCs w:val="44"/>
                    </w:rPr>
                  </w:pPr>
                  <w:r>
                    <w:rPr>
                      <w:rFonts w:hint="eastAsia" w:ascii="楷体" w:hAnsi="楷体" w:eastAsia="楷体"/>
                      <w:b/>
                      <w:sz w:val="44"/>
                      <w:szCs w:val="44"/>
                    </w:rPr>
                    <w:t>投标文件（正本或副本）</w:t>
                  </w:r>
                </w:p>
                <w:p>
                  <w:pPr>
                    <w:jc w:val="center"/>
                    <w:rPr>
                      <w:rFonts w:ascii="楷体" w:hAnsi="楷体" w:eastAsia="楷体"/>
                      <w:sz w:val="28"/>
                      <w:szCs w:val="28"/>
                    </w:rPr>
                  </w:pPr>
                  <w:r>
                    <w:rPr>
                      <w:rFonts w:hint="eastAsia" w:ascii="楷体" w:hAnsi="楷体" w:eastAsia="楷体"/>
                      <w:sz w:val="28"/>
                      <w:szCs w:val="28"/>
                    </w:rPr>
                    <w:t>（非招标大会不得启封）</w:t>
                  </w:r>
                </w:p>
                <w:p>
                  <w:pPr>
                    <w:rPr>
                      <w:sz w:val="28"/>
                      <w:szCs w:val="28"/>
                    </w:rPr>
                  </w:pPr>
                </w:p>
                <w:p>
                  <w:pPr>
                    <w:rPr>
                      <w:rFonts w:ascii="楷体" w:hAnsi="楷体" w:eastAsia="楷体"/>
                      <w:sz w:val="28"/>
                      <w:szCs w:val="28"/>
                    </w:rPr>
                  </w:pPr>
                  <w:r>
                    <w:rPr>
                      <w:rFonts w:hint="eastAsia" w:ascii="楷体" w:hAnsi="楷体" w:eastAsia="楷体"/>
                      <w:sz w:val="28"/>
                      <w:szCs w:val="28"/>
                    </w:rPr>
                    <w:t>投标人名称（公章）：</w:t>
                  </w:r>
                </w:p>
                <w:p>
                  <w:pPr>
                    <w:rPr>
                      <w:rFonts w:ascii="楷体" w:hAnsi="楷体" w:eastAsia="楷体"/>
                      <w:sz w:val="28"/>
                      <w:szCs w:val="28"/>
                    </w:rPr>
                  </w:pPr>
                  <w:r>
                    <w:rPr>
                      <w:rFonts w:hint="eastAsia" w:ascii="楷体" w:hAnsi="楷体" w:eastAsia="楷体"/>
                      <w:sz w:val="28"/>
                      <w:szCs w:val="28"/>
                    </w:rPr>
                    <w:t>开标时间：</w:t>
                  </w:r>
                </w:p>
              </w:txbxContent>
            </v:textbox>
          </v:shape>
        </w:pict>
      </w:r>
    </w:p>
    <w:p>
      <w:pPr>
        <w:spacing w:line="420" w:lineRule="exact"/>
        <w:rPr>
          <w:rFonts w:ascii="楷体" w:hAnsi="楷体" w:eastAsia="楷体" w:cs="楷体"/>
          <w:b/>
          <w:sz w:val="32"/>
          <w:szCs w:val="32"/>
        </w:rPr>
      </w:pPr>
    </w:p>
    <w:p>
      <w:pPr>
        <w:rPr>
          <w:rFonts w:ascii="楷体" w:hAnsi="楷体" w:eastAsia="楷体" w:cs="楷体"/>
        </w:rPr>
      </w:pPr>
    </w:p>
    <w:p>
      <w:pPr>
        <w:rPr>
          <w:rFonts w:ascii="楷体" w:hAnsi="楷体" w:eastAsia="楷体" w:cs="楷体"/>
        </w:rPr>
      </w:pPr>
    </w:p>
    <w:p>
      <w:pPr>
        <w:rPr>
          <w:rFonts w:ascii="楷体" w:hAnsi="楷体" w:eastAsia="楷体" w:cs="楷体"/>
        </w:rPr>
      </w:pPr>
    </w:p>
    <w:p>
      <w:pPr>
        <w:rPr>
          <w:rFonts w:ascii="楷体" w:hAnsi="楷体" w:eastAsia="楷体" w:cs="楷体"/>
        </w:rPr>
      </w:pPr>
    </w:p>
    <w:p>
      <w:pPr>
        <w:rPr>
          <w:rFonts w:ascii="楷体" w:hAnsi="楷体" w:eastAsia="楷体" w:cs="楷体"/>
        </w:rPr>
      </w:pPr>
    </w:p>
    <w:p>
      <w:pPr>
        <w:rPr>
          <w:rFonts w:ascii="楷体" w:hAnsi="楷体" w:eastAsia="楷体" w:cs="楷体"/>
        </w:rPr>
      </w:pPr>
    </w:p>
    <w:p>
      <w:pPr>
        <w:rPr>
          <w:rFonts w:ascii="楷体" w:hAnsi="楷体" w:eastAsia="楷体" w:cs="楷体"/>
        </w:rPr>
      </w:pPr>
    </w:p>
    <w:p>
      <w:pPr>
        <w:rPr>
          <w:rFonts w:ascii="楷体" w:hAnsi="楷体" w:eastAsia="楷体" w:cs="楷体"/>
        </w:rPr>
      </w:pPr>
    </w:p>
    <w:p>
      <w:pPr>
        <w:rPr>
          <w:rFonts w:ascii="楷体" w:hAnsi="楷体" w:eastAsia="楷体" w:cs="楷体"/>
        </w:rPr>
      </w:pPr>
    </w:p>
    <w:p>
      <w:pPr>
        <w:rPr>
          <w:rFonts w:ascii="楷体" w:hAnsi="楷体" w:eastAsia="楷体" w:cs="楷体"/>
        </w:rPr>
      </w:pPr>
    </w:p>
    <w:p>
      <w:pPr>
        <w:rPr>
          <w:rFonts w:ascii="楷体" w:hAnsi="楷体" w:eastAsia="楷体" w:cs="楷体"/>
          <w:b/>
        </w:rPr>
      </w:pPr>
      <w:r>
        <w:rPr>
          <w:rFonts w:hint="eastAsia" w:ascii="楷体" w:hAnsi="楷体" w:eastAsia="楷体" w:cs="楷体"/>
          <w:b/>
        </w:rPr>
        <w:t xml:space="preserve">    </w:t>
      </w:r>
    </w:p>
    <w:p>
      <w:pPr>
        <w:rPr>
          <w:rFonts w:ascii="楷体" w:hAnsi="楷体" w:eastAsia="楷体" w:cs="楷体"/>
          <w:b/>
        </w:rPr>
      </w:pPr>
    </w:p>
    <w:p>
      <w:pPr>
        <w:rPr>
          <w:rFonts w:ascii="楷体" w:hAnsi="楷体" w:eastAsia="楷体" w:cs="楷体"/>
          <w:b/>
        </w:rPr>
      </w:pPr>
    </w:p>
    <w:p>
      <w:pPr>
        <w:rPr>
          <w:rFonts w:ascii="楷体" w:hAnsi="楷体" w:eastAsia="楷体" w:cs="楷体"/>
          <w:b/>
        </w:rPr>
      </w:pPr>
    </w:p>
    <w:p>
      <w:pPr>
        <w:rPr>
          <w:rFonts w:ascii="楷体" w:hAnsi="楷体" w:eastAsia="楷体" w:cs="楷体"/>
          <w:b/>
        </w:rPr>
      </w:pPr>
    </w:p>
    <w:p>
      <w:pPr>
        <w:rPr>
          <w:rFonts w:ascii="楷体" w:hAnsi="楷体" w:eastAsia="楷体" w:cs="楷体"/>
          <w:b/>
        </w:rPr>
      </w:pPr>
    </w:p>
    <w:p>
      <w:pPr>
        <w:rPr>
          <w:rFonts w:ascii="楷体" w:hAnsi="楷体" w:eastAsia="楷体" w:cs="楷体"/>
          <w:b/>
          <w:szCs w:val="24"/>
        </w:rPr>
      </w:pPr>
      <w:r>
        <w:rPr>
          <w:rFonts w:hint="eastAsia" w:ascii="楷体" w:hAnsi="楷体" w:eastAsia="楷体" w:cs="楷体"/>
          <w:b/>
          <w:szCs w:val="24"/>
        </w:rPr>
        <w:t xml:space="preserve"> 格式B：电子版封袋/封箱正面标识式样</w:t>
      </w:r>
    </w:p>
    <w:p>
      <w:pPr>
        <w:spacing w:line="460" w:lineRule="exact"/>
        <w:ind w:firstLine="482" w:firstLineChars="200"/>
        <w:rPr>
          <w:rFonts w:ascii="楷体" w:hAnsi="楷体" w:eastAsia="楷体" w:cs="楷体"/>
          <w:b/>
        </w:rPr>
      </w:pPr>
      <w:r>
        <w:rPr>
          <w:rFonts w:ascii="楷体" w:hAnsi="楷体" w:eastAsia="楷体" w:cs="楷体"/>
          <w:b/>
          <w:lang w:val="zh-CN"/>
        </w:rPr>
        <w:pict>
          <v:shape id="_x0000_s1028" o:spid="_x0000_s1028" o:spt="202" type="#_x0000_t202" style="position:absolute;left:0pt;margin-left:0.25pt;margin-top:11.6pt;height:262pt;width:416.4pt;z-index:251660288;mso-width-relative:page;mso-height-relative:page;" coordsize="21600,21600" o:gfxdata="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duYuJ1gAAAAcBAAAPAAAAAAAAAAEAIAAA&#10;ACIAAABkcnMvZG93bnJldi54bWxQSwECFAAUAAAACACHTuJA/czewg4CAAA3BAAADgAAAAAAAAAB&#10;ACAAAAAlAQAAZHJzL2Uyb0RvYy54bWxQSwUGAAAAAAYABgBZAQAApQUAAAAA&#10;">
            <v:path/>
            <v:fill focussize="0,0"/>
            <v:stroke joinstyle="miter"/>
            <v:imagedata o:title=""/>
            <o:lock v:ext="edit"/>
            <v:textbox>
              <w:txbxContent>
                <w:p>
                  <w:pPr>
                    <w:rPr>
                      <w:rFonts w:ascii="楷体" w:hAnsi="楷体" w:eastAsia="楷体"/>
                      <w:color w:val="FF0000"/>
                      <w:sz w:val="28"/>
                      <w:szCs w:val="28"/>
                    </w:rPr>
                  </w:pPr>
                  <w:r>
                    <w:rPr>
                      <w:rFonts w:hint="eastAsia" w:ascii="楷体" w:hAnsi="楷体" w:eastAsia="楷体"/>
                      <w:sz w:val="28"/>
                      <w:szCs w:val="28"/>
                    </w:rPr>
                    <w:t>致：勉县公安局        项目编号：</w:t>
                  </w:r>
                </w:p>
                <w:p>
                  <w:pPr>
                    <w:rPr>
                      <w:color w:val="FF0000"/>
                      <w:sz w:val="28"/>
                      <w:szCs w:val="28"/>
                    </w:rPr>
                  </w:pPr>
                  <w:r>
                    <w:rPr>
                      <w:rFonts w:hint="eastAsia" w:ascii="楷体" w:hAnsi="楷体" w:eastAsia="楷体"/>
                      <w:sz w:val="28"/>
                      <w:szCs w:val="28"/>
                    </w:rPr>
                    <w:t>项目名称、标段：</w:t>
                  </w:r>
                </w:p>
                <w:p>
                  <w:pPr>
                    <w:jc w:val="center"/>
                    <w:rPr>
                      <w:rFonts w:ascii="楷体" w:hAnsi="楷体" w:eastAsia="楷体"/>
                      <w:b/>
                      <w:sz w:val="44"/>
                      <w:szCs w:val="44"/>
                    </w:rPr>
                  </w:pPr>
                  <w:r>
                    <w:rPr>
                      <w:rFonts w:hint="eastAsia" w:ascii="楷体" w:hAnsi="楷体" w:eastAsia="楷体"/>
                      <w:b/>
                      <w:sz w:val="44"/>
                      <w:szCs w:val="44"/>
                    </w:rPr>
                    <w:t>电子版本</w:t>
                  </w:r>
                </w:p>
                <w:p>
                  <w:pPr>
                    <w:jc w:val="center"/>
                    <w:rPr>
                      <w:rFonts w:ascii="楷体" w:hAnsi="楷体" w:eastAsia="楷体"/>
                      <w:sz w:val="28"/>
                      <w:szCs w:val="28"/>
                    </w:rPr>
                  </w:pPr>
                  <w:r>
                    <w:rPr>
                      <w:rFonts w:hint="eastAsia" w:ascii="楷体" w:hAnsi="楷体" w:eastAsia="楷体"/>
                      <w:sz w:val="28"/>
                      <w:szCs w:val="28"/>
                    </w:rPr>
                    <w:t>（非公开唱价不得启封）</w:t>
                  </w:r>
                </w:p>
                <w:p>
                  <w:pPr>
                    <w:jc w:val="center"/>
                    <w:rPr>
                      <w:sz w:val="28"/>
                      <w:szCs w:val="28"/>
                    </w:rPr>
                  </w:pPr>
                </w:p>
                <w:p>
                  <w:pPr>
                    <w:rPr>
                      <w:rFonts w:ascii="楷体" w:hAnsi="楷体" w:eastAsia="楷体"/>
                      <w:sz w:val="28"/>
                      <w:szCs w:val="28"/>
                    </w:rPr>
                  </w:pPr>
                  <w:r>
                    <w:rPr>
                      <w:rFonts w:hint="eastAsia" w:ascii="楷体" w:hAnsi="楷体" w:eastAsia="楷体"/>
                      <w:sz w:val="28"/>
                      <w:szCs w:val="28"/>
                    </w:rPr>
                    <w:t xml:space="preserve">投标人名称（公章）： </w:t>
                  </w:r>
                </w:p>
                <w:p>
                  <w:pPr>
                    <w:rPr>
                      <w:rFonts w:ascii="楷体" w:hAnsi="楷体" w:eastAsia="楷体"/>
                      <w:sz w:val="28"/>
                      <w:szCs w:val="28"/>
                    </w:rPr>
                  </w:pPr>
                  <w:r>
                    <w:rPr>
                      <w:rFonts w:hint="eastAsia" w:ascii="楷体" w:hAnsi="楷体" w:eastAsia="楷体"/>
                      <w:sz w:val="28"/>
                      <w:szCs w:val="28"/>
                    </w:rPr>
                    <w:t>开标时间：</w:t>
                  </w:r>
                </w:p>
                <w:p>
                  <w:pPr>
                    <w:rPr>
                      <w:rFonts w:ascii="楷体" w:hAnsi="楷体" w:eastAsia="楷体"/>
                      <w:sz w:val="28"/>
                      <w:szCs w:val="28"/>
                    </w:rPr>
                  </w:pPr>
                </w:p>
              </w:txbxContent>
            </v:textbox>
          </v:shape>
        </w:pict>
      </w:r>
    </w:p>
    <w:p>
      <w:pPr>
        <w:tabs>
          <w:tab w:val="left" w:pos="684"/>
        </w:tabs>
        <w:jc w:val="left"/>
        <w:rPr>
          <w:rFonts w:ascii="楷体" w:hAnsi="楷体" w:eastAsia="楷体" w:cs="楷体"/>
        </w:rPr>
      </w:pPr>
    </w:p>
    <w:p>
      <w:pPr>
        <w:rPr>
          <w:rFonts w:ascii="楷体" w:hAnsi="楷体" w:eastAsia="楷体" w:cs="楷体"/>
          <w:b/>
          <w:szCs w:val="24"/>
        </w:rPr>
      </w:pPr>
    </w:p>
    <w:p>
      <w:pPr>
        <w:rPr>
          <w:rFonts w:ascii="楷体" w:hAnsi="楷体" w:eastAsia="楷体" w:cs="楷体"/>
          <w:b/>
          <w:szCs w:val="24"/>
        </w:rPr>
      </w:pPr>
    </w:p>
    <w:p>
      <w:pPr>
        <w:rPr>
          <w:rFonts w:ascii="楷体" w:hAnsi="楷体" w:eastAsia="楷体" w:cs="楷体"/>
          <w:b/>
          <w:szCs w:val="24"/>
        </w:rPr>
      </w:pPr>
    </w:p>
    <w:p>
      <w:pPr>
        <w:rPr>
          <w:rFonts w:ascii="楷体" w:hAnsi="楷体" w:eastAsia="楷体" w:cs="楷体"/>
          <w:b/>
          <w:szCs w:val="24"/>
        </w:rPr>
      </w:pPr>
    </w:p>
    <w:p>
      <w:pPr>
        <w:rPr>
          <w:rFonts w:ascii="楷体" w:hAnsi="楷体" w:eastAsia="楷体" w:cs="楷体"/>
          <w:b/>
          <w:szCs w:val="24"/>
        </w:rPr>
      </w:pPr>
    </w:p>
    <w:p>
      <w:pPr>
        <w:rPr>
          <w:rFonts w:ascii="楷体" w:hAnsi="楷体" w:eastAsia="楷体" w:cs="楷体"/>
        </w:rPr>
      </w:pPr>
    </w:p>
    <w:p>
      <w:pPr>
        <w:rPr>
          <w:rFonts w:ascii="楷体" w:hAnsi="楷体" w:eastAsia="楷体" w:cs="楷体"/>
        </w:rPr>
      </w:pPr>
    </w:p>
    <w:p>
      <w:pPr>
        <w:rPr>
          <w:rFonts w:ascii="楷体" w:hAnsi="楷体" w:eastAsia="楷体" w:cs="楷体"/>
        </w:rPr>
      </w:pPr>
    </w:p>
    <w:p>
      <w:pPr>
        <w:rPr>
          <w:rFonts w:ascii="楷体" w:hAnsi="楷体" w:eastAsia="楷体" w:cs="楷体"/>
        </w:rPr>
      </w:pPr>
    </w:p>
    <w:p>
      <w:pPr>
        <w:spacing w:line="460" w:lineRule="exact"/>
        <w:rPr>
          <w:rFonts w:ascii="楷体" w:hAnsi="楷体" w:eastAsia="楷体" w:cs="楷体"/>
          <w:b/>
        </w:rPr>
      </w:pPr>
    </w:p>
    <w:p>
      <w:pPr>
        <w:spacing w:line="460" w:lineRule="exact"/>
        <w:rPr>
          <w:rFonts w:ascii="楷体" w:hAnsi="楷体" w:eastAsia="楷体" w:cs="楷体"/>
          <w:b/>
        </w:rPr>
      </w:pPr>
    </w:p>
    <w:p>
      <w:pPr>
        <w:spacing w:line="460" w:lineRule="exact"/>
        <w:rPr>
          <w:rFonts w:ascii="楷体" w:hAnsi="楷体" w:eastAsia="楷体" w:cs="楷体"/>
          <w:b/>
        </w:rPr>
      </w:pPr>
    </w:p>
    <w:p>
      <w:pPr>
        <w:spacing w:line="460" w:lineRule="exact"/>
        <w:rPr>
          <w:rFonts w:ascii="楷体" w:hAnsi="楷体" w:eastAsia="楷体" w:cs="楷体"/>
          <w:b/>
        </w:rPr>
      </w:pPr>
    </w:p>
    <w:p>
      <w:pPr>
        <w:spacing w:line="460" w:lineRule="exact"/>
        <w:rPr>
          <w:rFonts w:ascii="楷体" w:hAnsi="楷体" w:eastAsia="楷体" w:cs="楷体"/>
          <w:b/>
          <w:szCs w:val="24"/>
        </w:rPr>
      </w:pPr>
    </w:p>
    <w:p>
      <w:pPr>
        <w:spacing w:line="460" w:lineRule="exact"/>
        <w:rPr>
          <w:rFonts w:ascii="楷体" w:hAnsi="楷体" w:eastAsia="楷体" w:cs="楷体"/>
          <w:b/>
          <w:szCs w:val="24"/>
        </w:rPr>
      </w:pPr>
      <w:r>
        <w:rPr>
          <w:rFonts w:hint="eastAsia" w:ascii="楷体" w:hAnsi="楷体" w:eastAsia="楷体" w:cs="楷体"/>
          <w:b/>
          <w:szCs w:val="24"/>
        </w:rPr>
        <w:t>格式C：投标报价表封袋/封箱正面标识式样</w:t>
      </w:r>
    </w:p>
    <w:p>
      <w:pPr>
        <w:spacing w:line="460" w:lineRule="exact"/>
        <w:ind w:firstLine="482" w:firstLineChars="200"/>
        <w:rPr>
          <w:rFonts w:ascii="楷体" w:hAnsi="楷体" w:eastAsia="楷体" w:cs="楷体"/>
          <w:b/>
        </w:rPr>
      </w:pPr>
      <w:r>
        <w:rPr>
          <w:rFonts w:ascii="楷体" w:hAnsi="楷体" w:eastAsia="楷体" w:cs="楷体"/>
          <w:b/>
          <w:lang w:val="zh-CN"/>
        </w:rPr>
        <w:pict>
          <v:shape id="_x0000_s1027" o:spid="_x0000_s1027" o:spt="202" type="#_x0000_t202" style="position:absolute;left:0pt;margin-left:-13pt;margin-top:9.7pt;height:283.85pt;width:437.05pt;z-index:251661312;mso-width-relative:page;mso-height-relative:page;" coordsize="21600,21600" o:gfxdata="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3xbDXaAAAACgEAAA8AAAAAAAAAAQAg&#10;AAAAIgAAAGRycy9kb3ducmV2LnhtbFBLAQIUABQAAAAIAIdO4kAWVpmNDAIAADcEAAAOAAAAAAAA&#10;AAEAIAAAACkBAABkcnMvZTJvRG9jLnhtbFBLBQYAAAAABgAGAFkBAACnBQAAAAA=&#10;">
            <v:path/>
            <v:fill focussize="0,0"/>
            <v:stroke joinstyle="miter"/>
            <v:imagedata o:title=""/>
            <o:lock v:ext="edit"/>
            <v:textbox>
              <w:txbxContent>
                <w:p>
                  <w:pPr>
                    <w:rPr>
                      <w:rFonts w:ascii="楷体" w:hAnsi="楷体" w:eastAsia="楷体"/>
                      <w:color w:val="FF0000"/>
                      <w:sz w:val="28"/>
                      <w:szCs w:val="28"/>
                    </w:rPr>
                  </w:pPr>
                  <w:r>
                    <w:rPr>
                      <w:rFonts w:hint="eastAsia" w:ascii="楷体" w:hAnsi="楷体" w:eastAsia="楷体"/>
                      <w:sz w:val="28"/>
                      <w:szCs w:val="28"/>
                    </w:rPr>
                    <w:t>致：勉县公安局           项目编号：</w:t>
                  </w:r>
                </w:p>
                <w:p>
                  <w:pPr>
                    <w:rPr>
                      <w:color w:val="FF0000"/>
                      <w:sz w:val="28"/>
                      <w:szCs w:val="28"/>
                    </w:rPr>
                  </w:pPr>
                  <w:r>
                    <w:rPr>
                      <w:rFonts w:hint="eastAsia" w:ascii="楷体" w:hAnsi="楷体" w:eastAsia="楷体"/>
                      <w:sz w:val="28"/>
                      <w:szCs w:val="28"/>
                    </w:rPr>
                    <w:t>项目名称、标段：</w:t>
                  </w:r>
                </w:p>
                <w:p>
                  <w:pPr>
                    <w:jc w:val="center"/>
                    <w:rPr>
                      <w:rFonts w:ascii="楷体" w:hAnsi="楷体" w:eastAsia="楷体"/>
                      <w:b/>
                      <w:sz w:val="44"/>
                      <w:szCs w:val="44"/>
                    </w:rPr>
                  </w:pPr>
                  <w:r>
                    <w:rPr>
                      <w:rFonts w:hint="eastAsia" w:ascii="楷体" w:hAnsi="楷体" w:eastAsia="楷体"/>
                      <w:b/>
                      <w:sz w:val="44"/>
                      <w:szCs w:val="44"/>
                    </w:rPr>
                    <w:t>开标一览表</w:t>
                  </w:r>
                </w:p>
                <w:p>
                  <w:pPr>
                    <w:jc w:val="center"/>
                    <w:rPr>
                      <w:rFonts w:ascii="楷体" w:hAnsi="楷体" w:eastAsia="楷体"/>
                      <w:sz w:val="28"/>
                      <w:szCs w:val="28"/>
                    </w:rPr>
                  </w:pPr>
                  <w:r>
                    <w:rPr>
                      <w:rFonts w:hint="eastAsia" w:ascii="楷体" w:hAnsi="楷体" w:eastAsia="楷体"/>
                      <w:sz w:val="28"/>
                      <w:szCs w:val="28"/>
                    </w:rPr>
                    <w:t>（非公开唱价不得启封）</w:t>
                  </w:r>
                </w:p>
                <w:p>
                  <w:pPr>
                    <w:jc w:val="center"/>
                    <w:rPr>
                      <w:sz w:val="28"/>
                      <w:szCs w:val="28"/>
                    </w:rPr>
                  </w:pPr>
                </w:p>
                <w:p>
                  <w:pPr>
                    <w:rPr>
                      <w:rFonts w:ascii="楷体" w:hAnsi="楷体" w:eastAsia="楷体"/>
                      <w:sz w:val="28"/>
                      <w:szCs w:val="28"/>
                    </w:rPr>
                  </w:pPr>
                  <w:r>
                    <w:rPr>
                      <w:rFonts w:hint="eastAsia" w:ascii="楷体" w:hAnsi="楷体" w:eastAsia="楷体"/>
                      <w:sz w:val="28"/>
                      <w:szCs w:val="28"/>
                    </w:rPr>
                    <w:t>投标人名称（公章）：</w:t>
                  </w:r>
                </w:p>
                <w:p>
                  <w:pPr>
                    <w:rPr>
                      <w:rFonts w:ascii="楷体" w:hAnsi="楷体" w:eastAsia="楷体"/>
                      <w:sz w:val="28"/>
                      <w:szCs w:val="28"/>
                    </w:rPr>
                  </w:pPr>
                  <w:r>
                    <w:rPr>
                      <w:rFonts w:hint="eastAsia" w:ascii="楷体" w:hAnsi="楷体" w:eastAsia="楷体"/>
                      <w:sz w:val="28"/>
                      <w:szCs w:val="28"/>
                    </w:rPr>
                    <w:t>开标时间：</w:t>
                  </w:r>
                </w:p>
              </w:txbxContent>
            </v:textbox>
          </v:shape>
        </w:pict>
      </w:r>
    </w:p>
    <w:p>
      <w:pPr>
        <w:tabs>
          <w:tab w:val="left" w:pos="684"/>
        </w:tabs>
        <w:jc w:val="left"/>
        <w:rPr>
          <w:rFonts w:ascii="楷体" w:hAnsi="楷体" w:eastAsia="楷体" w:cs="楷体"/>
        </w:rPr>
      </w:pPr>
    </w:p>
    <w:p>
      <w:pPr>
        <w:rPr>
          <w:rFonts w:ascii="楷体" w:hAnsi="楷体" w:eastAsia="楷体" w:cs="楷体"/>
          <w:b/>
          <w:szCs w:val="24"/>
        </w:rPr>
      </w:pPr>
    </w:p>
    <w:p>
      <w:pPr>
        <w:rPr>
          <w:rFonts w:ascii="楷体" w:hAnsi="楷体" w:eastAsia="楷体" w:cs="楷体"/>
          <w:b/>
          <w:szCs w:val="24"/>
        </w:rPr>
      </w:pPr>
      <w:bookmarkStart w:id="125" w:name="_GoBack"/>
      <w:bookmarkEnd w:id="125"/>
    </w:p>
    <w:p>
      <w:pPr>
        <w:rPr>
          <w:rFonts w:ascii="楷体" w:hAnsi="楷体" w:eastAsia="楷体" w:cs="楷体"/>
          <w:b/>
          <w:szCs w:val="24"/>
        </w:rPr>
      </w:pPr>
    </w:p>
    <w:p>
      <w:pPr>
        <w:rPr>
          <w:rFonts w:ascii="楷体" w:hAnsi="楷体" w:eastAsia="楷体" w:cs="楷体"/>
          <w:b/>
          <w:szCs w:val="24"/>
        </w:rPr>
      </w:pPr>
    </w:p>
    <w:p>
      <w:pPr>
        <w:rPr>
          <w:rFonts w:ascii="楷体" w:hAnsi="楷体" w:eastAsia="楷体" w:cs="楷体"/>
          <w:szCs w:val="24"/>
        </w:rPr>
      </w:pPr>
    </w:p>
    <w:p>
      <w:pPr>
        <w:rPr>
          <w:rFonts w:ascii="楷体" w:hAnsi="楷体" w:eastAsia="楷体" w:cs="楷体"/>
          <w:szCs w:val="24"/>
        </w:rPr>
      </w:pPr>
    </w:p>
    <w:p>
      <w:pPr>
        <w:rPr>
          <w:rFonts w:ascii="楷体" w:hAnsi="楷体" w:eastAsia="楷体" w:cs="楷体"/>
          <w:szCs w:val="24"/>
        </w:rPr>
      </w:pPr>
    </w:p>
    <w:p>
      <w:pPr>
        <w:rPr>
          <w:rFonts w:ascii="楷体" w:hAnsi="楷体" w:eastAsia="楷体" w:cs="楷体"/>
          <w:szCs w:val="24"/>
        </w:rPr>
      </w:pPr>
    </w:p>
    <w:p>
      <w:pPr>
        <w:rPr>
          <w:rFonts w:ascii="楷体" w:hAnsi="楷体" w:eastAsia="楷体" w:cs="楷体"/>
          <w:szCs w:val="24"/>
        </w:rPr>
      </w:pPr>
    </w:p>
    <w:p>
      <w:pPr>
        <w:rPr>
          <w:rFonts w:ascii="楷体" w:hAnsi="楷体" w:eastAsia="楷体" w:cs="楷体"/>
          <w:szCs w:val="24"/>
        </w:rPr>
      </w:pPr>
    </w:p>
    <w:p>
      <w:pPr>
        <w:rPr>
          <w:rFonts w:ascii="楷体" w:hAnsi="楷体" w:eastAsia="楷体" w:cs="楷体"/>
          <w:szCs w:val="24"/>
        </w:rPr>
      </w:pPr>
    </w:p>
    <w:p>
      <w:pPr>
        <w:rPr>
          <w:rFonts w:ascii="楷体" w:hAnsi="楷体" w:eastAsia="楷体" w:cs="楷体"/>
          <w:szCs w:val="24"/>
        </w:rPr>
      </w:pPr>
    </w:p>
    <w:p>
      <w:pPr>
        <w:rPr>
          <w:rFonts w:ascii="楷体" w:hAnsi="楷体" w:eastAsia="楷体" w:cs="楷体"/>
          <w:szCs w:val="24"/>
        </w:rPr>
      </w:pPr>
    </w:p>
    <w:p>
      <w:pPr>
        <w:rPr>
          <w:rFonts w:ascii="楷体" w:hAnsi="楷体" w:eastAsia="楷体" w:cs="楷体"/>
          <w:szCs w:val="24"/>
        </w:rPr>
      </w:pPr>
    </w:p>
    <w:p>
      <w:pPr>
        <w:rPr>
          <w:rFonts w:ascii="楷体" w:hAnsi="楷体" w:eastAsia="楷体" w:cs="楷体"/>
          <w:szCs w:val="24"/>
        </w:rPr>
      </w:pPr>
    </w:p>
    <w:p>
      <w:pPr>
        <w:rPr>
          <w:rFonts w:ascii="楷体" w:hAnsi="楷体" w:eastAsia="楷体" w:cs="楷体"/>
          <w:szCs w:val="24"/>
        </w:rPr>
      </w:pPr>
    </w:p>
    <w:p>
      <w:pPr>
        <w:spacing w:line="460" w:lineRule="exact"/>
        <w:rPr>
          <w:rFonts w:ascii="楷体" w:hAnsi="楷体" w:eastAsia="楷体" w:cs="楷体"/>
          <w:b/>
          <w:szCs w:val="24"/>
        </w:rPr>
      </w:pPr>
    </w:p>
    <w:p>
      <w:pPr>
        <w:spacing w:line="360" w:lineRule="auto"/>
        <w:rPr>
          <w:rFonts w:ascii="楷体" w:hAnsi="楷体" w:eastAsia="楷体" w:cs="楷体"/>
        </w:rPr>
      </w:pPr>
    </w:p>
    <w:p/>
    <w:sectPr>
      <w:headerReference r:id="rId13" w:type="default"/>
      <w:footerReference r:id="rId14" w:type="default"/>
      <w:pgSz w:w="11906" w:h="16838"/>
      <w:pgMar w:top="1440" w:right="1803"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Garamond">
    <w:altName w:val="PMingLiU-ExtB"/>
    <w:panose1 w:val="00000000000000000000"/>
    <w:charset w:val="00"/>
    <w:family w:val="roman"/>
    <w:pitch w:val="default"/>
    <w:sig w:usb0="00000000" w:usb1="00000000" w:usb2="00000000" w:usb3="00000000" w:csb0="0000009F" w:csb1="DFD70000"/>
  </w:font>
  <w:font w:name="PMingLiU-ExtB">
    <w:panose1 w:val="02020500000000000000"/>
    <w:charset w:val="88"/>
    <w:family w:val="auto"/>
    <w:pitch w:val="default"/>
    <w:sig w:usb0="8000002F" w:usb1="02000008" w:usb2="00000000" w:usb3="00000000" w:csb0="001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opperplate Gothic Bold">
    <w:altName w:val="Segoe Print"/>
    <w:panose1 w:val="00000000000000000000"/>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top w:val="single" w:color="auto" w:sz="4" w:space="1"/>
      </w:pBdr>
      <w:jc w:val="both"/>
      <w:rPr>
        <w:rFonts w:ascii="楷体" w:hAnsi="楷体" w:eastAsia="楷体" w:cs="楷体"/>
      </w:rPr>
    </w:pPr>
    <w:r>
      <w:pict>
        <v:shape id="_x0000_s2054" o:spid="_x0000_s2054"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5</w:t>
                </w:r>
                <w:r>
                  <w:fldChar w:fldCharType="end"/>
                </w:r>
              </w:p>
            </w:txbxContent>
          </v:textbox>
        </v:shape>
      </w:pict>
    </w:r>
    <w:r>
      <w:rPr>
        <w:rFonts w:hint="eastAsia"/>
      </w:rPr>
      <w:t>华睿诚项目管理有限公司</w:t>
    </w:r>
    <w:r>
      <w:rPr>
        <w:rFonts w:hint="eastAsia" w:ascii="楷体" w:hAnsi="楷体" w:eastAsia="楷体" w:cs="楷体"/>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20"/>
      </w:rPr>
      <w:pict>
        <v:shape id="_x0000_s2052" o:spid="_x0000_s2052" o:spt="202" type="#_x0000_t202" style="position:absolute;left:0pt;margin-left:200.65pt;margin-top:0pt;height:11.65pt;width:26.45pt;mso-position-horizontal-relative:margin;z-index:251661312;mso-width-relative:page;mso-height-relative:page;" filled="f" stroked="f" coordsize="21600,21600" o:gfxdata="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joX4Y1AAAAAcBAAAPAAAAAAAAAAEAIAAAACIAAABkcnMvZG93bnJldi54&#10;bWxQSwECFAAUAAAACACHTuJA9Gv9YcUBAACLAwAADgAAAAAAAAABACAAAAAjAQAAZHJzL2Uyb0Rv&#10;Yy54bWxQSwUGAAAAAAYABgBZAQAAWgUAAAAA&#10;">
          <v:path/>
          <v:fill on="f" focussize="0,0"/>
          <v:stroke on="f" joinstyle="miter"/>
          <v:imagedata o:title=""/>
          <o:lock v:ext="edit"/>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w:r>
    <w:r>
      <w:rPr>
        <w:rFonts w:hint="eastAsia" w:ascii="楷体" w:hAnsi="楷体" w:eastAsia="楷体" w:cs="楷体"/>
        <w:sz w:val="20"/>
        <w:szCs w:val="16"/>
      </w:rPr>
      <w:t>华睿诚项目管理有限公司</w:t>
    </w:r>
    <w:r>
      <w:rPr>
        <w:rFonts w:hint="eastAsia" w:ascii="楷体" w:hAnsi="楷体" w:eastAsia="楷体" w:cs="楷体"/>
        <w:sz w:val="20"/>
        <w:szCs w:val="2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20"/>
      </w:rPr>
      <w:pict>
        <v:shape id="_x0000_s2051" o:spid="_x0000_s2051" o:spt="202" type="#_x0000_t202" style="position:absolute;left:0pt;margin-left:346.5pt;margin-top:0pt;height:11.65pt;width:36pt;mso-position-horizontal-relative:margin;z-index:251662336;mso-width-relative:page;mso-height-relative:page;" filled="f" stroked="f" coordsize="21600,21600" o:gfxdata="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n6SOv1AAAAAcBAAAPAAAAAAAAAAEAIAAAACIAAABkcnMvZG93bnJldi54&#10;bWxQSwECFAAUAAAACACHTuJAEa832MUBAACLAwAADgAAAAAAAAABACAAAAAjAQAAZHJzL2Uyb0Rv&#10;Yy54bWxQSwUGAAAAAAYABgBZAQAAWgUAAAAA&#10;">
          <v:path/>
          <v:fill on="f" focussize="0,0"/>
          <v:stroke on="f" joinstyle="miter"/>
          <v:imagedata o:title=""/>
          <o:lock v:ext="edit"/>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v:textbox>
        </v:shape>
      </w:pict>
    </w:r>
    <w:r>
      <w:rPr>
        <w:rFonts w:hint="eastAsia" w:ascii="楷体" w:hAnsi="楷体" w:eastAsia="楷体" w:cs="楷体"/>
        <w:sz w:val="20"/>
        <w:szCs w:val="16"/>
      </w:rPr>
      <w:t>华睿诚项目管理有限公司</w:t>
    </w:r>
    <w:r>
      <w:rPr>
        <w:rFonts w:hint="eastAsia" w:ascii="楷体" w:hAnsi="楷体" w:eastAsia="楷体" w:cs="楷体"/>
        <w:sz w:val="20"/>
        <w:szCs w:val="2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pPr>
    <w:r>
      <w:rPr>
        <w:sz w:val="20"/>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path/>
          <v:fill on="f" focussize="0,0"/>
          <v:stroke on="f" joinstyle="miter"/>
          <v:imagedata o:title=""/>
          <o:lock v:ext="edit"/>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t>55</w:t>
                </w:r>
                <w:r>
                  <w:rPr>
                    <w:rFonts w:hint="eastAsia"/>
                  </w:rPr>
                  <w:fldChar w:fldCharType="end"/>
                </w:r>
              </w:p>
            </w:txbxContent>
          </v:textbox>
        </v:shape>
      </w:pict>
    </w:r>
    <w:r>
      <w:rPr>
        <w:rFonts w:hint="eastAsia" w:ascii="楷体" w:hAnsi="楷体" w:eastAsia="楷体" w:cs="楷体"/>
        <w:sz w:val="20"/>
        <w:szCs w:val="16"/>
      </w:rPr>
      <w:t>华睿诚项目管理有限公司</w:t>
    </w:r>
    <w:r>
      <w:rPr>
        <w:rFonts w:hint="eastAsia" w:ascii="楷体" w:hAnsi="楷体" w:eastAsia="楷体" w:cs="楷体"/>
        <w:sz w:val="20"/>
        <w:szCs w:val="2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pPr>
    <w:r>
      <w:rPr>
        <w:sz w:val="20"/>
      </w:rPr>
      <w:pict>
        <v:shape id="_x0000_s2049" o:spid="_x0000_s2049"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UD9+1dIBAAClAwAADgAAAAAAAAABACAAAAAi&#10;AQAAZHJzL2Uyb0RvYy54bWxQSwUGAAAAAAYABgBZAQAAZgUAAAAA&#10;">
          <v:path/>
          <v:fill on="f" focussize="0,0"/>
          <v:stroke on="f" weight="1.25pt" joinstyle="miter"/>
          <v:imagedata o:title=""/>
          <o:lock v:ext="edit"/>
          <v:textbox inset="0mm,0mm,0mm,0mm" style="mso-fit-shape-to-text:t;">
            <w:txbxContent>
              <w:p>
                <w:pPr>
                  <w:pStyle w:val="17"/>
                </w:pPr>
                <w:r>
                  <w:fldChar w:fldCharType="begin"/>
                </w:r>
                <w:r>
                  <w:instrText xml:space="preserve"> PAGE  \* MERGEFORMAT </w:instrText>
                </w:r>
                <w:r>
                  <w:fldChar w:fldCharType="separate"/>
                </w:r>
                <w:r>
                  <w:t>65</w:t>
                </w:r>
                <w:r>
                  <w:fldChar w:fldCharType="end"/>
                </w:r>
              </w:p>
            </w:txbxContent>
          </v:textbox>
        </v:shape>
      </w:pict>
    </w:r>
    <w:r>
      <w:rPr>
        <w:rFonts w:hint="eastAsia" w:ascii="楷体" w:hAnsi="楷体" w:eastAsia="楷体" w:cs="楷体"/>
        <w:sz w:val="20"/>
        <w:szCs w:val="16"/>
      </w:rPr>
      <w:t>华睿诚项目管理有限公司</w:t>
    </w:r>
    <w:r>
      <w:rPr>
        <w:rFonts w:hint="eastAsia" w:ascii="楷体" w:hAnsi="楷体" w:eastAsia="楷体" w:cs="楷体"/>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jc w:val="both"/>
      <w:rPr>
        <w:rFonts w:ascii="楷体" w:hAnsi="楷体" w:eastAsia="楷体" w:cs="楷体"/>
        <w:sz w:val="16"/>
        <w:szCs w:val="16"/>
        <w:u w:val="single"/>
      </w:rPr>
    </w:pPr>
    <w:r>
      <w:rPr>
        <w:rFonts w:hint="eastAsia" w:ascii="楷体" w:hAnsi="楷体" w:eastAsia="楷体" w:cs="楷体"/>
        <w:sz w:val="16"/>
        <w:szCs w:val="16"/>
        <w:u w:val="single"/>
        <w:lang w:eastAsia="zh-CN"/>
      </w:rPr>
      <w:t>勉县公安局勉县“雪亮工程”建设第一期采购（设备采购、含监理）</w:t>
    </w:r>
    <w:r>
      <w:rPr>
        <w:rFonts w:hint="eastAsia" w:ascii="楷体" w:hAnsi="楷体" w:eastAsia="楷体" w:cs="楷体"/>
        <w:sz w:val="16"/>
        <w:szCs w:val="16"/>
        <w:u w:val="single"/>
      </w:rPr>
      <w:t xml:space="preserve"> （包1</w:t>
    </w:r>
    <w:r>
      <w:rPr>
        <w:rFonts w:hint="eastAsia" w:ascii="楷体" w:hAnsi="楷体" w:eastAsia="楷体" w:cs="楷体"/>
        <w:sz w:val="16"/>
        <w:szCs w:val="16"/>
        <w:u w:val="single"/>
        <w:lang w:val="en-US" w:eastAsia="zh-CN"/>
      </w:rPr>
      <w:t>-5</w:t>
    </w:r>
    <w:r>
      <w:rPr>
        <w:rFonts w:hint="eastAsia" w:ascii="楷体" w:hAnsi="楷体" w:eastAsia="楷体" w:cs="楷体"/>
        <w:sz w:val="16"/>
        <w:szCs w:val="16"/>
        <w:u w:val="single"/>
      </w:rPr>
      <w:t>）                                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1"/>
      </w:pBdr>
      <w:jc w:val="left"/>
      <w:rPr>
        <w:rFonts w:eastAsia="楷体"/>
        <w:sz w:val="16"/>
        <w:szCs w:val="16"/>
      </w:rPr>
    </w:pPr>
    <w:r>
      <w:rPr>
        <w:rFonts w:hint="eastAsia" w:ascii="楷体" w:hAnsi="楷体" w:eastAsia="楷体" w:cs="楷体"/>
        <w:sz w:val="16"/>
        <w:szCs w:val="16"/>
        <w:lang w:eastAsia="zh-CN"/>
      </w:rPr>
      <w:t>勉县公安局勉县“雪亮工程”建设第一期采购（设备采购、含监理）</w:t>
    </w:r>
    <w:r>
      <w:rPr>
        <w:rFonts w:hint="eastAsia" w:ascii="楷体" w:hAnsi="楷体" w:eastAsia="楷体" w:cs="楷体"/>
        <w:sz w:val="16"/>
        <w:szCs w:val="16"/>
        <w:lang w:val="en-US" w:eastAsia="zh-CN"/>
      </w:rPr>
      <w:t xml:space="preserve"> </w:t>
    </w:r>
    <w:r>
      <w:rPr>
        <w:rFonts w:hint="eastAsia" w:ascii="楷体" w:hAnsi="楷体" w:eastAsia="楷体"/>
        <w:color w:val="000000"/>
      </w:rPr>
      <w:t>（包</w:t>
    </w:r>
    <w:r>
      <w:rPr>
        <w:rFonts w:hint="eastAsia" w:ascii="楷体" w:hAnsi="楷体" w:eastAsia="楷体"/>
        <w:color w:val="000000"/>
        <w:lang w:val="en-US" w:eastAsia="zh-CN"/>
      </w:rPr>
      <w:t>1-5</w:t>
    </w:r>
    <w:r>
      <w:rPr>
        <w:rFonts w:hint="eastAsia" w:ascii="楷体" w:hAnsi="楷体" w:eastAsia="楷体"/>
        <w:color w:val="000000"/>
      </w:rPr>
      <w:t>）</w:t>
    </w:r>
    <w:r>
      <w:rPr>
        <w:rFonts w:hint="eastAsia" w:ascii="楷体" w:hAnsi="楷体" w:eastAsia="楷体" w:cs="楷体"/>
        <w:sz w:val="16"/>
        <w:szCs w:val="16"/>
        <w:lang w:val="en-US" w:eastAsia="zh-CN"/>
      </w:rPr>
      <w:t xml:space="preserve">      </w:t>
    </w:r>
    <w:r>
      <w:rPr>
        <w:rFonts w:hint="eastAsia" w:ascii="楷体" w:hAnsi="楷体" w:eastAsia="楷体" w:cs="楷体"/>
        <w:sz w:val="16"/>
        <w:szCs w:val="16"/>
      </w:rPr>
      <w:t xml:space="preserve">                        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1"/>
      </w:pBdr>
      <w:jc w:val="left"/>
      <w:rPr>
        <w:rFonts w:eastAsia="楷体"/>
        <w:sz w:val="16"/>
        <w:szCs w:val="16"/>
      </w:rPr>
    </w:pPr>
    <w:r>
      <w:rPr>
        <w:rFonts w:hint="eastAsia" w:ascii="楷体" w:hAnsi="楷体" w:eastAsia="楷体" w:cs="楷体"/>
        <w:sz w:val="16"/>
        <w:szCs w:val="16"/>
        <w:lang w:eastAsia="zh-CN"/>
      </w:rPr>
      <w:t>勉县公安局勉县“雪亮工程”建设第一期采购（设备采购、含监理）</w:t>
    </w:r>
    <w:r>
      <w:rPr>
        <w:rFonts w:hint="eastAsia" w:ascii="楷体" w:hAnsi="楷体" w:eastAsia="楷体" w:cs="楷体"/>
        <w:sz w:val="16"/>
        <w:szCs w:val="16"/>
      </w:rPr>
      <w:t xml:space="preserve"> （包1）                                                                                                       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1"/>
      </w:pBdr>
      <w:jc w:val="left"/>
      <w:rPr>
        <w:rFonts w:eastAsia="楷体"/>
        <w:sz w:val="16"/>
        <w:szCs w:val="16"/>
      </w:rPr>
    </w:pPr>
    <w:r>
      <w:rPr>
        <w:rFonts w:hint="eastAsia" w:ascii="楷体" w:hAnsi="楷体" w:eastAsia="楷体" w:cs="楷体"/>
        <w:sz w:val="16"/>
        <w:szCs w:val="16"/>
        <w:lang w:eastAsia="zh-CN"/>
      </w:rPr>
      <w:t>勉县公安局勉县“雪亮工程”建设第一期采购（设备采购、含监理）</w:t>
    </w:r>
    <w:r>
      <w:rPr>
        <w:rFonts w:hint="eastAsia" w:ascii="楷体" w:hAnsi="楷体" w:eastAsia="楷体" w:cs="楷体"/>
        <w:sz w:val="16"/>
        <w:szCs w:val="16"/>
      </w:rPr>
      <w:t>（包</w:t>
    </w:r>
    <w:r>
      <w:rPr>
        <w:rFonts w:hint="eastAsia" w:ascii="楷体" w:hAnsi="楷体" w:eastAsia="楷体" w:cs="楷体"/>
        <w:sz w:val="16"/>
        <w:szCs w:val="16"/>
        <w:lang w:val="en-US" w:eastAsia="zh-CN"/>
      </w:rPr>
      <w:t>1-5</w:t>
    </w:r>
    <w:r>
      <w:rPr>
        <w:rFonts w:hint="eastAsia" w:ascii="楷体" w:hAnsi="楷体" w:eastAsia="楷体" w:cs="楷体"/>
        <w:sz w:val="16"/>
        <w:szCs w:val="16"/>
      </w:rPr>
      <w:t>）                                 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1"/>
      </w:pBdr>
      <w:jc w:val="left"/>
      <w:rPr>
        <w:rFonts w:eastAsia="楷体"/>
      </w:rPr>
    </w:pPr>
    <w:r>
      <w:rPr>
        <w:rFonts w:hint="eastAsia" w:ascii="楷体" w:hAnsi="楷体" w:eastAsia="楷体" w:cs="楷体"/>
        <w:szCs w:val="24"/>
        <w:lang w:eastAsia="zh-CN"/>
      </w:rPr>
      <w:t>勉县公安局勉县“雪亮工程”建设第一期采购（设备采购、含监理）</w:t>
    </w:r>
    <w:r>
      <w:rPr>
        <w:rFonts w:hint="eastAsia" w:ascii="楷体" w:hAnsi="楷体" w:eastAsia="楷体" w:cs="楷体"/>
        <w:szCs w:val="24"/>
      </w:rPr>
      <w:t xml:space="preserve"> </w:t>
    </w:r>
    <w:r>
      <w:rPr>
        <w:rFonts w:hint="eastAsia" w:ascii="楷体" w:hAnsi="楷体" w:eastAsia="楷体" w:cs="楷体"/>
        <w:szCs w:val="24"/>
        <w:lang w:eastAsia="zh-CN"/>
      </w:rPr>
      <w:t>（包</w:t>
    </w:r>
    <w:r>
      <w:rPr>
        <w:rFonts w:hint="eastAsia" w:ascii="楷体" w:hAnsi="楷体" w:eastAsia="楷体" w:cs="楷体"/>
        <w:szCs w:val="24"/>
        <w:lang w:val="en-US" w:eastAsia="zh-CN"/>
      </w:rPr>
      <w:t>1-5</w:t>
    </w:r>
    <w:r>
      <w:rPr>
        <w:rFonts w:hint="eastAsia" w:ascii="楷体" w:hAnsi="楷体" w:eastAsia="楷体" w:cs="楷体"/>
        <w:szCs w:val="24"/>
        <w:lang w:eastAsia="zh-CN"/>
      </w:rPr>
      <w:t>）</w:t>
    </w:r>
    <w:r>
      <w:rPr>
        <w:rFonts w:hint="eastAsia" w:ascii="楷体" w:hAnsi="楷体" w:eastAsia="楷体" w:cs="楷体"/>
        <w:szCs w:val="24"/>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AAB50"/>
    <w:multiLevelType w:val="singleLevel"/>
    <w:tmpl w:val="88AAAB50"/>
    <w:lvl w:ilvl="0" w:tentative="0">
      <w:start w:val="1"/>
      <w:numFmt w:val="decimal"/>
      <w:suff w:val="nothing"/>
      <w:lvlText w:val="%1、"/>
      <w:lvlJc w:val="left"/>
    </w:lvl>
  </w:abstractNum>
  <w:abstractNum w:abstractNumId="1">
    <w:nsid w:val="BA893D32"/>
    <w:multiLevelType w:val="singleLevel"/>
    <w:tmpl w:val="BA893D32"/>
    <w:lvl w:ilvl="0" w:tentative="0">
      <w:start w:val="1"/>
      <w:numFmt w:val="decimal"/>
      <w:lvlText w:val="(%1)"/>
      <w:lvlJc w:val="left"/>
      <w:pPr>
        <w:ind w:left="425" w:hanging="425"/>
      </w:pPr>
      <w:rPr>
        <w:rFonts w:hint="default"/>
      </w:rPr>
    </w:lvl>
  </w:abstractNum>
  <w:abstractNum w:abstractNumId="2">
    <w:nsid w:val="D23CAAC4"/>
    <w:multiLevelType w:val="singleLevel"/>
    <w:tmpl w:val="D23CAAC4"/>
    <w:lvl w:ilvl="0" w:tentative="0">
      <w:start w:val="1"/>
      <w:numFmt w:val="decimal"/>
      <w:lvlText w:val="(%1)"/>
      <w:lvlJc w:val="left"/>
      <w:pPr>
        <w:ind w:left="425" w:hanging="425"/>
      </w:pPr>
      <w:rPr>
        <w:rFonts w:hint="default"/>
      </w:rPr>
    </w:lvl>
  </w:abstractNum>
  <w:abstractNum w:abstractNumId="3">
    <w:nsid w:val="D29F8CCE"/>
    <w:multiLevelType w:val="singleLevel"/>
    <w:tmpl w:val="D29F8CCE"/>
    <w:lvl w:ilvl="0" w:tentative="0">
      <w:start w:val="1"/>
      <w:numFmt w:val="decimal"/>
      <w:suff w:val="nothing"/>
      <w:lvlText w:val="%1、"/>
      <w:lvlJc w:val="left"/>
    </w:lvl>
  </w:abstractNum>
  <w:abstractNum w:abstractNumId="4">
    <w:nsid w:val="D4DBCBF3"/>
    <w:multiLevelType w:val="singleLevel"/>
    <w:tmpl w:val="D4DBCBF3"/>
    <w:lvl w:ilvl="0" w:tentative="0">
      <w:start w:val="1"/>
      <w:numFmt w:val="chineseCounting"/>
      <w:suff w:val="nothing"/>
      <w:lvlText w:val="%1、"/>
      <w:lvlJc w:val="left"/>
      <w:pPr>
        <w:ind w:left="0" w:firstLine="420"/>
      </w:pPr>
      <w:rPr>
        <w:rFonts w:hint="eastAsia"/>
      </w:rPr>
    </w:lvl>
  </w:abstractNum>
  <w:abstractNum w:abstractNumId="5">
    <w:nsid w:val="0000000B"/>
    <w:multiLevelType w:val="singleLevel"/>
    <w:tmpl w:val="0000000B"/>
    <w:lvl w:ilvl="0" w:tentative="0">
      <w:start w:val="4"/>
      <w:numFmt w:val="decimal"/>
      <w:lvlText w:val="%1."/>
      <w:lvlJc w:val="left"/>
      <w:pPr>
        <w:tabs>
          <w:tab w:val="left" w:pos="312"/>
        </w:tabs>
      </w:pPr>
    </w:lvl>
  </w:abstractNum>
  <w:abstractNum w:abstractNumId="6">
    <w:nsid w:val="0000000C"/>
    <w:multiLevelType w:val="singleLevel"/>
    <w:tmpl w:val="0000000C"/>
    <w:lvl w:ilvl="0" w:tentative="0">
      <w:start w:val="4"/>
      <w:numFmt w:val="chineseCounting"/>
      <w:suff w:val="space"/>
      <w:lvlText w:val="第%1章"/>
      <w:lvlJc w:val="left"/>
      <w:rPr>
        <w:rFonts w:hint="eastAsia"/>
      </w:rPr>
    </w:lvl>
  </w:abstractNum>
  <w:abstractNum w:abstractNumId="7">
    <w:nsid w:val="0000000D"/>
    <w:multiLevelType w:val="singleLevel"/>
    <w:tmpl w:val="0000000D"/>
    <w:lvl w:ilvl="0" w:tentative="0">
      <w:start w:val="1"/>
      <w:numFmt w:val="decimal"/>
      <w:suff w:val="nothing"/>
      <w:lvlText w:val="%1、"/>
      <w:lvlJc w:val="left"/>
    </w:lvl>
  </w:abstractNum>
  <w:abstractNum w:abstractNumId="8">
    <w:nsid w:val="0000000F"/>
    <w:multiLevelType w:val="multilevel"/>
    <w:tmpl w:val="0000000F"/>
    <w:lvl w:ilvl="0" w:tentative="0">
      <w:start w:val="1"/>
      <w:numFmt w:val="decimal"/>
      <w:pStyle w:val="35"/>
      <w:lvlText w:val="%1）"/>
      <w:lvlJc w:val="left"/>
      <w:pPr>
        <w:ind w:left="141" w:firstLine="567"/>
      </w:pPr>
      <w:rPr>
        <w:rFonts w:hint="eastAsia"/>
        <w:b w:val="0"/>
        <w:bCs w:val="0"/>
        <w:i w:val="0"/>
        <w:iCs w:val="0"/>
        <w:caps w:val="0"/>
        <w:smallCaps w:val="0"/>
        <w:strike w:val="0"/>
        <w:dstrike w:val="0"/>
        <w:vanish w:val="0"/>
        <w:color w:val="000000"/>
        <w:spacing w:val="0"/>
        <w:position w:val="0"/>
        <w:u w:val="none"/>
        <w:vertAlign w:val="baseline"/>
      </w:rPr>
    </w:lvl>
    <w:lvl w:ilvl="1" w:tentative="0">
      <w:start w:val="1"/>
      <w:numFmt w:val="lowerLetter"/>
      <w:lvlText w:val="%2)"/>
      <w:lvlJc w:val="left"/>
      <w:pPr>
        <w:ind w:left="-381" w:hanging="420"/>
      </w:pPr>
    </w:lvl>
    <w:lvl w:ilvl="2" w:tentative="0">
      <w:start w:val="1"/>
      <w:numFmt w:val="lowerRoman"/>
      <w:lvlText w:val="%3."/>
      <w:lvlJc w:val="right"/>
      <w:pPr>
        <w:ind w:left="39" w:hanging="420"/>
      </w:pPr>
    </w:lvl>
    <w:lvl w:ilvl="3" w:tentative="0">
      <w:start w:val="1"/>
      <w:numFmt w:val="decimal"/>
      <w:lvlText w:val="%4、"/>
      <w:lvlJc w:val="left"/>
      <w:pPr>
        <w:ind w:left="1555" w:hanging="420"/>
      </w:pPr>
      <w:rPr>
        <w:b w:val="0"/>
        <w:bCs w:val="0"/>
        <w:i w:val="0"/>
        <w:iCs w:val="0"/>
        <w:caps w:val="0"/>
        <w:smallCaps w:val="0"/>
        <w:strike w:val="0"/>
        <w:dstrike w:val="0"/>
        <w:vanish w:val="0"/>
        <w:color w:val="000000"/>
        <w:spacing w:val="0"/>
        <w:position w:val="0"/>
        <w:u w:val="none"/>
        <w:vertAlign w:val="baseline"/>
      </w:rPr>
    </w:lvl>
    <w:lvl w:ilvl="4" w:tentative="0">
      <w:start w:val="1"/>
      <w:numFmt w:val="lowerLetter"/>
      <w:lvlText w:val="%5)"/>
      <w:lvlJc w:val="left"/>
      <w:pPr>
        <w:ind w:left="879" w:hanging="420"/>
      </w:pPr>
    </w:lvl>
    <w:lvl w:ilvl="5" w:tentative="0">
      <w:start w:val="1"/>
      <w:numFmt w:val="lowerRoman"/>
      <w:lvlText w:val="%6."/>
      <w:lvlJc w:val="right"/>
      <w:pPr>
        <w:ind w:left="1299" w:hanging="420"/>
      </w:pPr>
    </w:lvl>
    <w:lvl w:ilvl="6" w:tentative="0">
      <w:start w:val="1"/>
      <w:numFmt w:val="decimal"/>
      <w:lvlText w:val="%7."/>
      <w:lvlJc w:val="left"/>
      <w:pPr>
        <w:ind w:left="1719" w:hanging="420"/>
      </w:pPr>
    </w:lvl>
    <w:lvl w:ilvl="7" w:tentative="0">
      <w:start w:val="1"/>
      <w:numFmt w:val="lowerLetter"/>
      <w:lvlText w:val="%8)"/>
      <w:lvlJc w:val="left"/>
      <w:pPr>
        <w:ind w:left="2139" w:hanging="420"/>
      </w:pPr>
    </w:lvl>
    <w:lvl w:ilvl="8" w:tentative="0">
      <w:start w:val="1"/>
      <w:numFmt w:val="lowerRoman"/>
      <w:lvlText w:val="%9."/>
      <w:lvlJc w:val="right"/>
      <w:pPr>
        <w:ind w:left="2559" w:hanging="420"/>
      </w:pPr>
    </w:lvl>
  </w:abstractNum>
  <w:abstractNum w:abstractNumId="9">
    <w:nsid w:val="00000013"/>
    <w:multiLevelType w:val="singleLevel"/>
    <w:tmpl w:val="00000013"/>
    <w:lvl w:ilvl="0" w:tentative="0">
      <w:start w:val="1"/>
      <w:numFmt w:val="decimal"/>
      <w:pStyle w:val="28"/>
      <w:lvlText w:val="%1．"/>
      <w:lvlJc w:val="left"/>
      <w:pPr>
        <w:tabs>
          <w:tab w:val="left" w:pos="720"/>
        </w:tabs>
        <w:ind w:left="720" w:hanging="720"/>
      </w:pPr>
    </w:lvl>
  </w:abstractNum>
  <w:abstractNum w:abstractNumId="10">
    <w:nsid w:val="00000019"/>
    <w:multiLevelType w:val="singleLevel"/>
    <w:tmpl w:val="00000019"/>
    <w:lvl w:ilvl="0" w:tentative="0">
      <w:start w:val="2"/>
      <w:numFmt w:val="decimal"/>
      <w:suff w:val="nothing"/>
      <w:lvlText w:val="%1、"/>
      <w:lvlJc w:val="left"/>
    </w:lvl>
  </w:abstractNum>
  <w:abstractNum w:abstractNumId="11">
    <w:nsid w:val="00000020"/>
    <w:multiLevelType w:val="singleLevel"/>
    <w:tmpl w:val="00000020"/>
    <w:lvl w:ilvl="0" w:tentative="0">
      <w:start w:val="16"/>
      <w:numFmt w:val="decimal"/>
      <w:lvlText w:val="%1."/>
      <w:lvlJc w:val="left"/>
      <w:pPr>
        <w:tabs>
          <w:tab w:val="left" w:pos="312"/>
        </w:tabs>
      </w:pPr>
    </w:lvl>
  </w:abstractNum>
  <w:abstractNum w:abstractNumId="12">
    <w:nsid w:val="00000027"/>
    <w:multiLevelType w:val="singleLevel"/>
    <w:tmpl w:val="00000027"/>
    <w:lvl w:ilvl="0" w:tentative="0">
      <w:start w:val="4"/>
      <w:numFmt w:val="chineseCounting"/>
      <w:suff w:val="nothing"/>
      <w:lvlText w:val="%1、"/>
      <w:lvlJc w:val="left"/>
      <w:rPr>
        <w:rFonts w:hint="eastAsia"/>
      </w:rPr>
    </w:lvl>
  </w:abstractNum>
  <w:abstractNum w:abstractNumId="13">
    <w:nsid w:val="389838A8"/>
    <w:multiLevelType w:val="singleLevel"/>
    <w:tmpl w:val="389838A8"/>
    <w:lvl w:ilvl="0" w:tentative="0">
      <w:start w:val="1"/>
      <w:numFmt w:val="decimal"/>
      <w:suff w:val="nothing"/>
      <w:lvlText w:val="%1、"/>
      <w:lvlJc w:val="left"/>
    </w:lvl>
  </w:abstractNum>
  <w:abstractNum w:abstractNumId="14">
    <w:nsid w:val="41C6C034"/>
    <w:multiLevelType w:val="singleLevel"/>
    <w:tmpl w:val="41C6C034"/>
    <w:lvl w:ilvl="0" w:tentative="0">
      <w:start w:val="1"/>
      <w:numFmt w:val="decimal"/>
      <w:suff w:val="nothing"/>
      <w:lvlText w:val="%1、"/>
      <w:lvlJc w:val="left"/>
    </w:lvl>
  </w:abstractNum>
  <w:abstractNum w:abstractNumId="15">
    <w:nsid w:val="54A55797"/>
    <w:multiLevelType w:val="singleLevel"/>
    <w:tmpl w:val="54A55797"/>
    <w:lvl w:ilvl="0" w:tentative="0">
      <w:start w:val="1"/>
      <w:numFmt w:val="decimal"/>
      <w:lvlText w:val="%1."/>
      <w:lvlJc w:val="left"/>
      <w:pPr>
        <w:ind w:left="425" w:hanging="425"/>
      </w:pPr>
      <w:rPr>
        <w:rFonts w:hint="default"/>
      </w:rPr>
    </w:lvl>
  </w:abstractNum>
  <w:abstractNum w:abstractNumId="16">
    <w:nsid w:val="6B66D13B"/>
    <w:multiLevelType w:val="singleLevel"/>
    <w:tmpl w:val="6B66D13B"/>
    <w:lvl w:ilvl="0" w:tentative="0">
      <w:start w:val="1"/>
      <w:numFmt w:val="chineseCounting"/>
      <w:suff w:val="nothing"/>
      <w:lvlText w:val="%1、"/>
      <w:lvlJc w:val="left"/>
      <w:rPr>
        <w:rFonts w:hint="eastAsia"/>
      </w:rPr>
    </w:lvl>
  </w:abstractNum>
  <w:abstractNum w:abstractNumId="17">
    <w:nsid w:val="7C86E6E5"/>
    <w:multiLevelType w:val="singleLevel"/>
    <w:tmpl w:val="7C86E6E5"/>
    <w:lvl w:ilvl="0" w:tentative="0">
      <w:start w:val="1"/>
      <w:numFmt w:val="decimal"/>
      <w:suff w:val="nothing"/>
      <w:lvlText w:val="%1、"/>
      <w:lvlJc w:val="left"/>
    </w:lvl>
  </w:abstractNum>
  <w:abstractNum w:abstractNumId="18">
    <w:nsid w:val="7E86F0C5"/>
    <w:multiLevelType w:val="singleLevel"/>
    <w:tmpl w:val="7E86F0C5"/>
    <w:lvl w:ilvl="0" w:tentative="0">
      <w:start w:val="7"/>
      <w:numFmt w:val="chineseCounting"/>
      <w:suff w:val="nothing"/>
      <w:lvlText w:val="%1、"/>
      <w:lvlJc w:val="left"/>
      <w:rPr>
        <w:rFonts w:hint="eastAsia"/>
      </w:rPr>
    </w:lvl>
  </w:abstractNum>
  <w:num w:numId="1">
    <w:abstractNumId w:val="9"/>
  </w:num>
  <w:num w:numId="2">
    <w:abstractNumId w:val="8"/>
  </w:num>
  <w:num w:numId="3">
    <w:abstractNumId w:val="11"/>
  </w:num>
  <w:num w:numId="4">
    <w:abstractNumId w:val="7"/>
  </w:num>
  <w:num w:numId="5">
    <w:abstractNumId w:val="16"/>
  </w:num>
  <w:num w:numId="6">
    <w:abstractNumId w:val="18"/>
  </w:num>
  <w:num w:numId="7">
    <w:abstractNumId w:val="6"/>
  </w:num>
  <w:num w:numId="8">
    <w:abstractNumId w:val="4"/>
  </w:num>
  <w:num w:numId="9">
    <w:abstractNumId w:val="15"/>
  </w:num>
  <w:num w:numId="10">
    <w:abstractNumId w:val="1"/>
  </w:num>
  <w:num w:numId="11">
    <w:abstractNumId w:val="2"/>
  </w:num>
  <w:num w:numId="12">
    <w:abstractNumId w:val="0"/>
  </w:num>
  <w:num w:numId="13">
    <w:abstractNumId w:val="17"/>
  </w:num>
  <w:num w:numId="14">
    <w:abstractNumId w:val="13"/>
  </w:num>
  <w:num w:numId="15">
    <w:abstractNumId w:val="3"/>
  </w:num>
  <w:num w:numId="16">
    <w:abstractNumId w:val="14"/>
  </w:num>
  <w:num w:numId="17">
    <w:abstractNumId w:val="10"/>
  </w:num>
  <w:num w:numId="18">
    <w:abstractNumId w:val="1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RmYjY0OTgyZGVlYWZkZDk1NjBhMDcxYjJlYzljZDYifQ=="/>
  </w:docVars>
  <w:rsids>
    <w:rsidRoot w:val="002E2A05"/>
    <w:rsid w:val="000D628C"/>
    <w:rsid w:val="00220087"/>
    <w:rsid w:val="002E2A05"/>
    <w:rsid w:val="00436385"/>
    <w:rsid w:val="007A22AE"/>
    <w:rsid w:val="00A724CE"/>
    <w:rsid w:val="011D0758"/>
    <w:rsid w:val="01D46B46"/>
    <w:rsid w:val="026B74AB"/>
    <w:rsid w:val="02D57DDF"/>
    <w:rsid w:val="033C3176"/>
    <w:rsid w:val="044C573C"/>
    <w:rsid w:val="047B1719"/>
    <w:rsid w:val="052D0A47"/>
    <w:rsid w:val="054B77F4"/>
    <w:rsid w:val="066B14CF"/>
    <w:rsid w:val="06F61785"/>
    <w:rsid w:val="07026E07"/>
    <w:rsid w:val="07391925"/>
    <w:rsid w:val="07A02487"/>
    <w:rsid w:val="0819380D"/>
    <w:rsid w:val="08BA1AD5"/>
    <w:rsid w:val="09A71398"/>
    <w:rsid w:val="09DB262E"/>
    <w:rsid w:val="0A053FD6"/>
    <w:rsid w:val="0A403874"/>
    <w:rsid w:val="0AC861EA"/>
    <w:rsid w:val="0B83317D"/>
    <w:rsid w:val="0BF215B7"/>
    <w:rsid w:val="0C9D4705"/>
    <w:rsid w:val="0D612AEA"/>
    <w:rsid w:val="0E320E7D"/>
    <w:rsid w:val="0F2F3863"/>
    <w:rsid w:val="0F9E3810"/>
    <w:rsid w:val="10963F46"/>
    <w:rsid w:val="113373E5"/>
    <w:rsid w:val="118A0C9C"/>
    <w:rsid w:val="121F0576"/>
    <w:rsid w:val="123B34DA"/>
    <w:rsid w:val="12AA1814"/>
    <w:rsid w:val="13655850"/>
    <w:rsid w:val="13712447"/>
    <w:rsid w:val="141D04E6"/>
    <w:rsid w:val="164976AB"/>
    <w:rsid w:val="16840FA1"/>
    <w:rsid w:val="18502F03"/>
    <w:rsid w:val="18BC7CB3"/>
    <w:rsid w:val="19FB6838"/>
    <w:rsid w:val="1A700765"/>
    <w:rsid w:val="1AA749A0"/>
    <w:rsid w:val="1B697EA8"/>
    <w:rsid w:val="1C5446B4"/>
    <w:rsid w:val="1CB53394"/>
    <w:rsid w:val="1CF50491"/>
    <w:rsid w:val="1EE07B64"/>
    <w:rsid w:val="1F0D3E1B"/>
    <w:rsid w:val="20D820A7"/>
    <w:rsid w:val="21316315"/>
    <w:rsid w:val="21CB5418"/>
    <w:rsid w:val="22011573"/>
    <w:rsid w:val="223B434C"/>
    <w:rsid w:val="22943A5C"/>
    <w:rsid w:val="23024FE2"/>
    <w:rsid w:val="2445767A"/>
    <w:rsid w:val="257047C9"/>
    <w:rsid w:val="25D7652F"/>
    <w:rsid w:val="25EE33DF"/>
    <w:rsid w:val="261275F4"/>
    <w:rsid w:val="263265A7"/>
    <w:rsid w:val="280476B6"/>
    <w:rsid w:val="2A8022E4"/>
    <w:rsid w:val="2A915B43"/>
    <w:rsid w:val="2AF43C32"/>
    <w:rsid w:val="2BDA2E28"/>
    <w:rsid w:val="2CAA1694"/>
    <w:rsid w:val="2DAB7EBB"/>
    <w:rsid w:val="2E437E3F"/>
    <w:rsid w:val="2ED54CB2"/>
    <w:rsid w:val="301F34FF"/>
    <w:rsid w:val="307018E5"/>
    <w:rsid w:val="3148336F"/>
    <w:rsid w:val="35234530"/>
    <w:rsid w:val="35330969"/>
    <w:rsid w:val="35DA3B9F"/>
    <w:rsid w:val="37721B96"/>
    <w:rsid w:val="37933187"/>
    <w:rsid w:val="380F3E59"/>
    <w:rsid w:val="385A3964"/>
    <w:rsid w:val="385C2E16"/>
    <w:rsid w:val="39031F81"/>
    <w:rsid w:val="39F07389"/>
    <w:rsid w:val="3AC935E9"/>
    <w:rsid w:val="3B0021FC"/>
    <w:rsid w:val="3C5956E0"/>
    <w:rsid w:val="3C720E5A"/>
    <w:rsid w:val="3CB44AC3"/>
    <w:rsid w:val="3D6D78FD"/>
    <w:rsid w:val="400F59AA"/>
    <w:rsid w:val="409D5A90"/>
    <w:rsid w:val="410C61D1"/>
    <w:rsid w:val="435F6C86"/>
    <w:rsid w:val="43B27D8E"/>
    <w:rsid w:val="45F5651F"/>
    <w:rsid w:val="46651968"/>
    <w:rsid w:val="47C62FEF"/>
    <w:rsid w:val="48576465"/>
    <w:rsid w:val="48C04CFB"/>
    <w:rsid w:val="494C655E"/>
    <w:rsid w:val="49CF169A"/>
    <w:rsid w:val="4C106F54"/>
    <w:rsid w:val="4C3142DF"/>
    <w:rsid w:val="4C59524B"/>
    <w:rsid w:val="4E2E6CED"/>
    <w:rsid w:val="4E5C26FB"/>
    <w:rsid w:val="4F0D2776"/>
    <w:rsid w:val="4FC43323"/>
    <w:rsid w:val="50045067"/>
    <w:rsid w:val="502B02C9"/>
    <w:rsid w:val="503B1E8C"/>
    <w:rsid w:val="518275B8"/>
    <w:rsid w:val="528719B6"/>
    <w:rsid w:val="54320037"/>
    <w:rsid w:val="550A4AAE"/>
    <w:rsid w:val="55EA33B8"/>
    <w:rsid w:val="56AB0D99"/>
    <w:rsid w:val="580746F5"/>
    <w:rsid w:val="585346DE"/>
    <w:rsid w:val="59673C6C"/>
    <w:rsid w:val="5AED1D4E"/>
    <w:rsid w:val="5B510BD2"/>
    <w:rsid w:val="5CFB6AAF"/>
    <w:rsid w:val="5E1658DC"/>
    <w:rsid w:val="5EFB3C2D"/>
    <w:rsid w:val="5F16054B"/>
    <w:rsid w:val="6080220E"/>
    <w:rsid w:val="60EC092C"/>
    <w:rsid w:val="61DB0EE8"/>
    <w:rsid w:val="62A50225"/>
    <w:rsid w:val="62EF025F"/>
    <w:rsid w:val="635011B8"/>
    <w:rsid w:val="638C5AAE"/>
    <w:rsid w:val="65060BC9"/>
    <w:rsid w:val="66A23F66"/>
    <w:rsid w:val="6710726A"/>
    <w:rsid w:val="681768D9"/>
    <w:rsid w:val="68213F2C"/>
    <w:rsid w:val="6838686B"/>
    <w:rsid w:val="68B42374"/>
    <w:rsid w:val="6A132A85"/>
    <w:rsid w:val="6B280349"/>
    <w:rsid w:val="6C010E44"/>
    <w:rsid w:val="6E2E7E8E"/>
    <w:rsid w:val="6E810905"/>
    <w:rsid w:val="6F2B6AC3"/>
    <w:rsid w:val="6F484D9B"/>
    <w:rsid w:val="713F0604"/>
    <w:rsid w:val="72AA0AFE"/>
    <w:rsid w:val="72D8486C"/>
    <w:rsid w:val="73005B71"/>
    <w:rsid w:val="740B15F2"/>
    <w:rsid w:val="74600FBD"/>
    <w:rsid w:val="747B02FD"/>
    <w:rsid w:val="75E11C8A"/>
    <w:rsid w:val="769412F0"/>
    <w:rsid w:val="77A17932"/>
    <w:rsid w:val="77FD03AB"/>
    <w:rsid w:val="78174088"/>
    <w:rsid w:val="785978ED"/>
    <w:rsid w:val="78F10DED"/>
    <w:rsid w:val="794A580E"/>
    <w:rsid w:val="7AD14F03"/>
    <w:rsid w:val="7B2A38E2"/>
    <w:rsid w:val="7BCF76DB"/>
    <w:rsid w:val="7C3F3BAE"/>
    <w:rsid w:val="7C5036C5"/>
    <w:rsid w:val="7C9018B0"/>
    <w:rsid w:val="7DC901A8"/>
    <w:rsid w:val="7DD109DC"/>
    <w:rsid w:val="7DF03E77"/>
    <w:rsid w:val="7F0864D9"/>
    <w:rsid w:val="7F742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6">
    <w:name w:val="heading 1"/>
    <w:basedOn w:val="1"/>
    <w:next w:val="1"/>
    <w:link w:val="43"/>
    <w:qFormat/>
    <w:uiPriority w:val="0"/>
    <w:pPr>
      <w:keepNext/>
      <w:outlineLvl w:val="0"/>
    </w:pPr>
    <w:rPr>
      <w:rFonts w:ascii="仿宋_GB2312" w:hAnsi="宋体" w:eastAsia="仿宋_GB2312"/>
      <w:b/>
      <w:kern w:val="2"/>
      <w:sz w:val="32"/>
    </w:rPr>
  </w:style>
  <w:style w:type="paragraph" w:styleId="7">
    <w:name w:val="heading 3"/>
    <w:basedOn w:val="1"/>
    <w:next w:val="1"/>
    <w:qFormat/>
    <w:uiPriority w:val="0"/>
    <w:pPr>
      <w:keepNext/>
      <w:spacing w:beforeLines="200" w:line="400" w:lineRule="exact"/>
      <w:jc w:val="center"/>
      <w:outlineLvl w:val="2"/>
    </w:pPr>
    <w:rPr>
      <w:b/>
      <w:bCs/>
      <w:kern w:val="2"/>
      <w:szCs w:val="24"/>
    </w:rPr>
  </w:style>
  <w:style w:type="paragraph" w:styleId="8">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9">
    <w:name w:val="heading 6"/>
    <w:basedOn w:val="1"/>
    <w:next w:val="1"/>
    <w:qFormat/>
    <w:uiPriority w:val="0"/>
    <w:pPr>
      <w:keepNext/>
      <w:keepLines/>
      <w:tabs>
        <w:tab w:val="left" w:pos="1152"/>
      </w:tabs>
      <w:spacing w:line="360" w:lineRule="auto"/>
      <w:ind w:left="1152" w:hanging="1152"/>
      <w:outlineLvl w:val="5"/>
    </w:pPr>
    <w:rPr>
      <w:rFonts w:ascii="Arial Unicode MS" w:hAnsi="Arial Unicode MS"/>
      <w:bCs/>
      <w:kern w:val="2"/>
      <w:szCs w:val="24"/>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rPr>
      <w:rFonts w:ascii="Times New Roman"/>
      <w:sz w:val="18"/>
      <w:szCs w:val="18"/>
    </w:rPr>
  </w:style>
  <w:style w:type="paragraph" w:styleId="3">
    <w:name w:val="Body Text"/>
    <w:basedOn w:val="1"/>
    <w:next w:val="1"/>
    <w:qFormat/>
    <w:uiPriority w:val="0"/>
    <w:rPr>
      <w:kern w:val="2"/>
      <w:sz w:val="21"/>
    </w:rPr>
  </w:style>
  <w:style w:type="paragraph" w:styleId="4">
    <w:name w:val="Body Text First Indent 2"/>
    <w:basedOn w:val="5"/>
    <w:next w:val="1"/>
    <w:qFormat/>
    <w:uiPriority w:val="0"/>
    <w:pPr>
      <w:ind w:left="420" w:leftChars="200" w:firstLine="420" w:firstLineChars="200"/>
    </w:pPr>
  </w:style>
  <w:style w:type="paragraph" w:styleId="5">
    <w:name w:val="Body Text Indent"/>
    <w:basedOn w:val="1"/>
    <w:qFormat/>
    <w:uiPriority w:val="0"/>
    <w:pPr>
      <w:widowControl/>
      <w:ind w:firstLine="652" w:firstLineChars="233"/>
    </w:pPr>
    <w:rPr>
      <w:sz w:val="28"/>
    </w:rPr>
  </w:style>
  <w:style w:type="paragraph" w:styleId="10">
    <w:name w:val="Normal Indent"/>
    <w:basedOn w:val="1"/>
    <w:next w:val="11"/>
    <w:qFormat/>
    <w:uiPriority w:val="0"/>
    <w:pPr>
      <w:spacing w:line="300" w:lineRule="auto"/>
      <w:ind w:firstLine="420" w:firstLineChars="200"/>
    </w:pPr>
    <w:rPr>
      <w:kern w:val="2"/>
      <w:sz w:val="21"/>
      <w:szCs w:val="24"/>
    </w:rPr>
  </w:style>
  <w:style w:type="paragraph" w:styleId="11">
    <w:name w:val="toc 4"/>
    <w:basedOn w:val="1"/>
    <w:next w:val="1"/>
    <w:qFormat/>
    <w:uiPriority w:val="0"/>
    <w:pPr>
      <w:ind w:left="1260" w:leftChars="600"/>
    </w:pPr>
  </w:style>
  <w:style w:type="paragraph" w:styleId="12">
    <w:name w:val="Document Map"/>
    <w:basedOn w:val="1"/>
    <w:qFormat/>
    <w:uiPriority w:val="0"/>
    <w:pPr>
      <w:shd w:val="clear" w:color="auto" w:fill="000080"/>
    </w:pPr>
    <w:rPr>
      <w:kern w:val="2"/>
      <w:sz w:val="21"/>
      <w:shd w:val="clear" w:color="auto" w:fill="000080"/>
    </w:rPr>
  </w:style>
  <w:style w:type="paragraph" w:styleId="13">
    <w:name w:val="annotation text"/>
    <w:basedOn w:val="1"/>
    <w:qFormat/>
    <w:uiPriority w:val="0"/>
    <w:pPr>
      <w:jc w:val="left"/>
    </w:pPr>
    <w:rPr>
      <w:kern w:val="2"/>
      <w:sz w:val="21"/>
      <w:szCs w:val="24"/>
    </w:rPr>
  </w:style>
  <w:style w:type="paragraph" w:styleId="14">
    <w:name w:val="Block Text"/>
    <w:basedOn w:val="1"/>
    <w:qFormat/>
    <w:uiPriority w:val="0"/>
    <w:pPr>
      <w:widowControl/>
      <w:tabs>
        <w:tab w:val="right" w:pos="8640"/>
      </w:tabs>
      <w:ind w:left="1440" w:leftChars="700" w:right="1440"/>
    </w:pPr>
    <w:rPr>
      <w:rFonts w:ascii="Garamond" w:hAnsi="Garamond" w:eastAsia="Times New Roman"/>
      <w:spacing w:val="-2"/>
    </w:rPr>
  </w:style>
  <w:style w:type="paragraph" w:styleId="15">
    <w:name w:val="Plain Text"/>
    <w:basedOn w:val="1"/>
    <w:next w:val="1"/>
    <w:qFormat/>
    <w:uiPriority w:val="0"/>
    <w:rPr>
      <w:rFonts w:hAnsi="Courier New"/>
      <w:kern w:val="2"/>
      <w:sz w:val="21"/>
    </w:rPr>
  </w:style>
  <w:style w:type="paragraph" w:styleId="16">
    <w:name w:val="Date"/>
    <w:basedOn w:val="1"/>
    <w:next w:val="1"/>
    <w:qFormat/>
    <w:uiPriority w:val="0"/>
    <w:rPr>
      <w:kern w:val="2"/>
      <w:sz w:val="28"/>
    </w:rPr>
  </w:style>
  <w:style w:type="paragraph" w:styleId="17">
    <w:name w:val="footer"/>
    <w:basedOn w:val="1"/>
    <w:next w:val="3"/>
    <w:qFormat/>
    <w:uiPriority w:val="0"/>
    <w:pPr>
      <w:tabs>
        <w:tab w:val="center" w:pos="4153"/>
        <w:tab w:val="right" w:pos="8306"/>
      </w:tabs>
      <w:snapToGrid w:val="0"/>
      <w:jc w:val="left"/>
    </w:pPr>
    <w:rPr>
      <w:kern w:val="2"/>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kern w:val="2"/>
      <w:sz w:val="18"/>
      <w:szCs w:val="18"/>
    </w:rPr>
  </w:style>
  <w:style w:type="paragraph" w:styleId="19">
    <w:name w:val="toc 1"/>
    <w:basedOn w:val="1"/>
    <w:next w:val="1"/>
    <w:qFormat/>
    <w:uiPriority w:val="0"/>
  </w:style>
  <w:style w:type="paragraph" w:styleId="20">
    <w:name w:val="Body Text Indent 3"/>
    <w:basedOn w:val="1"/>
    <w:qFormat/>
    <w:uiPriority w:val="0"/>
    <w:pPr>
      <w:spacing w:line="410" w:lineRule="exact"/>
      <w:ind w:left="619" w:leftChars="295" w:firstLine="390" w:firstLineChars="179"/>
    </w:pPr>
    <w:rPr>
      <w:rFonts w:hAnsi="宋体"/>
      <w:spacing w:val="4"/>
      <w:kern w:val="2"/>
      <w:sz w:val="21"/>
    </w:rPr>
  </w:style>
  <w:style w:type="paragraph" w:styleId="21">
    <w:name w:val="toc 9"/>
    <w:basedOn w:val="1"/>
    <w:next w:val="1"/>
    <w:qFormat/>
    <w:uiPriority w:val="0"/>
    <w:pPr>
      <w:ind w:left="3360" w:leftChars="1600"/>
    </w:pPr>
  </w:style>
  <w:style w:type="paragraph" w:styleId="22">
    <w:name w:val="Body Text 2"/>
    <w:basedOn w:val="1"/>
    <w:qFormat/>
    <w:uiPriority w:val="0"/>
    <w:rPr>
      <w:rFonts w:ascii="楷体_GB2312" w:hAnsi="Copperplate Gothic Bold" w:eastAsia="楷体_GB2312"/>
      <w:kern w:val="2"/>
      <w:sz w:val="28"/>
    </w:rPr>
  </w:style>
  <w:style w:type="paragraph" w:styleId="23">
    <w:name w:val="Normal (Web)"/>
    <w:basedOn w:val="1"/>
    <w:qFormat/>
    <w:uiPriority w:val="0"/>
    <w:pPr>
      <w:widowControl/>
      <w:spacing w:beforeAutospacing="1" w:afterAutospacing="1"/>
      <w:jc w:val="left"/>
    </w:pPr>
    <w:rPr>
      <w:rFonts w:hAnsi="宋体"/>
      <w:szCs w:val="24"/>
    </w:rPr>
  </w:style>
  <w:style w:type="character" w:styleId="26">
    <w:name w:val="Strong"/>
    <w:basedOn w:val="25"/>
    <w:qFormat/>
    <w:uiPriority w:val="0"/>
    <w:rPr>
      <w:b/>
    </w:rPr>
  </w:style>
  <w:style w:type="paragraph" w:customStyle="1" w:styleId="27">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Char"/>
    <w:basedOn w:val="12"/>
    <w:next w:val="7"/>
    <w:qFormat/>
    <w:uiPriority w:val="0"/>
    <w:pPr>
      <w:numPr>
        <w:ilvl w:val="0"/>
        <w:numId w:val="1"/>
      </w:numPr>
      <w:tabs>
        <w:tab w:val="left" w:pos="1200"/>
        <w:tab w:val="clear" w:pos="720"/>
      </w:tabs>
      <w:ind w:left="1200" w:hanging="360"/>
    </w:pPr>
    <w:rPr>
      <w:sz w:val="24"/>
      <w:szCs w:val="24"/>
    </w:rPr>
  </w:style>
  <w:style w:type="paragraph" w:customStyle="1" w:styleId="29">
    <w:name w:val="RFI Heading 2nd Level Char"/>
    <w:next w:val="30"/>
    <w:qFormat/>
    <w:uiPriority w:val="0"/>
    <w:pPr>
      <w:spacing w:before="240" w:after="240"/>
      <w:ind w:left="1152" w:hanging="1152"/>
      <w:jc w:val="both"/>
      <w:outlineLvl w:val="1"/>
    </w:pPr>
    <w:rPr>
      <w:rFonts w:ascii="Arial (W1)" w:hAnsi="Times New Roman" w:eastAsia="Times New Roman" w:cs="Times New Roman"/>
      <w:b/>
      <w:color w:val="3366FF"/>
      <w:sz w:val="24"/>
      <w:lang w:val="en-US" w:eastAsia="zh-CN" w:bidi="ar-SA"/>
    </w:rPr>
  </w:style>
  <w:style w:type="paragraph" w:customStyle="1" w:styleId="30">
    <w:name w:val="Normal 0.51"/>
    <w:next w:val="1"/>
    <w:qFormat/>
    <w:uiPriority w:val="0"/>
    <w:pPr>
      <w:spacing w:before="180" w:after="120"/>
      <w:ind w:left="720"/>
      <w:jc w:val="both"/>
    </w:pPr>
    <w:rPr>
      <w:rFonts w:ascii="Times New Roman" w:hAnsi="Times New Roman" w:eastAsia="宋体" w:cs="Times New Roman"/>
      <w:sz w:val="24"/>
      <w:lang w:val="en-US" w:eastAsia="zh-CN" w:bidi="ar-SA"/>
    </w:rPr>
  </w:style>
  <w:style w:type="paragraph" w:customStyle="1" w:styleId="31">
    <w:name w:val="样式7"/>
    <w:basedOn w:val="32"/>
    <w:qFormat/>
    <w:uiPriority w:val="0"/>
    <w:pPr>
      <w:ind w:firstLine="0" w:firstLineChars="0"/>
    </w:pPr>
    <w:rPr>
      <w:rFonts w:ascii="宋体" w:hAnsi="宋体" w:cs="宋体"/>
      <w:b/>
      <w:szCs w:val="20"/>
    </w:rPr>
  </w:style>
  <w:style w:type="paragraph" w:styleId="32">
    <w:name w:val="List Paragraph"/>
    <w:basedOn w:val="1"/>
    <w:next w:val="1"/>
    <w:qFormat/>
    <w:uiPriority w:val="0"/>
    <w:pPr>
      <w:ind w:firstLine="420" w:firstLineChars="200"/>
    </w:pPr>
    <w:rPr>
      <w:rFonts w:ascii="Calibri" w:hAnsi="Calibri"/>
      <w:kern w:val="2"/>
      <w:sz w:val="21"/>
      <w:szCs w:val="22"/>
    </w:rPr>
  </w:style>
  <w:style w:type="paragraph" w:customStyle="1" w:styleId="33">
    <w:name w:val="!BECC正文"/>
    <w:basedOn w:val="1"/>
    <w:qFormat/>
    <w:uiPriority w:val="0"/>
    <w:pPr>
      <w:widowControl/>
      <w:tabs>
        <w:tab w:val="left" w:pos="0"/>
      </w:tabs>
      <w:spacing w:beforeLines="50" w:afterLines="50"/>
    </w:pPr>
    <w:rPr>
      <w:rFonts w:ascii="Calibri" w:hAnsi="Calibri"/>
    </w:rPr>
  </w:style>
  <w:style w:type="paragraph" w:customStyle="1" w:styleId="34">
    <w:name w:val="样式 首行缩进:  0 字符"/>
    <w:basedOn w:val="1"/>
    <w:qFormat/>
    <w:uiPriority w:val="0"/>
    <w:rPr>
      <w:rFonts w:ascii="Verdana" w:hAnsi="Verdana" w:cs="宋体"/>
    </w:rPr>
  </w:style>
  <w:style w:type="paragraph" w:customStyle="1" w:styleId="35">
    <w:name w:val="样式5"/>
    <w:basedOn w:val="32"/>
    <w:qFormat/>
    <w:uiPriority w:val="0"/>
    <w:pPr>
      <w:numPr>
        <w:ilvl w:val="0"/>
        <w:numId w:val="2"/>
      </w:numPr>
      <w:ind w:firstLine="0" w:firstLineChars="0"/>
    </w:pPr>
    <w:rPr>
      <w:rFonts w:ascii="宋体" w:hAnsi="宋体"/>
      <w:b/>
    </w:rPr>
  </w:style>
  <w:style w:type="paragraph" w:customStyle="1" w:styleId="36">
    <w:name w:val="正文（绿盟科技）"/>
    <w:qFormat/>
    <w:uiPriority w:val="0"/>
    <w:pPr>
      <w:spacing w:line="300" w:lineRule="auto"/>
    </w:pPr>
    <w:rPr>
      <w:rFonts w:ascii="Arial" w:hAnsi="Arial" w:eastAsia="宋体" w:cs="Arial"/>
      <w:kern w:val="2"/>
      <w:sz w:val="21"/>
      <w:szCs w:val="21"/>
      <w:lang w:val="en-US" w:eastAsia="zh-CN" w:bidi="ar-SA"/>
    </w:rPr>
  </w:style>
  <w:style w:type="paragraph" w:customStyle="1" w:styleId="37">
    <w:name w:val="正文首行缩进（绿盟科技）"/>
    <w:basedOn w:val="36"/>
    <w:qFormat/>
    <w:uiPriority w:val="0"/>
    <w:pPr>
      <w:ind w:firstLine="200" w:firstLineChars="200"/>
      <w:jc w:val="both"/>
    </w:pPr>
    <w:rPr>
      <w:rFonts w:cs="Times New Roman"/>
    </w:rPr>
  </w:style>
  <w:style w:type="character" w:customStyle="1" w:styleId="38">
    <w:name w:val="font41"/>
    <w:qFormat/>
    <w:uiPriority w:val="0"/>
    <w:rPr>
      <w:rFonts w:hint="eastAsia" w:ascii="楷体" w:hAnsi="楷体" w:eastAsia="楷体" w:cs="楷体"/>
      <w:color w:val="00B050"/>
      <w:sz w:val="24"/>
      <w:szCs w:val="24"/>
      <w:u w:val="none"/>
    </w:rPr>
  </w:style>
  <w:style w:type="character" w:customStyle="1" w:styleId="39">
    <w:name w:val="font61"/>
    <w:qFormat/>
    <w:uiPriority w:val="0"/>
    <w:rPr>
      <w:rFonts w:hint="eastAsia" w:ascii="楷体" w:hAnsi="楷体" w:eastAsia="楷体" w:cs="楷体"/>
      <w:color w:val="000000"/>
      <w:sz w:val="24"/>
      <w:szCs w:val="24"/>
      <w:u w:val="none"/>
    </w:rPr>
  </w:style>
  <w:style w:type="character" w:customStyle="1" w:styleId="40">
    <w:name w:val="font21"/>
    <w:qFormat/>
    <w:uiPriority w:val="0"/>
    <w:rPr>
      <w:rFonts w:hint="eastAsia" w:ascii="宋体" w:hAnsi="宋体" w:eastAsia="宋体" w:cs="宋体"/>
      <w:color w:val="FF0000"/>
      <w:sz w:val="20"/>
      <w:szCs w:val="20"/>
      <w:u w:val="none"/>
    </w:rPr>
  </w:style>
  <w:style w:type="character" w:customStyle="1" w:styleId="41">
    <w:name w:val="font101"/>
    <w:qFormat/>
    <w:uiPriority w:val="0"/>
    <w:rPr>
      <w:rFonts w:hint="eastAsia" w:ascii="宋体" w:hAnsi="宋体" w:eastAsia="宋体" w:cs="宋体"/>
      <w:color w:val="000000"/>
      <w:sz w:val="18"/>
      <w:szCs w:val="18"/>
      <w:u w:val="none"/>
    </w:rPr>
  </w:style>
  <w:style w:type="character" w:customStyle="1" w:styleId="42">
    <w:name w:val="font91"/>
    <w:qFormat/>
    <w:uiPriority w:val="0"/>
    <w:rPr>
      <w:rFonts w:hint="eastAsia" w:ascii="宋体" w:hAnsi="宋体" w:eastAsia="宋体" w:cs="宋体"/>
      <w:color w:val="000000"/>
      <w:sz w:val="18"/>
      <w:szCs w:val="18"/>
      <w:u w:val="none"/>
    </w:rPr>
  </w:style>
  <w:style w:type="character" w:customStyle="1" w:styleId="43">
    <w:name w:val="标题 1 Char"/>
    <w:link w:val="6"/>
    <w:qFormat/>
    <w:uiPriority w:val="0"/>
    <w:rPr>
      <w:rFonts w:ascii="仿宋_GB2312" w:hAnsi="宋体" w:eastAsia="仿宋_GB2312"/>
      <w:b/>
      <w:kern w:val="2"/>
      <w:sz w:val="32"/>
    </w:rPr>
  </w:style>
  <w:style w:type="paragraph" w:customStyle="1" w:styleId="44">
    <w:name w:val="正文缩进1"/>
    <w:basedOn w:val="1"/>
    <w:qFormat/>
    <w:uiPriority w:val="0"/>
    <w:pPr>
      <w:ind w:firstLine="420" w:firstLineChars="200"/>
    </w:pPr>
  </w:style>
  <w:style w:type="paragraph" w:customStyle="1" w:styleId="45">
    <w:name w:val="表格文字中"/>
    <w:basedOn w:val="1"/>
    <w:qFormat/>
    <w:uiPriority w:val="0"/>
    <w:pPr>
      <w:adjustRightInd w:val="0"/>
      <w:snapToGrid w:val="0"/>
      <w:ind w:left="22" w:leftChars="8"/>
      <w:jc w:val="center"/>
    </w:pPr>
    <w:rPr>
      <w:szCs w:val="24"/>
    </w:rPr>
  </w:style>
  <w:style w:type="paragraph" w:customStyle="1" w:styleId="46">
    <w:name w:val="表注1"/>
    <w:basedOn w:val="1"/>
    <w:qFormat/>
    <w:uiPriority w:val="0"/>
    <w:pPr>
      <w:adjustRightInd w:val="0"/>
      <w:snapToGrid w:val="0"/>
      <w:spacing w:beforeLines="50" w:line="300" w:lineRule="auto"/>
      <w:ind w:left="350" w:hanging="350" w:hangingChars="350"/>
    </w:pPr>
    <w:rPr>
      <w:rFonts w:eastAsia="仿宋_GB2312"/>
      <w:bCs/>
      <w:color w:val="000000"/>
      <w:szCs w:val="24"/>
    </w:rPr>
  </w:style>
  <w:style w:type="paragraph" w:customStyle="1" w:styleId="47">
    <w:name w:val="样式 WG标题3 + 行距: 固定值 18 磅"/>
    <w:basedOn w:val="1"/>
    <w:qFormat/>
    <w:uiPriority w:val="0"/>
    <w:pPr>
      <w:autoSpaceDE w:val="0"/>
      <w:autoSpaceDN w:val="0"/>
      <w:adjustRightInd w:val="0"/>
      <w:spacing w:line="360" w:lineRule="exact"/>
      <w:ind w:firstLine="200" w:firstLineChars="200"/>
      <w:textAlignment w:val="baseline"/>
      <w:outlineLvl w:val="2"/>
    </w:pPr>
    <w:rPr>
      <w:rFonts w:cs="宋体"/>
      <w:b/>
      <w:bCs/>
      <w:color w:val="000000"/>
      <w:kern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4"/>
    <customShpInfo spid="_x0000_s2052"/>
    <customShpInfo spid="_x0000_s2051"/>
    <customShpInfo spid="_x0000_s2050"/>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125</Pages>
  <Words>69358</Words>
  <Characters>76111</Characters>
  <Lines>329</Lines>
  <Paragraphs>92</Paragraphs>
  <TotalTime>69</TotalTime>
  <ScaleCrop>false</ScaleCrop>
  <LinksUpToDate>false</LinksUpToDate>
  <CharactersWithSpaces>79942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Code</cp:lastModifiedBy>
  <cp:lastPrinted>2022-11-14T01:07:00Z</cp:lastPrinted>
  <dcterms:modified xsi:type="dcterms:W3CDTF">2022-11-18T02:03:03Z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5179AC8BBCD847DBAAF652827F93CE25</vt:lpwstr>
  </property>
</Properties>
</file>